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6C65F" w14:textId="28BDBEA2" w:rsidR="0060110F" w:rsidRPr="000C22B9" w:rsidRDefault="006D4406" w:rsidP="00874B39">
      <w:pPr>
        <w:pBdr>
          <w:top w:val="nil"/>
          <w:left w:val="nil"/>
          <w:bottom w:val="nil"/>
          <w:right w:val="nil"/>
          <w:between w:val="nil"/>
        </w:pBdr>
        <w:spacing w:after="0" w:line="240" w:lineRule="auto"/>
        <w:ind w:left="1440" w:hanging="1440"/>
        <w:rPr>
          <w:rFonts w:ascii="Arial Narrow" w:eastAsia="Arial Narrow" w:hAnsi="Arial Narrow" w:cs="Arial Narrow"/>
          <w:b/>
          <w:sz w:val="32"/>
          <w:szCs w:val="32"/>
        </w:rPr>
      </w:pPr>
      <w:r>
        <w:rPr>
          <w:rFonts w:ascii="Arial Narrow" w:eastAsia="Arial Narrow" w:hAnsi="Arial Narrow" w:cs="Arial Narrow"/>
          <w:b/>
          <w:sz w:val="32"/>
          <w:szCs w:val="32"/>
        </w:rPr>
        <w:t xml:space="preserve">  </w:t>
      </w:r>
      <w:r w:rsidR="00A52F2A" w:rsidRPr="000C22B9">
        <w:rPr>
          <w:b/>
          <w:noProof/>
          <w:sz w:val="18"/>
          <w:szCs w:val="18"/>
          <w:lang w:val="es-ES" w:eastAsia="es-ES"/>
        </w:rPr>
        <w:drawing>
          <wp:inline distT="0" distB="0" distL="0" distR="0" wp14:anchorId="25B13100" wp14:editId="19B186B3">
            <wp:extent cx="2260800" cy="457200"/>
            <wp:effectExtent l="0" t="0" r="0" b="0"/>
            <wp:docPr id="7" name="image1.jpg"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jpg" descr="Interfaz de usuario gráfica, Texto, Aplicación&#10;&#10;Descripción generada automáticamente"/>
                    <pic:cNvPicPr preferRelativeResize="0"/>
                  </pic:nvPicPr>
                  <pic:blipFill>
                    <a:blip r:embed="rId8"/>
                    <a:srcRect/>
                    <a:stretch>
                      <a:fillRect/>
                    </a:stretch>
                  </pic:blipFill>
                  <pic:spPr>
                    <a:xfrm>
                      <a:off x="0" y="0"/>
                      <a:ext cx="2260800" cy="457200"/>
                    </a:xfrm>
                    <a:prstGeom prst="rect">
                      <a:avLst/>
                    </a:prstGeom>
                    <a:ln/>
                  </pic:spPr>
                </pic:pic>
              </a:graphicData>
            </a:graphic>
          </wp:inline>
        </w:drawing>
      </w:r>
      <w:r w:rsidR="00A52F2A" w:rsidRPr="000C22B9">
        <w:rPr>
          <w:rFonts w:ascii="Arial Narrow" w:eastAsia="Arial Narrow" w:hAnsi="Arial Narrow" w:cs="Arial Narrow"/>
          <w:b/>
          <w:sz w:val="32"/>
          <w:szCs w:val="32"/>
        </w:rPr>
        <w:t xml:space="preserve"> </w:t>
      </w:r>
    </w:p>
    <w:p w14:paraId="0D74F777" w14:textId="62763797" w:rsidR="0060110F" w:rsidRPr="000C22B9" w:rsidRDefault="001F3C57">
      <w:pPr>
        <w:rPr>
          <w:rFonts w:ascii="Arial Narrow" w:eastAsia="Arial Narrow" w:hAnsi="Arial Narrow" w:cs="Arial Narrow"/>
        </w:rPr>
      </w:pPr>
      <w:r>
        <w:rPr>
          <w:noProof/>
          <w:lang w:val="es-ES" w:eastAsia="es-ES"/>
        </w:rPr>
        <mc:AlternateContent>
          <mc:Choice Requires="wps">
            <w:drawing>
              <wp:anchor distT="0" distB="0" distL="114300" distR="114300" simplePos="0" relativeHeight="251658240" behindDoc="0" locked="0" layoutInCell="1" allowOverlap="1" wp14:anchorId="56EFD53C" wp14:editId="50442CC4">
                <wp:simplePos x="0" y="0"/>
                <wp:positionH relativeFrom="page">
                  <wp:align>center</wp:align>
                </wp:positionH>
                <wp:positionV relativeFrom="page">
                  <wp:posOffset>7470140</wp:posOffset>
                </wp:positionV>
                <wp:extent cx="7343775" cy="1038225"/>
                <wp:effectExtent l="0" t="0" r="0" b="0"/>
                <wp:wrapSquare wrapText="bothSides"/>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43775" cy="1038225"/>
                        </a:xfrm>
                        <a:prstGeom prst="rect">
                          <a:avLst/>
                        </a:prstGeom>
                        <a:noFill/>
                        <a:ln>
                          <a:noFill/>
                        </a:ln>
                      </wps:spPr>
                      <wps:txbx>
                        <w:txbxContent>
                          <w:p w14:paraId="4D308900" w14:textId="77777777" w:rsidR="00A143D1" w:rsidRDefault="00A143D1" w:rsidP="00B168F1">
                            <w:pPr>
                              <w:spacing w:after="0" w:line="240" w:lineRule="auto"/>
                              <w:jc w:val="center"/>
                              <w:textDirection w:val="btLr"/>
                            </w:pPr>
                            <w:r w:rsidRPr="007E02AF">
                              <w:rPr>
                                <w:rFonts w:ascii="Arial Narrow" w:eastAsia="Arial Narrow" w:hAnsi="Arial Narrow" w:cs="Arial Narrow"/>
                                <w:b/>
                                <w:color w:val="000000"/>
                                <w:sz w:val="28"/>
                              </w:rPr>
                              <w:t>Entregable N° 4</w:t>
                            </w:r>
                          </w:p>
                          <w:p w14:paraId="1668CA96" w14:textId="77777777" w:rsidR="00A143D1" w:rsidRDefault="00A143D1" w:rsidP="007E02AF">
                            <w:pPr>
                              <w:spacing w:after="0" w:line="240" w:lineRule="auto"/>
                              <w:jc w:val="center"/>
                              <w:textDirection w:val="btLr"/>
                              <w:rPr>
                                <w:rFonts w:ascii="Arial Narrow" w:eastAsia="Arial Narrow" w:hAnsi="Arial Narrow" w:cs="Arial Narrow"/>
                                <w:b/>
                                <w:color w:val="000000"/>
                                <w:sz w:val="28"/>
                              </w:rPr>
                            </w:pPr>
                          </w:p>
                          <w:p w14:paraId="712A4BA3" w14:textId="0E3AF969" w:rsidR="003E64D7" w:rsidRDefault="00A143D1" w:rsidP="003E64D7">
                            <w:pPr>
                              <w:spacing w:after="0" w:line="240" w:lineRule="auto"/>
                              <w:jc w:val="center"/>
                              <w:textDirection w:val="btLr"/>
                            </w:pPr>
                            <w:r>
                              <w:rPr>
                                <w:rFonts w:ascii="Arial Narrow" w:eastAsia="Arial Narrow" w:hAnsi="Arial Narrow" w:cs="Arial Narrow"/>
                                <w:b/>
                                <w:color w:val="000000"/>
                                <w:sz w:val="28"/>
                              </w:rPr>
                              <w:t>Servicios, Indicadores</w:t>
                            </w:r>
                            <w:r w:rsidR="003E64D7">
                              <w:rPr>
                                <w:rFonts w:ascii="Arial Narrow" w:eastAsia="Arial Narrow" w:hAnsi="Arial Narrow" w:cs="Arial Narrow"/>
                                <w:b/>
                                <w:color w:val="000000"/>
                                <w:sz w:val="28"/>
                              </w:rPr>
                              <w:t>,</w:t>
                            </w:r>
                            <w:r>
                              <w:rPr>
                                <w:rFonts w:ascii="Arial Narrow" w:eastAsia="Arial Narrow" w:hAnsi="Arial Narrow" w:cs="Arial Narrow"/>
                                <w:b/>
                                <w:color w:val="000000"/>
                                <w:sz w:val="28"/>
                              </w:rPr>
                              <w:t xml:space="preserve"> </w:t>
                            </w:r>
                            <w:r w:rsidR="003E64D7">
                              <w:rPr>
                                <w:rFonts w:ascii="Arial Narrow" w:eastAsia="Arial Narrow" w:hAnsi="Arial Narrow" w:cs="Arial Narrow"/>
                                <w:b/>
                                <w:color w:val="000000"/>
                                <w:sz w:val="28"/>
                              </w:rPr>
                              <w:t>Políticas Relacionadas</w:t>
                            </w:r>
                          </w:p>
                          <w:p w14:paraId="589FC1A8" w14:textId="7EA4AAD7" w:rsidR="00A143D1" w:rsidRDefault="00A143D1" w:rsidP="003732DF">
                            <w:pPr>
                              <w:spacing w:after="0" w:line="240" w:lineRule="auto"/>
                              <w:jc w:val="center"/>
                              <w:textDirection w:val="btLr"/>
                              <w:rPr>
                                <w:rFonts w:ascii="Arial Narrow" w:eastAsia="Arial Narrow" w:hAnsi="Arial Narrow" w:cs="Arial Narrow"/>
                                <w:b/>
                                <w:color w:val="000000"/>
                                <w:sz w:val="28"/>
                              </w:rPr>
                            </w:pPr>
                            <w:r>
                              <w:rPr>
                                <w:rFonts w:ascii="Arial Narrow" w:eastAsia="Arial Narrow" w:hAnsi="Arial Narrow" w:cs="Arial Narrow"/>
                                <w:b/>
                                <w:color w:val="000000"/>
                                <w:sz w:val="28"/>
                              </w:rPr>
                              <w:t>y Actividades operativas</w:t>
                            </w:r>
                          </w:p>
                          <w:p w14:paraId="01C395DA" w14:textId="77777777" w:rsidR="00A143D1" w:rsidRDefault="00A143D1" w:rsidP="00304476">
                            <w:pPr>
                              <w:spacing w:after="0" w:line="240" w:lineRule="auto"/>
                              <w:jc w:val="center"/>
                              <w:textDirection w:val="btLr"/>
                              <w:rPr>
                                <w:rFonts w:ascii="Arial Narrow" w:eastAsia="Arial Narrow" w:hAnsi="Arial Narrow" w:cs="Arial Narrow"/>
                                <w:b/>
                                <w:color w:val="000000"/>
                                <w:sz w:val="28"/>
                              </w:rPr>
                            </w:pPr>
                          </w:p>
                        </w:txbxContent>
                      </wps:txbx>
                      <wps:bodyPr spcFirstLastPara="1" wrap="square" lIns="1600200" tIns="0" rIns="685800" bIns="0" anchor="t" anchorCtr="0">
                        <a:noAutofit/>
                      </wps:bodyPr>
                    </wps:wsp>
                  </a:graphicData>
                </a:graphic>
                <wp14:sizeRelH relativeFrom="page">
                  <wp14:pctWidth>0</wp14:pctWidth>
                </wp14:sizeRelH>
                <wp14:sizeRelV relativeFrom="page">
                  <wp14:pctHeight>0</wp14:pctHeight>
                </wp14:sizeRelV>
              </wp:anchor>
            </w:drawing>
          </mc:Choice>
          <mc:Fallback>
            <w:pict>
              <v:rect w14:anchorId="56EFD53C" id="Rectángulo 3" o:spid="_x0000_s1026" style="position:absolute;margin-left:0;margin-top:588.2pt;width:578.25pt;height:81.75pt;z-index:251658240;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" filled="f" stroked="f">
                <v:textbox inset="126pt,0,54pt,0">
                  <w:txbxContent>
                    <w:p w14:paraId="4D308900" w14:textId="77777777" w:rsidR="00A143D1" w:rsidRDefault="00A143D1" w:rsidP="00B168F1">
                      <w:pPr>
                        <w:spacing w:after="0" w:line="240" w:lineRule="auto"/>
                        <w:jc w:val="center"/>
                        <w:textDirection w:val="btLr"/>
                      </w:pPr>
                      <w:r w:rsidRPr="007E02AF">
                        <w:rPr>
                          <w:rFonts w:ascii="Arial Narrow" w:eastAsia="Arial Narrow" w:hAnsi="Arial Narrow" w:cs="Arial Narrow"/>
                          <w:b/>
                          <w:color w:val="000000"/>
                          <w:sz w:val="28"/>
                        </w:rPr>
                        <w:t>Entregable N° 4</w:t>
                      </w:r>
                    </w:p>
                    <w:p w14:paraId="1668CA96" w14:textId="77777777" w:rsidR="00A143D1" w:rsidRDefault="00A143D1" w:rsidP="007E02AF">
                      <w:pPr>
                        <w:spacing w:after="0" w:line="240" w:lineRule="auto"/>
                        <w:jc w:val="center"/>
                        <w:textDirection w:val="btLr"/>
                        <w:rPr>
                          <w:rFonts w:ascii="Arial Narrow" w:eastAsia="Arial Narrow" w:hAnsi="Arial Narrow" w:cs="Arial Narrow"/>
                          <w:b/>
                          <w:color w:val="000000"/>
                          <w:sz w:val="28"/>
                        </w:rPr>
                      </w:pPr>
                    </w:p>
                    <w:p w14:paraId="712A4BA3" w14:textId="0E3AF969" w:rsidR="003E64D7" w:rsidRDefault="00A143D1" w:rsidP="003E64D7">
                      <w:pPr>
                        <w:spacing w:after="0" w:line="240" w:lineRule="auto"/>
                        <w:jc w:val="center"/>
                        <w:textDirection w:val="btLr"/>
                      </w:pPr>
                      <w:r>
                        <w:rPr>
                          <w:rFonts w:ascii="Arial Narrow" w:eastAsia="Arial Narrow" w:hAnsi="Arial Narrow" w:cs="Arial Narrow"/>
                          <w:b/>
                          <w:color w:val="000000"/>
                          <w:sz w:val="28"/>
                        </w:rPr>
                        <w:t>Servicios, Indicadores</w:t>
                      </w:r>
                      <w:r w:rsidR="003E64D7">
                        <w:rPr>
                          <w:rFonts w:ascii="Arial Narrow" w:eastAsia="Arial Narrow" w:hAnsi="Arial Narrow" w:cs="Arial Narrow"/>
                          <w:b/>
                          <w:color w:val="000000"/>
                          <w:sz w:val="28"/>
                        </w:rPr>
                        <w:t>,</w:t>
                      </w:r>
                      <w:r>
                        <w:rPr>
                          <w:rFonts w:ascii="Arial Narrow" w:eastAsia="Arial Narrow" w:hAnsi="Arial Narrow" w:cs="Arial Narrow"/>
                          <w:b/>
                          <w:color w:val="000000"/>
                          <w:sz w:val="28"/>
                        </w:rPr>
                        <w:t xml:space="preserve"> </w:t>
                      </w:r>
                      <w:r w:rsidR="003E64D7">
                        <w:rPr>
                          <w:rFonts w:ascii="Arial Narrow" w:eastAsia="Arial Narrow" w:hAnsi="Arial Narrow" w:cs="Arial Narrow"/>
                          <w:b/>
                          <w:color w:val="000000"/>
                          <w:sz w:val="28"/>
                        </w:rPr>
                        <w:t>Políticas Relacionadas</w:t>
                      </w:r>
                    </w:p>
                    <w:p w14:paraId="589FC1A8" w14:textId="7EA4AAD7" w:rsidR="00A143D1" w:rsidRDefault="00A143D1" w:rsidP="003732DF">
                      <w:pPr>
                        <w:spacing w:after="0" w:line="240" w:lineRule="auto"/>
                        <w:jc w:val="center"/>
                        <w:textDirection w:val="btLr"/>
                        <w:rPr>
                          <w:rFonts w:ascii="Arial Narrow" w:eastAsia="Arial Narrow" w:hAnsi="Arial Narrow" w:cs="Arial Narrow"/>
                          <w:b/>
                          <w:color w:val="000000"/>
                          <w:sz w:val="28"/>
                        </w:rPr>
                      </w:pPr>
                      <w:r>
                        <w:rPr>
                          <w:rFonts w:ascii="Arial Narrow" w:eastAsia="Arial Narrow" w:hAnsi="Arial Narrow" w:cs="Arial Narrow"/>
                          <w:b/>
                          <w:color w:val="000000"/>
                          <w:sz w:val="28"/>
                        </w:rPr>
                        <w:t>y Actividades operativas</w:t>
                      </w:r>
                    </w:p>
                    <w:p w14:paraId="01C395DA" w14:textId="77777777" w:rsidR="00A143D1" w:rsidRDefault="00A143D1" w:rsidP="00304476">
                      <w:pPr>
                        <w:spacing w:after="0" w:line="240" w:lineRule="auto"/>
                        <w:jc w:val="center"/>
                        <w:textDirection w:val="btLr"/>
                        <w:rPr>
                          <w:rFonts w:ascii="Arial Narrow" w:eastAsia="Arial Narrow" w:hAnsi="Arial Narrow" w:cs="Arial Narrow"/>
                          <w:b/>
                          <w:color w:val="000000"/>
                          <w:sz w:val="28"/>
                        </w:rPr>
                      </w:pPr>
                    </w:p>
                  </w:txbxContent>
                </v:textbox>
                <w10:wrap type="square" anchorx="page" anchory="page"/>
              </v:rect>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43F233B2" wp14:editId="308CC0D4">
                <wp:simplePos x="0" y="0"/>
                <wp:positionH relativeFrom="page">
                  <wp:align>center</wp:align>
                </wp:positionH>
                <wp:positionV relativeFrom="page">
                  <wp:posOffset>3193415</wp:posOffset>
                </wp:positionV>
                <wp:extent cx="7343775" cy="3667125"/>
                <wp:effectExtent l="0" t="0" r="0" b="0"/>
                <wp:wrapSquare wrapText="bothSides"/>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43775" cy="3667125"/>
                        </a:xfrm>
                        <a:prstGeom prst="rect">
                          <a:avLst/>
                        </a:prstGeom>
                        <a:noFill/>
                        <a:ln>
                          <a:noFill/>
                        </a:ln>
                      </wps:spPr>
                      <wps:txbx>
                        <w:txbxContent>
                          <w:p w14:paraId="53B96D67" w14:textId="77777777" w:rsidR="00A143D1" w:rsidRDefault="00A143D1">
                            <w:pPr>
                              <w:spacing w:line="258" w:lineRule="auto"/>
                              <w:jc w:val="center"/>
                              <w:textDirection w:val="btLr"/>
                            </w:pPr>
                            <w:r>
                              <w:rPr>
                                <w:rFonts w:ascii="Arial Narrow" w:eastAsia="Arial Narrow" w:hAnsi="Arial Narrow" w:cs="Arial Narrow"/>
                                <w:b/>
                                <w:smallCaps/>
                                <w:color w:val="000000"/>
                                <w:sz w:val="44"/>
                              </w:rPr>
                              <w:t>POLÍTICA NACIONAL FORESTAL Y DE FAUNA SILVESTRE</w:t>
                            </w:r>
                          </w:p>
                          <w:p w14:paraId="0BA6F36B" w14:textId="77777777" w:rsidR="00A143D1" w:rsidRDefault="00A143D1">
                            <w:pPr>
                              <w:spacing w:line="258" w:lineRule="auto"/>
                              <w:jc w:val="right"/>
                              <w:textDirection w:val="btLr"/>
                            </w:pPr>
                            <w:r>
                              <w:rPr>
                                <w:rFonts w:ascii="Arial Narrow" w:eastAsia="Arial Narrow" w:hAnsi="Arial Narrow" w:cs="Arial Narrow"/>
                                <w:color w:val="404040"/>
                                <w:sz w:val="28"/>
                              </w:rPr>
                              <w:t xml:space="preserve">     </w:t>
                            </w:r>
                          </w:p>
                        </w:txbxContent>
                      </wps:txbx>
                      <wps:bodyPr spcFirstLastPara="1" wrap="square" lIns="1600200" tIns="0" rIns="685800" bIns="0" anchor="b" anchorCtr="0">
                        <a:noAutofit/>
                      </wps:bodyPr>
                    </wps:wsp>
                  </a:graphicData>
                </a:graphic>
                <wp14:sizeRelH relativeFrom="page">
                  <wp14:pctWidth>0</wp14:pctWidth>
                </wp14:sizeRelH>
                <wp14:sizeRelV relativeFrom="page">
                  <wp14:pctHeight>0</wp14:pctHeight>
                </wp14:sizeRelV>
              </wp:anchor>
            </w:drawing>
          </mc:Choice>
          <mc:Fallback>
            <w:pict>
              <v:rect w14:anchorId="43F233B2" id="Rectángulo 2" o:spid="_x0000_s1027" style="position:absolute;margin-left:0;margin-top:251.45pt;width:578.25pt;height:288.7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" filled="f" stroked="f">
                <v:textbox inset="126pt,0,54pt,0">
                  <w:txbxContent>
                    <w:p w14:paraId="53B96D67" w14:textId="77777777" w:rsidR="00A143D1" w:rsidRDefault="00A143D1">
                      <w:pPr>
                        <w:spacing w:line="258" w:lineRule="auto"/>
                        <w:jc w:val="center"/>
                        <w:textDirection w:val="btLr"/>
                      </w:pPr>
                      <w:r>
                        <w:rPr>
                          <w:rFonts w:ascii="Arial Narrow" w:eastAsia="Arial Narrow" w:hAnsi="Arial Narrow" w:cs="Arial Narrow"/>
                          <w:b/>
                          <w:smallCaps/>
                          <w:color w:val="000000"/>
                          <w:sz w:val="44"/>
                        </w:rPr>
                        <w:t>POLÍTICA NACIONAL FORESTAL Y DE FAUNA SILVESTRE</w:t>
                      </w:r>
                    </w:p>
                    <w:p w14:paraId="0BA6F36B" w14:textId="77777777" w:rsidR="00A143D1" w:rsidRDefault="00A143D1">
                      <w:pPr>
                        <w:spacing w:line="258" w:lineRule="auto"/>
                        <w:jc w:val="right"/>
                        <w:textDirection w:val="btLr"/>
                      </w:pPr>
                      <w:r>
                        <w:rPr>
                          <w:rFonts w:ascii="Arial Narrow" w:eastAsia="Arial Narrow" w:hAnsi="Arial Narrow" w:cs="Arial Narrow"/>
                          <w:color w:val="404040"/>
                          <w:sz w:val="28"/>
                        </w:rPr>
                        <w:t xml:space="preserve">     </w:t>
                      </w:r>
                    </w:p>
                  </w:txbxContent>
                </v:textbox>
                <w10:wrap type="square" anchorx="page" anchory="page"/>
              </v:rect>
            </w:pict>
          </mc:Fallback>
        </mc:AlternateContent>
      </w:r>
    </w:p>
    <w:p w14:paraId="5B46589C" w14:textId="4E913D55" w:rsidR="0060110F" w:rsidRPr="000C22B9" w:rsidRDefault="001F3C57">
      <w:pPr>
        <w:rPr>
          <w:rFonts w:ascii="Arial Narrow" w:eastAsia="Arial Narrow" w:hAnsi="Arial Narrow" w:cs="Arial Narrow"/>
        </w:rPr>
      </w:pPr>
      <w:r>
        <w:rPr>
          <w:noProof/>
          <w:lang w:val="es-ES" w:eastAsia="es-ES"/>
        </w:rPr>
        <mc:AlternateContent>
          <mc:Choice Requires="wps">
            <w:drawing>
              <wp:anchor distT="0" distB="0" distL="114300" distR="114300" simplePos="0" relativeHeight="251660288" behindDoc="0" locked="0" layoutInCell="1" allowOverlap="1" wp14:anchorId="37E18A1A" wp14:editId="0C024802">
                <wp:simplePos x="0" y="0"/>
                <wp:positionH relativeFrom="margin">
                  <wp:posOffset>4088765</wp:posOffset>
                </wp:positionH>
                <wp:positionV relativeFrom="page">
                  <wp:posOffset>-31750</wp:posOffset>
                </wp:positionV>
                <wp:extent cx="2420620" cy="1770380"/>
                <wp:effectExtent l="0" t="0" r="0" b="1270"/>
                <wp:wrapNone/>
                <wp:docPr id="1" name="Forma libre: forma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20620" cy="1770380"/>
                        </a:xfrm>
                        <a:custGeom>
                          <a:avLst/>
                          <a:gdLst>
                            <a:gd name="T0" fmla="*/ 0 w 2292443"/>
                            <a:gd name="T1" fmla="*/ 0 h 1816381"/>
                            <a:gd name="T2" fmla="*/ 2292443 w 2292443"/>
                            <a:gd name="T3" fmla="*/ 35893 h 1816381"/>
                            <a:gd name="T4" fmla="*/ 2292443 w 2292443"/>
                            <a:gd name="T5" fmla="*/ 1816381 h 1816381"/>
                            <a:gd name="T6" fmla="*/ 685800 w 2292443"/>
                            <a:gd name="T7" fmla="*/ 1641987 h 1816381"/>
                            <a:gd name="T8" fmla="*/ 0 w 2292443"/>
                            <a:gd name="T9" fmla="*/ 0 h 1816381"/>
                            <a:gd name="T10" fmla="*/ 0 w 2292443"/>
                            <a:gd name="T11" fmla="*/ 0 h 1816381"/>
                            <a:gd name="T12" fmla="*/ 2292443 w 2292443"/>
                            <a:gd name="T13" fmla="*/ 1816381 h 1816381"/>
                          </a:gdLst>
                          <a:ahLst/>
                          <a:cxnLst>
                            <a:cxn ang="0">
                              <a:pos x="T0" y="T1"/>
                            </a:cxn>
                            <a:cxn ang="0">
                              <a:pos x="T2" y="T3"/>
                            </a:cxn>
                            <a:cxn ang="0">
                              <a:pos x="T4" y="T5"/>
                            </a:cxn>
                            <a:cxn ang="0">
                              <a:pos x="T6" y="T7"/>
                            </a:cxn>
                            <a:cxn ang="0">
                              <a:pos x="T8" y="T9"/>
                            </a:cxn>
                          </a:cxnLst>
                          <a:rect l="T10" t="T11" r="T12" b="T13"/>
                          <a:pathLst>
                            <a:path w="2292443" h="1816381" extrusionOk="0">
                              <a:moveTo>
                                <a:pt x="0" y="0"/>
                              </a:moveTo>
                              <a:lnTo>
                                <a:pt x="2292443" y="35893"/>
                              </a:lnTo>
                              <a:lnTo>
                                <a:pt x="2292443" y="1816381"/>
                              </a:lnTo>
                              <a:lnTo>
                                <a:pt x="685800" y="1641987"/>
                              </a:lnTo>
                              <a:lnTo>
                                <a:pt x="0" y="0"/>
                              </a:lnTo>
                              <a:close/>
                            </a:path>
                          </a:pathLst>
                        </a:custGeom>
                        <a:solidFill>
                          <a:srgbClr val="92D050"/>
                        </a:solidFill>
                        <a:ln w="25400">
                          <a:solidFill>
                            <a:schemeClr val="lt1">
                              <a:lumMod val="100000"/>
                              <a:lumOff val="0"/>
                            </a:schemeClr>
                          </a:solidFill>
                          <a:round/>
                          <a:headEnd type="none" w="sm" len="sm"/>
                          <a:tailEnd type="none" w="sm" len="sm"/>
                        </a:ln>
                      </wps:spPr>
                      <wps:txbx>
                        <w:txbxContent>
                          <w:p w14:paraId="6F21A5A7" w14:textId="1964A78C" w:rsidR="00A143D1" w:rsidRDefault="00A143D1">
                            <w:pPr>
                              <w:spacing w:after="0" w:line="240" w:lineRule="auto"/>
                              <w:jc w:val="center"/>
                              <w:textDirection w:val="btLr"/>
                            </w:pPr>
                            <w:r>
                              <w:rPr>
                                <w:rFonts w:ascii="Arial Narrow" w:eastAsia="Arial Narrow" w:hAnsi="Arial Narrow" w:cs="Arial Narrow"/>
                                <w:b/>
                                <w:color w:val="FFFFFF"/>
                                <w:sz w:val="32"/>
                              </w:rPr>
                              <w:t>2023</w:t>
                            </w:r>
                          </w:p>
                        </w:txbxContent>
                      </wps:txbx>
                      <wps:bodyPr rot="0" vert="horz" wrap="square" lIns="45698" tIns="45698" rIns="45698" bIns="45698"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7E18A1A" id="Forma libre: forma 1" o:spid="_x0000_s1028" style="position:absolute;margin-left:321.95pt;margin-top:-2.5pt;width:190.6pt;height:139.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coordsize="2292443,181638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" adj="-11796480,,5400" path="m,l2292443,35893r,1780488l685800,1641987,,xe" fillcolor="#92d050" strokecolor="white [3201]" strokeweight="2pt">
                <v:stroke startarrowwidth="narrow" startarrowlength="short" endarrowwidth="narrow" endarrowlength="short" joinstyle="round"/>
                <v:formulas/>
                <v:path arrowok="t" o:extrusionok="f" o:connecttype="custom" o:connectlocs="0,0;2420620,34984;2420620,1770380;724145,1600403;0,0" o:connectangles="0,0,0,0,0" textboxrect="0,0,2292443,1816381"/>
                <v:textbox inset="1.2694mm,1.2694mm,1.2694mm,1.2694mm">
                  <w:txbxContent>
                    <w:p w14:paraId="6F21A5A7" w14:textId="1964A78C" w:rsidR="00A143D1" w:rsidRDefault="00A143D1">
                      <w:pPr>
                        <w:spacing w:after="0" w:line="240" w:lineRule="auto"/>
                        <w:jc w:val="center"/>
                        <w:textDirection w:val="btLr"/>
                      </w:pPr>
                      <w:r>
                        <w:rPr>
                          <w:rFonts w:ascii="Arial Narrow" w:eastAsia="Arial Narrow" w:hAnsi="Arial Narrow" w:cs="Arial Narrow"/>
                          <w:b/>
                          <w:color w:val="FFFFFF"/>
                          <w:sz w:val="32"/>
                        </w:rPr>
                        <w:t>2023</w:t>
                      </w:r>
                    </w:p>
                  </w:txbxContent>
                </v:textbox>
                <w10:wrap anchorx="margin" anchory="page"/>
              </v:shape>
            </w:pict>
          </mc:Fallback>
        </mc:AlternateContent>
      </w:r>
      <w:r w:rsidR="00A52F2A" w:rsidRPr="000C22B9">
        <w:br w:type="page"/>
      </w:r>
    </w:p>
    <w:p w14:paraId="0CC8FB4A" w14:textId="77777777" w:rsidR="007E02AF" w:rsidRPr="00776EE6" w:rsidRDefault="007E02AF" w:rsidP="007E02AF">
      <w:pPr>
        <w:jc w:val="center"/>
        <w:rPr>
          <w:rFonts w:ascii="Arial" w:eastAsia="Arial Narrow" w:hAnsi="Arial" w:cs="Arial"/>
          <w:b/>
        </w:rPr>
      </w:pPr>
      <w:r w:rsidRPr="006166A2">
        <w:rPr>
          <w:rFonts w:ascii="Arial" w:eastAsia="Arial Narrow" w:hAnsi="Arial" w:cs="Arial"/>
          <w:b/>
        </w:rPr>
        <w:lastRenderedPageBreak/>
        <w:t>Índice</w:t>
      </w:r>
    </w:p>
    <w:p w14:paraId="155CF850" w14:textId="77777777" w:rsidR="007E02AF" w:rsidRPr="00776EE6" w:rsidRDefault="007E02AF" w:rsidP="007E02AF">
      <w:pPr>
        <w:rPr>
          <w:rFonts w:ascii="Arial" w:eastAsia="Arial Narrow" w:hAnsi="Arial" w:cs="Arial"/>
          <w:b/>
        </w:rPr>
      </w:pPr>
    </w:p>
    <w:p w14:paraId="2AAED1E8" w14:textId="192FE76F" w:rsidR="007E02AF" w:rsidRPr="00776EE6" w:rsidRDefault="007E02AF" w:rsidP="007E02AF">
      <w:pPr>
        <w:spacing w:after="0" w:line="360" w:lineRule="auto"/>
        <w:rPr>
          <w:rFonts w:ascii="Arial" w:eastAsia="Arial Narrow" w:hAnsi="Arial" w:cs="Arial"/>
        </w:rPr>
      </w:pPr>
      <w:r w:rsidRPr="00776EE6">
        <w:rPr>
          <w:rFonts w:ascii="Arial" w:eastAsia="Arial Narrow" w:hAnsi="Arial" w:cs="Arial"/>
        </w:rPr>
        <w:t>Introducción………………………………………………………………….…</w:t>
      </w:r>
      <w:r w:rsidR="00776EE6">
        <w:rPr>
          <w:rFonts w:ascii="Arial" w:eastAsia="Arial Narrow" w:hAnsi="Arial" w:cs="Arial"/>
        </w:rPr>
        <w:t>…..</w:t>
      </w:r>
      <w:r w:rsidRPr="00776EE6">
        <w:rPr>
          <w:rFonts w:ascii="Arial" w:eastAsia="Arial Narrow" w:hAnsi="Arial" w:cs="Arial"/>
        </w:rPr>
        <w:t>……..</w:t>
      </w:r>
      <w:r w:rsidR="00912017" w:rsidRPr="00776EE6">
        <w:rPr>
          <w:rFonts w:ascii="Arial" w:eastAsia="Arial Narrow" w:hAnsi="Arial" w:cs="Arial"/>
        </w:rPr>
        <w:t>3</w:t>
      </w:r>
    </w:p>
    <w:p w14:paraId="4BDB65E9" w14:textId="0F0D7E27" w:rsidR="009D6113" w:rsidRPr="00776EE6" w:rsidRDefault="009D6113" w:rsidP="004C072E">
      <w:pPr>
        <w:pStyle w:val="Prrafodelista"/>
        <w:numPr>
          <w:ilvl w:val="0"/>
          <w:numId w:val="40"/>
        </w:numPr>
        <w:spacing w:after="0" w:line="360" w:lineRule="auto"/>
        <w:ind w:left="284" w:hanging="284"/>
        <w:rPr>
          <w:rFonts w:ascii="Arial" w:eastAsia="Arial Narrow" w:hAnsi="Arial" w:cs="Arial"/>
        </w:rPr>
      </w:pPr>
      <w:r w:rsidRPr="00776EE6">
        <w:rPr>
          <w:rFonts w:ascii="Arial" w:eastAsia="Arial Narrow" w:hAnsi="Arial" w:cs="Arial"/>
        </w:rPr>
        <w:t xml:space="preserve">Identificación de los servicios y estándares de cumplimiento </w:t>
      </w:r>
      <w:r w:rsidR="00776EE6">
        <w:rPr>
          <w:rFonts w:ascii="Arial" w:eastAsia="Arial Narrow" w:hAnsi="Arial" w:cs="Arial"/>
        </w:rPr>
        <w:t>……</w:t>
      </w:r>
      <w:r w:rsidRPr="00776EE6">
        <w:rPr>
          <w:rFonts w:ascii="Arial" w:eastAsia="Arial Narrow" w:hAnsi="Arial" w:cs="Arial"/>
        </w:rPr>
        <w:t>………………4</w:t>
      </w:r>
    </w:p>
    <w:p w14:paraId="76369962" w14:textId="5E40123B" w:rsidR="009D6113" w:rsidRPr="00776EE6" w:rsidRDefault="009D6113" w:rsidP="004C072E">
      <w:pPr>
        <w:pStyle w:val="Prrafodelista"/>
        <w:numPr>
          <w:ilvl w:val="1"/>
          <w:numId w:val="41"/>
        </w:numPr>
        <w:spacing w:after="0" w:line="360" w:lineRule="auto"/>
        <w:rPr>
          <w:rFonts w:ascii="Arial" w:eastAsia="Arial Narrow" w:hAnsi="Arial" w:cs="Arial"/>
        </w:rPr>
      </w:pPr>
      <w:r w:rsidRPr="00776EE6">
        <w:rPr>
          <w:rFonts w:ascii="Arial" w:eastAsia="Arial Narrow" w:hAnsi="Arial" w:cs="Arial"/>
        </w:rPr>
        <w:t>Servicios</w:t>
      </w:r>
      <w:r w:rsidR="008B6107">
        <w:rPr>
          <w:rFonts w:ascii="Arial" w:eastAsia="Arial Narrow" w:hAnsi="Arial" w:cs="Arial"/>
        </w:rPr>
        <w:t xml:space="preserve"> identificados</w:t>
      </w:r>
      <w:r w:rsidRPr="00776EE6">
        <w:rPr>
          <w:rFonts w:ascii="Arial" w:eastAsia="Arial Narrow" w:hAnsi="Arial" w:cs="Arial"/>
        </w:rPr>
        <w:t>……………………</w:t>
      </w:r>
      <w:r w:rsidR="00776EE6">
        <w:rPr>
          <w:rFonts w:ascii="Arial" w:eastAsia="Arial Narrow" w:hAnsi="Arial" w:cs="Arial"/>
        </w:rPr>
        <w:t>..…………..</w:t>
      </w:r>
      <w:r w:rsidRPr="00776EE6">
        <w:rPr>
          <w:rFonts w:ascii="Arial" w:eastAsia="Arial Narrow" w:hAnsi="Arial" w:cs="Arial"/>
        </w:rPr>
        <w:t>…………………………</w:t>
      </w:r>
      <w:r w:rsidR="00FA2C29">
        <w:rPr>
          <w:rFonts w:ascii="Arial" w:eastAsia="Arial Narrow" w:hAnsi="Arial" w:cs="Arial"/>
        </w:rPr>
        <w:t>6</w:t>
      </w:r>
    </w:p>
    <w:p w14:paraId="56CCE428" w14:textId="658C0176" w:rsidR="009D6113" w:rsidRPr="00776EE6" w:rsidRDefault="009D6113" w:rsidP="004C072E">
      <w:pPr>
        <w:pStyle w:val="Prrafodelista"/>
        <w:numPr>
          <w:ilvl w:val="1"/>
          <w:numId w:val="41"/>
        </w:numPr>
        <w:spacing w:after="0" w:line="360" w:lineRule="auto"/>
        <w:rPr>
          <w:rFonts w:ascii="Arial" w:eastAsia="Arial Narrow" w:hAnsi="Arial" w:cs="Arial"/>
        </w:rPr>
      </w:pPr>
      <w:r w:rsidRPr="00776EE6">
        <w:rPr>
          <w:rFonts w:ascii="Arial" w:eastAsia="Arial Narrow" w:hAnsi="Arial" w:cs="Arial"/>
        </w:rPr>
        <w:t>Fichas de servicios y estándares nacionales de cumplimiento……………..2</w:t>
      </w:r>
      <w:r w:rsidR="00FA2C29">
        <w:rPr>
          <w:rFonts w:ascii="Arial" w:eastAsia="Arial Narrow" w:hAnsi="Arial" w:cs="Arial"/>
        </w:rPr>
        <w:t>2</w:t>
      </w:r>
    </w:p>
    <w:p w14:paraId="6645C39B" w14:textId="2A56463B" w:rsidR="009D6113" w:rsidRPr="00776EE6" w:rsidRDefault="009D6113" w:rsidP="004C072E">
      <w:pPr>
        <w:pStyle w:val="Prrafodelista"/>
        <w:numPr>
          <w:ilvl w:val="0"/>
          <w:numId w:val="40"/>
        </w:numPr>
        <w:spacing w:after="0" w:line="360" w:lineRule="auto"/>
        <w:ind w:left="284" w:hanging="284"/>
        <w:rPr>
          <w:rFonts w:ascii="Arial" w:eastAsia="Arial Narrow" w:hAnsi="Arial" w:cs="Arial"/>
        </w:rPr>
      </w:pPr>
      <w:r w:rsidRPr="00776EE6">
        <w:rPr>
          <w:rFonts w:ascii="Arial" w:eastAsia="Arial Narrow" w:hAnsi="Arial" w:cs="Arial"/>
        </w:rPr>
        <w:t>Identificación de las políticas relacionadas………………………</w:t>
      </w:r>
      <w:r w:rsidR="00776EE6">
        <w:rPr>
          <w:rFonts w:ascii="Arial" w:eastAsia="Arial Narrow" w:hAnsi="Arial" w:cs="Arial"/>
        </w:rPr>
        <w:t>…………...</w:t>
      </w:r>
      <w:r w:rsidRPr="00776EE6">
        <w:rPr>
          <w:rFonts w:ascii="Arial" w:eastAsia="Arial Narrow" w:hAnsi="Arial" w:cs="Arial"/>
        </w:rPr>
        <w:t>…</w:t>
      </w:r>
      <w:r w:rsidR="00802959">
        <w:rPr>
          <w:rFonts w:ascii="Arial" w:eastAsia="Arial Narrow" w:hAnsi="Arial" w:cs="Arial"/>
        </w:rPr>
        <w:t>..101</w:t>
      </w:r>
    </w:p>
    <w:p w14:paraId="7672D34B" w14:textId="4726634B" w:rsidR="009D6113" w:rsidRPr="00867E03" w:rsidRDefault="009D6113" w:rsidP="009D6113">
      <w:pPr>
        <w:spacing w:after="0" w:line="360" w:lineRule="auto"/>
        <w:rPr>
          <w:rFonts w:ascii="Arial" w:eastAsia="Arial Narrow" w:hAnsi="Arial" w:cs="Arial"/>
          <w:lang w:val="pt-PT"/>
        </w:rPr>
      </w:pPr>
      <w:r w:rsidRPr="00867E03">
        <w:rPr>
          <w:rFonts w:ascii="Arial" w:eastAsia="Arial Narrow" w:hAnsi="Arial" w:cs="Arial"/>
          <w:lang w:val="pt-PT"/>
        </w:rPr>
        <w:t>Anexo N° 1 Ficha</w:t>
      </w:r>
      <w:r w:rsidR="00776EE6" w:rsidRPr="00867E03">
        <w:rPr>
          <w:rFonts w:ascii="Arial" w:eastAsia="Arial Narrow" w:hAnsi="Arial" w:cs="Arial"/>
          <w:lang w:val="pt-PT"/>
        </w:rPr>
        <w:t>s técnicas</w:t>
      </w:r>
      <w:r w:rsidRPr="00867E03">
        <w:rPr>
          <w:rFonts w:ascii="Arial" w:eastAsia="Arial Narrow" w:hAnsi="Arial" w:cs="Arial"/>
          <w:lang w:val="pt-PT"/>
        </w:rPr>
        <w:t xml:space="preserve"> de indicadores</w:t>
      </w:r>
      <w:r w:rsidR="00776EE6" w:rsidRPr="00867E03">
        <w:rPr>
          <w:rFonts w:ascii="Arial" w:eastAsia="Arial Narrow" w:hAnsi="Arial" w:cs="Arial"/>
          <w:lang w:val="pt-PT"/>
        </w:rPr>
        <w:t xml:space="preserve"> de servicios.</w:t>
      </w:r>
      <w:r w:rsidRPr="00867E03">
        <w:rPr>
          <w:rFonts w:ascii="Arial" w:eastAsia="Arial Narrow" w:hAnsi="Arial" w:cs="Arial"/>
          <w:lang w:val="pt-PT"/>
        </w:rPr>
        <w:t>…………………………</w:t>
      </w:r>
      <w:r w:rsidR="00802959">
        <w:rPr>
          <w:rFonts w:ascii="Arial" w:eastAsia="Arial Narrow" w:hAnsi="Arial" w:cs="Arial"/>
          <w:lang w:val="pt-PT"/>
        </w:rPr>
        <w:t>..103</w:t>
      </w:r>
    </w:p>
    <w:p w14:paraId="5B2A7BB9" w14:textId="5ED55EF7" w:rsidR="009D6113" w:rsidRPr="00867E03" w:rsidRDefault="009D6113" w:rsidP="009D6113">
      <w:pPr>
        <w:spacing w:after="0" w:line="360" w:lineRule="auto"/>
        <w:rPr>
          <w:rFonts w:ascii="Arial" w:eastAsia="Arial Narrow" w:hAnsi="Arial" w:cs="Arial"/>
          <w:lang w:val="pt-PT"/>
        </w:rPr>
      </w:pPr>
      <w:r w:rsidRPr="00867E03">
        <w:rPr>
          <w:rFonts w:ascii="Arial" w:eastAsia="Arial Narrow" w:hAnsi="Arial" w:cs="Arial"/>
          <w:lang w:val="pt-PT"/>
        </w:rPr>
        <w:t xml:space="preserve">Anexo N° 2: </w:t>
      </w:r>
      <w:r w:rsidR="009C232C" w:rsidRPr="00867E03">
        <w:rPr>
          <w:rFonts w:ascii="Arial" w:eastAsia="Arial Narrow" w:hAnsi="Arial" w:cs="Arial"/>
          <w:lang w:val="pt-PT"/>
        </w:rPr>
        <w:t>Matriz</w:t>
      </w:r>
      <w:r w:rsidRPr="00867E03">
        <w:rPr>
          <w:rFonts w:ascii="Arial" w:eastAsia="Arial Narrow" w:hAnsi="Arial" w:cs="Arial"/>
          <w:lang w:val="pt-PT"/>
        </w:rPr>
        <w:t xml:space="preserve"> de actividades operativas………</w:t>
      </w:r>
      <w:r w:rsidR="009C232C" w:rsidRPr="00867E03">
        <w:rPr>
          <w:rFonts w:ascii="Arial" w:eastAsia="Arial Narrow" w:hAnsi="Arial" w:cs="Arial"/>
          <w:lang w:val="pt-PT"/>
        </w:rPr>
        <w:t>.</w:t>
      </w:r>
      <w:r w:rsidRPr="00867E03">
        <w:rPr>
          <w:rFonts w:ascii="Arial" w:eastAsia="Arial Narrow" w:hAnsi="Arial" w:cs="Arial"/>
          <w:lang w:val="pt-PT"/>
        </w:rPr>
        <w:t>………………………………</w:t>
      </w:r>
      <w:r w:rsidR="00802959">
        <w:rPr>
          <w:rFonts w:ascii="Arial" w:eastAsia="Arial Narrow" w:hAnsi="Arial" w:cs="Arial"/>
          <w:lang w:val="pt-PT"/>
        </w:rPr>
        <w:t>.209</w:t>
      </w:r>
    </w:p>
    <w:p w14:paraId="7989B1E6" w14:textId="77777777" w:rsidR="00776EE6" w:rsidRDefault="009D6113" w:rsidP="00776EE6">
      <w:pPr>
        <w:spacing w:after="0" w:line="240" w:lineRule="auto"/>
        <w:rPr>
          <w:rFonts w:ascii="Arial" w:eastAsia="Arial Narrow" w:hAnsi="Arial" w:cs="Arial"/>
        </w:rPr>
      </w:pPr>
      <w:r w:rsidRPr="00776EE6">
        <w:rPr>
          <w:rFonts w:ascii="Arial" w:eastAsia="Arial Narrow" w:hAnsi="Arial" w:cs="Arial"/>
        </w:rPr>
        <w:t xml:space="preserve">Anexo N° 3 </w:t>
      </w:r>
      <w:r w:rsidR="00776EE6" w:rsidRPr="00776EE6">
        <w:rPr>
          <w:rFonts w:ascii="Arial" w:eastAsia="Arial Narrow" w:hAnsi="Arial" w:cs="Arial"/>
        </w:rPr>
        <w:t xml:space="preserve">Matrices de Alineamiento vertical con las Políticas de Estado del </w:t>
      </w:r>
    </w:p>
    <w:p w14:paraId="1FE2572A" w14:textId="77777777" w:rsidR="00776EE6" w:rsidRPr="00FA2C29" w:rsidRDefault="00776EE6" w:rsidP="00776EE6">
      <w:pPr>
        <w:spacing w:after="0" w:line="240" w:lineRule="auto"/>
        <w:rPr>
          <w:rFonts w:ascii="Arial" w:hAnsi="Arial" w:cs="Arial"/>
        </w:rPr>
      </w:pPr>
      <w:r>
        <w:rPr>
          <w:rFonts w:ascii="Arial" w:eastAsia="Arial Narrow" w:hAnsi="Arial" w:cs="Arial"/>
        </w:rPr>
        <w:t xml:space="preserve">                   </w:t>
      </w:r>
      <w:r w:rsidRPr="00776EE6">
        <w:rPr>
          <w:rFonts w:ascii="Arial" w:eastAsia="Arial Narrow" w:hAnsi="Arial" w:cs="Arial"/>
        </w:rPr>
        <w:t>Acuerdo</w:t>
      </w:r>
      <w:r w:rsidRPr="00776EE6">
        <w:rPr>
          <w:rFonts w:ascii="Arial" w:hAnsi="Arial" w:cs="Arial"/>
        </w:rPr>
        <w:t xml:space="preserve"> Nacional, Plan Estratégico de </w:t>
      </w:r>
      <w:r w:rsidRPr="00FA2C29">
        <w:rPr>
          <w:rFonts w:ascii="Arial" w:hAnsi="Arial" w:cs="Arial"/>
        </w:rPr>
        <w:t xml:space="preserve">Desarrollo Nacional al </w:t>
      </w:r>
    </w:p>
    <w:p w14:paraId="5149E9AC" w14:textId="3D0C09A2" w:rsidR="009D6113" w:rsidRPr="00FA2C29" w:rsidRDefault="00776EE6" w:rsidP="00776EE6">
      <w:pPr>
        <w:spacing w:after="0" w:line="240" w:lineRule="auto"/>
        <w:rPr>
          <w:rFonts w:ascii="Arial" w:eastAsia="Arial Narrow" w:hAnsi="Arial" w:cs="Arial"/>
        </w:rPr>
      </w:pPr>
      <w:r w:rsidRPr="00FA2C29">
        <w:rPr>
          <w:rFonts w:ascii="Arial" w:hAnsi="Arial" w:cs="Arial"/>
        </w:rPr>
        <w:t xml:space="preserve">                   2050 y la Política General de Gobierno……………………..…………</w:t>
      </w:r>
      <w:r w:rsidR="009C232C" w:rsidRPr="00FA2C29">
        <w:rPr>
          <w:rFonts w:ascii="Arial" w:hAnsi="Arial" w:cs="Arial"/>
        </w:rPr>
        <w:t>.</w:t>
      </w:r>
      <w:r w:rsidR="009C232C" w:rsidRPr="00FA2C29">
        <w:rPr>
          <w:rFonts w:ascii="Arial" w:eastAsia="Arial Narrow" w:hAnsi="Arial" w:cs="Arial"/>
        </w:rPr>
        <w:t>2</w:t>
      </w:r>
      <w:r w:rsidR="00802959">
        <w:rPr>
          <w:rFonts w:ascii="Arial" w:eastAsia="Arial Narrow" w:hAnsi="Arial" w:cs="Arial"/>
        </w:rPr>
        <w:t>54</w:t>
      </w:r>
    </w:p>
    <w:p w14:paraId="28768440" w14:textId="02D804D7" w:rsidR="009D6113" w:rsidRPr="00FA2C29" w:rsidRDefault="009D6113" w:rsidP="009D6113">
      <w:pPr>
        <w:spacing w:after="0" w:line="360" w:lineRule="auto"/>
        <w:rPr>
          <w:rFonts w:ascii="Arial" w:eastAsia="Arial Narrow" w:hAnsi="Arial" w:cs="Arial"/>
        </w:rPr>
      </w:pPr>
      <w:r w:rsidRPr="00FA2C29">
        <w:rPr>
          <w:rFonts w:ascii="Arial" w:eastAsia="Arial Narrow" w:hAnsi="Arial" w:cs="Arial"/>
        </w:rPr>
        <w:t>Anexo N° 4 Matriz de alineamiento horizontal con políticas nacionales…………</w:t>
      </w:r>
      <w:r w:rsidR="003C7750" w:rsidRPr="00FA2C29">
        <w:rPr>
          <w:rFonts w:ascii="Arial" w:eastAsia="Arial Narrow" w:hAnsi="Arial" w:cs="Arial"/>
        </w:rPr>
        <w:t>..2</w:t>
      </w:r>
      <w:r w:rsidR="00802959">
        <w:rPr>
          <w:rFonts w:ascii="Arial" w:eastAsia="Arial Narrow" w:hAnsi="Arial" w:cs="Arial"/>
        </w:rPr>
        <w:t>5</w:t>
      </w:r>
      <w:r w:rsidR="00FA2C29" w:rsidRPr="00FA2C29">
        <w:rPr>
          <w:rFonts w:ascii="Arial" w:eastAsia="Arial Narrow" w:hAnsi="Arial" w:cs="Arial"/>
        </w:rPr>
        <w:t>8</w:t>
      </w:r>
    </w:p>
    <w:p w14:paraId="6652F605" w14:textId="5550868C" w:rsidR="009D6113" w:rsidRPr="00776EE6" w:rsidRDefault="009D6113" w:rsidP="009D6113">
      <w:pPr>
        <w:spacing w:after="0" w:line="360" w:lineRule="auto"/>
        <w:rPr>
          <w:rFonts w:ascii="Arial" w:eastAsia="Arial Narrow" w:hAnsi="Arial" w:cs="Arial"/>
        </w:rPr>
      </w:pPr>
      <w:r w:rsidRPr="00FA2C29">
        <w:rPr>
          <w:rFonts w:ascii="Arial" w:eastAsia="Arial Narrow" w:hAnsi="Arial" w:cs="Arial"/>
        </w:rPr>
        <w:t>Glosario ……………………………………………………………………………</w:t>
      </w:r>
      <w:r w:rsidR="00776EE6" w:rsidRPr="00FA2C29">
        <w:rPr>
          <w:rFonts w:ascii="Arial" w:eastAsia="Arial Narrow" w:hAnsi="Arial" w:cs="Arial"/>
        </w:rPr>
        <w:t>…….</w:t>
      </w:r>
      <w:r w:rsidR="003C7750" w:rsidRPr="00FA2C29">
        <w:rPr>
          <w:rFonts w:ascii="Arial" w:eastAsia="Arial Narrow" w:hAnsi="Arial" w:cs="Arial"/>
        </w:rPr>
        <w:t>.2</w:t>
      </w:r>
      <w:r w:rsidR="00802959">
        <w:rPr>
          <w:rFonts w:ascii="Arial" w:eastAsia="Arial Narrow" w:hAnsi="Arial" w:cs="Arial"/>
        </w:rPr>
        <w:t>6</w:t>
      </w:r>
      <w:r w:rsidR="00FA2C29" w:rsidRPr="00FA2C29">
        <w:rPr>
          <w:rFonts w:ascii="Arial" w:eastAsia="Arial Narrow" w:hAnsi="Arial" w:cs="Arial"/>
        </w:rPr>
        <w:t>2</w:t>
      </w:r>
    </w:p>
    <w:p w14:paraId="5EF42F73" w14:textId="6DD439BD" w:rsidR="009D6113" w:rsidRPr="00776EE6" w:rsidRDefault="009D6113" w:rsidP="009D6113">
      <w:pPr>
        <w:pStyle w:val="Prrafodelista"/>
        <w:spacing w:after="0" w:line="360" w:lineRule="auto"/>
        <w:ind w:left="284"/>
        <w:rPr>
          <w:rFonts w:ascii="Arial" w:eastAsia="Arial Narrow" w:hAnsi="Arial" w:cs="Arial"/>
        </w:rPr>
      </w:pPr>
    </w:p>
    <w:p w14:paraId="6AD5DB44" w14:textId="1895ACA9" w:rsidR="007E02AF" w:rsidRPr="009D6113" w:rsidRDefault="007E02AF" w:rsidP="009D6113">
      <w:pPr>
        <w:rPr>
          <w:rFonts w:ascii="Arial Narrow" w:eastAsia="Arial Narrow" w:hAnsi="Arial Narrow" w:cs="Arial Narrow"/>
          <w:b/>
        </w:rPr>
      </w:pPr>
      <w:r w:rsidRPr="009D6113">
        <w:rPr>
          <w:rFonts w:ascii="Arial Narrow" w:eastAsia="Arial Narrow" w:hAnsi="Arial Narrow" w:cs="Arial Narrow"/>
          <w:b/>
        </w:rPr>
        <w:br w:type="page"/>
      </w:r>
    </w:p>
    <w:p w14:paraId="29499F9D" w14:textId="77777777" w:rsidR="007E02AF" w:rsidRPr="00A938DF" w:rsidRDefault="007E02AF" w:rsidP="007E02AF">
      <w:pPr>
        <w:pStyle w:val="Ttulo2"/>
        <w:keepLines w:val="0"/>
        <w:spacing w:before="240" w:after="60"/>
        <w:jc w:val="center"/>
        <w:rPr>
          <w:rFonts w:ascii="Arial" w:eastAsia="Arial Narrow" w:hAnsi="Arial" w:cs="Arial"/>
          <w:b/>
          <w:color w:val="000000"/>
          <w:sz w:val="22"/>
          <w:szCs w:val="22"/>
        </w:rPr>
      </w:pPr>
      <w:bookmarkStart w:id="0" w:name="_Toc77002567"/>
      <w:r w:rsidRPr="00A938DF">
        <w:rPr>
          <w:rFonts w:ascii="Arial" w:eastAsia="Arial Narrow" w:hAnsi="Arial" w:cs="Arial"/>
          <w:b/>
          <w:color w:val="000000"/>
          <w:sz w:val="22"/>
          <w:szCs w:val="22"/>
        </w:rPr>
        <w:lastRenderedPageBreak/>
        <w:t>INTRODUCCIÓN</w:t>
      </w:r>
      <w:bookmarkEnd w:id="0"/>
    </w:p>
    <w:p w14:paraId="087D10B2" w14:textId="77777777" w:rsidR="007E02AF" w:rsidRPr="00A938DF" w:rsidRDefault="007E02AF" w:rsidP="007E02AF">
      <w:pPr>
        <w:rPr>
          <w:rFonts w:ascii="Arial" w:hAnsi="Arial" w:cs="Arial"/>
        </w:rPr>
      </w:pPr>
    </w:p>
    <w:p w14:paraId="40F63B28" w14:textId="76A40908" w:rsidR="007E02AF" w:rsidRPr="00A938DF" w:rsidRDefault="007E02AF" w:rsidP="007E02AF">
      <w:pPr>
        <w:spacing w:before="240" w:after="240"/>
        <w:jc w:val="both"/>
        <w:rPr>
          <w:rFonts w:ascii="Arial" w:eastAsia="Arial Narrow" w:hAnsi="Arial" w:cs="Arial"/>
        </w:rPr>
      </w:pPr>
      <w:r w:rsidRPr="00A938DF">
        <w:rPr>
          <w:rFonts w:ascii="Arial" w:eastAsia="Arial Narrow" w:hAnsi="Arial" w:cs="Arial"/>
        </w:rPr>
        <w:t>El presente entregable involucra la identificación de l</w:t>
      </w:r>
      <w:r w:rsidR="00A938DF" w:rsidRPr="00A938DF">
        <w:rPr>
          <w:rFonts w:ascii="Arial" w:eastAsia="Arial Narrow" w:hAnsi="Arial" w:cs="Arial"/>
        </w:rPr>
        <w:t>o</w:t>
      </w:r>
      <w:r w:rsidRPr="00A938DF">
        <w:rPr>
          <w:rFonts w:ascii="Arial" w:eastAsia="Arial Narrow" w:hAnsi="Arial" w:cs="Arial"/>
        </w:rPr>
        <w:t xml:space="preserve">s </w:t>
      </w:r>
      <w:r w:rsidR="00A938DF" w:rsidRPr="00A938DF">
        <w:rPr>
          <w:rFonts w:ascii="Arial" w:eastAsia="Arial Narrow" w:hAnsi="Arial" w:cs="Arial"/>
        </w:rPr>
        <w:t xml:space="preserve">servicios y estándares de cumplimiento además de la identificación de las </w:t>
      </w:r>
      <w:r w:rsidRPr="00A938DF">
        <w:rPr>
          <w:rFonts w:ascii="Arial" w:eastAsia="Arial Narrow" w:hAnsi="Arial" w:cs="Arial"/>
        </w:rPr>
        <w:t>políticas relacionadas, la misma que se desarrolló en base al análisis de la información contenida en los entregables uno, dos y tres.</w:t>
      </w:r>
    </w:p>
    <w:p w14:paraId="414833BD" w14:textId="77777777" w:rsidR="007E02AF" w:rsidRPr="00A938DF" w:rsidRDefault="007E02AF" w:rsidP="007E02AF">
      <w:pPr>
        <w:spacing w:before="240" w:after="240"/>
        <w:jc w:val="both"/>
        <w:rPr>
          <w:rFonts w:ascii="Arial" w:eastAsia="Arial Narrow" w:hAnsi="Arial" w:cs="Arial"/>
        </w:rPr>
      </w:pPr>
      <w:r w:rsidRPr="00A938DF">
        <w:rPr>
          <w:rFonts w:ascii="Arial" w:eastAsia="Arial Narrow" w:hAnsi="Arial" w:cs="Arial"/>
        </w:rPr>
        <w:t>Asimismo, para la identificación de los servicios se realizaron diversas reuniones virtuales con representantes de las entidades que conforman el Sistema Nacional de Gestión Forestal y de Fauna Silvestre – SINAFOR, además de otras entidades vinculadas a las actividades forestales y de fauna silvestre, y con representantes de los Gobiernos Regionales con funciones transferidas en materia forestal y fauna silvestre.</w:t>
      </w:r>
    </w:p>
    <w:p w14:paraId="09F5BB12" w14:textId="77777777" w:rsidR="007E02AF" w:rsidRPr="00A938DF" w:rsidRDefault="007E02AF" w:rsidP="007E02AF">
      <w:pPr>
        <w:spacing w:before="240" w:after="240"/>
        <w:jc w:val="both"/>
        <w:rPr>
          <w:rFonts w:ascii="Arial" w:eastAsia="Arial Narrow" w:hAnsi="Arial" w:cs="Arial"/>
        </w:rPr>
      </w:pPr>
      <w:r w:rsidRPr="00A938DF">
        <w:rPr>
          <w:rFonts w:ascii="Arial" w:eastAsia="Arial Narrow" w:hAnsi="Arial" w:cs="Arial"/>
        </w:rPr>
        <w:t>Cabe mencionar que la identificación de los servicios que formarán parte de la Política Nacional Forestal y de Fauna Silvestre, se encuentran alineadas con los objetivos y lineamientos propuestos, conforme a la metodología y normativa aprobada con relación al desarrollo de las Políticas Nacionales.</w:t>
      </w:r>
    </w:p>
    <w:p w14:paraId="7C5BB151" w14:textId="7E07067E" w:rsidR="00B3484B" w:rsidRDefault="007E02AF" w:rsidP="00AA5005">
      <w:pPr>
        <w:rPr>
          <w:rFonts w:ascii="Arial Narrow" w:eastAsia="Arial Narrow" w:hAnsi="Arial Narrow" w:cs="Arial Narrow"/>
          <w:b/>
        </w:rPr>
      </w:pPr>
      <w:r w:rsidRPr="000860B9">
        <w:rPr>
          <w:rFonts w:ascii="Arial Narrow" w:eastAsia="Arial Narrow" w:hAnsi="Arial Narrow" w:cs="Arial Narrow"/>
        </w:rPr>
        <w:br w:type="page"/>
      </w:r>
    </w:p>
    <w:p w14:paraId="643E1E0F" w14:textId="77777777" w:rsidR="00AA5005" w:rsidRPr="00CA3A85" w:rsidRDefault="00AA5005" w:rsidP="004C072E">
      <w:pPr>
        <w:pStyle w:val="Prrafodelista"/>
        <w:numPr>
          <w:ilvl w:val="0"/>
          <w:numId w:val="6"/>
        </w:numPr>
        <w:ind w:left="426"/>
        <w:rPr>
          <w:rFonts w:ascii="Arial" w:hAnsi="Arial" w:cs="Arial"/>
          <w:b/>
        </w:rPr>
      </w:pPr>
      <w:r w:rsidRPr="00CA3A85">
        <w:rPr>
          <w:rFonts w:ascii="Arial" w:hAnsi="Arial" w:cs="Arial"/>
          <w:b/>
        </w:rPr>
        <w:lastRenderedPageBreak/>
        <w:t xml:space="preserve">Identificación de los servicios y estándares de cumplimiento </w:t>
      </w:r>
    </w:p>
    <w:p w14:paraId="3E140DFA" w14:textId="77777777" w:rsidR="00AA5005" w:rsidRPr="00CA3A85" w:rsidRDefault="00AA5005" w:rsidP="00AA5005">
      <w:pPr>
        <w:pStyle w:val="Prrafodelista"/>
        <w:ind w:left="851"/>
        <w:rPr>
          <w:rFonts w:ascii="Arial" w:hAnsi="Arial" w:cs="Arial"/>
          <w:b/>
        </w:rPr>
      </w:pPr>
    </w:p>
    <w:p w14:paraId="2268F235" w14:textId="77777777" w:rsidR="00AA5005" w:rsidRPr="00CA3A85" w:rsidRDefault="00AA5005" w:rsidP="00CA3A85">
      <w:pPr>
        <w:pStyle w:val="Prrafodelista"/>
        <w:ind w:left="426"/>
        <w:jc w:val="both"/>
        <w:rPr>
          <w:rFonts w:ascii="Arial" w:hAnsi="Arial" w:cs="Arial"/>
        </w:rPr>
      </w:pPr>
      <w:r w:rsidRPr="00CA3A85">
        <w:rPr>
          <w:rFonts w:ascii="Arial" w:hAnsi="Arial" w:cs="Arial"/>
        </w:rPr>
        <w:t>La presente política multisectorial determina acciones desde el Estado peruano para contribuir con el aprovechamiento sostenible del patrimonio forestal y de fauna silvestre. El problema que se pretende contrarrestar es la pérdida de capacidad de los ecosistemas forestales, otros ecosistemas de vegetación silvestre y de la fauna silvestre para proveer bienes y servicios a la población. En ese sentido, el enfoque de la política plantea que el problema y las causas están vinculadas a las condiciones para el aprovechamiento, la baja productividad y la débil gobernanza que se tiene en materia forestal y de fauna silvestre.</w:t>
      </w:r>
    </w:p>
    <w:p w14:paraId="2F20B28C" w14:textId="77777777" w:rsidR="00AA5005" w:rsidRPr="00CA3A85" w:rsidRDefault="00AA5005" w:rsidP="00AA5005">
      <w:pPr>
        <w:pStyle w:val="Prrafodelista"/>
        <w:ind w:left="426"/>
        <w:jc w:val="both"/>
        <w:rPr>
          <w:rFonts w:ascii="Arial" w:hAnsi="Arial" w:cs="Arial"/>
        </w:rPr>
      </w:pPr>
    </w:p>
    <w:p w14:paraId="146E6FCA" w14:textId="404AE837" w:rsidR="00AA5005" w:rsidRPr="00CA3A85" w:rsidRDefault="00AA5005" w:rsidP="00AA5005">
      <w:pPr>
        <w:pStyle w:val="Prrafodelista"/>
        <w:ind w:left="426"/>
        <w:jc w:val="both"/>
        <w:rPr>
          <w:rFonts w:ascii="Arial" w:hAnsi="Arial" w:cs="Arial"/>
        </w:rPr>
      </w:pPr>
      <w:r w:rsidRPr="00CA3A85">
        <w:rPr>
          <w:rFonts w:ascii="Arial" w:hAnsi="Arial" w:cs="Arial"/>
        </w:rPr>
        <w:t xml:space="preserve">La población objetivo en la cual se desea lograr cambios son los ecosistemas forestales, otros ecosistemas de vegetación silvestre y la fauna silvestre, con el fin de revertir su pérdida. Para </w:t>
      </w:r>
      <w:r w:rsidR="00551542">
        <w:rPr>
          <w:rFonts w:ascii="Arial" w:hAnsi="Arial" w:cs="Arial"/>
        </w:rPr>
        <w:t>alcanzar</w:t>
      </w:r>
      <w:r w:rsidRPr="00CA3A85">
        <w:rPr>
          <w:rFonts w:ascii="Arial" w:hAnsi="Arial" w:cs="Arial"/>
        </w:rPr>
        <w:t xml:space="preserve"> ello, se debe lograr que los actores forestales y de fauna silvestre que administran (autoridades) o aprovechan (usuarios y población en general) los recursos forestales y de fauna silvestre interioricen, promuevan y desarrollen prácticas de aprovechamiento sostenible, reconociendo la importancia ambiental, social, económica y cultural de los ecosistemas forestales, otros ecosistemas de vegetación silvestre y de la fauna silvestre. </w:t>
      </w:r>
    </w:p>
    <w:p w14:paraId="6BC3646F" w14:textId="77777777" w:rsidR="00AA5005" w:rsidRPr="00CA3A85" w:rsidRDefault="00AA5005" w:rsidP="00AA5005">
      <w:pPr>
        <w:pStyle w:val="Prrafodelista"/>
        <w:ind w:left="426"/>
        <w:jc w:val="both"/>
        <w:rPr>
          <w:rFonts w:ascii="Arial" w:hAnsi="Arial" w:cs="Arial"/>
        </w:rPr>
      </w:pPr>
    </w:p>
    <w:p w14:paraId="41F0DE2D" w14:textId="77777777" w:rsidR="00AA5005" w:rsidRPr="00CA3A85" w:rsidRDefault="00AA5005" w:rsidP="00AA5005">
      <w:pPr>
        <w:pStyle w:val="Prrafodelista"/>
        <w:ind w:left="426"/>
        <w:jc w:val="both"/>
        <w:rPr>
          <w:rFonts w:ascii="Arial" w:hAnsi="Arial" w:cs="Arial"/>
        </w:rPr>
      </w:pPr>
      <w:r w:rsidRPr="00CA3A85">
        <w:rPr>
          <w:rFonts w:ascii="Arial" w:hAnsi="Arial" w:cs="Arial"/>
        </w:rPr>
        <w:t xml:space="preserve">Para atender el problema principal, los diversos sectores del poder ejecutivo vinculados con las actividades forestales y de fauna silvestre, incluyendo los Gobiernos Regionales, han propuesto servicios que contribuyan a mejorar las condiciones para la sostenibilidad de los ecosistemas forestales, otros ecosistemas de vegetación silvestre y de la fauna silvestre, incrementar su productividad y fortalecer la gobernanza. </w:t>
      </w:r>
    </w:p>
    <w:p w14:paraId="508834E5" w14:textId="77777777" w:rsidR="00AA5005" w:rsidRPr="00CA3A85" w:rsidRDefault="00AA5005" w:rsidP="00AA5005">
      <w:pPr>
        <w:pStyle w:val="Prrafodelista"/>
        <w:ind w:left="426"/>
        <w:jc w:val="both"/>
        <w:rPr>
          <w:rFonts w:ascii="Arial" w:hAnsi="Arial" w:cs="Arial"/>
        </w:rPr>
      </w:pPr>
    </w:p>
    <w:p w14:paraId="14621926" w14:textId="7FD40F72" w:rsidR="00AA5005" w:rsidRDefault="00AA5005" w:rsidP="00AA5005">
      <w:pPr>
        <w:pStyle w:val="Prrafodelista"/>
        <w:ind w:left="426"/>
        <w:jc w:val="both"/>
        <w:rPr>
          <w:rFonts w:ascii="Arial" w:hAnsi="Arial" w:cs="Arial"/>
        </w:rPr>
      </w:pPr>
      <w:r w:rsidRPr="00CA3A85">
        <w:rPr>
          <w:rFonts w:ascii="Arial" w:hAnsi="Arial" w:cs="Arial"/>
        </w:rPr>
        <w:t xml:space="preserve">Los servicios operativizan los lineamientos, por tanto, se formulan uno o más servicios por </w:t>
      </w:r>
      <w:r w:rsidR="00551542">
        <w:rPr>
          <w:rFonts w:ascii="Arial" w:hAnsi="Arial" w:cs="Arial"/>
        </w:rPr>
        <w:t xml:space="preserve">cada </w:t>
      </w:r>
      <w:r w:rsidRPr="00CA3A85">
        <w:rPr>
          <w:rFonts w:ascii="Arial" w:hAnsi="Arial" w:cs="Arial"/>
        </w:rPr>
        <w:t>lineamiento. En esa misma línea, y de acuerdo con la información recopilada en el análisis del problema público, los servicios se formulan de manera diferenciada de acuerdo con el actor forestal y de fauna silvestre. Por otro lado, la definición de los servicios considera</w:t>
      </w:r>
      <w:r w:rsidR="00551542">
        <w:rPr>
          <w:rFonts w:ascii="Arial" w:hAnsi="Arial" w:cs="Arial"/>
        </w:rPr>
        <w:t xml:space="preserve"> establecer estándares de cumplimiento el cual representa un rango aceptable de calidad de manera que se garantice la satisfacción de las necesidades de las personas y por tanto el valor público.</w:t>
      </w:r>
    </w:p>
    <w:p w14:paraId="143CD565" w14:textId="7CD345ED" w:rsidR="00FD7554" w:rsidRDefault="00FD7554" w:rsidP="00AA5005">
      <w:pPr>
        <w:pStyle w:val="Prrafodelista"/>
        <w:ind w:left="426"/>
        <w:jc w:val="both"/>
        <w:rPr>
          <w:rFonts w:ascii="Arial" w:hAnsi="Arial" w:cs="Arial"/>
        </w:rPr>
      </w:pPr>
    </w:p>
    <w:p w14:paraId="23AA192C" w14:textId="6D2A764D" w:rsidR="00FD7554" w:rsidRPr="00FD7554" w:rsidRDefault="00FD7554" w:rsidP="00FD7554">
      <w:pPr>
        <w:pStyle w:val="Prrafodelista"/>
        <w:ind w:left="426"/>
        <w:jc w:val="both"/>
        <w:rPr>
          <w:rFonts w:ascii="Arial" w:hAnsi="Arial" w:cs="Arial"/>
          <w:b/>
          <w:bCs/>
        </w:rPr>
      </w:pPr>
      <w:r w:rsidRPr="00FD7554">
        <w:rPr>
          <w:rFonts w:ascii="Arial" w:hAnsi="Arial" w:cs="Arial"/>
          <w:b/>
          <w:bCs/>
        </w:rPr>
        <w:t xml:space="preserve">Estándares de cumplimiento de la </w:t>
      </w:r>
      <w:r w:rsidR="002A4448">
        <w:rPr>
          <w:rFonts w:ascii="Arial" w:hAnsi="Arial" w:cs="Arial"/>
          <w:b/>
          <w:bCs/>
        </w:rPr>
        <w:t>Política Nacional Forestal y de Fauna Silvestre</w:t>
      </w:r>
    </w:p>
    <w:p w14:paraId="4F947F41" w14:textId="77777777" w:rsidR="00FD7554" w:rsidRPr="00FD7554" w:rsidRDefault="00FD7554" w:rsidP="00FD7554">
      <w:pPr>
        <w:pStyle w:val="Prrafodelista"/>
        <w:ind w:left="426"/>
        <w:jc w:val="both"/>
        <w:rPr>
          <w:rFonts w:ascii="Arial" w:hAnsi="Arial" w:cs="Arial"/>
        </w:rPr>
      </w:pPr>
    </w:p>
    <w:p w14:paraId="0EE2CB64" w14:textId="77777777" w:rsidR="00FD7554" w:rsidRPr="00FD7554" w:rsidRDefault="00FD7554" w:rsidP="00FD7554">
      <w:pPr>
        <w:pStyle w:val="Prrafodelista"/>
        <w:ind w:left="426"/>
        <w:jc w:val="both"/>
        <w:rPr>
          <w:rFonts w:ascii="Arial" w:hAnsi="Arial" w:cs="Arial"/>
          <w:b/>
          <w:bCs/>
        </w:rPr>
      </w:pPr>
      <w:r w:rsidRPr="00FD7554">
        <w:rPr>
          <w:rFonts w:ascii="Arial" w:hAnsi="Arial" w:cs="Arial"/>
          <w:b/>
          <w:bCs/>
        </w:rPr>
        <w:t>Accesibilidad</w:t>
      </w:r>
    </w:p>
    <w:p w14:paraId="2DA16896" w14:textId="77777777" w:rsidR="00FD7554" w:rsidRPr="00FD7554" w:rsidRDefault="00FD7554" w:rsidP="00FD7554">
      <w:pPr>
        <w:pStyle w:val="Prrafodelista"/>
        <w:ind w:left="426"/>
        <w:jc w:val="both"/>
        <w:rPr>
          <w:rFonts w:ascii="Arial" w:hAnsi="Arial" w:cs="Arial"/>
        </w:rPr>
      </w:pPr>
      <w:r w:rsidRPr="00FD7554">
        <w:rPr>
          <w:rFonts w:ascii="Arial" w:hAnsi="Arial" w:cs="Arial"/>
        </w:rPr>
        <w:t xml:space="preserve">Asegura la existencia de las facilidades necesarias que permitan la recepción de los servicios de la política por parte de los beneficiarios. </w:t>
      </w:r>
    </w:p>
    <w:p w14:paraId="2436113E" w14:textId="77777777" w:rsidR="00FD7554" w:rsidRPr="00FD7554" w:rsidRDefault="00FD7554" w:rsidP="00FD7554">
      <w:pPr>
        <w:pStyle w:val="Prrafodelista"/>
        <w:ind w:left="426"/>
        <w:jc w:val="both"/>
        <w:rPr>
          <w:rFonts w:ascii="Arial" w:hAnsi="Arial" w:cs="Arial"/>
        </w:rPr>
      </w:pPr>
    </w:p>
    <w:p w14:paraId="49404DB1" w14:textId="77777777" w:rsidR="00FD7554" w:rsidRPr="00FD7554" w:rsidRDefault="00FD7554" w:rsidP="00FD7554">
      <w:pPr>
        <w:pStyle w:val="Prrafodelista"/>
        <w:ind w:left="426"/>
        <w:jc w:val="both"/>
        <w:rPr>
          <w:rFonts w:ascii="Arial" w:hAnsi="Arial" w:cs="Arial"/>
          <w:b/>
          <w:bCs/>
        </w:rPr>
      </w:pPr>
      <w:r w:rsidRPr="00FD7554">
        <w:rPr>
          <w:rFonts w:ascii="Arial" w:hAnsi="Arial" w:cs="Arial"/>
          <w:b/>
          <w:bCs/>
        </w:rPr>
        <w:t>Continuidad</w:t>
      </w:r>
    </w:p>
    <w:p w14:paraId="42F154CB" w14:textId="77777777" w:rsidR="00FD7554" w:rsidRPr="00FD7554" w:rsidRDefault="00FD7554" w:rsidP="00FD7554">
      <w:pPr>
        <w:pStyle w:val="Prrafodelista"/>
        <w:ind w:left="426"/>
        <w:jc w:val="both"/>
        <w:rPr>
          <w:rFonts w:ascii="Arial" w:hAnsi="Arial" w:cs="Arial"/>
        </w:rPr>
      </w:pPr>
      <w:r w:rsidRPr="00FD7554">
        <w:rPr>
          <w:rFonts w:ascii="Arial" w:hAnsi="Arial" w:cs="Arial"/>
        </w:rPr>
        <w:t>El servicio es provisto de manera sostenida por un período de tiempo y debe completarse para garantizar la calidad del servicio.</w:t>
      </w:r>
    </w:p>
    <w:p w14:paraId="3F4ED340" w14:textId="77777777" w:rsidR="00FD7554" w:rsidRPr="00FD7554" w:rsidRDefault="00FD7554" w:rsidP="00FD7554">
      <w:pPr>
        <w:pStyle w:val="Prrafodelista"/>
        <w:ind w:left="426"/>
        <w:jc w:val="both"/>
        <w:rPr>
          <w:rFonts w:ascii="Arial" w:hAnsi="Arial" w:cs="Arial"/>
        </w:rPr>
      </w:pPr>
    </w:p>
    <w:p w14:paraId="4E0B207B" w14:textId="77777777" w:rsidR="00FD7554" w:rsidRPr="00FD7554" w:rsidRDefault="00FD7554" w:rsidP="00FD7554">
      <w:pPr>
        <w:pStyle w:val="Prrafodelista"/>
        <w:ind w:left="426"/>
        <w:jc w:val="both"/>
        <w:rPr>
          <w:rFonts w:ascii="Arial" w:hAnsi="Arial" w:cs="Arial"/>
          <w:b/>
          <w:bCs/>
        </w:rPr>
      </w:pPr>
      <w:r w:rsidRPr="00FD7554">
        <w:rPr>
          <w:rFonts w:ascii="Arial" w:hAnsi="Arial" w:cs="Arial"/>
          <w:b/>
          <w:bCs/>
        </w:rPr>
        <w:t>Fiabilidad</w:t>
      </w:r>
    </w:p>
    <w:p w14:paraId="1BE9ED8C" w14:textId="77777777" w:rsidR="00FD7554" w:rsidRPr="00FD7554" w:rsidRDefault="00FD7554" w:rsidP="00FD7554">
      <w:pPr>
        <w:pStyle w:val="Prrafodelista"/>
        <w:ind w:left="426"/>
        <w:jc w:val="both"/>
        <w:rPr>
          <w:rFonts w:ascii="Arial" w:hAnsi="Arial" w:cs="Arial"/>
        </w:rPr>
      </w:pPr>
      <w:r w:rsidRPr="00FD7554">
        <w:rPr>
          <w:rFonts w:ascii="Arial" w:hAnsi="Arial" w:cs="Arial"/>
        </w:rPr>
        <w:t xml:space="preserve">El servicio será entregado en cumplimiento de las disposiciones nacionales o internacionales, según sea el caso, por especialistas en la materia a tratar o por profesionales que acrediten especialización. </w:t>
      </w:r>
    </w:p>
    <w:p w14:paraId="784AC5AF" w14:textId="4FEE7AF1" w:rsidR="00FD7554" w:rsidRDefault="00FD7554" w:rsidP="00FD7554">
      <w:pPr>
        <w:pStyle w:val="Prrafodelista"/>
        <w:ind w:left="426"/>
        <w:jc w:val="both"/>
        <w:rPr>
          <w:rFonts w:ascii="Arial" w:hAnsi="Arial" w:cs="Arial"/>
        </w:rPr>
      </w:pPr>
    </w:p>
    <w:p w14:paraId="0AEF5408" w14:textId="1A7780A3" w:rsidR="00F163FB" w:rsidRDefault="00F163FB" w:rsidP="00FD7554">
      <w:pPr>
        <w:pStyle w:val="Prrafodelista"/>
        <w:ind w:left="426"/>
        <w:jc w:val="both"/>
        <w:rPr>
          <w:rFonts w:ascii="Arial" w:hAnsi="Arial" w:cs="Arial"/>
        </w:rPr>
      </w:pPr>
    </w:p>
    <w:p w14:paraId="758EBCDC" w14:textId="77777777" w:rsidR="00F163FB" w:rsidRPr="00FD7554" w:rsidRDefault="00F163FB" w:rsidP="00FD7554">
      <w:pPr>
        <w:pStyle w:val="Prrafodelista"/>
        <w:ind w:left="426"/>
        <w:jc w:val="both"/>
        <w:rPr>
          <w:rFonts w:ascii="Arial" w:hAnsi="Arial" w:cs="Arial"/>
        </w:rPr>
      </w:pPr>
    </w:p>
    <w:p w14:paraId="678EC2C2" w14:textId="77777777" w:rsidR="00FD7554" w:rsidRPr="00FD7554" w:rsidRDefault="00FD7554" w:rsidP="00FD7554">
      <w:pPr>
        <w:pStyle w:val="Prrafodelista"/>
        <w:ind w:left="426"/>
        <w:jc w:val="both"/>
        <w:rPr>
          <w:rFonts w:ascii="Arial" w:hAnsi="Arial" w:cs="Arial"/>
          <w:b/>
          <w:bCs/>
        </w:rPr>
      </w:pPr>
      <w:r w:rsidRPr="00FD7554">
        <w:rPr>
          <w:rFonts w:ascii="Arial" w:hAnsi="Arial" w:cs="Arial"/>
          <w:b/>
          <w:bCs/>
        </w:rPr>
        <w:t>Oportunidad</w:t>
      </w:r>
    </w:p>
    <w:p w14:paraId="6AD273CD" w14:textId="77777777" w:rsidR="00FD7554" w:rsidRPr="00FD7554" w:rsidRDefault="00FD7554" w:rsidP="00FD7554">
      <w:pPr>
        <w:pStyle w:val="Prrafodelista"/>
        <w:ind w:left="426"/>
        <w:jc w:val="both"/>
        <w:rPr>
          <w:rFonts w:ascii="Arial" w:hAnsi="Arial" w:cs="Arial"/>
        </w:rPr>
      </w:pPr>
      <w:r w:rsidRPr="00FD7554">
        <w:rPr>
          <w:rFonts w:ascii="Arial" w:hAnsi="Arial" w:cs="Arial"/>
        </w:rPr>
        <w:t xml:space="preserve">Asegura que los servicios sean entregados en un tiempo adecuado por las diversas entidades y actores responsables de su ejecución. </w:t>
      </w:r>
    </w:p>
    <w:p w14:paraId="26B16BD2" w14:textId="77777777" w:rsidR="00FD7554" w:rsidRPr="00FD7554" w:rsidRDefault="00FD7554" w:rsidP="00FD7554">
      <w:pPr>
        <w:pStyle w:val="Prrafodelista"/>
        <w:ind w:left="426"/>
        <w:jc w:val="both"/>
        <w:rPr>
          <w:rFonts w:ascii="Arial" w:hAnsi="Arial" w:cs="Arial"/>
        </w:rPr>
      </w:pPr>
    </w:p>
    <w:p w14:paraId="7F8223F0" w14:textId="77777777" w:rsidR="00FD7554" w:rsidRPr="00FD7554" w:rsidRDefault="00FD7554" w:rsidP="00FD7554">
      <w:pPr>
        <w:pStyle w:val="Prrafodelista"/>
        <w:ind w:left="426"/>
        <w:jc w:val="both"/>
        <w:rPr>
          <w:rFonts w:ascii="Arial" w:hAnsi="Arial" w:cs="Arial"/>
          <w:b/>
          <w:bCs/>
        </w:rPr>
      </w:pPr>
      <w:r w:rsidRPr="00FD7554">
        <w:rPr>
          <w:rFonts w:ascii="Arial" w:hAnsi="Arial" w:cs="Arial"/>
          <w:b/>
          <w:bCs/>
        </w:rPr>
        <w:t>Percepción</w:t>
      </w:r>
    </w:p>
    <w:p w14:paraId="3EA9A76C" w14:textId="77777777" w:rsidR="00FD7554" w:rsidRPr="00FD7554" w:rsidRDefault="00FD7554" w:rsidP="00FD7554">
      <w:pPr>
        <w:pStyle w:val="Prrafodelista"/>
        <w:ind w:left="426"/>
        <w:jc w:val="both"/>
        <w:rPr>
          <w:rFonts w:ascii="Arial" w:hAnsi="Arial" w:cs="Arial"/>
        </w:rPr>
      </w:pPr>
      <w:r w:rsidRPr="00FD7554">
        <w:rPr>
          <w:rFonts w:ascii="Arial" w:hAnsi="Arial" w:cs="Arial"/>
        </w:rPr>
        <w:t xml:space="preserve">La recepción del servicio se vincula al grado de satisfacción obtenida por parte de los beneficiarios respecto de las expectativas que tenían al respecto.  </w:t>
      </w:r>
    </w:p>
    <w:p w14:paraId="0D88B02E" w14:textId="77777777" w:rsidR="00FD7554" w:rsidRPr="00FD7554" w:rsidRDefault="00FD7554" w:rsidP="00FD7554">
      <w:pPr>
        <w:pStyle w:val="Prrafodelista"/>
        <w:ind w:left="426"/>
        <w:jc w:val="both"/>
        <w:rPr>
          <w:rFonts w:ascii="Arial" w:hAnsi="Arial" w:cs="Arial"/>
        </w:rPr>
      </w:pPr>
    </w:p>
    <w:p w14:paraId="4FDB954C" w14:textId="77777777" w:rsidR="00FD7554" w:rsidRPr="00FD7554" w:rsidRDefault="00FD7554" w:rsidP="00FD7554">
      <w:pPr>
        <w:pStyle w:val="Prrafodelista"/>
        <w:ind w:left="426"/>
        <w:jc w:val="both"/>
        <w:rPr>
          <w:rFonts w:ascii="Arial" w:hAnsi="Arial" w:cs="Arial"/>
          <w:b/>
          <w:bCs/>
        </w:rPr>
      </w:pPr>
      <w:r w:rsidRPr="00FD7554">
        <w:rPr>
          <w:rFonts w:ascii="Arial" w:hAnsi="Arial" w:cs="Arial"/>
          <w:b/>
          <w:bCs/>
        </w:rPr>
        <w:t>Pertinencia</w:t>
      </w:r>
    </w:p>
    <w:p w14:paraId="35FB747A" w14:textId="5B921017" w:rsidR="00FD7554" w:rsidRDefault="00FD7554" w:rsidP="00FD7554">
      <w:pPr>
        <w:pStyle w:val="Prrafodelista"/>
        <w:ind w:left="426"/>
        <w:jc w:val="both"/>
        <w:rPr>
          <w:rFonts w:ascii="Arial" w:hAnsi="Arial" w:cs="Arial"/>
        </w:rPr>
      </w:pPr>
      <w:r w:rsidRPr="00FD7554">
        <w:rPr>
          <w:rFonts w:ascii="Arial" w:hAnsi="Arial" w:cs="Arial"/>
        </w:rPr>
        <w:t>Asegura la adaptabilidad y flexibilidad para la entrega de los servicios de forma que respondan a la diversidad de necesidades de los beneficiarios, considerando prioritariamente características geográficas, sociales, ambientales, lingüísticas o culturales.</w:t>
      </w:r>
    </w:p>
    <w:p w14:paraId="0D80208B" w14:textId="77777777" w:rsidR="00FD7554" w:rsidRPr="00FD7554" w:rsidRDefault="00FD7554" w:rsidP="00FD7554">
      <w:pPr>
        <w:pStyle w:val="Prrafodelista"/>
        <w:ind w:left="426"/>
        <w:jc w:val="both"/>
        <w:rPr>
          <w:rFonts w:ascii="Arial" w:hAnsi="Arial" w:cs="Arial"/>
        </w:rPr>
      </w:pPr>
    </w:p>
    <w:p w14:paraId="28973806" w14:textId="03BB557E" w:rsidR="00FD7554" w:rsidRPr="00FD7554" w:rsidRDefault="00FD7554" w:rsidP="00FD7554">
      <w:pPr>
        <w:pStyle w:val="Prrafodelista"/>
        <w:ind w:left="426"/>
        <w:jc w:val="both"/>
        <w:rPr>
          <w:rFonts w:ascii="Arial" w:hAnsi="Arial" w:cs="Arial"/>
        </w:rPr>
      </w:pPr>
    </w:p>
    <w:p w14:paraId="502E84D1" w14:textId="77777777" w:rsidR="00FD7554" w:rsidRPr="00CA3A85" w:rsidRDefault="00FD7554" w:rsidP="00AA5005">
      <w:pPr>
        <w:pStyle w:val="Prrafodelista"/>
        <w:ind w:left="426"/>
        <w:jc w:val="both"/>
        <w:rPr>
          <w:rFonts w:ascii="Arial" w:hAnsi="Arial" w:cs="Arial"/>
        </w:rPr>
      </w:pPr>
    </w:p>
    <w:p w14:paraId="126B861F" w14:textId="77777777" w:rsidR="00AA5005" w:rsidRPr="00995269" w:rsidRDefault="00AA5005" w:rsidP="00AA5005">
      <w:pPr>
        <w:pStyle w:val="Prrafodelista"/>
        <w:ind w:left="426"/>
        <w:jc w:val="both"/>
        <w:rPr>
          <w:rFonts w:ascii="Arial" w:hAnsi="Arial" w:cs="Arial"/>
          <w:color w:val="FF0000"/>
        </w:rPr>
      </w:pPr>
    </w:p>
    <w:p w14:paraId="42051965" w14:textId="77777777" w:rsidR="00AA5005" w:rsidRDefault="00AA5005" w:rsidP="00AA5005">
      <w:pPr>
        <w:pStyle w:val="Prrafodelista"/>
        <w:ind w:left="426"/>
        <w:jc w:val="both"/>
        <w:rPr>
          <w:rFonts w:ascii="Arial" w:hAnsi="Arial" w:cs="Arial"/>
        </w:rPr>
      </w:pPr>
    </w:p>
    <w:p w14:paraId="2663851F" w14:textId="31CD811D" w:rsidR="00791B21" w:rsidRDefault="00791B21" w:rsidP="000D1705">
      <w:pPr>
        <w:tabs>
          <w:tab w:val="left" w:pos="3375"/>
        </w:tabs>
        <w:rPr>
          <w:rFonts w:ascii="Arial Narrow" w:eastAsia="Arial Narrow" w:hAnsi="Arial Narrow" w:cs="Arial Narrow"/>
          <w:b/>
        </w:rPr>
      </w:pPr>
    </w:p>
    <w:p w14:paraId="33DF0B54" w14:textId="0EC26E89" w:rsidR="00AA5005" w:rsidRDefault="00AA5005" w:rsidP="000D1705">
      <w:pPr>
        <w:tabs>
          <w:tab w:val="left" w:pos="3375"/>
        </w:tabs>
        <w:rPr>
          <w:rFonts w:ascii="Arial Narrow" w:eastAsia="Arial Narrow" w:hAnsi="Arial Narrow" w:cs="Arial Narrow"/>
          <w:b/>
        </w:rPr>
      </w:pPr>
    </w:p>
    <w:p w14:paraId="54172927" w14:textId="17929D87" w:rsidR="00AA5005" w:rsidRDefault="00AA5005" w:rsidP="000D1705">
      <w:pPr>
        <w:tabs>
          <w:tab w:val="left" w:pos="3375"/>
        </w:tabs>
        <w:rPr>
          <w:rFonts w:ascii="Arial Narrow" w:eastAsia="Arial Narrow" w:hAnsi="Arial Narrow" w:cs="Arial Narrow"/>
          <w:b/>
        </w:rPr>
      </w:pPr>
    </w:p>
    <w:p w14:paraId="6EB20E25" w14:textId="3FD593EF" w:rsidR="00AA5005" w:rsidRDefault="00AA5005" w:rsidP="000D1705">
      <w:pPr>
        <w:tabs>
          <w:tab w:val="left" w:pos="3375"/>
        </w:tabs>
        <w:rPr>
          <w:rFonts w:ascii="Arial Narrow" w:eastAsia="Arial Narrow" w:hAnsi="Arial Narrow" w:cs="Arial Narrow"/>
          <w:b/>
        </w:rPr>
      </w:pPr>
    </w:p>
    <w:p w14:paraId="7F990047" w14:textId="2BAC966F" w:rsidR="00AA5005" w:rsidRDefault="00AA5005" w:rsidP="000D1705">
      <w:pPr>
        <w:tabs>
          <w:tab w:val="left" w:pos="3375"/>
        </w:tabs>
        <w:rPr>
          <w:rFonts w:ascii="Arial Narrow" w:eastAsia="Arial Narrow" w:hAnsi="Arial Narrow" w:cs="Arial Narrow"/>
          <w:b/>
        </w:rPr>
      </w:pPr>
    </w:p>
    <w:p w14:paraId="1713F6DF" w14:textId="73F2749E" w:rsidR="00AA5005" w:rsidRDefault="00AA5005" w:rsidP="000D1705">
      <w:pPr>
        <w:tabs>
          <w:tab w:val="left" w:pos="3375"/>
        </w:tabs>
        <w:rPr>
          <w:rFonts w:ascii="Arial Narrow" w:eastAsia="Arial Narrow" w:hAnsi="Arial Narrow" w:cs="Arial Narrow"/>
          <w:b/>
        </w:rPr>
      </w:pPr>
    </w:p>
    <w:p w14:paraId="3770C6A9" w14:textId="7C822592" w:rsidR="00AA5005" w:rsidRDefault="00AA5005" w:rsidP="000D1705">
      <w:pPr>
        <w:tabs>
          <w:tab w:val="left" w:pos="3375"/>
        </w:tabs>
        <w:rPr>
          <w:rFonts w:ascii="Arial Narrow" w:eastAsia="Arial Narrow" w:hAnsi="Arial Narrow" w:cs="Arial Narrow"/>
          <w:b/>
        </w:rPr>
      </w:pPr>
    </w:p>
    <w:p w14:paraId="1BB2B104" w14:textId="77777777" w:rsidR="002168D6" w:rsidRDefault="002168D6" w:rsidP="004C072E">
      <w:pPr>
        <w:pStyle w:val="Prrafodelista"/>
        <w:numPr>
          <w:ilvl w:val="1"/>
          <w:numId w:val="8"/>
        </w:numPr>
        <w:tabs>
          <w:tab w:val="left" w:pos="3375"/>
        </w:tabs>
        <w:rPr>
          <w:rFonts w:ascii="Arial" w:eastAsia="Arial Narrow" w:hAnsi="Arial" w:cs="Arial"/>
          <w:b/>
        </w:rPr>
        <w:sectPr w:rsidR="002168D6" w:rsidSect="007605C4">
          <w:footerReference w:type="default" r:id="rId9"/>
          <w:pgSz w:w="11906" w:h="16838"/>
          <w:pgMar w:top="1418" w:right="1701" w:bottom="1418" w:left="1701" w:header="709" w:footer="281" w:gutter="0"/>
          <w:cols w:space="720"/>
        </w:sectPr>
      </w:pPr>
    </w:p>
    <w:p w14:paraId="27E84CA0" w14:textId="2BE7A212" w:rsidR="00AA5005" w:rsidRPr="00CA3A85" w:rsidRDefault="00AA5005" w:rsidP="004C072E">
      <w:pPr>
        <w:pStyle w:val="Prrafodelista"/>
        <w:numPr>
          <w:ilvl w:val="1"/>
          <w:numId w:val="8"/>
        </w:numPr>
        <w:tabs>
          <w:tab w:val="left" w:pos="3375"/>
        </w:tabs>
        <w:rPr>
          <w:rFonts w:ascii="Arial" w:eastAsia="Arial Narrow" w:hAnsi="Arial" w:cs="Arial"/>
          <w:b/>
        </w:rPr>
      </w:pPr>
      <w:r w:rsidRPr="00CA3A85">
        <w:rPr>
          <w:rFonts w:ascii="Arial" w:eastAsia="Arial Narrow" w:hAnsi="Arial" w:cs="Arial"/>
          <w:b/>
        </w:rPr>
        <w:lastRenderedPageBreak/>
        <w:t>Servicios</w:t>
      </w:r>
      <w:r w:rsidR="008B6107">
        <w:rPr>
          <w:rFonts w:ascii="Arial" w:eastAsia="Arial Narrow" w:hAnsi="Arial" w:cs="Arial"/>
          <w:b/>
        </w:rPr>
        <w:t xml:space="preserve"> identificados</w:t>
      </w:r>
    </w:p>
    <w:p w14:paraId="608BF604" w14:textId="0CEF76E8" w:rsidR="00AA5005" w:rsidRPr="00CA3A85" w:rsidRDefault="00AA5005" w:rsidP="00AA5005">
      <w:pPr>
        <w:pStyle w:val="Prrafodelista"/>
        <w:tabs>
          <w:tab w:val="left" w:pos="3375"/>
        </w:tabs>
        <w:ind w:left="360"/>
        <w:rPr>
          <w:rFonts w:ascii="Arial" w:eastAsia="Arial Narrow" w:hAnsi="Arial" w:cs="Arial"/>
          <w:b/>
        </w:rPr>
      </w:pPr>
    </w:p>
    <w:tbl>
      <w:tblPr>
        <w:tblStyle w:val="Tablaconcuadrcula"/>
        <w:tblW w:w="14029" w:type="dxa"/>
        <w:tblLook w:val="04A0" w:firstRow="1" w:lastRow="0" w:firstColumn="1" w:lastColumn="0" w:noHBand="0" w:noVBand="1"/>
      </w:tblPr>
      <w:tblGrid>
        <w:gridCol w:w="1049"/>
        <w:gridCol w:w="2536"/>
        <w:gridCol w:w="2681"/>
        <w:gridCol w:w="3085"/>
        <w:gridCol w:w="2268"/>
        <w:gridCol w:w="2410"/>
      </w:tblGrid>
      <w:tr w:rsidR="00E5011C" w:rsidRPr="0020551C" w14:paraId="5FD9F543" w14:textId="77777777" w:rsidTr="00313F63">
        <w:trPr>
          <w:tblHeader/>
        </w:trPr>
        <w:tc>
          <w:tcPr>
            <w:tcW w:w="1049" w:type="dxa"/>
            <w:shd w:val="clear" w:color="auto" w:fill="D9D9D9" w:themeFill="background1" w:themeFillShade="D9"/>
          </w:tcPr>
          <w:p w14:paraId="37020836" w14:textId="16B91BB4" w:rsidR="00E5011C" w:rsidRPr="0020551C" w:rsidRDefault="00E5011C" w:rsidP="005976BF">
            <w:pPr>
              <w:pStyle w:val="Prrafodelista"/>
              <w:tabs>
                <w:tab w:val="left" w:pos="3375"/>
              </w:tabs>
              <w:ind w:left="0"/>
              <w:jc w:val="both"/>
              <w:rPr>
                <w:rFonts w:ascii="Arial" w:eastAsia="Arial Narrow" w:hAnsi="Arial" w:cs="Arial"/>
                <w:b/>
              </w:rPr>
            </w:pPr>
            <w:r w:rsidRPr="0020551C">
              <w:rPr>
                <w:rFonts w:ascii="Arial" w:eastAsia="Arial Narrow" w:hAnsi="Arial" w:cs="Arial"/>
                <w:b/>
              </w:rPr>
              <w:t>Código del servicio</w:t>
            </w:r>
          </w:p>
        </w:tc>
        <w:tc>
          <w:tcPr>
            <w:tcW w:w="2536" w:type="dxa"/>
            <w:shd w:val="clear" w:color="auto" w:fill="D9D9D9" w:themeFill="background1" w:themeFillShade="D9"/>
          </w:tcPr>
          <w:p w14:paraId="7C84BA0C" w14:textId="443C6783" w:rsidR="00E5011C" w:rsidRPr="0020551C" w:rsidRDefault="00E5011C" w:rsidP="002168D6">
            <w:pPr>
              <w:pStyle w:val="Prrafodelista"/>
              <w:tabs>
                <w:tab w:val="left" w:pos="3375"/>
              </w:tabs>
              <w:ind w:left="0"/>
              <w:jc w:val="center"/>
              <w:rPr>
                <w:rFonts w:ascii="Arial" w:eastAsia="Arial Narrow" w:hAnsi="Arial" w:cs="Arial"/>
                <w:b/>
              </w:rPr>
            </w:pPr>
            <w:r w:rsidRPr="0020551C">
              <w:rPr>
                <w:rFonts w:ascii="Arial" w:eastAsia="Arial Narrow" w:hAnsi="Arial" w:cs="Arial"/>
                <w:b/>
              </w:rPr>
              <w:t>O</w:t>
            </w:r>
            <w:r w:rsidR="002168D6" w:rsidRPr="0020551C">
              <w:rPr>
                <w:rFonts w:ascii="Arial" w:eastAsia="Arial Narrow" w:hAnsi="Arial" w:cs="Arial"/>
                <w:b/>
              </w:rPr>
              <w:t>bjetivo prioritario</w:t>
            </w:r>
          </w:p>
        </w:tc>
        <w:tc>
          <w:tcPr>
            <w:tcW w:w="2681" w:type="dxa"/>
            <w:shd w:val="clear" w:color="auto" w:fill="D9D9D9" w:themeFill="background1" w:themeFillShade="D9"/>
          </w:tcPr>
          <w:p w14:paraId="0AE24C35" w14:textId="6E037885" w:rsidR="00E5011C" w:rsidRPr="0020551C" w:rsidRDefault="00E5011C" w:rsidP="002168D6">
            <w:pPr>
              <w:pStyle w:val="Prrafodelista"/>
              <w:tabs>
                <w:tab w:val="left" w:pos="3375"/>
              </w:tabs>
              <w:ind w:left="0"/>
              <w:jc w:val="center"/>
              <w:rPr>
                <w:rFonts w:ascii="Arial" w:eastAsia="Arial Narrow" w:hAnsi="Arial" w:cs="Arial"/>
                <w:b/>
              </w:rPr>
            </w:pPr>
            <w:r w:rsidRPr="0020551C">
              <w:rPr>
                <w:rFonts w:ascii="Arial" w:eastAsia="Arial Narrow" w:hAnsi="Arial" w:cs="Arial"/>
                <w:b/>
              </w:rPr>
              <w:t>Lineamientos</w:t>
            </w:r>
          </w:p>
        </w:tc>
        <w:tc>
          <w:tcPr>
            <w:tcW w:w="3085" w:type="dxa"/>
            <w:shd w:val="clear" w:color="auto" w:fill="D9D9D9" w:themeFill="background1" w:themeFillShade="D9"/>
          </w:tcPr>
          <w:p w14:paraId="26924BD2" w14:textId="2986F3D3" w:rsidR="00E5011C" w:rsidRPr="0020551C" w:rsidRDefault="00E5011C" w:rsidP="002168D6">
            <w:pPr>
              <w:pStyle w:val="Prrafodelista"/>
              <w:tabs>
                <w:tab w:val="left" w:pos="3375"/>
              </w:tabs>
              <w:ind w:left="0"/>
              <w:jc w:val="center"/>
              <w:rPr>
                <w:rFonts w:ascii="Arial" w:eastAsia="Arial Narrow" w:hAnsi="Arial" w:cs="Arial"/>
                <w:b/>
              </w:rPr>
            </w:pPr>
            <w:r w:rsidRPr="0020551C">
              <w:rPr>
                <w:rFonts w:ascii="Arial" w:eastAsia="Arial Narrow" w:hAnsi="Arial" w:cs="Arial"/>
                <w:b/>
              </w:rPr>
              <w:t>Servicios</w:t>
            </w:r>
          </w:p>
        </w:tc>
        <w:tc>
          <w:tcPr>
            <w:tcW w:w="2268" w:type="dxa"/>
            <w:shd w:val="clear" w:color="auto" w:fill="D9D9D9" w:themeFill="background1" w:themeFillShade="D9"/>
          </w:tcPr>
          <w:p w14:paraId="55738477" w14:textId="303EF9CC" w:rsidR="00E5011C" w:rsidRPr="0020551C" w:rsidRDefault="00E5011C" w:rsidP="002168D6">
            <w:pPr>
              <w:pStyle w:val="Prrafodelista"/>
              <w:tabs>
                <w:tab w:val="left" w:pos="3375"/>
              </w:tabs>
              <w:ind w:left="0"/>
              <w:jc w:val="center"/>
              <w:rPr>
                <w:rFonts w:ascii="Arial" w:eastAsia="Arial Narrow" w:hAnsi="Arial" w:cs="Arial"/>
                <w:b/>
              </w:rPr>
            </w:pPr>
            <w:r w:rsidRPr="0020551C">
              <w:rPr>
                <w:rFonts w:ascii="Arial" w:eastAsia="Arial Narrow" w:hAnsi="Arial" w:cs="Arial"/>
                <w:b/>
              </w:rPr>
              <w:t>Proveedor del servicio</w:t>
            </w:r>
          </w:p>
        </w:tc>
        <w:tc>
          <w:tcPr>
            <w:tcW w:w="2410" w:type="dxa"/>
            <w:shd w:val="clear" w:color="auto" w:fill="D9D9D9" w:themeFill="background1" w:themeFillShade="D9"/>
          </w:tcPr>
          <w:p w14:paraId="4BADA684" w14:textId="36FDE1EF" w:rsidR="00E5011C" w:rsidRPr="0020551C" w:rsidRDefault="00E5011C" w:rsidP="002168D6">
            <w:pPr>
              <w:pStyle w:val="Prrafodelista"/>
              <w:tabs>
                <w:tab w:val="left" w:pos="3375"/>
              </w:tabs>
              <w:ind w:left="0"/>
              <w:jc w:val="center"/>
              <w:rPr>
                <w:rFonts w:ascii="Arial" w:eastAsia="Arial Narrow" w:hAnsi="Arial" w:cs="Arial"/>
                <w:b/>
              </w:rPr>
            </w:pPr>
            <w:r w:rsidRPr="0020551C">
              <w:rPr>
                <w:rFonts w:ascii="Arial" w:eastAsia="Arial Narrow" w:hAnsi="Arial" w:cs="Arial"/>
                <w:b/>
              </w:rPr>
              <w:t>Receptor del servicio</w:t>
            </w:r>
          </w:p>
        </w:tc>
      </w:tr>
      <w:tr w:rsidR="00E5011C" w:rsidRPr="0020551C" w14:paraId="0C522E59" w14:textId="77777777" w:rsidTr="005976BF">
        <w:trPr>
          <w:trHeight w:val="1679"/>
        </w:trPr>
        <w:tc>
          <w:tcPr>
            <w:tcW w:w="1049" w:type="dxa"/>
          </w:tcPr>
          <w:p w14:paraId="4B5A2414" w14:textId="40F3E28F" w:rsidR="00E5011C" w:rsidRPr="0020551C" w:rsidRDefault="002168D6"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S1.1.1</w:t>
            </w:r>
          </w:p>
        </w:tc>
        <w:tc>
          <w:tcPr>
            <w:tcW w:w="2536" w:type="dxa"/>
          </w:tcPr>
          <w:p w14:paraId="47A2E6FA" w14:textId="312E891A" w:rsidR="00E5011C" w:rsidRPr="0020551C" w:rsidRDefault="002168D6"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OP1 Mejorar las condiciones para la sostenibilidad de los ecosistemas forestales, otros ecosistemas de vegetación silvestre y de la fauna silvestre</w:t>
            </w:r>
          </w:p>
        </w:tc>
        <w:tc>
          <w:tcPr>
            <w:tcW w:w="2681" w:type="dxa"/>
          </w:tcPr>
          <w:p w14:paraId="4F83E447" w14:textId="5DF78F42" w:rsidR="00E5011C" w:rsidRPr="0020551C" w:rsidRDefault="002168D6"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L1.1 Fortalecer la protección y recuperación de ecosistemas forestales y otros ecosistemas de vegetación silvestre, así como las especies de fauna silvestre y sus hábitats coadyuvando a la mitigación del cambio climático</w:t>
            </w:r>
          </w:p>
        </w:tc>
        <w:tc>
          <w:tcPr>
            <w:tcW w:w="3085" w:type="dxa"/>
          </w:tcPr>
          <w:p w14:paraId="089FB3EF" w14:textId="732F87F9" w:rsidR="002168D6" w:rsidRPr="0020551C" w:rsidRDefault="002E6CE8" w:rsidP="005976BF">
            <w:pPr>
              <w:pStyle w:val="Prrafodelista"/>
              <w:tabs>
                <w:tab w:val="left" w:pos="3375"/>
              </w:tabs>
              <w:ind w:left="0"/>
              <w:jc w:val="both"/>
              <w:rPr>
                <w:rFonts w:ascii="Arial" w:eastAsia="Arial Narrow" w:hAnsi="Arial" w:cs="Arial"/>
                <w:b/>
              </w:rPr>
            </w:pPr>
            <w:r w:rsidRPr="008A26D2">
              <w:rPr>
                <w:rFonts w:ascii="Arial" w:eastAsia="Arial Narrow" w:hAnsi="Arial" w:cs="Arial"/>
                <w:sz w:val="20"/>
                <w:szCs w:val="20"/>
              </w:rPr>
              <w:t>Reconocimiento de hábitats críticos, ecosistemas frágiles y</w:t>
            </w:r>
            <w:r w:rsidRPr="008A26D2">
              <w:rPr>
                <w:rFonts w:ascii="Arial" w:hAnsi="Arial" w:cs="Arial"/>
                <w:sz w:val="20"/>
                <w:szCs w:val="20"/>
              </w:rPr>
              <w:t xml:space="preserve"> zonas prioritarias para la conservación de los recursos genéticos de flora y fauna silvestre</w:t>
            </w:r>
            <w:r w:rsidRPr="008A26D2">
              <w:rPr>
                <w:rFonts w:ascii="Arial" w:eastAsia="Arial Narrow" w:hAnsi="Arial" w:cs="Arial"/>
                <w:sz w:val="20"/>
                <w:szCs w:val="20"/>
              </w:rPr>
              <w:t xml:space="preserve"> de forma fiable para las entidades con competencias en materia forestal y de fauna silvestre</w:t>
            </w:r>
            <w:r w:rsidR="002168D6" w:rsidRPr="0020551C">
              <w:rPr>
                <w:rFonts w:ascii="Arial" w:eastAsia="Arial Narrow" w:hAnsi="Arial" w:cs="Arial"/>
                <w:sz w:val="20"/>
                <w:szCs w:val="20"/>
              </w:rPr>
              <w:t>.</w:t>
            </w:r>
          </w:p>
          <w:p w14:paraId="11D9615F" w14:textId="43DCCC8A" w:rsidR="002168D6" w:rsidRPr="0020551C" w:rsidRDefault="002168D6" w:rsidP="005976BF">
            <w:pPr>
              <w:jc w:val="both"/>
              <w:rPr>
                <w:rFonts w:ascii="Arial" w:hAnsi="Arial" w:cs="Arial"/>
              </w:rPr>
            </w:pPr>
          </w:p>
        </w:tc>
        <w:tc>
          <w:tcPr>
            <w:tcW w:w="2268" w:type="dxa"/>
          </w:tcPr>
          <w:p w14:paraId="5B74FD3F" w14:textId="77777777" w:rsidR="002168D6" w:rsidRPr="0020551C" w:rsidRDefault="002168D6" w:rsidP="005976BF">
            <w:pPr>
              <w:ind w:left="55"/>
              <w:jc w:val="both"/>
              <w:rPr>
                <w:rFonts w:ascii="Arial" w:eastAsia="Arial Narrow" w:hAnsi="Arial" w:cs="Arial"/>
                <w:sz w:val="20"/>
                <w:szCs w:val="20"/>
              </w:rPr>
            </w:pPr>
            <w:r w:rsidRPr="0020551C">
              <w:rPr>
                <w:rFonts w:ascii="Arial" w:eastAsia="Arial Narrow" w:hAnsi="Arial" w:cs="Arial"/>
                <w:sz w:val="20"/>
                <w:szCs w:val="20"/>
              </w:rPr>
              <w:t>Servicio Nacional Forestal y de Fauna Silvestre - SERFOR,</w:t>
            </w:r>
          </w:p>
          <w:p w14:paraId="5B792A5D" w14:textId="6F0452EF" w:rsidR="00E5011C" w:rsidRPr="0020551C" w:rsidRDefault="002168D6"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Gobierno</w:t>
            </w:r>
            <w:r w:rsidR="009C5D49">
              <w:rPr>
                <w:rFonts w:ascii="Arial" w:eastAsia="Arial Narrow" w:hAnsi="Arial" w:cs="Arial"/>
                <w:sz w:val="20"/>
                <w:szCs w:val="20"/>
              </w:rPr>
              <w:t>s</w:t>
            </w:r>
            <w:r w:rsidRPr="0020551C">
              <w:rPr>
                <w:rFonts w:ascii="Arial" w:eastAsia="Arial Narrow" w:hAnsi="Arial" w:cs="Arial"/>
                <w:sz w:val="20"/>
                <w:szCs w:val="20"/>
              </w:rPr>
              <w:t xml:space="preserve"> Regional</w:t>
            </w:r>
            <w:r w:rsidR="009C5D49">
              <w:rPr>
                <w:rFonts w:ascii="Arial" w:eastAsia="Arial Narrow" w:hAnsi="Arial" w:cs="Arial"/>
                <w:sz w:val="20"/>
                <w:szCs w:val="20"/>
              </w:rPr>
              <w:t>es</w:t>
            </w:r>
            <w:r w:rsidRPr="0020551C">
              <w:rPr>
                <w:rFonts w:ascii="Arial" w:eastAsia="Arial Narrow" w:hAnsi="Arial" w:cs="Arial"/>
                <w:sz w:val="20"/>
                <w:szCs w:val="20"/>
              </w:rPr>
              <w:t xml:space="preserve"> - GORE.</w:t>
            </w:r>
          </w:p>
        </w:tc>
        <w:tc>
          <w:tcPr>
            <w:tcW w:w="2410" w:type="dxa"/>
          </w:tcPr>
          <w:p w14:paraId="525B1C1C" w14:textId="395121BD" w:rsidR="00E5011C" w:rsidRPr="0020551C" w:rsidRDefault="002168D6"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Entidades con competencias en materia forestal y de fauna silvestre</w:t>
            </w:r>
          </w:p>
        </w:tc>
      </w:tr>
      <w:tr w:rsidR="00F40C73" w:rsidRPr="0020551C" w14:paraId="13C06661" w14:textId="77777777" w:rsidTr="005976BF">
        <w:tc>
          <w:tcPr>
            <w:tcW w:w="1049" w:type="dxa"/>
          </w:tcPr>
          <w:p w14:paraId="5B839BAE" w14:textId="6CAFD574" w:rsidR="00F40C73" w:rsidRPr="0020551C" w:rsidRDefault="00F40C73" w:rsidP="005976BF">
            <w:pPr>
              <w:pStyle w:val="Prrafodelista"/>
              <w:tabs>
                <w:tab w:val="left" w:pos="3375"/>
              </w:tabs>
              <w:ind w:left="0"/>
              <w:jc w:val="both"/>
              <w:rPr>
                <w:rFonts w:ascii="Arial" w:eastAsia="Arial Narrow" w:hAnsi="Arial" w:cs="Arial"/>
                <w:b/>
              </w:rPr>
            </w:pPr>
            <w:r w:rsidRPr="0020551C">
              <w:rPr>
                <w:rFonts w:ascii="Arial" w:eastAsia="Arial Narrow" w:hAnsi="Arial" w:cs="Arial"/>
                <w:color w:val="000000" w:themeColor="text1"/>
                <w:sz w:val="20"/>
                <w:szCs w:val="20"/>
              </w:rPr>
              <w:t>S1.1.2</w:t>
            </w:r>
          </w:p>
        </w:tc>
        <w:tc>
          <w:tcPr>
            <w:tcW w:w="2536" w:type="dxa"/>
          </w:tcPr>
          <w:p w14:paraId="47C8CD72" w14:textId="6BABEC6D" w:rsidR="00F40C73" w:rsidRPr="0020551C" w:rsidRDefault="00F40C73"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OP1 Mejorar las condiciones para la sostenibilidad de los ecosistemas forestales, otros ecosistemas de vegetación silvestre y de la fauna silvestre</w:t>
            </w:r>
          </w:p>
        </w:tc>
        <w:tc>
          <w:tcPr>
            <w:tcW w:w="2681" w:type="dxa"/>
          </w:tcPr>
          <w:p w14:paraId="7D7E6255" w14:textId="3D9A0E94" w:rsidR="00F40C73" w:rsidRPr="0020551C" w:rsidRDefault="00F40C73"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L1.1 Fortalecer la protección y recuperación de ecosistemas forestales y otros ecosistemas de vegetación silvestre, así como las especies de fauna silvestre y sus hábitats coadyuvando a la mitigación del cambio climático</w:t>
            </w:r>
          </w:p>
        </w:tc>
        <w:tc>
          <w:tcPr>
            <w:tcW w:w="3085" w:type="dxa"/>
          </w:tcPr>
          <w:p w14:paraId="748F4180" w14:textId="4A0C2A61" w:rsidR="00F40C73" w:rsidRPr="0020551C" w:rsidRDefault="002E6CE8" w:rsidP="005976BF">
            <w:pPr>
              <w:pStyle w:val="Prrafodelista"/>
              <w:tabs>
                <w:tab w:val="left" w:pos="3375"/>
              </w:tabs>
              <w:ind w:left="0"/>
              <w:jc w:val="both"/>
              <w:rPr>
                <w:rFonts w:ascii="Arial" w:eastAsia="Arial Narrow" w:hAnsi="Arial" w:cs="Arial"/>
                <w:b/>
              </w:rPr>
            </w:pPr>
            <w:r w:rsidRPr="008A26D2">
              <w:rPr>
                <w:rFonts w:ascii="Arial" w:eastAsia="Arial Narrow" w:hAnsi="Arial" w:cs="Arial"/>
                <w:sz w:val="20"/>
                <w:szCs w:val="20"/>
              </w:rPr>
              <w:t>Vigilancia y monitoreo de las enfermedades que afectan a la fauna silvestre y de agentes zoonóticos potenciales de forma continua en beneficio de la población</w:t>
            </w:r>
          </w:p>
        </w:tc>
        <w:tc>
          <w:tcPr>
            <w:tcW w:w="2268" w:type="dxa"/>
          </w:tcPr>
          <w:p w14:paraId="36D0B79F" w14:textId="36101689" w:rsidR="00F40C73" w:rsidRPr="0020551C" w:rsidRDefault="00F40C73" w:rsidP="005976BF">
            <w:pPr>
              <w:pStyle w:val="Prrafodelista"/>
              <w:tabs>
                <w:tab w:val="left" w:pos="3375"/>
              </w:tabs>
              <w:ind w:left="0"/>
              <w:jc w:val="both"/>
              <w:rPr>
                <w:rFonts w:ascii="Arial" w:eastAsia="Arial Narrow" w:hAnsi="Arial" w:cs="Arial"/>
                <w:b/>
              </w:rPr>
            </w:pPr>
            <w:r w:rsidRPr="0020551C">
              <w:rPr>
                <w:rFonts w:ascii="Arial" w:eastAsia="Arial Narrow" w:hAnsi="Arial" w:cs="Arial"/>
                <w:color w:val="000000" w:themeColor="text1"/>
                <w:sz w:val="20"/>
                <w:szCs w:val="20"/>
              </w:rPr>
              <w:t>Servicio Nacional Forestal y de Fauna Silvestre - SERFOR</w:t>
            </w:r>
          </w:p>
        </w:tc>
        <w:tc>
          <w:tcPr>
            <w:tcW w:w="2410" w:type="dxa"/>
          </w:tcPr>
          <w:p w14:paraId="0739BED1" w14:textId="77777777" w:rsidR="00F40C73" w:rsidRPr="0020551C" w:rsidRDefault="00F40C73" w:rsidP="005976BF">
            <w:pPr>
              <w:pBdr>
                <w:top w:val="nil"/>
                <w:left w:val="nil"/>
                <w:bottom w:val="nil"/>
                <w:right w:val="nil"/>
                <w:between w:val="nil"/>
              </w:pBdr>
              <w:jc w:val="both"/>
              <w:rPr>
                <w:rFonts w:ascii="Arial" w:eastAsia="Arial Narrow" w:hAnsi="Arial" w:cs="Arial"/>
                <w:color w:val="000000" w:themeColor="text1"/>
                <w:sz w:val="20"/>
                <w:szCs w:val="20"/>
              </w:rPr>
            </w:pPr>
            <w:r w:rsidRPr="0020551C">
              <w:rPr>
                <w:rFonts w:ascii="Arial" w:eastAsia="Arial Narrow" w:hAnsi="Arial" w:cs="Arial"/>
                <w:color w:val="000000" w:themeColor="text1"/>
                <w:sz w:val="20"/>
                <w:szCs w:val="20"/>
              </w:rPr>
              <w:t>Población en general</w:t>
            </w:r>
          </w:p>
          <w:p w14:paraId="00212CCD" w14:textId="77777777" w:rsidR="00F40C73" w:rsidRPr="0020551C" w:rsidRDefault="00F40C73" w:rsidP="005976BF">
            <w:pPr>
              <w:pStyle w:val="Prrafodelista"/>
              <w:tabs>
                <w:tab w:val="left" w:pos="3375"/>
              </w:tabs>
              <w:ind w:left="0"/>
              <w:jc w:val="both"/>
              <w:rPr>
                <w:rFonts w:ascii="Arial" w:eastAsia="Arial Narrow" w:hAnsi="Arial" w:cs="Arial"/>
                <w:b/>
              </w:rPr>
            </w:pPr>
          </w:p>
        </w:tc>
      </w:tr>
      <w:tr w:rsidR="00F40C73" w:rsidRPr="0020551C" w14:paraId="526A40F0" w14:textId="77777777" w:rsidTr="005976BF">
        <w:tc>
          <w:tcPr>
            <w:tcW w:w="1049" w:type="dxa"/>
          </w:tcPr>
          <w:p w14:paraId="16802695" w14:textId="66D23BA7" w:rsidR="00F40C73" w:rsidRPr="0020551C" w:rsidRDefault="00F40C73" w:rsidP="005976BF">
            <w:pPr>
              <w:pStyle w:val="Prrafodelista"/>
              <w:tabs>
                <w:tab w:val="left" w:pos="3375"/>
              </w:tabs>
              <w:ind w:left="0"/>
              <w:jc w:val="both"/>
              <w:rPr>
                <w:rFonts w:ascii="Arial" w:eastAsia="Arial Narrow" w:hAnsi="Arial" w:cs="Arial"/>
                <w:b/>
              </w:rPr>
            </w:pPr>
            <w:r w:rsidRPr="0020551C">
              <w:rPr>
                <w:rFonts w:ascii="Arial" w:eastAsia="Arial Narrow" w:hAnsi="Arial" w:cs="Arial"/>
                <w:color w:val="000000" w:themeColor="text1"/>
                <w:sz w:val="20"/>
                <w:szCs w:val="20"/>
              </w:rPr>
              <w:t xml:space="preserve">S1.1.3   </w:t>
            </w:r>
          </w:p>
        </w:tc>
        <w:tc>
          <w:tcPr>
            <w:tcW w:w="2536" w:type="dxa"/>
          </w:tcPr>
          <w:p w14:paraId="572449AA" w14:textId="673B9CBF" w:rsidR="00F40C73" w:rsidRPr="0020551C" w:rsidRDefault="00F40C73"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OP1 Mejorar las condiciones para la sostenibilidad de los ecosistemas forestales, otros ecosistemas de vegetación silvestre y de la fauna silvestre</w:t>
            </w:r>
          </w:p>
        </w:tc>
        <w:tc>
          <w:tcPr>
            <w:tcW w:w="2681" w:type="dxa"/>
          </w:tcPr>
          <w:p w14:paraId="262AF055" w14:textId="74F9357B" w:rsidR="00F40C73" w:rsidRPr="0020551C" w:rsidRDefault="00F40C73"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L1.1 Fortalecer la protección y recuperación de ecosistemas forestales y otros ecosistemas de vegetación silvestre, así como las especies de fauna silvestre y sus hábitats coadyuvando a la mitigación del cambio climático</w:t>
            </w:r>
          </w:p>
        </w:tc>
        <w:tc>
          <w:tcPr>
            <w:tcW w:w="3085" w:type="dxa"/>
          </w:tcPr>
          <w:p w14:paraId="5852B64F" w14:textId="553CA7C1" w:rsidR="00F40C73" w:rsidRPr="0020551C" w:rsidRDefault="002E6CE8" w:rsidP="005976BF">
            <w:pPr>
              <w:pStyle w:val="Prrafodelista"/>
              <w:tabs>
                <w:tab w:val="left" w:pos="3375"/>
              </w:tabs>
              <w:ind w:left="0"/>
              <w:jc w:val="both"/>
              <w:rPr>
                <w:rFonts w:ascii="Arial" w:eastAsia="Arial Narrow" w:hAnsi="Arial" w:cs="Arial"/>
                <w:b/>
              </w:rPr>
            </w:pPr>
            <w:r w:rsidRPr="008A26D2">
              <w:rPr>
                <w:rFonts w:ascii="Arial" w:eastAsia="Arial Narrow" w:hAnsi="Arial" w:cs="Arial"/>
                <w:sz w:val="20"/>
                <w:szCs w:val="20"/>
              </w:rPr>
              <w:t>Asistencia técnica en gestión de riesgos ante incendios forestales de forma pertinente a los gobiernos regionales</w:t>
            </w:r>
          </w:p>
        </w:tc>
        <w:tc>
          <w:tcPr>
            <w:tcW w:w="2268" w:type="dxa"/>
          </w:tcPr>
          <w:p w14:paraId="7828CED6" w14:textId="11B88280" w:rsidR="00F40C73" w:rsidRPr="0020551C" w:rsidRDefault="00F40C73" w:rsidP="005976BF">
            <w:pPr>
              <w:pStyle w:val="Prrafodelista"/>
              <w:tabs>
                <w:tab w:val="left" w:pos="3375"/>
              </w:tabs>
              <w:ind w:left="0"/>
              <w:jc w:val="both"/>
              <w:rPr>
                <w:rFonts w:ascii="Arial" w:eastAsia="Arial Narrow" w:hAnsi="Arial" w:cs="Arial"/>
                <w:b/>
              </w:rPr>
            </w:pPr>
            <w:r w:rsidRPr="0020551C">
              <w:rPr>
                <w:rFonts w:ascii="Arial" w:eastAsia="Arial Narrow" w:hAnsi="Arial" w:cs="Arial"/>
                <w:color w:val="000000" w:themeColor="text1"/>
                <w:sz w:val="20"/>
                <w:szCs w:val="20"/>
              </w:rPr>
              <w:t>Servicio Nacional Forestal y de fauna Silvestre – SERFOR</w:t>
            </w:r>
          </w:p>
        </w:tc>
        <w:tc>
          <w:tcPr>
            <w:tcW w:w="2410" w:type="dxa"/>
          </w:tcPr>
          <w:p w14:paraId="5093D549" w14:textId="5F039069" w:rsidR="00F40C73" w:rsidRPr="0020551C" w:rsidRDefault="00F40C73" w:rsidP="005976BF">
            <w:pPr>
              <w:pStyle w:val="Prrafodelista"/>
              <w:tabs>
                <w:tab w:val="left" w:pos="3375"/>
              </w:tabs>
              <w:ind w:left="0"/>
              <w:jc w:val="both"/>
              <w:rPr>
                <w:rFonts w:ascii="Arial" w:eastAsia="Arial Narrow" w:hAnsi="Arial" w:cs="Arial"/>
                <w:b/>
              </w:rPr>
            </w:pPr>
            <w:r w:rsidRPr="0020551C">
              <w:rPr>
                <w:rFonts w:ascii="Arial" w:eastAsia="Arial Narrow" w:hAnsi="Arial" w:cs="Arial"/>
                <w:color w:val="000000" w:themeColor="text1"/>
                <w:sz w:val="20"/>
                <w:szCs w:val="20"/>
              </w:rPr>
              <w:t>Gobiernos regionales</w:t>
            </w:r>
          </w:p>
        </w:tc>
      </w:tr>
      <w:tr w:rsidR="00F40C73" w:rsidRPr="0020551C" w14:paraId="499030B7" w14:textId="77777777" w:rsidTr="005976BF">
        <w:tc>
          <w:tcPr>
            <w:tcW w:w="1049" w:type="dxa"/>
          </w:tcPr>
          <w:p w14:paraId="211FCB7A" w14:textId="37FD8B07" w:rsidR="00F40C73" w:rsidRPr="0020551C" w:rsidRDefault="00F40C73"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lastRenderedPageBreak/>
              <w:t>S1.2.1</w:t>
            </w:r>
          </w:p>
        </w:tc>
        <w:tc>
          <w:tcPr>
            <w:tcW w:w="2536" w:type="dxa"/>
          </w:tcPr>
          <w:p w14:paraId="514A14D9" w14:textId="622D8ECD" w:rsidR="00F40C73" w:rsidRPr="0020551C" w:rsidRDefault="00F40C73"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OP1 Mejorar las condiciones para la sostenibilidad de los ecosistemas forestales, otros ecosistemas de vegetación silvestre y de la fauna silvestre</w:t>
            </w:r>
          </w:p>
        </w:tc>
        <w:tc>
          <w:tcPr>
            <w:tcW w:w="2681" w:type="dxa"/>
          </w:tcPr>
          <w:p w14:paraId="220EA49F" w14:textId="6C064C16" w:rsidR="00F40C73" w:rsidRPr="0020551C" w:rsidRDefault="00F40C73"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L1.2 Incrementar la superficie de plantaciones forestales y sistemas agroforestales</w:t>
            </w:r>
          </w:p>
        </w:tc>
        <w:tc>
          <w:tcPr>
            <w:tcW w:w="3085" w:type="dxa"/>
          </w:tcPr>
          <w:p w14:paraId="26CE2ECC" w14:textId="0CBECB0E" w:rsidR="00F40C73" w:rsidRPr="0020551C" w:rsidRDefault="002E6CE8" w:rsidP="005976BF">
            <w:pPr>
              <w:pStyle w:val="Prrafodelista"/>
              <w:tabs>
                <w:tab w:val="left" w:pos="3375"/>
              </w:tabs>
              <w:ind w:left="0"/>
              <w:jc w:val="both"/>
              <w:rPr>
                <w:rFonts w:ascii="Arial" w:eastAsia="Arial Narrow" w:hAnsi="Arial" w:cs="Arial"/>
                <w:b/>
              </w:rPr>
            </w:pPr>
            <w:r w:rsidRPr="008A26D2">
              <w:rPr>
                <w:rFonts w:ascii="Arial" w:eastAsia="Arial Narrow" w:hAnsi="Arial" w:cs="Arial"/>
                <w:sz w:val="20"/>
                <w:szCs w:val="20"/>
              </w:rPr>
              <w:t>Fortalecimiento de capacidades en materia de plantaciones forestales y sistemas agroforestales de forma satisfactoria a los productores agrarios y organizaciones campesinas y nativas</w:t>
            </w:r>
            <w:r w:rsidR="00F40C73" w:rsidRPr="0020551C">
              <w:rPr>
                <w:rFonts w:ascii="Arial" w:eastAsia="Arial Narrow" w:hAnsi="Arial" w:cs="Arial"/>
                <w:sz w:val="20"/>
                <w:szCs w:val="20"/>
              </w:rPr>
              <w:t>.</w:t>
            </w:r>
          </w:p>
        </w:tc>
        <w:tc>
          <w:tcPr>
            <w:tcW w:w="2268" w:type="dxa"/>
          </w:tcPr>
          <w:p w14:paraId="6E1BE88A" w14:textId="77777777" w:rsidR="00F40C73" w:rsidRPr="0020551C" w:rsidRDefault="00F40C73" w:rsidP="005976BF">
            <w:pPr>
              <w:pBdr>
                <w:top w:val="nil"/>
                <w:left w:val="nil"/>
                <w:bottom w:val="nil"/>
                <w:right w:val="nil"/>
                <w:between w:val="nil"/>
              </w:pBdr>
              <w:ind w:left="42"/>
              <w:jc w:val="both"/>
              <w:rPr>
                <w:rFonts w:ascii="Arial" w:eastAsia="Arial Narrow" w:hAnsi="Arial" w:cs="Arial"/>
                <w:sz w:val="20"/>
                <w:szCs w:val="20"/>
              </w:rPr>
            </w:pPr>
            <w:r w:rsidRPr="0020551C">
              <w:rPr>
                <w:rFonts w:ascii="Arial" w:eastAsia="Arial Narrow" w:hAnsi="Arial" w:cs="Arial"/>
                <w:sz w:val="20"/>
                <w:szCs w:val="20"/>
              </w:rPr>
              <w:t>Servicio Nacional Forestal y de Fauna Silvestre – SERFOR;</w:t>
            </w:r>
          </w:p>
          <w:p w14:paraId="720B3E2E" w14:textId="77777777" w:rsidR="002E6CE8" w:rsidRDefault="002E6CE8" w:rsidP="005976BF">
            <w:pPr>
              <w:pStyle w:val="Prrafodelista"/>
              <w:tabs>
                <w:tab w:val="left" w:pos="3375"/>
              </w:tabs>
              <w:ind w:left="0"/>
              <w:jc w:val="both"/>
              <w:rPr>
                <w:rFonts w:ascii="Arial" w:eastAsia="Arial Narrow" w:hAnsi="Arial" w:cs="Arial"/>
                <w:sz w:val="20"/>
                <w:szCs w:val="20"/>
              </w:rPr>
            </w:pPr>
          </w:p>
          <w:p w14:paraId="4EE60314" w14:textId="70045A5B" w:rsidR="00F40C73" w:rsidRPr="0020551C" w:rsidRDefault="00F40C73"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Programa de Desarrollo Productivo Agrario Rural – AGRORURAL</w:t>
            </w:r>
          </w:p>
        </w:tc>
        <w:tc>
          <w:tcPr>
            <w:tcW w:w="2410" w:type="dxa"/>
          </w:tcPr>
          <w:p w14:paraId="6910EE3B" w14:textId="1DB91E95" w:rsidR="00F40C73" w:rsidRPr="0020551C" w:rsidRDefault="00F40C73"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Productores agrarios</w:t>
            </w:r>
            <w:r w:rsidR="002E6CE8">
              <w:rPr>
                <w:rFonts w:ascii="Arial" w:eastAsia="Arial Narrow" w:hAnsi="Arial" w:cs="Arial"/>
                <w:sz w:val="20"/>
                <w:szCs w:val="20"/>
              </w:rPr>
              <w:t xml:space="preserve"> </w:t>
            </w:r>
            <w:r w:rsidR="002E6CE8" w:rsidRPr="008A26D2">
              <w:rPr>
                <w:rFonts w:ascii="Arial" w:eastAsia="Arial Narrow" w:hAnsi="Arial" w:cs="Arial"/>
                <w:sz w:val="20"/>
                <w:szCs w:val="20"/>
              </w:rPr>
              <w:t>y organizaciones campesinas y nativas</w:t>
            </w:r>
          </w:p>
        </w:tc>
      </w:tr>
      <w:tr w:rsidR="00D12836" w:rsidRPr="0020551C" w14:paraId="1AF12554" w14:textId="77777777" w:rsidTr="005976BF">
        <w:tc>
          <w:tcPr>
            <w:tcW w:w="1049" w:type="dxa"/>
          </w:tcPr>
          <w:p w14:paraId="0241B0F7" w14:textId="3644202C" w:rsidR="00D12836" w:rsidRPr="0020551C" w:rsidRDefault="00D12836"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S1.2.2</w:t>
            </w:r>
          </w:p>
        </w:tc>
        <w:tc>
          <w:tcPr>
            <w:tcW w:w="2536" w:type="dxa"/>
          </w:tcPr>
          <w:p w14:paraId="3BA9A9CF" w14:textId="27BF1E43" w:rsidR="00D12836" w:rsidRPr="0020551C" w:rsidRDefault="00D12836"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OP1 Mejorar las condiciones para la sostenibilidad de los ecosistemas forestales, otros ecosistemas de vegetación silvestre y de la fauna silvestre</w:t>
            </w:r>
          </w:p>
        </w:tc>
        <w:tc>
          <w:tcPr>
            <w:tcW w:w="2681" w:type="dxa"/>
          </w:tcPr>
          <w:p w14:paraId="76E42F0E" w14:textId="69F8C8E7" w:rsidR="00D12836" w:rsidRPr="0020551C" w:rsidRDefault="00D12836"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L1.2 Incrementar la superficie de plantaciones forestales y sistemas agroforestales</w:t>
            </w:r>
          </w:p>
        </w:tc>
        <w:tc>
          <w:tcPr>
            <w:tcW w:w="3085" w:type="dxa"/>
          </w:tcPr>
          <w:p w14:paraId="2AEE2984" w14:textId="230CED95" w:rsidR="00D12836" w:rsidRPr="0020551C" w:rsidRDefault="002E6CE8" w:rsidP="005976BF">
            <w:pPr>
              <w:pStyle w:val="Prrafodelista"/>
              <w:tabs>
                <w:tab w:val="left" w:pos="3375"/>
              </w:tabs>
              <w:ind w:left="0"/>
              <w:jc w:val="both"/>
              <w:rPr>
                <w:rFonts w:ascii="Arial" w:eastAsia="Arial Narrow" w:hAnsi="Arial" w:cs="Arial"/>
                <w:b/>
              </w:rPr>
            </w:pPr>
            <w:r w:rsidRPr="008A26D2">
              <w:rPr>
                <w:rFonts w:ascii="Arial" w:eastAsia="Arial Narrow" w:hAnsi="Arial" w:cs="Arial"/>
                <w:sz w:val="20"/>
                <w:szCs w:val="20"/>
              </w:rPr>
              <w:t>Instalación de plantaciones forestales y sistemas agroforestales de forma oportuna en beneficio de los productores agrarios</w:t>
            </w:r>
          </w:p>
        </w:tc>
        <w:tc>
          <w:tcPr>
            <w:tcW w:w="2268" w:type="dxa"/>
          </w:tcPr>
          <w:p w14:paraId="6803AF22" w14:textId="77777777" w:rsidR="00CF7B1C" w:rsidRDefault="00CF7B1C" w:rsidP="005976BF">
            <w:pPr>
              <w:pBdr>
                <w:top w:val="nil"/>
                <w:left w:val="nil"/>
                <w:bottom w:val="nil"/>
                <w:right w:val="nil"/>
                <w:between w:val="nil"/>
              </w:pBdr>
              <w:jc w:val="both"/>
              <w:rPr>
                <w:rFonts w:ascii="Arial" w:eastAsia="Arial Narrow" w:hAnsi="Arial" w:cs="Arial"/>
                <w:sz w:val="20"/>
                <w:szCs w:val="20"/>
              </w:rPr>
            </w:pPr>
            <w:r w:rsidRPr="0020551C">
              <w:rPr>
                <w:rFonts w:ascii="Arial" w:eastAsia="Arial Narrow" w:hAnsi="Arial" w:cs="Arial"/>
                <w:sz w:val="20"/>
                <w:szCs w:val="20"/>
              </w:rPr>
              <w:t>Servicio Nacional Forestal y de Fauna Silvestre – SERFOR;</w:t>
            </w:r>
          </w:p>
          <w:p w14:paraId="3A1DCC72" w14:textId="77777777" w:rsidR="002E6CE8" w:rsidRPr="0020551C" w:rsidRDefault="002E6CE8" w:rsidP="005976BF">
            <w:pPr>
              <w:pBdr>
                <w:top w:val="nil"/>
                <w:left w:val="nil"/>
                <w:bottom w:val="nil"/>
                <w:right w:val="nil"/>
                <w:between w:val="nil"/>
              </w:pBdr>
              <w:jc w:val="both"/>
              <w:rPr>
                <w:rFonts w:ascii="Arial" w:eastAsia="Arial Narrow" w:hAnsi="Arial" w:cs="Arial"/>
                <w:sz w:val="20"/>
                <w:szCs w:val="20"/>
              </w:rPr>
            </w:pPr>
          </w:p>
          <w:p w14:paraId="0DBB897E" w14:textId="7062923A" w:rsidR="00D12836" w:rsidRPr="0020551C" w:rsidRDefault="00CF7B1C"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Programa de Desarrollo Productivo Agrario Rural – AGRORURAL</w:t>
            </w:r>
          </w:p>
        </w:tc>
        <w:tc>
          <w:tcPr>
            <w:tcW w:w="2410" w:type="dxa"/>
          </w:tcPr>
          <w:p w14:paraId="6E9666C2" w14:textId="62D2908A" w:rsidR="00D12836" w:rsidRPr="0020551C" w:rsidRDefault="00A0470D"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Productores agrarios</w:t>
            </w:r>
          </w:p>
        </w:tc>
      </w:tr>
      <w:tr w:rsidR="00D12836" w:rsidRPr="0020551C" w14:paraId="60E84930" w14:textId="77777777" w:rsidTr="005976BF">
        <w:tc>
          <w:tcPr>
            <w:tcW w:w="1049" w:type="dxa"/>
          </w:tcPr>
          <w:p w14:paraId="04B44BB5" w14:textId="67BBA3F9" w:rsidR="00D12836" w:rsidRPr="0020551C" w:rsidRDefault="00A0470D"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S1.3.1</w:t>
            </w:r>
          </w:p>
        </w:tc>
        <w:tc>
          <w:tcPr>
            <w:tcW w:w="2536" w:type="dxa"/>
          </w:tcPr>
          <w:p w14:paraId="13C91E99" w14:textId="1BD306A3" w:rsidR="00D12836" w:rsidRPr="0020551C" w:rsidRDefault="00A0470D"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OP1 Mejorar las condiciones para la sostenibilidad de los ecosistemas forestales, otros ecosistemas de vegetación silvestre y de la fauna silvestre</w:t>
            </w:r>
          </w:p>
        </w:tc>
        <w:tc>
          <w:tcPr>
            <w:tcW w:w="2681" w:type="dxa"/>
          </w:tcPr>
          <w:p w14:paraId="25A77DC5" w14:textId="07C3122E" w:rsidR="00D12836" w:rsidRPr="0020551C" w:rsidRDefault="00A0470D"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L1.3 Desarrollar estrategias de restauración y recuperación de los ecosistemas forestales y otros ecosistemas de vegetación silvestre deforestados o degradados</w:t>
            </w:r>
          </w:p>
        </w:tc>
        <w:tc>
          <w:tcPr>
            <w:tcW w:w="3085" w:type="dxa"/>
          </w:tcPr>
          <w:p w14:paraId="2590AC29" w14:textId="663C03AB" w:rsidR="00D12836" w:rsidRPr="0020551C" w:rsidRDefault="002E6CE8" w:rsidP="005976BF">
            <w:pPr>
              <w:pStyle w:val="Prrafodelista"/>
              <w:tabs>
                <w:tab w:val="left" w:pos="3375"/>
              </w:tabs>
              <w:ind w:left="0"/>
              <w:jc w:val="both"/>
              <w:rPr>
                <w:rFonts w:ascii="Arial" w:eastAsia="Arial Narrow" w:hAnsi="Arial" w:cs="Arial"/>
                <w:b/>
              </w:rPr>
            </w:pPr>
            <w:r w:rsidRPr="008A26D2">
              <w:rPr>
                <w:rFonts w:ascii="Arial" w:eastAsia="Arial Narrow" w:hAnsi="Arial" w:cs="Arial"/>
                <w:sz w:val="20"/>
                <w:szCs w:val="20"/>
              </w:rPr>
              <w:t>Fortalecimiento de capacidades para la identificación de áreas degradadas en ecosistemas terrestres, accesible a gobiernos regionales</w:t>
            </w:r>
            <w:r w:rsidR="00A0470D" w:rsidRPr="0020551C">
              <w:rPr>
                <w:rFonts w:ascii="Arial" w:eastAsia="Arial Narrow" w:hAnsi="Arial" w:cs="Arial"/>
                <w:sz w:val="20"/>
                <w:szCs w:val="20"/>
              </w:rPr>
              <w:t>.</w:t>
            </w:r>
          </w:p>
        </w:tc>
        <w:tc>
          <w:tcPr>
            <w:tcW w:w="2268" w:type="dxa"/>
          </w:tcPr>
          <w:p w14:paraId="3A296036" w14:textId="1C139013" w:rsidR="00D12836" w:rsidRPr="0020551C" w:rsidRDefault="00A0470D"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Ministerio del Ambiente – MINAM</w:t>
            </w:r>
          </w:p>
        </w:tc>
        <w:tc>
          <w:tcPr>
            <w:tcW w:w="2410" w:type="dxa"/>
          </w:tcPr>
          <w:p w14:paraId="605CBDC0" w14:textId="11FE9164" w:rsidR="00D12836" w:rsidRPr="0020551C" w:rsidRDefault="00A0470D"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Gobiernos Regionales</w:t>
            </w:r>
          </w:p>
        </w:tc>
      </w:tr>
      <w:tr w:rsidR="00A0470D" w:rsidRPr="0020551C" w14:paraId="2B4C1DA4" w14:textId="77777777" w:rsidTr="005976BF">
        <w:tc>
          <w:tcPr>
            <w:tcW w:w="1049" w:type="dxa"/>
          </w:tcPr>
          <w:p w14:paraId="423EE64F" w14:textId="1227941C" w:rsidR="00A0470D" w:rsidRPr="0020551C" w:rsidRDefault="00A0470D"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S1.3.2</w:t>
            </w:r>
          </w:p>
        </w:tc>
        <w:tc>
          <w:tcPr>
            <w:tcW w:w="2536" w:type="dxa"/>
          </w:tcPr>
          <w:p w14:paraId="02164164" w14:textId="1D24F118" w:rsidR="00A0470D" w:rsidRPr="0020551C" w:rsidRDefault="00A0470D"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OP1 Mejorar las condiciones para la sostenibilidad de los ecosistemas forestales, otros ecosistemas de vegetación silvestre y de la fauna silvestre</w:t>
            </w:r>
          </w:p>
        </w:tc>
        <w:tc>
          <w:tcPr>
            <w:tcW w:w="2681" w:type="dxa"/>
          </w:tcPr>
          <w:p w14:paraId="2AD740E4" w14:textId="2D41E6FC" w:rsidR="00A0470D" w:rsidRPr="0020551C" w:rsidRDefault="00A0470D"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L1.3 Desarrollar estrategias de restauración y recuperación de los ecosistemas forestales y otros ecosistemas de vegetación silvestre deforestados o degradados</w:t>
            </w:r>
          </w:p>
        </w:tc>
        <w:tc>
          <w:tcPr>
            <w:tcW w:w="3085" w:type="dxa"/>
          </w:tcPr>
          <w:p w14:paraId="1EE14113" w14:textId="72EC32A1" w:rsidR="00A0470D" w:rsidRPr="0020551C" w:rsidRDefault="002E6CE8" w:rsidP="005976BF">
            <w:pPr>
              <w:pStyle w:val="Prrafodelista"/>
              <w:tabs>
                <w:tab w:val="left" w:pos="3375"/>
              </w:tabs>
              <w:ind w:left="0"/>
              <w:jc w:val="both"/>
              <w:rPr>
                <w:rFonts w:ascii="Arial" w:eastAsia="Arial Narrow" w:hAnsi="Arial" w:cs="Arial"/>
                <w:b/>
              </w:rPr>
            </w:pPr>
            <w:r w:rsidRPr="008A26D2">
              <w:rPr>
                <w:rFonts w:ascii="Arial" w:eastAsia="Arial Narrow" w:hAnsi="Arial" w:cs="Arial"/>
                <w:sz w:val="20"/>
                <w:szCs w:val="20"/>
              </w:rPr>
              <w:t>Asistencia técnica y capacitación en materia de restauración de ecosistemas forestales y otros ecosistemas de vegetación silvestre impartidos de forma satisfactoria a los gobiernos regionales, gobiernos locales y usuarios forestales y de fauna silvestre</w:t>
            </w:r>
            <w:r w:rsidR="00A0470D" w:rsidRPr="0020551C">
              <w:rPr>
                <w:rFonts w:ascii="Arial" w:eastAsia="Arial Narrow" w:hAnsi="Arial" w:cs="Arial"/>
                <w:sz w:val="20"/>
                <w:szCs w:val="20"/>
              </w:rPr>
              <w:t>.</w:t>
            </w:r>
          </w:p>
        </w:tc>
        <w:tc>
          <w:tcPr>
            <w:tcW w:w="2268" w:type="dxa"/>
          </w:tcPr>
          <w:p w14:paraId="428A4301" w14:textId="7A4ED713" w:rsidR="00A0470D" w:rsidRPr="0020551C" w:rsidRDefault="00A0470D"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Servicio Nacional Forestal y de Fauna Silvestre - SERFOR</w:t>
            </w:r>
          </w:p>
        </w:tc>
        <w:tc>
          <w:tcPr>
            <w:tcW w:w="2410" w:type="dxa"/>
          </w:tcPr>
          <w:p w14:paraId="06E0978B" w14:textId="77777777" w:rsidR="00A0470D" w:rsidRPr="0020551C" w:rsidRDefault="00A0470D" w:rsidP="005976BF">
            <w:pPr>
              <w:pBdr>
                <w:top w:val="nil"/>
                <w:left w:val="nil"/>
                <w:bottom w:val="nil"/>
                <w:right w:val="nil"/>
                <w:between w:val="nil"/>
              </w:pBdr>
              <w:jc w:val="both"/>
              <w:rPr>
                <w:rFonts w:ascii="Arial" w:eastAsia="Arial Narrow" w:hAnsi="Arial" w:cs="Arial"/>
                <w:sz w:val="20"/>
                <w:szCs w:val="20"/>
              </w:rPr>
            </w:pPr>
            <w:r w:rsidRPr="0020551C">
              <w:rPr>
                <w:rFonts w:ascii="Arial" w:eastAsia="Arial Narrow" w:hAnsi="Arial" w:cs="Arial"/>
                <w:sz w:val="20"/>
                <w:szCs w:val="20"/>
              </w:rPr>
              <w:t>Gobierno regional, gobierno local y usuarios forestales y de fauna silvestre</w:t>
            </w:r>
          </w:p>
          <w:p w14:paraId="4D3953AE" w14:textId="77777777" w:rsidR="00A0470D" w:rsidRPr="0020551C" w:rsidRDefault="00A0470D" w:rsidP="005976BF">
            <w:pPr>
              <w:pStyle w:val="Prrafodelista"/>
              <w:tabs>
                <w:tab w:val="left" w:pos="3375"/>
              </w:tabs>
              <w:ind w:left="0"/>
              <w:jc w:val="both"/>
              <w:rPr>
                <w:rFonts w:ascii="Arial" w:eastAsia="Arial Narrow" w:hAnsi="Arial" w:cs="Arial"/>
                <w:b/>
              </w:rPr>
            </w:pPr>
          </w:p>
        </w:tc>
      </w:tr>
      <w:tr w:rsidR="00A0470D" w:rsidRPr="0020551C" w14:paraId="75C01C2F" w14:textId="77777777" w:rsidTr="005976BF">
        <w:tc>
          <w:tcPr>
            <w:tcW w:w="1049" w:type="dxa"/>
          </w:tcPr>
          <w:p w14:paraId="3F9BC041" w14:textId="219BA905" w:rsidR="00A0470D" w:rsidRPr="0020551C" w:rsidRDefault="00A0470D"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lastRenderedPageBreak/>
              <w:t>S1.3.3</w:t>
            </w:r>
          </w:p>
        </w:tc>
        <w:tc>
          <w:tcPr>
            <w:tcW w:w="2536" w:type="dxa"/>
          </w:tcPr>
          <w:p w14:paraId="552B61F1" w14:textId="68CEE29B" w:rsidR="00A0470D" w:rsidRPr="0020551C" w:rsidRDefault="00A0470D"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OP1 Mejorar las condiciones para la sostenibilidad de los ecosistemas forestales, otros ecosistemas de vegetación silvestre y de la fauna silvestre</w:t>
            </w:r>
          </w:p>
        </w:tc>
        <w:tc>
          <w:tcPr>
            <w:tcW w:w="2681" w:type="dxa"/>
          </w:tcPr>
          <w:p w14:paraId="7C593CB4" w14:textId="63D85482" w:rsidR="00A0470D" w:rsidRPr="0020551C" w:rsidRDefault="00A0470D"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L1.3 Desarrollar estrategias de restauración y recuperación de los ecosistemas forestales y otros ecosistemas de vegetación silvestre deforestados o degradados</w:t>
            </w:r>
          </w:p>
        </w:tc>
        <w:tc>
          <w:tcPr>
            <w:tcW w:w="3085" w:type="dxa"/>
          </w:tcPr>
          <w:p w14:paraId="067AC3A6" w14:textId="65482C7D" w:rsidR="00A0470D" w:rsidRPr="0020551C" w:rsidRDefault="002E6CE8" w:rsidP="005976BF">
            <w:pPr>
              <w:pStyle w:val="Prrafodelista"/>
              <w:tabs>
                <w:tab w:val="left" w:pos="3375"/>
              </w:tabs>
              <w:ind w:left="0"/>
              <w:jc w:val="both"/>
              <w:rPr>
                <w:rFonts w:ascii="Arial" w:eastAsia="Arial Narrow" w:hAnsi="Arial" w:cs="Arial"/>
                <w:b/>
              </w:rPr>
            </w:pPr>
            <w:r w:rsidRPr="008A26D2">
              <w:rPr>
                <w:rFonts w:ascii="Arial" w:eastAsia="Arial Narrow" w:hAnsi="Arial" w:cs="Arial"/>
                <w:sz w:val="20"/>
                <w:szCs w:val="20"/>
              </w:rPr>
              <w:t>Asistencia técnica para la formulación de proyectos de inversión pública destinados a la recuperación de áreas degradadas en zonas de influencia de cultivos ilícitos, mediante la reforestación, de forma pertinente a los gobiernos regionales y gobiernos locales</w:t>
            </w:r>
          </w:p>
        </w:tc>
        <w:tc>
          <w:tcPr>
            <w:tcW w:w="2268" w:type="dxa"/>
          </w:tcPr>
          <w:p w14:paraId="2EB06D54" w14:textId="4D02D02C" w:rsidR="00A0470D" w:rsidRPr="0020551C" w:rsidRDefault="00A0470D"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Comisión Nacional para el Desarrollo y Vida sin Drogas - DEVIDA</w:t>
            </w:r>
          </w:p>
        </w:tc>
        <w:tc>
          <w:tcPr>
            <w:tcW w:w="2410" w:type="dxa"/>
          </w:tcPr>
          <w:p w14:paraId="415F07EE" w14:textId="4757B5CB" w:rsidR="00A0470D" w:rsidRPr="0020551C" w:rsidRDefault="00A0470D"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Gobiernos regionales y gobiernos locales (incluidos en la población objetivo del Programa Presupuestal 072 PIRDAIS).</w:t>
            </w:r>
          </w:p>
        </w:tc>
      </w:tr>
      <w:tr w:rsidR="00A0470D" w:rsidRPr="0020551C" w14:paraId="597AFD58" w14:textId="77777777" w:rsidTr="005976BF">
        <w:tc>
          <w:tcPr>
            <w:tcW w:w="1049" w:type="dxa"/>
          </w:tcPr>
          <w:p w14:paraId="25A754B1" w14:textId="4DBE8EBB" w:rsidR="00A0470D" w:rsidRPr="0020551C" w:rsidRDefault="00A0470D"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S1.4.1</w:t>
            </w:r>
          </w:p>
        </w:tc>
        <w:tc>
          <w:tcPr>
            <w:tcW w:w="2536" w:type="dxa"/>
          </w:tcPr>
          <w:p w14:paraId="1F68E365" w14:textId="198B9044" w:rsidR="00A0470D" w:rsidRPr="0020551C" w:rsidRDefault="00A0470D"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c>
          <w:tcPr>
            <w:tcW w:w="2681" w:type="dxa"/>
          </w:tcPr>
          <w:p w14:paraId="15E84C0C" w14:textId="52766ABC" w:rsidR="00A0470D" w:rsidRPr="0020551C" w:rsidRDefault="00A0470D"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 xml:space="preserve">L1.4 </w:t>
            </w:r>
            <w:r w:rsidR="0076444F" w:rsidRPr="0076444F">
              <w:rPr>
                <w:rFonts w:ascii="Arial" w:eastAsia="Arial Narrow" w:hAnsi="Arial" w:cs="Arial"/>
                <w:sz w:val="20"/>
                <w:szCs w:val="20"/>
              </w:rPr>
              <w:t>Incentivar el desarrollo de mecanismos de retribución por servicios ecosistémicos para la conservación, recuperación y uso sostenible de los ecosistemas forestales y otros ecosistemas de vegetación silvestre.</w:t>
            </w:r>
          </w:p>
        </w:tc>
        <w:tc>
          <w:tcPr>
            <w:tcW w:w="3085" w:type="dxa"/>
          </w:tcPr>
          <w:p w14:paraId="0BBA1E3D" w14:textId="68C2305F" w:rsidR="00A0470D" w:rsidRPr="0020551C" w:rsidRDefault="002E6CE8" w:rsidP="005976BF">
            <w:pPr>
              <w:pStyle w:val="Prrafodelista"/>
              <w:tabs>
                <w:tab w:val="left" w:pos="3375"/>
              </w:tabs>
              <w:ind w:left="0"/>
              <w:jc w:val="both"/>
              <w:rPr>
                <w:rFonts w:ascii="Arial" w:eastAsia="Arial Narrow" w:hAnsi="Arial" w:cs="Arial"/>
                <w:b/>
              </w:rPr>
            </w:pPr>
            <w:r w:rsidRPr="008A26D2">
              <w:rPr>
                <w:rFonts w:ascii="Arial" w:eastAsia="Arial Narrow" w:hAnsi="Arial" w:cs="Arial"/>
                <w:sz w:val="20"/>
                <w:szCs w:val="20"/>
              </w:rPr>
              <w:t>Asistencia técnica para el desarrollo de mecanismos financieros orientados a la conservación y gestión de los ecosistemas forestales y otros ecosistemas de vegetación silvestre y medidas frente al cambio climático, satisfactoriamente a las Autoridades Regionales Forestales y de Fauna Silvestre y otros usuarios forestales y de fauna silvestre</w:t>
            </w:r>
            <w:r w:rsidR="00A0470D" w:rsidRPr="0020551C">
              <w:rPr>
                <w:rFonts w:ascii="Arial" w:eastAsia="Arial Narrow" w:hAnsi="Arial" w:cs="Arial"/>
                <w:sz w:val="20"/>
                <w:szCs w:val="20"/>
              </w:rPr>
              <w:t>.</w:t>
            </w:r>
          </w:p>
        </w:tc>
        <w:tc>
          <w:tcPr>
            <w:tcW w:w="2268" w:type="dxa"/>
          </w:tcPr>
          <w:p w14:paraId="7E26AE46" w14:textId="19344D98" w:rsidR="00A0470D" w:rsidRPr="0020551C" w:rsidRDefault="00A0470D"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Servicio Nacional Forestal y de Fauna Silvestre - SERFOR.</w:t>
            </w:r>
          </w:p>
        </w:tc>
        <w:tc>
          <w:tcPr>
            <w:tcW w:w="2410" w:type="dxa"/>
          </w:tcPr>
          <w:p w14:paraId="2CF8A266" w14:textId="7818FC2F" w:rsidR="00A0470D" w:rsidRPr="0020551C" w:rsidRDefault="00A0470D"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 xml:space="preserve">Autoridades Regionales Forestales y de Fauna Silvestre y otros usuarios </w:t>
            </w:r>
            <w:r w:rsidR="00C76805">
              <w:rPr>
                <w:rFonts w:ascii="Arial" w:eastAsia="Arial Narrow" w:hAnsi="Arial" w:cs="Arial"/>
                <w:sz w:val="20"/>
                <w:szCs w:val="20"/>
              </w:rPr>
              <w:t>forestales y de fauna silvestre</w:t>
            </w:r>
          </w:p>
        </w:tc>
      </w:tr>
      <w:tr w:rsidR="00A0470D" w:rsidRPr="0020551C" w14:paraId="28101EA3" w14:textId="77777777" w:rsidTr="005976BF">
        <w:tc>
          <w:tcPr>
            <w:tcW w:w="1049" w:type="dxa"/>
          </w:tcPr>
          <w:p w14:paraId="5C7392CB" w14:textId="27DB0E15" w:rsidR="00A0470D" w:rsidRPr="0020551C" w:rsidRDefault="00A0470D" w:rsidP="005976BF">
            <w:pPr>
              <w:pStyle w:val="Prrafodelista"/>
              <w:tabs>
                <w:tab w:val="left" w:pos="3375"/>
              </w:tabs>
              <w:ind w:left="0"/>
              <w:jc w:val="both"/>
              <w:rPr>
                <w:rFonts w:ascii="Arial" w:eastAsia="Arial Narrow" w:hAnsi="Arial" w:cs="Arial"/>
                <w:b/>
              </w:rPr>
            </w:pPr>
            <w:r w:rsidRPr="0020551C">
              <w:rPr>
                <w:rFonts w:ascii="Arial" w:hAnsi="Arial" w:cs="Arial"/>
                <w:sz w:val="20"/>
                <w:szCs w:val="20"/>
              </w:rPr>
              <w:t>S1.4.2</w:t>
            </w:r>
          </w:p>
        </w:tc>
        <w:tc>
          <w:tcPr>
            <w:tcW w:w="2536" w:type="dxa"/>
          </w:tcPr>
          <w:p w14:paraId="58D36098" w14:textId="11B92989" w:rsidR="00A0470D" w:rsidRPr="0020551C" w:rsidRDefault="00A0470D"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c>
          <w:tcPr>
            <w:tcW w:w="2681" w:type="dxa"/>
          </w:tcPr>
          <w:p w14:paraId="402D81CF" w14:textId="06511696" w:rsidR="00A0470D" w:rsidRPr="0020551C" w:rsidRDefault="00A0470D"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 xml:space="preserve">L1.4 </w:t>
            </w:r>
            <w:r w:rsidR="0076444F" w:rsidRPr="0076444F">
              <w:rPr>
                <w:rFonts w:ascii="Arial" w:eastAsia="Arial Narrow" w:hAnsi="Arial" w:cs="Arial"/>
                <w:sz w:val="20"/>
                <w:szCs w:val="20"/>
              </w:rPr>
              <w:t>Incentivar el desarrollo de mecanismos de retribución por servicios ecosistémicos para la conservación, recuperación y uso sostenible de los ecosistemas forestales y otros ecosistemas de vegetación silvestre.</w:t>
            </w:r>
          </w:p>
        </w:tc>
        <w:tc>
          <w:tcPr>
            <w:tcW w:w="3085" w:type="dxa"/>
          </w:tcPr>
          <w:p w14:paraId="2CD9ACD4" w14:textId="5D668807" w:rsidR="00A0470D" w:rsidRPr="0020551C" w:rsidRDefault="002E6CE8" w:rsidP="005976BF">
            <w:pPr>
              <w:pStyle w:val="Prrafodelista"/>
              <w:tabs>
                <w:tab w:val="left" w:pos="3375"/>
              </w:tabs>
              <w:ind w:left="0"/>
              <w:jc w:val="both"/>
              <w:rPr>
                <w:rFonts w:ascii="Arial" w:eastAsia="Arial Narrow" w:hAnsi="Arial" w:cs="Arial"/>
                <w:b/>
              </w:rPr>
            </w:pPr>
            <w:r w:rsidRPr="008A26D2">
              <w:rPr>
                <w:rFonts w:ascii="Arial" w:hAnsi="Arial" w:cs="Arial"/>
                <w:sz w:val="20"/>
                <w:szCs w:val="20"/>
              </w:rPr>
              <w:t>Asistencia técnica para el diseño y actualización de metodologías sobre la estimación del pago por acceso y uso de los recursos forestales y de fauna silvestre de forma satisfactoria dirigida a las Autoridades Regionales Forestales y de Fauna Silvestre</w:t>
            </w:r>
            <w:r w:rsidR="00A0470D" w:rsidRPr="0020551C">
              <w:rPr>
                <w:rFonts w:ascii="Arial" w:hAnsi="Arial" w:cs="Arial"/>
                <w:sz w:val="20"/>
                <w:szCs w:val="20"/>
              </w:rPr>
              <w:t>.</w:t>
            </w:r>
          </w:p>
        </w:tc>
        <w:tc>
          <w:tcPr>
            <w:tcW w:w="2268" w:type="dxa"/>
          </w:tcPr>
          <w:p w14:paraId="35C8178F" w14:textId="2E459372" w:rsidR="00A0470D" w:rsidRPr="0020551C" w:rsidRDefault="00A0470D"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Servicio Nacional Forestal y de Fauna Silvestre - SERFOR.</w:t>
            </w:r>
          </w:p>
        </w:tc>
        <w:tc>
          <w:tcPr>
            <w:tcW w:w="2410" w:type="dxa"/>
          </w:tcPr>
          <w:p w14:paraId="583C9AEB" w14:textId="2C9EB4F1" w:rsidR="00A0470D" w:rsidRPr="0020551C" w:rsidRDefault="00A0470D"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Autoridades Regionales Forestales y de Fauna Silvestre</w:t>
            </w:r>
          </w:p>
        </w:tc>
      </w:tr>
      <w:tr w:rsidR="00A0470D" w:rsidRPr="0020551C" w14:paraId="39D706E5" w14:textId="77777777" w:rsidTr="005976BF">
        <w:tc>
          <w:tcPr>
            <w:tcW w:w="1049" w:type="dxa"/>
          </w:tcPr>
          <w:p w14:paraId="16029308" w14:textId="1EF042E8" w:rsidR="00A0470D" w:rsidRPr="0020551C" w:rsidRDefault="00A0470D" w:rsidP="005976BF">
            <w:pPr>
              <w:pStyle w:val="Prrafodelista"/>
              <w:tabs>
                <w:tab w:val="left" w:pos="3375"/>
              </w:tabs>
              <w:ind w:left="0"/>
              <w:jc w:val="both"/>
              <w:rPr>
                <w:rFonts w:ascii="Arial" w:eastAsia="Arial Narrow" w:hAnsi="Arial" w:cs="Arial"/>
                <w:b/>
              </w:rPr>
            </w:pPr>
            <w:r w:rsidRPr="0020551C">
              <w:rPr>
                <w:rFonts w:ascii="Arial" w:eastAsia="Times New Roman" w:hAnsi="Arial" w:cs="Arial"/>
                <w:sz w:val="20"/>
                <w:szCs w:val="20"/>
              </w:rPr>
              <w:lastRenderedPageBreak/>
              <w:t>S1.5.1</w:t>
            </w:r>
          </w:p>
        </w:tc>
        <w:tc>
          <w:tcPr>
            <w:tcW w:w="2536" w:type="dxa"/>
          </w:tcPr>
          <w:p w14:paraId="7BCF4968" w14:textId="2870C760" w:rsidR="00A0470D" w:rsidRPr="0020551C" w:rsidRDefault="00A0470D" w:rsidP="005976BF">
            <w:pPr>
              <w:pStyle w:val="Prrafodelista"/>
              <w:tabs>
                <w:tab w:val="left" w:pos="3375"/>
              </w:tabs>
              <w:ind w:left="0"/>
              <w:jc w:val="both"/>
              <w:rPr>
                <w:rFonts w:ascii="Arial" w:eastAsia="Arial Narrow" w:hAnsi="Arial" w:cs="Arial"/>
                <w:b/>
              </w:rPr>
            </w:pPr>
            <w:r w:rsidRPr="0020551C">
              <w:rPr>
                <w:rFonts w:ascii="Arial" w:eastAsia="Times New Roman" w:hAnsi="Arial" w:cs="Arial"/>
                <w:sz w:val="20"/>
                <w:szCs w:val="20"/>
              </w:rPr>
              <w:t xml:space="preserve">OP1 Mejorar las condiciones para la sostenibilidad de los ecosistemas forestales, otros ecosistemas de vegetación silvestre y de la fauna silvestre  </w:t>
            </w:r>
          </w:p>
        </w:tc>
        <w:tc>
          <w:tcPr>
            <w:tcW w:w="2681" w:type="dxa"/>
            <w:vAlign w:val="center"/>
          </w:tcPr>
          <w:p w14:paraId="5A402120" w14:textId="424BDD0D" w:rsidR="00A0470D" w:rsidRPr="0020551C" w:rsidRDefault="00A0470D" w:rsidP="005976BF">
            <w:pPr>
              <w:pStyle w:val="Prrafodelista"/>
              <w:tabs>
                <w:tab w:val="left" w:pos="3375"/>
              </w:tabs>
              <w:ind w:left="0"/>
              <w:jc w:val="both"/>
              <w:rPr>
                <w:rFonts w:ascii="Arial" w:eastAsia="Arial Narrow" w:hAnsi="Arial" w:cs="Arial"/>
                <w:b/>
              </w:rPr>
            </w:pPr>
            <w:r w:rsidRPr="0020551C">
              <w:rPr>
                <w:rFonts w:ascii="Arial" w:eastAsia="Times New Roman" w:hAnsi="Arial" w:cs="Arial"/>
                <w:sz w:val="20"/>
                <w:szCs w:val="20"/>
              </w:rPr>
              <w:t>L1.5 Incrementar el avance del proceso de ordenamiento forestal en el país</w:t>
            </w:r>
          </w:p>
        </w:tc>
        <w:tc>
          <w:tcPr>
            <w:tcW w:w="3085" w:type="dxa"/>
          </w:tcPr>
          <w:p w14:paraId="6943BCB0" w14:textId="32CCDDFC" w:rsidR="00A0470D" w:rsidRPr="0020551C" w:rsidRDefault="002E6CE8" w:rsidP="005976BF">
            <w:pPr>
              <w:pStyle w:val="Prrafodelista"/>
              <w:tabs>
                <w:tab w:val="left" w:pos="3375"/>
              </w:tabs>
              <w:ind w:left="0"/>
              <w:jc w:val="both"/>
              <w:rPr>
                <w:rFonts w:ascii="Arial" w:eastAsia="Arial Narrow" w:hAnsi="Arial" w:cs="Arial"/>
                <w:b/>
              </w:rPr>
            </w:pPr>
            <w:r w:rsidRPr="008A26D2">
              <w:rPr>
                <w:rFonts w:ascii="Arial" w:eastAsia="Times New Roman" w:hAnsi="Arial" w:cs="Arial"/>
                <w:sz w:val="20"/>
                <w:szCs w:val="20"/>
              </w:rPr>
              <w:t>Asistencia técnica en zonificación forestal de forma fiable para los gobiernos regionales</w:t>
            </w:r>
          </w:p>
        </w:tc>
        <w:tc>
          <w:tcPr>
            <w:tcW w:w="2268" w:type="dxa"/>
          </w:tcPr>
          <w:p w14:paraId="66AA93A3" w14:textId="296137A3" w:rsidR="00A0470D" w:rsidRPr="0020551C" w:rsidRDefault="00A0470D" w:rsidP="005976BF">
            <w:pPr>
              <w:pStyle w:val="Prrafodelista"/>
              <w:tabs>
                <w:tab w:val="left" w:pos="3375"/>
              </w:tabs>
              <w:ind w:left="0"/>
              <w:jc w:val="both"/>
              <w:rPr>
                <w:rFonts w:ascii="Arial" w:eastAsia="Arial Narrow" w:hAnsi="Arial" w:cs="Arial"/>
                <w:b/>
              </w:rPr>
            </w:pPr>
            <w:r w:rsidRPr="0020551C">
              <w:rPr>
                <w:rFonts w:ascii="Arial" w:eastAsia="Times New Roman" w:hAnsi="Arial" w:cs="Arial"/>
                <w:sz w:val="20"/>
                <w:szCs w:val="20"/>
              </w:rPr>
              <w:t>Servicio Nacional Forestal y de Fauna Silvestre - SERFOR</w:t>
            </w:r>
          </w:p>
        </w:tc>
        <w:tc>
          <w:tcPr>
            <w:tcW w:w="2410" w:type="dxa"/>
          </w:tcPr>
          <w:p w14:paraId="38EEBD0A" w14:textId="1A470247" w:rsidR="00A0470D" w:rsidRPr="0020551C" w:rsidRDefault="00A0470D" w:rsidP="005976BF">
            <w:pPr>
              <w:pStyle w:val="Prrafodelista"/>
              <w:tabs>
                <w:tab w:val="left" w:pos="3375"/>
              </w:tabs>
              <w:ind w:left="0"/>
              <w:jc w:val="both"/>
              <w:rPr>
                <w:rFonts w:ascii="Arial" w:eastAsia="Arial Narrow" w:hAnsi="Arial" w:cs="Arial"/>
                <w:b/>
              </w:rPr>
            </w:pPr>
            <w:r w:rsidRPr="0020551C">
              <w:rPr>
                <w:rFonts w:ascii="Arial" w:eastAsia="Times New Roman" w:hAnsi="Arial" w:cs="Arial"/>
                <w:sz w:val="20"/>
                <w:szCs w:val="20"/>
              </w:rPr>
              <w:t>Gobiernos regionales</w:t>
            </w:r>
          </w:p>
        </w:tc>
      </w:tr>
      <w:tr w:rsidR="00A0470D" w:rsidRPr="0020551C" w14:paraId="353277C3" w14:textId="77777777" w:rsidTr="005976BF">
        <w:tc>
          <w:tcPr>
            <w:tcW w:w="1049" w:type="dxa"/>
          </w:tcPr>
          <w:p w14:paraId="4D231B0A" w14:textId="25BA5C1F" w:rsidR="00A0470D" w:rsidRPr="0020551C" w:rsidRDefault="00A0470D" w:rsidP="005976BF">
            <w:pPr>
              <w:pStyle w:val="Prrafodelista"/>
              <w:tabs>
                <w:tab w:val="left" w:pos="3375"/>
              </w:tabs>
              <w:ind w:left="0"/>
              <w:jc w:val="both"/>
              <w:rPr>
                <w:rFonts w:ascii="Arial" w:eastAsia="Arial Narrow" w:hAnsi="Arial" w:cs="Arial"/>
                <w:b/>
              </w:rPr>
            </w:pPr>
            <w:r w:rsidRPr="0020551C">
              <w:rPr>
                <w:rFonts w:ascii="Arial" w:eastAsia="Times New Roman" w:hAnsi="Arial" w:cs="Arial"/>
                <w:sz w:val="20"/>
                <w:szCs w:val="20"/>
              </w:rPr>
              <w:t>S1.5.2</w:t>
            </w:r>
          </w:p>
        </w:tc>
        <w:tc>
          <w:tcPr>
            <w:tcW w:w="2536" w:type="dxa"/>
          </w:tcPr>
          <w:p w14:paraId="56D12313" w14:textId="21DD9E72" w:rsidR="00A0470D" w:rsidRPr="0020551C" w:rsidRDefault="00A0470D" w:rsidP="005976BF">
            <w:pPr>
              <w:pStyle w:val="Prrafodelista"/>
              <w:tabs>
                <w:tab w:val="left" w:pos="3375"/>
              </w:tabs>
              <w:ind w:left="0"/>
              <w:jc w:val="both"/>
              <w:rPr>
                <w:rFonts w:ascii="Arial" w:eastAsia="Arial Narrow" w:hAnsi="Arial" w:cs="Arial"/>
                <w:b/>
              </w:rPr>
            </w:pPr>
            <w:r w:rsidRPr="0020551C">
              <w:rPr>
                <w:rFonts w:ascii="Arial" w:eastAsia="Times New Roman" w:hAnsi="Arial" w:cs="Arial"/>
                <w:sz w:val="20"/>
                <w:szCs w:val="20"/>
              </w:rPr>
              <w:t xml:space="preserve">OP1 Mejorar las condiciones para la sostenibilidad de los ecosistemas forestales, otros ecosistemas de vegetación silvestre y de la fauna silvestre  </w:t>
            </w:r>
          </w:p>
        </w:tc>
        <w:tc>
          <w:tcPr>
            <w:tcW w:w="2681" w:type="dxa"/>
          </w:tcPr>
          <w:p w14:paraId="303B84F1" w14:textId="6A56C5A1" w:rsidR="00A0470D" w:rsidRPr="0020551C" w:rsidRDefault="00A0470D" w:rsidP="005976BF">
            <w:pPr>
              <w:pStyle w:val="Prrafodelista"/>
              <w:tabs>
                <w:tab w:val="left" w:pos="3375"/>
              </w:tabs>
              <w:ind w:left="0"/>
              <w:jc w:val="both"/>
              <w:rPr>
                <w:rFonts w:ascii="Arial" w:eastAsia="Arial Narrow" w:hAnsi="Arial" w:cs="Arial"/>
                <w:b/>
              </w:rPr>
            </w:pPr>
            <w:r w:rsidRPr="0020551C">
              <w:rPr>
                <w:rFonts w:ascii="Arial" w:eastAsia="Times New Roman" w:hAnsi="Arial" w:cs="Arial"/>
                <w:sz w:val="20"/>
                <w:szCs w:val="20"/>
              </w:rPr>
              <w:t>L1.5 Incrementar el avance del proceso de ordenamiento forestal en el país</w:t>
            </w:r>
          </w:p>
        </w:tc>
        <w:tc>
          <w:tcPr>
            <w:tcW w:w="3085" w:type="dxa"/>
          </w:tcPr>
          <w:p w14:paraId="7667E0BF" w14:textId="182D8AF7" w:rsidR="00A0470D" w:rsidRPr="0020551C" w:rsidRDefault="002E6CE8" w:rsidP="005976BF">
            <w:pPr>
              <w:pStyle w:val="Prrafodelista"/>
              <w:tabs>
                <w:tab w:val="left" w:pos="3375"/>
              </w:tabs>
              <w:ind w:left="0"/>
              <w:jc w:val="both"/>
              <w:rPr>
                <w:rFonts w:ascii="Arial" w:eastAsia="Arial Narrow" w:hAnsi="Arial" w:cs="Arial"/>
                <w:b/>
              </w:rPr>
            </w:pPr>
            <w:r w:rsidRPr="008A26D2">
              <w:rPr>
                <w:rFonts w:ascii="Arial" w:eastAsia="Times New Roman" w:hAnsi="Arial" w:cs="Arial"/>
                <w:sz w:val="20"/>
                <w:szCs w:val="20"/>
              </w:rPr>
              <w:t>Implementación de las unidades de ordenamiento forestal de forma fiable para las Autoridades Regionales Forestales y de Fauna Silvestre</w:t>
            </w:r>
          </w:p>
        </w:tc>
        <w:tc>
          <w:tcPr>
            <w:tcW w:w="2268" w:type="dxa"/>
          </w:tcPr>
          <w:p w14:paraId="7B3929F2" w14:textId="1AB7A677" w:rsidR="00A0470D" w:rsidRDefault="00A0470D" w:rsidP="005976BF">
            <w:pPr>
              <w:jc w:val="both"/>
              <w:rPr>
                <w:rFonts w:ascii="Arial" w:eastAsia="Times New Roman" w:hAnsi="Arial" w:cs="Arial"/>
                <w:sz w:val="20"/>
                <w:szCs w:val="20"/>
              </w:rPr>
            </w:pPr>
            <w:r w:rsidRPr="0020551C">
              <w:rPr>
                <w:rFonts w:ascii="Arial" w:eastAsia="Times New Roman" w:hAnsi="Arial" w:cs="Arial"/>
                <w:sz w:val="20"/>
                <w:szCs w:val="20"/>
              </w:rPr>
              <w:t>Servicio Nacional Forestal y de Fauna Silvestre – SERFOR</w:t>
            </w:r>
            <w:r w:rsidR="00910900" w:rsidRPr="0020551C">
              <w:rPr>
                <w:rFonts w:ascii="Arial" w:eastAsia="Times New Roman" w:hAnsi="Arial" w:cs="Arial"/>
                <w:sz w:val="20"/>
                <w:szCs w:val="20"/>
              </w:rPr>
              <w:t>;</w:t>
            </w:r>
          </w:p>
          <w:p w14:paraId="4A0CEDBA" w14:textId="77777777" w:rsidR="002E6CE8" w:rsidRPr="0020551C" w:rsidRDefault="002E6CE8" w:rsidP="005976BF">
            <w:pPr>
              <w:jc w:val="both"/>
              <w:rPr>
                <w:rFonts w:ascii="Arial" w:eastAsia="Times New Roman" w:hAnsi="Arial" w:cs="Arial"/>
                <w:sz w:val="20"/>
                <w:szCs w:val="20"/>
              </w:rPr>
            </w:pPr>
          </w:p>
          <w:p w14:paraId="5B0B2C90" w14:textId="1279D86F" w:rsidR="00A0470D" w:rsidRPr="0020551C" w:rsidRDefault="00A0470D" w:rsidP="005976BF">
            <w:pPr>
              <w:jc w:val="both"/>
              <w:rPr>
                <w:rFonts w:ascii="Arial" w:eastAsia="Times New Roman" w:hAnsi="Arial" w:cs="Arial"/>
                <w:sz w:val="20"/>
                <w:szCs w:val="20"/>
              </w:rPr>
            </w:pPr>
            <w:r w:rsidRPr="0020551C">
              <w:rPr>
                <w:rFonts w:ascii="Arial" w:eastAsia="Times New Roman" w:hAnsi="Arial" w:cs="Arial"/>
                <w:sz w:val="20"/>
                <w:szCs w:val="20"/>
              </w:rPr>
              <w:t>Gobiernos regionales</w:t>
            </w:r>
            <w:r w:rsidR="00910900" w:rsidRPr="0020551C">
              <w:rPr>
                <w:rFonts w:ascii="Arial" w:eastAsia="Times New Roman" w:hAnsi="Arial" w:cs="Arial"/>
                <w:sz w:val="20"/>
                <w:szCs w:val="20"/>
              </w:rPr>
              <w:t>;</w:t>
            </w:r>
          </w:p>
          <w:p w14:paraId="06794851" w14:textId="77777777" w:rsidR="002E6CE8" w:rsidRDefault="002E6CE8" w:rsidP="005976BF">
            <w:pPr>
              <w:pStyle w:val="Prrafodelista"/>
              <w:tabs>
                <w:tab w:val="left" w:pos="3375"/>
              </w:tabs>
              <w:ind w:left="0"/>
              <w:jc w:val="both"/>
              <w:rPr>
                <w:rFonts w:ascii="Arial" w:eastAsia="Times New Roman" w:hAnsi="Arial" w:cs="Arial"/>
                <w:sz w:val="20"/>
                <w:szCs w:val="20"/>
              </w:rPr>
            </w:pPr>
          </w:p>
          <w:p w14:paraId="0A25FF5E" w14:textId="03B9B59F" w:rsidR="00A0470D" w:rsidRPr="0020551C" w:rsidRDefault="00A0470D" w:rsidP="005976BF">
            <w:pPr>
              <w:pStyle w:val="Prrafodelista"/>
              <w:tabs>
                <w:tab w:val="left" w:pos="3375"/>
              </w:tabs>
              <w:ind w:left="0"/>
              <w:jc w:val="both"/>
              <w:rPr>
                <w:rFonts w:ascii="Arial" w:eastAsia="Arial Narrow" w:hAnsi="Arial" w:cs="Arial"/>
                <w:b/>
              </w:rPr>
            </w:pPr>
            <w:r w:rsidRPr="0020551C">
              <w:rPr>
                <w:rFonts w:ascii="Arial" w:eastAsia="Times New Roman" w:hAnsi="Arial" w:cs="Arial"/>
                <w:sz w:val="20"/>
                <w:szCs w:val="20"/>
              </w:rPr>
              <w:t>Ministerio de Desarrollo Agrario y Riego – (Dirección General de Saneamiento de la Propiedad Agraria y Catastro Rural)</w:t>
            </w:r>
          </w:p>
        </w:tc>
        <w:tc>
          <w:tcPr>
            <w:tcW w:w="2410" w:type="dxa"/>
          </w:tcPr>
          <w:p w14:paraId="6EC275EA" w14:textId="28EEF55E" w:rsidR="00A0470D" w:rsidRPr="0020551C" w:rsidRDefault="00A0470D" w:rsidP="005976BF">
            <w:pPr>
              <w:pStyle w:val="Prrafodelista"/>
              <w:tabs>
                <w:tab w:val="left" w:pos="3375"/>
              </w:tabs>
              <w:ind w:left="0"/>
              <w:jc w:val="both"/>
              <w:rPr>
                <w:rFonts w:ascii="Arial" w:eastAsia="Arial Narrow" w:hAnsi="Arial" w:cs="Arial"/>
                <w:b/>
              </w:rPr>
            </w:pPr>
            <w:r w:rsidRPr="0020551C">
              <w:rPr>
                <w:rFonts w:ascii="Arial" w:eastAsia="Times New Roman" w:hAnsi="Arial" w:cs="Arial"/>
                <w:sz w:val="20"/>
                <w:szCs w:val="20"/>
              </w:rPr>
              <w:t>Autoridades Regionales Forestales y de Fauna Silvestre</w:t>
            </w:r>
          </w:p>
        </w:tc>
      </w:tr>
      <w:tr w:rsidR="00A0470D" w:rsidRPr="0020551C" w14:paraId="0800FA15" w14:textId="77777777" w:rsidTr="005976BF">
        <w:tc>
          <w:tcPr>
            <w:tcW w:w="1049" w:type="dxa"/>
          </w:tcPr>
          <w:p w14:paraId="530FB326" w14:textId="3DD33A01" w:rsidR="00A0470D" w:rsidRPr="0020551C" w:rsidRDefault="00A0470D"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S1.6.1</w:t>
            </w:r>
          </w:p>
        </w:tc>
        <w:tc>
          <w:tcPr>
            <w:tcW w:w="2536" w:type="dxa"/>
          </w:tcPr>
          <w:p w14:paraId="1C58AD9F" w14:textId="0A10140C" w:rsidR="00A0470D" w:rsidRPr="0020551C" w:rsidRDefault="00A0470D"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c>
          <w:tcPr>
            <w:tcW w:w="2681" w:type="dxa"/>
          </w:tcPr>
          <w:p w14:paraId="1109670F" w14:textId="3238611A" w:rsidR="00A0470D" w:rsidRPr="0020551C" w:rsidRDefault="00A0470D"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L1.6 Fomentar el aprovechamiento sostenible de los recursos forestales y de fauna silvestre</w:t>
            </w:r>
          </w:p>
        </w:tc>
        <w:tc>
          <w:tcPr>
            <w:tcW w:w="3085" w:type="dxa"/>
          </w:tcPr>
          <w:p w14:paraId="30C36A11" w14:textId="70C9B410" w:rsidR="00A0470D" w:rsidRPr="0020551C" w:rsidRDefault="007354A4" w:rsidP="005976BF">
            <w:pPr>
              <w:pStyle w:val="Prrafodelista"/>
              <w:tabs>
                <w:tab w:val="left" w:pos="3375"/>
              </w:tabs>
              <w:ind w:left="0"/>
              <w:jc w:val="both"/>
              <w:rPr>
                <w:rFonts w:ascii="Arial" w:eastAsia="Arial Narrow" w:hAnsi="Arial" w:cs="Arial"/>
                <w:b/>
              </w:rPr>
            </w:pPr>
            <w:r w:rsidRPr="008A26D2">
              <w:rPr>
                <w:rFonts w:ascii="Arial" w:eastAsia="Arial Narrow" w:hAnsi="Arial" w:cs="Arial"/>
                <w:sz w:val="20"/>
                <w:szCs w:val="20"/>
              </w:rPr>
              <w:t>Fortalecimiento de capacidades en el aprovechamiento sostenible y conservación de los recursos forestales y de fauna silvestre de forma satisfactoria a los usuarios forestales y de fauna silvestre</w:t>
            </w:r>
          </w:p>
        </w:tc>
        <w:tc>
          <w:tcPr>
            <w:tcW w:w="2268" w:type="dxa"/>
          </w:tcPr>
          <w:p w14:paraId="3582F876" w14:textId="25EDC0BF" w:rsidR="007354A4" w:rsidRPr="0020551C" w:rsidRDefault="00A0470D" w:rsidP="007354A4">
            <w:pPr>
              <w:jc w:val="both"/>
              <w:rPr>
                <w:rFonts w:ascii="Arial" w:eastAsia="Arial Narrow" w:hAnsi="Arial" w:cs="Arial"/>
                <w:b/>
              </w:rPr>
            </w:pPr>
            <w:r w:rsidRPr="0020551C">
              <w:rPr>
                <w:rFonts w:ascii="Arial" w:eastAsia="Arial Narrow" w:hAnsi="Arial" w:cs="Arial"/>
                <w:sz w:val="20"/>
                <w:szCs w:val="20"/>
              </w:rPr>
              <w:t>Servicio Nacional Forestal y de Fauna Silvestre – SERFOR</w:t>
            </w:r>
          </w:p>
          <w:p w14:paraId="53C8C9D1" w14:textId="76D3791A" w:rsidR="00A0470D" w:rsidRPr="0020551C" w:rsidRDefault="00A0470D" w:rsidP="005976BF">
            <w:pPr>
              <w:pStyle w:val="Prrafodelista"/>
              <w:tabs>
                <w:tab w:val="left" w:pos="3375"/>
              </w:tabs>
              <w:ind w:left="0"/>
              <w:jc w:val="both"/>
              <w:rPr>
                <w:rFonts w:ascii="Arial" w:eastAsia="Arial Narrow" w:hAnsi="Arial" w:cs="Arial"/>
                <w:b/>
              </w:rPr>
            </w:pPr>
          </w:p>
        </w:tc>
        <w:tc>
          <w:tcPr>
            <w:tcW w:w="2410" w:type="dxa"/>
          </w:tcPr>
          <w:p w14:paraId="58F3473E" w14:textId="71A329F9" w:rsidR="00A0470D" w:rsidRPr="0020551C" w:rsidRDefault="00A0470D"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Usuarios forestales y de fauna silvestre</w:t>
            </w:r>
          </w:p>
        </w:tc>
      </w:tr>
      <w:tr w:rsidR="00A0470D" w:rsidRPr="0020551C" w14:paraId="6DEA9F5B" w14:textId="77777777" w:rsidTr="005976BF">
        <w:tc>
          <w:tcPr>
            <w:tcW w:w="1049" w:type="dxa"/>
          </w:tcPr>
          <w:p w14:paraId="58AEC1EB" w14:textId="6E10D809" w:rsidR="00A0470D" w:rsidRPr="0020551C" w:rsidRDefault="00A0470D"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S1.6.2</w:t>
            </w:r>
          </w:p>
        </w:tc>
        <w:tc>
          <w:tcPr>
            <w:tcW w:w="2536" w:type="dxa"/>
          </w:tcPr>
          <w:p w14:paraId="4352291D" w14:textId="625ADCD9" w:rsidR="00A0470D" w:rsidRPr="0020551C" w:rsidRDefault="00A0470D"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 xml:space="preserve">OP1 Mejorar las condiciones para la sostenibilidad de los ecosistemas forestales, otros ecosistemas de </w:t>
            </w:r>
            <w:r w:rsidRPr="0020551C">
              <w:rPr>
                <w:rFonts w:ascii="Arial" w:eastAsia="Arial Narrow" w:hAnsi="Arial" w:cs="Arial"/>
                <w:sz w:val="20"/>
                <w:szCs w:val="20"/>
              </w:rPr>
              <w:lastRenderedPageBreak/>
              <w:t xml:space="preserve">vegetación silvestre y de la fauna silvestre  </w:t>
            </w:r>
          </w:p>
        </w:tc>
        <w:tc>
          <w:tcPr>
            <w:tcW w:w="2681" w:type="dxa"/>
          </w:tcPr>
          <w:p w14:paraId="42002815" w14:textId="52D75CCE" w:rsidR="00A0470D" w:rsidRPr="0020551C" w:rsidRDefault="00A0470D"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lastRenderedPageBreak/>
              <w:t>L1.6 Fomentar el aprovechamiento sostenible de los recursos forestales y de fauna silvestre</w:t>
            </w:r>
          </w:p>
        </w:tc>
        <w:tc>
          <w:tcPr>
            <w:tcW w:w="3085" w:type="dxa"/>
          </w:tcPr>
          <w:p w14:paraId="1B0E92B6" w14:textId="7ECD600E" w:rsidR="00A0470D" w:rsidRPr="0020551C" w:rsidRDefault="007354A4" w:rsidP="005976BF">
            <w:pPr>
              <w:pStyle w:val="Prrafodelista"/>
              <w:tabs>
                <w:tab w:val="left" w:pos="3375"/>
              </w:tabs>
              <w:ind w:left="0"/>
              <w:jc w:val="both"/>
              <w:rPr>
                <w:rFonts w:ascii="Arial" w:eastAsia="Arial Narrow" w:hAnsi="Arial" w:cs="Arial"/>
                <w:b/>
              </w:rPr>
            </w:pPr>
            <w:r w:rsidRPr="008A26D2">
              <w:rPr>
                <w:rFonts w:ascii="Arial" w:eastAsia="Arial Narrow" w:hAnsi="Arial" w:cs="Arial"/>
                <w:sz w:val="20"/>
                <w:szCs w:val="20"/>
              </w:rPr>
              <w:t>Fortalecimiento de capacidades para el otorgamiento de derechos impartidos satisfactoriamente a las Autoridades Regionales Forestales y de Fauna Silvestre</w:t>
            </w:r>
          </w:p>
        </w:tc>
        <w:tc>
          <w:tcPr>
            <w:tcW w:w="2268" w:type="dxa"/>
          </w:tcPr>
          <w:p w14:paraId="191F04DF" w14:textId="0715A59A" w:rsidR="00A0470D" w:rsidRPr="0020551C" w:rsidRDefault="00A0470D"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Servicio Nacional Forestal y de Fauna Silvestre - SERFOR</w:t>
            </w:r>
          </w:p>
        </w:tc>
        <w:tc>
          <w:tcPr>
            <w:tcW w:w="2410" w:type="dxa"/>
          </w:tcPr>
          <w:p w14:paraId="560A8DB1" w14:textId="000F15AD" w:rsidR="00A0470D" w:rsidRPr="0020551C" w:rsidRDefault="00A0470D"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Autoridades Regionales Forestales y de Fauna Silvestre</w:t>
            </w:r>
          </w:p>
        </w:tc>
      </w:tr>
      <w:tr w:rsidR="00A0470D" w:rsidRPr="0020551C" w14:paraId="36A16C06" w14:textId="77777777" w:rsidTr="005976BF">
        <w:tc>
          <w:tcPr>
            <w:tcW w:w="1049" w:type="dxa"/>
          </w:tcPr>
          <w:p w14:paraId="27B4CF3E" w14:textId="00912D4C" w:rsidR="00A0470D" w:rsidRPr="0020551C" w:rsidRDefault="00A0470D"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S1.6.3</w:t>
            </w:r>
          </w:p>
        </w:tc>
        <w:tc>
          <w:tcPr>
            <w:tcW w:w="2536" w:type="dxa"/>
          </w:tcPr>
          <w:p w14:paraId="5E7F39EA" w14:textId="771DD667" w:rsidR="00A0470D" w:rsidRPr="0020551C" w:rsidRDefault="00A0470D"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c>
          <w:tcPr>
            <w:tcW w:w="2681" w:type="dxa"/>
          </w:tcPr>
          <w:p w14:paraId="51DDAF48" w14:textId="4EB725C1" w:rsidR="00A0470D" w:rsidRPr="0020551C" w:rsidRDefault="00A0470D"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L1.6 Fomentar el aprovechamiento sostenible de los recursos forestales y de fauna silvestre</w:t>
            </w:r>
          </w:p>
        </w:tc>
        <w:tc>
          <w:tcPr>
            <w:tcW w:w="3085" w:type="dxa"/>
          </w:tcPr>
          <w:p w14:paraId="409A3EDD" w14:textId="7B10A329" w:rsidR="00A0470D" w:rsidRPr="0020551C" w:rsidRDefault="007354A4" w:rsidP="005976BF">
            <w:pPr>
              <w:pStyle w:val="Prrafodelista"/>
              <w:tabs>
                <w:tab w:val="left" w:pos="3375"/>
              </w:tabs>
              <w:ind w:left="0"/>
              <w:jc w:val="both"/>
              <w:rPr>
                <w:rFonts w:ascii="Arial" w:eastAsia="Arial Narrow" w:hAnsi="Arial" w:cs="Arial"/>
                <w:b/>
              </w:rPr>
            </w:pPr>
            <w:r w:rsidRPr="008A26D2">
              <w:rPr>
                <w:rFonts w:ascii="Arial" w:eastAsia="Times New Roman" w:hAnsi="Arial" w:cs="Arial"/>
                <w:sz w:val="20"/>
                <w:szCs w:val="20"/>
              </w:rPr>
              <w:t>Otorgamiento de derechos de aprovechamiento de recursos forestales y fauna silvestre de forma oportuna a los usuarios forestales y de fauna silvestre</w:t>
            </w:r>
          </w:p>
        </w:tc>
        <w:tc>
          <w:tcPr>
            <w:tcW w:w="2268" w:type="dxa"/>
          </w:tcPr>
          <w:p w14:paraId="2DAC625F" w14:textId="77777777" w:rsidR="00A0470D" w:rsidRDefault="00A0470D" w:rsidP="005976BF">
            <w:pPr>
              <w:pBdr>
                <w:top w:val="nil"/>
                <w:left w:val="nil"/>
                <w:bottom w:val="nil"/>
                <w:right w:val="nil"/>
                <w:between w:val="nil"/>
              </w:pBdr>
              <w:jc w:val="both"/>
              <w:rPr>
                <w:rFonts w:ascii="Arial" w:eastAsia="Arial Narrow" w:hAnsi="Arial" w:cs="Arial"/>
                <w:sz w:val="20"/>
                <w:szCs w:val="20"/>
              </w:rPr>
            </w:pPr>
            <w:r w:rsidRPr="0020551C">
              <w:rPr>
                <w:rFonts w:ascii="Arial" w:eastAsia="Arial Narrow" w:hAnsi="Arial" w:cs="Arial"/>
                <w:sz w:val="20"/>
                <w:szCs w:val="20"/>
              </w:rPr>
              <w:t xml:space="preserve">Servicio Nacional Forestal y de Fauna Silvestre- SERFOR; </w:t>
            </w:r>
          </w:p>
          <w:p w14:paraId="7E0B4208" w14:textId="77777777" w:rsidR="007354A4" w:rsidRPr="0020551C" w:rsidRDefault="007354A4" w:rsidP="005976BF">
            <w:pPr>
              <w:pBdr>
                <w:top w:val="nil"/>
                <w:left w:val="nil"/>
                <w:bottom w:val="nil"/>
                <w:right w:val="nil"/>
                <w:between w:val="nil"/>
              </w:pBdr>
              <w:jc w:val="both"/>
              <w:rPr>
                <w:rFonts w:ascii="Arial" w:eastAsia="Arial Narrow" w:hAnsi="Arial" w:cs="Arial"/>
                <w:sz w:val="20"/>
                <w:szCs w:val="20"/>
              </w:rPr>
            </w:pPr>
          </w:p>
          <w:p w14:paraId="786A78BA" w14:textId="49468FFB" w:rsidR="00A0470D" w:rsidRPr="0020551C" w:rsidRDefault="00A0470D"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Gobiernos Regionales - GORE</w:t>
            </w:r>
          </w:p>
        </w:tc>
        <w:tc>
          <w:tcPr>
            <w:tcW w:w="2410" w:type="dxa"/>
          </w:tcPr>
          <w:p w14:paraId="27A66C9C" w14:textId="7FBBA5C2" w:rsidR="00A0470D" w:rsidRPr="0020551C" w:rsidRDefault="00A0470D" w:rsidP="005976BF">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Usuarios forestales y de fauna silvestre</w:t>
            </w:r>
          </w:p>
        </w:tc>
      </w:tr>
      <w:tr w:rsidR="00BA7F96" w:rsidRPr="0020551C" w14:paraId="7156A42E" w14:textId="77777777" w:rsidTr="005976BF">
        <w:tc>
          <w:tcPr>
            <w:tcW w:w="1049" w:type="dxa"/>
          </w:tcPr>
          <w:p w14:paraId="43939B07" w14:textId="0BC84419" w:rsidR="00BA7F96" w:rsidRPr="0020551C" w:rsidRDefault="00BA7F96" w:rsidP="00BA7F96">
            <w:pPr>
              <w:pStyle w:val="Prrafodelista"/>
              <w:tabs>
                <w:tab w:val="left" w:pos="3375"/>
              </w:tabs>
              <w:ind w:left="0"/>
              <w:jc w:val="both"/>
              <w:rPr>
                <w:rFonts w:ascii="Arial" w:eastAsia="Arial Narrow" w:hAnsi="Arial" w:cs="Arial"/>
                <w:sz w:val="20"/>
                <w:szCs w:val="20"/>
              </w:rPr>
            </w:pPr>
            <w:r>
              <w:rPr>
                <w:rFonts w:ascii="Arial" w:eastAsia="Arial Narrow" w:hAnsi="Arial" w:cs="Arial"/>
                <w:sz w:val="20"/>
                <w:szCs w:val="20"/>
              </w:rPr>
              <w:t>S1.6.4</w:t>
            </w:r>
          </w:p>
        </w:tc>
        <w:tc>
          <w:tcPr>
            <w:tcW w:w="2536" w:type="dxa"/>
          </w:tcPr>
          <w:p w14:paraId="10AF3AA1" w14:textId="50C40662" w:rsidR="00BA7F96" w:rsidRPr="0020551C" w:rsidRDefault="00BA7F96" w:rsidP="00BA7F96">
            <w:pPr>
              <w:pStyle w:val="Prrafodelista"/>
              <w:tabs>
                <w:tab w:val="left" w:pos="3375"/>
              </w:tabs>
              <w:ind w:left="0"/>
              <w:jc w:val="both"/>
              <w:rPr>
                <w:rFonts w:ascii="Arial" w:eastAsia="Arial Narrow" w:hAnsi="Arial" w:cs="Arial"/>
                <w:sz w:val="20"/>
                <w:szCs w:val="20"/>
              </w:rPr>
            </w:pPr>
            <w:r w:rsidRPr="0020551C">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c>
          <w:tcPr>
            <w:tcW w:w="2681" w:type="dxa"/>
          </w:tcPr>
          <w:p w14:paraId="2D68F939" w14:textId="0B35C741" w:rsidR="00BA7F96" w:rsidRPr="0020551C" w:rsidRDefault="00BA7F96" w:rsidP="00BA7F96">
            <w:pPr>
              <w:pStyle w:val="Prrafodelista"/>
              <w:tabs>
                <w:tab w:val="left" w:pos="3375"/>
              </w:tabs>
              <w:ind w:left="0"/>
              <w:jc w:val="both"/>
              <w:rPr>
                <w:rFonts w:ascii="Arial" w:eastAsia="Arial Narrow" w:hAnsi="Arial" w:cs="Arial"/>
                <w:sz w:val="20"/>
                <w:szCs w:val="20"/>
              </w:rPr>
            </w:pPr>
            <w:r w:rsidRPr="0020551C">
              <w:rPr>
                <w:rFonts w:ascii="Arial" w:eastAsia="Arial Narrow" w:hAnsi="Arial" w:cs="Arial"/>
                <w:sz w:val="20"/>
                <w:szCs w:val="20"/>
              </w:rPr>
              <w:t>L1.6 Fomentar el aprovechamiento sostenible de los recursos forestales y de fauna silvestre</w:t>
            </w:r>
          </w:p>
        </w:tc>
        <w:tc>
          <w:tcPr>
            <w:tcW w:w="3085" w:type="dxa"/>
          </w:tcPr>
          <w:p w14:paraId="2F2DC52B" w14:textId="77A58E23" w:rsidR="00BA7F96" w:rsidRPr="0020551C" w:rsidRDefault="007354A4" w:rsidP="00BA7F96">
            <w:pPr>
              <w:pStyle w:val="Prrafodelista"/>
              <w:tabs>
                <w:tab w:val="left" w:pos="3375"/>
              </w:tabs>
              <w:ind w:left="0"/>
              <w:jc w:val="both"/>
              <w:rPr>
                <w:rFonts w:ascii="Arial" w:eastAsia="Times New Roman" w:hAnsi="Arial" w:cs="Arial"/>
                <w:sz w:val="20"/>
                <w:szCs w:val="20"/>
              </w:rPr>
            </w:pPr>
            <w:r w:rsidRPr="008A26D2">
              <w:rPr>
                <w:rFonts w:ascii="Arial" w:eastAsia="Arial Narrow" w:hAnsi="Arial" w:cs="Arial"/>
                <w:sz w:val="20"/>
                <w:szCs w:val="20"/>
              </w:rPr>
              <w:t>Otorgamiento de derechos para el aprovechamiento sostenible de los recursos forestales, flora y fauna silvestre en Áreas Naturales Protegidas de administración nacional de forma oportuna dirigido a los usuarios forestales, flora y de fauna silvestre</w:t>
            </w:r>
          </w:p>
        </w:tc>
        <w:tc>
          <w:tcPr>
            <w:tcW w:w="2268" w:type="dxa"/>
          </w:tcPr>
          <w:p w14:paraId="09F1C4B6" w14:textId="3CE4E9E1" w:rsidR="00BA7F96" w:rsidRPr="0020551C" w:rsidRDefault="00BA7F96" w:rsidP="00BA7F96">
            <w:pPr>
              <w:pBdr>
                <w:top w:val="nil"/>
                <w:left w:val="nil"/>
                <w:bottom w:val="nil"/>
                <w:right w:val="nil"/>
                <w:between w:val="nil"/>
              </w:pBdr>
              <w:jc w:val="both"/>
              <w:rPr>
                <w:rFonts w:ascii="Arial" w:eastAsia="Arial Narrow" w:hAnsi="Arial" w:cs="Arial"/>
                <w:sz w:val="20"/>
                <w:szCs w:val="20"/>
              </w:rPr>
            </w:pPr>
            <w:r w:rsidRPr="00CD278D">
              <w:rPr>
                <w:rFonts w:ascii="Arial" w:eastAsia="Arial Narrow" w:hAnsi="Arial" w:cs="Arial"/>
                <w:sz w:val="20"/>
                <w:szCs w:val="20"/>
              </w:rPr>
              <w:t>Servicio Nacional de Áreas Naturales Protegidas por el Estado</w:t>
            </w:r>
            <w:r w:rsidRPr="00CD278D" w:rsidDel="00CA08F0">
              <w:rPr>
                <w:rFonts w:ascii="Arial" w:eastAsia="Arial Narrow" w:hAnsi="Arial" w:cs="Arial"/>
                <w:sz w:val="20"/>
                <w:szCs w:val="20"/>
              </w:rPr>
              <w:t xml:space="preserve"> </w:t>
            </w:r>
            <w:r w:rsidRPr="00CD278D">
              <w:rPr>
                <w:rFonts w:ascii="Arial" w:eastAsia="Arial Narrow" w:hAnsi="Arial" w:cs="Arial"/>
                <w:sz w:val="20"/>
                <w:szCs w:val="20"/>
              </w:rPr>
              <w:t>- SERNANP</w:t>
            </w:r>
          </w:p>
        </w:tc>
        <w:tc>
          <w:tcPr>
            <w:tcW w:w="2410" w:type="dxa"/>
          </w:tcPr>
          <w:p w14:paraId="1B14358A" w14:textId="7436277A" w:rsidR="00BA7F96" w:rsidRPr="0020551C" w:rsidRDefault="00BA7F96" w:rsidP="00BA7F96">
            <w:pPr>
              <w:pStyle w:val="Prrafodelista"/>
              <w:tabs>
                <w:tab w:val="left" w:pos="3375"/>
              </w:tabs>
              <w:ind w:left="0"/>
              <w:jc w:val="both"/>
              <w:rPr>
                <w:rFonts w:ascii="Arial" w:eastAsia="Arial Narrow" w:hAnsi="Arial" w:cs="Arial"/>
                <w:sz w:val="20"/>
                <w:szCs w:val="20"/>
              </w:rPr>
            </w:pPr>
            <w:r w:rsidRPr="00CD278D">
              <w:rPr>
                <w:rFonts w:ascii="Arial" w:eastAsia="Arial Narrow" w:hAnsi="Arial" w:cs="Arial"/>
                <w:sz w:val="20"/>
                <w:szCs w:val="20"/>
              </w:rPr>
              <w:t>Usuarios forestales, flora y de fauna silvestre en Áreas Naturales Protegidas de administración nacional</w:t>
            </w:r>
          </w:p>
        </w:tc>
      </w:tr>
      <w:tr w:rsidR="00C550B2" w:rsidRPr="0020551C" w14:paraId="7246DAD6" w14:textId="77777777" w:rsidTr="009C5D49">
        <w:tc>
          <w:tcPr>
            <w:tcW w:w="1049" w:type="dxa"/>
          </w:tcPr>
          <w:p w14:paraId="3FAE0B9D" w14:textId="3C03141A" w:rsidR="00C550B2" w:rsidRDefault="00C550B2" w:rsidP="00C550B2">
            <w:pPr>
              <w:pStyle w:val="Prrafodelista"/>
              <w:tabs>
                <w:tab w:val="left" w:pos="3375"/>
              </w:tabs>
              <w:ind w:left="0"/>
              <w:jc w:val="both"/>
              <w:rPr>
                <w:rFonts w:ascii="Arial" w:eastAsia="Arial Narrow" w:hAnsi="Arial" w:cs="Arial"/>
                <w:sz w:val="20"/>
                <w:szCs w:val="20"/>
              </w:rPr>
            </w:pPr>
            <w:r>
              <w:rPr>
                <w:rFonts w:ascii="Arial" w:eastAsia="Arial Narrow" w:hAnsi="Arial" w:cs="Arial"/>
                <w:sz w:val="20"/>
                <w:szCs w:val="20"/>
              </w:rPr>
              <w:t>S1.6.5</w:t>
            </w:r>
          </w:p>
        </w:tc>
        <w:tc>
          <w:tcPr>
            <w:tcW w:w="2536" w:type="dxa"/>
          </w:tcPr>
          <w:p w14:paraId="1300504B" w14:textId="640CC93B" w:rsidR="00C550B2" w:rsidRPr="0020551C" w:rsidRDefault="00C550B2" w:rsidP="00C550B2">
            <w:pPr>
              <w:pStyle w:val="Prrafodelista"/>
              <w:tabs>
                <w:tab w:val="left" w:pos="3375"/>
              </w:tabs>
              <w:ind w:left="0"/>
              <w:jc w:val="both"/>
              <w:rPr>
                <w:rFonts w:ascii="Arial" w:eastAsia="Arial Narrow" w:hAnsi="Arial" w:cs="Arial"/>
                <w:sz w:val="20"/>
                <w:szCs w:val="20"/>
              </w:rPr>
            </w:pPr>
            <w:r w:rsidRPr="0020551C">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c>
          <w:tcPr>
            <w:tcW w:w="2681" w:type="dxa"/>
          </w:tcPr>
          <w:p w14:paraId="0E1500F3" w14:textId="5990CD20" w:rsidR="00C550B2" w:rsidRPr="0020551C" w:rsidRDefault="00C550B2" w:rsidP="00C550B2">
            <w:pPr>
              <w:pStyle w:val="Prrafodelista"/>
              <w:tabs>
                <w:tab w:val="left" w:pos="3375"/>
              </w:tabs>
              <w:ind w:left="0"/>
              <w:jc w:val="both"/>
              <w:rPr>
                <w:rFonts w:ascii="Arial" w:eastAsia="Arial Narrow" w:hAnsi="Arial" w:cs="Arial"/>
                <w:sz w:val="20"/>
                <w:szCs w:val="20"/>
              </w:rPr>
            </w:pPr>
            <w:r w:rsidRPr="0020551C">
              <w:rPr>
                <w:rFonts w:ascii="Arial" w:eastAsia="Arial Narrow" w:hAnsi="Arial" w:cs="Arial"/>
                <w:sz w:val="20"/>
                <w:szCs w:val="20"/>
              </w:rPr>
              <w:t>L1.6 Fomentar el aprovechamiento sostenible de los recursos forestales y de fauna silvestre</w:t>
            </w:r>
          </w:p>
        </w:tc>
        <w:tc>
          <w:tcPr>
            <w:tcW w:w="3085" w:type="dxa"/>
          </w:tcPr>
          <w:p w14:paraId="56D22A7D" w14:textId="1BCAA748" w:rsidR="00C550B2" w:rsidRPr="00CD278D" w:rsidRDefault="007354A4" w:rsidP="00C550B2">
            <w:pPr>
              <w:pStyle w:val="Prrafodelista"/>
              <w:tabs>
                <w:tab w:val="left" w:pos="3375"/>
              </w:tabs>
              <w:ind w:left="0"/>
              <w:jc w:val="both"/>
              <w:rPr>
                <w:rFonts w:ascii="Arial" w:eastAsia="Arial Narrow" w:hAnsi="Arial" w:cs="Arial"/>
                <w:sz w:val="20"/>
                <w:szCs w:val="20"/>
              </w:rPr>
            </w:pPr>
            <w:r w:rsidRPr="008A26D2">
              <w:rPr>
                <w:rFonts w:ascii="Arial" w:eastAsia="Arial Narrow" w:hAnsi="Arial" w:cs="Arial"/>
                <w:sz w:val="20"/>
                <w:szCs w:val="20"/>
              </w:rPr>
              <w:t>Licenciamiento del uso de la marca “Aliado por la Conservación” de forma oportuna a los titulares de derechos de aprovechamiento de recursos forestales, flora y fauna silvestre en Áreas Naturales Protegidas de administración nacional</w:t>
            </w:r>
            <w:r w:rsidR="00C550B2" w:rsidRPr="00CD278D">
              <w:rPr>
                <w:rFonts w:ascii="Arial" w:eastAsia="Arial Narrow" w:hAnsi="Arial" w:cs="Arial"/>
                <w:sz w:val="20"/>
                <w:szCs w:val="20"/>
              </w:rPr>
              <w:t>.</w:t>
            </w:r>
          </w:p>
        </w:tc>
        <w:tc>
          <w:tcPr>
            <w:tcW w:w="2268" w:type="dxa"/>
          </w:tcPr>
          <w:p w14:paraId="57B4F0CC" w14:textId="2D1FF539" w:rsidR="00C550B2" w:rsidRPr="00CD278D" w:rsidRDefault="00C550B2" w:rsidP="00C550B2">
            <w:pPr>
              <w:pBdr>
                <w:top w:val="nil"/>
                <w:left w:val="nil"/>
                <w:bottom w:val="nil"/>
                <w:right w:val="nil"/>
                <w:between w:val="nil"/>
              </w:pBdr>
              <w:jc w:val="both"/>
              <w:rPr>
                <w:rFonts w:ascii="Arial" w:eastAsia="Arial Narrow" w:hAnsi="Arial" w:cs="Arial"/>
                <w:sz w:val="20"/>
                <w:szCs w:val="20"/>
              </w:rPr>
            </w:pPr>
            <w:r w:rsidRPr="00CD278D">
              <w:rPr>
                <w:rFonts w:ascii="Arial" w:eastAsia="Arial Narrow" w:hAnsi="Arial" w:cs="Arial"/>
                <w:sz w:val="20"/>
                <w:szCs w:val="20"/>
              </w:rPr>
              <w:t>Servicio Nacional de Áreas Naturales Protegidas por el Estado</w:t>
            </w:r>
            <w:r w:rsidRPr="00CD278D" w:rsidDel="00CA08F0">
              <w:rPr>
                <w:rFonts w:ascii="Arial" w:eastAsia="Arial Narrow" w:hAnsi="Arial" w:cs="Arial"/>
                <w:sz w:val="20"/>
                <w:szCs w:val="20"/>
              </w:rPr>
              <w:t xml:space="preserve"> </w:t>
            </w:r>
            <w:r w:rsidRPr="00CD278D">
              <w:rPr>
                <w:rFonts w:ascii="Arial" w:eastAsia="Arial Narrow" w:hAnsi="Arial" w:cs="Arial"/>
                <w:sz w:val="20"/>
                <w:szCs w:val="20"/>
              </w:rPr>
              <w:t>- SERNANP</w:t>
            </w:r>
          </w:p>
        </w:tc>
        <w:tc>
          <w:tcPr>
            <w:tcW w:w="2410" w:type="dxa"/>
            <w:vAlign w:val="center"/>
          </w:tcPr>
          <w:p w14:paraId="5386B7D2" w14:textId="3540487D" w:rsidR="00C550B2" w:rsidRPr="00C550B2" w:rsidRDefault="00C53E5F" w:rsidP="00C53E5F">
            <w:pPr>
              <w:ind w:firstLine="37"/>
            </w:pPr>
            <w:r w:rsidRPr="00A06ADA">
              <w:rPr>
                <w:rFonts w:ascii="Arial" w:eastAsia="Arial Narrow" w:hAnsi="Arial" w:cs="Arial"/>
                <w:sz w:val="20"/>
                <w:szCs w:val="20"/>
              </w:rPr>
              <w:t xml:space="preserve">Titulares de derechos de aprovechamiento de recursos forestales, flora y fauna silvestre en Áreas Naturales Protegidas de </w:t>
            </w:r>
            <w:r w:rsidRPr="00CD278D">
              <w:rPr>
                <w:rFonts w:ascii="Arial" w:eastAsia="Arial Narrow" w:hAnsi="Arial" w:cs="Arial"/>
                <w:sz w:val="20"/>
                <w:szCs w:val="20"/>
              </w:rPr>
              <w:t>administración nacional.</w:t>
            </w:r>
          </w:p>
        </w:tc>
      </w:tr>
      <w:tr w:rsidR="007354A4" w:rsidRPr="0020551C" w14:paraId="39D1402F" w14:textId="77777777" w:rsidTr="009C5D49">
        <w:tc>
          <w:tcPr>
            <w:tcW w:w="1049" w:type="dxa"/>
          </w:tcPr>
          <w:p w14:paraId="726E59B5" w14:textId="338CB40A" w:rsidR="007354A4" w:rsidRDefault="007354A4" w:rsidP="007354A4">
            <w:pPr>
              <w:pStyle w:val="Prrafodelista"/>
              <w:tabs>
                <w:tab w:val="left" w:pos="3375"/>
              </w:tabs>
              <w:ind w:left="0"/>
              <w:jc w:val="both"/>
              <w:rPr>
                <w:rFonts w:ascii="Arial" w:eastAsia="Arial Narrow" w:hAnsi="Arial" w:cs="Arial"/>
                <w:sz w:val="20"/>
                <w:szCs w:val="20"/>
              </w:rPr>
            </w:pPr>
            <w:r>
              <w:rPr>
                <w:rFonts w:ascii="Arial" w:eastAsia="Arial Narrow" w:hAnsi="Arial" w:cs="Arial"/>
                <w:sz w:val="20"/>
                <w:szCs w:val="20"/>
              </w:rPr>
              <w:t>S1.6.6</w:t>
            </w:r>
          </w:p>
        </w:tc>
        <w:tc>
          <w:tcPr>
            <w:tcW w:w="2536" w:type="dxa"/>
          </w:tcPr>
          <w:p w14:paraId="0E7458F0" w14:textId="076A2494" w:rsidR="007354A4" w:rsidRPr="0020551C" w:rsidRDefault="007354A4" w:rsidP="007354A4">
            <w:pPr>
              <w:pStyle w:val="Prrafodelista"/>
              <w:tabs>
                <w:tab w:val="left" w:pos="3375"/>
              </w:tabs>
              <w:ind w:left="0"/>
              <w:jc w:val="both"/>
              <w:rPr>
                <w:rFonts w:ascii="Arial" w:eastAsia="Arial Narrow" w:hAnsi="Arial" w:cs="Arial"/>
                <w:sz w:val="20"/>
                <w:szCs w:val="20"/>
              </w:rPr>
            </w:pPr>
            <w:r w:rsidRPr="0020551C">
              <w:rPr>
                <w:rFonts w:ascii="Arial" w:eastAsia="Arial Narrow" w:hAnsi="Arial" w:cs="Arial"/>
                <w:sz w:val="20"/>
                <w:szCs w:val="20"/>
              </w:rPr>
              <w:t xml:space="preserve">OP1 Mejorar las condiciones para la sostenibilidad de los ecosistemas forestales, otros ecosistemas de </w:t>
            </w:r>
            <w:r w:rsidRPr="0020551C">
              <w:rPr>
                <w:rFonts w:ascii="Arial" w:eastAsia="Arial Narrow" w:hAnsi="Arial" w:cs="Arial"/>
                <w:sz w:val="20"/>
                <w:szCs w:val="20"/>
              </w:rPr>
              <w:lastRenderedPageBreak/>
              <w:t xml:space="preserve">vegetación silvestre y de la fauna silvestre  </w:t>
            </w:r>
          </w:p>
        </w:tc>
        <w:tc>
          <w:tcPr>
            <w:tcW w:w="2681" w:type="dxa"/>
          </w:tcPr>
          <w:p w14:paraId="20849D1F" w14:textId="0E09F159" w:rsidR="007354A4" w:rsidRPr="0020551C" w:rsidRDefault="007354A4" w:rsidP="007354A4">
            <w:pPr>
              <w:pStyle w:val="Prrafodelista"/>
              <w:tabs>
                <w:tab w:val="left" w:pos="3375"/>
              </w:tabs>
              <w:ind w:left="0"/>
              <w:jc w:val="both"/>
              <w:rPr>
                <w:rFonts w:ascii="Arial" w:eastAsia="Arial Narrow" w:hAnsi="Arial" w:cs="Arial"/>
                <w:sz w:val="20"/>
                <w:szCs w:val="20"/>
              </w:rPr>
            </w:pPr>
            <w:r w:rsidRPr="0020551C">
              <w:rPr>
                <w:rFonts w:ascii="Arial" w:eastAsia="Arial Narrow" w:hAnsi="Arial" w:cs="Arial"/>
                <w:sz w:val="20"/>
                <w:szCs w:val="20"/>
              </w:rPr>
              <w:lastRenderedPageBreak/>
              <w:t>L1.6 Fomentar el aprovechamiento sostenible de los recursos forestales y de fauna silvestre</w:t>
            </w:r>
          </w:p>
        </w:tc>
        <w:tc>
          <w:tcPr>
            <w:tcW w:w="3085" w:type="dxa"/>
          </w:tcPr>
          <w:p w14:paraId="1A8C6F01" w14:textId="0E3D09E0" w:rsidR="007354A4" w:rsidRPr="008A26D2" w:rsidRDefault="00BD50F4" w:rsidP="007354A4">
            <w:pPr>
              <w:pStyle w:val="Prrafodelista"/>
              <w:tabs>
                <w:tab w:val="left" w:pos="3375"/>
              </w:tabs>
              <w:ind w:left="0"/>
              <w:jc w:val="both"/>
              <w:rPr>
                <w:rFonts w:ascii="Arial" w:eastAsia="Arial Narrow" w:hAnsi="Arial" w:cs="Arial"/>
                <w:sz w:val="20"/>
                <w:szCs w:val="20"/>
              </w:rPr>
            </w:pPr>
            <w:r w:rsidRPr="008A26D2">
              <w:rPr>
                <w:rFonts w:ascii="Arial" w:eastAsia="Arial Narrow" w:hAnsi="Arial" w:cs="Arial"/>
                <w:sz w:val="20"/>
                <w:szCs w:val="20"/>
              </w:rPr>
              <w:t xml:space="preserve">Fortalecimiento de capacidades en sistemas de manejo para la producción sostenible de recursos forestales y de fauna silvestre amazónica de forma satisfactoria a usuarios </w:t>
            </w:r>
            <w:r w:rsidRPr="008A26D2">
              <w:rPr>
                <w:rFonts w:ascii="Arial" w:eastAsia="Arial Narrow" w:hAnsi="Arial" w:cs="Arial"/>
                <w:sz w:val="20"/>
                <w:szCs w:val="20"/>
              </w:rPr>
              <w:lastRenderedPageBreak/>
              <w:t>forestales y de fauna silvestre y entidades públicas</w:t>
            </w:r>
          </w:p>
        </w:tc>
        <w:tc>
          <w:tcPr>
            <w:tcW w:w="2268" w:type="dxa"/>
          </w:tcPr>
          <w:p w14:paraId="188B2A72" w14:textId="775C9830" w:rsidR="007354A4" w:rsidRPr="00CD278D" w:rsidRDefault="00BD50F4" w:rsidP="007354A4">
            <w:pPr>
              <w:pBdr>
                <w:top w:val="nil"/>
                <w:left w:val="nil"/>
                <w:bottom w:val="nil"/>
                <w:right w:val="nil"/>
                <w:between w:val="nil"/>
              </w:pBdr>
              <w:jc w:val="both"/>
              <w:rPr>
                <w:rFonts w:ascii="Arial" w:eastAsia="Arial Narrow" w:hAnsi="Arial" w:cs="Arial"/>
                <w:sz w:val="20"/>
                <w:szCs w:val="20"/>
              </w:rPr>
            </w:pPr>
            <w:r w:rsidRPr="008A26D2">
              <w:rPr>
                <w:rFonts w:ascii="Arial" w:eastAsia="Arial Narrow" w:hAnsi="Arial" w:cs="Arial"/>
                <w:sz w:val="20"/>
                <w:szCs w:val="20"/>
              </w:rPr>
              <w:lastRenderedPageBreak/>
              <w:t>Instituto de Investigaciones de la Amazonía Peruana - IIAP</w:t>
            </w:r>
          </w:p>
        </w:tc>
        <w:tc>
          <w:tcPr>
            <w:tcW w:w="2410" w:type="dxa"/>
            <w:vAlign w:val="center"/>
          </w:tcPr>
          <w:p w14:paraId="2DE809EB" w14:textId="360DBCA4" w:rsidR="007354A4" w:rsidRPr="00A06ADA" w:rsidRDefault="00BD50F4" w:rsidP="007354A4">
            <w:pPr>
              <w:ind w:firstLine="37"/>
              <w:rPr>
                <w:rFonts w:ascii="Arial" w:eastAsia="Arial Narrow" w:hAnsi="Arial" w:cs="Arial"/>
                <w:sz w:val="20"/>
                <w:szCs w:val="20"/>
              </w:rPr>
            </w:pPr>
            <w:r w:rsidRPr="008A26D2">
              <w:rPr>
                <w:rFonts w:ascii="Arial" w:eastAsia="Arial Narrow" w:hAnsi="Arial" w:cs="Arial"/>
                <w:sz w:val="20"/>
                <w:szCs w:val="20"/>
              </w:rPr>
              <w:t>Usuarios forestales y de fauna silvestre, entidades públicas</w:t>
            </w:r>
          </w:p>
        </w:tc>
      </w:tr>
      <w:tr w:rsidR="007354A4" w:rsidRPr="0020551C" w14:paraId="6B425950" w14:textId="77777777" w:rsidTr="005976BF">
        <w:tc>
          <w:tcPr>
            <w:tcW w:w="1049" w:type="dxa"/>
          </w:tcPr>
          <w:p w14:paraId="43877995" w14:textId="62B4B807" w:rsidR="007354A4" w:rsidRPr="0020551C" w:rsidRDefault="007354A4" w:rsidP="007354A4">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S1.7.1.</w:t>
            </w:r>
          </w:p>
        </w:tc>
        <w:tc>
          <w:tcPr>
            <w:tcW w:w="2536" w:type="dxa"/>
          </w:tcPr>
          <w:p w14:paraId="3F502A9C" w14:textId="19D58E43" w:rsidR="007354A4" w:rsidRPr="0020551C" w:rsidRDefault="007354A4" w:rsidP="007354A4">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c>
          <w:tcPr>
            <w:tcW w:w="2681" w:type="dxa"/>
          </w:tcPr>
          <w:p w14:paraId="017F8894" w14:textId="1AD95113" w:rsidR="007354A4" w:rsidRPr="0020551C" w:rsidRDefault="007354A4" w:rsidP="007354A4">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L1.7 Fomentar la conservación y aprovechamiento sostenible de la vicuña como una prioridad estratégica para el desarrollo sostenible de las poblaciones altoandinas.</w:t>
            </w:r>
          </w:p>
        </w:tc>
        <w:tc>
          <w:tcPr>
            <w:tcW w:w="3085" w:type="dxa"/>
          </w:tcPr>
          <w:p w14:paraId="14A74A71" w14:textId="3D997E11" w:rsidR="007354A4" w:rsidRPr="0020551C" w:rsidRDefault="00BD50F4" w:rsidP="007354A4">
            <w:pPr>
              <w:pStyle w:val="Prrafodelista"/>
              <w:tabs>
                <w:tab w:val="left" w:pos="3375"/>
              </w:tabs>
              <w:ind w:left="0"/>
              <w:jc w:val="both"/>
              <w:rPr>
                <w:rFonts w:ascii="Arial" w:eastAsia="Arial Narrow" w:hAnsi="Arial" w:cs="Arial"/>
                <w:b/>
              </w:rPr>
            </w:pPr>
            <w:r w:rsidRPr="008A26D2">
              <w:rPr>
                <w:rFonts w:ascii="Arial" w:eastAsia="Arial Narrow" w:hAnsi="Arial" w:cs="Arial"/>
                <w:sz w:val="20"/>
                <w:szCs w:val="20"/>
              </w:rPr>
              <w:t>Otorgamiento de derechos para el aprovechamiento sostenible de la vicuña de forma oportuna para las personas naturales o jurídicas</w:t>
            </w:r>
            <w:r w:rsidR="007354A4" w:rsidRPr="0020551C">
              <w:rPr>
                <w:rFonts w:ascii="Arial" w:eastAsia="Arial Narrow" w:hAnsi="Arial" w:cs="Arial"/>
                <w:sz w:val="20"/>
                <w:szCs w:val="20"/>
              </w:rPr>
              <w:t>.</w:t>
            </w:r>
          </w:p>
        </w:tc>
        <w:tc>
          <w:tcPr>
            <w:tcW w:w="2268" w:type="dxa"/>
          </w:tcPr>
          <w:p w14:paraId="39046445" w14:textId="77777777" w:rsidR="007354A4" w:rsidRDefault="007354A4" w:rsidP="007354A4">
            <w:pPr>
              <w:pBdr>
                <w:top w:val="nil"/>
                <w:left w:val="nil"/>
                <w:bottom w:val="nil"/>
                <w:right w:val="nil"/>
                <w:between w:val="nil"/>
              </w:pBdr>
              <w:jc w:val="both"/>
              <w:rPr>
                <w:rFonts w:ascii="Arial" w:eastAsia="Arial Narrow" w:hAnsi="Arial" w:cs="Arial"/>
                <w:sz w:val="20"/>
                <w:szCs w:val="20"/>
              </w:rPr>
            </w:pPr>
            <w:r w:rsidRPr="0020551C">
              <w:rPr>
                <w:rFonts w:ascii="Arial" w:eastAsia="Arial Narrow" w:hAnsi="Arial" w:cs="Arial"/>
                <w:sz w:val="20"/>
                <w:szCs w:val="20"/>
              </w:rPr>
              <w:t>Servicio Nacional Forestal y de Fauna silvestre – SERFOR;</w:t>
            </w:r>
          </w:p>
          <w:p w14:paraId="7E5891B1" w14:textId="77777777" w:rsidR="00BD50F4" w:rsidRPr="0020551C" w:rsidRDefault="00BD50F4" w:rsidP="007354A4">
            <w:pPr>
              <w:pBdr>
                <w:top w:val="nil"/>
                <w:left w:val="nil"/>
                <w:bottom w:val="nil"/>
                <w:right w:val="nil"/>
                <w:between w:val="nil"/>
              </w:pBdr>
              <w:jc w:val="both"/>
              <w:rPr>
                <w:rFonts w:ascii="Arial" w:eastAsia="Arial Narrow" w:hAnsi="Arial" w:cs="Arial"/>
                <w:sz w:val="20"/>
                <w:szCs w:val="20"/>
              </w:rPr>
            </w:pPr>
          </w:p>
          <w:p w14:paraId="70DF9F20" w14:textId="7887734B" w:rsidR="007354A4" w:rsidRPr="0020551C" w:rsidRDefault="007354A4" w:rsidP="007354A4">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Gobiernos Regionales - GORE</w:t>
            </w:r>
          </w:p>
        </w:tc>
        <w:tc>
          <w:tcPr>
            <w:tcW w:w="2410" w:type="dxa"/>
          </w:tcPr>
          <w:p w14:paraId="4DE87E4E" w14:textId="74D5546D" w:rsidR="007354A4" w:rsidRPr="0020551C" w:rsidRDefault="007354A4" w:rsidP="007354A4">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Personas naturales o jurídicas</w:t>
            </w:r>
          </w:p>
        </w:tc>
      </w:tr>
      <w:tr w:rsidR="007354A4" w:rsidRPr="0020551C" w14:paraId="71CC1E1F" w14:textId="77777777" w:rsidTr="005976BF">
        <w:tc>
          <w:tcPr>
            <w:tcW w:w="1049" w:type="dxa"/>
          </w:tcPr>
          <w:p w14:paraId="78905EB8" w14:textId="0157E50C" w:rsidR="007354A4" w:rsidRPr="0020551C" w:rsidRDefault="007354A4" w:rsidP="007354A4">
            <w:pPr>
              <w:pStyle w:val="Prrafodelista"/>
              <w:tabs>
                <w:tab w:val="left" w:pos="3375"/>
              </w:tabs>
              <w:ind w:left="0"/>
              <w:jc w:val="both"/>
              <w:rPr>
                <w:rFonts w:ascii="Arial" w:eastAsia="Arial Narrow" w:hAnsi="Arial" w:cs="Arial"/>
                <w:b/>
              </w:rPr>
            </w:pPr>
            <w:r w:rsidRPr="0020551C">
              <w:rPr>
                <w:rFonts w:ascii="Arial" w:hAnsi="Arial" w:cs="Arial"/>
                <w:color w:val="000000" w:themeColor="text1"/>
                <w:sz w:val="20"/>
                <w:szCs w:val="20"/>
              </w:rPr>
              <w:t>S1.7.2</w:t>
            </w:r>
          </w:p>
        </w:tc>
        <w:tc>
          <w:tcPr>
            <w:tcW w:w="2536" w:type="dxa"/>
          </w:tcPr>
          <w:p w14:paraId="558EB107" w14:textId="3595AD76" w:rsidR="007354A4" w:rsidRPr="0020551C" w:rsidRDefault="007354A4" w:rsidP="007354A4">
            <w:pPr>
              <w:pStyle w:val="Prrafodelista"/>
              <w:tabs>
                <w:tab w:val="left" w:pos="3375"/>
              </w:tabs>
              <w:ind w:left="0"/>
              <w:jc w:val="both"/>
              <w:rPr>
                <w:rFonts w:ascii="Arial" w:eastAsia="Arial Narrow" w:hAnsi="Arial" w:cs="Arial"/>
                <w:b/>
              </w:rPr>
            </w:pPr>
            <w:r w:rsidRPr="0020551C">
              <w:rPr>
                <w:rFonts w:ascii="Arial" w:hAnsi="Arial" w:cs="Arial"/>
                <w:color w:val="000000" w:themeColor="text1"/>
                <w:sz w:val="20"/>
                <w:szCs w:val="20"/>
              </w:rPr>
              <w:t xml:space="preserve">OP1 </w:t>
            </w:r>
            <w:r w:rsidRPr="0020551C">
              <w:rPr>
                <w:rFonts w:ascii="Arial" w:eastAsia="Arial Narrow" w:hAnsi="Arial" w:cs="Arial"/>
                <w:color w:val="000000" w:themeColor="text1"/>
                <w:sz w:val="20"/>
                <w:szCs w:val="20"/>
              </w:rPr>
              <w:t xml:space="preserve">Mejorar las condiciones para la sostenibilidad de los ecosistemas forestales, otros ecosistemas de vegetación silvestre y de la fauna silvestre  </w:t>
            </w:r>
          </w:p>
        </w:tc>
        <w:tc>
          <w:tcPr>
            <w:tcW w:w="2681" w:type="dxa"/>
          </w:tcPr>
          <w:p w14:paraId="5E2A40DE" w14:textId="75BD8FEF" w:rsidR="007354A4" w:rsidRPr="0020551C" w:rsidRDefault="007354A4" w:rsidP="007354A4">
            <w:pPr>
              <w:pStyle w:val="Prrafodelista"/>
              <w:tabs>
                <w:tab w:val="left" w:pos="3375"/>
              </w:tabs>
              <w:ind w:left="0"/>
              <w:jc w:val="both"/>
              <w:rPr>
                <w:rFonts w:ascii="Arial" w:eastAsia="Arial Narrow" w:hAnsi="Arial" w:cs="Arial"/>
                <w:b/>
              </w:rPr>
            </w:pPr>
            <w:r w:rsidRPr="0020551C">
              <w:rPr>
                <w:rFonts w:ascii="Arial" w:hAnsi="Arial" w:cs="Arial"/>
                <w:color w:val="000000" w:themeColor="text1"/>
                <w:sz w:val="20"/>
                <w:szCs w:val="20"/>
              </w:rPr>
              <w:t>L1.7 Fomentar la conservación y aprovechamiento sostenible de la vicuña como una prioridad estratégica para el desarrollo sostenible de las poblaciones altoandinas.</w:t>
            </w:r>
          </w:p>
        </w:tc>
        <w:tc>
          <w:tcPr>
            <w:tcW w:w="3085" w:type="dxa"/>
          </w:tcPr>
          <w:p w14:paraId="7C9B55E9" w14:textId="143D2655" w:rsidR="007354A4" w:rsidRPr="0020551C" w:rsidRDefault="00BD50F4" w:rsidP="007354A4">
            <w:pPr>
              <w:jc w:val="both"/>
              <w:rPr>
                <w:rFonts w:ascii="Arial" w:hAnsi="Arial" w:cs="Arial"/>
              </w:rPr>
            </w:pPr>
            <w:r w:rsidRPr="008A26D2">
              <w:rPr>
                <w:rFonts w:ascii="Arial" w:hAnsi="Arial" w:cs="Arial"/>
                <w:sz w:val="20"/>
                <w:szCs w:val="20"/>
              </w:rPr>
              <w:t>Promoción de la oferta exportable de prendas de vestir, accesorios y textiles del hogar confeccionados con fibra de vicuña de forma oportuna para beneficio de las empresas comercializadoras de productos de fibra de vicuña</w:t>
            </w:r>
            <w:r w:rsidR="007354A4" w:rsidRPr="0020551C">
              <w:rPr>
                <w:rFonts w:ascii="Arial" w:hAnsi="Arial" w:cs="Arial"/>
                <w:color w:val="000000" w:themeColor="text1"/>
                <w:sz w:val="20"/>
                <w:szCs w:val="20"/>
              </w:rPr>
              <w:t>.</w:t>
            </w:r>
          </w:p>
        </w:tc>
        <w:tc>
          <w:tcPr>
            <w:tcW w:w="2268" w:type="dxa"/>
          </w:tcPr>
          <w:p w14:paraId="3686B324" w14:textId="0F8754BB" w:rsidR="007354A4" w:rsidRPr="0020551C" w:rsidRDefault="007354A4" w:rsidP="007354A4">
            <w:pPr>
              <w:pStyle w:val="Prrafodelista"/>
              <w:tabs>
                <w:tab w:val="left" w:pos="3375"/>
              </w:tabs>
              <w:ind w:left="0"/>
              <w:jc w:val="both"/>
              <w:rPr>
                <w:rFonts w:ascii="Arial" w:eastAsia="Arial Narrow" w:hAnsi="Arial" w:cs="Arial"/>
                <w:b/>
              </w:rPr>
            </w:pPr>
            <w:r w:rsidRPr="0020551C">
              <w:rPr>
                <w:rFonts w:ascii="Arial" w:hAnsi="Arial" w:cs="Arial"/>
                <w:color w:val="000000" w:themeColor="text1"/>
                <w:sz w:val="20"/>
                <w:szCs w:val="20"/>
              </w:rPr>
              <w:t>PROMPERU</w:t>
            </w:r>
          </w:p>
        </w:tc>
        <w:tc>
          <w:tcPr>
            <w:tcW w:w="2410" w:type="dxa"/>
          </w:tcPr>
          <w:p w14:paraId="68933103" w14:textId="65170F14" w:rsidR="007354A4" w:rsidRPr="0020551C" w:rsidRDefault="007354A4" w:rsidP="007354A4">
            <w:pPr>
              <w:pStyle w:val="Prrafodelista"/>
              <w:tabs>
                <w:tab w:val="left" w:pos="3375"/>
              </w:tabs>
              <w:ind w:left="0"/>
              <w:jc w:val="both"/>
              <w:rPr>
                <w:rFonts w:ascii="Arial" w:eastAsia="Arial Narrow" w:hAnsi="Arial" w:cs="Arial"/>
                <w:b/>
              </w:rPr>
            </w:pPr>
            <w:r w:rsidRPr="0020551C">
              <w:rPr>
                <w:rFonts w:ascii="Arial" w:hAnsi="Arial" w:cs="Arial"/>
                <w:color w:val="000000" w:themeColor="text1"/>
                <w:sz w:val="20"/>
                <w:szCs w:val="20"/>
              </w:rPr>
              <w:t>E</w:t>
            </w:r>
            <w:r w:rsidR="00BD50F4" w:rsidRPr="008A26D2">
              <w:rPr>
                <w:rFonts w:ascii="Arial" w:hAnsi="Arial" w:cs="Arial"/>
                <w:sz w:val="20"/>
                <w:szCs w:val="20"/>
              </w:rPr>
              <w:t>mpresas comercializadoras de productos de fibra de vicuña</w:t>
            </w:r>
          </w:p>
        </w:tc>
      </w:tr>
      <w:tr w:rsidR="007354A4" w:rsidRPr="0020551C" w14:paraId="29D2F552" w14:textId="77777777" w:rsidTr="005976BF">
        <w:tc>
          <w:tcPr>
            <w:tcW w:w="1049" w:type="dxa"/>
          </w:tcPr>
          <w:p w14:paraId="2B72944A" w14:textId="7B1B9362" w:rsidR="007354A4" w:rsidRPr="0020551C" w:rsidRDefault="007354A4" w:rsidP="007354A4">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S1.7.3</w:t>
            </w:r>
          </w:p>
        </w:tc>
        <w:tc>
          <w:tcPr>
            <w:tcW w:w="2536" w:type="dxa"/>
          </w:tcPr>
          <w:p w14:paraId="65AFA177" w14:textId="1A203E35" w:rsidR="007354A4" w:rsidRPr="0020551C" w:rsidRDefault="007354A4" w:rsidP="007354A4">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c>
          <w:tcPr>
            <w:tcW w:w="2681" w:type="dxa"/>
          </w:tcPr>
          <w:p w14:paraId="1DD2301E" w14:textId="52F50FDD" w:rsidR="007354A4" w:rsidRPr="0020551C" w:rsidRDefault="007354A4" w:rsidP="007354A4">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L1.7 Fomentar la conservación y aprovechamiento sostenible de la vicuña como una prioridad estratégica para el desarrollo sostenible de las poblaciones altoandinas.</w:t>
            </w:r>
          </w:p>
        </w:tc>
        <w:tc>
          <w:tcPr>
            <w:tcW w:w="3085" w:type="dxa"/>
          </w:tcPr>
          <w:p w14:paraId="238CB93B" w14:textId="425FCB1F" w:rsidR="007354A4" w:rsidRPr="0020551C" w:rsidRDefault="00BD50F4" w:rsidP="007354A4">
            <w:pPr>
              <w:pStyle w:val="Prrafodelista"/>
              <w:tabs>
                <w:tab w:val="left" w:pos="3375"/>
              </w:tabs>
              <w:ind w:left="0"/>
              <w:jc w:val="both"/>
              <w:rPr>
                <w:rFonts w:ascii="Arial" w:eastAsia="Arial Narrow" w:hAnsi="Arial" w:cs="Arial"/>
                <w:b/>
              </w:rPr>
            </w:pPr>
            <w:r w:rsidRPr="008A26D2">
              <w:rPr>
                <w:rFonts w:ascii="Arial" w:eastAsia="Arial Narrow" w:hAnsi="Arial" w:cs="Arial"/>
                <w:sz w:val="20"/>
                <w:szCs w:val="20"/>
              </w:rPr>
              <w:t>Fortalecimiento de capacidades sobre el aprovechamiento sostenible de la vicuña de forma satisfactoria a los titulares de manejo, gobiernos regionales y Administraciones Técnicas Forestales y de Fauna Silvestre</w:t>
            </w:r>
            <w:r w:rsidR="007354A4" w:rsidRPr="0020551C">
              <w:rPr>
                <w:rFonts w:ascii="Arial" w:eastAsia="Arial Narrow" w:hAnsi="Arial" w:cs="Arial"/>
                <w:sz w:val="20"/>
                <w:szCs w:val="20"/>
              </w:rPr>
              <w:t>.</w:t>
            </w:r>
          </w:p>
        </w:tc>
        <w:tc>
          <w:tcPr>
            <w:tcW w:w="2268" w:type="dxa"/>
          </w:tcPr>
          <w:p w14:paraId="68AAC71A" w14:textId="31C1B446" w:rsidR="007354A4" w:rsidRPr="0020551C" w:rsidRDefault="007354A4" w:rsidP="007354A4">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Servicio Nacional Forestal y de Fauna Silvestre - SERFOR</w:t>
            </w:r>
          </w:p>
        </w:tc>
        <w:tc>
          <w:tcPr>
            <w:tcW w:w="2410" w:type="dxa"/>
          </w:tcPr>
          <w:p w14:paraId="7AA512E6" w14:textId="07EDCBE1" w:rsidR="007354A4" w:rsidRPr="0020551C" w:rsidRDefault="007354A4" w:rsidP="007354A4">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Titulares de manejo, gobiernos regionales y Administraciones Técnicas Forestales y de Fauna Silvestre.</w:t>
            </w:r>
          </w:p>
        </w:tc>
      </w:tr>
      <w:tr w:rsidR="007354A4" w:rsidRPr="0020551C" w14:paraId="733DAB34" w14:textId="77777777" w:rsidTr="005976BF">
        <w:tc>
          <w:tcPr>
            <w:tcW w:w="1049" w:type="dxa"/>
          </w:tcPr>
          <w:p w14:paraId="04D1EAD5" w14:textId="5084F7C1" w:rsidR="007354A4" w:rsidRPr="0020551C" w:rsidRDefault="007354A4" w:rsidP="007354A4">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S1.8.1</w:t>
            </w:r>
          </w:p>
        </w:tc>
        <w:tc>
          <w:tcPr>
            <w:tcW w:w="2536" w:type="dxa"/>
          </w:tcPr>
          <w:p w14:paraId="042A9BB0" w14:textId="2AFE8806" w:rsidR="007354A4" w:rsidRPr="0020551C" w:rsidRDefault="007354A4" w:rsidP="007354A4">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c>
          <w:tcPr>
            <w:tcW w:w="2681" w:type="dxa"/>
          </w:tcPr>
          <w:p w14:paraId="71A36C27" w14:textId="1D3B1FAC" w:rsidR="007354A4" w:rsidRPr="0020551C" w:rsidRDefault="007354A4" w:rsidP="007354A4">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L1.8 Fortalecer capacidades para el cumplimiento de la legislación forestal y de fauna silvestre</w:t>
            </w:r>
          </w:p>
        </w:tc>
        <w:tc>
          <w:tcPr>
            <w:tcW w:w="3085" w:type="dxa"/>
          </w:tcPr>
          <w:p w14:paraId="2578FD5F" w14:textId="15D0CFD3" w:rsidR="007354A4" w:rsidRPr="0020551C" w:rsidRDefault="00BD50F4" w:rsidP="007354A4">
            <w:pPr>
              <w:pStyle w:val="Prrafodelista"/>
              <w:tabs>
                <w:tab w:val="left" w:pos="3375"/>
              </w:tabs>
              <w:ind w:left="0"/>
              <w:jc w:val="both"/>
              <w:rPr>
                <w:rFonts w:ascii="Arial" w:eastAsia="Arial Narrow" w:hAnsi="Arial" w:cs="Arial"/>
                <w:b/>
              </w:rPr>
            </w:pPr>
            <w:r w:rsidRPr="008A26D2">
              <w:rPr>
                <w:rFonts w:ascii="Arial" w:eastAsia="Arial Narrow" w:hAnsi="Arial" w:cs="Arial"/>
                <w:sz w:val="20"/>
                <w:szCs w:val="20"/>
              </w:rPr>
              <w:t>Fortalecimiento de capacidades en la gestión, control y vigilancia de los recursos forestales y de fauna silvestre brindados de manera oportuna para los titulares de títulos habilitantes</w:t>
            </w:r>
          </w:p>
        </w:tc>
        <w:tc>
          <w:tcPr>
            <w:tcW w:w="2268" w:type="dxa"/>
          </w:tcPr>
          <w:p w14:paraId="2D9CD9E3" w14:textId="37899A5E" w:rsidR="007354A4" w:rsidRPr="0020551C" w:rsidRDefault="007354A4" w:rsidP="007354A4">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Organismo de Supervisión de los Recursos Forestales y de Fauna Silvestre - OSINFOR</w:t>
            </w:r>
          </w:p>
        </w:tc>
        <w:tc>
          <w:tcPr>
            <w:tcW w:w="2410" w:type="dxa"/>
          </w:tcPr>
          <w:p w14:paraId="755FB207" w14:textId="54C10BF5" w:rsidR="007354A4" w:rsidRPr="0020551C" w:rsidRDefault="007354A4" w:rsidP="007354A4">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Titulares de títulos habilitantes</w:t>
            </w:r>
          </w:p>
        </w:tc>
      </w:tr>
      <w:tr w:rsidR="007354A4" w:rsidRPr="0020551C" w14:paraId="7271EEBF" w14:textId="77777777" w:rsidTr="005976BF">
        <w:tc>
          <w:tcPr>
            <w:tcW w:w="1049" w:type="dxa"/>
          </w:tcPr>
          <w:p w14:paraId="4B961DDC" w14:textId="4A80597A" w:rsidR="007354A4" w:rsidRPr="0020551C" w:rsidRDefault="007354A4" w:rsidP="007354A4">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lastRenderedPageBreak/>
              <w:t>S1.9.1</w:t>
            </w:r>
          </w:p>
        </w:tc>
        <w:tc>
          <w:tcPr>
            <w:tcW w:w="2536" w:type="dxa"/>
          </w:tcPr>
          <w:p w14:paraId="59046F5D" w14:textId="774D850B" w:rsidR="007354A4" w:rsidRPr="0020551C" w:rsidRDefault="007354A4" w:rsidP="007354A4">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c>
          <w:tcPr>
            <w:tcW w:w="2681" w:type="dxa"/>
          </w:tcPr>
          <w:p w14:paraId="1A3138F3" w14:textId="784A55FD" w:rsidR="007354A4" w:rsidRPr="0020551C" w:rsidRDefault="007354A4" w:rsidP="007354A4">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L1.9 Reducir los niveles de tala ilegal, caza furtiva y del tráfico ilegal forestal y de fauna silvestre.</w:t>
            </w:r>
          </w:p>
        </w:tc>
        <w:tc>
          <w:tcPr>
            <w:tcW w:w="3085" w:type="dxa"/>
          </w:tcPr>
          <w:p w14:paraId="6D6286E9" w14:textId="01261FCF" w:rsidR="007354A4" w:rsidRPr="0020551C" w:rsidRDefault="00BD50F4" w:rsidP="007354A4">
            <w:pPr>
              <w:pStyle w:val="Prrafodelista"/>
              <w:tabs>
                <w:tab w:val="left" w:pos="3375"/>
              </w:tabs>
              <w:ind w:left="0"/>
              <w:jc w:val="both"/>
              <w:rPr>
                <w:rFonts w:ascii="Arial" w:eastAsia="Arial Narrow" w:hAnsi="Arial" w:cs="Arial"/>
                <w:b/>
              </w:rPr>
            </w:pPr>
            <w:r w:rsidRPr="008A26D2">
              <w:rPr>
                <w:rFonts w:ascii="Arial" w:eastAsia="Arial Narrow" w:hAnsi="Arial" w:cs="Arial"/>
                <w:sz w:val="20"/>
                <w:szCs w:val="20"/>
              </w:rPr>
              <w:t>Fortalecimiento de capacidades en vigilancia y control de forma satisfactoria a las Autoridades Regionales Forestales y de Fauna Silvestre</w:t>
            </w:r>
          </w:p>
        </w:tc>
        <w:tc>
          <w:tcPr>
            <w:tcW w:w="2268" w:type="dxa"/>
          </w:tcPr>
          <w:p w14:paraId="77DE812B" w14:textId="32C02BD0" w:rsidR="007354A4" w:rsidRPr="0020551C" w:rsidRDefault="007354A4" w:rsidP="007354A4">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Servicio Nacional Forestal y Fauna Silvestre - SERFOR</w:t>
            </w:r>
          </w:p>
        </w:tc>
        <w:tc>
          <w:tcPr>
            <w:tcW w:w="2410" w:type="dxa"/>
          </w:tcPr>
          <w:p w14:paraId="2E0E3772" w14:textId="115D871C" w:rsidR="007354A4" w:rsidRPr="0020551C" w:rsidRDefault="007354A4" w:rsidP="007354A4">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Autoridades Regionales Forestales y de Fauna Silvestre</w:t>
            </w:r>
          </w:p>
        </w:tc>
      </w:tr>
      <w:tr w:rsidR="007354A4" w:rsidRPr="0020551C" w14:paraId="0B56357E" w14:textId="77777777" w:rsidTr="005976BF">
        <w:tc>
          <w:tcPr>
            <w:tcW w:w="1049" w:type="dxa"/>
          </w:tcPr>
          <w:p w14:paraId="5320EA42" w14:textId="3427FB9B" w:rsidR="007354A4" w:rsidRPr="0020551C" w:rsidRDefault="007354A4" w:rsidP="007354A4">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S1.9.2</w:t>
            </w:r>
          </w:p>
        </w:tc>
        <w:tc>
          <w:tcPr>
            <w:tcW w:w="2536" w:type="dxa"/>
          </w:tcPr>
          <w:p w14:paraId="30C7B7B9" w14:textId="11539095" w:rsidR="007354A4" w:rsidRPr="0020551C" w:rsidRDefault="007354A4" w:rsidP="007354A4">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c>
          <w:tcPr>
            <w:tcW w:w="2681" w:type="dxa"/>
          </w:tcPr>
          <w:p w14:paraId="78E01490" w14:textId="20DCB311" w:rsidR="007354A4" w:rsidRPr="0020551C" w:rsidRDefault="007354A4" w:rsidP="007354A4">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L1.9 Reducir los niveles de tala ilegal, caza furtiva y del tráfico ilegal forestal y de fauna silvestre.</w:t>
            </w:r>
          </w:p>
        </w:tc>
        <w:tc>
          <w:tcPr>
            <w:tcW w:w="3085" w:type="dxa"/>
          </w:tcPr>
          <w:p w14:paraId="4781C8C8" w14:textId="02917CB4" w:rsidR="007354A4" w:rsidRPr="0020551C" w:rsidRDefault="005226A2" w:rsidP="007354A4">
            <w:pPr>
              <w:pStyle w:val="Prrafodelista"/>
              <w:tabs>
                <w:tab w:val="left" w:pos="3375"/>
              </w:tabs>
              <w:ind w:left="0"/>
              <w:jc w:val="both"/>
              <w:rPr>
                <w:rFonts w:ascii="Arial" w:eastAsia="Arial Narrow" w:hAnsi="Arial" w:cs="Arial"/>
                <w:b/>
              </w:rPr>
            </w:pPr>
            <w:r w:rsidRPr="008A26D2">
              <w:rPr>
                <w:rFonts w:ascii="Arial" w:eastAsia="Arial Narrow" w:hAnsi="Arial" w:cs="Arial"/>
                <w:sz w:val="20"/>
                <w:szCs w:val="20"/>
              </w:rPr>
              <w:t>Operaciones policiales contra el crimen organizado en materia forestal de forma continua para beneficio de la población</w:t>
            </w:r>
          </w:p>
        </w:tc>
        <w:tc>
          <w:tcPr>
            <w:tcW w:w="2268" w:type="dxa"/>
          </w:tcPr>
          <w:p w14:paraId="59006CDB" w14:textId="7F02769D" w:rsidR="007354A4" w:rsidRPr="0020551C" w:rsidRDefault="007354A4" w:rsidP="007354A4">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Ministerio del Interior - Policía Nacional del Perú</w:t>
            </w:r>
          </w:p>
        </w:tc>
        <w:tc>
          <w:tcPr>
            <w:tcW w:w="2410" w:type="dxa"/>
          </w:tcPr>
          <w:p w14:paraId="005D035A" w14:textId="233E63FE" w:rsidR="007354A4" w:rsidRPr="0020551C" w:rsidRDefault="007354A4" w:rsidP="007354A4">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Población en general</w:t>
            </w:r>
          </w:p>
        </w:tc>
      </w:tr>
      <w:tr w:rsidR="007354A4" w:rsidRPr="0020551C" w14:paraId="60193899" w14:textId="77777777" w:rsidTr="005976BF">
        <w:tc>
          <w:tcPr>
            <w:tcW w:w="1049" w:type="dxa"/>
          </w:tcPr>
          <w:p w14:paraId="1D19CE55" w14:textId="38E0D761" w:rsidR="007354A4" w:rsidRPr="0020551C" w:rsidRDefault="007354A4" w:rsidP="007354A4">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S1.9.3</w:t>
            </w:r>
          </w:p>
        </w:tc>
        <w:tc>
          <w:tcPr>
            <w:tcW w:w="2536" w:type="dxa"/>
          </w:tcPr>
          <w:p w14:paraId="020D55A5" w14:textId="0B562FFB" w:rsidR="007354A4" w:rsidRPr="0020551C" w:rsidRDefault="007354A4" w:rsidP="007354A4">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c>
          <w:tcPr>
            <w:tcW w:w="2681" w:type="dxa"/>
          </w:tcPr>
          <w:p w14:paraId="549B4859" w14:textId="047B6529" w:rsidR="007354A4" w:rsidRPr="0020551C" w:rsidRDefault="007354A4" w:rsidP="007354A4">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L1.9 Reducir los niveles de tala ilegal, caza furtiva y del tráfico ilegal forestal y de fauna silvestre.</w:t>
            </w:r>
          </w:p>
        </w:tc>
        <w:tc>
          <w:tcPr>
            <w:tcW w:w="3085" w:type="dxa"/>
          </w:tcPr>
          <w:p w14:paraId="6D4516D6" w14:textId="40A4DE59" w:rsidR="007354A4" w:rsidRPr="0020551C" w:rsidRDefault="005226A2" w:rsidP="007354A4">
            <w:pPr>
              <w:jc w:val="both"/>
              <w:rPr>
                <w:rFonts w:ascii="Arial" w:hAnsi="Arial" w:cs="Arial"/>
              </w:rPr>
            </w:pPr>
            <w:r w:rsidRPr="008A26D2">
              <w:rPr>
                <w:rFonts w:ascii="Arial" w:eastAsia="Arial Narrow" w:hAnsi="Arial" w:cs="Arial"/>
                <w:sz w:val="20"/>
                <w:szCs w:val="20"/>
              </w:rPr>
              <w:t>Operaciones policiales para contrarrestar la comisión de delitos y faltas en desmedro de la fauna silvestre de forma permanente para beneficio de la población</w:t>
            </w:r>
            <w:r w:rsidRPr="0020551C">
              <w:rPr>
                <w:rFonts w:ascii="Arial" w:hAnsi="Arial" w:cs="Arial"/>
              </w:rPr>
              <w:t xml:space="preserve"> </w:t>
            </w:r>
          </w:p>
        </w:tc>
        <w:tc>
          <w:tcPr>
            <w:tcW w:w="2268" w:type="dxa"/>
          </w:tcPr>
          <w:p w14:paraId="2137B3BF" w14:textId="4FC6445E" w:rsidR="007354A4" w:rsidRPr="0020551C" w:rsidRDefault="007354A4" w:rsidP="007354A4">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Ministerio del Interior - Policía Nacional del Perú</w:t>
            </w:r>
          </w:p>
        </w:tc>
        <w:tc>
          <w:tcPr>
            <w:tcW w:w="2410" w:type="dxa"/>
          </w:tcPr>
          <w:p w14:paraId="70F7738F" w14:textId="4A41E0C3" w:rsidR="007354A4" w:rsidRPr="0020551C" w:rsidRDefault="007354A4" w:rsidP="007354A4">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Población en general</w:t>
            </w:r>
          </w:p>
        </w:tc>
      </w:tr>
      <w:tr w:rsidR="007354A4" w:rsidRPr="0020551C" w14:paraId="1308816C" w14:textId="77777777" w:rsidTr="005976BF">
        <w:tc>
          <w:tcPr>
            <w:tcW w:w="1049" w:type="dxa"/>
          </w:tcPr>
          <w:p w14:paraId="6E33A65B" w14:textId="6F0104BA" w:rsidR="007354A4" w:rsidRPr="0020551C" w:rsidRDefault="007354A4" w:rsidP="007354A4">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S1.9.4</w:t>
            </w:r>
          </w:p>
        </w:tc>
        <w:tc>
          <w:tcPr>
            <w:tcW w:w="2536" w:type="dxa"/>
          </w:tcPr>
          <w:p w14:paraId="4E81E8F1" w14:textId="7A5A7415" w:rsidR="007354A4" w:rsidRPr="0020551C" w:rsidRDefault="007354A4" w:rsidP="007354A4">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c>
          <w:tcPr>
            <w:tcW w:w="2681" w:type="dxa"/>
          </w:tcPr>
          <w:p w14:paraId="68D2575D" w14:textId="7B24543E" w:rsidR="007354A4" w:rsidRPr="0020551C" w:rsidRDefault="007354A4" w:rsidP="007354A4">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L1.9 Reducir los niveles de tala ilegal, caza furtiva y del tráfico ilegal forestal y de fauna silvestre.</w:t>
            </w:r>
          </w:p>
        </w:tc>
        <w:tc>
          <w:tcPr>
            <w:tcW w:w="3085" w:type="dxa"/>
          </w:tcPr>
          <w:p w14:paraId="686E879D" w14:textId="0BD46FBD" w:rsidR="007354A4" w:rsidRPr="0020551C" w:rsidRDefault="005226A2" w:rsidP="007354A4">
            <w:pPr>
              <w:pStyle w:val="Prrafodelista"/>
              <w:tabs>
                <w:tab w:val="left" w:pos="3375"/>
              </w:tabs>
              <w:ind w:left="0"/>
              <w:jc w:val="both"/>
              <w:rPr>
                <w:rFonts w:ascii="Arial" w:eastAsia="Arial Narrow" w:hAnsi="Arial" w:cs="Arial"/>
                <w:b/>
              </w:rPr>
            </w:pPr>
            <w:r w:rsidRPr="008A26D2">
              <w:rPr>
                <w:rFonts w:ascii="Arial" w:eastAsia="Arial Narrow" w:hAnsi="Arial" w:cs="Arial"/>
                <w:sz w:val="20"/>
                <w:szCs w:val="20"/>
              </w:rPr>
              <w:t>Vigilancia y control eficaz de las actividades forestales y fauna silvestre en el ámbito marítimo, fluvial y lacustre para prevenir y reprimir el tráfico ilegal forestal y de fauna silvestre de forma continua en beneficio de la población</w:t>
            </w:r>
          </w:p>
        </w:tc>
        <w:tc>
          <w:tcPr>
            <w:tcW w:w="2268" w:type="dxa"/>
          </w:tcPr>
          <w:p w14:paraId="73558366" w14:textId="29A94DCD" w:rsidR="007354A4" w:rsidRPr="0020551C" w:rsidRDefault="007354A4" w:rsidP="007354A4">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Ministerio de Defensa - Dirección General de Capitanías y Guardacostas (DICAPI)</w:t>
            </w:r>
          </w:p>
        </w:tc>
        <w:tc>
          <w:tcPr>
            <w:tcW w:w="2410" w:type="dxa"/>
          </w:tcPr>
          <w:p w14:paraId="329ED971" w14:textId="722D4361" w:rsidR="007354A4" w:rsidRPr="0020551C" w:rsidRDefault="007354A4" w:rsidP="007354A4">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Población en general</w:t>
            </w:r>
          </w:p>
        </w:tc>
      </w:tr>
      <w:tr w:rsidR="007354A4" w:rsidRPr="0020551C" w14:paraId="0716AECE" w14:textId="77777777" w:rsidTr="005976BF">
        <w:tc>
          <w:tcPr>
            <w:tcW w:w="1049" w:type="dxa"/>
          </w:tcPr>
          <w:p w14:paraId="4ABD6A68" w14:textId="4839D2D6" w:rsidR="007354A4" w:rsidRPr="0020551C" w:rsidRDefault="007354A4" w:rsidP="007354A4">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S1.9.5</w:t>
            </w:r>
          </w:p>
        </w:tc>
        <w:tc>
          <w:tcPr>
            <w:tcW w:w="2536" w:type="dxa"/>
          </w:tcPr>
          <w:p w14:paraId="5FA7FA03" w14:textId="13E94B29" w:rsidR="007354A4" w:rsidRPr="0020551C" w:rsidRDefault="007354A4" w:rsidP="007354A4">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 xml:space="preserve">OP1 Mejorar las condiciones para la sostenibilidad de los ecosistemas forestales, </w:t>
            </w:r>
            <w:r w:rsidRPr="0020551C">
              <w:rPr>
                <w:rFonts w:ascii="Arial" w:eastAsia="Arial Narrow" w:hAnsi="Arial" w:cs="Arial"/>
                <w:sz w:val="20"/>
                <w:szCs w:val="20"/>
              </w:rPr>
              <w:lastRenderedPageBreak/>
              <w:t xml:space="preserve">otros ecosistemas de vegetación silvestre y de la fauna silvestre  </w:t>
            </w:r>
          </w:p>
        </w:tc>
        <w:tc>
          <w:tcPr>
            <w:tcW w:w="2681" w:type="dxa"/>
          </w:tcPr>
          <w:p w14:paraId="4A2F23F3" w14:textId="77F51A97" w:rsidR="007354A4" w:rsidRPr="0020551C" w:rsidRDefault="007354A4" w:rsidP="007354A4">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lastRenderedPageBreak/>
              <w:t>L1.9 Reducir los niveles de tala ilegal, caza furtiva y del tráfico ilegal forestal y de fauna silvestre.</w:t>
            </w:r>
          </w:p>
        </w:tc>
        <w:tc>
          <w:tcPr>
            <w:tcW w:w="3085" w:type="dxa"/>
          </w:tcPr>
          <w:p w14:paraId="0D82F979" w14:textId="1C44D0F7" w:rsidR="007354A4" w:rsidRPr="0020551C" w:rsidRDefault="005226A2" w:rsidP="007354A4">
            <w:pPr>
              <w:pStyle w:val="Prrafodelista"/>
              <w:tabs>
                <w:tab w:val="left" w:pos="3375"/>
              </w:tabs>
              <w:ind w:left="0"/>
              <w:jc w:val="both"/>
              <w:rPr>
                <w:rFonts w:ascii="Arial" w:eastAsia="Arial Narrow" w:hAnsi="Arial" w:cs="Arial"/>
                <w:b/>
              </w:rPr>
            </w:pPr>
            <w:r w:rsidRPr="008A26D2">
              <w:rPr>
                <w:rFonts w:ascii="Arial" w:eastAsia="Arial Narrow" w:hAnsi="Arial" w:cs="Arial"/>
                <w:sz w:val="20"/>
                <w:szCs w:val="20"/>
              </w:rPr>
              <w:t xml:space="preserve">Vigilancia en el bosque y en la cadena productiva forestal y de fauna silvestre de forma </w:t>
            </w:r>
            <w:r w:rsidRPr="008A26D2">
              <w:rPr>
                <w:rFonts w:ascii="Arial" w:eastAsia="Arial Narrow" w:hAnsi="Arial" w:cs="Arial"/>
                <w:sz w:val="20"/>
                <w:szCs w:val="20"/>
              </w:rPr>
              <w:lastRenderedPageBreak/>
              <w:t>permanente para beneficio de la población</w:t>
            </w:r>
          </w:p>
        </w:tc>
        <w:tc>
          <w:tcPr>
            <w:tcW w:w="2268" w:type="dxa"/>
          </w:tcPr>
          <w:p w14:paraId="74A9426A" w14:textId="61E948D5" w:rsidR="007354A4" w:rsidRPr="0020551C" w:rsidRDefault="007354A4" w:rsidP="007354A4">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lastRenderedPageBreak/>
              <w:t>Servicio Nacional Forestal y de Fauna Silvestre – SERFOR</w:t>
            </w:r>
          </w:p>
        </w:tc>
        <w:tc>
          <w:tcPr>
            <w:tcW w:w="2410" w:type="dxa"/>
          </w:tcPr>
          <w:p w14:paraId="1C65C3D6" w14:textId="0763465B" w:rsidR="007354A4" w:rsidRPr="0020551C" w:rsidRDefault="007354A4" w:rsidP="007354A4">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Población en general</w:t>
            </w:r>
          </w:p>
        </w:tc>
      </w:tr>
      <w:tr w:rsidR="005226A2" w:rsidRPr="0020551C" w14:paraId="26580A7A" w14:textId="77777777" w:rsidTr="005976BF">
        <w:tc>
          <w:tcPr>
            <w:tcW w:w="1049" w:type="dxa"/>
          </w:tcPr>
          <w:p w14:paraId="4C9835EF" w14:textId="30C5E83F" w:rsidR="005226A2" w:rsidRPr="0020551C" w:rsidRDefault="005226A2" w:rsidP="005226A2">
            <w:pPr>
              <w:pStyle w:val="Prrafodelista"/>
              <w:tabs>
                <w:tab w:val="left" w:pos="3375"/>
              </w:tabs>
              <w:ind w:left="0"/>
              <w:jc w:val="both"/>
              <w:rPr>
                <w:rFonts w:ascii="Arial" w:eastAsia="Arial Narrow" w:hAnsi="Arial" w:cs="Arial"/>
                <w:sz w:val="20"/>
                <w:szCs w:val="20"/>
              </w:rPr>
            </w:pPr>
            <w:r w:rsidRPr="0020551C">
              <w:rPr>
                <w:rFonts w:ascii="Arial" w:eastAsia="Arial Narrow" w:hAnsi="Arial" w:cs="Arial"/>
                <w:sz w:val="20"/>
                <w:szCs w:val="20"/>
              </w:rPr>
              <w:t>S1.9.</w:t>
            </w:r>
            <w:r>
              <w:rPr>
                <w:rFonts w:ascii="Arial" w:eastAsia="Arial Narrow" w:hAnsi="Arial" w:cs="Arial"/>
                <w:sz w:val="20"/>
                <w:szCs w:val="20"/>
              </w:rPr>
              <w:t>6</w:t>
            </w:r>
          </w:p>
        </w:tc>
        <w:tc>
          <w:tcPr>
            <w:tcW w:w="2536" w:type="dxa"/>
          </w:tcPr>
          <w:p w14:paraId="0659F602" w14:textId="2FCBC442" w:rsidR="005226A2" w:rsidRPr="0020551C" w:rsidRDefault="005226A2" w:rsidP="005226A2">
            <w:pPr>
              <w:pStyle w:val="Prrafodelista"/>
              <w:tabs>
                <w:tab w:val="left" w:pos="3375"/>
              </w:tabs>
              <w:ind w:left="0"/>
              <w:jc w:val="both"/>
              <w:rPr>
                <w:rFonts w:ascii="Arial" w:eastAsia="Arial Narrow" w:hAnsi="Arial" w:cs="Arial"/>
                <w:sz w:val="20"/>
                <w:szCs w:val="20"/>
              </w:rPr>
            </w:pPr>
            <w:r w:rsidRPr="0020551C">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c>
          <w:tcPr>
            <w:tcW w:w="2681" w:type="dxa"/>
          </w:tcPr>
          <w:p w14:paraId="443F5895" w14:textId="3734E108" w:rsidR="005226A2" w:rsidRPr="0020551C" w:rsidRDefault="005226A2" w:rsidP="005226A2">
            <w:pPr>
              <w:pStyle w:val="Prrafodelista"/>
              <w:tabs>
                <w:tab w:val="left" w:pos="3375"/>
              </w:tabs>
              <w:ind w:left="0"/>
              <w:jc w:val="both"/>
              <w:rPr>
                <w:rFonts w:ascii="Arial" w:eastAsia="Arial Narrow" w:hAnsi="Arial" w:cs="Arial"/>
                <w:sz w:val="20"/>
                <w:szCs w:val="20"/>
              </w:rPr>
            </w:pPr>
            <w:r w:rsidRPr="0020551C">
              <w:rPr>
                <w:rFonts w:ascii="Arial" w:eastAsia="Arial Narrow" w:hAnsi="Arial" w:cs="Arial"/>
                <w:sz w:val="20"/>
                <w:szCs w:val="20"/>
              </w:rPr>
              <w:t>L1.9 Reducir los niveles de tala ilegal, caza furtiva y del tráfico ilegal forestal y de fauna silvestre.</w:t>
            </w:r>
          </w:p>
        </w:tc>
        <w:tc>
          <w:tcPr>
            <w:tcW w:w="3085" w:type="dxa"/>
          </w:tcPr>
          <w:p w14:paraId="4D362C43" w14:textId="2E2B921E" w:rsidR="005226A2" w:rsidRPr="008A26D2" w:rsidRDefault="005226A2" w:rsidP="005226A2">
            <w:pPr>
              <w:pStyle w:val="Prrafodelista"/>
              <w:tabs>
                <w:tab w:val="left" w:pos="3375"/>
              </w:tabs>
              <w:ind w:left="0"/>
              <w:jc w:val="both"/>
              <w:rPr>
                <w:rFonts w:ascii="Arial" w:eastAsia="Arial Narrow" w:hAnsi="Arial" w:cs="Arial"/>
                <w:sz w:val="20"/>
                <w:szCs w:val="20"/>
              </w:rPr>
            </w:pPr>
            <w:r w:rsidRPr="002D17F7">
              <w:rPr>
                <w:rFonts w:ascii="Arial" w:eastAsia="Times New Roman" w:hAnsi="Arial" w:cs="Arial"/>
                <w:sz w:val="20"/>
                <w:szCs w:val="20"/>
              </w:rPr>
              <w:t>Fiscalización del cumplimiento de las obligaciones para la gestión forestal de manera oportuna a titulares de títulos habilitantes</w:t>
            </w:r>
          </w:p>
        </w:tc>
        <w:tc>
          <w:tcPr>
            <w:tcW w:w="2268" w:type="dxa"/>
          </w:tcPr>
          <w:p w14:paraId="324CE1E7" w14:textId="13F32B2C" w:rsidR="005226A2" w:rsidRPr="0020551C" w:rsidRDefault="005226A2" w:rsidP="005226A2">
            <w:pPr>
              <w:pStyle w:val="Prrafodelista"/>
              <w:tabs>
                <w:tab w:val="left" w:pos="3375"/>
              </w:tabs>
              <w:ind w:left="0"/>
              <w:jc w:val="both"/>
              <w:rPr>
                <w:rFonts w:ascii="Arial" w:eastAsia="Arial Narrow" w:hAnsi="Arial" w:cs="Arial"/>
                <w:sz w:val="20"/>
                <w:szCs w:val="20"/>
              </w:rPr>
            </w:pPr>
            <w:r w:rsidRPr="00007C5C">
              <w:rPr>
                <w:rFonts w:ascii="Arial" w:eastAsia="Arial Narrow" w:hAnsi="Arial" w:cs="Arial"/>
                <w:sz w:val="20"/>
                <w:szCs w:val="20"/>
              </w:rPr>
              <w:t>Organismo de Supervisión de los Recursos Forestales y de Fauna Silvestre-OSINFOR</w:t>
            </w:r>
          </w:p>
        </w:tc>
        <w:tc>
          <w:tcPr>
            <w:tcW w:w="2410" w:type="dxa"/>
          </w:tcPr>
          <w:p w14:paraId="4A833368" w14:textId="18319D17" w:rsidR="005226A2" w:rsidRPr="0020551C" w:rsidRDefault="005226A2" w:rsidP="005226A2">
            <w:pPr>
              <w:pStyle w:val="Prrafodelista"/>
              <w:tabs>
                <w:tab w:val="left" w:pos="3375"/>
              </w:tabs>
              <w:ind w:left="0"/>
              <w:jc w:val="both"/>
              <w:rPr>
                <w:rFonts w:ascii="Arial" w:eastAsia="Arial Narrow" w:hAnsi="Arial" w:cs="Arial"/>
                <w:sz w:val="20"/>
                <w:szCs w:val="20"/>
              </w:rPr>
            </w:pPr>
            <w:r>
              <w:rPr>
                <w:rFonts w:ascii="Arial" w:eastAsia="Arial Narrow" w:hAnsi="Arial" w:cs="Arial"/>
                <w:sz w:val="20"/>
                <w:szCs w:val="20"/>
              </w:rPr>
              <w:t>Titulares de t</w:t>
            </w:r>
            <w:r w:rsidRPr="00007C5C">
              <w:rPr>
                <w:rFonts w:ascii="Arial" w:eastAsia="Arial Narrow" w:hAnsi="Arial" w:cs="Arial"/>
                <w:sz w:val="20"/>
                <w:szCs w:val="20"/>
              </w:rPr>
              <w:t>ítulos habilitantes</w:t>
            </w:r>
          </w:p>
        </w:tc>
      </w:tr>
      <w:tr w:rsidR="005226A2" w:rsidRPr="0020551C" w14:paraId="0FB33CD2" w14:textId="77777777" w:rsidTr="005976BF">
        <w:tc>
          <w:tcPr>
            <w:tcW w:w="1049" w:type="dxa"/>
          </w:tcPr>
          <w:p w14:paraId="7DD08859" w14:textId="54B5F92A" w:rsidR="005226A2" w:rsidRPr="0020551C" w:rsidRDefault="005226A2" w:rsidP="005226A2">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S1.10.1</w:t>
            </w:r>
          </w:p>
        </w:tc>
        <w:tc>
          <w:tcPr>
            <w:tcW w:w="2536" w:type="dxa"/>
          </w:tcPr>
          <w:p w14:paraId="440BAAC1" w14:textId="3EA2FD53" w:rsidR="005226A2" w:rsidRPr="0020551C" w:rsidRDefault="005226A2" w:rsidP="005226A2">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c>
          <w:tcPr>
            <w:tcW w:w="2681" w:type="dxa"/>
          </w:tcPr>
          <w:p w14:paraId="0EA29897" w14:textId="0E4D60CC" w:rsidR="005226A2" w:rsidRPr="0020551C" w:rsidRDefault="005226A2" w:rsidP="005226A2">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L1.10 Desarrollar programas de fortalecimiento de capacidades para la gestión eficiente del uso del territorio en los ecosistemas forestales y otros ecosistemas de vegetación silvestre contribuyendo a la adaptación del cambio climático.</w:t>
            </w:r>
          </w:p>
        </w:tc>
        <w:tc>
          <w:tcPr>
            <w:tcW w:w="3085" w:type="dxa"/>
          </w:tcPr>
          <w:p w14:paraId="0EC4909B" w14:textId="42B67089" w:rsidR="005226A2" w:rsidRPr="0020551C" w:rsidRDefault="005226A2" w:rsidP="005226A2">
            <w:pPr>
              <w:pStyle w:val="Prrafodelista"/>
              <w:tabs>
                <w:tab w:val="left" w:pos="3375"/>
              </w:tabs>
              <w:ind w:left="0"/>
              <w:jc w:val="both"/>
              <w:rPr>
                <w:rFonts w:ascii="Arial" w:eastAsia="Arial Narrow" w:hAnsi="Arial" w:cs="Arial"/>
                <w:b/>
              </w:rPr>
            </w:pPr>
            <w:r w:rsidRPr="008A26D2">
              <w:rPr>
                <w:rFonts w:ascii="Arial" w:eastAsia="Arial Narrow" w:hAnsi="Arial" w:cs="Arial"/>
                <w:sz w:val="20"/>
                <w:szCs w:val="20"/>
              </w:rPr>
              <w:t>Fortalecimiento de capacidades en gestión del uso del territorio para la conservación y aprovechamiento de los ecosistemas forestales y otros ecosistemas de vegetación silvestre de forma satisfactoria dirigida a las Autoridades Regionales Forestales y de Fauna Silvestre</w:t>
            </w:r>
            <w:r w:rsidRPr="0020551C">
              <w:rPr>
                <w:rFonts w:ascii="Arial" w:eastAsia="Arial Narrow" w:hAnsi="Arial" w:cs="Arial"/>
                <w:sz w:val="20"/>
                <w:szCs w:val="20"/>
              </w:rPr>
              <w:t>.</w:t>
            </w:r>
          </w:p>
        </w:tc>
        <w:tc>
          <w:tcPr>
            <w:tcW w:w="2268" w:type="dxa"/>
          </w:tcPr>
          <w:p w14:paraId="25EC432E" w14:textId="6987A37F" w:rsidR="005226A2" w:rsidRPr="0020551C" w:rsidRDefault="005226A2" w:rsidP="005226A2">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Servicio Nacional Forestal y Fauna Silvestre – SERFOR</w:t>
            </w:r>
          </w:p>
        </w:tc>
        <w:tc>
          <w:tcPr>
            <w:tcW w:w="2410" w:type="dxa"/>
          </w:tcPr>
          <w:p w14:paraId="73DA1061" w14:textId="262F2024" w:rsidR="005226A2" w:rsidRPr="0020551C" w:rsidRDefault="005226A2" w:rsidP="005226A2">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Autoridades regionales forestales y de fauna silvestre</w:t>
            </w:r>
          </w:p>
        </w:tc>
      </w:tr>
      <w:tr w:rsidR="005226A2" w:rsidRPr="0020551C" w14:paraId="572B4AD8" w14:textId="77777777" w:rsidTr="005976BF">
        <w:tc>
          <w:tcPr>
            <w:tcW w:w="1049" w:type="dxa"/>
          </w:tcPr>
          <w:p w14:paraId="4A6F54F4" w14:textId="39A7105B" w:rsidR="005226A2" w:rsidRPr="0020551C" w:rsidRDefault="005226A2" w:rsidP="005226A2">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S2.1.1</w:t>
            </w:r>
          </w:p>
        </w:tc>
        <w:tc>
          <w:tcPr>
            <w:tcW w:w="2536" w:type="dxa"/>
          </w:tcPr>
          <w:p w14:paraId="2C1AF693" w14:textId="3984339E" w:rsidR="005226A2" w:rsidRPr="0020551C" w:rsidRDefault="005226A2" w:rsidP="005226A2">
            <w:pPr>
              <w:pStyle w:val="Prrafodelista"/>
              <w:tabs>
                <w:tab w:val="left" w:pos="3375"/>
              </w:tabs>
              <w:ind w:left="0"/>
              <w:jc w:val="both"/>
              <w:rPr>
                <w:rFonts w:ascii="Arial" w:eastAsia="Arial Narrow" w:hAnsi="Arial" w:cs="Arial"/>
                <w:b/>
              </w:rPr>
            </w:pPr>
            <w:r w:rsidRPr="0020551C">
              <w:rPr>
                <w:rFonts w:ascii="Arial" w:hAnsi="Arial" w:cs="Arial"/>
                <w:sz w:val="20"/>
                <w:szCs w:val="20"/>
              </w:rPr>
              <w:t>OP2 Incrementar la productividad de los ecosistemas forestales, otros ecosistemas de vegetación silvestre y de la fauna silvestre</w:t>
            </w:r>
          </w:p>
        </w:tc>
        <w:tc>
          <w:tcPr>
            <w:tcW w:w="2681" w:type="dxa"/>
          </w:tcPr>
          <w:p w14:paraId="21722864" w14:textId="2F49AC84" w:rsidR="005226A2" w:rsidRPr="0020551C" w:rsidRDefault="005226A2" w:rsidP="005226A2">
            <w:pPr>
              <w:pStyle w:val="Prrafodelista"/>
              <w:tabs>
                <w:tab w:val="left" w:pos="3375"/>
              </w:tabs>
              <w:ind w:left="0"/>
              <w:jc w:val="both"/>
              <w:rPr>
                <w:rFonts w:ascii="Arial" w:eastAsia="Arial Narrow" w:hAnsi="Arial" w:cs="Arial"/>
                <w:b/>
              </w:rPr>
            </w:pPr>
            <w:r w:rsidRPr="0020551C">
              <w:rPr>
                <w:rFonts w:ascii="Arial" w:hAnsi="Arial" w:cs="Arial"/>
                <w:sz w:val="20"/>
                <w:szCs w:val="20"/>
              </w:rPr>
              <w:t>L2.1 Mejorar la formación académica y laboral de acuerdo a las necesidades de las actividades forestales y de fauna silvestre y las exigencias del mercado</w:t>
            </w:r>
          </w:p>
        </w:tc>
        <w:tc>
          <w:tcPr>
            <w:tcW w:w="3085" w:type="dxa"/>
          </w:tcPr>
          <w:p w14:paraId="6C0FEFD8" w14:textId="39B8B69E" w:rsidR="005226A2" w:rsidRPr="0020551C" w:rsidRDefault="005226A2" w:rsidP="005226A2">
            <w:pPr>
              <w:jc w:val="both"/>
              <w:rPr>
                <w:rFonts w:ascii="Arial" w:hAnsi="Arial" w:cs="Arial"/>
              </w:rPr>
            </w:pPr>
            <w:r w:rsidRPr="008A26D2">
              <w:rPr>
                <w:rFonts w:ascii="Arial" w:eastAsia="Arial Narrow" w:hAnsi="Arial" w:cs="Arial"/>
                <w:sz w:val="20"/>
                <w:szCs w:val="20"/>
              </w:rPr>
              <w:t>Fortalecimiento de capacidades en actividades productivas de la cadena forestal y fauna silvestre de forma satisfactoria dirigido a</w:t>
            </w:r>
            <w:r w:rsidRPr="008A26D2">
              <w:rPr>
                <w:rFonts w:ascii="Arial" w:hAnsi="Arial" w:cs="Arial"/>
                <w:sz w:val="20"/>
                <w:szCs w:val="20"/>
              </w:rPr>
              <w:t xml:space="preserve"> profesionales y técnicos forestales y de fauna silvestre</w:t>
            </w:r>
          </w:p>
          <w:p w14:paraId="212160F7" w14:textId="77777777" w:rsidR="005226A2" w:rsidRPr="0020551C" w:rsidRDefault="005226A2" w:rsidP="005226A2">
            <w:pPr>
              <w:ind w:firstLine="720"/>
              <w:jc w:val="both"/>
              <w:rPr>
                <w:rFonts w:ascii="Arial" w:hAnsi="Arial" w:cs="Arial"/>
              </w:rPr>
            </w:pPr>
          </w:p>
        </w:tc>
        <w:tc>
          <w:tcPr>
            <w:tcW w:w="2268" w:type="dxa"/>
          </w:tcPr>
          <w:p w14:paraId="7496D1E6" w14:textId="42318CF4" w:rsidR="005226A2" w:rsidRPr="0020551C" w:rsidRDefault="005226A2" w:rsidP="005226A2">
            <w:pPr>
              <w:pStyle w:val="Prrafodelista"/>
              <w:tabs>
                <w:tab w:val="left" w:pos="3375"/>
              </w:tabs>
              <w:ind w:left="0"/>
              <w:jc w:val="both"/>
              <w:rPr>
                <w:rFonts w:ascii="Arial" w:eastAsia="Arial Narrow" w:hAnsi="Arial" w:cs="Arial"/>
                <w:b/>
              </w:rPr>
            </w:pPr>
            <w:r w:rsidRPr="0020551C">
              <w:rPr>
                <w:rFonts w:ascii="Arial" w:hAnsi="Arial" w:cs="Arial"/>
                <w:sz w:val="20"/>
                <w:szCs w:val="20"/>
              </w:rPr>
              <w:t xml:space="preserve">Servicio Nacional Forestal y de Fauna Silvestre - SERFOR  </w:t>
            </w:r>
          </w:p>
        </w:tc>
        <w:tc>
          <w:tcPr>
            <w:tcW w:w="2410" w:type="dxa"/>
          </w:tcPr>
          <w:p w14:paraId="58FF59F7" w14:textId="0F9BA6CD" w:rsidR="005226A2" w:rsidRPr="0020551C" w:rsidRDefault="005226A2" w:rsidP="005226A2">
            <w:pPr>
              <w:pStyle w:val="Prrafodelista"/>
              <w:tabs>
                <w:tab w:val="left" w:pos="3375"/>
              </w:tabs>
              <w:ind w:left="0"/>
              <w:jc w:val="both"/>
              <w:rPr>
                <w:rFonts w:ascii="Arial" w:eastAsia="Arial Narrow" w:hAnsi="Arial" w:cs="Arial"/>
                <w:b/>
              </w:rPr>
            </w:pPr>
            <w:r w:rsidRPr="0020551C">
              <w:rPr>
                <w:rFonts w:ascii="Arial" w:hAnsi="Arial" w:cs="Arial"/>
                <w:sz w:val="20"/>
                <w:szCs w:val="20"/>
              </w:rPr>
              <w:t>Profesionales y técnicos forestales y de fauna silvestre</w:t>
            </w:r>
          </w:p>
        </w:tc>
      </w:tr>
      <w:tr w:rsidR="005226A2" w:rsidRPr="0020551C" w14:paraId="4D436F32" w14:textId="77777777" w:rsidTr="005976BF">
        <w:tc>
          <w:tcPr>
            <w:tcW w:w="1049" w:type="dxa"/>
          </w:tcPr>
          <w:p w14:paraId="5D8B3A87" w14:textId="36E14E44" w:rsidR="005226A2" w:rsidRPr="0020551C" w:rsidRDefault="005226A2" w:rsidP="005226A2">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S2.2.</w:t>
            </w:r>
            <w:r>
              <w:rPr>
                <w:rFonts w:ascii="Arial" w:eastAsia="Arial Narrow" w:hAnsi="Arial" w:cs="Arial"/>
                <w:sz w:val="20"/>
                <w:szCs w:val="20"/>
              </w:rPr>
              <w:t>1</w:t>
            </w:r>
          </w:p>
        </w:tc>
        <w:tc>
          <w:tcPr>
            <w:tcW w:w="2536" w:type="dxa"/>
          </w:tcPr>
          <w:p w14:paraId="4151254F" w14:textId="699FAC63" w:rsidR="005226A2" w:rsidRPr="0020551C" w:rsidRDefault="005226A2" w:rsidP="005226A2">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 xml:space="preserve">OP2 Incrementar la productividad de los ecosistemas forestales, otros ecosistemas de </w:t>
            </w:r>
            <w:r w:rsidRPr="0020551C">
              <w:rPr>
                <w:rFonts w:ascii="Arial" w:eastAsia="Arial Narrow" w:hAnsi="Arial" w:cs="Arial"/>
                <w:sz w:val="20"/>
                <w:szCs w:val="20"/>
              </w:rPr>
              <w:lastRenderedPageBreak/>
              <w:t>vegetación silvestre y de la fauna silvestre</w:t>
            </w:r>
          </w:p>
        </w:tc>
        <w:tc>
          <w:tcPr>
            <w:tcW w:w="2681" w:type="dxa"/>
          </w:tcPr>
          <w:p w14:paraId="6111207D" w14:textId="226DABEF" w:rsidR="005226A2" w:rsidRPr="0020551C" w:rsidRDefault="005226A2" w:rsidP="005226A2">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lastRenderedPageBreak/>
              <w:t xml:space="preserve">L2.2 Incrementar el acceso a financiamiento e incentivos para el desarrollo de las actividades </w:t>
            </w:r>
            <w:r w:rsidRPr="0020551C">
              <w:rPr>
                <w:rFonts w:ascii="Arial" w:eastAsia="Arial Narrow" w:hAnsi="Arial" w:cs="Arial"/>
                <w:sz w:val="20"/>
                <w:szCs w:val="20"/>
              </w:rPr>
              <w:lastRenderedPageBreak/>
              <w:t>forestales y de fauna silvestre</w:t>
            </w:r>
          </w:p>
        </w:tc>
        <w:tc>
          <w:tcPr>
            <w:tcW w:w="3085" w:type="dxa"/>
          </w:tcPr>
          <w:p w14:paraId="69183E9D" w14:textId="3DBA78A3" w:rsidR="005226A2" w:rsidRPr="0020551C" w:rsidRDefault="005226A2" w:rsidP="005226A2">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lastRenderedPageBreak/>
              <w:t xml:space="preserve">Promoción de mecanismos de financiamiento e incentivos para el desarrollo de actividades productivas en las cadenas forestales y de fauna silvestre de </w:t>
            </w:r>
            <w:r w:rsidRPr="0020551C">
              <w:rPr>
                <w:rFonts w:ascii="Arial" w:eastAsia="Arial Narrow" w:hAnsi="Arial" w:cs="Arial"/>
                <w:sz w:val="20"/>
                <w:szCs w:val="20"/>
              </w:rPr>
              <w:lastRenderedPageBreak/>
              <w:t>forma satisfactoria dirigido a los usuarios forestales y de fauna silvestre</w:t>
            </w:r>
          </w:p>
        </w:tc>
        <w:tc>
          <w:tcPr>
            <w:tcW w:w="2268" w:type="dxa"/>
          </w:tcPr>
          <w:p w14:paraId="6226F9C1" w14:textId="2BA39972" w:rsidR="005226A2" w:rsidRPr="0020551C" w:rsidRDefault="005226A2" w:rsidP="005226A2">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lastRenderedPageBreak/>
              <w:t>Servicio Nacional Forestal y Fauna Silvestre - SERFOR</w:t>
            </w:r>
          </w:p>
          <w:p w14:paraId="32C18876" w14:textId="459CD9C7" w:rsidR="005226A2" w:rsidRPr="0020551C" w:rsidRDefault="005226A2" w:rsidP="005226A2">
            <w:pPr>
              <w:jc w:val="both"/>
              <w:rPr>
                <w:rFonts w:ascii="Arial" w:hAnsi="Arial" w:cs="Arial"/>
              </w:rPr>
            </w:pPr>
          </w:p>
          <w:p w14:paraId="2D5B8900" w14:textId="77777777" w:rsidR="005226A2" w:rsidRPr="0020551C" w:rsidRDefault="005226A2" w:rsidP="005226A2">
            <w:pPr>
              <w:jc w:val="both"/>
              <w:rPr>
                <w:rFonts w:ascii="Arial" w:hAnsi="Arial" w:cs="Arial"/>
              </w:rPr>
            </w:pPr>
          </w:p>
        </w:tc>
        <w:tc>
          <w:tcPr>
            <w:tcW w:w="2410" w:type="dxa"/>
          </w:tcPr>
          <w:p w14:paraId="0C485076" w14:textId="1635BF34" w:rsidR="005226A2" w:rsidRPr="0020551C" w:rsidRDefault="005226A2" w:rsidP="005226A2">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Usuarios forestales y de fauna silvestre</w:t>
            </w:r>
          </w:p>
        </w:tc>
      </w:tr>
      <w:tr w:rsidR="005226A2" w:rsidRPr="0020551C" w14:paraId="2F114592" w14:textId="77777777" w:rsidTr="005976BF">
        <w:tc>
          <w:tcPr>
            <w:tcW w:w="1049" w:type="dxa"/>
          </w:tcPr>
          <w:p w14:paraId="7CA5B51F" w14:textId="0032A529" w:rsidR="005226A2" w:rsidRPr="0020551C" w:rsidRDefault="005226A2" w:rsidP="005226A2">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S2.2.</w:t>
            </w:r>
            <w:r>
              <w:rPr>
                <w:rFonts w:ascii="Arial" w:eastAsia="Arial Narrow" w:hAnsi="Arial" w:cs="Arial"/>
                <w:sz w:val="20"/>
                <w:szCs w:val="20"/>
              </w:rPr>
              <w:t>2</w:t>
            </w:r>
          </w:p>
        </w:tc>
        <w:tc>
          <w:tcPr>
            <w:tcW w:w="2536" w:type="dxa"/>
          </w:tcPr>
          <w:p w14:paraId="7C2265DC" w14:textId="69B66CA9" w:rsidR="005226A2" w:rsidRPr="0020551C" w:rsidRDefault="005226A2" w:rsidP="005226A2">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OP2 Incrementar la productividad de los ecosistemas forestales, otros ecosistemas de vegetación silvestre y de la fauna silvestre</w:t>
            </w:r>
          </w:p>
        </w:tc>
        <w:tc>
          <w:tcPr>
            <w:tcW w:w="2681" w:type="dxa"/>
          </w:tcPr>
          <w:p w14:paraId="4EAAB603" w14:textId="420FC572" w:rsidR="005226A2" w:rsidRPr="0020551C" w:rsidRDefault="005226A2" w:rsidP="005226A2">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L2.2 Incrementar el acceso a financiamiento e incentivos para el desarrollo de las actividades forestales y de fauna silvestre</w:t>
            </w:r>
          </w:p>
        </w:tc>
        <w:tc>
          <w:tcPr>
            <w:tcW w:w="3085" w:type="dxa"/>
          </w:tcPr>
          <w:p w14:paraId="7CAB48C8" w14:textId="2C607F55" w:rsidR="005226A2" w:rsidRPr="0020551C" w:rsidRDefault="005226A2" w:rsidP="005226A2">
            <w:pPr>
              <w:jc w:val="both"/>
              <w:rPr>
                <w:rFonts w:ascii="Arial" w:hAnsi="Arial" w:cs="Arial"/>
              </w:rPr>
            </w:pPr>
            <w:r w:rsidRPr="008A26D2">
              <w:rPr>
                <w:rFonts w:ascii="Arial" w:eastAsia="Arial Narrow" w:hAnsi="Arial" w:cs="Arial"/>
                <w:sz w:val="20"/>
                <w:szCs w:val="20"/>
              </w:rPr>
              <w:t>Atención de solicitudes de cartas de no objeción a los programas que contribuyan a la mitigación y adaptación al cambio climático para las actividades forestales y de fauna silvestre, de forma oportuna, de entidades acreditadas ante el Fondo Verde para el Clima</w:t>
            </w:r>
          </w:p>
        </w:tc>
        <w:tc>
          <w:tcPr>
            <w:tcW w:w="2268" w:type="dxa"/>
          </w:tcPr>
          <w:p w14:paraId="787DE8C0" w14:textId="77777777" w:rsidR="005226A2" w:rsidRPr="0020551C" w:rsidRDefault="005226A2" w:rsidP="005226A2">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Ministerio de Economía y Finanzas - MEF</w:t>
            </w:r>
          </w:p>
          <w:p w14:paraId="7EE1FC0F" w14:textId="77777777" w:rsidR="005226A2" w:rsidRPr="0020551C" w:rsidRDefault="005226A2" w:rsidP="005226A2">
            <w:pPr>
              <w:pStyle w:val="Prrafodelista"/>
              <w:tabs>
                <w:tab w:val="left" w:pos="3375"/>
              </w:tabs>
              <w:ind w:left="0"/>
              <w:jc w:val="both"/>
              <w:rPr>
                <w:rFonts w:ascii="Arial" w:eastAsia="Arial Narrow" w:hAnsi="Arial" w:cs="Arial"/>
                <w:b/>
              </w:rPr>
            </w:pPr>
          </w:p>
        </w:tc>
        <w:tc>
          <w:tcPr>
            <w:tcW w:w="2410" w:type="dxa"/>
          </w:tcPr>
          <w:p w14:paraId="3E8FD5FE" w14:textId="55E2FBF6" w:rsidR="005226A2" w:rsidRPr="0020551C" w:rsidRDefault="00396545" w:rsidP="005226A2">
            <w:pPr>
              <w:pStyle w:val="Prrafodelista"/>
              <w:tabs>
                <w:tab w:val="left" w:pos="3375"/>
              </w:tabs>
              <w:ind w:left="0"/>
              <w:jc w:val="both"/>
              <w:rPr>
                <w:rFonts w:ascii="Arial" w:eastAsia="Arial Narrow" w:hAnsi="Arial" w:cs="Arial"/>
                <w:b/>
              </w:rPr>
            </w:pPr>
            <w:r>
              <w:rPr>
                <w:rFonts w:ascii="Arial" w:eastAsia="Arial Narrow" w:hAnsi="Arial" w:cs="Arial"/>
                <w:sz w:val="20"/>
                <w:szCs w:val="20"/>
              </w:rPr>
              <w:t>Entidades acreditas por</w:t>
            </w:r>
            <w:r w:rsidR="006B76FC">
              <w:rPr>
                <w:rFonts w:ascii="Arial" w:eastAsia="Arial Narrow" w:hAnsi="Arial" w:cs="Arial"/>
                <w:sz w:val="20"/>
                <w:szCs w:val="20"/>
              </w:rPr>
              <w:t xml:space="preserve"> el</w:t>
            </w:r>
            <w:r>
              <w:rPr>
                <w:rFonts w:ascii="Arial" w:eastAsia="Arial Narrow" w:hAnsi="Arial" w:cs="Arial"/>
                <w:sz w:val="20"/>
                <w:szCs w:val="20"/>
              </w:rPr>
              <w:t xml:space="preserve"> </w:t>
            </w:r>
            <w:r w:rsidR="006B76FC" w:rsidRPr="008A26D2">
              <w:rPr>
                <w:rFonts w:ascii="Arial" w:eastAsia="Arial Narrow" w:hAnsi="Arial" w:cs="Arial"/>
                <w:sz w:val="20"/>
                <w:szCs w:val="20"/>
              </w:rPr>
              <w:t xml:space="preserve">Fondo Verde para el Clima </w:t>
            </w:r>
            <w:r w:rsidR="006B76FC">
              <w:rPr>
                <w:rFonts w:ascii="Arial" w:eastAsia="Arial Narrow" w:hAnsi="Arial" w:cs="Arial"/>
                <w:sz w:val="20"/>
                <w:szCs w:val="20"/>
              </w:rPr>
              <w:t xml:space="preserve">- </w:t>
            </w:r>
            <w:r w:rsidR="006B76FC" w:rsidRPr="008A26D2">
              <w:rPr>
                <w:rFonts w:ascii="Arial" w:eastAsia="Arial Narrow" w:hAnsi="Arial" w:cs="Arial"/>
                <w:sz w:val="20"/>
                <w:szCs w:val="20"/>
              </w:rPr>
              <w:t>FVC</w:t>
            </w:r>
          </w:p>
        </w:tc>
      </w:tr>
      <w:tr w:rsidR="005B0BE8" w:rsidRPr="0020551C" w14:paraId="3A0FB25A" w14:textId="77777777" w:rsidTr="005976BF">
        <w:trPr>
          <w:trHeight w:val="1984"/>
        </w:trPr>
        <w:tc>
          <w:tcPr>
            <w:tcW w:w="1049" w:type="dxa"/>
          </w:tcPr>
          <w:p w14:paraId="4D603C57" w14:textId="5B86AB09" w:rsidR="005B0BE8" w:rsidRPr="005B0BE8" w:rsidRDefault="005B0BE8" w:rsidP="005B0BE8">
            <w:pPr>
              <w:pStyle w:val="Prrafodelista"/>
              <w:tabs>
                <w:tab w:val="left" w:pos="3375"/>
              </w:tabs>
              <w:ind w:left="0"/>
              <w:jc w:val="both"/>
              <w:rPr>
                <w:rFonts w:ascii="Arial" w:eastAsia="Arial Narrow" w:hAnsi="Arial" w:cs="Arial"/>
                <w:b/>
              </w:rPr>
            </w:pPr>
            <w:r w:rsidRPr="005B0BE8">
              <w:rPr>
                <w:rFonts w:ascii="Arial" w:eastAsia="Arial Narrow" w:hAnsi="Arial" w:cs="Arial"/>
                <w:sz w:val="20"/>
                <w:szCs w:val="20"/>
              </w:rPr>
              <w:t>S2.</w:t>
            </w:r>
            <w:r>
              <w:rPr>
                <w:rFonts w:ascii="Arial" w:eastAsia="Arial Narrow" w:hAnsi="Arial" w:cs="Arial"/>
                <w:sz w:val="20"/>
                <w:szCs w:val="20"/>
              </w:rPr>
              <w:t>3</w:t>
            </w:r>
            <w:r w:rsidRPr="005B0BE8">
              <w:rPr>
                <w:rFonts w:ascii="Arial" w:eastAsia="Arial Narrow" w:hAnsi="Arial" w:cs="Arial"/>
                <w:sz w:val="20"/>
                <w:szCs w:val="20"/>
              </w:rPr>
              <w:t>.</w:t>
            </w:r>
            <w:r>
              <w:rPr>
                <w:rFonts w:ascii="Arial" w:eastAsia="Arial Narrow" w:hAnsi="Arial" w:cs="Arial"/>
                <w:sz w:val="20"/>
                <w:szCs w:val="20"/>
              </w:rPr>
              <w:t>1</w:t>
            </w:r>
          </w:p>
        </w:tc>
        <w:tc>
          <w:tcPr>
            <w:tcW w:w="2536" w:type="dxa"/>
          </w:tcPr>
          <w:p w14:paraId="7FF7B2F6" w14:textId="5AF789EB" w:rsidR="005B0BE8" w:rsidRPr="005B0BE8" w:rsidRDefault="005B0BE8" w:rsidP="005B0BE8">
            <w:pPr>
              <w:pStyle w:val="Prrafodelista"/>
              <w:tabs>
                <w:tab w:val="left" w:pos="3375"/>
              </w:tabs>
              <w:ind w:left="0"/>
              <w:jc w:val="both"/>
              <w:rPr>
                <w:rFonts w:ascii="Arial" w:eastAsia="Arial Narrow" w:hAnsi="Arial" w:cs="Arial"/>
                <w:b/>
              </w:rPr>
            </w:pPr>
            <w:r w:rsidRPr="005B0BE8">
              <w:rPr>
                <w:rFonts w:ascii="Arial" w:eastAsia="Arial Narrow" w:hAnsi="Arial" w:cs="Arial"/>
                <w:sz w:val="20"/>
                <w:szCs w:val="20"/>
              </w:rPr>
              <w:t>OP2 Incrementar la productividad de los ecosistemas forestales, otros ecosistemas de vegetación silvestre y de la fauna silvestre</w:t>
            </w:r>
          </w:p>
        </w:tc>
        <w:tc>
          <w:tcPr>
            <w:tcW w:w="2681" w:type="dxa"/>
          </w:tcPr>
          <w:p w14:paraId="5C999402" w14:textId="247B59B7" w:rsidR="005B0BE8" w:rsidRPr="005B0BE8" w:rsidRDefault="005B0BE8" w:rsidP="005B0BE8">
            <w:pPr>
              <w:pStyle w:val="Prrafodelista"/>
              <w:tabs>
                <w:tab w:val="left" w:pos="3375"/>
              </w:tabs>
              <w:ind w:left="0"/>
              <w:jc w:val="both"/>
              <w:rPr>
                <w:rFonts w:ascii="Arial" w:eastAsia="Arial Narrow" w:hAnsi="Arial" w:cs="Arial"/>
                <w:b/>
              </w:rPr>
            </w:pPr>
            <w:r w:rsidRPr="003A517E">
              <w:rPr>
                <w:rFonts w:ascii="Arial" w:eastAsia="Arial Narrow" w:hAnsi="Arial" w:cs="Arial"/>
                <w:sz w:val="20"/>
                <w:szCs w:val="20"/>
              </w:rPr>
              <w:t>L2.3 Mejorar la infraestructura, equipamiento y servicios para las actividades forestales y de fauna silvestre</w:t>
            </w:r>
          </w:p>
        </w:tc>
        <w:tc>
          <w:tcPr>
            <w:tcW w:w="3085" w:type="dxa"/>
          </w:tcPr>
          <w:p w14:paraId="2DED3471" w14:textId="52975D5C" w:rsidR="005B0BE8" w:rsidRPr="005B0BE8" w:rsidRDefault="005B0BE8" w:rsidP="005B0BE8">
            <w:pPr>
              <w:pStyle w:val="Prrafodelista"/>
              <w:tabs>
                <w:tab w:val="left" w:pos="3375"/>
              </w:tabs>
              <w:ind w:left="0"/>
              <w:jc w:val="both"/>
              <w:rPr>
                <w:rFonts w:ascii="Arial" w:hAnsi="Arial" w:cs="Arial"/>
              </w:rPr>
            </w:pPr>
            <w:r w:rsidRPr="008A26D2">
              <w:rPr>
                <w:rFonts w:ascii="Arial" w:eastAsia="Arial Narrow" w:hAnsi="Arial" w:cs="Arial"/>
                <w:sz w:val="20"/>
                <w:szCs w:val="20"/>
              </w:rPr>
              <w:t>Cofinanciamiento de planes de negocio para mejorar las capacidades productivas y empresariales de forma oportuna a los pequeños y medianos productores forestales y de fauna silvestre organizados</w:t>
            </w:r>
            <w:r w:rsidRPr="005B0BE8">
              <w:rPr>
                <w:rFonts w:ascii="Arial" w:eastAsia="Arial Narrow" w:hAnsi="Arial" w:cs="Arial"/>
                <w:sz w:val="20"/>
                <w:szCs w:val="20"/>
              </w:rPr>
              <w:t>.</w:t>
            </w:r>
          </w:p>
        </w:tc>
        <w:tc>
          <w:tcPr>
            <w:tcW w:w="2268" w:type="dxa"/>
          </w:tcPr>
          <w:p w14:paraId="6510523A" w14:textId="09E63804" w:rsidR="005B0BE8" w:rsidRPr="005B0BE8" w:rsidRDefault="005B0BE8" w:rsidP="005B0BE8">
            <w:pPr>
              <w:pStyle w:val="Prrafodelista"/>
              <w:tabs>
                <w:tab w:val="left" w:pos="3375"/>
              </w:tabs>
              <w:ind w:left="0"/>
              <w:jc w:val="both"/>
              <w:rPr>
                <w:rFonts w:ascii="Arial" w:eastAsia="Arial Narrow" w:hAnsi="Arial" w:cs="Arial"/>
                <w:b/>
              </w:rPr>
            </w:pPr>
            <w:r w:rsidRPr="005B0BE8">
              <w:rPr>
                <w:rFonts w:ascii="Arial" w:eastAsia="Arial Narrow" w:hAnsi="Arial" w:cs="Arial"/>
                <w:sz w:val="20"/>
                <w:szCs w:val="20"/>
              </w:rPr>
              <w:t>Programa de Compensaciones para la Competitividad - AGROIDEAS del Ministerio de Desarrollo Agrario y Riego – MIDAGRI.</w:t>
            </w:r>
          </w:p>
        </w:tc>
        <w:tc>
          <w:tcPr>
            <w:tcW w:w="2410" w:type="dxa"/>
          </w:tcPr>
          <w:p w14:paraId="3E2F5D01" w14:textId="5FFFA441" w:rsidR="005B0BE8" w:rsidRPr="005B0BE8" w:rsidRDefault="005B0BE8" w:rsidP="005B0BE8">
            <w:pPr>
              <w:pStyle w:val="Prrafodelista"/>
              <w:tabs>
                <w:tab w:val="left" w:pos="3375"/>
              </w:tabs>
              <w:ind w:left="0"/>
              <w:jc w:val="both"/>
              <w:rPr>
                <w:rFonts w:ascii="Arial" w:eastAsia="Arial Narrow" w:hAnsi="Arial" w:cs="Arial"/>
                <w:b/>
              </w:rPr>
            </w:pPr>
            <w:r w:rsidRPr="005B0BE8">
              <w:rPr>
                <w:rFonts w:ascii="Arial" w:eastAsia="Arial Narrow" w:hAnsi="Arial" w:cs="Arial"/>
                <w:sz w:val="20"/>
                <w:szCs w:val="20"/>
              </w:rPr>
              <w:t>Pequeños y medianos productores forestales y de fauna silvestre organizados</w:t>
            </w:r>
          </w:p>
        </w:tc>
      </w:tr>
      <w:tr w:rsidR="005B0BE8" w:rsidRPr="0020551C" w14:paraId="6EE8FA06" w14:textId="77777777" w:rsidTr="005976BF">
        <w:tc>
          <w:tcPr>
            <w:tcW w:w="1049" w:type="dxa"/>
          </w:tcPr>
          <w:p w14:paraId="0CBC7D95" w14:textId="125C4C07"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S 2.4.1</w:t>
            </w:r>
          </w:p>
        </w:tc>
        <w:tc>
          <w:tcPr>
            <w:tcW w:w="2536" w:type="dxa"/>
          </w:tcPr>
          <w:p w14:paraId="362A6E95" w14:textId="6EC6AA59"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OP2 Incrementar la productividad de los ecosistemas forestales, otros ecosistemas de vegetación silvestre y de la fauna silvestre</w:t>
            </w:r>
          </w:p>
        </w:tc>
        <w:tc>
          <w:tcPr>
            <w:tcW w:w="2681" w:type="dxa"/>
          </w:tcPr>
          <w:p w14:paraId="14E11F7A" w14:textId="10203F59"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L2.4 Incrementar la generación de investigaciones e innovación, así como el desarrollo y transferencia de tecnologías en materia forestal y de fauna silvestre, y sus microorganismos asociados, incluyendo sus recursos genéticos</w:t>
            </w:r>
          </w:p>
        </w:tc>
        <w:tc>
          <w:tcPr>
            <w:tcW w:w="3085" w:type="dxa"/>
          </w:tcPr>
          <w:p w14:paraId="1B813A87" w14:textId="3E0F11DA" w:rsidR="005B0BE8" w:rsidRPr="0020551C" w:rsidRDefault="005C39A8" w:rsidP="005B0BE8">
            <w:pPr>
              <w:pStyle w:val="Prrafodelista"/>
              <w:tabs>
                <w:tab w:val="left" w:pos="3375"/>
              </w:tabs>
              <w:ind w:left="0"/>
              <w:jc w:val="both"/>
              <w:rPr>
                <w:rFonts w:ascii="Arial" w:eastAsia="Arial Narrow" w:hAnsi="Arial" w:cs="Arial"/>
                <w:b/>
              </w:rPr>
            </w:pPr>
            <w:r w:rsidRPr="008A26D2">
              <w:rPr>
                <w:rFonts w:ascii="Arial" w:eastAsia="Arial Narrow" w:hAnsi="Arial" w:cs="Arial"/>
                <w:sz w:val="20"/>
                <w:szCs w:val="20"/>
              </w:rPr>
              <w:t>Transferencia de tecnologías agrarias liberadas de forma satisfactoria para los usuarios forestales y de fauna silvestre</w:t>
            </w:r>
          </w:p>
        </w:tc>
        <w:tc>
          <w:tcPr>
            <w:tcW w:w="2268" w:type="dxa"/>
          </w:tcPr>
          <w:p w14:paraId="47AF1127" w14:textId="37491FBA"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Instituto Nacional de Innovación Agraria - INIA</w:t>
            </w:r>
          </w:p>
        </w:tc>
        <w:tc>
          <w:tcPr>
            <w:tcW w:w="2410" w:type="dxa"/>
          </w:tcPr>
          <w:p w14:paraId="2231E348" w14:textId="3C5F3260"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Usuarios forestales y de fauna silvestre</w:t>
            </w:r>
          </w:p>
        </w:tc>
      </w:tr>
      <w:tr w:rsidR="005B0BE8" w:rsidRPr="0020551C" w14:paraId="68EFECEE" w14:textId="77777777" w:rsidTr="005976BF">
        <w:tc>
          <w:tcPr>
            <w:tcW w:w="1049" w:type="dxa"/>
          </w:tcPr>
          <w:p w14:paraId="01C2F847" w14:textId="67BFD4BB"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hAnsi="Arial" w:cs="Arial"/>
                <w:sz w:val="20"/>
                <w:szCs w:val="20"/>
              </w:rPr>
              <w:t>S2.4.2</w:t>
            </w:r>
          </w:p>
        </w:tc>
        <w:tc>
          <w:tcPr>
            <w:tcW w:w="2536" w:type="dxa"/>
          </w:tcPr>
          <w:p w14:paraId="2FBB5DD0" w14:textId="21CF42B0"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 xml:space="preserve">OP2 Incrementar la productividad de los </w:t>
            </w:r>
            <w:r w:rsidRPr="0020551C">
              <w:rPr>
                <w:rFonts w:ascii="Arial" w:eastAsia="Arial Narrow" w:hAnsi="Arial" w:cs="Arial"/>
                <w:sz w:val="20"/>
                <w:szCs w:val="20"/>
              </w:rPr>
              <w:lastRenderedPageBreak/>
              <w:t>ecosistemas forestales, otros ecosistemas de vegetación silvestre y de la fauna silvestre</w:t>
            </w:r>
          </w:p>
        </w:tc>
        <w:tc>
          <w:tcPr>
            <w:tcW w:w="2681" w:type="dxa"/>
          </w:tcPr>
          <w:p w14:paraId="420AB9E0" w14:textId="273E1A01"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lastRenderedPageBreak/>
              <w:t xml:space="preserve">L2.4 Incrementar la generación de </w:t>
            </w:r>
            <w:r w:rsidRPr="0020551C">
              <w:rPr>
                <w:rFonts w:ascii="Arial" w:eastAsia="Arial Narrow" w:hAnsi="Arial" w:cs="Arial"/>
                <w:sz w:val="20"/>
                <w:szCs w:val="20"/>
              </w:rPr>
              <w:lastRenderedPageBreak/>
              <w:t>investigaciones e innovación, así como el desarrollo y transferencia de tecnologías en materia forestal y de fauna silvestre, y sus microorganismos asociados, incluyendo sus recursos genéticos</w:t>
            </w:r>
          </w:p>
        </w:tc>
        <w:tc>
          <w:tcPr>
            <w:tcW w:w="3085" w:type="dxa"/>
          </w:tcPr>
          <w:p w14:paraId="30899188" w14:textId="28C94FF5" w:rsidR="005B0BE8" w:rsidRPr="0020551C" w:rsidRDefault="00107DDC" w:rsidP="005B0BE8">
            <w:pPr>
              <w:pStyle w:val="Prrafodelista"/>
              <w:tabs>
                <w:tab w:val="left" w:pos="3375"/>
              </w:tabs>
              <w:ind w:left="0"/>
              <w:jc w:val="both"/>
              <w:rPr>
                <w:rFonts w:ascii="Arial" w:eastAsia="Arial Narrow" w:hAnsi="Arial" w:cs="Arial"/>
                <w:b/>
              </w:rPr>
            </w:pPr>
            <w:r w:rsidRPr="008A26D2">
              <w:rPr>
                <w:rFonts w:ascii="Arial" w:hAnsi="Arial" w:cs="Arial"/>
                <w:sz w:val="20"/>
                <w:szCs w:val="20"/>
              </w:rPr>
              <w:lastRenderedPageBreak/>
              <w:t xml:space="preserve">Captación de fondos para proyectos de investigación, </w:t>
            </w:r>
            <w:r w:rsidRPr="008A26D2">
              <w:rPr>
                <w:rFonts w:ascii="Arial" w:hAnsi="Arial" w:cs="Arial"/>
                <w:sz w:val="20"/>
                <w:szCs w:val="20"/>
              </w:rPr>
              <w:lastRenderedPageBreak/>
              <w:t>desarrollo e innovación (I+D+í) en temas forestales y de fauna silvestre de forma oportuna dirigido a entidades públicas y privadas del Sistema Nacional de Ciencia, Tecnología e Innovación</w:t>
            </w:r>
            <w:r w:rsidR="005B0BE8" w:rsidRPr="0020551C">
              <w:rPr>
                <w:rFonts w:ascii="Arial" w:hAnsi="Arial" w:cs="Arial"/>
                <w:sz w:val="20"/>
                <w:szCs w:val="20"/>
              </w:rPr>
              <w:t>.</w:t>
            </w:r>
          </w:p>
        </w:tc>
        <w:tc>
          <w:tcPr>
            <w:tcW w:w="2268" w:type="dxa"/>
          </w:tcPr>
          <w:p w14:paraId="74AE014D" w14:textId="77777777" w:rsidR="005B0BE8" w:rsidRDefault="005B0BE8" w:rsidP="005B0BE8">
            <w:pPr>
              <w:pStyle w:val="Default"/>
              <w:jc w:val="both"/>
              <w:rPr>
                <w:rFonts w:ascii="Arial" w:hAnsi="Arial" w:cs="Arial"/>
                <w:sz w:val="20"/>
                <w:szCs w:val="20"/>
              </w:rPr>
            </w:pPr>
            <w:r w:rsidRPr="0020551C">
              <w:rPr>
                <w:rFonts w:ascii="Arial" w:hAnsi="Arial" w:cs="Arial"/>
                <w:sz w:val="20"/>
                <w:szCs w:val="20"/>
              </w:rPr>
              <w:lastRenderedPageBreak/>
              <w:t xml:space="preserve">Consejo Nacional de Ciencia, Tecnología e </w:t>
            </w:r>
            <w:r w:rsidRPr="0020551C">
              <w:rPr>
                <w:rFonts w:ascii="Arial" w:hAnsi="Arial" w:cs="Arial"/>
                <w:sz w:val="20"/>
                <w:szCs w:val="20"/>
              </w:rPr>
              <w:lastRenderedPageBreak/>
              <w:t>Innovación Tecnológica - CONCYTEC;</w:t>
            </w:r>
          </w:p>
          <w:p w14:paraId="779BB1D8" w14:textId="77777777" w:rsidR="00107DDC" w:rsidRPr="0020551C" w:rsidRDefault="00107DDC" w:rsidP="005B0BE8">
            <w:pPr>
              <w:pStyle w:val="Default"/>
              <w:jc w:val="both"/>
              <w:rPr>
                <w:rFonts w:ascii="Arial" w:hAnsi="Arial" w:cs="Arial"/>
                <w:sz w:val="20"/>
                <w:szCs w:val="20"/>
              </w:rPr>
            </w:pPr>
          </w:p>
          <w:p w14:paraId="5274D27E" w14:textId="77777777" w:rsidR="005B0BE8" w:rsidRPr="0020551C" w:rsidRDefault="005B0BE8" w:rsidP="005B0BE8">
            <w:pPr>
              <w:pStyle w:val="Default"/>
              <w:jc w:val="both"/>
              <w:rPr>
                <w:rFonts w:ascii="Arial" w:hAnsi="Arial" w:cs="Arial"/>
                <w:sz w:val="20"/>
                <w:szCs w:val="20"/>
              </w:rPr>
            </w:pPr>
            <w:r w:rsidRPr="0020551C">
              <w:rPr>
                <w:rFonts w:ascii="Arial" w:hAnsi="Arial" w:cs="Arial"/>
                <w:sz w:val="20"/>
                <w:szCs w:val="20"/>
              </w:rPr>
              <w:t xml:space="preserve">Servicio Nacional Forestal y de Fauna Silvestre - SERFOR </w:t>
            </w:r>
          </w:p>
          <w:p w14:paraId="28A0C900" w14:textId="77777777" w:rsidR="005B0BE8" w:rsidRPr="0020551C" w:rsidRDefault="005B0BE8" w:rsidP="005B0BE8">
            <w:pPr>
              <w:pStyle w:val="Prrafodelista"/>
              <w:tabs>
                <w:tab w:val="left" w:pos="3375"/>
              </w:tabs>
              <w:ind w:left="0"/>
              <w:jc w:val="both"/>
              <w:rPr>
                <w:rFonts w:ascii="Arial" w:eastAsia="Arial Narrow" w:hAnsi="Arial" w:cs="Arial"/>
                <w:b/>
              </w:rPr>
            </w:pPr>
          </w:p>
        </w:tc>
        <w:tc>
          <w:tcPr>
            <w:tcW w:w="2410" w:type="dxa"/>
          </w:tcPr>
          <w:p w14:paraId="3B4BE07D" w14:textId="59F5FE41"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hAnsi="Arial" w:cs="Arial"/>
                <w:sz w:val="20"/>
                <w:szCs w:val="20"/>
              </w:rPr>
              <w:lastRenderedPageBreak/>
              <w:t xml:space="preserve">Entidades públicas y privadas del Sistema </w:t>
            </w:r>
            <w:r w:rsidRPr="0020551C">
              <w:rPr>
                <w:rFonts w:ascii="Arial" w:hAnsi="Arial" w:cs="Arial"/>
                <w:sz w:val="20"/>
                <w:szCs w:val="20"/>
              </w:rPr>
              <w:lastRenderedPageBreak/>
              <w:t>Nacional de Ciencia, Tecnología e Innovación (SINACTI)</w:t>
            </w:r>
          </w:p>
        </w:tc>
      </w:tr>
      <w:tr w:rsidR="005B0BE8" w:rsidRPr="0020551C" w14:paraId="6302C7F9" w14:textId="77777777" w:rsidTr="005976BF">
        <w:tc>
          <w:tcPr>
            <w:tcW w:w="1049" w:type="dxa"/>
          </w:tcPr>
          <w:p w14:paraId="5C25DD6C" w14:textId="3A4453AA"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lastRenderedPageBreak/>
              <w:t>S2.4.3</w:t>
            </w:r>
          </w:p>
        </w:tc>
        <w:tc>
          <w:tcPr>
            <w:tcW w:w="2536" w:type="dxa"/>
          </w:tcPr>
          <w:p w14:paraId="33AC65B5" w14:textId="64B134B8"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OP2 Incrementar la productividad de los ecosistemas forestales, otros ecosistemas de vegetación silvestre y de la fauna silvestre</w:t>
            </w:r>
          </w:p>
        </w:tc>
        <w:tc>
          <w:tcPr>
            <w:tcW w:w="2681" w:type="dxa"/>
          </w:tcPr>
          <w:p w14:paraId="77C692B0" w14:textId="7D405506"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L2.4 Incrementar la generación de investigaciones e innovación, así como el desarrollo y transferencia de tecnologías en materia forestal y de fauna silvestre, y sus microorganismos asociados, incluyendo sus recursos genéticos</w:t>
            </w:r>
          </w:p>
        </w:tc>
        <w:tc>
          <w:tcPr>
            <w:tcW w:w="3085" w:type="dxa"/>
          </w:tcPr>
          <w:p w14:paraId="17F66426" w14:textId="7D8109F0" w:rsidR="005B0BE8" w:rsidRPr="0020551C" w:rsidRDefault="00932163" w:rsidP="005B0BE8">
            <w:pPr>
              <w:pStyle w:val="Prrafodelista"/>
              <w:tabs>
                <w:tab w:val="left" w:pos="3375"/>
              </w:tabs>
              <w:ind w:left="0"/>
              <w:jc w:val="both"/>
              <w:rPr>
                <w:rFonts w:ascii="Arial" w:eastAsia="Arial Narrow" w:hAnsi="Arial" w:cs="Arial"/>
                <w:b/>
              </w:rPr>
            </w:pPr>
            <w:r w:rsidRPr="008A26D2">
              <w:rPr>
                <w:rFonts w:ascii="Arial" w:eastAsia="Arial Narrow" w:hAnsi="Arial" w:cs="Arial"/>
                <w:sz w:val="20"/>
                <w:szCs w:val="20"/>
              </w:rPr>
              <w:t>Asistencia técnica en la identificación de las necesidades de investigación forestal y de fauna silvestre de forma satisfactoria para las Autoridades Regionales Forestales y de Fauna Silvestre</w:t>
            </w:r>
          </w:p>
        </w:tc>
        <w:tc>
          <w:tcPr>
            <w:tcW w:w="2268" w:type="dxa"/>
          </w:tcPr>
          <w:p w14:paraId="626CC32B" w14:textId="3DC08AF6"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Servicio Nacional Forestal y Fauna Silvestre – SERFOR.</w:t>
            </w:r>
          </w:p>
        </w:tc>
        <w:tc>
          <w:tcPr>
            <w:tcW w:w="2410" w:type="dxa"/>
          </w:tcPr>
          <w:p w14:paraId="01883FC3" w14:textId="33AE3633"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Autoridades Regionales Forestales y de Fauna Silvestre</w:t>
            </w:r>
          </w:p>
        </w:tc>
      </w:tr>
      <w:tr w:rsidR="005B0BE8" w:rsidRPr="0020551C" w14:paraId="304B6392" w14:textId="77777777" w:rsidTr="005976BF">
        <w:tc>
          <w:tcPr>
            <w:tcW w:w="1049" w:type="dxa"/>
          </w:tcPr>
          <w:p w14:paraId="48C12A03" w14:textId="601EF212"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Times New Roman" w:hAnsi="Arial" w:cs="Arial"/>
                <w:color w:val="000000" w:themeColor="text1"/>
                <w:sz w:val="20"/>
                <w:szCs w:val="20"/>
              </w:rPr>
              <w:t>S2.4.4</w:t>
            </w:r>
          </w:p>
        </w:tc>
        <w:tc>
          <w:tcPr>
            <w:tcW w:w="2536" w:type="dxa"/>
          </w:tcPr>
          <w:p w14:paraId="357592C0" w14:textId="625239FA"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Times New Roman" w:hAnsi="Arial" w:cs="Arial"/>
                <w:color w:val="000000" w:themeColor="text1"/>
                <w:sz w:val="20"/>
                <w:szCs w:val="20"/>
              </w:rPr>
              <w:t>OP2 Incrementar la productividad de los ecosistemas forestales, otros ecosistemas de vegetación silvestre y de la fauna silvestre</w:t>
            </w:r>
          </w:p>
        </w:tc>
        <w:tc>
          <w:tcPr>
            <w:tcW w:w="2681" w:type="dxa"/>
          </w:tcPr>
          <w:p w14:paraId="7A8BAB89" w14:textId="5275E6A3" w:rsidR="005B0BE8" w:rsidRPr="00846D49" w:rsidRDefault="005B0BE8" w:rsidP="005B0BE8">
            <w:pPr>
              <w:pStyle w:val="Prrafodelista"/>
              <w:tabs>
                <w:tab w:val="left" w:pos="3375"/>
              </w:tabs>
              <w:ind w:left="0"/>
              <w:jc w:val="both"/>
              <w:rPr>
                <w:rFonts w:ascii="Arial" w:eastAsia="Arial Narrow" w:hAnsi="Arial" w:cs="Arial"/>
                <w:b/>
              </w:rPr>
            </w:pPr>
            <w:r w:rsidRPr="00846D49">
              <w:rPr>
                <w:rFonts w:ascii="Arial" w:eastAsia="Times New Roman" w:hAnsi="Arial" w:cs="Arial"/>
                <w:sz w:val="20"/>
                <w:szCs w:val="20"/>
              </w:rPr>
              <w:t>L2.4 Incrementar la generación de investigaciones e innovación, así como el desarrollo y transferencia de tecnologías en materia forestal y de fauna silvestre, y sus microorganismos asociados, incluyendo sus recursos genéticos.</w:t>
            </w:r>
          </w:p>
        </w:tc>
        <w:tc>
          <w:tcPr>
            <w:tcW w:w="3085" w:type="dxa"/>
          </w:tcPr>
          <w:p w14:paraId="5B40942A" w14:textId="0F8B2926" w:rsidR="005B0BE8" w:rsidRPr="00846D49" w:rsidRDefault="00CD5007" w:rsidP="005B0BE8">
            <w:pPr>
              <w:pStyle w:val="Prrafodelista"/>
              <w:tabs>
                <w:tab w:val="left" w:pos="3375"/>
              </w:tabs>
              <w:ind w:left="0"/>
              <w:jc w:val="both"/>
              <w:rPr>
                <w:rFonts w:ascii="Arial" w:eastAsia="Arial Narrow" w:hAnsi="Arial" w:cs="Arial"/>
                <w:b/>
              </w:rPr>
            </w:pPr>
            <w:r w:rsidRPr="00846D49">
              <w:rPr>
                <w:rFonts w:ascii="Arial" w:eastAsia="Times New Roman" w:hAnsi="Arial" w:cs="Arial"/>
                <w:sz w:val="20"/>
                <w:szCs w:val="20"/>
                <w:lang w:eastAsia="es-PE"/>
              </w:rPr>
              <w:t>Investigación, estudios</w:t>
            </w:r>
            <w:r w:rsidRPr="00846D49">
              <w:rPr>
                <w:rFonts w:ascii="Arial" w:eastAsia="Times New Roman" w:hAnsi="Arial" w:cs="Arial"/>
                <w:sz w:val="20"/>
                <w:szCs w:val="20"/>
              </w:rPr>
              <w:t>,</w:t>
            </w:r>
            <w:r w:rsidRPr="00846D49">
              <w:rPr>
                <w:rFonts w:ascii="Arial" w:eastAsia="Times New Roman" w:hAnsi="Arial" w:cs="Arial"/>
                <w:sz w:val="20"/>
                <w:szCs w:val="20"/>
                <w:lang w:eastAsia="es-PE"/>
              </w:rPr>
              <w:t xml:space="preserve"> tecnologías e innovación sobre los recursos forestales y de fauna silvestre de forma pertinente para los usuarios forestales y de fauna silvestre.</w:t>
            </w:r>
          </w:p>
        </w:tc>
        <w:tc>
          <w:tcPr>
            <w:tcW w:w="2268" w:type="dxa"/>
          </w:tcPr>
          <w:p w14:paraId="4C1FF957" w14:textId="0EEF7023" w:rsidR="005B0BE8" w:rsidRPr="00846D49" w:rsidRDefault="005B0BE8" w:rsidP="005B0BE8">
            <w:pPr>
              <w:tabs>
                <w:tab w:val="left" w:pos="3375"/>
              </w:tabs>
              <w:ind w:left="42"/>
              <w:jc w:val="both"/>
              <w:rPr>
                <w:rFonts w:ascii="Arial" w:eastAsia="Times New Roman" w:hAnsi="Arial" w:cs="Arial"/>
                <w:sz w:val="20"/>
                <w:szCs w:val="20"/>
              </w:rPr>
            </w:pPr>
            <w:r w:rsidRPr="00846D49">
              <w:rPr>
                <w:rFonts w:ascii="Arial" w:eastAsia="Times New Roman" w:hAnsi="Arial" w:cs="Arial"/>
                <w:sz w:val="20"/>
                <w:szCs w:val="20"/>
              </w:rPr>
              <w:t>Servicio Nacional Forestal y Fauna Silvestre – SERFOR;</w:t>
            </w:r>
          </w:p>
          <w:p w14:paraId="462F9DCA" w14:textId="77777777" w:rsidR="00932163" w:rsidRPr="00846D49" w:rsidRDefault="00932163" w:rsidP="005B0BE8">
            <w:pPr>
              <w:tabs>
                <w:tab w:val="left" w:pos="3375"/>
              </w:tabs>
              <w:ind w:left="42"/>
              <w:jc w:val="both"/>
              <w:rPr>
                <w:rFonts w:ascii="Arial" w:eastAsia="Times New Roman" w:hAnsi="Arial" w:cs="Arial"/>
                <w:sz w:val="20"/>
                <w:szCs w:val="20"/>
              </w:rPr>
            </w:pPr>
          </w:p>
          <w:p w14:paraId="01AD4A10" w14:textId="11D2AFDD" w:rsidR="005B0BE8" w:rsidRPr="00846D49" w:rsidRDefault="005B0BE8" w:rsidP="005B0BE8">
            <w:pPr>
              <w:tabs>
                <w:tab w:val="left" w:pos="3375"/>
              </w:tabs>
              <w:ind w:left="42"/>
              <w:jc w:val="both"/>
              <w:rPr>
                <w:rFonts w:ascii="Arial" w:eastAsia="Times New Roman" w:hAnsi="Arial" w:cs="Arial"/>
                <w:sz w:val="20"/>
                <w:szCs w:val="20"/>
              </w:rPr>
            </w:pPr>
            <w:r w:rsidRPr="00846D49">
              <w:rPr>
                <w:rFonts w:ascii="Arial" w:eastAsia="Times New Roman" w:hAnsi="Arial" w:cs="Arial"/>
                <w:sz w:val="20"/>
                <w:szCs w:val="20"/>
              </w:rPr>
              <w:t>Instituto Nacional de Innovación Agraria – INIA;</w:t>
            </w:r>
          </w:p>
          <w:p w14:paraId="4D072804" w14:textId="77777777" w:rsidR="00932163" w:rsidRPr="00846D49" w:rsidRDefault="00932163" w:rsidP="005B0BE8">
            <w:pPr>
              <w:tabs>
                <w:tab w:val="left" w:pos="3375"/>
              </w:tabs>
              <w:ind w:left="42"/>
              <w:jc w:val="both"/>
              <w:rPr>
                <w:rFonts w:ascii="Arial" w:eastAsia="Times New Roman" w:hAnsi="Arial" w:cs="Arial"/>
                <w:sz w:val="20"/>
                <w:szCs w:val="20"/>
              </w:rPr>
            </w:pPr>
          </w:p>
          <w:p w14:paraId="5780F097" w14:textId="6FFEF7EA" w:rsidR="005B0BE8" w:rsidRPr="00846D49" w:rsidRDefault="005B0BE8" w:rsidP="005B0BE8">
            <w:pPr>
              <w:pStyle w:val="Prrafodelista"/>
              <w:tabs>
                <w:tab w:val="left" w:pos="3375"/>
              </w:tabs>
              <w:ind w:left="42"/>
              <w:jc w:val="both"/>
              <w:rPr>
                <w:rFonts w:ascii="Arial" w:eastAsia="Arial Narrow" w:hAnsi="Arial" w:cs="Arial"/>
                <w:b/>
              </w:rPr>
            </w:pPr>
            <w:r w:rsidRPr="00846D49">
              <w:rPr>
                <w:rFonts w:ascii="Arial" w:eastAsia="Times New Roman" w:hAnsi="Arial" w:cs="Arial"/>
                <w:sz w:val="20"/>
                <w:szCs w:val="20"/>
              </w:rPr>
              <w:t>Instituto de Investigaciones de la Amazonía Peruana - IIAP</w:t>
            </w:r>
          </w:p>
        </w:tc>
        <w:tc>
          <w:tcPr>
            <w:tcW w:w="2410" w:type="dxa"/>
          </w:tcPr>
          <w:p w14:paraId="089AA8D3" w14:textId="4060C913"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Times New Roman" w:hAnsi="Arial" w:cs="Arial"/>
                <w:color w:val="000000" w:themeColor="text1"/>
                <w:sz w:val="20"/>
                <w:szCs w:val="20"/>
              </w:rPr>
              <w:t>Usuarios forestales y de fauna silvestre</w:t>
            </w:r>
          </w:p>
        </w:tc>
      </w:tr>
      <w:tr w:rsidR="005B0BE8" w:rsidRPr="0020551C" w14:paraId="32838AB9" w14:textId="77777777" w:rsidTr="005976BF">
        <w:tc>
          <w:tcPr>
            <w:tcW w:w="1049" w:type="dxa"/>
          </w:tcPr>
          <w:p w14:paraId="6E0086E2" w14:textId="016A0122"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S2.4.5</w:t>
            </w:r>
          </w:p>
        </w:tc>
        <w:tc>
          <w:tcPr>
            <w:tcW w:w="2536" w:type="dxa"/>
          </w:tcPr>
          <w:p w14:paraId="254378F9" w14:textId="5FA537A7"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Times New Roman" w:hAnsi="Arial" w:cs="Arial"/>
                <w:color w:val="000000" w:themeColor="text1"/>
                <w:sz w:val="20"/>
                <w:szCs w:val="20"/>
              </w:rPr>
              <w:t xml:space="preserve">OP2 Incrementar la productividad de los ecosistemas forestales, </w:t>
            </w:r>
            <w:r w:rsidRPr="0020551C">
              <w:rPr>
                <w:rFonts w:ascii="Arial" w:eastAsia="Times New Roman" w:hAnsi="Arial" w:cs="Arial"/>
                <w:color w:val="000000" w:themeColor="text1"/>
                <w:sz w:val="20"/>
                <w:szCs w:val="20"/>
              </w:rPr>
              <w:lastRenderedPageBreak/>
              <w:t>otros ecosistemas de vegetación silvestre y de la fauna silvestre</w:t>
            </w:r>
          </w:p>
        </w:tc>
        <w:tc>
          <w:tcPr>
            <w:tcW w:w="2681" w:type="dxa"/>
          </w:tcPr>
          <w:p w14:paraId="2884BF73" w14:textId="6054E47F"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Times New Roman" w:hAnsi="Arial" w:cs="Arial"/>
                <w:color w:val="000000" w:themeColor="text1"/>
                <w:sz w:val="20"/>
                <w:szCs w:val="20"/>
              </w:rPr>
              <w:lastRenderedPageBreak/>
              <w:t xml:space="preserve">L2.4 Incrementar la generación de investigaciones e </w:t>
            </w:r>
            <w:r w:rsidRPr="0020551C">
              <w:rPr>
                <w:rFonts w:ascii="Arial" w:eastAsia="Times New Roman" w:hAnsi="Arial" w:cs="Arial"/>
                <w:color w:val="000000" w:themeColor="text1"/>
                <w:sz w:val="20"/>
                <w:szCs w:val="20"/>
              </w:rPr>
              <w:lastRenderedPageBreak/>
              <w:t>innovación, así como el desarrollo y transferencia de tecnologías en materia forestal y de fauna silvestre, y sus microorganismos asociados, incluyendo sus recursos genéticos.</w:t>
            </w:r>
          </w:p>
        </w:tc>
        <w:tc>
          <w:tcPr>
            <w:tcW w:w="3085" w:type="dxa"/>
          </w:tcPr>
          <w:p w14:paraId="07B17433" w14:textId="544098C7" w:rsidR="005B0BE8" w:rsidRPr="0020551C" w:rsidRDefault="00932163" w:rsidP="005B0BE8">
            <w:pPr>
              <w:pStyle w:val="Prrafodelista"/>
              <w:tabs>
                <w:tab w:val="left" w:pos="3375"/>
              </w:tabs>
              <w:ind w:left="0"/>
              <w:jc w:val="both"/>
              <w:rPr>
                <w:rFonts w:ascii="Arial" w:eastAsia="Arial Narrow" w:hAnsi="Arial" w:cs="Arial"/>
                <w:b/>
              </w:rPr>
            </w:pPr>
            <w:r w:rsidRPr="008A26D2">
              <w:rPr>
                <w:rFonts w:ascii="Arial" w:eastAsia="Arial Narrow" w:hAnsi="Arial" w:cs="Arial"/>
                <w:bCs/>
                <w:sz w:val="20"/>
                <w:szCs w:val="20"/>
              </w:rPr>
              <w:lastRenderedPageBreak/>
              <w:t xml:space="preserve">Otorgamiento de derechos relacionados con investigación científica y acceso a los recursos </w:t>
            </w:r>
            <w:r w:rsidRPr="008A26D2">
              <w:rPr>
                <w:rFonts w:ascii="Arial" w:eastAsia="Arial Narrow" w:hAnsi="Arial" w:cs="Arial"/>
                <w:bCs/>
                <w:sz w:val="20"/>
                <w:szCs w:val="20"/>
              </w:rPr>
              <w:lastRenderedPageBreak/>
              <w:t>genéticos y sus derivados en materia forestal y de fauna silvestre de forma oportuna a usuarios forestales y de fauna silvestre</w:t>
            </w:r>
          </w:p>
        </w:tc>
        <w:tc>
          <w:tcPr>
            <w:tcW w:w="2268" w:type="dxa"/>
          </w:tcPr>
          <w:p w14:paraId="6CB8586A" w14:textId="77777777" w:rsidR="005B0BE8" w:rsidRDefault="005B0BE8" w:rsidP="005B0BE8">
            <w:pPr>
              <w:tabs>
                <w:tab w:val="left" w:pos="3375"/>
              </w:tabs>
              <w:ind w:left="128"/>
              <w:jc w:val="both"/>
              <w:rPr>
                <w:rFonts w:ascii="Arial" w:eastAsia="Arial Narrow" w:hAnsi="Arial" w:cs="Arial"/>
                <w:sz w:val="20"/>
                <w:szCs w:val="20"/>
              </w:rPr>
            </w:pPr>
            <w:r w:rsidRPr="0020551C">
              <w:rPr>
                <w:rFonts w:ascii="Arial" w:eastAsia="Arial Narrow" w:hAnsi="Arial" w:cs="Arial"/>
                <w:sz w:val="20"/>
                <w:szCs w:val="20"/>
              </w:rPr>
              <w:lastRenderedPageBreak/>
              <w:t xml:space="preserve">Servicio Nacional Forestal y Fauna Silvestre-SERFOR; </w:t>
            </w:r>
          </w:p>
          <w:p w14:paraId="656BD890" w14:textId="77777777" w:rsidR="00932163" w:rsidRPr="0020551C" w:rsidRDefault="00932163" w:rsidP="005B0BE8">
            <w:pPr>
              <w:tabs>
                <w:tab w:val="left" w:pos="3375"/>
              </w:tabs>
              <w:ind w:left="128"/>
              <w:jc w:val="both"/>
              <w:rPr>
                <w:rFonts w:ascii="Arial" w:eastAsia="Arial Narrow" w:hAnsi="Arial" w:cs="Arial"/>
                <w:sz w:val="20"/>
                <w:szCs w:val="20"/>
              </w:rPr>
            </w:pPr>
          </w:p>
          <w:p w14:paraId="3DC37EB3" w14:textId="385CC93A"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 xml:space="preserve">Gobiernos Regionales – GORE </w:t>
            </w:r>
          </w:p>
        </w:tc>
        <w:tc>
          <w:tcPr>
            <w:tcW w:w="2410" w:type="dxa"/>
          </w:tcPr>
          <w:p w14:paraId="0FE07F62" w14:textId="30D57F72"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hAnsi="Arial" w:cs="Arial"/>
                <w:sz w:val="20"/>
                <w:szCs w:val="20"/>
                <w:lang w:val="es-MX"/>
              </w:rPr>
              <w:lastRenderedPageBreak/>
              <w:t>Usuarios forestales y de fauna silvestre</w:t>
            </w:r>
          </w:p>
        </w:tc>
      </w:tr>
      <w:tr w:rsidR="005B0BE8" w:rsidRPr="0020551C" w14:paraId="6A5B985E" w14:textId="77777777" w:rsidTr="005976BF">
        <w:tc>
          <w:tcPr>
            <w:tcW w:w="1049" w:type="dxa"/>
          </w:tcPr>
          <w:p w14:paraId="627386E5" w14:textId="5E6F2600"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hAnsi="Arial" w:cs="Arial"/>
                <w:color w:val="000000" w:themeColor="text1"/>
                <w:sz w:val="20"/>
                <w:szCs w:val="20"/>
              </w:rPr>
              <w:t>S2.5.1</w:t>
            </w:r>
          </w:p>
        </w:tc>
        <w:tc>
          <w:tcPr>
            <w:tcW w:w="2536" w:type="dxa"/>
            <w:vAlign w:val="center"/>
          </w:tcPr>
          <w:p w14:paraId="050AE1E0" w14:textId="3FE84ABD"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hAnsi="Arial" w:cs="Arial"/>
                <w:color w:val="000000" w:themeColor="text1"/>
                <w:sz w:val="20"/>
                <w:szCs w:val="20"/>
              </w:rPr>
              <w:t>OP2 Incrementar la productividad de los ecosistemas forestales, otros ecosistemas de vegetación silvestre y de la fauna silvestre.</w:t>
            </w:r>
          </w:p>
        </w:tc>
        <w:tc>
          <w:tcPr>
            <w:tcW w:w="2681" w:type="dxa"/>
          </w:tcPr>
          <w:p w14:paraId="0D880A52" w14:textId="2226EE1D"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hAnsi="Arial" w:cs="Arial"/>
                <w:color w:val="000000" w:themeColor="text1"/>
                <w:sz w:val="20"/>
                <w:szCs w:val="20"/>
              </w:rPr>
              <w:t>L2.5 Lograr el aprovechamiento de nuevas especies forestales y de fauna silvestre con potencial para el mercado nacional e internacional.</w:t>
            </w:r>
          </w:p>
        </w:tc>
        <w:tc>
          <w:tcPr>
            <w:tcW w:w="3085" w:type="dxa"/>
          </w:tcPr>
          <w:p w14:paraId="3700AB41" w14:textId="0F1632CB"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hAnsi="Arial" w:cs="Arial"/>
                <w:color w:val="000000" w:themeColor="text1"/>
                <w:sz w:val="20"/>
                <w:szCs w:val="20"/>
              </w:rPr>
              <w:t>Provisión de material genético de calidad de forma fiable para los usuarios forestales.</w:t>
            </w:r>
          </w:p>
        </w:tc>
        <w:tc>
          <w:tcPr>
            <w:tcW w:w="2268" w:type="dxa"/>
          </w:tcPr>
          <w:p w14:paraId="2FB6B0AF" w14:textId="3DB71D49"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Instituto Nacional de Innovación Agraria - INIA</w:t>
            </w:r>
          </w:p>
        </w:tc>
        <w:tc>
          <w:tcPr>
            <w:tcW w:w="2410" w:type="dxa"/>
          </w:tcPr>
          <w:p w14:paraId="0EA4FBC6" w14:textId="43E9C359"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hAnsi="Arial" w:cs="Arial"/>
                <w:sz w:val="20"/>
                <w:szCs w:val="20"/>
              </w:rPr>
              <w:t>Usuarios forestales</w:t>
            </w:r>
          </w:p>
        </w:tc>
      </w:tr>
      <w:tr w:rsidR="005B0BE8" w:rsidRPr="0020551C" w14:paraId="4507FC84" w14:textId="77777777" w:rsidTr="005976BF">
        <w:tc>
          <w:tcPr>
            <w:tcW w:w="1049" w:type="dxa"/>
          </w:tcPr>
          <w:p w14:paraId="351EE004" w14:textId="54AF1C1F" w:rsidR="005B0BE8" w:rsidRPr="0020551C" w:rsidRDefault="005B0BE8" w:rsidP="005B0BE8">
            <w:pPr>
              <w:pStyle w:val="Prrafodelista"/>
              <w:tabs>
                <w:tab w:val="left" w:pos="3375"/>
              </w:tabs>
              <w:ind w:left="0"/>
              <w:jc w:val="both"/>
              <w:rPr>
                <w:rFonts w:ascii="Arial" w:hAnsi="Arial" w:cs="Arial"/>
                <w:color w:val="000000" w:themeColor="text1"/>
                <w:sz w:val="20"/>
                <w:szCs w:val="20"/>
              </w:rPr>
            </w:pPr>
            <w:r w:rsidRPr="0020551C">
              <w:rPr>
                <w:rFonts w:ascii="Arial" w:hAnsi="Arial" w:cs="Arial"/>
                <w:color w:val="000000" w:themeColor="text1"/>
                <w:sz w:val="20"/>
                <w:szCs w:val="20"/>
              </w:rPr>
              <w:t>S2.5.2</w:t>
            </w:r>
          </w:p>
        </w:tc>
        <w:tc>
          <w:tcPr>
            <w:tcW w:w="2536" w:type="dxa"/>
            <w:vAlign w:val="center"/>
          </w:tcPr>
          <w:p w14:paraId="7C84D8D5" w14:textId="7B7C24E7" w:rsidR="005B0BE8" w:rsidRPr="0020551C" w:rsidRDefault="005B0BE8" w:rsidP="005B0BE8">
            <w:pPr>
              <w:pStyle w:val="Prrafodelista"/>
              <w:tabs>
                <w:tab w:val="left" w:pos="3375"/>
              </w:tabs>
              <w:ind w:left="0"/>
              <w:jc w:val="both"/>
              <w:rPr>
                <w:rFonts w:ascii="Arial" w:hAnsi="Arial" w:cs="Arial"/>
                <w:color w:val="000000" w:themeColor="text1"/>
                <w:sz w:val="20"/>
                <w:szCs w:val="20"/>
              </w:rPr>
            </w:pPr>
            <w:r w:rsidRPr="0020551C">
              <w:rPr>
                <w:rFonts w:ascii="Arial" w:hAnsi="Arial" w:cs="Arial"/>
                <w:color w:val="000000" w:themeColor="text1"/>
                <w:sz w:val="20"/>
                <w:szCs w:val="20"/>
              </w:rPr>
              <w:t>OP2 Incrementar la productividad de los ecosistemas forestales, otros ecosistemas de vegetación silvestre y de la fauna silvestre.</w:t>
            </w:r>
          </w:p>
        </w:tc>
        <w:tc>
          <w:tcPr>
            <w:tcW w:w="2681" w:type="dxa"/>
          </w:tcPr>
          <w:p w14:paraId="0F7F6C5A" w14:textId="64A0B916" w:rsidR="005B0BE8" w:rsidRPr="0020551C" w:rsidRDefault="005B0BE8" w:rsidP="005B0BE8">
            <w:pPr>
              <w:pStyle w:val="Prrafodelista"/>
              <w:tabs>
                <w:tab w:val="left" w:pos="3375"/>
              </w:tabs>
              <w:ind w:left="0"/>
              <w:jc w:val="both"/>
              <w:rPr>
                <w:rFonts w:ascii="Arial" w:hAnsi="Arial" w:cs="Arial"/>
                <w:color w:val="000000" w:themeColor="text1"/>
                <w:sz w:val="20"/>
                <w:szCs w:val="20"/>
              </w:rPr>
            </w:pPr>
            <w:r w:rsidRPr="0020551C">
              <w:rPr>
                <w:rFonts w:ascii="Arial" w:hAnsi="Arial" w:cs="Arial"/>
                <w:color w:val="000000" w:themeColor="text1"/>
                <w:sz w:val="20"/>
                <w:szCs w:val="20"/>
              </w:rPr>
              <w:t>L2.5 Lograr el aprovechamiento de nuevas especies forestales y de fauna silvestre con potencial para el mercado nacional e internacional.</w:t>
            </w:r>
          </w:p>
        </w:tc>
        <w:tc>
          <w:tcPr>
            <w:tcW w:w="3085" w:type="dxa"/>
          </w:tcPr>
          <w:p w14:paraId="266C6DAC" w14:textId="6DAABFAB" w:rsidR="005B0BE8" w:rsidRPr="0020551C" w:rsidRDefault="00932163" w:rsidP="005B0BE8">
            <w:pPr>
              <w:pStyle w:val="Prrafodelista"/>
              <w:tabs>
                <w:tab w:val="left" w:pos="3375"/>
              </w:tabs>
              <w:ind w:left="0"/>
              <w:jc w:val="both"/>
              <w:rPr>
                <w:rFonts w:ascii="Arial" w:hAnsi="Arial" w:cs="Arial"/>
                <w:color w:val="000000" w:themeColor="text1"/>
                <w:sz w:val="20"/>
                <w:szCs w:val="20"/>
              </w:rPr>
            </w:pPr>
            <w:r w:rsidRPr="008A26D2">
              <w:rPr>
                <w:rFonts w:ascii="Arial" w:hAnsi="Arial" w:cs="Arial"/>
                <w:sz w:val="20"/>
                <w:szCs w:val="20"/>
              </w:rPr>
              <w:t xml:space="preserve">Asistencia </w:t>
            </w:r>
            <w:r>
              <w:rPr>
                <w:rFonts w:ascii="Arial" w:hAnsi="Arial" w:cs="Arial"/>
                <w:sz w:val="20"/>
                <w:szCs w:val="20"/>
              </w:rPr>
              <w:t>t</w:t>
            </w:r>
            <w:r w:rsidRPr="008A26D2">
              <w:rPr>
                <w:rFonts w:ascii="Arial" w:hAnsi="Arial" w:cs="Arial"/>
                <w:sz w:val="20"/>
                <w:szCs w:val="20"/>
              </w:rPr>
              <w:t xml:space="preserve">écnica en </w:t>
            </w:r>
            <w:r>
              <w:rPr>
                <w:rFonts w:ascii="Arial" w:hAnsi="Arial" w:cs="Arial"/>
                <w:sz w:val="20"/>
                <w:szCs w:val="20"/>
              </w:rPr>
              <w:t>d</w:t>
            </w:r>
            <w:r w:rsidRPr="008A26D2">
              <w:rPr>
                <w:rFonts w:ascii="Arial" w:hAnsi="Arial" w:cs="Arial"/>
                <w:sz w:val="20"/>
                <w:szCs w:val="20"/>
              </w:rPr>
              <w:t xml:space="preserve">iseño y </w:t>
            </w:r>
            <w:r>
              <w:rPr>
                <w:rFonts w:ascii="Arial" w:hAnsi="Arial" w:cs="Arial"/>
                <w:sz w:val="20"/>
                <w:szCs w:val="20"/>
              </w:rPr>
              <w:t>d</w:t>
            </w:r>
            <w:r w:rsidRPr="008A26D2">
              <w:rPr>
                <w:rFonts w:ascii="Arial" w:hAnsi="Arial" w:cs="Arial"/>
                <w:sz w:val="20"/>
                <w:szCs w:val="20"/>
              </w:rPr>
              <w:t xml:space="preserve">esarrollo de </w:t>
            </w:r>
            <w:r>
              <w:rPr>
                <w:rFonts w:ascii="Arial" w:hAnsi="Arial" w:cs="Arial"/>
                <w:sz w:val="20"/>
                <w:szCs w:val="20"/>
              </w:rPr>
              <w:t>p</w:t>
            </w:r>
            <w:r w:rsidRPr="008A26D2">
              <w:rPr>
                <w:rFonts w:ascii="Arial" w:hAnsi="Arial" w:cs="Arial"/>
                <w:sz w:val="20"/>
                <w:szCs w:val="20"/>
              </w:rPr>
              <w:t>roductos brindados de manera satisfactoria a las unidades productivas de la cadena forestal, madera y textil</w:t>
            </w:r>
            <w:r w:rsidR="005B0BE8" w:rsidRPr="0020551C">
              <w:rPr>
                <w:rFonts w:ascii="Arial" w:hAnsi="Arial" w:cs="Arial"/>
                <w:sz w:val="20"/>
                <w:szCs w:val="20"/>
              </w:rPr>
              <w:t>.</w:t>
            </w:r>
          </w:p>
        </w:tc>
        <w:tc>
          <w:tcPr>
            <w:tcW w:w="2268" w:type="dxa"/>
          </w:tcPr>
          <w:p w14:paraId="28B82312" w14:textId="104D908D" w:rsidR="005B0BE8" w:rsidRPr="0020551C" w:rsidRDefault="005B0BE8" w:rsidP="005B0BE8">
            <w:pPr>
              <w:pStyle w:val="Prrafodelista"/>
              <w:tabs>
                <w:tab w:val="left" w:pos="3375"/>
              </w:tabs>
              <w:ind w:left="0"/>
              <w:jc w:val="both"/>
              <w:rPr>
                <w:rFonts w:ascii="Arial" w:eastAsia="Arial Narrow" w:hAnsi="Arial" w:cs="Arial"/>
                <w:sz w:val="20"/>
                <w:szCs w:val="20"/>
              </w:rPr>
            </w:pPr>
            <w:r w:rsidRPr="0020551C">
              <w:rPr>
                <w:rFonts w:ascii="Arial" w:hAnsi="Arial" w:cs="Arial"/>
                <w:sz w:val="20"/>
                <w:szCs w:val="20"/>
              </w:rPr>
              <w:t xml:space="preserve">Instituto Tecnológico de la Producción -ITP </w:t>
            </w:r>
          </w:p>
        </w:tc>
        <w:tc>
          <w:tcPr>
            <w:tcW w:w="2410" w:type="dxa"/>
          </w:tcPr>
          <w:p w14:paraId="3B263D3C" w14:textId="1A31D9D9" w:rsidR="005B0BE8" w:rsidRPr="0020551C" w:rsidRDefault="005B0BE8" w:rsidP="005B0BE8">
            <w:pPr>
              <w:pStyle w:val="Prrafodelista"/>
              <w:tabs>
                <w:tab w:val="left" w:pos="3375"/>
              </w:tabs>
              <w:ind w:left="0"/>
              <w:jc w:val="both"/>
              <w:rPr>
                <w:rFonts w:ascii="Arial" w:hAnsi="Arial" w:cs="Arial"/>
                <w:sz w:val="20"/>
                <w:szCs w:val="20"/>
              </w:rPr>
            </w:pPr>
            <w:r w:rsidRPr="0020551C">
              <w:rPr>
                <w:rFonts w:ascii="Arial" w:hAnsi="Arial" w:cs="Arial"/>
                <w:sz w:val="20"/>
                <w:szCs w:val="20"/>
              </w:rPr>
              <w:t>Unidades productivas</w:t>
            </w:r>
            <w:r w:rsidR="00932163">
              <w:rPr>
                <w:rFonts w:ascii="Arial" w:hAnsi="Arial" w:cs="Arial"/>
                <w:sz w:val="20"/>
                <w:szCs w:val="20"/>
              </w:rPr>
              <w:t xml:space="preserve"> </w:t>
            </w:r>
            <w:r w:rsidR="00932163" w:rsidRPr="008A26D2">
              <w:rPr>
                <w:rFonts w:ascii="Arial" w:hAnsi="Arial" w:cs="Arial"/>
                <w:sz w:val="20"/>
                <w:szCs w:val="20"/>
              </w:rPr>
              <w:t>de la cadena forestal, madera y textil</w:t>
            </w:r>
          </w:p>
        </w:tc>
      </w:tr>
      <w:tr w:rsidR="005B0BE8" w:rsidRPr="0020551C" w14:paraId="225815C1" w14:textId="77777777" w:rsidTr="005976BF">
        <w:tc>
          <w:tcPr>
            <w:tcW w:w="1049" w:type="dxa"/>
          </w:tcPr>
          <w:p w14:paraId="0B3860F6" w14:textId="488C1B98"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S2.6.1.</w:t>
            </w:r>
          </w:p>
        </w:tc>
        <w:tc>
          <w:tcPr>
            <w:tcW w:w="2536" w:type="dxa"/>
          </w:tcPr>
          <w:p w14:paraId="0CEC6F6C" w14:textId="5C09EF73"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hAnsi="Arial" w:cs="Arial"/>
                <w:color w:val="000000" w:themeColor="text1"/>
                <w:sz w:val="20"/>
                <w:szCs w:val="20"/>
              </w:rPr>
              <w:t>OP2 Incrementar la productividad de los ecosistemas forestales, otros ecosistemas de vegetación silvestre y de la fauna silvestre.</w:t>
            </w:r>
          </w:p>
        </w:tc>
        <w:tc>
          <w:tcPr>
            <w:tcW w:w="2681" w:type="dxa"/>
          </w:tcPr>
          <w:p w14:paraId="657B4299" w14:textId="526C1990"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L.2.6 Incrementar el comercio nacional e internacional de especímenes, productos y subproductos de flora y de fauna silvestre provenientes de actividades de aprovechamiento autorizadas</w:t>
            </w:r>
            <w:r w:rsidRPr="0020551C">
              <w:rPr>
                <w:rFonts w:ascii="Arial" w:eastAsia="Arial Narrow" w:hAnsi="Arial" w:cs="Arial"/>
                <w:b/>
              </w:rPr>
              <w:t xml:space="preserve"> </w:t>
            </w:r>
          </w:p>
        </w:tc>
        <w:tc>
          <w:tcPr>
            <w:tcW w:w="3085" w:type="dxa"/>
          </w:tcPr>
          <w:p w14:paraId="44B6C28C" w14:textId="1F69861E" w:rsidR="005B0BE8" w:rsidRPr="0020551C" w:rsidRDefault="00932163" w:rsidP="005B0BE8">
            <w:pPr>
              <w:pStyle w:val="Prrafodelista"/>
              <w:tabs>
                <w:tab w:val="left" w:pos="3375"/>
              </w:tabs>
              <w:ind w:left="0"/>
              <w:jc w:val="both"/>
              <w:rPr>
                <w:rFonts w:ascii="Arial" w:eastAsia="Arial Narrow" w:hAnsi="Arial" w:cs="Arial"/>
                <w:b/>
              </w:rPr>
            </w:pPr>
            <w:r w:rsidRPr="008A26D2">
              <w:rPr>
                <w:rFonts w:ascii="Arial" w:eastAsia="Arial Narrow" w:hAnsi="Arial" w:cs="Arial"/>
                <w:sz w:val="20"/>
                <w:szCs w:val="20"/>
              </w:rPr>
              <w:t>Fortalecimiento de capacidades para el cumplimiento de criterios técnicos y normativos en el proceso de transformación de productos de fibra de vicuña de forma satisfactoria a los titulares de manejo.</w:t>
            </w:r>
          </w:p>
        </w:tc>
        <w:tc>
          <w:tcPr>
            <w:tcW w:w="2268" w:type="dxa"/>
          </w:tcPr>
          <w:p w14:paraId="32523BF8" w14:textId="33CA5820"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Servicio Nacional Forestal y de Fauna Silvestre - SERFOR</w:t>
            </w:r>
          </w:p>
        </w:tc>
        <w:tc>
          <w:tcPr>
            <w:tcW w:w="2410" w:type="dxa"/>
          </w:tcPr>
          <w:p w14:paraId="17D35B09" w14:textId="0A28D3AF"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Titulares de manejo de vicuña</w:t>
            </w:r>
          </w:p>
        </w:tc>
      </w:tr>
      <w:tr w:rsidR="005B0BE8" w:rsidRPr="0020551C" w14:paraId="121FCA8D" w14:textId="77777777" w:rsidTr="005976BF">
        <w:tc>
          <w:tcPr>
            <w:tcW w:w="1049" w:type="dxa"/>
          </w:tcPr>
          <w:p w14:paraId="5C8D2699" w14:textId="706B0709"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hAnsi="Arial" w:cs="Arial"/>
                <w:sz w:val="20"/>
                <w:szCs w:val="20"/>
              </w:rPr>
              <w:t>S2.6.2</w:t>
            </w:r>
          </w:p>
        </w:tc>
        <w:tc>
          <w:tcPr>
            <w:tcW w:w="2536" w:type="dxa"/>
          </w:tcPr>
          <w:p w14:paraId="2E0E951F" w14:textId="0FDE6D99"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hAnsi="Arial" w:cs="Arial"/>
                <w:sz w:val="20"/>
                <w:szCs w:val="20"/>
              </w:rPr>
              <w:t xml:space="preserve">OP2 Incrementar la productividad de los ecosistemas forestales, otros ecosistemas de </w:t>
            </w:r>
            <w:r w:rsidRPr="0020551C">
              <w:rPr>
                <w:rFonts w:ascii="Arial" w:hAnsi="Arial" w:cs="Arial"/>
                <w:sz w:val="20"/>
                <w:szCs w:val="20"/>
              </w:rPr>
              <w:lastRenderedPageBreak/>
              <w:t>vegetación silvestre y de la fauna silvestre.</w:t>
            </w:r>
          </w:p>
        </w:tc>
        <w:tc>
          <w:tcPr>
            <w:tcW w:w="2681" w:type="dxa"/>
          </w:tcPr>
          <w:p w14:paraId="007BA26D" w14:textId="6AD3AD5A"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hAnsi="Arial" w:cs="Arial"/>
                <w:sz w:val="20"/>
                <w:szCs w:val="20"/>
              </w:rPr>
              <w:lastRenderedPageBreak/>
              <w:t xml:space="preserve">L2.6 Incrementar el comercio nacional e internacional de especímenes, productos y subproductos de flora y </w:t>
            </w:r>
            <w:r w:rsidRPr="0020551C">
              <w:rPr>
                <w:rFonts w:ascii="Arial" w:hAnsi="Arial" w:cs="Arial"/>
                <w:sz w:val="20"/>
                <w:szCs w:val="20"/>
              </w:rPr>
              <w:lastRenderedPageBreak/>
              <w:t>fauna silvestre provenientes de actividades de aprovechamiento autorizadas</w:t>
            </w:r>
          </w:p>
        </w:tc>
        <w:tc>
          <w:tcPr>
            <w:tcW w:w="3085" w:type="dxa"/>
          </w:tcPr>
          <w:p w14:paraId="2212F31C" w14:textId="24E89EFC" w:rsidR="005B0BE8" w:rsidRPr="0020551C" w:rsidRDefault="00932163" w:rsidP="005B0BE8">
            <w:pPr>
              <w:pStyle w:val="Prrafodelista"/>
              <w:tabs>
                <w:tab w:val="left" w:pos="3375"/>
              </w:tabs>
              <w:ind w:left="0"/>
              <w:jc w:val="both"/>
              <w:rPr>
                <w:rFonts w:ascii="Arial" w:eastAsia="Arial Narrow" w:hAnsi="Arial" w:cs="Arial"/>
                <w:b/>
              </w:rPr>
            </w:pPr>
            <w:r w:rsidRPr="008A26D2">
              <w:rPr>
                <w:rFonts w:ascii="Arial" w:hAnsi="Arial" w:cs="Arial"/>
                <w:sz w:val="20"/>
                <w:szCs w:val="20"/>
              </w:rPr>
              <w:lastRenderedPageBreak/>
              <w:t xml:space="preserve">Fortalecimiento de capacidades para la identificación de oportunidades y tendencias de los mercados internacionales de forma satisfactoria </w:t>
            </w:r>
            <w:r w:rsidRPr="008A26D2">
              <w:rPr>
                <w:rStyle w:val="Refdecomentario"/>
                <w:rFonts w:ascii="Arial" w:eastAsiaTheme="minorEastAsia" w:hAnsi="Arial" w:cs="Arial"/>
                <w:sz w:val="20"/>
                <w:szCs w:val="20"/>
              </w:rPr>
              <w:t xml:space="preserve">a </w:t>
            </w:r>
            <w:r w:rsidRPr="008A26D2">
              <w:rPr>
                <w:rStyle w:val="Refdecomentario"/>
                <w:rFonts w:ascii="Arial" w:eastAsiaTheme="minorEastAsia" w:hAnsi="Arial" w:cs="Arial"/>
                <w:sz w:val="20"/>
                <w:szCs w:val="20"/>
              </w:rPr>
              <w:lastRenderedPageBreak/>
              <w:t xml:space="preserve">instituciones públicas y privadas así como </w:t>
            </w:r>
            <w:r w:rsidRPr="008A26D2">
              <w:rPr>
                <w:rFonts w:ascii="Arial" w:hAnsi="Arial" w:cs="Arial"/>
                <w:sz w:val="20"/>
                <w:szCs w:val="20"/>
              </w:rPr>
              <w:t>empresas exportadoras y con potencial exportador de la actividad forestal y de fauna silvestre</w:t>
            </w:r>
          </w:p>
        </w:tc>
        <w:tc>
          <w:tcPr>
            <w:tcW w:w="2268" w:type="dxa"/>
          </w:tcPr>
          <w:p w14:paraId="4C0545E6" w14:textId="437D4740"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hAnsi="Arial" w:cs="Arial"/>
                <w:sz w:val="20"/>
                <w:szCs w:val="20"/>
              </w:rPr>
              <w:lastRenderedPageBreak/>
              <w:t>Ministerio de Comercio Exterior y Turismo - MINCETUR</w:t>
            </w:r>
          </w:p>
        </w:tc>
        <w:tc>
          <w:tcPr>
            <w:tcW w:w="2410" w:type="dxa"/>
          </w:tcPr>
          <w:p w14:paraId="01576DE6" w14:textId="6AA0C3D0"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hAnsi="Arial" w:cs="Arial"/>
                <w:sz w:val="20"/>
                <w:szCs w:val="20"/>
              </w:rPr>
              <w:t>Instituciones públicas y privadas, empresas exportadoras y con potencial exportador</w:t>
            </w:r>
          </w:p>
          <w:p w14:paraId="65E44D69" w14:textId="027AAEAF" w:rsidR="005B0BE8" w:rsidRPr="0020551C" w:rsidRDefault="005B0BE8" w:rsidP="005B0BE8">
            <w:pPr>
              <w:jc w:val="both"/>
              <w:rPr>
                <w:rFonts w:ascii="Arial" w:hAnsi="Arial" w:cs="Arial"/>
              </w:rPr>
            </w:pPr>
          </w:p>
          <w:p w14:paraId="378C1484" w14:textId="13FBD47D" w:rsidR="005B0BE8" w:rsidRPr="0020551C" w:rsidRDefault="005B0BE8" w:rsidP="005B0BE8">
            <w:pPr>
              <w:jc w:val="both"/>
              <w:rPr>
                <w:rFonts w:ascii="Arial" w:hAnsi="Arial" w:cs="Arial"/>
              </w:rPr>
            </w:pPr>
          </w:p>
          <w:p w14:paraId="3F13834C" w14:textId="77777777" w:rsidR="005B0BE8" w:rsidRPr="0020551C" w:rsidRDefault="005B0BE8" w:rsidP="005B0BE8">
            <w:pPr>
              <w:ind w:firstLine="720"/>
              <w:jc w:val="both"/>
              <w:rPr>
                <w:rFonts w:ascii="Arial" w:hAnsi="Arial" w:cs="Arial"/>
              </w:rPr>
            </w:pPr>
          </w:p>
        </w:tc>
      </w:tr>
      <w:tr w:rsidR="005B0BE8" w:rsidRPr="0020551C" w14:paraId="49602A83" w14:textId="77777777" w:rsidTr="005976BF">
        <w:tc>
          <w:tcPr>
            <w:tcW w:w="1049" w:type="dxa"/>
          </w:tcPr>
          <w:p w14:paraId="4AA32B84" w14:textId="01279B9F"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hAnsi="Arial" w:cs="Arial"/>
                <w:sz w:val="20"/>
                <w:szCs w:val="20"/>
              </w:rPr>
              <w:lastRenderedPageBreak/>
              <w:t>S2.6.3</w:t>
            </w:r>
          </w:p>
        </w:tc>
        <w:tc>
          <w:tcPr>
            <w:tcW w:w="2536" w:type="dxa"/>
          </w:tcPr>
          <w:p w14:paraId="70C94536" w14:textId="7941E383"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hAnsi="Arial" w:cs="Arial"/>
                <w:sz w:val="20"/>
                <w:szCs w:val="20"/>
              </w:rPr>
              <w:t>OP2 Incrementar la productividad de los ecosistemas forestales, otros ecosistemas de vegetación silvestre y de la fauna silvestre.</w:t>
            </w:r>
          </w:p>
        </w:tc>
        <w:tc>
          <w:tcPr>
            <w:tcW w:w="2681" w:type="dxa"/>
          </w:tcPr>
          <w:p w14:paraId="747115C9" w14:textId="2BABB40B"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hAnsi="Arial" w:cs="Arial"/>
                <w:sz w:val="20"/>
                <w:szCs w:val="20"/>
              </w:rPr>
              <w:t>L2.6 Incrementar el comercio nacional e internacional de especímenes, productos y subproductos de flora y fauna silvestre provenientes de actividades de aprovechamiento autorizadas</w:t>
            </w:r>
          </w:p>
        </w:tc>
        <w:tc>
          <w:tcPr>
            <w:tcW w:w="3085" w:type="dxa"/>
          </w:tcPr>
          <w:p w14:paraId="315DB2E3" w14:textId="586FA894" w:rsidR="005B0BE8" w:rsidRPr="0020551C" w:rsidRDefault="00932163" w:rsidP="005B0BE8">
            <w:pPr>
              <w:pStyle w:val="Prrafodelista"/>
              <w:tabs>
                <w:tab w:val="left" w:pos="3375"/>
              </w:tabs>
              <w:ind w:left="0"/>
              <w:jc w:val="both"/>
              <w:rPr>
                <w:rFonts w:ascii="Arial" w:eastAsia="Arial Narrow" w:hAnsi="Arial" w:cs="Arial"/>
                <w:b/>
              </w:rPr>
            </w:pPr>
            <w:r w:rsidRPr="008A26D2">
              <w:rPr>
                <w:rFonts w:ascii="Arial" w:hAnsi="Arial" w:cs="Arial"/>
                <w:sz w:val="20"/>
                <w:szCs w:val="20"/>
              </w:rPr>
              <w:t>Promoción de la oferta exportable de nuevas especies de productos maderables de valor agregado de forma oportuna en beneficio de exportadores y potenciales exportadores forestales</w:t>
            </w:r>
          </w:p>
        </w:tc>
        <w:tc>
          <w:tcPr>
            <w:tcW w:w="2268" w:type="dxa"/>
          </w:tcPr>
          <w:p w14:paraId="72A47379" w14:textId="095D6EA3"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hAnsi="Arial" w:cs="Arial"/>
                <w:sz w:val="20"/>
                <w:szCs w:val="20"/>
              </w:rPr>
              <w:t>PROMPERU</w:t>
            </w:r>
          </w:p>
          <w:p w14:paraId="0D25EC5F" w14:textId="02E9B0B6" w:rsidR="005B0BE8" w:rsidRPr="0020551C" w:rsidRDefault="005B0BE8" w:rsidP="005B0BE8">
            <w:pPr>
              <w:jc w:val="both"/>
              <w:rPr>
                <w:rFonts w:ascii="Arial" w:hAnsi="Arial" w:cs="Arial"/>
              </w:rPr>
            </w:pPr>
          </w:p>
          <w:p w14:paraId="5A2CF26F" w14:textId="77777777" w:rsidR="005B0BE8" w:rsidRPr="0020551C" w:rsidRDefault="005B0BE8" w:rsidP="005B0BE8">
            <w:pPr>
              <w:jc w:val="both"/>
              <w:rPr>
                <w:rFonts w:ascii="Arial" w:hAnsi="Arial" w:cs="Arial"/>
              </w:rPr>
            </w:pPr>
          </w:p>
        </w:tc>
        <w:tc>
          <w:tcPr>
            <w:tcW w:w="2410" w:type="dxa"/>
          </w:tcPr>
          <w:p w14:paraId="29EECDF6" w14:textId="5C8F6DC4"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hAnsi="Arial" w:cs="Arial"/>
                <w:sz w:val="20"/>
                <w:szCs w:val="20"/>
              </w:rPr>
              <w:t>Exportadores y potenciales exportadores</w:t>
            </w:r>
            <w:r w:rsidRPr="0020551C" w:rsidDel="007E6D24">
              <w:rPr>
                <w:rFonts w:ascii="Arial" w:hAnsi="Arial" w:cs="Arial"/>
                <w:sz w:val="20"/>
                <w:szCs w:val="20"/>
              </w:rPr>
              <w:t xml:space="preserve"> </w:t>
            </w:r>
            <w:r w:rsidRPr="0020551C">
              <w:rPr>
                <w:rFonts w:ascii="Arial" w:hAnsi="Arial" w:cs="Arial"/>
                <w:sz w:val="20"/>
                <w:szCs w:val="20"/>
              </w:rPr>
              <w:t>forestales</w:t>
            </w:r>
          </w:p>
        </w:tc>
      </w:tr>
      <w:tr w:rsidR="005B0BE8" w:rsidRPr="0020551C" w14:paraId="49AF30E8" w14:textId="77777777" w:rsidTr="005976BF">
        <w:tc>
          <w:tcPr>
            <w:tcW w:w="1049" w:type="dxa"/>
          </w:tcPr>
          <w:p w14:paraId="38D6838B" w14:textId="35AD318E"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Times New Roman" w:hAnsi="Arial" w:cs="Arial"/>
                <w:sz w:val="20"/>
                <w:szCs w:val="20"/>
              </w:rPr>
              <w:t>S3.1.1.</w:t>
            </w:r>
          </w:p>
        </w:tc>
        <w:tc>
          <w:tcPr>
            <w:tcW w:w="2536" w:type="dxa"/>
          </w:tcPr>
          <w:p w14:paraId="18813AB3" w14:textId="1E1CFCEA"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Times New Roman" w:hAnsi="Arial" w:cs="Arial"/>
                <w:sz w:val="20"/>
                <w:szCs w:val="20"/>
              </w:rPr>
              <w:t>OP3. Fortalecer la gobernanza forestal y de fauna silvestre</w:t>
            </w:r>
          </w:p>
        </w:tc>
        <w:tc>
          <w:tcPr>
            <w:tcW w:w="2681" w:type="dxa"/>
          </w:tcPr>
          <w:p w14:paraId="30B59848" w14:textId="45E9CEBE"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Times New Roman" w:hAnsi="Arial" w:cs="Arial"/>
                <w:sz w:val="20"/>
                <w:szCs w:val="20"/>
              </w:rPr>
              <w:t>L3.1</w:t>
            </w:r>
            <w:r>
              <w:rPr>
                <w:rFonts w:ascii="Arial" w:eastAsia="Times New Roman" w:hAnsi="Arial" w:cs="Arial"/>
                <w:sz w:val="20"/>
                <w:szCs w:val="20"/>
              </w:rPr>
              <w:t xml:space="preserve"> </w:t>
            </w:r>
            <w:r w:rsidRPr="0020551C">
              <w:rPr>
                <w:rFonts w:ascii="Arial" w:eastAsia="Times New Roman" w:hAnsi="Arial" w:cs="Arial"/>
                <w:sz w:val="20"/>
                <w:szCs w:val="20"/>
              </w:rPr>
              <w:t>Reforzar los mecanismos de articulación entre las entidades que conforman el SINAFOR y con otros espacios de coordinación nacional y regional en materia forestal y de fauna silvestre</w:t>
            </w:r>
          </w:p>
        </w:tc>
        <w:tc>
          <w:tcPr>
            <w:tcW w:w="3085" w:type="dxa"/>
          </w:tcPr>
          <w:p w14:paraId="419FBEEC" w14:textId="41637BC1" w:rsidR="005B0BE8" w:rsidRPr="0020551C" w:rsidRDefault="00932163" w:rsidP="005B0BE8">
            <w:pPr>
              <w:pStyle w:val="Prrafodelista"/>
              <w:tabs>
                <w:tab w:val="left" w:pos="3375"/>
              </w:tabs>
              <w:ind w:left="0"/>
              <w:jc w:val="both"/>
              <w:rPr>
                <w:rFonts w:ascii="Arial" w:eastAsia="Arial Narrow" w:hAnsi="Arial" w:cs="Arial"/>
                <w:b/>
              </w:rPr>
            </w:pPr>
            <w:r w:rsidRPr="008A26D2">
              <w:rPr>
                <w:rFonts w:ascii="Arial" w:eastAsia="Times New Roman" w:hAnsi="Arial" w:cs="Arial"/>
                <w:sz w:val="20"/>
                <w:szCs w:val="20"/>
              </w:rPr>
              <w:t>Fortalecimiento de capacidades en el seguimiento, evaluación y gestión del conocimiento de intervenciones de forma satisfactoria dirigido a servidores de las Autoridades Regionales Forestales y de Fauna Silvestre</w:t>
            </w:r>
          </w:p>
        </w:tc>
        <w:tc>
          <w:tcPr>
            <w:tcW w:w="2268" w:type="dxa"/>
          </w:tcPr>
          <w:p w14:paraId="286C497D" w14:textId="7CB66E4D"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Times New Roman" w:hAnsi="Arial" w:cs="Arial"/>
                <w:sz w:val="20"/>
                <w:szCs w:val="20"/>
              </w:rPr>
              <w:t>Servicio Nacional Forestal y de Fauna Silvestre - SERFOR</w:t>
            </w:r>
          </w:p>
        </w:tc>
        <w:tc>
          <w:tcPr>
            <w:tcW w:w="2410" w:type="dxa"/>
          </w:tcPr>
          <w:p w14:paraId="5D4C0D83" w14:textId="053CCD14"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Times New Roman" w:hAnsi="Arial" w:cs="Arial"/>
                <w:sz w:val="20"/>
                <w:szCs w:val="20"/>
              </w:rPr>
              <w:t>Autoridades Regionales Forestales y de Fauna Silvestre</w:t>
            </w:r>
          </w:p>
        </w:tc>
      </w:tr>
      <w:tr w:rsidR="005B0BE8" w:rsidRPr="0020551C" w14:paraId="43E55030" w14:textId="77777777" w:rsidTr="005976BF">
        <w:tc>
          <w:tcPr>
            <w:tcW w:w="1049" w:type="dxa"/>
          </w:tcPr>
          <w:p w14:paraId="5A18B3EC" w14:textId="325D711B"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S.3.2.1.</w:t>
            </w:r>
          </w:p>
        </w:tc>
        <w:tc>
          <w:tcPr>
            <w:tcW w:w="2536" w:type="dxa"/>
          </w:tcPr>
          <w:p w14:paraId="00BB4E8A" w14:textId="54522254"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OP3. Fortalecer la gobernanza forestal y de fauna silvestre</w:t>
            </w:r>
          </w:p>
        </w:tc>
        <w:tc>
          <w:tcPr>
            <w:tcW w:w="2681" w:type="dxa"/>
          </w:tcPr>
          <w:p w14:paraId="2CC0A387" w14:textId="70FA8C29"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L.3.2 Desarrollar programas orientados a la mejora de la gestión y aprovechamiento sostenible de los recursos forestales y de fauna silvestre en pueblos indígenas u originarios (comunidades campesinas, comunidades nativas, entre otros)</w:t>
            </w:r>
          </w:p>
        </w:tc>
        <w:tc>
          <w:tcPr>
            <w:tcW w:w="3085" w:type="dxa"/>
          </w:tcPr>
          <w:p w14:paraId="754E5000" w14:textId="7C28FFB7"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Fortalecimiento de capacidades del manejo forestal comunitario como estrategia de adaptación y mitigación al cambio climático con pertinencia cultural dirigido a las comunidades nativas y comunidades campesinas</w:t>
            </w:r>
          </w:p>
        </w:tc>
        <w:tc>
          <w:tcPr>
            <w:tcW w:w="2268" w:type="dxa"/>
          </w:tcPr>
          <w:p w14:paraId="58601329" w14:textId="1FF49F79"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Servicio Nacional Forestal y de Fauna Silvestre - SERFOR</w:t>
            </w:r>
          </w:p>
        </w:tc>
        <w:tc>
          <w:tcPr>
            <w:tcW w:w="2410" w:type="dxa"/>
          </w:tcPr>
          <w:p w14:paraId="78CBF790" w14:textId="43A109C7"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Comunidades nativas y comunidades campesinas</w:t>
            </w:r>
          </w:p>
        </w:tc>
      </w:tr>
      <w:tr w:rsidR="005B0BE8" w:rsidRPr="0020551C" w14:paraId="7D0E4698" w14:textId="77777777" w:rsidTr="005976BF">
        <w:tc>
          <w:tcPr>
            <w:tcW w:w="1049" w:type="dxa"/>
          </w:tcPr>
          <w:p w14:paraId="4AB9609A" w14:textId="0DB02F04" w:rsidR="005B0BE8" w:rsidRPr="0020551C" w:rsidRDefault="005B0BE8" w:rsidP="005B0BE8">
            <w:pPr>
              <w:pStyle w:val="Prrafodelista"/>
              <w:tabs>
                <w:tab w:val="left" w:pos="3375"/>
              </w:tabs>
              <w:ind w:left="0"/>
              <w:jc w:val="both"/>
              <w:rPr>
                <w:rFonts w:ascii="Arial" w:eastAsia="Arial Narrow" w:hAnsi="Arial" w:cs="Arial"/>
                <w:sz w:val="20"/>
                <w:szCs w:val="20"/>
              </w:rPr>
            </w:pPr>
            <w:r w:rsidRPr="0020551C">
              <w:rPr>
                <w:rFonts w:ascii="Arial" w:eastAsia="Arial Narrow" w:hAnsi="Arial" w:cs="Arial"/>
                <w:sz w:val="20"/>
                <w:szCs w:val="20"/>
              </w:rPr>
              <w:lastRenderedPageBreak/>
              <w:t>S3.2.2</w:t>
            </w:r>
          </w:p>
        </w:tc>
        <w:tc>
          <w:tcPr>
            <w:tcW w:w="2536" w:type="dxa"/>
            <w:vAlign w:val="center"/>
          </w:tcPr>
          <w:p w14:paraId="44BBCD2F" w14:textId="07F1E4C0" w:rsidR="005B0BE8" w:rsidRPr="0020551C" w:rsidRDefault="005B0BE8" w:rsidP="005B0BE8">
            <w:pPr>
              <w:pStyle w:val="Prrafodelista"/>
              <w:tabs>
                <w:tab w:val="left" w:pos="3375"/>
              </w:tabs>
              <w:ind w:left="0"/>
              <w:jc w:val="both"/>
              <w:rPr>
                <w:rFonts w:ascii="Arial" w:eastAsia="Arial Narrow" w:hAnsi="Arial" w:cs="Arial"/>
                <w:sz w:val="20"/>
                <w:szCs w:val="20"/>
              </w:rPr>
            </w:pPr>
            <w:r w:rsidRPr="0020551C">
              <w:rPr>
                <w:rFonts w:ascii="Arial" w:eastAsia="Arial Narrow" w:hAnsi="Arial" w:cs="Arial"/>
                <w:sz w:val="20"/>
                <w:szCs w:val="20"/>
              </w:rPr>
              <w:t>OP3 Fortalecer la gobernanza forestal y de fauna silvestre</w:t>
            </w:r>
          </w:p>
        </w:tc>
        <w:tc>
          <w:tcPr>
            <w:tcW w:w="2681" w:type="dxa"/>
          </w:tcPr>
          <w:p w14:paraId="73BB6AB9" w14:textId="0BCC939A" w:rsidR="005B0BE8" w:rsidRPr="0020551C" w:rsidRDefault="005B0BE8" w:rsidP="005B0BE8">
            <w:pPr>
              <w:pStyle w:val="Prrafodelista"/>
              <w:tabs>
                <w:tab w:val="left" w:pos="3375"/>
              </w:tabs>
              <w:ind w:left="0"/>
              <w:jc w:val="both"/>
              <w:rPr>
                <w:rFonts w:ascii="Arial" w:eastAsia="Arial Narrow" w:hAnsi="Arial" w:cs="Arial"/>
                <w:sz w:val="20"/>
                <w:szCs w:val="20"/>
              </w:rPr>
            </w:pPr>
            <w:r w:rsidRPr="0020551C">
              <w:rPr>
                <w:rFonts w:ascii="Arial" w:eastAsia="Arial Narrow" w:hAnsi="Arial" w:cs="Arial"/>
                <w:sz w:val="20"/>
                <w:szCs w:val="20"/>
              </w:rPr>
              <w:t>L 3.2 Desarrollar programas orientados a la mejora de la gestión y aprovechamiento sostenible de los recursos forestales y de fauna silvestre en pueblos indígenas u originarios (comunidades campesinas, comunidades nativas, entre otros)</w:t>
            </w:r>
          </w:p>
        </w:tc>
        <w:tc>
          <w:tcPr>
            <w:tcW w:w="3085" w:type="dxa"/>
          </w:tcPr>
          <w:p w14:paraId="77FA3590" w14:textId="545F2B7D" w:rsidR="005B0BE8" w:rsidRPr="0020551C" w:rsidRDefault="00932163" w:rsidP="005B0BE8">
            <w:pPr>
              <w:pStyle w:val="Prrafodelista"/>
              <w:tabs>
                <w:tab w:val="left" w:pos="3375"/>
              </w:tabs>
              <w:ind w:left="0"/>
              <w:jc w:val="both"/>
              <w:rPr>
                <w:rFonts w:ascii="Arial" w:eastAsia="Arial Narrow" w:hAnsi="Arial" w:cs="Arial"/>
                <w:sz w:val="20"/>
                <w:szCs w:val="20"/>
              </w:rPr>
            </w:pPr>
            <w:r w:rsidRPr="008A26D2">
              <w:rPr>
                <w:rFonts w:ascii="Arial" w:eastAsia="Arial Narrow" w:hAnsi="Arial" w:cs="Arial"/>
                <w:sz w:val="20"/>
                <w:szCs w:val="20"/>
              </w:rPr>
              <w:t>Otorgamiento de incentivos para la conservación de los ecosistemas de forma fiable dirigido a comunidades campesinas y nativas tituladas, pequeños productores y otros usuarios del bosque</w:t>
            </w:r>
          </w:p>
        </w:tc>
        <w:tc>
          <w:tcPr>
            <w:tcW w:w="2268" w:type="dxa"/>
          </w:tcPr>
          <w:p w14:paraId="54E5C6FA" w14:textId="7320C39E" w:rsidR="005B0BE8" w:rsidRPr="0020551C" w:rsidRDefault="005B0BE8" w:rsidP="005B0BE8">
            <w:pPr>
              <w:pStyle w:val="Prrafodelista"/>
              <w:tabs>
                <w:tab w:val="left" w:pos="3375"/>
              </w:tabs>
              <w:ind w:left="0"/>
              <w:jc w:val="both"/>
              <w:rPr>
                <w:rFonts w:ascii="Arial" w:eastAsia="Arial Narrow" w:hAnsi="Arial" w:cs="Arial"/>
                <w:sz w:val="20"/>
                <w:szCs w:val="20"/>
              </w:rPr>
            </w:pPr>
            <w:r w:rsidRPr="0020551C">
              <w:rPr>
                <w:rFonts w:ascii="Arial" w:hAnsi="Arial" w:cs="Arial"/>
                <w:sz w:val="20"/>
                <w:szCs w:val="20"/>
              </w:rPr>
              <w:t>Programa Nacional de Conservación de Bosques para la Mitigación del Cambio Climático</w:t>
            </w:r>
            <w:r w:rsidRPr="0020551C">
              <w:rPr>
                <w:rFonts w:ascii="Arial" w:eastAsia="Arial Narrow" w:hAnsi="Arial" w:cs="Arial"/>
                <w:sz w:val="20"/>
                <w:szCs w:val="20"/>
              </w:rPr>
              <w:t xml:space="preserve"> del Ministerio del Ambiente – MINAM</w:t>
            </w:r>
          </w:p>
        </w:tc>
        <w:tc>
          <w:tcPr>
            <w:tcW w:w="2410" w:type="dxa"/>
          </w:tcPr>
          <w:p w14:paraId="0E0F53CB" w14:textId="08A2D2EA" w:rsidR="005B0BE8" w:rsidRPr="0020551C" w:rsidRDefault="00932163" w:rsidP="005B0BE8">
            <w:pPr>
              <w:pStyle w:val="Prrafodelista"/>
              <w:tabs>
                <w:tab w:val="left" w:pos="3375"/>
              </w:tabs>
              <w:ind w:left="0"/>
              <w:jc w:val="both"/>
              <w:rPr>
                <w:rFonts w:ascii="Arial" w:eastAsia="Arial Narrow" w:hAnsi="Arial" w:cs="Arial"/>
                <w:sz w:val="20"/>
                <w:szCs w:val="20"/>
              </w:rPr>
            </w:pPr>
            <w:r w:rsidRPr="008A26D2">
              <w:rPr>
                <w:rFonts w:ascii="Arial" w:eastAsia="Arial Narrow" w:hAnsi="Arial" w:cs="Arial"/>
                <w:sz w:val="20"/>
                <w:szCs w:val="20"/>
              </w:rPr>
              <w:t>Comunidades nativas y campesinas tituladas, pequeños productores y otros usuarios del bosque</w:t>
            </w:r>
          </w:p>
        </w:tc>
      </w:tr>
      <w:tr w:rsidR="005B0BE8" w:rsidRPr="0020551C" w14:paraId="0624C1B3" w14:textId="77777777" w:rsidTr="005976BF">
        <w:tc>
          <w:tcPr>
            <w:tcW w:w="1049" w:type="dxa"/>
          </w:tcPr>
          <w:p w14:paraId="479922E9" w14:textId="72B67019"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S3.2.3</w:t>
            </w:r>
          </w:p>
        </w:tc>
        <w:tc>
          <w:tcPr>
            <w:tcW w:w="2536" w:type="dxa"/>
            <w:vAlign w:val="center"/>
          </w:tcPr>
          <w:p w14:paraId="58DD2D21" w14:textId="4A180B75"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OP3 Fortalecer la gobernanza forestal y de fauna silvestre</w:t>
            </w:r>
          </w:p>
        </w:tc>
        <w:tc>
          <w:tcPr>
            <w:tcW w:w="2681" w:type="dxa"/>
          </w:tcPr>
          <w:p w14:paraId="38194379" w14:textId="177C6E75"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L 3.2 Desarrollar programas orientados a la mejora de la gestión y aprovechamiento sostenible de los recursos forestales y de fauna silvestre en pueblos indígenas u originarios (comunidades campesinas, comunidades nativas, entre otros)</w:t>
            </w:r>
          </w:p>
        </w:tc>
        <w:tc>
          <w:tcPr>
            <w:tcW w:w="3085" w:type="dxa"/>
          </w:tcPr>
          <w:p w14:paraId="3C3E55CB" w14:textId="0F54DD6A" w:rsidR="005B0BE8" w:rsidRPr="0020551C" w:rsidRDefault="00932163" w:rsidP="005B0BE8">
            <w:pPr>
              <w:pStyle w:val="Prrafodelista"/>
              <w:tabs>
                <w:tab w:val="left" w:pos="3375"/>
              </w:tabs>
              <w:ind w:left="0"/>
              <w:jc w:val="both"/>
              <w:rPr>
                <w:rFonts w:ascii="Arial" w:eastAsia="Arial Narrow" w:hAnsi="Arial" w:cs="Arial"/>
                <w:b/>
              </w:rPr>
            </w:pPr>
            <w:r w:rsidRPr="008A26D2">
              <w:rPr>
                <w:rFonts w:ascii="Arial" w:eastAsia="Arial Narrow" w:hAnsi="Arial" w:cs="Arial"/>
                <w:sz w:val="20"/>
                <w:szCs w:val="20"/>
              </w:rPr>
              <w:t>Fortalecimiento de capacidades para la formulación e implementación de programas de capacitación de forma satisfactoria dirigido a las Unidades Técnicas de Manejo Forestal Comunitario</w:t>
            </w:r>
          </w:p>
        </w:tc>
        <w:tc>
          <w:tcPr>
            <w:tcW w:w="2268" w:type="dxa"/>
          </w:tcPr>
          <w:p w14:paraId="3E6E289C" w14:textId="1D8BE3F8"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Servicio Nacional Forestal y de Fauna Silvestre - SERFOR</w:t>
            </w:r>
          </w:p>
        </w:tc>
        <w:tc>
          <w:tcPr>
            <w:tcW w:w="2410" w:type="dxa"/>
          </w:tcPr>
          <w:p w14:paraId="2318B6AD" w14:textId="43C6AF83"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Unidades Técnicas de Manejo Forestal Comunitario</w:t>
            </w:r>
          </w:p>
        </w:tc>
      </w:tr>
      <w:tr w:rsidR="005B0BE8" w:rsidRPr="0020551C" w14:paraId="3138CBAC" w14:textId="77777777" w:rsidTr="005976BF">
        <w:tc>
          <w:tcPr>
            <w:tcW w:w="1049" w:type="dxa"/>
          </w:tcPr>
          <w:p w14:paraId="4B4E1D5A" w14:textId="73D499E4"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S3.2.4</w:t>
            </w:r>
          </w:p>
        </w:tc>
        <w:tc>
          <w:tcPr>
            <w:tcW w:w="2536" w:type="dxa"/>
            <w:vAlign w:val="center"/>
          </w:tcPr>
          <w:p w14:paraId="0EC8DC77" w14:textId="6EFA10FB"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OP3 Fortalecer la gobernanza forestal y de fauna silvestre</w:t>
            </w:r>
          </w:p>
        </w:tc>
        <w:tc>
          <w:tcPr>
            <w:tcW w:w="2681" w:type="dxa"/>
          </w:tcPr>
          <w:p w14:paraId="4ABE81BE" w14:textId="0A6A5C61"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L 3.2 Desarrollar programas orientados a la mejora de la gestión y aprovechamiento sostenible de los recursos forestales y de fauna silvestre en pueblos indígenas u originarios (comunidades campesinas, comunidades nativas, entre otros)</w:t>
            </w:r>
          </w:p>
        </w:tc>
        <w:tc>
          <w:tcPr>
            <w:tcW w:w="3085" w:type="dxa"/>
          </w:tcPr>
          <w:p w14:paraId="09843EED" w14:textId="591BAE05" w:rsidR="005B0BE8" w:rsidRPr="0020551C" w:rsidRDefault="00932163" w:rsidP="005B0BE8">
            <w:pPr>
              <w:pStyle w:val="Prrafodelista"/>
              <w:tabs>
                <w:tab w:val="left" w:pos="3375"/>
              </w:tabs>
              <w:ind w:left="0"/>
              <w:jc w:val="both"/>
              <w:rPr>
                <w:rFonts w:ascii="Arial" w:eastAsia="Arial Narrow" w:hAnsi="Arial" w:cs="Arial"/>
                <w:b/>
              </w:rPr>
            </w:pPr>
            <w:r w:rsidRPr="008A26D2">
              <w:rPr>
                <w:rFonts w:ascii="Arial" w:eastAsia="Times New Roman" w:hAnsi="Arial" w:cs="Arial"/>
                <w:sz w:val="20"/>
                <w:szCs w:val="20"/>
              </w:rPr>
              <w:t>Vigilancia de las reservas indígenas y territoriales de manera permanente para la protección de los pueblos indígenas en situación de aislamiento y situación de contacto inicial (PIACI) de la amazonia peruana</w:t>
            </w:r>
          </w:p>
        </w:tc>
        <w:tc>
          <w:tcPr>
            <w:tcW w:w="2268" w:type="dxa"/>
          </w:tcPr>
          <w:p w14:paraId="316EC8F7" w14:textId="31561352"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hAnsi="Arial" w:cs="Arial"/>
                <w:sz w:val="20"/>
                <w:szCs w:val="20"/>
              </w:rPr>
              <w:t>Ministerio de Cultura</w:t>
            </w:r>
          </w:p>
        </w:tc>
        <w:tc>
          <w:tcPr>
            <w:tcW w:w="2410" w:type="dxa"/>
          </w:tcPr>
          <w:p w14:paraId="02206E6C" w14:textId="75C49F60"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hAnsi="Arial" w:cs="Arial"/>
                <w:sz w:val="20"/>
                <w:szCs w:val="20"/>
              </w:rPr>
              <w:t>Pueblos indígenas en situación de aislamiento y situación de contacto inicial (PIACI)</w:t>
            </w:r>
          </w:p>
        </w:tc>
      </w:tr>
      <w:tr w:rsidR="005B0BE8" w:rsidRPr="0020551C" w14:paraId="2D33B279" w14:textId="77777777" w:rsidTr="005976BF">
        <w:tc>
          <w:tcPr>
            <w:tcW w:w="1049" w:type="dxa"/>
          </w:tcPr>
          <w:p w14:paraId="0EAA6B97" w14:textId="34085D50"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S3.2.5</w:t>
            </w:r>
          </w:p>
        </w:tc>
        <w:tc>
          <w:tcPr>
            <w:tcW w:w="2536" w:type="dxa"/>
            <w:vAlign w:val="center"/>
          </w:tcPr>
          <w:p w14:paraId="3AEE2DDD" w14:textId="4C49CE38"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OP3 Fortalecer la gobernanza forestal y de fauna silvestre</w:t>
            </w:r>
          </w:p>
        </w:tc>
        <w:tc>
          <w:tcPr>
            <w:tcW w:w="2681" w:type="dxa"/>
          </w:tcPr>
          <w:p w14:paraId="5E623EFD" w14:textId="7FC7DA82" w:rsidR="005B0BE8" w:rsidRPr="00846D49" w:rsidRDefault="005B0BE8" w:rsidP="005B0BE8">
            <w:pPr>
              <w:pStyle w:val="Prrafodelista"/>
              <w:tabs>
                <w:tab w:val="left" w:pos="3375"/>
              </w:tabs>
              <w:ind w:left="0"/>
              <w:jc w:val="both"/>
              <w:rPr>
                <w:rFonts w:ascii="Arial" w:eastAsia="Arial Narrow" w:hAnsi="Arial" w:cs="Arial"/>
                <w:b/>
              </w:rPr>
            </w:pPr>
            <w:r w:rsidRPr="00846D49">
              <w:rPr>
                <w:rFonts w:ascii="Arial" w:eastAsia="Arial Narrow" w:hAnsi="Arial" w:cs="Arial"/>
                <w:sz w:val="20"/>
                <w:szCs w:val="20"/>
              </w:rPr>
              <w:t xml:space="preserve">L 3.2 Desarrollar programas orientados a la mejora de la gestión y aprovechamiento </w:t>
            </w:r>
            <w:r w:rsidRPr="00846D49">
              <w:rPr>
                <w:rFonts w:ascii="Arial" w:eastAsia="Arial Narrow" w:hAnsi="Arial" w:cs="Arial"/>
                <w:sz w:val="20"/>
                <w:szCs w:val="20"/>
              </w:rPr>
              <w:lastRenderedPageBreak/>
              <w:t>sostenible de los recursos forestales y de fauna silvestre en pueblos indígenas u originarios (comunidades campesinas, comunidades nativas, entre otros)</w:t>
            </w:r>
          </w:p>
        </w:tc>
        <w:tc>
          <w:tcPr>
            <w:tcW w:w="3085" w:type="dxa"/>
          </w:tcPr>
          <w:p w14:paraId="7A176997" w14:textId="28A794B3" w:rsidR="005B0BE8" w:rsidRPr="00846D49" w:rsidRDefault="00932163" w:rsidP="005B0BE8">
            <w:pPr>
              <w:pStyle w:val="Prrafodelista"/>
              <w:tabs>
                <w:tab w:val="left" w:pos="3375"/>
              </w:tabs>
              <w:ind w:left="0"/>
              <w:jc w:val="both"/>
              <w:rPr>
                <w:rFonts w:ascii="Arial" w:eastAsia="Arial Narrow" w:hAnsi="Arial" w:cs="Arial"/>
                <w:b/>
              </w:rPr>
            </w:pPr>
            <w:r w:rsidRPr="00846D49">
              <w:rPr>
                <w:rFonts w:ascii="Arial" w:eastAsia="Arial Narrow" w:hAnsi="Arial" w:cs="Arial"/>
                <w:sz w:val="20"/>
                <w:szCs w:val="20"/>
              </w:rPr>
              <w:lastRenderedPageBreak/>
              <w:t xml:space="preserve">Fortalecimiento de capacidades para la creación de Unidades Técnicas de Manejo Forestal </w:t>
            </w:r>
            <w:r w:rsidRPr="00846D49">
              <w:rPr>
                <w:rFonts w:ascii="Arial" w:eastAsia="Arial Narrow" w:hAnsi="Arial" w:cs="Arial"/>
                <w:sz w:val="20"/>
                <w:szCs w:val="20"/>
              </w:rPr>
              <w:lastRenderedPageBreak/>
              <w:t>Comunitario de forma satisfactoria dirigido a las Autoridades Regionales Forestales y de Fauna Silvestre</w:t>
            </w:r>
          </w:p>
        </w:tc>
        <w:tc>
          <w:tcPr>
            <w:tcW w:w="2268" w:type="dxa"/>
          </w:tcPr>
          <w:p w14:paraId="6F3AC575" w14:textId="3799A1F5" w:rsidR="005B0BE8" w:rsidRPr="00846D49" w:rsidRDefault="005B0BE8" w:rsidP="005B0BE8">
            <w:pPr>
              <w:pStyle w:val="Prrafodelista"/>
              <w:tabs>
                <w:tab w:val="left" w:pos="3375"/>
              </w:tabs>
              <w:ind w:left="0"/>
              <w:jc w:val="both"/>
              <w:rPr>
                <w:rFonts w:ascii="Arial" w:eastAsia="Arial Narrow" w:hAnsi="Arial" w:cs="Arial"/>
                <w:b/>
              </w:rPr>
            </w:pPr>
            <w:r w:rsidRPr="00846D49">
              <w:rPr>
                <w:rFonts w:ascii="Arial" w:eastAsia="Arial Narrow" w:hAnsi="Arial" w:cs="Arial"/>
                <w:sz w:val="20"/>
                <w:szCs w:val="20"/>
              </w:rPr>
              <w:lastRenderedPageBreak/>
              <w:t>Servicio Nacional Forestal y de Fauna Silvestre - SERFOR</w:t>
            </w:r>
          </w:p>
        </w:tc>
        <w:tc>
          <w:tcPr>
            <w:tcW w:w="2410" w:type="dxa"/>
          </w:tcPr>
          <w:p w14:paraId="3CB6003B" w14:textId="49D94B04" w:rsidR="005B0BE8" w:rsidRPr="00846D49" w:rsidRDefault="005B0BE8" w:rsidP="005B0BE8">
            <w:pPr>
              <w:pStyle w:val="Prrafodelista"/>
              <w:tabs>
                <w:tab w:val="left" w:pos="3375"/>
              </w:tabs>
              <w:ind w:left="0"/>
              <w:jc w:val="both"/>
              <w:rPr>
                <w:rFonts w:ascii="Arial" w:eastAsia="Arial Narrow" w:hAnsi="Arial" w:cs="Arial"/>
                <w:b/>
              </w:rPr>
            </w:pPr>
            <w:r w:rsidRPr="00846D49">
              <w:rPr>
                <w:rFonts w:ascii="Arial" w:eastAsia="Arial Narrow" w:hAnsi="Arial" w:cs="Arial"/>
                <w:sz w:val="20"/>
                <w:szCs w:val="20"/>
              </w:rPr>
              <w:t>Autoridades Regionales Forestales y de Fauna Silvestre</w:t>
            </w:r>
          </w:p>
        </w:tc>
      </w:tr>
      <w:tr w:rsidR="005B0BE8" w:rsidRPr="0020551C" w14:paraId="4659B68F" w14:textId="77777777" w:rsidTr="005976BF">
        <w:tc>
          <w:tcPr>
            <w:tcW w:w="1049" w:type="dxa"/>
          </w:tcPr>
          <w:p w14:paraId="371E036B" w14:textId="764DE7C6"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S.3.2.6.</w:t>
            </w:r>
          </w:p>
        </w:tc>
        <w:tc>
          <w:tcPr>
            <w:tcW w:w="2536" w:type="dxa"/>
            <w:vAlign w:val="center"/>
          </w:tcPr>
          <w:p w14:paraId="1575EDA6" w14:textId="2B6EA672"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OP3 Fortalecer la gobernanza forestal y de fauna silvestre</w:t>
            </w:r>
          </w:p>
        </w:tc>
        <w:tc>
          <w:tcPr>
            <w:tcW w:w="2681" w:type="dxa"/>
          </w:tcPr>
          <w:p w14:paraId="682AC19C" w14:textId="4EF42E44" w:rsidR="005B0BE8" w:rsidRPr="00846D49" w:rsidRDefault="005B0BE8" w:rsidP="005B0BE8">
            <w:pPr>
              <w:pStyle w:val="Prrafodelista"/>
              <w:tabs>
                <w:tab w:val="left" w:pos="3375"/>
              </w:tabs>
              <w:ind w:left="0"/>
              <w:jc w:val="both"/>
              <w:rPr>
                <w:rFonts w:ascii="Arial" w:eastAsia="Arial Narrow" w:hAnsi="Arial" w:cs="Arial"/>
                <w:b/>
              </w:rPr>
            </w:pPr>
            <w:r w:rsidRPr="00846D49">
              <w:rPr>
                <w:rFonts w:ascii="Arial" w:eastAsia="Arial Narrow" w:hAnsi="Arial" w:cs="Arial"/>
                <w:sz w:val="20"/>
                <w:szCs w:val="20"/>
              </w:rPr>
              <w:t>L 3.2 Desarrollar programas orientados a la mejora de la gestión y aprovechamiento sostenible de los recursos forestales y de fauna silvestre en pueblos indígenas u originarios (comunidades campesinas, comunidades nativas, entre otros)</w:t>
            </w:r>
          </w:p>
        </w:tc>
        <w:tc>
          <w:tcPr>
            <w:tcW w:w="3085" w:type="dxa"/>
          </w:tcPr>
          <w:p w14:paraId="4B526260" w14:textId="29B46DB2" w:rsidR="005B0BE8" w:rsidRPr="00846D49" w:rsidRDefault="00932163" w:rsidP="005B0BE8">
            <w:pPr>
              <w:pStyle w:val="Prrafodelista"/>
              <w:tabs>
                <w:tab w:val="left" w:pos="3375"/>
              </w:tabs>
              <w:ind w:left="0"/>
              <w:jc w:val="both"/>
              <w:rPr>
                <w:rFonts w:ascii="Arial" w:eastAsia="Arial Narrow" w:hAnsi="Arial" w:cs="Arial"/>
                <w:b/>
              </w:rPr>
            </w:pPr>
            <w:r w:rsidRPr="00846D49">
              <w:rPr>
                <w:rFonts w:ascii="Arial" w:eastAsia="Arial Narrow" w:hAnsi="Arial" w:cs="Arial"/>
                <w:sz w:val="20"/>
                <w:szCs w:val="20"/>
              </w:rPr>
              <w:t>Fortalecimiento de capacidades en la gestión comunitaria de los recursos forestales y fauna silvestre con pertinencia cultural a pueblos indígenas u originarios</w:t>
            </w:r>
          </w:p>
        </w:tc>
        <w:tc>
          <w:tcPr>
            <w:tcW w:w="2268" w:type="dxa"/>
          </w:tcPr>
          <w:p w14:paraId="3294DB83" w14:textId="4B599ABD" w:rsidR="005B0BE8" w:rsidRPr="00846D49" w:rsidRDefault="005B0BE8" w:rsidP="005B0BE8">
            <w:pPr>
              <w:pStyle w:val="Prrafodelista"/>
              <w:tabs>
                <w:tab w:val="left" w:pos="3375"/>
              </w:tabs>
              <w:ind w:left="0"/>
              <w:jc w:val="both"/>
              <w:rPr>
                <w:rFonts w:ascii="Arial" w:eastAsia="Arial Narrow" w:hAnsi="Arial" w:cs="Arial"/>
                <w:b/>
              </w:rPr>
            </w:pPr>
            <w:r w:rsidRPr="00846D49">
              <w:rPr>
                <w:rFonts w:ascii="Arial" w:eastAsia="Arial Narrow" w:hAnsi="Arial" w:cs="Arial"/>
                <w:sz w:val="20"/>
                <w:szCs w:val="20"/>
              </w:rPr>
              <w:t>Servicio Nacional Forestal y de Fauna Silvestre – SERFOR</w:t>
            </w:r>
          </w:p>
        </w:tc>
        <w:tc>
          <w:tcPr>
            <w:tcW w:w="2410" w:type="dxa"/>
          </w:tcPr>
          <w:p w14:paraId="13B5F3E1" w14:textId="759E1AF5" w:rsidR="005B0BE8" w:rsidRPr="00846D49" w:rsidRDefault="005B0BE8" w:rsidP="005B0BE8">
            <w:pPr>
              <w:pStyle w:val="Prrafodelista"/>
              <w:tabs>
                <w:tab w:val="left" w:pos="3375"/>
              </w:tabs>
              <w:ind w:left="0"/>
              <w:jc w:val="both"/>
              <w:rPr>
                <w:rFonts w:ascii="Arial" w:eastAsia="Arial Narrow" w:hAnsi="Arial" w:cs="Arial"/>
                <w:b/>
              </w:rPr>
            </w:pPr>
            <w:r w:rsidRPr="00846D49">
              <w:rPr>
                <w:rFonts w:ascii="Arial" w:eastAsia="Arial Narrow" w:hAnsi="Arial" w:cs="Arial"/>
                <w:sz w:val="20"/>
                <w:szCs w:val="20"/>
              </w:rPr>
              <w:t>Pueblos indígenas u originarios</w:t>
            </w:r>
          </w:p>
          <w:p w14:paraId="1FDDAE00" w14:textId="166901FB" w:rsidR="005B0BE8" w:rsidRPr="00846D49" w:rsidRDefault="005B0BE8" w:rsidP="005B0BE8">
            <w:pPr>
              <w:jc w:val="both"/>
              <w:rPr>
                <w:rFonts w:ascii="Arial" w:hAnsi="Arial" w:cs="Arial"/>
              </w:rPr>
            </w:pPr>
          </w:p>
          <w:p w14:paraId="557DB4B4" w14:textId="528A31E9" w:rsidR="005B0BE8" w:rsidRPr="00846D49" w:rsidRDefault="005B0BE8" w:rsidP="005B0BE8">
            <w:pPr>
              <w:jc w:val="both"/>
              <w:rPr>
                <w:rFonts w:ascii="Arial" w:hAnsi="Arial" w:cs="Arial"/>
              </w:rPr>
            </w:pPr>
          </w:p>
          <w:p w14:paraId="1AA98D4A" w14:textId="77777777" w:rsidR="005B0BE8" w:rsidRPr="00846D49" w:rsidRDefault="005B0BE8" w:rsidP="005B0BE8">
            <w:pPr>
              <w:jc w:val="both"/>
              <w:rPr>
                <w:rFonts w:ascii="Arial" w:hAnsi="Arial" w:cs="Arial"/>
              </w:rPr>
            </w:pPr>
          </w:p>
        </w:tc>
      </w:tr>
      <w:tr w:rsidR="005B0BE8" w:rsidRPr="0020551C" w14:paraId="398238AB" w14:textId="77777777" w:rsidTr="005976BF">
        <w:tc>
          <w:tcPr>
            <w:tcW w:w="1049" w:type="dxa"/>
          </w:tcPr>
          <w:p w14:paraId="7D3BFD6D" w14:textId="11193D3E" w:rsidR="005B0BE8" w:rsidRPr="0020551C" w:rsidRDefault="005B0BE8" w:rsidP="005B0BE8">
            <w:pPr>
              <w:pStyle w:val="Prrafodelista"/>
              <w:tabs>
                <w:tab w:val="left" w:pos="3375"/>
              </w:tabs>
              <w:ind w:left="0"/>
              <w:jc w:val="both"/>
              <w:rPr>
                <w:rFonts w:ascii="Arial" w:eastAsia="Arial Narrow" w:hAnsi="Arial" w:cs="Arial"/>
                <w:sz w:val="20"/>
                <w:szCs w:val="20"/>
              </w:rPr>
            </w:pPr>
            <w:r w:rsidRPr="0020551C">
              <w:rPr>
                <w:rFonts w:ascii="Arial" w:eastAsia="Arial Narrow" w:hAnsi="Arial" w:cs="Arial"/>
                <w:sz w:val="20"/>
                <w:szCs w:val="20"/>
              </w:rPr>
              <w:t>S3.2.7</w:t>
            </w:r>
          </w:p>
        </w:tc>
        <w:tc>
          <w:tcPr>
            <w:tcW w:w="2536" w:type="dxa"/>
            <w:vAlign w:val="center"/>
          </w:tcPr>
          <w:p w14:paraId="017646D2" w14:textId="6F23B805" w:rsidR="005B0BE8" w:rsidRPr="0020551C" w:rsidRDefault="005B0BE8" w:rsidP="005B0BE8">
            <w:pPr>
              <w:pStyle w:val="Prrafodelista"/>
              <w:tabs>
                <w:tab w:val="left" w:pos="3375"/>
              </w:tabs>
              <w:ind w:left="0"/>
              <w:jc w:val="both"/>
              <w:rPr>
                <w:rFonts w:ascii="Arial" w:eastAsia="Arial Narrow" w:hAnsi="Arial" w:cs="Arial"/>
                <w:sz w:val="20"/>
                <w:szCs w:val="20"/>
              </w:rPr>
            </w:pPr>
            <w:r w:rsidRPr="0020551C">
              <w:rPr>
                <w:rFonts w:ascii="Arial" w:eastAsia="Arial Narrow" w:hAnsi="Arial" w:cs="Arial"/>
                <w:sz w:val="20"/>
                <w:szCs w:val="20"/>
              </w:rPr>
              <w:t>OP3 Fortalecer la gobernanza forestal y de fauna silvestre</w:t>
            </w:r>
          </w:p>
        </w:tc>
        <w:tc>
          <w:tcPr>
            <w:tcW w:w="2681" w:type="dxa"/>
          </w:tcPr>
          <w:p w14:paraId="3187A275" w14:textId="48577DDE" w:rsidR="005B0BE8" w:rsidRPr="00846D49" w:rsidRDefault="005B0BE8" w:rsidP="005B0BE8">
            <w:pPr>
              <w:pStyle w:val="Prrafodelista"/>
              <w:tabs>
                <w:tab w:val="left" w:pos="3375"/>
              </w:tabs>
              <w:ind w:left="0"/>
              <w:jc w:val="both"/>
              <w:rPr>
                <w:rFonts w:ascii="Arial" w:eastAsia="Arial Narrow" w:hAnsi="Arial" w:cs="Arial"/>
                <w:sz w:val="20"/>
                <w:szCs w:val="20"/>
              </w:rPr>
            </w:pPr>
            <w:r w:rsidRPr="00846D49">
              <w:rPr>
                <w:rFonts w:ascii="Arial" w:eastAsia="Arial Narrow" w:hAnsi="Arial" w:cs="Arial"/>
                <w:sz w:val="20"/>
                <w:szCs w:val="20"/>
              </w:rPr>
              <w:t>L 3.2 Desarrollar programas orientados a la mejora de la gestión y aprovechamiento sostenible de los recursos forestales y de fauna silvestre en pueblos indígenas u originarios (comunidades campesinas, comunidades nativas, entre otros)</w:t>
            </w:r>
          </w:p>
        </w:tc>
        <w:tc>
          <w:tcPr>
            <w:tcW w:w="3085" w:type="dxa"/>
          </w:tcPr>
          <w:p w14:paraId="3B7036E0" w14:textId="174039E9" w:rsidR="005B0BE8" w:rsidRPr="00846D49" w:rsidRDefault="00932163" w:rsidP="005B0BE8">
            <w:pPr>
              <w:pStyle w:val="Prrafodelista"/>
              <w:tabs>
                <w:tab w:val="left" w:pos="3375"/>
              </w:tabs>
              <w:ind w:left="0"/>
              <w:jc w:val="both"/>
              <w:rPr>
                <w:rFonts w:ascii="Arial" w:eastAsia="Arial Narrow" w:hAnsi="Arial" w:cs="Arial"/>
                <w:sz w:val="20"/>
                <w:szCs w:val="20"/>
              </w:rPr>
            </w:pPr>
            <w:r w:rsidRPr="00846D49">
              <w:rPr>
                <w:rFonts w:ascii="Arial" w:eastAsia="Arial Narrow" w:hAnsi="Arial" w:cs="Arial"/>
                <w:sz w:val="20"/>
                <w:szCs w:val="20"/>
              </w:rPr>
              <w:t>Otorgamiento de contratos de administración en Áreas Naturales Protegidas del Sistema Nacional de Áreas Naturales Protegidas de forma oportuna para actores estratégicos vinculados a la conservación de la diversidad biológica</w:t>
            </w:r>
          </w:p>
        </w:tc>
        <w:tc>
          <w:tcPr>
            <w:tcW w:w="2268" w:type="dxa"/>
          </w:tcPr>
          <w:p w14:paraId="5AF60295" w14:textId="2BCD1E49" w:rsidR="005B0BE8" w:rsidRPr="00846D49" w:rsidRDefault="005B0BE8" w:rsidP="005B0BE8">
            <w:pPr>
              <w:pStyle w:val="Prrafodelista"/>
              <w:tabs>
                <w:tab w:val="left" w:pos="3375"/>
              </w:tabs>
              <w:ind w:left="0"/>
              <w:jc w:val="both"/>
              <w:rPr>
                <w:rFonts w:ascii="Arial" w:eastAsia="Arial Narrow" w:hAnsi="Arial" w:cs="Arial"/>
                <w:sz w:val="20"/>
                <w:szCs w:val="20"/>
                <w:lang w:val="pt-PT"/>
              </w:rPr>
            </w:pPr>
            <w:r w:rsidRPr="00846D49">
              <w:rPr>
                <w:rFonts w:ascii="Arial" w:eastAsia="Arial Narrow" w:hAnsi="Arial" w:cs="Arial"/>
                <w:sz w:val="20"/>
                <w:szCs w:val="20"/>
                <w:lang w:val="pt-BR"/>
              </w:rPr>
              <w:t>Servicio Nacional de Áreas Naturales Protegidas - SERNANP</w:t>
            </w:r>
          </w:p>
        </w:tc>
        <w:tc>
          <w:tcPr>
            <w:tcW w:w="2410" w:type="dxa"/>
          </w:tcPr>
          <w:p w14:paraId="2ACDF023" w14:textId="22C801CA" w:rsidR="005B0BE8" w:rsidRPr="00846D49" w:rsidRDefault="005B0BE8" w:rsidP="005B0BE8">
            <w:pPr>
              <w:pStyle w:val="Prrafodelista"/>
              <w:tabs>
                <w:tab w:val="left" w:pos="3375"/>
              </w:tabs>
              <w:ind w:left="0"/>
              <w:jc w:val="both"/>
              <w:rPr>
                <w:rFonts w:ascii="Arial" w:eastAsia="Arial Narrow" w:hAnsi="Arial" w:cs="Arial"/>
                <w:sz w:val="20"/>
                <w:szCs w:val="20"/>
              </w:rPr>
            </w:pPr>
            <w:r w:rsidRPr="00846D49">
              <w:rPr>
                <w:rFonts w:ascii="Arial" w:eastAsia="Arial Narrow" w:hAnsi="Arial" w:cs="Arial"/>
                <w:sz w:val="20"/>
                <w:szCs w:val="20"/>
              </w:rPr>
              <w:t>Actores estratégicos</w:t>
            </w:r>
            <w:r w:rsidRPr="00846D49">
              <w:rPr>
                <w:rStyle w:val="Refdenotaalpie"/>
                <w:rFonts w:ascii="Arial" w:eastAsia="Arial Narrow" w:hAnsi="Arial" w:cs="Arial"/>
                <w:sz w:val="20"/>
                <w:szCs w:val="20"/>
              </w:rPr>
              <w:footnoteReference w:id="1"/>
            </w:r>
            <w:r w:rsidRPr="00846D49">
              <w:rPr>
                <w:rFonts w:ascii="Arial" w:eastAsia="Arial Narrow" w:hAnsi="Arial" w:cs="Arial"/>
                <w:sz w:val="20"/>
                <w:szCs w:val="20"/>
              </w:rPr>
              <w:t xml:space="preserve"> </w:t>
            </w:r>
            <w:r w:rsidRPr="00846D49">
              <w:rPr>
                <w:rFonts w:ascii="Arial" w:hAnsi="Arial" w:cs="Arial"/>
                <w:sz w:val="20"/>
                <w:szCs w:val="20"/>
                <w:shd w:val="clear" w:color="auto" w:fill="FFFFFF"/>
              </w:rPr>
              <w:t>vinculados a la conservación de la diversidad biológica</w:t>
            </w:r>
          </w:p>
        </w:tc>
      </w:tr>
      <w:tr w:rsidR="005B0BE8" w:rsidRPr="0020551C" w14:paraId="141009EA" w14:textId="77777777" w:rsidTr="005976BF">
        <w:tc>
          <w:tcPr>
            <w:tcW w:w="1049" w:type="dxa"/>
          </w:tcPr>
          <w:p w14:paraId="1AFC3743" w14:textId="0F59F74E"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lastRenderedPageBreak/>
              <w:t>S3.3.1</w:t>
            </w:r>
          </w:p>
        </w:tc>
        <w:tc>
          <w:tcPr>
            <w:tcW w:w="2536" w:type="dxa"/>
          </w:tcPr>
          <w:p w14:paraId="58E0C94C" w14:textId="00631FD6"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OP3 Fortalecer la gobernanza forestal y de fauna silvestre</w:t>
            </w:r>
          </w:p>
        </w:tc>
        <w:tc>
          <w:tcPr>
            <w:tcW w:w="2681" w:type="dxa"/>
          </w:tcPr>
          <w:p w14:paraId="42975F25" w14:textId="407658D0" w:rsidR="005B0BE8" w:rsidRPr="00846D49" w:rsidRDefault="005B0BE8" w:rsidP="005B0BE8">
            <w:pPr>
              <w:pStyle w:val="Prrafodelista"/>
              <w:tabs>
                <w:tab w:val="left" w:pos="3375"/>
              </w:tabs>
              <w:ind w:left="0"/>
              <w:jc w:val="both"/>
              <w:rPr>
                <w:rFonts w:ascii="Arial" w:eastAsia="Arial Narrow" w:hAnsi="Arial" w:cs="Arial"/>
                <w:b/>
              </w:rPr>
            </w:pPr>
            <w:r w:rsidRPr="00846D49">
              <w:rPr>
                <w:rFonts w:ascii="Arial" w:eastAsia="Arial Narrow" w:hAnsi="Arial" w:cs="Arial"/>
                <w:sz w:val="20"/>
                <w:szCs w:val="20"/>
              </w:rPr>
              <w:t xml:space="preserve">L3.3 Gestionar la información y el conocimiento en materia forestal y de fauna silvestre producido por los actores forestales y de fauna silvestre </w:t>
            </w:r>
          </w:p>
        </w:tc>
        <w:tc>
          <w:tcPr>
            <w:tcW w:w="3085" w:type="dxa"/>
          </w:tcPr>
          <w:p w14:paraId="4429F5EB" w14:textId="7995BC9E" w:rsidR="005B0BE8" w:rsidRPr="00846D49" w:rsidRDefault="002F5DAC" w:rsidP="005B0BE8">
            <w:pPr>
              <w:pStyle w:val="Prrafodelista"/>
              <w:tabs>
                <w:tab w:val="left" w:pos="3375"/>
              </w:tabs>
              <w:ind w:left="0"/>
              <w:jc w:val="both"/>
              <w:rPr>
                <w:rFonts w:ascii="Arial" w:eastAsia="Arial Narrow" w:hAnsi="Arial" w:cs="Arial"/>
                <w:b/>
              </w:rPr>
            </w:pPr>
            <w:r w:rsidRPr="00846D49">
              <w:rPr>
                <w:rFonts w:ascii="Arial" w:eastAsia="Arial Narrow" w:hAnsi="Arial" w:cs="Arial"/>
                <w:sz w:val="20"/>
                <w:szCs w:val="20"/>
              </w:rPr>
              <w:t>Sistematización de la información forestal y de fauna silvestre de forma oportuna para las Autoridades Regionales Forestales y de Fauna Silvestre</w:t>
            </w:r>
          </w:p>
        </w:tc>
        <w:tc>
          <w:tcPr>
            <w:tcW w:w="2268" w:type="dxa"/>
          </w:tcPr>
          <w:p w14:paraId="18CC0C4B" w14:textId="647DC382" w:rsidR="005B0BE8" w:rsidRPr="00846D49" w:rsidRDefault="005B0BE8" w:rsidP="005B0BE8">
            <w:pPr>
              <w:pStyle w:val="Prrafodelista"/>
              <w:tabs>
                <w:tab w:val="left" w:pos="3375"/>
              </w:tabs>
              <w:ind w:left="0"/>
              <w:jc w:val="both"/>
              <w:rPr>
                <w:rFonts w:ascii="Arial" w:eastAsia="Arial Narrow" w:hAnsi="Arial" w:cs="Arial"/>
                <w:b/>
              </w:rPr>
            </w:pPr>
            <w:r w:rsidRPr="00846D49">
              <w:rPr>
                <w:rFonts w:ascii="Arial" w:eastAsia="Arial Narrow" w:hAnsi="Arial" w:cs="Arial"/>
                <w:sz w:val="20"/>
                <w:szCs w:val="20"/>
              </w:rPr>
              <w:t>Servicio Nacional Forestal y de Fauna Silvestre – SERFOR</w:t>
            </w:r>
          </w:p>
        </w:tc>
        <w:tc>
          <w:tcPr>
            <w:tcW w:w="2410" w:type="dxa"/>
          </w:tcPr>
          <w:p w14:paraId="67005D81" w14:textId="17C0016C" w:rsidR="005B0BE8" w:rsidRPr="00846D49" w:rsidRDefault="002F5DAC" w:rsidP="005B0BE8">
            <w:pPr>
              <w:pStyle w:val="Prrafodelista"/>
              <w:tabs>
                <w:tab w:val="left" w:pos="3375"/>
              </w:tabs>
              <w:ind w:left="0"/>
              <w:jc w:val="both"/>
              <w:rPr>
                <w:rFonts w:ascii="Arial" w:eastAsia="Arial Narrow" w:hAnsi="Arial" w:cs="Arial"/>
                <w:b/>
              </w:rPr>
            </w:pPr>
            <w:r w:rsidRPr="00846D49">
              <w:rPr>
                <w:rFonts w:ascii="Arial" w:eastAsia="Arial Narrow" w:hAnsi="Arial" w:cs="Arial"/>
                <w:sz w:val="20"/>
                <w:szCs w:val="20"/>
              </w:rPr>
              <w:t>Autoridades Regionales</w:t>
            </w:r>
            <w:r w:rsidR="005B0BE8" w:rsidRPr="00846D49">
              <w:rPr>
                <w:rFonts w:ascii="Arial" w:eastAsia="Arial Narrow" w:hAnsi="Arial" w:cs="Arial"/>
                <w:sz w:val="20"/>
                <w:szCs w:val="20"/>
              </w:rPr>
              <w:t xml:space="preserve"> </w:t>
            </w:r>
            <w:r w:rsidRPr="00846D49">
              <w:rPr>
                <w:rFonts w:ascii="Arial" w:eastAsia="Arial Narrow" w:hAnsi="Arial" w:cs="Arial"/>
                <w:sz w:val="20"/>
                <w:szCs w:val="20"/>
              </w:rPr>
              <w:t>F</w:t>
            </w:r>
            <w:r w:rsidR="005B0BE8" w:rsidRPr="00846D49">
              <w:rPr>
                <w:rFonts w:ascii="Arial" w:eastAsia="Arial Narrow" w:hAnsi="Arial" w:cs="Arial"/>
                <w:sz w:val="20"/>
                <w:szCs w:val="20"/>
              </w:rPr>
              <w:t xml:space="preserve">orestales y de </w:t>
            </w:r>
            <w:r w:rsidRPr="00846D49">
              <w:rPr>
                <w:rFonts w:ascii="Arial" w:eastAsia="Arial Narrow" w:hAnsi="Arial" w:cs="Arial"/>
                <w:sz w:val="20"/>
                <w:szCs w:val="20"/>
              </w:rPr>
              <w:t>F</w:t>
            </w:r>
            <w:r w:rsidR="005B0BE8" w:rsidRPr="00846D49">
              <w:rPr>
                <w:rFonts w:ascii="Arial" w:eastAsia="Arial Narrow" w:hAnsi="Arial" w:cs="Arial"/>
                <w:sz w:val="20"/>
                <w:szCs w:val="20"/>
              </w:rPr>
              <w:t xml:space="preserve">auna </w:t>
            </w:r>
            <w:r w:rsidRPr="00846D49">
              <w:rPr>
                <w:rFonts w:ascii="Arial" w:eastAsia="Arial Narrow" w:hAnsi="Arial" w:cs="Arial"/>
                <w:sz w:val="20"/>
                <w:szCs w:val="20"/>
              </w:rPr>
              <w:t>S</w:t>
            </w:r>
            <w:r w:rsidR="005B0BE8" w:rsidRPr="00846D49">
              <w:rPr>
                <w:rFonts w:ascii="Arial" w:eastAsia="Arial Narrow" w:hAnsi="Arial" w:cs="Arial"/>
                <w:sz w:val="20"/>
                <w:szCs w:val="20"/>
              </w:rPr>
              <w:t>ilvestre</w:t>
            </w:r>
          </w:p>
        </w:tc>
      </w:tr>
      <w:tr w:rsidR="005B0BE8" w:rsidRPr="0020551C" w14:paraId="5043FCA3" w14:textId="77777777" w:rsidTr="005976BF">
        <w:tc>
          <w:tcPr>
            <w:tcW w:w="1049" w:type="dxa"/>
          </w:tcPr>
          <w:p w14:paraId="519FE1A3" w14:textId="5E79F915"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S3.3.2</w:t>
            </w:r>
          </w:p>
        </w:tc>
        <w:tc>
          <w:tcPr>
            <w:tcW w:w="2536" w:type="dxa"/>
          </w:tcPr>
          <w:p w14:paraId="7DA003C0" w14:textId="17CE7CDE"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OP3 Fortalecer la gobernanza forestal y de fauna silvestre</w:t>
            </w:r>
          </w:p>
        </w:tc>
        <w:tc>
          <w:tcPr>
            <w:tcW w:w="2681" w:type="dxa"/>
          </w:tcPr>
          <w:p w14:paraId="7EBCDF46" w14:textId="0933D9F9" w:rsidR="005B0BE8" w:rsidRPr="00846D49" w:rsidRDefault="005B0BE8" w:rsidP="005B0BE8">
            <w:pPr>
              <w:pStyle w:val="Prrafodelista"/>
              <w:tabs>
                <w:tab w:val="left" w:pos="3375"/>
              </w:tabs>
              <w:ind w:left="0"/>
              <w:jc w:val="both"/>
              <w:rPr>
                <w:rFonts w:ascii="Arial" w:eastAsia="Arial Narrow" w:hAnsi="Arial" w:cs="Arial"/>
                <w:b/>
              </w:rPr>
            </w:pPr>
            <w:r w:rsidRPr="00846D49">
              <w:rPr>
                <w:rFonts w:ascii="Arial" w:eastAsia="Arial Narrow" w:hAnsi="Arial" w:cs="Arial"/>
                <w:sz w:val="20"/>
                <w:szCs w:val="20"/>
              </w:rPr>
              <w:t>L3.3 Gestionar la información y el conocimiento en materia forestal y de fauna silvestre producido por los actores forestales y de fauna silvestre</w:t>
            </w:r>
          </w:p>
        </w:tc>
        <w:tc>
          <w:tcPr>
            <w:tcW w:w="3085" w:type="dxa"/>
          </w:tcPr>
          <w:p w14:paraId="2ECE6A74" w14:textId="5C745139" w:rsidR="005B0BE8" w:rsidRPr="00846D49" w:rsidRDefault="005B0BE8" w:rsidP="005B0BE8">
            <w:pPr>
              <w:pStyle w:val="Prrafodelista"/>
              <w:tabs>
                <w:tab w:val="left" w:pos="3375"/>
              </w:tabs>
              <w:ind w:left="0"/>
              <w:jc w:val="both"/>
              <w:rPr>
                <w:rFonts w:ascii="Arial" w:eastAsia="Arial Narrow" w:hAnsi="Arial" w:cs="Arial"/>
                <w:b/>
              </w:rPr>
            </w:pPr>
            <w:r w:rsidRPr="00846D49">
              <w:rPr>
                <w:rFonts w:ascii="Arial" w:eastAsia="Arial Narrow" w:hAnsi="Arial" w:cs="Arial"/>
                <w:sz w:val="20"/>
                <w:szCs w:val="20"/>
              </w:rPr>
              <w:t>Difusión de información sobre supervisión, fiscalización y capacitación de forma accesible para las entidades públicas, privadas y sociedad civil.</w:t>
            </w:r>
          </w:p>
        </w:tc>
        <w:tc>
          <w:tcPr>
            <w:tcW w:w="2268" w:type="dxa"/>
          </w:tcPr>
          <w:p w14:paraId="3FD6BEE1" w14:textId="07752D77" w:rsidR="005B0BE8" w:rsidRPr="00846D49" w:rsidRDefault="005B0BE8" w:rsidP="005B0BE8">
            <w:pPr>
              <w:pStyle w:val="Prrafodelista"/>
              <w:tabs>
                <w:tab w:val="left" w:pos="3375"/>
              </w:tabs>
              <w:ind w:left="0"/>
              <w:jc w:val="both"/>
              <w:rPr>
                <w:rFonts w:ascii="Arial" w:eastAsia="Arial Narrow" w:hAnsi="Arial" w:cs="Arial"/>
                <w:b/>
              </w:rPr>
            </w:pPr>
            <w:r w:rsidRPr="00846D49">
              <w:rPr>
                <w:rFonts w:ascii="Arial" w:eastAsia="Arial Narrow" w:hAnsi="Arial" w:cs="Arial"/>
                <w:sz w:val="20"/>
                <w:szCs w:val="20"/>
              </w:rPr>
              <w:t>Organismo de Supervisión de los Recursos Forestales y de Fauna Silvestre - OSINFOR</w:t>
            </w:r>
          </w:p>
        </w:tc>
        <w:tc>
          <w:tcPr>
            <w:tcW w:w="2410" w:type="dxa"/>
          </w:tcPr>
          <w:p w14:paraId="2C65964E" w14:textId="57A61BA9" w:rsidR="005B0BE8" w:rsidRPr="00846D49" w:rsidRDefault="005B0BE8" w:rsidP="005B0BE8">
            <w:pPr>
              <w:pStyle w:val="Prrafodelista"/>
              <w:tabs>
                <w:tab w:val="left" w:pos="3375"/>
              </w:tabs>
              <w:ind w:left="0"/>
              <w:jc w:val="both"/>
              <w:rPr>
                <w:rFonts w:ascii="Arial" w:eastAsia="Arial Narrow" w:hAnsi="Arial" w:cs="Arial"/>
                <w:b/>
              </w:rPr>
            </w:pPr>
            <w:r w:rsidRPr="00846D49">
              <w:rPr>
                <w:rFonts w:ascii="Arial" w:eastAsia="Arial Narrow" w:hAnsi="Arial" w:cs="Arial"/>
                <w:sz w:val="20"/>
                <w:szCs w:val="20"/>
              </w:rPr>
              <w:t>Entidades públicas, privadas y sociedad civil</w:t>
            </w:r>
          </w:p>
        </w:tc>
      </w:tr>
      <w:tr w:rsidR="005B0BE8" w:rsidRPr="0020551C" w14:paraId="1F26651F" w14:textId="77777777" w:rsidTr="005976BF">
        <w:tc>
          <w:tcPr>
            <w:tcW w:w="1049" w:type="dxa"/>
          </w:tcPr>
          <w:p w14:paraId="52C4A659" w14:textId="3F9300BA" w:rsidR="005B0BE8" w:rsidRPr="0020551C" w:rsidRDefault="005B0BE8" w:rsidP="005B0BE8">
            <w:pPr>
              <w:pStyle w:val="Prrafodelista"/>
              <w:tabs>
                <w:tab w:val="left" w:pos="3375"/>
              </w:tabs>
              <w:ind w:left="0"/>
              <w:jc w:val="both"/>
              <w:rPr>
                <w:rFonts w:ascii="Arial" w:eastAsia="Arial Narrow" w:hAnsi="Arial" w:cs="Arial"/>
                <w:b/>
              </w:rPr>
            </w:pPr>
          </w:p>
          <w:p w14:paraId="058FAB67" w14:textId="73AF3AFF" w:rsidR="005B0BE8" w:rsidRPr="0020551C" w:rsidRDefault="005B0BE8" w:rsidP="005B0BE8">
            <w:pPr>
              <w:jc w:val="both"/>
              <w:rPr>
                <w:rFonts w:ascii="Arial" w:hAnsi="Arial" w:cs="Arial"/>
              </w:rPr>
            </w:pPr>
          </w:p>
          <w:p w14:paraId="24774BC3" w14:textId="0FA24CE3" w:rsidR="005B0BE8" w:rsidRPr="0020551C" w:rsidRDefault="005B0BE8" w:rsidP="005B0BE8">
            <w:pPr>
              <w:jc w:val="both"/>
              <w:rPr>
                <w:rFonts w:ascii="Arial" w:hAnsi="Arial" w:cs="Arial"/>
              </w:rPr>
            </w:pPr>
            <w:r w:rsidRPr="0020551C">
              <w:rPr>
                <w:rFonts w:ascii="Arial" w:eastAsia="Arial Narrow" w:hAnsi="Arial" w:cs="Arial"/>
                <w:sz w:val="20"/>
                <w:szCs w:val="20"/>
              </w:rPr>
              <w:t>S3.3.3</w:t>
            </w:r>
          </w:p>
        </w:tc>
        <w:tc>
          <w:tcPr>
            <w:tcW w:w="2536" w:type="dxa"/>
          </w:tcPr>
          <w:p w14:paraId="5D2E8045" w14:textId="5C797B82"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OP3 Fortalecer la gobernanza forestal y de fauna silvestre</w:t>
            </w:r>
          </w:p>
        </w:tc>
        <w:tc>
          <w:tcPr>
            <w:tcW w:w="2681" w:type="dxa"/>
          </w:tcPr>
          <w:p w14:paraId="5BFBAC09" w14:textId="7D554FE0"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L3.3 Gestionar la información y el conocimiento en materia forestal y de fauna silvestre producido por los actores forestales y de fauna silvestre</w:t>
            </w:r>
          </w:p>
        </w:tc>
        <w:tc>
          <w:tcPr>
            <w:tcW w:w="3085" w:type="dxa"/>
          </w:tcPr>
          <w:p w14:paraId="6103AE5C" w14:textId="1B7EB706"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Asistencia técnica para la generación de información sobre las potencialidades y limitaciones del territorio de forma fiable dirigida a los gobiernos regionales</w:t>
            </w:r>
          </w:p>
        </w:tc>
        <w:tc>
          <w:tcPr>
            <w:tcW w:w="2268" w:type="dxa"/>
          </w:tcPr>
          <w:p w14:paraId="6544D823" w14:textId="6740585A"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Ministerio del Ambiente – MINAM</w:t>
            </w:r>
          </w:p>
        </w:tc>
        <w:tc>
          <w:tcPr>
            <w:tcW w:w="2410" w:type="dxa"/>
          </w:tcPr>
          <w:p w14:paraId="1D2492F4" w14:textId="3CE66836"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Gobiernos regionales</w:t>
            </w:r>
          </w:p>
        </w:tc>
      </w:tr>
      <w:tr w:rsidR="005B0BE8" w:rsidRPr="0020551C" w14:paraId="3D8FA51B" w14:textId="77777777" w:rsidTr="006A0836">
        <w:trPr>
          <w:trHeight w:val="1793"/>
        </w:trPr>
        <w:tc>
          <w:tcPr>
            <w:tcW w:w="1049" w:type="dxa"/>
          </w:tcPr>
          <w:p w14:paraId="3EFA473A" w14:textId="253DD09E"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 xml:space="preserve">S3.3.4  </w:t>
            </w:r>
          </w:p>
        </w:tc>
        <w:tc>
          <w:tcPr>
            <w:tcW w:w="2536" w:type="dxa"/>
          </w:tcPr>
          <w:p w14:paraId="228B5CCE" w14:textId="3ED48E05"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OP3 Fortalecer la gobernanza forestal y de fauna silvestre</w:t>
            </w:r>
          </w:p>
        </w:tc>
        <w:tc>
          <w:tcPr>
            <w:tcW w:w="2681" w:type="dxa"/>
          </w:tcPr>
          <w:p w14:paraId="5774116B" w14:textId="4CE631B2"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L3.3 Gestionar la información y el conocimiento en materia forestal y de fauna silvestre producido por los actores forestales y de fauna silvestre</w:t>
            </w:r>
          </w:p>
        </w:tc>
        <w:tc>
          <w:tcPr>
            <w:tcW w:w="3085" w:type="dxa"/>
          </w:tcPr>
          <w:p w14:paraId="1ACD13C2" w14:textId="6D824624" w:rsidR="005B0BE8" w:rsidRPr="0020551C" w:rsidRDefault="00932163" w:rsidP="005B0BE8">
            <w:pPr>
              <w:pStyle w:val="Prrafodelista"/>
              <w:tabs>
                <w:tab w:val="left" w:pos="3375"/>
              </w:tabs>
              <w:ind w:left="0"/>
              <w:jc w:val="both"/>
              <w:rPr>
                <w:rFonts w:ascii="Arial" w:eastAsia="Arial Narrow" w:hAnsi="Arial" w:cs="Arial"/>
                <w:b/>
              </w:rPr>
            </w:pPr>
            <w:r w:rsidRPr="008A26D2">
              <w:rPr>
                <w:rFonts w:ascii="Arial" w:eastAsia="Arial Narrow" w:hAnsi="Arial" w:cs="Arial"/>
                <w:sz w:val="20"/>
                <w:szCs w:val="20"/>
              </w:rPr>
              <w:t>Asistencia técnica para la formulación e implementación de planes de mejora continua e innovación publica de forma pertinente dirigida a las Autoridades Regionales Forestales y de Fauna Silvestre</w:t>
            </w:r>
          </w:p>
        </w:tc>
        <w:tc>
          <w:tcPr>
            <w:tcW w:w="2268" w:type="dxa"/>
          </w:tcPr>
          <w:p w14:paraId="487BC3CE" w14:textId="3B2BA26A"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Servicio Nacional Forestal y de Fauna Silvestre – SERFOR</w:t>
            </w:r>
          </w:p>
        </w:tc>
        <w:tc>
          <w:tcPr>
            <w:tcW w:w="2410" w:type="dxa"/>
          </w:tcPr>
          <w:p w14:paraId="4F1396DE" w14:textId="7F723E95"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 xml:space="preserve">Autoridades Regionales Forestales y de Fauna Silvestre  </w:t>
            </w:r>
          </w:p>
        </w:tc>
      </w:tr>
      <w:tr w:rsidR="005B0BE8" w:rsidRPr="0020551C" w14:paraId="7DAA06FD" w14:textId="77777777" w:rsidTr="005976BF">
        <w:tc>
          <w:tcPr>
            <w:tcW w:w="1049" w:type="dxa"/>
          </w:tcPr>
          <w:p w14:paraId="250685E9" w14:textId="6628379A"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color w:val="000000" w:themeColor="text1"/>
                <w:sz w:val="20"/>
                <w:szCs w:val="20"/>
              </w:rPr>
              <w:t>S3.3.5</w:t>
            </w:r>
          </w:p>
        </w:tc>
        <w:tc>
          <w:tcPr>
            <w:tcW w:w="2536" w:type="dxa"/>
          </w:tcPr>
          <w:p w14:paraId="064BF891" w14:textId="62345120"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OP3 Fortalecer la gobernanza forestal y de fauna silvestre</w:t>
            </w:r>
          </w:p>
        </w:tc>
        <w:tc>
          <w:tcPr>
            <w:tcW w:w="2681" w:type="dxa"/>
          </w:tcPr>
          <w:p w14:paraId="2B8B79A4" w14:textId="715569A9"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 xml:space="preserve">L3.3 Gestionar la información y el conocimiento en materia forestal y de fauna silvestre </w:t>
            </w:r>
            <w:r w:rsidRPr="0020551C">
              <w:rPr>
                <w:rFonts w:ascii="Arial" w:eastAsia="Arial Narrow" w:hAnsi="Arial" w:cs="Arial"/>
                <w:sz w:val="20"/>
                <w:szCs w:val="20"/>
              </w:rPr>
              <w:lastRenderedPageBreak/>
              <w:t>producido por los actores forestales y de fauna silvestre</w:t>
            </w:r>
          </w:p>
        </w:tc>
        <w:tc>
          <w:tcPr>
            <w:tcW w:w="3085" w:type="dxa"/>
          </w:tcPr>
          <w:p w14:paraId="0623EF83" w14:textId="60802015" w:rsidR="005B0BE8" w:rsidRPr="0020551C" w:rsidRDefault="006A0836" w:rsidP="005B0BE8">
            <w:pPr>
              <w:pStyle w:val="Prrafodelista"/>
              <w:tabs>
                <w:tab w:val="left" w:pos="3375"/>
              </w:tabs>
              <w:ind w:left="0"/>
              <w:jc w:val="both"/>
              <w:rPr>
                <w:rFonts w:ascii="Arial" w:hAnsi="Arial" w:cs="Arial"/>
              </w:rPr>
            </w:pPr>
            <w:r w:rsidRPr="008A26D2">
              <w:rPr>
                <w:rFonts w:ascii="Arial" w:eastAsia="Arial Narrow" w:hAnsi="Arial" w:cs="Arial"/>
                <w:sz w:val="20"/>
                <w:szCs w:val="20"/>
              </w:rPr>
              <w:lastRenderedPageBreak/>
              <w:t xml:space="preserve">Difusión de conocimientos y tecnologías integradas sobre la conservación y uso sostenible de ecosistemas forestales y de </w:t>
            </w:r>
            <w:r w:rsidRPr="008A26D2">
              <w:rPr>
                <w:rFonts w:ascii="Arial" w:eastAsia="Arial Narrow" w:hAnsi="Arial" w:cs="Arial"/>
                <w:sz w:val="20"/>
                <w:szCs w:val="20"/>
              </w:rPr>
              <w:lastRenderedPageBreak/>
              <w:t>fauna silvestre amazónicos de forma satisfactoria para decisores de políticas públicas.</w:t>
            </w:r>
          </w:p>
        </w:tc>
        <w:tc>
          <w:tcPr>
            <w:tcW w:w="2268" w:type="dxa"/>
          </w:tcPr>
          <w:p w14:paraId="729598C0" w14:textId="1A4C9EB4"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color w:val="000000" w:themeColor="text1"/>
                <w:sz w:val="20"/>
                <w:szCs w:val="20"/>
              </w:rPr>
              <w:lastRenderedPageBreak/>
              <w:t>Instituto de Investigaciones de la Amazonía Peruana - IIAP</w:t>
            </w:r>
          </w:p>
        </w:tc>
        <w:tc>
          <w:tcPr>
            <w:tcW w:w="2410" w:type="dxa"/>
          </w:tcPr>
          <w:p w14:paraId="7012007F" w14:textId="2231B8BA"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color w:val="000000" w:themeColor="text1"/>
                <w:sz w:val="20"/>
                <w:szCs w:val="20"/>
              </w:rPr>
              <w:t>Autoridades decisoras de políticas públicas</w:t>
            </w:r>
          </w:p>
        </w:tc>
      </w:tr>
      <w:tr w:rsidR="005B0BE8" w:rsidRPr="0020551C" w14:paraId="5C8C154D" w14:textId="77777777" w:rsidTr="005976BF">
        <w:tc>
          <w:tcPr>
            <w:tcW w:w="1049" w:type="dxa"/>
          </w:tcPr>
          <w:p w14:paraId="587A099E" w14:textId="1DA807CC" w:rsidR="005B0BE8" w:rsidRPr="0020551C" w:rsidRDefault="005B0BE8" w:rsidP="005B0BE8">
            <w:pPr>
              <w:pStyle w:val="Prrafodelista"/>
              <w:tabs>
                <w:tab w:val="left" w:pos="3375"/>
              </w:tabs>
              <w:ind w:left="0"/>
              <w:jc w:val="both"/>
              <w:rPr>
                <w:rFonts w:ascii="Arial" w:eastAsia="Arial Narrow" w:hAnsi="Arial" w:cs="Arial"/>
                <w:b/>
              </w:rPr>
            </w:pPr>
          </w:p>
          <w:p w14:paraId="523FEC02" w14:textId="794DECD4" w:rsidR="005B0BE8" w:rsidRPr="0020551C" w:rsidRDefault="005B0BE8" w:rsidP="005B0BE8">
            <w:pPr>
              <w:jc w:val="both"/>
              <w:rPr>
                <w:rFonts w:ascii="Arial" w:hAnsi="Arial" w:cs="Arial"/>
              </w:rPr>
            </w:pPr>
          </w:p>
          <w:p w14:paraId="3D8374A1" w14:textId="6A1E7683" w:rsidR="005B0BE8" w:rsidRPr="0020551C" w:rsidRDefault="005B0BE8" w:rsidP="005B0BE8">
            <w:pPr>
              <w:jc w:val="both"/>
              <w:rPr>
                <w:rFonts w:ascii="Arial" w:hAnsi="Arial" w:cs="Arial"/>
              </w:rPr>
            </w:pPr>
            <w:r w:rsidRPr="0020551C">
              <w:rPr>
                <w:rFonts w:ascii="Arial" w:eastAsia="Arial Narrow" w:hAnsi="Arial" w:cs="Arial"/>
                <w:sz w:val="20"/>
                <w:szCs w:val="20"/>
              </w:rPr>
              <w:t xml:space="preserve">S.3.3.6    </w:t>
            </w:r>
          </w:p>
        </w:tc>
        <w:tc>
          <w:tcPr>
            <w:tcW w:w="2536" w:type="dxa"/>
          </w:tcPr>
          <w:p w14:paraId="5CCFD12E" w14:textId="751B4F50"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OP3 Fortalecer la gobernanza forestal y de fauna silvestre</w:t>
            </w:r>
          </w:p>
        </w:tc>
        <w:tc>
          <w:tcPr>
            <w:tcW w:w="2681" w:type="dxa"/>
          </w:tcPr>
          <w:p w14:paraId="2B98C94C" w14:textId="74C369C2"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L3.3 Gestionar la información y el conocimiento en materia forestal y de fauna silvestre producido por los actores forestales y de fauna silvestre</w:t>
            </w:r>
          </w:p>
        </w:tc>
        <w:tc>
          <w:tcPr>
            <w:tcW w:w="3085" w:type="dxa"/>
          </w:tcPr>
          <w:p w14:paraId="1F6F3E8E" w14:textId="6E730F5E"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Asistencia técnica para la sistematización del conocimiento tradicional de pueblos indígenas con pertinencia cultural dirigido a las Autoridades Regionales Forestales y de Fauna Silvestre</w:t>
            </w:r>
          </w:p>
        </w:tc>
        <w:tc>
          <w:tcPr>
            <w:tcW w:w="2268" w:type="dxa"/>
          </w:tcPr>
          <w:p w14:paraId="09BF8E2E" w14:textId="54A9E2AE"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Servicio Nacional Forestal y de Fauna Silvestre - SERFOR</w:t>
            </w:r>
          </w:p>
        </w:tc>
        <w:tc>
          <w:tcPr>
            <w:tcW w:w="2410" w:type="dxa"/>
          </w:tcPr>
          <w:p w14:paraId="14BE1DDB" w14:textId="33650777"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Autoridades Regionales Forestales y de Fauna Silvestre</w:t>
            </w:r>
          </w:p>
        </w:tc>
      </w:tr>
      <w:tr w:rsidR="005B0BE8" w:rsidRPr="0020551C" w14:paraId="24DFAFCB" w14:textId="77777777" w:rsidTr="005976BF">
        <w:tc>
          <w:tcPr>
            <w:tcW w:w="1049" w:type="dxa"/>
          </w:tcPr>
          <w:p w14:paraId="73164813" w14:textId="09D152CE"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S3.4.1</w:t>
            </w:r>
          </w:p>
        </w:tc>
        <w:tc>
          <w:tcPr>
            <w:tcW w:w="2536" w:type="dxa"/>
          </w:tcPr>
          <w:p w14:paraId="38D7F03F" w14:textId="4F1E9C72"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OP3 Fortalecer la gobernanza forestal y de fauna silvestre</w:t>
            </w:r>
          </w:p>
        </w:tc>
        <w:tc>
          <w:tcPr>
            <w:tcW w:w="2681" w:type="dxa"/>
          </w:tcPr>
          <w:p w14:paraId="4F2877BA" w14:textId="529E6CB7"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L3.4 Desarrollar programas orientados a consolidar la institucionalidad y articulación en los tres niveles de gobierno en el ámbito forestal y de fauna silvestre.</w:t>
            </w:r>
          </w:p>
        </w:tc>
        <w:tc>
          <w:tcPr>
            <w:tcW w:w="3085" w:type="dxa"/>
          </w:tcPr>
          <w:p w14:paraId="5E86086A" w14:textId="1DE0F85F" w:rsidR="005B0BE8" w:rsidRPr="0020551C" w:rsidRDefault="006A0836" w:rsidP="005B0BE8">
            <w:pPr>
              <w:pStyle w:val="Prrafodelista"/>
              <w:tabs>
                <w:tab w:val="left" w:pos="3375"/>
              </w:tabs>
              <w:ind w:left="0"/>
              <w:jc w:val="both"/>
              <w:rPr>
                <w:rFonts w:ascii="Arial" w:eastAsia="Arial Narrow" w:hAnsi="Arial" w:cs="Arial"/>
                <w:b/>
              </w:rPr>
            </w:pPr>
            <w:r w:rsidRPr="008A26D2">
              <w:rPr>
                <w:rFonts w:ascii="Arial" w:eastAsia="Arial Narrow" w:hAnsi="Arial" w:cs="Arial"/>
                <w:sz w:val="20"/>
                <w:szCs w:val="20"/>
              </w:rPr>
              <w:t>Fortalecimiento de capacidades en aspectos técnicos y administrativos de forma satisfactoria para consolidar la institucionalidad de las Autoridades Regionales Forestales y de Fauna silvestre</w:t>
            </w:r>
          </w:p>
        </w:tc>
        <w:tc>
          <w:tcPr>
            <w:tcW w:w="2268" w:type="dxa"/>
          </w:tcPr>
          <w:p w14:paraId="56FDAF49" w14:textId="7C7E993C"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Servicio Nacional Forestal y de Fauna Silvestre - SERFOR</w:t>
            </w:r>
          </w:p>
        </w:tc>
        <w:tc>
          <w:tcPr>
            <w:tcW w:w="2410" w:type="dxa"/>
          </w:tcPr>
          <w:p w14:paraId="5D3A691F" w14:textId="20973C93"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Autoridades Regionales Forestales y de Fauna silvestre</w:t>
            </w:r>
          </w:p>
        </w:tc>
      </w:tr>
      <w:tr w:rsidR="005B0BE8" w:rsidRPr="0020551C" w14:paraId="4291F717" w14:textId="77777777" w:rsidTr="005976BF">
        <w:tc>
          <w:tcPr>
            <w:tcW w:w="1049" w:type="dxa"/>
          </w:tcPr>
          <w:p w14:paraId="121BC776" w14:textId="4C51B22B"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 xml:space="preserve">S.3.4.2.  </w:t>
            </w:r>
          </w:p>
        </w:tc>
        <w:tc>
          <w:tcPr>
            <w:tcW w:w="2536" w:type="dxa"/>
          </w:tcPr>
          <w:p w14:paraId="4EBFC578" w14:textId="5875050E"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OP3 Fortalecer la gobernanza forestal y de fauna silvestre</w:t>
            </w:r>
          </w:p>
        </w:tc>
        <w:tc>
          <w:tcPr>
            <w:tcW w:w="2681" w:type="dxa"/>
          </w:tcPr>
          <w:p w14:paraId="2E077100" w14:textId="1C4FD649"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L3.4 Desarrollar programas orientados a consolidar la institucionalidad y articulación en los tres niveles de gobierno en el ámbito forestal y de fauna silvestre.</w:t>
            </w:r>
          </w:p>
        </w:tc>
        <w:tc>
          <w:tcPr>
            <w:tcW w:w="3085" w:type="dxa"/>
          </w:tcPr>
          <w:p w14:paraId="6E86CFC2" w14:textId="37076589" w:rsidR="005B0BE8" w:rsidRPr="0020551C" w:rsidRDefault="006A0836" w:rsidP="005B0BE8">
            <w:pPr>
              <w:pStyle w:val="Prrafodelista"/>
              <w:tabs>
                <w:tab w:val="left" w:pos="3375"/>
              </w:tabs>
              <w:ind w:left="0"/>
              <w:jc w:val="both"/>
              <w:rPr>
                <w:rFonts w:ascii="Arial" w:eastAsia="Arial Narrow" w:hAnsi="Arial" w:cs="Arial"/>
                <w:b/>
              </w:rPr>
            </w:pPr>
            <w:r w:rsidRPr="008A26D2">
              <w:rPr>
                <w:rFonts w:ascii="Arial" w:eastAsia="Arial Narrow" w:hAnsi="Arial" w:cs="Arial"/>
                <w:sz w:val="20"/>
                <w:szCs w:val="20"/>
              </w:rPr>
              <w:t>Asistencia técnica en gobernanza forestal y de fauna silvestre con pertinencia cultural para pueblos indígenas u originarios</w:t>
            </w:r>
          </w:p>
        </w:tc>
        <w:tc>
          <w:tcPr>
            <w:tcW w:w="2268" w:type="dxa"/>
          </w:tcPr>
          <w:p w14:paraId="44DD3F9C" w14:textId="2AD1E0F2"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Servicio Nacional Forestal y de Fauna Silvestre – SERFOR</w:t>
            </w:r>
          </w:p>
        </w:tc>
        <w:tc>
          <w:tcPr>
            <w:tcW w:w="2410" w:type="dxa"/>
          </w:tcPr>
          <w:p w14:paraId="76DE2081" w14:textId="0F23FE57"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Pueblos indígenas u originarios</w:t>
            </w:r>
          </w:p>
        </w:tc>
      </w:tr>
      <w:tr w:rsidR="005B0BE8" w:rsidRPr="00910900" w14:paraId="4F431A6A" w14:textId="77777777" w:rsidTr="005976BF">
        <w:tc>
          <w:tcPr>
            <w:tcW w:w="1049" w:type="dxa"/>
          </w:tcPr>
          <w:p w14:paraId="57D704B6" w14:textId="39266867"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S3.5.1</w:t>
            </w:r>
          </w:p>
        </w:tc>
        <w:tc>
          <w:tcPr>
            <w:tcW w:w="2536" w:type="dxa"/>
          </w:tcPr>
          <w:p w14:paraId="6EDC9F7E" w14:textId="540CD8BE"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OP3 Fortalecer la gobernanza forestal y de fauna silvestre</w:t>
            </w:r>
          </w:p>
        </w:tc>
        <w:tc>
          <w:tcPr>
            <w:tcW w:w="2681" w:type="dxa"/>
          </w:tcPr>
          <w:p w14:paraId="20DF9BC3" w14:textId="43FD35E4"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L3.5 Sensibilizar sobre el valor e importancia de los bienes y servicios que brindan los ecosistemas forestales, otros ecosistemas de vegetación silvestre y de la fauna silvestre a la población</w:t>
            </w:r>
          </w:p>
        </w:tc>
        <w:tc>
          <w:tcPr>
            <w:tcW w:w="3085" w:type="dxa"/>
          </w:tcPr>
          <w:p w14:paraId="3D674C66" w14:textId="0697823D" w:rsidR="005B0BE8" w:rsidRPr="0020551C" w:rsidRDefault="006A0836" w:rsidP="005B0BE8">
            <w:pPr>
              <w:pStyle w:val="Prrafodelista"/>
              <w:tabs>
                <w:tab w:val="left" w:pos="3375"/>
              </w:tabs>
              <w:ind w:left="0"/>
              <w:jc w:val="both"/>
              <w:rPr>
                <w:rFonts w:ascii="Arial" w:eastAsia="Arial Narrow" w:hAnsi="Arial" w:cs="Arial"/>
                <w:b/>
              </w:rPr>
            </w:pPr>
            <w:r w:rsidRPr="008A26D2">
              <w:rPr>
                <w:rFonts w:ascii="Arial" w:eastAsia="Arial Narrow" w:hAnsi="Arial" w:cs="Arial"/>
                <w:sz w:val="20"/>
                <w:szCs w:val="20"/>
              </w:rPr>
              <w:t>Sensibilización sobre la conservación y aprovechamiento sostenible de los recursos forestales y de fauna silvestre con pertinencia cultural dirigido a la población en general</w:t>
            </w:r>
          </w:p>
        </w:tc>
        <w:tc>
          <w:tcPr>
            <w:tcW w:w="2268" w:type="dxa"/>
          </w:tcPr>
          <w:p w14:paraId="3EEAC69D" w14:textId="4D2F1CF1" w:rsidR="005B0BE8" w:rsidRPr="0020551C"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Servicio Nacional Forestal y de Fauna Silvestre - SERFOR</w:t>
            </w:r>
          </w:p>
        </w:tc>
        <w:tc>
          <w:tcPr>
            <w:tcW w:w="2410" w:type="dxa"/>
          </w:tcPr>
          <w:p w14:paraId="4FD23B8B" w14:textId="1EB749AE" w:rsidR="005B0BE8" w:rsidRPr="00910900" w:rsidRDefault="005B0BE8" w:rsidP="005B0BE8">
            <w:pPr>
              <w:pStyle w:val="Prrafodelista"/>
              <w:tabs>
                <w:tab w:val="left" w:pos="3375"/>
              </w:tabs>
              <w:ind w:left="0"/>
              <w:jc w:val="both"/>
              <w:rPr>
                <w:rFonts w:ascii="Arial" w:eastAsia="Arial Narrow" w:hAnsi="Arial" w:cs="Arial"/>
                <w:b/>
              </w:rPr>
            </w:pPr>
            <w:r w:rsidRPr="0020551C">
              <w:rPr>
                <w:rFonts w:ascii="Arial" w:eastAsia="Arial Narrow" w:hAnsi="Arial" w:cs="Arial"/>
                <w:sz w:val="20"/>
                <w:szCs w:val="20"/>
              </w:rPr>
              <w:t>Población en general</w:t>
            </w:r>
          </w:p>
          <w:p w14:paraId="3CFFBD2E" w14:textId="3A096B99" w:rsidR="005B0BE8" w:rsidRPr="00910900" w:rsidRDefault="005B0BE8" w:rsidP="005B0BE8">
            <w:pPr>
              <w:jc w:val="both"/>
              <w:rPr>
                <w:rFonts w:ascii="Arial" w:hAnsi="Arial" w:cs="Arial"/>
              </w:rPr>
            </w:pPr>
          </w:p>
          <w:p w14:paraId="167196EA" w14:textId="77777777" w:rsidR="005B0BE8" w:rsidRPr="00910900" w:rsidRDefault="005B0BE8" w:rsidP="005B0BE8">
            <w:pPr>
              <w:jc w:val="both"/>
              <w:rPr>
                <w:rFonts w:ascii="Arial" w:hAnsi="Arial" w:cs="Arial"/>
              </w:rPr>
            </w:pPr>
          </w:p>
        </w:tc>
      </w:tr>
    </w:tbl>
    <w:p w14:paraId="313DA3F8" w14:textId="2803B2B3" w:rsidR="00784A78" w:rsidRDefault="00784A78">
      <w:pPr>
        <w:rPr>
          <w:rFonts w:ascii="Arial Narrow" w:eastAsia="Arial Narrow" w:hAnsi="Arial Narrow" w:cs="Arial Narrow"/>
          <w:b/>
        </w:rPr>
      </w:pPr>
      <w:r>
        <w:rPr>
          <w:rFonts w:ascii="Arial Narrow" w:eastAsia="Arial Narrow" w:hAnsi="Arial Narrow" w:cs="Arial Narrow"/>
          <w:b/>
        </w:rPr>
        <w:br w:type="page"/>
      </w:r>
    </w:p>
    <w:p w14:paraId="30EB3D2B" w14:textId="77777777" w:rsidR="002168D6" w:rsidRDefault="002168D6">
      <w:pPr>
        <w:rPr>
          <w:rFonts w:ascii="Arial Narrow" w:eastAsia="Arial Narrow" w:hAnsi="Arial Narrow" w:cs="Arial Narrow"/>
          <w:b/>
        </w:rPr>
        <w:sectPr w:rsidR="002168D6" w:rsidSect="002168D6">
          <w:pgSz w:w="16838" w:h="11906" w:orient="landscape"/>
          <w:pgMar w:top="1701" w:right="1418" w:bottom="1701" w:left="1418" w:header="709" w:footer="284" w:gutter="0"/>
          <w:cols w:space="720"/>
        </w:sectPr>
      </w:pPr>
    </w:p>
    <w:p w14:paraId="0C13B0F9" w14:textId="48FDA864" w:rsidR="00AA5005" w:rsidRPr="009D6113" w:rsidRDefault="00AA5005" w:rsidP="004C072E">
      <w:pPr>
        <w:pStyle w:val="Prrafodelista"/>
        <w:numPr>
          <w:ilvl w:val="1"/>
          <w:numId w:val="8"/>
        </w:numPr>
        <w:tabs>
          <w:tab w:val="left" w:pos="3375"/>
        </w:tabs>
        <w:rPr>
          <w:rFonts w:ascii="Arial" w:eastAsia="Arial Narrow" w:hAnsi="Arial" w:cs="Arial"/>
          <w:b/>
        </w:rPr>
      </w:pPr>
      <w:r w:rsidRPr="009D6113">
        <w:rPr>
          <w:rFonts w:ascii="Arial" w:eastAsia="Arial Narrow" w:hAnsi="Arial" w:cs="Arial"/>
          <w:b/>
        </w:rPr>
        <w:lastRenderedPageBreak/>
        <w:t>Fichas de servicios y estándares nacionales de cumplimiento</w:t>
      </w:r>
    </w:p>
    <w:p w14:paraId="4AEC0289" w14:textId="2C2F2084" w:rsidR="00CA3A85" w:rsidRPr="00CA3A85" w:rsidRDefault="00CA3A85" w:rsidP="00CA3A85">
      <w:pPr>
        <w:spacing w:after="0" w:line="240" w:lineRule="auto"/>
        <w:jc w:val="both"/>
        <w:rPr>
          <w:rFonts w:ascii="Arial" w:eastAsia="Arial Narrow" w:hAnsi="Arial" w:cs="Arial"/>
        </w:rPr>
      </w:pPr>
      <w:r w:rsidRPr="00CA3A85">
        <w:rPr>
          <w:rFonts w:ascii="Arial" w:eastAsia="Arial Narrow" w:hAnsi="Arial" w:cs="Arial"/>
          <w:b/>
          <w:bCs/>
        </w:rPr>
        <w:t>S1.1.1</w:t>
      </w:r>
      <w:r w:rsidRPr="00CA3A85">
        <w:rPr>
          <w:rFonts w:ascii="Arial" w:eastAsia="Arial Narrow" w:hAnsi="Arial" w:cs="Arial"/>
        </w:rPr>
        <w:t xml:space="preserve"> </w:t>
      </w:r>
      <w:r w:rsidR="000C49B7" w:rsidRPr="000C49B7">
        <w:rPr>
          <w:rFonts w:ascii="Arial" w:eastAsia="Arial Narrow" w:hAnsi="Arial" w:cs="Arial"/>
        </w:rPr>
        <w:t>Reconocimiento de hábitats críticos, ecosistemas frágiles y</w:t>
      </w:r>
      <w:r w:rsidR="000C49B7" w:rsidRPr="000C49B7">
        <w:rPr>
          <w:rFonts w:ascii="Arial" w:hAnsi="Arial" w:cs="Arial"/>
        </w:rPr>
        <w:t xml:space="preserve"> zonas prioritarias para la conservación de los recursos genéticos de flora y fauna silvestre</w:t>
      </w:r>
      <w:r w:rsidR="000C49B7" w:rsidRPr="000C49B7">
        <w:rPr>
          <w:rFonts w:ascii="Arial" w:eastAsia="Arial Narrow" w:hAnsi="Arial" w:cs="Arial"/>
        </w:rPr>
        <w:t xml:space="preserve"> de forma fiable para las entidades con competencias en materia forestal y de fauna silvestre</w:t>
      </w:r>
      <w:r w:rsidRPr="000C49B7">
        <w:rPr>
          <w:rFonts w:ascii="Arial" w:eastAsia="Arial Narrow" w:hAnsi="Arial" w:cs="Arial"/>
        </w:rPr>
        <w:t>.</w:t>
      </w:r>
    </w:p>
    <w:p w14:paraId="78C9B07B" w14:textId="715C9065" w:rsidR="00E5011C" w:rsidRPr="008A26D2" w:rsidRDefault="00E5011C" w:rsidP="000D1705">
      <w:pPr>
        <w:tabs>
          <w:tab w:val="left" w:pos="3375"/>
        </w:tabs>
        <w:rPr>
          <w:rFonts w:ascii="Arial Narrow" w:eastAsia="Arial Narrow" w:hAnsi="Arial Narrow" w:cs="Arial Narrow"/>
          <w:b/>
        </w:rPr>
      </w:pPr>
    </w:p>
    <w:tbl>
      <w:tblPr>
        <w:tblW w:w="8651" w:type="dxa"/>
        <w:jc w:val="center"/>
        <w:tblLayout w:type="fixed"/>
        <w:tblLook w:val="0600" w:firstRow="0" w:lastRow="0" w:firstColumn="0" w:lastColumn="0" w:noHBand="1" w:noVBand="1"/>
      </w:tblPr>
      <w:tblGrid>
        <w:gridCol w:w="1984"/>
        <w:gridCol w:w="2222"/>
        <w:gridCol w:w="2222"/>
        <w:gridCol w:w="2223"/>
      </w:tblGrid>
      <w:tr w:rsidR="008A26D2" w:rsidRPr="008A26D2" w14:paraId="06AE8B55" w14:textId="77777777" w:rsidTr="00C939E3">
        <w:trPr>
          <w:trHeight w:val="300"/>
          <w:jc w:val="center"/>
        </w:trPr>
        <w:tc>
          <w:tcPr>
            <w:tcW w:w="8651"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center"/>
          </w:tcPr>
          <w:p w14:paraId="66C74BA9" w14:textId="1FB0BA5E" w:rsidR="00CA3A85" w:rsidRPr="008A26D2" w:rsidRDefault="00CA3A85" w:rsidP="0072651A">
            <w:pPr>
              <w:jc w:val="center"/>
              <w:rPr>
                <w:rFonts w:ascii="Arial" w:hAnsi="Arial" w:cs="Arial"/>
                <w:sz w:val="20"/>
                <w:szCs w:val="20"/>
              </w:rPr>
            </w:pPr>
            <w:r w:rsidRPr="008A26D2">
              <w:rPr>
                <w:rFonts w:ascii="Arial" w:hAnsi="Arial" w:cs="Arial"/>
                <w:b/>
                <w:sz w:val="20"/>
                <w:szCs w:val="20"/>
              </w:rPr>
              <w:t>FICHA DEL SERVICIO</w:t>
            </w:r>
          </w:p>
        </w:tc>
      </w:tr>
      <w:tr w:rsidR="008A26D2" w:rsidRPr="008A26D2" w14:paraId="1A4E3CEC" w14:textId="77777777" w:rsidTr="00C939E3">
        <w:trPr>
          <w:trHeight w:val="300"/>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123F5CC" w14:textId="7237A52B" w:rsidR="00CA3A85" w:rsidRPr="008A26D2" w:rsidRDefault="00CA3A85"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Objetivo prioritario</w:t>
            </w:r>
          </w:p>
        </w:tc>
        <w:tc>
          <w:tcPr>
            <w:tcW w:w="666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DEF1C1E" w14:textId="77777777" w:rsidR="00CA3A85" w:rsidRPr="008A26D2" w:rsidRDefault="00CA3A85" w:rsidP="0072651A">
            <w:pPr>
              <w:pBdr>
                <w:top w:val="nil"/>
                <w:left w:val="nil"/>
                <w:bottom w:val="nil"/>
                <w:right w:val="nil"/>
                <w:between w:val="nil"/>
              </w:pBdr>
              <w:spacing w:after="0" w:line="240" w:lineRule="auto"/>
              <w:ind w:left="55"/>
              <w:jc w:val="both"/>
              <w:rPr>
                <w:rFonts w:ascii="Arial" w:eastAsia="Arial Narrow" w:hAnsi="Arial" w:cs="Arial"/>
                <w:sz w:val="20"/>
                <w:szCs w:val="20"/>
              </w:rPr>
            </w:pPr>
            <w:r w:rsidRPr="008A26D2">
              <w:rPr>
                <w:rFonts w:ascii="Arial" w:eastAsia="Arial Narrow" w:hAnsi="Arial" w:cs="Arial"/>
                <w:sz w:val="20"/>
                <w:szCs w:val="20"/>
              </w:rPr>
              <w:t>OP1 Mejorar las condiciones para la sostenibilidad de los ecosistemas forestales, otros ecosistemas de vegetación silvestre y de la fauna silvestre</w:t>
            </w:r>
          </w:p>
          <w:p w14:paraId="0B997C9D" w14:textId="6377972A" w:rsidR="00784A78" w:rsidRPr="008A26D2" w:rsidRDefault="00784A78" w:rsidP="0072651A">
            <w:pPr>
              <w:pBdr>
                <w:top w:val="nil"/>
                <w:left w:val="nil"/>
                <w:bottom w:val="nil"/>
                <w:right w:val="nil"/>
                <w:between w:val="nil"/>
              </w:pBdr>
              <w:spacing w:after="0" w:line="240" w:lineRule="auto"/>
              <w:ind w:left="55"/>
              <w:jc w:val="both"/>
              <w:rPr>
                <w:rFonts w:ascii="Arial" w:hAnsi="Arial" w:cs="Arial"/>
                <w:sz w:val="20"/>
                <w:szCs w:val="20"/>
              </w:rPr>
            </w:pPr>
          </w:p>
        </w:tc>
      </w:tr>
      <w:tr w:rsidR="008A26D2" w:rsidRPr="008A26D2" w14:paraId="1C9BDA35" w14:textId="77777777" w:rsidTr="00C939E3">
        <w:trPr>
          <w:trHeight w:val="300"/>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683F1D1" w14:textId="2CAFC40B" w:rsidR="00CA3A85" w:rsidRPr="008A26D2" w:rsidRDefault="00CA3A85"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Lineamiento</w:t>
            </w:r>
          </w:p>
        </w:tc>
        <w:tc>
          <w:tcPr>
            <w:tcW w:w="666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7827962" w14:textId="77777777" w:rsidR="00CA3A85" w:rsidRPr="008A26D2" w:rsidRDefault="00CA3A85" w:rsidP="0072651A">
            <w:pPr>
              <w:pBdr>
                <w:top w:val="nil"/>
                <w:left w:val="nil"/>
                <w:bottom w:val="nil"/>
                <w:right w:val="nil"/>
                <w:between w:val="nil"/>
              </w:pBdr>
              <w:spacing w:after="0" w:line="240" w:lineRule="auto"/>
              <w:ind w:left="55"/>
              <w:jc w:val="both"/>
              <w:rPr>
                <w:rFonts w:ascii="Arial" w:eastAsia="Arial Narrow" w:hAnsi="Arial" w:cs="Arial"/>
                <w:sz w:val="20"/>
                <w:szCs w:val="20"/>
              </w:rPr>
            </w:pPr>
            <w:r w:rsidRPr="008A26D2">
              <w:rPr>
                <w:rFonts w:ascii="Arial" w:eastAsia="Arial Narrow" w:hAnsi="Arial" w:cs="Arial"/>
                <w:sz w:val="20"/>
                <w:szCs w:val="20"/>
              </w:rPr>
              <w:t>L1.1 Fortalecer la protección y recuperación de ecosistemas forestales y otros ecosistemas de vegetación silvestre, así como las especies de fauna silvestre y sus hábitats coadyuvando a la mitigación del cambio climático</w:t>
            </w:r>
          </w:p>
          <w:p w14:paraId="4EE0AEB9" w14:textId="1E63D8D7" w:rsidR="00784A78" w:rsidRPr="008A26D2" w:rsidRDefault="00784A78" w:rsidP="0072651A">
            <w:pPr>
              <w:pBdr>
                <w:top w:val="nil"/>
                <w:left w:val="nil"/>
                <w:bottom w:val="nil"/>
                <w:right w:val="nil"/>
                <w:between w:val="nil"/>
              </w:pBdr>
              <w:spacing w:after="0" w:line="240" w:lineRule="auto"/>
              <w:ind w:left="55"/>
              <w:jc w:val="both"/>
              <w:rPr>
                <w:rFonts w:ascii="Arial" w:eastAsia="Arial Narrow" w:hAnsi="Arial" w:cs="Arial"/>
                <w:sz w:val="20"/>
                <w:szCs w:val="20"/>
              </w:rPr>
            </w:pPr>
          </w:p>
        </w:tc>
      </w:tr>
      <w:tr w:rsidR="008A26D2" w:rsidRPr="008A26D2" w14:paraId="5EC7ECFE" w14:textId="77777777" w:rsidTr="00C939E3">
        <w:trPr>
          <w:trHeight w:val="300"/>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20EE56B" w14:textId="6DFC40B1" w:rsidR="00CA3A85" w:rsidRPr="008A26D2" w:rsidRDefault="00CA3A85"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Nombre del servicio</w:t>
            </w:r>
          </w:p>
        </w:tc>
        <w:tc>
          <w:tcPr>
            <w:tcW w:w="666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083FC42" w14:textId="77777777" w:rsidR="00CA3A85" w:rsidRPr="008A26D2" w:rsidRDefault="00CA3A85" w:rsidP="0072651A">
            <w:pPr>
              <w:spacing w:after="0" w:line="240" w:lineRule="auto"/>
              <w:ind w:left="55"/>
              <w:jc w:val="both"/>
              <w:rPr>
                <w:rFonts w:ascii="Arial" w:eastAsia="Arial Narrow" w:hAnsi="Arial" w:cs="Arial"/>
                <w:sz w:val="20"/>
                <w:szCs w:val="20"/>
              </w:rPr>
            </w:pPr>
            <w:r w:rsidRPr="008A26D2">
              <w:rPr>
                <w:rFonts w:ascii="Arial" w:eastAsia="Arial Narrow" w:hAnsi="Arial" w:cs="Arial"/>
                <w:sz w:val="20"/>
                <w:szCs w:val="20"/>
              </w:rPr>
              <w:t>S1.1.1 Reconocimiento de hábitats críticos, ecosistemas frágiles y</w:t>
            </w:r>
            <w:r w:rsidRPr="008A26D2">
              <w:rPr>
                <w:rFonts w:ascii="Arial" w:hAnsi="Arial" w:cs="Arial"/>
                <w:sz w:val="20"/>
                <w:szCs w:val="20"/>
              </w:rPr>
              <w:t xml:space="preserve"> zonas prioritarias para la conservación de los recursos genéticos de flora y fauna silvestre</w:t>
            </w:r>
            <w:r w:rsidRPr="008A26D2">
              <w:rPr>
                <w:rFonts w:ascii="Arial" w:eastAsia="Arial Narrow" w:hAnsi="Arial" w:cs="Arial"/>
                <w:sz w:val="20"/>
                <w:szCs w:val="20"/>
              </w:rPr>
              <w:t xml:space="preserve"> de forma fiable para las entidades con competencias en materia forestal y de fauna silvestre.</w:t>
            </w:r>
          </w:p>
          <w:p w14:paraId="52714744" w14:textId="77777777" w:rsidR="00CA3A85" w:rsidRPr="008A26D2" w:rsidRDefault="00CA3A85" w:rsidP="0072651A">
            <w:pPr>
              <w:spacing w:after="0" w:line="240" w:lineRule="auto"/>
              <w:ind w:left="55"/>
              <w:jc w:val="both"/>
              <w:rPr>
                <w:rFonts w:ascii="Arial" w:eastAsia="Arial Narrow" w:hAnsi="Arial" w:cs="Arial"/>
                <w:sz w:val="20"/>
                <w:szCs w:val="20"/>
              </w:rPr>
            </w:pPr>
          </w:p>
        </w:tc>
      </w:tr>
      <w:tr w:rsidR="008A26D2" w:rsidRPr="008A26D2" w14:paraId="5CC80EC8" w14:textId="77777777" w:rsidTr="00C939E3">
        <w:trPr>
          <w:trHeight w:val="300"/>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6DBBEB1" w14:textId="32B9A549" w:rsidR="00CA3A85" w:rsidRPr="008A26D2" w:rsidRDefault="00CA3A85"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Tipo de servicio</w:t>
            </w:r>
          </w:p>
        </w:tc>
        <w:tc>
          <w:tcPr>
            <w:tcW w:w="666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413C89C" w14:textId="77777777" w:rsidR="00CA3A85" w:rsidRPr="008A26D2" w:rsidRDefault="00CA3A85" w:rsidP="0072651A">
            <w:pPr>
              <w:spacing w:after="0" w:line="240" w:lineRule="auto"/>
              <w:ind w:left="55"/>
              <w:jc w:val="both"/>
              <w:rPr>
                <w:rFonts w:ascii="Arial" w:eastAsia="Arial Narrow" w:hAnsi="Arial" w:cs="Arial"/>
                <w:sz w:val="20"/>
                <w:szCs w:val="20"/>
              </w:rPr>
            </w:pPr>
            <w:r w:rsidRPr="008A26D2">
              <w:rPr>
                <w:rFonts w:ascii="Arial" w:eastAsia="Arial Narrow" w:hAnsi="Arial" w:cs="Arial"/>
                <w:sz w:val="20"/>
                <w:szCs w:val="20"/>
              </w:rPr>
              <w:t>Mejorado</w:t>
            </w:r>
          </w:p>
          <w:p w14:paraId="272F4DCA" w14:textId="5916A063" w:rsidR="00784A78" w:rsidRPr="008A26D2" w:rsidRDefault="00784A78" w:rsidP="0072651A">
            <w:pPr>
              <w:spacing w:after="0" w:line="240" w:lineRule="auto"/>
              <w:ind w:left="55"/>
              <w:jc w:val="both"/>
              <w:rPr>
                <w:rFonts w:ascii="Arial" w:eastAsia="Arial Narrow" w:hAnsi="Arial" w:cs="Arial"/>
                <w:sz w:val="20"/>
                <w:szCs w:val="20"/>
              </w:rPr>
            </w:pPr>
          </w:p>
        </w:tc>
      </w:tr>
      <w:tr w:rsidR="008A26D2" w:rsidRPr="008A26D2" w14:paraId="05717A88" w14:textId="77777777" w:rsidTr="00C939E3">
        <w:trPr>
          <w:trHeight w:val="300"/>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270E895" w14:textId="29574BF1" w:rsidR="00BE39D9" w:rsidRPr="008A26D2" w:rsidRDefault="00BE39D9"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Naturaleza del servicio:</w:t>
            </w:r>
          </w:p>
        </w:tc>
        <w:tc>
          <w:tcPr>
            <w:tcW w:w="666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0973FA5" w14:textId="7C1C5C14" w:rsidR="00BE39D9" w:rsidRPr="008A26D2" w:rsidRDefault="00434696" w:rsidP="0072651A">
            <w:pPr>
              <w:spacing w:after="0" w:line="240" w:lineRule="auto"/>
              <w:ind w:left="55"/>
              <w:jc w:val="both"/>
              <w:rPr>
                <w:rFonts w:ascii="Arial" w:eastAsia="Arial Narrow" w:hAnsi="Arial" w:cs="Arial"/>
                <w:sz w:val="20"/>
                <w:szCs w:val="20"/>
              </w:rPr>
            </w:pPr>
            <w:r w:rsidRPr="008A26D2">
              <w:rPr>
                <w:rFonts w:ascii="Arial" w:eastAsia="Arial Narrow" w:hAnsi="Arial" w:cs="Arial"/>
                <w:sz w:val="20"/>
                <w:szCs w:val="20"/>
              </w:rPr>
              <w:t>A</w:t>
            </w:r>
            <w:r w:rsidR="00BE39D9" w:rsidRPr="008A26D2">
              <w:rPr>
                <w:rFonts w:ascii="Arial" w:eastAsia="Arial Narrow" w:hAnsi="Arial" w:cs="Arial"/>
                <w:sz w:val="20"/>
                <w:szCs w:val="20"/>
              </w:rPr>
              <w:t>dministrativo</w:t>
            </w:r>
          </w:p>
        </w:tc>
      </w:tr>
      <w:tr w:rsidR="008A26D2" w:rsidRPr="008A26D2" w14:paraId="1127197D" w14:textId="77777777" w:rsidTr="00C939E3">
        <w:trPr>
          <w:trHeight w:val="300"/>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A9843F0" w14:textId="20B7E252" w:rsidR="00BE39D9" w:rsidRPr="008A26D2" w:rsidRDefault="00BE39D9"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Entrega del servicio</w:t>
            </w:r>
          </w:p>
        </w:tc>
        <w:tc>
          <w:tcPr>
            <w:tcW w:w="666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E731CDD" w14:textId="36D00FF7" w:rsidR="00BE39D9" w:rsidRPr="008A26D2" w:rsidRDefault="00BE39D9" w:rsidP="00434696">
            <w:pPr>
              <w:spacing w:after="0" w:line="240" w:lineRule="auto"/>
              <w:ind w:left="55"/>
              <w:jc w:val="both"/>
              <w:rPr>
                <w:rFonts w:ascii="Arial" w:eastAsia="Arial Narrow" w:hAnsi="Arial" w:cs="Arial"/>
                <w:sz w:val="20"/>
                <w:szCs w:val="20"/>
              </w:rPr>
            </w:pPr>
            <w:r w:rsidRPr="008A26D2">
              <w:rPr>
                <w:rFonts w:ascii="Arial" w:eastAsia="Arial Narrow" w:hAnsi="Arial" w:cs="Arial"/>
                <w:sz w:val="20"/>
                <w:szCs w:val="20"/>
              </w:rPr>
              <w:t>Competencia compartida</w:t>
            </w:r>
          </w:p>
        </w:tc>
      </w:tr>
      <w:tr w:rsidR="008A26D2" w:rsidRPr="008A26D2" w14:paraId="7AE31EC8" w14:textId="77777777" w:rsidTr="00C939E3">
        <w:trPr>
          <w:trHeight w:val="300"/>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1EBE4AE" w14:textId="77777777" w:rsidR="00CA3A85" w:rsidRPr="008A26D2" w:rsidRDefault="00CA3A85"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Descripción del servicio</w:t>
            </w:r>
          </w:p>
        </w:tc>
        <w:tc>
          <w:tcPr>
            <w:tcW w:w="666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1B08867" w14:textId="4B43FC13" w:rsidR="00CA3A85" w:rsidRPr="008A26D2" w:rsidRDefault="00CA3A85" w:rsidP="0072651A">
            <w:pPr>
              <w:spacing w:after="0" w:line="240" w:lineRule="auto"/>
              <w:ind w:left="55"/>
              <w:jc w:val="both"/>
              <w:rPr>
                <w:rFonts w:ascii="Arial" w:hAnsi="Arial" w:cs="Arial"/>
                <w:sz w:val="20"/>
                <w:szCs w:val="20"/>
              </w:rPr>
            </w:pPr>
            <w:r w:rsidRPr="008A26D2">
              <w:rPr>
                <w:rFonts w:ascii="Arial" w:eastAsia="Arial Narrow" w:hAnsi="Arial" w:cs="Arial"/>
                <w:sz w:val="20"/>
                <w:szCs w:val="20"/>
              </w:rPr>
              <w:t>El servicio consiste en el reconocimiento de hábitats críticos, ecosistemas frágiles y</w:t>
            </w:r>
            <w:r w:rsidRPr="008A26D2">
              <w:rPr>
                <w:rFonts w:ascii="Arial" w:hAnsi="Arial" w:cs="Arial"/>
                <w:sz w:val="20"/>
                <w:szCs w:val="20"/>
              </w:rPr>
              <w:t xml:space="preserve"> zonas prioritarias para la conservación de los recursos genéticos de flora y fauna silvestre,</w:t>
            </w:r>
            <w:r w:rsidRPr="008A26D2">
              <w:rPr>
                <w:rFonts w:ascii="Arial" w:eastAsia="Arial Narrow" w:hAnsi="Arial" w:cs="Arial"/>
                <w:sz w:val="20"/>
                <w:szCs w:val="20"/>
              </w:rPr>
              <w:t xml:space="preserve"> a través de un proceso de identificación de áreas priorizadas, con la participación de los </w:t>
            </w:r>
            <w:r w:rsidR="00503E8D" w:rsidRPr="008A26D2">
              <w:rPr>
                <w:rFonts w:ascii="Arial" w:eastAsia="Arial Narrow" w:hAnsi="Arial" w:cs="Arial"/>
                <w:sz w:val="20"/>
                <w:szCs w:val="20"/>
              </w:rPr>
              <w:t>g</w:t>
            </w:r>
            <w:r w:rsidRPr="008A26D2">
              <w:rPr>
                <w:rFonts w:ascii="Arial" w:eastAsia="Arial Narrow" w:hAnsi="Arial" w:cs="Arial"/>
                <w:sz w:val="20"/>
                <w:szCs w:val="20"/>
              </w:rPr>
              <w:t xml:space="preserve">obiernos </w:t>
            </w:r>
            <w:r w:rsidR="00503E8D" w:rsidRPr="008A26D2">
              <w:rPr>
                <w:rFonts w:ascii="Arial" w:eastAsia="Arial Narrow" w:hAnsi="Arial" w:cs="Arial"/>
                <w:sz w:val="20"/>
                <w:szCs w:val="20"/>
              </w:rPr>
              <w:t>r</w:t>
            </w:r>
            <w:r w:rsidRPr="008A26D2">
              <w:rPr>
                <w:rFonts w:ascii="Arial" w:eastAsia="Arial Narrow" w:hAnsi="Arial" w:cs="Arial"/>
                <w:sz w:val="20"/>
                <w:szCs w:val="20"/>
              </w:rPr>
              <w:t>egionales y otros actores locales, siendo reconocidos a través de una Resolución de Dirección Ejecutiva del Servicio Nacional Forestal y de Fauna Silvestre</w:t>
            </w:r>
            <w:r w:rsidR="0012502E" w:rsidRPr="008A26D2">
              <w:rPr>
                <w:rFonts w:ascii="Arial" w:eastAsia="Arial Narrow" w:hAnsi="Arial" w:cs="Arial"/>
                <w:sz w:val="20"/>
                <w:szCs w:val="20"/>
              </w:rPr>
              <w:t>.</w:t>
            </w:r>
          </w:p>
          <w:p w14:paraId="7C6DC32A" w14:textId="77777777" w:rsidR="00CA3A85" w:rsidRPr="008A26D2" w:rsidRDefault="00CA3A85" w:rsidP="0072651A">
            <w:pPr>
              <w:spacing w:after="0" w:line="240" w:lineRule="auto"/>
              <w:ind w:left="55"/>
              <w:jc w:val="both"/>
              <w:rPr>
                <w:rFonts w:ascii="Arial" w:eastAsia="Arial Narrow" w:hAnsi="Arial" w:cs="Arial"/>
                <w:sz w:val="20"/>
                <w:szCs w:val="20"/>
              </w:rPr>
            </w:pPr>
          </w:p>
          <w:p w14:paraId="19E51ABF" w14:textId="1603EFED" w:rsidR="00CA3A85" w:rsidRPr="008A26D2" w:rsidRDefault="00CA3A85" w:rsidP="0072651A">
            <w:pPr>
              <w:spacing w:after="0" w:line="240" w:lineRule="auto"/>
              <w:ind w:left="55"/>
              <w:jc w:val="both"/>
              <w:rPr>
                <w:rFonts w:ascii="Arial" w:hAnsi="Arial" w:cs="Arial"/>
                <w:sz w:val="20"/>
                <w:szCs w:val="20"/>
              </w:rPr>
            </w:pPr>
            <w:r w:rsidRPr="008A26D2">
              <w:rPr>
                <w:rFonts w:ascii="Arial" w:eastAsia="Arial Narrow" w:hAnsi="Arial" w:cs="Arial"/>
                <w:sz w:val="20"/>
                <w:szCs w:val="20"/>
              </w:rPr>
              <w:t>El servicio mejora la gestión de las entidades competentes en materia forestal y de fauna silvestre, la cual permitirá implementar acciones y tareas coordinadas en los hábitats críticos, ecosistemas frágiles y</w:t>
            </w:r>
            <w:r w:rsidRPr="008A26D2">
              <w:rPr>
                <w:rFonts w:ascii="Arial" w:hAnsi="Arial" w:cs="Arial"/>
                <w:sz w:val="20"/>
                <w:szCs w:val="20"/>
              </w:rPr>
              <w:t xml:space="preserve"> zonas prioritarias para la conservación de los recursos genéticos de flora y fauna silvestre asegurando su protección, recuperación y aprovechamiento sostenible.</w:t>
            </w:r>
          </w:p>
          <w:p w14:paraId="3018161D" w14:textId="6C6EAAF5" w:rsidR="00784A78" w:rsidRPr="008A26D2" w:rsidRDefault="00784A78" w:rsidP="0072651A">
            <w:pPr>
              <w:spacing w:after="0" w:line="240" w:lineRule="auto"/>
              <w:ind w:left="55"/>
              <w:jc w:val="both"/>
              <w:rPr>
                <w:rFonts w:ascii="Arial" w:hAnsi="Arial" w:cs="Arial"/>
                <w:sz w:val="20"/>
                <w:szCs w:val="20"/>
              </w:rPr>
            </w:pPr>
            <w:r w:rsidRPr="008A26D2">
              <w:rPr>
                <w:rFonts w:ascii="Arial" w:hAnsi="Arial" w:cs="Arial"/>
                <w:sz w:val="20"/>
                <w:szCs w:val="20"/>
              </w:rPr>
              <w:t>El servicio es mejorado porque hará uso de herramientas tecnológicas además de articular con otros procesos de ordenamiento territorial en curso a nivel regional.</w:t>
            </w:r>
          </w:p>
          <w:p w14:paraId="053FC7DD" w14:textId="77777777" w:rsidR="00CA3A85" w:rsidRPr="008A26D2" w:rsidRDefault="00CA3A85" w:rsidP="0072651A">
            <w:pPr>
              <w:spacing w:after="0" w:line="240" w:lineRule="auto"/>
              <w:ind w:left="55"/>
              <w:jc w:val="both"/>
              <w:rPr>
                <w:rFonts w:ascii="Arial" w:eastAsia="Arial Narrow" w:hAnsi="Arial" w:cs="Arial"/>
                <w:sz w:val="20"/>
                <w:szCs w:val="20"/>
              </w:rPr>
            </w:pPr>
          </w:p>
        </w:tc>
      </w:tr>
      <w:tr w:rsidR="008A26D2" w:rsidRPr="008A26D2" w14:paraId="37713F9F" w14:textId="77777777" w:rsidTr="00C939E3">
        <w:trPr>
          <w:trHeight w:val="300"/>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620D304" w14:textId="77777777" w:rsidR="00CA3A85" w:rsidRPr="008A26D2" w:rsidRDefault="00CA3A85"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Proveedor del servicio</w:t>
            </w:r>
          </w:p>
        </w:tc>
        <w:tc>
          <w:tcPr>
            <w:tcW w:w="666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44C441A" w14:textId="77777777" w:rsidR="00CA3A85" w:rsidRPr="008A26D2" w:rsidRDefault="00CA3A85" w:rsidP="0072651A">
            <w:pPr>
              <w:spacing w:after="0" w:line="240" w:lineRule="auto"/>
              <w:ind w:left="55"/>
              <w:jc w:val="both"/>
              <w:rPr>
                <w:rFonts w:ascii="Arial" w:eastAsia="Arial Narrow" w:hAnsi="Arial" w:cs="Arial"/>
                <w:sz w:val="20"/>
                <w:szCs w:val="20"/>
              </w:rPr>
            </w:pPr>
            <w:r w:rsidRPr="008A26D2">
              <w:rPr>
                <w:rFonts w:ascii="Arial" w:eastAsia="Arial Narrow" w:hAnsi="Arial" w:cs="Arial"/>
                <w:sz w:val="20"/>
                <w:szCs w:val="20"/>
              </w:rPr>
              <w:t>Servicio Nacional Forestal y de Fauna Silvestre - SERFOR,</w:t>
            </w:r>
          </w:p>
          <w:p w14:paraId="5CDD78D4" w14:textId="78706A2C" w:rsidR="00CA3A85" w:rsidRPr="008A26D2" w:rsidRDefault="00CA3A85" w:rsidP="0072651A">
            <w:pPr>
              <w:pBdr>
                <w:top w:val="nil"/>
                <w:left w:val="nil"/>
                <w:bottom w:val="nil"/>
                <w:right w:val="nil"/>
                <w:between w:val="nil"/>
              </w:pBdr>
              <w:spacing w:after="0" w:line="240" w:lineRule="auto"/>
              <w:ind w:left="55"/>
              <w:jc w:val="both"/>
              <w:rPr>
                <w:rFonts w:ascii="Arial" w:eastAsia="Arial Narrow" w:hAnsi="Arial" w:cs="Arial"/>
                <w:sz w:val="20"/>
                <w:szCs w:val="20"/>
              </w:rPr>
            </w:pPr>
            <w:r w:rsidRPr="008A26D2">
              <w:rPr>
                <w:rFonts w:ascii="Arial" w:eastAsia="Arial Narrow" w:hAnsi="Arial" w:cs="Arial"/>
                <w:sz w:val="20"/>
                <w:szCs w:val="20"/>
              </w:rPr>
              <w:t>Gobierno</w:t>
            </w:r>
            <w:r w:rsidR="00874B39" w:rsidRPr="008A26D2">
              <w:rPr>
                <w:rFonts w:ascii="Arial" w:eastAsia="Arial Narrow" w:hAnsi="Arial" w:cs="Arial"/>
                <w:sz w:val="20"/>
                <w:szCs w:val="20"/>
              </w:rPr>
              <w:t>s</w:t>
            </w:r>
            <w:r w:rsidRPr="008A26D2">
              <w:rPr>
                <w:rFonts w:ascii="Arial" w:eastAsia="Arial Narrow" w:hAnsi="Arial" w:cs="Arial"/>
                <w:sz w:val="20"/>
                <w:szCs w:val="20"/>
              </w:rPr>
              <w:t xml:space="preserve"> Regional</w:t>
            </w:r>
            <w:r w:rsidR="00874B39" w:rsidRPr="008A26D2">
              <w:rPr>
                <w:rFonts w:ascii="Arial" w:eastAsia="Arial Narrow" w:hAnsi="Arial" w:cs="Arial"/>
                <w:sz w:val="20"/>
                <w:szCs w:val="20"/>
              </w:rPr>
              <w:t>es</w:t>
            </w:r>
            <w:r w:rsidRPr="008A26D2">
              <w:rPr>
                <w:rFonts w:ascii="Arial" w:eastAsia="Arial Narrow" w:hAnsi="Arial" w:cs="Arial"/>
                <w:sz w:val="20"/>
                <w:szCs w:val="20"/>
              </w:rPr>
              <w:t xml:space="preserve"> - GORE.</w:t>
            </w:r>
          </w:p>
        </w:tc>
      </w:tr>
      <w:tr w:rsidR="008A26D2" w:rsidRPr="008A26D2" w14:paraId="56232D81" w14:textId="77777777" w:rsidTr="00F76EC6">
        <w:trPr>
          <w:trHeight w:val="300"/>
          <w:jc w:val="center"/>
        </w:trPr>
        <w:tc>
          <w:tcPr>
            <w:tcW w:w="1984" w:type="dxa"/>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2BC725A4" w14:textId="77777777" w:rsidR="00B733D6" w:rsidRPr="008A26D2" w:rsidRDefault="00B733D6" w:rsidP="004D58E2">
            <w:pPr>
              <w:spacing w:after="0" w:line="240" w:lineRule="auto"/>
              <w:rPr>
                <w:rFonts w:ascii="Arial" w:hAnsi="Arial" w:cs="Arial"/>
                <w:b/>
                <w:sz w:val="20"/>
                <w:szCs w:val="20"/>
              </w:rPr>
            </w:pPr>
            <w:r w:rsidRPr="008A26D2">
              <w:rPr>
                <w:rFonts w:ascii="Arial" w:hAnsi="Arial" w:cs="Arial"/>
                <w:b/>
                <w:sz w:val="20"/>
                <w:szCs w:val="20"/>
              </w:rPr>
              <w:t>Nivel (es) de gobierno que interviene</w:t>
            </w:r>
          </w:p>
          <w:p w14:paraId="4041DA39" w14:textId="6ABCA7E0" w:rsidR="00B733D6" w:rsidRPr="008A26D2" w:rsidRDefault="00B733D6" w:rsidP="004D58E2">
            <w:pPr>
              <w:spacing w:after="0" w:line="240" w:lineRule="auto"/>
              <w:rPr>
                <w:rFonts w:ascii="Arial" w:hAnsi="Arial" w:cs="Arial"/>
                <w:b/>
                <w:sz w:val="20"/>
                <w:szCs w:val="20"/>
              </w:rPr>
            </w:pPr>
            <w:r w:rsidRPr="008A26D2">
              <w:rPr>
                <w:rFonts w:ascii="Arial" w:hAnsi="Arial" w:cs="Arial"/>
                <w:b/>
                <w:sz w:val="20"/>
                <w:szCs w:val="20"/>
              </w:rPr>
              <w:t>(n) en la provisión del servicio</w:t>
            </w:r>
          </w:p>
        </w:tc>
        <w:tc>
          <w:tcPr>
            <w:tcW w:w="222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4F3580A" w14:textId="169D91E2" w:rsidR="00B733D6" w:rsidRPr="008A26D2" w:rsidRDefault="00B733D6" w:rsidP="00023D11">
            <w:pPr>
              <w:spacing w:after="0" w:line="240" w:lineRule="auto"/>
              <w:ind w:left="55"/>
              <w:jc w:val="center"/>
              <w:rPr>
                <w:rFonts w:ascii="Arial" w:eastAsia="Arial Narrow" w:hAnsi="Arial" w:cs="Arial"/>
                <w:sz w:val="20"/>
                <w:szCs w:val="20"/>
              </w:rPr>
            </w:pPr>
            <w:r w:rsidRPr="008A26D2">
              <w:rPr>
                <w:rFonts w:ascii="Arial" w:eastAsia="Arial Narrow" w:hAnsi="Arial" w:cs="Arial"/>
                <w:sz w:val="20"/>
                <w:szCs w:val="20"/>
              </w:rPr>
              <w:t>Nacional</w:t>
            </w:r>
          </w:p>
        </w:tc>
        <w:tc>
          <w:tcPr>
            <w:tcW w:w="22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85457B" w14:textId="1D9F36BE" w:rsidR="00B733D6" w:rsidRPr="008A26D2" w:rsidRDefault="00B733D6" w:rsidP="00023D11">
            <w:pPr>
              <w:spacing w:after="0" w:line="240" w:lineRule="auto"/>
              <w:ind w:left="55"/>
              <w:jc w:val="center"/>
              <w:rPr>
                <w:rFonts w:ascii="Arial" w:eastAsia="Arial Narrow" w:hAnsi="Arial" w:cs="Arial"/>
                <w:sz w:val="20"/>
                <w:szCs w:val="20"/>
              </w:rPr>
            </w:pPr>
            <w:r w:rsidRPr="008A26D2">
              <w:rPr>
                <w:rFonts w:ascii="Arial" w:eastAsia="Arial Narrow" w:hAnsi="Arial" w:cs="Arial"/>
                <w:sz w:val="20"/>
                <w:szCs w:val="20"/>
              </w:rPr>
              <w:t>Regional</w:t>
            </w:r>
          </w:p>
        </w:tc>
        <w:tc>
          <w:tcPr>
            <w:tcW w:w="22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5D94D3" w14:textId="717FF274" w:rsidR="00B733D6" w:rsidRPr="008A26D2" w:rsidRDefault="00B733D6" w:rsidP="00023D11">
            <w:pPr>
              <w:spacing w:after="0" w:line="240" w:lineRule="auto"/>
              <w:ind w:left="55"/>
              <w:jc w:val="center"/>
              <w:rPr>
                <w:rFonts w:ascii="Arial" w:eastAsia="Arial Narrow" w:hAnsi="Arial" w:cs="Arial"/>
                <w:sz w:val="20"/>
                <w:szCs w:val="20"/>
              </w:rPr>
            </w:pPr>
            <w:r w:rsidRPr="008A26D2">
              <w:rPr>
                <w:rFonts w:ascii="Arial" w:eastAsia="Arial Narrow" w:hAnsi="Arial" w:cs="Arial"/>
                <w:sz w:val="20"/>
                <w:szCs w:val="20"/>
              </w:rPr>
              <w:t>Local</w:t>
            </w:r>
          </w:p>
        </w:tc>
      </w:tr>
      <w:tr w:rsidR="008A26D2" w:rsidRPr="008A26D2" w14:paraId="481C2E95" w14:textId="77777777" w:rsidTr="00F4026E">
        <w:trPr>
          <w:trHeight w:val="300"/>
          <w:jc w:val="center"/>
        </w:trPr>
        <w:tc>
          <w:tcPr>
            <w:tcW w:w="1984" w:type="dxa"/>
            <w:vMerge/>
            <w:tcBorders>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E09806D" w14:textId="77777777" w:rsidR="00B733D6" w:rsidRPr="008A26D2" w:rsidRDefault="00B733D6" w:rsidP="00BE39D9">
            <w:pPr>
              <w:spacing w:after="0" w:line="240" w:lineRule="auto"/>
              <w:rPr>
                <w:rFonts w:ascii="Arial" w:hAnsi="Arial" w:cs="Arial"/>
                <w:b/>
                <w:sz w:val="20"/>
                <w:szCs w:val="20"/>
              </w:rPr>
            </w:pPr>
          </w:p>
        </w:tc>
        <w:tc>
          <w:tcPr>
            <w:tcW w:w="222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07A5B82" w14:textId="25A13F85" w:rsidR="00B733D6" w:rsidRPr="008A26D2" w:rsidRDefault="00023D11" w:rsidP="00023D11">
            <w:pPr>
              <w:spacing w:after="0" w:line="240" w:lineRule="auto"/>
              <w:ind w:left="55"/>
              <w:jc w:val="center"/>
              <w:rPr>
                <w:rFonts w:ascii="Arial" w:eastAsia="Arial Narrow" w:hAnsi="Arial" w:cs="Arial"/>
                <w:sz w:val="20"/>
                <w:szCs w:val="20"/>
              </w:rPr>
            </w:pPr>
            <w:r w:rsidRPr="008A26D2">
              <w:rPr>
                <w:rFonts w:ascii="Arial" w:eastAsia="Arial Narrow" w:hAnsi="Arial" w:cs="Arial"/>
                <w:sz w:val="20"/>
                <w:szCs w:val="20"/>
              </w:rPr>
              <w:t>X</w:t>
            </w:r>
          </w:p>
        </w:tc>
        <w:tc>
          <w:tcPr>
            <w:tcW w:w="22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54234" w14:textId="021EC381" w:rsidR="00B733D6" w:rsidRPr="008A26D2" w:rsidRDefault="00023D11" w:rsidP="00023D11">
            <w:pPr>
              <w:spacing w:after="0" w:line="240" w:lineRule="auto"/>
              <w:ind w:left="55"/>
              <w:jc w:val="center"/>
              <w:rPr>
                <w:rFonts w:ascii="Arial" w:eastAsia="Arial Narrow" w:hAnsi="Arial" w:cs="Arial"/>
                <w:sz w:val="20"/>
                <w:szCs w:val="20"/>
              </w:rPr>
            </w:pPr>
            <w:r w:rsidRPr="008A26D2">
              <w:rPr>
                <w:rFonts w:ascii="Arial" w:eastAsia="Arial Narrow" w:hAnsi="Arial" w:cs="Arial"/>
                <w:sz w:val="20"/>
                <w:szCs w:val="20"/>
              </w:rPr>
              <w:t>X</w:t>
            </w:r>
          </w:p>
        </w:tc>
        <w:tc>
          <w:tcPr>
            <w:tcW w:w="22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90D3DA" w14:textId="5A8AF8DF" w:rsidR="00B733D6" w:rsidRPr="008A26D2" w:rsidRDefault="00B733D6" w:rsidP="00023D11">
            <w:pPr>
              <w:spacing w:after="0" w:line="240" w:lineRule="auto"/>
              <w:ind w:left="55"/>
              <w:jc w:val="center"/>
              <w:rPr>
                <w:rFonts w:ascii="Arial" w:eastAsia="Arial Narrow" w:hAnsi="Arial" w:cs="Arial"/>
                <w:sz w:val="20"/>
                <w:szCs w:val="20"/>
              </w:rPr>
            </w:pPr>
          </w:p>
        </w:tc>
      </w:tr>
      <w:tr w:rsidR="008A26D2" w:rsidRPr="008A26D2" w14:paraId="5AA00D9A" w14:textId="77777777" w:rsidTr="00C939E3">
        <w:trPr>
          <w:trHeight w:val="300"/>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EA2921A" w14:textId="77777777" w:rsidR="00CA3A85" w:rsidRPr="008A26D2" w:rsidRDefault="00CA3A85"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Receptor del servicio</w:t>
            </w:r>
          </w:p>
        </w:tc>
        <w:tc>
          <w:tcPr>
            <w:tcW w:w="666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DCBB309" w14:textId="77777777" w:rsidR="00CA3A85" w:rsidRPr="008A26D2" w:rsidRDefault="00CA3A85" w:rsidP="0072651A">
            <w:pPr>
              <w:pBdr>
                <w:top w:val="nil"/>
                <w:left w:val="nil"/>
                <w:bottom w:val="nil"/>
                <w:right w:val="nil"/>
                <w:between w:val="nil"/>
              </w:pBdr>
              <w:spacing w:after="0" w:line="240" w:lineRule="auto"/>
              <w:ind w:left="55"/>
              <w:jc w:val="both"/>
              <w:rPr>
                <w:rFonts w:ascii="Arial" w:eastAsia="Arial Narrow" w:hAnsi="Arial" w:cs="Arial"/>
                <w:sz w:val="20"/>
                <w:szCs w:val="20"/>
              </w:rPr>
            </w:pPr>
            <w:r w:rsidRPr="008A26D2">
              <w:rPr>
                <w:rFonts w:ascii="Arial" w:eastAsia="Arial Narrow" w:hAnsi="Arial" w:cs="Arial"/>
                <w:sz w:val="20"/>
                <w:szCs w:val="20"/>
              </w:rPr>
              <w:t>Entidades con competencias en materia forestal y de fauna silvestre</w:t>
            </w:r>
          </w:p>
        </w:tc>
      </w:tr>
      <w:tr w:rsidR="008A26D2" w:rsidRPr="008A26D2" w14:paraId="56B625B4" w14:textId="77777777" w:rsidTr="00C939E3">
        <w:trPr>
          <w:trHeight w:val="211"/>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936A2AA" w14:textId="77777777" w:rsidR="00CA3A85" w:rsidRPr="008A26D2" w:rsidRDefault="00CA3A85"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Alcance del servicio </w:t>
            </w:r>
          </w:p>
        </w:tc>
        <w:tc>
          <w:tcPr>
            <w:tcW w:w="666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00B25CE" w14:textId="77777777" w:rsidR="00CA3A85" w:rsidRPr="008A26D2" w:rsidRDefault="00CA3A85" w:rsidP="0072651A">
            <w:pPr>
              <w:pBdr>
                <w:top w:val="nil"/>
                <w:left w:val="nil"/>
                <w:bottom w:val="nil"/>
                <w:right w:val="nil"/>
                <w:between w:val="nil"/>
              </w:pBdr>
              <w:spacing w:after="0" w:line="240" w:lineRule="auto"/>
              <w:ind w:left="55"/>
              <w:jc w:val="both"/>
              <w:rPr>
                <w:rFonts w:ascii="Arial" w:eastAsia="Arial Narrow" w:hAnsi="Arial" w:cs="Arial"/>
                <w:sz w:val="20"/>
                <w:szCs w:val="20"/>
              </w:rPr>
            </w:pPr>
            <w:r w:rsidRPr="008A26D2">
              <w:rPr>
                <w:rFonts w:ascii="Arial" w:eastAsia="Arial Narrow" w:hAnsi="Arial" w:cs="Arial"/>
                <w:sz w:val="20"/>
                <w:szCs w:val="20"/>
              </w:rPr>
              <w:t>Nacional</w:t>
            </w:r>
          </w:p>
        </w:tc>
      </w:tr>
      <w:tr w:rsidR="008A26D2" w:rsidRPr="008A26D2" w14:paraId="1F15993C" w14:textId="77777777" w:rsidTr="00C939E3">
        <w:trPr>
          <w:trHeight w:val="62"/>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4D14A60" w14:textId="77777777" w:rsidR="00CA3A85" w:rsidRPr="008A26D2" w:rsidRDefault="00CA3A85"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Estándar (es) de cumplimiento</w:t>
            </w:r>
          </w:p>
        </w:tc>
        <w:tc>
          <w:tcPr>
            <w:tcW w:w="666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C1F1281" w14:textId="77777777" w:rsidR="00CA3A85" w:rsidRPr="008A26D2" w:rsidRDefault="00CA3A85" w:rsidP="0072651A">
            <w:pPr>
              <w:pBdr>
                <w:top w:val="nil"/>
                <w:left w:val="nil"/>
                <w:bottom w:val="nil"/>
                <w:right w:val="nil"/>
                <w:between w:val="nil"/>
              </w:pBdr>
              <w:spacing w:after="0" w:line="240" w:lineRule="auto"/>
              <w:ind w:left="55"/>
              <w:rPr>
                <w:rFonts w:ascii="Arial" w:hAnsi="Arial" w:cs="Arial"/>
                <w:sz w:val="20"/>
                <w:szCs w:val="20"/>
              </w:rPr>
            </w:pPr>
            <w:r w:rsidRPr="008A26D2">
              <w:rPr>
                <w:rFonts w:ascii="Arial" w:eastAsia="Arial Narrow" w:hAnsi="Arial" w:cs="Arial"/>
                <w:sz w:val="20"/>
                <w:szCs w:val="20"/>
              </w:rPr>
              <w:t>Fiabilidad</w:t>
            </w:r>
          </w:p>
        </w:tc>
      </w:tr>
      <w:tr w:rsidR="008A26D2" w:rsidRPr="008A26D2" w14:paraId="2D0EE1F5" w14:textId="77777777" w:rsidTr="000C49B7">
        <w:trPr>
          <w:trHeight w:val="1118"/>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AA45962" w14:textId="77777777" w:rsidR="00CA3A85" w:rsidRPr="008A26D2" w:rsidRDefault="00CA3A85"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lastRenderedPageBreak/>
              <w:t xml:space="preserve"> Descripción del estándar</w:t>
            </w:r>
          </w:p>
        </w:tc>
        <w:tc>
          <w:tcPr>
            <w:tcW w:w="666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35" w:type="dxa"/>
              <w:bottom w:w="0" w:type="dxa"/>
              <w:right w:w="15" w:type="dxa"/>
            </w:tcMar>
            <w:vAlign w:val="center"/>
          </w:tcPr>
          <w:p w14:paraId="2E05BC20" w14:textId="7381ECB6" w:rsidR="00CA3A85" w:rsidRPr="008A26D2" w:rsidRDefault="00CA3A85" w:rsidP="0072651A">
            <w:pPr>
              <w:pBdr>
                <w:top w:val="nil"/>
                <w:left w:val="nil"/>
                <w:bottom w:val="nil"/>
                <w:right w:val="nil"/>
                <w:between w:val="nil"/>
              </w:pBdr>
              <w:spacing w:after="0" w:line="240" w:lineRule="auto"/>
              <w:ind w:left="-65"/>
              <w:jc w:val="both"/>
              <w:rPr>
                <w:rFonts w:ascii="Arial" w:eastAsia="Arial Narrow" w:hAnsi="Arial" w:cs="Arial"/>
                <w:sz w:val="20"/>
                <w:szCs w:val="20"/>
              </w:rPr>
            </w:pPr>
            <w:r w:rsidRPr="008A26D2">
              <w:rPr>
                <w:rFonts w:ascii="Arial" w:eastAsia="Arial Narrow" w:hAnsi="Arial" w:cs="Arial"/>
                <w:sz w:val="20"/>
                <w:szCs w:val="20"/>
              </w:rPr>
              <w:t>El estándar permitirá la evaluación de los expedientes técnicos para la identificación de áreas como hábitats críticos, ecosistemas frágiles y</w:t>
            </w:r>
            <w:r w:rsidRPr="008A26D2">
              <w:rPr>
                <w:rFonts w:ascii="Arial" w:hAnsi="Arial" w:cs="Arial"/>
                <w:sz w:val="20"/>
                <w:szCs w:val="20"/>
              </w:rPr>
              <w:t xml:space="preserve"> zonas prioritarias para la conservación de los recursos genéticos de flora y fauna silvestre</w:t>
            </w:r>
            <w:r w:rsidR="00DA4742" w:rsidRPr="008A26D2">
              <w:rPr>
                <w:rFonts w:ascii="Arial" w:hAnsi="Arial" w:cs="Arial"/>
                <w:sz w:val="20"/>
                <w:szCs w:val="20"/>
              </w:rPr>
              <w:t>,</w:t>
            </w:r>
            <w:r w:rsidRPr="008A26D2">
              <w:rPr>
                <w:rFonts w:ascii="Arial" w:hAnsi="Arial" w:cs="Arial"/>
                <w:sz w:val="20"/>
                <w:szCs w:val="20"/>
              </w:rPr>
              <w:t xml:space="preserve"> </w:t>
            </w:r>
            <w:r w:rsidRPr="008A26D2">
              <w:rPr>
                <w:rFonts w:ascii="Arial" w:eastAsia="Arial Narrow" w:hAnsi="Arial" w:cs="Arial"/>
                <w:sz w:val="20"/>
                <w:szCs w:val="20"/>
              </w:rPr>
              <w:t xml:space="preserve">considerando los criterios establecidos en la normativa aprobados para su reconocimiento conforme a la Resolución de Dirección Ejecutiva N° 261-2019-MIDAGRI-SERFOR-DE; N° 287-2018-MIDAGRI-SERFOR-DE y el Decreto Supremo N° 019-2021-MINAM. </w:t>
            </w:r>
          </w:p>
        </w:tc>
      </w:tr>
      <w:tr w:rsidR="00CA3A85" w:rsidRPr="008A26D2" w14:paraId="527D10F3" w14:textId="77777777" w:rsidTr="00C939E3">
        <w:trPr>
          <w:trHeight w:val="491"/>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tcPr>
          <w:p w14:paraId="2EFF2EAD" w14:textId="646EEBB7" w:rsidR="00CA3A85" w:rsidRPr="008A26D2" w:rsidRDefault="00CA3A85"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Indicador </w:t>
            </w:r>
            <w:r w:rsidR="00B733D6" w:rsidRPr="008A26D2">
              <w:rPr>
                <w:rFonts w:ascii="Arial" w:hAnsi="Arial" w:cs="Arial"/>
                <w:b/>
                <w:sz w:val="20"/>
                <w:szCs w:val="20"/>
              </w:rPr>
              <w:t>de calidad</w:t>
            </w:r>
          </w:p>
        </w:tc>
        <w:tc>
          <w:tcPr>
            <w:tcW w:w="666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tcPr>
          <w:p w14:paraId="0EAE5EF2" w14:textId="77777777" w:rsidR="00CA3A85" w:rsidRPr="008A26D2" w:rsidRDefault="00CA3A85" w:rsidP="0072651A">
            <w:pPr>
              <w:pBdr>
                <w:top w:val="nil"/>
                <w:left w:val="nil"/>
                <w:bottom w:val="nil"/>
                <w:right w:val="nil"/>
                <w:between w:val="nil"/>
              </w:pBdr>
              <w:spacing w:after="0" w:line="240" w:lineRule="auto"/>
              <w:ind w:left="55"/>
              <w:jc w:val="both"/>
              <w:rPr>
                <w:rFonts w:ascii="Arial" w:hAnsi="Arial" w:cs="Arial"/>
                <w:sz w:val="20"/>
                <w:szCs w:val="20"/>
              </w:rPr>
            </w:pPr>
            <w:r w:rsidRPr="008A26D2">
              <w:rPr>
                <w:rFonts w:ascii="Arial" w:eastAsia="Arial Narrow" w:hAnsi="Arial" w:cs="Arial"/>
                <w:sz w:val="20"/>
                <w:szCs w:val="20"/>
              </w:rPr>
              <w:t>Porcentaje de expedientes técnicos sobre reconocimiento de hábitats críticos, ecosistemas frágiles o</w:t>
            </w:r>
            <w:r w:rsidRPr="008A26D2">
              <w:rPr>
                <w:rFonts w:ascii="Arial" w:hAnsi="Arial" w:cs="Arial"/>
                <w:sz w:val="20"/>
                <w:szCs w:val="20"/>
              </w:rPr>
              <w:t xml:space="preserve"> zonas prioritarias para la conservación de los recursos genéticos de flora y fauna silvestre</w:t>
            </w:r>
            <w:r w:rsidRPr="008A26D2">
              <w:rPr>
                <w:rFonts w:ascii="Arial" w:eastAsia="Arial Narrow" w:hAnsi="Arial" w:cs="Arial"/>
                <w:sz w:val="20"/>
                <w:szCs w:val="20"/>
              </w:rPr>
              <w:t xml:space="preserve"> aprobados de forma fiable.</w:t>
            </w:r>
          </w:p>
        </w:tc>
      </w:tr>
    </w:tbl>
    <w:p w14:paraId="071C6124" w14:textId="77777777" w:rsidR="00CA3A85" w:rsidRPr="000C49B7" w:rsidRDefault="00CA3A85" w:rsidP="000D1705">
      <w:pPr>
        <w:tabs>
          <w:tab w:val="left" w:pos="3375"/>
        </w:tabs>
        <w:rPr>
          <w:rFonts w:ascii="Arial Narrow" w:eastAsia="Arial Narrow" w:hAnsi="Arial Narrow" w:cs="Arial Narrow"/>
          <w:b/>
        </w:rPr>
      </w:pPr>
    </w:p>
    <w:p w14:paraId="7264A04E" w14:textId="57FFD2B7" w:rsidR="00C939E3" w:rsidRPr="000C49B7" w:rsidRDefault="00C939E3" w:rsidP="00C939E3">
      <w:pPr>
        <w:pBdr>
          <w:top w:val="nil"/>
          <w:left w:val="nil"/>
          <w:bottom w:val="nil"/>
          <w:right w:val="nil"/>
          <w:between w:val="nil"/>
        </w:pBdr>
        <w:spacing w:after="0" w:line="240" w:lineRule="auto"/>
        <w:jc w:val="both"/>
        <w:rPr>
          <w:rFonts w:ascii="Arial" w:eastAsia="Arial Narrow" w:hAnsi="Arial" w:cs="Arial"/>
        </w:rPr>
      </w:pPr>
      <w:r w:rsidRPr="000C49B7">
        <w:rPr>
          <w:rFonts w:ascii="Arial" w:eastAsia="Arial Narrow" w:hAnsi="Arial" w:cs="Arial"/>
          <w:b/>
          <w:bCs/>
        </w:rPr>
        <w:t>S1.1.</w:t>
      </w:r>
      <w:r w:rsidR="00752F74" w:rsidRPr="000C49B7">
        <w:rPr>
          <w:rFonts w:ascii="Arial" w:eastAsia="Arial Narrow" w:hAnsi="Arial" w:cs="Arial"/>
          <w:b/>
          <w:bCs/>
        </w:rPr>
        <w:t>2</w:t>
      </w:r>
      <w:r w:rsidRPr="000C49B7">
        <w:rPr>
          <w:rFonts w:ascii="Arial" w:eastAsia="Arial Narrow" w:hAnsi="Arial" w:cs="Arial"/>
        </w:rPr>
        <w:t xml:space="preserve"> </w:t>
      </w:r>
      <w:r w:rsidR="000C49B7" w:rsidRPr="000C49B7">
        <w:rPr>
          <w:rFonts w:ascii="Arial" w:eastAsia="Arial Narrow" w:hAnsi="Arial" w:cs="Arial"/>
        </w:rPr>
        <w:t>Vigilancia y monitoreo de las enfermedades que afectan a la fauna silvestre y de agentes zoonóticos potenciales de forma continua en beneficio de la población</w:t>
      </w:r>
    </w:p>
    <w:p w14:paraId="143F5395" w14:textId="26ED136F" w:rsidR="00E5011C" w:rsidRPr="008A26D2" w:rsidRDefault="00E5011C">
      <w:pPr>
        <w:rPr>
          <w:rFonts w:ascii="Arial Narrow" w:eastAsia="Arial Narrow" w:hAnsi="Arial Narrow" w:cs="Arial Narrow"/>
          <w:b/>
        </w:rPr>
      </w:pPr>
    </w:p>
    <w:tbl>
      <w:tblPr>
        <w:tblW w:w="8291" w:type="dxa"/>
        <w:jc w:val="center"/>
        <w:tblLayout w:type="fixed"/>
        <w:tblLook w:val="0600" w:firstRow="0" w:lastRow="0" w:firstColumn="0" w:lastColumn="0" w:noHBand="1" w:noVBand="1"/>
      </w:tblPr>
      <w:tblGrid>
        <w:gridCol w:w="1902"/>
        <w:gridCol w:w="2129"/>
        <w:gridCol w:w="2130"/>
        <w:gridCol w:w="2130"/>
      </w:tblGrid>
      <w:tr w:rsidR="008A26D2" w:rsidRPr="008A26D2" w14:paraId="17C5FBC7" w14:textId="77777777" w:rsidTr="0012502E">
        <w:trPr>
          <w:trHeight w:val="301"/>
          <w:jc w:val="center"/>
        </w:trPr>
        <w:tc>
          <w:tcPr>
            <w:tcW w:w="8291"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center"/>
          </w:tcPr>
          <w:p w14:paraId="171EE864" w14:textId="181CB16A" w:rsidR="00C939E3" w:rsidRPr="008A26D2" w:rsidRDefault="00C939E3" w:rsidP="0072651A">
            <w:pPr>
              <w:jc w:val="center"/>
              <w:rPr>
                <w:rFonts w:ascii="Arial" w:hAnsi="Arial" w:cs="Arial"/>
                <w:sz w:val="20"/>
                <w:szCs w:val="20"/>
              </w:rPr>
            </w:pPr>
            <w:r w:rsidRPr="008A26D2">
              <w:rPr>
                <w:rFonts w:ascii="Arial" w:hAnsi="Arial" w:cs="Arial"/>
                <w:b/>
                <w:sz w:val="20"/>
                <w:szCs w:val="20"/>
              </w:rPr>
              <w:t xml:space="preserve">FICHA DEL SERVICIO </w:t>
            </w:r>
          </w:p>
        </w:tc>
      </w:tr>
      <w:tr w:rsidR="008A26D2" w:rsidRPr="008A26D2" w14:paraId="0C3A9D60" w14:textId="77777777" w:rsidTr="00547C5B">
        <w:trPr>
          <w:trHeight w:val="301"/>
          <w:jc w:val="center"/>
        </w:trPr>
        <w:tc>
          <w:tcPr>
            <w:tcW w:w="19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158C4A8" w14:textId="77777777" w:rsidR="00C939E3" w:rsidRPr="008A26D2" w:rsidRDefault="00C939E3"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Objetivo prioritario:</w:t>
            </w:r>
          </w:p>
        </w:tc>
        <w:tc>
          <w:tcPr>
            <w:tcW w:w="638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57D1FD2" w14:textId="77777777" w:rsidR="00C939E3" w:rsidRPr="008A26D2" w:rsidRDefault="00C939E3" w:rsidP="0072651A">
            <w:pPr>
              <w:pBdr>
                <w:top w:val="nil"/>
                <w:left w:val="nil"/>
                <w:bottom w:val="nil"/>
                <w:right w:val="nil"/>
                <w:between w:val="nil"/>
              </w:pBdr>
              <w:spacing w:after="0" w:line="240" w:lineRule="auto"/>
              <w:jc w:val="both"/>
              <w:rPr>
                <w:rFonts w:ascii="Arial" w:hAnsi="Arial" w:cs="Arial"/>
                <w:sz w:val="20"/>
                <w:szCs w:val="20"/>
              </w:rPr>
            </w:pPr>
            <w:r w:rsidRPr="008A26D2">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r>
      <w:tr w:rsidR="008A26D2" w:rsidRPr="008A26D2" w14:paraId="38D1638D" w14:textId="77777777" w:rsidTr="00547C5B">
        <w:trPr>
          <w:trHeight w:val="301"/>
          <w:jc w:val="center"/>
        </w:trPr>
        <w:tc>
          <w:tcPr>
            <w:tcW w:w="19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FB4166F" w14:textId="77777777" w:rsidR="00C939E3" w:rsidRPr="008A26D2" w:rsidRDefault="00C939E3"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Lineamiento:</w:t>
            </w:r>
          </w:p>
        </w:tc>
        <w:tc>
          <w:tcPr>
            <w:tcW w:w="638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ACD80C1" w14:textId="77777777" w:rsidR="00C939E3" w:rsidRPr="008A26D2" w:rsidRDefault="00C939E3" w:rsidP="0072651A">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L1.1 Fortalecer la protección y recuperación de ecosistemas forestales y otros ecosistemas de vegetación silvestre, así como las especies de fauna silvestre y sus hábitats coadyuvando a la mitigación del cambio climático</w:t>
            </w:r>
          </w:p>
        </w:tc>
      </w:tr>
      <w:tr w:rsidR="008A26D2" w:rsidRPr="008A26D2" w14:paraId="695BD2AD" w14:textId="77777777" w:rsidTr="00547C5B">
        <w:trPr>
          <w:trHeight w:val="301"/>
          <w:jc w:val="center"/>
        </w:trPr>
        <w:tc>
          <w:tcPr>
            <w:tcW w:w="19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3E4E061" w14:textId="77777777" w:rsidR="00C939E3" w:rsidRPr="008A26D2" w:rsidRDefault="00C939E3"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Nombre del servicio:</w:t>
            </w:r>
          </w:p>
        </w:tc>
        <w:tc>
          <w:tcPr>
            <w:tcW w:w="638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C52CD3D" w14:textId="214B9DE4" w:rsidR="00C939E3" w:rsidRPr="008A26D2" w:rsidRDefault="00C939E3" w:rsidP="0072651A">
            <w:pPr>
              <w:pBdr>
                <w:top w:val="nil"/>
                <w:left w:val="nil"/>
                <w:bottom w:val="nil"/>
                <w:right w:val="nil"/>
                <w:between w:val="nil"/>
              </w:pBdr>
              <w:spacing w:after="0" w:line="240" w:lineRule="auto"/>
              <w:jc w:val="both"/>
              <w:rPr>
                <w:rFonts w:ascii="Arial" w:eastAsia="Arial Narrow" w:hAnsi="Arial" w:cs="Arial"/>
                <w:sz w:val="20"/>
                <w:szCs w:val="20"/>
              </w:rPr>
            </w:pPr>
            <w:bookmarkStart w:id="1" w:name="_Hlk130209393"/>
            <w:r w:rsidRPr="008A26D2">
              <w:rPr>
                <w:rFonts w:ascii="Arial" w:eastAsia="Arial Narrow" w:hAnsi="Arial" w:cs="Arial"/>
                <w:sz w:val="20"/>
                <w:szCs w:val="20"/>
              </w:rPr>
              <w:t>S1.1.</w:t>
            </w:r>
            <w:r w:rsidR="00752F74" w:rsidRPr="008A26D2">
              <w:rPr>
                <w:rFonts w:ascii="Arial" w:eastAsia="Arial Narrow" w:hAnsi="Arial" w:cs="Arial"/>
                <w:sz w:val="20"/>
                <w:szCs w:val="20"/>
              </w:rPr>
              <w:t>2</w:t>
            </w:r>
            <w:r w:rsidRPr="008A26D2">
              <w:rPr>
                <w:rFonts w:ascii="Arial" w:eastAsia="Arial Narrow" w:hAnsi="Arial" w:cs="Arial"/>
                <w:sz w:val="20"/>
                <w:szCs w:val="20"/>
              </w:rPr>
              <w:t xml:space="preserve"> </w:t>
            </w:r>
            <w:r w:rsidR="00DA4742" w:rsidRPr="008A26D2">
              <w:rPr>
                <w:rFonts w:ascii="Arial" w:eastAsia="Arial Narrow" w:hAnsi="Arial" w:cs="Arial"/>
                <w:sz w:val="20"/>
                <w:szCs w:val="20"/>
              </w:rPr>
              <w:t>Vigilancia y monitoreo de las enfermedades que afectan a la fauna silvestre y de agentes zoonóticos potenciales de forma continua en beneficio de la población</w:t>
            </w:r>
            <w:bookmarkEnd w:id="1"/>
          </w:p>
          <w:p w14:paraId="0F988610" w14:textId="77777777" w:rsidR="00C939E3" w:rsidRPr="008A26D2" w:rsidRDefault="00C939E3" w:rsidP="0072651A">
            <w:pPr>
              <w:pBdr>
                <w:top w:val="nil"/>
                <w:left w:val="nil"/>
                <w:bottom w:val="nil"/>
                <w:right w:val="nil"/>
                <w:between w:val="nil"/>
              </w:pBdr>
              <w:spacing w:after="0" w:line="240" w:lineRule="auto"/>
              <w:jc w:val="both"/>
              <w:rPr>
                <w:rFonts w:ascii="Arial" w:eastAsia="Arial Narrow" w:hAnsi="Arial" w:cs="Arial"/>
                <w:strike/>
                <w:sz w:val="20"/>
                <w:szCs w:val="20"/>
              </w:rPr>
            </w:pPr>
          </w:p>
        </w:tc>
      </w:tr>
      <w:tr w:rsidR="008A26D2" w:rsidRPr="008A26D2" w14:paraId="47F78EDE" w14:textId="77777777" w:rsidTr="00547C5B">
        <w:trPr>
          <w:trHeight w:val="301"/>
          <w:jc w:val="center"/>
        </w:trPr>
        <w:tc>
          <w:tcPr>
            <w:tcW w:w="19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2AE1FE7" w14:textId="77777777" w:rsidR="00C939E3" w:rsidRPr="008A26D2" w:rsidRDefault="00C939E3"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Tipo de servicio:</w:t>
            </w:r>
          </w:p>
        </w:tc>
        <w:tc>
          <w:tcPr>
            <w:tcW w:w="638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D0A875B" w14:textId="77777777" w:rsidR="00C939E3" w:rsidRPr="008A26D2" w:rsidRDefault="00C939E3" w:rsidP="0072651A">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Nuevo</w:t>
            </w:r>
          </w:p>
        </w:tc>
      </w:tr>
      <w:tr w:rsidR="008A26D2" w:rsidRPr="008A26D2" w14:paraId="22FA4256" w14:textId="77777777" w:rsidTr="00547C5B">
        <w:trPr>
          <w:trHeight w:val="301"/>
          <w:jc w:val="center"/>
        </w:trPr>
        <w:tc>
          <w:tcPr>
            <w:tcW w:w="19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C52408E" w14:textId="19D2A378" w:rsidR="00547C5B" w:rsidRPr="008A26D2" w:rsidRDefault="00547C5B" w:rsidP="00547C5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Naturaleza del servicio:</w:t>
            </w:r>
          </w:p>
        </w:tc>
        <w:tc>
          <w:tcPr>
            <w:tcW w:w="638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A8387B6" w14:textId="340D122F" w:rsidR="00547C5B" w:rsidRPr="008A26D2" w:rsidRDefault="00023D11" w:rsidP="00547C5B">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N</w:t>
            </w:r>
            <w:r w:rsidR="00547C5B" w:rsidRPr="008A26D2">
              <w:rPr>
                <w:rFonts w:ascii="Arial" w:eastAsia="Arial Narrow" w:hAnsi="Arial" w:cs="Arial"/>
                <w:sz w:val="20"/>
                <w:szCs w:val="20"/>
              </w:rPr>
              <w:t xml:space="preserve">o prestacional </w:t>
            </w:r>
          </w:p>
        </w:tc>
      </w:tr>
      <w:tr w:rsidR="008A26D2" w:rsidRPr="008A26D2" w14:paraId="505096EE" w14:textId="77777777" w:rsidTr="00547C5B">
        <w:trPr>
          <w:trHeight w:val="301"/>
          <w:jc w:val="center"/>
        </w:trPr>
        <w:tc>
          <w:tcPr>
            <w:tcW w:w="19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D09F04D" w14:textId="6D014301" w:rsidR="00547C5B" w:rsidRPr="008A26D2" w:rsidRDefault="00547C5B" w:rsidP="00547C5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Entrega del servicio</w:t>
            </w:r>
          </w:p>
        </w:tc>
        <w:tc>
          <w:tcPr>
            <w:tcW w:w="638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1547670" w14:textId="13A0793E" w:rsidR="00547C5B" w:rsidRPr="008A26D2" w:rsidRDefault="00547C5B" w:rsidP="00547C5B">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Competencia exclusiva </w:t>
            </w:r>
          </w:p>
        </w:tc>
      </w:tr>
      <w:tr w:rsidR="008A26D2" w:rsidRPr="008A26D2" w14:paraId="5418FD6E" w14:textId="77777777" w:rsidTr="00547C5B">
        <w:trPr>
          <w:trHeight w:val="301"/>
          <w:jc w:val="center"/>
        </w:trPr>
        <w:tc>
          <w:tcPr>
            <w:tcW w:w="19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F30BF46" w14:textId="77777777" w:rsidR="00547C5B" w:rsidRPr="008A26D2" w:rsidRDefault="00547C5B" w:rsidP="00547C5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Descripción del servicio</w:t>
            </w:r>
          </w:p>
        </w:tc>
        <w:tc>
          <w:tcPr>
            <w:tcW w:w="638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C26DE76" w14:textId="14B49170" w:rsidR="00547C5B" w:rsidRPr="008A26D2" w:rsidRDefault="00547C5B" w:rsidP="00547C5B">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El servicio consiste en la identificación, vigilancia y monitoreo de las enfermedades que afectan a la fauna silvestre y de agentes zoonóticos potenciales, tanto de especímenes en cautiverio como en vida libre, contribuyendo a la protección de la fauna silvestre y reduciendo los riesgos para la población en general mediante alertas tempranas.</w:t>
            </w:r>
          </w:p>
          <w:p w14:paraId="4A311C6C" w14:textId="77777777" w:rsidR="00547C5B" w:rsidRPr="008A26D2" w:rsidRDefault="00547C5B" w:rsidP="00547C5B">
            <w:pPr>
              <w:pBdr>
                <w:top w:val="nil"/>
                <w:left w:val="nil"/>
                <w:bottom w:val="nil"/>
                <w:right w:val="nil"/>
                <w:between w:val="nil"/>
              </w:pBdr>
              <w:spacing w:after="0" w:line="240" w:lineRule="auto"/>
              <w:jc w:val="both"/>
              <w:rPr>
                <w:rFonts w:ascii="Arial" w:eastAsia="Arial Narrow" w:hAnsi="Arial" w:cs="Arial"/>
                <w:sz w:val="20"/>
                <w:szCs w:val="20"/>
              </w:rPr>
            </w:pPr>
          </w:p>
          <w:p w14:paraId="591C46FB" w14:textId="010957D4" w:rsidR="00547C5B" w:rsidRPr="008A26D2" w:rsidRDefault="00547C5B" w:rsidP="00547C5B">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El Servicio Nacional Forestal y de Fauna Silvestre realizará diversas acciones en campo (colecta de muestras, verificación, etc.), así como la implementación de laboratorios e instalaciones (equipos, materiales, herramientas y reactivos), en base a un plan de trabajo anual elaborado donde se establezca la frecuencia de salidas de campo por trimestre tomando en cuenta criterios, tales como la lejanía, facilidad de acceso a las diversas áreas donde se registren ocurrencias y la información sobre enfermedades emergentes</w:t>
            </w:r>
            <w:r w:rsidR="004D58E2" w:rsidRPr="008A26D2">
              <w:rPr>
                <w:rFonts w:ascii="Arial" w:eastAsia="Arial Narrow" w:hAnsi="Arial" w:cs="Arial"/>
                <w:sz w:val="20"/>
                <w:szCs w:val="20"/>
              </w:rPr>
              <w:t>.</w:t>
            </w:r>
            <w:r w:rsidRPr="008A26D2">
              <w:rPr>
                <w:rFonts w:ascii="Arial" w:eastAsia="Arial Narrow" w:hAnsi="Arial" w:cs="Arial"/>
                <w:sz w:val="20"/>
                <w:szCs w:val="20"/>
              </w:rPr>
              <w:t xml:space="preserve"> Cabe precisar que las salidas de campo se incrementarán año a año, hasta alcanzar las 2 salidas por trimestre al año 2030.</w:t>
            </w:r>
          </w:p>
          <w:p w14:paraId="2CDBECAB" w14:textId="77777777" w:rsidR="00547C5B" w:rsidRPr="008A26D2" w:rsidRDefault="00547C5B" w:rsidP="00547C5B">
            <w:pPr>
              <w:pBdr>
                <w:top w:val="nil"/>
                <w:left w:val="nil"/>
                <w:bottom w:val="nil"/>
                <w:right w:val="nil"/>
                <w:between w:val="nil"/>
              </w:pBdr>
              <w:spacing w:after="0" w:line="240" w:lineRule="auto"/>
              <w:jc w:val="both"/>
              <w:rPr>
                <w:rFonts w:ascii="Arial" w:eastAsia="Arial Narrow" w:hAnsi="Arial" w:cs="Arial"/>
                <w:sz w:val="20"/>
                <w:szCs w:val="20"/>
              </w:rPr>
            </w:pPr>
          </w:p>
          <w:p w14:paraId="0C131BAA" w14:textId="5A201814" w:rsidR="00547C5B" w:rsidRPr="008A26D2" w:rsidRDefault="00547C5B" w:rsidP="00547C5B">
            <w:pPr>
              <w:pBdr>
                <w:top w:val="nil"/>
                <w:left w:val="nil"/>
                <w:bottom w:val="nil"/>
                <w:right w:val="nil"/>
                <w:between w:val="nil"/>
              </w:pBdr>
              <w:spacing w:after="0" w:line="240" w:lineRule="auto"/>
              <w:jc w:val="both"/>
              <w:rPr>
                <w:rFonts w:ascii="Arial" w:eastAsia="Arial Narrow" w:hAnsi="Arial" w:cs="Arial"/>
                <w:strike/>
                <w:sz w:val="20"/>
                <w:szCs w:val="20"/>
              </w:rPr>
            </w:pPr>
            <w:r w:rsidRPr="008A26D2">
              <w:rPr>
                <w:rFonts w:ascii="Arial" w:eastAsia="Arial Narrow" w:hAnsi="Arial" w:cs="Arial"/>
                <w:sz w:val="20"/>
                <w:szCs w:val="20"/>
              </w:rPr>
              <w:t>El servicio es nuevo y permitirá identificar brotes de enfermedades para posteriormente adoptar medidas para el control sanitario, realizando para ello una vigilancia y monitoreo continuo.</w:t>
            </w:r>
          </w:p>
        </w:tc>
      </w:tr>
      <w:tr w:rsidR="008A26D2" w:rsidRPr="008A26D2" w14:paraId="69F20C04" w14:textId="77777777" w:rsidTr="00547C5B">
        <w:trPr>
          <w:trHeight w:val="301"/>
          <w:jc w:val="center"/>
        </w:trPr>
        <w:tc>
          <w:tcPr>
            <w:tcW w:w="19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DBF5966" w14:textId="77777777" w:rsidR="00547C5B" w:rsidRPr="008A26D2" w:rsidRDefault="00547C5B" w:rsidP="00547C5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Proveedor del servicio</w:t>
            </w:r>
          </w:p>
        </w:tc>
        <w:tc>
          <w:tcPr>
            <w:tcW w:w="638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0D5823D" w14:textId="169EF6C7" w:rsidR="00547C5B" w:rsidRPr="008A26D2" w:rsidRDefault="00547C5B" w:rsidP="00547C5B">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Servicio Nacional Forestal y de Fauna Silvestre - SERFOR</w:t>
            </w:r>
          </w:p>
        </w:tc>
      </w:tr>
      <w:tr w:rsidR="008A26D2" w:rsidRPr="008A26D2" w14:paraId="6FA185B6" w14:textId="77777777" w:rsidTr="00B344C6">
        <w:trPr>
          <w:trHeight w:val="482"/>
          <w:jc w:val="center"/>
        </w:trPr>
        <w:tc>
          <w:tcPr>
            <w:tcW w:w="1902" w:type="dxa"/>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30CF45A9" w14:textId="77777777" w:rsidR="00547C5B" w:rsidRPr="008A26D2" w:rsidRDefault="00547C5B" w:rsidP="004D58E2">
            <w:pPr>
              <w:spacing w:after="0" w:line="240" w:lineRule="auto"/>
              <w:rPr>
                <w:rFonts w:ascii="Arial" w:hAnsi="Arial" w:cs="Arial"/>
                <w:b/>
                <w:sz w:val="20"/>
                <w:szCs w:val="20"/>
              </w:rPr>
            </w:pPr>
            <w:r w:rsidRPr="008A26D2">
              <w:rPr>
                <w:rFonts w:ascii="Arial" w:hAnsi="Arial" w:cs="Arial"/>
                <w:b/>
                <w:sz w:val="20"/>
                <w:szCs w:val="20"/>
              </w:rPr>
              <w:t>Nivel (es) de gobierno que interviene</w:t>
            </w:r>
          </w:p>
          <w:p w14:paraId="640F5E2F" w14:textId="1AB0329F" w:rsidR="00547C5B" w:rsidRPr="008A26D2" w:rsidRDefault="00547C5B" w:rsidP="00547C5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(n) en la provisión del servicio</w:t>
            </w:r>
          </w:p>
        </w:tc>
        <w:tc>
          <w:tcPr>
            <w:tcW w:w="2129"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637F43BB" w14:textId="7C86C77E" w:rsidR="00547C5B" w:rsidRPr="008A26D2" w:rsidRDefault="00547C5B" w:rsidP="004D58E2">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Nacional</w:t>
            </w:r>
          </w:p>
        </w:tc>
        <w:tc>
          <w:tcPr>
            <w:tcW w:w="2130" w:type="dxa"/>
            <w:tcBorders>
              <w:top w:val="single" w:sz="4" w:space="0" w:color="000000"/>
              <w:left w:val="single" w:sz="4" w:space="0" w:color="000000"/>
              <w:right w:val="single" w:sz="4" w:space="0" w:color="000000"/>
            </w:tcBorders>
            <w:shd w:val="clear" w:color="auto" w:fill="auto"/>
            <w:vAlign w:val="center"/>
          </w:tcPr>
          <w:p w14:paraId="24565366" w14:textId="59A01539" w:rsidR="00547C5B" w:rsidRPr="008A26D2" w:rsidRDefault="00547C5B" w:rsidP="004D58E2">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Regional</w:t>
            </w:r>
          </w:p>
        </w:tc>
        <w:tc>
          <w:tcPr>
            <w:tcW w:w="2130" w:type="dxa"/>
            <w:tcBorders>
              <w:top w:val="single" w:sz="4" w:space="0" w:color="000000"/>
              <w:left w:val="single" w:sz="4" w:space="0" w:color="000000"/>
              <w:right w:val="single" w:sz="4" w:space="0" w:color="000000"/>
            </w:tcBorders>
            <w:shd w:val="clear" w:color="auto" w:fill="auto"/>
            <w:vAlign w:val="center"/>
          </w:tcPr>
          <w:p w14:paraId="3C9D0A50" w14:textId="6D5B0DA3" w:rsidR="00547C5B" w:rsidRPr="008A26D2" w:rsidRDefault="00547C5B" w:rsidP="004D58E2">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Local</w:t>
            </w:r>
          </w:p>
        </w:tc>
      </w:tr>
      <w:tr w:rsidR="008A26D2" w:rsidRPr="008A26D2" w14:paraId="52CC3A2E" w14:textId="77777777" w:rsidTr="00B344C6">
        <w:trPr>
          <w:trHeight w:val="482"/>
          <w:jc w:val="center"/>
        </w:trPr>
        <w:tc>
          <w:tcPr>
            <w:tcW w:w="1902" w:type="dxa"/>
            <w:vMerge/>
            <w:tcBorders>
              <w:left w:val="single" w:sz="4" w:space="0" w:color="000000"/>
              <w:right w:val="single" w:sz="4" w:space="0" w:color="000000"/>
            </w:tcBorders>
            <w:shd w:val="clear" w:color="auto" w:fill="auto"/>
            <w:tcMar>
              <w:top w:w="15" w:type="dxa"/>
              <w:left w:w="15" w:type="dxa"/>
              <w:bottom w:w="0" w:type="dxa"/>
              <w:right w:w="15" w:type="dxa"/>
            </w:tcMar>
            <w:vAlign w:val="center"/>
          </w:tcPr>
          <w:p w14:paraId="41B1AC81" w14:textId="77777777" w:rsidR="00547C5B" w:rsidRPr="008A26D2" w:rsidRDefault="00547C5B" w:rsidP="00547C5B">
            <w:pPr>
              <w:spacing w:after="0" w:line="240" w:lineRule="auto"/>
              <w:rPr>
                <w:rFonts w:ascii="Arial" w:hAnsi="Arial" w:cs="Arial"/>
                <w:b/>
                <w:sz w:val="20"/>
                <w:szCs w:val="20"/>
              </w:rPr>
            </w:pPr>
          </w:p>
        </w:tc>
        <w:tc>
          <w:tcPr>
            <w:tcW w:w="2129"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497FFE85" w14:textId="7E45326C" w:rsidR="00547C5B" w:rsidRPr="008A26D2" w:rsidRDefault="00023D11" w:rsidP="004D58E2">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X</w:t>
            </w:r>
          </w:p>
        </w:tc>
        <w:tc>
          <w:tcPr>
            <w:tcW w:w="2130" w:type="dxa"/>
            <w:tcBorders>
              <w:top w:val="single" w:sz="4" w:space="0" w:color="000000"/>
              <w:left w:val="single" w:sz="4" w:space="0" w:color="000000"/>
              <w:right w:val="single" w:sz="4" w:space="0" w:color="000000"/>
            </w:tcBorders>
            <w:shd w:val="clear" w:color="auto" w:fill="auto"/>
            <w:vAlign w:val="center"/>
          </w:tcPr>
          <w:p w14:paraId="4E540E88" w14:textId="77777777" w:rsidR="00547C5B" w:rsidRPr="008A26D2" w:rsidRDefault="00547C5B" w:rsidP="004D58E2">
            <w:pPr>
              <w:pBdr>
                <w:top w:val="nil"/>
                <w:left w:val="nil"/>
                <w:bottom w:val="nil"/>
                <w:right w:val="nil"/>
                <w:between w:val="nil"/>
              </w:pBdr>
              <w:spacing w:after="0" w:line="240" w:lineRule="auto"/>
              <w:jc w:val="center"/>
              <w:rPr>
                <w:rFonts w:ascii="Arial" w:eastAsia="Arial Narrow" w:hAnsi="Arial" w:cs="Arial"/>
                <w:sz w:val="20"/>
                <w:szCs w:val="20"/>
              </w:rPr>
            </w:pPr>
          </w:p>
        </w:tc>
        <w:tc>
          <w:tcPr>
            <w:tcW w:w="2130" w:type="dxa"/>
            <w:tcBorders>
              <w:top w:val="single" w:sz="4" w:space="0" w:color="000000"/>
              <w:left w:val="single" w:sz="4" w:space="0" w:color="000000"/>
              <w:right w:val="single" w:sz="4" w:space="0" w:color="000000"/>
            </w:tcBorders>
            <w:shd w:val="clear" w:color="auto" w:fill="auto"/>
            <w:vAlign w:val="center"/>
          </w:tcPr>
          <w:p w14:paraId="5833B5A4" w14:textId="2A779AF2" w:rsidR="00547C5B" w:rsidRPr="008A26D2" w:rsidRDefault="00547C5B" w:rsidP="004D58E2">
            <w:pPr>
              <w:pBdr>
                <w:top w:val="nil"/>
                <w:left w:val="nil"/>
                <w:bottom w:val="nil"/>
                <w:right w:val="nil"/>
                <w:between w:val="nil"/>
              </w:pBdr>
              <w:spacing w:after="0" w:line="240" w:lineRule="auto"/>
              <w:jc w:val="center"/>
              <w:rPr>
                <w:rFonts w:ascii="Arial" w:eastAsia="Arial Narrow" w:hAnsi="Arial" w:cs="Arial"/>
                <w:sz w:val="20"/>
                <w:szCs w:val="20"/>
              </w:rPr>
            </w:pPr>
          </w:p>
        </w:tc>
      </w:tr>
      <w:tr w:rsidR="008A26D2" w:rsidRPr="008A26D2" w14:paraId="60CE3118" w14:textId="77777777" w:rsidTr="00547C5B">
        <w:trPr>
          <w:trHeight w:val="301"/>
          <w:jc w:val="center"/>
        </w:trPr>
        <w:tc>
          <w:tcPr>
            <w:tcW w:w="19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5C3D597" w14:textId="77777777" w:rsidR="00547C5B" w:rsidRPr="008A26D2" w:rsidRDefault="00547C5B" w:rsidP="00547C5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Receptor del servicio</w:t>
            </w:r>
          </w:p>
        </w:tc>
        <w:tc>
          <w:tcPr>
            <w:tcW w:w="638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4E5B70E" w14:textId="77777777" w:rsidR="00547C5B" w:rsidRPr="008A26D2" w:rsidRDefault="00547C5B" w:rsidP="00547C5B">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Población en general</w:t>
            </w:r>
          </w:p>
          <w:p w14:paraId="3BAC6C94" w14:textId="77777777" w:rsidR="00547C5B" w:rsidRPr="008A26D2" w:rsidRDefault="00547C5B" w:rsidP="00547C5B">
            <w:pPr>
              <w:pBdr>
                <w:top w:val="nil"/>
                <w:left w:val="nil"/>
                <w:bottom w:val="nil"/>
                <w:right w:val="nil"/>
                <w:between w:val="nil"/>
              </w:pBdr>
              <w:spacing w:after="0" w:line="240" w:lineRule="auto"/>
              <w:jc w:val="both"/>
              <w:rPr>
                <w:rFonts w:ascii="Arial" w:eastAsia="Arial Narrow" w:hAnsi="Arial" w:cs="Arial"/>
                <w:strike/>
                <w:sz w:val="20"/>
                <w:szCs w:val="20"/>
              </w:rPr>
            </w:pPr>
          </w:p>
        </w:tc>
      </w:tr>
      <w:tr w:rsidR="008A26D2" w:rsidRPr="008A26D2" w14:paraId="2D25438C" w14:textId="77777777" w:rsidTr="00547C5B">
        <w:trPr>
          <w:trHeight w:val="211"/>
          <w:jc w:val="center"/>
        </w:trPr>
        <w:tc>
          <w:tcPr>
            <w:tcW w:w="19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13E62EC" w14:textId="77777777" w:rsidR="00547C5B" w:rsidRPr="008A26D2" w:rsidRDefault="00547C5B" w:rsidP="00547C5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Alcance del servicio </w:t>
            </w:r>
          </w:p>
        </w:tc>
        <w:tc>
          <w:tcPr>
            <w:tcW w:w="638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165E595" w14:textId="77777777" w:rsidR="00547C5B" w:rsidRPr="008A26D2" w:rsidRDefault="00547C5B" w:rsidP="00547C5B">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Nacional</w:t>
            </w:r>
          </w:p>
        </w:tc>
      </w:tr>
      <w:tr w:rsidR="008A26D2" w:rsidRPr="008A26D2" w14:paraId="19672C3C" w14:textId="77777777" w:rsidTr="00547C5B">
        <w:trPr>
          <w:trHeight w:val="62"/>
          <w:jc w:val="center"/>
        </w:trPr>
        <w:tc>
          <w:tcPr>
            <w:tcW w:w="19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99D111A" w14:textId="77777777" w:rsidR="00547C5B" w:rsidRPr="008A26D2" w:rsidRDefault="00547C5B" w:rsidP="00547C5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Estándar (es) de cumplimiento</w:t>
            </w:r>
          </w:p>
        </w:tc>
        <w:tc>
          <w:tcPr>
            <w:tcW w:w="638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69A5D19C" w14:textId="77777777" w:rsidR="00547C5B" w:rsidRPr="008A26D2" w:rsidRDefault="00547C5B" w:rsidP="00547C5B">
            <w:pPr>
              <w:pBdr>
                <w:top w:val="nil"/>
                <w:left w:val="nil"/>
                <w:bottom w:val="nil"/>
                <w:right w:val="nil"/>
                <w:between w:val="nil"/>
              </w:pBdr>
              <w:spacing w:after="0" w:line="240" w:lineRule="auto"/>
              <w:rPr>
                <w:rFonts w:ascii="Arial" w:hAnsi="Arial" w:cs="Arial"/>
                <w:strike/>
                <w:sz w:val="20"/>
                <w:szCs w:val="20"/>
              </w:rPr>
            </w:pPr>
            <w:r w:rsidRPr="008A26D2">
              <w:rPr>
                <w:rFonts w:ascii="Arial" w:eastAsia="Arial Narrow" w:hAnsi="Arial" w:cs="Arial"/>
                <w:sz w:val="20"/>
                <w:szCs w:val="20"/>
              </w:rPr>
              <w:t>Continuidad</w:t>
            </w:r>
          </w:p>
        </w:tc>
      </w:tr>
      <w:tr w:rsidR="008A26D2" w:rsidRPr="008A26D2" w14:paraId="1214348A" w14:textId="77777777" w:rsidTr="00547C5B">
        <w:trPr>
          <w:trHeight w:val="1185"/>
          <w:jc w:val="center"/>
        </w:trPr>
        <w:tc>
          <w:tcPr>
            <w:tcW w:w="19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618B61E" w14:textId="77777777" w:rsidR="00547C5B" w:rsidRPr="008A26D2" w:rsidRDefault="00547C5B" w:rsidP="00547C5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Descripción del estándar</w:t>
            </w:r>
          </w:p>
        </w:tc>
        <w:tc>
          <w:tcPr>
            <w:tcW w:w="638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35" w:type="dxa"/>
              <w:bottom w:w="0" w:type="dxa"/>
              <w:right w:w="15" w:type="dxa"/>
            </w:tcMar>
            <w:vAlign w:val="center"/>
          </w:tcPr>
          <w:p w14:paraId="79E645E4" w14:textId="53EC3FB6" w:rsidR="00547C5B" w:rsidRPr="008A26D2" w:rsidRDefault="00547C5B" w:rsidP="00547C5B">
            <w:pPr>
              <w:pBdr>
                <w:top w:val="nil"/>
                <w:left w:val="nil"/>
                <w:bottom w:val="nil"/>
                <w:right w:val="nil"/>
                <w:between w:val="nil"/>
              </w:pBdr>
              <w:spacing w:after="0" w:line="240" w:lineRule="auto"/>
              <w:jc w:val="both"/>
              <w:rPr>
                <w:rFonts w:ascii="Arial" w:hAnsi="Arial" w:cs="Arial"/>
                <w:sz w:val="20"/>
                <w:szCs w:val="20"/>
              </w:rPr>
            </w:pPr>
            <w:r w:rsidRPr="008A26D2">
              <w:rPr>
                <w:rFonts w:ascii="Arial" w:eastAsia="Arial Narrow" w:hAnsi="Arial" w:cs="Arial"/>
                <w:sz w:val="20"/>
                <w:szCs w:val="20"/>
              </w:rPr>
              <w:t>El presente estándar busca la constante vigilancia y monitoreo de los brotes de enfermedades y de agentes zoonóticos potenciales, que causan la mortandad y morbilidad de la fauna silvestre, en base a un plan de trabajo anual</w:t>
            </w:r>
            <w:r w:rsidR="004D58E2" w:rsidRPr="008A26D2">
              <w:rPr>
                <w:rFonts w:ascii="Arial" w:eastAsia="Arial Narrow" w:hAnsi="Arial" w:cs="Arial"/>
                <w:sz w:val="20"/>
                <w:szCs w:val="20"/>
              </w:rPr>
              <w:t xml:space="preserve"> donde se establece la frecuencia de salidas</w:t>
            </w:r>
            <w:r w:rsidRPr="008A26D2">
              <w:rPr>
                <w:rFonts w:ascii="Arial" w:eastAsia="Arial Narrow" w:hAnsi="Arial" w:cs="Arial"/>
                <w:sz w:val="20"/>
                <w:szCs w:val="20"/>
              </w:rPr>
              <w:t>.</w:t>
            </w:r>
          </w:p>
        </w:tc>
      </w:tr>
      <w:tr w:rsidR="00547C5B" w:rsidRPr="008A26D2" w14:paraId="3878B888" w14:textId="77777777" w:rsidTr="00547C5B">
        <w:trPr>
          <w:trHeight w:val="493"/>
          <w:jc w:val="center"/>
        </w:trPr>
        <w:tc>
          <w:tcPr>
            <w:tcW w:w="19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C305D96" w14:textId="77777777" w:rsidR="00547C5B" w:rsidRPr="008A26D2" w:rsidRDefault="00547C5B" w:rsidP="00547C5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Indicador </w:t>
            </w:r>
          </w:p>
        </w:tc>
        <w:tc>
          <w:tcPr>
            <w:tcW w:w="638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568319F5" w14:textId="77777777" w:rsidR="00547C5B" w:rsidRPr="008A26D2" w:rsidRDefault="00547C5B" w:rsidP="00547C5B">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Número de salidas de campo para detectar brotes de enfermedades y de agentes zoonóticos potenciales de forma continua.</w:t>
            </w:r>
          </w:p>
          <w:p w14:paraId="7E87BD5E" w14:textId="77777777" w:rsidR="00547C5B" w:rsidRPr="008A26D2" w:rsidRDefault="00547C5B" w:rsidP="00547C5B">
            <w:pPr>
              <w:pBdr>
                <w:top w:val="nil"/>
                <w:left w:val="nil"/>
                <w:bottom w:val="nil"/>
                <w:right w:val="nil"/>
                <w:between w:val="nil"/>
              </w:pBdr>
              <w:spacing w:after="0" w:line="240" w:lineRule="auto"/>
              <w:jc w:val="both"/>
              <w:rPr>
                <w:rFonts w:ascii="Arial" w:hAnsi="Arial" w:cs="Arial"/>
                <w:strike/>
                <w:sz w:val="20"/>
                <w:szCs w:val="20"/>
              </w:rPr>
            </w:pPr>
          </w:p>
        </w:tc>
      </w:tr>
    </w:tbl>
    <w:p w14:paraId="700F3FB8" w14:textId="77777777" w:rsidR="00C939E3" w:rsidRDefault="00C939E3">
      <w:pPr>
        <w:rPr>
          <w:rFonts w:ascii="Arial Narrow" w:eastAsia="Arial Narrow" w:hAnsi="Arial Narrow" w:cs="Arial Narrow"/>
          <w:b/>
        </w:rPr>
      </w:pPr>
    </w:p>
    <w:p w14:paraId="6378A8DE" w14:textId="62B41A16" w:rsidR="00E5011C" w:rsidRDefault="007F2430" w:rsidP="000C49B7">
      <w:pPr>
        <w:pBdr>
          <w:top w:val="nil"/>
          <w:left w:val="nil"/>
          <w:bottom w:val="nil"/>
          <w:right w:val="nil"/>
          <w:between w:val="nil"/>
        </w:pBdr>
        <w:spacing w:after="0" w:line="240" w:lineRule="auto"/>
        <w:jc w:val="both"/>
        <w:rPr>
          <w:rFonts w:ascii="Arial" w:eastAsia="Arial Narrow" w:hAnsi="Arial" w:cs="Arial"/>
        </w:rPr>
      </w:pPr>
      <w:r w:rsidRPr="008A26D2">
        <w:rPr>
          <w:rFonts w:ascii="Arial" w:eastAsia="Arial Narrow" w:hAnsi="Arial" w:cs="Arial"/>
          <w:b/>
          <w:bCs/>
        </w:rPr>
        <w:t>S1.1.</w:t>
      </w:r>
      <w:r w:rsidR="00752F74" w:rsidRPr="008A26D2">
        <w:rPr>
          <w:rFonts w:ascii="Arial" w:eastAsia="Arial Narrow" w:hAnsi="Arial" w:cs="Arial"/>
          <w:b/>
          <w:bCs/>
        </w:rPr>
        <w:t>3</w:t>
      </w:r>
      <w:r w:rsidRPr="008A26D2">
        <w:rPr>
          <w:rFonts w:ascii="Arial" w:eastAsia="Arial Narrow" w:hAnsi="Arial" w:cs="Arial"/>
        </w:rPr>
        <w:t xml:space="preserve">   Asistencia técnica en gestión de riesgos ante incendios forestales de forma pertinente a los </w:t>
      </w:r>
      <w:r w:rsidR="000C49B7">
        <w:rPr>
          <w:rFonts w:ascii="Arial" w:eastAsia="Arial Narrow" w:hAnsi="Arial" w:cs="Arial"/>
        </w:rPr>
        <w:t>g</w:t>
      </w:r>
      <w:r w:rsidRPr="008A26D2">
        <w:rPr>
          <w:rFonts w:ascii="Arial" w:eastAsia="Arial Narrow" w:hAnsi="Arial" w:cs="Arial"/>
        </w:rPr>
        <w:t xml:space="preserve">obiernos </w:t>
      </w:r>
      <w:r w:rsidR="000C49B7">
        <w:rPr>
          <w:rFonts w:ascii="Arial" w:eastAsia="Arial Narrow" w:hAnsi="Arial" w:cs="Arial"/>
        </w:rPr>
        <w:t>r</w:t>
      </w:r>
      <w:r w:rsidRPr="008A26D2">
        <w:rPr>
          <w:rFonts w:ascii="Arial" w:eastAsia="Arial Narrow" w:hAnsi="Arial" w:cs="Arial"/>
        </w:rPr>
        <w:t>egionales</w:t>
      </w:r>
    </w:p>
    <w:p w14:paraId="17645A96" w14:textId="77777777" w:rsidR="000C49B7" w:rsidRPr="008A26D2" w:rsidRDefault="000C49B7" w:rsidP="000C49B7">
      <w:pPr>
        <w:pBdr>
          <w:top w:val="nil"/>
          <w:left w:val="nil"/>
          <w:bottom w:val="nil"/>
          <w:right w:val="nil"/>
          <w:between w:val="nil"/>
        </w:pBdr>
        <w:spacing w:after="0" w:line="240" w:lineRule="auto"/>
        <w:jc w:val="both"/>
        <w:rPr>
          <w:rFonts w:ascii="Arial Narrow" w:eastAsia="Arial Narrow" w:hAnsi="Arial Narrow" w:cs="Arial Narrow"/>
          <w:b/>
        </w:rPr>
      </w:pPr>
    </w:p>
    <w:tbl>
      <w:tblPr>
        <w:tblW w:w="8784" w:type="dxa"/>
        <w:tblLayout w:type="fixed"/>
        <w:tblLook w:val="0600" w:firstRow="0" w:lastRow="0" w:firstColumn="0" w:lastColumn="0" w:noHBand="1" w:noVBand="1"/>
      </w:tblPr>
      <w:tblGrid>
        <w:gridCol w:w="2551"/>
        <w:gridCol w:w="2077"/>
        <w:gridCol w:w="2078"/>
        <w:gridCol w:w="2078"/>
      </w:tblGrid>
      <w:tr w:rsidR="008A26D2" w:rsidRPr="008A26D2" w14:paraId="7B4D3347" w14:textId="77777777" w:rsidTr="0012502E">
        <w:trPr>
          <w:trHeight w:val="300"/>
        </w:trPr>
        <w:tc>
          <w:tcPr>
            <w:tcW w:w="8784"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center"/>
          </w:tcPr>
          <w:p w14:paraId="3A4B717A" w14:textId="2F016874" w:rsidR="007F2430" w:rsidRPr="008A26D2" w:rsidRDefault="007F2430" w:rsidP="0072651A">
            <w:pPr>
              <w:jc w:val="center"/>
              <w:rPr>
                <w:rFonts w:ascii="Arial" w:hAnsi="Arial" w:cs="Arial"/>
                <w:sz w:val="20"/>
                <w:szCs w:val="20"/>
              </w:rPr>
            </w:pPr>
            <w:r w:rsidRPr="008A26D2">
              <w:rPr>
                <w:rFonts w:ascii="Arial" w:hAnsi="Arial" w:cs="Arial"/>
                <w:b/>
                <w:sz w:val="20"/>
                <w:szCs w:val="20"/>
              </w:rPr>
              <w:t xml:space="preserve">FICHA DEL SERVICIO </w:t>
            </w:r>
          </w:p>
        </w:tc>
      </w:tr>
      <w:tr w:rsidR="008A26D2" w:rsidRPr="008A26D2" w14:paraId="0BBA4A6D" w14:textId="77777777" w:rsidTr="0012502E">
        <w:trPr>
          <w:trHeight w:val="300"/>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BB52274" w14:textId="77777777" w:rsidR="007F2430" w:rsidRPr="008A26D2" w:rsidRDefault="007F2430"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Objetivo prioritario:</w:t>
            </w:r>
          </w:p>
        </w:tc>
        <w:tc>
          <w:tcPr>
            <w:tcW w:w="623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EF79920" w14:textId="79BEBDC7" w:rsidR="007F2430" w:rsidRPr="008A26D2" w:rsidRDefault="007F2430" w:rsidP="0072651A">
            <w:pPr>
              <w:pBdr>
                <w:top w:val="nil"/>
                <w:left w:val="nil"/>
                <w:bottom w:val="nil"/>
                <w:right w:val="nil"/>
                <w:between w:val="nil"/>
              </w:pBdr>
              <w:spacing w:after="0" w:line="240" w:lineRule="auto"/>
              <w:jc w:val="both"/>
              <w:rPr>
                <w:rFonts w:ascii="Arial" w:hAnsi="Arial" w:cs="Arial"/>
                <w:sz w:val="20"/>
                <w:szCs w:val="20"/>
              </w:rPr>
            </w:pPr>
            <w:r w:rsidRPr="008A26D2">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r>
      <w:tr w:rsidR="008A26D2" w:rsidRPr="008A26D2" w14:paraId="1111131E" w14:textId="77777777" w:rsidTr="0012502E">
        <w:trPr>
          <w:trHeight w:val="300"/>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4C5FD5C" w14:textId="77777777" w:rsidR="007F2430" w:rsidRPr="008A26D2" w:rsidRDefault="007F2430"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Lineamiento:</w:t>
            </w:r>
          </w:p>
        </w:tc>
        <w:tc>
          <w:tcPr>
            <w:tcW w:w="623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A956A05" w14:textId="37244347" w:rsidR="007F2430" w:rsidRPr="008A26D2" w:rsidRDefault="007F2430" w:rsidP="0072651A">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L1.</w:t>
            </w:r>
            <w:r w:rsidR="00F40C73" w:rsidRPr="008A26D2">
              <w:rPr>
                <w:rFonts w:ascii="Arial" w:eastAsia="Arial Narrow" w:hAnsi="Arial" w:cs="Arial"/>
                <w:sz w:val="20"/>
                <w:szCs w:val="20"/>
              </w:rPr>
              <w:t>1</w:t>
            </w:r>
            <w:r w:rsidRPr="008A26D2">
              <w:rPr>
                <w:rFonts w:ascii="Arial" w:eastAsia="Arial Narrow" w:hAnsi="Arial" w:cs="Arial"/>
                <w:sz w:val="20"/>
                <w:szCs w:val="20"/>
              </w:rPr>
              <w:t xml:space="preserve"> Fortalecer la protección y recuperación de ecosistemas forestales y otros ecosistemas de vegetación silvestre, así como las especies de fauna silvestre y sus hábitats coadyuvando a la mitigación del cambio climático.</w:t>
            </w:r>
          </w:p>
        </w:tc>
      </w:tr>
      <w:tr w:rsidR="008A26D2" w:rsidRPr="008A26D2" w14:paraId="06CC92CB" w14:textId="77777777" w:rsidTr="0012502E">
        <w:trPr>
          <w:trHeight w:val="300"/>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7171C72" w14:textId="77777777" w:rsidR="007F2430" w:rsidRPr="008A26D2" w:rsidRDefault="007F2430"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Nombre del servicio:</w:t>
            </w:r>
          </w:p>
        </w:tc>
        <w:tc>
          <w:tcPr>
            <w:tcW w:w="623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CAB243F" w14:textId="54D718F0" w:rsidR="007F2430" w:rsidRPr="008A26D2" w:rsidRDefault="007F2430" w:rsidP="0072651A">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S1.1.</w:t>
            </w:r>
            <w:r w:rsidR="00752F74" w:rsidRPr="008A26D2">
              <w:rPr>
                <w:rFonts w:ascii="Arial" w:eastAsia="Arial Narrow" w:hAnsi="Arial" w:cs="Arial"/>
                <w:sz w:val="20"/>
                <w:szCs w:val="20"/>
              </w:rPr>
              <w:t>3</w:t>
            </w:r>
            <w:r w:rsidRPr="008A26D2">
              <w:rPr>
                <w:rFonts w:ascii="Arial" w:eastAsia="Arial Narrow" w:hAnsi="Arial" w:cs="Arial"/>
                <w:sz w:val="20"/>
                <w:szCs w:val="20"/>
              </w:rPr>
              <w:t xml:space="preserve">   Asistencia técnica en gestión de riesgos ante incendios forestales de forma pertinente a los </w:t>
            </w:r>
            <w:r w:rsidR="00752F74" w:rsidRPr="008A26D2">
              <w:rPr>
                <w:rFonts w:ascii="Arial" w:eastAsia="Arial Narrow" w:hAnsi="Arial" w:cs="Arial"/>
                <w:sz w:val="20"/>
                <w:szCs w:val="20"/>
              </w:rPr>
              <w:t>g</w:t>
            </w:r>
            <w:r w:rsidRPr="008A26D2">
              <w:rPr>
                <w:rFonts w:ascii="Arial" w:eastAsia="Arial Narrow" w:hAnsi="Arial" w:cs="Arial"/>
                <w:sz w:val="20"/>
                <w:szCs w:val="20"/>
              </w:rPr>
              <w:t xml:space="preserve">obiernos </w:t>
            </w:r>
            <w:r w:rsidR="00752F74" w:rsidRPr="008A26D2">
              <w:rPr>
                <w:rFonts w:ascii="Arial" w:eastAsia="Arial Narrow" w:hAnsi="Arial" w:cs="Arial"/>
                <w:sz w:val="20"/>
                <w:szCs w:val="20"/>
              </w:rPr>
              <w:t>r</w:t>
            </w:r>
            <w:r w:rsidRPr="008A26D2">
              <w:rPr>
                <w:rFonts w:ascii="Arial" w:eastAsia="Arial Narrow" w:hAnsi="Arial" w:cs="Arial"/>
                <w:sz w:val="20"/>
                <w:szCs w:val="20"/>
              </w:rPr>
              <w:t>egionales</w:t>
            </w:r>
          </w:p>
          <w:p w14:paraId="3C9A4EC4" w14:textId="77777777" w:rsidR="007F2430" w:rsidRPr="008A26D2" w:rsidRDefault="007F2430" w:rsidP="0072651A">
            <w:pPr>
              <w:pBdr>
                <w:top w:val="nil"/>
                <w:left w:val="nil"/>
                <w:bottom w:val="nil"/>
                <w:right w:val="nil"/>
                <w:between w:val="nil"/>
              </w:pBdr>
              <w:spacing w:after="0" w:line="240" w:lineRule="auto"/>
              <w:jc w:val="both"/>
              <w:rPr>
                <w:rFonts w:ascii="Arial" w:eastAsia="Arial Narrow" w:hAnsi="Arial" w:cs="Arial"/>
                <w:sz w:val="20"/>
                <w:szCs w:val="20"/>
              </w:rPr>
            </w:pPr>
          </w:p>
        </w:tc>
      </w:tr>
      <w:tr w:rsidR="008A26D2" w:rsidRPr="008A26D2" w14:paraId="56E54907" w14:textId="77777777" w:rsidTr="0012502E">
        <w:trPr>
          <w:trHeight w:val="300"/>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1282433" w14:textId="77777777" w:rsidR="007F2430" w:rsidRPr="008A26D2" w:rsidRDefault="007F2430"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Tipo de servicio:</w:t>
            </w:r>
          </w:p>
        </w:tc>
        <w:tc>
          <w:tcPr>
            <w:tcW w:w="623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C01AA0C" w14:textId="77777777" w:rsidR="007F2430" w:rsidRPr="008A26D2" w:rsidRDefault="007F2430" w:rsidP="0072651A">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Mejorado</w:t>
            </w:r>
          </w:p>
        </w:tc>
      </w:tr>
      <w:tr w:rsidR="008A26D2" w:rsidRPr="008A26D2" w14:paraId="15011D1E" w14:textId="77777777" w:rsidTr="0012502E">
        <w:trPr>
          <w:trHeight w:val="300"/>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A0F60A4" w14:textId="1BB7ED1A" w:rsidR="00547C5B" w:rsidRPr="008A26D2" w:rsidRDefault="00547C5B" w:rsidP="00547C5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Naturaleza del servicio:</w:t>
            </w:r>
          </w:p>
        </w:tc>
        <w:tc>
          <w:tcPr>
            <w:tcW w:w="623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AFB47DF" w14:textId="15944885" w:rsidR="00547C5B" w:rsidRPr="008A26D2" w:rsidRDefault="00023D11" w:rsidP="00547C5B">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A</w:t>
            </w:r>
            <w:r w:rsidR="00547C5B" w:rsidRPr="008A26D2">
              <w:rPr>
                <w:rFonts w:ascii="Arial" w:eastAsia="Arial Narrow" w:hAnsi="Arial" w:cs="Arial"/>
                <w:sz w:val="20"/>
                <w:szCs w:val="20"/>
              </w:rPr>
              <w:t>dministrativo</w:t>
            </w:r>
          </w:p>
        </w:tc>
      </w:tr>
      <w:tr w:rsidR="008A26D2" w:rsidRPr="008A26D2" w14:paraId="65CEEAB4" w14:textId="77777777" w:rsidTr="0012502E">
        <w:trPr>
          <w:trHeight w:val="300"/>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BC0B26D" w14:textId="46B96173" w:rsidR="00547C5B" w:rsidRPr="008A26D2" w:rsidRDefault="00547C5B" w:rsidP="00547C5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Entrega del servicio</w:t>
            </w:r>
          </w:p>
        </w:tc>
        <w:tc>
          <w:tcPr>
            <w:tcW w:w="623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A89DC23" w14:textId="1D8EEF81" w:rsidR="00547C5B" w:rsidRPr="008A26D2" w:rsidRDefault="00547C5B" w:rsidP="00547C5B">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Competencia exclusiva</w:t>
            </w:r>
          </w:p>
        </w:tc>
      </w:tr>
      <w:tr w:rsidR="008A26D2" w:rsidRPr="008A26D2" w14:paraId="1CD42B80" w14:textId="77777777" w:rsidTr="0012502E">
        <w:trPr>
          <w:trHeight w:val="300"/>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52F7400" w14:textId="77777777" w:rsidR="00547C5B" w:rsidRPr="008A26D2" w:rsidRDefault="00547C5B" w:rsidP="00547C5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Descripción del servicio</w:t>
            </w:r>
          </w:p>
        </w:tc>
        <w:tc>
          <w:tcPr>
            <w:tcW w:w="623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881F166" w14:textId="77777777" w:rsidR="00547C5B" w:rsidRPr="008A26D2" w:rsidRDefault="00547C5B" w:rsidP="00547C5B">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El servicio consiste en brindar asistencia técnica en gestión de riesgos ante incendios forestales a través de 5 módulos de forma virtual, semi presencial o presencia. Los módulos desarrollan las siguientes temáticas:</w:t>
            </w:r>
          </w:p>
          <w:p w14:paraId="2C16C83F" w14:textId="77777777" w:rsidR="00547C5B" w:rsidRPr="008A26D2" w:rsidRDefault="00547C5B" w:rsidP="00547C5B">
            <w:pPr>
              <w:spacing w:after="0" w:line="240" w:lineRule="auto"/>
              <w:jc w:val="both"/>
              <w:rPr>
                <w:rFonts w:ascii="Arial" w:eastAsia="Arial Narrow" w:hAnsi="Arial" w:cs="Arial"/>
                <w:sz w:val="20"/>
                <w:szCs w:val="20"/>
              </w:rPr>
            </w:pPr>
          </w:p>
          <w:p w14:paraId="010CEBD6" w14:textId="77777777" w:rsidR="00547C5B" w:rsidRPr="008A26D2" w:rsidRDefault="00547C5B" w:rsidP="00547C5B">
            <w:pPr>
              <w:pStyle w:val="Prrafodelista"/>
              <w:numPr>
                <w:ilvl w:val="0"/>
                <w:numId w:val="3"/>
              </w:numPr>
              <w:spacing w:after="0" w:line="240" w:lineRule="auto"/>
              <w:ind w:left="339" w:hanging="284"/>
              <w:jc w:val="both"/>
              <w:rPr>
                <w:rFonts w:ascii="Arial" w:eastAsia="Arial Narrow" w:hAnsi="Arial" w:cs="Arial"/>
                <w:sz w:val="20"/>
                <w:szCs w:val="20"/>
              </w:rPr>
            </w:pPr>
            <w:r w:rsidRPr="008A26D2">
              <w:rPr>
                <w:rFonts w:ascii="Arial" w:eastAsia="Arial Narrow" w:hAnsi="Arial" w:cs="Arial"/>
                <w:sz w:val="20"/>
                <w:szCs w:val="20"/>
              </w:rPr>
              <w:t>Competencias de las instituciones en los procesos de la gestión de riesgos ante incendios forestales.</w:t>
            </w:r>
          </w:p>
          <w:p w14:paraId="67C02723" w14:textId="77777777" w:rsidR="00547C5B" w:rsidRPr="008A26D2" w:rsidRDefault="00547C5B" w:rsidP="00547C5B">
            <w:pPr>
              <w:pStyle w:val="Prrafodelista"/>
              <w:numPr>
                <w:ilvl w:val="0"/>
                <w:numId w:val="3"/>
              </w:numPr>
              <w:spacing w:after="0" w:line="240" w:lineRule="auto"/>
              <w:ind w:left="339" w:hanging="284"/>
              <w:jc w:val="both"/>
              <w:rPr>
                <w:rFonts w:ascii="Arial" w:eastAsia="Arial Narrow" w:hAnsi="Arial" w:cs="Arial"/>
                <w:sz w:val="20"/>
                <w:szCs w:val="20"/>
              </w:rPr>
            </w:pPr>
            <w:r w:rsidRPr="008A26D2">
              <w:rPr>
                <w:rFonts w:ascii="Arial" w:eastAsia="Arial Narrow" w:hAnsi="Arial" w:cs="Arial"/>
                <w:sz w:val="20"/>
                <w:szCs w:val="20"/>
              </w:rPr>
              <w:t>Promoción de generación de proyectos de inversión pública para implementar los procesos de la gestión de riesgos ante incendios forestales,</w:t>
            </w:r>
          </w:p>
          <w:p w14:paraId="51AA64F9" w14:textId="77777777" w:rsidR="00547C5B" w:rsidRPr="008A26D2" w:rsidRDefault="00547C5B" w:rsidP="00547C5B">
            <w:pPr>
              <w:pStyle w:val="Prrafodelista"/>
              <w:numPr>
                <w:ilvl w:val="0"/>
                <w:numId w:val="3"/>
              </w:numPr>
              <w:spacing w:after="0" w:line="240" w:lineRule="auto"/>
              <w:ind w:left="339" w:hanging="284"/>
              <w:jc w:val="both"/>
              <w:rPr>
                <w:rFonts w:ascii="Arial" w:eastAsia="Arial Narrow" w:hAnsi="Arial" w:cs="Arial"/>
                <w:sz w:val="20"/>
                <w:szCs w:val="20"/>
              </w:rPr>
            </w:pPr>
            <w:r w:rsidRPr="008A26D2">
              <w:rPr>
                <w:rFonts w:ascii="Arial" w:eastAsia="Arial Narrow" w:hAnsi="Arial" w:cs="Arial"/>
                <w:sz w:val="20"/>
                <w:szCs w:val="20"/>
              </w:rPr>
              <w:t>Promoción de alternativas para no quemar,</w:t>
            </w:r>
          </w:p>
          <w:p w14:paraId="10F0820C" w14:textId="77777777" w:rsidR="00547C5B" w:rsidRPr="008A26D2" w:rsidRDefault="00547C5B" w:rsidP="00547C5B">
            <w:pPr>
              <w:pStyle w:val="Prrafodelista"/>
              <w:numPr>
                <w:ilvl w:val="0"/>
                <w:numId w:val="3"/>
              </w:numPr>
              <w:spacing w:after="0" w:line="240" w:lineRule="auto"/>
              <w:ind w:left="339" w:hanging="284"/>
              <w:jc w:val="both"/>
              <w:rPr>
                <w:rFonts w:ascii="Arial" w:eastAsia="Arial Narrow" w:hAnsi="Arial" w:cs="Arial"/>
                <w:sz w:val="20"/>
                <w:szCs w:val="20"/>
              </w:rPr>
            </w:pPr>
            <w:r w:rsidRPr="008A26D2">
              <w:rPr>
                <w:rFonts w:ascii="Arial" w:eastAsia="Arial Narrow" w:hAnsi="Arial" w:cs="Arial"/>
                <w:sz w:val="20"/>
                <w:szCs w:val="20"/>
              </w:rPr>
              <w:t>Promoción de planes específicos de la gestión de riesgos ante incendios forestales</w:t>
            </w:r>
          </w:p>
          <w:p w14:paraId="75B9B4D0" w14:textId="77777777" w:rsidR="00547C5B" w:rsidRPr="008A26D2" w:rsidRDefault="00547C5B" w:rsidP="00547C5B">
            <w:pPr>
              <w:pStyle w:val="Prrafodelista"/>
              <w:numPr>
                <w:ilvl w:val="0"/>
                <w:numId w:val="3"/>
              </w:numPr>
              <w:spacing w:after="0" w:line="240" w:lineRule="auto"/>
              <w:ind w:left="339" w:hanging="284"/>
              <w:jc w:val="both"/>
              <w:rPr>
                <w:rFonts w:ascii="Arial" w:eastAsia="Arial Narrow" w:hAnsi="Arial" w:cs="Arial"/>
                <w:sz w:val="20"/>
                <w:szCs w:val="20"/>
              </w:rPr>
            </w:pPr>
            <w:r w:rsidRPr="008A26D2">
              <w:rPr>
                <w:rFonts w:ascii="Arial" w:eastAsia="Arial Narrow" w:hAnsi="Arial" w:cs="Arial"/>
                <w:sz w:val="20"/>
                <w:szCs w:val="20"/>
              </w:rPr>
              <w:t>Marco legal, monitoreo y acciones posteriores a las ocurrencias de incendios forestales</w:t>
            </w:r>
          </w:p>
          <w:p w14:paraId="705A8114" w14:textId="77777777" w:rsidR="00547C5B" w:rsidRPr="008A26D2" w:rsidRDefault="00547C5B" w:rsidP="00547C5B">
            <w:pPr>
              <w:pBdr>
                <w:top w:val="nil"/>
                <w:left w:val="nil"/>
                <w:bottom w:val="nil"/>
                <w:right w:val="nil"/>
                <w:between w:val="nil"/>
              </w:pBdr>
              <w:spacing w:after="0" w:line="240" w:lineRule="auto"/>
              <w:jc w:val="both"/>
              <w:rPr>
                <w:rFonts w:ascii="Arial" w:eastAsia="Arial Narrow" w:hAnsi="Arial" w:cs="Arial"/>
                <w:sz w:val="20"/>
                <w:szCs w:val="20"/>
              </w:rPr>
            </w:pPr>
          </w:p>
          <w:p w14:paraId="5B16BD4C" w14:textId="77777777" w:rsidR="00547C5B" w:rsidRPr="008A26D2" w:rsidRDefault="00547C5B" w:rsidP="00547C5B">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El servicio se entrega a los gobiernos regionales para que les permita cumplir con sus funciones en gestión de riesgos en beneficio de la población.</w:t>
            </w:r>
          </w:p>
          <w:p w14:paraId="1268EF25" w14:textId="77777777" w:rsidR="00547C5B" w:rsidRPr="008A26D2" w:rsidRDefault="00547C5B" w:rsidP="00547C5B">
            <w:pPr>
              <w:pBdr>
                <w:top w:val="nil"/>
                <w:left w:val="nil"/>
                <w:bottom w:val="nil"/>
                <w:right w:val="nil"/>
                <w:between w:val="nil"/>
              </w:pBdr>
              <w:spacing w:after="0" w:line="240" w:lineRule="auto"/>
              <w:jc w:val="both"/>
              <w:rPr>
                <w:rFonts w:ascii="Arial" w:eastAsia="Arial Narrow" w:hAnsi="Arial" w:cs="Arial"/>
                <w:sz w:val="20"/>
                <w:szCs w:val="20"/>
              </w:rPr>
            </w:pPr>
          </w:p>
          <w:p w14:paraId="5EAB0C72" w14:textId="77777777" w:rsidR="00547C5B" w:rsidRPr="008A26D2" w:rsidRDefault="00547C5B" w:rsidP="00547C5B">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El servicio es mejorado debido a que la asistencia técnica se ha estructurado a través de módulos lo que permite orientar mejor la entrega del servicio de acuerdo con las funciones que se desarrollan en el ámbito regional.</w:t>
            </w:r>
          </w:p>
          <w:p w14:paraId="63095F7B" w14:textId="77777777" w:rsidR="00547C5B" w:rsidRPr="008A26D2" w:rsidRDefault="00547C5B" w:rsidP="00547C5B">
            <w:pPr>
              <w:pBdr>
                <w:top w:val="nil"/>
                <w:left w:val="nil"/>
                <w:bottom w:val="nil"/>
                <w:right w:val="nil"/>
                <w:between w:val="nil"/>
              </w:pBdr>
              <w:spacing w:after="0" w:line="240" w:lineRule="auto"/>
              <w:jc w:val="both"/>
              <w:rPr>
                <w:rFonts w:ascii="Arial" w:eastAsia="Arial Narrow" w:hAnsi="Arial" w:cs="Arial"/>
                <w:sz w:val="20"/>
                <w:szCs w:val="20"/>
              </w:rPr>
            </w:pPr>
          </w:p>
          <w:p w14:paraId="79A0EB5D" w14:textId="0C967ACA" w:rsidR="00547C5B" w:rsidRPr="008A26D2" w:rsidRDefault="00547C5B" w:rsidP="00547C5B">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Se  espera que los participantes sean capaces de  comunicar a los usuarios de los recursos forestales y de  fauna silvestre y a los productores en general, de las alternativas para no quemar; a las autoridades de la obligación y necesidad  de elaborar los planes, de los mecanismos financieros para implementar los planes, de las plataformas de monitoreo y prevención existentes, del material de difusión; de la necesidad de formular proyectos de inversión pública para implementar  los procesos de prevención y preparación ante incendios forestales. Con ello, se contribuirá a mitigar los incendios forestales en los ecosistemas forestales y ecosistemas de vegetación silvestre que conforman el Patrimonio Forestal de la Nación. </w:t>
            </w:r>
          </w:p>
          <w:p w14:paraId="03F15341" w14:textId="77777777" w:rsidR="00547C5B" w:rsidRPr="008A26D2" w:rsidRDefault="00547C5B" w:rsidP="00547C5B">
            <w:pPr>
              <w:pBdr>
                <w:top w:val="nil"/>
                <w:left w:val="nil"/>
                <w:bottom w:val="nil"/>
                <w:right w:val="nil"/>
                <w:between w:val="nil"/>
              </w:pBdr>
              <w:spacing w:after="0" w:line="240" w:lineRule="auto"/>
              <w:jc w:val="both"/>
              <w:rPr>
                <w:rFonts w:ascii="Arial" w:eastAsia="Arial Narrow" w:hAnsi="Arial" w:cs="Arial"/>
                <w:sz w:val="20"/>
                <w:szCs w:val="20"/>
              </w:rPr>
            </w:pPr>
          </w:p>
          <w:p w14:paraId="2D724E64" w14:textId="68836F6F" w:rsidR="00547C5B" w:rsidRPr="008A26D2" w:rsidRDefault="00547C5B" w:rsidP="00547C5B">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Asimismo, esto contribuye a las Contribuciones Determinadas a Nivel Nacional (NDC, por su sigla en inglés) que son los compromisos asumidos por los países que forman parte de la Convención Marco de las Naciones Unidas sobre el Cambio Climático </w:t>
            </w:r>
            <w:r w:rsidR="003B2206">
              <w:rPr>
                <w:rFonts w:ascii="Arial" w:eastAsia="Arial Narrow" w:hAnsi="Arial" w:cs="Arial"/>
                <w:sz w:val="20"/>
                <w:szCs w:val="20"/>
              </w:rPr>
              <w:t xml:space="preserve">- </w:t>
            </w:r>
            <w:r w:rsidRPr="008A26D2">
              <w:rPr>
                <w:rFonts w:ascii="Arial" w:eastAsia="Arial Narrow" w:hAnsi="Arial" w:cs="Arial"/>
                <w:sz w:val="20"/>
                <w:szCs w:val="20"/>
              </w:rPr>
              <w:t>CMNUCC y que deben llevar a cabo para intensificar sus acciones contra el cambio climático.</w:t>
            </w:r>
          </w:p>
          <w:p w14:paraId="153612B2" w14:textId="77777777" w:rsidR="00547C5B" w:rsidRPr="008A26D2" w:rsidRDefault="00547C5B" w:rsidP="00547C5B">
            <w:pPr>
              <w:pBdr>
                <w:top w:val="nil"/>
                <w:left w:val="nil"/>
                <w:bottom w:val="nil"/>
                <w:right w:val="nil"/>
                <w:between w:val="nil"/>
              </w:pBdr>
              <w:spacing w:after="0" w:line="240" w:lineRule="auto"/>
              <w:jc w:val="both"/>
              <w:rPr>
                <w:rFonts w:ascii="Arial" w:eastAsia="Arial Narrow" w:hAnsi="Arial" w:cs="Arial"/>
                <w:sz w:val="20"/>
                <w:szCs w:val="20"/>
              </w:rPr>
            </w:pPr>
          </w:p>
          <w:p w14:paraId="5677EB43" w14:textId="77777777" w:rsidR="00547C5B" w:rsidRPr="008A26D2" w:rsidRDefault="00547C5B" w:rsidP="00547C5B">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Por otro lado, la asistencia técnica a los Gobiernos Regionales en gestión de riesgos ante incendios forestales les permitirá cumplir con una de sus funciones señaladas en la Ley que crea el Sistema Nacional de Gestión de Riesgos de Desastres -SINAGERD-Ley 29664 y su reglamento y lo señalado por el PLANAGERD</w:t>
            </w:r>
            <w:r w:rsidRPr="008A26D2">
              <w:rPr>
                <w:rFonts w:ascii="Arial" w:eastAsia="MS PGothic" w:hAnsi="Arial" w:cs="Arial"/>
                <w:kern w:val="24"/>
                <w:sz w:val="20"/>
                <w:szCs w:val="20"/>
                <w:lang w:val="es-MX"/>
              </w:rPr>
              <w:t xml:space="preserve"> 2022 -2030</w:t>
            </w:r>
            <w:r w:rsidRPr="008A26D2">
              <w:rPr>
                <w:rFonts w:ascii="Arial" w:eastAsia="Arial Narrow" w:hAnsi="Arial" w:cs="Arial"/>
                <w:sz w:val="20"/>
                <w:szCs w:val="20"/>
              </w:rPr>
              <w:t xml:space="preserve"> aprobado con Decreto Supremo N° 115-2022-PCM</w:t>
            </w:r>
          </w:p>
          <w:p w14:paraId="518956CF" w14:textId="77777777" w:rsidR="00547C5B" w:rsidRPr="008A26D2" w:rsidRDefault="00547C5B" w:rsidP="00547C5B">
            <w:pPr>
              <w:pBdr>
                <w:top w:val="nil"/>
                <w:left w:val="nil"/>
                <w:bottom w:val="nil"/>
                <w:right w:val="nil"/>
                <w:between w:val="nil"/>
              </w:pBdr>
              <w:spacing w:after="0" w:line="240" w:lineRule="auto"/>
              <w:jc w:val="both"/>
              <w:rPr>
                <w:rFonts w:ascii="Arial" w:eastAsia="Arial Narrow" w:hAnsi="Arial" w:cs="Arial"/>
                <w:sz w:val="20"/>
                <w:szCs w:val="20"/>
              </w:rPr>
            </w:pPr>
          </w:p>
        </w:tc>
      </w:tr>
      <w:tr w:rsidR="008A26D2" w:rsidRPr="008A26D2" w14:paraId="00C813EF" w14:textId="77777777" w:rsidTr="0012502E">
        <w:trPr>
          <w:trHeight w:val="300"/>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295A159" w14:textId="77777777" w:rsidR="00547C5B" w:rsidRPr="008A26D2" w:rsidRDefault="00547C5B" w:rsidP="00547C5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lastRenderedPageBreak/>
              <w:t xml:space="preserve"> Proveedor del servicio</w:t>
            </w:r>
          </w:p>
        </w:tc>
        <w:tc>
          <w:tcPr>
            <w:tcW w:w="623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15B90A0" w14:textId="77777777" w:rsidR="00547C5B" w:rsidRPr="008A26D2" w:rsidRDefault="00547C5B" w:rsidP="00547C5B">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Servicio Nacional Forestal y de fauna Silvestre – SERFOR</w:t>
            </w:r>
          </w:p>
        </w:tc>
      </w:tr>
      <w:tr w:rsidR="008A26D2" w:rsidRPr="008A26D2" w14:paraId="5BA74CBF" w14:textId="77777777" w:rsidTr="00EB5309">
        <w:trPr>
          <w:trHeight w:val="458"/>
        </w:trPr>
        <w:tc>
          <w:tcPr>
            <w:tcW w:w="2551" w:type="dxa"/>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43358117" w14:textId="77777777" w:rsidR="00547C5B" w:rsidRPr="008A26D2" w:rsidRDefault="00547C5B" w:rsidP="004D58E2">
            <w:pPr>
              <w:spacing w:after="0" w:line="240" w:lineRule="auto"/>
              <w:rPr>
                <w:rFonts w:ascii="Arial" w:hAnsi="Arial" w:cs="Arial"/>
                <w:b/>
                <w:sz w:val="20"/>
                <w:szCs w:val="20"/>
              </w:rPr>
            </w:pPr>
            <w:r w:rsidRPr="008A26D2">
              <w:rPr>
                <w:rFonts w:ascii="Arial" w:hAnsi="Arial" w:cs="Arial"/>
                <w:b/>
                <w:sz w:val="20"/>
                <w:szCs w:val="20"/>
              </w:rPr>
              <w:t>Nivel (es) de gobierno que interviene</w:t>
            </w:r>
          </w:p>
          <w:p w14:paraId="4FA33984" w14:textId="76A638B4" w:rsidR="00547C5B" w:rsidRPr="008A26D2" w:rsidRDefault="00547C5B" w:rsidP="00547C5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(n) en la provisión del servicio</w:t>
            </w:r>
          </w:p>
        </w:tc>
        <w:tc>
          <w:tcPr>
            <w:tcW w:w="2077"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4D8A94DC" w14:textId="0B705BE6" w:rsidR="00547C5B" w:rsidRPr="008A26D2" w:rsidRDefault="00547C5B" w:rsidP="004D58E2">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Nacional</w:t>
            </w:r>
          </w:p>
        </w:tc>
        <w:tc>
          <w:tcPr>
            <w:tcW w:w="2078" w:type="dxa"/>
            <w:tcBorders>
              <w:top w:val="single" w:sz="4" w:space="0" w:color="000000"/>
              <w:left w:val="single" w:sz="4" w:space="0" w:color="000000"/>
              <w:right w:val="single" w:sz="4" w:space="0" w:color="000000"/>
            </w:tcBorders>
            <w:shd w:val="clear" w:color="auto" w:fill="auto"/>
            <w:vAlign w:val="center"/>
          </w:tcPr>
          <w:p w14:paraId="587D9D07" w14:textId="70823F46" w:rsidR="00547C5B" w:rsidRPr="008A26D2" w:rsidRDefault="00547C5B" w:rsidP="004D58E2">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Regional</w:t>
            </w:r>
          </w:p>
        </w:tc>
        <w:tc>
          <w:tcPr>
            <w:tcW w:w="2078" w:type="dxa"/>
            <w:tcBorders>
              <w:top w:val="single" w:sz="4" w:space="0" w:color="000000"/>
              <w:left w:val="single" w:sz="4" w:space="0" w:color="000000"/>
              <w:right w:val="single" w:sz="4" w:space="0" w:color="000000"/>
            </w:tcBorders>
            <w:shd w:val="clear" w:color="auto" w:fill="auto"/>
            <w:vAlign w:val="center"/>
          </w:tcPr>
          <w:p w14:paraId="43E24CC0" w14:textId="4FC24D86" w:rsidR="00547C5B" w:rsidRPr="008A26D2" w:rsidRDefault="00547C5B" w:rsidP="004D58E2">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Local</w:t>
            </w:r>
          </w:p>
        </w:tc>
      </w:tr>
      <w:tr w:rsidR="008A26D2" w:rsidRPr="008A26D2" w14:paraId="53135307" w14:textId="77777777" w:rsidTr="00EB5309">
        <w:trPr>
          <w:trHeight w:val="457"/>
        </w:trPr>
        <w:tc>
          <w:tcPr>
            <w:tcW w:w="2551" w:type="dxa"/>
            <w:vMerge/>
            <w:tcBorders>
              <w:left w:val="single" w:sz="4" w:space="0" w:color="000000"/>
              <w:right w:val="single" w:sz="4" w:space="0" w:color="000000"/>
            </w:tcBorders>
            <w:shd w:val="clear" w:color="auto" w:fill="auto"/>
            <w:tcMar>
              <w:top w:w="15" w:type="dxa"/>
              <w:left w:w="15" w:type="dxa"/>
              <w:bottom w:w="0" w:type="dxa"/>
              <w:right w:w="15" w:type="dxa"/>
            </w:tcMar>
            <w:vAlign w:val="center"/>
          </w:tcPr>
          <w:p w14:paraId="66B0182A" w14:textId="77777777" w:rsidR="00547C5B" w:rsidRPr="008A26D2" w:rsidRDefault="00547C5B" w:rsidP="00547C5B">
            <w:pPr>
              <w:spacing w:after="0" w:line="240" w:lineRule="auto"/>
              <w:rPr>
                <w:rFonts w:ascii="Arial" w:hAnsi="Arial" w:cs="Arial"/>
                <w:b/>
                <w:sz w:val="20"/>
                <w:szCs w:val="20"/>
              </w:rPr>
            </w:pPr>
          </w:p>
        </w:tc>
        <w:tc>
          <w:tcPr>
            <w:tcW w:w="2077"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21F39DE6" w14:textId="059B6B34" w:rsidR="00547C5B" w:rsidRPr="008A26D2" w:rsidRDefault="00023D11" w:rsidP="004D58E2">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X</w:t>
            </w:r>
          </w:p>
        </w:tc>
        <w:tc>
          <w:tcPr>
            <w:tcW w:w="2078" w:type="dxa"/>
            <w:tcBorders>
              <w:top w:val="single" w:sz="4" w:space="0" w:color="000000"/>
              <w:left w:val="single" w:sz="4" w:space="0" w:color="000000"/>
              <w:right w:val="single" w:sz="4" w:space="0" w:color="000000"/>
            </w:tcBorders>
            <w:shd w:val="clear" w:color="auto" w:fill="auto"/>
            <w:vAlign w:val="center"/>
          </w:tcPr>
          <w:p w14:paraId="19FD5680" w14:textId="77777777" w:rsidR="00547C5B" w:rsidRPr="008A26D2" w:rsidRDefault="00547C5B" w:rsidP="004D58E2">
            <w:pPr>
              <w:pBdr>
                <w:top w:val="nil"/>
                <w:left w:val="nil"/>
                <w:bottom w:val="nil"/>
                <w:right w:val="nil"/>
                <w:between w:val="nil"/>
              </w:pBdr>
              <w:spacing w:after="0" w:line="240" w:lineRule="auto"/>
              <w:jc w:val="center"/>
              <w:rPr>
                <w:rFonts w:ascii="Arial" w:eastAsia="Arial Narrow" w:hAnsi="Arial" w:cs="Arial"/>
                <w:sz w:val="20"/>
                <w:szCs w:val="20"/>
              </w:rPr>
            </w:pPr>
          </w:p>
        </w:tc>
        <w:tc>
          <w:tcPr>
            <w:tcW w:w="2078" w:type="dxa"/>
            <w:tcBorders>
              <w:top w:val="single" w:sz="4" w:space="0" w:color="000000"/>
              <w:left w:val="single" w:sz="4" w:space="0" w:color="000000"/>
              <w:right w:val="single" w:sz="4" w:space="0" w:color="000000"/>
            </w:tcBorders>
            <w:shd w:val="clear" w:color="auto" w:fill="auto"/>
            <w:vAlign w:val="center"/>
          </w:tcPr>
          <w:p w14:paraId="0C9BE0FF" w14:textId="54A03A91" w:rsidR="00547C5B" w:rsidRPr="008A26D2" w:rsidRDefault="00547C5B" w:rsidP="004D58E2">
            <w:pPr>
              <w:pBdr>
                <w:top w:val="nil"/>
                <w:left w:val="nil"/>
                <w:bottom w:val="nil"/>
                <w:right w:val="nil"/>
                <w:between w:val="nil"/>
              </w:pBdr>
              <w:spacing w:after="0" w:line="240" w:lineRule="auto"/>
              <w:jc w:val="center"/>
              <w:rPr>
                <w:rFonts w:ascii="Arial" w:eastAsia="Arial Narrow" w:hAnsi="Arial" w:cs="Arial"/>
                <w:sz w:val="20"/>
                <w:szCs w:val="20"/>
              </w:rPr>
            </w:pPr>
          </w:p>
        </w:tc>
      </w:tr>
      <w:tr w:rsidR="008A26D2" w:rsidRPr="008A26D2" w14:paraId="2CF8E789" w14:textId="77777777" w:rsidTr="0012502E">
        <w:trPr>
          <w:trHeight w:val="300"/>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6B16815" w14:textId="77777777" w:rsidR="00547C5B" w:rsidRPr="008A26D2" w:rsidRDefault="00547C5B" w:rsidP="00547C5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Receptor del servicio</w:t>
            </w:r>
          </w:p>
        </w:tc>
        <w:tc>
          <w:tcPr>
            <w:tcW w:w="623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EF2A035" w14:textId="77777777" w:rsidR="00547C5B" w:rsidRPr="008A26D2" w:rsidRDefault="00547C5B" w:rsidP="00547C5B">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Gobiernos regionales</w:t>
            </w:r>
          </w:p>
        </w:tc>
      </w:tr>
      <w:tr w:rsidR="008A26D2" w:rsidRPr="008A26D2" w14:paraId="36D3B167" w14:textId="77777777" w:rsidTr="0012502E">
        <w:trPr>
          <w:trHeight w:val="211"/>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3D73F88" w14:textId="77777777" w:rsidR="00547C5B" w:rsidRPr="008A26D2" w:rsidRDefault="00547C5B" w:rsidP="00547C5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Alcance del servicio </w:t>
            </w:r>
          </w:p>
        </w:tc>
        <w:tc>
          <w:tcPr>
            <w:tcW w:w="623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3AD34E9" w14:textId="77777777" w:rsidR="00547C5B" w:rsidRPr="008A26D2" w:rsidRDefault="00547C5B" w:rsidP="00547C5B">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Nacional</w:t>
            </w:r>
          </w:p>
        </w:tc>
      </w:tr>
      <w:tr w:rsidR="008A26D2" w:rsidRPr="008A26D2" w14:paraId="7A9DAE26" w14:textId="77777777" w:rsidTr="0012502E">
        <w:trPr>
          <w:trHeight w:val="62"/>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2497F54" w14:textId="77777777" w:rsidR="00547C5B" w:rsidRPr="008A26D2" w:rsidRDefault="00547C5B" w:rsidP="00547C5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Estándar (es) de cumplimiento</w:t>
            </w:r>
          </w:p>
        </w:tc>
        <w:tc>
          <w:tcPr>
            <w:tcW w:w="623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8A69B3A" w14:textId="77777777" w:rsidR="00547C5B" w:rsidRPr="008A26D2" w:rsidRDefault="00547C5B" w:rsidP="00547C5B">
            <w:pPr>
              <w:pBdr>
                <w:top w:val="nil"/>
                <w:left w:val="nil"/>
                <w:bottom w:val="nil"/>
                <w:right w:val="nil"/>
                <w:between w:val="nil"/>
              </w:pBdr>
              <w:spacing w:after="0" w:line="240" w:lineRule="auto"/>
              <w:rPr>
                <w:rFonts w:ascii="Arial" w:hAnsi="Arial" w:cs="Arial"/>
                <w:sz w:val="20"/>
                <w:szCs w:val="20"/>
              </w:rPr>
            </w:pPr>
            <w:r w:rsidRPr="008A26D2">
              <w:rPr>
                <w:rFonts w:ascii="Arial" w:eastAsia="Arial Narrow" w:hAnsi="Arial" w:cs="Arial"/>
                <w:sz w:val="20"/>
                <w:szCs w:val="20"/>
              </w:rPr>
              <w:t>Pertinencia</w:t>
            </w:r>
          </w:p>
        </w:tc>
      </w:tr>
      <w:tr w:rsidR="008A26D2" w:rsidRPr="008A26D2" w14:paraId="7033CCC1" w14:textId="77777777" w:rsidTr="0012502E">
        <w:trPr>
          <w:trHeight w:val="678"/>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E2EDCD9" w14:textId="77777777" w:rsidR="00547C5B" w:rsidRPr="008A26D2" w:rsidRDefault="00547C5B" w:rsidP="00547C5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Descripción del estándar</w:t>
            </w:r>
          </w:p>
        </w:tc>
        <w:tc>
          <w:tcPr>
            <w:tcW w:w="623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35" w:type="dxa"/>
              <w:bottom w:w="0" w:type="dxa"/>
              <w:right w:w="15" w:type="dxa"/>
            </w:tcMar>
            <w:vAlign w:val="center"/>
          </w:tcPr>
          <w:p w14:paraId="0E7A4E7B" w14:textId="1F4B17D8" w:rsidR="00547C5B" w:rsidRPr="008A26D2" w:rsidRDefault="00547C5B" w:rsidP="00547C5B">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El servicio es de pertinencia porque responde a las diversas necesidades de asistencia técnica en gestión de riesgos ante incendios forestales considerando el ámbito geográfico de los gobiernos regionales (costa, sierra, selva)</w:t>
            </w:r>
            <w:r w:rsidR="004D58E2" w:rsidRPr="008A26D2">
              <w:rPr>
                <w:rFonts w:ascii="Arial" w:eastAsia="Arial Narrow" w:hAnsi="Arial" w:cs="Arial"/>
                <w:sz w:val="20"/>
                <w:szCs w:val="20"/>
              </w:rPr>
              <w:t>.</w:t>
            </w:r>
            <w:r w:rsidRPr="008A26D2" w:rsidDel="00361042">
              <w:rPr>
                <w:rFonts w:ascii="Arial" w:eastAsia="Arial Narrow" w:hAnsi="Arial" w:cs="Arial"/>
                <w:sz w:val="20"/>
                <w:szCs w:val="20"/>
              </w:rPr>
              <w:t xml:space="preserve"> </w:t>
            </w:r>
          </w:p>
          <w:p w14:paraId="05217936" w14:textId="77777777" w:rsidR="00547C5B" w:rsidRPr="008A26D2" w:rsidRDefault="00547C5B" w:rsidP="00547C5B">
            <w:pPr>
              <w:pBdr>
                <w:top w:val="nil"/>
                <w:left w:val="nil"/>
                <w:bottom w:val="nil"/>
                <w:right w:val="nil"/>
                <w:between w:val="nil"/>
              </w:pBdr>
              <w:spacing w:after="0" w:line="240" w:lineRule="auto"/>
              <w:jc w:val="both"/>
              <w:rPr>
                <w:rFonts w:ascii="Arial" w:hAnsi="Arial" w:cs="Arial"/>
                <w:strike/>
                <w:sz w:val="20"/>
                <w:szCs w:val="20"/>
              </w:rPr>
            </w:pPr>
          </w:p>
        </w:tc>
      </w:tr>
      <w:tr w:rsidR="00547C5B" w:rsidRPr="008A26D2" w14:paraId="2A52618B" w14:textId="77777777" w:rsidTr="0012502E">
        <w:trPr>
          <w:trHeight w:val="491"/>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E42F48A" w14:textId="77777777" w:rsidR="00547C5B" w:rsidRPr="008A26D2" w:rsidRDefault="00547C5B" w:rsidP="00547C5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Indicador </w:t>
            </w:r>
          </w:p>
        </w:tc>
        <w:tc>
          <w:tcPr>
            <w:tcW w:w="623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39ABFF51" w14:textId="7BD4EA9C" w:rsidR="00547C5B" w:rsidRPr="008A26D2" w:rsidRDefault="00547C5B" w:rsidP="00547C5B">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Porcentaje de gobiernos regionales que recibieron asistencia técnica de forma pertinente.</w:t>
            </w:r>
          </w:p>
          <w:p w14:paraId="166E8E36" w14:textId="77777777" w:rsidR="00547C5B" w:rsidRPr="008A26D2" w:rsidRDefault="00547C5B" w:rsidP="00547C5B">
            <w:pPr>
              <w:pBdr>
                <w:top w:val="nil"/>
                <w:left w:val="nil"/>
                <w:bottom w:val="nil"/>
                <w:right w:val="nil"/>
                <w:between w:val="nil"/>
              </w:pBdr>
              <w:spacing w:after="0" w:line="240" w:lineRule="auto"/>
              <w:jc w:val="both"/>
              <w:rPr>
                <w:rFonts w:ascii="Arial" w:hAnsi="Arial" w:cs="Arial"/>
                <w:sz w:val="20"/>
                <w:szCs w:val="20"/>
              </w:rPr>
            </w:pPr>
          </w:p>
        </w:tc>
      </w:tr>
    </w:tbl>
    <w:p w14:paraId="6DD0E22E" w14:textId="77777777" w:rsidR="007F2430" w:rsidRDefault="007F2430" w:rsidP="000D1705">
      <w:pPr>
        <w:tabs>
          <w:tab w:val="left" w:pos="3375"/>
        </w:tabs>
        <w:rPr>
          <w:rFonts w:ascii="Arial Narrow" w:eastAsia="Arial Narrow" w:hAnsi="Arial Narrow" w:cs="Arial Narrow"/>
          <w:b/>
        </w:rPr>
      </w:pPr>
    </w:p>
    <w:p w14:paraId="0EF6F54B" w14:textId="77777777" w:rsidR="000C49B7" w:rsidRDefault="000C49B7" w:rsidP="000D1705">
      <w:pPr>
        <w:tabs>
          <w:tab w:val="left" w:pos="3375"/>
        </w:tabs>
        <w:rPr>
          <w:rFonts w:ascii="Arial Narrow" w:eastAsia="Arial Narrow" w:hAnsi="Arial Narrow" w:cs="Arial Narrow"/>
          <w:b/>
        </w:rPr>
      </w:pPr>
    </w:p>
    <w:p w14:paraId="1FBEB18E" w14:textId="77777777" w:rsidR="00F306F0" w:rsidRDefault="00F306F0" w:rsidP="000D1705">
      <w:pPr>
        <w:tabs>
          <w:tab w:val="left" w:pos="3375"/>
        </w:tabs>
        <w:rPr>
          <w:rFonts w:ascii="Arial Narrow" w:eastAsia="Arial Narrow" w:hAnsi="Arial Narrow" w:cs="Arial Narrow"/>
          <w:b/>
        </w:rPr>
      </w:pPr>
    </w:p>
    <w:p w14:paraId="3938050F" w14:textId="77777777" w:rsidR="000C49B7" w:rsidRPr="008A26D2" w:rsidRDefault="000C49B7" w:rsidP="000D1705">
      <w:pPr>
        <w:tabs>
          <w:tab w:val="left" w:pos="3375"/>
        </w:tabs>
        <w:rPr>
          <w:rFonts w:ascii="Arial Narrow" w:eastAsia="Arial Narrow" w:hAnsi="Arial Narrow" w:cs="Arial Narrow"/>
          <w:b/>
        </w:rPr>
      </w:pPr>
    </w:p>
    <w:p w14:paraId="5E5F5E4C" w14:textId="3B3EC36F" w:rsidR="00E5011C" w:rsidRPr="008A26D2" w:rsidRDefault="006F4C42" w:rsidP="006F4C42">
      <w:pPr>
        <w:tabs>
          <w:tab w:val="left" w:pos="3375"/>
        </w:tabs>
        <w:jc w:val="both"/>
        <w:rPr>
          <w:rFonts w:ascii="Arial" w:eastAsia="Arial Narrow" w:hAnsi="Arial" w:cs="Arial"/>
        </w:rPr>
      </w:pPr>
      <w:r w:rsidRPr="008A26D2">
        <w:rPr>
          <w:rFonts w:ascii="Arial" w:eastAsia="Arial Narrow" w:hAnsi="Arial" w:cs="Arial"/>
          <w:b/>
          <w:bCs/>
        </w:rPr>
        <w:lastRenderedPageBreak/>
        <w:t>S1.2.1</w:t>
      </w:r>
      <w:r w:rsidRPr="008A26D2">
        <w:rPr>
          <w:rFonts w:ascii="Arial" w:eastAsia="Arial Narrow" w:hAnsi="Arial" w:cs="Arial"/>
        </w:rPr>
        <w:t xml:space="preserve"> Fortalecimiento de capacidades en materia de plantaciones forestales y sistemas agroforestales de forma satisfactoria a los productores agrarios y organizaciones campesinas y nativas.</w:t>
      </w:r>
    </w:p>
    <w:tbl>
      <w:tblPr>
        <w:tblW w:w="8789" w:type="dxa"/>
        <w:tblInd w:w="-5" w:type="dxa"/>
        <w:tblLayout w:type="fixed"/>
        <w:tblLook w:val="0600" w:firstRow="0" w:lastRow="0" w:firstColumn="0" w:lastColumn="0" w:noHBand="1" w:noVBand="1"/>
      </w:tblPr>
      <w:tblGrid>
        <w:gridCol w:w="2386"/>
        <w:gridCol w:w="2134"/>
        <w:gridCol w:w="2134"/>
        <w:gridCol w:w="2135"/>
      </w:tblGrid>
      <w:tr w:rsidR="008A26D2" w:rsidRPr="008A26D2" w14:paraId="4DA77B27" w14:textId="77777777" w:rsidTr="0012502E">
        <w:trPr>
          <w:trHeight w:val="117"/>
        </w:trPr>
        <w:tc>
          <w:tcPr>
            <w:tcW w:w="8789"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center"/>
          </w:tcPr>
          <w:p w14:paraId="601CD86B" w14:textId="1609AD15" w:rsidR="006F4C42" w:rsidRPr="008A26D2" w:rsidRDefault="006F4C42" w:rsidP="0072651A">
            <w:pPr>
              <w:jc w:val="center"/>
              <w:rPr>
                <w:rFonts w:ascii="Arial" w:hAnsi="Arial" w:cs="Arial"/>
                <w:sz w:val="20"/>
                <w:szCs w:val="20"/>
              </w:rPr>
            </w:pPr>
            <w:r w:rsidRPr="008A26D2">
              <w:rPr>
                <w:rFonts w:ascii="Arial" w:hAnsi="Arial" w:cs="Arial"/>
                <w:b/>
                <w:sz w:val="20"/>
                <w:szCs w:val="20"/>
              </w:rPr>
              <w:t xml:space="preserve">FICHA DEL SERVICIO </w:t>
            </w:r>
          </w:p>
        </w:tc>
      </w:tr>
      <w:tr w:rsidR="008A26D2" w:rsidRPr="008A26D2" w14:paraId="7965D8F3" w14:textId="77777777" w:rsidTr="0012502E">
        <w:trPr>
          <w:trHeight w:val="300"/>
        </w:trPr>
        <w:tc>
          <w:tcPr>
            <w:tcW w:w="238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D2C71CB" w14:textId="77777777" w:rsidR="006F4C42" w:rsidRPr="008A26D2" w:rsidRDefault="006F4C42"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Objetivo prioritario:</w:t>
            </w:r>
          </w:p>
        </w:tc>
        <w:tc>
          <w:tcPr>
            <w:tcW w:w="640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D163E6F" w14:textId="77777777" w:rsidR="006F4C42" w:rsidRPr="008A26D2" w:rsidRDefault="006F4C42" w:rsidP="0072651A">
            <w:pPr>
              <w:pBdr>
                <w:top w:val="nil"/>
                <w:left w:val="nil"/>
                <w:bottom w:val="nil"/>
                <w:right w:val="nil"/>
                <w:between w:val="nil"/>
              </w:pBdr>
              <w:spacing w:after="0" w:line="240" w:lineRule="auto"/>
              <w:ind w:left="122"/>
              <w:jc w:val="both"/>
              <w:rPr>
                <w:rFonts w:ascii="Arial" w:hAnsi="Arial" w:cs="Arial"/>
                <w:sz w:val="20"/>
                <w:szCs w:val="20"/>
              </w:rPr>
            </w:pPr>
            <w:r w:rsidRPr="008A26D2">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r>
      <w:tr w:rsidR="008A26D2" w:rsidRPr="008A26D2" w14:paraId="1185C6E7" w14:textId="77777777" w:rsidTr="0012502E">
        <w:trPr>
          <w:trHeight w:val="300"/>
        </w:trPr>
        <w:tc>
          <w:tcPr>
            <w:tcW w:w="238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340DE0F" w14:textId="77777777" w:rsidR="006F4C42" w:rsidRPr="008A26D2" w:rsidRDefault="006F4C42"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Lineamiento:</w:t>
            </w:r>
          </w:p>
        </w:tc>
        <w:tc>
          <w:tcPr>
            <w:tcW w:w="640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A93C1FB" w14:textId="77777777" w:rsidR="006F4C42" w:rsidRPr="008A26D2" w:rsidRDefault="006F4C42" w:rsidP="0072651A">
            <w:pPr>
              <w:pBdr>
                <w:top w:val="nil"/>
                <w:left w:val="nil"/>
                <w:bottom w:val="nil"/>
                <w:right w:val="nil"/>
                <w:between w:val="nil"/>
              </w:pBdr>
              <w:spacing w:after="0" w:line="240" w:lineRule="auto"/>
              <w:ind w:left="122"/>
              <w:jc w:val="both"/>
              <w:rPr>
                <w:rFonts w:ascii="Arial" w:eastAsia="Arial Narrow" w:hAnsi="Arial" w:cs="Arial"/>
                <w:sz w:val="20"/>
                <w:szCs w:val="20"/>
              </w:rPr>
            </w:pPr>
            <w:r w:rsidRPr="008A26D2">
              <w:rPr>
                <w:rFonts w:ascii="Arial" w:eastAsia="Arial Narrow" w:hAnsi="Arial" w:cs="Arial"/>
                <w:sz w:val="20"/>
                <w:szCs w:val="20"/>
              </w:rPr>
              <w:t>L1.2 Incrementar la superficie de plantaciones forestales y sistemas agroforestales</w:t>
            </w:r>
          </w:p>
        </w:tc>
      </w:tr>
      <w:tr w:rsidR="008A26D2" w:rsidRPr="008A26D2" w14:paraId="6E555D2D" w14:textId="77777777" w:rsidTr="0012502E">
        <w:trPr>
          <w:trHeight w:val="300"/>
        </w:trPr>
        <w:tc>
          <w:tcPr>
            <w:tcW w:w="238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42C4430" w14:textId="77777777" w:rsidR="006F4C42" w:rsidRPr="008A26D2" w:rsidRDefault="006F4C42"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Nombre del servicio:</w:t>
            </w:r>
          </w:p>
        </w:tc>
        <w:tc>
          <w:tcPr>
            <w:tcW w:w="640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140CF16" w14:textId="77777777" w:rsidR="006F4C42" w:rsidRPr="008A26D2" w:rsidRDefault="006F4C42" w:rsidP="0072651A">
            <w:pPr>
              <w:pBdr>
                <w:top w:val="nil"/>
                <w:left w:val="nil"/>
                <w:bottom w:val="nil"/>
                <w:right w:val="nil"/>
                <w:between w:val="nil"/>
              </w:pBdr>
              <w:spacing w:after="0" w:line="240" w:lineRule="auto"/>
              <w:ind w:left="122"/>
              <w:jc w:val="both"/>
              <w:rPr>
                <w:rFonts w:ascii="Arial" w:eastAsia="Arial Narrow" w:hAnsi="Arial" w:cs="Arial"/>
                <w:sz w:val="20"/>
                <w:szCs w:val="20"/>
              </w:rPr>
            </w:pPr>
            <w:r w:rsidRPr="008A26D2">
              <w:rPr>
                <w:rFonts w:ascii="Arial" w:eastAsia="Arial Narrow" w:hAnsi="Arial" w:cs="Arial"/>
                <w:sz w:val="20"/>
                <w:szCs w:val="20"/>
              </w:rPr>
              <w:t xml:space="preserve">S1.2.1 Fortalecimiento de capacidades en materia de plantaciones forestales y sistemas agroforestales de forma satisfactoria a los productores agrarios y organizaciones campesinas y nativas. </w:t>
            </w:r>
          </w:p>
        </w:tc>
      </w:tr>
      <w:tr w:rsidR="008A26D2" w:rsidRPr="008A26D2" w14:paraId="1E178B86" w14:textId="77777777" w:rsidTr="0012502E">
        <w:trPr>
          <w:trHeight w:val="300"/>
        </w:trPr>
        <w:tc>
          <w:tcPr>
            <w:tcW w:w="238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BE46D8C" w14:textId="77777777" w:rsidR="006F4C42" w:rsidRPr="008A26D2" w:rsidRDefault="006F4C42"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Tipo de servicio:</w:t>
            </w:r>
          </w:p>
        </w:tc>
        <w:tc>
          <w:tcPr>
            <w:tcW w:w="640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54B8AC5" w14:textId="77777777" w:rsidR="006F4C42" w:rsidRPr="008A26D2" w:rsidRDefault="006F4C42" w:rsidP="0072651A">
            <w:pPr>
              <w:pBdr>
                <w:top w:val="nil"/>
                <w:left w:val="nil"/>
                <w:bottom w:val="nil"/>
                <w:right w:val="nil"/>
                <w:between w:val="nil"/>
              </w:pBdr>
              <w:spacing w:after="0" w:line="240" w:lineRule="auto"/>
              <w:ind w:left="122"/>
              <w:jc w:val="both"/>
              <w:rPr>
                <w:rFonts w:ascii="Arial" w:eastAsia="Arial Narrow" w:hAnsi="Arial" w:cs="Arial"/>
                <w:sz w:val="20"/>
                <w:szCs w:val="20"/>
              </w:rPr>
            </w:pPr>
            <w:r w:rsidRPr="008A26D2">
              <w:rPr>
                <w:rFonts w:ascii="Arial" w:eastAsia="Arial Narrow" w:hAnsi="Arial" w:cs="Arial"/>
                <w:sz w:val="20"/>
                <w:szCs w:val="20"/>
              </w:rPr>
              <w:t>Mejorado</w:t>
            </w:r>
          </w:p>
        </w:tc>
      </w:tr>
      <w:tr w:rsidR="008A26D2" w:rsidRPr="008A26D2" w14:paraId="02DB4F16" w14:textId="77777777" w:rsidTr="0012502E">
        <w:trPr>
          <w:trHeight w:val="300"/>
        </w:trPr>
        <w:tc>
          <w:tcPr>
            <w:tcW w:w="238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E54E10C" w14:textId="105BF99F" w:rsidR="00547C5B" w:rsidRPr="008A26D2" w:rsidRDefault="00547C5B" w:rsidP="00547C5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Naturaleza del servicio:</w:t>
            </w:r>
          </w:p>
        </w:tc>
        <w:tc>
          <w:tcPr>
            <w:tcW w:w="640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94A4F92" w14:textId="2211945A" w:rsidR="00547C5B" w:rsidRPr="008A26D2" w:rsidRDefault="00023D11" w:rsidP="00547C5B">
            <w:pPr>
              <w:pBdr>
                <w:top w:val="nil"/>
                <w:left w:val="nil"/>
                <w:bottom w:val="nil"/>
                <w:right w:val="nil"/>
                <w:between w:val="nil"/>
              </w:pBdr>
              <w:spacing w:after="0" w:line="240" w:lineRule="auto"/>
              <w:ind w:left="122"/>
              <w:jc w:val="both"/>
              <w:rPr>
                <w:rFonts w:ascii="Arial" w:eastAsia="Arial Narrow" w:hAnsi="Arial" w:cs="Arial"/>
                <w:sz w:val="20"/>
                <w:szCs w:val="20"/>
              </w:rPr>
            </w:pPr>
            <w:r w:rsidRPr="008A26D2">
              <w:rPr>
                <w:rFonts w:ascii="Arial" w:eastAsia="Arial Narrow" w:hAnsi="Arial" w:cs="Arial"/>
                <w:sz w:val="20"/>
                <w:szCs w:val="20"/>
              </w:rPr>
              <w:t>P</w:t>
            </w:r>
            <w:r w:rsidR="00547C5B" w:rsidRPr="008A26D2">
              <w:rPr>
                <w:rFonts w:ascii="Arial" w:eastAsia="Arial Narrow" w:hAnsi="Arial" w:cs="Arial"/>
                <w:sz w:val="20"/>
                <w:szCs w:val="20"/>
              </w:rPr>
              <w:t>restacional</w:t>
            </w:r>
          </w:p>
        </w:tc>
      </w:tr>
      <w:tr w:rsidR="008A26D2" w:rsidRPr="008A26D2" w14:paraId="1B8FB665" w14:textId="77777777" w:rsidTr="0012502E">
        <w:trPr>
          <w:trHeight w:val="300"/>
        </w:trPr>
        <w:tc>
          <w:tcPr>
            <w:tcW w:w="238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7B165D2" w14:textId="68B5AA3C" w:rsidR="00547C5B" w:rsidRPr="008A26D2" w:rsidRDefault="00547C5B" w:rsidP="00547C5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Entrega del servicio</w:t>
            </w:r>
          </w:p>
        </w:tc>
        <w:tc>
          <w:tcPr>
            <w:tcW w:w="640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B9C059A" w14:textId="4DF2C290" w:rsidR="00547C5B" w:rsidRPr="008A26D2" w:rsidRDefault="00547C5B" w:rsidP="00547C5B">
            <w:pPr>
              <w:pBdr>
                <w:top w:val="nil"/>
                <w:left w:val="nil"/>
                <w:bottom w:val="nil"/>
                <w:right w:val="nil"/>
                <w:between w:val="nil"/>
              </w:pBdr>
              <w:spacing w:after="0" w:line="240" w:lineRule="auto"/>
              <w:ind w:left="122"/>
              <w:jc w:val="both"/>
              <w:rPr>
                <w:rFonts w:ascii="Arial" w:eastAsia="Arial Narrow" w:hAnsi="Arial" w:cs="Arial"/>
                <w:sz w:val="20"/>
                <w:szCs w:val="20"/>
              </w:rPr>
            </w:pPr>
            <w:r w:rsidRPr="008A26D2">
              <w:rPr>
                <w:rFonts w:ascii="Arial" w:eastAsia="Arial Narrow" w:hAnsi="Arial" w:cs="Arial"/>
                <w:sz w:val="20"/>
                <w:szCs w:val="20"/>
              </w:rPr>
              <w:t>Competencia compartida</w:t>
            </w:r>
          </w:p>
        </w:tc>
      </w:tr>
      <w:tr w:rsidR="008A26D2" w:rsidRPr="008A26D2" w14:paraId="1E28158A" w14:textId="77777777" w:rsidTr="0012502E">
        <w:trPr>
          <w:trHeight w:val="300"/>
        </w:trPr>
        <w:tc>
          <w:tcPr>
            <w:tcW w:w="238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85052FF" w14:textId="77777777" w:rsidR="00547C5B" w:rsidRPr="008A26D2" w:rsidRDefault="00547C5B" w:rsidP="00547C5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Descripción del servicio</w:t>
            </w:r>
          </w:p>
        </w:tc>
        <w:tc>
          <w:tcPr>
            <w:tcW w:w="640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C8CC6C6" w14:textId="41489C92" w:rsidR="00547C5B" w:rsidRPr="008A26D2" w:rsidRDefault="00547C5B" w:rsidP="00547C5B">
            <w:pPr>
              <w:pBdr>
                <w:top w:val="nil"/>
                <w:left w:val="nil"/>
                <w:bottom w:val="nil"/>
                <w:right w:val="nil"/>
                <w:between w:val="nil"/>
              </w:pBdr>
              <w:spacing w:after="0" w:line="240" w:lineRule="auto"/>
              <w:ind w:left="122"/>
              <w:jc w:val="both"/>
              <w:rPr>
                <w:rFonts w:ascii="Arial" w:eastAsia="Arial Narrow" w:hAnsi="Arial" w:cs="Arial"/>
                <w:sz w:val="20"/>
                <w:szCs w:val="20"/>
              </w:rPr>
            </w:pPr>
            <w:r w:rsidRPr="008A26D2">
              <w:rPr>
                <w:rFonts w:ascii="Arial" w:eastAsia="Arial Narrow" w:hAnsi="Arial" w:cs="Arial"/>
                <w:sz w:val="20"/>
                <w:szCs w:val="20"/>
              </w:rPr>
              <w:t>El servicio consiste en fortalecer capacidades a los productores agrarios y representantes de las organizaciones campesinas y nativas, a través de la sensibilización, pasantías, capacitación y asistencia técnica, apoyados en estrategias metodológicas, considerando guías y manuales técnicos los mismos que se brindan de manera presencial y oportuna en relación al calendario forestal de la zona. La capacitación amplía los saberes conceptuales, procedimentales y actitudinales, mientras que la asistencia técnica permite mejorar las destrezas de los productores agrarios y organizaciones campesinas y nativas.</w:t>
            </w:r>
          </w:p>
          <w:p w14:paraId="0FB24E02" w14:textId="77777777" w:rsidR="00547C5B" w:rsidRPr="008A26D2" w:rsidRDefault="00547C5B" w:rsidP="00547C5B">
            <w:pPr>
              <w:pBdr>
                <w:top w:val="nil"/>
                <w:left w:val="nil"/>
                <w:bottom w:val="nil"/>
                <w:right w:val="nil"/>
                <w:between w:val="nil"/>
              </w:pBdr>
              <w:spacing w:after="0" w:line="240" w:lineRule="auto"/>
              <w:ind w:left="122"/>
              <w:jc w:val="both"/>
              <w:rPr>
                <w:rFonts w:ascii="Arial" w:eastAsia="Arial Narrow" w:hAnsi="Arial" w:cs="Arial"/>
                <w:sz w:val="20"/>
                <w:szCs w:val="20"/>
              </w:rPr>
            </w:pPr>
          </w:p>
          <w:p w14:paraId="46675F6B" w14:textId="77777777" w:rsidR="00547C5B" w:rsidRPr="008A26D2" w:rsidRDefault="00547C5B" w:rsidP="00547C5B">
            <w:pPr>
              <w:pBdr>
                <w:top w:val="nil"/>
                <w:left w:val="nil"/>
                <w:bottom w:val="nil"/>
                <w:right w:val="nil"/>
                <w:between w:val="nil"/>
              </w:pBdr>
              <w:spacing w:after="0" w:line="240" w:lineRule="auto"/>
              <w:ind w:left="122"/>
              <w:jc w:val="both"/>
              <w:rPr>
                <w:rFonts w:ascii="Arial" w:eastAsia="Arial Narrow" w:hAnsi="Arial" w:cs="Arial"/>
                <w:sz w:val="20"/>
                <w:szCs w:val="20"/>
              </w:rPr>
            </w:pPr>
            <w:r w:rsidRPr="008A26D2">
              <w:rPr>
                <w:rFonts w:ascii="Arial" w:eastAsia="Arial Narrow" w:hAnsi="Arial" w:cs="Arial"/>
                <w:sz w:val="20"/>
                <w:szCs w:val="20"/>
              </w:rPr>
              <w:t xml:space="preserve">El servicio contribuye al incremento de la superficie de plantaciones forestales y sistemas agroforestales. </w:t>
            </w:r>
          </w:p>
          <w:p w14:paraId="06C46AA9" w14:textId="77777777" w:rsidR="00547C5B" w:rsidRPr="008A26D2" w:rsidRDefault="00547C5B" w:rsidP="00547C5B">
            <w:pPr>
              <w:pBdr>
                <w:top w:val="nil"/>
                <w:left w:val="nil"/>
                <w:bottom w:val="nil"/>
                <w:right w:val="nil"/>
                <w:between w:val="nil"/>
              </w:pBdr>
              <w:spacing w:after="0" w:line="240" w:lineRule="auto"/>
              <w:ind w:left="148"/>
              <w:jc w:val="both"/>
              <w:rPr>
                <w:rFonts w:ascii="Arial" w:eastAsia="Arial Narrow" w:hAnsi="Arial" w:cs="Arial"/>
                <w:sz w:val="20"/>
                <w:szCs w:val="20"/>
              </w:rPr>
            </w:pPr>
          </w:p>
          <w:p w14:paraId="383C8041" w14:textId="01E61CCE" w:rsidR="00547C5B" w:rsidRPr="008A26D2" w:rsidRDefault="00547C5B" w:rsidP="00547C5B">
            <w:pPr>
              <w:pBdr>
                <w:top w:val="nil"/>
                <w:left w:val="nil"/>
                <w:bottom w:val="nil"/>
                <w:right w:val="nil"/>
                <w:between w:val="nil"/>
              </w:pBdr>
              <w:spacing w:after="0" w:line="240" w:lineRule="auto"/>
              <w:ind w:left="122"/>
              <w:jc w:val="both"/>
              <w:rPr>
                <w:rFonts w:ascii="Arial" w:eastAsia="Times New Roman" w:hAnsi="Arial" w:cs="Arial"/>
                <w:sz w:val="20"/>
                <w:szCs w:val="20"/>
                <w:lang w:val="es-ES"/>
              </w:rPr>
            </w:pPr>
            <w:r w:rsidRPr="008A26D2">
              <w:rPr>
                <w:rFonts w:ascii="Arial" w:eastAsia="Arial Narrow" w:hAnsi="Arial" w:cs="Arial"/>
                <w:sz w:val="20"/>
                <w:szCs w:val="20"/>
              </w:rPr>
              <w:t xml:space="preserve">El servicio es de tipo mejorado porque se aplicará nuevas herramientas metodológicas y tecnológicas para la entrega del servicio, considerando el calendario forestal de la zona donde se imparte las capacitaciones para </w:t>
            </w:r>
            <w:r w:rsidRPr="008A26D2">
              <w:rPr>
                <w:rFonts w:ascii="Arial" w:eastAsia="Times New Roman" w:hAnsi="Arial" w:cs="Arial"/>
                <w:sz w:val="20"/>
                <w:szCs w:val="20"/>
                <w:lang w:val="es-ES"/>
              </w:rPr>
              <w:t xml:space="preserve">satisfacer las expectativas de capacitación por parte de </w:t>
            </w:r>
            <w:r w:rsidRPr="008A26D2">
              <w:rPr>
                <w:rFonts w:ascii="Arial" w:eastAsia="Arial Narrow" w:hAnsi="Arial" w:cs="Arial"/>
                <w:sz w:val="20"/>
                <w:szCs w:val="20"/>
              </w:rPr>
              <w:t>los productores agrarios y representantes de organizaciones campesinas y nativas</w:t>
            </w:r>
            <w:r w:rsidRPr="008A26D2">
              <w:rPr>
                <w:rFonts w:ascii="Arial" w:eastAsia="Times New Roman" w:hAnsi="Arial" w:cs="Arial"/>
                <w:sz w:val="20"/>
                <w:szCs w:val="20"/>
                <w:lang w:val="es-ES"/>
              </w:rPr>
              <w:t>.</w:t>
            </w:r>
          </w:p>
          <w:p w14:paraId="0411138F" w14:textId="77777777" w:rsidR="00547C5B" w:rsidRPr="008A26D2" w:rsidRDefault="00547C5B" w:rsidP="00547C5B">
            <w:pPr>
              <w:pBdr>
                <w:top w:val="nil"/>
                <w:left w:val="nil"/>
                <w:bottom w:val="nil"/>
                <w:right w:val="nil"/>
                <w:between w:val="nil"/>
              </w:pBdr>
              <w:spacing w:after="0" w:line="240" w:lineRule="auto"/>
              <w:ind w:left="122"/>
              <w:jc w:val="both"/>
              <w:rPr>
                <w:rFonts w:ascii="Arial" w:eastAsia="Arial Narrow" w:hAnsi="Arial" w:cs="Arial"/>
                <w:sz w:val="20"/>
                <w:szCs w:val="20"/>
              </w:rPr>
            </w:pPr>
          </w:p>
        </w:tc>
      </w:tr>
      <w:tr w:rsidR="008A26D2" w:rsidRPr="008A26D2" w14:paraId="5E7A5B43" w14:textId="77777777" w:rsidTr="0012502E">
        <w:trPr>
          <w:trHeight w:val="300"/>
        </w:trPr>
        <w:tc>
          <w:tcPr>
            <w:tcW w:w="238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2CF18A4" w14:textId="77777777" w:rsidR="00547C5B" w:rsidRPr="008A26D2" w:rsidRDefault="00547C5B" w:rsidP="00547C5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Proveedor del servicio</w:t>
            </w:r>
          </w:p>
        </w:tc>
        <w:tc>
          <w:tcPr>
            <w:tcW w:w="640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DF10652" w14:textId="69B71C98" w:rsidR="00547C5B" w:rsidRPr="008A26D2" w:rsidRDefault="00547C5B" w:rsidP="00547C5B">
            <w:pPr>
              <w:pBdr>
                <w:top w:val="nil"/>
                <w:left w:val="nil"/>
                <w:bottom w:val="nil"/>
                <w:right w:val="nil"/>
                <w:between w:val="nil"/>
              </w:pBdr>
              <w:spacing w:after="0" w:line="240" w:lineRule="auto"/>
              <w:ind w:left="122"/>
              <w:jc w:val="both"/>
              <w:rPr>
                <w:rFonts w:ascii="Arial" w:eastAsia="Arial Narrow" w:hAnsi="Arial" w:cs="Arial"/>
                <w:sz w:val="20"/>
                <w:szCs w:val="20"/>
              </w:rPr>
            </w:pPr>
            <w:r w:rsidRPr="008A26D2">
              <w:rPr>
                <w:rFonts w:ascii="Arial" w:eastAsia="Arial Narrow" w:hAnsi="Arial" w:cs="Arial"/>
                <w:sz w:val="20"/>
                <w:szCs w:val="20"/>
              </w:rPr>
              <w:t>Servicio Nacional Forestal y de Fauna Silvestre – SERFOR;</w:t>
            </w:r>
          </w:p>
          <w:p w14:paraId="028C6138" w14:textId="77777777" w:rsidR="00547C5B" w:rsidRPr="008A26D2" w:rsidRDefault="00547C5B" w:rsidP="00547C5B">
            <w:pPr>
              <w:pBdr>
                <w:top w:val="nil"/>
                <w:left w:val="nil"/>
                <w:bottom w:val="nil"/>
                <w:right w:val="nil"/>
                <w:between w:val="nil"/>
              </w:pBdr>
              <w:spacing w:after="0" w:line="240" w:lineRule="auto"/>
              <w:ind w:left="122"/>
              <w:jc w:val="both"/>
              <w:rPr>
                <w:rFonts w:ascii="Arial" w:eastAsia="Arial Narrow" w:hAnsi="Arial" w:cs="Arial"/>
                <w:sz w:val="20"/>
                <w:szCs w:val="20"/>
              </w:rPr>
            </w:pPr>
            <w:r w:rsidRPr="008A26D2">
              <w:rPr>
                <w:rFonts w:ascii="Arial" w:eastAsia="Arial Narrow" w:hAnsi="Arial" w:cs="Arial"/>
                <w:sz w:val="20"/>
                <w:szCs w:val="20"/>
              </w:rPr>
              <w:t>Programa de Desarrollo Productivo Agrario Rural – AGRORURAL</w:t>
            </w:r>
          </w:p>
        </w:tc>
      </w:tr>
      <w:tr w:rsidR="008A26D2" w:rsidRPr="008A26D2" w14:paraId="09F7765B" w14:textId="77777777" w:rsidTr="000736A7">
        <w:trPr>
          <w:trHeight w:val="458"/>
        </w:trPr>
        <w:tc>
          <w:tcPr>
            <w:tcW w:w="2386" w:type="dxa"/>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0B0BED96" w14:textId="77777777" w:rsidR="00547C5B" w:rsidRPr="008A26D2" w:rsidRDefault="00547C5B" w:rsidP="004D58E2">
            <w:pPr>
              <w:spacing w:after="0" w:line="240" w:lineRule="auto"/>
              <w:rPr>
                <w:rFonts w:ascii="Arial" w:hAnsi="Arial" w:cs="Arial"/>
                <w:b/>
                <w:sz w:val="20"/>
                <w:szCs w:val="20"/>
              </w:rPr>
            </w:pPr>
            <w:r w:rsidRPr="008A26D2">
              <w:rPr>
                <w:rFonts w:ascii="Arial" w:hAnsi="Arial" w:cs="Arial"/>
                <w:b/>
                <w:sz w:val="20"/>
                <w:szCs w:val="20"/>
              </w:rPr>
              <w:t>Nivel (es) de gobierno que interviene</w:t>
            </w:r>
          </w:p>
          <w:p w14:paraId="4A918B16" w14:textId="63A6580D" w:rsidR="00547C5B" w:rsidRPr="008A26D2" w:rsidRDefault="00547C5B" w:rsidP="00547C5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(n) en la provisión del servicio</w:t>
            </w:r>
          </w:p>
        </w:tc>
        <w:tc>
          <w:tcPr>
            <w:tcW w:w="2134"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6003FB7B" w14:textId="2B519027" w:rsidR="00547C5B" w:rsidRPr="008A26D2" w:rsidRDefault="00547C5B" w:rsidP="000C49B7">
            <w:pPr>
              <w:pBdr>
                <w:top w:val="nil"/>
                <w:left w:val="nil"/>
                <w:bottom w:val="nil"/>
                <w:right w:val="nil"/>
                <w:between w:val="nil"/>
              </w:pBdr>
              <w:spacing w:after="0" w:line="240" w:lineRule="auto"/>
              <w:ind w:left="122"/>
              <w:jc w:val="center"/>
              <w:rPr>
                <w:rFonts w:ascii="Arial" w:eastAsia="Arial Narrow" w:hAnsi="Arial" w:cs="Arial"/>
                <w:sz w:val="20"/>
                <w:szCs w:val="20"/>
              </w:rPr>
            </w:pPr>
            <w:r w:rsidRPr="008A26D2">
              <w:rPr>
                <w:rFonts w:ascii="Arial" w:eastAsia="Arial Narrow" w:hAnsi="Arial" w:cs="Arial"/>
                <w:sz w:val="20"/>
                <w:szCs w:val="20"/>
              </w:rPr>
              <w:t>Nacional</w:t>
            </w:r>
          </w:p>
        </w:tc>
        <w:tc>
          <w:tcPr>
            <w:tcW w:w="2134" w:type="dxa"/>
            <w:tcBorders>
              <w:top w:val="single" w:sz="4" w:space="0" w:color="000000"/>
              <w:left w:val="single" w:sz="4" w:space="0" w:color="000000"/>
              <w:right w:val="single" w:sz="4" w:space="0" w:color="000000"/>
            </w:tcBorders>
            <w:shd w:val="clear" w:color="auto" w:fill="auto"/>
            <w:vAlign w:val="center"/>
          </w:tcPr>
          <w:p w14:paraId="13D382FD" w14:textId="7313F92A" w:rsidR="00547C5B" w:rsidRPr="008A26D2" w:rsidRDefault="00547C5B" w:rsidP="00547C5B">
            <w:pPr>
              <w:pBdr>
                <w:top w:val="nil"/>
                <w:left w:val="nil"/>
                <w:bottom w:val="nil"/>
                <w:right w:val="nil"/>
                <w:between w:val="nil"/>
              </w:pBdr>
              <w:spacing w:after="0" w:line="240" w:lineRule="auto"/>
              <w:ind w:left="122"/>
              <w:jc w:val="center"/>
              <w:rPr>
                <w:rFonts w:ascii="Arial" w:eastAsia="Arial Narrow" w:hAnsi="Arial" w:cs="Arial"/>
                <w:sz w:val="20"/>
                <w:szCs w:val="20"/>
              </w:rPr>
            </w:pPr>
            <w:r w:rsidRPr="008A26D2">
              <w:rPr>
                <w:rFonts w:ascii="Arial" w:eastAsia="Arial Narrow" w:hAnsi="Arial" w:cs="Arial"/>
                <w:sz w:val="20"/>
                <w:szCs w:val="20"/>
              </w:rPr>
              <w:t>Regional</w:t>
            </w:r>
          </w:p>
        </w:tc>
        <w:tc>
          <w:tcPr>
            <w:tcW w:w="2135" w:type="dxa"/>
            <w:tcBorders>
              <w:top w:val="single" w:sz="4" w:space="0" w:color="000000"/>
              <w:left w:val="single" w:sz="4" w:space="0" w:color="000000"/>
              <w:right w:val="single" w:sz="4" w:space="0" w:color="000000"/>
            </w:tcBorders>
            <w:shd w:val="clear" w:color="auto" w:fill="auto"/>
            <w:vAlign w:val="center"/>
          </w:tcPr>
          <w:p w14:paraId="4C91A1C2" w14:textId="604AA7A8" w:rsidR="00547C5B" w:rsidRPr="008A26D2" w:rsidRDefault="00547C5B" w:rsidP="00547C5B">
            <w:pPr>
              <w:pBdr>
                <w:top w:val="nil"/>
                <w:left w:val="nil"/>
                <w:bottom w:val="nil"/>
                <w:right w:val="nil"/>
                <w:between w:val="nil"/>
              </w:pBdr>
              <w:spacing w:after="0" w:line="240" w:lineRule="auto"/>
              <w:ind w:left="122"/>
              <w:jc w:val="center"/>
              <w:rPr>
                <w:rFonts w:ascii="Arial" w:eastAsia="Arial Narrow" w:hAnsi="Arial" w:cs="Arial"/>
                <w:sz w:val="20"/>
                <w:szCs w:val="20"/>
              </w:rPr>
            </w:pPr>
            <w:r w:rsidRPr="008A26D2">
              <w:rPr>
                <w:rFonts w:ascii="Arial" w:eastAsia="Arial Narrow" w:hAnsi="Arial" w:cs="Arial"/>
                <w:sz w:val="20"/>
                <w:szCs w:val="20"/>
              </w:rPr>
              <w:t>Local</w:t>
            </w:r>
          </w:p>
        </w:tc>
      </w:tr>
      <w:tr w:rsidR="008A26D2" w:rsidRPr="008A26D2" w14:paraId="395F0850" w14:textId="77777777" w:rsidTr="000736A7">
        <w:trPr>
          <w:trHeight w:val="457"/>
        </w:trPr>
        <w:tc>
          <w:tcPr>
            <w:tcW w:w="2386" w:type="dxa"/>
            <w:vMerge/>
            <w:tcBorders>
              <w:left w:val="single" w:sz="4" w:space="0" w:color="000000"/>
              <w:right w:val="single" w:sz="4" w:space="0" w:color="000000"/>
            </w:tcBorders>
            <w:shd w:val="clear" w:color="auto" w:fill="auto"/>
            <w:tcMar>
              <w:top w:w="15" w:type="dxa"/>
              <w:left w:w="15" w:type="dxa"/>
              <w:bottom w:w="0" w:type="dxa"/>
              <w:right w:w="15" w:type="dxa"/>
            </w:tcMar>
            <w:vAlign w:val="center"/>
          </w:tcPr>
          <w:p w14:paraId="67D88AB3" w14:textId="77777777" w:rsidR="00547C5B" w:rsidRPr="008A26D2" w:rsidRDefault="00547C5B" w:rsidP="00547C5B">
            <w:pPr>
              <w:spacing w:after="0" w:line="240" w:lineRule="auto"/>
              <w:rPr>
                <w:rFonts w:ascii="Arial" w:hAnsi="Arial" w:cs="Arial"/>
                <w:b/>
                <w:sz w:val="20"/>
                <w:szCs w:val="20"/>
              </w:rPr>
            </w:pPr>
          </w:p>
        </w:tc>
        <w:tc>
          <w:tcPr>
            <w:tcW w:w="2134"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1E32B8C0" w14:textId="51BC331D" w:rsidR="00547C5B" w:rsidRPr="008A26D2" w:rsidRDefault="001954F3" w:rsidP="000C49B7">
            <w:pPr>
              <w:pBdr>
                <w:top w:val="nil"/>
                <w:left w:val="nil"/>
                <w:bottom w:val="nil"/>
                <w:right w:val="nil"/>
                <w:between w:val="nil"/>
              </w:pBdr>
              <w:spacing w:after="0" w:line="240" w:lineRule="auto"/>
              <w:ind w:left="122"/>
              <w:jc w:val="center"/>
              <w:rPr>
                <w:rFonts w:ascii="Arial" w:eastAsia="Arial Narrow" w:hAnsi="Arial" w:cs="Arial"/>
                <w:sz w:val="20"/>
                <w:szCs w:val="20"/>
              </w:rPr>
            </w:pPr>
            <w:r w:rsidRPr="008A26D2">
              <w:rPr>
                <w:rFonts w:ascii="Arial" w:eastAsia="Arial Narrow" w:hAnsi="Arial" w:cs="Arial"/>
                <w:sz w:val="20"/>
                <w:szCs w:val="20"/>
              </w:rPr>
              <w:t>X</w:t>
            </w:r>
          </w:p>
        </w:tc>
        <w:tc>
          <w:tcPr>
            <w:tcW w:w="2134" w:type="dxa"/>
            <w:tcBorders>
              <w:top w:val="single" w:sz="4" w:space="0" w:color="000000"/>
              <w:left w:val="single" w:sz="4" w:space="0" w:color="000000"/>
              <w:right w:val="single" w:sz="4" w:space="0" w:color="000000"/>
            </w:tcBorders>
            <w:shd w:val="clear" w:color="auto" w:fill="auto"/>
            <w:vAlign w:val="center"/>
          </w:tcPr>
          <w:p w14:paraId="1AE65D84" w14:textId="77777777" w:rsidR="00547C5B" w:rsidRPr="008A26D2" w:rsidRDefault="00547C5B" w:rsidP="00547C5B">
            <w:pPr>
              <w:pBdr>
                <w:top w:val="nil"/>
                <w:left w:val="nil"/>
                <w:bottom w:val="nil"/>
                <w:right w:val="nil"/>
                <w:between w:val="nil"/>
              </w:pBdr>
              <w:spacing w:after="0" w:line="240" w:lineRule="auto"/>
              <w:ind w:left="122"/>
              <w:jc w:val="both"/>
              <w:rPr>
                <w:rFonts w:ascii="Arial" w:eastAsia="Arial Narrow" w:hAnsi="Arial" w:cs="Arial"/>
                <w:sz w:val="20"/>
                <w:szCs w:val="20"/>
              </w:rPr>
            </w:pPr>
          </w:p>
        </w:tc>
        <w:tc>
          <w:tcPr>
            <w:tcW w:w="2135" w:type="dxa"/>
            <w:tcBorders>
              <w:top w:val="single" w:sz="4" w:space="0" w:color="000000"/>
              <w:left w:val="single" w:sz="4" w:space="0" w:color="000000"/>
              <w:right w:val="single" w:sz="4" w:space="0" w:color="000000"/>
            </w:tcBorders>
            <w:shd w:val="clear" w:color="auto" w:fill="auto"/>
            <w:vAlign w:val="center"/>
          </w:tcPr>
          <w:p w14:paraId="794DD130" w14:textId="564E8AE1" w:rsidR="00547C5B" w:rsidRPr="008A26D2" w:rsidRDefault="00547C5B" w:rsidP="00547C5B">
            <w:pPr>
              <w:pBdr>
                <w:top w:val="nil"/>
                <w:left w:val="nil"/>
                <w:bottom w:val="nil"/>
                <w:right w:val="nil"/>
                <w:between w:val="nil"/>
              </w:pBdr>
              <w:spacing w:after="0" w:line="240" w:lineRule="auto"/>
              <w:ind w:left="122"/>
              <w:jc w:val="both"/>
              <w:rPr>
                <w:rFonts w:ascii="Arial" w:eastAsia="Arial Narrow" w:hAnsi="Arial" w:cs="Arial"/>
                <w:sz w:val="20"/>
                <w:szCs w:val="20"/>
              </w:rPr>
            </w:pPr>
          </w:p>
        </w:tc>
      </w:tr>
      <w:tr w:rsidR="008A26D2" w:rsidRPr="008A26D2" w14:paraId="21005D70" w14:textId="77777777" w:rsidTr="0012502E">
        <w:trPr>
          <w:trHeight w:val="300"/>
        </w:trPr>
        <w:tc>
          <w:tcPr>
            <w:tcW w:w="238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70C02D8" w14:textId="77777777" w:rsidR="00547C5B" w:rsidRPr="008A26D2" w:rsidRDefault="00547C5B" w:rsidP="00547C5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Receptor del servicio</w:t>
            </w:r>
          </w:p>
        </w:tc>
        <w:tc>
          <w:tcPr>
            <w:tcW w:w="640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2D5D95B" w14:textId="73BDF5C8" w:rsidR="00547C5B" w:rsidRPr="008A26D2" w:rsidRDefault="00547C5B" w:rsidP="00547C5B">
            <w:pPr>
              <w:pBdr>
                <w:top w:val="nil"/>
                <w:left w:val="nil"/>
                <w:bottom w:val="nil"/>
                <w:right w:val="nil"/>
                <w:between w:val="nil"/>
              </w:pBdr>
              <w:spacing w:after="0" w:line="240" w:lineRule="auto"/>
              <w:ind w:left="122"/>
              <w:jc w:val="both"/>
              <w:rPr>
                <w:rFonts w:ascii="Arial" w:eastAsia="Arial Narrow" w:hAnsi="Arial" w:cs="Arial"/>
                <w:sz w:val="20"/>
                <w:szCs w:val="20"/>
              </w:rPr>
            </w:pPr>
            <w:r w:rsidRPr="008A26D2">
              <w:rPr>
                <w:rFonts w:ascii="Arial" w:eastAsia="Arial Narrow" w:hAnsi="Arial" w:cs="Arial"/>
                <w:sz w:val="20"/>
                <w:szCs w:val="20"/>
              </w:rPr>
              <w:t>Productores agrarios y organizaciones campesinas y nativas</w:t>
            </w:r>
          </w:p>
        </w:tc>
      </w:tr>
      <w:tr w:rsidR="008A26D2" w:rsidRPr="008A26D2" w14:paraId="7FA4C451" w14:textId="77777777" w:rsidTr="0012502E">
        <w:trPr>
          <w:trHeight w:val="211"/>
        </w:trPr>
        <w:tc>
          <w:tcPr>
            <w:tcW w:w="238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60D6250" w14:textId="77777777" w:rsidR="00547C5B" w:rsidRPr="008A26D2" w:rsidRDefault="00547C5B" w:rsidP="00547C5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Alcance del servicio </w:t>
            </w:r>
          </w:p>
        </w:tc>
        <w:tc>
          <w:tcPr>
            <w:tcW w:w="640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A815B9F" w14:textId="77777777" w:rsidR="00547C5B" w:rsidRPr="008A26D2" w:rsidRDefault="00547C5B" w:rsidP="00547C5B">
            <w:pPr>
              <w:pBdr>
                <w:top w:val="nil"/>
                <w:left w:val="nil"/>
                <w:bottom w:val="nil"/>
                <w:right w:val="nil"/>
                <w:between w:val="nil"/>
              </w:pBdr>
              <w:spacing w:after="0" w:line="240" w:lineRule="auto"/>
              <w:ind w:left="122"/>
              <w:jc w:val="both"/>
              <w:rPr>
                <w:rFonts w:ascii="Arial" w:eastAsia="Arial Narrow" w:hAnsi="Arial" w:cs="Arial"/>
                <w:sz w:val="20"/>
                <w:szCs w:val="20"/>
              </w:rPr>
            </w:pPr>
            <w:r w:rsidRPr="008A26D2">
              <w:rPr>
                <w:rFonts w:ascii="Arial" w:eastAsia="Arial Narrow" w:hAnsi="Arial" w:cs="Arial"/>
                <w:sz w:val="20"/>
                <w:szCs w:val="20"/>
              </w:rPr>
              <w:t>Nacional</w:t>
            </w:r>
          </w:p>
        </w:tc>
      </w:tr>
      <w:tr w:rsidR="008A26D2" w:rsidRPr="008A26D2" w14:paraId="06625F71" w14:textId="77777777" w:rsidTr="0012502E">
        <w:trPr>
          <w:trHeight w:val="62"/>
        </w:trPr>
        <w:tc>
          <w:tcPr>
            <w:tcW w:w="238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F0C444B" w14:textId="77777777" w:rsidR="00547C5B" w:rsidRPr="008A26D2" w:rsidRDefault="00547C5B" w:rsidP="00547C5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Estándar (es) de cumplimiento</w:t>
            </w:r>
          </w:p>
        </w:tc>
        <w:tc>
          <w:tcPr>
            <w:tcW w:w="640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44A4EE9A" w14:textId="77777777" w:rsidR="00547C5B" w:rsidRPr="008A26D2" w:rsidRDefault="00547C5B" w:rsidP="00547C5B">
            <w:pPr>
              <w:pBdr>
                <w:top w:val="nil"/>
                <w:left w:val="nil"/>
                <w:bottom w:val="nil"/>
                <w:right w:val="nil"/>
                <w:between w:val="nil"/>
              </w:pBdr>
              <w:spacing w:after="0" w:line="240" w:lineRule="auto"/>
              <w:ind w:left="122"/>
              <w:rPr>
                <w:rFonts w:ascii="Arial" w:hAnsi="Arial" w:cs="Arial"/>
                <w:sz w:val="20"/>
                <w:szCs w:val="20"/>
              </w:rPr>
            </w:pPr>
            <w:r w:rsidRPr="008A26D2">
              <w:rPr>
                <w:rFonts w:ascii="Arial" w:eastAsia="Arial Narrow" w:hAnsi="Arial" w:cs="Arial"/>
                <w:sz w:val="20"/>
                <w:szCs w:val="20"/>
              </w:rPr>
              <w:t>Percepción</w:t>
            </w:r>
          </w:p>
        </w:tc>
      </w:tr>
      <w:tr w:rsidR="008A26D2" w:rsidRPr="008A26D2" w14:paraId="21FCD965" w14:textId="77777777" w:rsidTr="0012502E">
        <w:trPr>
          <w:trHeight w:val="300"/>
        </w:trPr>
        <w:tc>
          <w:tcPr>
            <w:tcW w:w="238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6F42F32" w14:textId="77777777" w:rsidR="00547C5B" w:rsidRPr="008A26D2" w:rsidRDefault="00547C5B" w:rsidP="00547C5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Descripción del estándar</w:t>
            </w:r>
          </w:p>
        </w:tc>
        <w:tc>
          <w:tcPr>
            <w:tcW w:w="640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35" w:type="dxa"/>
              <w:bottom w:w="0" w:type="dxa"/>
              <w:right w:w="15" w:type="dxa"/>
            </w:tcMar>
            <w:vAlign w:val="center"/>
          </w:tcPr>
          <w:p w14:paraId="60C34D08" w14:textId="76AA7C59" w:rsidR="00547C5B" w:rsidRPr="008A26D2" w:rsidRDefault="00547C5B" w:rsidP="00547C5B">
            <w:pPr>
              <w:pBdr>
                <w:top w:val="nil"/>
                <w:left w:val="nil"/>
                <w:bottom w:val="nil"/>
                <w:right w:val="nil"/>
                <w:between w:val="nil"/>
              </w:pBdr>
              <w:spacing w:after="0" w:line="240" w:lineRule="auto"/>
              <w:jc w:val="both"/>
              <w:rPr>
                <w:rFonts w:ascii="Arial" w:eastAsia="Times New Roman" w:hAnsi="Arial" w:cs="Arial"/>
                <w:sz w:val="20"/>
                <w:szCs w:val="20"/>
                <w:lang w:val="es-ES"/>
              </w:rPr>
            </w:pPr>
            <w:r w:rsidRPr="008A26D2">
              <w:rPr>
                <w:rFonts w:ascii="Arial" w:eastAsia="Times New Roman" w:hAnsi="Arial" w:cs="Arial"/>
                <w:sz w:val="20"/>
                <w:szCs w:val="20"/>
                <w:lang w:val="es-ES"/>
              </w:rPr>
              <w:t xml:space="preserve">El estándar del servicio es de percepción debido a que éste satisface las expectativas de capacitación en </w:t>
            </w:r>
            <w:r w:rsidRPr="008A26D2">
              <w:rPr>
                <w:rFonts w:ascii="Arial" w:eastAsia="Arial Narrow" w:hAnsi="Arial" w:cs="Arial"/>
                <w:sz w:val="20"/>
                <w:szCs w:val="20"/>
              </w:rPr>
              <w:t xml:space="preserve">materia de plantaciones forestales y sistemas agroforestales </w:t>
            </w:r>
            <w:r w:rsidRPr="008A26D2">
              <w:rPr>
                <w:rFonts w:ascii="Arial" w:eastAsia="Times New Roman" w:hAnsi="Arial" w:cs="Arial"/>
                <w:sz w:val="20"/>
                <w:szCs w:val="20"/>
                <w:lang w:val="es-ES"/>
              </w:rPr>
              <w:t xml:space="preserve">de los productores agrarios </w:t>
            </w:r>
            <w:r w:rsidRPr="008A26D2">
              <w:rPr>
                <w:rFonts w:ascii="Arial" w:eastAsia="Arial Narrow" w:hAnsi="Arial" w:cs="Arial"/>
                <w:sz w:val="20"/>
                <w:szCs w:val="20"/>
              </w:rPr>
              <w:t>y representantes de organizaciones campesinas y nativas</w:t>
            </w:r>
            <w:r w:rsidRPr="008A26D2">
              <w:rPr>
                <w:rFonts w:ascii="Arial" w:eastAsia="Times New Roman" w:hAnsi="Arial" w:cs="Arial"/>
                <w:sz w:val="20"/>
                <w:szCs w:val="20"/>
                <w:lang w:val="es-ES"/>
              </w:rPr>
              <w:t>.</w:t>
            </w:r>
          </w:p>
          <w:p w14:paraId="3F6F0AC4" w14:textId="77777777" w:rsidR="00547C5B" w:rsidRPr="008A26D2" w:rsidRDefault="00547C5B" w:rsidP="00547C5B">
            <w:pPr>
              <w:pBdr>
                <w:top w:val="nil"/>
                <w:left w:val="nil"/>
                <w:bottom w:val="nil"/>
                <w:right w:val="nil"/>
                <w:between w:val="nil"/>
              </w:pBdr>
              <w:spacing w:after="0" w:line="240" w:lineRule="auto"/>
              <w:ind w:left="14"/>
              <w:jc w:val="both"/>
              <w:rPr>
                <w:rFonts w:ascii="Arial" w:hAnsi="Arial" w:cs="Arial"/>
                <w:sz w:val="20"/>
                <w:szCs w:val="20"/>
              </w:rPr>
            </w:pPr>
          </w:p>
        </w:tc>
      </w:tr>
      <w:tr w:rsidR="008A26D2" w:rsidRPr="008A26D2" w14:paraId="50C0366E" w14:textId="77777777" w:rsidTr="0012502E">
        <w:trPr>
          <w:trHeight w:val="108"/>
        </w:trPr>
        <w:tc>
          <w:tcPr>
            <w:tcW w:w="238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C2CC982" w14:textId="77777777" w:rsidR="00547C5B" w:rsidRPr="008A26D2" w:rsidRDefault="00547C5B" w:rsidP="00547C5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Indicador</w:t>
            </w:r>
          </w:p>
        </w:tc>
        <w:tc>
          <w:tcPr>
            <w:tcW w:w="640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5D3B8DEA" w14:textId="722C3B48" w:rsidR="00547C5B" w:rsidRPr="008A26D2" w:rsidRDefault="00547C5B" w:rsidP="00547C5B">
            <w:pPr>
              <w:pBdr>
                <w:top w:val="nil"/>
                <w:left w:val="nil"/>
                <w:bottom w:val="nil"/>
                <w:right w:val="nil"/>
                <w:between w:val="nil"/>
              </w:pBdr>
              <w:spacing w:after="0" w:line="240" w:lineRule="auto"/>
              <w:ind w:left="122"/>
              <w:jc w:val="both"/>
              <w:rPr>
                <w:rFonts w:ascii="Arial" w:eastAsia="Arial Narrow" w:hAnsi="Arial" w:cs="Arial"/>
                <w:sz w:val="20"/>
                <w:szCs w:val="20"/>
              </w:rPr>
            </w:pPr>
            <w:r w:rsidRPr="008A26D2">
              <w:rPr>
                <w:rFonts w:ascii="Arial" w:eastAsia="Arial Narrow" w:hAnsi="Arial" w:cs="Arial"/>
                <w:sz w:val="20"/>
                <w:szCs w:val="20"/>
              </w:rPr>
              <w:t xml:space="preserve">Porcentaje de productores agrarios y representantes de organizaciones campesinas y nativas </w:t>
            </w:r>
            <w:r w:rsidRPr="008A26D2">
              <w:rPr>
                <w:rFonts w:ascii="Arial" w:eastAsia="Times New Roman" w:hAnsi="Arial" w:cs="Arial"/>
                <w:sz w:val="20"/>
                <w:szCs w:val="20"/>
                <w:lang w:val="es-ES"/>
              </w:rPr>
              <w:t xml:space="preserve">con alto grado de satisfacción sobre las capacitaciones recibidas </w:t>
            </w:r>
            <w:r w:rsidRPr="008A26D2">
              <w:rPr>
                <w:rFonts w:ascii="Arial" w:eastAsia="Arial Narrow" w:hAnsi="Arial" w:cs="Arial"/>
                <w:sz w:val="20"/>
                <w:szCs w:val="20"/>
              </w:rPr>
              <w:t>en materia de plantaciones forestales y sistemas agroforestales.</w:t>
            </w:r>
          </w:p>
        </w:tc>
      </w:tr>
    </w:tbl>
    <w:p w14:paraId="71DC551C" w14:textId="2CBA0092" w:rsidR="006F4C42" w:rsidRPr="008A26D2" w:rsidRDefault="006F4C42" w:rsidP="000D1705">
      <w:pPr>
        <w:tabs>
          <w:tab w:val="left" w:pos="3375"/>
        </w:tabs>
        <w:rPr>
          <w:rFonts w:ascii="Arial Narrow" w:eastAsia="Arial Narrow" w:hAnsi="Arial Narrow" w:cs="Arial Narrow"/>
          <w:sz w:val="20"/>
          <w:szCs w:val="20"/>
        </w:rPr>
      </w:pPr>
    </w:p>
    <w:p w14:paraId="18C5DE52" w14:textId="19AB721F" w:rsidR="006F4C42" w:rsidRPr="008A26D2" w:rsidRDefault="006F4C42">
      <w:pPr>
        <w:rPr>
          <w:rFonts w:ascii="Arial Narrow" w:eastAsia="Arial Narrow" w:hAnsi="Arial Narrow" w:cs="Arial Narrow"/>
          <w:b/>
        </w:rPr>
      </w:pPr>
    </w:p>
    <w:p w14:paraId="5666F1EE" w14:textId="373390B1" w:rsidR="006F4C42" w:rsidRPr="008A26D2" w:rsidRDefault="006F4C42" w:rsidP="006F4C42">
      <w:pPr>
        <w:tabs>
          <w:tab w:val="left" w:pos="3375"/>
        </w:tabs>
        <w:jc w:val="both"/>
        <w:rPr>
          <w:rFonts w:ascii="Arial" w:eastAsia="Arial Narrow" w:hAnsi="Arial" w:cs="Arial"/>
        </w:rPr>
      </w:pPr>
      <w:r w:rsidRPr="008A26D2">
        <w:rPr>
          <w:rFonts w:ascii="Arial" w:eastAsia="Arial Narrow" w:hAnsi="Arial" w:cs="Arial"/>
          <w:b/>
          <w:bCs/>
        </w:rPr>
        <w:t>S1.2.2</w:t>
      </w:r>
      <w:r w:rsidRPr="008A26D2">
        <w:rPr>
          <w:rFonts w:ascii="Arial" w:eastAsia="Arial Narrow" w:hAnsi="Arial" w:cs="Arial"/>
        </w:rPr>
        <w:t xml:space="preserve"> Instalación de plantaciones forestales y sistemas agroforestales de forma oportuna en beneficio de los productores agrarios</w:t>
      </w:r>
    </w:p>
    <w:tbl>
      <w:tblPr>
        <w:tblW w:w="8789" w:type="dxa"/>
        <w:tblInd w:w="-5" w:type="dxa"/>
        <w:tblLayout w:type="fixed"/>
        <w:tblLook w:val="0600" w:firstRow="0" w:lastRow="0" w:firstColumn="0" w:lastColumn="0" w:noHBand="1" w:noVBand="1"/>
      </w:tblPr>
      <w:tblGrid>
        <w:gridCol w:w="2386"/>
        <w:gridCol w:w="2134"/>
        <w:gridCol w:w="2134"/>
        <w:gridCol w:w="2135"/>
      </w:tblGrid>
      <w:tr w:rsidR="008A26D2" w:rsidRPr="008A26D2" w14:paraId="3EBE75FF" w14:textId="77777777" w:rsidTr="00070DB4">
        <w:trPr>
          <w:trHeight w:val="300"/>
        </w:trPr>
        <w:tc>
          <w:tcPr>
            <w:tcW w:w="8789"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center"/>
          </w:tcPr>
          <w:p w14:paraId="29FF35C4" w14:textId="135828E4" w:rsidR="006F4C42" w:rsidRPr="008A26D2" w:rsidRDefault="006F4C42" w:rsidP="0072651A">
            <w:pPr>
              <w:jc w:val="center"/>
              <w:rPr>
                <w:rFonts w:ascii="Arial" w:hAnsi="Arial" w:cs="Arial"/>
                <w:sz w:val="20"/>
                <w:szCs w:val="20"/>
              </w:rPr>
            </w:pPr>
            <w:r w:rsidRPr="008A26D2">
              <w:rPr>
                <w:rFonts w:ascii="Arial" w:hAnsi="Arial" w:cs="Arial"/>
                <w:b/>
                <w:sz w:val="20"/>
                <w:szCs w:val="20"/>
              </w:rPr>
              <w:t xml:space="preserve">FICHA DEL SERVICIO </w:t>
            </w:r>
          </w:p>
        </w:tc>
      </w:tr>
      <w:tr w:rsidR="008A26D2" w:rsidRPr="008A26D2" w14:paraId="48364ADE" w14:textId="77777777" w:rsidTr="00070DB4">
        <w:trPr>
          <w:trHeight w:val="300"/>
        </w:trPr>
        <w:tc>
          <w:tcPr>
            <w:tcW w:w="238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BC190A7" w14:textId="77777777" w:rsidR="006F4C42" w:rsidRPr="008A26D2" w:rsidRDefault="006F4C42"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Objetivo prioritario:</w:t>
            </w:r>
          </w:p>
        </w:tc>
        <w:tc>
          <w:tcPr>
            <w:tcW w:w="640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BD7286A" w14:textId="77777777" w:rsidR="006F4C42" w:rsidRPr="008A26D2" w:rsidRDefault="006F4C42" w:rsidP="0072651A">
            <w:pPr>
              <w:pBdr>
                <w:top w:val="nil"/>
                <w:left w:val="nil"/>
                <w:bottom w:val="nil"/>
                <w:right w:val="nil"/>
                <w:between w:val="nil"/>
              </w:pBdr>
              <w:spacing w:after="0" w:line="240" w:lineRule="auto"/>
              <w:jc w:val="both"/>
              <w:rPr>
                <w:rFonts w:ascii="Arial" w:hAnsi="Arial" w:cs="Arial"/>
                <w:sz w:val="20"/>
                <w:szCs w:val="20"/>
              </w:rPr>
            </w:pPr>
            <w:r w:rsidRPr="008A26D2">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r>
      <w:tr w:rsidR="008A26D2" w:rsidRPr="008A26D2" w14:paraId="44EC5AFB" w14:textId="77777777" w:rsidTr="00070DB4">
        <w:trPr>
          <w:trHeight w:val="300"/>
        </w:trPr>
        <w:tc>
          <w:tcPr>
            <w:tcW w:w="238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5E2F0C0" w14:textId="77777777" w:rsidR="006F4C42" w:rsidRPr="008A26D2" w:rsidRDefault="006F4C42"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Lineamiento:</w:t>
            </w:r>
          </w:p>
        </w:tc>
        <w:tc>
          <w:tcPr>
            <w:tcW w:w="640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E3AE83D" w14:textId="77777777" w:rsidR="006F4C42" w:rsidRPr="008A26D2" w:rsidRDefault="006F4C42" w:rsidP="0072651A">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L1.2 Incrementar la superficie de plantaciones forestales y sistemas agroforestales</w:t>
            </w:r>
          </w:p>
        </w:tc>
      </w:tr>
      <w:tr w:rsidR="008A26D2" w:rsidRPr="008A26D2" w14:paraId="12F25261" w14:textId="77777777" w:rsidTr="00070DB4">
        <w:trPr>
          <w:trHeight w:val="300"/>
        </w:trPr>
        <w:tc>
          <w:tcPr>
            <w:tcW w:w="238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A6B1B76" w14:textId="77777777" w:rsidR="006F4C42" w:rsidRPr="008A26D2" w:rsidRDefault="006F4C42"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Nombre del servicio:</w:t>
            </w:r>
          </w:p>
        </w:tc>
        <w:tc>
          <w:tcPr>
            <w:tcW w:w="640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A095443" w14:textId="77777777" w:rsidR="006F4C42" w:rsidRPr="008A26D2" w:rsidRDefault="006F4C42" w:rsidP="0072651A">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S1.2.2 Instalación de plantaciones forestales y sistemas agroforestales de forma oportuna en beneficio de los productores agrarios </w:t>
            </w:r>
          </w:p>
        </w:tc>
      </w:tr>
      <w:tr w:rsidR="008A26D2" w:rsidRPr="008A26D2" w14:paraId="5C7809A4" w14:textId="77777777" w:rsidTr="00070DB4">
        <w:trPr>
          <w:trHeight w:val="300"/>
        </w:trPr>
        <w:tc>
          <w:tcPr>
            <w:tcW w:w="238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54F0404" w14:textId="77777777" w:rsidR="006F4C42" w:rsidRPr="008A26D2" w:rsidRDefault="006F4C42"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Tipo de servicio:</w:t>
            </w:r>
          </w:p>
        </w:tc>
        <w:tc>
          <w:tcPr>
            <w:tcW w:w="640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359F0CE" w14:textId="77777777" w:rsidR="006F4C42" w:rsidRPr="008A26D2" w:rsidRDefault="006F4C42" w:rsidP="0072651A">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Mejorado</w:t>
            </w:r>
          </w:p>
        </w:tc>
      </w:tr>
      <w:tr w:rsidR="008A26D2" w:rsidRPr="008A26D2" w14:paraId="67B6F422" w14:textId="77777777" w:rsidTr="00070DB4">
        <w:trPr>
          <w:trHeight w:val="300"/>
        </w:trPr>
        <w:tc>
          <w:tcPr>
            <w:tcW w:w="238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566FB1C" w14:textId="3DC38C3B" w:rsidR="00547C5B" w:rsidRPr="008A26D2" w:rsidRDefault="00547C5B" w:rsidP="00547C5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Naturaleza del servicio:</w:t>
            </w:r>
          </w:p>
        </w:tc>
        <w:tc>
          <w:tcPr>
            <w:tcW w:w="640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ABC5FE0" w14:textId="7B7FD41D" w:rsidR="00547C5B" w:rsidRPr="008A26D2" w:rsidRDefault="001954F3" w:rsidP="00547C5B">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P</w:t>
            </w:r>
            <w:r w:rsidR="00547C5B" w:rsidRPr="008A26D2">
              <w:rPr>
                <w:rFonts w:ascii="Arial" w:eastAsia="Arial Narrow" w:hAnsi="Arial" w:cs="Arial"/>
                <w:sz w:val="20"/>
                <w:szCs w:val="20"/>
              </w:rPr>
              <w:t>restacional</w:t>
            </w:r>
          </w:p>
        </w:tc>
      </w:tr>
      <w:tr w:rsidR="008A26D2" w:rsidRPr="008A26D2" w14:paraId="5F8B50C9" w14:textId="77777777" w:rsidTr="00070DB4">
        <w:trPr>
          <w:trHeight w:val="300"/>
        </w:trPr>
        <w:tc>
          <w:tcPr>
            <w:tcW w:w="238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2352D7C" w14:textId="7CB03640" w:rsidR="00547C5B" w:rsidRPr="008A26D2" w:rsidRDefault="00547C5B" w:rsidP="00547C5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Entrega del servicio</w:t>
            </w:r>
          </w:p>
        </w:tc>
        <w:tc>
          <w:tcPr>
            <w:tcW w:w="640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D1EBED2" w14:textId="503ED4E7" w:rsidR="00547C5B" w:rsidRPr="008A26D2" w:rsidRDefault="00547C5B" w:rsidP="00547C5B">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Competencia </w:t>
            </w:r>
            <w:r w:rsidR="004E3EF0">
              <w:rPr>
                <w:rFonts w:ascii="Arial" w:eastAsia="Arial Narrow" w:hAnsi="Arial" w:cs="Arial"/>
                <w:sz w:val="20"/>
                <w:szCs w:val="20"/>
              </w:rPr>
              <w:t>compartida</w:t>
            </w:r>
          </w:p>
        </w:tc>
      </w:tr>
      <w:tr w:rsidR="008A26D2" w:rsidRPr="008A26D2" w14:paraId="103A1F3E" w14:textId="77777777" w:rsidTr="000C49B7">
        <w:trPr>
          <w:trHeight w:val="3118"/>
        </w:trPr>
        <w:tc>
          <w:tcPr>
            <w:tcW w:w="238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416CDB2" w14:textId="77777777" w:rsidR="00547C5B" w:rsidRPr="008A26D2" w:rsidRDefault="00547C5B" w:rsidP="00547C5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Descripción del servicio</w:t>
            </w:r>
          </w:p>
        </w:tc>
        <w:tc>
          <w:tcPr>
            <w:tcW w:w="640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9DDD577" w14:textId="6CF7FC39" w:rsidR="00547C5B" w:rsidRPr="008A26D2" w:rsidRDefault="00547C5B" w:rsidP="00547C5B">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El servicio consiste en intervenciones conjuntas con los productores agrarios para la aplicación de técnicas para la selección, traslado, adaptación y trasplante de plantones de especies forestales en los predios de los productores rurales, cooperativas agrarias u otra forma de organización. Las intervenciones se realizan de manera oportuna (entre los meses de noviembre del año 1 a marzo del año 2) por ser temporadas de lluvia que favorecen la sobrevivencia de los plantones instalados.</w:t>
            </w:r>
          </w:p>
          <w:p w14:paraId="4E533216" w14:textId="77777777" w:rsidR="00547C5B" w:rsidRPr="008A26D2" w:rsidRDefault="00547C5B" w:rsidP="00547C5B">
            <w:pPr>
              <w:pBdr>
                <w:top w:val="nil"/>
                <w:left w:val="nil"/>
                <w:bottom w:val="nil"/>
                <w:right w:val="nil"/>
                <w:between w:val="nil"/>
              </w:pBdr>
              <w:spacing w:after="0" w:line="240" w:lineRule="auto"/>
              <w:jc w:val="both"/>
              <w:rPr>
                <w:rFonts w:ascii="Arial" w:eastAsia="Arial Narrow" w:hAnsi="Arial" w:cs="Arial"/>
                <w:sz w:val="20"/>
                <w:szCs w:val="20"/>
              </w:rPr>
            </w:pPr>
          </w:p>
          <w:p w14:paraId="740C4FD5" w14:textId="77777777" w:rsidR="00547C5B" w:rsidRDefault="00547C5B" w:rsidP="00547C5B">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El servicio contribuye directamente al incremento de la superficie de plantaciones forestales y sistemas agroforestales. </w:t>
            </w:r>
          </w:p>
          <w:p w14:paraId="2721EFDD" w14:textId="77777777" w:rsidR="004E3EF0" w:rsidRPr="008A26D2" w:rsidRDefault="004E3EF0" w:rsidP="00547C5B">
            <w:pPr>
              <w:pBdr>
                <w:top w:val="nil"/>
                <w:left w:val="nil"/>
                <w:bottom w:val="nil"/>
                <w:right w:val="nil"/>
                <w:between w:val="nil"/>
              </w:pBdr>
              <w:spacing w:after="0" w:line="240" w:lineRule="auto"/>
              <w:jc w:val="both"/>
              <w:rPr>
                <w:rFonts w:ascii="Arial" w:eastAsia="Arial Narrow" w:hAnsi="Arial" w:cs="Arial"/>
                <w:sz w:val="20"/>
                <w:szCs w:val="20"/>
              </w:rPr>
            </w:pPr>
          </w:p>
          <w:p w14:paraId="68B55992" w14:textId="4E3F78DB" w:rsidR="00547C5B" w:rsidRPr="008A26D2" w:rsidRDefault="00547C5B" w:rsidP="00547C5B">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La mejora del servicio consiste en tener como criterio principal lograr el mayor establecimiento de plantaciones forestales y sistemas agroforestales considerando el calendario forestal.</w:t>
            </w:r>
          </w:p>
        </w:tc>
      </w:tr>
      <w:tr w:rsidR="008A26D2" w:rsidRPr="008A26D2" w14:paraId="0F8B431D" w14:textId="77777777" w:rsidTr="00070DB4">
        <w:trPr>
          <w:trHeight w:val="300"/>
        </w:trPr>
        <w:tc>
          <w:tcPr>
            <w:tcW w:w="238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0CD41E7" w14:textId="77777777" w:rsidR="00547C5B" w:rsidRPr="008A26D2" w:rsidRDefault="00547C5B" w:rsidP="00547C5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Proveedor del servicio</w:t>
            </w:r>
          </w:p>
        </w:tc>
        <w:tc>
          <w:tcPr>
            <w:tcW w:w="640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D65ED1E" w14:textId="103D9A8A" w:rsidR="00547C5B" w:rsidRPr="008A26D2" w:rsidRDefault="00547C5B" w:rsidP="00547C5B">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Servicio Nacional Forestal y de Fauna Silvestre – SERFOR;</w:t>
            </w:r>
          </w:p>
          <w:p w14:paraId="4A468C90" w14:textId="77777777" w:rsidR="00547C5B" w:rsidRPr="008A26D2" w:rsidRDefault="00547C5B" w:rsidP="00547C5B">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Programa de Desarrollo Productivo Agrario Rural – AGRORURAL</w:t>
            </w:r>
          </w:p>
        </w:tc>
      </w:tr>
      <w:tr w:rsidR="008A26D2" w:rsidRPr="008A26D2" w14:paraId="5A2506B4" w14:textId="77777777" w:rsidTr="00B57456">
        <w:trPr>
          <w:trHeight w:val="458"/>
        </w:trPr>
        <w:tc>
          <w:tcPr>
            <w:tcW w:w="2386" w:type="dxa"/>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2CDE2169" w14:textId="77777777" w:rsidR="00547C5B" w:rsidRPr="008A26D2" w:rsidRDefault="00547C5B" w:rsidP="004D58E2">
            <w:pPr>
              <w:spacing w:after="0" w:line="240" w:lineRule="auto"/>
              <w:rPr>
                <w:rFonts w:ascii="Arial" w:hAnsi="Arial" w:cs="Arial"/>
                <w:b/>
                <w:sz w:val="20"/>
                <w:szCs w:val="20"/>
              </w:rPr>
            </w:pPr>
            <w:r w:rsidRPr="008A26D2">
              <w:rPr>
                <w:rFonts w:ascii="Arial" w:hAnsi="Arial" w:cs="Arial"/>
                <w:b/>
                <w:sz w:val="20"/>
                <w:szCs w:val="20"/>
              </w:rPr>
              <w:t>Nivel (es) de gobierno que interviene</w:t>
            </w:r>
          </w:p>
          <w:p w14:paraId="565FFA50" w14:textId="60B492D5" w:rsidR="00547C5B" w:rsidRPr="008A26D2" w:rsidRDefault="00547C5B" w:rsidP="00547C5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(n) en la provisión del servicio</w:t>
            </w:r>
          </w:p>
        </w:tc>
        <w:tc>
          <w:tcPr>
            <w:tcW w:w="2134"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069F8281" w14:textId="72F20B49" w:rsidR="00547C5B" w:rsidRPr="008A26D2" w:rsidRDefault="00547C5B" w:rsidP="000C49B7">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Nacional</w:t>
            </w:r>
          </w:p>
        </w:tc>
        <w:tc>
          <w:tcPr>
            <w:tcW w:w="2134" w:type="dxa"/>
            <w:tcBorders>
              <w:top w:val="single" w:sz="4" w:space="0" w:color="000000"/>
              <w:left w:val="single" w:sz="4" w:space="0" w:color="000000"/>
              <w:right w:val="single" w:sz="4" w:space="0" w:color="000000"/>
            </w:tcBorders>
            <w:shd w:val="clear" w:color="auto" w:fill="auto"/>
            <w:vAlign w:val="center"/>
          </w:tcPr>
          <w:p w14:paraId="305E433D" w14:textId="4AA7D38C" w:rsidR="00547C5B" w:rsidRPr="008A26D2" w:rsidRDefault="00547C5B" w:rsidP="000C49B7">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Regional</w:t>
            </w:r>
          </w:p>
        </w:tc>
        <w:tc>
          <w:tcPr>
            <w:tcW w:w="2135" w:type="dxa"/>
            <w:tcBorders>
              <w:top w:val="single" w:sz="4" w:space="0" w:color="000000"/>
              <w:left w:val="single" w:sz="4" w:space="0" w:color="000000"/>
              <w:right w:val="single" w:sz="4" w:space="0" w:color="000000"/>
            </w:tcBorders>
            <w:shd w:val="clear" w:color="auto" w:fill="auto"/>
            <w:vAlign w:val="center"/>
          </w:tcPr>
          <w:p w14:paraId="3B12C53A" w14:textId="236B8E95" w:rsidR="00547C5B" w:rsidRPr="008A26D2" w:rsidRDefault="00547C5B" w:rsidP="000C49B7">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Local</w:t>
            </w:r>
          </w:p>
        </w:tc>
      </w:tr>
      <w:tr w:rsidR="008A26D2" w:rsidRPr="008A26D2" w14:paraId="6A0BC20C" w14:textId="77777777" w:rsidTr="00B57456">
        <w:trPr>
          <w:trHeight w:val="457"/>
        </w:trPr>
        <w:tc>
          <w:tcPr>
            <w:tcW w:w="2386" w:type="dxa"/>
            <w:vMerge/>
            <w:tcBorders>
              <w:left w:val="single" w:sz="4" w:space="0" w:color="000000"/>
              <w:right w:val="single" w:sz="4" w:space="0" w:color="000000"/>
            </w:tcBorders>
            <w:shd w:val="clear" w:color="auto" w:fill="auto"/>
            <w:tcMar>
              <w:top w:w="15" w:type="dxa"/>
              <w:left w:w="15" w:type="dxa"/>
              <w:bottom w:w="0" w:type="dxa"/>
              <w:right w:w="15" w:type="dxa"/>
            </w:tcMar>
            <w:vAlign w:val="center"/>
          </w:tcPr>
          <w:p w14:paraId="43AF2317" w14:textId="77777777" w:rsidR="00547C5B" w:rsidRPr="008A26D2" w:rsidRDefault="00547C5B" w:rsidP="00547C5B">
            <w:pPr>
              <w:spacing w:after="0" w:line="240" w:lineRule="auto"/>
              <w:rPr>
                <w:rFonts w:ascii="Arial" w:hAnsi="Arial" w:cs="Arial"/>
                <w:b/>
                <w:sz w:val="20"/>
                <w:szCs w:val="20"/>
              </w:rPr>
            </w:pPr>
          </w:p>
        </w:tc>
        <w:tc>
          <w:tcPr>
            <w:tcW w:w="2134"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543A8F0E" w14:textId="1A068F16" w:rsidR="00547C5B" w:rsidRPr="008A26D2" w:rsidRDefault="001954F3" w:rsidP="000C49B7">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X</w:t>
            </w:r>
          </w:p>
        </w:tc>
        <w:tc>
          <w:tcPr>
            <w:tcW w:w="2134" w:type="dxa"/>
            <w:tcBorders>
              <w:top w:val="single" w:sz="4" w:space="0" w:color="000000"/>
              <w:left w:val="single" w:sz="4" w:space="0" w:color="000000"/>
              <w:right w:val="single" w:sz="4" w:space="0" w:color="000000"/>
            </w:tcBorders>
            <w:shd w:val="clear" w:color="auto" w:fill="auto"/>
            <w:vAlign w:val="center"/>
          </w:tcPr>
          <w:p w14:paraId="658EE0C1" w14:textId="77777777" w:rsidR="00547C5B" w:rsidRPr="008A26D2" w:rsidRDefault="00547C5B" w:rsidP="000C49B7">
            <w:pPr>
              <w:pBdr>
                <w:top w:val="nil"/>
                <w:left w:val="nil"/>
                <w:bottom w:val="nil"/>
                <w:right w:val="nil"/>
                <w:between w:val="nil"/>
              </w:pBdr>
              <w:spacing w:after="0" w:line="240" w:lineRule="auto"/>
              <w:jc w:val="center"/>
              <w:rPr>
                <w:rFonts w:ascii="Arial" w:eastAsia="Arial Narrow" w:hAnsi="Arial" w:cs="Arial"/>
                <w:sz w:val="20"/>
                <w:szCs w:val="20"/>
              </w:rPr>
            </w:pPr>
          </w:p>
        </w:tc>
        <w:tc>
          <w:tcPr>
            <w:tcW w:w="2135" w:type="dxa"/>
            <w:tcBorders>
              <w:top w:val="single" w:sz="4" w:space="0" w:color="000000"/>
              <w:left w:val="single" w:sz="4" w:space="0" w:color="000000"/>
              <w:right w:val="single" w:sz="4" w:space="0" w:color="000000"/>
            </w:tcBorders>
            <w:shd w:val="clear" w:color="auto" w:fill="auto"/>
            <w:vAlign w:val="center"/>
          </w:tcPr>
          <w:p w14:paraId="30E205F8" w14:textId="47138DFA" w:rsidR="00547C5B" w:rsidRPr="008A26D2" w:rsidRDefault="00547C5B" w:rsidP="000C49B7">
            <w:pPr>
              <w:pBdr>
                <w:top w:val="nil"/>
                <w:left w:val="nil"/>
                <w:bottom w:val="nil"/>
                <w:right w:val="nil"/>
                <w:between w:val="nil"/>
              </w:pBdr>
              <w:spacing w:after="0" w:line="240" w:lineRule="auto"/>
              <w:jc w:val="center"/>
              <w:rPr>
                <w:rFonts w:ascii="Arial" w:eastAsia="Arial Narrow" w:hAnsi="Arial" w:cs="Arial"/>
                <w:sz w:val="20"/>
                <w:szCs w:val="20"/>
              </w:rPr>
            </w:pPr>
          </w:p>
        </w:tc>
      </w:tr>
      <w:tr w:rsidR="008A26D2" w:rsidRPr="008A26D2" w14:paraId="31F3B361" w14:textId="77777777" w:rsidTr="00070DB4">
        <w:trPr>
          <w:trHeight w:val="300"/>
        </w:trPr>
        <w:tc>
          <w:tcPr>
            <w:tcW w:w="238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C9A57FE" w14:textId="77777777" w:rsidR="00547C5B" w:rsidRPr="008A26D2" w:rsidRDefault="00547C5B" w:rsidP="00547C5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Receptor del servicio</w:t>
            </w:r>
          </w:p>
        </w:tc>
        <w:tc>
          <w:tcPr>
            <w:tcW w:w="640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82EAEC5" w14:textId="77777777" w:rsidR="00547C5B" w:rsidRPr="008A26D2" w:rsidRDefault="00547C5B" w:rsidP="00547C5B">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Productores agrarios </w:t>
            </w:r>
          </w:p>
        </w:tc>
      </w:tr>
      <w:tr w:rsidR="008A26D2" w:rsidRPr="008A26D2" w14:paraId="36E421C8" w14:textId="77777777" w:rsidTr="00070DB4">
        <w:trPr>
          <w:trHeight w:val="211"/>
        </w:trPr>
        <w:tc>
          <w:tcPr>
            <w:tcW w:w="238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D3554CC" w14:textId="77777777" w:rsidR="00547C5B" w:rsidRPr="008A26D2" w:rsidRDefault="00547C5B" w:rsidP="00547C5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Alcance del servicio </w:t>
            </w:r>
          </w:p>
        </w:tc>
        <w:tc>
          <w:tcPr>
            <w:tcW w:w="640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202F7AB" w14:textId="77777777" w:rsidR="00547C5B" w:rsidRPr="008A26D2" w:rsidRDefault="00547C5B" w:rsidP="00547C5B">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Nacional</w:t>
            </w:r>
          </w:p>
        </w:tc>
      </w:tr>
      <w:tr w:rsidR="008A26D2" w:rsidRPr="008A26D2" w14:paraId="14744080" w14:textId="77777777" w:rsidTr="00070DB4">
        <w:trPr>
          <w:trHeight w:val="62"/>
        </w:trPr>
        <w:tc>
          <w:tcPr>
            <w:tcW w:w="238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8F0B425" w14:textId="77777777" w:rsidR="00547C5B" w:rsidRPr="008A26D2" w:rsidRDefault="00547C5B" w:rsidP="00547C5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Estándar (es) de cumplimiento</w:t>
            </w:r>
          </w:p>
        </w:tc>
        <w:tc>
          <w:tcPr>
            <w:tcW w:w="640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53BDC02" w14:textId="77777777" w:rsidR="00547C5B" w:rsidRPr="008A26D2" w:rsidRDefault="00547C5B" w:rsidP="00547C5B">
            <w:pPr>
              <w:pBdr>
                <w:top w:val="nil"/>
                <w:left w:val="nil"/>
                <w:bottom w:val="nil"/>
                <w:right w:val="nil"/>
                <w:between w:val="nil"/>
              </w:pBdr>
              <w:spacing w:after="0" w:line="240" w:lineRule="auto"/>
              <w:rPr>
                <w:rFonts w:ascii="Arial" w:hAnsi="Arial" w:cs="Arial"/>
                <w:sz w:val="20"/>
                <w:szCs w:val="20"/>
              </w:rPr>
            </w:pPr>
            <w:r w:rsidRPr="008A26D2">
              <w:rPr>
                <w:rFonts w:ascii="Arial" w:eastAsia="Arial Narrow" w:hAnsi="Arial" w:cs="Arial"/>
                <w:sz w:val="20"/>
                <w:szCs w:val="20"/>
              </w:rPr>
              <w:t>Oportunidad</w:t>
            </w:r>
          </w:p>
        </w:tc>
      </w:tr>
      <w:tr w:rsidR="008A26D2" w:rsidRPr="008A26D2" w14:paraId="6A31ECBA" w14:textId="77777777" w:rsidTr="00070DB4">
        <w:trPr>
          <w:trHeight w:val="300"/>
        </w:trPr>
        <w:tc>
          <w:tcPr>
            <w:tcW w:w="238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ADB2712" w14:textId="77777777" w:rsidR="00547C5B" w:rsidRPr="008A26D2" w:rsidRDefault="00547C5B" w:rsidP="00547C5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Descripción del estándar</w:t>
            </w:r>
          </w:p>
        </w:tc>
        <w:tc>
          <w:tcPr>
            <w:tcW w:w="640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35" w:type="dxa"/>
              <w:bottom w:w="0" w:type="dxa"/>
              <w:right w:w="15" w:type="dxa"/>
            </w:tcMar>
            <w:vAlign w:val="center"/>
          </w:tcPr>
          <w:p w14:paraId="5476BCB2" w14:textId="49810639" w:rsidR="00547C5B" w:rsidRPr="008A26D2" w:rsidRDefault="00547C5B" w:rsidP="00547C5B">
            <w:pPr>
              <w:pBdr>
                <w:top w:val="nil"/>
                <w:left w:val="nil"/>
                <w:bottom w:val="nil"/>
                <w:right w:val="nil"/>
                <w:between w:val="nil"/>
              </w:pBdr>
              <w:spacing w:after="0" w:line="240" w:lineRule="auto"/>
              <w:ind w:left="-59"/>
              <w:jc w:val="both"/>
              <w:rPr>
                <w:rFonts w:ascii="Arial" w:hAnsi="Arial" w:cs="Arial"/>
                <w:sz w:val="20"/>
                <w:szCs w:val="20"/>
              </w:rPr>
            </w:pPr>
            <w:r w:rsidRPr="008A26D2">
              <w:rPr>
                <w:rFonts w:ascii="Arial" w:eastAsia="Arial Narrow" w:hAnsi="Arial" w:cs="Arial"/>
                <w:sz w:val="20"/>
                <w:szCs w:val="20"/>
              </w:rPr>
              <w:t>El estándar de servicio es de oportunidad al estar relacionada al periodo de entrega del servicio a los productores agrarios durante los meses que marcan el “calendario forestal” de la zona, para generar mayores superficies de plantaciones forestales y sistemas agroforestales.</w:t>
            </w:r>
          </w:p>
        </w:tc>
      </w:tr>
      <w:tr w:rsidR="008A26D2" w:rsidRPr="008A26D2" w14:paraId="6443C716" w14:textId="77777777" w:rsidTr="00070DB4">
        <w:trPr>
          <w:trHeight w:val="491"/>
        </w:trPr>
        <w:tc>
          <w:tcPr>
            <w:tcW w:w="238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8538346" w14:textId="77777777" w:rsidR="00547C5B" w:rsidRPr="008A26D2" w:rsidRDefault="00547C5B" w:rsidP="00547C5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Indicador</w:t>
            </w:r>
          </w:p>
        </w:tc>
        <w:tc>
          <w:tcPr>
            <w:tcW w:w="640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56DFD6E4" w14:textId="77777777" w:rsidR="00547C5B" w:rsidRPr="008A26D2" w:rsidRDefault="00547C5B" w:rsidP="00547C5B">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Porcentaje de hectáreas de plantaciones forestales y sistemas agroforestales instalados de manera oportuna.</w:t>
            </w:r>
          </w:p>
        </w:tc>
      </w:tr>
    </w:tbl>
    <w:p w14:paraId="50429A1C" w14:textId="77777777" w:rsidR="006F4C42" w:rsidRPr="008A26D2" w:rsidRDefault="006F4C42" w:rsidP="000D1705">
      <w:pPr>
        <w:tabs>
          <w:tab w:val="left" w:pos="3375"/>
        </w:tabs>
        <w:rPr>
          <w:rFonts w:ascii="Arial Narrow" w:eastAsia="Arial Narrow" w:hAnsi="Arial Narrow" w:cs="Arial Narrow"/>
          <w:b/>
        </w:rPr>
      </w:pPr>
    </w:p>
    <w:p w14:paraId="565DF9A4" w14:textId="2C1EF8DF" w:rsidR="006F4C42" w:rsidRDefault="006F4C42" w:rsidP="000D1705">
      <w:pPr>
        <w:tabs>
          <w:tab w:val="left" w:pos="3375"/>
        </w:tabs>
        <w:rPr>
          <w:rFonts w:ascii="Arial Narrow" w:eastAsia="Arial Narrow" w:hAnsi="Arial Narrow" w:cs="Arial Narrow"/>
          <w:b/>
        </w:rPr>
      </w:pPr>
    </w:p>
    <w:p w14:paraId="3EEB9433" w14:textId="77777777" w:rsidR="000C49B7" w:rsidRDefault="000C49B7" w:rsidP="000D1705">
      <w:pPr>
        <w:tabs>
          <w:tab w:val="left" w:pos="3375"/>
        </w:tabs>
        <w:rPr>
          <w:rFonts w:ascii="Arial Narrow" w:eastAsia="Arial Narrow" w:hAnsi="Arial Narrow" w:cs="Arial Narrow"/>
          <w:b/>
        </w:rPr>
      </w:pPr>
    </w:p>
    <w:p w14:paraId="76DCDCB0" w14:textId="77777777" w:rsidR="000C49B7" w:rsidRDefault="000C49B7" w:rsidP="000D1705">
      <w:pPr>
        <w:tabs>
          <w:tab w:val="left" w:pos="3375"/>
        </w:tabs>
        <w:rPr>
          <w:rFonts w:ascii="Arial Narrow" w:eastAsia="Arial Narrow" w:hAnsi="Arial Narrow" w:cs="Arial Narrow"/>
          <w:b/>
        </w:rPr>
      </w:pPr>
    </w:p>
    <w:p w14:paraId="6187A0B5" w14:textId="77777777" w:rsidR="000C49B7" w:rsidRPr="008A26D2" w:rsidRDefault="000C49B7" w:rsidP="000D1705">
      <w:pPr>
        <w:tabs>
          <w:tab w:val="left" w:pos="3375"/>
        </w:tabs>
        <w:rPr>
          <w:rFonts w:ascii="Arial Narrow" w:eastAsia="Arial Narrow" w:hAnsi="Arial Narrow" w:cs="Arial Narrow"/>
          <w:b/>
        </w:rPr>
      </w:pPr>
    </w:p>
    <w:p w14:paraId="3B3E446D" w14:textId="575519E2" w:rsidR="00220A9C" w:rsidRPr="008A26D2" w:rsidRDefault="00220A9C" w:rsidP="00220A9C">
      <w:pPr>
        <w:tabs>
          <w:tab w:val="left" w:pos="3375"/>
        </w:tabs>
        <w:jc w:val="both"/>
        <w:rPr>
          <w:rFonts w:ascii="Arial" w:eastAsia="Arial Narrow" w:hAnsi="Arial" w:cs="Arial"/>
        </w:rPr>
      </w:pPr>
      <w:r w:rsidRPr="008A26D2">
        <w:rPr>
          <w:rFonts w:ascii="Arial" w:eastAsia="Arial Narrow" w:hAnsi="Arial" w:cs="Arial"/>
          <w:b/>
          <w:bCs/>
        </w:rPr>
        <w:lastRenderedPageBreak/>
        <w:t>S1.3.1</w:t>
      </w:r>
      <w:r w:rsidRPr="008A26D2">
        <w:rPr>
          <w:rFonts w:ascii="Arial" w:eastAsia="Arial Narrow" w:hAnsi="Arial" w:cs="Arial"/>
        </w:rPr>
        <w:t xml:space="preserve"> Fortalecimiento de capacidades para la identificación de áreas degradadas en ecosistemas terrestres, accesible a </w:t>
      </w:r>
      <w:r w:rsidR="00EA16B7" w:rsidRPr="008A26D2">
        <w:rPr>
          <w:rFonts w:ascii="Arial" w:eastAsia="Arial Narrow" w:hAnsi="Arial" w:cs="Arial"/>
        </w:rPr>
        <w:t>g</w:t>
      </w:r>
      <w:r w:rsidRPr="008A26D2">
        <w:rPr>
          <w:rFonts w:ascii="Arial" w:eastAsia="Arial Narrow" w:hAnsi="Arial" w:cs="Arial"/>
        </w:rPr>
        <w:t xml:space="preserve">obiernos </w:t>
      </w:r>
      <w:r w:rsidR="00EA16B7" w:rsidRPr="008A26D2">
        <w:rPr>
          <w:rFonts w:ascii="Arial" w:eastAsia="Arial Narrow" w:hAnsi="Arial" w:cs="Arial"/>
        </w:rPr>
        <w:t>r</w:t>
      </w:r>
      <w:r w:rsidRPr="008A26D2">
        <w:rPr>
          <w:rFonts w:ascii="Arial" w:eastAsia="Arial Narrow" w:hAnsi="Arial" w:cs="Arial"/>
        </w:rPr>
        <w:t>egionales.</w:t>
      </w:r>
    </w:p>
    <w:tbl>
      <w:tblPr>
        <w:tblStyle w:val="TableNormal"/>
        <w:tblW w:w="837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3"/>
        <w:gridCol w:w="1905"/>
        <w:gridCol w:w="1905"/>
        <w:gridCol w:w="1905"/>
      </w:tblGrid>
      <w:tr w:rsidR="008A26D2" w:rsidRPr="008A26D2" w14:paraId="059F78D4" w14:textId="77777777" w:rsidTr="00B17E3F">
        <w:trPr>
          <w:trHeight w:val="424"/>
        </w:trPr>
        <w:tc>
          <w:tcPr>
            <w:tcW w:w="8378" w:type="dxa"/>
            <w:gridSpan w:val="4"/>
            <w:shd w:val="clear" w:color="auto" w:fill="D9D9D9"/>
          </w:tcPr>
          <w:p w14:paraId="6D2A2A23" w14:textId="3D9C7BC7" w:rsidR="00220A9C" w:rsidRPr="008A26D2" w:rsidRDefault="00220A9C" w:rsidP="00070DB4">
            <w:pPr>
              <w:pStyle w:val="TableParagraph"/>
              <w:spacing w:before="14"/>
              <w:ind w:left="426" w:hanging="284"/>
              <w:jc w:val="center"/>
              <w:rPr>
                <w:rFonts w:ascii="Arial" w:hAnsi="Arial" w:cs="Arial"/>
                <w:b/>
                <w:sz w:val="20"/>
              </w:rPr>
            </w:pPr>
            <w:r w:rsidRPr="008A26D2">
              <w:rPr>
                <w:rFonts w:ascii="Arial" w:hAnsi="Arial" w:cs="Arial"/>
                <w:b/>
                <w:sz w:val="20"/>
                <w:szCs w:val="20"/>
                <w:lang w:val="es-PE" w:eastAsia="es-PE"/>
              </w:rPr>
              <w:t xml:space="preserve">FICHA DEL SERVICIO  </w:t>
            </w:r>
          </w:p>
        </w:tc>
      </w:tr>
      <w:tr w:rsidR="008A26D2" w:rsidRPr="008A26D2" w14:paraId="5EC7EC2E" w14:textId="77777777" w:rsidTr="00547C5B">
        <w:trPr>
          <w:trHeight w:val="472"/>
        </w:trPr>
        <w:tc>
          <w:tcPr>
            <w:tcW w:w="2663" w:type="dxa"/>
          </w:tcPr>
          <w:p w14:paraId="51EB1716" w14:textId="77777777" w:rsidR="00220A9C" w:rsidRPr="008A26D2" w:rsidRDefault="00220A9C" w:rsidP="0072651A">
            <w:pPr>
              <w:rPr>
                <w:rFonts w:ascii="Arial" w:eastAsia="Arial Narrow" w:hAnsi="Arial" w:cs="Arial"/>
                <w:b/>
                <w:sz w:val="20"/>
                <w:szCs w:val="20"/>
              </w:rPr>
            </w:pPr>
            <w:r w:rsidRPr="008A26D2">
              <w:rPr>
                <w:rFonts w:ascii="Arial" w:eastAsia="Arial Narrow" w:hAnsi="Arial" w:cs="Arial"/>
                <w:b/>
                <w:sz w:val="20"/>
                <w:szCs w:val="20"/>
              </w:rPr>
              <w:t>Objetivo prioritario:</w:t>
            </w:r>
          </w:p>
        </w:tc>
        <w:tc>
          <w:tcPr>
            <w:tcW w:w="5715" w:type="dxa"/>
            <w:gridSpan w:val="3"/>
          </w:tcPr>
          <w:p w14:paraId="42E17811" w14:textId="77777777" w:rsidR="00220A9C" w:rsidRPr="008A26D2" w:rsidRDefault="00220A9C" w:rsidP="00B17E3F">
            <w:pPr>
              <w:jc w:val="both"/>
              <w:rPr>
                <w:rFonts w:ascii="Arial" w:eastAsia="Arial Narrow" w:hAnsi="Arial" w:cs="Arial"/>
                <w:sz w:val="20"/>
                <w:szCs w:val="20"/>
              </w:rPr>
            </w:pPr>
            <w:r w:rsidRPr="008A26D2">
              <w:rPr>
                <w:rFonts w:ascii="Arial" w:eastAsia="Arial Narrow" w:hAnsi="Arial" w:cs="Arial"/>
                <w:sz w:val="20"/>
                <w:szCs w:val="20"/>
              </w:rPr>
              <w:t>OP1 Mejorar las condiciones para la sostenibilidad de los ecosistemas forestales, otros ecosistemas de vegetación silvestre y de la fauna silvestre</w:t>
            </w:r>
          </w:p>
        </w:tc>
      </w:tr>
      <w:tr w:rsidR="008A26D2" w:rsidRPr="008A26D2" w14:paraId="6AE1C16B" w14:textId="77777777" w:rsidTr="00547C5B">
        <w:trPr>
          <w:trHeight w:val="474"/>
        </w:trPr>
        <w:tc>
          <w:tcPr>
            <w:tcW w:w="2663" w:type="dxa"/>
          </w:tcPr>
          <w:p w14:paraId="36BC8FE8" w14:textId="77777777" w:rsidR="00220A9C" w:rsidRPr="008A26D2" w:rsidRDefault="00220A9C" w:rsidP="0072651A">
            <w:pPr>
              <w:rPr>
                <w:rFonts w:ascii="Arial" w:eastAsia="Arial Narrow" w:hAnsi="Arial" w:cs="Arial"/>
                <w:b/>
                <w:sz w:val="20"/>
                <w:szCs w:val="20"/>
              </w:rPr>
            </w:pPr>
            <w:r w:rsidRPr="008A26D2">
              <w:rPr>
                <w:rFonts w:ascii="Arial" w:eastAsia="Arial Narrow" w:hAnsi="Arial" w:cs="Arial"/>
                <w:b/>
                <w:sz w:val="20"/>
                <w:szCs w:val="20"/>
              </w:rPr>
              <w:t>Lineamiento:</w:t>
            </w:r>
          </w:p>
        </w:tc>
        <w:tc>
          <w:tcPr>
            <w:tcW w:w="5715" w:type="dxa"/>
            <w:gridSpan w:val="3"/>
          </w:tcPr>
          <w:p w14:paraId="7AE98009" w14:textId="77777777" w:rsidR="00220A9C" w:rsidRPr="008A26D2" w:rsidRDefault="00220A9C" w:rsidP="00B17E3F">
            <w:pPr>
              <w:jc w:val="both"/>
              <w:rPr>
                <w:rFonts w:ascii="Arial" w:eastAsia="Arial Narrow" w:hAnsi="Arial" w:cs="Arial"/>
                <w:sz w:val="20"/>
                <w:szCs w:val="20"/>
              </w:rPr>
            </w:pPr>
            <w:r w:rsidRPr="008A26D2">
              <w:rPr>
                <w:rFonts w:ascii="Arial" w:eastAsia="Arial Narrow" w:hAnsi="Arial" w:cs="Arial"/>
                <w:sz w:val="20"/>
                <w:szCs w:val="20"/>
              </w:rPr>
              <w:t>L1.3 Desarrollar estrategias de restauración y recuperación de los ecosistemas forestales y otros ecosistemas de vegetación silvestre deforestados o degradados</w:t>
            </w:r>
          </w:p>
        </w:tc>
      </w:tr>
      <w:tr w:rsidR="008A26D2" w:rsidRPr="008A26D2" w14:paraId="0317259B" w14:textId="77777777" w:rsidTr="00547C5B">
        <w:trPr>
          <w:trHeight w:val="470"/>
        </w:trPr>
        <w:tc>
          <w:tcPr>
            <w:tcW w:w="2663" w:type="dxa"/>
          </w:tcPr>
          <w:p w14:paraId="71C6124A" w14:textId="77777777" w:rsidR="00220A9C" w:rsidRPr="008A26D2" w:rsidRDefault="00220A9C" w:rsidP="0072651A">
            <w:pPr>
              <w:rPr>
                <w:rFonts w:ascii="Arial" w:eastAsia="Arial Narrow" w:hAnsi="Arial" w:cs="Arial"/>
                <w:b/>
                <w:sz w:val="20"/>
                <w:szCs w:val="20"/>
              </w:rPr>
            </w:pPr>
            <w:r w:rsidRPr="008A26D2">
              <w:rPr>
                <w:rFonts w:ascii="Arial" w:eastAsia="Arial Narrow" w:hAnsi="Arial" w:cs="Arial"/>
                <w:b/>
                <w:sz w:val="20"/>
                <w:szCs w:val="20"/>
              </w:rPr>
              <w:t>Nombre del servicio:</w:t>
            </w:r>
          </w:p>
        </w:tc>
        <w:tc>
          <w:tcPr>
            <w:tcW w:w="5715" w:type="dxa"/>
            <w:gridSpan w:val="3"/>
          </w:tcPr>
          <w:p w14:paraId="56B89ACA" w14:textId="22075E1E" w:rsidR="00220A9C" w:rsidRPr="008A26D2" w:rsidRDefault="00220A9C" w:rsidP="00B17E3F">
            <w:pPr>
              <w:jc w:val="both"/>
              <w:rPr>
                <w:rFonts w:ascii="Arial" w:eastAsia="Arial Narrow" w:hAnsi="Arial" w:cs="Arial"/>
                <w:sz w:val="20"/>
                <w:szCs w:val="20"/>
              </w:rPr>
            </w:pPr>
            <w:r w:rsidRPr="008A26D2">
              <w:rPr>
                <w:rFonts w:ascii="Arial" w:eastAsia="Arial Narrow" w:hAnsi="Arial" w:cs="Arial"/>
                <w:sz w:val="20"/>
                <w:szCs w:val="20"/>
              </w:rPr>
              <w:t xml:space="preserve">S1.3.1 Fortalecimiento de capacidades para la identificación de áreas degradadas en ecosistemas terrestres, accesible a </w:t>
            </w:r>
            <w:r w:rsidR="00752F74" w:rsidRPr="008A26D2">
              <w:rPr>
                <w:rFonts w:ascii="Arial" w:eastAsia="Arial Narrow" w:hAnsi="Arial" w:cs="Arial"/>
                <w:sz w:val="20"/>
                <w:szCs w:val="20"/>
              </w:rPr>
              <w:t>g</w:t>
            </w:r>
            <w:r w:rsidRPr="008A26D2">
              <w:rPr>
                <w:rFonts w:ascii="Arial" w:eastAsia="Arial Narrow" w:hAnsi="Arial" w:cs="Arial"/>
                <w:sz w:val="20"/>
                <w:szCs w:val="20"/>
              </w:rPr>
              <w:t xml:space="preserve">obiernos </w:t>
            </w:r>
            <w:r w:rsidR="00752F74" w:rsidRPr="008A26D2">
              <w:rPr>
                <w:rFonts w:ascii="Arial" w:eastAsia="Arial Narrow" w:hAnsi="Arial" w:cs="Arial"/>
                <w:sz w:val="20"/>
                <w:szCs w:val="20"/>
              </w:rPr>
              <w:t>r</w:t>
            </w:r>
            <w:r w:rsidRPr="008A26D2">
              <w:rPr>
                <w:rFonts w:ascii="Arial" w:eastAsia="Arial Narrow" w:hAnsi="Arial" w:cs="Arial"/>
                <w:sz w:val="20"/>
                <w:szCs w:val="20"/>
              </w:rPr>
              <w:t>egionales.</w:t>
            </w:r>
          </w:p>
        </w:tc>
      </w:tr>
      <w:tr w:rsidR="008A26D2" w:rsidRPr="008A26D2" w14:paraId="4A2567DE" w14:textId="77777777" w:rsidTr="00547C5B">
        <w:trPr>
          <w:trHeight w:val="470"/>
        </w:trPr>
        <w:tc>
          <w:tcPr>
            <w:tcW w:w="2663" w:type="dxa"/>
          </w:tcPr>
          <w:p w14:paraId="2A0A6634" w14:textId="77777777" w:rsidR="00220A9C" w:rsidRPr="008A26D2" w:rsidRDefault="00220A9C" w:rsidP="0072651A">
            <w:pPr>
              <w:rPr>
                <w:rFonts w:ascii="Arial" w:eastAsia="Arial Narrow" w:hAnsi="Arial" w:cs="Arial"/>
                <w:b/>
                <w:sz w:val="20"/>
                <w:szCs w:val="20"/>
              </w:rPr>
            </w:pPr>
            <w:r w:rsidRPr="008A26D2">
              <w:rPr>
                <w:rFonts w:ascii="Arial" w:eastAsia="Arial Narrow" w:hAnsi="Arial" w:cs="Arial"/>
                <w:b/>
                <w:sz w:val="20"/>
                <w:szCs w:val="20"/>
              </w:rPr>
              <w:t>Tipo de servicio:</w:t>
            </w:r>
          </w:p>
        </w:tc>
        <w:tc>
          <w:tcPr>
            <w:tcW w:w="5715" w:type="dxa"/>
            <w:gridSpan w:val="3"/>
          </w:tcPr>
          <w:p w14:paraId="6BFFA9E3" w14:textId="77777777" w:rsidR="00220A9C" w:rsidRPr="00846D49" w:rsidRDefault="00220A9C" w:rsidP="0072651A">
            <w:pPr>
              <w:jc w:val="both"/>
              <w:rPr>
                <w:rFonts w:ascii="Arial" w:eastAsia="Arial Narrow" w:hAnsi="Arial" w:cs="Arial"/>
                <w:sz w:val="20"/>
                <w:szCs w:val="20"/>
              </w:rPr>
            </w:pPr>
            <w:r w:rsidRPr="00846D49">
              <w:rPr>
                <w:rFonts w:ascii="Arial" w:eastAsia="Arial Narrow" w:hAnsi="Arial" w:cs="Arial"/>
                <w:sz w:val="20"/>
                <w:szCs w:val="20"/>
              </w:rPr>
              <w:t>Mejorado</w:t>
            </w:r>
          </w:p>
        </w:tc>
      </w:tr>
      <w:tr w:rsidR="008A26D2" w:rsidRPr="008A26D2" w14:paraId="4B5E1072" w14:textId="77777777" w:rsidTr="00547C5B">
        <w:trPr>
          <w:trHeight w:val="470"/>
        </w:trPr>
        <w:tc>
          <w:tcPr>
            <w:tcW w:w="2663" w:type="dxa"/>
            <w:vAlign w:val="center"/>
          </w:tcPr>
          <w:p w14:paraId="5BD586D2" w14:textId="2D362E50" w:rsidR="00547C5B" w:rsidRPr="008A26D2" w:rsidRDefault="00547C5B" w:rsidP="00547C5B">
            <w:pPr>
              <w:rPr>
                <w:rFonts w:ascii="Arial" w:eastAsia="Arial Narrow" w:hAnsi="Arial" w:cs="Arial"/>
                <w:b/>
                <w:sz w:val="20"/>
                <w:szCs w:val="20"/>
              </w:rPr>
            </w:pPr>
            <w:r w:rsidRPr="008A26D2">
              <w:rPr>
                <w:rFonts w:ascii="Arial" w:hAnsi="Arial" w:cs="Arial"/>
                <w:b/>
                <w:sz w:val="20"/>
                <w:szCs w:val="20"/>
              </w:rPr>
              <w:t>Naturaleza del servicio:</w:t>
            </w:r>
          </w:p>
        </w:tc>
        <w:tc>
          <w:tcPr>
            <w:tcW w:w="5715" w:type="dxa"/>
            <w:gridSpan w:val="3"/>
            <w:vAlign w:val="center"/>
          </w:tcPr>
          <w:p w14:paraId="29A21DCD" w14:textId="00723982" w:rsidR="00547C5B" w:rsidRPr="00846D49" w:rsidRDefault="001954F3" w:rsidP="00547C5B">
            <w:pPr>
              <w:jc w:val="both"/>
              <w:rPr>
                <w:rFonts w:ascii="Arial" w:eastAsia="Arial Narrow" w:hAnsi="Arial" w:cs="Arial"/>
                <w:sz w:val="20"/>
                <w:szCs w:val="20"/>
              </w:rPr>
            </w:pPr>
            <w:r w:rsidRPr="00846D49">
              <w:rPr>
                <w:rFonts w:ascii="Arial" w:eastAsia="Arial Narrow" w:hAnsi="Arial" w:cs="Arial"/>
                <w:sz w:val="20"/>
                <w:szCs w:val="20"/>
              </w:rPr>
              <w:t>A</w:t>
            </w:r>
            <w:r w:rsidR="00547C5B" w:rsidRPr="00846D49">
              <w:rPr>
                <w:rFonts w:ascii="Arial" w:eastAsia="Arial Narrow" w:hAnsi="Arial" w:cs="Arial"/>
                <w:sz w:val="20"/>
                <w:szCs w:val="20"/>
              </w:rPr>
              <w:t>dministrativo</w:t>
            </w:r>
          </w:p>
        </w:tc>
      </w:tr>
      <w:tr w:rsidR="008A26D2" w:rsidRPr="008A26D2" w14:paraId="62FF03DE" w14:textId="77777777" w:rsidTr="00547C5B">
        <w:trPr>
          <w:trHeight w:val="470"/>
        </w:trPr>
        <w:tc>
          <w:tcPr>
            <w:tcW w:w="2663" w:type="dxa"/>
            <w:vAlign w:val="center"/>
          </w:tcPr>
          <w:p w14:paraId="5D72CD41" w14:textId="73E9920E" w:rsidR="00547C5B" w:rsidRPr="008A26D2" w:rsidRDefault="00547C5B" w:rsidP="00547C5B">
            <w:pPr>
              <w:rPr>
                <w:rFonts w:ascii="Arial" w:eastAsia="Arial Narrow" w:hAnsi="Arial" w:cs="Arial"/>
                <w:b/>
                <w:sz w:val="20"/>
                <w:szCs w:val="20"/>
              </w:rPr>
            </w:pPr>
            <w:r w:rsidRPr="008A26D2">
              <w:rPr>
                <w:rFonts w:ascii="Arial" w:hAnsi="Arial" w:cs="Arial"/>
                <w:b/>
                <w:sz w:val="20"/>
                <w:szCs w:val="20"/>
              </w:rPr>
              <w:t>Entrega del servicio</w:t>
            </w:r>
          </w:p>
        </w:tc>
        <w:tc>
          <w:tcPr>
            <w:tcW w:w="5715" w:type="dxa"/>
            <w:gridSpan w:val="3"/>
            <w:vAlign w:val="center"/>
          </w:tcPr>
          <w:p w14:paraId="183922F6" w14:textId="72CFDD86" w:rsidR="00547C5B" w:rsidRPr="00846D49" w:rsidRDefault="00547C5B" w:rsidP="00547C5B">
            <w:pPr>
              <w:jc w:val="both"/>
              <w:rPr>
                <w:rFonts w:ascii="Arial" w:eastAsia="Arial Narrow" w:hAnsi="Arial" w:cs="Arial"/>
                <w:sz w:val="20"/>
                <w:szCs w:val="20"/>
              </w:rPr>
            </w:pPr>
            <w:r w:rsidRPr="00846D49">
              <w:rPr>
                <w:rFonts w:ascii="Arial" w:eastAsia="Arial Narrow" w:hAnsi="Arial" w:cs="Arial"/>
                <w:sz w:val="20"/>
                <w:szCs w:val="20"/>
              </w:rPr>
              <w:t xml:space="preserve">Competencia exclusiva </w:t>
            </w:r>
          </w:p>
        </w:tc>
      </w:tr>
      <w:tr w:rsidR="008A26D2" w:rsidRPr="008A26D2" w14:paraId="75DD04ED" w14:textId="77777777" w:rsidTr="00547C5B">
        <w:trPr>
          <w:trHeight w:val="1074"/>
        </w:trPr>
        <w:tc>
          <w:tcPr>
            <w:tcW w:w="2663" w:type="dxa"/>
          </w:tcPr>
          <w:p w14:paraId="180E99F9" w14:textId="77777777" w:rsidR="00547C5B" w:rsidRPr="008A26D2" w:rsidRDefault="00547C5B" w:rsidP="00547C5B">
            <w:pPr>
              <w:rPr>
                <w:rFonts w:ascii="Arial" w:eastAsia="Arial Narrow" w:hAnsi="Arial" w:cs="Arial"/>
                <w:b/>
                <w:sz w:val="20"/>
                <w:szCs w:val="20"/>
              </w:rPr>
            </w:pPr>
            <w:r w:rsidRPr="008A26D2">
              <w:rPr>
                <w:rFonts w:ascii="Arial" w:eastAsia="Arial Narrow" w:hAnsi="Arial" w:cs="Arial"/>
                <w:b/>
                <w:sz w:val="20"/>
                <w:szCs w:val="20"/>
              </w:rPr>
              <w:t>Descripción del servicio</w:t>
            </w:r>
          </w:p>
        </w:tc>
        <w:tc>
          <w:tcPr>
            <w:tcW w:w="5715" w:type="dxa"/>
            <w:gridSpan w:val="3"/>
          </w:tcPr>
          <w:p w14:paraId="1674956F" w14:textId="27F4EFC1" w:rsidR="00FC5B00" w:rsidRPr="00846D49" w:rsidRDefault="00547C5B" w:rsidP="00547C5B">
            <w:pPr>
              <w:jc w:val="both"/>
              <w:rPr>
                <w:rFonts w:ascii="Arial" w:eastAsia="Arial Narrow" w:hAnsi="Arial" w:cs="Arial"/>
                <w:sz w:val="20"/>
                <w:szCs w:val="20"/>
              </w:rPr>
            </w:pPr>
            <w:r w:rsidRPr="00846D49">
              <w:rPr>
                <w:rFonts w:ascii="Arial" w:eastAsia="Arial Narrow" w:hAnsi="Arial" w:cs="Arial"/>
                <w:sz w:val="20"/>
                <w:szCs w:val="20"/>
              </w:rPr>
              <w:t>El servicio consiste en brindar asistencia técnica a los gobiernos regionales para generar información sobre la identificación, categorización y priorización de áreas degradadas en ecosistemas terrestres</w:t>
            </w:r>
            <w:r w:rsidR="005067D2" w:rsidRPr="00846D49">
              <w:rPr>
                <w:rFonts w:ascii="Arial" w:eastAsia="Arial Narrow" w:hAnsi="Arial" w:cs="Arial"/>
                <w:sz w:val="20"/>
                <w:szCs w:val="20"/>
              </w:rPr>
              <w:t xml:space="preserve"> al haberse identificado que esta es una limitante que</w:t>
            </w:r>
            <w:r w:rsidR="00FC5B00" w:rsidRPr="00846D49">
              <w:rPr>
                <w:rFonts w:ascii="Arial" w:eastAsia="Arial Narrow" w:hAnsi="Arial" w:cs="Arial"/>
                <w:sz w:val="20"/>
                <w:szCs w:val="20"/>
              </w:rPr>
              <w:t xml:space="preserve"> se presenta en los gobiernos regionales, principalmente, por la alta rotación de personal, que</w:t>
            </w:r>
            <w:r w:rsidR="005067D2" w:rsidRPr="00846D49">
              <w:rPr>
                <w:rFonts w:ascii="Arial" w:eastAsia="Arial Narrow" w:hAnsi="Arial" w:cs="Arial"/>
                <w:sz w:val="20"/>
                <w:szCs w:val="20"/>
              </w:rPr>
              <w:t xml:space="preserve"> </w:t>
            </w:r>
            <w:r w:rsidR="006C3B20" w:rsidRPr="00846D49">
              <w:rPr>
                <w:rFonts w:ascii="Arial" w:eastAsia="Arial Narrow" w:hAnsi="Arial" w:cs="Arial"/>
                <w:sz w:val="20"/>
                <w:szCs w:val="20"/>
              </w:rPr>
              <w:t>restringe la</w:t>
            </w:r>
            <w:r w:rsidRPr="00846D49">
              <w:rPr>
                <w:rFonts w:ascii="Arial" w:eastAsia="Arial Narrow" w:hAnsi="Arial" w:cs="Arial"/>
                <w:sz w:val="20"/>
                <w:szCs w:val="20"/>
              </w:rPr>
              <w:t xml:space="preserve"> identifica</w:t>
            </w:r>
            <w:r w:rsidR="006C3B20" w:rsidRPr="00846D49">
              <w:rPr>
                <w:rFonts w:ascii="Arial" w:eastAsia="Arial Narrow" w:hAnsi="Arial" w:cs="Arial"/>
                <w:sz w:val="20"/>
                <w:szCs w:val="20"/>
              </w:rPr>
              <w:t>ción de</w:t>
            </w:r>
            <w:r w:rsidRPr="00846D49">
              <w:rPr>
                <w:rFonts w:ascii="Arial" w:eastAsia="Arial Narrow" w:hAnsi="Arial" w:cs="Arial"/>
                <w:sz w:val="20"/>
                <w:szCs w:val="20"/>
              </w:rPr>
              <w:t xml:space="preserve"> oportunidades de inversión en recuperación de ecosistemas y sus servicios.</w:t>
            </w:r>
          </w:p>
          <w:p w14:paraId="0335B5A2" w14:textId="11957441" w:rsidR="00547C5B" w:rsidRPr="00846D49" w:rsidRDefault="00547C5B" w:rsidP="00547C5B">
            <w:pPr>
              <w:jc w:val="both"/>
              <w:rPr>
                <w:rFonts w:ascii="Arial" w:eastAsia="Arial Narrow" w:hAnsi="Arial" w:cs="Arial"/>
                <w:sz w:val="20"/>
                <w:szCs w:val="20"/>
              </w:rPr>
            </w:pPr>
            <w:r w:rsidRPr="00846D49">
              <w:rPr>
                <w:rFonts w:ascii="Arial" w:eastAsia="Arial Narrow" w:hAnsi="Arial" w:cs="Arial"/>
                <w:sz w:val="20"/>
                <w:szCs w:val="20"/>
              </w:rPr>
              <w:t>La asistencia técnica comprende acciones de capacitación, reuniones de acompañamiento, suministro de información y transferencia de procedimientos para la identificación de áreas degradadas. Este fortalecimiento de capacidades permitirá a los Gobiernos Regionales contar con personal especializado en la identificación de áreas degradadas.</w:t>
            </w:r>
          </w:p>
          <w:p w14:paraId="3E85C8F7" w14:textId="285F0048" w:rsidR="00547C5B" w:rsidRPr="00846D49" w:rsidRDefault="00547C5B" w:rsidP="00547C5B">
            <w:pPr>
              <w:jc w:val="both"/>
              <w:rPr>
                <w:rFonts w:ascii="Arial" w:eastAsia="Arial Narrow" w:hAnsi="Arial" w:cs="Arial"/>
                <w:sz w:val="20"/>
                <w:szCs w:val="20"/>
              </w:rPr>
            </w:pPr>
            <w:r w:rsidRPr="00846D49">
              <w:rPr>
                <w:rFonts w:ascii="Arial" w:eastAsia="Arial Narrow" w:hAnsi="Arial" w:cs="Arial"/>
                <w:sz w:val="20"/>
                <w:szCs w:val="20"/>
              </w:rPr>
              <w:t xml:space="preserve">Se trata de un servicio mejorado, que ha tomado en consideración la incorporación de nuevas herramientas tecnológicas e información referida a erosión del suelo, cobertura y uso de la tierra con mayor detalle cartográfico y una mayor escala temporal. </w:t>
            </w:r>
          </w:p>
          <w:p w14:paraId="2D7B7FA7" w14:textId="77777777" w:rsidR="00547C5B" w:rsidRPr="00846D49" w:rsidRDefault="00547C5B" w:rsidP="00547C5B">
            <w:pPr>
              <w:jc w:val="both"/>
              <w:rPr>
                <w:rFonts w:ascii="Arial" w:eastAsia="Arial Narrow" w:hAnsi="Arial" w:cs="Arial"/>
                <w:sz w:val="20"/>
                <w:szCs w:val="20"/>
              </w:rPr>
            </w:pPr>
            <w:r w:rsidRPr="00846D49">
              <w:rPr>
                <w:rFonts w:ascii="Arial" w:eastAsia="Arial Narrow" w:hAnsi="Arial" w:cs="Arial"/>
                <w:sz w:val="20"/>
                <w:szCs w:val="20"/>
              </w:rPr>
              <w:t>La identificación de áreas degradadas se genera a nivel regional y sirve de base para los procesos de recuperación de ecosistemas terrestres. Esta información se pondrá a disposición a través del Geoservidor del Ministerio del Ambiente-MINAM, y se comparte con el Servicio Nacional Forestal y de Fauna Silvestre - SERFOR mediante la interoperabilidad.</w:t>
            </w:r>
          </w:p>
        </w:tc>
      </w:tr>
      <w:tr w:rsidR="008A26D2" w:rsidRPr="008A26D2" w14:paraId="090EB0DE" w14:textId="77777777" w:rsidTr="00547C5B">
        <w:trPr>
          <w:trHeight w:val="316"/>
        </w:trPr>
        <w:tc>
          <w:tcPr>
            <w:tcW w:w="2663" w:type="dxa"/>
          </w:tcPr>
          <w:p w14:paraId="3B130171" w14:textId="77777777" w:rsidR="00547C5B" w:rsidRPr="008A26D2" w:rsidRDefault="00547C5B" w:rsidP="00547C5B">
            <w:pPr>
              <w:rPr>
                <w:rFonts w:ascii="Arial" w:eastAsia="Arial Narrow" w:hAnsi="Arial" w:cs="Arial"/>
                <w:b/>
                <w:sz w:val="20"/>
                <w:szCs w:val="20"/>
              </w:rPr>
            </w:pPr>
            <w:r w:rsidRPr="008A26D2">
              <w:rPr>
                <w:rFonts w:ascii="Arial" w:eastAsia="Arial Narrow" w:hAnsi="Arial" w:cs="Arial"/>
                <w:b/>
                <w:sz w:val="20"/>
                <w:szCs w:val="20"/>
              </w:rPr>
              <w:t>Proveedor del servicio</w:t>
            </w:r>
          </w:p>
        </w:tc>
        <w:tc>
          <w:tcPr>
            <w:tcW w:w="5715" w:type="dxa"/>
            <w:gridSpan w:val="3"/>
          </w:tcPr>
          <w:p w14:paraId="632B23F1" w14:textId="77777777" w:rsidR="00547C5B" w:rsidRPr="008A26D2" w:rsidRDefault="00547C5B" w:rsidP="00547C5B">
            <w:pPr>
              <w:jc w:val="both"/>
              <w:rPr>
                <w:rFonts w:ascii="Arial" w:eastAsia="Arial Narrow" w:hAnsi="Arial" w:cs="Arial"/>
                <w:sz w:val="20"/>
                <w:szCs w:val="20"/>
              </w:rPr>
            </w:pPr>
            <w:r w:rsidRPr="008A26D2">
              <w:rPr>
                <w:rFonts w:ascii="Arial" w:eastAsia="Arial Narrow" w:hAnsi="Arial" w:cs="Arial"/>
                <w:sz w:val="20"/>
                <w:szCs w:val="20"/>
              </w:rPr>
              <w:t>Ministerio del Ambiente – MINAM</w:t>
            </w:r>
          </w:p>
        </w:tc>
      </w:tr>
      <w:tr w:rsidR="008A26D2" w:rsidRPr="008A26D2" w14:paraId="7F145EAF" w14:textId="77777777" w:rsidTr="00FE0EF2">
        <w:trPr>
          <w:trHeight w:val="555"/>
        </w:trPr>
        <w:tc>
          <w:tcPr>
            <w:tcW w:w="2663" w:type="dxa"/>
            <w:vMerge w:val="restart"/>
          </w:tcPr>
          <w:p w14:paraId="49434196" w14:textId="77777777" w:rsidR="00547C5B" w:rsidRPr="008A26D2" w:rsidRDefault="00547C5B" w:rsidP="004D58E2">
            <w:pPr>
              <w:spacing w:after="0" w:line="240" w:lineRule="auto"/>
              <w:rPr>
                <w:rFonts w:ascii="Arial" w:hAnsi="Arial" w:cs="Arial"/>
                <w:b/>
                <w:sz w:val="20"/>
                <w:szCs w:val="20"/>
              </w:rPr>
            </w:pPr>
            <w:r w:rsidRPr="008A26D2">
              <w:rPr>
                <w:rFonts w:ascii="Arial" w:hAnsi="Arial" w:cs="Arial"/>
                <w:b/>
                <w:sz w:val="20"/>
                <w:szCs w:val="20"/>
              </w:rPr>
              <w:t>Nivel (es) de gobierno que interviene</w:t>
            </w:r>
          </w:p>
          <w:p w14:paraId="6660717B" w14:textId="3437F873" w:rsidR="00547C5B" w:rsidRPr="008A26D2" w:rsidRDefault="00547C5B" w:rsidP="00547C5B">
            <w:pPr>
              <w:rPr>
                <w:rFonts w:ascii="Arial" w:eastAsia="Arial Narrow" w:hAnsi="Arial" w:cs="Arial"/>
                <w:b/>
                <w:sz w:val="20"/>
                <w:szCs w:val="20"/>
              </w:rPr>
            </w:pPr>
            <w:r w:rsidRPr="008A26D2">
              <w:rPr>
                <w:rFonts w:ascii="Arial" w:hAnsi="Arial" w:cs="Arial"/>
                <w:b/>
                <w:sz w:val="20"/>
                <w:szCs w:val="20"/>
              </w:rPr>
              <w:t>(n) en la provisión del servicio</w:t>
            </w:r>
          </w:p>
        </w:tc>
        <w:tc>
          <w:tcPr>
            <w:tcW w:w="1905" w:type="dxa"/>
            <w:vAlign w:val="center"/>
          </w:tcPr>
          <w:p w14:paraId="055AA9C1" w14:textId="1CFED5EB" w:rsidR="00547C5B" w:rsidRPr="008A26D2" w:rsidRDefault="00547C5B" w:rsidP="000C49B7">
            <w:pPr>
              <w:jc w:val="center"/>
              <w:rPr>
                <w:rFonts w:ascii="Arial" w:eastAsia="Arial Narrow" w:hAnsi="Arial" w:cs="Arial"/>
                <w:sz w:val="20"/>
                <w:szCs w:val="20"/>
              </w:rPr>
            </w:pPr>
            <w:r w:rsidRPr="008A26D2">
              <w:rPr>
                <w:rFonts w:ascii="Arial" w:eastAsia="Arial Narrow" w:hAnsi="Arial" w:cs="Arial"/>
                <w:sz w:val="20"/>
                <w:szCs w:val="20"/>
              </w:rPr>
              <w:t>Nacional</w:t>
            </w:r>
          </w:p>
        </w:tc>
        <w:tc>
          <w:tcPr>
            <w:tcW w:w="1905" w:type="dxa"/>
            <w:vAlign w:val="center"/>
          </w:tcPr>
          <w:p w14:paraId="022F129B" w14:textId="7761658B" w:rsidR="00547C5B" w:rsidRPr="008A26D2" w:rsidRDefault="00547C5B" w:rsidP="000C49B7">
            <w:pPr>
              <w:jc w:val="center"/>
              <w:rPr>
                <w:rFonts w:ascii="Arial" w:eastAsia="Arial Narrow" w:hAnsi="Arial" w:cs="Arial"/>
                <w:sz w:val="20"/>
                <w:szCs w:val="20"/>
              </w:rPr>
            </w:pPr>
            <w:r w:rsidRPr="008A26D2">
              <w:rPr>
                <w:rFonts w:ascii="Arial" w:eastAsia="Arial Narrow" w:hAnsi="Arial" w:cs="Arial"/>
                <w:sz w:val="20"/>
                <w:szCs w:val="20"/>
              </w:rPr>
              <w:t>Regional</w:t>
            </w:r>
          </w:p>
        </w:tc>
        <w:tc>
          <w:tcPr>
            <w:tcW w:w="1905" w:type="dxa"/>
            <w:vAlign w:val="center"/>
          </w:tcPr>
          <w:p w14:paraId="1CEE5A8C" w14:textId="6E818925" w:rsidR="00547C5B" w:rsidRPr="008A26D2" w:rsidRDefault="00547C5B" w:rsidP="000C49B7">
            <w:pPr>
              <w:jc w:val="center"/>
              <w:rPr>
                <w:rFonts w:ascii="Arial" w:eastAsia="Arial Narrow" w:hAnsi="Arial" w:cs="Arial"/>
                <w:sz w:val="20"/>
                <w:szCs w:val="20"/>
              </w:rPr>
            </w:pPr>
            <w:r w:rsidRPr="008A26D2">
              <w:rPr>
                <w:rFonts w:ascii="Arial" w:eastAsia="Arial Narrow" w:hAnsi="Arial" w:cs="Arial"/>
                <w:sz w:val="20"/>
                <w:szCs w:val="20"/>
              </w:rPr>
              <w:t>Local</w:t>
            </w:r>
          </w:p>
        </w:tc>
      </w:tr>
      <w:tr w:rsidR="008A26D2" w:rsidRPr="008A26D2" w14:paraId="48D9D9EE" w14:textId="77777777" w:rsidTr="00120810">
        <w:trPr>
          <w:trHeight w:val="555"/>
        </w:trPr>
        <w:tc>
          <w:tcPr>
            <w:tcW w:w="2663" w:type="dxa"/>
            <w:vMerge/>
          </w:tcPr>
          <w:p w14:paraId="69AF3F89" w14:textId="77777777" w:rsidR="00547C5B" w:rsidRPr="008A26D2" w:rsidRDefault="00547C5B" w:rsidP="00547C5B">
            <w:pPr>
              <w:spacing w:after="0" w:line="240" w:lineRule="auto"/>
              <w:rPr>
                <w:rFonts w:ascii="Arial" w:hAnsi="Arial" w:cs="Arial"/>
                <w:b/>
                <w:sz w:val="20"/>
                <w:szCs w:val="20"/>
              </w:rPr>
            </w:pPr>
          </w:p>
        </w:tc>
        <w:tc>
          <w:tcPr>
            <w:tcW w:w="1905" w:type="dxa"/>
          </w:tcPr>
          <w:p w14:paraId="272E7812" w14:textId="437F61F9" w:rsidR="00547C5B" w:rsidRPr="008A26D2" w:rsidRDefault="001954F3" w:rsidP="000C49B7">
            <w:pPr>
              <w:jc w:val="center"/>
              <w:rPr>
                <w:rFonts w:ascii="Arial" w:eastAsia="Arial Narrow" w:hAnsi="Arial" w:cs="Arial"/>
                <w:sz w:val="20"/>
                <w:szCs w:val="20"/>
              </w:rPr>
            </w:pPr>
            <w:r w:rsidRPr="008A26D2">
              <w:rPr>
                <w:rFonts w:ascii="Arial" w:eastAsia="Arial Narrow" w:hAnsi="Arial" w:cs="Arial"/>
                <w:sz w:val="20"/>
                <w:szCs w:val="20"/>
              </w:rPr>
              <w:t>X</w:t>
            </w:r>
          </w:p>
        </w:tc>
        <w:tc>
          <w:tcPr>
            <w:tcW w:w="1905" w:type="dxa"/>
          </w:tcPr>
          <w:p w14:paraId="3CC121D5" w14:textId="77777777" w:rsidR="00547C5B" w:rsidRPr="008A26D2" w:rsidRDefault="00547C5B" w:rsidP="000C49B7">
            <w:pPr>
              <w:jc w:val="center"/>
              <w:rPr>
                <w:rFonts w:ascii="Arial" w:eastAsia="Arial Narrow" w:hAnsi="Arial" w:cs="Arial"/>
                <w:sz w:val="20"/>
                <w:szCs w:val="20"/>
              </w:rPr>
            </w:pPr>
          </w:p>
        </w:tc>
        <w:tc>
          <w:tcPr>
            <w:tcW w:w="1905" w:type="dxa"/>
          </w:tcPr>
          <w:p w14:paraId="03254BCE" w14:textId="7EC0028B" w:rsidR="00547C5B" w:rsidRPr="008A26D2" w:rsidRDefault="00547C5B" w:rsidP="000C49B7">
            <w:pPr>
              <w:jc w:val="center"/>
              <w:rPr>
                <w:rFonts w:ascii="Arial" w:eastAsia="Arial Narrow" w:hAnsi="Arial" w:cs="Arial"/>
                <w:sz w:val="20"/>
                <w:szCs w:val="20"/>
              </w:rPr>
            </w:pPr>
          </w:p>
        </w:tc>
      </w:tr>
      <w:tr w:rsidR="008A26D2" w:rsidRPr="008A26D2" w14:paraId="54F71A3E" w14:textId="77777777" w:rsidTr="00547C5B">
        <w:trPr>
          <w:trHeight w:val="313"/>
        </w:trPr>
        <w:tc>
          <w:tcPr>
            <w:tcW w:w="2663" w:type="dxa"/>
          </w:tcPr>
          <w:p w14:paraId="13A3DFBC" w14:textId="77777777" w:rsidR="00547C5B" w:rsidRPr="008A26D2" w:rsidRDefault="00547C5B" w:rsidP="00547C5B">
            <w:pPr>
              <w:rPr>
                <w:rFonts w:ascii="Arial" w:eastAsia="Arial Narrow" w:hAnsi="Arial" w:cs="Arial"/>
                <w:b/>
                <w:sz w:val="20"/>
                <w:szCs w:val="20"/>
              </w:rPr>
            </w:pPr>
            <w:r w:rsidRPr="008A26D2">
              <w:rPr>
                <w:rFonts w:ascii="Arial" w:eastAsia="Arial Narrow" w:hAnsi="Arial" w:cs="Arial"/>
                <w:b/>
                <w:sz w:val="20"/>
                <w:szCs w:val="20"/>
              </w:rPr>
              <w:lastRenderedPageBreak/>
              <w:t>Receptor del servicio</w:t>
            </w:r>
          </w:p>
        </w:tc>
        <w:tc>
          <w:tcPr>
            <w:tcW w:w="5715" w:type="dxa"/>
            <w:gridSpan w:val="3"/>
          </w:tcPr>
          <w:p w14:paraId="10CAF3C9" w14:textId="13049E30" w:rsidR="00547C5B" w:rsidRPr="008A26D2" w:rsidRDefault="00547C5B" w:rsidP="00547C5B">
            <w:pPr>
              <w:jc w:val="both"/>
              <w:rPr>
                <w:rFonts w:ascii="Arial" w:eastAsia="Arial Narrow" w:hAnsi="Arial" w:cs="Arial"/>
                <w:sz w:val="20"/>
                <w:szCs w:val="20"/>
              </w:rPr>
            </w:pPr>
            <w:r w:rsidRPr="008A26D2">
              <w:rPr>
                <w:rFonts w:ascii="Arial" w:eastAsia="Arial Narrow" w:hAnsi="Arial" w:cs="Arial"/>
                <w:sz w:val="20"/>
                <w:szCs w:val="20"/>
              </w:rPr>
              <w:t>Gobiernos Regionales</w:t>
            </w:r>
          </w:p>
        </w:tc>
      </w:tr>
      <w:tr w:rsidR="008A26D2" w:rsidRPr="008A26D2" w14:paraId="2394151C" w14:textId="77777777" w:rsidTr="00547C5B">
        <w:trPr>
          <w:trHeight w:val="244"/>
        </w:trPr>
        <w:tc>
          <w:tcPr>
            <w:tcW w:w="2663" w:type="dxa"/>
          </w:tcPr>
          <w:p w14:paraId="26B6AD84" w14:textId="77777777" w:rsidR="00547C5B" w:rsidRPr="008A26D2" w:rsidRDefault="00547C5B" w:rsidP="00547C5B">
            <w:pPr>
              <w:rPr>
                <w:rFonts w:ascii="Arial" w:eastAsia="Arial Narrow" w:hAnsi="Arial" w:cs="Arial"/>
                <w:b/>
                <w:sz w:val="20"/>
                <w:szCs w:val="20"/>
              </w:rPr>
            </w:pPr>
            <w:r w:rsidRPr="008A26D2">
              <w:rPr>
                <w:rFonts w:ascii="Arial" w:eastAsia="Arial Narrow" w:hAnsi="Arial" w:cs="Arial"/>
                <w:b/>
                <w:sz w:val="20"/>
                <w:szCs w:val="20"/>
              </w:rPr>
              <w:t>Alcance del servicio</w:t>
            </w:r>
          </w:p>
        </w:tc>
        <w:tc>
          <w:tcPr>
            <w:tcW w:w="5715" w:type="dxa"/>
            <w:gridSpan w:val="3"/>
          </w:tcPr>
          <w:p w14:paraId="492B777F" w14:textId="77777777" w:rsidR="00547C5B" w:rsidRPr="008A26D2" w:rsidRDefault="00547C5B" w:rsidP="00547C5B">
            <w:pPr>
              <w:jc w:val="both"/>
              <w:rPr>
                <w:rFonts w:ascii="Arial" w:eastAsia="Arial Narrow" w:hAnsi="Arial" w:cs="Arial"/>
                <w:sz w:val="20"/>
                <w:szCs w:val="20"/>
              </w:rPr>
            </w:pPr>
            <w:r w:rsidRPr="008A26D2">
              <w:rPr>
                <w:rFonts w:ascii="Arial" w:eastAsia="Arial Narrow" w:hAnsi="Arial" w:cs="Arial"/>
                <w:sz w:val="20"/>
                <w:szCs w:val="20"/>
              </w:rPr>
              <w:t>Nacional</w:t>
            </w:r>
          </w:p>
        </w:tc>
      </w:tr>
      <w:tr w:rsidR="008A26D2" w:rsidRPr="008A26D2" w14:paraId="7E763731" w14:textId="77777777" w:rsidTr="00547C5B">
        <w:trPr>
          <w:trHeight w:val="244"/>
        </w:trPr>
        <w:tc>
          <w:tcPr>
            <w:tcW w:w="2663" w:type="dxa"/>
          </w:tcPr>
          <w:p w14:paraId="02FAA213" w14:textId="77777777" w:rsidR="00547C5B" w:rsidRPr="008A26D2" w:rsidRDefault="00547C5B" w:rsidP="00547C5B">
            <w:pPr>
              <w:rPr>
                <w:rFonts w:ascii="Arial" w:eastAsia="Arial Narrow" w:hAnsi="Arial" w:cs="Arial"/>
                <w:b/>
                <w:sz w:val="20"/>
                <w:szCs w:val="20"/>
              </w:rPr>
            </w:pPr>
            <w:r w:rsidRPr="008A26D2">
              <w:rPr>
                <w:rFonts w:ascii="Arial" w:eastAsia="Arial Narrow" w:hAnsi="Arial" w:cs="Arial"/>
                <w:b/>
                <w:sz w:val="20"/>
                <w:szCs w:val="20"/>
              </w:rPr>
              <w:t>Estándar (es) de cumplimiento</w:t>
            </w:r>
          </w:p>
        </w:tc>
        <w:tc>
          <w:tcPr>
            <w:tcW w:w="5715" w:type="dxa"/>
            <w:gridSpan w:val="3"/>
          </w:tcPr>
          <w:p w14:paraId="642870A4" w14:textId="77777777" w:rsidR="00547C5B" w:rsidRPr="008A26D2" w:rsidRDefault="00547C5B" w:rsidP="00547C5B">
            <w:pPr>
              <w:jc w:val="both"/>
              <w:rPr>
                <w:rFonts w:ascii="Arial" w:eastAsia="Arial Narrow" w:hAnsi="Arial" w:cs="Arial"/>
                <w:sz w:val="20"/>
                <w:szCs w:val="20"/>
              </w:rPr>
            </w:pPr>
            <w:r w:rsidRPr="008A26D2">
              <w:rPr>
                <w:rFonts w:ascii="Arial" w:eastAsia="Arial Narrow" w:hAnsi="Arial" w:cs="Arial"/>
                <w:sz w:val="20"/>
                <w:szCs w:val="20"/>
              </w:rPr>
              <w:t>Accesibilidad</w:t>
            </w:r>
          </w:p>
        </w:tc>
      </w:tr>
      <w:tr w:rsidR="008A26D2" w:rsidRPr="008A26D2" w14:paraId="05A808C0" w14:textId="77777777" w:rsidTr="00547C5B">
        <w:trPr>
          <w:trHeight w:val="474"/>
        </w:trPr>
        <w:tc>
          <w:tcPr>
            <w:tcW w:w="2663" w:type="dxa"/>
          </w:tcPr>
          <w:p w14:paraId="18304E10" w14:textId="77777777" w:rsidR="00547C5B" w:rsidRPr="008A26D2" w:rsidRDefault="00547C5B" w:rsidP="00547C5B">
            <w:pPr>
              <w:rPr>
                <w:rFonts w:ascii="Arial" w:eastAsia="Arial Narrow" w:hAnsi="Arial" w:cs="Arial"/>
                <w:b/>
                <w:sz w:val="20"/>
                <w:szCs w:val="20"/>
              </w:rPr>
            </w:pPr>
            <w:r w:rsidRPr="008A26D2">
              <w:rPr>
                <w:rFonts w:ascii="Arial" w:eastAsia="Arial Narrow" w:hAnsi="Arial" w:cs="Arial"/>
                <w:b/>
                <w:sz w:val="20"/>
                <w:szCs w:val="20"/>
              </w:rPr>
              <w:t>Descripción del estándar</w:t>
            </w:r>
          </w:p>
        </w:tc>
        <w:tc>
          <w:tcPr>
            <w:tcW w:w="5715" w:type="dxa"/>
            <w:gridSpan w:val="3"/>
          </w:tcPr>
          <w:p w14:paraId="102F67A6" w14:textId="0D9B7248" w:rsidR="00547C5B" w:rsidRPr="008A26D2" w:rsidRDefault="00547C5B" w:rsidP="00547C5B">
            <w:pPr>
              <w:jc w:val="both"/>
              <w:rPr>
                <w:rFonts w:ascii="Arial" w:eastAsia="Arial Narrow" w:hAnsi="Arial" w:cs="Arial"/>
                <w:sz w:val="20"/>
                <w:szCs w:val="20"/>
              </w:rPr>
            </w:pPr>
            <w:r w:rsidRPr="008A26D2">
              <w:rPr>
                <w:rFonts w:ascii="Arial" w:eastAsia="Arial Narrow" w:hAnsi="Arial" w:cs="Arial"/>
                <w:sz w:val="20"/>
                <w:szCs w:val="20"/>
              </w:rPr>
              <w:t>El presente estándar asegura que las capacitaciones y suministro de información sean accesibles empleando herramientas tecnológicas que faciliten a los Gobiernos Regionales, fortalecer sus capacidades para identificar áreas degradadas y contribuir a la formulación de estrategias y acciones de recuperación de ecosistemas y sus servicios.</w:t>
            </w:r>
          </w:p>
        </w:tc>
      </w:tr>
      <w:tr w:rsidR="008A26D2" w:rsidRPr="008A26D2" w14:paraId="46FF2079" w14:textId="77777777" w:rsidTr="00547C5B">
        <w:trPr>
          <w:trHeight w:val="506"/>
        </w:trPr>
        <w:tc>
          <w:tcPr>
            <w:tcW w:w="2663" w:type="dxa"/>
          </w:tcPr>
          <w:p w14:paraId="1A645F21" w14:textId="77777777" w:rsidR="00547C5B" w:rsidRPr="008A26D2" w:rsidRDefault="00547C5B" w:rsidP="00547C5B">
            <w:pPr>
              <w:rPr>
                <w:rFonts w:ascii="Arial" w:eastAsia="Arial Narrow" w:hAnsi="Arial" w:cs="Arial"/>
                <w:b/>
                <w:sz w:val="20"/>
                <w:szCs w:val="20"/>
              </w:rPr>
            </w:pPr>
            <w:r w:rsidRPr="008A26D2">
              <w:rPr>
                <w:rFonts w:ascii="Arial" w:eastAsia="Arial Narrow" w:hAnsi="Arial" w:cs="Arial"/>
                <w:b/>
                <w:sz w:val="20"/>
                <w:szCs w:val="20"/>
              </w:rPr>
              <w:t>Indicador</w:t>
            </w:r>
          </w:p>
        </w:tc>
        <w:tc>
          <w:tcPr>
            <w:tcW w:w="5715" w:type="dxa"/>
            <w:gridSpan w:val="3"/>
          </w:tcPr>
          <w:p w14:paraId="17A2435E" w14:textId="1737BCA3" w:rsidR="00547C5B" w:rsidRPr="008A26D2" w:rsidRDefault="00547C5B" w:rsidP="00547C5B">
            <w:pPr>
              <w:jc w:val="both"/>
              <w:rPr>
                <w:rFonts w:ascii="Arial" w:eastAsia="Arial Narrow" w:hAnsi="Arial" w:cs="Arial"/>
                <w:sz w:val="20"/>
                <w:szCs w:val="20"/>
              </w:rPr>
            </w:pPr>
            <w:r w:rsidRPr="008A26D2">
              <w:rPr>
                <w:rFonts w:ascii="Arial" w:eastAsia="Arial Narrow" w:hAnsi="Arial" w:cs="Arial"/>
                <w:sz w:val="20"/>
                <w:szCs w:val="20"/>
              </w:rPr>
              <w:t>Porcentaje de gobiernos regionales que acceden al fortalecimiento de capacidades para identificar oportunidades para la recuperación de áreas degradadas</w:t>
            </w:r>
          </w:p>
        </w:tc>
      </w:tr>
    </w:tbl>
    <w:p w14:paraId="37BF183A" w14:textId="6E1C669E" w:rsidR="00220A9C" w:rsidRPr="008A26D2" w:rsidRDefault="00220A9C" w:rsidP="000D1705">
      <w:pPr>
        <w:tabs>
          <w:tab w:val="left" w:pos="3375"/>
        </w:tabs>
        <w:rPr>
          <w:rFonts w:ascii="Arial Narrow" w:eastAsia="Arial Narrow" w:hAnsi="Arial Narrow" w:cs="Arial Narrow"/>
          <w:b/>
        </w:rPr>
      </w:pPr>
    </w:p>
    <w:p w14:paraId="3F59038A" w14:textId="43217DE2" w:rsidR="00F125FC" w:rsidRPr="008A26D2" w:rsidRDefault="00F125FC" w:rsidP="00F125FC">
      <w:pPr>
        <w:tabs>
          <w:tab w:val="left" w:pos="3375"/>
        </w:tabs>
        <w:jc w:val="both"/>
        <w:rPr>
          <w:rFonts w:ascii="Arial" w:eastAsia="Arial Narrow" w:hAnsi="Arial" w:cs="Arial"/>
        </w:rPr>
      </w:pPr>
      <w:r w:rsidRPr="008A26D2">
        <w:rPr>
          <w:rFonts w:ascii="Arial" w:eastAsia="Arial Narrow" w:hAnsi="Arial" w:cs="Arial"/>
          <w:b/>
          <w:bCs/>
        </w:rPr>
        <w:t>S1.3.</w:t>
      </w:r>
      <w:r w:rsidRPr="000C49B7">
        <w:rPr>
          <w:rFonts w:ascii="Arial" w:eastAsia="Arial Narrow" w:hAnsi="Arial" w:cs="Arial"/>
          <w:b/>
          <w:bCs/>
        </w:rPr>
        <w:t>2</w:t>
      </w:r>
      <w:r w:rsidRPr="000C49B7">
        <w:rPr>
          <w:rFonts w:ascii="Arial" w:eastAsia="Arial Narrow" w:hAnsi="Arial" w:cs="Arial"/>
        </w:rPr>
        <w:t xml:space="preserve"> </w:t>
      </w:r>
      <w:r w:rsidR="000C49B7" w:rsidRPr="000C49B7">
        <w:rPr>
          <w:rFonts w:ascii="Arial" w:eastAsia="Arial Narrow" w:hAnsi="Arial" w:cs="Arial"/>
        </w:rPr>
        <w:t>Asistencia técnica y capacitación en materia de restauración de ecosistemas forestales y otros ecosistemas de vegetación silvestre impartidos de forma satisfactoria a los gobiernos regionales, gobiernos locales y usuarios forestales y de fauna silvestre</w:t>
      </w:r>
      <w:r w:rsidRPr="000C49B7">
        <w:rPr>
          <w:rFonts w:ascii="Arial" w:eastAsia="Arial Narrow" w:hAnsi="Arial" w:cs="Arial"/>
        </w:rPr>
        <w:t>.</w:t>
      </w:r>
    </w:p>
    <w:tbl>
      <w:tblPr>
        <w:tblW w:w="8359" w:type="dxa"/>
        <w:jc w:val="center"/>
        <w:tblLayout w:type="fixed"/>
        <w:tblLook w:val="0600" w:firstRow="0" w:lastRow="0" w:firstColumn="0" w:lastColumn="0" w:noHBand="1" w:noVBand="1"/>
      </w:tblPr>
      <w:tblGrid>
        <w:gridCol w:w="2410"/>
        <w:gridCol w:w="1983"/>
        <w:gridCol w:w="1983"/>
        <w:gridCol w:w="1983"/>
      </w:tblGrid>
      <w:tr w:rsidR="008A26D2" w:rsidRPr="008A26D2" w14:paraId="0B446D1F" w14:textId="77777777" w:rsidTr="00B17E3F">
        <w:trPr>
          <w:trHeight w:val="300"/>
          <w:jc w:val="center"/>
        </w:trPr>
        <w:tc>
          <w:tcPr>
            <w:tcW w:w="8359"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center"/>
          </w:tcPr>
          <w:p w14:paraId="2CF6987B" w14:textId="77777777" w:rsidR="00F125FC" w:rsidRPr="008A26D2" w:rsidRDefault="00F125FC" w:rsidP="0072651A">
            <w:pPr>
              <w:jc w:val="center"/>
              <w:rPr>
                <w:rFonts w:ascii="Arial" w:hAnsi="Arial" w:cs="Arial"/>
                <w:sz w:val="20"/>
                <w:szCs w:val="20"/>
              </w:rPr>
            </w:pPr>
            <w:r w:rsidRPr="008A26D2">
              <w:rPr>
                <w:rFonts w:ascii="Arial" w:hAnsi="Arial" w:cs="Arial"/>
                <w:b/>
                <w:sz w:val="20"/>
                <w:szCs w:val="20"/>
              </w:rPr>
              <w:t>FICHA DEL SERVICIO 1.3.2</w:t>
            </w:r>
          </w:p>
        </w:tc>
      </w:tr>
      <w:tr w:rsidR="008A26D2" w:rsidRPr="008A26D2" w14:paraId="732949B3" w14:textId="77777777" w:rsidTr="00B17E3F">
        <w:trPr>
          <w:trHeight w:val="300"/>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B1AE7D8" w14:textId="77777777" w:rsidR="00F125FC" w:rsidRPr="008A26D2" w:rsidRDefault="00F125FC"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Objetivo prioritario:</w:t>
            </w:r>
          </w:p>
        </w:tc>
        <w:tc>
          <w:tcPr>
            <w:tcW w:w="594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23D4267" w14:textId="77777777" w:rsidR="00F125FC" w:rsidRPr="008A26D2" w:rsidRDefault="00F125FC" w:rsidP="0072651A">
            <w:pPr>
              <w:pBdr>
                <w:top w:val="nil"/>
                <w:left w:val="nil"/>
                <w:bottom w:val="nil"/>
                <w:right w:val="nil"/>
                <w:between w:val="nil"/>
              </w:pBdr>
              <w:spacing w:after="0" w:line="240" w:lineRule="auto"/>
              <w:jc w:val="both"/>
              <w:rPr>
                <w:rFonts w:ascii="Arial" w:hAnsi="Arial" w:cs="Arial"/>
                <w:sz w:val="20"/>
                <w:szCs w:val="20"/>
              </w:rPr>
            </w:pPr>
            <w:r w:rsidRPr="008A26D2">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r>
      <w:tr w:rsidR="008A26D2" w:rsidRPr="008A26D2" w14:paraId="75900D53" w14:textId="77777777" w:rsidTr="00B17E3F">
        <w:trPr>
          <w:trHeight w:val="300"/>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1FD4188" w14:textId="77777777" w:rsidR="00F125FC" w:rsidRPr="008A26D2" w:rsidRDefault="00F125FC"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Lineamiento:</w:t>
            </w:r>
          </w:p>
        </w:tc>
        <w:tc>
          <w:tcPr>
            <w:tcW w:w="594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BC7A84B" w14:textId="77777777" w:rsidR="00F125FC" w:rsidRPr="008A26D2" w:rsidRDefault="00F125FC" w:rsidP="0072651A">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L1.3 Desarrollar estrategias de restauración y recuperación de los ecosistemas forestales y otros ecosistemas de vegetación silvestre deforestados o degradados</w:t>
            </w:r>
          </w:p>
        </w:tc>
      </w:tr>
      <w:tr w:rsidR="008A26D2" w:rsidRPr="008A26D2" w14:paraId="53C5A6D8" w14:textId="77777777" w:rsidTr="00B17E3F">
        <w:trPr>
          <w:trHeight w:val="300"/>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25C1F51" w14:textId="77777777" w:rsidR="00F125FC" w:rsidRPr="008A26D2" w:rsidRDefault="00F125FC"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Nombre del servicio:</w:t>
            </w:r>
          </w:p>
        </w:tc>
        <w:tc>
          <w:tcPr>
            <w:tcW w:w="594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32A2B23" w14:textId="5050634A" w:rsidR="00F125FC" w:rsidRPr="008A26D2" w:rsidRDefault="00F125FC" w:rsidP="00B17E3F">
            <w:pPr>
              <w:pStyle w:val="pf0"/>
              <w:jc w:val="both"/>
              <w:rPr>
                <w:rFonts w:ascii="Arial" w:eastAsia="Arial Narrow" w:hAnsi="Arial" w:cs="Arial"/>
                <w:sz w:val="20"/>
                <w:szCs w:val="20"/>
              </w:rPr>
            </w:pPr>
            <w:r w:rsidRPr="008A26D2">
              <w:rPr>
                <w:rFonts w:ascii="Arial" w:eastAsia="Arial Narrow" w:hAnsi="Arial" w:cs="Arial"/>
                <w:sz w:val="20"/>
                <w:szCs w:val="20"/>
              </w:rPr>
              <w:t xml:space="preserve">S1.3.2 Asistencia técnica y capacitación en materia de restauración de ecosistemas forestales y otros ecosistemas de vegetación silvestre impartidos de forma satisfactoria a los </w:t>
            </w:r>
            <w:r w:rsidR="00B17E3F" w:rsidRPr="008A26D2">
              <w:rPr>
                <w:rFonts w:ascii="Arial" w:eastAsia="Arial Narrow" w:hAnsi="Arial" w:cs="Arial"/>
                <w:sz w:val="20"/>
                <w:szCs w:val="20"/>
              </w:rPr>
              <w:t>g</w:t>
            </w:r>
            <w:r w:rsidRPr="008A26D2">
              <w:rPr>
                <w:rFonts w:ascii="Arial" w:eastAsia="Arial Narrow" w:hAnsi="Arial" w:cs="Arial"/>
                <w:sz w:val="20"/>
                <w:szCs w:val="20"/>
              </w:rPr>
              <w:t xml:space="preserve">obiernos regionales, </w:t>
            </w:r>
            <w:r w:rsidR="00B17E3F" w:rsidRPr="008A26D2">
              <w:rPr>
                <w:rFonts w:ascii="Arial" w:eastAsia="Arial Narrow" w:hAnsi="Arial" w:cs="Arial"/>
                <w:sz w:val="20"/>
                <w:szCs w:val="20"/>
              </w:rPr>
              <w:t>g</w:t>
            </w:r>
            <w:r w:rsidRPr="008A26D2">
              <w:rPr>
                <w:rFonts w:ascii="Arial" w:eastAsia="Arial Narrow" w:hAnsi="Arial" w:cs="Arial"/>
                <w:sz w:val="20"/>
                <w:szCs w:val="20"/>
              </w:rPr>
              <w:t>obiernos locales y usuarios forestales y de fauna silvestre.</w:t>
            </w:r>
          </w:p>
        </w:tc>
      </w:tr>
      <w:tr w:rsidR="008A26D2" w:rsidRPr="008A26D2" w14:paraId="0300E429" w14:textId="77777777" w:rsidTr="00B17E3F">
        <w:trPr>
          <w:trHeight w:val="300"/>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09E9119" w14:textId="77777777" w:rsidR="00F125FC" w:rsidRPr="008A26D2" w:rsidRDefault="00F125FC"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Tipo de servicio:</w:t>
            </w:r>
          </w:p>
        </w:tc>
        <w:tc>
          <w:tcPr>
            <w:tcW w:w="594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E3143C0" w14:textId="77777777" w:rsidR="00F125FC" w:rsidRPr="008A26D2" w:rsidRDefault="00F125FC" w:rsidP="0072651A">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Mejorado</w:t>
            </w:r>
          </w:p>
        </w:tc>
      </w:tr>
      <w:tr w:rsidR="008A26D2" w:rsidRPr="008A26D2" w14:paraId="1AE44B47" w14:textId="77777777" w:rsidTr="00B17E3F">
        <w:trPr>
          <w:trHeight w:val="300"/>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F26A7DB" w14:textId="05BEFD5F" w:rsidR="00547C5B" w:rsidRPr="008A26D2" w:rsidRDefault="00547C5B" w:rsidP="00547C5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Naturaleza del servicio:</w:t>
            </w:r>
          </w:p>
        </w:tc>
        <w:tc>
          <w:tcPr>
            <w:tcW w:w="594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9025E30" w14:textId="0D2C1310" w:rsidR="00547C5B" w:rsidRPr="008A26D2" w:rsidRDefault="001954F3" w:rsidP="00547C5B">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A</w:t>
            </w:r>
            <w:r w:rsidR="00547C5B" w:rsidRPr="008A26D2">
              <w:rPr>
                <w:rFonts w:ascii="Arial" w:eastAsia="Arial Narrow" w:hAnsi="Arial" w:cs="Arial"/>
                <w:sz w:val="20"/>
                <w:szCs w:val="20"/>
              </w:rPr>
              <w:t>dministrativo</w:t>
            </w:r>
          </w:p>
        </w:tc>
      </w:tr>
      <w:tr w:rsidR="008A26D2" w:rsidRPr="008A26D2" w14:paraId="75030F32" w14:textId="77777777" w:rsidTr="00B17E3F">
        <w:trPr>
          <w:trHeight w:val="300"/>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2F173F2" w14:textId="3A139501" w:rsidR="00547C5B" w:rsidRPr="008A26D2" w:rsidRDefault="00547C5B" w:rsidP="00547C5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Entrega del servicio</w:t>
            </w:r>
          </w:p>
        </w:tc>
        <w:tc>
          <w:tcPr>
            <w:tcW w:w="594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3F9E641" w14:textId="424725A9" w:rsidR="00547C5B" w:rsidRPr="008A26D2" w:rsidRDefault="00547C5B" w:rsidP="00547C5B">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Competencia exclusiva</w:t>
            </w:r>
          </w:p>
        </w:tc>
      </w:tr>
      <w:tr w:rsidR="008A26D2" w:rsidRPr="008A26D2" w14:paraId="719CBC44" w14:textId="77777777" w:rsidTr="00B17E3F">
        <w:trPr>
          <w:trHeight w:val="300"/>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43DB057" w14:textId="77777777" w:rsidR="00547C5B" w:rsidRPr="008A26D2" w:rsidRDefault="00547C5B" w:rsidP="00547C5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Descripción del servicio</w:t>
            </w:r>
          </w:p>
        </w:tc>
        <w:tc>
          <w:tcPr>
            <w:tcW w:w="594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EF0810D" w14:textId="77777777" w:rsidR="00547C5B" w:rsidRPr="008A26D2" w:rsidRDefault="00547C5B" w:rsidP="00547C5B">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El presente servicio consiste en brindar las orientaciones, a través de reuniones, capacitación, intercambio de experiencias, talleres, entre otros, a los gobiernos regionales, gobiernos locales y usuarios forestales y de fauna silvestre; según sus diversas necesidades y características del territorio, en las áreas priorizadas para la restauración, fuera de las Áreas Naturales Protegidas. </w:t>
            </w:r>
          </w:p>
          <w:p w14:paraId="4CF809AC" w14:textId="77777777" w:rsidR="00547C5B" w:rsidRPr="008A26D2" w:rsidRDefault="00547C5B" w:rsidP="00547C5B">
            <w:pPr>
              <w:pBdr>
                <w:top w:val="nil"/>
                <w:left w:val="nil"/>
                <w:bottom w:val="nil"/>
                <w:right w:val="nil"/>
                <w:between w:val="nil"/>
              </w:pBdr>
              <w:spacing w:after="0" w:line="240" w:lineRule="auto"/>
              <w:jc w:val="both"/>
              <w:rPr>
                <w:rFonts w:ascii="Arial" w:eastAsia="Arial Narrow" w:hAnsi="Arial" w:cs="Arial"/>
                <w:sz w:val="20"/>
                <w:szCs w:val="20"/>
              </w:rPr>
            </w:pPr>
          </w:p>
          <w:p w14:paraId="6297E47F" w14:textId="77777777" w:rsidR="00547C5B" w:rsidRPr="008A26D2" w:rsidRDefault="00547C5B" w:rsidP="00547C5B">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La asistencia técnica y capacitación en restauración desarrolla, entre otras, las siguientes temáticas:</w:t>
            </w:r>
          </w:p>
          <w:p w14:paraId="7825D43E" w14:textId="77777777" w:rsidR="00547C5B" w:rsidRPr="008A26D2" w:rsidRDefault="00547C5B" w:rsidP="00547C5B">
            <w:pPr>
              <w:pStyle w:val="Prrafodelista"/>
              <w:numPr>
                <w:ilvl w:val="0"/>
                <w:numId w:val="5"/>
              </w:num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Orientaciones para la formulación de proyectos de restauración.</w:t>
            </w:r>
          </w:p>
          <w:p w14:paraId="5E4C553E" w14:textId="77777777" w:rsidR="00547C5B" w:rsidRPr="008A26D2" w:rsidRDefault="00547C5B" w:rsidP="00547C5B">
            <w:pPr>
              <w:pStyle w:val="Prrafodelista"/>
              <w:numPr>
                <w:ilvl w:val="0"/>
                <w:numId w:val="5"/>
              </w:num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Mapeo de actores clave para la restauración.</w:t>
            </w:r>
          </w:p>
          <w:p w14:paraId="316F1C24" w14:textId="77777777" w:rsidR="00547C5B" w:rsidRPr="008A26D2" w:rsidRDefault="00547C5B" w:rsidP="00547C5B">
            <w:pPr>
              <w:pStyle w:val="Prrafodelista"/>
              <w:numPr>
                <w:ilvl w:val="0"/>
                <w:numId w:val="5"/>
              </w:num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Identificación de necesidades de fortalecimiento de capacidades en restauración.</w:t>
            </w:r>
          </w:p>
          <w:p w14:paraId="0E976B25" w14:textId="77777777" w:rsidR="00547C5B" w:rsidRPr="008A26D2" w:rsidRDefault="00547C5B" w:rsidP="00547C5B">
            <w:pPr>
              <w:pStyle w:val="Prrafodelista"/>
              <w:numPr>
                <w:ilvl w:val="0"/>
                <w:numId w:val="5"/>
              </w:num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Apoyo para la conformación de mesas técnicas regionales de restauración.</w:t>
            </w:r>
          </w:p>
          <w:p w14:paraId="61F62AA7" w14:textId="77777777" w:rsidR="00547C5B" w:rsidRPr="008A26D2" w:rsidRDefault="00547C5B" w:rsidP="00547C5B">
            <w:pPr>
              <w:pStyle w:val="Prrafodelista"/>
              <w:numPr>
                <w:ilvl w:val="0"/>
                <w:numId w:val="5"/>
              </w:num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Orientaciones para el desarrollo de instrumentos de gestión para la restauración.</w:t>
            </w:r>
          </w:p>
          <w:p w14:paraId="3BCF3C0F" w14:textId="77777777" w:rsidR="00547C5B" w:rsidRPr="008A26D2" w:rsidRDefault="00547C5B" w:rsidP="00547C5B">
            <w:pPr>
              <w:pStyle w:val="Prrafodelista"/>
              <w:numPr>
                <w:ilvl w:val="0"/>
                <w:numId w:val="5"/>
              </w:num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lastRenderedPageBreak/>
              <w:t>Orientaciones para el uso de una hoja de ruta en la búsqueda de financiamiento en restauración.</w:t>
            </w:r>
          </w:p>
          <w:p w14:paraId="183FDACD" w14:textId="77777777" w:rsidR="00547C5B" w:rsidRPr="008A26D2" w:rsidRDefault="00547C5B" w:rsidP="00547C5B">
            <w:pPr>
              <w:pStyle w:val="Prrafodelista"/>
              <w:numPr>
                <w:ilvl w:val="0"/>
                <w:numId w:val="5"/>
              </w:num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Consideraciones para el monitoreo de proyectos e iniciativas de restauración.</w:t>
            </w:r>
          </w:p>
          <w:p w14:paraId="64B9ABA9" w14:textId="77777777" w:rsidR="00547C5B" w:rsidRPr="008A26D2" w:rsidRDefault="00547C5B" w:rsidP="00547C5B">
            <w:pPr>
              <w:pStyle w:val="Prrafodelista"/>
              <w:numPr>
                <w:ilvl w:val="0"/>
                <w:numId w:val="5"/>
              </w:num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Consideraciones para el proceso monitoreo de la restauración.</w:t>
            </w:r>
          </w:p>
          <w:p w14:paraId="41FB4D48" w14:textId="77777777" w:rsidR="00547C5B" w:rsidRPr="008A26D2" w:rsidRDefault="00547C5B" w:rsidP="00547C5B">
            <w:pPr>
              <w:pStyle w:val="Prrafodelista"/>
              <w:numPr>
                <w:ilvl w:val="0"/>
                <w:numId w:val="5"/>
              </w:num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Implementación de una plataforma de información en restauración.</w:t>
            </w:r>
          </w:p>
          <w:p w14:paraId="60D0A9A8" w14:textId="77777777" w:rsidR="00547C5B" w:rsidRPr="008A26D2" w:rsidRDefault="00547C5B" w:rsidP="00547C5B">
            <w:pPr>
              <w:pStyle w:val="Prrafodelista"/>
              <w:pBdr>
                <w:top w:val="nil"/>
                <w:left w:val="nil"/>
                <w:bottom w:val="nil"/>
                <w:right w:val="nil"/>
                <w:between w:val="nil"/>
              </w:pBdr>
              <w:spacing w:after="0" w:line="240" w:lineRule="auto"/>
              <w:jc w:val="both"/>
              <w:rPr>
                <w:rFonts w:ascii="Arial" w:eastAsia="Arial Narrow" w:hAnsi="Arial" w:cs="Arial"/>
                <w:sz w:val="20"/>
                <w:szCs w:val="20"/>
              </w:rPr>
            </w:pPr>
          </w:p>
          <w:p w14:paraId="40097E74" w14:textId="2B93AD4D" w:rsidR="00547C5B" w:rsidRPr="008A26D2" w:rsidRDefault="00547C5B" w:rsidP="00547C5B">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El servicio es de tipo mejorado en la medida que busca promover el uso de los instrumentos disponibles para la gestión en restauración, priorizar la formulación de proyectos en restauración que atiendan la brecha del indicador: “Porcentaje de superficie de ecosistema forestal degradado que requiere de restauración”, aprobado por el Ministerio de Desarrollo Agrario y Riego; concientizar a la comunidades beneficiarias de la restauración sobre la importancia de restaurar sus ecosistemas para fortalecer los procesos de sostenibilidad de la iniciativas y/o proyectos de restauración; mejorar el conocimiento para la conexión con fuentes de financiamiento que promuevan iniciativas de restauración; así como, mejorar el conocimiento sobre la restauración mediante investigaciones aplicadas; promover espacios de articulación en donde se establezcan condiciones favorables y sinergias para la potenciación de la restauración a mayor escala.</w:t>
            </w:r>
          </w:p>
          <w:p w14:paraId="4744FB9C" w14:textId="77777777" w:rsidR="00547C5B" w:rsidRPr="008A26D2" w:rsidRDefault="00547C5B" w:rsidP="00547C5B">
            <w:pPr>
              <w:pBdr>
                <w:top w:val="nil"/>
                <w:left w:val="nil"/>
                <w:bottom w:val="nil"/>
                <w:right w:val="nil"/>
                <w:between w:val="nil"/>
              </w:pBdr>
              <w:spacing w:after="0" w:line="240" w:lineRule="auto"/>
              <w:jc w:val="both"/>
              <w:rPr>
                <w:rFonts w:ascii="Arial" w:eastAsia="Arial Narrow" w:hAnsi="Arial" w:cs="Arial"/>
                <w:sz w:val="20"/>
                <w:szCs w:val="20"/>
              </w:rPr>
            </w:pPr>
          </w:p>
          <w:p w14:paraId="3C7576D9" w14:textId="77777777" w:rsidR="00547C5B" w:rsidRPr="008A26D2" w:rsidRDefault="00547C5B" w:rsidP="00547C5B">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El servicio como parte de la mejora tomara en cuenta el enfoque de género, enfoque intergeneracional y la interculturalidad.</w:t>
            </w:r>
          </w:p>
          <w:p w14:paraId="015D413F" w14:textId="77777777" w:rsidR="00547C5B" w:rsidRPr="008A26D2" w:rsidRDefault="00547C5B" w:rsidP="00547C5B">
            <w:pPr>
              <w:pBdr>
                <w:top w:val="nil"/>
                <w:left w:val="nil"/>
                <w:bottom w:val="nil"/>
                <w:right w:val="nil"/>
                <w:between w:val="nil"/>
              </w:pBdr>
              <w:spacing w:after="0" w:line="240" w:lineRule="auto"/>
              <w:jc w:val="both"/>
              <w:rPr>
                <w:rFonts w:ascii="Arial" w:eastAsia="Arial Narrow" w:hAnsi="Arial" w:cs="Arial"/>
                <w:sz w:val="20"/>
                <w:szCs w:val="20"/>
              </w:rPr>
            </w:pPr>
          </w:p>
        </w:tc>
      </w:tr>
      <w:tr w:rsidR="008A26D2" w:rsidRPr="008A26D2" w14:paraId="626A08B6" w14:textId="77777777" w:rsidTr="00B17E3F">
        <w:trPr>
          <w:trHeight w:val="300"/>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4EF6741" w14:textId="77777777" w:rsidR="00547C5B" w:rsidRPr="008A26D2" w:rsidRDefault="00547C5B" w:rsidP="00547C5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lastRenderedPageBreak/>
              <w:t xml:space="preserve"> Proveedor del servicio</w:t>
            </w:r>
          </w:p>
        </w:tc>
        <w:tc>
          <w:tcPr>
            <w:tcW w:w="594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F58F2DF" w14:textId="77777777" w:rsidR="00547C5B" w:rsidRPr="008A26D2" w:rsidRDefault="00547C5B" w:rsidP="00547C5B">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Servicio Nacional Forestal y de Fauna Silvestre - SERFOR</w:t>
            </w:r>
          </w:p>
        </w:tc>
      </w:tr>
      <w:tr w:rsidR="008A26D2" w:rsidRPr="008A26D2" w14:paraId="190A038B" w14:textId="77777777" w:rsidTr="00C10134">
        <w:trPr>
          <w:trHeight w:val="458"/>
          <w:jc w:val="center"/>
        </w:trPr>
        <w:tc>
          <w:tcPr>
            <w:tcW w:w="2410" w:type="dxa"/>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4442FAB9" w14:textId="77777777" w:rsidR="00547C5B" w:rsidRPr="008A26D2" w:rsidRDefault="00547C5B" w:rsidP="004D58E2">
            <w:pPr>
              <w:spacing w:after="0" w:line="240" w:lineRule="auto"/>
              <w:rPr>
                <w:rFonts w:ascii="Arial" w:hAnsi="Arial" w:cs="Arial"/>
                <w:b/>
                <w:sz w:val="20"/>
                <w:szCs w:val="20"/>
              </w:rPr>
            </w:pPr>
            <w:r w:rsidRPr="008A26D2">
              <w:rPr>
                <w:rFonts w:ascii="Arial" w:hAnsi="Arial" w:cs="Arial"/>
                <w:b/>
                <w:sz w:val="20"/>
                <w:szCs w:val="20"/>
              </w:rPr>
              <w:t>Nivel (es) de gobierno que interviene</w:t>
            </w:r>
          </w:p>
          <w:p w14:paraId="4A258653" w14:textId="589958E8" w:rsidR="00547C5B" w:rsidRPr="008A26D2" w:rsidRDefault="00547C5B" w:rsidP="00547C5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(n) en la provisión del servicio</w:t>
            </w:r>
          </w:p>
        </w:tc>
        <w:tc>
          <w:tcPr>
            <w:tcW w:w="1983"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2D838B4F" w14:textId="6E3D9DFC" w:rsidR="00547C5B" w:rsidRPr="008A26D2" w:rsidRDefault="00547C5B" w:rsidP="000C49B7">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Nacional</w:t>
            </w:r>
          </w:p>
        </w:tc>
        <w:tc>
          <w:tcPr>
            <w:tcW w:w="1983" w:type="dxa"/>
            <w:tcBorders>
              <w:top w:val="single" w:sz="4" w:space="0" w:color="000000"/>
              <w:left w:val="single" w:sz="4" w:space="0" w:color="000000"/>
              <w:right w:val="single" w:sz="4" w:space="0" w:color="000000"/>
            </w:tcBorders>
            <w:shd w:val="clear" w:color="auto" w:fill="auto"/>
            <w:vAlign w:val="center"/>
          </w:tcPr>
          <w:p w14:paraId="2A842E0B" w14:textId="4CE2C45B" w:rsidR="00547C5B" w:rsidRPr="008A26D2" w:rsidRDefault="00547C5B" w:rsidP="000C49B7">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Regional</w:t>
            </w:r>
          </w:p>
        </w:tc>
        <w:tc>
          <w:tcPr>
            <w:tcW w:w="1983" w:type="dxa"/>
            <w:tcBorders>
              <w:top w:val="single" w:sz="4" w:space="0" w:color="000000"/>
              <w:left w:val="single" w:sz="4" w:space="0" w:color="000000"/>
              <w:right w:val="single" w:sz="4" w:space="0" w:color="000000"/>
            </w:tcBorders>
            <w:shd w:val="clear" w:color="auto" w:fill="auto"/>
            <w:vAlign w:val="center"/>
          </w:tcPr>
          <w:p w14:paraId="1C9EF42C" w14:textId="3293C1FB" w:rsidR="00547C5B" w:rsidRPr="008A26D2" w:rsidRDefault="00547C5B" w:rsidP="000C49B7">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Local</w:t>
            </w:r>
          </w:p>
        </w:tc>
      </w:tr>
      <w:tr w:rsidR="008A26D2" w:rsidRPr="008A26D2" w14:paraId="2D1E45A2" w14:textId="77777777" w:rsidTr="00C10134">
        <w:trPr>
          <w:trHeight w:val="457"/>
          <w:jc w:val="center"/>
        </w:trPr>
        <w:tc>
          <w:tcPr>
            <w:tcW w:w="2410" w:type="dxa"/>
            <w:vMerge/>
            <w:tcBorders>
              <w:left w:val="single" w:sz="4" w:space="0" w:color="000000"/>
              <w:right w:val="single" w:sz="4" w:space="0" w:color="000000"/>
            </w:tcBorders>
            <w:shd w:val="clear" w:color="auto" w:fill="auto"/>
            <w:tcMar>
              <w:top w:w="15" w:type="dxa"/>
              <w:left w:w="15" w:type="dxa"/>
              <w:bottom w:w="0" w:type="dxa"/>
              <w:right w:w="15" w:type="dxa"/>
            </w:tcMar>
            <w:vAlign w:val="center"/>
          </w:tcPr>
          <w:p w14:paraId="700A7DD8" w14:textId="77777777" w:rsidR="00547C5B" w:rsidRPr="008A26D2" w:rsidRDefault="00547C5B" w:rsidP="00547C5B">
            <w:pPr>
              <w:spacing w:after="0" w:line="240" w:lineRule="auto"/>
              <w:rPr>
                <w:rFonts w:ascii="Arial" w:hAnsi="Arial" w:cs="Arial"/>
                <w:b/>
                <w:sz w:val="20"/>
                <w:szCs w:val="20"/>
              </w:rPr>
            </w:pPr>
          </w:p>
        </w:tc>
        <w:tc>
          <w:tcPr>
            <w:tcW w:w="1983"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7682BABE" w14:textId="0BE03CDB" w:rsidR="00547C5B" w:rsidRPr="008A26D2" w:rsidRDefault="001954F3" w:rsidP="000C49B7">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X</w:t>
            </w:r>
          </w:p>
        </w:tc>
        <w:tc>
          <w:tcPr>
            <w:tcW w:w="1983" w:type="dxa"/>
            <w:tcBorders>
              <w:top w:val="single" w:sz="4" w:space="0" w:color="000000"/>
              <w:left w:val="single" w:sz="4" w:space="0" w:color="000000"/>
              <w:right w:val="single" w:sz="4" w:space="0" w:color="000000"/>
            </w:tcBorders>
            <w:shd w:val="clear" w:color="auto" w:fill="auto"/>
            <w:vAlign w:val="center"/>
          </w:tcPr>
          <w:p w14:paraId="104314E5" w14:textId="77777777" w:rsidR="00547C5B" w:rsidRPr="008A26D2" w:rsidRDefault="00547C5B" w:rsidP="000C49B7">
            <w:pPr>
              <w:pBdr>
                <w:top w:val="nil"/>
                <w:left w:val="nil"/>
                <w:bottom w:val="nil"/>
                <w:right w:val="nil"/>
                <w:between w:val="nil"/>
              </w:pBdr>
              <w:spacing w:after="0" w:line="240" w:lineRule="auto"/>
              <w:jc w:val="center"/>
              <w:rPr>
                <w:rFonts w:ascii="Arial" w:eastAsia="Arial Narrow" w:hAnsi="Arial" w:cs="Arial"/>
                <w:sz w:val="20"/>
                <w:szCs w:val="20"/>
              </w:rPr>
            </w:pPr>
          </w:p>
        </w:tc>
        <w:tc>
          <w:tcPr>
            <w:tcW w:w="1983" w:type="dxa"/>
            <w:tcBorders>
              <w:top w:val="single" w:sz="4" w:space="0" w:color="000000"/>
              <w:left w:val="single" w:sz="4" w:space="0" w:color="000000"/>
              <w:right w:val="single" w:sz="4" w:space="0" w:color="000000"/>
            </w:tcBorders>
            <w:shd w:val="clear" w:color="auto" w:fill="auto"/>
            <w:vAlign w:val="center"/>
          </w:tcPr>
          <w:p w14:paraId="5D8AB3BD" w14:textId="5BCD8561" w:rsidR="00547C5B" w:rsidRPr="008A26D2" w:rsidRDefault="00547C5B" w:rsidP="000C49B7">
            <w:pPr>
              <w:pBdr>
                <w:top w:val="nil"/>
                <w:left w:val="nil"/>
                <w:bottom w:val="nil"/>
                <w:right w:val="nil"/>
                <w:between w:val="nil"/>
              </w:pBdr>
              <w:spacing w:after="0" w:line="240" w:lineRule="auto"/>
              <w:jc w:val="center"/>
              <w:rPr>
                <w:rFonts w:ascii="Arial" w:eastAsia="Arial Narrow" w:hAnsi="Arial" w:cs="Arial"/>
                <w:sz w:val="20"/>
                <w:szCs w:val="20"/>
              </w:rPr>
            </w:pPr>
          </w:p>
        </w:tc>
      </w:tr>
      <w:tr w:rsidR="008A26D2" w:rsidRPr="008A26D2" w14:paraId="3C520DEE" w14:textId="77777777" w:rsidTr="00B17E3F">
        <w:trPr>
          <w:trHeight w:val="300"/>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8DD14B2" w14:textId="77777777" w:rsidR="00547C5B" w:rsidRPr="008A26D2" w:rsidRDefault="00547C5B" w:rsidP="00547C5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Receptor del servicio</w:t>
            </w:r>
          </w:p>
        </w:tc>
        <w:tc>
          <w:tcPr>
            <w:tcW w:w="594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46FBDB0" w14:textId="34B57ACB" w:rsidR="00547C5B" w:rsidRPr="008A26D2" w:rsidRDefault="00547C5B" w:rsidP="00547C5B">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Gobierno regional, gobierno local y usuarios forestales y de fauna silvestre</w:t>
            </w:r>
          </w:p>
          <w:p w14:paraId="7DCCFEA5" w14:textId="77777777" w:rsidR="00547C5B" w:rsidRPr="008A26D2" w:rsidRDefault="00547C5B" w:rsidP="00547C5B">
            <w:pPr>
              <w:pBdr>
                <w:top w:val="nil"/>
                <w:left w:val="nil"/>
                <w:bottom w:val="nil"/>
                <w:right w:val="nil"/>
                <w:between w:val="nil"/>
              </w:pBdr>
              <w:spacing w:after="0" w:line="240" w:lineRule="auto"/>
              <w:jc w:val="both"/>
              <w:rPr>
                <w:rFonts w:ascii="Arial" w:eastAsia="Arial Narrow" w:hAnsi="Arial" w:cs="Arial"/>
                <w:sz w:val="20"/>
                <w:szCs w:val="20"/>
              </w:rPr>
            </w:pPr>
          </w:p>
        </w:tc>
      </w:tr>
      <w:tr w:rsidR="008A26D2" w:rsidRPr="008A26D2" w14:paraId="3B833386" w14:textId="77777777" w:rsidTr="00B17E3F">
        <w:trPr>
          <w:trHeight w:val="211"/>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2ED4565" w14:textId="77777777" w:rsidR="00547C5B" w:rsidRPr="008A26D2" w:rsidRDefault="00547C5B" w:rsidP="00547C5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Alcance del servicio </w:t>
            </w:r>
          </w:p>
        </w:tc>
        <w:tc>
          <w:tcPr>
            <w:tcW w:w="594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38BF6AD" w14:textId="77777777" w:rsidR="00547C5B" w:rsidRPr="008A26D2" w:rsidRDefault="00547C5B" w:rsidP="00547C5B">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Nacional</w:t>
            </w:r>
          </w:p>
        </w:tc>
      </w:tr>
      <w:tr w:rsidR="008A26D2" w:rsidRPr="008A26D2" w14:paraId="7E7C7B2F" w14:textId="77777777" w:rsidTr="00B17E3F">
        <w:trPr>
          <w:trHeight w:val="62"/>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35C6C01" w14:textId="77777777" w:rsidR="00547C5B" w:rsidRPr="008A26D2" w:rsidRDefault="00547C5B" w:rsidP="00547C5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Estándar (es) de cumplimiento</w:t>
            </w:r>
          </w:p>
        </w:tc>
        <w:tc>
          <w:tcPr>
            <w:tcW w:w="594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7BA83169" w14:textId="77777777" w:rsidR="00547C5B" w:rsidRPr="008A26D2" w:rsidRDefault="00547C5B" w:rsidP="00547C5B">
            <w:pPr>
              <w:pBdr>
                <w:top w:val="nil"/>
                <w:left w:val="nil"/>
                <w:bottom w:val="nil"/>
                <w:right w:val="nil"/>
                <w:between w:val="nil"/>
              </w:pBdr>
              <w:spacing w:after="0" w:line="240" w:lineRule="auto"/>
              <w:rPr>
                <w:rFonts w:ascii="Arial" w:hAnsi="Arial" w:cs="Arial"/>
                <w:sz w:val="20"/>
                <w:szCs w:val="20"/>
              </w:rPr>
            </w:pPr>
            <w:r w:rsidRPr="008A26D2">
              <w:rPr>
                <w:rFonts w:ascii="Arial" w:hAnsi="Arial" w:cs="Arial"/>
                <w:sz w:val="20"/>
                <w:szCs w:val="20"/>
              </w:rPr>
              <w:t>Percepción</w:t>
            </w:r>
          </w:p>
        </w:tc>
      </w:tr>
      <w:tr w:rsidR="008A26D2" w:rsidRPr="008A26D2" w14:paraId="3F0348EA" w14:textId="77777777" w:rsidTr="00B17E3F">
        <w:trPr>
          <w:trHeight w:val="300"/>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88EA59A" w14:textId="77777777" w:rsidR="00547C5B" w:rsidRPr="008A26D2" w:rsidRDefault="00547C5B" w:rsidP="00547C5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Descripción del estándar</w:t>
            </w:r>
          </w:p>
        </w:tc>
        <w:tc>
          <w:tcPr>
            <w:tcW w:w="594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35" w:type="dxa"/>
              <w:bottom w:w="0" w:type="dxa"/>
              <w:right w:w="15" w:type="dxa"/>
            </w:tcMar>
            <w:vAlign w:val="center"/>
          </w:tcPr>
          <w:p w14:paraId="6373AB3B" w14:textId="536A514F" w:rsidR="00547C5B" w:rsidRPr="008A26D2" w:rsidRDefault="00547C5B" w:rsidP="00547C5B">
            <w:pPr>
              <w:pBdr>
                <w:top w:val="nil"/>
                <w:left w:val="nil"/>
                <w:bottom w:val="nil"/>
                <w:right w:val="nil"/>
                <w:between w:val="nil"/>
              </w:pBdr>
              <w:spacing w:after="0" w:line="240" w:lineRule="auto"/>
              <w:jc w:val="both"/>
              <w:rPr>
                <w:rFonts w:ascii="Arial" w:eastAsia="Arial Narrow" w:hAnsi="Arial" w:cs="Arial"/>
                <w:sz w:val="20"/>
                <w:szCs w:val="20"/>
                <w:lang w:val="es-ES"/>
              </w:rPr>
            </w:pPr>
            <w:r w:rsidRPr="008A26D2">
              <w:rPr>
                <w:rFonts w:ascii="Arial" w:eastAsia="Times New Roman" w:hAnsi="Arial" w:cs="Arial"/>
                <w:sz w:val="20"/>
                <w:szCs w:val="20"/>
                <w:lang w:val="es-ES"/>
              </w:rPr>
              <w:t xml:space="preserve">El estándar del servicio es de percepción debido a que éste satisface las expectativas de asistencia técnica y </w:t>
            </w:r>
            <w:r w:rsidRPr="008A26D2">
              <w:rPr>
                <w:rFonts w:ascii="Arial" w:eastAsia="Arial Narrow" w:hAnsi="Arial" w:cs="Arial"/>
                <w:sz w:val="20"/>
                <w:szCs w:val="20"/>
              </w:rPr>
              <w:t>capacitación</w:t>
            </w:r>
            <w:r w:rsidRPr="008A26D2">
              <w:rPr>
                <w:rFonts w:ascii="Arial" w:eastAsia="Times New Roman" w:hAnsi="Arial" w:cs="Arial"/>
                <w:sz w:val="20"/>
                <w:szCs w:val="20"/>
                <w:lang w:val="es-ES"/>
              </w:rPr>
              <w:t xml:space="preserve"> </w:t>
            </w:r>
            <w:r w:rsidRPr="008A26D2">
              <w:rPr>
                <w:rFonts w:ascii="Arial" w:eastAsia="Arial Narrow" w:hAnsi="Arial" w:cs="Arial"/>
                <w:sz w:val="20"/>
                <w:szCs w:val="20"/>
              </w:rPr>
              <w:t>en materia de restauración de ecosistemas forestales y otros ecosistemas de vegetación silvestre</w:t>
            </w:r>
            <w:r w:rsidRPr="008A26D2">
              <w:rPr>
                <w:rFonts w:ascii="Arial" w:eastAsia="Times New Roman" w:hAnsi="Arial" w:cs="Arial"/>
                <w:sz w:val="20"/>
                <w:szCs w:val="20"/>
                <w:lang w:val="es-ES"/>
              </w:rPr>
              <w:t xml:space="preserve"> de </w:t>
            </w:r>
            <w:r w:rsidRPr="008A26D2">
              <w:rPr>
                <w:rFonts w:ascii="Arial" w:eastAsia="Arial Narrow" w:hAnsi="Arial" w:cs="Arial"/>
                <w:sz w:val="20"/>
                <w:szCs w:val="20"/>
              </w:rPr>
              <w:t>los gobiernos regionales, gobiernos locales y usuarios forestales y de fauna silvestre</w:t>
            </w:r>
            <w:r w:rsidRPr="008A26D2">
              <w:rPr>
                <w:rFonts w:ascii="Arial" w:eastAsia="Times New Roman" w:hAnsi="Arial" w:cs="Arial"/>
                <w:sz w:val="20"/>
                <w:szCs w:val="20"/>
                <w:lang w:val="es-ES"/>
              </w:rPr>
              <w:t>.</w:t>
            </w:r>
          </w:p>
          <w:p w14:paraId="677CEFAA" w14:textId="77777777" w:rsidR="00547C5B" w:rsidRPr="008A26D2" w:rsidRDefault="00547C5B" w:rsidP="00547C5B">
            <w:pPr>
              <w:pBdr>
                <w:top w:val="nil"/>
                <w:left w:val="nil"/>
                <w:bottom w:val="nil"/>
                <w:right w:val="nil"/>
                <w:between w:val="nil"/>
              </w:pBdr>
              <w:spacing w:after="0" w:line="240" w:lineRule="auto"/>
              <w:jc w:val="both"/>
              <w:rPr>
                <w:rFonts w:ascii="Arial" w:hAnsi="Arial" w:cs="Arial"/>
                <w:sz w:val="20"/>
                <w:szCs w:val="20"/>
              </w:rPr>
            </w:pPr>
          </w:p>
        </w:tc>
      </w:tr>
      <w:tr w:rsidR="00547C5B" w:rsidRPr="008A26D2" w14:paraId="29D28F7B" w14:textId="77777777" w:rsidTr="00B17E3F">
        <w:trPr>
          <w:trHeight w:val="491"/>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C111205" w14:textId="77777777" w:rsidR="00547C5B" w:rsidRPr="008A26D2" w:rsidRDefault="00547C5B" w:rsidP="00547C5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Indicador </w:t>
            </w:r>
          </w:p>
        </w:tc>
        <w:tc>
          <w:tcPr>
            <w:tcW w:w="594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35ED41ED" w14:textId="77777777" w:rsidR="00547C5B" w:rsidRPr="008A26D2" w:rsidRDefault="00547C5B" w:rsidP="00547C5B">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Times New Roman" w:hAnsi="Arial" w:cs="Arial"/>
                <w:sz w:val="20"/>
                <w:szCs w:val="20"/>
                <w:lang w:val="es-ES"/>
              </w:rPr>
              <w:t xml:space="preserve">Porcentaje de personas con alto grado de satisfacción sobre la asistencia técnica y </w:t>
            </w:r>
            <w:r w:rsidRPr="008A26D2">
              <w:rPr>
                <w:rFonts w:ascii="Arial" w:eastAsia="Arial Narrow" w:hAnsi="Arial" w:cs="Arial"/>
                <w:sz w:val="20"/>
                <w:szCs w:val="20"/>
              </w:rPr>
              <w:t>capacitación</w:t>
            </w:r>
            <w:r w:rsidRPr="008A26D2">
              <w:rPr>
                <w:rFonts w:ascii="Arial" w:eastAsia="Times New Roman" w:hAnsi="Arial" w:cs="Arial"/>
                <w:sz w:val="20"/>
                <w:szCs w:val="20"/>
                <w:lang w:val="es-ES"/>
              </w:rPr>
              <w:t xml:space="preserve"> recibida </w:t>
            </w:r>
            <w:r w:rsidRPr="008A26D2">
              <w:rPr>
                <w:rFonts w:ascii="Arial" w:eastAsia="Arial Narrow" w:hAnsi="Arial" w:cs="Arial"/>
                <w:sz w:val="20"/>
                <w:szCs w:val="20"/>
              </w:rPr>
              <w:t>en materia de restauración de ecosistemas forestales y otros ecosistemas de vegetación silvestre</w:t>
            </w:r>
          </w:p>
          <w:p w14:paraId="6A070187" w14:textId="77777777" w:rsidR="00547C5B" w:rsidRPr="008A26D2" w:rsidRDefault="00547C5B" w:rsidP="00547C5B">
            <w:pPr>
              <w:pBdr>
                <w:top w:val="nil"/>
                <w:left w:val="nil"/>
                <w:bottom w:val="nil"/>
                <w:right w:val="nil"/>
                <w:between w:val="nil"/>
              </w:pBdr>
              <w:spacing w:after="0" w:line="240" w:lineRule="auto"/>
              <w:jc w:val="both"/>
              <w:rPr>
                <w:rFonts w:ascii="Arial" w:hAnsi="Arial" w:cs="Arial"/>
                <w:strike/>
                <w:sz w:val="20"/>
                <w:szCs w:val="20"/>
              </w:rPr>
            </w:pPr>
          </w:p>
        </w:tc>
      </w:tr>
    </w:tbl>
    <w:p w14:paraId="71A12878" w14:textId="77777777" w:rsidR="00F125FC" w:rsidRPr="008A26D2" w:rsidRDefault="00F125FC" w:rsidP="000D1705">
      <w:pPr>
        <w:tabs>
          <w:tab w:val="left" w:pos="3375"/>
        </w:tabs>
        <w:rPr>
          <w:rFonts w:ascii="Arial Narrow" w:eastAsia="Arial Narrow" w:hAnsi="Arial Narrow" w:cs="Arial Narrow"/>
          <w:b/>
        </w:rPr>
      </w:pPr>
    </w:p>
    <w:p w14:paraId="008911A1" w14:textId="2576005E" w:rsidR="006F4C42" w:rsidRPr="008A26D2" w:rsidRDefault="006F4C42" w:rsidP="000D1705">
      <w:pPr>
        <w:tabs>
          <w:tab w:val="left" w:pos="3375"/>
        </w:tabs>
        <w:rPr>
          <w:rFonts w:ascii="Arial Narrow" w:eastAsia="Arial Narrow" w:hAnsi="Arial Narrow" w:cs="Arial Narrow"/>
          <w:b/>
        </w:rPr>
      </w:pPr>
    </w:p>
    <w:p w14:paraId="3AF8D670" w14:textId="7747662E" w:rsidR="006F4C42" w:rsidRPr="008A26D2" w:rsidRDefault="006F4C42">
      <w:pPr>
        <w:rPr>
          <w:rFonts w:ascii="Arial Narrow" w:eastAsia="Arial Narrow" w:hAnsi="Arial Narrow" w:cs="Arial Narrow"/>
          <w:b/>
        </w:rPr>
      </w:pPr>
      <w:r w:rsidRPr="008A26D2">
        <w:rPr>
          <w:rFonts w:ascii="Arial Narrow" w:eastAsia="Arial Narrow" w:hAnsi="Arial Narrow" w:cs="Arial Narrow"/>
          <w:b/>
        </w:rPr>
        <w:br w:type="page"/>
      </w:r>
    </w:p>
    <w:p w14:paraId="5CEE973A" w14:textId="269716BE" w:rsidR="00F125FC" w:rsidRPr="008A26D2" w:rsidRDefault="00F125FC" w:rsidP="00F125FC">
      <w:pPr>
        <w:pBdr>
          <w:top w:val="nil"/>
          <w:left w:val="nil"/>
          <w:bottom w:val="nil"/>
          <w:right w:val="nil"/>
          <w:between w:val="nil"/>
        </w:pBdr>
        <w:spacing w:after="0" w:line="240" w:lineRule="auto"/>
        <w:jc w:val="both"/>
        <w:rPr>
          <w:rFonts w:ascii="Arial" w:eastAsia="Arial Narrow" w:hAnsi="Arial" w:cs="Arial"/>
        </w:rPr>
      </w:pPr>
      <w:r w:rsidRPr="008A26D2">
        <w:rPr>
          <w:rFonts w:ascii="Arial" w:eastAsia="Arial Narrow" w:hAnsi="Arial" w:cs="Arial"/>
          <w:b/>
          <w:bCs/>
        </w:rPr>
        <w:lastRenderedPageBreak/>
        <w:t>S1.3.</w:t>
      </w:r>
      <w:r w:rsidR="00752F74" w:rsidRPr="008A26D2">
        <w:rPr>
          <w:rFonts w:ascii="Arial" w:eastAsia="Arial Narrow" w:hAnsi="Arial" w:cs="Arial"/>
          <w:b/>
          <w:bCs/>
        </w:rPr>
        <w:t>3</w:t>
      </w:r>
      <w:r w:rsidRPr="008A26D2">
        <w:rPr>
          <w:rFonts w:ascii="Arial" w:eastAsia="Arial Narrow" w:hAnsi="Arial" w:cs="Arial"/>
        </w:rPr>
        <w:t xml:space="preserve"> </w:t>
      </w:r>
      <w:r w:rsidR="000C49B7" w:rsidRPr="008A26D2">
        <w:rPr>
          <w:rFonts w:ascii="Arial" w:eastAsia="Arial Narrow" w:hAnsi="Arial" w:cs="Arial"/>
          <w:sz w:val="20"/>
          <w:szCs w:val="20"/>
        </w:rPr>
        <w:t>Asistencia técnica para la formulación de proyectos de inversión pública destinados a la recuperación de áreas degradadas en zonas de influencia de cultivos ilícitos, mediante la reforestación, de forma pertinente a los gobiernos regionales y gobiernos locales</w:t>
      </w:r>
    </w:p>
    <w:p w14:paraId="0927F2FE" w14:textId="64E6537F" w:rsidR="006F4C42" w:rsidRPr="008A26D2" w:rsidRDefault="006F4C42" w:rsidP="000D1705">
      <w:pPr>
        <w:tabs>
          <w:tab w:val="left" w:pos="3375"/>
        </w:tabs>
        <w:rPr>
          <w:rFonts w:ascii="Arial Narrow" w:eastAsia="Arial Narrow" w:hAnsi="Arial Narrow" w:cs="Arial Narrow"/>
          <w:b/>
        </w:rPr>
      </w:pPr>
    </w:p>
    <w:tbl>
      <w:tblPr>
        <w:tblW w:w="8784" w:type="dxa"/>
        <w:jc w:val="center"/>
        <w:tblLayout w:type="fixed"/>
        <w:tblLook w:val="0600" w:firstRow="0" w:lastRow="0" w:firstColumn="0" w:lastColumn="0" w:noHBand="1" w:noVBand="1"/>
      </w:tblPr>
      <w:tblGrid>
        <w:gridCol w:w="2308"/>
        <w:gridCol w:w="2158"/>
        <w:gridCol w:w="2159"/>
        <w:gridCol w:w="2159"/>
      </w:tblGrid>
      <w:tr w:rsidR="008A26D2" w:rsidRPr="008A26D2" w14:paraId="0653F000" w14:textId="77777777" w:rsidTr="00C8135D">
        <w:trPr>
          <w:trHeight w:val="302"/>
          <w:jc w:val="center"/>
        </w:trPr>
        <w:tc>
          <w:tcPr>
            <w:tcW w:w="8784"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center"/>
          </w:tcPr>
          <w:p w14:paraId="3968D8DA" w14:textId="0022D9F0" w:rsidR="00F125FC" w:rsidRPr="008A26D2" w:rsidRDefault="00F125FC" w:rsidP="0072651A">
            <w:pPr>
              <w:jc w:val="center"/>
              <w:rPr>
                <w:rFonts w:ascii="Arial" w:hAnsi="Arial" w:cs="Arial"/>
                <w:sz w:val="20"/>
                <w:szCs w:val="20"/>
              </w:rPr>
            </w:pPr>
            <w:r w:rsidRPr="008A26D2">
              <w:rPr>
                <w:rFonts w:ascii="Arial" w:hAnsi="Arial" w:cs="Arial"/>
              </w:rPr>
              <w:br w:type="page"/>
            </w:r>
            <w:r w:rsidRPr="008A26D2">
              <w:rPr>
                <w:rFonts w:ascii="Arial" w:hAnsi="Arial" w:cs="Arial"/>
                <w:b/>
                <w:sz w:val="20"/>
                <w:szCs w:val="20"/>
              </w:rPr>
              <w:t xml:space="preserve">FICHA DEL SERVICIO </w:t>
            </w:r>
          </w:p>
        </w:tc>
      </w:tr>
      <w:tr w:rsidR="008A26D2" w:rsidRPr="008A26D2" w14:paraId="500CB17E" w14:textId="77777777" w:rsidTr="00C8135D">
        <w:trPr>
          <w:trHeight w:val="302"/>
          <w:jc w:val="center"/>
        </w:trPr>
        <w:tc>
          <w:tcPr>
            <w:tcW w:w="23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D2AEA71" w14:textId="77777777" w:rsidR="00F125FC" w:rsidRPr="008A26D2" w:rsidRDefault="00F125FC"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Objetivo prioritario:</w:t>
            </w:r>
          </w:p>
        </w:tc>
        <w:tc>
          <w:tcPr>
            <w:tcW w:w="647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270E4F7" w14:textId="77777777" w:rsidR="00F125FC" w:rsidRPr="008A26D2" w:rsidRDefault="00F125FC" w:rsidP="0072651A">
            <w:pPr>
              <w:pBdr>
                <w:top w:val="nil"/>
                <w:left w:val="nil"/>
                <w:bottom w:val="nil"/>
                <w:right w:val="nil"/>
                <w:between w:val="nil"/>
              </w:pBdr>
              <w:spacing w:after="0" w:line="240" w:lineRule="auto"/>
              <w:jc w:val="both"/>
              <w:rPr>
                <w:rFonts w:ascii="Arial" w:hAnsi="Arial" w:cs="Arial"/>
                <w:sz w:val="20"/>
                <w:szCs w:val="20"/>
              </w:rPr>
            </w:pPr>
            <w:r w:rsidRPr="008A26D2">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r>
      <w:tr w:rsidR="008A26D2" w:rsidRPr="008A26D2" w14:paraId="01307341" w14:textId="77777777" w:rsidTr="00C8135D">
        <w:trPr>
          <w:trHeight w:val="302"/>
          <w:jc w:val="center"/>
        </w:trPr>
        <w:tc>
          <w:tcPr>
            <w:tcW w:w="23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2021FD8" w14:textId="77777777" w:rsidR="00F125FC" w:rsidRPr="008A26D2" w:rsidRDefault="00F125FC"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Lineamiento:</w:t>
            </w:r>
          </w:p>
        </w:tc>
        <w:tc>
          <w:tcPr>
            <w:tcW w:w="647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68C589D" w14:textId="77777777" w:rsidR="00F125FC" w:rsidRPr="008A26D2" w:rsidRDefault="00F125FC" w:rsidP="0072651A">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L1.3 Desarrollar estrategias de restauración y recuperación de los ecosistemas forestales y otros ecosistemas de vegetación silvestre deforestados o degradados</w:t>
            </w:r>
          </w:p>
        </w:tc>
      </w:tr>
      <w:tr w:rsidR="008A26D2" w:rsidRPr="008A26D2" w14:paraId="3BF4DC16" w14:textId="77777777" w:rsidTr="00C8135D">
        <w:trPr>
          <w:trHeight w:val="302"/>
          <w:jc w:val="center"/>
        </w:trPr>
        <w:tc>
          <w:tcPr>
            <w:tcW w:w="23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AC22D9A" w14:textId="77777777" w:rsidR="00F125FC" w:rsidRPr="008A26D2" w:rsidRDefault="00F125FC"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Nombre del servicio:</w:t>
            </w:r>
          </w:p>
        </w:tc>
        <w:tc>
          <w:tcPr>
            <w:tcW w:w="647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962B4B4" w14:textId="085B088E" w:rsidR="00F125FC" w:rsidRPr="008A26D2" w:rsidRDefault="00F125FC" w:rsidP="0072651A">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S1.3.</w:t>
            </w:r>
            <w:r w:rsidR="00DE6AD0" w:rsidRPr="008A26D2">
              <w:rPr>
                <w:rFonts w:ascii="Arial" w:eastAsia="Arial Narrow" w:hAnsi="Arial" w:cs="Arial"/>
                <w:sz w:val="20"/>
                <w:szCs w:val="20"/>
              </w:rPr>
              <w:t>3</w:t>
            </w:r>
            <w:r w:rsidRPr="008A26D2">
              <w:rPr>
                <w:rFonts w:ascii="Arial" w:eastAsia="Arial Narrow" w:hAnsi="Arial" w:cs="Arial"/>
                <w:sz w:val="20"/>
                <w:szCs w:val="20"/>
              </w:rPr>
              <w:t xml:space="preserve"> Asistencia técnica para la formulación de proyectos de inversión pública destinados a la recuperación de áreas degradadas en zonas de influencia de cultivos ilícitos, mediante la reforestación, de forma pertinente a los </w:t>
            </w:r>
            <w:r w:rsidR="00524F08" w:rsidRPr="008A26D2">
              <w:rPr>
                <w:rFonts w:ascii="Arial" w:eastAsia="Arial Narrow" w:hAnsi="Arial" w:cs="Arial"/>
                <w:sz w:val="20"/>
                <w:szCs w:val="20"/>
              </w:rPr>
              <w:t>g</w:t>
            </w:r>
            <w:r w:rsidRPr="008A26D2">
              <w:rPr>
                <w:rFonts w:ascii="Arial" w:eastAsia="Arial Narrow" w:hAnsi="Arial" w:cs="Arial"/>
                <w:sz w:val="20"/>
                <w:szCs w:val="20"/>
              </w:rPr>
              <w:t xml:space="preserve">obiernos </w:t>
            </w:r>
            <w:r w:rsidR="00524F08" w:rsidRPr="008A26D2">
              <w:rPr>
                <w:rFonts w:ascii="Arial" w:eastAsia="Arial Narrow" w:hAnsi="Arial" w:cs="Arial"/>
                <w:sz w:val="20"/>
                <w:szCs w:val="20"/>
              </w:rPr>
              <w:t>r</w:t>
            </w:r>
            <w:r w:rsidRPr="008A26D2">
              <w:rPr>
                <w:rFonts w:ascii="Arial" w:eastAsia="Arial Narrow" w:hAnsi="Arial" w:cs="Arial"/>
                <w:sz w:val="20"/>
                <w:szCs w:val="20"/>
              </w:rPr>
              <w:t xml:space="preserve">egionales y </w:t>
            </w:r>
            <w:r w:rsidR="00524F08" w:rsidRPr="008A26D2">
              <w:rPr>
                <w:rFonts w:ascii="Arial" w:eastAsia="Arial Narrow" w:hAnsi="Arial" w:cs="Arial"/>
                <w:sz w:val="20"/>
                <w:szCs w:val="20"/>
              </w:rPr>
              <w:t>g</w:t>
            </w:r>
            <w:r w:rsidRPr="008A26D2">
              <w:rPr>
                <w:rFonts w:ascii="Arial" w:eastAsia="Arial Narrow" w:hAnsi="Arial" w:cs="Arial"/>
                <w:sz w:val="20"/>
                <w:szCs w:val="20"/>
              </w:rPr>
              <w:t xml:space="preserve">obiernos </w:t>
            </w:r>
            <w:r w:rsidR="00524F08" w:rsidRPr="008A26D2">
              <w:rPr>
                <w:rFonts w:ascii="Arial" w:eastAsia="Arial Narrow" w:hAnsi="Arial" w:cs="Arial"/>
                <w:sz w:val="20"/>
                <w:szCs w:val="20"/>
              </w:rPr>
              <w:t>l</w:t>
            </w:r>
            <w:r w:rsidRPr="008A26D2">
              <w:rPr>
                <w:rFonts w:ascii="Arial" w:eastAsia="Arial Narrow" w:hAnsi="Arial" w:cs="Arial"/>
                <w:sz w:val="20"/>
                <w:szCs w:val="20"/>
              </w:rPr>
              <w:t>ocales</w:t>
            </w:r>
          </w:p>
          <w:p w14:paraId="3ABB3BE0" w14:textId="77777777" w:rsidR="00F125FC" w:rsidRPr="008A26D2" w:rsidRDefault="00F125FC" w:rsidP="0072651A">
            <w:pPr>
              <w:pBdr>
                <w:top w:val="nil"/>
                <w:left w:val="nil"/>
                <w:bottom w:val="nil"/>
                <w:right w:val="nil"/>
                <w:between w:val="nil"/>
              </w:pBdr>
              <w:spacing w:after="0" w:line="240" w:lineRule="auto"/>
              <w:jc w:val="both"/>
              <w:rPr>
                <w:rFonts w:ascii="Arial" w:eastAsia="Arial Narrow" w:hAnsi="Arial" w:cs="Arial"/>
                <w:strike/>
                <w:sz w:val="20"/>
                <w:szCs w:val="20"/>
              </w:rPr>
            </w:pPr>
          </w:p>
        </w:tc>
      </w:tr>
      <w:tr w:rsidR="008A26D2" w:rsidRPr="008A26D2" w14:paraId="0E394BBF" w14:textId="77777777" w:rsidTr="00C8135D">
        <w:trPr>
          <w:trHeight w:val="302"/>
          <w:jc w:val="center"/>
        </w:trPr>
        <w:tc>
          <w:tcPr>
            <w:tcW w:w="23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BAC1E6B" w14:textId="77777777" w:rsidR="00F125FC" w:rsidRPr="008A26D2" w:rsidRDefault="00F125FC"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Tipo de servicio:</w:t>
            </w:r>
          </w:p>
        </w:tc>
        <w:tc>
          <w:tcPr>
            <w:tcW w:w="647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517D453" w14:textId="77777777" w:rsidR="00F125FC" w:rsidRPr="008A26D2" w:rsidRDefault="00F125FC" w:rsidP="0072651A">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Mejorado</w:t>
            </w:r>
          </w:p>
        </w:tc>
      </w:tr>
      <w:tr w:rsidR="008A26D2" w:rsidRPr="008A26D2" w14:paraId="3BAF8EE5" w14:textId="77777777" w:rsidTr="00C8135D">
        <w:trPr>
          <w:trHeight w:val="302"/>
          <w:jc w:val="center"/>
        </w:trPr>
        <w:tc>
          <w:tcPr>
            <w:tcW w:w="23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41CD6A7" w14:textId="2A0ACD3C"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Naturaleza del servicio:</w:t>
            </w:r>
          </w:p>
        </w:tc>
        <w:tc>
          <w:tcPr>
            <w:tcW w:w="647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163C5FF" w14:textId="16F269FE" w:rsidR="00F72E5F" w:rsidRPr="008A26D2" w:rsidRDefault="001954F3"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A</w:t>
            </w:r>
            <w:r w:rsidR="00F72E5F" w:rsidRPr="008A26D2">
              <w:rPr>
                <w:rFonts w:ascii="Arial" w:eastAsia="Arial Narrow" w:hAnsi="Arial" w:cs="Arial"/>
                <w:sz w:val="20"/>
                <w:szCs w:val="20"/>
              </w:rPr>
              <w:t>dministrativo</w:t>
            </w:r>
          </w:p>
        </w:tc>
      </w:tr>
      <w:tr w:rsidR="008A26D2" w:rsidRPr="008A26D2" w14:paraId="329BFA26" w14:textId="77777777" w:rsidTr="00C8135D">
        <w:trPr>
          <w:trHeight w:val="302"/>
          <w:jc w:val="center"/>
        </w:trPr>
        <w:tc>
          <w:tcPr>
            <w:tcW w:w="23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4E3089E" w14:textId="1C5CCB36"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Entrega del servicio</w:t>
            </w:r>
          </w:p>
        </w:tc>
        <w:tc>
          <w:tcPr>
            <w:tcW w:w="647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4CE8A49" w14:textId="7ED84C66"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Competencia exclusiva </w:t>
            </w:r>
          </w:p>
        </w:tc>
      </w:tr>
      <w:tr w:rsidR="008A26D2" w:rsidRPr="008A26D2" w14:paraId="59104370" w14:textId="77777777" w:rsidTr="00C8135D">
        <w:trPr>
          <w:trHeight w:val="302"/>
          <w:jc w:val="center"/>
        </w:trPr>
        <w:tc>
          <w:tcPr>
            <w:tcW w:w="23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71B9ED3" w14:textId="77777777"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Descripción del servicio</w:t>
            </w:r>
          </w:p>
        </w:tc>
        <w:tc>
          <w:tcPr>
            <w:tcW w:w="647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9A8E696" w14:textId="0AB8B85C"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El servicio consiste en brindar charlas </w:t>
            </w:r>
            <w:r w:rsidRPr="00846D49">
              <w:rPr>
                <w:rFonts w:ascii="Arial" w:eastAsia="Arial Narrow" w:hAnsi="Arial" w:cs="Arial"/>
                <w:sz w:val="20"/>
                <w:szCs w:val="20"/>
              </w:rPr>
              <w:t xml:space="preserve">virtuales y presenciales, además de asistencia técnica directa a los gobiernos regionales y locales identificados normativamente como parte de la población objetivo del Programa Presupuestal PIRDAIS, </w:t>
            </w:r>
            <w:r w:rsidR="004B365E" w:rsidRPr="00846D49">
              <w:rPr>
                <w:rFonts w:ascii="Arial" w:eastAsia="Arial Narrow" w:hAnsi="Arial" w:cs="Arial"/>
                <w:sz w:val="20"/>
                <w:szCs w:val="20"/>
              </w:rPr>
              <w:t xml:space="preserve">con la  finalidad que </w:t>
            </w:r>
            <w:r w:rsidR="00005B39" w:rsidRPr="00846D49">
              <w:rPr>
                <w:rFonts w:ascii="Arial" w:eastAsia="Arial Narrow" w:hAnsi="Arial" w:cs="Arial"/>
                <w:sz w:val="20"/>
                <w:szCs w:val="20"/>
              </w:rPr>
              <w:t>los</w:t>
            </w:r>
            <w:r w:rsidR="004B365E" w:rsidRPr="00846D49">
              <w:rPr>
                <w:rFonts w:ascii="Arial" w:eastAsia="Arial Narrow" w:hAnsi="Arial" w:cs="Arial"/>
                <w:sz w:val="20"/>
                <w:szCs w:val="20"/>
              </w:rPr>
              <w:t xml:space="preserve"> gobiernos regionales y locales formulen y ejecuten</w:t>
            </w:r>
            <w:r w:rsidRPr="00846D49">
              <w:rPr>
                <w:rFonts w:ascii="Arial" w:eastAsia="Arial Narrow" w:hAnsi="Arial" w:cs="Arial"/>
                <w:sz w:val="20"/>
                <w:szCs w:val="20"/>
              </w:rPr>
              <w:t xml:space="preserve"> proyectos de inversión pública</w:t>
            </w:r>
            <w:r w:rsidR="00005B39" w:rsidRPr="00846D49">
              <w:rPr>
                <w:rFonts w:ascii="Arial" w:eastAsia="Arial Narrow" w:hAnsi="Arial" w:cs="Arial"/>
                <w:sz w:val="20"/>
                <w:szCs w:val="20"/>
              </w:rPr>
              <w:t xml:space="preserve"> en su jurisdicción</w:t>
            </w:r>
            <w:r w:rsidR="004B365E" w:rsidRPr="00846D49">
              <w:rPr>
                <w:rFonts w:ascii="Arial" w:eastAsia="Arial Narrow" w:hAnsi="Arial" w:cs="Arial"/>
                <w:sz w:val="20"/>
                <w:szCs w:val="20"/>
              </w:rPr>
              <w:t>,</w:t>
            </w:r>
            <w:r w:rsidRPr="00846D49">
              <w:rPr>
                <w:rFonts w:ascii="Arial" w:eastAsia="Arial Narrow" w:hAnsi="Arial" w:cs="Arial"/>
                <w:sz w:val="20"/>
                <w:szCs w:val="20"/>
              </w:rPr>
              <w:t xml:space="preserve"> </w:t>
            </w:r>
            <w:r w:rsidR="004B365E" w:rsidRPr="00846D49">
              <w:rPr>
                <w:rFonts w:ascii="Arial" w:eastAsia="Arial Narrow" w:hAnsi="Arial" w:cs="Arial"/>
                <w:sz w:val="20"/>
                <w:szCs w:val="20"/>
              </w:rPr>
              <w:t>los cuales deben ajustarse a</w:t>
            </w:r>
            <w:r w:rsidRPr="00846D49">
              <w:rPr>
                <w:rFonts w:ascii="Arial" w:eastAsia="Arial Narrow" w:hAnsi="Arial" w:cs="Arial"/>
                <w:sz w:val="20"/>
                <w:szCs w:val="20"/>
              </w:rPr>
              <w:t xml:space="preserve"> las condiciones establecidas por </w:t>
            </w:r>
            <w:r w:rsidR="003B2206" w:rsidRPr="00846D49">
              <w:rPr>
                <w:rFonts w:ascii="Arial" w:eastAsia="Arial Narrow" w:hAnsi="Arial" w:cs="Arial"/>
                <w:sz w:val="20"/>
                <w:szCs w:val="20"/>
              </w:rPr>
              <w:t>la Comisión Nacional para el Desarrollo y Vida sin Drogas - DEVIDA</w:t>
            </w:r>
            <w:r w:rsidRPr="00846D49">
              <w:rPr>
                <w:rFonts w:ascii="Arial" w:eastAsia="Arial Narrow" w:hAnsi="Arial" w:cs="Arial"/>
                <w:sz w:val="20"/>
                <w:szCs w:val="20"/>
              </w:rPr>
              <w:t xml:space="preserve"> en la “Directiva para la Admisi</w:t>
            </w:r>
            <w:r w:rsidRPr="008A26D2">
              <w:rPr>
                <w:rFonts w:ascii="Arial" w:eastAsia="Arial Narrow" w:hAnsi="Arial" w:cs="Arial"/>
                <w:sz w:val="20"/>
                <w:szCs w:val="20"/>
              </w:rPr>
              <w:t>bilidad, Evaluación, Calificación  y Priorización de Inversiones” del Programa Presupuestal antes mencionado.</w:t>
            </w:r>
          </w:p>
          <w:p w14:paraId="2FA2CB7B" w14:textId="77777777"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 </w:t>
            </w:r>
          </w:p>
          <w:p w14:paraId="1364F000" w14:textId="7DD29AEF"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Los proyectos ejecutados por los gobiernos regionales y gobiernos locales permitirán la recuperación de las áreas degradadas y los servicios ecosistémicos, facilitando su aprovechamiento por la población en forma sostenible, para el desarrollo de actividades lícitas, contribuyendo de esta manera a la reducción de actividades ilícitas vinculadas a la producción de drogas. </w:t>
            </w:r>
          </w:p>
          <w:p w14:paraId="2257D9F6" w14:textId="77777777"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p>
          <w:p w14:paraId="14DEB18D" w14:textId="6BBE6A59"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El servicio es mejorado porque incorpora la retroalimentación realizada los últimos años, afianzando los instrumentos necesarios para la prestación del servicio.</w:t>
            </w:r>
          </w:p>
          <w:p w14:paraId="3E4E333B" w14:textId="77777777"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p>
        </w:tc>
      </w:tr>
      <w:tr w:rsidR="008A26D2" w:rsidRPr="008A26D2" w14:paraId="5491B32E" w14:textId="77777777" w:rsidTr="00C8135D">
        <w:trPr>
          <w:trHeight w:val="302"/>
          <w:jc w:val="center"/>
        </w:trPr>
        <w:tc>
          <w:tcPr>
            <w:tcW w:w="23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FF7F3D5" w14:textId="77777777"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Proveedor del servicio</w:t>
            </w:r>
          </w:p>
        </w:tc>
        <w:tc>
          <w:tcPr>
            <w:tcW w:w="647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6520B8B" w14:textId="77777777"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Comisión Nacional para el Desarrollo y Vida sin Drogas - DEVIDA</w:t>
            </w:r>
          </w:p>
        </w:tc>
      </w:tr>
      <w:tr w:rsidR="008A26D2" w:rsidRPr="008A26D2" w14:paraId="77EFF4A0" w14:textId="77777777" w:rsidTr="002B3000">
        <w:trPr>
          <w:trHeight w:val="458"/>
          <w:jc w:val="center"/>
        </w:trPr>
        <w:tc>
          <w:tcPr>
            <w:tcW w:w="2308" w:type="dxa"/>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72A3F7F5" w14:textId="77777777" w:rsidR="00F72E5F" w:rsidRPr="008A26D2" w:rsidRDefault="00F72E5F" w:rsidP="004D58E2">
            <w:pPr>
              <w:spacing w:after="0" w:line="240" w:lineRule="auto"/>
              <w:rPr>
                <w:rFonts w:ascii="Arial" w:hAnsi="Arial" w:cs="Arial"/>
                <w:b/>
                <w:sz w:val="20"/>
                <w:szCs w:val="20"/>
              </w:rPr>
            </w:pPr>
            <w:r w:rsidRPr="008A26D2">
              <w:rPr>
                <w:rFonts w:ascii="Arial" w:hAnsi="Arial" w:cs="Arial"/>
                <w:b/>
                <w:sz w:val="20"/>
                <w:szCs w:val="20"/>
              </w:rPr>
              <w:t>Nivel (es) de gobierno que interviene</w:t>
            </w:r>
          </w:p>
          <w:p w14:paraId="1F96DF73" w14:textId="176C5D14"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(n) en la provisión del servicio</w:t>
            </w:r>
          </w:p>
        </w:tc>
        <w:tc>
          <w:tcPr>
            <w:tcW w:w="2158"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23F95425" w14:textId="3FE2FC0A" w:rsidR="00F72E5F" w:rsidRPr="008A26D2" w:rsidRDefault="00F72E5F" w:rsidP="000C49B7">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Nacional</w:t>
            </w:r>
          </w:p>
        </w:tc>
        <w:tc>
          <w:tcPr>
            <w:tcW w:w="2159" w:type="dxa"/>
            <w:tcBorders>
              <w:top w:val="single" w:sz="4" w:space="0" w:color="000000"/>
              <w:left w:val="single" w:sz="4" w:space="0" w:color="000000"/>
              <w:right w:val="single" w:sz="4" w:space="0" w:color="000000"/>
            </w:tcBorders>
            <w:shd w:val="clear" w:color="auto" w:fill="auto"/>
            <w:vAlign w:val="center"/>
          </w:tcPr>
          <w:p w14:paraId="2F1DDC18" w14:textId="01EBE447" w:rsidR="00F72E5F" w:rsidRPr="008A26D2" w:rsidRDefault="00F72E5F" w:rsidP="000C49B7">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Regional</w:t>
            </w:r>
          </w:p>
        </w:tc>
        <w:tc>
          <w:tcPr>
            <w:tcW w:w="2159" w:type="dxa"/>
            <w:tcBorders>
              <w:top w:val="single" w:sz="4" w:space="0" w:color="000000"/>
              <w:left w:val="single" w:sz="4" w:space="0" w:color="000000"/>
              <w:right w:val="single" w:sz="4" w:space="0" w:color="000000"/>
            </w:tcBorders>
            <w:shd w:val="clear" w:color="auto" w:fill="auto"/>
            <w:vAlign w:val="center"/>
          </w:tcPr>
          <w:p w14:paraId="7A06F4F3" w14:textId="51A126B3" w:rsidR="00F72E5F" w:rsidRPr="008A26D2" w:rsidRDefault="00F72E5F" w:rsidP="000C49B7">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Local</w:t>
            </w:r>
          </w:p>
        </w:tc>
      </w:tr>
      <w:tr w:rsidR="008A26D2" w:rsidRPr="008A26D2" w14:paraId="66B7A82D" w14:textId="77777777" w:rsidTr="002B3000">
        <w:trPr>
          <w:trHeight w:val="457"/>
          <w:jc w:val="center"/>
        </w:trPr>
        <w:tc>
          <w:tcPr>
            <w:tcW w:w="2308" w:type="dxa"/>
            <w:vMerge/>
            <w:tcBorders>
              <w:left w:val="single" w:sz="4" w:space="0" w:color="000000"/>
              <w:right w:val="single" w:sz="4" w:space="0" w:color="000000"/>
            </w:tcBorders>
            <w:shd w:val="clear" w:color="auto" w:fill="auto"/>
            <w:tcMar>
              <w:top w:w="15" w:type="dxa"/>
              <w:left w:w="15" w:type="dxa"/>
              <w:bottom w:w="0" w:type="dxa"/>
              <w:right w:w="15" w:type="dxa"/>
            </w:tcMar>
            <w:vAlign w:val="center"/>
          </w:tcPr>
          <w:p w14:paraId="07460278" w14:textId="77777777" w:rsidR="00F72E5F" w:rsidRPr="008A26D2" w:rsidRDefault="00F72E5F" w:rsidP="00F72E5F">
            <w:pPr>
              <w:spacing w:after="0" w:line="240" w:lineRule="auto"/>
              <w:rPr>
                <w:rFonts w:ascii="Arial" w:hAnsi="Arial" w:cs="Arial"/>
                <w:b/>
                <w:sz w:val="20"/>
                <w:szCs w:val="20"/>
              </w:rPr>
            </w:pPr>
          </w:p>
        </w:tc>
        <w:tc>
          <w:tcPr>
            <w:tcW w:w="2158"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25AE9DEC" w14:textId="4685BEAB" w:rsidR="00F72E5F" w:rsidRPr="008A26D2" w:rsidRDefault="001954F3" w:rsidP="000C49B7">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X</w:t>
            </w:r>
          </w:p>
        </w:tc>
        <w:tc>
          <w:tcPr>
            <w:tcW w:w="2159" w:type="dxa"/>
            <w:tcBorders>
              <w:top w:val="single" w:sz="4" w:space="0" w:color="000000"/>
              <w:left w:val="single" w:sz="4" w:space="0" w:color="000000"/>
              <w:right w:val="single" w:sz="4" w:space="0" w:color="000000"/>
            </w:tcBorders>
            <w:shd w:val="clear" w:color="auto" w:fill="auto"/>
            <w:vAlign w:val="center"/>
          </w:tcPr>
          <w:p w14:paraId="36ED30EA" w14:textId="77777777" w:rsidR="00F72E5F" w:rsidRPr="008A26D2" w:rsidRDefault="00F72E5F" w:rsidP="000C49B7">
            <w:pPr>
              <w:pBdr>
                <w:top w:val="nil"/>
                <w:left w:val="nil"/>
                <w:bottom w:val="nil"/>
                <w:right w:val="nil"/>
                <w:between w:val="nil"/>
              </w:pBdr>
              <w:spacing w:after="0" w:line="240" w:lineRule="auto"/>
              <w:jc w:val="center"/>
              <w:rPr>
                <w:rFonts w:ascii="Arial" w:eastAsia="Arial Narrow" w:hAnsi="Arial" w:cs="Arial"/>
                <w:sz w:val="20"/>
                <w:szCs w:val="20"/>
              </w:rPr>
            </w:pPr>
          </w:p>
        </w:tc>
        <w:tc>
          <w:tcPr>
            <w:tcW w:w="2159" w:type="dxa"/>
            <w:tcBorders>
              <w:top w:val="single" w:sz="4" w:space="0" w:color="000000"/>
              <w:left w:val="single" w:sz="4" w:space="0" w:color="000000"/>
              <w:right w:val="single" w:sz="4" w:space="0" w:color="000000"/>
            </w:tcBorders>
            <w:shd w:val="clear" w:color="auto" w:fill="auto"/>
            <w:vAlign w:val="center"/>
          </w:tcPr>
          <w:p w14:paraId="23D969AC" w14:textId="3C29ABBF" w:rsidR="00F72E5F" w:rsidRPr="008A26D2" w:rsidRDefault="00F72E5F" w:rsidP="000C49B7">
            <w:pPr>
              <w:pBdr>
                <w:top w:val="nil"/>
                <w:left w:val="nil"/>
                <w:bottom w:val="nil"/>
                <w:right w:val="nil"/>
                <w:between w:val="nil"/>
              </w:pBdr>
              <w:spacing w:after="0" w:line="240" w:lineRule="auto"/>
              <w:jc w:val="center"/>
              <w:rPr>
                <w:rFonts w:ascii="Arial" w:eastAsia="Arial Narrow" w:hAnsi="Arial" w:cs="Arial"/>
                <w:sz w:val="20"/>
                <w:szCs w:val="20"/>
              </w:rPr>
            </w:pPr>
          </w:p>
        </w:tc>
      </w:tr>
      <w:tr w:rsidR="008A26D2" w:rsidRPr="008A26D2" w14:paraId="33933E2C" w14:textId="77777777" w:rsidTr="00C8135D">
        <w:trPr>
          <w:trHeight w:val="302"/>
          <w:jc w:val="center"/>
        </w:trPr>
        <w:tc>
          <w:tcPr>
            <w:tcW w:w="23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493C3D3" w14:textId="77777777"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Receptor del servicio</w:t>
            </w:r>
          </w:p>
        </w:tc>
        <w:tc>
          <w:tcPr>
            <w:tcW w:w="647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3CC66DE" w14:textId="1DB955DF"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Gobiernos regionales y gobiernos locales (incluidos en la población objetivo del Programa Presupuestal 072 PIRDAIS). </w:t>
            </w:r>
          </w:p>
        </w:tc>
      </w:tr>
      <w:tr w:rsidR="008A26D2" w:rsidRPr="008A26D2" w14:paraId="642FB1E4" w14:textId="77777777" w:rsidTr="00C8135D">
        <w:trPr>
          <w:trHeight w:val="213"/>
          <w:jc w:val="center"/>
        </w:trPr>
        <w:tc>
          <w:tcPr>
            <w:tcW w:w="23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2C4EA90" w14:textId="77777777"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Alcance del servicio </w:t>
            </w:r>
          </w:p>
        </w:tc>
        <w:tc>
          <w:tcPr>
            <w:tcW w:w="647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7676237" w14:textId="77777777" w:rsidR="00F72E5F" w:rsidRPr="008A26D2" w:rsidRDefault="00F72E5F" w:rsidP="00F72E5F">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Nacional</w:t>
            </w:r>
          </w:p>
        </w:tc>
      </w:tr>
      <w:tr w:rsidR="008A26D2" w:rsidRPr="008A26D2" w14:paraId="75B0D082" w14:textId="77777777" w:rsidTr="00C8135D">
        <w:trPr>
          <w:trHeight w:val="62"/>
          <w:jc w:val="center"/>
        </w:trPr>
        <w:tc>
          <w:tcPr>
            <w:tcW w:w="23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4C876D6" w14:textId="77777777"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Estándar (es) de cumplimiento</w:t>
            </w:r>
          </w:p>
        </w:tc>
        <w:tc>
          <w:tcPr>
            <w:tcW w:w="647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69839EA5" w14:textId="77777777" w:rsidR="00F72E5F" w:rsidRPr="008A26D2" w:rsidRDefault="00F72E5F" w:rsidP="00F72E5F">
            <w:pPr>
              <w:pBdr>
                <w:top w:val="nil"/>
                <w:left w:val="nil"/>
                <w:bottom w:val="nil"/>
                <w:right w:val="nil"/>
                <w:between w:val="nil"/>
              </w:pBdr>
              <w:spacing w:after="0" w:line="240" w:lineRule="auto"/>
              <w:rPr>
                <w:rFonts w:ascii="Arial" w:eastAsia="Arial Narrow" w:hAnsi="Arial" w:cs="Arial"/>
                <w:sz w:val="20"/>
                <w:szCs w:val="20"/>
              </w:rPr>
            </w:pPr>
            <w:r w:rsidRPr="008A26D2">
              <w:rPr>
                <w:rFonts w:ascii="Arial" w:eastAsia="Arial Narrow" w:hAnsi="Arial" w:cs="Arial"/>
                <w:sz w:val="20"/>
                <w:szCs w:val="20"/>
              </w:rPr>
              <w:t>Pertinencia</w:t>
            </w:r>
          </w:p>
          <w:p w14:paraId="796A14E7" w14:textId="77777777" w:rsidR="00F72E5F" w:rsidRPr="008A26D2" w:rsidRDefault="00F72E5F" w:rsidP="00F72E5F">
            <w:pPr>
              <w:pBdr>
                <w:top w:val="nil"/>
                <w:left w:val="nil"/>
                <w:bottom w:val="nil"/>
                <w:right w:val="nil"/>
                <w:between w:val="nil"/>
              </w:pBdr>
              <w:spacing w:after="0" w:line="240" w:lineRule="auto"/>
              <w:rPr>
                <w:rFonts w:ascii="Arial" w:hAnsi="Arial" w:cs="Arial"/>
                <w:strike/>
                <w:sz w:val="20"/>
                <w:szCs w:val="20"/>
              </w:rPr>
            </w:pPr>
          </w:p>
        </w:tc>
      </w:tr>
      <w:tr w:rsidR="008A26D2" w:rsidRPr="008A26D2" w14:paraId="74B8192E" w14:textId="77777777" w:rsidTr="00C8135D">
        <w:trPr>
          <w:trHeight w:val="302"/>
          <w:jc w:val="center"/>
        </w:trPr>
        <w:tc>
          <w:tcPr>
            <w:tcW w:w="23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B3C0F54" w14:textId="77777777"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Descripción del estándar</w:t>
            </w:r>
          </w:p>
        </w:tc>
        <w:tc>
          <w:tcPr>
            <w:tcW w:w="647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35" w:type="dxa"/>
              <w:bottom w:w="0" w:type="dxa"/>
              <w:right w:w="15" w:type="dxa"/>
            </w:tcMar>
            <w:vAlign w:val="center"/>
          </w:tcPr>
          <w:p w14:paraId="6A24C5FB" w14:textId="427FB6A9" w:rsidR="00F72E5F" w:rsidRPr="008A26D2" w:rsidRDefault="00F72E5F" w:rsidP="00F72E5F">
            <w:pPr>
              <w:pBdr>
                <w:top w:val="nil"/>
                <w:left w:val="nil"/>
                <w:bottom w:val="nil"/>
                <w:right w:val="nil"/>
                <w:between w:val="nil"/>
              </w:pBdr>
              <w:spacing w:after="0" w:line="240" w:lineRule="auto"/>
              <w:jc w:val="both"/>
              <w:rPr>
                <w:rFonts w:ascii="Arial" w:hAnsi="Arial" w:cs="Arial"/>
                <w:sz w:val="20"/>
                <w:szCs w:val="20"/>
              </w:rPr>
            </w:pPr>
            <w:r w:rsidRPr="008A26D2">
              <w:rPr>
                <w:rFonts w:ascii="Arial" w:hAnsi="Arial" w:cs="Arial"/>
                <w:sz w:val="20"/>
                <w:szCs w:val="20"/>
              </w:rPr>
              <w:t xml:space="preserve">El estándar del servicio es de pertinencia porque responde a las necesidades de asistencia técnica de los gobiernos regionales y gobiernos locales de las áreas priorizadas, para la formulación de proyectos de reforestación, en concordancia a las exigencias normativas sectoriales y del Invierte.pe; destinados a la recuperación de </w:t>
            </w:r>
            <w:r w:rsidRPr="008A26D2">
              <w:rPr>
                <w:rFonts w:ascii="Arial" w:hAnsi="Arial" w:cs="Arial"/>
                <w:sz w:val="20"/>
                <w:szCs w:val="20"/>
              </w:rPr>
              <w:lastRenderedPageBreak/>
              <w:t xml:space="preserve">las áreas degradadas principalmente generados por cultivos ilícitos orientados a la producción de drogas. </w:t>
            </w:r>
          </w:p>
          <w:p w14:paraId="1FCC1E6E" w14:textId="77777777" w:rsidR="00F72E5F" w:rsidRPr="008A26D2" w:rsidRDefault="00F72E5F" w:rsidP="00F72E5F">
            <w:pPr>
              <w:pBdr>
                <w:top w:val="nil"/>
                <w:left w:val="nil"/>
                <w:bottom w:val="nil"/>
                <w:right w:val="nil"/>
                <w:between w:val="nil"/>
              </w:pBdr>
              <w:spacing w:after="0" w:line="240" w:lineRule="auto"/>
              <w:jc w:val="both"/>
              <w:rPr>
                <w:rFonts w:ascii="Arial" w:hAnsi="Arial" w:cs="Arial"/>
                <w:sz w:val="20"/>
                <w:szCs w:val="20"/>
              </w:rPr>
            </w:pPr>
          </w:p>
        </w:tc>
      </w:tr>
      <w:tr w:rsidR="00F72E5F" w:rsidRPr="008A26D2" w14:paraId="7EBCD0EC" w14:textId="77777777" w:rsidTr="00C8135D">
        <w:trPr>
          <w:trHeight w:val="495"/>
          <w:jc w:val="center"/>
        </w:trPr>
        <w:tc>
          <w:tcPr>
            <w:tcW w:w="23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5AAF4E4" w14:textId="77777777"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lastRenderedPageBreak/>
              <w:t xml:space="preserve">Indicador </w:t>
            </w:r>
          </w:p>
        </w:tc>
        <w:tc>
          <w:tcPr>
            <w:tcW w:w="647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1A81C059" w14:textId="49C35CBE" w:rsidR="00F72E5F" w:rsidRPr="008A26D2" w:rsidRDefault="00F72E5F" w:rsidP="00F72E5F">
            <w:pPr>
              <w:pBdr>
                <w:top w:val="nil"/>
                <w:left w:val="nil"/>
                <w:bottom w:val="nil"/>
                <w:right w:val="nil"/>
                <w:between w:val="nil"/>
              </w:pBdr>
              <w:spacing w:after="0" w:line="240" w:lineRule="auto"/>
              <w:jc w:val="both"/>
              <w:rPr>
                <w:rFonts w:ascii="Arial" w:hAnsi="Arial" w:cs="Arial"/>
                <w:sz w:val="20"/>
                <w:szCs w:val="20"/>
              </w:rPr>
            </w:pPr>
            <w:r w:rsidRPr="008A26D2">
              <w:rPr>
                <w:rFonts w:ascii="Arial" w:hAnsi="Arial" w:cs="Arial"/>
                <w:sz w:val="20"/>
                <w:szCs w:val="20"/>
              </w:rPr>
              <w:t xml:space="preserve">Porcentaje de proyectos aprobados presentados por los </w:t>
            </w:r>
            <w:r w:rsidRPr="008A26D2">
              <w:rPr>
                <w:rFonts w:ascii="Arial" w:eastAsia="Arial Narrow" w:hAnsi="Arial" w:cs="Arial"/>
                <w:sz w:val="20"/>
                <w:szCs w:val="20"/>
              </w:rPr>
              <w:t>gobiernos regionales y gobiernos locales</w:t>
            </w:r>
            <w:r w:rsidRPr="008A26D2">
              <w:rPr>
                <w:rFonts w:ascii="Arial" w:hAnsi="Arial" w:cs="Arial"/>
                <w:sz w:val="20"/>
                <w:szCs w:val="20"/>
              </w:rPr>
              <w:t xml:space="preserve"> como resultado de la asistencia técnica de forma pertinente</w:t>
            </w:r>
          </w:p>
        </w:tc>
      </w:tr>
    </w:tbl>
    <w:p w14:paraId="731E27C5" w14:textId="77777777" w:rsidR="00F125FC" w:rsidRPr="008A26D2" w:rsidRDefault="00F125FC" w:rsidP="000D1705">
      <w:pPr>
        <w:tabs>
          <w:tab w:val="left" w:pos="3375"/>
        </w:tabs>
        <w:rPr>
          <w:rFonts w:ascii="Arial Narrow" w:eastAsia="Arial Narrow" w:hAnsi="Arial Narrow" w:cs="Arial Narrow"/>
          <w:b/>
        </w:rPr>
      </w:pPr>
    </w:p>
    <w:p w14:paraId="352B0445" w14:textId="6AF90798" w:rsidR="00C8135D" w:rsidRPr="008A26D2" w:rsidRDefault="00C8135D" w:rsidP="00C8135D">
      <w:pPr>
        <w:pBdr>
          <w:top w:val="nil"/>
          <w:left w:val="nil"/>
          <w:bottom w:val="nil"/>
          <w:right w:val="nil"/>
          <w:between w:val="nil"/>
        </w:pBdr>
        <w:spacing w:after="0" w:line="240" w:lineRule="auto"/>
        <w:jc w:val="both"/>
        <w:rPr>
          <w:rFonts w:ascii="Arial" w:eastAsia="Arial Narrow" w:hAnsi="Arial" w:cs="Arial"/>
        </w:rPr>
      </w:pPr>
      <w:r w:rsidRPr="008A26D2">
        <w:rPr>
          <w:rFonts w:ascii="Arial" w:eastAsia="Arial Narrow" w:hAnsi="Arial" w:cs="Arial"/>
          <w:b/>
          <w:bCs/>
        </w:rPr>
        <w:t>S1.4.1</w:t>
      </w:r>
      <w:r w:rsidRPr="008A26D2">
        <w:rPr>
          <w:rFonts w:ascii="Arial" w:eastAsia="Arial Narrow" w:hAnsi="Arial" w:cs="Arial"/>
        </w:rPr>
        <w:t xml:space="preserve"> </w:t>
      </w:r>
      <w:r w:rsidR="000C49B7" w:rsidRPr="000C49B7">
        <w:rPr>
          <w:rFonts w:ascii="Arial" w:eastAsia="Arial Narrow" w:hAnsi="Arial" w:cs="Arial"/>
        </w:rPr>
        <w:t>Asistencia técnica para el desarrollo de mecanismos financieros orientados a la conservación y gestión de los ecosistemas forestales y otros ecosistemas de vegetación silvestre y medidas frente al cambio climático, satisfactoriamente a las Autoridades Regionales Forestales y de Fauna Silvestre y otros usuarios forestales y de fauna silvestre</w:t>
      </w:r>
      <w:r w:rsidRPr="008A26D2">
        <w:rPr>
          <w:rFonts w:ascii="Arial" w:eastAsia="Arial Narrow" w:hAnsi="Arial" w:cs="Arial"/>
        </w:rPr>
        <w:t>.</w:t>
      </w:r>
    </w:p>
    <w:p w14:paraId="1BF24DE7" w14:textId="5223005F" w:rsidR="00C8135D" w:rsidRPr="008A26D2" w:rsidRDefault="00C8135D">
      <w:pPr>
        <w:rPr>
          <w:rFonts w:ascii="Arial Narrow" w:eastAsia="Arial Narrow" w:hAnsi="Arial Narrow" w:cs="Arial Narrow"/>
          <w:b/>
        </w:rPr>
      </w:pPr>
    </w:p>
    <w:tbl>
      <w:tblPr>
        <w:tblW w:w="8930" w:type="dxa"/>
        <w:jc w:val="center"/>
        <w:tblLayout w:type="fixed"/>
        <w:tblLook w:val="0600" w:firstRow="0" w:lastRow="0" w:firstColumn="0" w:lastColumn="0" w:noHBand="1" w:noVBand="1"/>
      </w:tblPr>
      <w:tblGrid>
        <w:gridCol w:w="2263"/>
        <w:gridCol w:w="2222"/>
        <w:gridCol w:w="2222"/>
        <w:gridCol w:w="2223"/>
      </w:tblGrid>
      <w:tr w:rsidR="008A26D2" w:rsidRPr="008A26D2" w14:paraId="0168029F" w14:textId="77777777" w:rsidTr="00C8135D">
        <w:trPr>
          <w:trHeight w:val="300"/>
          <w:jc w:val="center"/>
        </w:trPr>
        <w:tc>
          <w:tcPr>
            <w:tcW w:w="8930"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center"/>
          </w:tcPr>
          <w:p w14:paraId="05E01A92" w14:textId="59A0BE21" w:rsidR="00C8135D" w:rsidRPr="008A26D2" w:rsidRDefault="00C8135D" w:rsidP="0072651A">
            <w:pPr>
              <w:jc w:val="center"/>
              <w:rPr>
                <w:rFonts w:ascii="Arial" w:hAnsi="Arial" w:cs="Arial"/>
                <w:sz w:val="20"/>
                <w:szCs w:val="20"/>
              </w:rPr>
            </w:pPr>
            <w:r w:rsidRPr="008A26D2">
              <w:rPr>
                <w:rFonts w:ascii="Arial" w:hAnsi="Arial" w:cs="Arial"/>
                <w:b/>
                <w:sz w:val="20"/>
                <w:szCs w:val="20"/>
              </w:rPr>
              <w:t xml:space="preserve">FICHA DEL SERVICIO </w:t>
            </w:r>
          </w:p>
        </w:tc>
      </w:tr>
      <w:tr w:rsidR="008A26D2" w:rsidRPr="008A26D2" w14:paraId="05983D24" w14:textId="77777777" w:rsidTr="00644AAD">
        <w:trPr>
          <w:trHeight w:val="530"/>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E394E5A" w14:textId="77777777" w:rsidR="00C8135D" w:rsidRPr="008A26D2" w:rsidRDefault="00C8135D"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Objetivo prioritario:</w:t>
            </w:r>
          </w:p>
        </w:tc>
        <w:tc>
          <w:tcPr>
            <w:tcW w:w="666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77F9C33" w14:textId="77777777" w:rsidR="00C8135D" w:rsidRPr="008A26D2" w:rsidRDefault="00C8135D" w:rsidP="0072651A">
            <w:pPr>
              <w:pBdr>
                <w:top w:val="nil"/>
                <w:left w:val="nil"/>
                <w:bottom w:val="nil"/>
                <w:right w:val="nil"/>
                <w:between w:val="nil"/>
              </w:pBdr>
              <w:spacing w:after="0" w:line="240" w:lineRule="auto"/>
              <w:jc w:val="both"/>
              <w:rPr>
                <w:rFonts w:ascii="Arial" w:hAnsi="Arial" w:cs="Arial"/>
                <w:sz w:val="20"/>
                <w:szCs w:val="20"/>
              </w:rPr>
            </w:pPr>
            <w:r w:rsidRPr="008A26D2">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r>
      <w:tr w:rsidR="008A26D2" w:rsidRPr="008A26D2" w14:paraId="69C2C548" w14:textId="77777777" w:rsidTr="00644AAD">
        <w:trPr>
          <w:trHeight w:val="835"/>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C6E3963" w14:textId="77777777" w:rsidR="00C8135D" w:rsidRPr="008A26D2" w:rsidRDefault="00C8135D"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Lineamiento:</w:t>
            </w:r>
          </w:p>
        </w:tc>
        <w:tc>
          <w:tcPr>
            <w:tcW w:w="666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B9C645A" w14:textId="292CE29B" w:rsidR="00C8135D" w:rsidRPr="008A26D2" w:rsidRDefault="00C8135D" w:rsidP="0072651A">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L1.4 </w:t>
            </w:r>
            <w:r w:rsidR="0076444F" w:rsidRPr="0076444F">
              <w:rPr>
                <w:rFonts w:ascii="Arial" w:eastAsia="Arial Narrow" w:hAnsi="Arial" w:cs="Arial"/>
                <w:sz w:val="20"/>
                <w:szCs w:val="20"/>
              </w:rPr>
              <w:t>Incentivar el desarrollo de mecanismos de retribución por servicios ecosistémicos para la conservación, recuperación y uso sostenible de los ecosistemas forestales y otros ecosistemas de vegetación silvestre.</w:t>
            </w:r>
          </w:p>
        </w:tc>
      </w:tr>
      <w:tr w:rsidR="008A26D2" w:rsidRPr="008A26D2" w14:paraId="76D0BE04" w14:textId="77777777" w:rsidTr="00644AAD">
        <w:trPr>
          <w:trHeight w:val="300"/>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0174D45" w14:textId="77777777" w:rsidR="00C8135D" w:rsidRPr="008A26D2" w:rsidRDefault="00C8135D"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Nombre del servicio:</w:t>
            </w:r>
          </w:p>
        </w:tc>
        <w:tc>
          <w:tcPr>
            <w:tcW w:w="666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B864A7D" w14:textId="4FD84222" w:rsidR="00B45D80" w:rsidRPr="008A26D2" w:rsidRDefault="00C8135D" w:rsidP="0072651A">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S1.4.1 </w:t>
            </w:r>
            <w:r w:rsidR="00B45D80" w:rsidRPr="008A26D2">
              <w:rPr>
                <w:rFonts w:ascii="Arial" w:eastAsia="Arial Narrow" w:hAnsi="Arial" w:cs="Arial"/>
                <w:sz w:val="20"/>
                <w:szCs w:val="20"/>
              </w:rPr>
              <w:t xml:space="preserve">Asistencia técnica para el </w:t>
            </w:r>
            <w:r w:rsidR="009B5370" w:rsidRPr="008A26D2">
              <w:rPr>
                <w:rFonts w:ascii="Arial" w:eastAsia="Arial Narrow" w:hAnsi="Arial" w:cs="Arial"/>
                <w:sz w:val="20"/>
                <w:szCs w:val="20"/>
              </w:rPr>
              <w:t>desarrollo</w:t>
            </w:r>
            <w:r w:rsidR="00B45D80" w:rsidRPr="008A26D2">
              <w:rPr>
                <w:rFonts w:ascii="Arial" w:eastAsia="Arial Narrow" w:hAnsi="Arial" w:cs="Arial"/>
                <w:sz w:val="20"/>
                <w:szCs w:val="20"/>
              </w:rPr>
              <w:t xml:space="preserve"> de mecanismos financieros orientados</w:t>
            </w:r>
            <w:r w:rsidR="00B87253" w:rsidRPr="008A26D2">
              <w:rPr>
                <w:rFonts w:ascii="Arial" w:eastAsia="Arial Narrow" w:hAnsi="Arial" w:cs="Arial"/>
                <w:sz w:val="20"/>
                <w:szCs w:val="20"/>
              </w:rPr>
              <w:t xml:space="preserve"> a la conservación y gestión</w:t>
            </w:r>
            <w:r w:rsidR="00B45D80" w:rsidRPr="008A26D2">
              <w:rPr>
                <w:rFonts w:ascii="Arial" w:eastAsia="Arial Narrow" w:hAnsi="Arial" w:cs="Arial"/>
                <w:sz w:val="20"/>
                <w:szCs w:val="20"/>
              </w:rPr>
              <w:t xml:space="preserve"> </w:t>
            </w:r>
            <w:r w:rsidR="00B87253" w:rsidRPr="008A26D2">
              <w:rPr>
                <w:rFonts w:ascii="Arial" w:eastAsia="Arial Narrow" w:hAnsi="Arial" w:cs="Arial"/>
                <w:sz w:val="20"/>
                <w:szCs w:val="20"/>
              </w:rPr>
              <w:t>de los</w:t>
            </w:r>
            <w:r w:rsidR="00B45D80" w:rsidRPr="008A26D2">
              <w:rPr>
                <w:rFonts w:ascii="Arial" w:eastAsia="Arial Narrow" w:hAnsi="Arial" w:cs="Arial"/>
                <w:sz w:val="20"/>
                <w:szCs w:val="20"/>
              </w:rPr>
              <w:t xml:space="preserve"> ecosistemas forestales</w:t>
            </w:r>
            <w:r w:rsidR="004D58E2" w:rsidRPr="008A26D2">
              <w:rPr>
                <w:rFonts w:ascii="Arial" w:eastAsia="Arial Narrow" w:hAnsi="Arial" w:cs="Arial"/>
                <w:sz w:val="20"/>
                <w:szCs w:val="20"/>
              </w:rPr>
              <w:t xml:space="preserve"> y</w:t>
            </w:r>
            <w:r w:rsidR="00B45D80" w:rsidRPr="008A26D2">
              <w:rPr>
                <w:rFonts w:ascii="Arial" w:eastAsia="Arial Narrow" w:hAnsi="Arial" w:cs="Arial"/>
                <w:sz w:val="20"/>
                <w:szCs w:val="20"/>
              </w:rPr>
              <w:t xml:space="preserve"> otros ecosistemas de vegetación silvestre y </w:t>
            </w:r>
            <w:r w:rsidR="00B87253" w:rsidRPr="008A26D2">
              <w:rPr>
                <w:rFonts w:ascii="Arial" w:eastAsia="Arial Narrow" w:hAnsi="Arial" w:cs="Arial"/>
                <w:sz w:val="20"/>
                <w:szCs w:val="20"/>
              </w:rPr>
              <w:t xml:space="preserve">medidas frente </w:t>
            </w:r>
            <w:r w:rsidR="009B5370" w:rsidRPr="008A26D2">
              <w:rPr>
                <w:rFonts w:ascii="Arial" w:eastAsia="Arial Narrow" w:hAnsi="Arial" w:cs="Arial"/>
                <w:sz w:val="20"/>
                <w:szCs w:val="20"/>
              </w:rPr>
              <w:t>al</w:t>
            </w:r>
            <w:r w:rsidR="00B45D80" w:rsidRPr="008A26D2">
              <w:rPr>
                <w:rFonts w:ascii="Arial" w:eastAsia="Arial Narrow" w:hAnsi="Arial" w:cs="Arial"/>
                <w:sz w:val="20"/>
                <w:szCs w:val="20"/>
              </w:rPr>
              <w:t xml:space="preserve"> cambio climático</w:t>
            </w:r>
            <w:r w:rsidR="006167B8" w:rsidRPr="008A26D2">
              <w:rPr>
                <w:rFonts w:ascii="Arial" w:eastAsia="Arial Narrow" w:hAnsi="Arial" w:cs="Arial"/>
                <w:sz w:val="20"/>
                <w:szCs w:val="20"/>
              </w:rPr>
              <w:t>,</w:t>
            </w:r>
            <w:r w:rsidR="00B45D80" w:rsidRPr="008A26D2">
              <w:rPr>
                <w:rFonts w:ascii="Arial" w:eastAsia="Arial Narrow" w:hAnsi="Arial" w:cs="Arial"/>
                <w:sz w:val="20"/>
                <w:szCs w:val="20"/>
              </w:rPr>
              <w:t xml:space="preserve"> satisfactoria</w:t>
            </w:r>
            <w:r w:rsidR="00B87253" w:rsidRPr="008A26D2">
              <w:rPr>
                <w:rFonts w:ascii="Arial" w:eastAsia="Arial Narrow" w:hAnsi="Arial" w:cs="Arial"/>
                <w:sz w:val="20"/>
                <w:szCs w:val="20"/>
              </w:rPr>
              <w:t>mente</w:t>
            </w:r>
            <w:r w:rsidR="00B45D80" w:rsidRPr="008A26D2">
              <w:rPr>
                <w:rFonts w:ascii="Arial" w:eastAsia="Arial Narrow" w:hAnsi="Arial" w:cs="Arial"/>
                <w:sz w:val="20"/>
                <w:szCs w:val="20"/>
              </w:rPr>
              <w:t xml:space="preserve"> a las Autoridades Regionales Forestales y de Fauna Silvestre y otros usuarios forestales y de fauna silvestre.</w:t>
            </w:r>
          </w:p>
          <w:p w14:paraId="108C70D1" w14:textId="06EE2B11" w:rsidR="00020252" w:rsidRPr="008A26D2" w:rsidRDefault="00020252" w:rsidP="0072651A">
            <w:pPr>
              <w:pBdr>
                <w:top w:val="nil"/>
                <w:left w:val="nil"/>
                <w:bottom w:val="nil"/>
                <w:right w:val="nil"/>
                <w:between w:val="nil"/>
              </w:pBdr>
              <w:spacing w:after="0" w:line="240" w:lineRule="auto"/>
              <w:jc w:val="both"/>
              <w:rPr>
                <w:rFonts w:ascii="Arial" w:eastAsia="Arial Narrow" w:hAnsi="Arial" w:cs="Arial"/>
                <w:sz w:val="20"/>
                <w:szCs w:val="20"/>
              </w:rPr>
            </w:pPr>
          </w:p>
        </w:tc>
      </w:tr>
      <w:tr w:rsidR="008A26D2" w:rsidRPr="008A26D2" w14:paraId="092925CE" w14:textId="77777777" w:rsidTr="00644AAD">
        <w:trPr>
          <w:trHeight w:val="300"/>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1169338" w14:textId="77777777" w:rsidR="00C8135D" w:rsidRPr="008A26D2" w:rsidRDefault="00C8135D"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Tipo de servicio:</w:t>
            </w:r>
          </w:p>
        </w:tc>
        <w:tc>
          <w:tcPr>
            <w:tcW w:w="666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A1A9740" w14:textId="77777777" w:rsidR="00C8135D" w:rsidRPr="008A26D2" w:rsidRDefault="00C8135D" w:rsidP="0072651A">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 Nuevo</w:t>
            </w:r>
          </w:p>
        </w:tc>
      </w:tr>
      <w:tr w:rsidR="008A26D2" w:rsidRPr="008A26D2" w14:paraId="1F1045DE" w14:textId="77777777" w:rsidTr="00644AAD">
        <w:trPr>
          <w:trHeight w:val="300"/>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F9FCB1B" w14:textId="238DD7AD" w:rsidR="00B87253" w:rsidRPr="008A26D2" w:rsidRDefault="00B87253"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Naturaleza del servicio</w:t>
            </w:r>
          </w:p>
        </w:tc>
        <w:tc>
          <w:tcPr>
            <w:tcW w:w="666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03F7FA3" w14:textId="76119E27" w:rsidR="00B87253" w:rsidRPr="008A26D2" w:rsidRDefault="00B87253" w:rsidP="0072651A">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 </w:t>
            </w:r>
            <w:r w:rsidR="001954F3" w:rsidRPr="008A26D2">
              <w:rPr>
                <w:rFonts w:ascii="Arial" w:eastAsia="Arial Narrow" w:hAnsi="Arial" w:cs="Arial"/>
                <w:sz w:val="20"/>
                <w:szCs w:val="20"/>
              </w:rPr>
              <w:t>A</w:t>
            </w:r>
            <w:r w:rsidRPr="008A26D2">
              <w:rPr>
                <w:rFonts w:ascii="Arial" w:eastAsia="Arial Narrow" w:hAnsi="Arial" w:cs="Arial"/>
                <w:sz w:val="20"/>
                <w:szCs w:val="20"/>
              </w:rPr>
              <w:t>dministrativo</w:t>
            </w:r>
          </w:p>
        </w:tc>
      </w:tr>
      <w:tr w:rsidR="008A26D2" w:rsidRPr="008A26D2" w14:paraId="2884F9B3" w14:textId="77777777" w:rsidTr="00644AAD">
        <w:trPr>
          <w:trHeight w:val="300"/>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44EFBEC" w14:textId="266AACAD"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Entrega del servicio</w:t>
            </w:r>
          </w:p>
        </w:tc>
        <w:tc>
          <w:tcPr>
            <w:tcW w:w="666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5235BC9" w14:textId="3C33727D"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Competencia exclusiva </w:t>
            </w:r>
          </w:p>
        </w:tc>
      </w:tr>
      <w:tr w:rsidR="008A26D2" w:rsidRPr="008A26D2" w14:paraId="3F045896" w14:textId="77777777" w:rsidTr="00644AAD">
        <w:trPr>
          <w:trHeight w:val="300"/>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A9C021E" w14:textId="77777777"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Descripción del servicio</w:t>
            </w:r>
          </w:p>
        </w:tc>
        <w:tc>
          <w:tcPr>
            <w:tcW w:w="666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97FCB2A" w14:textId="1B592002" w:rsidR="00F72E5F" w:rsidRPr="008A26D2" w:rsidRDefault="00F72E5F" w:rsidP="00F72E5F">
            <w:pPr>
              <w:spacing w:after="0"/>
              <w:jc w:val="both"/>
              <w:rPr>
                <w:rFonts w:ascii="Arial" w:hAnsi="Arial" w:cs="Arial"/>
                <w:sz w:val="20"/>
                <w:szCs w:val="20"/>
                <w:lang w:val="es-MX"/>
              </w:rPr>
            </w:pPr>
            <w:r w:rsidRPr="008A26D2">
              <w:rPr>
                <w:rFonts w:ascii="Arial" w:eastAsia="Arial Narrow" w:hAnsi="Arial" w:cs="Arial"/>
                <w:sz w:val="20"/>
                <w:szCs w:val="20"/>
                <w:lang w:val="es-MX"/>
              </w:rPr>
              <w:t xml:space="preserve">El servicio consiste en fortalecer las capacidades de las Autoridades Regionales Forestales y de Fauna Silvestre y </w:t>
            </w:r>
            <w:r w:rsidRPr="008A26D2">
              <w:rPr>
                <w:rFonts w:ascii="Arial" w:eastAsia="Arial Narrow" w:hAnsi="Arial" w:cs="Arial"/>
                <w:sz w:val="20"/>
                <w:szCs w:val="20"/>
              </w:rPr>
              <w:t>otros usuarios forestales y de fauna silvestre.</w:t>
            </w:r>
            <w:r w:rsidRPr="008A26D2">
              <w:rPr>
                <w:rFonts w:ascii="Arial" w:eastAsia="Arial Narrow" w:hAnsi="Arial" w:cs="Arial"/>
                <w:sz w:val="20"/>
                <w:szCs w:val="20"/>
                <w:lang w:val="es-MX"/>
              </w:rPr>
              <w:t xml:space="preserve"> a través de talleres, charlas, asistencias técnicas u otros mecanismos cuya finalidad es </w:t>
            </w:r>
            <w:r w:rsidRPr="008A26D2">
              <w:rPr>
                <w:rFonts w:ascii="Arial" w:hAnsi="Arial" w:cs="Arial"/>
                <w:sz w:val="20"/>
                <w:szCs w:val="20"/>
                <w:lang w:val="es-MX"/>
              </w:rPr>
              <w:t xml:space="preserve">dotarlos de capacidades para el desarrollo de mecanismos financieros para la conservación, recuperación y uso sostenible de los ecosistemas forestales y otros ecosistemas de vegetación silvestre, así como para el desarrollo de las actividades que coadyuven a la implementación de las medidas de mitigación y adaptación al cambio climático en el ámbito forestal. </w:t>
            </w:r>
          </w:p>
          <w:p w14:paraId="1E09E7CE" w14:textId="50A51E14" w:rsidR="00F72E5F" w:rsidRPr="008A26D2" w:rsidRDefault="00F72E5F" w:rsidP="00F72E5F">
            <w:pPr>
              <w:spacing w:after="0"/>
              <w:jc w:val="both"/>
              <w:rPr>
                <w:rFonts w:ascii="Arial" w:hAnsi="Arial" w:cs="Arial"/>
                <w:sz w:val="20"/>
                <w:szCs w:val="20"/>
                <w:lang w:val="es-MX"/>
              </w:rPr>
            </w:pPr>
            <w:r w:rsidRPr="008A26D2">
              <w:rPr>
                <w:rFonts w:ascii="Arial" w:hAnsi="Arial" w:cs="Arial"/>
                <w:sz w:val="20"/>
                <w:szCs w:val="20"/>
                <w:lang w:val="es-MX"/>
              </w:rPr>
              <w:t xml:space="preserve">El servicio contribuye al cumplimiento de los compromisos que nuestro país asumió para hacer frente al cambio climático a través de la implementación de medidas de mitigación y adaptación. </w:t>
            </w:r>
          </w:p>
          <w:p w14:paraId="1C46D452" w14:textId="77777777" w:rsidR="00F72E5F" w:rsidRPr="008A26D2" w:rsidRDefault="00F72E5F" w:rsidP="00F72E5F">
            <w:pPr>
              <w:spacing w:after="0"/>
              <w:jc w:val="both"/>
              <w:rPr>
                <w:rFonts w:ascii="Arial" w:hAnsi="Arial" w:cs="Arial"/>
                <w:sz w:val="20"/>
                <w:szCs w:val="20"/>
                <w:lang w:val="es-MX"/>
              </w:rPr>
            </w:pPr>
          </w:p>
          <w:p w14:paraId="7D0E986F" w14:textId="477164A2" w:rsidR="00F72E5F" w:rsidRPr="008A26D2" w:rsidRDefault="00F72E5F" w:rsidP="00F72E5F">
            <w:pPr>
              <w:spacing w:after="0"/>
              <w:jc w:val="both"/>
              <w:rPr>
                <w:rFonts w:ascii="Arial" w:hAnsi="Arial" w:cs="Arial"/>
                <w:sz w:val="20"/>
                <w:szCs w:val="20"/>
                <w:lang w:val="es-MX"/>
              </w:rPr>
            </w:pPr>
            <w:r w:rsidRPr="008A26D2">
              <w:rPr>
                <w:rFonts w:ascii="Arial" w:hAnsi="Arial" w:cs="Arial"/>
                <w:sz w:val="20"/>
                <w:szCs w:val="20"/>
                <w:lang w:val="es-MX"/>
              </w:rPr>
              <w:t>La asistencia técnica está dirigida a diferentes actores tales como servidores de las Autoridades Regionales Forestales y de Fauna Silvestre, miembros de comunidades o de sociedad civil vinculados al uso y aprovechamiento de los recursos del bosque.</w:t>
            </w:r>
          </w:p>
          <w:p w14:paraId="33FAC8EB" w14:textId="25603AA8" w:rsidR="00F72E5F" w:rsidRPr="008A26D2" w:rsidRDefault="00F72E5F" w:rsidP="00F72E5F">
            <w:pPr>
              <w:spacing w:after="0"/>
              <w:jc w:val="both"/>
              <w:rPr>
                <w:rFonts w:ascii="Arial" w:hAnsi="Arial" w:cs="Arial"/>
                <w:sz w:val="20"/>
                <w:szCs w:val="20"/>
                <w:lang w:val="es-MX"/>
              </w:rPr>
            </w:pPr>
            <w:r w:rsidRPr="008A26D2">
              <w:rPr>
                <w:rFonts w:ascii="Arial" w:hAnsi="Arial" w:cs="Arial"/>
                <w:sz w:val="20"/>
                <w:szCs w:val="20"/>
                <w:lang w:val="es-MX"/>
              </w:rPr>
              <w:t xml:space="preserve"> </w:t>
            </w:r>
          </w:p>
          <w:p w14:paraId="36FABD1B" w14:textId="1CC321A6" w:rsidR="00F72E5F" w:rsidRPr="008A26D2" w:rsidRDefault="00F72E5F" w:rsidP="00F72E5F">
            <w:pPr>
              <w:spacing w:after="0"/>
              <w:jc w:val="both"/>
              <w:rPr>
                <w:rFonts w:ascii="Arial" w:hAnsi="Arial" w:cs="Arial"/>
                <w:sz w:val="20"/>
                <w:szCs w:val="20"/>
                <w:lang w:val="es-MX"/>
              </w:rPr>
            </w:pPr>
            <w:r w:rsidRPr="008A26D2">
              <w:rPr>
                <w:rFonts w:ascii="Arial" w:hAnsi="Arial" w:cs="Arial"/>
                <w:sz w:val="20"/>
                <w:szCs w:val="20"/>
                <w:lang w:val="es-MX"/>
              </w:rPr>
              <w:t>Cabe precisar que 7 de las 12 medidas de adaptación y 5 de las 8 medidas de mitigación del “sector bosques” son de responsabilidad del Servicio Nacional Forestal y de Fauna Silvestre.</w:t>
            </w:r>
          </w:p>
          <w:p w14:paraId="4C359790" w14:textId="77777777" w:rsidR="00F72E5F" w:rsidRPr="008A26D2" w:rsidRDefault="00F72E5F" w:rsidP="00F72E5F">
            <w:pPr>
              <w:spacing w:after="0"/>
              <w:jc w:val="both"/>
              <w:rPr>
                <w:rFonts w:ascii="Arial" w:hAnsi="Arial" w:cs="Arial"/>
                <w:sz w:val="20"/>
                <w:szCs w:val="20"/>
                <w:lang w:val="es-MX"/>
              </w:rPr>
            </w:pPr>
          </w:p>
        </w:tc>
      </w:tr>
      <w:tr w:rsidR="008A26D2" w:rsidRPr="008A26D2" w14:paraId="30F6AB22" w14:textId="77777777" w:rsidTr="00644AAD">
        <w:trPr>
          <w:trHeight w:val="393"/>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4C75433" w14:textId="77777777"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Proveedor del servicio</w:t>
            </w:r>
          </w:p>
        </w:tc>
        <w:tc>
          <w:tcPr>
            <w:tcW w:w="666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DF5FCFA" w14:textId="6D278074"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Servicio Nacional Forestal y de Fauna Silvestre - SERFOR.</w:t>
            </w:r>
          </w:p>
        </w:tc>
      </w:tr>
      <w:tr w:rsidR="008A26D2" w:rsidRPr="008A26D2" w14:paraId="64A87DB8" w14:textId="77777777" w:rsidTr="007A4B4E">
        <w:trPr>
          <w:trHeight w:val="458"/>
          <w:jc w:val="center"/>
        </w:trPr>
        <w:tc>
          <w:tcPr>
            <w:tcW w:w="2263" w:type="dxa"/>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51878680" w14:textId="77777777" w:rsidR="00F72E5F" w:rsidRPr="008A26D2" w:rsidRDefault="00F72E5F" w:rsidP="006167B8">
            <w:pPr>
              <w:spacing w:after="0" w:line="240" w:lineRule="auto"/>
              <w:rPr>
                <w:rFonts w:ascii="Arial" w:hAnsi="Arial" w:cs="Arial"/>
                <w:b/>
                <w:sz w:val="20"/>
                <w:szCs w:val="20"/>
              </w:rPr>
            </w:pPr>
            <w:r w:rsidRPr="008A26D2">
              <w:rPr>
                <w:rFonts w:ascii="Arial" w:hAnsi="Arial" w:cs="Arial"/>
                <w:b/>
                <w:sz w:val="20"/>
                <w:szCs w:val="20"/>
              </w:rPr>
              <w:lastRenderedPageBreak/>
              <w:t>Nivel (es) de gobierno que interviene</w:t>
            </w:r>
          </w:p>
          <w:p w14:paraId="0C78D960" w14:textId="573FCCE4"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(n) en la provisión del servicio</w:t>
            </w:r>
          </w:p>
        </w:tc>
        <w:tc>
          <w:tcPr>
            <w:tcW w:w="2222"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74214EB9" w14:textId="2268CADD" w:rsidR="00F72E5F" w:rsidRPr="008A26D2" w:rsidRDefault="00F72E5F" w:rsidP="00F43B15">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Nacional</w:t>
            </w:r>
          </w:p>
        </w:tc>
        <w:tc>
          <w:tcPr>
            <w:tcW w:w="2222" w:type="dxa"/>
            <w:tcBorders>
              <w:top w:val="single" w:sz="4" w:space="0" w:color="000000"/>
              <w:left w:val="single" w:sz="4" w:space="0" w:color="000000"/>
              <w:right w:val="single" w:sz="4" w:space="0" w:color="000000"/>
            </w:tcBorders>
            <w:shd w:val="clear" w:color="auto" w:fill="auto"/>
            <w:vAlign w:val="center"/>
          </w:tcPr>
          <w:p w14:paraId="3CD60FB6" w14:textId="293B5435" w:rsidR="00F72E5F" w:rsidRPr="008A26D2" w:rsidRDefault="00F72E5F" w:rsidP="00F43B15">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Regional</w:t>
            </w:r>
          </w:p>
        </w:tc>
        <w:tc>
          <w:tcPr>
            <w:tcW w:w="2223" w:type="dxa"/>
            <w:tcBorders>
              <w:top w:val="single" w:sz="4" w:space="0" w:color="000000"/>
              <w:left w:val="single" w:sz="4" w:space="0" w:color="000000"/>
              <w:right w:val="single" w:sz="4" w:space="0" w:color="000000"/>
            </w:tcBorders>
            <w:shd w:val="clear" w:color="auto" w:fill="auto"/>
            <w:vAlign w:val="center"/>
          </w:tcPr>
          <w:p w14:paraId="1337F46C" w14:textId="641A3983" w:rsidR="00F72E5F" w:rsidRPr="008A26D2" w:rsidRDefault="00F72E5F" w:rsidP="00F43B15">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Local</w:t>
            </w:r>
          </w:p>
        </w:tc>
      </w:tr>
      <w:tr w:rsidR="008A26D2" w:rsidRPr="008A26D2" w14:paraId="691B7FCB" w14:textId="77777777" w:rsidTr="007A4B4E">
        <w:trPr>
          <w:trHeight w:val="457"/>
          <w:jc w:val="center"/>
        </w:trPr>
        <w:tc>
          <w:tcPr>
            <w:tcW w:w="2263" w:type="dxa"/>
            <w:vMerge/>
            <w:tcBorders>
              <w:left w:val="single" w:sz="4" w:space="0" w:color="000000"/>
              <w:right w:val="single" w:sz="4" w:space="0" w:color="000000"/>
            </w:tcBorders>
            <w:shd w:val="clear" w:color="auto" w:fill="auto"/>
            <w:tcMar>
              <w:top w:w="15" w:type="dxa"/>
              <w:left w:w="15" w:type="dxa"/>
              <w:bottom w:w="0" w:type="dxa"/>
              <w:right w:w="15" w:type="dxa"/>
            </w:tcMar>
            <w:vAlign w:val="center"/>
          </w:tcPr>
          <w:p w14:paraId="15AC3CFB" w14:textId="77777777" w:rsidR="00F72E5F" w:rsidRPr="008A26D2" w:rsidRDefault="00F72E5F" w:rsidP="00F72E5F">
            <w:pPr>
              <w:spacing w:after="0" w:line="240" w:lineRule="auto"/>
              <w:rPr>
                <w:rFonts w:ascii="Arial" w:hAnsi="Arial" w:cs="Arial"/>
                <w:b/>
                <w:sz w:val="20"/>
                <w:szCs w:val="20"/>
              </w:rPr>
            </w:pPr>
          </w:p>
        </w:tc>
        <w:tc>
          <w:tcPr>
            <w:tcW w:w="2222"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2CF438A8" w14:textId="59E4D5B0" w:rsidR="00F72E5F" w:rsidRPr="008A26D2" w:rsidRDefault="0070056F" w:rsidP="00F43B15">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X</w:t>
            </w:r>
          </w:p>
        </w:tc>
        <w:tc>
          <w:tcPr>
            <w:tcW w:w="2222" w:type="dxa"/>
            <w:tcBorders>
              <w:top w:val="single" w:sz="4" w:space="0" w:color="000000"/>
              <w:left w:val="single" w:sz="4" w:space="0" w:color="000000"/>
              <w:right w:val="single" w:sz="4" w:space="0" w:color="000000"/>
            </w:tcBorders>
            <w:shd w:val="clear" w:color="auto" w:fill="auto"/>
            <w:vAlign w:val="center"/>
          </w:tcPr>
          <w:p w14:paraId="302E598D" w14:textId="77777777" w:rsidR="00F72E5F" w:rsidRPr="008A26D2" w:rsidRDefault="00F72E5F" w:rsidP="00F43B15">
            <w:pPr>
              <w:pBdr>
                <w:top w:val="nil"/>
                <w:left w:val="nil"/>
                <w:bottom w:val="nil"/>
                <w:right w:val="nil"/>
                <w:between w:val="nil"/>
              </w:pBdr>
              <w:spacing w:after="0" w:line="240" w:lineRule="auto"/>
              <w:jc w:val="center"/>
              <w:rPr>
                <w:rFonts w:ascii="Arial" w:eastAsia="Arial Narrow" w:hAnsi="Arial" w:cs="Arial"/>
                <w:sz w:val="20"/>
                <w:szCs w:val="20"/>
              </w:rPr>
            </w:pPr>
          </w:p>
        </w:tc>
        <w:tc>
          <w:tcPr>
            <w:tcW w:w="2223" w:type="dxa"/>
            <w:tcBorders>
              <w:top w:val="single" w:sz="4" w:space="0" w:color="000000"/>
              <w:left w:val="single" w:sz="4" w:space="0" w:color="000000"/>
              <w:right w:val="single" w:sz="4" w:space="0" w:color="000000"/>
            </w:tcBorders>
            <w:shd w:val="clear" w:color="auto" w:fill="auto"/>
            <w:vAlign w:val="center"/>
          </w:tcPr>
          <w:p w14:paraId="0BAC3936" w14:textId="3032EE7F" w:rsidR="00F72E5F" w:rsidRPr="008A26D2" w:rsidRDefault="00F72E5F" w:rsidP="00F43B15">
            <w:pPr>
              <w:pBdr>
                <w:top w:val="nil"/>
                <w:left w:val="nil"/>
                <w:bottom w:val="nil"/>
                <w:right w:val="nil"/>
                <w:between w:val="nil"/>
              </w:pBdr>
              <w:spacing w:after="0" w:line="240" w:lineRule="auto"/>
              <w:jc w:val="center"/>
              <w:rPr>
                <w:rFonts w:ascii="Arial" w:eastAsia="Arial Narrow" w:hAnsi="Arial" w:cs="Arial"/>
                <w:sz w:val="20"/>
                <w:szCs w:val="20"/>
              </w:rPr>
            </w:pPr>
          </w:p>
        </w:tc>
      </w:tr>
      <w:tr w:rsidR="008A26D2" w:rsidRPr="008A26D2" w14:paraId="6EA37CDF" w14:textId="77777777" w:rsidTr="00644AAD">
        <w:trPr>
          <w:trHeight w:val="300"/>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210068E" w14:textId="77777777"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Receptor del servicio</w:t>
            </w:r>
          </w:p>
        </w:tc>
        <w:tc>
          <w:tcPr>
            <w:tcW w:w="666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BD828D6" w14:textId="4E023ACF"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Autoridades Regionales Forestales y de Fauna Silvestre y otros usuarios forestales y de fauna silvestre.</w:t>
            </w:r>
          </w:p>
        </w:tc>
      </w:tr>
      <w:tr w:rsidR="008A26D2" w:rsidRPr="008A26D2" w14:paraId="48E49AF5" w14:textId="77777777" w:rsidTr="00644AAD">
        <w:trPr>
          <w:trHeight w:val="336"/>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0FA73C5" w14:textId="77777777"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Alcance del servicio </w:t>
            </w:r>
          </w:p>
        </w:tc>
        <w:tc>
          <w:tcPr>
            <w:tcW w:w="666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33810AC" w14:textId="77777777"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Nacional</w:t>
            </w:r>
          </w:p>
        </w:tc>
      </w:tr>
      <w:tr w:rsidR="008A26D2" w:rsidRPr="008A26D2" w14:paraId="076B8899" w14:textId="77777777" w:rsidTr="00644AAD">
        <w:trPr>
          <w:trHeight w:val="62"/>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519883E" w14:textId="77777777"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Estándar (es) de cumplimiento</w:t>
            </w:r>
          </w:p>
        </w:tc>
        <w:tc>
          <w:tcPr>
            <w:tcW w:w="666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3F8C60D4" w14:textId="628DDEEF" w:rsidR="00F72E5F" w:rsidRPr="008A26D2" w:rsidRDefault="00F72E5F" w:rsidP="00F72E5F">
            <w:pPr>
              <w:pBdr>
                <w:top w:val="nil"/>
                <w:left w:val="nil"/>
                <w:bottom w:val="nil"/>
                <w:right w:val="nil"/>
                <w:between w:val="nil"/>
              </w:pBdr>
              <w:spacing w:after="0" w:line="240" w:lineRule="auto"/>
              <w:rPr>
                <w:rFonts w:ascii="Arial" w:hAnsi="Arial" w:cs="Arial"/>
                <w:sz w:val="20"/>
                <w:szCs w:val="20"/>
              </w:rPr>
            </w:pPr>
            <w:r w:rsidRPr="008A26D2">
              <w:rPr>
                <w:rFonts w:ascii="Arial" w:eastAsia="Arial Narrow" w:hAnsi="Arial" w:cs="Arial"/>
                <w:sz w:val="20"/>
                <w:szCs w:val="20"/>
              </w:rPr>
              <w:t>Percepción</w:t>
            </w:r>
          </w:p>
        </w:tc>
      </w:tr>
      <w:tr w:rsidR="008A26D2" w:rsidRPr="008A26D2" w14:paraId="75A3883C" w14:textId="77777777" w:rsidTr="00644AAD">
        <w:trPr>
          <w:trHeight w:val="300"/>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364186B" w14:textId="77777777"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Descripción del estándar</w:t>
            </w:r>
          </w:p>
        </w:tc>
        <w:tc>
          <w:tcPr>
            <w:tcW w:w="666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35" w:type="dxa"/>
              <w:bottom w:w="0" w:type="dxa"/>
              <w:right w:w="15" w:type="dxa"/>
            </w:tcMar>
            <w:vAlign w:val="center"/>
          </w:tcPr>
          <w:p w14:paraId="72099B9B" w14:textId="7FB64158" w:rsidR="00F72E5F" w:rsidRPr="008A26D2" w:rsidRDefault="00F72E5F" w:rsidP="00F72E5F">
            <w:pPr>
              <w:pBdr>
                <w:top w:val="nil"/>
                <w:left w:val="nil"/>
                <w:bottom w:val="nil"/>
                <w:right w:val="nil"/>
                <w:between w:val="nil"/>
              </w:pBdr>
              <w:spacing w:after="0" w:line="240" w:lineRule="auto"/>
              <w:jc w:val="both"/>
              <w:rPr>
                <w:rFonts w:ascii="Arial" w:hAnsi="Arial" w:cs="Arial"/>
                <w:strike/>
                <w:sz w:val="20"/>
                <w:szCs w:val="20"/>
              </w:rPr>
            </w:pPr>
            <w:r w:rsidRPr="008A26D2">
              <w:rPr>
                <w:rFonts w:ascii="Arial" w:eastAsia="Arial Narrow" w:hAnsi="Arial" w:cs="Arial"/>
                <w:sz w:val="20"/>
                <w:szCs w:val="20"/>
              </w:rPr>
              <w:t>El estándar del servicio es de percepción debido a que éste satisface las expectativas de asistencia técnica orientado al desarrollo de mecanismos financieros para la conservación, recuperación y uso sostenible de los ecosistemas forestales y otros ecosistemas de vegetación silvestre, así como para la implementación de medidas de mitigación y adaptación al cambio climático, de las Autoridades Regionales Forestales y de Fauna Silvestre y otros usuarios forestales y de fauna silvestre.</w:t>
            </w:r>
          </w:p>
        </w:tc>
      </w:tr>
      <w:tr w:rsidR="00F72E5F" w:rsidRPr="008A26D2" w14:paraId="0544A35E" w14:textId="77777777" w:rsidTr="00644AAD">
        <w:trPr>
          <w:trHeight w:val="491"/>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DAE5A9D" w14:textId="77777777"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Indicador </w:t>
            </w:r>
          </w:p>
        </w:tc>
        <w:tc>
          <w:tcPr>
            <w:tcW w:w="666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44D6F368" w14:textId="3E32A088" w:rsidR="00F72E5F" w:rsidRPr="008A26D2" w:rsidRDefault="00F72E5F" w:rsidP="00F72E5F">
            <w:pPr>
              <w:pBdr>
                <w:top w:val="nil"/>
                <w:left w:val="nil"/>
                <w:bottom w:val="nil"/>
                <w:right w:val="nil"/>
                <w:between w:val="nil"/>
              </w:pBdr>
              <w:spacing w:after="0" w:line="240" w:lineRule="auto"/>
              <w:jc w:val="both"/>
              <w:rPr>
                <w:rFonts w:ascii="Arial" w:hAnsi="Arial" w:cs="Arial"/>
                <w:sz w:val="20"/>
                <w:szCs w:val="20"/>
              </w:rPr>
            </w:pPr>
            <w:r w:rsidRPr="008A26D2">
              <w:rPr>
                <w:rFonts w:ascii="Arial" w:hAnsi="Arial" w:cs="Arial"/>
                <w:sz w:val="20"/>
                <w:szCs w:val="20"/>
              </w:rPr>
              <w:t xml:space="preserve">Porcentaje de servidores de las Autoridades Regionales Forestales y de Fauna Silvestre </w:t>
            </w:r>
            <w:r w:rsidRPr="008A26D2">
              <w:rPr>
                <w:rFonts w:ascii="Arial" w:eastAsia="Arial Narrow" w:hAnsi="Arial" w:cs="Arial"/>
                <w:sz w:val="20"/>
                <w:szCs w:val="20"/>
              </w:rPr>
              <w:t>y otros usuarios forestales y de fauna silvestre</w:t>
            </w:r>
            <w:r w:rsidRPr="008A26D2">
              <w:rPr>
                <w:rFonts w:ascii="Arial" w:hAnsi="Arial" w:cs="Arial"/>
                <w:sz w:val="20"/>
                <w:szCs w:val="20"/>
              </w:rPr>
              <w:t xml:space="preserve"> con alto grado de satisfacción sobre la asistencia técnica recibida.</w:t>
            </w:r>
          </w:p>
        </w:tc>
      </w:tr>
    </w:tbl>
    <w:p w14:paraId="23D22A49" w14:textId="77777777" w:rsidR="00C8135D" w:rsidRPr="008A26D2" w:rsidRDefault="00C8135D">
      <w:pPr>
        <w:rPr>
          <w:rFonts w:ascii="Arial Narrow" w:eastAsia="Arial Narrow" w:hAnsi="Arial Narrow" w:cs="Arial Narrow"/>
          <w:b/>
        </w:rPr>
      </w:pPr>
    </w:p>
    <w:p w14:paraId="7EE22181" w14:textId="39D18138" w:rsidR="00C8135D" w:rsidRPr="008A26D2" w:rsidRDefault="00C8135D" w:rsidP="00DC5551">
      <w:pPr>
        <w:pBdr>
          <w:top w:val="nil"/>
          <w:left w:val="nil"/>
          <w:bottom w:val="nil"/>
          <w:right w:val="nil"/>
          <w:between w:val="nil"/>
        </w:pBdr>
        <w:spacing w:after="0" w:line="240" w:lineRule="auto"/>
        <w:jc w:val="both"/>
        <w:rPr>
          <w:rFonts w:ascii="Arial Narrow" w:eastAsia="Arial Narrow" w:hAnsi="Arial Narrow" w:cs="Arial Narrow"/>
          <w:b/>
        </w:rPr>
      </w:pPr>
      <w:r w:rsidRPr="008A26D2">
        <w:rPr>
          <w:rFonts w:ascii="Arial" w:hAnsi="Arial" w:cs="Arial"/>
          <w:b/>
          <w:bCs/>
        </w:rPr>
        <w:t>S1.4.</w:t>
      </w:r>
      <w:r w:rsidRPr="000C49B7">
        <w:rPr>
          <w:rFonts w:ascii="Arial" w:hAnsi="Arial" w:cs="Arial"/>
          <w:b/>
          <w:bCs/>
        </w:rPr>
        <w:t>2</w:t>
      </w:r>
      <w:r w:rsidRPr="000C49B7">
        <w:rPr>
          <w:rFonts w:ascii="Arial" w:hAnsi="Arial" w:cs="Arial"/>
        </w:rPr>
        <w:t xml:space="preserve"> </w:t>
      </w:r>
      <w:r w:rsidR="000C49B7" w:rsidRPr="000C49B7">
        <w:rPr>
          <w:rFonts w:ascii="Arial" w:hAnsi="Arial" w:cs="Arial"/>
        </w:rPr>
        <w:t>Asistencia técnica para el diseño y actualización de metodologías sobre la estimación del pago por acceso y uso de los recursos forestales y de fauna silvestre de forma satisfactoria dirigida a las Autoridades Regionales Forestales y de Fauna Silvestre</w:t>
      </w:r>
      <w:r w:rsidRPr="008A26D2">
        <w:rPr>
          <w:rFonts w:ascii="Arial" w:hAnsi="Arial" w:cs="Arial"/>
        </w:rPr>
        <w:t>.</w:t>
      </w:r>
    </w:p>
    <w:tbl>
      <w:tblPr>
        <w:tblW w:w="9072" w:type="dxa"/>
        <w:jc w:val="center"/>
        <w:tblLayout w:type="fixed"/>
        <w:tblLook w:val="0600" w:firstRow="0" w:lastRow="0" w:firstColumn="0" w:lastColumn="0" w:noHBand="1" w:noVBand="1"/>
      </w:tblPr>
      <w:tblGrid>
        <w:gridCol w:w="2409"/>
        <w:gridCol w:w="2221"/>
        <w:gridCol w:w="2221"/>
        <w:gridCol w:w="2221"/>
      </w:tblGrid>
      <w:tr w:rsidR="008A26D2" w:rsidRPr="008A26D2" w14:paraId="1A840A44" w14:textId="77777777" w:rsidTr="00C8135D">
        <w:trPr>
          <w:trHeight w:val="300"/>
          <w:jc w:val="center"/>
        </w:trPr>
        <w:tc>
          <w:tcPr>
            <w:tcW w:w="9072"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center"/>
          </w:tcPr>
          <w:p w14:paraId="787E25FB" w14:textId="430EECD5" w:rsidR="00C8135D" w:rsidRPr="008A26D2" w:rsidRDefault="00C8135D" w:rsidP="0072651A">
            <w:pPr>
              <w:jc w:val="center"/>
              <w:rPr>
                <w:rFonts w:ascii="Arial" w:hAnsi="Arial" w:cs="Arial"/>
                <w:sz w:val="20"/>
                <w:szCs w:val="20"/>
              </w:rPr>
            </w:pPr>
            <w:r w:rsidRPr="008A26D2">
              <w:rPr>
                <w:rFonts w:ascii="Arial" w:hAnsi="Arial" w:cs="Arial"/>
                <w:b/>
                <w:sz w:val="20"/>
                <w:szCs w:val="20"/>
              </w:rPr>
              <w:t xml:space="preserve">FICHA DEL SERVICIO </w:t>
            </w:r>
          </w:p>
        </w:tc>
      </w:tr>
      <w:tr w:rsidR="008A26D2" w:rsidRPr="008A26D2" w14:paraId="5032A062" w14:textId="77777777" w:rsidTr="00C8135D">
        <w:trPr>
          <w:trHeight w:val="300"/>
          <w:jc w:val="center"/>
        </w:trPr>
        <w:tc>
          <w:tcPr>
            <w:tcW w:w="24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68AA4C0" w14:textId="77777777" w:rsidR="00C8135D" w:rsidRPr="008A26D2" w:rsidRDefault="00C8135D"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Objetivo prioritario:</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FDF2F9F" w14:textId="77777777" w:rsidR="00C8135D" w:rsidRPr="008A26D2" w:rsidRDefault="00C8135D" w:rsidP="0072651A">
            <w:pPr>
              <w:pBdr>
                <w:top w:val="nil"/>
                <w:left w:val="nil"/>
                <w:bottom w:val="nil"/>
                <w:right w:val="nil"/>
                <w:between w:val="nil"/>
              </w:pBdr>
              <w:spacing w:after="0" w:line="240" w:lineRule="auto"/>
              <w:jc w:val="both"/>
              <w:rPr>
                <w:rFonts w:ascii="Arial" w:hAnsi="Arial" w:cs="Arial"/>
                <w:sz w:val="20"/>
                <w:szCs w:val="20"/>
              </w:rPr>
            </w:pPr>
            <w:r w:rsidRPr="008A26D2">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r>
      <w:tr w:rsidR="008A26D2" w:rsidRPr="008A26D2" w14:paraId="7A62976A" w14:textId="77777777" w:rsidTr="00C8135D">
        <w:trPr>
          <w:trHeight w:val="300"/>
          <w:jc w:val="center"/>
        </w:trPr>
        <w:tc>
          <w:tcPr>
            <w:tcW w:w="24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13F9D3A" w14:textId="77777777" w:rsidR="00C8135D" w:rsidRPr="008A26D2" w:rsidRDefault="00C8135D"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Lineamiento:</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B48DD3B" w14:textId="75AB724B" w:rsidR="0076444F" w:rsidRPr="0076444F" w:rsidRDefault="00C8135D" w:rsidP="0076444F">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L1.4 </w:t>
            </w:r>
            <w:r w:rsidR="0076444F" w:rsidRPr="0076444F">
              <w:rPr>
                <w:rFonts w:ascii="Arial" w:eastAsia="Arial Narrow" w:hAnsi="Arial" w:cs="Arial"/>
                <w:sz w:val="20"/>
                <w:szCs w:val="20"/>
              </w:rPr>
              <w:t xml:space="preserve">Incentivar el desarrollo de mecanismos de retribución por servicios ecosistémicos para la conservación, recuperación y uso sostenible de los ecosistemas forestales y otros ecosistemas de vegetación silvestre. </w:t>
            </w:r>
          </w:p>
          <w:p w14:paraId="407F9ACE" w14:textId="355C0E0E" w:rsidR="00C8135D" w:rsidRPr="008A26D2" w:rsidRDefault="00C8135D" w:rsidP="0072651A">
            <w:pPr>
              <w:pBdr>
                <w:top w:val="nil"/>
                <w:left w:val="nil"/>
                <w:bottom w:val="nil"/>
                <w:right w:val="nil"/>
                <w:between w:val="nil"/>
              </w:pBdr>
              <w:spacing w:after="0" w:line="240" w:lineRule="auto"/>
              <w:jc w:val="both"/>
              <w:rPr>
                <w:rFonts w:ascii="Arial" w:eastAsia="Arial Narrow" w:hAnsi="Arial" w:cs="Arial"/>
                <w:sz w:val="20"/>
                <w:szCs w:val="20"/>
              </w:rPr>
            </w:pPr>
          </w:p>
        </w:tc>
      </w:tr>
      <w:tr w:rsidR="008A26D2" w:rsidRPr="008A26D2" w14:paraId="687B74FE" w14:textId="77777777" w:rsidTr="00C8135D">
        <w:trPr>
          <w:trHeight w:val="300"/>
          <w:jc w:val="center"/>
        </w:trPr>
        <w:tc>
          <w:tcPr>
            <w:tcW w:w="24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357C1C2" w14:textId="77777777" w:rsidR="00C8135D" w:rsidRPr="008A26D2" w:rsidRDefault="00C8135D"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Nombre del servicio:</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8B0F9E1" w14:textId="255A0BCA" w:rsidR="00C8135D" w:rsidRPr="008A26D2" w:rsidRDefault="00C8135D" w:rsidP="0072651A">
            <w:pPr>
              <w:pBdr>
                <w:top w:val="nil"/>
                <w:left w:val="nil"/>
                <w:bottom w:val="nil"/>
                <w:right w:val="nil"/>
                <w:between w:val="nil"/>
              </w:pBdr>
              <w:spacing w:after="0" w:line="240" w:lineRule="auto"/>
              <w:jc w:val="both"/>
              <w:rPr>
                <w:rFonts w:ascii="Arial" w:hAnsi="Arial" w:cs="Arial"/>
                <w:sz w:val="20"/>
                <w:szCs w:val="20"/>
              </w:rPr>
            </w:pPr>
            <w:r w:rsidRPr="008A26D2">
              <w:rPr>
                <w:rFonts w:ascii="Arial" w:hAnsi="Arial" w:cs="Arial"/>
                <w:sz w:val="20"/>
                <w:szCs w:val="20"/>
              </w:rPr>
              <w:t xml:space="preserve">S1.4.2 Asistencia técnica para </w:t>
            </w:r>
            <w:r w:rsidR="007D7C71" w:rsidRPr="008A26D2">
              <w:rPr>
                <w:rFonts w:ascii="Arial" w:hAnsi="Arial" w:cs="Arial"/>
                <w:sz w:val="20"/>
                <w:szCs w:val="20"/>
              </w:rPr>
              <w:t xml:space="preserve">el diseño </w:t>
            </w:r>
            <w:r w:rsidR="00C66D2A" w:rsidRPr="008A26D2">
              <w:rPr>
                <w:rFonts w:ascii="Arial" w:hAnsi="Arial" w:cs="Arial"/>
                <w:sz w:val="20"/>
                <w:szCs w:val="20"/>
              </w:rPr>
              <w:t xml:space="preserve">y actualización de </w:t>
            </w:r>
            <w:r w:rsidRPr="008A26D2">
              <w:rPr>
                <w:rFonts w:ascii="Arial" w:hAnsi="Arial" w:cs="Arial"/>
                <w:sz w:val="20"/>
                <w:szCs w:val="20"/>
              </w:rPr>
              <w:t xml:space="preserve">metodologías sobre la estimación del pago por acceso y uso de los recursos forestales y de fauna silvestre de forma satisfactoria </w:t>
            </w:r>
            <w:r w:rsidR="00DF7FB6" w:rsidRPr="008A26D2">
              <w:rPr>
                <w:rFonts w:ascii="Arial" w:hAnsi="Arial" w:cs="Arial"/>
                <w:sz w:val="20"/>
                <w:szCs w:val="20"/>
              </w:rPr>
              <w:t xml:space="preserve">dirigida </w:t>
            </w:r>
            <w:r w:rsidRPr="008A26D2">
              <w:rPr>
                <w:rFonts w:ascii="Arial" w:hAnsi="Arial" w:cs="Arial"/>
                <w:sz w:val="20"/>
                <w:szCs w:val="20"/>
              </w:rPr>
              <w:t>a las Autoridades Regionales Forestales y de Fauna Silvestre.</w:t>
            </w:r>
          </w:p>
          <w:p w14:paraId="486F14BD" w14:textId="77777777" w:rsidR="00C8135D" w:rsidRPr="008A26D2" w:rsidRDefault="00C8135D" w:rsidP="0072651A">
            <w:pPr>
              <w:pBdr>
                <w:top w:val="nil"/>
                <w:left w:val="nil"/>
                <w:bottom w:val="nil"/>
                <w:right w:val="nil"/>
                <w:between w:val="nil"/>
              </w:pBdr>
              <w:spacing w:after="0" w:line="240" w:lineRule="auto"/>
              <w:jc w:val="both"/>
              <w:rPr>
                <w:rFonts w:ascii="Arial" w:eastAsia="Arial Narrow" w:hAnsi="Arial" w:cs="Arial"/>
                <w:strike/>
                <w:sz w:val="20"/>
                <w:szCs w:val="20"/>
              </w:rPr>
            </w:pPr>
          </w:p>
        </w:tc>
      </w:tr>
      <w:tr w:rsidR="008A26D2" w:rsidRPr="008A26D2" w14:paraId="4FDD3A44" w14:textId="77777777" w:rsidTr="00C8135D">
        <w:trPr>
          <w:trHeight w:val="300"/>
          <w:jc w:val="center"/>
        </w:trPr>
        <w:tc>
          <w:tcPr>
            <w:tcW w:w="24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3442869" w14:textId="77777777" w:rsidR="00C8135D" w:rsidRPr="008A26D2" w:rsidRDefault="00C8135D"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Tipo de servicio:</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8CF32D0" w14:textId="77777777" w:rsidR="00C8135D" w:rsidRPr="008A26D2" w:rsidRDefault="00C8135D" w:rsidP="0072651A">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Nuevo</w:t>
            </w:r>
          </w:p>
        </w:tc>
      </w:tr>
      <w:tr w:rsidR="008A26D2" w:rsidRPr="008A26D2" w14:paraId="23BEFE17" w14:textId="77777777" w:rsidTr="00C8135D">
        <w:trPr>
          <w:trHeight w:val="300"/>
          <w:jc w:val="center"/>
        </w:trPr>
        <w:tc>
          <w:tcPr>
            <w:tcW w:w="24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6FCD7A4" w14:textId="3238CB9C"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Naturaleza del servicio:</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CE97874" w14:textId="35170B32" w:rsidR="00F72E5F" w:rsidRPr="008A26D2" w:rsidRDefault="001954F3"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A</w:t>
            </w:r>
            <w:r w:rsidR="00F72E5F" w:rsidRPr="008A26D2">
              <w:rPr>
                <w:rFonts w:ascii="Arial" w:eastAsia="Arial Narrow" w:hAnsi="Arial" w:cs="Arial"/>
                <w:sz w:val="20"/>
                <w:szCs w:val="20"/>
              </w:rPr>
              <w:t>dministrativo</w:t>
            </w:r>
          </w:p>
        </w:tc>
      </w:tr>
      <w:tr w:rsidR="008A26D2" w:rsidRPr="008A26D2" w14:paraId="6F601F31" w14:textId="77777777" w:rsidTr="00C8135D">
        <w:trPr>
          <w:trHeight w:val="300"/>
          <w:jc w:val="center"/>
        </w:trPr>
        <w:tc>
          <w:tcPr>
            <w:tcW w:w="24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CE84CDF" w14:textId="285C13C6"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Entrega del servicio</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6D9DF81" w14:textId="394DB041"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Competencia exclusiva </w:t>
            </w:r>
          </w:p>
        </w:tc>
      </w:tr>
      <w:tr w:rsidR="008A26D2" w:rsidRPr="008A26D2" w14:paraId="1FFC8AD9" w14:textId="77777777" w:rsidTr="00C8135D">
        <w:trPr>
          <w:trHeight w:val="300"/>
          <w:jc w:val="center"/>
        </w:trPr>
        <w:tc>
          <w:tcPr>
            <w:tcW w:w="24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5112156" w14:textId="77777777"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Descripción del servicio</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D38C9E4" w14:textId="7AEB65B6"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El presente servicio consiste en brindar asistencia técnica a las Autoridades Regionales Forestales y de Fauna Silvestre a través de talleres, charlas, cursos u otros, para asegurar la gestión eficiente del uso del territorio en los ecosistemas forestales y otros ecosistemas de vegetación silvestre mediante </w:t>
            </w:r>
            <w:r w:rsidRPr="008A26D2">
              <w:rPr>
                <w:rFonts w:ascii="Arial" w:hAnsi="Arial" w:cs="Arial"/>
                <w:sz w:val="20"/>
                <w:szCs w:val="20"/>
              </w:rPr>
              <w:t>el diseño y actualización de metodologías, sobre la estimación del pago por acceso y uso de los recursos forestales y de fauna silvestre</w:t>
            </w:r>
            <w:r w:rsidRPr="008A26D2">
              <w:rPr>
                <w:rFonts w:ascii="Arial" w:eastAsia="Arial Narrow" w:hAnsi="Arial" w:cs="Arial"/>
                <w:sz w:val="20"/>
                <w:szCs w:val="20"/>
              </w:rPr>
              <w:t xml:space="preserve">. </w:t>
            </w:r>
          </w:p>
          <w:p w14:paraId="76A60E29" w14:textId="7C96DD56"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La asistencia técnica desarrolla,</w:t>
            </w:r>
            <w:r w:rsidR="00B46D57" w:rsidRPr="008A26D2">
              <w:rPr>
                <w:rFonts w:ascii="Arial" w:eastAsia="Arial Narrow" w:hAnsi="Arial" w:cs="Arial"/>
                <w:sz w:val="20"/>
                <w:szCs w:val="20"/>
              </w:rPr>
              <w:t xml:space="preserve"> </w:t>
            </w:r>
            <w:r w:rsidRPr="008A26D2">
              <w:rPr>
                <w:rFonts w:ascii="Arial" w:eastAsia="Arial Narrow" w:hAnsi="Arial" w:cs="Arial"/>
                <w:sz w:val="20"/>
                <w:szCs w:val="20"/>
              </w:rPr>
              <w:t>entre otras, las siguientes temáticas:</w:t>
            </w:r>
          </w:p>
          <w:p w14:paraId="5B7A2F08" w14:textId="77777777" w:rsidR="00F72E5F" w:rsidRPr="008A26D2" w:rsidRDefault="00F72E5F" w:rsidP="00F72E5F">
            <w:pPr>
              <w:pStyle w:val="Prrafodelista"/>
              <w:numPr>
                <w:ilvl w:val="0"/>
                <w:numId w:val="5"/>
              </w:num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Metodologías de valoración económica  </w:t>
            </w:r>
          </w:p>
          <w:p w14:paraId="796B34B9" w14:textId="13B1839B" w:rsidR="00F72E5F" w:rsidRPr="008A26D2" w:rsidRDefault="00F72E5F" w:rsidP="00F72E5F">
            <w:pPr>
              <w:pStyle w:val="Prrafodelista"/>
              <w:numPr>
                <w:ilvl w:val="0"/>
                <w:numId w:val="5"/>
              </w:num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Análisis de costo/beneficio  </w:t>
            </w:r>
          </w:p>
          <w:p w14:paraId="20D28FD9" w14:textId="77777777"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Se toma como referencia las funciones transferidas a las autoridades regionales en materia de otorgamiento de permisos, autorizaciones y concesiones forestales, en áreas al interior de la región, así como ejercer labores de promoción y fiscalización en estricto cumplimiento de la normativa forestal y de fauna silvestre para cubrir las necesidades de capacitación de acuerdo con el ámbito geográfico.</w:t>
            </w:r>
          </w:p>
          <w:p w14:paraId="48E54E60" w14:textId="77777777" w:rsidR="00F72E5F" w:rsidRPr="008A26D2" w:rsidRDefault="00F72E5F" w:rsidP="00F72E5F">
            <w:pPr>
              <w:pStyle w:val="Prrafodelista"/>
              <w:pBdr>
                <w:top w:val="nil"/>
                <w:left w:val="nil"/>
                <w:bottom w:val="nil"/>
                <w:right w:val="nil"/>
                <w:between w:val="nil"/>
              </w:pBdr>
              <w:spacing w:after="0" w:line="240" w:lineRule="auto"/>
              <w:jc w:val="both"/>
              <w:rPr>
                <w:rFonts w:ascii="Arial" w:eastAsia="Arial Narrow" w:hAnsi="Arial" w:cs="Arial"/>
                <w:sz w:val="20"/>
                <w:szCs w:val="20"/>
              </w:rPr>
            </w:pPr>
          </w:p>
        </w:tc>
      </w:tr>
      <w:tr w:rsidR="008A26D2" w:rsidRPr="008A26D2" w14:paraId="6F432BE2" w14:textId="77777777" w:rsidTr="00C8135D">
        <w:trPr>
          <w:trHeight w:val="300"/>
          <w:jc w:val="center"/>
        </w:trPr>
        <w:tc>
          <w:tcPr>
            <w:tcW w:w="24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66775BC" w14:textId="77777777"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lastRenderedPageBreak/>
              <w:t xml:space="preserve"> Proveedor del servicio</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A1C6B0A" w14:textId="77777777"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Servicio Nacional Forestal y de Fauna Silvestre - SERFOR.</w:t>
            </w:r>
          </w:p>
        </w:tc>
      </w:tr>
      <w:tr w:rsidR="008A26D2" w:rsidRPr="008A26D2" w14:paraId="0447992B" w14:textId="77777777" w:rsidTr="00685B06">
        <w:trPr>
          <w:trHeight w:val="458"/>
          <w:jc w:val="center"/>
        </w:trPr>
        <w:tc>
          <w:tcPr>
            <w:tcW w:w="2409" w:type="dxa"/>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35C2EB62" w14:textId="77777777" w:rsidR="00F72E5F" w:rsidRPr="008A26D2" w:rsidRDefault="00F72E5F" w:rsidP="00B46D57">
            <w:pPr>
              <w:spacing w:after="0" w:line="240" w:lineRule="auto"/>
              <w:rPr>
                <w:rFonts w:ascii="Arial" w:hAnsi="Arial" w:cs="Arial"/>
                <w:b/>
                <w:sz w:val="20"/>
                <w:szCs w:val="20"/>
              </w:rPr>
            </w:pPr>
            <w:r w:rsidRPr="008A26D2">
              <w:rPr>
                <w:rFonts w:ascii="Arial" w:hAnsi="Arial" w:cs="Arial"/>
                <w:b/>
                <w:sz w:val="20"/>
                <w:szCs w:val="20"/>
              </w:rPr>
              <w:t>Nivel (es) de gobierno que interviene</w:t>
            </w:r>
          </w:p>
          <w:p w14:paraId="24E39AD5" w14:textId="11CCD88F"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(n) en la provisión del servicio</w:t>
            </w:r>
          </w:p>
        </w:tc>
        <w:tc>
          <w:tcPr>
            <w:tcW w:w="2221"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45AEF319" w14:textId="7C6375BC" w:rsidR="00F72E5F" w:rsidRPr="008A26D2" w:rsidRDefault="00F72E5F" w:rsidP="000C49B7">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Nacional</w:t>
            </w:r>
          </w:p>
        </w:tc>
        <w:tc>
          <w:tcPr>
            <w:tcW w:w="2221" w:type="dxa"/>
            <w:tcBorders>
              <w:top w:val="single" w:sz="4" w:space="0" w:color="000000"/>
              <w:left w:val="single" w:sz="4" w:space="0" w:color="000000"/>
              <w:right w:val="single" w:sz="4" w:space="0" w:color="000000"/>
            </w:tcBorders>
            <w:shd w:val="clear" w:color="auto" w:fill="auto"/>
            <w:vAlign w:val="center"/>
          </w:tcPr>
          <w:p w14:paraId="63B0DC3F" w14:textId="0EA8A5A3" w:rsidR="00F72E5F" w:rsidRPr="008A26D2" w:rsidRDefault="00F72E5F" w:rsidP="000C49B7">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Regional</w:t>
            </w:r>
          </w:p>
        </w:tc>
        <w:tc>
          <w:tcPr>
            <w:tcW w:w="2221" w:type="dxa"/>
            <w:tcBorders>
              <w:top w:val="single" w:sz="4" w:space="0" w:color="000000"/>
              <w:left w:val="single" w:sz="4" w:space="0" w:color="000000"/>
              <w:right w:val="single" w:sz="4" w:space="0" w:color="000000"/>
            </w:tcBorders>
            <w:shd w:val="clear" w:color="auto" w:fill="auto"/>
            <w:vAlign w:val="center"/>
          </w:tcPr>
          <w:p w14:paraId="4AB7B27F" w14:textId="76E706E6" w:rsidR="00F72E5F" w:rsidRPr="008A26D2" w:rsidRDefault="00F72E5F" w:rsidP="000C49B7">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Local</w:t>
            </w:r>
          </w:p>
        </w:tc>
      </w:tr>
      <w:tr w:rsidR="008A26D2" w:rsidRPr="008A26D2" w14:paraId="5DFAEA60" w14:textId="77777777" w:rsidTr="00685B06">
        <w:trPr>
          <w:trHeight w:val="457"/>
          <w:jc w:val="center"/>
        </w:trPr>
        <w:tc>
          <w:tcPr>
            <w:tcW w:w="2409" w:type="dxa"/>
            <w:vMerge/>
            <w:tcBorders>
              <w:left w:val="single" w:sz="4" w:space="0" w:color="000000"/>
              <w:right w:val="single" w:sz="4" w:space="0" w:color="000000"/>
            </w:tcBorders>
            <w:shd w:val="clear" w:color="auto" w:fill="auto"/>
            <w:tcMar>
              <w:top w:w="15" w:type="dxa"/>
              <w:left w:w="15" w:type="dxa"/>
              <w:bottom w:w="0" w:type="dxa"/>
              <w:right w:w="15" w:type="dxa"/>
            </w:tcMar>
            <w:vAlign w:val="center"/>
          </w:tcPr>
          <w:p w14:paraId="2F3638E6" w14:textId="77777777" w:rsidR="00F72E5F" w:rsidRPr="008A26D2" w:rsidRDefault="00F72E5F" w:rsidP="00F72E5F">
            <w:pPr>
              <w:spacing w:after="0" w:line="240" w:lineRule="auto"/>
              <w:rPr>
                <w:rFonts w:ascii="Arial" w:hAnsi="Arial" w:cs="Arial"/>
                <w:b/>
                <w:sz w:val="20"/>
                <w:szCs w:val="20"/>
              </w:rPr>
            </w:pPr>
          </w:p>
        </w:tc>
        <w:tc>
          <w:tcPr>
            <w:tcW w:w="2221"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36E807A1" w14:textId="6E147CEC" w:rsidR="00F72E5F" w:rsidRPr="008A26D2" w:rsidRDefault="001954F3" w:rsidP="000C49B7">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X</w:t>
            </w:r>
          </w:p>
        </w:tc>
        <w:tc>
          <w:tcPr>
            <w:tcW w:w="2221" w:type="dxa"/>
            <w:tcBorders>
              <w:top w:val="single" w:sz="4" w:space="0" w:color="000000"/>
              <w:left w:val="single" w:sz="4" w:space="0" w:color="000000"/>
              <w:right w:val="single" w:sz="4" w:space="0" w:color="000000"/>
            </w:tcBorders>
            <w:shd w:val="clear" w:color="auto" w:fill="auto"/>
            <w:vAlign w:val="center"/>
          </w:tcPr>
          <w:p w14:paraId="7E796FE5" w14:textId="77777777" w:rsidR="00F72E5F" w:rsidRPr="008A26D2" w:rsidRDefault="00F72E5F" w:rsidP="000C49B7">
            <w:pPr>
              <w:pBdr>
                <w:top w:val="nil"/>
                <w:left w:val="nil"/>
                <w:bottom w:val="nil"/>
                <w:right w:val="nil"/>
                <w:between w:val="nil"/>
              </w:pBdr>
              <w:spacing w:after="0" w:line="240" w:lineRule="auto"/>
              <w:jc w:val="center"/>
              <w:rPr>
                <w:rFonts w:ascii="Arial" w:eastAsia="Arial Narrow" w:hAnsi="Arial" w:cs="Arial"/>
                <w:sz w:val="20"/>
                <w:szCs w:val="20"/>
              </w:rPr>
            </w:pPr>
          </w:p>
        </w:tc>
        <w:tc>
          <w:tcPr>
            <w:tcW w:w="2221" w:type="dxa"/>
            <w:tcBorders>
              <w:top w:val="single" w:sz="4" w:space="0" w:color="000000"/>
              <w:left w:val="single" w:sz="4" w:space="0" w:color="000000"/>
              <w:right w:val="single" w:sz="4" w:space="0" w:color="000000"/>
            </w:tcBorders>
            <w:shd w:val="clear" w:color="auto" w:fill="auto"/>
            <w:vAlign w:val="center"/>
          </w:tcPr>
          <w:p w14:paraId="4E318CFF" w14:textId="4BD49F17" w:rsidR="00F72E5F" w:rsidRPr="008A26D2" w:rsidRDefault="00F72E5F" w:rsidP="000C49B7">
            <w:pPr>
              <w:pBdr>
                <w:top w:val="nil"/>
                <w:left w:val="nil"/>
                <w:bottom w:val="nil"/>
                <w:right w:val="nil"/>
                <w:between w:val="nil"/>
              </w:pBdr>
              <w:spacing w:after="0" w:line="240" w:lineRule="auto"/>
              <w:jc w:val="center"/>
              <w:rPr>
                <w:rFonts w:ascii="Arial" w:eastAsia="Arial Narrow" w:hAnsi="Arial" w:cs="Arial"/>
                <w:sz w:val="20"/>
                <w:szCs w:val="20"/>
              </w:rPr>
            </w:pPr>
          </w:p>
        </w:tc>
      </w:tr>
      <w:tr w:rsidR="008A26D2" w:rsidRPr="008A26D2" w14:paraId="1447FBB8" w14:textId="77777777" w:rsidTr="00C8135D">
        <w:trPr>
          <w:trHeight w:val="300"/>
          <w:jc w:val="center"/>
        </w:trPr>
        <w:tc>
          <w:tcPr>
            <w:tcW w:w="24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EF7615A" w14:textId="77777777"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Receptor del servicio</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35EBB65" w14:textId="77777777"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Autoridades Regionales Forestales y de Fauna Silvestre</w:t>
            </w:r>
          </w:p>
        </w:tc>
      </w:tr>
      <w:tr w:rsidR="008A26D2" w:rsidRPr="008A26D2" w14:paraId="23592AF2" w14:textId="77777777" w:rsidTr="00C8135D">
        <w:trPr>
          <w:trHeight w:val="211"/>
          <w:jc w:val="center"/>
        </w:trPr>
        <w:tc>
          <w:tcPr>
            <w:tcW w:w="24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8907638" w14:textId="77777777"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Alcance del servicio </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9141AE9" w14:textId="77777777"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Nacional</w:t>
            </w:r>
          </w:p>
        </w:tc>
      </w:tr>
      <w:tr w:rsidR="008A26D2" w:rsidRPr="008A26D2" w14:paraId="75C7ECCB" w14:textId="77777777" w:rsidTr="00C8135D">
        <w:trPr>
          <w:trHeight w:val="62"/>
          <w:jc w:val="center"/>
        </w:trPr>
        <w:tc>
          <w:tcPr>
            <w:tcW w:w="24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ED158A3" w14:textId="77777777"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Estándar (es) de cumplimiento</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30422D13" w14:textId="77777777" w:rsidR="00F72E5F" w:rsidRPr="008A26D2" w:rsidRDefault="00F72E5F" w:rsidP="00F72E5F">
            <w:pPr>
              <w:pBdr>
                <w:top w:val="nil"/>
                <w:left w:val="nil"/>
                <w:bottom w:val="nil"/>
                <w:right w:val="nil"/>
                <w:between w:val="nil"/>
              </w:pBdr>
              <w:spacing w:after="0" w:line="240" w:lineRule="auto"/>
              <w:rPr>
                <w:rFonts w:ascii="Arial" w:hAnsi="Arial" w:cs="Arial"/>
                <w:sz w:val="20"/>
                <w:szCs w:val="20"/>
              </w:rPr>
            </w:pPr>
            <w:r w:rsidRPr="008A26D2">
              <w:rPr>
                <w:rFonts w:ascii="Arial" w:eastAsia="Arial Narrow" w:hAnsi="Arial" w:cs="Arial"/>
                <w:sz w:val="20"/>
                <w:szCs w:val="20"/>
              </w:rPr>
              <w:t>Percepción</w:t>
            </w:r>
          </w:p>
        </w:tc>
      </w:tr>
      <w:tr w:rsidR="008A26D2" w:rsidRPr="008A26D2" w14:paraId="2FC16271" w14:textId="77777777" w:rsidTr="00C8135D">
        <w:trPr>
          <w:trHeight w:val="300"/>
          <w:jc w:val="center"/>
        </w:trPr>
        <w:tc>
          <w:tcPr>
            <w:tcW w:w="24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1D41F1C" w14:textId="77777777"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Descripción del estándar</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35" w:type="dxa"/>
              <w:bottom w:w="0" w:type="dxa"/>
              <w:right w:w="15" w:type="dxa"/>
            </w:tcMar>
            <w:vAlign w:val="center"/>
          </w:tcPr>
          <w:p w14:paraId="11BA364A" w14:textId="27D86F0E"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El estándar del servicio es de percepción debido a que éste satisface las expectativas de capacitación en gestión del uso del territorio para la conservación y aprovechamiento de los ecosistemas forestales y otros ecosistemas de vegetación silvestre de las Autoridades Regionales Forestales y de Fauna Silvestre.</w:t>
            </w:r>
          </w:p>
        </w:tc>
      </w:tr>
      <w:tr w:rsidR="00F72E5F" w:rsidRPr="008A26D2" w14:paraId="2DC36561" w14:textId="77777777" w:rsidTr="00C8135D">
        <w:trPr>
          <w:trHeight w:val="491"/>
          <w:jc w:val="center"/>
        </w:trPr>
        <w:tc>
          <w:tcPr>
            <w:tcW w:w="24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8EA4D50" w14:textId="35D3036D"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Indicador de calidad</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3FA4BBBF" w14:textId="169D92A7"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Times New Roman" w:hAnsi="Arial" w:cs="Arial"/>
                <w:sz w:val="20"/>
                <w:szCs w:val="20"/>
              </w:rPr>
              <w:t xml:space="preserve">Porcentaje de servidores de las </w:t>
            </w:r>
            <w:r w:rsidRPr="008A26D2">
              <w:rPr>
                <w:rFonts w:ascii="Arial" w:eastAsia="Arial Narrow" w:hAnsi="Arial" w:cs="Arial"/>
                <w:sz w:val="20"/>
                <w:szCs w:val="20"/>
              </w:rPr>
              <w:t xml:space="preserve">Autoridades Regionales Forestales y de Fauna silvestre </w:t>
            </w:r>
            <w:r w:rsidRPr="008A26D2">
              <w:rPr>
                <w:rFonts w:ascii="Arial" w:eastAsia="Times New Roman" w:hAnsi="Arial" w:cs="Arial"/>
                <w:sz w:val="20"/>
                <w:szCs w:val="20"/>
                <w:lang w:val="es-ES"/>
              </w:rPr>
              <w:t>con alto grado de satisfacción sobre la asistencia técnica recibida en</w:t>
            </w:r>
            <w:r w:rsidRPr="008A26D2">
              <w:rPr>
                <w:rFonts w:ascii="Arial" w:hAnsi="Arial" w:cs="Arial"/>
                <w:sz w:val="20"/>
                <w:szCs w:val="20"/>
              </w:rPr>
              <w:t xml:space="preserve"> el desarrollo y actualización de metodologías sobre la estimación del pago por acceso y uso de los recursos forestales y de fauna silvestre</w:t>
            </w:r>
            <w:r w:rsidRPr="008A26D2">
              <w:rPr>
                <w:rFonts w:ascii="Arial" w:eastAsia="Arial Narrow" w:hAnsi="Arial" w:cs="Arial"/>
                <w:sz w:val="20"/>
                <w:szCs w:val="20"/>
              </w:rPr>
              <w:t>.</w:t>
            </w:r>
          </w:p>
        </w:tc>
      </w:tr>
    </w:tbl>
    <w:p w14:paraId="74607BD1" w14:textId="11C87AA0" w:rsidR="00C8135D" w:rsidRPr="008A26D2" w:rsidRDefault="00C8135D" w:rsidP="00C8135D">
      <w:pPr>
        <w:jc w:val="both"/>
        <w:rPr>
          <w:rFonts w:ascii="Arial Narrow" w:eastAsia="Arial Narrow" w:hAnsi="Arial Narrow" w:cs="Arial Narrow"/>
          <w:b/>
        </w:rPr>
      </w:pPr>
    </w:p>
    <w:p w14:paraId="5315066B" w14:textId="7AF392D6" w:rsidR="00B359C3" w:rsidRPr="008A26D2" w:rsidRDefault="00B359C3" w:rsidP="00C8135D">
      <w:pPr>
        <w:jc w:val="both"/>
        <w:rPr>
          <w:rFonts w:ascii="Arial" w:eastAsia="Arial Narrow" w:hAnsi="Arial" w:cs="Arial"/>
          <w:b/>
        </w:rPr>
      </w:pPr>
      <w:r w:rsidRPr="008A26D2">
        <w:rPr>
          <w:rFonts w:ascii="Arial" w:eastAsia="Times New Roman" w:hAnsi="Arial" w:cs="Arial"/>
          <w:b/>
        </w:rPr>
        <w:t>S1.5.1</w:t>
      </w:r>
      <w:r w:rsidRPr="008A26D2">
        <w:rPr>
          <w:rFonts w:ascii="Arial" w:eastAsia="Times New Roman" w:hAnsi="Arial" w:cs="Arial"/>
        </w:rPr>
        <w:t xml:space="preserve"> Asistencia técnica en zonificación forestal de forma fiable para los gobiernos regionales</w:t>
      </w:r>
    </w:p>
    <w:tbl>
      <w:tblPr>
        <w:tblW w:w="8789" w:type="dxa"/>
        <w:tblInd w:w="-5" w:type="dxa"/>
        <w:tblLayout w:type="fixed"/>
        <w:tblLook w:val="0600" w:firstRow="0" w:lastRow="0" w:firstColumn="0" w:lastColumn="0" w:noHBand="1" w:noVBand="1"/>
      </w:tblPr>
      <w:tblGrid>
        <w:gridCol w:w="2835"/>
        <w:gridCol w:w="1984"/>
        <w:gridCol w:w="1985"/>
        <w:gridCol w:w="1985"/>
      </w:tblGrid>
      <w:tr w:rsidR="008A26D2" w:rsidRPr="008A26D2" w14:paraId="4DDA940D" w14:textId="77777777" w:rsidTr="00B359C3">
        <w:trPr>
          <w:trHeight w:val="300"/>
        </w:trPr>
        <w:tc>
          <w:tcPr>
            <w:tcW w:w="8789"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center"/>
          </w:tcPr>
          <w:p w14:paraId="0C810CF4" w14:textId="41B5AC9D" w:rsidR="00B359C3" w:rsidRPr="008A26D2" w:rsidRDefault="00B359C3" w:rsidP="00B359C3">
            <w:pPr>
              <w:jc w:val="center"/>
              <w:rPr>
                <w:rFonts w:ascii="Arial" w:eastAsia="Times New Roman" w:hAnsi="Arial" w:cs="Arial"/>
                <w:sz w:val="20"/>
                <w:szCs w:val="20"/>
              </w:rPr>
            </w:pPr>
            <w:r w:rsidRPr="008A26D2">
              <w:rPr>
                <w:rFonts w:ascii="Arial" w:eastAsia="Times New Roman" w:hAnsi="Arial" w:cs="Arial"/>
                <w:b/>
                <w:sz w:val="20"/>
                <w:szCs w:val="20"/>
              </w:rPr>
              <w:t xml:space="preserve">FICHA DEL SERVICIO </w:t>
            </w:r>
          </w:p>
        </w:tc>
      </w:tr>
      <w:tr w:rsidR="008A26D2" w:rsidRPr="008A26D2" w14:paraId="76455B8A" w14:textId="77777777" w:rsidTr="00B359C3">
        <w:trPr>
          <w:trHeight w:val="300"/>
        </w:trPr>
        <w:tc>
          <w:tcPr>
            <w:tcW w:w="283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556EA564" w14:textId="77777777" w:rsidR="00B359C3" w:rsidRPr="008A26D2" w:rsidRDefault="00B359C3" w:rsidP="00B359C3">
            <w:pPr>
              <w:spacing w:after="0" w:line="240" w:lineRule="auto"/>
              <w:rPr>
                <w:rFonts w:ascii="Arial" w:eastAsia="Times New Roman" w:hAnsi="Arial" w:cs="Arial"/>
                <w:b/>
                <w:sz w:val="20"/>
                <w:szCs w:val="20"/>
              </w:rPr>
            </w:pPr>
            <w:r w:rsidRPr="008A26D2">
              <w:rPr>
                <w:rFonts w:ascii="Arial" w:eastAsia="Times New Roman" w:hAnsi="Arial" w:cs="Arial"/>
                <w:b/>
                <w:sz w:val="20"/>
                <w:szCs w:val="20"/>
              </w:rPr>
              <w:t xml:space="preserve"> Objetivo prioritario:</w:t>
            </w:r>
          </w:p>
        </w:tc>
        <w:tc>
          <w:tcPr>
            <w:tcW w:w="5954"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10CBD209" w14:textId="5F905685" w:rsidR="00B359C3" w:rsidRPr="008A26D2" w:rsidRDefault="00B359C3" w:rsidP="00B359C3">
            <w:pPr>
              <w:spacing w:after="0" w:line="240" w:lineRule="auto"/>
              <w:jc w:val="both"/>
              <w:rPr>
                <w:rFonts w:ascii="Arial" w:eastAsia="Times New Roman" w:hAnsi="Arial" w:cs="Arial"/>
                <w:sz w:val="20"/>
                <w:szCs w:val="20"/>
              </w:rPr>
            </w:pPr>
            <w:r w:rsidRPr="008A26D2">
              <w:rPr>
                <w:rFonts w:ascii="Arial" w:eastAsia="Times New Roman" w:hAnsi="Arial" w:cs="Arial"/>
                <w:sz w:val="20"/>
                <w:szCs w:val="20"/>
              </w:rPr>
              <w:t xml:space="preserve"> OP1 Mejorar las condiciones para la sostenibilidad de los ecosistemas forestales, otros ecosistemas de vegetación silvestre y de la fauna silvestre  </w:t>
            </w:r>
          </w:p>
        </w:tc>
      </w:tr>
      <w:tr w:rsidR="008A26D2" w:rsidRPr="008A26D2" w14:paraId="17D3F20D" w14:textId="77777777" w:rsidTr="00B359C3">
        <w:trPr>
          <w:trHeight w:val="300"/>
        </w:trPr>
        <w:tc>
          <w:tcPr>
            <w:tcW w:w="283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5DD5A6C8" w14:textId="77777777" w:rsidR="00B359C3" w:rsidRPr="008A26D2" w:rsidRDefault="00B359C3" w:rsidP="00B359C3">
            <w:pPr>
              <w:spacing w:after="0" w:line="240" w:lineRule="auto"/>
              <w:rPr>
                <w:rFonts w:ascii="Arial" w:eastAsia="Times New Roman" w:hAnsi="Arial" w:cs="Arial"/>
                <w:b/>
                <w:sz w:val="20"/>
                <w:szCs w:val="20"/>
              </w:rPr>
            </w:pPr>
            <w:r w:rsidRPr="008A26D2">
              <w:rPr>
                <w:rFonts w:ascii="Arial" w:eastAsia="Times New Roman" w:hAnsi="Arial" w:cs="Arial"/>
                <w:b/>
                <w:sz w:val="20"/>
                <w:szCs w:val="20"/>
              </w:rPr>
              <w:t xml:space="preserve"> Lineamiento:</w:t>
            </w:r>
          </w:p>
        </w:tc>
        <w:tc>
          <w:tcPr>
            <w:tcW w:w="5954"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686C24FD" w14:textId="77777777" w:rsidR="00B359C3" w:rsidRPr="008A26D2" w:rsidRDefault="00B359C3" w:rsidP="00B359C3">
            <w:pPr>
              <w:spacing w:after="0" w:line="240" w:lineRule="auto"/>
              <w:jc w:val="both"/>
              <w:rPr>
                <w:rFonts w:ascii="Arial" w:eastAsia="Times New Roman" w:hAnsi="Arial" w:cs="Arial"/>
                <w:sz w:val="20"/>
                <w:szCs w:val="20"/>
              </w:rPr>
            </w:pPr>
            <w:r w:rsidRPr="008A26D2">
              <w:rPr>
                <w:rFonts w:ascii="Arial" w:eastAsia="Times New Roman" w:hAnsi="Arial" w:cs="Arial"/>
                <w:sz w:val="20"/>
                <w:szCs w:val="20"/>
              </w:rPr>
              <w:t>L1.5 Incrementar el avance del proceso de ordenamiento forestal en el país</w:t>
            </w:r>
          </w:p>
        </w:tc>
      </w:tr>
      <w:tr w:rsidR="008A26D2" w:rsidRPr="008A26D2" w14:paraId="26C06986" w14:textId="77777777" w:rsidTr="00B359C3">
        <w:trPr>
          <w:trHeight w:val="300"/>
        </w:trPr>
        <w:tc>
          <w:tcPr>
            <w:tcW w:w="283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38F9A507" w14:textId="77777777" w:rsidR="00B359C3" w:rsidRPr="008A26D2" w:rsidRDefault="00B359C3" w:rsidP="00B359C3">
            <w:pPr>
              <w:spacing w:after="0" w:line="240" w:lineRule="auto"/>
              <w:rPr>
                <w:rFonts w:ascii="Arial" w:eastAsia="Times New Roman" w:hAnsi="Arial" w:cs="Arial"/>
                <w:b/>
                <w:sz w:val="20"/>
                <w:szCs w:val="20"/>
              </w:rPr>
            </w:pPr>
            <w:r w:rsidRPr="008A26D2">
              <w:rPr>
                <w:rFonts w:ascii="Arial" w:eastAsia="Times New Roman" w:hAnsi="Arial" w:cs="Arial"/>
                <w:b/>
                <w:sz w:val="20"/>
                <w:szCs w:val="20"/>
              </w:rPr>
              <w:t xml:space="preserve"> Nombre del servicio:</w:t>
            </w:r>
          </w:p>
        </w:tc>
        <w:tc>
          <w:tcPr>
            <w:tcW w:w="5954"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5C3CE23F" w14:textId="77777777" w:rsidR="00B359C3" w:rsidRPr="008A26D2" w:rsidRDefault="00B359C3" w:rsidP="00B359C3">
            <w:pPr>
              <w:spacing w:after="0" w:line="240" w:lineRule="auto"/>
              <w:jc w:val="both"/>
              <w:rPr>
                <w:rFonts w:ascii="Arial" w:eastAsia="Times New Roman" w:hAnsi="Arial" w:cs="Arial"/>
                <w:sz w:val="20"/>
                <w:szCs w:val="20"/>
              </w:rPr>
            </w:pPr>
            <w:bookmarkStart w:id="2" w:name="_heading=h.3dy6vkm" w:colFirst="0" w:colLast="0"/>
            <w:bookmarkEnd w:id="2"/>
            <w:r w:rsidRPr="008A26D2">
              <w:rPr>
                <w:rFonts w:ascii="Arial" w:eastAsia="Times New Roman" w:hAnsi="Arial" w:cs="Arial"/>
                <w:sz w:val="20"/>
                <w:szCs w:val="20"/>
              </w:rPr>
              <w:t>S1.5.1 Asistencia técnica en zonificación forestal de forma fiable para los gobiernos regionales</w:t>
            </w:r>
          </w:p>
        </w:tc>
      </w:tr>
      <w:tr w:rsidR="008A26D2" w:rsidRPr="008A26D2" w14:paraId="77029035" w14:textId="77777777" w:rsidTr="00B359C3">
        <w:trPr>
          <w:trHeight w:val="300"/>
        </w:trPr>
        <w:tc>
          <w:tcPr>
            <w:tcW w:w="283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3E9CFCF7" w14:textId="77777777" w:rsidR="00B359C3" w:rsidRPr="008A26D2" w:rsidRDefault="00B359C3" w:rsidP="00B359C3">
            <w:pPr>
              <w:spacing w:after="0" w:line="240" w:lineRule="auto"/>
              <w:rPr>
                <w:rFonts w:ascii="Arial" w:eastAsia="Times New Roman" w:hAnsi="Arial" w:cs="Arial"/>
                <w:b/>
                <w:sz w:val="20"/>
                <w:szCs w:val="20"/>
              </w:rPr>
            </w:pPr>
            <w:r w:rsidRPr="008A26D2">
              <w:rPr>
                <w:rFonts w:ascii="Arial" w:eastAsia="Times New Roman" w:hAnsi="Arial" w:cs="Arial"/>
                <w:b/>
                <w:sz w:val="20"/>
                <w:szCs w:val="20"/>
              </w:rPr>
              <w:t>Tipo de servicio:</w:t>
            </w:r>
          </w:p>
        </w:tc>
        <w:tc>
          <w:tcPr>
            <w:tcW w:w="5954"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27A16DEB" w14:textId="77777777" w:rsidR="00B359C3" w:rsidRPr="008A26D2" w:rsidRDefault="00B359C3" w:rsidP="00B359C3">
            <w:pPr>
              <w:spacing w:after="0" w:line="240" w:lineRule="auto"/>
              <w:jc w:val="both"/>
              <w:rPr>
                <w:rFonts w:ascii="Arial" w:eastAsia="Times New Roman" w:hAnsi="Arial" w:cs="Arial"/>
                <w:sz w:val="20"/>
                <w:szCs w:val="20"/>
              </w:rPr>
            </w:pPr>
            <w:r w:rsidRPr="008A26D2">
              <w:rPr>
                <w:rFonts w:ascii="Arial" w:eastAsia="Times New Roman" w:hAnsi="Arial" w:cs="Arial"/>
                <w:sz w:val="20"/>
                <w:szCs w:val="20"/>
              </w:rPr>
              <w:t>Mejorado</w:t>
            </w:r>
          </w:p>
        </w:tc>
      </w:tr>
      <w:tr w:rsidR="008A26D2" w:rsidRPr="008A26D2" w14:paraId="10F87E2D" w14:textId="77777777" w:rsidTr="00B359C3">
        <w:trPr>
          <w:trHeight w:val="300"/>
        </w:trPr>
        <w:tc>
          <w:tcPr>
            <w:tcW w:w="283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70C43939" w14:textId="515C49CF" w:rsidR="00F72E5F" w:rsidRPr="008A26D2" w:rsidRDefault="00F72E5F" w:rsidP="00F72E5F">
            <w:pPr>
              <w:spacing w:after="0" w:line="240" w:lineRule="auto"/>
              <w:rPr>
                <w:rFonts w:ascii="Arial" w:eastAsia="Times New Roman" w:hAnsi="Arial" w:cs="Arial"/>
                <w:b/>
                <w:sz w:val="20"/>
                <w:szCs w:val="20"/>
              </w:rPr>
            </w:pPr>
            <w:r w:rsidRPr="008A26D2">
              <w:rPr>
                <w:rFonts w:ascii="Arial" w:hAnsi="Arial" w:cs="Arial"/>
                <w:b/>
                <w:sz w:val="20"/>
                <w:szCs w:val="20"/>
              </w:rPr>
              <w:t>Naturaleza del servicio:</w:t>
            </w:r>
          </w:p>
        </w:tc>
        <w:tc>
          <w:tcPr>
            <w:tcW w:w="5954"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32D42E14" w14:textId="4379212B" w:rsidR="00F72E5F" w:rsidRPr="008A26D2" w:rsidRDefault="001954F3" w:rsidP="00F72E5F">
            <w:pPr>
              <w:spacing w:after="0" w:line="240" w:lineRule="auto"/>
              <w:jc w:val="both"/>
              <w:rPr>
                <w:rFonts w:ascii="Arial" w:eastAsia="Times New Roman" w:hAnsi="Arial" w:cs="Arial"/>
                <w:sz w:val="20"/>
                <w:szCs w:val="20"/>
              </w:rPr>
            </w:pPr>
            <w:r w:rsidRPr="008A26D2">
              <w:rPr>
                <w:rFonts w:ascii="Arial" w:eastAsia="Arial Narrow" w:hAnsi="Arial" w:cs="Arial"/>
                <w:sz w:val="20"/>
                <w:szCs w:val="20"/>
              </w:rPr>
              <w:t>A</w:t>
            </w:r>
            <w:r w:rsidR="00F72E5F" w:rsidRPr="008A26D2">
              <w:rPr>
                <w:rFonts w:ascii="Arial" w:eastAsia="Arial Narrow" w:hAnsi="Arial" w:cs="Arial"/>
                <w:sz w:val="20"/>
                <w:szCs w:val="20"/>
              </w:rPr>
              <w:t>dministrativo</w:t>
            </w:r>
          </w:p>
        </w:tc>
      </w:tr>
      <w:tr w:rsidR="008A26D2" w:rsidRPr="008A26D2" w14:paraId="42593817" w14:textId="77777777" w:rsidTr="00B359C3">
        <w:trPr>
          <w:trHeight w:val="300"/>
        </w:trPr>
        <w:tc>
          <w:tcPr>
            <w:tcW w:w="283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36E8C99B" w14:textId="7991ECDC" w:rsidR="00F72E5F" w:rsidRPr="008A26D2" w:rsidRDefault="00F72E5F" w:rsidP="00F72E5F">
            <w:pPr>
              <w:spacing w:after="0" w:line="240" w:lineRule="auto"/>
              <w:rPr>
                <w:rFonts w:ascii="Arial" w:eastAsia="Times New Roman" w:hAnsi="Arial" w:cs="Arial"/>
                <w:b/>
                <w:sz w:val="20"/>
                <w:szCs w:val="20"/>
              </w:rPr>
            </w:pPr>
            <w:r w:rsidRPr="008A26D2">
              <w:rPr>
                <w:rFonts w:ascii="Arial" w:hAnsi="Arial" w:cs="Arial"/>
                <w:b/>
                <w:sz w:val="20"/>
                <w:szCs w:val="20"/>
              </w:rPr>
              <w:t>Entrega del servicio</w:t>
            </w:r>
          </w:p>
        </w:tc>
        <w:tc>
          <w:tcPr>
            <w:tcW w:w="5954"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1B8B1960" w14:textId="690BA57B" w:rsidR="00F72E5F" w:rsidRPr="008A26D2" w:rsidRDefault="00F72E5F" w:rsidP="00F72E5F">
            <w:pPr>
              <w:spacing w:after="0" w:line="240" w:lineRule="auto"/>
              <w:jc w:val="both"/>
              <w:rPr>
                <w:rFonts w:ascii="Arial" w:eastAsia="Times New Roman" w:hAnsi="Arial" w:cs="Arial"/>
                <w:sz w:val="20"/>
                <w:szCs w:val="20"/>
              </w:rPr>
            </w:pPr>
            <w:r w:rsidRPr="008A26D2">
              <w:rPr>
                <w:rFonts w:ascii="Arial" w:eastAsia="Arial Narrow" w:hAnsi="Arial" w:cs="Arial"/>
                <w:sz w:val="20"/>
                <w:szCs w:val="20"/>
              </w:rPr>
              <w:t xml:space="preserve">Competencia exclusiva </w:t>
            </w:r>
          </w:p>
        </w:tc>
      </w:tr>
      <w:tr w:rsidR="008A26D2" w:rsidRPr="008A26D2" w14:paraId="6BB73848" w14:textId="77777777" w:rsidTr="00B359C3">
        <w:trPr>
          <w:trHeight w:val="300"/>
        </w:trPr>
        <w:tc>
          <w:tcPr>
            <w:tcW w:w="283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3863382A" w14:textId="77777777" w:rsidR="00F72E5F" w:rsidRPr="008A26D2" w:rsidRDefault="00F72E5F" w:rsidP="00F72E5F">
            <w:pPr>
              <w:spacing w:after="0" w:line="240" w:lineRule="auto"/>
              <w:rPr>
                <w:rFonts w:ascii="Arial" w:eastAsia="Times New Roman" w:hAnsi="Arial" w:cs="Arial"/>
                <w:b/>
                <w:sz w:val="20"/>
                <w:szCs w:val="20"/>
              </w:rPr>
            </w:pPr>
            <w:r w:rsidRPr="008A26D2">
              <w:rPr>
                <w:rFonts w:ascii="Arial" w:eastAsia="Times New Roman" w:hAnsi="Arial" w:cs="Arial"/>
                <w:b/>
                <w:sz w:val="20"/>
                <w:szCs w:val="20"/>
              </w:rPr>
              <w:t xml:space="preserve"> Descripción del servicio</w:t>
            </w:r>
          </w:p>
        </w:tc>
        <w:tc>
          <w:tcPr>
            <w:tcW w:w="5954"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516E8749" w14:textId="3D62486D" w:rsidR="00F72E5F" w:rsidRPr="008A26D2" w:rsidRDefault="00F72E5F" w:rsidP="00F72E5F">
            <w:pPr>
              <w:spacing w:after="120" w:line="276" w:lineRule="auto"/>
              <w:jc w:val="both"/>
              <w:rPr>
                <w:rFonts w:ascii="Arial" w:eastAsia="Times New Roman" w:hAnsi="Arial" w:cs="Arial"/>
                <w:sz w:val="20"/>
                <w:szCs w:val="20"/>
                <w:lang w:val="es-MX"/>
              </w:rPr>
            </w:pPr>
            <w:r w:rsidRPr="008A26D2">
              <w:rPr>
                <w:rFonts w:ascii="Arial" w:eastAsia="Times New Roman" w:hAnsi="Arial" w:cs="Arial"/>
                <w:sz w:val="20"/>
                <w:szCs w:val="20"/>
                <w:lang w:val="es-MX"/>
              </w:rPr>
              <w:t>El servicio consiste en el conjunto de actividades de apoyo que brinda el Servicio Nacional Forestal y de Fauna Silvestre</w:t>
            </w:r>
            <w:r w:rsidR="003B2206">
              <w:rPr>
                <w:rFonts w:ascii="Arial" w:eastAsia="Times New Roman" w:hAnsi="Arial" w:cs="Arial"/>
                <w:sz w:val="20"/>
                <w:szCs w:val="20"/>
                <w:lang w:val="es-MX"/>
              </w:rPr>
              <w:t xml:space="preserve"> - SERFOR</w:t>
            </w:r>
            <w:r w:rsidRPr="008A26D2">
              <w:rPr>
                <w:rFonts w:ascii="Arial" w:eastAsia="Times New Roman" w:hAnsi="Arial" w:cs="Arial"/>
                <w:sz w:val="20"/>
                <w:szCs w:val="20"/>
                <w:lang w:val="es-MX"/>
              </w:rPr>
              <w:t xml:space="preserve"> para la implementación de la zonificación forestal a nivel nacional. Este servicio está dirigido a los gobiernos regionales.</w:t>
            </w:r>
          </w:p>
          <w:p w14:paraId="1848E82B" w14:textId="77777777" w:rsidR="00F72E5F" w:rsidRPr="008A26D2" w:rsidRDefault="00F72E5F" w:rsidP="00F72E5F">
            <w:pPr>
              <w:spacing w:after="120" w:line="276" w:lineRule="auto"/>
              <w:jc w:val="both"/>
              <w:rPr>
                <w:rFonts w:ascii="Arial" w:eastAsia="Times New Roman" w:hAnsi="Arial" w:cs="Arial"/>
                <w:sz w:val="20"/>
                <w:szCs w:val="20"/>
                <w:lang w:val="es-MX"/>
              </w:rPr>
            </w:pPr>
            <w:r w:rsidRPr="008A26D2">
              <w:rPr>
                <w:rFonts w:ascii="Arial" w:eastAsia="Times New Roman" w:hAnsi="Arial" w:cs="Arial"/>
                <w:sz w:val="20"/>
                <w:szCs w:val="20"/>
                <w:lang w:val="es-MX"/>
              </w:rPr>
              <w:t>El servicio se entrega a través de una serie de actividades estructuradas de la siguiente forma:</w:t>
            </w:r>
          </w:p>
          <w:p w14:paraId="3FFF7BA2" w14:textId="77777777" w:rsidR="00F72E5F" w:rsidRPr="008A26D2" w:rsidRDefault="00F72E5F" w:rsidP="00F72E5F">
            <w:pPr>
              <w:jc w:val="both"/>
              <w:rPr>
                <w:rFonts w:ascii="Arial" w:eastAsia="Times New Roman" w:hAnsi="Arial" w:cs="Arial"/>
                <w:sz w:val="20"/>
                <w:szCs w:val="20"/>
                <w:lang w:val="es-MX"/>
              </w:rPr>
            </w:pPr>
            <w:r w:rsidRPr="008A26D2">
              <w:rPr>
                <w:rFonts w:ascii="Arial" w:eastAsia="Times New Roman" w:hAnsi="Arial" w:cs="Arial"/>
                <w:sz w:val="20"/>
                <w:szCs w:val="20"/>
                <w:lang w:val="es-MX"/>
              </w:rPr>
              <w:t>Gestión de necesidades de financiamiento: Se tiene una estrategia de búsqueda de financiamiento desde 3 enfoques, la búsqueda de financiamiento público por inversión, la búsqueda de financiamiento público por gasto corriente y la búsqueda de financiamiento externo. Se puede considerar estas actividades como prioritarias antes del inicio de cualquier proceso de zonificación forestal.</w:t>
            </w:r>
          </w:p>
          <w:p w14:paraId="4736D0AA" w14:textId="77777777" w:rsidR="00F72E5F" w:rsidRPr="008A26D2" w:rsidRDefault="00F72E5F" w:rsidP="00F72E5F">
            <w:pPr>
              <w:jc w:val="both"/>
              <w:rPr>
                <w:rFonts w:ascii="Arial" w:eastAsia="Times New Roman" w:hAnsi="Arial" w:cs="Arial"/>
                <w:sz w:val="20"/>
                <w:szCs w:val="20"/>
                <w:lang w:val="es-MX"/>
              </w:rPr>
            </w:pPr>
            <w:r w:rsidRPr="008A26D2">
              <w:rPr>
                <w:rFonts w:ascii="Arial" w:eastAsia="Times New Roman" w:hAnsi="Arial" w:cs="Arial"/>
                <w:sz w:val="20"/>
                <w:szCs w:val="20"/>
                <w:lang w:val="es-MX"/>
              </w:rPr>
              <w:t>Supervisión y fortalecimiento de capacidades: Consta de 4 tipos de acciones, la sensibilización y difusión, la capacitación o fortalecimiento de capacidades, la asistencia técnica y la opinión técnica. Se puede considerar estas acciones como parte del proceso de ejecución de la zonificación forestal hasta su aprobación</w:t>
            </w:r>
          </w:p>
          <w:p w14:paraId="1CEFE94B" w14:textId="77777777" w:rsidR="00F72E5F" w:rsidRPr="008A26D2" w:rsidRDefault="00F72E5F" w:rsidP="00F72E5F">
            <w:pPr>
              <w:jc w:val="both"/>
              <w:rPr>
                <w:rFonts w:ascii="Arial" w:eastAsia="Times New Roman" w:hAnsi="Arial" w:cs="Arial"/>
                <w:sz w:val="20"/>
                <w:szCs w:val="20"/>
                <w:lang w:val="es-MX"/>
              </w:rPr>
            </w:pPr>
            <w:r w:rsidRPr="008A26D2">
              <w:rPr>
                <w:rFonts w:ascii="Arial" w:eastAsia="Times New Roman" w:hAnsi="Arial" w:cs="Arial"/>
                <w:sz w:val="20"/>
                <w:szCs w:val="20"/>
                <w:lang w:val="es-MX"/>
              </w:rPr>
              <w:lastRenderedPageBreak/>
              <w:t>Monitoreo y Evaluación. Estas acciones consideradas luego de la aprobación de una zonificación forestal, siguiendo la secuencia de etapas de la zonificación forestal. El Servicio Nacional Forestal y de Fauna Silvestre en coordinación con los gobiernos regionales monitorea la zonificación forestal, esto es que conduce el proceso de implementación a nivel nacional del monitoreo de zonificación forestal. El Servicio Nacional Forestal y de Fauna Silvestre utiliza los resultados del monitoreo para evaluar la zonificación forestal a nivel nacional.</w:t>
            </w:r>
          </w:p>
          <w:p w14:paraId="3AD5AC6D" w14:textId="77777777" w:rsidR="00F72E5F" w:rsidRPr="008A26D2" w:rsidRDefault="00F72E5F" w:rsidP="00F72E5F">
            <w:pPr>
              <w:jc w:val="both"/>
              <w:rPr>
                <w:rFonts w:ascii="Arial" w:eastAsia="Times New Roman" w:hAnsi="Arial" w:cs="Arial"/>
                <w:sz w:val="20"/>
                <w:szCs w:val="20"/>
                <w:lang w:val="es-MX"/>
              </w:rPr>
            </w:pPr>
            <w:r w:rsidRPr="008A26D2">
              <w:rPr>
                <w:rFonts w:ascii="Arial" w:eastAsia="Times New Roman" w:hAnsi="Arial" w:cs="Arial"/>
                <w:sz w:val="20"/>
                <w:szCs w:val="20"/>
                <w:lang w:val="es-MX"/>
              </w:rPr>
              <w:t>Optimización y articulación del proceso de zonificación forestal: Son acciones permanentes que buscan por un lado la mejora del proceso mismo de la zonificación forestal, así como la mejora del mismo servicio de conducción de la zonificación forestal. Finalmente, se busca la articulación de la zonificación forestal con otros procesos de gestión territorial que de una forma u otra también afectan a los recursos forestales y de fauna silvestre.</w:t>
            </w:r>
          </w:p>
          <w:p w14:paraId="3244A4B2" w14:textId="77777777" w:rsidR="00F72E5F" w:rsidRPr="008A26D2" w:rsidRDefault="00F72E5F" w:rsidP="00F72E5F">
            <w:pPr>
              <w:jc w:val="both"/>
              <w:rPr>
                <w:rFonts w:ascii="Arial" w:eastAsia="Times New Roman" w:hAnsi="Arial" w:cs="Arial"/>
                <w:sz w:val="20"/>
                <w:szCs w:val="20"/>
              </w:rPr>
            </w:pPr>
            <w:r w:rsidRPr="008A26D2">
              <w:rPr>
                <w:rFonts w:ascii="Arial" w:eastAsia="Times New Roman" w:hAnsi="Arial" w:cs="Arial"/>
                <w:sz w:val="20"/>
                <w:szCs w:val="20"/>
              </w:rPr>
              <w:t xml:space="preserve">La asistencia técnica se entrega cumpliendo los documentos normativos que rigen el proceso de zonificación forestal, asegurando de esa forma la fiabilidad del servicio. </w:t>
            </w:r>
          </w:p>
          <w:p w14:paraId="0E6F0501" w14:textId="452DB7A8" w:rsidR="00F72E5F" w:rsidRPr="008A26D2" w:rsidRDefault="00F72E5F" w:rsidP="00F72E5F">
            <w:pPr>
              <w:jc w:val="both"/>
              <w:rPr>
                <w:rFonts w:ascii="Arial" w:eastAsia="Times New Roman" w:hAnsi="Arial" w:cs="Arial"/>
                <w:sz w:val="20"/>
                <w:szCs w:val="20"/>
                <w:lang w:val="es-MX"/>
              </w:rPr>
            </w:pPr>
            <w:r w:rsidRPr="008A26D2">
              <w:rPr>
                <w:rFonts w:ascii="Arial" w:eastAsia="Times New Roman" w:hAnsi="Arial" w:cs="Arial"/>
                <w:sz w:val="20"/>
                <w:szCs w:val="20"/>
                <w:lang w:val="es-MX"/>
              </w:rPr>
              <w:t>El servicio tiene como fin promover y facilitar la implementación de la zonificación forestal por parte de los gobiernos regionales a nivel nacional ya que es una condición habilitante para el ordenamiento forestal. La zonificación forestal determina las potencialidades y limitaciones para el uso directo e indirecto de los ecosistemas forestales y otros ecosistemas de vegetación silvestre, incluyendo el mantenimiento de su capacidad para brindar bienes y servicios ecosistémicos, definiendo las alternativas de uso de los recursos forestales y de fauna silvestre. En base a la zonificación forestal deben ser establecidas las unidades de ordenamiento forestal, por lo tanto, se constituye en la condición básica inicial para el otorgamiento de derechos, de tal manera que se asegure un aprovechamiento sostenible. Esto contribuye directamente a logro del lineamiento.</w:t>
            </w:r>
          </w:p>
          <w:p w14:paraId="5BEFE28A" w14:textId="77777777" w:rsidR="00F72E5F" w:rsidRPr="008A26D2" w:rsidRDefault="00F72E5F" w:rsidP="00F72E5F">
            <w:pPr>
              <w:spacing w:after="0" w:line="240" w:lineRule="auto"/>
              <w:jc w:val="both"/>
              <w:rPr>
                <w:rFonts w:ascii="Arial" w:eastAsia="Times New Roman" w:hAnsi="Arial" w:cs="Arial"/>
                <w:sz w:val="20"/>
                <w:szCs w:val="20"/>
              </w:rPr>
            </w:pPr>
            <w:r w:rsidRPr="008A26D2">
              <w:rPr>
                <w:rFonts w:ascii="Arial" w:eastAsia="Times New Roman" w:hAnsi="Arial" w:cs="Arial"/>
                <w:sz w:val="20"/>
                <w:szCs w:val="20"/>
              </w:rPr>
              <w:t>El servicio se relaciona directamente al cierre de la brecha “Porcentaje del territorio nacional que no cuenta con Zonificación Forestal” aprobado mediante Resolución Ministerial N° 584-2022-MINAGRI.</w:t>
            </w:r>
          </w:p>
          <w:p w14:paraId="1CD29DEE" w14:textId="77777777" w:rsidR="00F72E5F" w:rsidRPr="008A26D2" w:rsidRDefault="00F72E5F" w:rsidP="00F72E5F">
            <w:pPr>
              <w:spacing w:after="0" w:line="240" w:lineRule="auto"/>
              <w:jc w:val="both"/>
              <w:rPr>
                <w:rFonts w:ascii="Arial" w:eastAsia="Times New Roman" w:hAnsi="Arial" w:cs="Arial"/>
                <w:sz w:val="20"/>
                <w:szCs w:val="20"/>
              </w:rPr>
            </w:pPr>
          </w:p>
          <w:p w14:paraId="5701661D" w14:textId="63F06762" w:rsidR="00F72E5F" w:rsidRPr="008A26D2" w:rsidRDefault="00F72E5F" w:rsidP="00F72E5F">
            <w:pPr>
              <w:spacing w:after="0" w:line="240" w:lineRule="auto"/>
              <w:jc w:val="both"/>
              <w:rPr>
                <w:rFonts w:ascii="Arial" w:eastAsia="Times New Roman" w:hAnsi="Arial" w:cs="Arial"/>
                <w:sz w:val="20"/>
                <w:szCs w:val="20"/>
              </w:rPr>
            </w:pPr>
            <w:r w:rsidRPr="008A26D2">
              <w:rPr>
                <w:rFonts w:ascii="Arial" w:eastAsia="Times New Roman" w:hAnsi="Arial" w:cs="Arial"/>
                <w:sz w:val="20"/>
                <w:szCs w:val="20"/>
              </w:rPr>
              <w:t>El servicio se considera mejorado ya que el SERFOR viene  aprobando las metodologías correspondientes para la implementación de la zonificación forestal.</w:t>
            </w:r>
          </w:p>
        </w:tc>
      </w:tr>
      <w:tr w:rsidR="008A26D2" w:rsidRPr="008A26D2" w14:paraId="46006765" w14:textId="77777777" w:rsidTr="00B359C3">
        <w:trPr>
          <w:trHeight w:val="300"/>
        </w:trPr>
        <w:tc>
          <w:tcPr>
            <w:tcW w:w="283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6EF70283" w14:textId="77777777" w:rsidR="00F72E5F" w:rsidRPr="008A26D2" w:rsidRDefault="00F72E5F" w:rsidP="00F72E5F">
            <w:pPr>
              <w:spacing w:after="0" w:line="240" w:lineRule="auto"/>
              <w:rPr>
                <w:rFonts w:ascii="Arial" w:eastAsia="Times New Roman" w:hAnsi="Arial" w:cs="Arial"/>
                <w:b/>
                <w:sz w:val="20"/>
                <w:szCs w:val="20"/>
              </w:rPr>
            </w:pPr>
            <w:r w:rsidRPr="008A26D2">
              <w:rPr>
                <w:rFonts w:ascii="Arial" w:eastAsia="Times New Roman" w:hAnsi="Arial" w:cs="Arial"/>
                <w:b/>
                <w:sz w:val="20"/>
                <w:szCs w:val="20"/>
              </w:rPr>
              <w:lastRenderedPageBreak/>
              <w:t xml:space="preserve"> Proveedor del servicio</w:t>
            </w:r>
          </w:p>
        </w:tc>
        <w:tc>
          <w:tcPr>
            <w:tcW w:w="5954"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15284C36" w14:textId="77777777" w:rsidR="00F72E5F" w:rsidRPr="008A26D2" w:rsidRDefault="00F72E5F" w:rsidP="00F72E5F">
            <w:pPr>
              <w:spacing w:after="0" w:line="240" w:lineRule="auto"/>
              <w:jc w:val="both"/>
              <w:rPr>
                <w:rFonts w:ascii="Arial" w:eastAsia="Times New Roman" w:hAnsi="Arial" w:cs="Arial"/>
                <w:sz w:val="20"/>
                <w:szCs w:val="20"/>
              </w:rPr>
            </w:pPr>
            <w:r w:rsidRPr="008A26D2">
              <w:rPr>
                <w:rFonts w:ascii="Arial" w:eastAsia="Times New Roman" w:hAnsi="Arial" w:cs="Arial"/>
                <w:sz w:val="20"/>
                <w:szCs w:val="20"/>
              </w:rPr>
              <w:t>Servicio Nacional Forestal y de Fauna Silvestre - SERFOR</w:t>
            </w:r>
          </w:p>
        </w:tc>
      </w:tr>
      <w:tr w:rsidR="008A26D2" w:rsidRPr="008A26D2" w14:paraId="58F0EDB7" w14:textId="77777777" w:rsidTr="009033F6">
        <w:trPr>
          <w:trHeight w:val="458"/>
        </w:trPr>
        <w:tc>
          <w:tcPr>
            <w:tcW w:w="2835" w:type="dxa"/>
            <w:vMerge w:val="restart"/>
            <w:tcBorders>
              <w:top w:val="single" w:sz="4" w:space="0" w:color="000000"/>
              <w:left w:val="single" w:sz="4" w:space="0" w:color="000000"/>
              <w:right w:val="single" w:sz="4" w:space="0" w:color="000000"/>
            </w:tcBorders>
            <w:tcMar>
              <w:top w:w="15" w:type="dxa"/>
              <w:left w:w="15" w:type="dxa"/>
              <w:bottom w:w="0" w:type="dxa"/>
              <w:right w:w="15" w:type="dxa"/>
            </w:tcMar>
            <w:vAlign w:val="center"/>
          </w:tcPr>
          <w:p w14:paraId="5A94D45D" w14:textId="77777777" w:rsidR="00F72E5F" w:rsidRPr="008A26D2" w:rsidRDefault="00F72E5F" w:rsidP="00B46D57">
            <w:pPr>
              <w:spacing w:after="0" w:line="240" w:lineRule="auto"/>
              <w:rPr>
                <w:rFonts w:ascii="Arial" w:hAnsi="Arial" w:cs="Arial"/>
                <w:b/>
                <w:sz w:val="20"/>
                <w:szCs w:val="20"/>
              </w:rPr>
            </w:pPr>
            <w:r w:rsidRPr="008A26D2">
              <w:rPr>
                <w:rFonts w:ascii="Arial" w:hAnsi="Arial" w:cs="Arial"/>
                <w:b/>
                <w:sz w:val="20"/>
                <w:szCs w:val="20"/>
              </w:rPr>
              <w:t>Nivel (es) de gobierno que interviene</w:t>
            </w:r>
          </w:p>
          <w:p w14:paraId="4BF6BFBB" w14:textId="1AA3DA4B" w:rsidR="00F72E5F" w:rsidRPr="008A26D2" w:rsidRDefault="00F72E5F" w:rsidP="00F72E5F">
            <w:pPr>
              <w:spacing w:after="0" w:line="240" w:lineRule="auto"/>
              <w:rPr>
                <w:rFonts w:ascii="Arial" w:eastAsia="Times New Roman" w:hAnsi="Arial" w:cs="Arial"/>
                <w:b/>
                <w:sz w:val="20"/>
                <w:szCs w:val="20"/>
              </w:rPr>
            </w:pPr>
            <w:r w:rsidRPr="008A26D2">
              <w:rPr>
                <w:rFonts w:ascii="Arial" w:hAnsi="Arial" w:cs="Arial"/>
                <w:b/>
                <w:sz w:val="20"/>
                <w:szCs w:val="20"/>
              </w:rPr>
              <w:t>(n) en la provisión del servicio</w:t>
            </w:r>
          </w:p>
        </w:tc>
        <w:tc>
          <w:tcPr>
            <w:tcW w:w="1984" w:type="dxa"/>
            <w:tcBorders>
              <w:top w:val="single" w:sz="4" w:space="0" w:color="000000"/>
              <w:left w:val="single" w:sz="4" w:space="0" w:color="000000"/>
              <w:right w:val="single" w:sz="4" w:space="0" w:color="000000"/>
            </w:tcBorders>
            <w:tcMar>
              <w:top w:w="15" w:type="dxa"/>
              <w:left w:w="15" w:type="dxa"/>
              <w:bottom w:w="0" w:type="dxa"/>
              <w:right w:w="15" w:type="dxa"/>
            </w:tcMar>
            <w:vAlign w:val="center"/>
          </w:tcPr>
          <w:p w14:paraId="03D64A63" w14:textId="71D31057" w:rsidR="00F72E5F" w:rsidRPr="008A26D2" w:rsidRDefault="00F72E5F" w:rsidP="000C49B7">
            <w:pPr>
              <w:spacing w:after="0" w:line="240" w:lineRule="auto"/>
              <w:jc w:val="center"/>
              <w:rPr>
                <w:rFonts w:ascii="Arial" w:eastAsia="Times New Roman" w:hAnsi="Arial" w:cs="Arial"/>
                <w:sz w:val="20"/>
                <w:szCs w:val="20"/>
              </w:rPr>
            </w:pPr>
            <w:r w:rsidRPr="008A26D2">
              <w:rPr>
                <w:rFonts w:ascii="Arial" w:eastAsia="Arial Narrow" w:hAnsi="Arial" w:cs="Arial"/>
                <w:sz w:val="20"/>
                <w:szCs w:val="20"/>
              </w:rPr>
              <w:t>Nacional</w:t>
            </w:r>
          </w:p>
        </w:tc>
        <w:tc>
          <w:tcPr>
            <w:tcW w:w="1985" w:type="dxa"/>
            <w:tcBorders>
              <w:top w:val="single" w:sz="4" w:space="0" w:color="000000"/>
              <w:left w:val="single" w:sz="4" w:space="0" w:color="000000"/>
              <w:right w:val="single" w:sz="4" w:space="0" w:color="000000"/>
            </w:tcBorders>
            <w:vAlign w:val="center"/>
          </w:tcPr>
          <w:p w14:paraId="4EF0612D" w14:textId="4926BFBC" w:rsidR="00F72E5F" w:rsidRPr="008A26D2" w:rsidRDefault="00F72E5F" w:rsidP="000C49B7">
            <w:pPr>
              <w:spacing w:after="0" w:line="240" w:lineRule="auto"/>
              <w:jc w:val="center"/>
              <w:rPr>
                <w:rFonts w:ascii="Arial" w:eastAsia="Times New Roman" w:hAnsi="Arial" w:cs="Arial"/>
                <w:sz w:val="20"/>
                <w:szCs w:val="20"/>
              </w:rPr>
            </w:pPr>
            <w:r w:rsidRPr="008A26D2">
              <w:rPr>
                <w:rFonts w:ascii="Arial" w:eastAsia="Arial Narrow" w:hAnsi="Arial" w:cs="Arial"/>
                <w:sz w:val="20"/>
                <w:szCs w:val="20"/>
              </w:rPr>
              <w:t>Regional</w:t>
            </w:r>
          </w:p>
        </w:tc>
        <w:tc>
          <w:tcPr>
            <w:tcW w:w="1985" w:type="dxa"/>
            <w:tcBorders>
              <w:top w:val="single" w:sz="4" w:space="0" w:color="000000"/>
              <w:left w:val="single" w:sz="4" w:space="0" w:color="000000"/>
              <w:right w:val="single" w:sz="4" w:space="0" w:color="000000"/>
            </w:tcBorders>
            <w:vAlign w:val="center"/>
          </w:tcPr>
          <w:p w14:paraId="542635F5" w14:textId="6E9658F3" w:rsidR="00F72E5F" w:rsidRPr="008A26D2" w:rsidRDefault="00F72E5F" w:rsidP="000C49B7">
            <w:pPr>
              <w:spacing w:after="0" w:line="240" w:lineRule="auto"/>
              <w:jc w:val="center"/>
              <w:rPr>
                <w:rFonts w:ascii="Arial" w:eastAsia="Times New Roman" w:hAnsi="Arial" w:cs="Arial"/>
                <w:sz w:val="20"/>
                <w:szCs w:val="20"/>
              </w:rPr>
            </w:pPr>
            <w:r w:rsidRPr="008A26D2">
              <w:rPr>
                <w:rFonts w:ascii="Arial" w:eastAsia="Arial Narrow" w:hAnsi="Arial" w:cs="Arial"/>
                <w:sz w:val="20"/>
                <w:szCs w:val="20"/>
              </w:rPr>
              <w:t>Local</w:t>
            </w:r>
          </w:p>
        </w:tc>
      </w:tr>
      <w:tr w:rsidR="008A26D2" w:rsidRPr="008A26D2" w14:paraId="17EE41E1" w14:textId="77777777" w:rsidTr="009033F6">
        <w:trPr>
          <w:trHeight w:val="457"/>
        </w:trPr>
        <w:tc>
          <w:tcPr>
            <w:tcW w:w="2835" w:type="dxa"/>
            <w:vMerge/>
            <w:tcBorders>
              <w:left w:val="single" w:sz="4" w:space="0" w:color="000000"/>
              <w:right w:val="single" w:sz="4" w:space="0" w:color="000000"/>
            </w:tcBorders>
            <w:tcMar>
              <w:top w:w="15" w:type="dxa"/>
              <w:left w:w="15" w:type="dxa"/>
              <w:bottom w:w="0" w:type="dxa"/>
              <w:right w:w="15" w:type="dxa"/>
            </w:tcMar>
            <w:vAlign w:val="center"/>
          </w:tcPr>
          <w:p w14:paraId="7EE5A61F" w14:textId="77777777" w:rsidR="00F72E5F" w:rsidRPr="008A26D2" w:rsidRDefault="00F72E5F" w:rsidP="00F72E5F">
            <w:pPr>
              <w:spacing w:after="0" w:line="240" w:lineRule="auto"/>
              <w:rPr>
                <w:rFonts w:ascii="Arial" w:hAnsi="Arial" w:cs="Arial"/>
                <w:b/>
                <w:sz w:val="20"/>
                <w:szCs w:val="20"/>
              </w:rPr>
            </w:pPr>
          </w:p>
        </w:tc>
        <w:tc>
          <w:tcPr>
            <w:tcW w:w="1984" w:type="dxa"/>
            <w:tcBorders>
              <w:top w:val="single" w:sz="4" w:space="0" w:color="000000"/>
              <w:left w:val="single" w:sz="4" w:space="0" w:color="000000"/>
              <w:right w:val="single" w:sz="4" w:space="0" w:color="000000"/>
            </w:tcBorders>
            <w:tcMar>
              <w:top w:w="15" w:type="dxa"/>
              <w:left w:w="15" w:type="dxa"/>
              <w:bottom w:w="0" w:type="dxa"/>
              <w:right w:w="15" w:type="dxa"/>
            </w:tcMar>
            <w:vAlign w:val="center"/>
          </w:tcPr>
          <w:p w14:paraId="36EA8342" w14:textId="1AA92F53" w:rsidR="00F72E5F" w:rsidRPr="008A26D2" w:rsidRDefault="001954F3" w:rsidP="000C49B7">
            <w:pPr>
              <w:spacing w:after="0" w:line="240" w:lineRule="auto"/>
              <w:jc w:val="center"/>
              <w:rPr>
                <w:rFonts w:ascii="Arial" w:eastAsia="Times New Roman" w:hAnsi="Arial" w:cs="Arial"/>
                <w:sz w:val="20"/>
                <w:szCs w:val="20"/>
              </w:rPr>
            </w:pPr>
            <w:r w:rsidRPr="008A26D2">
              <w:rPr>
                <w:rFonts w:ascii="Arial" w:eastAsia="Times New Roman" w:hAnsi="Arial" w:cs="Arial"/>
                <w:sz w:val="20"/>
                <w:szCs w:val="20"/>
              </w:rPr>
              <w:t>X</w:t>
            </w:r>
          </w:p>
        </w:tc>
        <w:tc>
          <w:tcPr>
            <w:tcW w:w="1985" w:type="dxa"/>
            <w:tcBorders>
              <w:top w:val="single" w:sz="4" w:space="0" w:color="000000"/>
              <w:left w:val="single" w:sz="4" w:space="0" w:color="000000"/>
              <w:right w:val="single" w:sz="4" w:space="0" w:color="000000"/>
            </w:tcBorders>
            <w:vAlign w:val="center"/>
          </w:tcPr>
          <w:p w14:paraId="5DBA5CC2" w14:textId="77777777" w:rsidR="00F72E5F" w:rsidRPr="008A26D2" w:rsidRDefault="00F72E5F" w:rsidP="000C49B7">
            <w:pPr>
              <w:spacing w:after="0" w:line="240" w:lineRule="auto"/>
              <w:jc w:val="center"/>
              <w:rPr>
                <w:rFonts w:ascii="Arial" w:eastAsia="Times New Roman" w:hAnsi="Arial" w:cs="Arial"/>
                <w:sz w:val="20"/>
                <w:szCs w:val="20"/>
              </w:rPr>
            </w:pPr>
          </w:p>
        </w:tc>
        <w:tc>
          <w:tcPr>
            <w:tcW w:w="1985" w:type="dxa"/>
            <w:tcBorders>
              <w:top w:val="single" w:sz="4" w:space="0" w:color="000000"/>
              <w:left w:val="single" w:sz="4" w:space="0" w:color="000000"/>
              <w:right w:val="single" w:sz="4" w:space="0" w:color="000000"/>
            </w:tcBorders>
            <w:vAlign w:val="center"/>
          </w:tcPr>
          <w:p w14:paraId="4B22FA6F" w14:textId="26A8DB1C" w:rsidR="00F72E5F" w:rsidRPr="008A26D2" w:rsidRDefault="00F72E5F" w:rsidP="000C49B7">
            <w:pPr>
              <w:spacing w:after="0" w:line="240" w:lineRule="auto"/>
              <w:jc w:val="center"/>
              <w:rPr>
                <w:rFonts w:ascii="Arial" w:eastAsia="Times New Roman" w:hAnsi="Arial" w:cs="Arial"/>
                <w:sz w:val="20"/>
                <w:szCs w:val="20"/>
              </w:rPr>
            </w:pPr>
          </w:p>
        </w:tc>
      </w:tr>
      <w:tr w:rsidR="008A26D2" w:rsidRPr="008A26D2" w14:paraId="2AB33FE2" w14:textId="77777777" w:rsidTr="00B359C3">
        <w:trPr>
          <w:trHeight w:val="300"/>
        </w:trPr>
        <w:tc>
          <w:tcPr>
            <w:tcW w:w="283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188B54E0" w14:textId="77777777" w:rsidR="00F72E5F" w:rsidRPr="008A26D2" w:rsidRDefault="00F72E5F" w:rsidP="00F72E5F">
            <w:pPr>
              <w:spacing w:after="0" w:line="240" w:lineRule="auto"/>
              <w:rPr>
                <w:rFonts w:ascii="Arial" w:eastAsia="Times New Roman" w:hAnsi="Arial" w:cs="Arial"/>
                <w:b/>
                <w:sz w:val="20"/>
                <w:szCs w:val="20"/>
              </w:rPr>
            </w:pPr>
            <w:r w:rsidRPr="008A26D2">
              <w:rPr>
                <w:rFonts w:ascii="Arial" w:eastAsia="Times New Roman" w:hAnsi="Arial" w:cs="Arial"/>
                <w:b/>
                <w:sz w:val="20"/>
                <w:szCs w:val="20"/>
              </w:rPr>
              <w:t xml:space="preserve"> Receptor del servicio</w:t>
            </w:r>
          </w:p>
        </w:tc>
        <w:tc>
          <w:tcPr>
            <w:tcW w:w="5954"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3443DE48" w14:textId="77777777" w:rsidR="00F72E5F" w:rsidRPr="008A26D2" w:rsidRDefault="00F72E5F" w:rsidP="00F72E5F">
            <w:pPr>
              <w:spacing w:after="0" w:line="240" w:lineRule="auto"/>
              <w:jc w:val="both"/>
              <w:rPr>
                <w:rFonts w:ascii="Arial" w:eastAsia="Times New Roman" w:hAnsi="Arial" w:cs="Arial"/>
                <w:sz w:val="20"/>
                <w:szCs w:val="20"/>
              </w:rPr>
            </w:pPr>
            <w:r w:rsidRPr="008A26D2">
              <w:rPr>
                <w:rFonts w:ascii="Arial" w:eastAsia="Times New Roman" w:hAnsi="Arial" w:cs="Arial"/>
                <w:sz w:val="20"/>
                <w:szCs w:val="20"/>
              </w:rPr>
              <w:t>Gobiernos regionales</w:t>
            </w:r>
          </w:p>
        </w:tc>
      </w:tr>
      <w:tr w:rsidR="008A26D2" w:rsidRPr="008A26D2" w14:paraId="716B9A34" w14:textId="77777777" w:rsidTr="00B359C3">
        <w:trPr>
          <w:trHeight w:val="211"/>
        </w:trPr>
        <w:tc>
          <w:tcPr>
            <w:tcW w:w="283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39A67EC5" w14:textId="77777777" w:rsidR="00F72E5F" w:rsidRPr="008A26D2" w:rsidRDefault="00F72E5F" w:rsidP="00F72E5F">
            <w:pPr>
              <w:spacing w:after="0" w:line="240" w:lineRule="auto"/>
              <w:rPr>
                <w:rFonts w:ascii="Arial" w:eastAsia="Times New Roman" w:hAnsi="Arial" w:cs="Arial"/>
                <w:b/>
                <w:sz w:val="20"/>
                <w:szCs w:val="20"/>
              </w:rPr>
            </w:pPr>
            <w:r w:rsidRPr="008A26D2">
              <w:rPr>
                <w:rFonts w:ascii="Arial" w:eastAsia="Times New Roman" w:hAnsi="Arial" w:cs="Arial"/>
                <w:b/>
                <w:sz w:val="20"/>
                <w:szCs w:val="20"/>
              </w:rPr>
              <w:t xml:space="preserve"> Alcance del servicio </w:t>
            </w:r>
          </w:p>
        </w:tc>
        <w:tc>
          <w:tcPr>
            <w:tcW w:w="5954"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435A11D9" w14:textId="77777777" w:rsidR="00F72E5F" w:rsidRPr="008A26D2" w:rsidRDefault="00F72E5F" w:rsidP="00F72E5F">
            <w:pPr>
              <w:spacing w:after="0" w:line="240" w:lineRule="auto"/>
              <w:jc w:val="both"/>
              <w:rPr>
                <w:rFonts w:ascii="Arial" w:eastAsia="Times New Roman" w:hAnsi="Arial" w:cs="Arial"/>
                <w:sz w:val="20"/>
                <w:szCs w:val="20"/>
              </w:rPr>
            </w:pPr>
            <w:r w:rsidRPr="008A26D2">
              <w:rPr>
                <w:rFonts w:ascii="Arial" w:eastAsia="Times New Roman" w:hAnsi="Arial" w:cs="Arial"/>
                <w:sz w:val="20"/>
                <w:szCs w:val="20"/>
              </w:rPr>
              <w:t>Nacional</w:t>
            </w:r>
          </w:p>
        </w:tc>
      </w:tr>
      <w:tr w:rsidR="008A26D2" w:rsidRPr="008A26D2" w14:paraId="40FE1D4C" w14:textId="77777777" w:rsidTr="00B359C3">
        <w:trPr>
          <w:trHeight w:val="62"/>
        </w:trPr>
        <w:tc>
          <w:tcPr>
            <w:tcW w:w="283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4807BE11" w14:textId="77777777" w:rsidR="00F72E5F" w:rsidRPr="008A26D2" w:rsidRDefault="00F72E5F" w:rsidP="00F72E5F">
            <w:pPr>
              <w:spacing w:after="0" w:line="240" w:lineRule="auto"/>
              <w:rPr>
                <w:rFonts w:ascii="Arial" w:eastAsia="Times New Roman" w:hAnsi="Arial" w:cs="Arial"/>
                <w:b/>
                <w:sz w:val="20"/>
                <w:szCs w:val="20"/>
              </w:rPr>
            </w:pPr>
            <w:r w:rsidRPr="008A26D2">
              <w:rPr>
                <w:rFonts w:ascii="Arial" w:eastAsia="Times New Roman" w:hAnsi="Arial" w:cs="Arial"/>
                <w:b/>
                <w:sz w:val="20"/>
                <w:szCs w:val="20"/>
              </w:rPr>
              <w:t xml:space="preserve"> Estándar (es) de cumplimiento</w:t>
            </w:r>
          </w:p>
        </w:tc>
        <w:tc>
          <w:tcPr>
            <w:tcW w:w="5954"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6C1371B5" w14:textId="77777777" w:rsidR="00F72E5F" w:rsidRPr="008A26D2" w:rsidRDefault="00F72E5F" w:rsidP="00F72E5F">
            <w:pPr>
              <w:spacing w:after="0" w:line="240" w:lineRule="auto"/>
              <w:rPr>
                <w:rFonts w:ascii="Arial" w:eastAsia="Times New Roman" w:hAnsi="Arial" w:cs="Arial"/>
                <w:sz w:val="20"/>
                <w:szCs w:val="20"/>
              </w:rPr>
            </w:pPr>
            <w:r w:rsidRPr="008A26D2">
              <w:rPr>
                <w:rFonts w:ascii="Arial" w:eastAsia="Times New Roman" w:hAnsi="Arial" w:cs="Arial"/>
                <w:sz w:val="20"/>
                <w:szCs w:val="20"/>
              </w:rPr>
              <w:t>Fiabilidad</w:t>
            </w:r>
          </w:p>
        </w:tc>
      </w:tr>
      <w:tr w:rsidR="008A26D2" w:rsidRPr="008A26D2" w14:paraId="6371DDF0" w14:textId="77777777" w:rsidTr="00B359C3">
        <w:trPr>
          <w:trHeight w:val="300"/>
        </w:trPr>
        <w:tc>
          <w:tcPr>
            <w:tcW w:w="283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6FB6BFDA" w14:textId="77777777" w:rsidR="00F72E5F" w:rsidRPr="008A26D2" w:rsidRDefault="00F72E5F" w:rsidP="00F72E5F">
            <w:pPr>
              <w:spacing w:after="0" w:line="240" w:lineRule="auto"/>
              <w:rPr>
                <w:rFonts w:ascii="Arial" w:eastAsia="Times New Roman" w:hAnsi="Arial" w:cs="Arial"/>
                <w:b/>
                <w:sz w:val="20"/>
                <w:szCs w:val="20"/>
              </w:rPr>
            </w:pPr>
            <w:r w:rsidRPr="008A26D2">
              <w:rPr>
                <w:rFonts w:ascii="Arial" w:eastAsia="Times New Roman" w:hAnsi="Arial" w:cs="Arial"/>
                <w:b/>
                <w:sz w:val="20"/>
                <w:szCs w:val="20"/>
              </w:rPr>
              <w:t xml:space="preserve"> Descripción del estándar</w:t>
            </w:r>
          </w:p>
        </w:tc>
        <w:tc>
          <w:tcPr>
            <w:tcW w:w="5954" w:type="dxa"/>
            <w:gridSpan w:val="3"/>
            <w:tcBorders>
              <w:top w:val="single" w:sz="4" w:space="0" w:color="000000"/>
              <w:left w:val="single" w:sz="4" w:space="0" w:color="000000"/>
              <w:bottom w:val="single" w:sz="4" w:space="0" w:color="000000"/>
              <w:right w:val="single" w:sz="4" w:space="0" w:color="000000"/>
            </w:tcBorders>
            <w:tcMar>
              <w:top w:w="15" w:type="dxa"/>
              <w:left w:w="135" w:type="dxa"/>
              <w:bottom w:w="0" w:type="dxa"/>
              <w:right w:w="15" w:type="dxa"/>
            </w:tcMar>
            <w:vAlign w:val="center"/>
          </w:tcPr>
          <w:p w14:paraId="50EB06D4" w14:textId="6D81C9A9" w:rsidR="00F72E5F" w:rsidRPr="008A26D2" w:rsidRDefault="00F72E5F" w:rsidP="00F72E5F">
            <w:pPr>
              <w:spacing w:after="0" w:line="240" w:lineRule="auto"/>
              <w:ind w:left="-135"/>
              <w:jc w:val="both"/>
              <w:rPr>
                <w:rFonts w:ascii="Arial" w:eastAsia="Times New Roman" w:hAnsi="Arial" w:cs="Arial"/>
                <w:sz w:val="20"/>
                <w:szCs w:val="20"/>
              </w:rPr>
            </w:pPr>
            <w:r w:rsidRPr="008A26D2">
              <w:rPr>
                <w:rFonts w:ascii="Arial" w:eastAsia="Times New Roman" w:hAnsi="Arial" w:cs="Arial"/>
                <w:sz w:val="20"/>
                <w:szCs w:val="20"/>
              </w:rPr>
              <w:t xml:space="preserve">El estándar es de fiabilidad debido a que se brinda utilizando los criterios técnicos y normativos aprobados por el Servicio Nacional </w:t>
            </w:r>
            <w:r w:rsidRPr="008A26D2">
              <w:rPr>
                <w:rFonts w:ascii="Arial" w:eastAsia="Times New Roman" w:hAnsi="Arial" w:cs="Arial"/>
                <w:sz w:val="20"/>
                <w:szCs w:val="20"/>
              </w:rPr>
              <w:lastRenderedPageBreak/>
              <w:t>Foresta y de Fauna Silvestre. De esa forma, se evita errores o fallas en la provisión del servicio.</w:t>
            </w:r>
          </w:p>
        </w:tc>
      </w:tr>
      <w:tr w:rsidR="008A26D2" w:rsidRPr="008A26D2" w14:paraId="3BE9C21C" w14:textId="77777777" w:rsidTr="00B359C3">
        <w:trPr>
          <w:trHeight w:val="329"/>
        </w:trPr>
        <w:tc>
          <w:tcPr>
            <w:tcW w:w="283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225C21BF" w14:textId="58223ECD" w:rsidR="00F72E5F" w:rsidRPr="008A26D2" w:rsidRDefault="00F72E5F" w:rsidP="00F72E5F">
            <w:pPr>
              <w:spacing w:after="0" w:line="240" w:lineRule="auto"/>
              <w:rPr>
                <w:rFonts w:ascii="Arial" w:eastAsia="Times New Roman" w:hAnsi="Arial" w:cs="Arial"/>
                <w:b/>
                <w:sz w:val="20"/>
                <w:szCs w:val="20"/>
              </w:rPr>
            </w:pPr>
            <w:r w:rsidRPr="008A26D2">
              <w:rPr>
                <w:rFonts w:ascii="Arial" w:eastAsia="Times New Roman" w:hAnsi="Arial" w:cs="Arial"/>
                <w:b/>
                <w:sz w:val="20"/>
                <w:szCs w:val="20"/>
              </w:rPr>
              <w:lastRenderedPageBreak/>
              <w:t>Indicador de calidad</w:t>
            </w:r>
          </w:p>
        </w:tc>
        <w:tc>
          <w:tcPr>
            <w:tcW w:w="5954"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438762E5" w14:textId="77777777" w:rsidR="00F72E5F" w:rsidRPr="008A26D2" w:rsidRDefault="00F72E5F" w:rsidP="00F72E5F">
            <w:pPr>
              <w:spacing w:after="0" w:line="240" w:lineRule="auto"/>
              <w:jc w:val="both"/>
              <w:rPr>
                <w:rFonts w:ascii="Arial" w:eastAsia="Times New Roman" w:hAnsi="Arial" w:cs="Arial"/>
                <w:sz w:val="20"/>
                <w:szCs w:val="20"/>
              </w:rPr>
            </w:pPr>
            <w:r w:rsidRPr="008A26D2">
              <w:rPr>
                <w:rFonts w:ascii="Arial" w:eastAsia="Times New Roman" w:hAnsi="Arial" w:cs="Arial"/>
                <w:sz w:val="20"/>
                <w:szCs w:val="20"/>
              </w:rPr>
              <w:t>Porcentaje de gobiernos regionales que reciben asistencia técnica de manera fiable</w:t>
            </w:r>
          </w:p>
        </w:tc>
      </w:tr>
    </w:tbl>
    <w:p w14:paraId="1374E115" w14:textId="6855E117" w:rsidR="00B359C3" w:rsidRPr="008A26D2" w:rsidRDefault="00B359C3" w:rsidP="00C8135D">
      <w:pPr>
        <w:jc w:val="both"/>
        <w:rPr>
          <w:rFonts w:ascii="Arial Narrow" w:eastAsia="Arial Narrow" w:hAnsi="Arial Narrow" w:cs="Arial Narrow"/>
          <w:b/>
        </w:rPr>
      </w:pPr>
    </w:p>
    <w:p w14:paraId="3DF80CCB" w14:textId="61D04683" w:rsidR="00B359C3" w:rsidRPr="008A26D2" w:rsidRDefault="00B359C3" w:rsidP="00C8135D">
      <w:pPr>
        <w:jc w:val="both"/>
        <w:rPr>
          <w:rFonts w:ascii="Arial" w:eastAsia="Arial Narrow" w:hAnsi="Arial" w:cs="Arial"/>
          <w:b/>
        </w:rPr>
      </w:pPr>
      <w:r w:rsidRPr="008A26D2">
        <w:rPr>
          <w:rFonts w:ascii="Arial" w:eastAsia="Times New Roman" w:hAnsi="Arial" w:cs="Arial"/>
          <w:b/>
        </w:rPr>
        <w:t>S1.5.2</w:t>
      </w:r>
      <w:r w:rsidRPr="008A26D2">
        <w:rPr>
          <w:rFonts w:ascii="Arial" w:eastAsia="Times New Roman" w:hAnsi="Arial" w:cs="Arial"/>
        </w:rPr>
        <w:t xml:space="preserve"> Implementación de las unidades de ordenamiento forestal de forma fiable para las Autoridades Regionales Forestales y de Fauna Silvestre</w:t>
      </w:r>
    </w:p>
    <w:tbl>
      <w:tblPr>
        <w:tblW w:w="8793" w:type="dxa"/>
        <w:jc w:val="center"/>
        <w:tblLayout w:type="fixed"/>
        <w:tblLook w:val="0600" w:firstRow="0" w:lastRow="0" w:firstColumn="0" w:lastColumn="0" w:noHBand="1" w:noVBand="1"/>
      </w:tblPr>
      <w:tblGrid>
        <w:gridCol w:w="2693"/>
        <w:gridCol w:w="2033"/>
        <w:gridCol w:w="2033"/>
        <w:gridCol w:w="2034"/>
      </w:tblGrid>
      <w:tr w:rsidR="008A26D2" w:rsidRPr="008A26D2" w14:paraId="056C7C24" w14:textId="77777777" w:rsidTr="00B359C3">
        <w:trPr>
          <w:trHeight w:val="300"/>
          <w:jc w:val="center"/>
        </w:trPr>
        <w:tc>
          <w:tcPr>
            <w:tcW w:w="8793"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center"/>
          </w:tcPr>
          <w:p w14:paraId="09510D00" w14:textId="25128FDD" w:rsidR="00B359C3" w:rsidRPr="008A26D2" w:rsidRDefault="00B359C3" w:rsidP="00B359C3">
            <w:pPr>
              <w:jc w:val="center"/>
              <w:rPr>
                <w:rFonts w:ascii="Arial" w:eastAsia="Times New Roman" w:hAnsi="Arial" w:cs="Arial"/>
                <w:sz w:val="20"/>
                <w:szCs w:val="20"/>
              </w:rPr>
            </w:pPr>
            <w:r w:rsidRPr="008A26D2">
              <w:rPr>
                <w:rFonts w:ascii="Arial" w:eastAsia="Times New Roman" w:hAnsi="Arial" w:cs="Arial"/>
                <w:b/>
                <w:sz w:val="20"/>
                <w:szCs w:val="20"/>
              </w:rPr>
              <w:t xml:space="preserve">FICHA DEL SERVICIO </w:t>
            </w:r>
          </w:p>
        </w:tc>
      </w:tr>
      <w:tr w:rsidR="008A26D2" w:rsidRPr="008A26D2" w14:paraId="77E6245C" w14:textId="77777777" w:rsidTr="00B359C3">
        <w:trPr>
          <w:trHeight w:val="300"/>
          <w:jc w:val="center"/>
        </w:trPr>
        <w:tc>
          <w:tcPr>
            <w:tcW w:w="269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2DE31AF7" w14:textId="77777777" w:rsidR="00B359C3" w:rsidRPr="008A26D2" w:rsidRDefault="00B359C3" w:rsidP="00B359C3">
            <w:pPr>
              <w:spacing w:after="0" w:line="240" w:lineRule="auto"/>
              <w:rPr>
                <w:rFonts w:ascii="Arial" w:eastAsia="Times New Roman" w:hAnsi="Arial" w:cs="Arial"/>
                <w:b/>
                <w:sz w:val="20"/>
                <w:szCs w:val="20"/>
              </w:rPr>
            </w:pPr>
            <w:r w:rsidRPr="008A26D2">
              <w:rPr>
                <w:rFonts w:ascii="Arial" w:eastAsia="Times New Roman" w:hAnsi="Arial" w:cs="Arial"/>
                <w:b/>
                <w:sz w:val="20"/>
                <w:szCs w:val="20"/>
              </w:rPr>
              <w:t xml:space="preserve"> Objetivo prioritario:</w:t>
            </w:r>
          </w:p>
        </w:tc>
        <w:tc>
          <w:tcPr>
            <w:tcW w:w="6100"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7C8E3DCF" w14:textId="77777777" w:rsidR="00B359C3" w:rsidRPr="008A26D2" w:rsidRDefault="00B359C3" w:rsidP="00B359C3">
            <w:pPr>
              <w:spacing w:after="0" w:line="240" w:lineRule="auto"/>
              <w:jc w:val="both"/>
              <w:rPr>
                <w:rFonts w:ascii="Arial" w:eastAsia="Times New Roman" w:hAnsi="Arial" w:cs="Arial"/>
                <w:sz w:val="20"/>
                <w:szCs w:val="20"/>
              </w:rPr>
            </w:pPr>
            <w:r w:rsidRPr="008A26D2">
              <w:rPr>
                <w:rFonts w:ascii="Arial" w:eastAsia="Times New Roman" w:hAnsi="Arial" w:cs="Arial"/>
                <w:sz w:val="20"/>
                <w:szCs w:val="20"/>
              </w:rPr>
              <w:t xml:space="preserve"> OP1 Mejorar las condiciones para la sostenibilidad de los ecosistemas forestales, otros ecosistemas de vegetación silvestre y de la fauna silvestre  </w:t>
            </w:r>
          </w:p>
        </w:tc>
      </w:tr>
      <w:tr w:rsidR="008A26D2" w:rsidRPr="008A26D2" w14:paraId="4928EA34" w14:textId="77777777" w:rsidTr="00B359C3">
        <w:trPr>
          <w:trHeight w:val="300"/>
          <w:jc w:val="center"/>
        </w:trPr>
        <w:tc>
          <w:tcPr>
            <w:tcW w:w="269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530DC87E" w14:textId="77777777" w:rsidR="00B359C3" w:rsidRPr="008A26D2" w:rsidRDefault="00B359C3" w:rsidP="00B359C3">
            <w:pPr>
              <w:spacing w:after="0" w:line="240" w:lineRule="auto"/>
              <w:rPr>
                <w:rFonts w:ascii="Arial" w:eastAsia="Times New Roman" w:hAnsi="Arial" w:cs="Arial"/>
                <w:b/>
                <w:sz w:val="20"/>
                <w:szCs w:val="20"/>
              </w:rPr>
            </w:pPr>
            <w:r w:rsidRPr="008A26D2">
              <w:rPr>
                <w:rFonts w:ascii="Arial" w:eastAsia="Times New Roman" w:hAnsi="Arial" w:cs="Arial"/>
                <w:b/>
                <w:sz w:val="20"/>
                <w:szCs w:val="20"/>
              </w:rPr>
              <w:t xml:space="preserve"> Lineamiento:</w:t>
            </w:r>
          </w:p>
        </w:tc>
        <w:tc>
          <w:tcPr>
            <w:tcW w:w="6100"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52D17957" w14:textId="77777777" w:rsidR="00B359C3" w:rsidRPr="008A26D2" w:rsidRDefault="00B359C3" w:rsidP="00B359C3">
            <w:pPr>
              <w:spacing w:after="0" w:line="240" w:lineRule="auto"/>
              <w:jc w:val="both"/>
              <w:rPr>
                <w:rFonts w:ascii="Arial" w:eastAsia="Times New Roman" w:hAnsi="Arial" w:cs="Arial"/>
                <w:sz w:val="20"/>
                <w:szCs w:val="20"/>
              </w:rPr>
            </w:pPr>
            <w:r w:rsidRPr="008A26D2">
              <w:rPr>
                <w:rFonts w:ascii="Arial" w:eastAsia="Times New Roman" w:hAnsi="Arial" w:cs="Arial"/>
                <w:sz w:val="20"/>
                <w:szCs w:val="20"/>
              </w:rPr>
              <w:t>L1.5 Incrementar el avance del proceso de ordenamiento forestal en el país</w:t>
            </w:r>
          </w:p>
        </w:tc>
      </w:tr>
      <w:tr w:rsidR="008A26D2" w:rsidRPr="008A26D2" w14:paraId="78AEC5E1" w14:textId="77777777" w:rsidTr="00B359C3">
        <w:trPr>
          <w:trHeight w:val="300"/>
          <w:jc w:val="center"/>
        </w:trPr>
        <w:tc>
          <w:tcPr>
            <w:tcW w:w="269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41ADA070" w14:textId="77777777" w:rsidR="00B359C3" w:rsidRPr="008A26D2" w:rsidRDefault="00B359C3" w:rsidP="00B359C3">
            <w:pPr>
              <w:spacing w:after="0" w:line="240" w:lineRule="auto"/>
              <w:rPr>
                <w:rFonts w:ascii="Arial" w:eastAsia="Times New Roman" w:hAnsi="Arial" w:cs="Arial"/>
                <w:b/>
                <w:sz w:val="20"/>
                <w:szCs w:val="20"/>
              </w:rPr>
            </w:pPr>
            <w:r w:rsidRPr="008A26D2">
              <w:rPr>
                <w:rFonts w:ascii="Arial" w:eastAsia="Times New Roman" w:hAnsi="Arial" w:cs="Arial"/>
                <w:b/>
                <w:sz w:val="20"/>
                <w:szCs w:val="20"/>
              </w:rPr>
              <w:t xml:space="preserve"> Nombre del servicio:</w:t>
            </w:r>
          </w:p>
        </w:tc>
        <w:tc>
          <w:tcPr>
            <w:tcW w:w="6100"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3CF0B078" w14:textId="77777777" w:rsidR="00B359C3" w:rsidRPr="008A26D2" w:rsidRDefault="00B359C3" w:rsidP="00B359C3">
            <w:pPr>
              <w:spacing w:after="0" w:line="240" w:lineRule="auto"/>
              <w:jc w:val="both"/>
              <w:rPr>
                <w:rFonts w:ascii="Arial" w:eastAsia="Times New Roman" w:hAnsi="Arial" w:cs="Arial"/>
                <w:sz w:val="20"/>
                <w:szCs w:val="20"/>
              </w:rPr>
            </w:pPr>
            <w:r w:rsidRPr="008A26D2">
              <w:rPr>
                <w:rFonts w:ascii="Arial" w:eastAsia="Times New Roman" w:hAnsi="Arial" w:cs="Arial"/>
                <w:sz w:val="20"/>
                <w:szCs w:val="20"/>
              </w:rPr>
              <w:t>S1.5.2 Implementación de las unidades de ordenamiento forestal de forma fiable para las Autoridades Regionales Forestales y de Fauna Silvestre</w:t>
            </w:r>
          </w:p>
        </w:tc>
      </w:tr>
      <w:tr w:rsidR="008A26D2" w:rsidRPr="008A26D2" w14:paraId="3E1CAFFC" w14:textId="77777777" w:rsidTr="00B359C3">
        <w:trPr>
          <w:trHeight w:val="300"/>
          <w:jc w:val="center"/>
        </w:trPr>
        <w:tc>
          <w:tcPr>
            <w:tcW w:w="269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63EA4438" w14:textId="77777777" w:rsidR="00B359C3" w:rsidRPr="008A26D2" w:rsidRDefault="00B359C3" w:rsidP="00B359C3">
            <w:pPr>
              <w:spacing w:after="0" w:line="240" w:lineRule="auto"/>
              <w:rPr>
                <w:rFonts w:ascii="Arial" w:eastAsia="Times New Roman" w:hAnsi="Arial" w:cs="Arial"/>
                <w:b/>
                <w:sz w:val="20"/>
                <w:szCs w:val="20"/>
              </w:rPr>
            </w:pPr>
            <w:r w:rsidRPr="008A26D2">
              <w:rPr>
                <w:rFonts w:ascii="Arial" w:eastAsia="Times New Roman" w:hAnsi="Arial" w:cs="Arial"/>
                <w:b/>
                <w:sz w:val="20"/>
                <w:szCs w:val="20"/>
              </w:rPr>
              <w:t>Tipo de servicio:</w:t>
            </w:r>
          </w:p>
        </w:tc>
        <w:tc>
          <w:tcPr>
            <w:tcW w:w="6100"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2D47FF5F" w14:textId="77777777" w:rsidR="00B359C3" w:rsidRPr="008A26D2" w:rsidRDefault="00B359C3" w:rsidP="00B359C3">
            <w:pPr>
              <w:spacing w:after="0" w:line="240" w:lineRule="auto"/>
              <w:jc w:val="both"/>
              <w:rPr>
                <w:rFonts w:ascii="Arial" w:eastAsia="Times New Roman" w:hAnsi="Arial" w:cs="Arial"/>
                <w:sz w:val="20"/>
                <w:szCs w:val="20"/>
              </w:rPr>
            </w:pPr>
            <w:r w:rsidRPr="008A26D2">
              <w:rPr>
                <w:rFonts w:ascii="Arial" w:eastAsia="Times New Roman" w:hAnsi="Arial" w:cs="Arial"/>
                <w:sz w:val="20"/>
                <w:szCs w:val="20"/>
              </w:rPr>
              <w:t>Mejorado</w:t>
            </w:r>
          </w:p>
        </w:tc>
      </w:tr>
      <w:tr w:rsidR="008A26D2" w:rsidRPr="008A26D2" w14:paraId="740D11DE" w14:textId="77777777" w:rsidTr="00B359C3">
        <w:trPr>
          <w:trHeight w:val="300"/>
          <w:jc w:val="center"/>
        </w:trPr>
        <w:tc>
          <w:tcPr>
            <w:tcW w:w="269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359BDDCB" w14:textId="669D50E5" w:rsidR="00F72E5F" w:rsidRPr="008A26D2" w:rsidRDefault="00F72E5F" w:rsidP="00F72E5F">
            <w:pPr>
              <w:spacing w:after="0" w:line="240" w:lineRule="auto"/>
              <w:rPr>
                <w:rFonts w:ascii="Arial" w:eastAsia="Times New Roman" w:hAnsi="Arial" w:cs="Arial"/>
                <w:b/>
                <w:sz w:val="20"/>
                <w:szCs w:val="20"/>
              </w:rPr>
            </w:pPr>
            <w:r w:rsidRPr="008A26D2">
              <w:rPr>
                <w:rFonts w:ascii="Arial" w:hAnsi="Arial" w:cs="Arial"/>
                <w:b/>
                <w:sz w:val="20"/>
                <w:szCs w:val="20"/>
              </w:rPr>
              <w:t>Naturaleza del servicio:</w:t>
            </w:r>
          </w:p>
        </w:tc>
        <w:tc>
          <w:tcPr>
            <w:tcW w:w="6100"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37989807" w14:textId="78667B96" w:rsidR="00F72E5F" w:rsidRPr="008A26D2" w:rsidRDefault="001954F3" w:rsidP="00F72E5F">
            <w:pPr>
              <w:spacing w:after="0" w:line="240" w:lineRule="auto"/>
              <w:jc w:val="both"/>
              <w:rPr>
                <w:rFonts w:ascii="Arial" w:eastAsia="Times New Roman" w:hAnsi="Arial" w:cs="Arial"/>
                <w:sz w:val="20"/>
                <w:szCs w:val="20"/>
              </w:rPr>
            </w:pPr>
            <w:r w:rsidRPr="008A26D2">
              <w:rPr>
                <w:rFonts w:ascii="Arial" w:eastAsia="Arial Narrow" w:hAnsi="Arial" w:cs="Arial"/>
                <w:sz w:val="20"/>
                <w:szCs w:val="20"/>
              </w:rPr>
              <w:t>A</w:t>
            </w:r>
            <w:r w:rsidR="00F72E5F" w:rsidRPr="008A26D2">
              <w:rPr>
                <w:rFonts w:ascii="Arial" w:eastAsia="Arial Narrow" w:hAnsi="Arial" w:cs="Arial"/>
                <w:sz w:val="20"/>
                <w:szCs w:val="20"/>
              </w:rPr>
              <w:t>dministrativo</w:t>
            </w:r>
          </w:p>
        </w:tc>
      </w:tr>
      <w:tr w:rsidR="008A26D2" w:rsidRPr="008A26D2" w14:paraId="53622622" w14:textId="77777777" w:rsidTr="00B359C3">
        <w:trPr>
          <w:trHeight w:val="300"/>
          <w:jc w:val="center"/>
        </w:trPr>
        <w:tc>
          <w:tcPr>
            <w:tcW w:w="269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60061D56" w14:textId="657EE187" w:rsidR="00F72E5F" w:rsidRPr="008A26D2" w:rsidRDefault="00F72E5F" w:rsidP="00F72E5F">
            <w:pPr>
              <w:spacing w:after="0" w:line="240" w:lineRule="auto"/>
              <w:rPr>
                <w:rFonts w:ascii="Arial" w:eastAsia="Times New Roman" w:hAnsi="Arial" w:cs="Arial"/>
                <w:b/>
                <w:sz w:val="20"/>
                <w:szCs w:val="20"/>
              </w:rPr>
            </w:pPr>
            <w:r w:rsidRPr="008A26D2">
              <w:rPr>
                <w:rFonts w:ascii="Arial" w:hAnsi="Arial" w:cs="Arial"/>
                <w:b/>
                <w:sz w:val="20"/>
                <w:szCs w:val="20"/>
              </w:rPr>
              <w:t>Entrega del servicio</w:t>
            </w:r>
          </w:p>
        </w:tc>
        <w:tc>
          <w:tcPr>
            <w:tcW w:w="6100"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65A05823" w14:textId="0B1C8742" w:rsidR="00F72E5F" w:rsidRPr="008A26D2" w:rsidRDefault="00F72E5F" w:rsidP="00F72E5F">
            <w:pPr>
              <w:spacing w:after="0" w:line="240" w:lineRule="auto"/>
              <w:jc w:val="both"/>
              <w:rPr>
                <w:rFonts w:ascii="Arial" w:eastAsia="Times New Roman" w:hAnsi="Arial" w:cs="Arial"/>
                <w:sz w:val="20"/>
                <w:szCs w:val="20"/>
              </w:rPr>
            </w:pPr>
            <w:r w:rsidRPr="008A26D2">
              <w:rPr>
                <w:rFonts w:ascii="Arial" w:eastAsia="Arial Narrow" w:hAnsi="Arial" w:cs="Arial"/>
                <w:sz w:val="20"/>
                <w:szCs w:val="20"/>
              </w:rPr>
              <w:t xml:space="preserve">Competencia </w:t>
            </w:r>
            <w:r w:rsidR="00F43B15">
              <w:rPr>
                <w:rFonts w:ascii="Arial" w:eastAsia="Arial Narrow" w:hAnsi="Arial" w:cs="Arial"/>
                <w:sz w:val="20"/>
                <w:szCs w:val="20"/>
              </w:rPr>
              <w:t>compartida</w:t>
            </w:r>
          </w:p>
        </w:tc>
      </w:tr>
      <w:tr w:rsidR="008A26D2" w:rsidRPr="008A26D2" w14:paraId="1FF41F6C" w14:textId="77777777" w:rsidTr="00DC5551">
        <w:trPr>
          <w:trHeight w:val="1387"/>
          <w:jc w:val="center"/>
        </w:trPr>
        <w:tc>
          <w:tcPr>
            <w:tcW w:w="269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6D983388" w14:textId="77777777" w:rsidR="00F72E5F" w:rsidRPr="008A26D2" w:rsidRDefault="00F72E5F" w:rsidP="00F72E5F">
            <w:pPr>
              <w:spacing w:after="0" w:line="240" w:lineRule="auto"/>
              <w:rPr>
                <w:rFonts w:ascii="Arial" w:eastAsia="Times New Roman" w:hAnsi="Arial" w:cs="Arial"/>
                <w:b/>
                <w:sz w:val="20"/>
                <w:szCs w:val="20"/>
              </w:rPr>
            </w:pPr>
            <w:r w:rsidRPr="008A26D2">
              <w:rPr>
                <w:rFonts w:ascii="Arial" w:eastAsia="Times New Roman" w:hAnsi="Arial" w:cs="Arial"/>
                <w:b/>
                <w:sz w:val="20"/>
                <w:szCs w:val="20"/>
              </w:rPr>
              <w:t xml:space="preserve"> Descripción del servicio</w:t>
            </w:r>
          </w:p>
        </w:tc>
        <w:tc>
          <w:tcPr>
            <w:tcW w:w="6100"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02FDD236" w14:textId="77777777" w:rsidR="00F72E5F" w:rsidRPr="008A26D2" w:rsidRDefault="00F72E5F" w:rsidP="00F72E5F">
            <w:pPr>
              <w:spacing w:after="0" w:line="240" w:lineRule="auto"/>
              <w:jc w:val="both"/>
              <w:rPr>
                <w:rFonts w:ascii="Arial" w:eastAsia="Times New Roman" w:hAnsi="Arial" w:cs="Arial"/>
                <w:sz w:val="20"/>
                <w:szCs w:val="20"/>
              </w:rPr>
            </w:pPr>
            <w:r w:rsidRPr="008A26D2">
              <w:rPr>
                <w:rFonts w:ascii="Arial" w:eastAsia="Times New Roman" w:hAnsi="Arial" w:cs="Arial"/>
                <w:sz w:val="20"/>
                <w:szCs w:val="20"/>
              </w:rPr>
              <w:t>El servicio engloba todas las acciones relacionadas al establecimiento, redimensionamiento o recategorización de unidades de ordenamiento forestal a nivel nacional a través de los respectivos documentos normativos emitidos por las entidades correspondientes y sobre la base técnica de la zonificación forestal. Este servicio está dirigido a las Autoridades Regionales Forestales y de Fauna Silvestre quienes lo utilizan para el otorgamiento de derechos de aprovechamiento.</w:t>
            </w:r>
          </w:p>
          <w:p w14:paraId="5E760103" w14:textId="77777777" w:rsidR="00F72E5F" w:rsidRPr="008A26D2" w:rsidRDefault="00F72E5F" w:rsidP="00F72E5F">
            <w:pPr>
              <w:spacing w:after="0" w:line="240" w:lineRule="auto"/>
              <w:jc w:val="both"/>
              <w:rPr>
                <w:rFonts w:ascii="Arial" w:eastAsia="Times New Roman" w:hAnsi="Arial" w:cs="Arial"/>
                <w:sz w:val="20"/>
                <w:szCs w:val="20"/>
              </w:rPr>
            </w:pPr>
          </w:p>
          <w:p w14:paraId="7011AE0D" w14:textId="6C3462AF" w:rsidR="00F72E5F" w:rsidRPr="008A26D2" w:rsidRDefault="00F72E5F" w:rsidP="00F72E5F">
            <w:pPr>
              <w:spacing w:after="0" w:line="240" w:lineRule="auto"/>
              <w:jc w:val="both"/>
              <w:rPr>
                <w:rFonts w:ascii="Arial" w:eastAsia="Times New Roman" w:hAnsi="Arial" w:cs="Arial"/>
                <w:strike/>
                <w:sz w:val="20"/>
                <w:szCs w:val="20"/>
              </w:rPr>
            </w:pPr>
            <w:r w:rsidRPr="008A26D2">
              <w:rPr>
                <w:rFonts w:ascii="Arial" w:eastAsia="Times New Roman" w:hAnsi="Arial" w:cs="Arial"/>
                <w:sz w:val="20"/>
                <w:szCs w:val="20"/>
              </w:rPr>
              <w:t>El Servicio Nacional Forestal y de Fauna Silvestre conduce la implementación de las unidades de ordenamiento forestal a nivel nacional. El establecimiento de unidades de ordenamiento forestal es considerado una condición habilitante para la gestión forestal y de fauna silvestre ya que es vinculante para el para el otorgamiento de derechos de aprovechamiento en donde correspondan. Las unidades de ordenamiento forestal son instrumentos de gestión territorial para acceso ordenado a los recursos forestales y de fauna silvestre, que establece el Servicio Nacional Forestal y de Fauna Silvestre</w:t>
            </w:r>
            <w:r w:rsidR="003B2206">
              <w:rPr>
                <w:rFonts w:ascii="Arial" w:eastAsia="Times New Roman" w:hAnsi="Arial" w:cs="Arial"/>
                <w:sz w:val="20"/>
                <w:szCs w:val="20"/>
              </w:rPr>
              <w:t xml:space="preserve"> - SERFOR</w:t>
            </w:r>
            <w:r w:rsidRPr="008A26D2">
              <w:rPr>
                <w:rFonts w:ascii="Arial" w:eastAsia="Times New Roman" w:hAnsi="Arial" w:cs="Arial"/>
                <w:sz w:val="20"/>
                <w:szCs w:val="20"/>
              </w:rPr>
              <w:t xml:space="preserve"> en coordinación con los gobiernos regionales y gobiernos locales. La zonificación forestal es la base técnica vinculante sobre la cual se establecen las diferentes unidades de ordenamiento forestal. Una vez aprobada la zonificación forestal con sus respectivas categorías, el Ministerio de Desarrollo Agrario y Riego, el Servicio Nacional Forestal y de Fauna Silvestre o la Autoridad Regional Forestal y de Fauna Silvestre, según corresponda, establece, declara o reconoce las unidades de ordenamiento forestal. </w:t>
            </w:r>
          </w:p>
          <w:p w14:paraId="714F1105" w14:textId="77777777" w:rsidR="00F72E5F" w:rsidRPr="008A26D2" w:rsidRDefault="00F72E5F" w:rsidP="00F72E5F">
            <w:pPr>
              <w:spacing w:after="0" w:line="240" w:lineRule="auto"/>
              <w:jc w:val="both"/>
              <w:rPr>
                <w:rFonts w:ascii="Arial" w:eastAsia="Times New Roman" w:hAnsi="Arial" w:cs="Arial"/>
                <w:sz w:val="20"/>
                <w:szCs w:val="20"/>
              </w:rPr>
            </w:pPr>
          </w:p>
          <w:p w14:paraId="014CE707" w14:textId="3430D060" w:rsidR="00F72E5F" w:rsidRPr="008A26D2" w:rsidRDefault="00F72E5F" w:rsidP="00F72E5F">
            <w:pPr>
              <w:spacing w:after="0" w:line="240" w:lineRule="auto"/>
              <w:jc w:val="both"/>
              <w:rPr>
                <w:rFonts w:ascii="Arial" w:eastAsia="Times New Roman" w:hAnsi="Arial" w:cs="Arial"/>
                <w:sz w:val="20"/>
                <w:szCs w:val="20"/>
              </w:rPr>
            </w:pPr>
            <w:r w:rsidRPr="008A26D2">
              <w:rPr>
                <w:rFonts w:ascii="Arial" w:eastAsia="Times New Roman" w:hAnsi="Arial" w:cs="Arial"/>
                <w:sz w:val="20"/>
                <w:szCs w:val="20"/>
              </w:rPr>
              <w:t xml:space="preserve">Las unidades de ordenamiento forestal son seis: Bosques de Producción Permanente, Bosques Locales, Bosques de Producción Permanente en Reserva, Bosques Protectores, Bosques en Tierras de Comunidades Campesinas y Nativas, y Bosques en Predios Privados. En la implementación de las unidades de ordenamiento forestal participan el Ministerio de Desarrollo Agrario y Riego a través de la Dirección General de Saneamiento de la Propiedad Agraria y Catastro Rural (DGSPACR) debido a que 2 unidades de ordenamiento forestal están relacionadas con los títulos de propiedad </w:t>
            </w:r>
            <w:r w:rsidRPr="008A26D2">
              <w:rPr>
                <w:rFonts w:ascii="Arial" w:eastAsia="Times New Roman" w:hAnsi="Arial" w:cs="Arial"/>
                <w:sz w:val="20"/>
                <w:szCs w:val="20"/>
              </w:rPr>
              <w:lastRenderedPageBreak/>
              <w:t xml:space="preserve">de comunidades y predios; el Servicio Nacional Forestal y de Fauna Silvestre y los gobiernos regionales. </w:t>
            </w:r>
          </w:p>
          <w:p w14:paraId="0E143057" w14:textId="77777777" w:rsidR="00F72E5F" w:rsidRPr="008A26D2" w:rsidRDefault="00F72E5F" w:rsidP="00F72E5F">
            <w:pPr>
              <w:spacing w:after="0" w:line="240" w:lineRule="auto"/>
              <w:jc w:val="both"/>
              <w:rPr>
                <w:rFonts w:ascii="Arial" w:eastAsia="Times New Roman" w:hAnsi="Arial" w:cs="Arial"/>
                <w:sz w:val="20"/>
                <w:szCs w:val="20"/>
              </w:rPr>
            </w:pPr>
            <w:r w:rsidRPr="008A26D2">
              <w:rPr>
                <w:rFonts w:ascii="Arial" w:eastAsia="Times New Roman" w:hAnsi="Arial" w:cs="Arial"/>
                <w:sz w:val="20"/>
                <w:szCs w:val="20"/>
              </w:rPr>
              <w:t>El servicio se considera mejorado ya que se viene aprobando normas para mejorar los procesos relacionados a la implementación de las unidades de ordenamiento forestal.</w:t>
            </w:r>
          </w:p>
          <w:p w14:paraId="7E47B4E8" w14:textId="46CEFEDD" w:rsidR="00F72E5F" w:rsidRPr="008A26D2" w:rsidRDefault="00F72E5F" w:rsidP="00F72E5F">
            <w:pPr>
              <w:spacing w:after="0" w:line="240" w:lineRule="auto"/>
              <w:jc w:val="both"/>
              <w:rPr>
                <w:rFonts w:ascii="Arial" w:eastAsia="Times New Roman" w:hAnsi="Arial" w:cs="Arial"/>
                <w:sz w:val="20"/>
                <w:szCs w:val="20"/>
              </w:rPr>
            </w:pPr>
          </w:p>
        </w:tc>
      </w:tr>
      <w:tr w:rsidR="008A26D2" w:rsidRPr="008A26D2" w14:paraId="616142BA" w14:textId="77777777" w:rsidTr="00B359C3">
        <w:trPr>
          <w:trHeight w:val="300"/>
          <w:jc w:val="center"/>
        </w:trPr>
        <w:tc>
          <w:tcPr>
            <w:tcW w:w="269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736629E7" w14:textId="77777777" w:rsidR="00F72E5F" w:rsidRPr="008A26D2" w:rsidRDefault="00F72E5F" w:rsidP="00F72E5F">
            <w:pPr>
              <w:spacing w:after="0" w:line="240" w:lineRule="auto"/>
              <w:rPr>
                <w:rFonts w:ascii="Arial" w:eastAsia="Times New Roman" w:hAnsi="Arial" w:cs="Arial"/>
                <w:b/>
                <w:sz w:val="20"/>
                <w:szCs w:val="20"/>
              </w:rPr>
            </w:pPr>
            <w:r w:rsidRPr="008A26D2">
              <w:rPr>
                <w:rFonts w:ascii="Arial" w:eastAsia="Times New Roman" w:hAnsi="Arial" w:cs="Arial"/>
                <w:b/>
                <w:sz w:val="20"/>
                <w:szCs w:val="20"/>
              </w:rPr>
              <w:lastRenderedPageBreak/>
              <w:t>Proveedor del servicio</w:t>
            </w:r>
          </w:p>
        </w:tc>
        <w:tc>
          <w:tcPr>
            <w:tcW w:w="6100"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3162818C" w14:textId="77777777" w:rsidR="00F72E5F" w:rsidRPr="008A26D2" w:rsidRDefault="00F72E5F" w:rsidP="00F72E5F">
            <w:pPr>
              <w:spacing w:after="0" w:line="240" w:lineRule="auto"/>
              <w:jc w:val="both"/>
              <w:rPr>
                <w:rFonts w:ascii="Arial" w:eastAsia="Times New Roman" w:hAnsi="Arial" w:cs="Arial"/>
                <w:sz w:val="20"/>
                <w:szCs w:val="20"/>
              </w:rPr>
            </w:pPr>
            <w:r w:rsidRPr="008A26D2">
              <w:rPr>
                <w:rFonts w:ascii="Arial" w:eastAsia="Times New Roman" w:hAnsi="Arial" w:cs="Arial"/>
                <w:sz w:val="20"/>
                <w:szCs w:val="20"/>
              </w:rPr>
              <w:t>Servicio Nacional Forestal y de Fauna Silvestre – SERFOR</w:t>
            </w:r>
          </w:p>
          <w:p w14:paraId="2B10B0CD" w14:textId="5B2A2FCD" w:rsidR="00F72E5F" w:rsidRPr="008A26D2" w:rsidRDefault="00F72E5F" w:rsidP="00F72E5F">
            <w:pPr>
              <w:spacing w:after="0" w:line="240" w:lineRule="auto"/>
              <w:jc w:val="both"/>
              <w:rPr>
                <w:rFonts w:ascii="Arial" w:eastAsia="Times New Roman" w:hAnsi="Arial" w:cs="Arial"/>
                <w:sz w:val="20"/>
                <w:szCs w:val="20"/>
              </w:rPr>
            </w:pPr>
            <w:r w:rsidRPr="008A26D2">
              <w:rPr>
                <w:rFonts w:ascii="Arial" w:eastAsia="Times New Roman" w:hAnsi="Arial" w:cs="Arial"/>
                <w:sz w:val="20"/>
                <w:szCs w:val="20"/>
              </w:rPr>
              <w:t>Gobiernos regionales - GORE</w:t>
            </w:r>
          </w:p>
          <w:p w14:paraId="3A5B7340" w14:textId="4AB34375" w:rsidR="00F72E5F" w:rsidRPr="008A26D2" w:rsidRDefault="00F72E5F" w:rsidP="00F72E5F">
            <w:pPr>
              <w:spacing w:after="0" w:line="240" w:lineRule="auto"/>
              <w:jc w:val="both"/>
              <w:rPr>
                <w:rFonts w:ascii="Arial" w:eastAsia="Times New Roman" w:hAnsi="Arial" w:cs="Arial"/>
                <w:sz w:val="20"/>
                <w:szCs w:val="20"/>
              </w:rPr>
            </w:pPr>
            <w:r w:rsidRPr="008A26D2">
              <w:rPr>
                <w:rFonts w:ascii="Arial" w:eastAsia="Times New Roman" w:hAnsi="Arial" w:cs="Arial"/>
                <w:sz w:val="20"/>
                <w:szCs w:val="20"/>
              </w:rPr>
              <w:t>Ministerio de Desarrollo Agrario y Riego – (Dirección General de Saneamiento de la Propiedad Agraria y Catastro Rural - DGSPACR)</w:t>
            </w:r>
          </w:p>
        </w:tc>
      </w:tr>
      <w:tr w:rsidR="008A26D2" w:rsidRPr="008A26D2" w14:paraId="1598F33F" w14:textId="77777777" w:rsidTr="004642B6">
        <w:trPr>
          <w:trHeight w:val="458"/>
          <w:jc w:val="center"/>
        </w:trPr>
        <w:tc>
          <w:tcPr>
            <w:tcW w:w="2693" w:type="dxa"/>
            <w:vMerge w:val="restart"/>
            <w:tcBorders>
              <w:top w:val="single" w:sz="4" w:space="0" w:color="000000"/>
              <w:left w:val="single" w:sz="4" w:space="0" w:color="000000"/>
              <w:right w:val="single" w:sz="4" w:space="0" w:color="000000"/>
            </w:tcBorders>
            <w:tcMar>
              <w:top w:w="15" w:type="dxa"/>
              <w:left w:w="15" w:type="dxa"/>
              <w:bottom w:w="0" w:type="dxa"/>
              <w:right w:w="15" w:type="dxa"/>
            </w:tcMar>
            <w:vAlign w:val="center"/>
          </w:tcPr>
          <w:p w14:paraId="74BB37BC" w14:textId="77777777" w:rsidR="00F72E5F" w:rsidRPr="008A26D2" w:rsidRDefault="00F72E5F" w:rsidP="00B46D57">
            <w:pPr>
              <w:spacing w:after="0" w:line="240" w:lineRule="auto"/>
              <w:rPr>
                <w:rFonts w:ascii="Arial" w:hAnsi="Arial" w:cs="Arial"/>
                <w:b/>
                <w:sz w:val="20"/>
                <w:szCs w:val="20"/>
              </w:rPr>
            </w:pPr>
            <w:r w:rsidRPr="008A26D2">
              <w:rPr>
                <w:rFonts w:ascii="Arial" w:hAnsi="Arial" w:cs="Arial"/>
                <w:b/>
                <w:sz w:val="20"/>
                <w:szCs w:val="20"/>
              </w:rPr>
              <w:t>Nivel (es) de gobierno que interviene</w:t>
            </w:r>
          </w:p>
          <w:p w14:paraId="5B85C58C" w14:textId="4D561A50" w:rsidR="00F72E5F" w:rsidRPr="008A26D2" w:rsidRDefault="00F72E5F" w:rsidP="00F72E5F">
            <w:pPr>
              <w:spacing w:after="0" w:line="240" w:lineRule="auto"/>
              <w:rPr>
                <w:rFonts w:ascii="Arial" w:eastAsia="Times New Roman" w:hAnsi="Arial" w:cs="Arial"/>
                <w:b/>
                <w:sz w:val="20"/>
                <w:szCs w:val="20"/>
              </w:rPr>
            </w:pPr>
            <w:r w:rsidRPr="008A26D2">
              <w:rPr>
                <w:rFonts w:ascii="Arial" w:hAnsi="Arial" w:cs="Arial"/>
                <w:b/>
                <w:sz w:val="20"/>
                <w:szCs w:val="20"/>
              </w:rPr>
              <w:t>(n) en la provisión del servicio</w:t>
            </w:r>
          </w:p>
        </w:tc>
        <w:tc>
          <w:tcPr>
            <w:tcW w:w="2033" w:type="dxa"/>
            <w:tcBorders>
              <w:top w:val="single" w:sz="4" w:space="0" w:color="000000"/>
              <w:left w:val="single" w:sz="4" w:space="0" w:color="000000"/>
              <w:right w:val="single" w:sz="4" w:space="0" w:color="000000"/>
            </w:tcBorders>
            <w:tcMar>
              <w:top w:w="15" w:type="dxa"/>
              <w:left w:w="15" w:type="dxa"/>
              <w:bottom w:w="0" w:type="dxa"/>
              <w:right w:w="15" w:type="dxa"/>
            </w:tcMar>
            <w:vAlign w:val="center"/>
          </w:tcPr>
          <w:p w14:paraId="4C407EB1" w14:textId="2867539F" w:rsidR="00F72E5F" w:rsidRPr="008A26D2" w:rsidRDefault="00F72E5F" w:rsidP="000C49B7">
            <w:pPr>
              <w:spacing w:after="0" w:line="240" w:lineRule="auto"/>
              <w:jc w:val="center"/>
              <w:rPr>
                <w:rFonts w:ascii="Arial" w:eastAsia="Times New Roman" w:hAnsi="Arial" w:cs="Arial"/>
                <w:sz w:val="20"/>
                <w:szCs w:val="20"/>
              </w:rPr>
            </w:pPr>
            <w:r w:rsidRPr="008A26D2">
              <w:rPr>
                <w:rFonts w:ascii="Arial" w:eastAsia="Arial Narrow" w:hAnsi="Arial" w:cs="Arial"/>
                <w:sz w:val="20"/>
                <w:szCs w:val="20"/>
              </w:rPr>
              <w:t>Nacional</w:t>
            </w:r>
          </w:p>
        </w:tc>
        <w:tc>
          <w:tcPr>
            <w:tcW w:w="2033" w:type="dxa"/>
            <w:tcBorders>
              <w:top w:val="single" w:sz="4" w:space="0" w:color="000000"/>
              <w:left w:val="single" w:sz="4" w:space="0" w:color="000000"/>
              <w:right w:val="single" w:sz="4" w:space="0" w:color="000000"/>
            </w:tcBorders>
            <w:vAlign w:val="center"/>
          </w:tcPr>
          <w:p w14:paraId="61492D68" w14:textId="1EFFD55A" w:rsidR="00F72E5F" w:rsidRPr="008A26D2" w:rsidRDefault="00F72E5F" w:rsidP="000C49B7">
            <w:pPr>
              <w:spacing w:after="0" w:line="240" w:lineRule="auto"/>
              <w:jc w:val="center"/>
              <w:rPr>
                <w:rFonts w:ascii="Arial" w:eastAsia="Times New Roman" w:hAnsi="Arial" w:cs="Arial"/>
                <w:sz w:val="20"/>
                <w:szCs w:val="20"/>
              </w:rPr>
            </w:pPr>
            <w:r w:rsidRPr="008A26D2">
              <w:rPr>
                <w:rFonts w:ascii="Arial" w:eastAsia="Arial Narrow" w:hAnsi="Arial" w:cs="Arial"/>
                <w:sz w:val="20"/>
                <w:szCs w:val="20"/>
              </w:rPr>
              <w:t>Regional</w:t>
            </w:r>
          </w:p>
        </w:tc>
        <w:tc>
          <w:tcPr>
            <w:tcW w:w="2034" w:type="dxa"/>
            <w:tcBorders>
              <w:top w:val="single" w:sz="4" w:space="0" w:color="000000"/>
              <w:left w:val="single" w:sz="4" w:space="0" w:color="000000"/>
              <w:right w:val="single" w:sz="4" w:space="0" w:color="000000"/>
            </w:tcBorders>
            <w:vAlign w:val="center"/>
          </w:tcPr>
          <w:p w14:paraId="35F8671F" w14:textId="57A8A853" w:rsidR="00F72E5F" w:rsidRPr="008A26D2" w:rsidRDefault="00F72E5F" w:rsidP="000C49B7">
            <w:pPr>
              <w:spacing w:after="0" w:line="240" w:lineRule="auto"/>
              <w:jc w:val="center"/>
              <w:rPr>
                <w:rFonts w:ascii="Arial" w:eastAsia="Times New Roman" w:hAnsi="Arial" w:cs="Arial"/>
                <w:sz w:val="20"/>
                <w:szCs w:val="20"/>
              </w:rPr>
            </w:pPr>
            <w:r w:rsidRPr="008A26D2">
              <w:rPr>
                <w:rFonts w:ascii="Arial" w:eastAsia="Arial Narrow" w:hAnsi="Arial" w:cs="Arial"/>
                <w:sz w:val="20"/>
                <w:szCs w:val="20"/>
              </w:rPr>
              <w:t>Local</w:t>
            </w:r>
          </w:p>
        </w:tc>
      </w:tr>
      <w:tr w:rsidR="008A26D2" w:rsidRPr="008A26D2" w14:paraId="04EABB10" w14:textId="77777777" w:rsidTr="004642B6">
        <w:trPr>
          <w:trHeight w:val="457"/>
          <w:jc w:val="center"/>
        </w:trPr>
        <w:tc>
          <w:tcPr>
            <w:tcW w:w="2693" w:type="dxa"/>
            <w:vMerge/>
            <w:tcBorders>
              <w:left w:val="single" w:sz="4" w:space="0" w:color="000000"/>
              <w:right w:val="single" w:sz="4" w:space="0" w:color="000000"/>
            </w:tcBorders>
            <w:tcMar>
              <w:top w:w="15" w:type="dxa"/>
              <w:left w:w="15" w:type="dxa"/>
              <w:bottom w:w="0" w:type="dxa"/>
              <w:right w:w="15" w:type="dxa"/>
            </w:tcMar>
            <w:vAlign w:val="center"/>
          </w:tcPr>
          <w:p w14:paraId="0E9B6828" w14:textId="77777777" w:rsidR="00F72E5F" w:rsidRPr="008A26D2" w:rsidRDefault="00F72E5F" w:rsidP="00F72E5F">
            <w:pPr>
              <w:spacing w:after="0" w:line="240" w:lineRule="auto"/>
              <w:rPr>
                <w:rFonts w:ascii="Arial" w:hAnsi="Arial" w:cs="Arial"/>
                <w:b/>
                <w:sz w:val="20"/>
                <w:szCs w:val="20"/>
              </w:rPr>
            </w:pPr>
          </w:p>
        </w:tc>
        <w:tc>
          <w:tcPr>
            <w:tcW w:w="2033" w:type="dxa"/>
            <w:tcBorders>
              <w:top w:val="single" w:sz="4" w:space="0" w:color="000000"/>
              <w:left w:val="single" w:sz="4" w:space="0" w:color="000000"/>
              <w:right w:val="single" w:sz="4" w:space="0" w:color="000000"/>
            </w:tcBorders>
            <w:tcMar>
              <w:top w:w="15" w:type="dxa"/>
              <w:left w:w="15" w:type="dxa"/>
              <w:bottom w:w="0" w:type="dxa"/>
              <w:right w:w="15" w:type="dxa"/>
            </w:tcMar>
            <w:vAlign w:val="center"/>
          </w:tcPr>
          <w:p w14:paraId="4BBBF177" w14:textId="58A284A6" w:rsidR="00F72E5F" w:rsidRPr="008A26D2" w:rsidRDefault="001954F3" w:rsidP="000C49B7">
            <w:pPr>
              <w:spacing w:after="0" w:line="240" w:lineRule="auto"/>
              <w:jc w:val="center"/>
              <w:rPr>
                <w:rFonts w:ascii="Arial" w:eastAsia="Times New Roman" w:hAnsi="Arial" w:cs="Arial"/>
                <w:sz w:val="20"/>
                <w:szCs w:val="20"/>
              </w:rPr>
            </w:pPr>
            <w:r w:rsidRPr="008A26D2">
              <w:rPr>
                <w:rFonts w:ascii="Arial" w:eastAsia="Times New Roman" w:hAnsi="Arial" w:cs="Arial"/>
                <w:sz w:val="20"/>
                <w:szCs w:val="20"/>
              </w:rPr>
              <w:t>X</w:t>
            </w:r>
          </w:p>
        </w:tc>
        <w:tc>
          <w:tcPr>
            <w:tcW w:w="2033" w:type="dxa"/>
            <w:tcBorders>
              <w:top w:val="single" w:sz="4" w:space="0" w:color="000000"/>
              <w:left w:val="single" w:sz="4" w:space="0" w:color="000000"/>
              <w:right w:val="single" w:sz="4" w:space="0" w:color="000000"/>
            </w:tcBorders>
            <w:vAlign w:val="center"/>
          </w:tcPr>
          <w:p w14:paraId="042B382D" w14:textId="7E43E24C" w:rsidR="00F72E5F" w:rsidRPr="008A26D2" w:rsidRDefault="001954F3" w:rsidP="000C49B7">
            <w:pPr>
              <w:spacing w:after="0" w:line="240" w:lineRule="auto"/>
              <w:jc w:val="center"/>
              <w:rPr>
                <w:rFonts w:ascii="Arial" w:eastAsia="Times New Roman" w:hAnsi="Arial" w:cs="Arial"/>
                <w:sz w:val="20"/>
                <w:szCs w:val="20"/>
              </w:rPr>
            </w:pPr>
            <w:r w:rsidRPr="008A26D2">
              <w:rPr>
                <w:rFonts w:ascii="Arial" w:eastAsia="Times New Roman" w:hAnsi="Arial" w:cs="Arial"/>
                <w:sz w:val="20"/>
                <w:szCs w:val="20"/>
              </w:rPr>
              <w:t>X</w:t>
            </w:r>
          </w:p>
        </w:tc>
        <w:tc>
          <w:tcPr>
            <w:tcW w:w="2034" w:type="dxa"/>
            <w:tcBorders>
              <w:top w:val="single" w:sz="4" w:space="0" w:color="000000"/>
              <w:left w:val="single" w:sz="4" w:space="0" w:color="000000"/>
              <w:right w:val="single" w:sz="4" w:space="0" w:color="000000"/>
            </w:tcBorders>
            <w:vAlign w:val="center"/>
          </w:tcPr>
          <w:p w14:paraId="7AF7865E" w14:textId="70997F77" w:rsidR="00F72E5F" w:rsidRPr="008A26D2" w:rsidRDefault="00F72E5F" w:rsidP="000C49B7">
            <w:pPr>
              <w:spacing w:after="0" w:line="240" w:lineRule="auto"/>
              <w:jc w:val="center"/>
              <w:rPr>
                <w:rFonts w:ascii="Arial" w:eastAsia="Times New Roman" w:hAnsi="Arial" w:cs="Arial"/>
                <w:sz w:val="20"/>
                <w:szCs w:val="20"/>
              </w:rPr>
            </w:pPr>
          </w:p>
        </w:tc>
      </w:tr>
      <w:tr w:rsidR="008A26D2" w:rsidRPr="008A26D2" w14:paraId="542EC8EB" w14:textId="77777777" w:rsidTr="00B359C3">
        <w:trPr>
          <w:trHeight w:val="300"/>
          <w:jc w:val="center"/>
        </w:trPr>
        <w:tc>
          <w:tcPr>
            <w:tcW w:w="269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6B49C9A9" w14:textId="77777777" w:rsidR="00F72E5F" w:rsidRPr="008A26D2" w:rsidRDefault="00F72E5F" w:rsidP="00F72E5F">
            <w:pPr>
              <w:spacing w:after="0" w:line="240" w:lineRule="auto"/>
              <w:rPr>
                <w:rFonts w:ascii="Arial" w:eastAsia="Times New Roman" w:hAnsi="Arial" w:cs="Arial"/>
                <w:b/>
                <w:sz w:val="20"/>
                <w:szCs w:val="20"/>
              </w:rPr>
            </w:pPr>
            <w:r w:rsidRPr="008A26D2">
              <w:rPr>
                <w:rFonts w:ascii="Arial" w:eastAsia="Times New Roman" w:hAnsi="Arial" w:cs="Arial"/>
                <w:b/>
                <w:sz w:val="20"/>
                <w:szCs w:val="20"/>
              </w:rPr>
              <w:t xml:space="preserve"> Receptor del servicio</w:t>
            </w:r>
          </w:p>
        </w:tc>
        <w:tc>
          <w:tcPr>
            <w:tcW w:w="6100"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08CA4E69" w14:textId="77777777" w:rsidR="00F72E5F" w:rsidRPr="008A26D2" w:rsidRDefault="00F72E5F" w:rsidP="00F72E5F">
            <w:pPr>
              <w:spacing w:after="0" w:line="240" w:lineRule="auto"/>
              <w:jc w:val="both"/>
              <w:rPr>
                <w:rFonts w:ascii="Arial" w:eastAsia="Times New Roman" w:hAnsi="Arial" w:cs="Arial"/>
                <w:sz w:val="20"/>
                <w:szCs w:val="20"/>
              </w:rPr>
            </w:pPr>
            <w:r w:rsidRPr="008A26D2">
              <w:rPr>
                <w:rFonts w:ascii="Arial" w:eastAsia="Times New Roman" w:hAnsi="Arial" w:cs="Arial"/>
                <w:sz w:val="20"/>
                <w:szCs w:val="20"/>
              </w:rPr>
              <w:t xml:space="preserve">Autoridades Regionales Forestales y de Fauna Silvestre </w:t>
            </w:r>
          </w:p>
        </w:tc>
      </w:tr>
      <w:tr w:rsidR="008A26D2" w:rsidRPr="008A26D2" w14:paraId="6CA618A0" w14:textId="77777777" w:rsidTr="00B359C3">
        <w:trPr>
          <w:trHeight w:val="211"/>
          <w:jc w:val="center"/>
        </w:trPr>
        <w:tc>
          <w:tcPr>
            <w:tcW w:w="269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21DEB0BF" w14:textId="77777777" w:rsidR="00F72E5F" w:rsidRPr="008A26D2" w:rsidRDefault="00F72E5F" w:rsidP="00F72E5F">
            <w:pPr>
              <w:spacing w:after="0" w:line="240" w:lineRule="auto"/>
              <w:rPr>
                <w:rFonts w:ascii="Arial" w:eastAsia="Times New Roman" w:hAnsi="Arial" w:cs="Arial"/>
                <w:b/>
                <w:sz w:val="20"/>
                <w:szCs w:val="20"/>
              </w:rPr>
            </w:pPr>
            <w:r w:rsidRPr="008A26D2">
              <w:rPr>
                <w:rFonts w:ascii="Arial" w:eastAsia="Times New Roman" w:hAnsi="Arial" w:cs="Arial"/>
                <w:b/>
                <w:sz w:val="20"/>
                <w:szCs w:val="20"/>
              </w:rPr>
              <w:t xml:space="preserve"> Alcance del servicio </w:t>
            </w:r>
          </w:p>
        </w:tc>
        <w:tc>
          <w:tcPr>
            <w:tcW w:w="6100"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772F4CE6" w14:textId="77777777" w:rsidR="00F72E5F" w:rsidRPr="008A26D2" w:rsidRDefault="00F72E5F" w:rsidP="00F72E5F">
            <w:pPr>
              <w:spacing w:after="0" w:line="240" w:lineRule="auto"/>
              <w:jc w:val="both"/>
              <w:rPr>
                <w:rFonts w:ascii="Arial" w:eastAsia="Times New Roman" w:hAnsi="Arial" w:cs="Arial"/>
                <w:sz w:val="20"/>
                <w:szCs w:val="20"/>
              </w:rPr>
            </w:pPr>
            <w:r w:rsidRPr="008A26D2">
              <w:rPr>
                <w:rFonts w:ascii="Arial" w:eastAsia="Times New Roman" w:hAnsi="Arial" w:cs="Arial"/>
                <w:sz w:val="20"/>
                <w:szCs w:val="20"/>
              </w:rPr>
              <w:t>Nacional</w:t>
            </w:r>
          </w:p>
        </w:tc>
      </w:tr>
      <w:tr w:rsidR="008A26D2" w:rsidRPr="008A26D2" w14:paraId="6C246B70" w14:textId="77777777" w:rsidTr="00B359C3">
        <w:trPr>
          <w:trHeight w:val="62"/>
          <w:jc w:val="center"/>
        </w:trPr>
        <w:tc>
          <w:tcPr>
            <w:tcW w:w="269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3B0BA2BE" w14:textId="77777777" w:rsidR="00F72E5F" w:rsidRPr="008A26D2" w:rsidRDefault="00F72E5F" w:rsidP="00F72E5F">
            <w:pPr>
              <w:spacing w:after="0" w:line="240" w:lineRule="auto"/>
              <w:rPr>
                <w:rFonts w:ascii="Arial" w:eastAsia="Times New Roman" w:hAnsi="Arial" w:cs="Arial"/>
                <w:b/>
                <w:sz w:val="20"/>
                <w:szCs w:val="20"/>
              </w:rPr>
            </w:pPr>
            <w:r w:rsidRPr="008A26D2">
              <w:rPr>
                <w:rFonts w:ascii="Arial" w:eastAsia="Times New Roman" w:hAnsi="Arial" w:cs="Arial"/>
                <w:b/>
                <w:sz w:val="20"/>
                <w:szCs w:val="20"/>
              </w:rPr>
              <w:t xml:space="preserve"> Estándar (es) de cumplimiento</w:t>
            </w:r>
          </w:p>
        </w:tc>
        <w:tc>
          <w:tcPr>
            <w:tcW w:w="6100"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486F2D29" w14:textId="77777777" w:rsidR="00F72E5F" w:rsidRPr="008A26D2" w:rsidRDefault="00F72E5F" w:rsidP="00F72E5F">
            <w:pPr>
              <w:spacing w:after="0" w:line="240" w:lineRule="auto"/>
              <w:rPr>
                <w:rFonts w:ascii="Arial" w:eastAsia="Times New Roman" w:hAnsi="Arial" w:cs="Arial"/>
                <w:sz w:val="20"/>
                <w:szCs w:val="20"/>
              </w:rPr>
            </w:pPr>
            <w:r w:rsidRPr="008A26D2">
              <w:rPr>
                <w:rFonts w:ascii="Arial" w:eastAsia="Times New Roman" w:hAnsi="Arial" w:cs="Arial"/>
                <w:sz w:val="20"/>
                <w:szCs w:val="20"/>
              </w:rPr>
              <w:t>Fiabilidad</w:t>
            </w:r>
          </w:p>
        </w:tc>
      </w:tr>
      <w:tr w:rsidR="008A26D2" w:rsidRPr="008A26D2" w14:paraId="5ACB1778" w14:textId="77777777" w:rsidTr="00B359C3">
        <w:trPr>
          <w:trHeight w:val="300"/>
          <w:jc w:val="center"/>
        </w:trPr>
        <w:tc>
          <w:tcPr>
            <w:tcW w:w="269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4C3A96F5" w14:textId="77777777" w:rsidR="00F72E5F" w:rsidRPr="008A26D2" w:rsidRDefault="00F72E5F" w:rsidP="00F72E5F">
            <w:pPr>
              <w:spacing w:after="0" w:line="240" w:lineRule="auto"/>
              <w:rPr>
                <w:rFonts w:ascii="Arial" w:eastAsia="Times New Roman" w:hAnsi="Arial" w:cs="Arial"/>
                <w:b/>
                <w:sz w:val="20"/>
                <w:szCs w:val="20"/>
              </w:rPr>
            </w:pPr>
            <w:r w:rsidRPr="008A26D2">
              <w:rPr>
                <w:rFonts w:ascii="Arial" w:eastAsia="Times New Roman" w:hAnsi="Arial" w:cs="Arial"/>
                <w:b/>
                <w:sz w:val="20"/>
                <w:szCs w:val="20"/>
              </w:rPr>
              <w:t xml:space="preserve"> Descripción del estándar</w:t>
            </w:r>
          </w:p>
        </w:tc>
        <w:tc>
          <w:tcPr>
            <w:tcW w:w="6100" w:type="dxa"/>
            <w:gridSpan w:val="3"/>
            <w:tcBorders>
              <w:top w:val="single" w:sz="4" w:space="0" w:color="000000"/>
              <w:left w:val="single" w:sz="4" w:space="0" w:color="000000"/>
              <w:bottom w:val="single" w:sz="4" w:space="0" w:color="000000"/>
              <w:right w:val="single" w:sz="4" w:space="0" w:color="000000"/>
            </w:tcBorders>
            <w:tcMar>
              <w:top w:w="15" w:type="dxa"/>
              <w:left w:w="135" w:type="dxa"/>
              <w:bottom w:w="0" w:type="dxa"/>
              <w:right w:w="15" w:type="dxa"/>
            </w:tcMar>
            <w:vAlign w:val="center"/>
          </w:tcPr>
          <w:p w14:paraId="6F929684" w14:textId="34893627" w:rsidR="00F72E5F" w:rsidRPr="008A26D2" w:rsidRDefault="00F72E5F" w:rsidP="00F72E5F">
            <w:pPr>
              <w:spacing w:after="0" w:line="240" w:lineRule="auto"/>
              <w:jc w:val="both"/>
              <w:rPr>
                <w:rFonts w:ascii="Arial" w:eastAsia="Times New Roman" w:hAnsi="Arial" w:cs="Arial"/>
                <w:sz w:val="20"/>
                <w:szCs w:val="20"/>
              </w:rPr>
            </w:pPr>
            <w:r w:rsidRPr="008A26D2">
              <w:rPr>
                <w:rFonts w:ascii="Arial" w:eastAsia="Times New Roman" w:hAnsi="Arial" w:cs="Arial"/>
                <w:sz w:val="20"/>
                <w:szCs w:val="20"/>
              </w:rPr>
              <w:t>El estándar es fiabilidad ya que la implementación de las unidades de ordenamiento forestal se realiza sobre la base técnica vinculante de la zonificación forestal y conforme a la normativa aprobada. De esa forma, se evita errores o fallas en la provisión del servicio.</w:t>
            </w:r>
          </w:p>
          <w:p w14:paraId="7EBE04CD" w14:textId="51BD8B37" w:rsidR="00F72E5F" w:rsidRPr="008A26D2" w:rsidRDefault="00F72E5F" w:rsidP="00F72E5F">
            <w:pPr>
              <w:spacing w:after="0" w:line="240" w:lineRule="auto"/>
              <w:jc w:val="both"/>
              <w:rPr>
                <w:rFonts w:ascii="Arial" w:eastAsia="Times New Roman" w:hAnsi="Arial" w:cs="Arial"/>
                <w:sz w:val="20"/>
                <w:szCs w:val="20"/>
              </w:rPr>
            </w:pPr>
          </w:p>
        </w:tc>
      </w:tr>
      <w:tr w:rsidR="00F72E5F" w:rsidRPr="008A26D2" w14:paraId="20469999" w14:textId="77777777" w:rsidTr="00B359C3">
        <w:trPr>
          <w:trHeight w:val="491"/>
          <w:jc w:val="center"/>
        </w:trPr>
        <w:tc>
          <w:tcPr>
            <w:tcW w:w="2693"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3C503F1F" w14:textId="2B32FF46" w:rsidR="00F72E5F" w:rsidRPr="008A26D2" w:rsidRDefault="00F72E5F" w:rsidP="00F72E5F">
            <w:pPr>
              <w:spacing w:after="0" w:line="240" w:lineRule="auto"/>
              <w:rPr>
                <w:rFonts w:ascii="Arial" w:eastAsia="Times New Roman" w:hAnsi="Arial" w:cs="Arial"/>
                <w:b/>
                <w:sz w:val="20"/>
                <w:szCs w:val="20"/>
              </w:rPr>
            </w:pPr>
            <w:r w:rsidRPr="008A26D2">
              <w:rPr>
                <w:rFonts w:ascii="Arial" w:eastAsia="Times New Roman" w:hAnsi="Arial" w:cs="Arial"/>
                <w:b/>
                <w:sz w:val="20"/>
                <w:szCs w:val="20"/>
              </w:rPr>
              <w:t>Indicador de calidad</w:t>
            </w:r>
          </w:p>
        </w:tc>
        <w:tc>
          <w:tcPr>
            <w:tcW w:w="6100"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6D924AA5" w14:textId="77777777" w:rsidR="00F72E5F" w:rsidRPr="008A26D2" w:rsidRDefault="00F72E5F" w:rsidP="00F72E5F">
            <w:pPr>
              <w:spacing w:after="0" w:line="240" w:lineRule="auto"/>
              <w:jc w:val="both"/>
              <w:rPr>
                <w:rFonts w:ascii="Arial" w:eastAsia="Times New Roman" w:hAnsi="Arial" w:cs="Arial"/>
                <w:strike/>
                <w:sz w:val="20"/>
                <w:szCs w:val="20"/>
              </w:rPr>
            </w:pPr>
            <w:r w:rsidRPr="008A26D2">
              <w:rPr>
                <w:rFonts w:ascii="Arial" w:eastAsia="Times New Roman" w:hAnsi="Arial" w:cs="Arial"/>
                <w:sz w:val="20"/>
                <w:szCs w:val="20"/>
              </w:rPr>
              <w:t>Porcentaje de hectáreas con unidades de ordenamiento forestal implementadas de manera fiable</w:t>
            </w:r>
          </w:p>
        </w:tc>
      </w:tr>
    </w:tbl>
    <w:p w14:paraId="442F689F" w14:textId="77777777" w:rsidR="00B359C3" w:rsidRPr="008A26D2" w:rsidRDefault="00B359C3" w:rsidP="00C8135D">
      <w:pPr>
        <w:jc w:val="both"/>
        <w:rPr>
          <w:rFonts w:ascii="Arial Narrow" w:eastAsia="Arial Narrow" w:hAnsi="Arial Narrow" w:cs="Arial Narrow"/>
          <w:b/>
        </w:rPr>
      </w:pPr>
    </w:p>
    <w:p w14:paraId="48E98CF9" w14:textId="4E72C41B" w:rsidR="00C8135D" w:rsidRPr="008A26D2" w:rsidRDefault="00C8135D" w:rsidP="00891DE1">
      <w:pPr>
        <w:jc w:val="both"/>
        <w:rPr>
          <w:rFonts w:ascii="Arial" w:eastAsia="Arial Narrow" w:hAnsi="Arial" w:cs="Arial"/>
        </w:rPr>
      </w:pPr>
      <w:r w:rsidRPr="008A26D2">
        <w:rPr>
          <w:rFonts w:ascii="Arial Narrow" w:eastAsia="Arial Narrow" w:hAnsi="Arial Narrow" w:cs="Arial Narrow"/>
          <w:b/>
        </w:rPr>
        <w:br w:type="page"/>
      </w:r>
      <w:r w:rsidRPr="008A26D2">
        <w:rPr>
          <w:rFonts w:ascii="Arial" w:eastAsia="Arial Narrow" w:hAnsi="Arial" w:cs="Arial"/>
          <w:b/>
          <w:bCs/>
        </w:rPr>
        <w:lastRenderedPageBreak/>
        <w:t>S1.6.1</w:t>
      </w:r>
      <w:r w:rsidRPr="000C49B7">
        <w:rPr>
          <w:rFonts w:ascii="Arial" w:eastAsia="Arial Narrow" w:hAnsi="Arial" w:cs="Arial"/>
        </w:rPr>
        <w:t xml:space="preserve"> </w:t>
      </w:r>
      <w:r w:rsidR="000C49B7" w:rsidRPr="000C49B7">
        <w:rPr>
          <w:rFonts w:ascii="Arial" w:eastAsia="Arial Narrow" w:hAnsi="Arial" w:cs="Arial"/>
        </w:rPr>
        <w:t>Fortalecimiento de capacidades en el aprovechamiento sostenible y conservación de los recursos forestales y de fauna silvestre de forma satisfactoria a los usuarios forestales y de fauna silvestre</w:t>
      </w:r>
    </w:p>
    <w:tbl>
      <w:tblPr>
        <w:tblW w:w="8788" w:type="dxa"/>
        <w:jc w:val="center"/>
        <w:tblLayout w:type="fixed"/>
        <w:tblLook w:val="0600" w:firstRow="0" w:lastRow="0" w:firstColumn="0" w:lastColumn="0" w:noHBand="1" w:noVBand="1"/>
      </w:tblPr>
      <w:tblGrid>
        <w:gridCol w:w="2409"/>
        <w:gridCol w:w="2126"/>
        <w:gridCol w:w="2126"/>
        <w:gridCol w:w="2127"/>
      </w:tblGrid>
      <w:tr w:rsidR="008A26D2" w:rsidRPr="008A26D2" w14:paraId="79275678" w14:textId="77777777" w:rsidTr="00C10A43">
        <w:trPr>
          <w:trHeight w:val="300"/>
          <w:jc w:val="center"/>
        </w:trPr>
        <w:tc>
          <w:tcPr>
            <w:tcW w:w="8788"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center"/>
          </w:tcPr>
          <w:p w14:paraId="27E78D60" w14:textId="037DA6BF" w:rsidR="00C10A43" w:rsidRPr="008A26D2" w:rsidRDefault="00C10A43" w:rsidP="0072651A">
            <w:pPr>
              <w:jc w:val="center"/>
              <w:rPr>
                <w:rFonts w:ascii="Arial" w:hAnsi="Arial" w:cs="Arial"/>
                <w:sz w:val="20"/>
                <w:szCs w:val="20"/>
              </w:rPr>
            </w:pPr>
            <w:r w:rsidRPr="008A26D2">
              <w:rPr>
                <w:rFonts w:ascii="Arial" w:hAnsi="Arial" w:cs="Arial"/>
                <w:sz w:val="20"/>
                <w:szCs w:val="20"/>
              </w:rPr>
              <w:br w:type="page"/>
            </w:r>
            <w:r w:rsidRPr="008A26D2">
              <w:rPr>
                <w:rFonts w:ascii="Arial" w:hAnsi="Arial" w:cs="Arial"/>
                <w:b/>
                <w:sz w:val="20"/>
                <w:szCs w:val="20"/>
              </w:rPr>
              <w:t xml:space="preserve">FICHA DEL SERVICIO </w:t>
            </w:r>
          </w:p>
        </w:tc>
      </w:tr>
      <w:tr w:rsidR="008A26D2" w:rsidRPr="008A26D2" w14:paraId="00E0D822" w14:textId="77777777" w:rsidTr="00C10A43">
        <w:trPr>
          <w:trHeight w:val="300"/>
          <w:jc w:val="center"/>
        </w:trPr>
        <w:tc>
          <w:tcPr>
            <w:tcW w:w="24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52D2C15" w14:textId="77777777" w:rsidR="00C10A43" w:rsidRPr="008A26D2" w:rsidRDefault="00C10A43"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Objetivo prioritario:</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1011072" w14:textId="77777777" w:rsidR="00C10A43" w:rsidRPr="008A26D2" w:rsidRDefault="00C10A43" w:rsidP="0072651A">
            <w:pPr>
              <w:pBdr>
                <w:top w:val="nil"/>
                <w:left w:val="nil"/>
                <w:bottom w:val="nil"/>
                <w:right w:val="nil"/>
                <w:between w:val="nil"/>
              </w:pBdr>
              <w:spacing w:after="0" w:line="240" w:lineRule="auto"/>
              <w:jc w:val="both"/>
              <w:rPr>
                <w:rFonts w:ascii="Arial" w:hAnsi="Arial" w:cs="Arial"/>
                <w:sz w:val="20"/>
                <w:szCs w:val="20"/>
              </w:rPr>
            </w:pPr>
            <w:r w:rsidRPr="008A26D2">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r>
      <w:tr w:rsidR="008A26D2" w:rsidRPr="008A26D2" w14:paraId="6586CEA6" w14:textId="77777777" w:rsidTr="00891DE1">
        <w:trPr>
          <w:trHeight w:val="538"/>
          <w:jc w:val="center"/>
        </w:trPr>
        <w:tc>
          <w:tcPr>
            <w:tcW w:w="24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CD04759" w14:textId="77777777" w:rsidR="00C10A43" w:rsidRPr="008A26D2" w:rsidRDefault="00C10A43"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Lineamiento:</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D4E079C" w14:textId="77777777" w:rsidR="00C10A43" w:rsidRPr="008A26D2" w:rsidRDefault="00C10A43" w:rsidP="0072651A">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L1.6 Fomentar el aprovechamiento sostenible de los recursos forestales y de fauna silvestre</w:t>
            </w:r>
          </w:p>
        </w:tc>
      </w:tr>
      <w:tr w:rsidR="008A26D2" w:rsidRPr="008A26D2" w14:paraId="0BBB11CA" w14:textId="77777777" w:rsidTr="00891DE1">
        <w:trPr>
          <w:trHeight w:val="829"/>
          <w:jc w:val="center"/>
        </w:trPr>
        <w:tc>
          <w:tcPr>
            <w:tcW w:w="24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FB2B48E" w14:textId="77777777" w:rsidR="00C10A43" w:rsidRPr="008A26D2" w:rsidRDefault="00C10A43"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Nombre del servicio:</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5C5AE44" w14:textId="1101F78D" w:rsidR="00C10A43" w:rsidRPr="008A26D2" w:rsidRDefault="00C10A43" w:rsidP="0072651A">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S1.6.1 Fortalecimiento de capacidades en el aprovechamiento sostenible y conservación de los recursos forestales y de fauna silvestre de forma satisfactoria a los usuarios forestales y de fauna silvestre</w:t>
            </w:r>
          </w:p>
        </w:tc>
      </w:tr>
      <w:tr w:rsidR="008A26D2" w:rsidRPr="008A26D2" w14:paraId="07CF97CB" w14:textId="77777777" w:rsidTr="00891DE1">
        <w:trPr>
          <w:trHeight w:val="401"/>
          <w:jc w:val="center"/>
        </w:trPr>
        <w:tc>
          <w:tcPr>
            <w:tcW w:w="24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2A636DF" w14:textId="77777777" w:rsidR="00C10A43" w:rsidRPr="008A26D2" w:rsidRDefault="00C10A43"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Tipo de Servicio:</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D93BD3C" w14:textId="77777777" w:rsidR="00C10A43" w:rsidRPr="008A26D2" w:rsidRDefault="00C10A43" w:rsidP="0072651A">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Mejorado</w:t>
            </w:r>
          </w:p>
        </w:tc>
      </w:tr>
      <w:tr w:rsidR="008A26D2" w:rsidRPr="008A26D2" w14:paraId="3BC9FF17" w14:textId="77777777" w:rsidTr="00891DE1">
        <w:trPr>
          <w:trHeight w:val="401"/>
          <w:jc w:val="center"/>
        </w:trPr>
        <w:tc>
          <w:tcPr>
            <w:tcW w:w="24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263FB45" w14:textId="17384045"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Naturaleza del servicio:</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0AB6EE4" w14:textId="579AA7B0" w:rsidR="00F72E5F" w:rsidRPr="008A26D2" w:rsidRDefault="001954F3"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P</w:t>
            </w:r>
            <w:r w:rsidR="00F72E5F" w:rsidRPr="008A26D2">
              <w:rPr>
                <w:rFonts w:ascii="Arial" w:eastAsia="Arial Narrow" w:hAnsi="Arial" w:cs="Arial"/>
                <w:sz w:val="20"/>
                <w:szCs w:val="20"/>
              </w:rPr>
              <w:t>restacional</w:t>
            </w:r>
          </w:p>
        </w:tc>
      </w:tr>
      <w:tr w:rsidR="008A26D2" w:rsidRPr="008A26D2" w14:paraId="45F15EB7" w14:textId="77777777" w:rsidTr="00891DE1">
        <w:trPr>
          <w:trHeight w:val="401"/>
          <w:jc w:val="center"/>
        </w:trPr>
        <w:tc>
          <w:tcPr>
            <w:tcW w:w="24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6F53F82" w14:textId="63438730"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Entrega del servicio</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9922064" w14:textId="5061DF3F"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Competencia exclusiva </w:t>
            </w:r>
          </w:p>
        </w:tc>
      </w:tr>
      <w:tr w:rsidR="008A26D2" w:rsidRPr="008A26D2" w14:paraId="21A3FF34" w14:textId="77777777" w:rsidTr="00C10A43">
        <w:trPr>
          <w:trHeight w:val="300"/>
          <w:jc w:val="center"/>
        </w:trPr>
        <w:tc>
          <w:tcPr>
            <w:tcW w:w="24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1FEF6ED" w14:textId="77777777"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Descripción del servicio</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D53B411" w14:textId="3DD5A0A6"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El presente servicio consiste en mejorar las capacidades de los usuarios forestales y de fauna silvestre a través de talleres, cursos, asistencias técnicas y sensibilización, para asegurar el aprovechamiento sostenible y conservación de los recursos forestales y de fauna silvestre. Se toma como referencia las necesidades de capacitación de acuerdo al ámbito geográfico.</w:t>
            </w:r>
          </w:p>
          <w:p w14:paraId="3F2FE570" w14:textId="77777777"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p>
          <w:p w14:paraId="2B81DDDE" w14:textId="77777777"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Las capacitaciones desarrollan, entre otras, las siguientes temáticas:</w:t>
            </w:r>
          </w:p>
          <w:p w14:paraId="302961DE" w14:textId="77777777" w:rsidR="00F72E5F" w:rsidRPr="008A26D2" w:rsidRDefault="00F72E5F" w:rsidP="00F72E5F">
            <w:pPr>
              <w:pStyle w:val="Prrafodelista"/>
              <w:numPr>
                <w:ilvl w:val="0"/>
                <w:numId w:val="5"/>
              </w:num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Manejo forestal</w:t>
            </w:r>
          </w:p>
          <w:p w14:paraId="3E9C61C8" w14:textId="77777777" w:rsidR="00F72E5F" w:rsidRPr="008A26D2" w:rsidRDefault="00F72E5F" w:rsidP="00F72E5F">
            <w:pPr>
              <w:pStyle w:val="Prrafodelista"/>
              <w:numPr>
                <w:ilvl w:val="0"/>
                <w:numId w:val="5"/>
              </w:num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Gestión forestal</w:t>
            </w:r>
          </w:p>
          <w:p w14:paraId="10601139" w14:textId="31AE3155" w:rsidR="00F72E5F" w:rsidRPr="008A26D2" w:rsidRDefault="00F72E5F" w:rsidP="00F72E5F">
            <w:pPr>
              <w:pStyle w:val="Prrafodelista"/>
              <w:numPr>
                <w:ilvl w:val="0"/>
                <w:numId w:val="5"/>
              </w:num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Manejo de fauna</w:t>
            </w:r>
          </w:p>
          <w:p w14:paraId="508169D5" w14:textId="77777777" w:rsidR="00F72E5F" w:rsidRPr="008A26D2" w:rsidRDefault="00F72E5F" w:rsidP="00F72E5F">
            <w:pPr>
              <w:pStyle w:val="Prrafodelista"/>
              <w:numPr>
                <w:ilvl w:val="0"/>
                <w:numId w:val="5"/>
              </w:num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Manejo Forestal Comunitario</w:t>
            </w:r>
          </w:p>
          <w:p w14:paraId="0FC5FE14" w14:textId="77777777" w:rsidR="00F72E5F" w:rsidRPr="008A26D2" w:rsidRDefault="00F72E5F" w:rsidP="00F72E5F">
            <w:pPr>
              <w:pStyle w:val="Prrafodelista"/>
              <w:numPr>
                <w:ilvl w:val="0"/>
                <w:numId w:val="5"/>
              </w:num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Normatividad forestal y de fauna silvestre</w:t>
            </w:r>
          </w:p>
          <w:p w14:paraId="70BB6D67" w14:textId="78EB3A0E" w:rsidR="00F72E5F" w:rsidRPr="008A26D2" w:rsidRDefault="00F72E5F" w:rsidP="00F72E5F">
            <w:pPr>
              <w:pStyle w:val="Prrafodelista"/>
              <w:numPr>
                <w:ilvl w:val="0"/>
                <w:numId w:val="5"/>
              </w:num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Conservación de los recursos forestales y de fauna silvestre</w:t>
            </w:r>
          </w:p>
          <w:p w14:paraId="54D067DE" w14:textId="77777777" w:rsidR="00F72E5F" w:rsidRPr="008A26D2" w:rsidRDefault="00F72E5F" w:rsidP="00F72E5F">
            <w:pPr>
              <w:pStyle w:val="Prrafodelista"/>
              <w:pBdr>
                <w:top w:val="nil"/>
                <w:left w:val="nil"/>
                <w:bottom w:val="nil"/>
                <w:right w:val="nil"/>
                <w:between w:val="nil"/>
              </w:pBdr>
              <w:spacing w:after="0" w:line="240" w:lineRule="auto"/>
              <w:jc w:val="both"/>
              <w:rPr>
                <w:rFonts w:ascii="Arial" w:eastAsia="Arial Narrow" w:hAnsi="Arial" w:cs="Arial"/>
                <w:sz w:val="20"/>
                <w:szCs w:val="20"/>
              </w:rPr>
            </w:pPr>
          </w:p>
          <w:p w14:paraId="5A2D946D" w14:textId="77777777" w:rsidR="00F72E5F" w:rsidRPr="008A26D2" w:rsidRDefault="00F72E5F" w:rsidP="00F72E5F">
            <w:pPr>
              <w:rPr>
                <w:rFonts w:ascii="Arial" w:eastAsia="Arial Narrow" w:hAnsi="Arial" w:cs="Arial"/>
                <w:strike/>
                <w:sz w:val="20"/>
                <w:szCs w:val="20"/>
              </w:rPr>
            </w:pPr>
            <w:r w:rsidRPr="008A26D2">
              <w:rPr>
                <w:rFonts w:ascii="Arial" w:eastAsia="Arial Narrow" w:hAnsi="Arial" w:cs="Arial"/>
                <w:sz w:val="20"/>
                <w:szCs w:val="20"/>
              </w:rPr>
              <w:t>El servicio es de tipo mejorado porque se aplicará nuevas herramientas metodológicas y tecnológicas para la entrega del servicio.</w:t>
            </w:r>
          </w:p>
        </w:tc>
      </w:tr>
      <w:tr w:rsidR="008A26D2" w:rsidRPr="008A26D2" w14:paraId="44C43211" w14:textId="77777777" w:rsidTr="00C10A43">
        <w:trPr>
          <w:trHeight w:val="300"/>
          <w:jc w:val="center"/>
        </w:trPr>
        <w:tc>
          <w:tcPr>
            <w:tcW w:w="24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B822D0F" w14:textId="77777777"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Proveedor del servicio</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FADAC9E" w14:textId="34D4CA79" w:rsidR="00F72E5F" w:rsidRPr="008A26D2" w:rsidRDefault="00F72E5F" w:rsidP="009E1160">
            <w:pPr>
              <w:spacing w:after="0" w:line="240" w:lineRule="auto"/>
              <w:jc w:val="both"/>
              <w:rPr>
                <w:rFonts w:ascii="Arial" w:eastAsia="Arial Narrow" w:hAnsi="Arial" w:cs="Arial"/>
                <w:strike/>
                <w:sz w:val="20"/>
                <w:szCs w:val="20"/>
              </w:rPr>
            </w:pPr>
            <w:r w:rsidRPr="008A26D2">
              <w:rPr>
                <w:rFonts w:ascii="Arial" w:eastAsia="Arial Narrow" w:hAnsi="Arial" w:cs="Arial"/>
                <w:sz w:val="20"/>
                <w:szCs w:val="20"/>
              </w:rPr>
              <w:t>Servicio Nacional Forestal y de Fauna Silvestre – SERFOR</w:t>
            </w:r>
          </w:p>
        </w:tc>
      </w:tr>
      <w:tr w:rsidR="008A26D2" w:rsidRPr="008A26D2" w14:paraId="49E6384C" w14:textId="77777777" w:rsidTr="00FD3B70">
        <w:trPr>
          <w:trHeight w:val="458"/>
          <w:jc w:val="center"/>
        </w:trPr>
        <w:tc>
          <w:tcPr>
            <w:tcW w:w="2409" w:type="dxa"/>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5F694970" w14:textId="77777777" w:rsidR="00F72E5F" w:rsidRPr="008A26D2" w:rsidRDefault="00F72E5F" w:rsidP="009E1160">
            <w:pPr>
              <w:spacing w:after="0" w:line="240" w:lineRule="auto"/>
              <w:rPr>
                <w:rFonts w:ascii="Arial" w:hAnsi="Arial" w:cs="Arial"/>
                <w:b/>
                <w:sz w:val="20"/>
                <w:szCs w:val="20"/>
              </w:rPr>
            </w:pPr>
            <w:r w:rsidRPr="008A26D2">
              <w:rPr>
                <w:rFonts w:ascii="Arial" w:hAnsi="Arial" w:cs="Arial"/>
                <w:b/>
                <w:sz w:val="20"/>
                <w:szCs w:val="20"/>
              </w:rPr>
              <w:t>Nivel (es) de gobierno que interviene</w:t>
            </w:r>
          </w:p>
          <w:p w14:paraId="786897DF" w14:textId="6533329D"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(n) en la provisión del servicio</w:t>
            </w:r>
          </w:p>
        </w:tc>
        <w:tc>
          <w:tcPr>
            <w:tcW w:w="2126"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387B3967" w14:textId="0F13EBE9" w:rsidR="00F72E5F" w:rsidRPr="008A26D2" w:rsidRDefault="00F72E5F" w:rsidP="000C49B7">
            <w:pPr>
              <w:spacing w:after="0" w:line="240" w:lineRule="auto"/>
              <w:jc w:val="center"/>
              <w:rPr>
                <w:rFonts w:ascii="Arial" w:eastAsia="Arial Narrow" w:hAnsi="Arial" w:cs="Arial"/>
                <w:sz w:val="20"/>
                <w:szCs w:val="20"/>
              </w:rPr>
            </w:pPr>
            <w:r w:rsidRPr="008A26D2">
              <w:rPr>
                <w:rFonts w:ascii="Arial" w:eastAsia="Arial Narrow" w:hAnsi="Arial" w:cs="Arial"/>
                <w:sz w:val="20"/>
                <w:szCs w:val="20"/>
              </w:rPr>
              <w:t>Nacional</w:t>
            </w:r>
          </w:p>
        </w:tc>
        <w:tc>
          <w:tcPr>
            <w:tcW w:w="2126" w:type="dxa"/>
            <w:tcBorders>
              <w:top w:val="single" w:sz="4" w:space="0" w:color="000000"/>
              <w:left w:val="single" w:sz="4" w:space="0" w:color="000000"/>
              <w:right w:val="single" w:sz="4" w:space="0" w:color="000000"/>
            </w:tcBorders>
            <w:shd w:val="clear" w:color="auto" w:fill="auto"/>
            <w:vAlign w:val="center"/>
          </w:tcPr>
          <w:p w14:paraId="6A56048C" w14:textId="0A4E03CB" w:rsidR="00F72E5F" w:rsidRPr="008A26D2" w:rsidRDefault="00F72E5F" w:rsidP="000C49B7">
            <w:pPr>
              <w:spacing w:after="0" w:line="240" w:lineRule="auto"/>
              <w:jc w:val="center"/>
              <w:rPr>
                <w:rFonts w:ascii="Arial" w:eastAsia="Arial Narrow" w:hAnsi="Arial" w:cs="Arial"/>
                <w:sz w:val="20"/>
                <w:szCs w:val="20"/>
              </w:rPr>
            </w:pPr>
            <w:r w:rsidRPr="008A26D2">
              <w:rPr>
                <w:rFonts w:ascii="Arial" w:eastAsia="Arial Narrow" w:hAnsi="Arial" w:cs="Arial"/>
                <w:sz w:val="20"/>
                <w:szCs w:val="20"/>
              </w:rPr>
              <w:t>Regional</w:t>
            </w:r>
          </w:p>
        </w:tc>
        <w:tc>
          <w:tcPr>
            <w:tcW w:w="2127" w:type="dxa"/>
            <w:tcBorders>
              <w:top w:val="single" w:sz="4" w:space="0" w:color="000000"/>
              <w:left w:val="single" w:sz="4" w:space="0" w:color="000000"/>
              <w:right w:val="single" w:sz="4" w:space="0" w:color="000000"/>
            </w:tcBorders>
            <w:shd w:val="clear" w:color="auto" w:fill="auto"/>
            <w:vAlign w:val="center"/>
          </w:tcPr>
          <w:p w14:paraId="5F97495C" w14:textId="6DF4346C" w:rsidR="00F72E5F" w:rsidRPr="008A26D2" w:rsidRDefault="00F72E5F" w:rsidP="000C49B7">
            <w:pPr>
              <w:spacing w:after="0" w:line="240" w:lineRule="auto"/>
              <w:jc w:val="center"/>
              <w:rPr>
                <w:rFonts w:ascii="Arial" w:eastAsia="Arial Narrow" w:hAnsi="Arial" w:cs="Arial"/>
                <w:sz w:val="20"/>
                <w:szCs w:val="20"/>
              </w:rPr>
            </w:pPr>
            <w:r w:rsidRPr="008A26D2">
              <w:rPr>
                <w:rFonts w:ascii="Arial" w:eastAsia="Arial Narrow" w:hAnsi="Arial" w:cs="Arial"/>
                <w:sz w:val="20"/>
                <w:szCs w:val="20"/>
              </w:rPr>
              <w:t>Local</w:t>
            </w:r>
          </w:p>
        </w:tc>
      </w:tr>
      <w:tr w:rsidR="008A26D2" w:rsidRPr="008A26D2" w14:paraId="7DC82F76" w14:textId="77777777" w:rsidTr="00FD3B70">
        <w:trPr>
          <w:trHeight w:val="457"/>
          <w:jc w:val="center"/>
        </w:trPr>
        <w:tc>
          <w:tcPr>
            <w:tcW w:w="2409" w:type="dxa"/>
            <w:vMerge/>
            <w:tcBorders>
              <w:left w:val="single" w:sz="4" w:space="0" w:color="000000"/>
              <w:right w:val="single" w:sz="4" w:space="0" w:color="000000"/>
            </w:tcBorders>
            <w:shd w:val="clear" w:color="auto" w:fill="auto"/>
            <w:tcMar>
              <w:top w:w="15" w:type="dxa"/>
              <w:left w:w="15" w:type="dxa"/>
              <w:bottom w:w="0" w:type="dxa"/>
              <w:right w:w="15" w:type="dxa"/>
            </w:tcMar>
            <w:vAlign w:val="center"/>
          </w:tcPr>
          <w:p w14:paraId="411A3DB9" w14:textId="77777777" w:rsidR="00F72E5F" w:rsidRPr="008A26D2" w:rsidRDefault="00F72E5F" w:rsidP="00F72E5F">
            <w:pPr>
              <w:spacing w:after="0" w:line="240" w:lineRule="auto"/>
              <w:rPr>
                <w:rFonts w:ascii="Arial" w:hAnsi="Arial" w:cs="Arial"/>
                <w:b/>
                <w:sz w:val="20"/>
                <w:szCs w:val="20"/>
              </w:rPr>
            </w:pPr>
          </w:p>
        </w:tc>
        <w:tc>
          <w:tcPr>
            <w:tcW w:w="2126"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58D521B5" w14:textId="482A7E24" w:rsidR="00F72E5F" w:rsidRPr="008A26D2" w:rsidRDefault="001954F3" w:rsidP="000C49B7">
            <w:pPr>
              <w:spacing w:after="0" w:line="240" w:lineRule="auto"/>
              <w:jc w:val="center"/>
              <w:rPr>
                <w:rFonts w:ascii="Arial" w:eastAsia="Arial Narrow" w:hAnsi="Arial" w:cs="Arial"/>
                <w:sz w:val="20"/>
                <w:szCs w:val="20"/>
              </w:rPr>
            </w:pPr>
            <w:r w:rsidRPr="008A26D2">
              <w:rPr>
                <w:rFonts w:ascii="Arial" w:eastAsia="Arial Narrow" w:hAnsi="Arial" w:cs="Arial"/>
                <w:sz w:val="20"/>
                <w:szCs w:val="20"/>
              </w:rPr>
              <w:t>X</w:t>
            </w:r>
          </w:p>
        </w:tc>
        <w:tc>
          <w:tcPr>
            <w:tcW w:w="2126" w:type="dxa"/>
            <w:tcBorders>
              <w:top w:val="single" w:sz="4" w:space="0" w:color="000000"/>
              <w:left w:val="single" w:sz="4" w:space="0" w:color="000000"/>
              <w:right w:val="single" w:sz="4" w:space="0" w:color="000000"/>
            </w:tcBorders>
            <w:shd w:val="clear" w:color="auto" w:fill="auto"/>
            <w:vAlign w:val="center"/>
          </w:tcPr>
          <w:p w14:paraId="037B1132" w14:textId="77777777" w:rsidR="00F72E5F" w:rsidRPr="008A26D2" w:rsidRDefault="00F72E5F" w:rsidP="000C49B7">
            <w:pPr>
              <w:spacing w:after="0" w:line="240" w:lineRule="auto"/>
              <w:jc w:val="center"/>
              <w:rPr>
                <w:rFonts w:ascii="Arial" w:eastAsia="Arial Narrow" w:hAnsi="Arial" w:cs="Arial"/>
                <w:sz w:val="20"/>
                <w:szCs w:val="20"/>
              </w:rPr>
            </w:pPr>
          </w:p>
        </w:tc>
        <w:tc>
          <w:tcPr>
            <w:tcW w:w="2127" w:type="dxa"/>
            <w:tcBorders>
              <w:top w:val="single" w:sz="4" w:space="0" w:color="000000"/>
              <w:left w:val="single" w:sz="4" w:space="0" w:color="000000"/>
              <w:right w:val="single" w:sz="4" w:space="0" w:color="000000"/>
            </w:tcBorders>
            <w:shd w:val="clear" w:color="auto" w:fill="auto"/>
            <w:vAlign w:val="center"/>
          </w:tcPr>
          <w:p w14:paraId="26BEB8E7" w14:textId="66DA1E9C" w:rsidR="00F72E5F" w:rsidRPr="008A26D2" w:rsidRDefault="00F72E5F" w:rsidP="000C49B7">
            <w:pPr>
              <w:spacing w:after="0" w:line="240" w:lineRule="auto"/>
              <w:jc w:val="center"/>
              <w:rPr>
                <w:rFonts w:ascii="Arial" w:eastAsia="Arial Narrow" w:hAnsi="Arial" w:cs="Arial"/>
                <w:sz w:val="20"/>
                <w:szCs w:val="20"/>
              </w:rPr>
            </w:pPr>
          </w:p>
        </w:tc>
      </w:tr>
      <w:tr w:rsidR="008A26D2" w:rsidRPr="008A26D2" w14:paraId="651FC285" w14:textId="77777777" w:rsidTr="00C10A43">
        <w:trPr>
          <w:trHeight w:val="300"/>
          <w:jc w:val="center"/>
        </w:trPr>
        <w:tc>
          <w:tcPr>
            <w:tcW w:w="24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5C19C01" w14:textId="77777777"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Receptor del servicio</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F8AA66E" w14:textId="3FCBF1B0"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Usuarios forestales y de fauna silvestre</w:t>
            </w:r>
          </w:p>
        </w:tc>
      </w:tr>
      <w:tr w:rsidR="008A26D2" w:rsidRPr="008A26D2" w14:paraId="6DF309BC" w14:textId="77777777" w:rsidTr="00C10A43">
        <w:trPr>
          <w:trHeight w:val="211"/>
          <w:jc w:val="center"/>
        </w:trPr>
        <w:tc>
          <w:tcPr>
            <w:tcW w:w="24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E764C20" w14:textId="77777777"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Alcance del servicio </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B531900" w14:textId="77777777"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Nacional</w:t>
            </w:r>
          </w:p>
        </w:tc>
      </w:tr>
      <w:tr w:rsidR="008A26D2" w:rsidRPr="008A26D2" w14:paraId="324D0A3F" w14:textId="77777777" w:rsidTr="00C10A43">
        <w:trPr>
          <w:trHeight w:val="62"/>
          <w:jc w:val="center"/>
        </w:trPr>
        <w:tc>
          <w:tcPr>
            <w:tcW w:w="24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FC97180" w14:textId="77777777"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Estándar (es) de cumplimiento</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E140D40" w14:textId="77777777" w:rsidR="00F72E5F" w:rsidRPr="008A26D2" w:rsidRDefault="00F72E5F" w:rsidP="00F72E5F">
            <w:pPr>
              <w:pBdr>
                <w:top w:val="nil"/>
                <w:left w:val="nil"/>
                <w:bottom w:val="nil"/>
                <w:right w:val="nil"/>
                <w:between w:val="nil"/>
              </w:pBdr>
              <w:spacing w:after="0" w:line="240" w:lineRule="auto"/>
              <w:rPr>
                <w:rFonts w:ascii="Arial" w:hAnsi="Arial" w:cs="Arial"/>
                <w:sz w:val="20"/>
                <w:szCs w:val="20"/>
              </w:rPr>
            </w:pPr>
            <w:r w:rsidRPr="008A26D2">
              <w:rPr>
                <w:rFonts w:ascii="Arial" w:eastAsia="Arial Narrow" w:hAnsi="Arial" w:cs="Arial"/>
                <w:sz w:val="20"/>
                <w:szCs w:val="20"/>
              </w:rPr>
              <w:t xml:space="preserve">Percepción </w:t>
            </w:r>
          </w:p>
        </w:tc>
      </w:tr>
      <w:tr w:rsidR="008A26D2" w:rsidRPr="008A26D2" w14:paraId="329D60A7" w14:textId="77777777" w:rsidTr="00C10A43">
        <w:trPr>
          <w:trHeight w:val="300"/>
          <w:jc w:val="center"/>
        </w:trPr>
        <w:tc>
          <w:tcPr>
            <w:tcW w:w="24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08EDCFD" w14:textId="77777777"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Descripción del estándar</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35" w:type="dxa"/>
              <w:bottom w:w="0" w:type="dxa"/>
              <w:right w:w="15" w:type="dxa"/>
            </w:tcMar>
            <w:vAlign w:val="center"/>
          </w:tcPr>
          <w:p w14:paraId="13C0C867" w14:textId="2936695C" w:rsidR="00F72E5F" w:rsidRPr="008A26D2" w:rsidRDefault="00F72E5F" w:rsidP="00F72E5F">
            <w:pPr>
              <w:pBdr>
                <w:top w:val="nil"/>
                <w:left w:val="nil"/>
                <w:bottom w:val="nil"/>
                <w:right w:val="nil"/>
                <w:between w:val="nil"/>
              </w:pBdr>
              <w:spacing w:after="0" w:line="240" w:lineRule="auto"/>
              <w:jc w:val="both"/>
              <w:rPr>
                <w:rFonts w:ascii="Arial" w:eastAsia="Times New Roman" w:hAnsi="Arial" w:cs="Arial"/>
                <w:sz w:val="20"/>
                <w:szCs w:val="20"/>
                <w:lang w:val="es-ES"/>
              </w:rPr>
            </w:pPr>
            <w:r w:rsidRPr="008A26D2">
              <w:rPr>
                <w:rFonts w:ascii="Arial" w:eastAsia="Times New Roman" w:hAnsi="Arial" w:cs="Arial"/>
                <w:sz w:val="20"/>
                <w:szCs w:val="20"/>
                <w:lang w:val="es-ES"/>
              </w:rPr>
              <w:t xml:space="preserve">El estándar del servicio es de percepción debido a que éste satisface las expectativas de capacitación </w:t>
            </w:r>
            <w:r w:rsidRPr="008A26D2">
              <w:rPr>
                <w:rFonts w:ascii="Arial" w:eastAsia="Arial Narrow" w:hAnsi="Arial" w:cs="Arial"/>
                <w:sz w:val="20"/>
                <w:szCs w:val="20"/>
              </w:rPr>
              <w:t>en aprovechamiento sostenible y conservación de los recursos forestales y de fauna silvestre</w:t>
            </w:r>
            <w:r w:rsidRPr="008A26D2">
              <w:rPr>
                <w:rFonts w:ascii="Arial" w:eastAsia="Times New Roman" w:hAnsi="Arial" w:cs="Arial"/>
                <w:sz w:val="20"/>
                <w:szCs w:val="20"/>
                <w:lang w:val="es-ES"/>
              </w:rPr>
              <w:t xml:space="preserve"> de los </w:t>
            </w:r>
            <w:r w:rsidRPr="008A26D2">
              <w:rPr>
                <w:rFonts w:ascii="Arial" w:eastAsia="Arial Narrow" w:hAnsi="Arial" w:cs="Arial"/>
                <w:sz w:val="20"/>
                <w:szCs w:val="20"/>
              </w:rPr>
              <w:t>usuarios forestales y de fauna silvestre</w:t>
            </w:r>
            <w:r w:rsidRPr="008A26D2">
              <w:rPr>
                <w:rFonts w:ascii="Arial" w:eastAsia="Times New Roman" w:hAnsi="Arial" w:cs="Arial"/>
                <w:sz w:val="20"/>
                <w:szCs w:val="20"/>
                <w:lang w:val="es-ES"/>
              </w:rPr>
              <w:t>.</w:t>
            </w:r>
          </w:p>
          <w:p w14:paraId="65D4DFDF" w14:textId="77777777" w:rsidR="00F72E5F" w:rsidRPr="008A26D2" w:rsidRDefault="00F72E5F" w:rsidP="00F72E5F">
            <w:pPr>
              <w:pBdr>
                <w:top w:val="nil"/>
                <w:left w:val="nil"/>
                <w:bottom w:val="nil"/>
                <w:right w:val="nil"/>
                <w:between w:val="nil"/>
              </w:pBdr>
              <w:spacing w:after="0" w:line="240" w:lineRule="auto"/>
              <w:jc w:val="both"/>
              <w:rPr>
                <w:rFonts w:ascii="Arial" w:hAnsi="Arial" w:cs="Arial"/>
                <w:strike/>
                <w:sz w:val="20"/>
                <w:szCs w:val="20"/>
              </w:rPr>
            </w:pPr>
          </w:p>
        </w:tc>
      </w:tr>
      <w:tr w:rsidR="00F72E5F" w:rsidRPr="008A26D2" w14:paraId="67BBA5F9" w14:textId="77777777" w:rsidTr="00C10A43">
        <w:trPr>
          <w:trHeight w:val="491"/>
          <w:jc w:val="center"/>
        </w:trPr>
        <w:tc>
          <w:tcPr>
            <w:tcW w:w="24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A91BD0F" w14:textId="27CD7956"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Indicador de calidad</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240ED2D9" w14:textId="575535B2" w:rsidR="00F72E5F" w:rsidRPr="008A26D2" w:rsidRDefault="00F72E5F" w:rsidP="00F72E5F">
            <w:pPr>
              <w:pBdr>
                <w:top w:val="nil"/>
                <w:left w:val="nil"/>
                <w:bottom w:val="nil"/>
                <w:right w:val="nil"/>
                <w:between w:val="nil"/>
              </w:pBdr>
              <w:spacing w:after="0" w:line="240" w:lineRule="auto"/>
              <w:jc w:val="both"/>
              <w:rPr>
                <w:rFonts w:ascii="Arial" w:hAnsi="Arial" w:cs="Arial"/>
                <w:sz w:val="20"/>
                <w:szCs w:val="20"/>
              </w:rPr>
            </w:pPr>
            <w:r w:rsidRPr="008A26D2">
              <w:rPr>
                <w:rFonts w:ascii="Arial" w:eastAsia="Times New Roman" w:hAnsi="Arial" w:cs="Arial"/>
                <w:sz w:val="20"/>
                <w:szCs w:val="20"/>
                <w:lang w:val="es-ES"/>
              </w:rPr>
              <w:t xml:space="preserve">Porcentaje de </w:t>
            </w:r>
            <w:r w:rsidRPr="008A26D2">
              <w:rPr>
                <w:rFonts w:ascii="Arial" w:eastAsia="Times New Roman" w:hAnsi="Arial" w:cs="Arial"/>
                <w:sz w:val="20"/>
                <w:szCs w:val="20"/>
              </w:rPr>
              <w:t>usuarios forestales y de fauna silvestre</w:t>
            </w:r>
            <w:r w:rsidRPr="008A26D2">
              <w:rPr>
                <w:rFonts w:ascii="Arial" w:eastAsia="Times New Roman" w:hAnsi="Arial" w:cs="Arial"/>
                <w:sz w:val="20"/>
                <w:szCs w:val="20"/>
                <w:lang w:val="es-ES"/>
              </w:rPr>
              <w:t xml:space="preserve"> con alto grado de satisfacción sobre el fortalecimiento de capacidades recibidas en </w:t>
            </w:r>
            <w:r w:rsidRPr="008A26D2">
              <w:rPr>
                <w:rFonts w:ascii="Arial" w:eastAsia="Arial Narrow" w:hAnsi="Arial" w:cs="Arial"/>
                <w:sz w:val="20"/>
                <w:szCs w:val="20"/>
              </w:rPr>
              <w:t>aprovechamiento sostenible y conservación de los recursos forestales y de fauna silvestre</w:t>
            </w:r>
            <w:r w:rsidRPr="008A26D2">
              <w:rPr>
                <w:rFonts w:ascii="Arial" w:eastAsia="Times New Roman" w:hAnsi="Arial" w:cs="Arial"/>
                <w:sz w:val="20"/>
                <w:szCs w:val="20"/>
                <w:lang w:val="es-ES"/>
              </w:rPr>
              <w:t>.</w:t>
            </w:r>
            <w:r w:rsidRPr="008A26D2">
              <w:rPr>
                <w:rFonts w:ascii="Arial" w:eastAsia="Times New Roman" w:hAnsi="Arial" w:cs="Arial"/>
                <w:sz w:val="20"/>
                <w:szCs w:val="20"/>
              </w:rPr>
              <w:t xml:space="preserve"> </w:t>
            </w:r>
          </w:p>
        </w:tc>
      </w:tr>
    </w:tbl>
    <w:p w14:paraId="35F9E456" w14:textId="77777777" w:rsidR="00C8135D" w:rsidRPr="008A26D2" w:rsidRDefault="00C8135D" w:rsidP="00C8135D">
      <w:pPr>
        <w:jc w:val="both"/>
        <w:rPr>
          <w:rFonts w:ascii="Arial Narrow" w:eastAsia="Arial Narrow" w:hAnsi="Arial Narrow" w:cs="Arial Narrow"/>
          <w:b/>
        </w:rPr>
      </w:pPr>
    </w:p>
    <w:p w14:paraId="4835B03B" w14:textId="7D9A978A" w:rsidR="00C10A43" w:rsidRPr="008A26D2" w:rsidRDefault="00C10A43" w:rsidP="00C10A43">
      <w:pPr>
        <w:pBdr>
          <w:top w:val="nil"/>
          <w:left w:val="nil"/>
          <w:bottom w:val="nil"/>
          <w:right w:val="nil"/>
          <w:between w:val="nil"/>
        </w:pBdr>
        <w:spacing w:after="0" w:line="240" w:lineRule="auto"/>
        <w:jc w:val="both"/>
        <w:rPr>
          <w:rFonts w:ascii="Arial" w:eastAsia="Arial Narrow" w:hAnsi="Arial" w:cs="Arial"/>
        </w:rPr>
      </w:pPr>
      <w:r w:rsidRPr="008A26D2">
        <w:rPr>
          <w:rFonts w:ascii="Arial" w:eastAsia="Arial Narrow" w:hAnsi="Arial" w:cs="Arial"/>
          <w:b/>
          <w:bCs/>
        </w:rPr>
        <w:lastRenderedPageBreak/>
        <w:t>S1.6.2</w:t>
      </w:r>
      <w:r w:rsidRPr="008A26D2">
        <w:rPr>
          <w:rFonts w:ascii="Arial" w:eastAsia="Arial Narrow" w:hAnsi="Arial" w:cs="Arial"/>
        </w:rPr>
        <w:t xml:space="preserve"> </w:t>
      </w:r>
      <w:r w:rsidR="000C49B7" w:rsidRPr="000C49B7">
        <w:rPr>
          <w:rFonts w:ascii="Arial" w:eastAsia="Arial Narrow" w:hAnsi="Arial" w:cs="Arial"/>
        </w:rPr>
        <w:t>Fortalecimiento de capacidades para el otorgamiento de derechos impartidos satisfactoriamente a las Autoridades Regionales Forestales y de Fauna Silvestre</w:t>
      </w:r>
    </w:p>
    <w:p w14:paraId="180BF939" w14:textId="094BDCF7" w:rsidR="00C8135D" w:rsidRPr="008A26D2" w:rsidRDefault="00C8135D" w:rsidP="00C8135D">
      <w:pPr>
        <w:jc w:val="both"/>
        <w:rPr>
          <w:rFonts w:ascii="Arial Narrow" w:eastAsia="Arial Narrow" w:hAnsi="Arial Narrow" w:cs="Arial Narrow"/>
          <w:b/>
        </w:rPr>
      </w:pPr>
    </w:p>
    <w:tbl>
      <w:tblPr>
        <w:tblW w:w="8930" w:type="dxa"/>
        <w:jc w:val="center"/>
        <w:tblLayout w:type="fixed"/>
        <w:tblLook w:val="0600" w:firstRow="0" w:lastRow="0" w:firstColumn="0" w:lastColumn="0" w:noHBand="1" w:noVBand="1"/>
      </w:tblPr>
      <w:tblGrid>
        <w:gridCol w:w="2551"/>
        <w:gridCol w:w="2126"/>
        <w:gridCol w:w="2126"/>
        <w:gridCol w:w="2127"/>
      </w:tblGrid>
      <w:tr w:rsidR="008A26D2" w:rsidRPr="008A26D2" w14:paraId="7350B0C1" w14:textId="77777777" w:rsidTr="00C10A43">
        <w:trPr>
          <w:trHeight w:val="300"/>
          <w:jc w:val="center"/>
        </w:trPr>
        <w:tc>
          <w:tcPr>
            <w:tcW w:w="8930"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center"/>
          </w:tcPr>
          <w:p w14:paraId="13B3C9C8" w14:textId="690EBEDC" w:rsidR="00C10A43" w:rsidRPr="008A26D2" w:rsidRDefault="00C10A43" w:rsidP="0072651A">
            <w:pPr>
              <w:jc w:val="center"/>
              <w:rPr>
                <w:rFonts w:ascii="Arial" w:hAnsi="Arial" w:cs="Arial"/>
                <w:sz w:val="20"/>
                <w:szCs w:val="20"/>
              </w:rPr>
            </w:pPr>
            <w:r w:rsidRPr="008A26D2">
              <w:rPr>
                <w:rFonts w:ascii="Arial" w:hAnsi="Arial" w:cs="Arial"/>
                <w:b/>
                <w:sz w:val="20"/>
                <w:szCs w:val="20"/>
              </w:rPr>
              <w:t xml:space="preserve">FICHA DEL SERVICIO </w:t>
            </w:r>
          </w:p>
        </w:tc>
      </w:tr>
      <w:tr w:rsidR="008A26D2" w:rsidRPr="008A26D2" w14:paraId="27AE9033" w14:textId="77777777" w:rsidTr="00C10A43">
        <w:trPr>
          <w:trHeight w:val="300"/>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999D7AB" w14:textId="77777777" w:rsidR="00C10A43" w:rsidRPr="008A26D2" w:rsidRDefault="00C10A43"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Objetivo prioritario:</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DF3A931" w14:textId="77777777" w:rsidR="00C10A43" w:rsidRPr="008A26D2" w:rsidRDefault="00C10A43" w:rsidP="0072651A">
            <w:pPr>
              <w:pBdr>
                <w:top w:val="nil"/>
                <w:left w:val="nil"/>
                <w:bottom w:val="nil"/>
                <w:right w:val="nil"/>
                <w:between w:val="nil"/>
              </w:pBdr>
              <w:spacing w:after="0" w:line="240" w:lineRule="auto"/>
              <w:jc w:val="both"/>
              <w:rPr>
                <w:rFonts w:ascii="Arial" w:hAnsi="Arial" w:cs="Arial"/>
                <w:sz w:val="20"/>
                <w:szCs w:val="20"/>
              </w:rPr>
            </w:pPr>
            <w:r w:rsidRPr="008A26D2">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r>
      <w:tr w:rsidR="008A26D2" w:rsidRPr="008A26D2" w14:paraId="3FCF5B71" w14:textId="77777777" w:rsidTr="003E037A">
        <w:trPr>
          <w:trHeight w:val="580"/>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EDEAE5F" w14:textId="77777777" w:rsidR="00C10A43" w:rsidRPr="008A26D2" w:rsidRDefault="00C10A43"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Lineamiento:</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FD4550A" w14:textId="77777777" w:rsidR="00C10A43" w:rsidRPr="008A26D2" w:rsidRDefault="00C10A43" w:rsidP="0072651A">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L1.6 Fomentar el aprovechamiento sostenible de los recursos forestales y de fauna silvestre</w:t>
            </w:r>
          </w:p>
        </w:tc>
      </w:tr>
      <w:tr w:rsidR="008A26D2" w:rsidRPr="008A26D2" w14:paraId="6468351E" w14:textId="77777777" w:rsidTr="00C10A43">
        <w:trPr>
          <w:trHeight w:val="300"/>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0F3CCCE" w14:textId="77777777" w:rsidR="00C10A43" w:rsidRPr="008A26D2" w:rsidRDefault="00C10A43"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Nombre del servicio:</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404AAA3" w14:textId="408FFD2A" w:rsidR="00C10A43" w:rsidRPr="008A26D2" w:rsidRDefault="00C10A43" w:rsidP="0072651A">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S1.6.2 Fortalecimiento de capacidades para el otorgamiento de derechos impartidos </w:t>
            </w:r>
            <w:r w:rsidR="00F73AD9" w:rsidRPr="008A26D2">
              <w:rPr>
                <w:rFonts w:ascii="Arial" w:eastAsia="Arial Narrow" w:hAnsi="Arial" w:cs="Arial"/>
                <w:sz w:val="20"/>
                <w:szCs w:val="20"/>
              </w:rPr>
              <w:t>satisfactoriamente</w:t>
            </w:r>
            <w:r w:rsidRPr="008A26D2">
              <w:rPr>
                <w:rFonts w:ascii="Arial" w:eastAsia="Arial Narrow" w:hAnsi="Arial" w:cs="Arial"/>
                <w:sz w:val="20"/>
                <w:szCs w:val="20"/>
              </w:rPr>
              <w:t xml:space="preserve"> a las Autoridades Regionales Forestales y de Fauna Silvestre</w:t>
            </w:r>
          </w:p>
          <w:p w14:paraId="72132B12" w14:textId="77777777" w:rsidR="00C10A43" w:rsidRPr="008A26D2" w:rsidRDefault="00C10A43" w:rsidP="0072651A">
            <w:pPr>
              <w:pBdr>
                <w:top w:val="nil"/>
                <w:left w:val="nil"/>
                <w:bottom w:val="nil"/>
                <w:right w:val="nil"/>
                <w:between w:val="nil"/>
              </w:pBdr>
              <w:spacing w:after="0" w:line="240" w:lineRule="auto"/>
              <w:jc w:val="both"/>
              <w:rPr>
                <w:rFonts w:ascii="Arial" w:eastAsia="Arial Narrow" w:hAnsi="Arial" w:cs="Arial"/>
                <w:sz w:val="20"/>
                <w:szCs w:val="20"/>
              </w:rPr>
            </w:pPr>
          </w:p>
        </w:tc>
      </w:tr>
      <w:tr w:rsidR="008A26D2" w:rsidRPr="008A26D2" w14:paraId="161400BF" w14:textId="77777777" w:rsidTr="00C10A43">
        <w:trPr>
          <w:trHeight w:val="300"/>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CCAA92D" w14:textId="77777777" w:rsidR="00C10A43" w:rsidRPr="008A26D2" w:rsidRDefault="00C10A43"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Tipo de servicio:</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5C8DEB1" w14:textId="77777777" w:rsidR="00C10A43" w:rsidRPr="008A26D2" w:rsidRDefault="00C10A43" w:rsidP="0072651A">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Mejorado</w:t>
            </w:r>
          </w:p>
        </w:tc>
      </w:tr>
      <w:tr w:rsidR="008A26D2" w:rsidRPr="008A26D2" w14:paraId="30B9B1F0" w14:textId="77777777" w:rsidTr="00C10A43">
        <w:trPr>
          <w:trHeight w:val="300"/>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9B63FF7" w14:textId="3CB383FF"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Naturaleza del servicio:</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FC0C105" w14:textId="07595E72" w:rsidR="00F72E5F" w:rsidRPr="008A26D2" w:rsidRDefault="009E5E9D"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A</w:t>
            </w:r>
            <w:r w:rsidR="00F72E5F" w:rsidRPr="008A26D2">
              <w:rPr>
                <w:rFonts w:ascii="Arial" w:eastAsia="Arial Narrow" w:hAnsi="Arial" w:cs="Arial"/>
                <w:sz w:val="20"/>
                <w:szCs w:val="20"/>
              </w:rPr>
              <w:t>dministrativo</w:t>
            </w:r>
          </w:p>
        </w:tc>
      </w:tr>
      <w:tr w:rsidR="008A26D2" w:rsidRPr="008A26D2" w14:paraId="60513C9D" w14:textId="77777777" w:rsidTr="00C10A43">
        <w:trPr>
          <w:trHeight w:val="300"/>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24CFE5C" w14:textId="0058721D"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Entrega del servicio</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EC6EBCE" w14:textId="78FF4730"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Competencia exclusiva</w:t>
            </w:r>
          </w:p>
        </w:tc>
      </w:tr>
      <w:tr w:rsidR="008A26D2" w:rsidRPr="008A26D2" w14:paraId="71CA1B14" w14:textId="77777777" w:rsidTr="00C10A43">
        <w:trPr>
          <w:trHeight w:val="300"/>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86D6E10" w14:textId="77777777"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Descripción del servicio</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9242B03" w14:textId="7287119C"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El presente servicio consiste en mejorar las capacidades de las Autoridades Regionales Forestales y de Fauna Silvestre a través de talleres, charlas, cursos, asistencias técnicas, entre otros, para asegurar el adecuado otorgamiento de derechos, logrando así el aprovechamiento sostenible de los recursos forestales y de fauna silvestre. </w:t>
            </w:r>
          </w:p>
          <w:p w14:paraId="3B92EBB4" w14:textId="77777777"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p>
          <w:p w14:paraId="0E693B86" w14:textId="3C9D7C39"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Las capacitaciones desarrollan, entre otros, las siguientes temáticas:</w:t>
            </w:r>
          </w:p>
          <w:p w14:paraId="761D4311" w14:textId="77777777"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p>
          <w:p w14:paraId="5BA2D6A4" w14:textId="51CBA90F" w:rsidR="00F72E5F" w:rsidRPr="008A26D2" w:rsidRDefault="00F72E5F" w:rsidP="00F72E5F">
            <w:pPr>
              <w:pStyle w:val="Prrafodelista"/>
              <w:numPr>
                <w:ilvl w:val="0"/>
                <w:numId w:val="5"/>
              </w:numPr>
              <w:pBdr>
                <w:top w:val="nil"/>
                <w:left w:val="nil"/>
                <w:bottom w:val="nil"/>
                <w:right w:val="nil"/>
                <w:between w:val="nil"/>
              </w:pBdr>
              <w:spacing w:after="0" w:line="240" w:lineRule="auto"/>
              <w:ind w:left="273" w:hanging="142"/>
              <w:jc w:val="both"/>
              <w:rPr>
                <w:rFonts w:ascii="Arial" w:eastAsia="Arial Narrow" w:hAnsi="Arial" w:cs="Arial"/>
                <w:sz w:val="20"/>
                <w:szCs w:val="20"/>
              </w:rPr>
            </w:pPr>
            <w:r w:rsidRPr="008A26D2">
              <w:rPr>
                <w:rFonts w:ascii="Arial" w:eastAsia="Arial Narrow" w:hAnsi="Arial" w:cs="Arial"/>
                <w:sz w:val="20"/>
                <w:szCs w:val="20"/>
              </w:rPr>
              <w:t>Concesiones forestales y de fauna silvestre: Problemática, planificación de la producción forestal, concesiones caducadas, planes de cierre, compensaciones.</w:t>
            </w:r>
          </w:p>
          <w:p w14:paraId="111127F9" w14:textId="77777777" w:rsidR="00F72E5F" w:rsidRPr="008A26D2" w:rsidRDefault="00F72E5F" w:rsidP="00F72E5F">
            <w:pPr>
              <w:pStyle w:val="Prrafodelista"/>
              <w:numPr>
                <w:ilvl w:val="0"/>
                <w:numId w:val="5"/>
              </w:numPr>
              <w:pBdr>
                <w:top w:val="nil"/>
                <w:left w:val="nil"/>
                <w:bottom w:val="nil"/>
                <w:right w:val="nil"/>
                <w:between w:val="nil"/>
              </w:pBdr>
              <w:spacing w:after="0" w:line="240" w:lineRule="auto"/>
              <w:ind w:left="273" w:hanging="142"/>
              <w:jc w:val="both"/>
              <w:rPr>
                <w:rFonts w:ascii="Arial" w:eastAsia="Arial Narrow" w:hAnsi="Arial" w:cs="Arial"/>
                <w:sz w:val="20"/>
                <w:szCs w:val="20"/>
              </w:rPr>
            </w:pPr>
            <w:r w:rsidRPr="008A26D2">
              <w:rPr>
                <w:rFonts w:ascii="Arial" w:eastAsia="Arial Narrow" w:hAnsi="Arial" w:cs="Arial"/>
                <w:sz w:val="20"/>
                <w:szCs w:val="20"/>
              </w:rPr>
              <w:t>Bosque locales: Acceso al bosque de los pequeños productores.</w:t>
            </w:r>
          </w:p>
          <w:p w14:paraId="5A373F7E" w14:textId="00B36683" w:rsidR="00F72E5F" w:rsidRPr="008A26D2" w:rsidRDefault="00F72E5F" w:rsidP="00F72E5F">
            <w:pPr>
              <w:pStyle w:val="Prrafodelista"/>
              <w:numPr>
                <w:ilvl w:val="0"/>
                <w:numId w:val="5"/>
              </w:numPr>
              <w:pBdr>
                <w:top w:val="nil"/>
                <w:left w:val="nil"/>
                <w:bottom w:val="nil"/>
                <w:right w:val="nil"/>
                <w:between w:val="nil"/>
              </w:pBdr>
              <w:spacing w:after="0" w:line="240" w:lineRule="auto"/>
              <w:ind w:left="273" w:hanging="142"/>
              <w:jc w:val="both"/>
              <w:rPr>
                <w:rFonts w:ascii="Arial" w:eastAsia="Arial Narrow" w:hAnsi="Arial" w:cs="Arial"/>
                <w:sz w:val="20"/>
                <w:szCs w:val="20"/>
              </w:rPr>
            </w:pPr>
            <w:r w:rsidRPr="008A26D2">
              <w:rPr>
                <w:rFonts w:ascii="Arial" w:eastAsia="Arial Narrow" w:hAnsi="Arial" w:cs="Arial"/>
                <w:sz w:val="20"/>
                <w:szCs w:val="20"/>
              </w:rPr>
              <w:t>Bosques secundarios: Problemáticas y acceso al bosque.</w:t>
            </w:r>
          </w:p>
          <w:p w14:paraId="148B9BEB" w14:textId="4E26B9B9" w:rsidR="00F72E5F" w:rsidRDefault="00F72E5F" w:rsidP="006D6747">
            <w:pPr>
              <w:pStyle w:val="Prrafodelista"/>
              <w:numPr>
                <w:ilvl w:val="0"/>
                <w:numId w:val="5"/>
              </w:numPr>
              <w:pBdr>
                <w:top w:val="nil"/>
                <w:left w:val="nil"/>
                <w:bottom w:val="nil"/>
                <w:right w:val="nil"/>
                <w:between w:val="nil"/>
              </w:pBdr>
              <w:spacing w:after="0" w:line="240" w:lineRule="auto"/>
              <w:ind w:left="273" w:hanging="142"/>
              <w:jc w:val="both"/>
              <w:rPr>
                <w:rFonts w:ascii="Arial" w:eastAsia="Arial Narrow" w:hAnsi="Arial" w:cs="Arial"/>
                <w:sz w:val="20"/>
                <w:szCs w:val="20"/>
              </w:rPr>
            </w:pPr>
            <w:r w:rsidRPr="00DC5551">
              <w:rPr>
                <w:rFonts w:ascii="Arial" w:eastAsia="Arial Narrow" w:hAnsi="Arial" w:cs="Arial"/>
                <w:sz w:val="20"/>
                <w:szCs w:val="20"/>
              </w:rPr>
              <w:t>Centros de cría de fauna silvestre: Implementación de planes de manejo, manejo sanitario, plantel genético.</w:t>
            </w:r>
          </w:p>
          <w:p w14:paraId="7A07559B" w14:textId="77777777" w:rsidR="00DC5551" w:rsidRPr="00DC5551" w:rsidRDefault="00DC5551" w:rsidP="00DC5551">
            <w:pPr>
              <w:pStyle w:val="Prrafodelista"/>
              <w:pBdr>
                <w:top w:val="nil"/>
                <w:left w:val="nil"/>
                <w:bottom w:val="nil"/>
                <w:right w:val="nil"/>
                <w:between w:val="nil"/>
              </w:pBdr>
              <w:spacing w:after="0" w:line="240" w:lineRule="auto"/>
              <w:ind w:left="273"/>
              <w:jc w:val="both"/>
              <w:rPr>
                <w:rFonts w:ascii="Arial" w:eastAsia="Arial Narrow" w:hAnsi="Arial" w:cs="Arial"/>
                <w:sz w:val="20"/>
                <w:szCs w:val="20"/>
              </w:rPr>
            </w:pPr>
          </w:p>
          <w:p w14:paraId="4AE9435D" w14:textId="5631221E" w:rsidR="00F72E5F" w:rsidRPr="008A26D2" w:rsidRDefault="00F72E5F" w:rsidP="00F72E5F">
            <w:pPr>
              <w:jc w:val="both"/>
              <w:rPr>
                <w:rFonts w:ascii="Arial" w:eastAsia="Arial Narrow" w:hAnsi="Arial" w:cs="Arial"/>
                <w:strike/>
                <w:sz w:val="20"/>
                <w:szCs w:val="20"/>
              </w:rPr>
            </w:pPr>
            <w:r w:rsidRPr="008A26D2">
              <w:rPr>
                <w:rFonts w:ascii="Arial" w:eastAsia="Arial Narrow" w:hAnsi="Arial" w:cs="Arial"/>
                <w:sz w:val="20"/>
                <w:szCs w:val="20"/>
              </w:rPr>
              <w:t>El servicio es de tipo mejorado porque se aplicará nuevas herramientas metodológicas y tecnológicas para la entrega del servicio, ya que satisfacen</w:t>
            </w:r>
            <w:r w:rsidRPr="008A26D2">
              <w:rPr>
                <w:rFonts w:ascii="Arial" w:eastAsia="Times New Roman" w:hAnsi="Arial" w:cs="Arial"/>
                <w:sz w:val="20"/>
                <w:szCs w:val="20"/>
                <w:lang w:val="es-ES"/>
              </w:rPr>
              <w:t xml:space="preserve"> las expectativas de capacitación en otorgamiento de derechos </w:t>
            </w:r>
            <w:r w:rsidRPr="008A26D2">
              <w:rPr>
                <w:rFonts w:ascii="Arial" w:eastAsia="Arial Narrow" w:hAnsi="Arial" w:cs="Arial"/>
                <w:sz w:val="20"/>
                <w:szCs w:val="20"/>
              </w:rPr>
              <w:t>para el aprovechamiento de los recursos forestales y de fauna silvestre</w:t>
            </w:r>
            <w:r w:rsidRPr="008A26D2">
              <w:rPr>
                <w:rFonts w:ascii="Arial" w:eastAsia="Times New Roman" w:hAnsi="Arial" w:cs="Arial"/>
                <w:sz w:val="20"/>
                <w:szCs w:val="20"/>
                <w:lang w:val="es-ES"/>
              </w:rPr>
              <w:t xml:space="preserve"> de las Autoridades Regionales Forestales y de Fauna Silvestre.</w:t>
            </w:r>
          </w:p>
        </w:tc>
      </w:tr>
      <w:tr w:rsidR="008A26D2" w:rsidRPr="008A26D2" w14:paraId="686DAFCB" w14:textId="77777777" w:rsidTr="00C10A43">
        <w:trPr>
          <w:trHeight w:val="300"/>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17DB55D" w14:textId="77777777"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Proveedor del servicio</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EA3AE96" w14:textId="77777777"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Servicio Nacional Forestal y de Fauna Silvestre - SERFOR</w:t>
            </w:r>
          </w:p>
        </w:tc>
      </w:tr>
      <w:tr w:rsidR="008A26D2" w:rsidRPr="008A26D2" w14:paraId="590F4B5C" w14:textId="77777777" w:rsidTr="00554D23">
        <w:trPr>
          <w:trHeight w:val="458"/>
          <w:jc w:val="center"/>
        </w:trPr>
        <w:tc>
          <w:tcPr>
            <w:tcW w:w="2551" w:type="dxa"/>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4FB82087" w14:textId="77777777" w:rsidR="00F72E5F" w:rsidRPr="008A26D2" w:rsidRDefault="00F72E5F" w:rsidP="009E1160">
            <w:pPr>
              <w:spacing w:after="0" w:line="240" w:lineRule="auto"/>
              <w:rPr>
                <w:rFonts w:ascii="Arial" w:hAnsi="Arial" w:cs="Arial"/>
                <w:b/>
                <w:sz w:val="20"/>
                <w:szCs w:val="20"/>
              </w:rPr>
            </w:pPr>
            <w:r w:rsidRPr="008A26D2">
              <w:rPr>
                <w:rFonts w:ascii="Arial" w:hAnsi="Arial" w:cs="Arial"/>
                <w:b/>
                <w:sz w:val="20"/>
                <w:szCs w:val="20"/>
              </w:rPr>
              <w:t>Nivel (es) de gobierno que interviene</w:t>
            </w:r>
          </w:p>
          <w:p w14:paraId="313C3F96" w14:textId="65C4AC43"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(n) en la provisión del servicio</w:t>
            </w:r>
          </w:p>
        </w:tc>
        <w:tc>
          <w:tcPr>
            <w:tcW w:w="2126"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513C8C4C" w14:textId="0E9AC008" w:rsidR="00F72E5F" w:rsidRPr="008A26D2" w:rsidRDefault="00F72E5F" w:rsidP="000C49B7">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Nacional</w:t>
            </w:r>
          </w:p>
        </w:tc>
        <w:tc>
          <w:tcPr>
            <w:tcW w:w="2126" w:type="dxa"/>
            <w:tcBorders>
              <w:top w:val="single" w:sz="4" w:space="0" w:color="000000"/>
              <w:left w:val="single" w:sz="4" w:space="0" w:color="000000"/>
              <w:right w:val="single" w:sz="4" w:space="0" w:color="000000"/>
            </w:tcBorders>
            <w:shd w:val="clear" w:color="auto" w:fill="auto"/>
            <w:vAlign w:val="center"/>
          </w:tcPr>
          <w:p w14:paraId="1ADF26CA" w14:textId="61C5A03C" w:rsidR="00F72E5F" w:rsidRPr="008A26D2" w:rsidRDefault="00F72E5F" w:rsidP="000C49B7">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Regional</w:t>
            </w:r>
          </w:p>
        </w:tc>
        <w:tc>
          <w:tcPr>
            <w:tcW w:w="2127" w:type="dxa"/>
            <w:tcBorders>
              <w:top w:val="single" w:sz="4" w:space="0" w:color="000000"/>
              <w:left w:val="single" w:sz="4" w:space="0" w:color="000000"/>
              <w:right w:val="single" w:sz="4" w:space="0" w:color="000000"/>
            </w:tcBorders>
            <w:shd w:val="clear" w:color="auto" w:fill="auto"/>
            <w:vAlign w:val="center"/>
          </w:tcPr>
          <w:p w14:paraId="6F603648" w14:textId="75A119E0" w:rsidR="00F72E5F" w:rsidRPr="008A26D2" w:rsidRDefault="00F72E5F" w:rsidP="000C49B7">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Local</w:t>
            </w:r>
          </w:p>
        </w:tc>
      </w:tr>
      <w:tr w:rsidR="008A26D2" w:rsidRPr="008A26D2" w14:paraId="56B592E1" w14:textId="77777777" w:rsidTr="00554D23">
        <w:trPr>
          <w:trHeight w:val="457"/>
          <w:jc w:val="center"/>
        </w:trPr>
        <w:tc>
          <w:tcPr>
            <w:tcW w:w="2551" w:type="dxa"/>
            <w:vMerge/>
            <w:tcBorders>
              <w:left w:val="single" w:sz="4" w:space="0" w:color="000000"/>
              <w:right w:val="single" w:sz="4" w:space="0" w:color="000000"/>
            </w:tcBorders>
            <w:shd w:val="clear" w:color="auto" w:fill="auto"/>
            <w:tcMar>
              <w:top w:w="15" w:type="dxa"/>
              <w:left w:w="15" w:type="dxa"/>
              <w:bottom w:w="0" w:type="dxa"/>
              <w:right w:w="15" w:type="dxa"/>
            </w:tcMar>
            <w:vAlign w:val="center"/>
          </w:tcPr>
          <w:p w14:paraId="79001600" w14:textId="77777777" w:rsidR="00F72E5F" w:rsidRPr="008A26D2" w:rsidRDefault="00F72E5F" w:rsidP="00F72E5F">
            <w:pPr>
              <w:spacing w:after="0" w:line="240" w:lineRule="auto"/>
              <w:rPr>
                <w:rFonts w:ascii="Arial" w:hAnsi="Arial" w:cs="Arial"/>
                <w:b/>
                <w:sz w:val="20"/>
                <w:szCs w:val="20"/>
              </w:rPr>
            </w:pPr>
          </w:p>
        </w:tc>
        <w:tc>
          <w:tcPr>
            <w:tcW w:w="2126"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44B0EA38" w14:textId="749A310B" w:rsidR="00F72E5F" w:rsidRPr="008A26D2" w:rsidRDefault="009E5E9D" w:rsidP="000C49B7">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X</w:t>
            </w:r>
          </w:p>
        </w:tc>
        <w:tc>
          <w:tcPr>
            <w:tcW w:w="2126" w:type="dxa"/>
            <w:tcBorders>
              <w:top w:val="single" w:sz="4" w:space="0" w:color="000000"/>
              <w:left w:val="single" w:sz="4" w:space="0" w:color="000000"/>
              <w:right w:val="single" w:sz="4" w:space="0" w:color="000000"/>
            </w:tcBorders>
            <w:shd w:val="clear" w:color="auto" w:fill="auto"/>
            <w:vAlign w:val="center"/>
          </w:tcPr>
          <w:p w14:paraId="52164CD8" w14:textId="77777777" w:rsidR="00F72E5F" w:rsidRPr="008A26D2" w:rsidRDefault="00F72E5F" w:rsidP="000C49B7">
            <w:pPr>
              <w:pBdr>
                <w:top w:val="nil"/>
                <w:left w:val="nil"/>
                <w:bottom w:val="nil"/>
                <w:right w:val="nil"/>
                <w:between w:val="nil"/>
              </w:pBdr>
              <w:spacing w:after="0" w:line="240" w:lineRule="auto"/>
              <w:jc w:val="center"/>
              <w:rPr>
                <w:rFonts w:ascii="Arial" w:eastAsia="Arial Narrow" w:hAnsi="Arial" w:cs="Arial"/>
                <w:sz w:val="20"/>
                <w:szCs w:val="20"/>
              </w:rPr>
            </w:pPr>
          </w:p>
        </w:tc>
        <w:tc>
          <w:tcPr>
            <w:tcW w:w="2127" w:type="dxa"/>
            <w:tcBorders>
              <w:top w:val="single" w:sz="4" w:space="0" w:color="000000"/>
              <w:left w:val="single" w:sz="4" w:space="0" w:color="000000"/>
              <w:right w:val="single" w:sz="4" w:space="0" w:color="000000"/>
            </w:tcBorders>
            <w:shd w:val="clear" w:color="auto" w:fill="auto"/>
            <w:vAlign w:val="center"/>
          </w:tcPr>
          <w:p w14:paraId="1358F4D7" w14:textId="03F40D5A" w:rsidR="00F72E5F" w:rsidRPr="008A26D2" w:rsidRDefault="00F72E5F" w:rsidP="000C49B7">
            <w:pPr>
              <w:pBdr>
                <w:top w:val="nil"/>
                <w:left w:val="nil"/>
                <w:bottom w:val="nil"/>
                <w:right w:val="nil"/>
                <w:between w:val="nil"/>
              </w:pBdr>
              <w:spacing w:after="0" w:line="240" w:lineRule="auto"/>
              <w:jc w:val="center"/>
              <w:rPr>
                <w:rFonts w:ascii="Arial" w:eastAsia="Arial Narrow" w:hAnsi="Arial" w:cs="Arial"/>
                <w:sz w:val="20"/>
                <w:szCs w:val="20"/>
              </w:rPr>
            </w:pPr>
          </w:p>
        </w:tc>
      </w:tr>
      <w:tr w:rsidR="008A26D2" w:rsidRPr="008A26D2" w14:paraId="53C56689" w14:textId="77777777" w:rsidTr="00C10A43">
        <w:trPr>
          <w:trHeight w:val="300"/>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2FDEFF6" w14:textId="77777777"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Receptor del servicio</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2EB9BD0" w14:textId="35F6C3D2"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Autoridades Regionales Forestales y de Fauna Silvestre </w:t>
            </w:r>
          </w:p>
        </w:tc>
      </w:tr>
      <w:tr w:rsidR="008A26D2" w:rsidRPr="008A26D2" w14:paraId="14479493" w14:textId="77777777" w:rsidTr="00C10A43">
        <w:trPr>
          <w:trHeight w:val="211"/>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6FB65DE" w14:textId="77777777"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Alcance del servicio </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57FD629" w14:textId="77777777"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Nacional</w:t>
            </w:r>
          </w:p>
        </w:tc>
      </w:tr>
      <w:tr w:rsidR="008A26D2" w:rsidRPr="008A26D2" w14:paraId="3E32DE97" w14:textId="77777777" w:rsidTr="00C10A43">
        <w:trPr>
          <w:trHeight w:val="62"/>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91B8F4A" w14:textId="77777777"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Estándar (es) de cumplimiento</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5154D316" w14:textId="77777777" w:rsidR="00F72E5F" w:rsidRPr="008A26D2" w:rsidRDefault="00F72E5F" w:rsidP="00F72E5F">
            <w:pPr>
              <w:pBdr>
                <w:top w:val="nil"/>
                <w:left w:val="nil"/>
                <w:bottom w:val="nil"/>
                <w:right w:val="nil"/>
                <w:between w:val="nil"/>
              </w:pBdr>
              <w:spacing w:after="0" w:line="240" w:lineRule="auto"/>
              <w:rPr>
                <w:rFonts w:ascii="Arial" w:hAnsi="Arial" w:cs="Arial"/>
                <w:sz w:val="20"/>
                <w:szCs w:val="20"/>
              </w:rPr>
            </w:pPr>
            <w:r w:rsidRPr="008A26D2">
              <w:rPr>
                <w:rFonts w:ascii="Arial" w:eastAsia="Arial Narrow" w:hAnsi="Arial" w:cs="Arial"/>
                <w:sz w:val="20"/>
                <w:szCs w:val="20"/>
              </w:rPr>
              <w:t>Percepción</w:t>
            </w:r>
          </w:p>
        </w:tc>
      </w:tr>
      <w:tr w:rsidR="008A26D2" w:rsidRPr="008A26D2" w14:paraId="783E9E0B" w14:textId="77777777" w:rsidTr="00C10A43">
        <w:trPr>
          <w:trHeight w:val="300"/>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0921A67" w14:textId="77777777"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Descripción del estándar</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35" w:type="dxa"/>
              <w:bottom w:w="0" w:type="dxa"/>
              <w:right w:w="15" w:type="dxa"/>
            </w:tcMar>
            <w:vAlign w:val="center"/>
          </w:tcPr>
          <w:p w14:paraId="400BA933" w14:textId="410200DA" w:rsidR="00F72E5F" w:rsidRPr="008A26D2" w:rsidRDefault="00F72E5F" w:rsidP="00F72E5F">
            <w:pPr>
              <w:pBdr>
                <w:top w:val="nil"/>
                <w:left w:val="nil"/>
                <w:bottom w:val="nil"/>
                <w:right w:val="nil"/>
                <w:between w:val="nil"/>
              </w:pBdr>
              <w:spacing w:after="0" w:line="240" w:lineRule="auto"/>
              <w:jc w:val="both"/>
              <w:rPr>
                <w:rFonts w:ascii="Arial" w:eastAsia="Times New Roman" w:hAnsi="Arial" w:cs="Arial"/>
                <w:sz w:val="20"/>
                <w:szCs w:val="20"/>
                <w:lang w:val="es-ES"/>
              </w:rPr>
            </w:pPr>
            <w:r w:rsidRPr="008A26D2">
              <w:rPr>
                <w:rFonts w:ascii="Arial" w:eastAsia="Times New Roman" w:hAnsi="Arial" w:cs="Arial"/>
                <w:sz w:val="20"/>
                <w:szCs w:val="20"/>
                <w:lang w:val="es-ES"/>
              </w:rPr>
              <w:t xml:space="preserve">El estándar del servicio es de percepción debido a que éste satisface las expectativas de capacitación en otorgamiento de derechos </w:t>
            </w:r>
            <w:r w:rsidRPr="008A26D2">
              <w:rPr>
                <w:rFonts w:ascii="Arial" w:eastAsia="Arial Narrow" w:hAnsi="Arial" w:cs="Arial"/>
                <w:sz w:val="20"/>
                <w:szCs w:val="20"/>
              </w:rPr>
              <w:t>para el aprovechamiento de los recursos forestales y de fauna silvestre</w:t>
            </w:r>
            <w:r w:rsidRPr="008A26D2">
              <w:rPr>
                <w:rFonts w:ascii="Arial" w:eastAsia="Times New Roman" w:hAnsi="Arial" w:cs="Arial"/>
                <w:sz w:val="20"/>
                <w:szCs w:val="20"/>
                <w:lang w:val="es-ES"/>
              </w:rPr>
              <w:t xml:space="preserve"> de las Autoridades Regionales Forestales y de Fauna Silvestre.</w:t>
            </w:r>
          </w:p>
          <w:p w14:paraId="1A66E3D2" w14:textId="77777777" w:rsidR="00F72E5F" w:rsidRPr="008A26D2" w:rsidRDefault="00F72E5F" w:rsidP="00F72E5F">
            <w:pPr>
              <w:pBdr>
                <w:top w:val="nil"/>
                <w:left w:val="nil"/>
                <w:bottom w:val="nil"/>
                <w:right w:val="nil"/>
                <w:between w:val="nil"/>
              </w:pBdr>
              <w:spacing w:after="0" w:line="240" w:lineRule="auto"/>
              <w:jc w:val="both"/>
              <w:rPr>
                <w:rFonts w:ascii="Arial" w:hAnsi="Arial" w:cs="Arial"/>
                <w:strike/>
                <w:sz w:val="20"/>
                <w:szCs w:val="20"/>
              </w:rPr>
            </w:pPr>
          </w:p>
        </w:tc>
      </w:tr>
      <w:tr w:rsidR="00F72E5F" w:rsidRPr="008A26D2" w14:paraId="2656AC87" w14:textId="77777777" w:rsidTr="00C10A43">
        <w:trPr>
          <w:trHeight w:val="491"/>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541F307" w14:textId="0A0ED9F1"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lastRenderedPageBreak/>
              <w:t>Indicador de calidad</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1E14FDBB" w14:textId="4277856F" w:rsidR="00F72E5F" w:rsidRPr="008A26D2" w:rsidRDefault="00F72E5F" w:rsidP="00F72E5F">
            <w:pPr>
              <w:jc w:val="both"/>
              <w:rPr>
                <w:rFonts w:ascii="Arial" w:hAnsi="Arial" w:cs="Arial"/>
                <w:sz w:val="20"/>
                <w:szCs w:val="20"/>
              </w:rPr>
            </w:pPr>
            <w:r w:rsidRPr="008A26D2">
              <w:rPr>
                <w:rFonts w:ascii="Arial" w:eastAsia="Times New Roman" w:hAnsi="Arial" w:cs="Arial"/>
                <w:sz w:val="20"/>
                <w:szCs w:val="20"/>
                <w:lang w:val="es-ES"/>
              </w:rPr>
              <w:t xml:space="preserve">Porcentaje de </w:t>
            </w:r>
            <w:r w:rsidRPr="008A26D2">
              <w:rPr>
                <w:rFonts w:ascii="Arial" w:eastAsia="Times New Roman" w:hAnsi="Arial" w:cs="Arial"/>
                <w:sz w:val="20"/>
                <w:szCs w:val="20"/>
              </w:rPr>
              <w:t>servidores de las Autoridades Regionales Forestales y de Fauna Silvestre</w:t>
            </w:r>
            <w:r w:rsidRPr="008A26D2">
              <w:rPr>
                <w:rFonts w:ascii="Arial" w:eastAsia="Times New Roman" w:hAnsi="Arial" w:cs="Arial"/>
                <w:sz w:val="20"/>
                <w:szCs w:val="20"/>
                <w:lang w:val="es-ES"/>
              </w:rPr>
              <w:t xml:space="preserve"> con alto grado de satisfacción sobre el fortalecimiento de capacidades recibidas en </w:t>
            </w:r>
            <w:r w:rsidRPr="008A26D2">
              <w:rPr>
                <w:rFonts w:ascii="Arial" w:eastAsia="Arial Narrow" w:hAnsi="Arial" w:cs="Arial"/>
                <w:sz w:val="20"/>
                <w:szCs w:val="20"/>
              </w:rPr>
              <w:t>otorgamiento de derechos</w:t>
            </w:r>
            <w:r w:rsidRPr="008A26D2">
              <w:rPr>
                <w:rFonts w:ascii="Arial" w:eastAsia="Times New Roman" w:hAnsi="Arial" w:cs="Arial"/>
                <w:sz w:val="20"/>
                <w:szCs w:val="20"/>
                <w:lang w:val="es-ES"/>
              </w:rPr>
              <w:t>.</w:t>
            </w:r>
          </w:p>
        </w:tc>
      </w:tr>
    </w:tbl>
    <w:p w14:paraId="3E68A96D" w14:textId="4A4E2632" w:rsidR="00C10A43" w:rsidRPr="008A26D2" w:rsidRDefault="00C10A43" w:rsidP="00C8135D">
      <w:pPr>
        <w:jc w:val="both"/>
        <w:rPr>
          <w:rFonts w:ascii="Arial Narrow" w:eastAsia="Arial Narrow" w:hAnsi="Arial Narrow" w:cs="Arial Narrow"/>
          <w:b/>
        </w:rPr>
      </w:pPr>
    </w:p>
    <w:p w14:paraId="331C29D3" w14:textId="762DB1D6" w:rsidR="00891326" w:rsidRPr="008A26D2" w:rsidRDefault="00891326" w:rsidP="00C8135D">
      <w:pPr>
        <w:jc w:val="both"/>
        <w:rPr>
          <w:rFonts w:ascii="Arial Narrow" w:eastAsia="Arial Narrow" w:hAnsi="Arial Narrow" w:cs="Arial Narrow"/>
          <w:b/>
        </w:rPr>
      </w:pPr>
      <w:r w:rsidRPr="008A26D2">
        <w:rPr>
          <w:rFonts w:ascii="Arial" w:eastAsia="Arial Narrow" w:hAnsi="Arial" w:cs="Arial"/>
          <w:b/>
          <w:bCs/>
        </w:rPr>
        <w:t>S1.6.</w:t>
      </w:r>
      <w:r w:rsidRPr="000C49B7">
        <w:rPr>
          <w:rFonts w:ascii="Arial" w:eastAsia="Arial Narrow" w:hAnsi="Arial" w:cs="Arial"/>
          <w:b/>
          <w:bCs/>
        </w:rPr>
        <w:t>3</w:t>
      </w:r>
      <w:r w:rsidRPr="000C49B7">
        <w:rPr>
          <w:rFonts w:ascii="Arial" w:eastAsia="Arial Narrow" w:hAnsi="Arial" w:cs="Arial"/>
        </w:rPr>
        <w:t xml:space="preserve"> </w:t>
      </w:r>
      <w:r w:rsidR="000C49B7" w:rsidRPr="000C49B7">
        <w:rPr>
          <w:rFonts w:ascii="Arial" w:eastAsia="Times New Roman" w:hAnsi="Arial" w:cs="Arial"/>
        </w:rPr>
        <w:t>Otorgamiento de derechos de aprovechamiento de recursos forestales y fauna silvestre de forma oportuna a los usuarios forestales y de fauna silvestre</w:t>
      </w:r>
    </w:p>
    <w:tbl>
      <w:tblPr>
        <w:tblW w:w="9214" w:type="dxa"/>
        <w:jc w:val="center"/>
        <w:tblLayout w:type="fixed"/>
        <w:tblLook w:val="0600" w:firstRow="0" w:lastRow="0" w:firstColumn="0" w:lastColumn="0" w:noHBand="1" w:noVBand="1"/>
      </w:tblPr>
      <w:tblGrid>
        <w:gridCol w:w="2551"/>
        <w:gridCol w:w="2221"/>
        <w:gridCol w:w="2221"/>
        <w:gridCol w:w="2221"/>
      </w:tblGrid>
      <w:tr w:rsidR="008A26D2" w:rsidRPr="008A26D2" w14:paraId="3CD23E6D" w14:textId="77777777" w:rsidTr="006E08E6">
        <w:trPr>
          <w:trHeight w:val="300"/>
          <w:jc w:val="center"/>
        </w:trPr>
        <w:tc>
          <w:tcPr>
            <w:tcW w:w="9214"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center"/>
          </w:tcPr>
          <w:p w14:paraId="62ADB3A9" w14:textId="7ABF057A" w:rsidR="00916AD8" w:rsidRPr="008A26D2" w:rsidRDefault="00916AD8" w:rsidP="00086DE5">
            <w:pPr>
              <w:jc w:val="center"/>
              <w:rPr>
                <w:rFonts w:ascii="Arial" w:hAnsi="Arial" w:cs="Arial"/>
                <w:sz w:val="20"/>
                <w:szCs w:val="20"/>
              </w:rPr>
            </w:pPr>
            <w:r w:rsidRPr="008A26D2">
              <w:rPr>
                <w:rFonts w:ascii="Arial" w:hAnsi="Arial" w:cs="Arial"/>
                <w:b/>
                <w:sz w:val="20"/>
                <w:szCs w:val="20"/>
              </w:rPr>
              <w:t>FICHA DEL SERVICIO</w:t>
            </w:r>
          </w:p>
        </w:tc>
      </w:tr>
      <w:tr w:rsidR="008A26D2" w:rsidRPr="008A26D2" w14:paraId="5D15BC59" w14:textId="77777777" w:rsidTr="006E08E6">
        <w:trPr>
          <w:trHeight w:val="300"/>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8B1A1E1" w14:textId="77777777" w:rsidR="00916AD8" w:rsidRPr="008A26D2" w:rsidRDefault="00916AD8" w:rsidP="00086DE5">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Objetivo prioritario:</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19C1D1E" w14:textId="77777777" w:rsidR="00916AD8" w:rsidRPr="008A26D2" w:rsidRDefault="00916AD8" w:rsidP="00086DE5">
            <w:pPr>
              <w:pBdr>
                <w:top w:val="nil"/>
                <w:left w:val="nil"/>
                <w:bottom w:val="nil"/>
                <w:right w:val="nil"/>
                <w:between w:val="nil"/>
              </w:pBdr>
              <w:spacing w:after="0" w:line="240" w:lineRule="auto"/>
              <w:jc w:val="both"/>
              <w:rPr>
                <w:rFonts w:ascii="Arial" w:hAnsi="Arial" w:cs="Arial"/>
                <w:sz w:val="20"/>
                <w:szCs w:val="20"/>
              </w:rPr>
            </w:pPr>
            <w:r w:rsidRPr="008A26D2">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r>
      <w:tr w:rsidR="008A26D2" w:rsidRPr="008A26D2" w14:paraId="3EB4C353" w14:textId="77777777" w:rsidTr="006E08E6">
        <w:trPr>
          <w:trHeight w:val="300"/>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5E781DE" w14:textId="77777777" w:rsidR="00916AD8" w:rsidRPr="008A26D2" w:rsidRDefault="00916AD8" w:rsidP="00086DE5">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Lineamiento:</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D6DF74B" w14:textId="77777777" w:rsidR="00916AD8" w:rsidRPr="008A26D2" w:rsidRDefault="00916AD8" w:rsidP="00086DE5">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L1.6 Fomentar el aprovechamiento sostenible de los recursos forestales y de fauna silvestre</w:t>
            </w:r>
          </w:p>
        </w:tc>
      </w:tr>
      <w:tr w:rsidR="008A26D2" w:rsidRPr="008A26D2" w14:paraId="7A3ECE15" w14:textId="77777777" w:rsidTr="006E08E6">
        <w:trPr>
          <w:trHeight w:val="300"/>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7B62124" w14:textId="77777777" w:rsidR="00916AD8" w:rsidRPr="008A26D2" w:rsidRDefault="00916AD8" w:rsidP="00086DE5">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Nombre del servicio:</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12241AF" w14:textId="77777777" w:rsidR="00916AD8" w:rsidRPr="008A26D2" w:rsidRDefault="00916AD8" w:rsidP="00086DE5">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S1.6.3 </w:t>
            </w:r>
            <w:r w:rsidRPr="008A26D2">
              <w:rPr>
                <w:rFonts w:ascii="Arial" w:eastAsia="Times New Roman" w:hAnsi="Arial" w:cs="Arial"/>
                <w:sz w:val="20"/>
                <w:szCs w:val="20"/>
              </w:rPr>
              <w:t>Otorgamiento de derechos de aprovechamiento de recursos forestales y fauna silvestre de forma oportuna a los usuarios forestales y de fauna silvestre</w:t>
            </w:r>
          </w:p>
        </w:tc>
      </w:tr>
      <w:tr w:rsidR="008A26D2" w:rsidRPr="008A26D2" w14:paraId="2CA94DB5" w14:textId="77777777" w:rsidTr="006E08E6">
        <w:trPr>
          <w:trHeight w:val="300"/>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674F0F7" w14:textId="77777777" w:rsidR="00916AD8" w:rsidRPr="008A26D2" w:rsidRDefault="00916AD8" w:rsidP="00086DE5">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Tipo de Servicio:</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F4D1EF4" w14:textId="77777777" w:rsidR="00916AD8" w:rsidRPr="008A26D2" w:rsidRDefault="00916AD8" w:rsidP="00086DE5">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Mejorado</w:t>
            </w:r>
          </w:p>
        </w:tc>
      </w:tr>
      <w:tr w:rsidR="008A26D2" w:rsidRPr="008A26D2" w14:paraId="3BEAE8A9" w14:textId="77777777" w:rsidTr="006E08E6">
        <w:trPr>
          <w:trHeight w:val="300"/>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78AD11E" w14:textId="78888CBF"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Naturaleza del servicio:</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3854D14" w14:textId="2AF7BF1B" w:rsidR="00F72E5F" w:rsidRPr="008A26D2" w:rsidRDefault="009E5E9D"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N</w:t>
            </w:r>
            <w:r w:rsidR="00F72E5F" w:rsidRPr="008A26D2">
              <w:rPr>
                <w:rFonts w:ascii="Arial" w:eastAsia="Arial Narrow" w:hAnsi="Arial" w:cs="Arial"/>
                <w:sz w:val="20"/>
                <w:szCs w:val="20"/>
              </w:rPr>
              <w:t>o prestacional</w:t>
            </w:r>
          </w:p>
        </w:tc>
      </w:tr>
      <w:tr w:rsidR="008A26D2" w:rsidRPr="008A26D2" w14:paraId="08D88939" w14:textId="77777777" w:rsidTr="006E08E6">
        <w:trPr>
          <w:trHeight w:val="300"/>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40F8604" w14:textId="0E039AE1"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Entrega del servicio</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294FDC6" w14:textId="20406809"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Competencia compartida</w:t>
            </w:r>
          </w:p>
        </w:tc>
      </w:tr>
      <w:tr w:rsidR="008A26D2" w:rsidRPr="008A26D2" w14:paraId="7116310E" w14:textId="77777777" w:rsidTr="006E08E6">
        <w:trPr>
          <w:trHeight w:val="300"/>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616F523" w14:textId="77777777"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Descripción del servicio</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9C73E7E" w14:textId="4D8990CA"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El presente servicio consiste en la atención de las solicitudes que presentan los usuarios forestales y de fauna silvestre para acceder a los recursos forestales y de fauna silvestre</w:t>
            </w:r>
            <w:r w:rsidR="00BF6AAB" w:rsidRPr="008A26D2">
              <w:rPr>
                <w:rFonts w:ascii="Arial" w:eastAsia="Arial Narrow" w:hAnsi="Arial" w:cs="Arial"/>
                <w:sz w:val="20"/>
                <w:szCs w:val="20"/>
              </w:rPr>
              <w:t>, fuera de Áreas Naturales Protegidas,</w:t>
            </w:r>
            <w:r w:rsidRPr="008A26D2">
              <w:rPr>
                <w:rFonts w:ascii="Arial" w:eastAsia="Arial Narrow" w:hAnsi="Arial" w:cs="Arial"/>
                <w:sz w:val="20"/>
                <w:szCs w:val="20"/>
              </w:rPr>
              <w:t xml:space="preserve"> con la finalidad de aprovecharlos sosteniblemente. </w:t>
            </w:r>
          </w:p>
          <w:p w14:paraId="1BB54E81" w14:textId="7F18E844"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La </w:t>
            </w:r>
            <w:r w:rsidRPr="00846D49">
              <w:rPr>
                <w:rFonts w:ascii="Arial" w:eastAsia="Arial Narrow" w:hAnsi="Arial" w:cs="Arial"/>
                <w:sz w:val="20"/>
                <w:szCs w:val="20"/>
              </w:rPr>
              <w:t>atención de las solicitudes hasta la emisión de la resolución administrativa correspondiente debe realizarse en los plazos establecidos según la normativa vigente. Los plazos varían entre 7 y 30 días</w:t>
            </w:r>
            <w:r w:rsidR="00311718" w:rsidRPr="00846D49">
              <w:rPr>
                <w:rFonts w:ascii="Arial" w:eastAsia="Arial Narrow" w:hAnsi="Arial" w:cs="Arial"/>
                <w:sz w:val="20"/>
                <w:szCs w:val="20"/>
              </w:rPr>
              <w:t xml:space="preserve"> de presentada la solicitud</w:t>
            </w:r>
            <w:r w:rsidRPr="00846D49">
              <w:rPr>
                <w:rFonts w:ascii="Arial" w:eastAsia="Arial Narrow" w:hAnsi="Arial" w:cs="Arial"/>
                <w:sz w:val="20"/>
                <w:szCs w:val="20"/>
              </w:rPr>
              <w:t>, conforme a la Ley N° 27444, ley del Procedimiento Administrativo General así como al análisis de calidad regulatoria aprobado por la Presidencia de Consejo</w:t>
            </w:r>
            <w:r w:rsidRPr="008A26D2">
              <w:rPr>
                <w:rFonts w:ascii="Arial" w:eastAsia="Arial Narrow" w:hAnsi="Arial" w:cs="Arial"/>
                <w:sz w:val="20"/>
                <w:szCs w:val="20"/>
              </w:rPr>
              <w:t xml:space="preserve"> de Ministros correspondiente para cada procedimiento.</w:t>
            </w:r>
          </w:p>
          <w:p w14:paraId="15915F77" w14:textId="77777777"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p>
          <w:p w14:paraId="05081F57" w14:textId="55B11E0E"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La atención de las solicitudes tienen las siguientes etapas:</w:t>
            </w:r>
          </w:p>
          <w:p w14:paraId="23A70E8B" w14:textId="77777777" w:rsidR="00F72E5F" w:rsidRPr="008A26D2" w:rsidRDefault="00F72E5F" w:rsidP="00F72E5F">
            <w:pPr>
              <w:pStyle w:val="Prrafodelista"/>
              <w:numPr>
                <w:ilvl w:val="0"/>
                <w:numId w:val="5"/>
              </w:num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Evaluación de requisitos</w:t>
            </w:r>
          </w:p>
          <w:p w14:paraId="5AE5BE57" w14:textId="77777777" w:rsidR="00F72E5F" w:rsidRPr="008A26D2" w:rsidRDefault="00F72E5F" w:rsidP="00F72E5F">
            <w:pPr>
              <w:pStyle w:val="Prrafodelista"/>
              <w:numPr>
                <w:ilvl w:val="0"/>
                <w:numId w:val="5"/>
              </w:num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Evaluación del plan de manejo</w:t>
            </w:r>
          </w:p>
          <w:p w14:paraId="3AC3F343" w14:textId="77777777" w:rsidR="00F72E5F" w:rsidRPr="008A26D2" w:rsidRDefault="00F72E5F" w:rsidP="00F72E5F">
            <w:pPr>
              <w:pStyle w:val="Prrafodelista"/>
              <w:numPr>
                <w:ilvl w:val="0"/>
                <w:numId w:val="5"/>
              </w:num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Emisión de la resolución administrativa</w:t>
            </w:r>
          </w:p>
          <w:p w14:paraId="0A581B26" w14:textId="77777777" w:rsidR="00F72E5F" w:rsidRPr="008A26D2" w:rsidRDefault="00F72E5F" w:rsidP="00F72E5F">
            <w:pPr>
              <w:rPr>
                <w:rFonts w:ascii="Arial" w:hAnsi="Arial" w:cs="Arial"/>
                <w:lang w:val="es-MX"/>
              </w:rPr>
            </w:pPr>
            <w:r w:rsidRPr="008A26D2">
              <w:rPr>
                <w:rFonts w:ascii="Arial" w:eastAsia="Arial Narrow" w:hAnsi="Arial" w:cs="Arial"/>
                <w:sz w:val="20"/>
                <w:szCs w:val="20"/>
              </w:rPr>
              <w:t>El servicio es de tipo mejorado porque tomará en cuenta los resultados del proceso de zonificación forestal</w:t>
            </w:r>
          </w:p>
        </w:tc>
      </w:tr>
      <w:tr w:rsidR="008A26D2" w:rsidRPr="008A26D2" w14:paraId="4DFDE83C" w14:textId="77777777" w:rsidTr="006E08E6">
        <w:trPr>
          <w:trHeight w:val="300"/>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B64E563" w14:textId="77777777"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Proveedor del servicio</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B8D8DFC" w14:textId="77777777"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Servicio Nacional Forestal y de Fauna Silvestre- SERFOR; </w:t>
            </w:r>
          </w:p>
          <w:p w14:paraId="68C0F82E" w14:textId="2B4BF1F2"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Gobiernos Regionales - GORE</w:t>
            </w:r>
          </w:p>
        </w:tc>
      </w:tr>
      <w:tr w:rsidR="008A26D2" w:rsidRPr="008A26D2" w14:paraId="3CDACD3F" w14:textId="77777777" w:rsidTr="008B598E">
        <w:trPr>
          <w:trHeight w:val="458"/>
          <w:jc w:val="center"/>
        </w:trPr>
        <w:tc>
          <w:tcPr>
            <w:tcW w:w="2551" w:type="dxa"/>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1BB417F5" w14:textId="77777777" w:rsidR="00F72E5F" w:rsidRPr="008A26D2" w:rsidRDefault="00F72E5F" w:rsidP="009E1160">
            <w:pPr>
              <w:spacing w:after="0" w:line="240" w:lineRule="auto"/>
              <w:rPr>
                <w:rFonts w:ascii="Arial" w:hAnsi="Arial" w:cs="Arial"/>
                <w:b/>
                <w:sz w:val="20"/>
                <w:szCs w:val="20"/>
              </w:rPr>
            </w:pPr>
            <w:r w:rsidRPr="008A26D2">
              <w:rPr>
                <w:rFonts w:ascii="Arial" w:hAnsi="Arial" w:cs="Arial"/>
                <w:b/>
                <w:sz w:val="20"/>
                <w:szCs w:val="20"/>
              </w:rPr>
              <w:t>Nivel (es) de gobierno que interviene</w:t>
            </w:r>
          </w:p>
          <w:p w14:paraId="0E9CBDD2" w14:textId="6707D43D"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(n) en la provisión del servicio</w:t>
            </w:r>
          </w:p>
        </w:tc>
        <w:tc>
          <w:tcPr>
            <w:tcW w:w="2221"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6B3F6140" w14:textId="67E9F2E2" w:rsidR="00F72E5F" w:rsidRPr="008A26D2" w:rsidRDefault="00F72E5F" w:rsidP="00E11FFB">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Nacional</w:t>
            </w:r>
          </w:p>
        </w:tc>
        <w:tc>
          <w:tcPr>
            <w:tcW w:w="2221" w:type="dxa"/>
            <w:tcBorders>
              <w:top w:val="single" w:sz="4" w:space="0" w:color="000000"/>
              <w:left w:val="single" w:sz="4" w:space="0" w:color="000000"/>
              <w:right w:val="single" w:sz="4" w:space="0" w:color="000000"/>
            </w:tcBorders>
            <w:shd w:val="clear" w:color="auto" w:fill="auto"/>
            <w:vAlign w:val="center"/>
          </w:tcPr>
          <w:p w14:paraId="7982B428" w14:textId="1517C276" w:rsidR="00F72E5F" w:rsidRPr="008A26D2" w:rsidRDefault="00F72E5F" w:rsidP="00E11FFB">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Regional</w:t>
            </w:r>
          </w:p>
        </w:tc>
        <w:tc>
          <w:tcPr>
            <w:tcW w:w="2221" w:type="dxa"/>
            <w:tcBorders>
              <w:top w:val="single" w:sz="4" w:space="0" w:color="000000"/>
              <w:left w:val="single" w:sz="4" w:space="0" w:color="000000"/>
              <w:right w:val="single" w:sz="4" w:space="0" w:color="000000"/>
            </w:tcBorders>
            <w:shd w:val="clear" w:color="auto" w:fill="auto"/>
            <w:vAlign w:val="center"/>
          </w:tcPr>
          <w:p w14:paraId="2E2AD930" w14:textId="4B8BF418" w:rsidR="00F72E5F" w:rsidRPr="008A26D2" w:rsidRDefault="00F72E5F" w:rsidP="00E11FFB">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Local</w:t>
            </w:r>
          </w:p>
        </w:tc>
      </w:tr>
      <w:tr w:rsidR="008A26D2" w:rsidRPr="008A26D2" w14:paraId="543A66A1" w14:textId="77777777" w:rsidTr="008B598E">
        <w:trPr>
          <w:trHeight w:val="457"/>
          <w:jc w:val="center"/>
        </w:trPr>
        <w:tc>
          <w:tcPr>
            <w:tcW w:w="2551" w:type="dxa"/>
            <w:vMerge/>
            <w:tcBorders>
              <w:left w:val="single" w:sz="4" w:space="0" w:color="000000"/>
              <w:right w:val="single" w:sz="4" w:space="0" w:color="000000"/>
            </w:tcBorders>
            <w:shd w:val="clear" w:color="auto" w:fill="auto"/>
            <w:tcMar>
              <w:top w:w="15" w:type="dxa"/>
              <w:left w:w="15" w:type="dxa"/>
              <w:bottom w:w="0" w:type="dxa"/>
              <w:right w:w="15" w:type="dxa"/>
            </w:tcMar>
            <w:vAlign w:val="center"/>
          </w:tcPr>
          <w:p w14:paraId="66183D12" w14:textId="77777777" w:rsidR="00F72E5F" w:rsidRPr="008A26D2" w:rsidRDefault="00F72E5F" w:rsidP="00F72E5F">
            <w:pPr>
              <w:spacing w:after="0" w:line="240" w:lineRule="auto"/>
              <w:rPr>
                <w:rFonts w:ascii="Arial" w:hAnsi="Arial" w:cs="Arial"/>
                <w:b/>
                <w:sz w:val="20"/>
                <w:szCs w:val="20"/>
              </w:rPr>
            </w:pPr>
          </w:p>
        </w:tc>
        <w:tc>
          <w:tcPr>
            <w:tcW w:w="2221"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4EB9CBD3" w14:textId="18026ECA" w:rsidR="00F72E5F" w:rsidRPr="008A26D2" w:rsidRDefault="009E5E9D" w:rsidP="00E11FFB">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X</w:t>
            </w:r>
          </w:p>
        </w:tc>
        <w:tc>
          <w:tcPr>
            <w:tcW w:w="2221" w:type="dxa"/>
            <w:tcBorders>
              <w:top w:val="single" w:sz="4" w:space="0" w:color="000000"/>
              <w:left w:val="single" w:sz="4" w:space="0" w:color="000000"/>
              <w:right w:val="single" w:sz="4" w:space="0" w:color="000000"/>
            </w:tcBorders>
            <w:shd w:val="clear" w:color="auto" w:fill="auto"/>
            <w:vAlign w:val="center"/>
          </w:tcPr>
          <w:p w14:paraId="48CD4A60" w14:textId="5629520A" w:rsidR="00F72E5F" w:rsidRPr="008A26D2" w:rsidRDefault="009E5E9D" w:rsidP="00E11FFB">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X</w:t>
            </w:r>
          </w:p>
        </w:tc>
        <w:tc>
          <w:tcPr>
            <w:tcW w:w="2221" w:type="dxa"/>
            <w:tcBorders>
              <w:top w:val="single" w:sz="4" w:space="0" w:color="000000"/>
              <w:left w:val="single" w:sz="4" w:space="0" w:color="000000"/>
              <w:right w:val="single" w:sz="4" w:space="0" w:color="000000"/>
            </w:tcBorders>
            <w:shd w:val="clear" w:color="auto" w:fill="auto"/>
            <w:vAlign w:val="center"/>
          </w:tcPr>
          <w:p w14:paraId="4AEBD440" w14:textId="73B7014D" w:rsidR="00F72E5F" w:rsidRPr="008A26D2" w:rsidRDefault="00F72E5F" w:rsidP="00E11FFB">
            <w:pPr>
              <w:pBdr>
                <w:top w:val="nil"/>
                <w:left w:val="nil"/>
                <w:bottom w:val="nil"/>
                <w:right w:val="nil"/>
                <w:between w:val="nil"/>
              </w:pBdr>
              <w:spacing w:after="0" w:line="240" w:lineRule="auto"/>
              <w:jc w:val="center"/>
              <w:rPr>
                <w:rFonts w:ascii="Arial" w:eastAsia="Arial Narrow" w:hAnsi="Arial" w:cs="Arial"/>
                <w:sz w:val="20"/>
                <w:szCs w:val="20"/>
              </w:rPr>
            </w:pPr>
          </w:p>
        </w:tc>
      </w:tr>
      <w:tr w:rsidR="008A26D2" w:rsidRPr="008A26D2" w14:paraId="28518435" w14:textId="77777777" w:rsidTr="006E08E6">
        <w:trPr>
          <w:trHeight w:val="300"/>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0C31260" w14:textId="77777777"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Receptor del servicio</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6A4B8C6" w14:textId="77777777"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Usuarios forestales y de fauna silvestre</w:t>
            </w:r>
          </w:p>
        </w:tc>
      </w:tr>
      <w:tr w:rsidR="008A26D2" w:rsidRPr="008A26D2" w14:paraId="5251B077" w14:textId="77777777" w:rsidTr="006E08E6">
        <w:trPr>
          <w:trHeight w:val="211"/>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A49BDE5" w14:textId="77777777"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Alcance del servicio </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A06CF75" w14:textId="77777777"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Nacional</w:t>
            </w:r>
          </w:p>
        </w:tc>
      </w:tr>
      <w:tr w:rsidR="008A26D2" w:rsidRPr="008A26D2" w14:paraId="0FE34FB9" w14:textId="77777777" w:rsidTr="006E08E6">
        <w:trPr>
          <w:trHeight w:val="62"/>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2EBB3D4" w14:textId="77777777"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Estándar (es) de cumplimiento</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475E8363" w14:textId="77777777" w:rsidR="00F72E5F" w:rsidRPr="008A26D2" w:rsidRDefault="00F72E5F" w:rsidP="00F72E5F">
            <w:pPr>
              <w:pBdr>
                <w:top w:val="nil"/>
                <w:left w:val="nil"/>
                <w:bottom w:val="nil"/>
                <w:right w:val="nil"/>
                <w:between w:val="nil"/>
              </w:pBdr>
              <w:spacing w:after="0" w:line="240" w:lineRule="auto"/>
              <w:rPr>
                <w:rFonts w:ascii="Arial" w:hAnsi="Arial" w:cs="Arial"/>
                <w:sz w:val="20"/>
                <w:szCs w:val="20"/>
              </w:rPr>
            </w:pPr>
            <w:r w:rsidRPr="008A26D2">
              <w:rPr>
                <w:rFonts w:ascii="Arial" w:eastAsia="Arial Narrow" w:hAnsi="Arial" w:cs="Arial"/>
                <w:sz w:val="20"/>
                <w:szCs w:val="20"/>
              </w:rPr>
              <w:t>Oportunidad</w:t>
            </w:r>
          </w:p>
        </w:tc>
      </w:tr>
      <w:tr w:rsidR="008A26D2" w:rsidRPr="008A26D2" w14:paraId="4131D5C1" w14:textId="77777777" w:rsidTr="006E08E6">
        <w:trPr>
          <w:trHeight w:val="300"/>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E762F1F" w14:textId="77777777"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Descripción del estándar</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35" w:type="dxa"/>
              <w:bottom w:w="0" w:type="dxa"/>
              <w:right w:w="15" w:type="dxa"/>
            </w:tcMar>
            <w:vAlign w:val="center"/>
          </w:tcPr>
          <w:p w14:paraId="36FA739B" w14:textId="28DDB21D" w:rsidR="00F72E5F" w:rsidRPr="008A26D2" w:rsidRDefault="00F72E5F" w:rsidP="00F72E5F">
            <w:pPr>
              <w:pBdr>
                <w:top w:val="nil"/>
                <w:left w:val="nil"/>
                <w:bottom w:val="nil"/>
                <w:right w:val="nil"/>
                <w:between w:val="nil"/>
              </w:pBdr>
              <w:spacing w:after="0" w:line="240" w:lineRule="auto"/>
              <w:jc w:val="both"/>
              <w:rPr>
                <w:rFonts w:ascii="Arial" w:hAnsi="Arial" w:cs="Arial"/>
                <w:sz w:val="20"/>
                <w:szCs w:val="20"/>
              </w:rPr>
            </w:pPr>
            <w:r w:rsidRPr="008A26D2">
              <w:rPr>
                <w:rFonts w:ascii="Arial" w:eastAsia="Times New Roman" w:hAnsi="Arial" w:cs="Arial"/>
                <w:sz w:val="20"/>
                <w:szCs w:val="20"/>
              </w:rPr>
              <w:t>El estándar del servicio es de oportunidad, porque las solicitudes presentadas por los usuarios forestales y de fauna silvestre se atienden dentro</w:t>
            </w:r>
            <w:r w:rsidR="009E1160" w:rsidRPr="008A26D2">
              <w:rPr>
                <w:rFonts w:ascii="Arial" w:eastAsia="Times New Roman" w:hAnsi="Arial" w:cs="Arial"/>
                <w:sz w:val="20"/>
                <w:szCs w:val="20"/>
              </w:rPr>
              <w:t xml:space="preserve"> de</w:t>
            </w:r>
            <w:r w:rsidRPr="008A26D2">
              <w:rPr>
                <w:rFonts w:ascii="Arial" w:eastAsia="Times New Roman" w:hAnsi="Arial" w:cs="Arial"/>
                <w:sz w:val="20"/>
                <w:szCs w:val="20"/>
              </w:rPr>
              <w:t xml:space="preserve"> los plazos establecidos para cada tipo de derecho. </w:t>
            </w:r>
          </w:p>
        </w:tc>
      </w:tr>
      <w:tr w:rsidR="00F72E5F" w:rsidRPr="008A26D2" w14:paraId="13B7F028" w14:textId="77777777" w:rsidTr="006E08E6">
        <w:trPr>
          <w:trHeight w:val="491"/>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FE21BCA" w14:textId="5A631AE1" w:rsidR="00F72E5F" w:rsidRPr="008A26D2" w:rsidRDefault="00F72E5F" w:rsidP="00F72E5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Indicador de calidad</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1050E396" w14:textId="4E4E159A" w:rsidR="00F72E5F" w:rsidRPr="008A26D2" w:rsidRDefault="00F72E5F" w:rsidP="00F72E5F">
            <w:pPr>
              <w:pBdr>
                <w:top w:val="nil"/>
                <w:left w:val="nil"/>
                <w:bottom w:val="nil"/>
                <w:right w:val="nil"/>
                <w:between w:val="nil"/>
              </w:pBdr>
              <w:spacing w:after="0" w:line="240" w:lineRule="auto"/>
              <w:jc w:val="both"/>
              <w:rPr>
                <w:rFonts w:ascii="Arial" w:hAnsi="Arial" w:cs="Arial"/>
                <w:strike/>
                <w:sz w:val="20"/>
                <w:szCs w:val="20"/>
              </w:rPr>
            </w:pPr>
            <w:r w:rsidRPr="008A26D2">
              <w:rPr>
                <w:rFonts w:ascii="Arial" w:eastAsia="Times New Roman" w:hAnsi="Arial" w:cs="Arial"/>
                <w:sz w:val="20"/>
                <w:szCs w:val="20"/>
                <w:lang w:val="es-ES"/>
              </w:rPr>
              <w:t>Porcentaje de usuarios forestales y de fauna silvestre que reciben el otorgamiento de derecho oportuna</w:t>
            </w:r>
            <w:r w:rsidR="00BF6AAB" w:rsidRPr="008A26D2">
              <w:rPr>
                <w:rFonts w:ascii="Arial" w:eastAsia="Times New Roman" w:hAnsi="Arial" w:cs="Arial"/>
                <w:sz w:val="20"/>
                <w:szCs w:val="20"/>
                <w:lang w:val="es-ES"/>
              </w:rPr>
              <w:t>mente</w:t>
            </w:r>
          </w:p>
          <w:p w14:paraId="0A37A4BF" w14:textId="77777777" w:rsidR="00F72E5F" w:rsidRPr="008A26D2" w:rsidRDefault="00F72E5F" w:rsidP="00F72E5F">
            <w:pPr>
              <w:pBdr>
                <w:top w:val="nil"/>
                <w:left w:val="nil"/>
                <w:bottom w:val="nil"/>
                <w:right w:val="nil"/>
                <w:between w:val="nil"/>
              </w:pBdr>
              <w:spacing w:after="0" w:line="240" w:lineRule="auto"/>
              <w:jc w:val="both"/>
              <w:rPr>
                <w:rFonts w:ascii="Arial" w:hAnsi="Arial" w:cs="Arial"/>
                <w:strike/>
                <w:sz w:val="20"/>
                <w:szCs w:val="20"/>
              </w:rPr>
            </w:pPr>
            <w:r w:rsidRPr="008A26D2">
              <w:rPr>
                <w:rFonts w:ascii="Arial" w:hAnsi="Arial" w:cs="Arial"/>
                <w:strike/>
                <w:sz w:val="20"/>
                <w:szCs w:val="20"/>
              </w:rPr>
              <w:t xml:space="preserve"> </w:t>
            </w:r>
          </w:p>
        </w:tc>
      </w:tr>
    </w:tbl>
    <w:p w14:paraId="28979BCA" w14:textId="77777777" w:rsidR="00D07080" w:rsidRPr="008A26D2" w:rsidRDefault="00D07080" w:rsidP="00C8135D">
      <w:pPr>
        <w:jc w:val="both"/>
        <w:rPr>
          <w:rFonts w:ascii="Arial Narrow" w:eastAsia="Arial Narrow" w:hAnsi="Arial Narrow" w:cs="Arial Narrow"/>
          <w:b/>
          <w:highlight w:val="yellow"/>
        </w:rPr>
      </w:pPr>
    </w:p>
    <w:p w14:paraId="4D7324B0" w14:textId="217CA90B" w:rsidR="00D07080" w:rsidRPr="008A26D2" w:rsidRDefault="00CD278D" w:rsidP="00C8135D">
      <w:pPr>
        <w:jc w:val="both"/>
        <w:rPr>
          <w:rFonts w:ascii="Arial" w:eastAsia="Arial Narrow" w:hAnsi="Arial" w:cs="Arial"/>
          <w:b/>
          <w:highlight w:val="yellow"/>
        </w:rPr>
      </w:pPr>
      <w:r w:rsidRPr="008A26D2">
        <w:rPr>
          <w:rFonts w:ascii="Arial" w:eastAsia="Arial Narrow" w:hAnsi="Arial" w:cs="Arial"/>
          <w:b/>
        </w:rPr>
        <w:lastRenderedPageBreak/>
        <w:t>S1</w:t>
      </w:r>
      <w:r w:rsidRPr="00E11FFB">
        <w:rPr>
          <w:rFonts w:ascii="Arial" w:eastAsia="Arial Narrow" w:hAnsi="Arial" w:cs="Arial"/>
          <w:b/>
        </w:rPr>
        <w:t>.6.4</w:t>
      </w:r>
      <w:r w:rsidRPr="00E11FFB">
        <w:rPr>
          <w:rFonts w:ascii="Arial" w:eastAsia="Arial Narrow" w:hAnsi="Arial" w:cs="Arial"/>
        </w:rPr>
        <w:t xml:space="preserve"> </w:t>
      </w:r>
      <w:r w:rsidR="00E11FFB" w:rsidRPr="00E11FFB">
        <w:rPr>
          <w:rFonts w:ascii="Arial" w:eastAsia="Arial Narrow" w:hAnsi="Arial" w:cs="Arial"/>
        </w:rPr>
        <w:t>Otorgamiento de derechos para el aprovechamiento sostenible de los recursos forestales, flora y fauna silvestre en Áreas Naturales Protegidas de administración nacional de forma oportuna dirigido a los usuarios forestales, flora y de fauna silvestre</w:t>
      </w:r>
    </w:p>
    <w:tbl>
      <w:tblPr>
        <w:tblW w:w="5171" w:type="pct"/>
        <w:jc w:val="center"/>
        <w:tblLayout w:type="fixed"/>
        <w:tblLook w:val="0600" w:firstRow="0" w:lastRow="0" w:firstColumn="0" w:lastColumn="0" w:noHBand="1" w:noVBand="1"/>
      </w:tblPr>
      <w:tblGrid>
        <w:gridCol w:w="1974"/>
        <w:gridCol w:w="2270"/>
        <w:gridCol w:w="2270"/>
        <w:gridCol w:w="2270"/>
      </w:tblGrid>
      <w:tr w:rsidR="008A26D2" w:rsidRPr="008A26D2" w14:paraId="19A8FE02" w14:textId="77777777" w:rsidTr="00CD278D">
        <w:trPr>
          <w:trHeight w:val="300"/>
          <w:jc w:val="center"/>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vAlign w:val="center"/>
          </w:tcPr>
          <w:p w14:paraId="539F19AE" w14:textId="23F34EC8" w:rsidR="00CD278D" w:rsidRPr="008A26D2" w:rsidRDefault="00CD278D" w:rsidP="009C5D49">
            <w:pPr>
              <w:spacing w:after="0"/>
              <w:jc w:val="center"/>
              <w:rPr>
                <w:rFonts w:ascii="Arial" w:eastAsia="Arial Narrow" w:hAnsi="Arial" w:cs="Arial"/>
                <w:sz w:val="20"/>
                <w:szCs w:val="20"/>
              </w:rPr>
            </w:pPr>
            <w:r w:rsidRPr="008A26D2">
              <w:rPr>
                <w:rFonts w:ascii="Arial" w:eastAsia="Arial Narrow" w:hAnsi="Arial" w:cs="Arial"/>
                <w:b/>
                <w:sz w:val="20"/>
                <w:szCs w:val="20"/>
              </w:rPr>
              <w:t>FICHA DEL SERVICIO</w:t>
            </w:r>
          </w:p>
        </w:tc>
      </w:tr>
      <w:tr w:rsidR="008A26D2" w:rsidRPr="008A26D2" w14:paraId="7AB282E7" w14:textId="77777777" w:rsidTr="00CD278D">
        <w:trPr>
          <w:trHeight w:val="300"/>
          <w:jc w:val="center"/>
        </w:trPr>
        <w:tc>
          <w:tcPr>
            <w:tcW w:w="112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3254562" w14:textId="77777777" w:rsidR="00CD278D" w:rsidRPr="008A26D2" w:rsidRDefault="00CD278D" w:rsidP="009C5D49">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 xml:space="preserve"> Objetivo prioritario:</w:t>
            </w:r>
          </w:p>
        </w:tc>
        <w:tc>
          <w:tcPr>
            <w:tcW w:w="3876" w:type="pct"/>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7E36BFC" w14:textId="77777777" w:rsidR="00CD278D" w:rsidRPr="008A26D2" w:rsidRDefault="00CD278D" w:rsidP="009C5D49">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r>
      <w:tr w:rsidR="008A26D2" w:rsidRPr="008A26D2" w14:paraId="33D03F9C" w14:textId="77777777" w:rsidTr="00CD278D">
        <w:trPr>
          <w:trHeight w:val="300"/>
          <w:jc w:val="center"/>
        </w:trPr>
        <w:tc>
          <w:tcPr>
            <w:tcW w:w="112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D54DF64" w14:textId="77777777" w:rsidR="00CD278D" w:rsidRPr="008A26D2" w:rsidRDefault="00CD278D" w:rsidP="009C5D49">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 xml:space="preserve"> Lineamiento:</w:t>
            </w:r>
          </w:p>
        </w:tc>
        <w:tc>
          <w:tcPr>
            <w:tcW w:w="3876" w:type="pct"/>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C0AC264" w14:textId="77777777" w:rsidR="00CD278D" w:rsidRPr="008A26D2" w:rsidRDefault="00CD278D" w:rsidP="009C5D49">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L1.6 Fomentar el aprovechamiento sostenible de los recursos forestales y de fauna silvestre</w:t>
            </w:r>
          </w:p>
        </w:tc>
      </w:tr>
      <w:tr w:rsidR="008A26D2" w:rsidRPr="008A26D2" w14:paraId="567027A1" w14:textId="77777777" w:rsidTr="00CD278D">
        <w:trPr>
          <w:trHeight w:val="300"/>
          <w:jc w:val="center"/>
        </w:trPr>
        <w:tc>
          <w:tcPr>
            <w:tcW w:w="112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7250FDF" w14:textId="77777777" w:rsidR="00CD278D" w:rsidRPr="008A26D2" w:rsidRDefault="00CD278D" w:rsidP="009C5D49">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 xml:space="preserve"> Nombre del servicio:</w:t>
            </w:r>
          </w:p>
        </w:tc>
        <w:tc>
          <w:tcPr>
            <w:tcW w:w="3876" w:type="pct"/>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3DED3CD" w14:textId="77777777" w:rsidR="00CD278D" w:rsidRPr="008A26D2" w:rsidRDefault="00CD278D" w:rsidP="009C5D49">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S1.6.4 Otorgamiento de derechos para el aprovechamiento sostenible de los recursos forestales, flora y fauna silvestre en Áreas Naturales Protegidas de administración nacional de forma oportuna dirigido a los usuarios forestales, flora y de fauna silvestre </w:t>
            </w:r>
          </w:p>
        </w:tc>
      </w:tr>
      <w:tr w:rsidR="008A26D2" w:rsidRPr="008A26D2" w14:paraId="25BAEA50" w14:textId="77777777" w:rsidTr="00CD278D">
        <w:trPr>
          <w:trHeight w:val="45"/>
          <w:jc w:val="center"/>
        </w:trPr>
        <w:tc>
          <w:tcPr>
            <w:tcW w:w="112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7AD2242" w14:textId="77777777" w:rsidR="00CD278D" w:rsidRPr="008A26D2" w:rsidRDefault="00CD278D" w:rsidP="009C5D49">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Tipo de servicio:</w:t>
            </w:r>
          </w:p>
        </w:tc>
        <w:tc>
          <w:tcPr>
            <w:tcW w:w="3876" w:type="pct"/>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807FE7E" w14:textId="77777777" w:rsidR="00CD278D" w:rsidRPr="008A26D2" w:rsidRDefault="00CD278D" w:rsidP="009C5D49">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Mejorado</w:t>
            </w:r>
          </w:p>
        </w:tc>
      </w:tr>
      <w:tr w:rsidR="008A26D2" w:rsidRPr="008A26D2" w14:paraId="6929A544" w14:textId="77777777" w:rsidTr="00CD278D">
        <w:trPr>
          <w:trHeight w:val="45"/>
          <w:jc w:val="center"/>
        </w:trPr>
        <w:tc>
          <w:tcPr>
            <w:tcW w:w="112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3CCA93C" w14:textId="0DE4B32D" w:rsidR="00F72E5F" w:rsidRPr="008A26D2" w:rsidRDefault="00F72E5F" w:rsidP="00F72E5F">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hAnsi="Arial" w:cs="Arial"/>
                <w:b/>
                <w:sz w:val="20"/>
                <w:szCs w:val="20"/>
              </w:rPr>
              <w:t>Naturaleza del servicio:</w:t>
            </w:r>
          </w:p>
        </w:tc>
        <w:tc>
          <w:tcPr>
            <w:tcW w:w="3876" w:type="pct"/>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D852D5A" w14:textId="1674FBA2" w:rsidR="00F72E5F" w:rsidRPr="008A26D2" w:rsidRDefault="009E5E9D"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N</w:t>
            </w:r>
            <w:r w:rsidR="00F72E5F" w:rsidRPr="008A26D2">
              <w:rPr>
                <w:rFonts w:ascii="Arial" w:eastAsia="Arial Narrow" w:hAnsi="Arial" w:cs="Arial"/>
                <w:sz w:val="20"/>
                <w:szCs w:val="20"/>
              </w:rPr>
              <w:t>o prestacional</w:t>
            </w:r>
          </w:p>
        </w:tc>
      </w:tr>
      <w:tr w:rsidR="008A26D2" w:rsidRPr="008A26D2" w14:paraId="55CEDEEA" w14:textId="77777777" w:rsidTr="00CD278D">
        <w:trPr>
          <w:trHeight w:val="45"/>
          <w:jc w:val="center"/>
        </w:trPr>
        <w:tc>
          <w:tcPr>
            <w:tcW w:w="112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6F54CCE" w14:textId="23357741" w:rsidR="00F72E5F" w:rsidRPr="008A26D2" w:rsidRDefault="00F72E5F" w:rsidP="00F72E5F">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hAnsi="Arial" w:cs="Arial"/>
                <w:b/>
                <w:sz w:val="20"/>
                <w:szCs w:val="20"/>
              </w:rPr>
              <w:t>Entrega del servicio</w:t>
            </w:r>
          </w:p>
        </w:tc>
        <w:tc>
          <w:tcPr>
            <w:tcW w:w="3876" w:type="pct"/>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B9031AF" w14:textId="788B556B"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Competencia exclusiv</w:t>
            </w:r>
            <w:r w:rsidR="009E5E9D" w:rsidRPr="008A26D2">
              <w:rPr>
                <w:rFonts w:ascii="Arial" w:eastAsia="Arial Narrow" w:hAnsi="Arial" w:cs="Arial"/>
                <w:sz w:val="20"/>
                <w:szCs w:val="20"/>
              </w:rPr>
              <w:t>a</w:t>
            </w:r>
          </w:p>
        </w:tc>
      </w:tr>
      <w:tr w:rsidR="008A26D2" w:rsidRPr="008A26D2" w14:paraId="4FDCEE7C" w14:textId="77777777" w:rsidTr="00CD278D">
        <w:trPr>
          <w:trHeight w:val="300"/>
          <w:jc w:val="center"/>
        </w:trPr>
        <w:tc>
          <w:tcPr>
            <w:tcW w:w="112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EBBBDEE" w14:textId="77777777" w:rsidR="00F72E5F" w:rsidRPr="008A26D2" w:rsidRDefault="00F72E5F" w:rsidP="00F72E5F">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 xml:space="preserve"> Descripción del servicio</w:t>
            </w:r>
          </w:p>
        </w:tc>
        <w:tc>
          <w:tcPr>
            <w:tcW w:w="3876" w:type="pct"/>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3721625" w14:textId="60CE7F21"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El otorgamiento de derechos es una estrategia para el ordenamiento de las actividades del aprovechamiento sostenible de los recursos forestales, flora y/o fauna silvestre en las Áreas Naturales Protegidas de administración nacional para la conservación de la diversidad biológica. Se efectúa mediante la suscripción y renovación de derechos de aprovechamiento (contratos de aprovechamiento. </w:t>
            </w:r>
          </w:p>
          <w:p w14:paraId="5AC87C9B" w14:textId="77777777"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El otorgamiento de derechos implica los siguientes procedimientos:</w:t>
            </w:r>
          </w:p>
          <w:p w14:paraId="5861271D" w14:textId="77777777" w:rsidR="00F72E5F" w:rsidRPr="00846D49"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 Recibir solicitud de </w:t>
            </w:r>
            <w:r w:rsidRPr="00846D49">
              <w:rPr>
                <w:rFonts w:ascii="Arial" w:eastAsia="Arial Narrow" w:hAnsi="Arial" w:cs="Arial"/>
                <w:sz w:val="20"/>
                <w:szCs w:val="20"/>
              </w:rPr>
              <w:t>contrato para el aprovechamiento</w:t>
            </w:r>
          </w:p>
          <w:p w14:paraId="22267774" w14:textId="77777777" w:rsidR="00F72E5F" w:rsidRPr="00846D49"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46D49">
              <w:rPr>
                <w:rFonts w:ascii="Arial" w:eastAsia="Arial Narrow" w:hAnsi="Arial" w:cs="Arial"/>
                <w:sz w:val="20"/>
                <w:szCs w:val="20"/>
              </w:rPr>
              <w:t>- Evaluar la solicitud</w:t>
            </w:r>
          </w:p>
          <w:p w14:paraId="38C1508B" w14:textId="77777777" w:rsidR="00F72E5F" w:rsidRPr="00846D49"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46D49">
              <w:rPr>
                <w:rFonts w:ascii="Arial" w:eastAsia="Arial Narrow" w:hAnsi="Arial" w:cs="Arial"/>
                <w:sz w:val="20"/>
                <w:szCs w:val="20"/>
              </w:rPr>
              <w:t>- Suscribir contrato de aprovechamiento</w:t>
            </w:r>
          </w:p>
          <w:p w14:paraId="47FF929F" w14:textId="77777777" w:rsidR="007C7943" w:rsidRPr="00846D49" w:rsidRDefault="007C7943" w:rsidP="00F72E5F">
            <w:pPr>
              <w:pBdr>
                <w:top w:val="nil"/>
                <w:left w:val="nil"/>
                <w:bottom w:val="nil"/>
                <w:right w:val="nil"/>
                <w:between w:val="nil"/>
              </w:pBdr>
              <w:spacing w:after="0" w:line="240" w:lineRule="auto"/>
              <w:jc w:val="both"/>
              <w:rPr>
                <w:rFonts w:ascii="Arial" w:eastAsia="Arial Narrow" w:hAnsi="Arial" w:cs="Arial"/>
                <w:sz w:val="20"/>
                <w:szCs w:val="20"/>
              </w:rPr>
            </w:pPr>
          </w:p>
          <w:p w14:paraId="5357DB20" w14:textId="5AF2A44C" w:rsidR="007C7943" w:rsidRPr="00846D49" w:rsidRDefault="007C7943" w:rsidP="00F72E5F">
            <w:pPr>
              <w:pBdr>
                <w:top w:val="nil"/>
                <w:left w:val="nil"/>
                <w:bottom w:val="nil"/>
                <w:right w:val="nil"/>
                <w:between w:val="nil"/>
              </w:pBdr>
              <w:spacing w:after="0" w:line="240" w:lineRule="auto"/>
              <w:jc w:val="both"/>
              <w:rPr>
                <w:rFonts w:ascii="Arial" w:eastAsia="Arial Narrow" w:hAnsi="Arial" w:cs="Arial"/>
                <w:sz w:val="20"/>
                <w:szCs w:val="20"/>
              </w:rPr>
            </w:pPr>
            <w:r w:rsidRPr="00846D49">
              <w:rPr>
                <w:rFonts w:ascii="Arial" w:eastAsia="Arial Narrow" w:hAnsi="Arial" w:cs="Arial"/>
                <w:sz w:val="20"/>
                <w:szCs w:val="20"/>
              </w:rPr>
              <w:t>El plazo máximo de atención del procedimiento para el otorgamiento del derecho de aprovechamiento (contrato de aprovechamiento) es de 30 días hábiles</w:t>
            </w:r>
            <w:r w:rsidR="00311718" w:rsidRPr="00846D49">
              <w:rPr>
                <w:rFonts w:ascii="Arial" w:eastAsia="Arial Narrow" w:hAnsi="Arial" w:cs="Arial"/>
                <w:sz w:val="20"/>
                <w:szCs w:val="20"/>
              </w:rPr>
              <w:t xml:space="preserve"> desde la presentación de la solicitud</w:t>
            </w:r>
            <w:r w:rsidRPr="00846D49">
              <w:rPr>
                <w:rFonts w:ascii="Arial" w:eastAsia="Arial Narrow" w:hAnsi="Arial" w:cs="Arial"/>
                <w:sz w:val="20"/>
                <w:szCs w:val="20"/>
              </w:rPr>
              <w:t>, de acuerdo al análisis de calidad regulatoria correspondiente, conforme la Ley N° 27444, ley del Procedimiento Administrativo General y la normativa sobre Áreas Naturales Protegidas del SINANPE.</w:t>
            </w:r>
          </w:p>
          <w:p w14:paraId="6B3BAF33" w14:textId="77777777" w:rsidR="00F72E5F" w:rsidRPr="00846D49"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p>
          <w:p w14:paraId="33413314" w14:textId="77777777" w:rsidR="009E1160"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El servicio busca fomentar el aprovechamiento sostenible de recursos forestales, flora y/o fauna silvestre en las Áreas Naturales Protegidas de administración nacional mejorando el otorgamiento a través del uso de información primaria, producto de la elaboración de diagnósticos del potencial de aprovechamiento. </w:t>
            </w:r>
          </w:p>
          <w:p w14:paraId="55BB1E64" w14:textId="77777777" w:rsidR="009E1160" w:rsidRPr="008A26D2" w:rsidRDefault="009E1160" w:rsidP="00F72E5F">
            <w:pPr>
              <w:pBdr>
                <w:top w:val="nil"/>
                <w:left w:val="nil"/>
                <w:bottom w:val="nil"/>
                <w:right w:val="nil"/>
                <w:between w:val="nil"/>
              </w:pBdr>
              <w:spacing w:after="0" w:line="240" w:lineRule="auto"/>
              <w:jc w:val="both"/>
              <w:rPr>
                <w:rFonts w:ascii="Arial" w:eastAsia="Arial Narrow" w:hAnsi="Arial" w:cs="Arial"/>
                <w:sz w:val="20"/>
                <w:szCs w:val="20"/>
              </w:rPr>
            </w:pPr>
          </w:p>
          <w:p w14:paraId="7AFE0E41" w14:textId="5C45AC49"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A su vez el servicio busca ser entregado de forma oportuna para mejorar el estado de conservación del Área Natural Protegidas, de esta manera se garantiza la provisión de servicios ecosistémicos en beneficio de los usuarios de recursos forestales, flora y de fauna silvestre en Áreas Naturales Protegidas de administración nacional.</w:t>
            </w:r>
          </w:p>
          <w:p w14:paraId="6BBD1509" w14:textId="467D161A"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p>
        </w:tc>
      </w:tr>
      <w:tr w:rsidR="008A26D2" w:rsidRPr="008A26D2" w14:paraId="057BF16A" w14:textId="77777777" w:rsidTr="00CD278D">
        <w:trPr>
          <w:trHeight w:val="300"/>
          <w:jc w:val="center"/>
        </w:trPr>
        <w:tc>
          <w:tcPr>
            <w:tcW w:w="112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9B5DA65" w14:textId="77777777" w:rsidR="00F72E5F" w:rsidRPr="008A26D2" w:rsidRDefault="00F72E5F" w:rsidP="00F72E5F">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 xml:space="preserve"> Proveedor del servicio</w:t>
            </w:r>
          </w:p>
        </w:tc>
        <w:tc>
          <w:tcPr>
            <w:tcW w:w="3876" w:type="pct"/>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0883C3F" w14:textId="77777777" w:rsidR="00F72E5F" w:rsidRPr="008A26D2" w:rsidRDefault="00F72E5F" w:rsidP="00F72E5F">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Servicio Nacional de Áreas Naturales Protegidas por el Estado</w:t>
            </w:r>
            <w:r w:rsidRPr="008A26D2" w:rsidDel="00CA08F0">
              <w:rPr>
                <w:rFonts w:ascii="Arial" w:eastAsia="Arial Narrow" w:hAnsi="Arial" w:cs="Arial"/>
                <w:sz w:val="20"/>
                <w:szCs w:val="20"/>
              </w:rPr>
              <w:t xml:space="preserve"> </w:t>
            </w:r>
            <w:r w:rsidRPr="008A26D2">
              <w:rPr>
                <w:rFonts w:ascii="Arial" w:eastAsia="Arial Narrow" w:hAnsi="Arial" w:cs="Arial"/>
                <w:sz w:val="20"/>
                <w:szCs w:val="20"/>
              </w:rPr>
              <w:t>- SERNANP</w:t>
            </w:r>
          </w:p>
        </w:tc>
      </w:tr>
      <w:tr w:rsidR="008A26D2" w:rsidRPr="008A26D2" w14:paraId="43278058" w14:textId="77777777" w:rsidTr="00F72E5F">
        <w:trPr>
          <w:trHeight w:val="578"/>
          <w:jc w:val="center"/>
        </w:trPr>
        <w:tc>
          <w:tcPr>
            <w:tcW w:w="1124" w:type="pct"/>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0479DFB4" w14:textId="77777777" w:rsidR="00F72E5F" w:rsidRPr="008A26D2" w:rsidRDefault="00F72E5F" w:rsidP="009E1160">
            <w:pPr>
              <w:spacing w:after="0" w:line="240" w:lineRule="auto"/>
              <w:rPr>
                <w:rFonts w:ascii="Arial" w:hAnsi="Arial" w:cs="Arial"/>
                <w:b/>
                <w:sz w:val="20"/>
                <w:szCs w:val="20"/>
              </w:rPr>
            </w:pPr>
            <w:r w:rsidRPr="008A26D2">
              <w:rPr>
                <w:rFonts w:ascii="Arial" w:hAnsi="Arial" w:cs="Arial"/>
                <w:b/>
                <w:sz w:val="20"/>
                <w:szCs w:val="20"/>
              </w:rPr>
              <w:t>Nivel (es) de gobierno que interviene</w:t>
            </w:r>
          </w:p>
          <w:p w14:paraId="262D48EC" w14:textId="5287B7A8" w:rsidR="00F72E5F" w:rsidRPr="008A26D2" w:rsidRDefault="00F72E5F" w:rsidP="00F72E5F">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hAnsi="Arial" w:cs="Arial"/>
                <w:b/>
                <w:sz w:val="20"/>
                <w:szCs w:val="20"/>
              </w:rPr>
              <w:t>(n) en la provisión del servicio</w:t>
            </w:r>
          </w:p>
        </w:tc>
        <w:tc>
          <w:tcPr>
            <w:tcW w:w="1292" w:type="pc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40FDFDCB" w14:textId="70AE6533" w:rsidR="00F72E5F" w:rsidRPr="008A26D2" w:rsidRDefault="00F72E5F" w:rsidP="00E11FFB">
            <w:pPr>
              <w:spacing w:after="0" w:line="240" w:lineRule="auto"/>
              <w:jc w:val="center"/>
              <w:rPr>
                <w:rFonts w:ascii="Arial" w:eastAsia="Arial Narrow" w:hAnsi="Arial" w:cs="Arial"/>
                <w:sz w:val="20"/>
                <w:szCs w:val="20"/>
              </w:rPr>
            </w:pPr>
            <w:r w:rsidRPr="008A26D2">
              <w:rPr>
                <w:rFonts w:ascii="Arial" w:eastAsia="Arial Narrow" w:hAnsi="Arial" w:cs="Arial"/>
                <w:sz w:val="20"/>
                <w:szCs w:val="20"/>
              </w:rPr>
              <w:t>Nacional</w:t>
            </w:r>
          </w:p>
        </w:tc>
        <w:tc>
          <w:tcPr>
            <w:tcW w:w="1292" w:type="pct"/>
            <w:tcBorders>
              <w:top w:val="single" w:sz="4" w:space="0" w:color="000000"/>
              <w:left w:val="single" w:sz="4" w:space="0" w:color="000000"/>
              <w:right w:val="single" w:sz="4" w:space="0" w:color="000000"/>
            </w:tcBorders>
            <w:shd w:val="clear" w:color="auto" w:fill="auto"/>
            <w:vAlign w:val="center"/>
          </w:tcPr>
          <w:p w14:paraId="6AFE236B" w14:textId="6D6D3F79" w:rsidR="00F72E5F" w:rsidRPr="008A26D2" w:rsidRDefault="00F72E5F" w:rsidP="00E11FFB">
            <w:pPr>
              <w:spacing w:after="0" w:line="240" w:lineRule="auto"/>
              <w:jc w:val="center"/>
              <w:rPr>
                <w:rFonts w:ascii="Arial" w:eastAsia="Arial Narrow" w:hAnsi="Arial" w:cs="Arial"/>
                <w:sz w:val="20"/>
                <w:szCs w:val="20"/>
              </w:rPr>
            </w:pPr>
            <w:r w:rsidRPr="008A26D2">
              <w:rPr>
                <w:rFonts w:ascii="Arial" w:eastAsia="Arial Narrow" w:hAnsi="Arial" w:cs="Arial"/>
                <w:sz w:val="20"/>
                <w:szCs w:val="20"/>
              </w:rPr>
              <w:t>Regional</w:t>
            </w:r>
          </w:p>
        </w:tc>
        <w:tc>
          <w:tcPr>
            <w:tcW w:w="1292" w:type="pct"/>
            <w:tcBorders>
              <w:top w:val="single" w:sz="4" w:space="0" w:color="000000"/>
              <w:left w:val="single" w:sz="4" w:space="0" w:color="000000"/>
              <w:right w:val="single" w:sz="4" w:space="0" w:color="000000"/>
            </w:tcBorders>
            <w:shd w:val="clear" w:color="auto" w:fill="auto"/>
            <w:vAlign w:val="center"/>
          </w:tcPr>
          <w:p w14:paraId="32535D1A" w14:textId="1328FF2B" w:rsidR="00F72E5F" w:rsidRPr="008A26D2" w:rsidRDefault="00F72E5F" w:rsidP="00E11FFB">
            <w:pPr>
              <w:spacing w:after="0" w:line="240" w:lineRule="auto"/>
              <w:jc w:val="center"/>
              <w:rPr>
                <w:rFonts w:ascii="Arial" w:eastAsia="Arial Narrow" w:hAnsi="Arial" w:cs="Arial"/>
                <w:sz w:val="20"/>
                <w:szCs w:val="20"/>
              </w:rPr>
            </w:pPr>
            <w:r w:rsidRPr="008A26D2">
              <w:rPr>
                <w:rFonts w:ascii="Arial" w:eastAsia="Arial Narrow" w:hAnsi="Arial" w:cs="Arial"/>
                <w:sz w:val="20"/>
                <w:szCs w:val="20"/>
              </w:rPr>
              <w:t>Local</w:t>
            </w:r>
          </w:p>
        </w:tc>
      </w:tr>
      <w:tr w:rsidR="008A26D2" w:rsidRPr="008A26D2" w14:paraId="7CF6252B" w14:textId="77777777" w:rsidTr="00F72E5F">
        <w:trPr>
          <w:trHeight w:val="577"/>
          <w:jc w:val="center"/>
        </w:trPr>
        <w:tc>
          <w:tcPr>
            <w:tcW w:w="1124" w:type="pct"/>
            <w:vMerge/>
            <w:tcBorders>
              <w:left w:val="single" w:sz="4" w:space="0" w:color="000000"/>
              <w:right w:val="single" w:sz="4" w:space="0" w:color="000000"/>
            </w:tcBorders>
            <w:shd w:val="clear" w:color="auto" w:fill="auto"/>
            <w:tcMar>
              <w:top w:w="15" w:type="dxa"/>
              <w:left w:w="15" w:type="dxa"/>
              <w:bottom w:w="0" w:type="dxa"/>
              <w:right w:w="15" w:type="dxa"/>
            </w:tcMar>
            <w:vAlign w:val="center"/>
          </w:tcPr>
          <w:p w14:paraId="59F038AD" w14:textId="77777777" w:rsidR="00F72E5F" w:rsidRPr="008A26D2" w:rsidRDefault="00F72E5F" w:rsidP="00F72E5F">
            <w:pPr>
              <w:spacing w:after="0" w:line="240" w:lineRule="auto"/>
              <w:rPr>
                <w:rFonts w:ascii="Arial" w:hAnsi="Arial" w:cs="Arial"/>
                <w:b/>
                <w:sz w:val="20"/>
                <w:szCs w:val="20"/>
              </w:rPr>
            </w:pPr>
          </w:p>
        </w:tc>
        <w:tc>
          <w:tcPr>
            <w:tcW w:w="1292" w:type="pc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5F2D7A44" w14:textId="3883FA35" w:rsidR="00F72E5F" w:rsidRPr="008A26D2" w:rsidRDefault="009E5E9D" w:rsidP="00E11FFB">
            <w:pPr>
              <w:spacing w:after="0" w:line="240" w:lineRule="auto"/>
              <w:jc w:val="center"/>
              <w:rPr>
                <w:rFonts w:ascii="Arial" w:eastAsia="Arial Narrow" w:hAnsi="Arial" w:cs="Arial"/>
                <w:sz w:val="20"/>
                <w:szCs w:val="20"/>
              </w:rPr>
            </w:pPr>
            <w:r w:rsidRPr="008A26D2">
              <w:rPr>
                <w:rFonts w:ascii="Arial" w:eastAsia="Arial Narrow" w:hAnsi="Arial" w:cs="Arial"/>
                <w:sz w:val="20"/>
                <w:szCs w:val="20"/>
              </w:rPr>
              <w:t>X</w:t>
            </w:r>
          </w:p>
        </w:tc>
        <w:tc>
          <w:tcPr>
            <w:tcW w:w="1292" w:type="pct"/>
            <w:tcBorders>
              <w:top w:val="single" w:sz="4" w:space="0" w:color="000000"/>
              <w:left w:val="single" w:sz="4" w:space="0" w:color="000000"/>
              <w:right w:val="single" w:sz="4" w:space="0" w:color="000000"/>
            </w:tcBorders>
            <w:shd w:val="clear" w:color="auto" w:fill="auto"/>
            <w:vAlign w:val="center"/>
          </w:tcPr>
          <w:p w14:paraId="6EB862E9" w14:textId="77777777" w:rsidR="00F72E5F" w:rsidRPr="008A26D2" w:rsidRDefault="00F72E5F" w:rsidP="00E11FFB">
            <w:pPr>
              <w:spacing w:after="0" w:line="240" w:lineRule="auto"/>
              <w:jc w:val="center"/>
              <w:rPr>
                <w:rFonts w:ascii="Arial" w:eastAsia="Arial Narrow" w:hAnsi="Arial" w:cs="Arial"/>
                <w:sz w:val="20"/>
                <w:szCs w:val="20"/>
              </w:rPr>
            </w:pPr>
          </w:p>
        </w:tc>
        <w:tc>
          <w:tcPr>
            <w:tcW w:w="1292" w:type="pct"/>
            <w:tcBorders>
              <w:top w:val="single" w:sz="4" w:space="0" w:color="000000"/>
              <w:left w:val="single" w:sz="4" w:space="0" w:color="000000"/>
              <w:right w:val="single" w:sz="4" w:space="0" w:color="000000"/>
            </w:tcBorders>
            <w:shd w:val="clear" w:color="auto" w:fill="auto"/>
            <w:vAlign w:val="center"/>
          </w:tcPr>
          <w:p w14:paraId="6FBB3BE8" w14:textId="5A4D366B" w:rsidR="00F72E5F" w:rsidRPr="008A26D2" w:rsidRDefault="00F72E5F" w:rsidP="00E11FFB">
            <w:pPr>
              <w:spacing w:after="0" w:line="240" w:lineRule="auto"/>
              <w:jc w:val="center"/>
              <w:rPr>
                <w:rFonts w:ascii="Arial" w:eastAsia="Arial Narrow" w:hAnsi="Arial" w:cs="Arial"/>
                <w:sz w:val="20"/>
                <w:szCs w:val="20"/>
              </w:rPr>
            </w:pPr>
          </w:p>
        </w:tc>
      </w:tr>
      <w:tr w:rsidR="008A26D2" w:rsidRPr="008A26D2" w14:paraId="6DEE0682" w14:textId="77777777" w:rsidTr="00CD278D">
        <w:trPr>
          <w:trHeight w:val="300"/>
          <w:jc w:val="center"/>
        </w:trPr>
        <w:tc>
          <w:tcPr>
            <w:tcW w:w="112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EE92FA5" w14:textId="77777777" w:rsidR="00F72E5F" w:rsidRPr="008A26D2" w:rsidRDefault="00F72E5F" w:rsidP="00F72E5F">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 xml:space="preserve"> Receptor del servicio</w:t>
            </w:r>
          </w:p>
        </w:tc>
        <w:tc>
          <w:tcPr>
            <w:tcW w:w="3876" w:type="pct"/>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2D5C4DC" w14:textId="3A08872A"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Usuarios forestales, flora y de fauna silvestre en Áreas Naturales Protegidas de administración nacional </w:t>
            </w:r>
          </w:p>
        </w:tc>
      </w:tr>
      <w:tr w:rsidR="008A26D2" w:rsidRPr="008A26D2" w14:paraId="7507D26F" w14:textId="77777777" w:rsidTr="00CD278D">
        <w:trPr>
          <w:trHeight w:val="211"/>
          <w:jc w:val="center"/>
        </w:trPr>
        <w:tc>
          <w:tcPr>
            <w:tcW w:w="112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F7C9A38" w14:textId="77777777" w:rsidR="00F72E5F" w:rsidRPr="008A26D2" w:rsidRDefault="00F72E5F" w:rsidP="00F72E5F">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 xml:space="preserve"> Alcance del servicio </w:t>
            </w:r>
          </w:p>
        </w:tc>
        <w:tc>
          <w:tcPr>
            <w:tcW w:w="3876" w:type="pct"/>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A352CE3" w14:textId="77777777"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Nacional</w:t>
            </w:r>
          </w:p>
        </w:tc>
      </w:tr>
      <w:tr w:rsidR="008A26D2" w:rsidRPr="008A26D2" w14:paraId="7DE169B3" w14:textId="77777777" w:rsidTr="00CD278D">
        <w:trPr>
          <w:trHeight w:val="62"/>
          <w:jc w:val="center"/>
        </w:trPr>
        <w:tc>
          <w:tcPr>
            <w:tcW w:w="112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820E196" w14:textId="77777777" w:rsidR="00F72E5F" w:rsidRPr="008A26D2" w:rsidRDefault="00F72E5F" w:rsidP="00F72E5F">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lastRenderedPageBreak/>
              <w:t xml:space="preserve"> Estándar (es) de cumplimiento</w:t>
            </w:r>
          </w:p>
        </w:tc>
        <w:tc>
          <w:tcPr>
            <w:tcW w:w="3876" w:type="pct"/>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07B1BAC" w14:textId="77777777" w:rsidR="00F72E5F" w:rsidRPr="008A26D2" w:rsidRDefault="00F72E5F" w:rsidP="00F72E5F">
            <w:pPr>
              <w:pBdr>
                <w:top w:val="nil"/>
                <w:left w:val="nil"/>
                <w:bottom w:val="nil"/>
                <w:right w:val="nil"/>
                <w:between w:val="nil"/>
              </w:pBdr>
              <w:spacing w:after="0" w:line="240" w:lineRule="auto"/>
              <w:rPr>
                <w:rFonts w:ascii="Arial" w:eastAsia="Arial Narrow" w:hAnsi="Arial" w:cs="Arial"/>
                <w:sz w:val="20"/>
                <w:szCs w:val="20"/>
              </w:rPr>
            </w:pPr>
            <w:r w:rsidRPr="008A26D2">
              <w:rPr>
                <w:rFonts w:ascii="Arial" w:eastAsia="Arial Narrow" w:hAnsi="Arial" w:cs="Arial"/>
                <w:sz w:val="20"/>
                <w:szCs w:val="20"/>
              </w:rPr>
              <w:t>Oportunidad</w:t>
            </w:r>
          </w:p>
        </w:tc>
      </w:tr>
      <w:tr w:rsidR="008A26D2" w:rsidRPr="008A26D2" w14:paraId="189DA0E3" w14:textId="77777777" w:rsidTr="00CD278D">
        <w:trPr>
          <w:trHeight w:val="62"/>
          <w:jc w:val="center"/>
        </w:trPr>
        <w:tc>
          <w:tcPr>
            <w:tcW w:w="112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BA0FE86" w14:textId="77777777" w:rsidR="00F72E5F" w:rsidRPr="008A26D2" w:rsidRDefault="00F72E5F" w:rsidP="00F72E5F">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Descripción del estándar</w:t>
            </w:r>
          </w:p>
        </w:tc>
        <w:tc>
          <w:tcPr>
            <w:tcW w:w="3876" w:type="pct"/>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A513650" w14:textId="4CC53E02"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El estándar del servicio es de oportunidad, por cuanto atiende solicitudes de otorgamiento de derechos presentadas por parte de los usuarios de los recursos forestales, flora y fauna silvestre en Áreas Naturales Protegidas de administración nacional </w:t>
            </w:r>
            <w:r w:rsidR="007C7943" w:rsidRPr="008A26D2">
              <w:rPr>
                <w:rFonts w:ascii="Arial" w:eastAsia="Times New Roman" w:hAnsi="Arial" w:cs="Arial"/>
                <w:sz w:val="20"/>
                <w:szCs w:val="20"/>
              </w:rPr>
              <w:t xml:space="preserve">dentro los plazos establecidos para cada tipo de derecho conforme la </w:t>
            </w:r>
            <w:r w:rsidR="007C7943" w:rsidRPr="008A26D2">
              <w:rPr>
                <w:rFonts w:ascii="Arial" w:eastAsia="Arial Narrow" w:hAnsi="Arial" w:cs="Arial"/>
                <w:sz w:val="20"/>
                <w:szCs w:val="20"/>
              </w:rPr>
              <w:t>Resolución Presidencial N° 276-2021-SERNANP.</w:t>
            </w:r>
          </w:p>
        </w:tc>
      </w:tr>
      <w:tr w:rsidR="00F72E5F" w:rsidRPr="008A26D2" w14:paraId="6F82B710" w14:textId="77777777" w:rsidTr="00CD278D">
        <w:trPr>
          <w:trHeight w:val="491"/>
          <w:jc w:val="center"/>
        </w:trPr>
        <w:tc>
          <w:tcPr>
            <w:tcW w:w="112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231E7D3" w14:textId="62134F20" w:rsidR="00F72E5F" w:rsidRPr="008A26D2" w:rsidRDefault="00F72E5F" w:rsidP="00F72E5F">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Indicador de calidad</w:t>
            </w:r>
          </w:p>
        </w:tc>
        <w:tc>
          <w:tcPr>
            <w:tcW w:w="3876" w:type="pct"/>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F976ECD" w14:textId="440EF127"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Porcentaje de derechos de aprovechamiento de recursos forestales, flora y fauna silvestre en el ámbito de Áreas Naturales Protegidas de administración nacional</w:t>
            </w:r>
            <w:r w:rsidR="007C7943" w:rsidRPr="008A26D2">
              <w:rPr>
                <w:rFonts w:ascii="Arial" w:eastAsia="Arial Narrow" w:hAnsi="Arial" w:cs="Arial"/>
                <w:sz w:val="20"/>
                <w:szCs w:val="20"/>
              </w:rPr>
              <w:t xml:space="preserve"> </w:t>
            </w:r>
            <w:r w:rsidRPr="008A26D2">
              <w:rPr>
                <w:rFonts w:ascii="Arial" w:eastAsia="Arial Narrow" w:hAnsi="Arial" w:cs="Arial"/>
                <w:sz w:val="20"/>
                <w:szCs w:val="20"/>
              </w:rPr>
              <w:t>otorgad</w:t>
            </w:r>
            <w:r w:rsidR="007C7943" w:rsidRPr="008A26D2">
              <w:rPr>
                <w:rFonts w:ascii="Arial" w:eastAsia="Arial Narrow" w:hAnsi="Arial" w:cs="Arial"/>
                <w:sz w:val="20"/>
                <w:szCs w:val="20"/>
              </w:rPr>
              <w:t>o</w:t>
            </w:r>
            <w:r w:rsidRPr="008A26D2">
              <w:rPr>
                <w:rFonts w:ascii="Arial" w:eastAsia="Arial Narrow" w:hAnsi="Arial" w:cs="Arial"/>
                <w:sz w:val="20"/>
                <w:szCs w:val="20"/>
              </w:rPr>
              <w:t xml:space="preserve">s </w:t>
            </w:r>
            <w:r w:rsidR="00BF6AAB" w:rsidRPr="008A26D2">
              <w:rPr>
                <w:rFonts w:ascii="Arial" w:eastAsia="Arial Narrow" w:hAnsi="Arial" w:cs="Arial"/>
                <w:sz w:val="20"/>
                <w:szCs w:val="20"/>
              </w:rPr>
              <w:t>oportunamente</w:t>
            </w:r>
            <w:r w:rsidRPr="008A26D2">
              <w:rPr>
                <w:rFonts w:ascii="Arial" w:eastAsia="Arial Narrow" w:hAnsi="Arial" w:cs="Arial"/>
                <w:sz w:val="20"/>
                <w:szCs w:val="20"/>
              </w:rPr>
              <w:t>.</w:t>
            </w:r>
          </w:p>
        </w:tc>
      </w:tr>
    </w:tbl>
    <w:p w14:paraId="21798911" w14:textId="7C9E3FDB" w:rsidR="00D07080" w:rsidRPr="008A26D2" w:rsidRDefault="00D07080" w:rsidP="00C8135D">
      <w:pPr>
        <w:jc w:val="both"/>
        <w:rPr>
          <w:rFonts w:ascii="Arial Narrow" w:eastAsia="Arial Narrow" w:hAnsi="Arial Narrow" w:cs="Arial Narrow"/>
          <w:b/>
        </w:rPr>
      </w:pPr>
    </w:p>
    <w:p w14:paraId="6A03C3FC" w14:textId="4C437AC7" w:rsidR="00934958" w:rsidRPr="00845E89" w:rsidRDefault="00934958" w:rsidP="00934958">
      <w:pPr>
        <w:jc w:val="both"/>
        <w:rPr>
          <w:rFonts w:ascii="Arial" w:eastAsia="Arial Narrow" w:hAnsi="Arial" w:cs="Arial"/>
          <w:b/>
        </w:rPr>
      </w:pPr>
      <w:r w:rsidRPr="00845E89">
        <w:rPr>
          <w:rFonts w:ascii="Arial" w:eastAsia="Arial Narrow" w:hAnsi="Arial" w:cs="Arial"/>
          <w:b/>
        </w:rPr>
        <w:t>S1.6.5</w:t>
      </w:r>
      <w:r w:rsidRPr="00845E89">
        <w:rPr>
          <w:rFonts w:ascii="Arial" w:eastAsia="Arial Narrow" w:hAnsi="Arial" w:cs="Arial"/>
        </w:rPr>
        <w:t xml:space="preserve"> </w:t>
      </w:r>
      <w:r w:rsidR="00E11FFB" w:rsidRPr="00845E89">
        <w:rPr>
          <w:rFonts w:ascii="Arial" w:eastAsia="Arial Narrow" w:hAnsi="Arial" w:cs="Arial"/>
        </w:rPr>
        <w:t>Licenciamiento del uso de la marca “Aliado por la Conservación” de forma oportuna a los titulares de derechos de aprovechamiento de recursos forestales, flora y fauna silvestre en Áreas Naturales Protegidas de administración nacional</w:t>
      </w:r>
    </w:p>
    <w:tbl>
      <w:tblPr>
        <w:tblW w:w="5000" w:type="pct"/>
        <w:jc w:val="center"/>
        <w:tblLayout w:type="fixed"/>
        <w:tblLook w:val="0600" w:firstRow="0" w:lastRow="0" w:firstColumn="0" w:lastColumn="0" w:noHBand="1" w:noVBand="1"/>
      </w:tblPr>
      <w:tblGrid>
        <w:gridCol w:w="2346"/>
        <w:gridCol w:w="2049"/>
        <w:gridCol w:w="2049"/>
        <w:gridCol w:w="2050"/>
      </w:tblGrid>
      <w:tr w:rsidR="008A26D2" w:rsidRPr="00845E89" w14:paraId="0404E59E" w14:textId="77777777" w:rsidTr="00DD3C2D">
        <w:trPr>
          <w:trHeight w:val="300"/>
          <w:jc w:val="center"/>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vAlign w:val="center"/>
          </w:tcPr>
          <w:p w14:paraId="2D828A6B" w14:textId="77777777" w:rsidR="00934958" w:rsidRPr="00845E89" w:rsidRDefault="00934958" w:rsidP="00DD3C2D">
            <w:pPr>
              <w:spacing w:after="0"/>
              <w:jc w:val="center"/>
              <w:rPr>
                <w:rFonts w:ascii="Arial" w:eastAsia="Arial Narrow" w:hAnsi="Arial" w:cs="Arial"/>
                <w:sz w:val="20"/>
                <w:szCs w:val="20"/>
              </w:rPr>
            </w:pPr>
            <w:r w:rsidRPr="00845E89">
              <w:rPr>
                <w:rFonts w:ascii="Arial" w:eastAsia="Arial Narrow" w:hAnsi="Arial" w:cs="Arial"/>
                <w:b/>
                <w:sz w:val="20"/>
                <w:szCs w:val="20"/>
              </w:rPr>
              <w:t>FICHA DEL SERVICIO</w:t>
            </w:r>
          </w:p>
        </w:tc>
      </w:tr>
      <w:tr w:rsidR="008A26D2" w:rsidRPr="00845E89" w14:paraId="67407F01" w14:textId="77777777" w:rsidTr="00DD3C2D">
        <w:trPr>
          <w:trHeight w:val="300"/>
          <w:jc w:val="center"/>
        </w:trPr>
        <w:tc>
          <w:tcPr>
            <w:tcW w:w="1381"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AE9A175" w14:textId="77777777" w:rsidR="00934958" w:rsidRPr="00845E89" w:rsidRDefault="00934958" w:rsidP="00DD3C2D">
            <w:pPr>
              <w:pBdr>
                <w:top w:val="nil"/>
                <w:left w:val="nil"/>
                <w:bottom w:val="nil"/>
                <w:right w:val="nil"/>
                <w:between w:val="nil"/>
              </w:pBdr>
              <w:spacing w:after="0" w:line="240" w:lineRule="auto"/>
              <w:rPr>
                <w:rFonts w:ascii="Arial" w:eastAsia="Arial Narrow" w:hAnsi="Arial" w:cs="Arial"/>
                <w:b/>
                <w:sz w:val="20"/>
                <w:szCs w:val="20"/>
              </w:rPr>
            </w:pPr>
            <w:r w:rsidRPr="00845E89">
              <w:rPr>
                <w:rFonts w:ascii="Arial" w:eastAsia="Arial Narrow" w:hAnsi="Arial" w:cs="Arial"/>
                <w:b/>
                <w:sz w:val="20"/>
                <w:szCs w:val="20"/>
              </w:rPr>
              <w:t xml:space="preserve"> Objetivo prioritario:</w:t>
            </w:r>
          </w:p>
        </w:tc>
        <w:tc>
          <w:tcPr>
            <w:tcW w:w="3619" w:type="pct"/>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FE3F525" w14:textId="77777777" w:rsidR="00934958" w:rsidRPr="00845E89" w:rsidRDefault="00934958" w:rsidP="00DD3C2D">
            <w:pPr>
              <w:pBdr>
                <w:top w:val="nil"/>
                <w:left w:val="nil"/>
                <w:bottom w:val="nil"/>
                <w:right w:val="nil"/>
                <w:between w:val="nil"/>
              </w:pBdr>
              <w:spacing w:after="0" w:line="240" w:lineRule="auto"/>
              <w:jc w:val="both"/>
              <w:rPr>
                <w:rFonts w:ascii="Arial" w:eastAsia="Arial Narrow" w:hAnsi="Arial" w:cs="Arial"/>
                <w:sz w:val="20"/>
                <w:szCs w:val="20"/>
              </w:rPr>
            </w:pPr>
            <w:r w:rsidRPr="00845E89">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r>
      <w:tr w:rsidR="008A26D2" w:rsidRPr="00845E89" w14:paraId="065547D0" w14:textId="77777777" w:rsidTr="00DD3C2D">
        <w:trPr>
          <w:trHeight w:val="300"/>
          <w:jc w:val="center"/>
        </w:trPr>
        <w:tc>
          <w:tcPr>
            <w:tcW w:w="1381"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0553F3A" w14:textId="77777777" w:rsidR="00934958" w:rsidRPr="00845E89" w:rsidRDefault="00934958" w:rsidP="00DD3C2D">
            <w:pPr>
              <w:pBdr>
                <w:top w:val="nil"/>
                <w:left w:val="nil"/>
                <w:bottom w:val="nil"/>
                <w:right w:val="nil"/>
                <w:between w:val="nil"/>
              </w:pBdr>
              <w:spacing w:after="0" w:line="240" w:lineRule="auto"/>
              <w:rPr>
                <w:rFonts w:ascii="Arial" w:eastAsia="Arial Narrow" w:hAnsi="Arial" w:cs="Arial"/>
                <w:b/>
                <w:sz w:val="20"/>
                <w:szCs w:val="20"/>
              </w:rPr>
            </w:pPr>
            <w:r w:rsidRPr="00845E89">
              <w:rPr>
                <w:rFonts w:ascii="Arial" w:eastAsia="Arial Narrow" w:hAnsi="Arial" w:cs="Arial"/>
                <w:b/>
                <w:sz w:val="20"/>
                <w:szCs w:val="20"/>
              </w:rPr>
              <w:t xml:space="preserve"> Lineamiento:</w:t>
            </w:r>
          </w:p>
        </w:tc>
        <w:tc>
          <w:tcPr>
            <w:tcW w:w="3619" w:type="pct"/>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1676332" w14:textId="77777777" w:rsidR="00934958" w:rsidRPr="00845E89" w:rsidRDefault="00934958" w:rsidP="00DD3C2D">
            <w:pPr>
              <w:pBdr>
                <w:top w:val="nil"/>
                <w:left w:val="nil"/>
                <w:bottom w:val="nil"/>
                <w:right w:val="nil"/>
                <w:between w:val="nil"/>
              </w:pBdr>
              <w:spacing w:after="0" w:line="240" w:lineRule="auto"/>
              <w:jc w:val="both"/>
              <w:rPr>
                <w:rFonts w:ascii="Arial" w:eastAsia="Arial Narrow" w:hAnsi="Arial" w:cs="Arial"/>
                <w:sz w:val="20"/>
                <w:szCs w:val="20"/>
              </w:rPr>
            </w:pPr>
            <w:r w:rsidRPr="00845E89">
              <w:rPr>
                <w:rFonts w:ascii="Arial" w:eastAsia="Arial Narrow" w:hAnsi="Arial" w:cs="Arial"/>
                <w:sz w:val="20"/>
                <w:szCs w:val="20"/>
              </w:rPr>
              <w:t>L1.6 Fomentar el aprovechamiento sostenible de los recursos forestales y de fauna silvestre</w:t>
            </w:r>
          </w:p>
        </w:tc>
      </w:tr>
      <w:tr w:rsidR="008A26D2" w:rsidRPr="008A26D2" w14:paraId="08C57B28" w14:textId="77777777" w:rsidTr="00DD3C2D">
        <w:trPr>
          <w:trHeight w:val="300"/>
          <w:jc w:val="center"/>
        </w:trPr>
        <w:tc>
          <w:tcPr>
            <w:tcW w:w="1381"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0B0B774" w14:textId="77777777" w:rsidR="00934958" w:rsidRPr="00845E89" w:rsidRDefault="00934958" w:rsidP="00DD3C2D">
            <w:pPr>
              <w:pBdr>
                <w:top w:val="nil"/>
                <w:left w:val="nil"/>
                <w:bottom w:val="nil"/>
                <w:right w:val="nil"/>
                <w:between w:val="nil"/>
              </w:pBdr>
              <w:spacing w:after="0" w:line="240" w:lineRule="auto"/>
              <w:rPr>
                <w:rFonts w:ascii="Arial" w:eastAsia="Arial Narrow" w:hAnsi="Arial" w:cs="Arial"/>
                <w:b/>
                <w:sz w:val="20"/>
                <w:szCs w:val="20"/>
              </w:rPr>
            </w:pPr>
            <w:r w:rsidRPr="00845E89">
              <w:rPr>
                <w:rFonts w:ascii="Arial" w:eastAsia="Arial Narrow" w:hAnsi="Arial" w:cs="Arial"/>
                <w:b/>
                <w:sz w:val="20"/>
                <w:szCs w:val="20"/>
              </w:rPr>
              <w:t xml:space="preserve"> Nombre del servicio:</w:t>
            </w:r>
          </w:p>
        </w:tc>
        <w:tc>
          <w:tcPr>
            <w:tcW w:w="3619" w:type="pct"/>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67A9C27" w14:textId="77777777" w:rsidR="00934958" w:rsidRPr="00845E89" w:rsidRDefault="00934958" w:rsidP="00DD3C2D">
            <w:pPr>
              <w:pBdr>
                <w:top w:val="nil"/>
                <w:left w:val="nil"/>
                <w:bottom w:val="nil"/>
                <w:right w:val="nil"/>
                <w:between w:val="nil"/>
              </w:pBdr>
              <w:spacing w:after="0" w:line="240" w:lineRule="auto"/>
              <w:jc w:val="both"/>
              <w:rPr>
                <w:rFonts w:ascii="Arial" w:eastAsia="Arial Narrow" w:hAnsi="Arial" w:cs="Arial"/>
                <w:sz w:val="20"/>
                <w:szCs w:val="20"/>
              </w:rPr>
            </w:pPr>
            <w:r w:rsidRPr="00845E89">
              <w:rPr>
                <w:rFonts w:ascii="Arial" w:eastAsia="Arial Narrow" w:hAnsi="Arial" w:cs="Arial"/>
                <w:sz w:val="20"/>
                <w:szCs w:val="20"/>
              </w:rPr>
              <w:t>S1.6.5 Licenciamiento del uso de la marca “Aliado por la Conservación” de forma oportuna a los titulares de derechos de aprovechamiento de recursos forestales, flora y fauna silvestre en Áreas Naturales Protegidas de administración nacional.</w:t>
            </w:r>
          </w:p>
        </w:tc>
      </w:tr>
      <w:tr w:rsidR="008A26D2" w:rsidRPr="008A26D2" w14:paraId="4A158084" w14:textId="77777777" w:rsidTr="00DD3C2D">
        <w:trPr>
          <w:trHeight w:val="300"/>
          <w:jc w:val="center"/>
        </w:trPr>
        <w:tc>
          <w:tcPr>
            <w:tcW w:w="1381"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B127218" w14:textId="77777777" w:rsidR="00934958" w:rsidRPr="008A26D2" w:rsidRDefault="00934958" w:rsidP="00DD3C2D">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Tipo de servicio:</w:t>
            </w:r>
          </w:p>
        </w:tc>
        <w:tc>
          <w:tcPr>
            <w:tcW w:w="3619" w:type="pct"/>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DAFBDEA" w14:textId="77777777" w:rsidR="00934958" w:rsidRPr="008A26D2" w:rsidRDefault="00934958" w:rsidP="00DD3C2D">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Mejorado</w:t>
            </w:r>
          </w:p>
        </w:tc>
      </w:tr>
      <w:tr w:rsidR="008A26D2" w:rsidRPr="008A26D2" w14:paraId="590CD286" w14:textId="77777777" w:rsidTr="00DD3C2D">
        <w:trPr>
          <w:trHeight w:val="300"/>
          <w:jc w:val="center"/>
        </w:trPr>
        <w:tc>
          <w:tcPr>
            <w:tcW w:w="1381"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5F01EDF" w14:textId="77777777" w:rsidR="00934958" w:rsidRPr="008A26D2" w:rsidRDefault="00934958" w:rsidP="00DD3C2D">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hAnsi="Arial" w:cs="Arial"/>
                <w:b/>
                <w:sz w:val="20"/>
                <w:szCs w:val="20"/>
              </w:rPr>
              <w:t>Naturaleza del servicio:</w:t>
            </w:r>
          </w:p>
        </w:tc>
        <w:tc>
          <w:tcPr>
            <w:tcW w:w="3619" w:type="pct"/>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7DD1F76" w14:textId="77777777" w:rsidR="00934958" w:rsidRPr="008A26D2" w:rsidRDefault="00934958" w:rsidP="00DD3C2D">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No prestacional</w:t>
            </w:r>
          </w:p>
        </w:tc>
      </w:tr>
      <w:tr w:rsidR="008A26D2" w:rsidRPr="008A26D2" w14:paraId="20E22097" w14:textId="77777777" w:rsidTr="00DD3C2D">
        <w:trPr>
          <w:trHeight w:val="300"/>
          <w:jc w:val="center"/>
        </w:trPr>
        <w:tc>
          <w:tcPr>
            <w:tcW w:w="1381"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BF544A8" w14:textId="77777777" w:rsidR="00934958" w:rsidRPr="008A26D2" w:rsidRDefault="00934958" w:rsidP="00DD3C2D">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hAnsi="Arial" w:cs="Arial"/>
                <w:b/>
                <w:sz w:val="20"/>
                <w:szCs w:val="20"/>
              </w:rPr>
              <w:t>Entrega del servicio</w:t>
            </w:r>
          </w:p>
        </w:tc>
        <w:tc>
          <w:tcPr>
            <w:tcW w:w="3619" w:type="pct"/>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B57C309" w14:textId="77777777" w:rsidR="00934958" w:rsidRPr="008A26D2" w:rsidRDefault="00934958" w:rsidP="00DD3C2D">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Competencia exclusiva</w:t>
            </w:r>
          </w:p>
        </w:tc>
      </w:tr>
      <w:tr w:rsidR="008A26D2" w:rsidRPr="008A26D2" w14:paraId="1CF1608A" w14:textId="77777777" w:rsidTr="00DD3C2D">
        <w:trPr>
          <w:trHeight w:val="300"/>
          <w:jc w:val="center"/>
        </w:trPr>
        <w:tc>
          <w:tcPr>
            <w:tcW w:w="1381"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E08FF20" w14:textId="77777777" w:rsidR="00934958" w:rsidRPr="008A26D2" w:rsidRDefault="00934958" w:rsidP="00DD3C2D">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 xml:space="preserve"> Descripción del servicio</w:t>
            </w:r>
          </w:p>
        </w:tc>
        <w:tc>
          <w:tcPr>
            <w:tcW w:w="3619" w:type="pct"/>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A301FED" w14:textId="752BD5B6" w:rsidR="00934958" w:rsidRPr="008A26D2" w:rsidRDefault="00934958" w:rsidP="00DD3C2D">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La marca “Aliados por la Conservación” se otorga a beneficiarios autorizados para la diferenciación de productos y servicios por provenir de tierras conservadas, lo que aumenta los beneficios y se otorga de manera condicionada a la ejecución de acciones que contribuyan a la conservación de las Áreas Naturales Protegidas, Zonas de Amortiguamiento y/o espacios estratégicos identificados por el SERNANP, lo que requiere medirse el grado de avance del licenciamiento con la marca.</w:t>
            </w:r>
          </w:p>
          <w:p w14:paraId="0345B4DF" w14:textId="77777777" w:rsidR="00934958" w:rsidRPr="008A26D2" w:rsidRDefault="00934958" w:rsidP="00DD3C2D">
            <w:pPr>
              <w:pBdr>
                <w:top w:val="nil"/>
                <w:left w:val="nil"/>
                <w:bottom w:val="nil"/>
                <w:right w:val="nil"/>
                <w:between w:val="nil"/>
              </w:pBdr>
              <w:spacing w:after="0" w:line="240" w:lineRule="auto"/>
              <w:jc w:val="both"/>
              <w:rPr>
                <w:rFonts w:ascii="Arial" w:eastAsia="Arial Narrow" w:hAnsi="Arial" w:cs="Arial"/>
                <w:sz w:val="20"/>
                <w:szCs w:val="20"/>
              </w:rPr>
            </w:pPr>
          </w:p>
          <w:p w14:paraId="24388676" w14:textId="73912CAE" w:rsidR="00934958" w:rsidRPr="008A26D2" w:rsidRDefault="00934958" w:rsidP="00DD3C2D">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Asimismo, el otorgamiento de la marca “Aliado por la Conservación” busca promocionar el ordenamiento y formalización del aprovechamiento de recursos forestales, flora y fauna silvestre en Áreas Naturales Protegidas de administración nacional y por consecuencia su aprovechamiento sostenible, mediante los beneficios que los titulares puedan percibir, como son participación en ferias, precios diferenciados por sus productos, promoción de sus productos en eventos de la marca, entre otros. </w:t>
            </w:r>
          </w:p>
          <w:p w14:paraId="278B203B" w14:textId="77777777" w:rsidR="00934958" w:rsidRPr="008A26D2" w:rsidRDefault="00934958" w:rsidP="00DD3C2D">
            <w:pPr>
              <w:pBdr>
                <w:top w:val="nil"/>
                <w:left w:val="nil"/>
                <w:bottom w:val="nil"/>
                <w:right w:val="nil"/>
                <w:between w:val="nil"/>
              </w:pBdr>
              <w:spacing w:after="0" w:line="240" w:lineRule="auto"/>
              <w:jc w:val="both"/>
              <w:rPr>
                <w:rFonts w:ascii="Arial" w:eastAsia="Arial Narrow" w:hAnsi="Arial" w:cs="Arial"/>
                <w:sz w:val="20"/>
                <w:szCs w:val="20"/>
              </w:rPr>
            </w:pPr>
          </w:p>
          <w:p w14:paraId="45269705" w14:textId="77777777" w:rsidR="00934958" w:rsidRPr="008A26D2" w:rsidRDefault="00934958" w:rsidP="00DD3C2D">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El licenciamiento del uso de la marca “Aliado por la Conservación” consiste en:</w:t>
            </w:r>
          </w:p>
          <w:p w14:paraId="747C64EB" w14:textId="77777777" w:rsidR="00934958" w:rsidRPr="008A26D2" w:rsidRDefault="00934958" w:rsidP="00DD3C2D">
            <w:pPr>
              <w:pBdr>
                <w:top w:val="nil"/>
                <w:left w:val="nil"/>
                <w:bottom w:val="nil"/>
                <w:right w:val="nil"/>
                <w:between w:val="nil"/>
              </w:pBdr>
              <w:spacing w:after="0" w:line="240" w:lineRule="auto"/>
              <w:jc w:val="both"/>
              <w:rPr>
                <w:rFonts w:ascii="Arial" w:eastAsia="Arial Narrow" w:hAnsi="Arial" w:cs="Arial"/>
                <w:sz w:val="20"/>
                <w:szCs w:val="20"/>
              </w:rPr>
            </w:pPr>
          </w:p>
          <w:p w14:paraId="63387DDC" w14:textId="77777777" w:rsidR="00934958" w:rsidRPr="008A26D2" w:rsidRDefault="00934958" w:rsidP="00934958">
            <w:pPr>
              <w:pStyle w:val="Prrafodelista"/>
              <w:numPr>
                <w:ilvl w:val="0"/>
                <w:numId w:val="42"/>
              </w:numPr>
              <w:pBdr>
                <w:top w:val="nil"/>
                <w:left w:val="nil"/>
                <w:bottom w:val="nil"/>
                <w:right w:val="nil"/>
                <w:between w:val="nil"/>
              </w:pBdr>
              <w:spacing w:after="0" w:line="240" w:lineRule="auto"/>
              <w:ind w:left="272" w:hanging="142"/>
              <w:rPr>
                <w:rFonts w:ascii="Arial" w:eastAsia="Arial Narrow" w:hAnsi="Arial" w:cs="Arial"/>
                <w:sz w:val="20"/>
                <w:szCs w:val="20"/>
              </w:rPr>
            </w:pPr>
            <w:r w:rsidRPr="008A26D2">
              <w:rPr>
                <w:rFonts w:ascii="Arial" w:eastAsia="Arial Narrow" w:hAnsi="Arial" w:cs="Arial"/>
                <w:sz w:val="20"/>
                <w:szCs w:val="20"/>
              </w:rPr>
              <w:t>Recibir solicitud de Licenciamiento de Uso de la marca "Aliado por la Conservación"</w:t>
            </w:r>
          </w:p>
          <w:p w14:paraId="09414FBF" w14:textId="77777777" w:rsidR="00934958" w:rsidRPr="008A26D2" w:rsidRDefault="00934958" w:rsidP="00934958">
            <w:pPr>
              <w:pStyle w:val="Prrafodelista"/>
              <w:numPr>
                <w:ilvl w:val="0"/>
                <w:numId w:val="42"/>
              </w:numPr>
              <w:pBdr>
                <w:top w:val="nil"/>
                <w:left w:val="nil"/>
                <w:bottom w:val="nil"/>
                <w:right w:val="nil"/>
                <w:between w:val="nil"/>
              </w:pBdr>
              <w:spacing w:after="0" w:line="240" w:lineRule="auto"/>
              <w:ind w:left="272" w:hanging="142"/>
              <w:rPr>
                <w:rFonts w:ascii="Arial" w:eastAsia="Arial Narrow" w:hAnsi="Arial" w:cs="Arial"/>
                <w:sz w:val="20"/>
                <w:szCs w:val="20"/>
              </w:rPr>
            </w:pPr>
            <w:r w:rsidRPr="008A26D2">
              <w:rPr>
                <w:rFonts w:ascii="Arial" w:eastAsia="Arial Narrow" w:hAnsi="Arial" w:cs="Arial"/>
                <w:sz w:val="20"/>
                <w:szCs w:val="20"/>
              </w:rPr>
              <w:t>Evaluar solicitud de Licenciamiento de Uso de la marca "Aliado por la Conservación"</w:t>
            </w:r>
          </w:p>
          <w:p w14:paraId="299CF84D" w14:textId="77777777" w:rsidR="00934958" w:rsidRPr="008A26D2" w:rsidRDefault="00934958" w:rsidP="00934958">
            <w:pPr>
              <w:pStyle w:val="Prrafodelista"/>
              <w:numPr>
                <w:ilvl w:val="0"/>
                <w:numId w:val="42"/>
              </w:numPr>
              <w:pBdr>
                <w:top w:val="nil"/>
                <w:left w:val="nil"/>
                <w:bottom w:val="nil"/>
                <w:right w:val="nil"/>
                <w:between w:val="nil"/>
              </w:pBdr>
              <w:spacing w:after="0" w:line="240" w:lineRule="auto"/>
              <w:ind w:left="272" w:hanging="142"/>
              <w:rPr>
                <w:rFonts w:ascii="Arial" w:eastAsia="Arial Narrow" w:hAnsi="Arial" w:cs="Arial"/>
                <w:sz w:val="20"/>
                <w:szCs w:val="20"/>
              </w:rPr>
            </w:pPr>
            <w:r w:rsidRPr="008A26D2">
              <w:rPr>
                <w:rFonts w:ascii="Arial" w:eastAsia="Arial Narrow" w:hAnsi="Arial" w:cs="Arial"/>
                <w:sz w:val="20"/>
                <w:szCs w:val="20"/>
              </w:rPr>
              <w:t>Otorgar Licenciamiento de Uso de la marca "Aliado por la Conservación"</w:t>
            </w:r>
          </w:p>
          <w:p w14:paraId="05EE785E" w14:textId="77777777" w:rsidR="00934958" w:rsidRPr="008A26D2" w:rsidRDefault="00934958" w:rsidP="00DD3C2D">
            <w:pPr>
              <w:pBdr>
                <w:top w:val="nil"/>
                <w:left w:val="nil"/>
                <w:bottom w:val="nil"/>
                <w:right w:val="nil"/>
                <w:between w:val="nil"/>
              </w:pBdr>
              <w:spacing w:after="0" w:line="240" w:lineRule="auto"/>
              <w:jc w:val="both"/>
              <w:rPr>
                <w:rFonts w:ascii="Arial" w:eastAsia="Arial Narrow" w:hAnsi="Arial" w:cs="Arial"/>
                <w:sz w:val="20"/>
                <w:szCs w:val="20"/>
              </w:rPr>
            </w:pPr>
          </w:p>
          <w:p w14:paraId="288C722F" w14:textId="356B5824" w:rsidR="00934958" w:rsidRPr="008A26D2" w:rsidRDefault="00934958" w:rsidP="00DD3C2D">
            <w:pPr>
              <w:spacing w:after="0" w:line="240" w:lineRule="auto"/>
              <w:jc w:val="both"/>
              <w:rPr>
                <w:rFonts w:ascii="Arial" w:eastAsia="Arial Narrow" w:hAnsi="Arial" w:cs="Arial"/>
                <w:sz w:val="20"/>
                <w:szCs w:val="20"/>
              </w:rPr>
            </w:pPr>
            <w:r w:rsidRPr="008A26D2">
              <w:rPr>
                <w:rFonts w:ascii="Arial" w:eastAsia="Arial Narrow" w:hAnsi="Arial" w:cs="Arial"/>
                <w:sz w:val="20"/>
                <w:szCs w:val="20"/>
              </w:rPr>
              <w:lastRenderedPageBreak/>
              <w:t>El plazo para el otorgamiento de la licencia es de 30 días hábiles, de acuerdo al análisis de calidad regulatoria correspondiente para cada procedimiento, conforme la Ley N° 27444, ley del Procedimiento Administrativo General y la normativa sobre Áreas Naturales Protegidas.</w:t>
            </w:r>
          </w:p>
          <w:p w14:paraId="2F054C38" w14:textId="77777777" w:rsidR="00934958" w:rsidRPr="008A26D2" w:rsidRDefault="00934958" w:rsidP="00DD3C2D">
            <w:pPr>
              <w:pBdr>
                <w:top w:val="nil"/>
                <w:left w:val="nil"/>
                <w:bottom w:val="nil"/>
                <w:right w:val="nil"/>
                <w:between w:val="nil"/>
              </w:pBdr>
              <w:spacing w:after="0" w:line="240" w:lineRule="auto"/>
              <w:jc w:val="both"/>
              <w:rPr>
                <w:rFonts w:ascii="Arial" w:eastAsia="Arial Narrow" w:hAnsi="Arial" w:cs="Arial"/>
                <w:sz w:val="20"/>
                <w:szCs w:val="20"/>
              </w:rPr>
            </w:pPr>
          </w:p>
          <w:p w14:paraId="7949BD55" w14:textId="77777777" w:rsidR="00934958" w:rsidRPr="008A26D2" w:rsidRDefault="00934958" w:rsidP="00DD3C2D">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hAnsi="Arial" w:cs="Arial"/>
                <w:sz w:val="20"/>
                <w:szCs w:val="20"/>
              </w:rPr>
              <w:t>La mejora en el servicio se da al generar la diferenciación de productos y servicios, lo que aumenta los beneficios de los licenciatarios, y se otorga de manera oportuna y condicionada a la ejecución de acciones que contribuyan a la conservación en las Áreas Naturales Protegidas, Zonas de Amortiguamiento y/o espacios estratégicos identificados en el Plan Maestro de cada Área Natural Protegida de administración nacional.</w:t>
            </w:r>
          </w:p>
        </w:tc>
      </w:tr>
      <w:tr w:rsidR="008A26D2" w:rsidRPr="008A26D2" w14:paraId="182ADCE6" w14:textId="77777777" w:rsidTr="00DD3C2D">
        <w:trPr>
          <w:trHeight w:val="300"/>
          <w:jc w:val="center"/>
        </w:trPr>
        <w:tc>
          <w:tcPr>
            <w:tcW w:w="1381"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3114EF1" w14:textId="77777777" w:rsidR="00934958" w:rsidRPr="008A26D2" w:rsidRDefault="00934958" w:rsidP="00DD3C2D">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lastRenderedPageBreak/>
              <w:t xml:space="preserve"> Proveedor del servicio</w:t>
            </w:r>
          </w:p>
        </w:tc>
        <w:tc>
          <w:tcPr>
            <w:tcW w:w="3619" w:type="pct"/>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A0E7852" w14:textId="77777777" w:rsidR="00934958" w:rsidRPr="008A26D2" w:rsidRDefault="00934958" w:rsidP="00DD3C2D">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Servicio Nacional de Áreas Naturales Protegidas por el Estado - SERNANP</w:t>
            </w:r>
          </w:p>
        </w:tc>
      </w:tr>
      <w:tr w:rsidR="00E11FFB" w:rsidRPr="008A26D2" w14:paraId="3F037E6A" w14:textId="77777777" w:rsidTr="00E11FFB">
        <w:trPr>
          <w:trHeight w:val="382"/>
          <w:jc w:val="center"/>
        </w:trPr>
        <w:tc>
          <w:tcPr>
            <w:tcW w:w="1381" w:type="pct"/>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5505741B" w14:textId="77777777" w:rsidR="00E11FFB" w:rsidRPr="008A26D2" w:rsidRDefault="00E11FFB" w:rsidP="00E11FFB">
            <w:pPr>
              <w:spacing w:after="0" w:line="240" w:lineRule="auto"/>
              <w:rPr>
                <w:rFonts w:ascii="Arial" w:hAnsi="Arial" w:cs="Arial"/>
                <w:b/>
                <w:sz w:val="20"/>
                <w:szCs w:val="20"/>
              </w:rPr>
            </w:pPr>
            <w:r w:rsidRPr="008A26D2">
              <w:rPr>
                <w:rFonts w:ascii="Arial" w:hAnsi="Arial" w:cs="Arial"/>
                <w:b/>
                <w:sz w:val="20"/>
                <w:szCs w:val="20"/>
              </w:rPr>
              <w:t>Nivel (es) de gobierno que interviene</w:t>
            </w:r>
          </w:p>
          <w:p w14:paraId="17891B1A" w14:textId="4D441363" w:rsidR="00E11FFB" w:rsidRPr="008A26D2" w:rsidRDefault="00E11FFB" w:rsidP="00E11FFB">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hAnsi="Arial" w:cs="Arial"/>
                <w:b/>
                <w:sz w:val="20"/>
                <w:szCs w:val="20"/>
              </w:rPr>
              <w:t>(n) en la provisión del servicio</w:t>
            </w:r>
          </w:p>
        </w:tc>
        <w:tc>
          <w:tcPr>
            <w:tcW w:w="1206" w:type="pc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6A6020E5" w14:textId="653E16ED" w:rsidR="00E11FFB" w:rsidRPr="008A26D2" w:rsidRDefault="00E11FFB" w:rsidP="00E11FFB">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Nacional</w:t>
            </w:r>
          </w:p>
        </w:tc>
        <w:tc>
          <w:tcPr>
            <w:tcW w:w="1206" w:type="pct"/>
            <w:tcBorders>
              <w:top w:val="single" w:sz="4" w:space="0" w:color="000000"/>
              <w:left w:val="single" w:sz="4" w:space="0" w:color="000000"/>
              <w:right w:val="single" w:sz="4" w:space="0" w:color="000000"/>
            </w:tcBorders>
            <w:shd w:val="clear" w:color="auto" w:fill="auto"/>
            <w:vAlign w:val="center"/>
          </w:tcPr>
          <w:p w14:paraId="04DADBF8" w14:textId="1A026335" w:rsidR="00E11FFB" w:rsidRPr="008A26D2" w:rsidRDefault="00E11FFB" w:rsidP="00E11FFB">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Regional</w:t>
            </w:r>
          </w:p>
        </w:tc>
        <w:tc>
          <w:tcPr>
            <w:tcW w:w="1207" w:type="pct"/>
            <w:tcBorders>
              <w:top w:val="single" w:sz="4" w:space="0" w:color="000000"/>
              <w:left w:val="single" w:sz="4" w:space="0" w:color="000000"/>
              <w:right w:val="single" w:sz="4" w:space="0" w:color="000000"/>
            </w:tcBorders>
            <w:shd w:val="clear" w:color="auto" w:fill="auto"/>
            <w:vAlign w:val="center"/>
          </w:tcPr>
          <w:p w14:paraId="01E1659A" w14:textId="68A4AB50" w:rsidR="00E11FFB" w:rsidRPr="008A26D2" w:rsidRDefault="00E11FFB" w:rsidP="00E11FFB">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Local</w:t>
            </w:r>
          </w:p>
        </w:tc>
      </w:tr>
      <w:tr w:rsidR="00E11FFB" w:rsidRPr="008A26D2" w14:paraId="0E5C2435" w14:textId="77777777" w:rsidTr="00E11FFB">
        <w:trPr>
          <w:trHeight w:val="382"/>
          <w:jc w:val="center"/>
        </w:trPr>
        <w:tc>
          <w:tcPr>
            <w:tcW w:w="1381" w:type="pct"/>
            <w:vMerge/>
            <w:tcBorders>
              <w:left w:val="single" w:sz="4" w:space="0" w:color="000000"/>
              <w:right w:val="single" w:sz="4" w:space="0" w:color="000000"/>
            </w:tcBorders>
            <w:shd w:val="clear" w:color="auto" w:fill="auto"/>
            <w:tcMar>
              <w:top w:w="15" w:type="dxa"/>
              <w:left w:w="15" w:type="dxa"/>
              <w:bottom w:w="0" w:type="dxa"/>
              <w:right w:w="15" w:type="dxa"/>
            </w:tcMar>
            <w:vAlign w:val="center"/>
          </w:tcPr>
          <w:p w14:paraId="3FF465A5" w14:textId="77777777" w:rsidR="00E11FFB" w:rsidRPr="008A26D2" w:rsidRDefault="00E11FFB" w:rsidP="00E11FFB">
            <w:pPr>
              <w:spacing w:after="0" w:line="240" w:lineRule="auto"/>
              <w:rPr>
                <w:rFonts w:ascii="Arial" w:hAnsi="Arial" w:cs="Arial"/>
                <w:b/>
                <w:sz w:val="20"/>
                <w:szCs w:val="20"/>
              </w:rPr>
            </w:pPr>
          </w:p>
        </w:tc>
        <w:tc>
          <w:tcPr>
            <w:tcW w:w="1206" w:type="pc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77733730" w14:textId="104D0BB5" w:rsidR="00E11FFB" w:rsidRPr="008A26D2" w:rsidRDefault="00E11FFB" w:rsidP="00E11FFB">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X</w:t>
            </w:r>
          </w:p>
        </w:tc>
        <w:tc>
          <w:tcPr>
            <w:tcW w:w="1206" w:type="pct"/>
            <w:tcBorders>
              <w:top w:val="single" w:sz="4" w:space="0" w:color="000000"/>
              <w:left w:val="single" w:sz="4" w:space="0" w:color="000000"/>
              <w:right w:val="single" w:sz="4" w:space="0" w:color="000000"/>
            </w:tcBorders>
            <w:shd w:val="clear" w:color="auto" w:fill="auto"/>
            <w:vAlign w:val="center"/>
          </w:tcPr>
          <w:p w14:paraId="1A191B56" w14:textId="77777777" w:rsidR="00E11FFB" w:rsidRPr="008A26D2" w:rsidRDefault="00E11FFB" w:rsidP="00E11FFB">
            <w:pPr>
              <w:pBdr>
                <w:top w:val="nil"/>
                <w:left w:val="nil"/>
                <w:bottom w:val="nil"/>
                <w:right w:val="nil"/>
                <w:between w:val="nil"/>
              </w:pBdr>
              <w:spacing w:after="0" w:line="240" w:lineRule="auto"/>
              <w:jc w:val="center"/>
              <w:rPr>
                <w:rFonts w:ascii="Arial" w:eastAsia="Arial Narrow" w:hAnsi="Arial" w:cs="Arial"/>
                <w:sz w:val="20"/>
                <w:szCs w:val="20"/>
              </w:rPr>
            </w:pPr>
          </w:p>
        </w:tc>
        <w:tc>
          <w:tcPr>
            <w:tcW w:w="1207" w:type="pct"/>
            <w:tcBorders>
              <w:top w:val="single" w:sz="4" w:space="0" w:color="000000"/>
              <w:left w:val="single" w:sz="4" w:space="0" w:color="000000"/>
              <w:right w:val="single" w:sz="4" w:space="0" w:color="000000"/>
            </w:tcBorders>
            <w:shd w:val="clear" w:color="auto" w:fill="auto"/>
            <w:vAlign w:val="center"/>
          </w:tcPr>
          <w:p w14:paraId="1DEC53EB" w14:textId="1B43146C" w:rsidR="00E11FFB" w:rsidRPr="008A26D2" w:rsidRDefault="00E11FFB" w:rsidP="00E11FFB">
            <w:pPr>
              <w:pBdr>
                <w:top w:val="nil"/>
                <w:left w:val="nil"/>
                <w:bottom w:val="nil"/>
                <w:right w:val="nil"/>
                <w:between w:val="nil"/>
              </w:pBdr>
              <w:spacing w:after="0" w:line="240" w:lineRule="auto"/>
              <w:jc w:val="center"/>
              <w:rPr>
                <w:rFonts w:ascii="Arial" w:eastAsia="Arial Narrow" w:hAnsi="Arial" w:cs="Arial"/>
                <w:sz w:val="20"/>
                <w:szCs w:val="20"/>
              </w:rPr>
            </w:pPr>
          </w:p>
        </w:tc>
      </w:tr>
      <w:tr w:rsidR="00E11FFB" w:rsidRPr="008A26D2" w14:paraId="09ED31AB" w14:textId="77777777" w:rsidTr="00DD3C2D">
        <w:trPr>
          <w:trHeight w:val="300"/>
          <w:jc w:val="center"/>
        </w:trPr>
        <w:tc>
          <w:tcPr>
            <w:tcW w:w="1381"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F6927D1" w14:textId="77777777" w:rsidR="00E11FFB" w:rsidRPr="008A26D2" w:rsidRDefault="00E11FFB" w:rsidP="00E11FFB">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 xml:space="preserve"> Receptor del servicio</w:t>
            </w:r>
          </w:p>
        </w:tc>
        <w:tc>
          <w:tcPr>
            <w:tcW w:w="3619" w:type="pct"/>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029429C" w14:textId="77777777" w:rsidR="00E11FFB" w:rsidRPr="008A26D2" w:rsidRDefault="00E11FFB" w:rsidP="00E11FFB">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Titulares de derechos de aprovechamiento de recursos forestales, flora y fauna silvestre en Áreas Naturales Protegidas de administración nacional</w:t>
            </w:r>
          </w:p>
        </w:tc>
      </w:tr>
      <w:tr w:rsidR="00E11FFB" w:rsidRPr="008A26D2" w14:paraId="477AB287" w14:textId="77777777" w:rsidTr="00DD3C2D">
        <w:trPr>
          <w:trHeight w:val="211"/>
          <w:jc w:val="center"/>
        </w:trPr>
        <w:tc>
          <w:tcPr>
            <w:tcW w:w="1381"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B971C2C" w14:textId="77777777" w:rsidR="00E11FFB" w:rsidRPr="008A26D2" w:rsidRDefault="00E11FFB" w:rsidP="00E11FFB">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 xml:space="preserve"> Alcance del servicio </w:t>
            </w:r>
          </w:p>
        </w:tc>
        <w:tc>
          <w:tcPr>
            <w:tcW w:w="3619" w:type="pct"/>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F20C6E3" w14:textId="77777777" w:rsidR="00E11FFB" w:rsidRPr="008A26D2" w:rsidRDefault="00E11FFB" w:rsidP="00E11FFB">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Nacional</w:t>
            </w:r>
          </w:p>
        </w:tc>
      </w:tr>
      <w:tr w:rsidR="00E11FFB" w:rsidRPr="008A26D2" w14:paraId="48EE635F" w14:textId="77777777" w:rsidTr="00DD3C2D">
        <w:trPr>
          <w:trHeight w:val="62"/>
          <w:jc w:val="center"/>
        </w:trPr>
        <w:tc>
          <w:tcPr>
            <w:tcW w:w="1381"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91FCA7F" w14:textId="77777777" w:rsidR="00E11FFB" w:rsidRPr="008A26D2" w:rsidRDefault="00E11FFB" w:rsidP="00E11FFB">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 xml:space="preserve"> Estándar (es) de cumplimiento</w:t>
            </w:r>
          </w:p>
        </w:tc>
        <w:tc>
          <w:tcPr>
            <w:tcW w:w="3619" w:type="pct"/>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63A841BA" w14:textId="77777777" w:rsidR="00E11FFB" w:rsidRPr="008A26D2" w:rsidRDefault="00E11FFB" w:rsidP="00E11FFB">
            <w:pPr>
              <w:pBdr>
                <w:top w:val="nil"/>
                <w:left w:val="nil"/>
                <w:bottom w:val="nil"/>
                <w:right w:val="nil"/>
                <w:between w:val="nil"/>
              </w:pBdr>
              <w:spacing w:after="0" w:line="240" w:lineRule="auto"/>
              <w:rPr>
                <w:rFonts w:ascii="Arial" w:eastAsia="Arial Narrow" w:hAnsi="Arial" w:cs="Arial"/>
                <w:sz w:val="20"/>
                <w:szCs w:val="20"/>
              </w:rPr>
            </w:pPr>
            <w:r w:rsidRPr="008A26D2">
              <w:rPr>
                <w:rFonts w:ascii="Arial" w:eastAsia="Arial Narrow" w:hAnsi="Arial" w:cs="Arial"/>
                <w:sz w:val="20"/>
                <w:szCs w:val="20"/>
              </w:rPr>
              <w:t>Oportunidad</w:t>
            </w:r>
          </w:p>
        </w:tc>
      </w:tr>
      <w:tr w:rsidR="00E11FFB" w:rsidRPr="008A26D2" w14:paraId="557426E1" w14:textId="77777777" w:rsidTr="00DD3C2D">
        <w:trPr>
          <w:trHeight w:val="491"/>
          <w:jc w:val="center"/>
        </w:trPr>
        <w:tc>
          <w:tcPr>
            <w:tcW w:w="1381"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tcPr>
          <w:p w14:paraId="7C671571" w14:textId="77777777" w:rsidR="00E11FFB" w:rsidRPr="008A26D2" w:rsidRDefault="00E11FFB" w:rsidP="00E11FFB">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 xml:space="preserve"> Descripción del estándar</w:t>
            </w:r>
          </w:p>
        </w:tc>
        <w:tc>
          <w:tcPr>
            <w:tcW w:w="3619" w:type="pct"/>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tcPr>
          <w:p w14:paraId="19AE7967" w14:textId="51EDA980" w:rsidR="00E11FFB" w:rsidRPr="008A26D2" w:rsidRDefault="00E11FFB" w:rsidP="00E11FFB">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El estándar del servicio es de oportunidad, por cuanto atiende solicitudes de licenciamiento presentadas por los titulares de los derechos de aprovechamiento de recursos forestales, flora y fauna silvestre en Áreas Naturales Protegidas de administración nacional dentro del plazo establecido en la Resolución Presidencial N° 115-2020-SERNANP</w:t>
            </w:r>
          </w:p>
        </w:tc>
      </w:tr>
      <w:tr w:rsidR="00E11FFB" w:rsidRPr="008A26D2" w14:paraId="357A43A1" w14:textId="77777777" w:rsidTr="00DD3C2D">
        <w:trPr>
          <w:trHeight w:val="491"/>
          <w:jc w:val="center"/>
        </w:trPr>
        <w:tc>
          <w:tcPr>
            <w:tcW w:w="1381"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40463FF" w14:textId="77777777" w:rsidR="00E11FFB" w:rsidRPr="008A26D2" w:rsidRDefault="00E11FFB" w:rsidP="00E11FFB">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 xml:space="preserve">Indicador </w:t>
            </w:r>
          </w:p>
        </w:tc>
        <w:tc>
          <w:tcPr>
            <w:tcW w:w="3619" w:type="pct"/>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177D1ACF" w14:textId="42BB8582" w:rsidR="00E11FFB" w:rsidRPr="008A26D2" w:rsidRDefault="00E11FFB" w:rsidP="00E11FFB">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Porcentaje de licencias de uso de la marca Aliado por la Conservación otorgadas oportunamente</w:t>
            </w:r>
          </w:p>
        </w:tc>
      </w:tr>
    </w:tbl>
    <w:p w14:paraId="2E813575" w14:textId="77777777" w:rsidR="00934958" w:rsidRPr="008A26D2" w:rsidRDefault="00934958" w:rsidP="00934958">
      <w:pPr>
        <w:jc w:val="both"/>
        <w:rPr>
          <w:rFonts w:ascii="Arial Narrow" w:eastAsia="Arial Narrow" w:hAnsi="Arial Narrow" w:cs="Arial Narrow"/>
          <w:b/>
        </w:rPr>
      </w:pPr>
    </w:p>
    <w:p w14:paraId="05570485" w14:textId="4092E3DA" w:rsidR="00701F97" w:rsidRPr="005B261A" w:rsidRDefault="00701F97" w:rsidP="00701F97">
      <w:pPr>
        <w:jc w:val="both"/>
        <w:rPr>
          <w:rFonts w:ascii="Arial" w:eastAsia="Arial Narrow" w:hAnsi="Arial" w:cs="Arial"/>
        </w:rPr>
      </w:pPr>
      <w:r w:rsidRPr="005B261A">
        <w:rPr>
          <w:rFonts w:ascii="Arial" w:eastAsia="Arial Narrow" w:hAnsi="Arial" w:cs="Arial"/>
          <w:b/>
          <w:bCs/>
        </w:rPr>
        <w:t>S1.6.6</w:t>
      </w:r>
      <w:r w:rsidRPr="005B261A">
        <w:rPr>
          <w:rFonts w:ascii="Arial" w:eastAsia="Arial Narrow" w:hAnsi="Arial" w:cs="Arial"/>
        </w:rPr>
        <w:t xml:space="preserve"> Fortalecimiento de capacidades en sistemas de manejo para la producción sostenible de recursos forestales y de fauna silvestre amazónica de forma satisfactoria a usuarios forestales y de fauna silvestre y entidades públicas.</w:t>
      </w:r>
    </w:p>
    <w:tbl>
      <w:tblPr>
        <w:tblW w:w="9072" w:type="dxa"/>
        <w:jc w:val="center"/>
        <w:tblLayout w:type="fixed"/>
        <w:tblLook w:val="0600" w:firstRow="0" w:lastRow="0" w:firstColumn="0" w:lastColumn="0" w:noHBand="1" w:noVBand="1"/>
      </w:tblPr>
      <w:tblGrid>
        <w:gridCol w:w="2693"/>
        <w:gridCol w:w="2126"/>
        <w:gridCol w:w="2126"/>
        <w:gridCol w:w="2127"/>
      </w:tblGrid>
      <w:tr w:rsidR="00701F97" w:rsidRPr="005B261A" w14:paraId="3ABBACB3" w14:textId="77777777" w:rsidTr="00160C8B">
        <w:trPr>
          <w:trHeight w:val="300"/>
          <w:jc w:val="center"/>
        </w:trPr>
        <w:tc>
          <w:tcPr>
            <w:tcW w:w="9072" w:type="dxa"/>
            <w:gridSpan w:val="4"/>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vAlign w:val="center"/>
          </w:tcPr>
          <w:p w14:paraId="7655200E" w14:textId="77777777" w:rsidR="00701F97" w:rsidRPr="005B261A" w:rsidRDefault="00701F97" w:rsidP="00160C8B">
            <w:pPr>
              <w:tabs>
                <w:tab w:val="left" w:pos="3375"/>
              </w:tabs>
              <w:jc w:val="center"/>
              <w:rPr>
                <w:rFonts w:ascii="Arial" w:eastAsia="Arial Narrow" w:hAnsi="Arial" w:cs="Arial"/>
                <w:sz w:val="20"/>
                <w:szCs w:val="20"/>
              </w:rPr>
            </w:pPr>
            <w:r w:rsidRPr="005B261A">
              <w:rPr>
                <w:rFonts w:ascii="Arial" w:eastAsia="Arial Narrow" w:hAnsi="Arial" w:cs="Arial"/>
                <w:b/>
                <w:sz w:val="20"/>
                <w:szCs w:val="20"/>
              </w:rPr>
              <w:t xml:space="preserve">FICHA DEL SERVICIO </w:t>
            </w:r>
          </w:p>
        </w:tc>
      </w:tr>
      <w:tr w:rsidR="00701F97" w:rsidRPr="005B261A" w14:paraId="18C971E0" w14:textId="77777777" w:rsidTr="00160C8B">
        <w:trPr>
          <w:trHeight w:val="300"/>
          <w:jc w:val="center"/>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CDD335B" w14:textId="77777777" w:rsidR="00701F97" w:rsidRPr="005B261A" w:rsidRDefault="00701F97" w:rsidP="00160C8B">
            <w:pPr>
              <w:tabs>
                <w:tab w:val="left" w:pos="3375"/>
              </w:tabs>
              <w:rPr>
                <w:rFonts w:ascii="Arial" w:eastAsia="Arial Narrow" w:hAnsi="Arial" w:cs="Arial"/>
                <w:b/>
                <w:sz w:val="20"/>
                <w:szCs w:val="20"/>
              </w:rPr>
            </w:pPr>
            <w:r w:rsidRPr="005B261A">
              <w:rPr>
                <w:rFonts w:ascii="Arial" w:eastAsia="Arial Narrow" w:hAnsi="Arial" w:cs="Arial"/>
                <w:b/>
                <w:sz w:val="20"/>
                <w:szCs w:val="20"/>
              </w:rPr>
              <w:t xml:space="preserve"> Objetivo prioritario:</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D080C37" w14:textId="330B8A8C" w:rsidR="00701F97" w:rsidRPr="005B261A" w:rsidRDefault="003C5B2C" w:rsidP="00160C8B">
            <w:pPr>
              <w:tabs>
                <w:tab w:val="left" w:pos="3375"/>
              </w:tabs>
              <w:ind w:left="128"/>
              <w:rPr>
                <w:rFonts w:ascii="Arial" w:eastAsia="Arial Narrow" w:hAnsi="Arial" w:cs="Arial"/>
                <w:sz w:val="20"/>
                <w:szCs w:val="20"/>
              </w:rPr>
            </w:pPr>
            <w:r w:rsidRPr="005B261A">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r>
      <w:tr w:rsidR="00701F97" w:rsidRPr="008A26D2" w14:paraId="514F928D" w14:textId="77777777" w:rsidTr="00160C8B">
        <w:trPr>
          <w:trHeight w:val="300"/>
          <w:jc w:val="center"/>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3225454" w14:textId="77777777" w:rsidR="00701F97" w:rsidRPr="005B261A" w:rsidRDefault="00701F97" w:rsidP="00160C8B">
            <w:pPr>
              <w:tabs>
                <w:tab w:val="left" w:pos="3375"/>
              </w:tabs>
              <w:rPr>
                <w:rFonts w:ascii="Arial" w:eastAsia="Arial Narrow" w:hAnsi="Arial" w:cs="Arial"/>
                <w:b/>
                <w:sz w:val="20"/>
                <w:szCs w:val="20"/>
              </w:rPr>
            </w:pPr>
            <w:r w:rsidRPr="005B261A">
              <w:rPr>
                <w:rFonts w:ascii="Arial" w:eastAsia="Arial Narrow" w:hAnsi="Arial" w:cs="Arial"/>
                <w:b/>
                <w:sz w:val="20"/>
                <w:szCs w:val="20"/>
              </w:rPr>
              <w:t xml:space="preserve"> Lineamiento:</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CEE696F" w14:textId="77777777" w:rsidR="00701F97" w:rsidRPr="008A26D2" w:rsidRDefault="00701F97" w:rsidP="00160C8B">
            <w:pPr>
              <w:tabs>
                <w:tab w:val="left" w:pos="3375"/>
              </w:tabs>
              <w:ind w:left="128"/>
              <w:rPr>
                <w:rFonts w:ascii="Arial" w:hAnsi="Arial" w:cs="Arial"/>
                <w:sz w:val="20"/>
                <w:szCs w:val="20"/>
              </w:rPr>
            </w:pPr>
            <w:r w:rsidRPr="005B261A">
              <w:rPr>
                <w:rFonts w:ascii="Arial" w:eastAsia="Arial Narrow" w:hAnsi="Arial" w:cs="Arial"/>
                <w:sz w:val="20"/>
                <w:szCs w:val="20"/>
              </w:rPr>
              <w:t>L1.6 Fomentar el aprovechamiento sostenible de los recursos forestales y de fauna silvestre</w:t>
            </w:r>
          </w:p>
        </w:tc>
      </w:tr>
      <w:tr w:rsidR="00701F97" w:rsidRPr="008A26D2" w14:paraId="6D211A07" w14:textId="77777777" w:rsidTr="00160C8B">
        <w:trPr>
          <w:trHeight w:val="300"/>
          <w:jc w:val="center"/>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4B61325" w14:textId="77777777" w:rsidR="00701F97" w:rsidRPr="008A26D2" w:rsidRDefault="00701F97" w:rsidP="00160C8B">
            <w:pPr>
              <w:tabs>
                <w:tab w:val="left" w:pos="3375"/>
              </w:tabs>
              <w:rPr>
                <w:rFonts w:ascii="Arial" w:eastAsia="Arial Narrow" w:hAnsi="Arial" w:cs="Arial"/>
                <w:b/>
                <w:sz w:val="20"/>
                <w:szCs w:val="20"/>
              </w:rPr>
            </w:pPr>
            <w:r w:rsidRPr="008A26D2">
              <w:rPr>
                <w:rFonts w:ascii="Arial" w:eastAsia="Arial Narrow" w:hAnsi="Arial" w:cs="Arial"/>
                <w:b/>
                <w:sz w:val="20"/>
                <w:szCs w:val="20"/>
              </w:rPr>
              <w:t xml:space="preserve"> Nombre del servicio:</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809702D" w14:textId="7F198834" w:rsidR="00701F97" w:rsidRPr="008A26D2" w:rsidRDefault="00701F97" w:rsidP="00160C8B">
            <w:pPr>
              <w:tabs>
                <w:tab w:val="left" w:pos="3375"/>
              </w:tabs>
              <w:ind w:left="128"/>
              <w:jc w:val="both"/>
              <w:rPr>
                <w:rFonts w:ascii="Arial" w:hAnsi="Arial" w:cs="Arial"/>
                <w:sz w:val="20"/>
                <w:szCs w:val="20"/>
              </w:rPr>
            </w:pPr>
            <w:r w:rsidRPr="008A26D2">
              <w:rPr>
                <w:rFonts w:ascii="Arial" w:eastAsia="Arial Narrow" w:hAnsi="Arial" w:cs="Arial"/>
                <w:sz w:val="20"/>
                <w:szCs w:val="20"/>
              </w:rPr>
              <w:t>S</w:t>
            </w:r>
            <w:r>
              <w:rPr>
                <w:rFonts w:ascii="Arial" w:eastAsia="Arial Narrow" w:hAnsi="Arial" w:cs="Arial"/>
                <w:sz w:val="20"/>
                <w:szCs w:val="20"/>
              </w:rPr>
              <w:t>1</w:t>
            </w:r>
            <w:r w:rsidRPr="008A26D2">
              <w:rPr>
                <w:rFonts w:ascii="Arial" w:eastAsia="Arial Narrow" w:hAnsi="Arial" w:cs="Arial"/>
                <w:sz w:val="20"/>
                <w:szCs w:val="20"/>
              </w:rPr>
              <w:t>.</w:t>
            </w:r>
            <w:r>
              <w:rPr>
                <w:rFonts w:ascii="Arial" w:eastAsia="Arial Narrow" w:hAnsi="Arial" w:cs="Arial"/>
                <w:sz w:val="20"/>
                <w:szCs w:val="20"/>
              </w:rPr>
              <w:t>6</w:t>
            </w:r>
            <w:r w:rsidRPr="008A26D2">
              <w:rPr>
                <w:rFonts w:ascii="Arial" w:eastAsia="Arial Narrow" w:hAnsi="Arial" w:cs="Arial"/>
                <w:sz w:val="20"/>
                <w:szCs w:val="20"/>
              </w:rPr>
              <w:t>.</w:t>
            </w:r>
            <w:r>
              <w:rPr>
                <w:rFonts w:ascii="Arial" w:eastAsia="Arial Narrow" w:hAnsi="Arial" w:cs="Arial"/>
                <w:sz w:val="20"/>
                <w:szCs w:val="20"/>
              </w:rPr>
              <w:t>6</w:t>
            </w:r>
            <w:r w:rsidRPr="008A26D2">
              <w:rPr>
                <w:rFonts w:ascii="Arial" w:eastAsia="Arial Narrow" w:hAnsi="Arial" w:cs="Arial"/>
                <w:sz w:val="20"/>
                <w:szCs w:val="20"/>
              </w:rPr>
              <w:t xml:space="preserve"> Fortalecimiento de capacidades en sistemas de manejo para la producción sostenible de recursos forestales y de fauna silvestre amazónica de forma satisfactoria a usuarios forestales y de fauna silvestre y entidades públicas.</w:t>
            </w:r>
          </w:p>
        </w:tc>
      </w:tr>
      <w:tr w:rsidR="00701F97" w:rsidRPr="008A26D2" w14:paraId="482DE760" w14:textId="77777777" w:rsidTr="00160C8B">
        <w:trPr>
          <w:trHeight w:val="300"/>
          <w:jc w:val="center"/>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9F07AC7" w14:textId="77777777" w:rsidR="00701F97" w:rsidRPr="008A26D2" w:rsidRDefault="00701F97" w:rsidP="00160C8B">
            <w:pPr>
              <w:tabs>
                <w:tab w:val="left" w:pos="3375"/>
              </w:tabs>
              <w:rPr>
                <w:rFonts w:ascii="Arial" w:eastAsia="Arial Narrow" w:hAnsi="Arial" w:cs="Arial"/>
                <w:b/>
                <w:sz w:val="20"/>
                <w:szCs w:val="20"/>
              </w:rPr>
            </w:pPr>
            <w:r w:rsidRPr="008A26D2">
              <w:rPr>
                <w:rFonts w:ascii="Arial" w:eastAsia="Arial Narrow" w:hAnsi="Arial" w:cs="Arial"/>
                <w:b/>
                <w:sz w:val="20"/>
                <w:szCs w:val="20"/>
              </w:rPr>
              <w:t>Tipo de servicio:</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9A2DE11" w14:textId="77777777" w:rsidR="00701F97" w:rsidRPr="008A26D2" w:rsidRDefault="00701F97" w:rsidP="00160C8B">
            <w:pPr>
              <w:tabs>
                <w:tab w:val="left" w:pos="3375"/>
              </w:tabs>
              <w:ind w:left="128"/>
              <w:rPr>
                <w:rFonts w:ascii="Arial" w:eastAsia="Arial Narrow" w:hAnsi="Arial" w:cs="Arial"/>
                <w:sz w:val="20"/>
                <w:szCs w:val="20"/>
              </w:rPr>
            </w:pPr>
            <w:r w:rsidRPr="008A26D2">
              <w:rPr>
                <w:rFonts w:ascii="Arial" w:eastAsia="Arial Narrow" w:hAnsi="Arial" w:cs="Arial"/>
                <w:sz w:val="20"/>
                <w:szCs w:val="20"/>
              </w:rPr>
              <w:t>Mejorado</w:t>
            </w:r>
          </w:p>
        </w:tc>
      </w:tr>
      <w:tr w:rsidR="00701F97" w:rsidRPr="008A26D2" w14:paraId="02FD6488" w14:textId="77777777" w:rsidTr="00160C8B">
        <w:trPr>
          <w:trHeight w:val="300"/>
          <w:jc w:val="center"/>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412265E" w14:textId="77777777" w:rsidR="00701F97" w:rsidRPr="008A26D2" w:rsidRDefault="00701F97" w:rsidP="00160C8B">
            <w:pPr>
              <w:tabs>
                <w:tab w:val="left" w:pos="3375"/>
              </w:tabs>
              <w:rPr>
                <w:rFonts w:ascii="Arial" w:eastAsia="Arial Narrow" w:hAnsi="Arial" w:cs="Arial"/>
                <w:b/>
                <w:sz w:val="20"/>
                <w:szCs w:val="20"/>
              </w:rPr>
            </w:pPr>
            <w:r w:rsidRPr="008A26D2">
              <w:rPr>
                <w:rFonts w:ascii="Arial" w:hAnsi="Arial" w:cs="Arial"/>
                <w:b/>
                <w:sz w:val="20"/>
                <w:szCs w:val="20"/>
              </w:rPr>
              <w:t>Naturaleza del servicio:</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756AB7A" w14:textId="77777777" w:rsidR="00701F97" w:rsidRPr="008A26D2" w:rsidRDefault="00701F97" w:rsidP="00160C8B">
            <w:pPr>
              <w:tabs>
                <w:tab w:val="left" w:pos="3375"/>
              </w:tabs>
              <w:ind w:left="128"/>
              <w:rPr>
                <w:rFonts w:ascii="Arial" w:eastAsia="Arial Narrow" w:hAnsi="Arial" w:cs="Arial"/>
                <w:sz w:val="20"/>
                <w:szCs w:val="20"/>
              </w:rPr>
            </w:pPr>
            <w:r w:rsidRPr="008A26D2">
              <w:rPr>
                <w:rFonts w:ascii="Arial" w:eastAsia="Arial Narrow" w:hAnsi="Arial" w:cs="Arial"/>
                <w:sz w:val="20"/>
                <w:szCs w:val="20"/>
              </w:rPr>
              <w:t>Prestacional</w:t>
            </w:r>
          </w:p>
        </w:tc>
      </w:tr>
      <w:tr w:rsidR="00701F97" w:rsidRPr="008A26D2" w14:paraId="7586801B" w14:textId="77777777" w:rsidTr="00160C8B">
        <w:trPr>
          <w:trHeight w:val="300"/>
          <w:jc w:val="center"/>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E065686" w14:textId="77777777" w:rsidR="00701F97" w:rsidRPr="008A26D2" w:rsidRDefault="00701F97" w:rsidP="00160C8B">
            <w:pPr>
              <w:tabs>
                <w:tab w:val="left" w:pos="3375"/>
              </w:tabs>
              <w:rPr>
                <w:rFonts w:ascii="Arial" w:eastAsia="Arial Narrow" w:hAnsi="Arial" w:cs="Arial"/>
                <w:b/>
                <w:sz w:val="20"/>
                <w:szCs w:val="20"/>
              </w:rPr>
            </w:pPr>
            <w:r w:rsidRPr="008A26D2">
              <w:rPr>
                <w:rFonts w:ascii="Arial" w:hAnsi="Arial" w:cs="Arial"/>
                <w:b/>
                <w:sz w:val="20"/>
                <w:szCs w:val="20"/>
              </w:rPr>
              <w:t>Entrega del servicio</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4323775" w14:textId="77777777" w:rsidR="00701F97" w:rsidRPr="008A26D2" w:rsidRDefault="00701F97" w:rsidP="00160C8B">
            <w:pPr>
              <w:tabs>
                <w:tab w:val="left" w:pos="3375"/>
              </w:tabs>
              <w:ind w:left="128"/>
              <w:rPr>
                <w:rFonts w:ascii="Arial" w:eastAsia="Arial Narrow" w:hAnsi="Arial" w:cs="Arial"/>
                <w:sz w:val="20"/>
                <w:szCs w:val="20"/>
              </w:rPr>
            </w:pPr>
            <w:r w:rsidRPr="008A26D2">
              <w:rPr>
                <w:rFonts w:ascii="Arial" w:eastAsia="Arial Narrow" w:hAnsi="Arial" w:cs="Arial"/>
                <w:sz w:val="20"/>
                <w:szCs w:val="20"/>
              </w:rPr>
              <w:t xml:space="preserve">Competencia exclusiva </w:t>
            </w:r>
          </w:p>
        </w:tc>
      </w:tr>
      <w:tr w:rsidR="00701F97" w:rsidRPr="008A26D2" w14:paraId="610EE477" w14:textId="77777777" w:rsidTr="00160C8B">
        <w:trPr>
          <w:trHeight w:val="300"/>
          <w:jc w:val="center"/>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3ED8EA2" w14:textId="77777777" w:rsidR="00701F97" w:rsidRPr="008A26D2" w:rsidRDefault="00701F97" w:rsidP="00160C8B">
            <w:pPr>
              <w:tabs>
                <w:tab w:val="left" w:pos="3375"/>
              </w:tabs>
              <w:rPr>
                <w:rFonts w:ascii="Arial" w:eastAsia="Arial Narrow" w:hAnsi="Arial" w:cs="Arial"/>
                <w:b/>
                <w:sz w:val="20"/>
                <w:szCs w:val="20"/>
              </w:rPr>
            </w:pPr>
            <w:r w:rsidRPr="008A26D2">
              <w:rPr>
                <w:rFonts w:ascii="Arial" w:eastAsia="Arial Narrow" w:hAnsi="Arial" w:cs="Arial"/>
                <w:b/>
                <w:sz w:val="20"/>
                <w:szCs w:val="20"/>
              </w:rPr>
              <w:lastRenderedPageBreak/>
              <w:t xml:space="preserve"> Descripción del servicio</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B85BC63" w14:textId="77777777" w:rsidR="00701F97" w:rsidRPr="008A26D2" w:rsidRDefault="00701F97" w:rsidP="00160C8B">
            <w:pPr>
              <w:tabs>
                <w:tab w:val="left" w:pos="3375"/>
              </w:tabs>
              <w:ind w:left="128"/>
              <w:jc w:val="both"/>
              <w:rPr>
                <w:rFonts w:ascii="Arial" w:eastAsia="Arial Narrow" w:hAnsi="Arial" w:cs="Arial"/>
                <w:sz w:val="20"/>
                <w:szCs w:val="20"/>
              </w:rPr>
            </w:pPr>
            <w:r w:rsidRPr="008A26D2">
              <w:rPr>
                <w:rFonts w:ascii="Arial" w:eastAsia="Arial Narrow" w:hAnsi="Arial" w:cs="Arial"/>
                <w:sz w:val="20"/>
                <w:szCs w:val="20"/>
              </w:rPr>
              <w:t xml:space="preserve">El presente servicio tiene como finalidad fortalecer las capacidades técnicas de usuarios y autoridades sobre conocimientos de manejo sostenible de los recursos forestales y de fauna silvestre amazónicos, satisfaciendo las necesidades de capacitación de los usuarios forestales y de fauna silvestre y entidades públicas. </w:t>
            </w:r>
          </w:p>
          <w:p w14:paraId="2498EC25" w14:textId="77777777" w:rsidR="00701F97" w:rsidRPr="008A26D2" w:rsidRDefault="00701F97" w:rsidP="00160C8B">
            <w:pPr>
              <w:tabs>
                <w:tab w:val="left" w:pos="3375"/>
              </w:tabs>
              <w:ind w:left="128"/>
              <w:jc w:val="both"/>
              <w:rPr>
                <w:rFonts w:ascii="Arial" w:eastAsia="Arial Narrow" w:hAnsi="Arial" w:cs="Arial"/>
                <w:sz w:val="20"/>
                <w:szCs w:val="20"/>
              </w:rPr>
            </w:pPr>
            <w:r w:rsidRPr="008A26D2">
              <w:rPr>
                <w:rFonts w:ascii="Arial" w:eastAsia="Arial Narrow" w:hAnsi="Arial" w:cs="Arial"/>
                <w:sz w:val="20"/>
                <w:szCs w:val="20"/>
              </w:rPr>
              <w:t>Para ello se ofrecerán cursos de capacitación presenciales y virtuales impartidos por expertos, con contenidos relacionado a la producción sostenible de recursos forestales y fauna silvestre, orientados a la satisfacción de necesidades de nuevos conocimientos mediante nuevas técnicas, prácticas de campo y acciones e intervenciones tecnológicas resultantes de los proyectos de investigación realizados por el IIAP.</w:t>
            </w:r>
          </w:p>
          <w:p w14:paraId="19A81A8A" w14:textId="12746F6B" w:rsidR="00701F97" w:rsidRPr="008A26D2" w:rsidRDefault="00701F97" w:rsidP="00160C8B">
            <w:pPr>
              <w:tabs>
                <w:tab w:val="left" w:pos="3375"/>
              </w:tabs>
              <w:ind w:left="128"/>
              <w:jc w:val="both"/>
              <w:rPr>
                <w:rFonts w:ascii="Arial" w:hAnsi="Arial" w:cs="Arial"/>
                <w:sz w:val="20"/>
                <w:szCs w:val="20"/>
              </w:rPr>
            </w:pPr>
            <w:r w:rsidRPr="008A26D2">
              <w:rPr>
                <w:rFonts w:ascii="Arial" w:eastAsia="Arial Narrow" w:hAnsi="Arial" w:cs="Arial"/>
                <w:sz w:val="20"/>
                <w:szCs w:val="20"/>
              </w:rPr>
              <w:t>Este es un servicio  de tipo mejorado porque permite el fortalecimiento de capacidades técnicas a usuarios y autoridades  ya que  se aplicarán nuevas herramientas metodológicas relacionadas con la práctica en campo de los conocimientos teóricos sobre las actividades forestales y de fauna silvestre promoviendo su manejo sostenible y en el caso de los cursos virtuales, la implementación de contenidos audiovisuales, respondiendo a un proceso de mejora continua basado en evaluaciones a los usuarios.</w:t>
            </w:r>
          </w:p>
        </w:tc>
      </w:tr>
      <w:tr w:rsidR="00701F97" w:rsidRPr="008A26D2" w14:paraId="706FBB44" w14:textId="77777777" w:rsidTr="00160C8B">
        <w:trPr>
          <w:trHeight w:val="300"/>
          <w:jc w:val="center"/>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35F9C40" w14:textId="77777777" w:rsidR="00701F97" w:rsidRPr="008A26D2" w:rsidRDefault="00701F97" w:rsidP="00160C8B">
            <w:pPr>
              <w:tabs>
                <w:tab w:val="left" w:pos="3375"/>
              </w:tabs>
              <w:rPr>
                <w:rFonts w:ascii="Arial" w:eastAsia="Arial Narrow" w:hAnsi="Arial" w:cs="Arial"/>
                <w:b/>
                <w:sz w:val="20"/>
                <w:szCs w:val="20"/>
              </w:rPr>
            </w:pPr>
            <w:r w:rsidRPr="008A26D2">
              <w:rPr>
                <w:rFonts w:ascii="Arial" w:eastAsia="Arial Narrow" w:hAnsi="Arial" w:cs="Arial"/>
                <w:b/>
                <w:sz w:val="20"/>
                <w:szCs w:val="20"/>
              </w:rPr>
              <w:t xml:space="preserve"> Proveedor del servicio</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5F9EFC2" w14:textId="77777777" w:rsidR="00701F97" w:rsidRPr="008A26D2" w:rsidRDefault="00701F97" w:rsidP="00160C8B">
            <w:pPr>
              <w:tabs>
                <w:tab w:val="left" w:pos="3375"/>
              </w:tabs>
              <w:ind w:left="128"/>
              <w:rPr>
                <w:rFonts w:ascii="Arial" w:hAnsi="Arial" w:cs="Arial"/>
                <w:sz w:val="20"/>
                <w:szCs w:val="20"/>
              </w:rPr>
            </w:pPr>
            <w:r w:rsidRPr="008A26D2">
              <w:rPr>
                <w:rFonts w:ascii="Arial" w:eastAsia="Arial Narrow" w:hAnsi="Arial" w:cs="Arial"/>
                <w:sz w:val="20"/>
                <w:szCs w:val="20"/>
              </w:rPr>
              <w:t>Instituto de Investigaciones de la Amazonía Peruana - IIAP</w:t>
            </w:r>
          </w:p>
        </w:tc>
      </w:tr>
      <w:tr w:rsidR="00701F97" w:rsidRPr="008A26D2" w14:paraId="6CE2FED0" w14:textId="77777777" w:rsidTr="00160C8B">
        <w:trPr>
          <w:trHeight w:val="555"/>
          <w:jc w:val="center"/>
        </w:trPr>
        <w:tc>
          <w:tcPr>
            <w:tcW w:w="2693" w:type="dxa"/>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09701F16" w14:textId="77777777" w:rsidR="00701F97" w:rsidRPr="008A26D2" w:rsidRDefault="00701F97" w:rsidP="00160C8B">
            <w:pPr>
              <w:spacing w:after="0" w:line="240" w:lineRule="auto"/>
              <w:rPr>
                <w:rFonts w:ascii="Arial" w:hAnsi="Arial" w:cs="Arial"/>
                <w:b/>
                <w:sz w:val="20"/>
                <w:szCs w:val="20"/>
              </w:rPr>
            </w:pPr>
            <w:r w:rsidRPr="008A26D2">
              <w:rPr>
                <w:rFonts w:ascii="Arial" w:hAnsi="Arial" w:cs="Arial"/>
                <w:b/>
                <w:sz w:val="20"/>
                <w:szCs w:val="20"/>
              </w:rPr>
              <w:t>Nivel (es) de gobierno que interviene</w:t>
            </w:r>
          </w:p>
          <w:p w14:paraId="2D653A61" w14:textId="77777777" w:rsidR="00701F97" w:rsidRPr="008A26D2" w:rsidRDefault="00701F97" w:rsidP="00160C8B">
            <w:pPr>
              <w:tabs>
                <w:tab w:val="left" w:pos="3375"/>
              </w:tabs>
              <w:rPr>
                <w:rFonts w:ascii="Arial" w:eastAsia="Arial Narrow" w:hAnsi="Arial" w:cs="Arial"/>
                <w:b/>
                <w:sz w:val="20"/>
                <w:szCs w:val="20"/>
              </w:rPr>
            </w:pPr>
            <w:r w:rsidRPr="008A26D2">
              <w:rPr>
                <w:rFonts w:ascii="Arial" w:hAnsi="Arial" w:cs="Arial"/>
                <w:b/>
                <w:sz w:val="20"/>
                <w:szCs w:val="20"/>
              </w:rPr>
              <w:t>(n) en la provisión del servicio</w:t>
            </w:r>
          </w:p>
        </w:tc>
        <w:tc>
          <w:tcPr>
            <w:tcW w:w="2126"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1F7D553C" w14:textId="77777777" w:rsidR="00701F97" w:rsidRPr="008A26D2" w:rsidRDefault="00701F97" w:rsidP="003C5B2C">
            <w:pPr>
              <w:tabs>
                <w:tab w:val="left" w:pos="3375"/>
              </w:tabs>
              <w:ind w:left="128"/>
              <w:jc w:val="center"/>
              <w:rPr>
                <w:rFonts w:ascii="Arial" w:eastAsia="Arial Narrow" w:hAnsi="Arial" w:cs="Arial"/>
                <w:sz w:val="20"/>
                <w:szCs w:val="20"/>
              </w:rPr>
            </w:pPr>
            <w:r w:rsidRPr="008A26D2">
              <w:rPr>
                <w:rFonts w:ascii="Arial" w:eastAsia="Arial Narrow" w:hAnsi="Arial" w:cs="Arial"/>
                <w:sz w:val="20"/>
                <w:szCs w:val="20"/>
              </w:rPr>
              <w:t>Nacional</w:t>
            </w:r>
          </w:p>
        </w:tc>
        <w:tc>
          <w:tcPr>
            <w:tcW w:w="2126" w:type="dxa"/>
            <w:tcBorders>
              <w:top w:val="single" w:sz="4" w:space="0" w:color="000000"/>
              <w:left w:val="single" w:sz="4" w:space="0" w:color="000000"/>
              <w:right w:val="single" w:sz="4" w:space="0" w:color="000000"/>
            </w:tcBorders>
            <w:shd w:val="clear" w:color="auto" w:fill="auto"/>
            <w:vAlign w:val="center"/>
          </w:tcPr>
          <w:p w14:paraId="263BA8E7" w14:textId="77777777" w:rsidR="00701F97" w:rsidRPr="008A26D2" w:rsidRDefault="00701F97" w:rsidP="003C5B2C">
            <w:pPr>
              <w:tabs>
                <w:tab w:val="left" w:pos="3375"/>
              </w:tabs>
              <w:ind w:left="128"/>
              <w:jc w:val="center"/>
              <w:rPr>
                <w:rFonts w:ascii="Arial" w:eastAsia="Arial Narrow" w:hAnsi="Arial" w:cs="Arial"/>
                <w:sz w:val="20"/>
                <w:szCs w:val="20"/>
              </w:rPr>
            </w:pPr>
            <w:r w:rsidRPr="008A26D2">
              <w:rPr>
                <w:rFonts w:ascii="Arial" w:eastAsia="Arial Narrow" w:hAnsi="Arial" w:cs="Arial"/>
                <w:sz w:val="20"/>
                <w:szCs w:val="20"/>
              </w:rPr>
              <w:t>Regional</w:t>
            </w:r>
          </w:p>
        </w:tc>
        <w:tc>
          <w:tcPr>
            <w:tcW w:w="2127" w:type="dxa"/>
            <w:tcBorders>
              <w:top w:val="single" w:sz="4" w:space="0" w:color="000000"/>
              <w:left w:val="single" w:sz="4" w:space="0" w:color="000000"/>
              <w:right w:val="single" w:sz="4" w:space="0" w:color="000000"/>
            </w:tcBorders>
            <w:shd w:val="clear" w:color="auto" w:fill="auto"/>
            <w:vAlign w:val="center"/>
          </w:tcPr>
          <w:p w14:paraId="59CB720B" w14:textId="77777777" w:rsidR="00701F97" w:rsidRPr="008A26D2" w:rsidRDefault="00701F97" w:rsidP="003C5B2C">
            <w:pPr>
              <w:tabs>
                <w:tab w:val="left" w:pos="3375"/>
              </w:tabs>
              <w:ind w:left="128"/>
              <w:jc w:val="center"/>
              <w:rPr>
                <w:rFonts w:ascii="Arial" w:eastAsia="Arial Narrow" w:hAnsi="Arial" w:cs="Arial"/>
                <w:sz w:val="20"/>
                <w:szCs w:val="20"/>
              </w:rPr>
            </w:pPr>
            <w:r w:rsidRPr="008A26D2">
              <w:rPr>
                <w:rFonts w:ascii="Arial" w:eastAsia="Arial Narrow" w:hAnsi="Arial" w:cs="Arial"/>
                <w:sz w:val="20"/>
                <w:szCs w:val="20"/>
              </w:rPr>
              <w:t>Local</w:t>
            </w:r>
          </w:p>
        </w:tc>
      </w:tr>
      <w:tr w:rsidR="00701F97" w:rsidRPr="008A26D2" w14:paraId="4B0D6655" w14:textId="77777777" w:rsidTr="00160C8B">
        <w:trPr>
          <w:trHeight w:val="555"/>
          <w:jc w:val="center"/>
        </w:trPr>
        <w:tc>
          <w:tcPr>
            <w:tcW w:w="2693" w:type="dxa"/>
            <w:vMerge/>
            <w:tcBorders>
              <w:left w:val="single" w:sz="4" w:space="0" w:color="000000"/>
              <w:right w:val="single" w:sz="4" w:space="0" w:color="000000"/>
            </w:tcBorders>
            <w:shd w:val="clear" w:color="auto" w:fill="auto"/>
            <w:tcMar>
              <w:top w:w="15" w:type="dxa"/>
              <w:left w:w="15" w:type="dxa"/>
              <w:bottom w:w="0" w:type="dxa"/>
              <w:right w:w="15" w:type="dxa"/>
            </w:tcMar>
            <w:vAlign w:val="center"/>
          </w:tcPr>
          <w:p w14:paraId="5B566434" w14:textId="77777777" w:rsidR="00701F97" w:rsidRPr="008A26D2" w:rsidRDefault="00701F97" w:rsidP="00160C8B">
            <w:pPr>
              <w:spacing w:after="0" w:line="240" w:lineRule="auto"/>
              <w:rPr>
                <w:rFonts w:ascii="Arial" w:hAnsi="Arial" w:cs="Arial"/>
                <w:b/>
                <w:sz w:val="20"/>
                <w:szCs w:val="20"/>
              </w:rPr>
            </w:pPr>
          </w:p>
        </w:tc>
        <w:tc>
          <w:tcPr>
            <w:tcW w:w="2126"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1C4EF56F" w14:textId="77777777" w:rsidR="00701F97" w:rsidRPr="008A26D2" w:rsidRDefault="00701F97" w:rsidP="003C5B2C">
            <w:pPr>
              <w:tabs>
                <w:tab w:val="left" w:pos="3375"/>
              </w:tabs>
              <w:ind w:left="128"/>
              <w:jc w:val="center"/>
              <w:rPr>
                <w:rFonts w:ascii="Arial" w:eastAsia="Arial Narrow" w:hAnsi="Arial" w:cs="Arial"/>
                <w:sz w:val="20"/>
                <w:szCs w:val="20"/>
              </w:rPr>
            </w:pPr>
            <w:r w:rsidRPr="008A26D2">
              <w:rPr>
                <w:rFonts w:ascii="Arial" w:eastAsia="Arial Narrow" w:hAnsi="Arial" w:cs="Arial"/>
                <w:sz w:val="20"/>
                <w:szCs w:val="20"/>
              </w:rPr>
              <w:t>X</w:t>
            </w:r>
          </w:p>
        </w:tc>
        <w:tc>
          <w:tcPr>
            <w:tcW w:w="2126" w:type="dxa"/>
            <w:tcBorders>
              <w:top w:val="single" w:sz="4" w:space="0" w:color="000000"/>
              <w:left w:val="single" w:sz="4" w:space="0" w:color="000000"/>
              <w:right w:val="single" w:sz="4" w:space="0" w:color="000000"/>
            </w:tcBorders>
            <w:shd w:val="clear" w:color="auto" w:fill="auto"/>
            <w:vAlign w:val="center"/>
          </w:tcPr>
          <w:p w14:paraId="1C2A754C" w14:textId="77777777" w:rsidR="00701F97" w:rsidRPr="008A26D2" w:rsidRDefault="00701F97" w:rsidP="003C5B2C">
            <w:pPr>
              <w:tabs>
                <w:tab w:val="left" w:pos="3375"/>
              </w:tabs>
              <w:ind w:left="128"/>
              <w:jc w:val="center"/>
              <w:rPr>
                <w:rFonts w:ascii="Arial" w:eastAsia="Arial Narrow" w:hAnsi="Arial" w:cs="Arial"/>
                <w:sz w:val="20"/>
                <w:szCs w:val="20"/>
              </w:rPr>
            </w:pPr>
          </w:p>
        </w:tc>
        <w:tc>
          <w:tcPr>
            <w:tcW w:w="2127" w:type="dxa"/>
            <w:tcBorders>
              <w:top w:val="single" w:sz="4" w:space="0" w:color="000000"/>
              <w:left w:val="single" w:sz="4" w:space="0" w:color="000000"/>
              <w:right w:val="single" w:sz="4" w:space="0" w:color="000000"/>
            </w:tcBorders>
            <w:shd w:val="clear" w:color="auto" w:fill="auto"/>
            <w:vAlign w:val="center"/>
          </w:tcPr>
          <w:p w14:paraId="23E2B383" w14:textId="77777777" w:rsidR="00701F97" w:rsidRPr="008A26D2" w:rsidRDefault="00701F97" w:rsidP="003C5B2C">
            <w:pPr>
              <w:tabs>
                <w:tab w:val="left" w:pos="3375"/>
              </w:tabs>
              <w:ind w:left="128"/>
              <w:jc w:val="center"/>
              <w:rPr>
                <w:rFonts w:ascii="Arial" w:eastAsia="Arial Narrow" w:hAnsi="Arial" w:cs="Arial"/>
                <w:sz w:val="20"/>
                <w:szCs w:val="20"/>
              </w:rPr>
            </w:pPr>
          </w:p>
        </w:tc>
      </w:tr>
      <w:tr w:rsidR="00701F97" w:rsidRPr="008A26D2" w14:paraId="2F373BB6" w14:textId="77777777" w:rsidTr="00160C8B">
        <w:trPr>
          <w:trHeight w:val="300"/>
          <w:jc w:val="center"/>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C1B9821" w14:textId="77777777" w:rsidR="00701F97" w:rsidRPr="008A26D2" w:rsidRDefault="00701F97" w:rsidP="00160C8B">
            <w:pPr>
              <w:tabs>
                <w:tab w:val="left" w:pos="3375"/>
              </w:tabs>
              <w:rPr>
                <w:rFonts w:ascii="Arial" w:eastAsia="Arial Narrow" w:hAnsi="Arial" w:cs="Arial"/>
                <w:b/>
                <w:sz w:val="20"/>
                <w:szCs w:val="20"/>
              </w:rPr>
            </w:pPr>
            <w:r w:rsidRPr="008A26D2">
              <w:rPr>
                <w:rFonts w:ascii="Arial" w:eastAsia="Arial Narrow" w:hAnsi="Arial" w:cs="Arial"/>
                <w:b/>
                <w:sz w:val="20"/>
                <w:szCs w:val="20"/>
              </w:rPr>
              <w:t xml:space="preserve"> Receptor del servicio</w:t>
            </w:r>
          </w:p>
        </w:tc>
        <w:tc>
          <w:tcPr>
            <w:tcW w:w="6379" w:type="dxa"/>
            <w:gridSpan w:val="3"/>
            <w:tcBorders>
              <w:top w:val="dotted" w:sz="4" w:space="0" w:color="000000"/>
              <w:left w:val="dotted" w:sz="4" w:space="0" w:color="000000"/>
              <w:bottom w:val="dotted" w:sz="4" w:space="0" w:color="000000"/>
              <w:right w:val="dotted" w:sz="4" w:space="0" w:color="000000"/>
            </w:tcBorders>
            <w:shd w:val="clear" w:color="auto" w:fill="auto"/>
            <w:tcMar>
              <w:top w:w="15" w:type="dxa"/>
              <w:left w:w="15" w:type="dxa"/>
              <w:bottom w:w="0" w:type="dxa"/>
              <w:right w:w="15" w:type="dxa"/>
            </w:tcMar>
            <w:vAlign w:val="center"/>
          </w:tcPr>
          <w:p w14:paraId="29A80E3E" w14:textId="77777777" w:rsidR="00701F97" w:rsidRPr="008A26D2" w:rsidRDefault="00701F97" w:rsidP="00160C8B">
            <w:pPr>
              <w:spacing w:after="0" w:line="240" w:lineRule="auto"/>
              <w:ind w:left="128"/>
              <w:jc w:val="both"/>
              <w:rPr>
                <w:rFonts w:ascii="Arial" w:eastAsia="Arial Narrow" w:hAnsi="Arial" w:cs="Arial"/>
                <w:sz w:val="20"/>
                <w:szCs w:val="20"/>
              </w:rPr>
            </w:pPr>
            <w:r w:rsidRPr="008A26D2">
              <w:rPr>
                <w:rFonts w:ascii="Arial" w:eastAsia="Arial Narrow" w:hAnsi="Arial" w:cs="Arial"/>
                <w:sz w:val="20"/>
                <w:szCs w:val="20"/>
              </w:rPr>
              <w:t>Usuarios forestales y de fauna silvestre, entidades públicas</w:t>
            </w:r>
          </w:p>
        </w:tc>
      </w:tr>
      <w:tr w:rsidR="00701F97" w:rsidRPr="008A26D2" w14:paraId="19DEAB25" w14:textId="77777777" w:rsidTr="00160C8B">
        <w:trPr>
          <w:trHeight w:val="211"/>
          <w:jc w:val="center"/>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4FA9120" w14:textId="77777777" w:rsidR="00701F97" w:rsidRPr="008A26D2" w:rsidRDefault="00701F97" w:rsidP="00160C8B">
            <w:pPr>
              <w:tabs>
                <w:tab w:val="left" w:pos="3375"/>
              </w:tabs>
              <w:rPr>
                <w:rFonts w:ascii="Arial" w:eastAsia="Arial Narrow" w:hAnsi="Arial" w:cs="Arial"/>
                <w:b/>
                <w:sz w:val="20"/>
                <w:szCs w:val="20"/>
              </w:rPr>
            </w:pPr>
            <w:r w:rsidRPr="008A26D2">
              <w:rPr>
                <w:rFonts w:ascii="Arial" w:eastAsia="Arial Narrow" w:hAnsi="Arial" w:cs="Arial"/>
                <w:b/>
                <w:sz w:val="20"/>
                <w:szCs w:val="20"/>
              </w:rPr>
              <w:t xml:space="preserve"> Alcance del servicio </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B9E7AED" w14:textId="77777777" w:rsidR="00701F97" w:rsidRPr="008A26D2" w:rsidRDefault="00701F97" w:rsidP="00160C8B">
            <w:pPr>
              <w:tabs>
                <w:tab w:val="left" w:pos="3375"/>
              </w:tabs>
              <w:ind w:left="128"/>
              <w:rPr>
                <w:rFonts w:ascii="Arial" w:hAnsi="Arial" w:cs="Arial"/>
                <w:sz w:val="20"/>
                <w:szCs w:val="20"/>
              </w:rPr>
            </w:pPr>
            <w:r w:rsidRPr="008A26D2">
              <w:rPr>
                <w:rFonts w:ascii="Arial" w:eastAsia="Arial Narrow" w:hAnsi="Arial" w:cs="Arial"/>
                <w:sz w:val="20"/>
                <w:szCs w:val="20"/>
              </w:rPr>
              <w:t>Nivel Departamental: Amazonas, San Martín, Loreto, Ucayali, Madre de Dios y Huánuco.</w:t>
            </w:r>
          </w:p>
        </w:tc>
      </w:tr>
      <w:tr w:rsidR="00701F97" w:rsidRPr="008A26D2" w14:paraId="40B61E50" w14:textId="77777777" w:rsidTr="00160C8B">
        <w:trPr>
          <w:trHeight w:val="62"/>
          <w:jc w:val="center"/>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E586424" w14:textId="77777777" w:rsidR="00701F97" w:rsidRPr="008A26D2" w:rsidRDefault="00701F97" w:rsidP="00160C8B">
            <w:pPr>
              <w:tabs>
                <w:tab w:val="left" w:pos="3375"/>
              </w:tabs>
              <w:rPr>
                <w:rFonts w:ascii="Arial" w:eastAsia="Arial Narrow" w:hAnsi="Arial" w:cs="Arial"/>
                <w:b/>
                <w:sz w:val="20"/>
                <w:szCs w:val="20"/>
              </w:rPr>
            </w:pPr>
            <w:r w:rsidRPr="008A26D2">
              <w:rPr>
                <w:rFonts w:ascii="Arial" w:eastAsia="Arial Narrow" w:hAnsi="Arial" w:cs="Arial"/>
                <w:b/>
                <w:sz w:val="20"/>
                <w:szCs w:val="20"/>
              </w:rPr>
              <w:t xml:space="preserve"> Estándar (es) de cumplimiento</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7006674E" w14:textId="77777777" w:rsidR="00701F97" w:rsidRPr="008A26D2" w:rsidRDefault="00701F97" w:rsidP="00160C8B">
            <w:pPr>
              <w:tabs>
                <w:tab w:val="left" w:pos="3375"/>
              </w:tabs>
              <w:ind w:left="128"/>
              <w:rPr>
                <w:rFonts w:ascii="Arial" w:eastAsia="Arial Narrow" w:hAnsi="Arial" w:cs="Arial"/>
                <w:sz w:val="20"/>
                <w:szCs w:val="20"/>
              </w:rPr>
            </w:pPr>
            <w:r w:rsidRPr="008A26D2">
              <w:rPr>
                <w:rFonts w:ascii="Arial" w:eastAsia="Arial Narrow" w:hAnsi="Arial" w:cs="Arial"/>
                <w:sz w:val="20"/>
                <w:szCs w:val="20"/>
              </w:rPr>
              <w:t>Percepción</w:t>
            </w:r>
          </w:p>
        </w:tc>
      </w:tr>
      <w:tr w:rsidR="00701F97" w:rsidRPr="008A26D2" w14:paraId="04052CCD" w14:textId="77777777" w:rsidTr="00160C8B">
        <w:trPr>
          <w:trHeight w:val="300"/>
          <w:jc w:val="center"/>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5B5AA06" w14:textId="77777777" w:rsidR="00701F97" w:rsidRPr="008A26D2" w:rsidRDefault="00701F97" w:rsidP="00160C8B">
            <w:pPr>
              <w:tabs>
                <w:tab w:val="left" w:pos="3375"/>
              </w:tabs>
              <w:rPr>
                <w:rFonts w:ascii="Arial" w:eastAsia="Arial Narrow" w:hAnsi="Arial" w:cs="Arial"/>
                <w:b/>
                <w:sz w:val="20"/>
                <w:szCs w:val="20"/>
              </w:rPr>
            </w:pPr>
            <w:r w:rsidRPr="008A26D2">
              <w:rPr>
                <w:rFonts w:ascii="Arial" w:eastAsia="Arial Narrow" w:hAnsi="Arial" w:cs="Arial"/>
                <w:b/>
                <w:sz w:val="20"/>
                <w:szCs w:val="20"/>
              </w:rPr>
              <w:t xml:space="preserve"> Descripción del estándar</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35" w:type="dxa"/>
              <w:bottom w:w="0" w:type="dxa"/>
              <w:right w:w="15" w:type="dxa"/>
            </w:tcMar>
            <w:vAlign w:val="center"/>
          </w:tcPr>
          <w:p w14:paraId="45485C2E" w14:textId="77777777" w:rsidR="00701F97" w:rsidRPr="008A26D2" w:rsidRDefault="00701F97" w:rsidP="00160C8B">
            <w:pPr>
              <w:tabs>
                <w:tab w:val="left" w:pos="3375"/>
              </w:tabs>
              <w:ind w:left="8"/>
              <w:jc w:val="both"/>
              <w:rPr>
                <w:rFonts w:ascii="Arial" w:eastAsia="Arial Narrow" w:hAnsi="Arial" w:cs="Arial"/>
                <w:sz w:val="20"/>
                <w:szCs w:val="20"/>
              </w:rPr>
            </w:pPr>
            <w:r w:rsidRPr="008A26D2">
              <w:rPr>
                <w:rFonts w:ascii="Arial" w:eastAsia="Times New Roman" w:hAnsi="Arial" w:cs="Arial"/>
                <w:sz w:val="20"/>
                <w:szCs w:val="20"/>
                <w:lang w:val="es-ES"/>
              </w:rPr>
              <w:t xml:space="preserve">El estándar del servicio es de percepción debido a que se busca satisfacer las expectativas de capacitación sobre </w:t>
            </w:r>
            <w:r w:rsidRPr="008A26D2">
              <w:rPr>
                <w:rFonts w:ascii="Arial" w:eastAsia="Arial Narrow" w:hAnsi="Arial" w:cs="Arial"/>
                <w:sz w:val="20"/>
                <w:szCs w:val="20"/>
              </w:rPr>
              <w:t>sistemas de manejo para la producción sostenible de los recursos forestales y de fauna silvestre amazónica</w:t>
            </w:r>
            <w:r w:rsidRPr="008A26D2">
              <w:rPr>
                <w:rFonts w:ascii="Arial" w:eastAsia="Times New Roman" w:hAnsi="Arial" w:cs="Arial"/>
                <w:sz w:val="20"/>
                <w:szCs w:val="20"/>
                <w:lang w:val="es-ES"/>
              </w:rPr>
              <w:t xml:space="preserve"> a los </w:t>
            </w:r>
            <w:r w:rsidRPr="008A26D2">
              <w:rPr>
                <w:rFonts w:ascii="Arial" w:eastAsia="Arial Narrow" w:hAnsi="Arial" w:cs="Arial"/>
                <w:sz w:val="20"/>
                <w:szCs w:val="20"/>
              </w:rPr>
              <w:t>usuarios interesados.</w:t>
            </w:r>
          </w:p>
        </w:tc>
      </w:tr>
      <w:tr w:rsidR="00701F97" w:rsidRPr="008A26D2" w14:paraId="04AD9E71" w14:textId="77777777" w:rsidTr="00160C8B">
        <w:trPr>
          <w:trHeight w:val="491"/>
          <w:jc w:val="center"/>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5947104" w14:textId="77777777" w:rsidR="00701F97" w:rsidRPr="008A26D2" w:rsidRDefault="00701F97" w:rsidP="00160C8B">
            <w:pPr>
              <w:tabs>
                <w:tab w:val="left" w:pos="3375"/>
              </w:tabs>
              <w:rPr>
                <w:rFonts w:ascii="Arial" w:eastAsia="Arial Narrow" w:hAnsi="Arial" w:cs="Arial"/>
                <w:b/>
                <w:sz w:val="20"/>
                <w:szCs w:val="20"/>
              </w:rPr>
            </w:pPr>
            <w:r w:rsidRPr="008A26D2">
              <w:rPr>
                <w:rFonts w:ascii="Arial" w:eastAsia="Arial Narrow" w:hAnsi="Arial" w:cs="Arial"/>
                <w:b/>
                <w:sz w:val="20"/>
                <w:szCs w:val="20"/>
              </w:rPr>
              <w:t>Indicador de calidad</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3AC0774D" w14:textId="77777777" w:rsidR="00701F97" w:rsidRPr="008A26D2" w:rsidRDefault="00701F97" w:rsidP="00160C8B">
            <w:pPr>
              <w:tabs>
                <w:tab w:val="left" w:pos="3375"/>
              </w:tabs>
              <w:jc w:val="both"/>
              <w:rPr>
                <w:rFonts w:ascii="Arial" w:eastAsia="Arial Narrow" w:hAnsi="Arial" w:cs="Arial"/>
                <w:b/>
                <w:sz w:val="20"/>
                <w:szCs w:val="20"/>
              </w:rPr>
            </w:pPr>
            <w:r w:rsidRPr="008A26D2">
              <w:rPr>
                <w:rFonts w:ascii="Arial" w:eastAsia="Arial Narrow" w:hAnsi="Arial" w:cs="Arial"/>
                <w:sz w:val="20"/>
                <w:szCs w:val="20"/>
              </w:rPr>
              <w:t xml:space="preserve">Porcentaje de </w:t>
            </w:r>
            <w:r w:rsidRPr="008A26D2">
              <w:rPr>
                <w:rFonts w:ascii="Arial" w:hAnsi="Arial" w:cs="Arial"/>
                <w:bCs/>
                <w:sz w:val="20"/>
                <w:szCs w:val="20"/>
              </w:rPr>
              <w:t>u</w:t>
            </w:r>
            <w:r w:rsidRPr="008A26D2">
              <w:rPr>
                <w:rFonts w:ascii="Arial" w:hAnsi="Arial" w:cs="Arial"/>
                <w:sz w:val="20"/>
                <w:szCs w:val="20"/>
              </w:rPr>
              <w:t>suarios forestales y de fauna silvestre</w:t>
            </w:r>
            <w:r w:rsidRPr="008A26D2">
              <w:rPr>
                <w:rFonts w:ascii="Arial" w:hAnsi="Arial" w:cs="Arial"/>
                <w:bCs/>
                <w:sz w:val="20"/>
                <w:szCs w:val="20"/>
              </w:rPr>
              <w:t xml:space="preserve"> </w:t>
            </w:r>
            <w:r w:rsidRPr="008A26D2">
              <w:rPr>
                <w:rFonts w:ascii="Arial" w:eastAsia="Arial Narrow" w:hAnsi="Arial" w:cs="Arial"/>
                <w:sz w:val="20"/>
                <w:szCs w:val="20"/>
              </w:rPr>
              <w:t xml:space="preserve">y servidores de entidades públicas </w:t>
            </w:r>
            <w:r w:rsidRPr="008A26D2">
              <w:rPr>
                <w:rFonts w:ascii="Arial" w:hAnsi="Arial" w:cs="Arial"/>
                <w:sz w:val="20"/>
                <w:szCs w:val="20"/>
              </w:rPr>
              <w:t xml:space="preserve">con alto grado de satisfacción sobre las capacitaciones recibidas </w:t>
            </w:r>
            <w:r w:rsidRPr="008A26D2">
              <w:rPr>
                <w:rFonts w:ascii="Arial" w:eastAsia="Arial Narrow" w:hAnsi="Arial" w:cs="Arial"/>
                <w:sz w:val="20"/>
                <w:szCs w:val="20"/>
              </w:rPr>
              <w:t>en sistemas de manejo para la producción sostenible de recursos forestales y de fauna silvestre amazónica</w:t>
            </w:r>
          </w:p>
        </w:tc>
      </w:tr>
    </w:tbl>
    <w:p w14:paraId="13A403E2" w14:textId="77777777" w:rsidR="00701F97" w:rsidRPr="008A26D2" w:rsidRDefault="00701F97" w:rsidP="00701F97">
      <w:pPr>
        <w:rPr>
          <w:rFonts w:ascii="Arial Narrow" w:eastAsia="Arial Narrow" w:hAnsi="Arial Narrow" w:cs="Arial Narrow"/>
          <w:b/>
        </w:rPr>
      </w:pPr>
    </w:p>
    <w:p w14:paraId="068FB858" w14:textId="77777777" w:rsidR="003B4430" w:rsidRDefault="003B4430" w:rsidP="00C8135D">
      <w:pPr>
        <w:jc w:val="both"/>
        <w:rPr>
          <w:rFonts w:ascii="Arial Narrow" w:eastAsia="Arial Narrow" w:hAnsi="Arial Narrow" w:cs="Arial Narrow"/>
          <w:b/>
        </w:rPr>
      </w:pPr>
    </w:p>
    <w:p w14:paraId="61A091D3" w14:textId="77777777" w:rsidR="00701F97" w:rsidRDefault="00701F97" w:rsidP="00C8135D">
      <w:pPr>
        <w:jc w:val="both"/>
        <w:rPr>
          <w:rFonts w:ascii="Arial Narrow" w:eastAsia="Arial Narrow" w:hAnsi="Arial Narrow" w:cs="Arial Narrow"/>
          <w:b/>
        </w:rPr>
      </w:pPr>
    </w:p>
    <w:p w14:paraId="78A54D95" w14:textId="77777777" w:rsidR="00DC5551" w:rsidRDefault="00DC5551" w:rsidP="00C8135D">
      <w:pPr>
        <w:jc w:val="both"/>
        <w:rPr>
          <w:rFonts w:ascii="Arial Narrow" w:eastAsia="Arial Narrow" w:hAnsi="Arial Narrow" w:cs="Arial Narrow"/>
          <w:b/>
        </w:rPr>
      </w:pPr>
    </w:p>
    <w:p w14:paraId="6BE42961" w14:textId="77777777" w:rsidR="00DC5551" w:rsidRDefault="00DC5551" w:rsidP="00C8135D">
      <w:pPr>
        <w:jc w:val="both"/>
        <w:rPr>
          <w:rFonts w:ascii="Arial Narrow" w:eastAsia="Arial Narrow" w:hAnsi="Arial Narrow" w:cs="Arial Narrow"/>
          <w:b/>
        </w:rPr>
      </w:pPr>
    </w:p>
    <w:p w14:paraId="3572C1C5" w14:textId="77777777" w:rsidR="00701F97" w:rsidRDefault="00701F97" w:rsidP="00C8135D">
      <w:pPr>
        <w:jc w:val="both"/>
        <w:rPr>
          <w:rFonts w:ascii="Arial Narrow" w:eastAsia="Arial Narrow" w:hAnsi="Arial Narrow" w:cs="Arial Narrow"/>
          <w:b/>
        </w:rPr>
      </w:pPr>
    </w:p>
    <w:p w14:paraId="0D041E17" w14:textId="6B1BDA49" w:rsidR="006F4C42" w:rsidRPr="008A26D2" w:rsidRDefault="00726448" w:rsidP="000D1705">
      <w:pPr>
        <w:tabs>
          <w:tab w:val="left" w:pos="3375"/>
        </w:tabs>
        <w:rPr>
          <w:rFonts w:ascii="Arial" w:eastAsia="Arial Narrow" w:hAnsi="Arial" w:cs="Arial"/>
        </w:rPr>
      </w:pPr>
      <w:r w:rsidRPr="008A26D2">
        <w:rPr>
          <w:rFonts w:ascii="Arial" w:eastAsia="Arial Narrow" w:hAnsi="Arial" w:cs="Arial"/>
          <w:b/>
          <w:bCs/>
        </w:rPr>
        <w:lastRenderedPageBreak/>
        <w:t>S1.7.</w:t>
      </w:r>
      <w:r w:rsidRPr="00E11FFB">
        <w:rPr>
          <w:rFonts w:ascii="Arial" w:eastAsia="Arial Narrow" w:hAnsi="Arial" w:cs="Arial"/>
          <w:b/>
          <w:bCs/>
        </w:rPr>
        <w:t>1.</w:t>
      </w:r>
      <w:r w:rsidRPr="00E11FFB">
        <w:rPr>
          <w:rFonts w:ascii="Arial" w:eastAsia="Arial Narrow" w:hAnsi="Arial" w:cs="Arial"/>
        </w:rPr>
        <w:t xml:space="preserve"> </w:t>
      </w:r>
      <w:r w:rsidR="00E11FFB" w:rsidRPr="00E11FFB">
        <w:rPr>
          <w:rFonts w:ascii="Arial" w:eastAsia="Arial Narrow" w:hAnsi="Arial" w:cs="Arial"/>
        </w:rPr>
        <w:t>Otorgamiento de derechos para el aprovechamiento sostenible de la vicuña de forma oportuna para las personas naturales o jurídicas</w:t>
      </w:r>
      <w:r w:rsidRPr="00E11FFB">
        <w:rPr>
          <w:rFonts w:ascii="Arial" w:eastAsia="Arial Narrow" w:hAnsi="Arial" w:cs="Arial"/>
        </w:rPr>
        <w:t>.</w:t>
      </w:r>
    </w:p>
    <w:tbl>
      <w:tblPr>
        <w:tblW w:w="8784" w:type="dxa"/>
        <w:jc w:val="center"/>
        <w:tblLayout w:type="fixed"/>
        <w:tblLook w:val="0600" w:firstRow="0" w:lastRow="0" w:firstColumn="0" w:lastColumn="0" w:noHBand="1" w:noVBand="1"/>
      </w:tblPr>
      <w:tblGrid>
        <w:gridCol w:w="2586"/>
        <w:gridCol w:w="2066"/>
        <w:gridCol w:w="2066"/>
        <w:gridCol w:w="2066"/>
      </w:tblGrid>
      <w:tr w:rsidR="008A26D2" w:rsidRPr="008A26D2" w14:paraId="4BB74192" w14:textId="77777777" w:rsidTr="0007448F">
        <w:trPr>
          <w:trHeight w:val="300"/>
          <w:jc w:val="center"/>
        </w:trPr>
        <w:tc>
          <w:tcPr>
            <w:tcW w:w="8784" w:type="dxa"/>
            <w:gridSpan w:val="4"/>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vAlign w:val="center"/>
          </w:tcPr>
          <w:p w14:paraId="4AE4EF25" w14:textId="091B4B1F" w:rsidR="00726448" w:rsidRPr="008A26D2" w:rsidRDefault="00726448" w:rsidP="0072651A">
            <w:pPr>
              <w:jc w:val="center"/>
              <w:rPr>
                <w:rFonts w:ascii="Arial" w:eastAsia="Arial Narrow" w:hAnsi="Arial" w:cs="Arial"/>
                <w:sz w:val="20"/>
                <w:szCs w:val="20"/>
              </w:rPr>
            </w:pPr>
            <w:r w:rsidRPr="008A26D2">
              <w:rPr>
                <w:rFonts w:ascii="Arial" w:eastAsia="Arial Narrow" w:hAnsi="Arial" w:cs="Arial"/>
                <w:b/>
                <w:sz w:val="20"/>
                <w:szCs w:val="20"/>
              </w:rPr>
              <w:t xml:space="preserve">FICHA DEL SERVICIO </w:t>
            </w:r>
          </w:p>
        </w:tc>
      </w:tr>
      <w:tr w:rsidR="008A26D2" w:rsidRPr="008A26D2" w14:paraId="51086E26" w14:textId="77777777" w:rsidTr="0007448F">
        <w:trPr>
          <w:trHeight w:val="300"/>
          <w:jc w:val="center"/>
        </w:trPr>
        <w:tc>
          <w:tcPr>
            <w:tcW w:w="258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05B63CA" w14:textId="77777777" w:rsidR="00726448" w:rsidRPr="008A26D2" w:rsidRDefault="00726448" w:rsidP="0072651A">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 xml:space="preserve"> Objetivo prioritario:</w:t>
            </w:r>
          </w:p>
        </w:tc>
        <w:tc>
          <w:tcPr>
            <w:tcW w:w="619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D102FD9" w14:textId="77777777" w:rsidR="00726448" w:rsidRPr="008A26D2" w:rsidRDefault="00726448" w:rsidP="0072651A">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r>
      <w:tr w:rsidR="008A26D2" w:rsidRPr="008A26D2" w14:paraId="29E71A6E" w14:textId="77777777" w:rsidTr="0007448F">
        <w:trPr>
          <w:trHeight w:val="300"/>
          <w:jc w:val="center"/>
        </w:trPr>
        <w:tc>
          <w:tcPr>
            <w:tcW w:w="258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B768B3C" w14:textId="77777777" w:rsidR="00726448" w:rsidRPr="008A26D2" w:rsidRDefault="00726448" w:rsidP="0072651A">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 xml:space="preserve"> Lineamiento:</w:t>
            </w:r>
          </w:p>
        </w:tc>
        <w:tc>
          <w:tcPr>
            <w:tcW w:w="619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DC85810" w14:textId="77777777" w:rsidR="00726448" w:rsidRPr="008A26D2" w:rsidRDefault="00726448" w:rsidP="0072651A">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L1.7 Fomentar la conservación y aprovechamiento sostenible de la vicuña como una prioridad estratégica para el desarrollo sostenible de las poblaciones altoandinas.</w:t>
            </w:r>
          </w:p>
        </w:tc>
      </w:tr>
      <w:tr w:rsidR="008A26D2" w:rsidRPr="008A26D2" w14:paraId="778E9AC8" w14:textId="77777777" w:rsidTr="0007448F">
        <w:trPr>
          <w:trHeight w:val="278"/>
          <w:jc w:val="center"/>
        </w:trPr>
        <w:tc>
          <w:tcPr>
            <w:tcW w:w="258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1EDC5C7" w14:textId="77777777" w:rsidR="00726448" w:rsidRPr="008A26D2" w:rsidRDefault="00726448" w:rsidP="0072651A">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 xml:space="preserve"> Nombre del servicio:</w:t>
            </w:r>
          </w:p>
        </w:tc>
        <w:tc>
          <w:tcPr>
            <w:tcW w:w="619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9C938A3" w14:textId="49335F36" w:rsidR="00726448" w:rsidRPr="008A26D2" w:rsidRDefault="00726448" w:rsidP="0072651A">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S1.7.1. Otorgamiento de derechos para el aprovechamiento sostenible de la vicuña de forma oportuna para </w:t>
            </w:r>
            <w:r w:rsidR="006E5CD7" w:rsidRPr="008A26D2">
              <w:rPr>
                <w:rFonts w:ascii="Arial" w:eastAsia="Arial Narrow" w:hAnsi="Arial" w:cs="Arial"/>
                <w:sz w:val="20"/>
                <w:szCs w:val="20"/>
              </w:rPr>
              <w:t>las personas naturales o jurídicas</w:t>
            </w:r>
            <w:r w:rsidRPr="008A26D2">
              <w:rPr>
                <w:rFonts w:ascii="Arial" w:eastAsia="Arial Narrow" w:hAnsi="Arial" w:cs="Arial"/>
                <w:sz w:val="20"/>
                <w:szCs w:val="20"/>
              </w:rPr>
              <w:t>.</w:t>
            </w:r>
          </w:p>
        </w:tc>
      </w:tr>
      <w:tr w:rsidR="008A26D2" w:rsidRPr="008A26D2" w14:paraId="1CC84B30" w14:textId="77777777" w:rsidTr="0007448F">
        <w:trPr>
          <w:trHeight w:val="300"/>
          <w:jc w:val="center"/>
        </w:trPr>
        <w:tc>
          <w:tcPr>
            <w:tcW w:w="258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4D4D521" w14:textId="77777777" w:rsidR="00726448" w:rsidRPr="008A26D2" w:rsidRDefault="00726448" w:rsidP="0072651A">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Tipo de servicio:</w:t>
            </w:r>
          </w:p>
        </w:tc>
        <w:tc>
          <w:tcPr>
            <w:tcW w:w="619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401312C" w14:textId="77777777" w:rsidR="00726448" w:rsidRPr="008A26D2" w:rsidRDefault="00726448" w:rsidP="0072651A">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Mejorado</w:t>
            </w:r>
          </w:p>
        </w:tc>
      </w:tr>
      <w:tr w:rsidR="008A26D2" w:rsidRPr="008A26D2" w14:paraId="300F6217" w14:textId="77777777" w:rsidTr="0007448F">
        <w:trPr>
          <w:trHeight w:val="300"/>
          <w:jc w:val="center"/>
        </w:trPr>
        <w:tc>
          <w:tcPr>
            <w:tcW w:w="258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63A13E6" w14:textId="7B1B2584" w:rsidR="00F72E5F" w:rsidRPr="008A26D2" w:rsidRDefault="00F72E5F" w:rsidP="00F72E5F">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hAnsi="Arial" w:cs="Arial"/>
                <w:b/>
                <w:sz w:val="20"/>
                <w:szCs w:val="20"/>
              </w:rPr>
              <w:t>Naturaleza del servicio:</w:t>
            </w:r>
          </w:p>
        </w:tc>
        <w:tc>
          <w:tcPr>
            <w:tcW w:w="619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D1A2BCE" w14:textId="62DAD6E0" w:rsidR="00F72E5F" w:rsidRPr="008A26D2" w:rsidRDefault="009E5E9D"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N</w:t>
            </w:r>
            <w:r w:rsidR="00F72E5F" w:rsidRPr="008A26D2">
              <w:rPr>
                <w:rFonts w:ascii="Arial" w:eastAsia="Arial Narrow" w:hAnsi="Arial" w:cs="Arial"/>
                <w:sz w:val="20"/>
                <w:szCs w:val="20"/>
              </w:rPr>
              <w:t xml:space="preserve">o prestacional </w:t>
            </w:r>
          </w:p>
        </w:tc>
      </w:tr>
      <w:tr w:rsidR="008A26D2" w:rsidRPr="008A26D2" w14:paraId="2031F392" w14:textId="77777777" w:rsidTr="0007448F">
        <w:trPr>
          <w:trHeight w:val="300"/>
          <w:jc w:val="center"/>
        </w:trPr>
        <w:tc>
          <w:tcPr>
            <w:tcW w:w="258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7BB307E" w14:textId="2288B70E" w:rsidR="00F72E5F" w:rsidRPr="008A26D2" w:rsidRDefault="00F72E5F" w:rsidP="00F72E5F">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hAnsi="Arial" w:cs="Arial"/>
                <w:b/>
                <w:sz w:val="20"/>
                <w:szCs w:val="20"/>
              </w:rPr>
              <w:t>Entrega del servicio</w:t>
            </w:r>
          </w:p>
        </w:tc>
        <w:tc>
          <w:tcPr>
            <w:tcW w:w="619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3402E03" w14:textId="37FE5AD5"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Competencia compartida</w:t>
            </w:r>
          </w:p>
        </w:tc>
      </w:tr>
      <w:tr w:rsidR="008A26D2" w:rsidRPr="008A26D2" w14:paraId="2AD7AA18" w14:textId="77777777" w:rsidTr="0007448F">
        <w:trPr>
          <w:trHeight w:val="300"/>
          <w:jc w:val="center"/>
        </w:trPr>
        <w:tc>
          <w:tcPr>
            <w:tcW w:w="258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AF940FC" w14:textId="77777777" w:rsidR="00F72E5F" w:rsidRPr="008A26D2" w:rsidRDefault="00F72E5F" w:rsidP="00F72E5F">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 xml:space="preserve"> Descripción del servicio</w:t>
            </w:r>
          </w:p>
        </w:tc>
        <w:tc>
          <w:tcPr>
            <w:tcW w:w="619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73EE780" w14:textId="546B4880"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El presente servicio consiste en la atención de las solicitudes que presentan las personas naturales o jurídicas (comunidades, asociaciones, empresas de origen comunal, acopiadores, transformadores, comercializadores, etc.)  para acceder al manejo y aprovechamiento sostenible de la vicuña. </w:t>
            </w:r>
          </w:p>
          <w:p w14:paraId="2343FF2E" w14:textId="77777777"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 </w:t>
            </w:r>
          </w:p>
          <w:p w14:paraId="02A14DD9" w14:textId="77777777"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La atención de las solicitudes es hasta la emisión de la resolución administrativa, resolución directoral, autorización, certificados y permisos correspondiente emitidos en los plazos establecidos según la normativa vigente.</w:t>
            </w:r>
          </w:p>
          <w:p w14:paraId="013431E9" w14:textId="77777777"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p>
          <w:p w14:paraId="4A6B7457" w14:textId="77777777"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La atención de las solicitudes se tienen las siguientes etapas:</w:t>
            </w:r>
          </w:p>
          <w:p w14:paraId="175AFD07" w14:textId="77777777"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p>
          <w:p w14:paraId="18A9AA98" w14:textId="77777777" w:rsidR="00F72E5F" w:rsidRPr="008A26D2" w:rsidRDefault="00F72E5F" w:rsidP="00F72E5F">
            <w:pPr>
              <w:numPr>
                <w:ilvl w:val="0"/>
                <w:numId w:val="12"/>
              </w:numPr>
              <w:pBdr>
                <w:top w:val="nil"/>
                <w:left w:val="nil"/>
                <w:bottom w:val="nil"/>
                <w:right w:val="nil"/>
                <w:between w:val="nil"/>
              </w:pBdr>
              <w:spacing w:after="0" w:line="240" w:lineRule="auto"/>
              <w:ind w:left="566" w:hanging="141"/>
              <w:jc w:val="both"/>
              <w:rPr>
                <w:rFonts w:ascii="Arial" w:eastAsia="Arial Narrow" w:hAnsi="Arial" w:cs="Arial"/>
                <w:sz w:val="20"/>
                <w:szCs w:val="20"/>
              </w:rPr>
            </w:pPr>
            <w:r w:rsidRPr="008A26D2">
              <w:rPr>
                <w:rFonts w:ascii="Arial" w:eastAsia="Arial Narrow" w:hAnsi="Arial" w:cs="Arial"/>
                <w:sz w:val="20"/>
                <w:szCs w:val="20"/>
              </w:rPr>
              <w:t>Evaluación de requisitos</w:t>
            </w:r>
          </w:p>
          <w:p w14:paraId="400253C6" w14:textId="77777777" w:rsidR="00F72E5F" w:rsidRPr="008A26D2" w:rsidRDefault="00F72E5F" w:rsidP="00F72E5F">
            <w:pPr>
              <w:numPr>
                <w:ilvl w:val="0"/>
                <w:numId w:val="12"/>
              </w:numPr>
              <w:pBdr>
                <w:top w:val="nil"/>
                <w:left w:val="nil"/>
                <w:bottom w:val="nil"/>
                <w:right w:val="nil"/>
                <w:between w:val="nil"/>
              </w:pBdr>
              <w:spacing w:after="0" w:line="240" w:lineRule="auto"/>
              <w:ind w:left="566" w:hanging="141"/>
              <w:jc w:val="both"/>
              <w:rPr>
                <w:rFonts w:ascii="Arial" w:eastAsia="Arial Narrow" w:hAnsi="Arial" w:cs="Arial"/>
                <w:sz w:val="20"/>
                <w:szCs w:val="20"/>
              </w:rPr>
            </w:pPr>
            <w:r w:rsidRPr="008A26D2">
              <w:rPr>
                <w:rFonts w:ascii="Arial" w:eastAsia="Arial Narrow" w:hAnsi="Arial" w:cs="Arial"/>
                <w:sz w:val="20"/>
                <w:szCs w:val="20"/>
              </w:rPr>
              <w:t>Evaluación del expediente (contenido técnico)</w:t>
            </w:r>
          </w:p>
          <w:p w14:paraId="3454A281" w14:textId="77777777" w:rsidR="00F72E5F" w:rsidRPr="008A26D2" w:rsidRDefault="00F72E5F" w:rsidP="00F72E5F">
            <w:pPr>
              <w:numPr>
                <w:ilvl w:val="0"/>
                <w:numId w:val="12"/>
              </w:numPr>
              <w:pBdr>
                <w:top w:val="nil"/>
                <w:left w:val="nil"/>
                <w:bottom w:val="nil"/>
                <w:right w:val="nil"/>
                <w:between w:val="nil"/>
              </w:pBdr>
              <w:spacing w:after="0" w:line="240" w:lineRule="auto"/>
              <w:ind w:left="566" w:hanging="141"/>
              <w:jc w:val="both"/>
              <w:rPr>
                <w:rFonts w:ascii="Arial" w:eastAsia="Arial Narrow" w:hAnsi="Arial" w:cs="Arial"/>
                <w:sz w:val="20"/>
                <w:szCs w:val="20"/>
              </w:rPr>
            </w:pPr>
            <w:r w:rsidRPr="008A26D2">
              <w:rPr>
                <w:rFonts w:ascii="Arial" w:eastAsia="Arial Narrow" w:hAnsi="Arial" w:cs="Arial"/>
                <w:sz w:val="20"/>
                <w:szCs w:val="20"/>
              </w:rPr>
              <w:t>Evaluación legal (de corresponder)</w:t>
            </w:r>
          </w:p>
          <w:p w14:paraId="2DEB04F5" w14:textId="290B724B" w:rsidR="00F72E5F" w:rsidRPr="008A26D2" w:rsidRDefault="00F72E5F" w:rsidP="00F72E5F">
            <w:pPr>
              <w:numPr>
                <w:ilvl w:val="0"/>
                <w:numId w:val="12"/>
              </w:numPr>
              <w:pBdr>
                <w:top w:val="nil"/>
                <w:left w:val="nil"/>
                <w:bottom w:val="nil"/>
                <w:right w:val="nil"/>
                <w:between w:val="nil"/>
              </w:pBdr>
              <w:spacing w:after="0" w:line="240" w:lineRule="auto"/>
              <w:ind w:left="566" w:hanging="141"/>
              <w:jc w:val="both"/>
              <w:rPr>
                <w:rFonts w:ascii="Arial" w:eastAsia="Arial Narrow" w:hAnsi="Arial" w:cs="Arial"/>
                <w:sz w:val="20"/>
                <w:szCs w:val="20"/>
              </w:rPr>
            </w:pPr>
            <w:r w:rsidRPr="008A26D2">
              <w:rPr>
                <w:rFonts w:ascii="Arial" w:eastAsia="Arial Narrow" w:hAnsi="Arial" w:cs="Arial"/>
                <w:sz w:val="20"/>
                <w:szCs w:val="20"/>
              </w:rPr>
              <w:t>Evaluación catastral (Declaración de Manejo, Repoblamiento)</w:t>
            </w:r>
          </w:p>
          <w:p w14:paraId="2C29F988" w14:textId="392CBF31" w:rsidR="00F72E5F" w:rsidRPr="008A26D2" w:rsidRDefault="00F72E5F" w:rsidP="00F72E5F">
            <w:pPr>
              <w:numPr>
                <w:ilvl w:val="0"/>
                <w:numId w:val="12"/>
              </w:numPr>
              <w:pBdr>
                <w:top w:val="nil"/>
                <w:left w:val="nil"/>
                <w:bottom w:val="nil"/>
                <w:right w:val="nil"/>
                <w:between w:val="nil"/>
              </w:pBdr>
              <w:spacing w:after="0" w:line="240" w:lineRule="auto"/>
              <w:ind w:left="566" w:hanging="141"/>
              <w:jc w:val="both"/>
              <w:rPr>
                <w:rFonts w:ascii="Arial" w:eastAsia="Arial Narrow" w:hAnsi="Arial" w:cs="Arial"/>
                <w:sz w:val="20"/>
                <w:szCs w:val="20"/>
              </w:rPr>
            </w:pPr>
            <w:r w:rsidRPr="008A26D2">
              <w:rPr>
                <w:rFonts w:ascii="Arial" w:eastAsia="Arial Narrow" w:hAnsi="Arial" w:cs="Arial"/>
                <w:sz w:val="20"/>
                <w:szCs w:val="20"/>
              </w:rPr>
              <w:t>Inspección ocular in situ (Declaración de Manejo, Repoblamientos, Permiso exportación CITES)</w:t>
            </w:r>
          </w:p>
          <w:p w14:paraId="615697AB" w14:textId="77777777" w:rsidR="00F72E5F" w:rsidRPr="008A26D2" w:rsidRDefault="00F72E5F" w:rsidP="00F72E5F">
            <w:pPr>
              <w:numPr>
                <w:ilvl w:val="0"/>
                <w:numId w:val="12"/>
              </w:numPr>
              <w:pBdr>
                <w:top w:val="nil"/>
                <w:left w:val="nil"/>
                <w:bottom w:val="nil"/>
                <w:right w:val="nil"/>
                <w:between w:val="nil"/>
              </w:pBdr>
              <w:spacing w:after="0" w:line="240" w:lineRule="auto"/>
              <w:ind w:left="566" w:hanging="141"/>
              <w:jc w:val="both"/>
              <w:rPr>
                <w:rFonts w:ascii="Arial" w:eastAsia="Arial Narrow" w:hAnsi="Arial" w:cs="Arial"/>
                <w:sz w:val="20"/>
                <w:szCs w:val="20"/>
              </w:rPr>
            </w:pPr>
            <w:r w:rsidRPr="008A26D2">
              <w:rPr>
                <w:rFonts w:ascii="Arial" w:eastAsia="Arial Narrow" w:hAnsi="Arial" w:cs="Arial"/>
                <w:sz w:val="20"/>
                <w:szCs w:val="20"/>
              </w:rPr>
              <w:t>Elaboración del informe técnico y documento de aprobación de la solicitud</w:t>
            </w:r>
          </w:p>
          <w:p w14:paraId="52055CFA" w14:textId="77777777" w:rsidR="00F72E5F" w:rsidRPr="008A26D2" w:rsidRDefault="00F72E5F" w:rsidP="00F72E5F">
            <w:pPr>
              <w:numPr>
                <w:ilvl w:val="0"/>
                <w:numId w:val="12"/>
              </w:numPr>
              <w:pBdr>
                <w:top w:val="nil"/>
                <w:left w:val="nil"/>
                <w:bottom w:val="nil"/>
                <w:right w:val="nil"/>
                <w:between w:val="nil"/>
              </w:pBdr>
              <w:spacing w:after="0" w:line="240" w:lineRule="auto"/>
              <w:ind w:left="566" w:hanging="141"/>
              <w:jc w:val="both"/>
              <w:rPr>
                <w:rFonts w:ascii="Arial" w:eastAsia="Arial Narrow" w:hAnsi="Arial" w:cs="Arial"/>
                <w:sz w:val="20"/>
                <w:szCs w:val="20"/>
              </w:rPr>
            </w:pPr>
            <w:r w:rsidRPr="008A26D2">
              <w:rPr>
                <w:rFonts w:ascii="Arial" w:eastAsia="Arial Narrow" w:hAnsi="Arial" w:cs="Arial"/>
                <w:sz w:val="20"/>
                <w:szCs w:val="20"/>
              </w:rPr>
              <w:t xml:space="preserve">Emisión de la resolución administrativa o directoral, autorización, certificado o permisos </w:t>
            </w:r>
          </w:p>
          <w:p w14:paraId="32CCC534" w14:textId="77777777" w:rsidR="00F72E5F" w:rsidRPr="008A26D2" w:rsidRDefault="00F72E5F" w:rsidP="00F72E5F">
            <w:pPr>
              <w:pBdr>
                <w:top w:val="nil"/>
                <w:left w:val="nil"/>
                <w:bottom w:val="nil"/>
                <w:right w:val="nil"/>
                <w:between w:val="nil"/>
              </w:pBdr>
              <w:spacing w:after="0" w:line="240" w:lineRule="auto"/>
              <w:ind w:left="720"/>
              <w:jc w:val="both"/>
              <w:rPr>
                <w:rFonts w:ascii="Arial" w:eastAsia="Arial Narrow" w:hAnsi="Arial" w:cs="Arial"/>
                <w:sz w:val="20"/>
                <w:szCs w:val="20"/>
              </w:rPr>
            </w:pPr>
          </w:p>
          <w:p w14:paraId="74B62252" w14:textId="032FE74F" w:rsidR="00F72E5F" w:rsidRPr="008A26D2" w:rsidRDefault="00F72E5F" w:rsidP="00F72E5F">
            <w:pPr>
              <w:jc w:val="both"/>
              <w:rPr>
                <w:rFonts w:ascii="Arial" w:eastAsia="Arial Narrow" w:hAnsi="Arial" w:cs="Arial"/>
                <w:sz w:val="20"/>
                <w:szCs w:val="20"/>
              </w:rPr>
            </w:pPr>
            <w:r w:rsidRPr="008A26D2">
              <w:rPr>
                <w:rFonts w:ascii="Arial" w:eastAsia="Arial Narrow" w:hAnsi="Arial" w:cs="Arial"/>
                <w:sz w:val="20"/>
                <w:szCs w:val="20"/>
              </w:rPr>
              <w:t xml:space="preserve">El servicio es de tipo mejorado porque se realiza simplificaciones en los requisitos y plazos en beneficio del ciudadano de tal forma que las personas naturales y jurídicas (comunidades campesinas, asociaciones de origen comunal, acopiadores, transformadores, comercializadores, etc.) puedan acceder al manejo y aprovechamiento sostenible de la vicuña. El otorgamiento de derechos permite obtener la fibra de vicuña de animal esquilado vivo hasta su comercialización en el mercado nacional o internacional, asegurando el origen legal </w:t>
            </w:r>
            <w:r w:rsidRPr="00846D49">
              <w:rPr>
                <w:rFonts w:ascii="Arial" w:eastAsia="Arial Narrow" w:hAnsi="Arial" w:cs="Arial"/>
                <w:sz w:val="20"/>
                <w:szCs w:val="20"/>
              </w:rPr>
              <w:t>y la trazabilidad en los procesos de limpieza y transformación de la misma. Los plazos varían entre 5 y 20 días</w:t>
            </w:r>
            <w:r w:rsidR="00311718" w:rsidRPr="00846D49">
              <w:rPr>
                <w:rFonts w:ascii="Arial" w:eastAsia="Arial Narrow" w:hAnsi="Arial" w:cs="Arial"/>
                <w:sz w:val="20"/>
                <w:szCs w:val="20"/>
              </w:rPr>
              <w:t xml:space="preserve"> de presentada la solicitud</w:t>
            </w:r>
            <w:r w:rsidRPr="00846D49">
              <w:rPr>
                <w:rFonts w:ascii="Arial" w:eastAsia="Arial Narrow" w:hAnsi="Arial" w:cs="Arial"/>
                <w:sz w:val="20"/>
                <w:szCs w:val="20"/>
              </w:rPr>
              <w:t>, conforme a la Ley N° 27444, ley del Procedimiento Administrativo General así com</w:t>
            </w:r>
            <w:r w:rsidRPr="008A26D2">
              <w:rPr>
                <w:rFonts w:ascii="Arial" w:eastAsia="Arial Narrow" w:hAnsi="Arial" w:cs="Arial"/>
                <w:sz w:val="20"/>
                <w:szCs w:val="20"/>
              </w:rPr>
              <w:t>o al análisis de calidad regulatoria aprobado por la Presidencia de Consejo de Ministros correspondiente para cada procedimiento y la normativa sobre camélidos sudamericanos silvestre.</w:t>
            </w:r>
          </w:p>
          <w:p w14:paraId="0A4F9A1B" w14:textId="77777777" w:rsidR="00F72E5F" w:rsidRPr="008A26D2" w:rsidRDefault="00F72E5F" w:rsidP="00F72E5F">
            <w:pPr>
              <w:jc w:val="both"/>
              <w:rPr>
                <w:rFonts w:ascii="Arial" w:eastAsia="Arial Narrow" w:hAnsi="Arial" w:cs="Arial"/>
                <w:sz w:val="20"/>
                <w:szCs w:val="20"/>
              </w:rPr>
            </w:pPr>
            <w:r w:rsidRPr="008A26D2">
              <w:rPr>
                <w:rFonts w:ascii="Arial" w:eastAsia="Arial Narrow" w:hAnsi="Arial" w:cs="Arial"/>
                <w:sz w:val="20"/>
                <w:szCs w:val="20"/>
              </w:rPr>
              <w:lastRenderedPageBreak/>
              <w:t>Se viene trabajando para que la emisión de los actos resolutivos se realice de forma digital evitando que la población se desplace desde sus regiones a la ciudad de Lima para recoger éstos.</w:t>
            </w:r>
          </w:p>
        </w:tc>
      </w:tr>
      <w:tr w:rsidR="008A26D2" w:rsidRPr="008A26D2" w14:paraId="7D71A68F" w14:textId="77777777" w:rsidTr="0007448F">
        <w:trPr>
          <w:trHeight w:val="300"/>
          <w:jc w:val="center"/>
        </w:trPr>
        <w:tc>
          <w:tcPr>
            <w:tcW w:w="258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EA51B9C" w14:textId="77777777" w:rsidR="00F72E5F" w:rsidRPr="008A26D2" w:rsidRDefault="00F72E5F" w:rsidP="00F72E5F">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lastRenderedPageBreak/>
              <w:t xml:space="preserve"> Proveedor del servicio</w:t>
            </w:r>
          </w:p>
        </w:tc>
        <w:tc>
          <w:tcPr>
            <w:tcW w:w="619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4D5EF5C" w14:textId="77777777"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Servicio Nacional Forestal y de Fauna silvestre – SERFOR;</w:t>
            </w:r>
          </w:p>
          <w:p w14:paraId="0F20EEB1" w14:textId="01C16F4C" w:rsidR="00F72E5F" w:rsidRPr="008A26D2" w:rsidRDefault="00F72E5F" w:rsidP="00F72E5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Gobiernos Regionales - GORE </w:t>
            </w:r>
          </w:p>
        </w:tc>
      </w:tr>
      <w:tr w:rsidR="008A26D2" w:rsidRPr="008A26D2" w14:paraId="579F2BC0" w14:textId="77777777" w:rsidTr="005C1898">
        <w:trPr>
          <w:trHeight w:val="458"/>
          <w:jc w:val="center"/>
        </w:trPr>
        <w:tc>
          <w:tcPr>
            <w:tcW w:w="2586" w:type="dxa"/>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03B3D51B" w14:textId="77777777" w:rsidR="0025489B" w:rsidRPr="008A26D2" w:rsidRDefault="0025489B" w:rsidP="00F92620">
            <w:pPr>
              <w:spacing w:after="0" w:line="240" w:lineRule="auto"/>
              <w:rPr>
                <w:rFonts w:ascii="Arial" w:hAnsi="Arial" w:cs="Arial"/>
                <w:b/>
                <w:sz w:val="20"/>
                <w:szCs w:val="20"/>
              </w:rPr>
            </w:pPr>
            <w:r w:rsidRPr="008A26D2">
              <w:rPr>
                <w:rFonts w:ascii="Arial" w:hAnsi="Arial" w:cs="Arial"/>
                <w:b/>
                <w:sz w:val="20"/>
                <w:szCs w:val="20"/>
              </w:rPr>
              <w:t>Nivel (es) de gobierno que interviene</w:t>
            </w:r>
          </w:p>
          <w:p w14:paraId="4E427535" w14:textId="25031951" w:rsidR="0025489B" w:rsidRPr="008A26D2" w:rsidRDefault="0025489B" w:rsidP="0025489B">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hAnsi="Arial" w:cs="Arial"/>
                <w:b/>
                <w:sz w:val="20"/>
                <w:szCs w:val="20"/>
              </w:rPr>
              <w:t>(n) en la provisión del servicio</w:t>
            </w:r>
          </w:p>
        </w:tc>
        <w:tc>
          <w:tcPr>
            <w:tcW w:w="2066"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09EBA53D" w14:textId="36FD5A1F" w:rsidR="0025489B" w:rsidRPr="008A26D2" w:rsidRDefault="0025489B" w:rsidP="00E11FFB">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Nacional</w:t>
            </w:r>
          </w:p>
        </w:tc>
        <w:tc>
          <w:tcPr>
            <w:tcW w:w="2066" w:type="dxa"/>
            <w:tcBorders>
              <w:top w:val="single" w:sz="4" w:space="0" w:color="000000"/>
              <w:left w:val="single" w:sz="4" w:space="0" w:color="000000"/>
              <w:right w:val="single" w:sz="4" w:space="0" w:color="000000"/>
            </w:tcBorders>
            <w:shd w:val="clear" w:color="auto" w:fill="auto"/>
            <w:vAlign w:val="center"/>
          </w:tcPr>
          <w:p w14:paraId="302ECBDC" w14:textId="3077171A" w:rsidR="0025489B" w:rsidRPr="008A26D2" w:rsidRDefault="0025489B" w:rsidP="00E11FFB">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Regional</w:t>
            </w:r>
          </w:p>
        </w:tc>
        <w:tc>
          <w:tcPr>
            <w:tcW w:w="2066" w:type="dxa"/>
            <w:tcBorders>
              <w:top w:val="single" w:sz="4" w:space="0" w:color="000000"/>
              <w:left w:val="single" w:sz="4" w:space="0" w:color="000000"/>
              <w:right w:val="single" w:sz="4" w:space="0" w:color="000000"/>
            </w:tcBorders>
            <w:shd w:val="clear" w:color="auto" w:fill="auto"/>
            <w:vAlign w:val="center"/>
          </w:tcPr>
          <w:p w14:paraId="66975B87" w14:textId="63BE10FE" w:rsidR="0025489B" w:rsidRPr="008A26D2" w:rsidRDefault="0025489B" w:rsidP="00E11FFB">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Local</w:t>
            </w:r>
          </w:p>
        </w:tc>
      </w:tr>
      <w:tr w:rsidR="008A26D2" w:rsidRPr="008A26D2" w14:paraId="6F56B399" w14:textId="77777777" w:rsidTr="005C1898">
        <w:trPr>
          <w:trHeight w:val="457"/>
          <w:jc w:val="center"/>
        </w:trPr>
        <w:tc>
          <w:tcPr>
            <w:tcW w:w="2586" w:type="dxa"/>
            <w:vMerge/>
            <w:tcBorders>
              <w:left w:val="single" w:sz="4" w:space="0" w:color="000000"/>
              <w:right w:val="single" w:sz="4" w:space="0" w:color="000000"/>
            </w:tcBorders>
            <w:shd w:val="clear" w:color="auto" w:fill="auto"/>
            <w:tcMar>
              <w:top w:w="15" w:type="dxa"/>
              <w:left w:w="15" w:type="dxa"/>
              <w:bottom w:w="0" w:type="dxa"/>
              <w:right w:w="15" w:type="dxa"/>
            </w:tcMar>
            <w:vAlign w:val="center"/>
          </w:tcPr>
          <w:p w14:paraId="3B7EAF23" w14:textId="77777777" w:rsidR="0025489B" w:rsidRPr="008A26D2" w:rsidRDefault="0025489B" w:rsidP="0025489B">
            <w:pPr>
              <w:spacing w:after="0" w:line="240" w:lineRule="auto"/>
              <w:rPr>
                <w:rFonts w:ascii="Arial" w:hAnsi="Arial" w:cs="Arial"/>
                <w:b/>
                <w:sz w:val="20"/>
                <w:szCs w:val="20"/>
              </w:rPr>
            </w:pPr>
          </w:p>
        </w:tc>
        <w:tc>
          <w:tcPr>
            <w:tcW w:w="2066"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645C4B04" w14:textId="1AD92421" w:rsidR="0025489B" w:rsidRPr="008A26D2" w:rsidRDefault="009E5E9D" w:rsidP="00E11FFB">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X</w:t>
            </w:r>
          </w:p>
        </w:tc>
        <w:tc>
          <w:tcPr>
            <w:tcW w:w="2066" w:type="dxa"/>
            <w:tcBorders>
              <w:top w:val="single" w:sz="4" w:space="0" w:color="000000"/>
              <w:left w:val="single" w:sz="4" w:space="0" w:color="000000"/>
              <w:right w:val="single" w:sz="4" w:space="0" w:color="000000"/>
            </w:tcBorders>
            <w:shd w:val="clear" w:color="auto" w:fill="auto"/>
            <w:vAlign w:val="center"/>
          </w:tcPr>
          <w:p w14:paraId="43B6BCEF" w14:textId="2DD314EA" w:rsidR="0025489B" w:rsidRPr="008A26D2" w:rsidRDefault="009E5E9D" w:rsidP="00E11FFB">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X</w:t>
            </w:r>
          </w:p>
        </w:tc>
        <w:tc>
          <w:tcPr>
            <w:tcW w:w="2066" w:type="dxa"/>
            <w:tcBorders>
              <w:top w:val="single" w:sz="4" w:space="0" w:color="000000"/>
              <w:left w:val="single" w:sz="4" w:space="0" w:color="000000"/>
              <w:right w:val="single" w:sz="4" w:space="0" w:color="000000"/>
            </w:tcBorders>
            <w:shd w:val="clear" w:color="auto" w:fill="auto"/>
            <w:vAlign w:val="center"/>
          </w:tcPr>
          <w:p w14:paraId="0611AE41" w14:textId="47676361" w:rsidR="0025489B" w:rsidRPr="008A26D2" w:rsidRDefault="0025489B" w:rsidP="00E11FFB">
            <w:pPr>
              <w:pBdr>
                <w:top w:val="nil"/>
                <w:left w:val="nil"/>
                <w:bottom w:val="nil"/>
                <w:right w:val="nil"/>
                <w:between w:val="nil"/>
              </w:pBdr>
              <w:spacing w:after="0" w:line="240" w:lineRule="auto"/>
              <w:jc w:val="center"/>
              <w:rPr>
                <w:rFonts w:ascii="Arial" w:eastAsia="Arial Narrow" w:hAnsi="Arial" w:cs="Arial"/>
                <w:sz w:val="20"/>
                <w:szCs w:val="20"/>
              </w:rPr>
            </w:pPr>
          </w:p>
        </w:tc>
      </w:tr>
      <w:tr w:rsidR="008A26D2" w:rsidRPr="008A26D2" w14:paraId="3A16796B" w14:textId="77777777" w:rsidTr="0007448F">
        <w:trPr>
          <w:trHeight w:val="300"/>
          <w:jc w:val="center"/>
        </w:trPr>
        <w:tc>
          <w:tcPr>
            <w:tcW w:w="258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C0FA6E0" w14:textId="77777777" w:rsidR="0025489B" w:rsidRPr="008A26D2" w:rsidRDefault="0025489B" w:rsidP="0025489B">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 xml:space="preserve"> Receptor del servicio</w:t>
            </w:r>
          </w:p>
        </w:tc>
        <w:tc>
          <w:tcPr>
            <w:tcW w:w="619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F819AA5" w14:textId="042C8325" w:rsidR="0025489B" w:rsidRPr="008A26D2" w:rsidRDefault="0025489B" w:rsidP="0025489B">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Personas naturales o jurídicas </w:t>
            </w:r>
          </w:p>
        </w:tc>
      </w:tr>
      <w:tr w:rsidR="008A26D2" w:rsidRPr="008A26D2" w14:paraId="14CA670E" w14:textId="77777777" w:rsidTr="0007448F">
        <w:trPr>
          <w:trHeight w:val="211"/>
          <w:jc w:val="center"/>
        </w:trPr>
        <w:tc>
          <w:tcPr>
            <w:tcW w:w="258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B3CD0AC" w14:textId="77777777" w:rsidR="0025489B" w:rsidRPr="008A26D2" w:rsidRDefault="0025489B" w:rsidP="0025489B">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 xml:space="preserve"> Alcance del servicio </w:t>
            </w:r>
          </w:p>
        </w:tc>
        <w:tc>
          <w:tcPr>
            <w:tcW w:w="619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71DFEF2" w14:textId="77777777" w:rsidR="0025489B" w:rsidRPr="008A26D2" w:rsidRDefault="0025489B" w:rsidP="0025489B">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Nacional</w:t>
            </w:r>
          </w:p>
        </w:tc>
      </w:tr>
      <w:tr w:rsidR="008A26D2" w:rsidRPr="008A26D2" w14:paraId="3140BF4B" w14:textId="77777777" w:rsidTr="0007448F">
        <w:trPr>
          <w:trHeight w:val="62"/>
          <w:jc w:val="center"/>
        </w:trPr>
        <w:tc>
          <w:tcPr>
            <w:tcW w:w="258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3E02F19" w14:textId="77777777" w:rsidR="0025489B" w:rsidRPr="008A26D2" w:rsidRDefault="0025489B" w:rsidP="0025489B">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 xml:space="preserve"> Estándar (es) de cumplimiento</w:t>
            </w:r>
          </w:p>
        </w:tc>
        <w:tc>
          <w:tcPr>
            <w:tcW w:w="619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3A7B8F99" w14:textId="77777777" w:rsidR="0025489B" w:rsidRPr="008A26D2" w:rsidRDefault="0025489B" w:rsidP="0025489B">
            <w:pPr>
              <w:pBdr>
                <w:top w:val="nil"/>
                <w:left w:val="nil"/>
                <w:bottom w:val="nil"/>
                <w:right w:val="nil"/>
                <w:between w:val="nil"/>
              </w:pBdr>
              <w:spacing w:after="0" w:line="240" w:lineRule="auto"/>
              <w:rPr>
                <w:rFonts w:ascii="Arial" w:eastAsia="Arial Narrow" w:hAnsi="Arial" w:cs="Arial"/>
                <w:sz w:val="20"/>
                <w:szCs w:val="20"/>
              </w:rPr>
            </w:pPr>
            <w:r w:rsidRPr="008A26D2">
              <w:rPr>
                <w:rFonts w:ascii="Arial" w:eastAsia="Arial Narrow" w:hAnsi="Arial" w:cs="Arial"/>
                <w:sz w:val="20"/>
                <w:szCs w:val="20"/>
              </w:rPr>
              <w:t>Oportunidad</w:t>
            </w:r>
          </w:p>
        </w:tc>
      </w:tr>
      <w:tr w:rsidR="008A26D2" w:rsidRPr="008A26D2" w14:paraId="3384A3EE" w14:textId="77777777" w:rsidTr="0007448F">
        <w:trPr>
          <w:trHeight w:val="300"/>
          <w:jc w:val="center"/>
        </w:trPr>
        <w:tc>
          <w:tcPr>
            <w:tcW w:w="258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BF76A81" w14:textId="77777777" w:rsidR="0025489B" w:rsidRPr="008A26D2" w:rsidRDefault="0025489B" w:rsidP="0025489B">
            <w:pPr>
              <w:pBdr>
                <w:top w:val="nil"/>
                <w:left w:val="nil"/>
                <w:bottom w:val="nil"/>
                <w:right w:val="nil"/>
                <w:between w:val="nil"/>
              </w:pBdr>
              <w:spacing w:after="0" w:line="240" w:lineRule="auto"/>
              <w:rPr>
                <w:rFonts w:ascii="Arial" w:eastAsia="Arial Narrow" w:hAnsi="Arial" w:cs="Arial"/>
                <w:b/>
                <w:bCs/>
                <w:sz w:val="20"/>
                <w:szCs w:val="20"/>
              </w:rPr>
            </w:pPr>
            <w:r w:rsidRPr="008A26D2">
              <w:rPr>
                <w:rFonts w:ascii="Arial" w:eastAsia="Arial Narrow" w:hAnsi="Arial" w:cs="Arial"/>
                <w:sz w:val="20"/>
                <w:szCs w:val="20"/>
              </w:rPr>
              <w:t xml:space="preserve"> </w:t>
            </w:r>
            <w:r w:rsidRPr="008A26D2">
              <w:rPr>
                <w:rFonts w:ascii="Arial" w:eastAsia="Arial Narrow" w:hAnsi="Arial" w:cs="Arial"/>
                <w:b/>
                <w:bCs/>
                <w:sz w:val="20"/>
                <w:szCs w:val="20"/>
              </w:rPr>
              <w:t>Descripción del estándar</w:t>
            </w:r>
          </w:p>
        </w:tc>
        <w:tc>
          <w:tcPr>
            <w:tcW w:w="619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35" w:type="dxa"/>
              <w:bottom w:w="0" w:type="dxa"/>
              <w:right w:w="15" w:type="dxa"/>
            </w:tcMar>
            <w:vAlign w:val="center"/>
          </w:tcPr>
          <w:p w14:paraId="7DBD8A8F" w14:textId="3E540D23" w:rsidR="0025489B" w:rsidRPr="008A26D2" w:rsidRDefault="0025489B" w:rsidP="0025489B">
            <w:pPr>
              <w:pBdr>
                <w:top w:val="nil"/>
                <w:left w:val="nil"/>
                <w:bottom w:val="nil"/>
                <w:right w:val="nil"/>
                <w:between w:val="nil"/>
              </w:pBdr>
              <w:spacing w:after="0" w:line="240" w:lineRule="auto"/>
              <w:ind w:left="-141"/>
              <w:jc w:val="both"/>
              <w:rPr>
                <w:rFonts w:ascii="Arial" w:eastAsia="Arial Narrow" w:hAnsi="Arial" w:cs="Arial"/>
                <w:sz w:val="20"/>
                <w:szCs w:val="20"/>
              </w:rPr>
            </w:pPr>
            <w:r w:rsidRPr="008A26D2">
              <w:rPr>
                <w:rFonts w:ascii="Arial" w:eastAsia="Arial Narrow" w:hAnsi="Arial" w:cs="Arial"/>
                <w:sz w:val="20"/>
                <w:szCs w:val="20"/>
              </w:rPr>
              <w:t xml:space="preserve">El estándar del servicio es de oportunidad, </w:t>
            </w:r>
            <w:r w:rsidRPr="008A26D2">
              <w:rPr>
                <w:rFonts w:ascii="Arial" w:eastAsia="Times New Roman" w:hAnsi="Arial" w:cs="Arial"/>
                <w:sz w:val="20"/>
                <w:szCs w:val="20"/>
              </w:rPr>
              <w:t>porque las solicitudes presentadas por las personas naturales o jurídicas se atienden dentro los plazos establecidos para cada tipo de derecho</w:t>
            </w:r>
            <w:r w:rsidRPr="008A26D2">
              <w:rPr>
                <w:rFonts w:ascii="Arial" w:eastAsia="Arial Narrow" w:hAnsi="Arial" w:cs="Arial"/>
                <w:sz w:val="20"/>
                <w:szCs w:val="20"/>
              </w:rPr>
              <w:t xml:space="preserve">. </w:t>
            </w:r>
          </w:p>
          <w:p w14:paraId="48A88917" w14:textId="77777777" w:rsidR="0025489B" w:rsidRPr="008A26D2" w:rsidRDefault="0025489B" w:rsidP="0025489B">
            <w:pPr>
              <w:pBdr>
                <w:top w:val="nil"/>
                <w:left w:val="nil"/>
                <w:bottom w:val="nil"/>
                <w:right w:val="nil"/>
                <w:between w:val="nil"/>
              </w:pBdr>
              <w:spacing w:after="0" w:line="240" w:lineRule="auto"/>
              <w:ind w:left="-141"/>
              <w:jc w:val="both"/>
              <w:rPr>
                <w:rFonts w:ascii="Arial" w:eastAsia="Arial Narrow" w:hAnsi="Arial" w:cs="Arial"/>
                <w:sz w:val="20"/>
                <w:szCs w:val="20"/>
              </w:rPr>
            </w:pPr>
          </w:p>
          <w:p w14:paraId="6B799CE3" w14:textId="77777777" w:rsidR="0025489B" w:rsidRPr="008A26D2" w:rsidRDefault="0025489B" w:rsidP="0025489B">
            <w:pPr>
              <w:pBdr>
                <w:top w:val="nil"/>
                <w:left w:val="nil"/>
                <w:bottom w:val="nil"/>
                <w:right w:val="nil"/>
                <w:between w:val="nil"/>
              </w:pBdr>
              <w:spacing w:after="0" w:line="240" w:lineRule="auto"/>
              <w:jc w:val="both"/>
              <w:rPr>
                <w:rFonts w:ascii="Arial" w:eastAsia="Arial Narrow" w:hAnsi="Arial" w:cs="Arial"/>
                <w:sz w:val="20"/>
                <w:szCs w:val="20"/>
              </w:rPr>
            </w:pPr>
          </w:p>
        </w:tc>
      </w:tr>
      <w:tr w:rsidR="0025489B" w:rsidRPr="008A26D2" w14:paraId="221AB9C8" w14:textId="77777777" w:rsidTr="0007448F">
        <w:trPr>
          <w:trHeight w:val="491"/>
          <w:jc w:val="center"/>
        </w:trPr>
        <w:tc>
          <w:tcPr>
            <w:tcW w:w="258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291B7DB" w14:textId="77777777" w:rsidR="0025489B" w:rsidRPr="008A26D2" w:rsidRDefault="0025489B" w:rsidP="0025489B">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 xml:space="preserve">Indicador </w:t>
            </w:r>
          </w:p>
        </w:tc>
        <w:tc>
          <w:tcPr>
            <w:tcW w:w="619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2B471098" w14:textId="0BA578B1" w:rsidR="0025489B" w:rsidRPr="008A26D2" w:rsidRDefault="0025489B" w:rsidP="0025489B">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Porcentaje de personas naturales o jurídicas que reciben derechos para el aprovechamiento sostenible de la vicuña </w:t>
            </w:r>
            <w:r w:rsidR="00BF6AAB" w:rsidRPr="008A26D2">
              <w:rPr>
                <w:rFonts w:ascii="Arial" w:eastAsia="Arial Narrow" w:hAnsi="Arial" w:cs="Arial"/>
                <w:sz w:val="20"/>
                <w:szCs w:val="20"/>
              </w:rPr>
              <w:t>oportunamente</w:t>
            </w:r>
            <w:r w:rsidRPr="008A26D2">
              <w:rPr>
                <w:rFonts w:ascii="Arial" w:eastAsia="Arial Narrow" w:hAnsi="Arial" w:cs="Arial"/>
                <w:sz w:val="20"/>
                <w:szCs w:val="20"/>
              </w:rPr>
              <w:t xml:space="preserve">.  </w:t>
            </w:r>
          </w:p>
          <w:p w14:paraId="60546E5C" w14:textId="77777777" w:rsidR="0025489B" w:rsidRPr="008A26D2" w:rsidRDefault="0025489B" w:rsidP="0025489B">
            <w:pPr>
              <w:pBdr>
                <w:top w:val="nil"/>
                <w:left w:val="nil"/>
                <w:bottom w:val="nil"/>
                <w:right w:val="nil"/>
                <w:between w:val="nil"/>
              </w:pBdr>
              <w:spacing w:after="0" w:line="240" w:lineRule="auto"/>
              <w:jc w:val="both"/>
              <w:rPr>
                <w:rFonts w:ascii="Arial" w:eastAsia="Arial Narrow" w:hAnsi="Arial" w:cs="Arial"/>
                <w:sz w:val="20"/>
                <w:szCs w:val="20"/>
              </w:rPr>
            </w:pPr>
          </w:p>
        </w:tc>
      </w:tr>
    </w:tbl>
    <w:p w14:paraId="43C8D6F0" w14:textId="7FC51614" w:rsidR="00726448" w:rsidRPr="008A26D2" w:rsidRDefault="00726448" w:rsidP="000D1705">
      <w:pPr>
        <w:tabs>
          <w:tab w:val="left" w:pos="3375"/>
        </w:tabs>
        <w:rPr>
          <w:rFonts w:ascii="Arial Narrow" w:eastAsia="Arial Narrow" w:hAnsi="Arial Narrow" w:cs="Arial Narrow"/>
          <w:b/>
        </w:rPr>
      </w:pPr>
    </w:p>
    <w:p w14:paraId="46ED026A" w14:textId="0D826DCF" w:rsidR="0080067C" w:rsidRPr="008A26D2" w:rsidRDefault="0080067C" w:rsidP="000D1705">
      <w:pPr>
        <w:tabs>
          <w:tab w:val="left" w:pos="3375"/>
        </w:tabs>
        <w:rPr>
          <w:rFonts w:ascii="Arial Narrow" w:eastAsia="Arial Narrow" w:hAnsi="Arial Narrow" w:cs="Arial Narrow"/>
          <w:b/>
        </w:rPr>
      </w:pPr>
    </w:p>
    <w:p w14:paraId="26F4097A" w14:textId="036B6F80" w:rsidR="006F4C42" w:rsidRPr="008A26D2" w:rsidRDefault="00726448" w:rsidP="006E5CD7">
      <w:pPr>
        <w:tabs>
          <w:tab w:val="left" w:pos="3375"/>
        </w:tabs>
        <w:jc w:val="both"/>
        <w:rPr>
          <w:rFonts w:ascii="Arial" w:hAnsi="Arial" w:cs="Arial"/>
        </w:rPr>
      </w:pPr>
      <w:r w:rsidRPr="008A26D2">
        <w:rPr>
          <w:rFonts w:ascii="Arial" w:hAnsi="Arial" w:cs="Arial"/>
          <w:b/>
          <w:bCs/>
        </w:rPr>
        <w:t>S1.</w:t>
      </w:r>
      <w:r w:rsidRPr="00E11FFB">
        <w:rPr>
          <w:rFonts w:ascii="Arial" w:hAnsi="Arial" w:cs="Arial"/>
          <w:b/>
          <w:bCs/>
        </w:rPr>
        <w:t>7.2</w:t>
      </w:r>
      <w:r w:rsidRPr="00E11FFB">
        <w:rPr>
          <w:rFonts w:ascii="Arial" w:hAnsi="Arial" w:cs="Arial"/>
        </w:rPr>
        <w:t xml:space="preserve"> </w:t>
      </w:r>
      <w:r w:rsidR="00E11FFB" w:rsidRPr="00E11FFB">
        <w:rPr>
          <w:rFonts w:ascii="Arial" w:hAnsi="Arial" w:cs="Arial"/>
        </w:rPr>
        <w:t>Promoción de la oferta exportable de prendas de vestir, accesorios y textiles del hogar confeccionados con fibra de vicuña de forma oportuna para beneficio de las empresas comercializadoras de productos de fibra de vicuña</w:t>
      </w:r>
      <w:r w:rsidRPr="008A26D2">
        <w:rPr>
          <w:rFonts w:ascii="Arial" w:hAnsi="Arial" w:cs="Arial"/>
        </w:rPr>
        <w:t>.</w:t>
      </w:r>
    </w:p>
    <w:tbl>
      <w:tblPr>
        <w:tblW w:w="8898" w:type="dxa"/>
        <w:jc w:val="center"/>
        <w:tblLayout w:type="fixed"/>
        <w:tblLook w:val="0600" w:firstRow="0" w:lastRow="0" w:firstColumn="0" w:lastColumn="0" w:noHBand="1" w:noVBand="1"/>
      </w:tblPr>
      <w:tblGrid>
        <w:gridCol w:w="2235"/>
        <w:gridCol w:w="2221"/>
        <w:gridCol w:w="2221"/>
        <w:gridCol w:w="2221"/>
      </w:tblGrid>
      <w:tr w:rsidR="008A26D2" w:rsidRPr="008A26D2" w14:paraId="260C3983" w14:textId="77777777" w:rsidTr="00726448">
        <w:trPr>
          <w:trHeight w:val="300"/>
          <w:jc w:val="center"/>
        </w:trPr>
        <w:tc>
          <w:tcPr>
            <w:tcW w:w="8898"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center"/>
          </w:tcPr>
          <w:p w14:paraId="144494C6" w14:textId="5382D5AC" w:rsidR="00726448" w:rsidRPr="008A26D2" w:rsidRDefault="00726448" w:rsidP="0072651A">
            <w:pPr>
              <w:jc w:val="center"/>
              <w:rPr>
                <w:rFonts w:ascii="Arial" w:hAnsi="Arial" w:cs="Arial"/>
                <w:sz w:val="20"/>
                <w:szCs w:val="20"/>
              </w:rPr>
            </w:pPr>
            <w:r w:rsidRPr="008A26D2">
              <w:rPr>
                <w:rFonts w:ascii="Arial" w:hAnsi="Arial" w:cs="Arial"/>
                <w:b/>
                <w:sz w:val="20"/>
                <w:szCs w:val="20"/>
              </w:rPr>
              <w:t xml:space="preserve">FICHA DEL SERVICIO </w:t>
            </w:r>
          </w:p>
        </w:tc>
      </w:tr>
      <w:tr w:rsidR="008A26D2" w:rsidRPr="008A26D2" w14:paraId="6BBB9872" w14:textId="77777777" w:rsidTr="003934C1">
        <w:trPr>
          <w:trHeight w:val="507"/>
          <w:jc w:val="center"/>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E07184D" w14:textId="77777777" w:rsidR="00726448" w:rsidRPr="008A26D2" w:rsidRDefault="00726448"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Objetivo prioritario:</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13C2747" w14:textId="77777777" w:rsidR="00726448" w:rsidRPr="008A26D2" w:rsidRDefault="00726448" w:rsidP="0072651A">
            <w:pPr>
              <w:pBdr>
                <w:top w:val="nil"/>
                <w:left w:val="nil"/>
                <w:bottom w:val="nil"/>
                <w:right w:val="nil"/>
                <w:between w:val="nil"/>
              </w:pBdr>
              <w:spacing w:after="0" w:line="240" w:lineRule="auto"/>
              <w:jc w:val="both"/>
              <w:rPr>
                <w:rFonts w:ascii="Arial" w:hAnsi="Arial" w:cs="Arial"/>
                <w:sz w:val="20"/>
                <w:szCs w:val="20"/>
              </w:rPr>
            </w:pPr>
            <w:r w:rsidRPr="008A26D2">
              <w:rPr>
                <w:rFonts w:ascii="Arial" w:hAnsi="Arial" w:cs="Arial"/>
                <w:sz w:val="20"/>
                <w:szCs w:val="20"/>
              </w:rPr>
              <w:t xml:space="preserve">OP1 </w:t>
            </w:r>
            <w:r w:rsidRPr="008A26D2">
              <w:rPr>
                <w:rFonts w:ascii="Arial" w:eastAsia="Arial Narrow" w:hAnsi="Arial" w:cs="Arial"/>
                <w:sz w:val="20"/>
                <w:szCs w:val="20"/>
              </w:rPr>
              <w:t xml:space="preserve">Mejorar las condiciones para la sostenibilidad de los ecosistemas forestales, otros ecosistemas de vegetación silvestre y de la fauna silvestre  </w:t>
            </w:r>
          </w:p>
        </w:tc>
      </w:tr>
      <w:tr w:rsidR="008A26D2" w:rsidRPr="008A26D2" w14:paraId="59BE2AB5" w14:textId="77777777" w:rsidTr="003934C1">
        <w:trPr>
          <w:trHeight w:val="827"/>
          <w:jc w:val="center"/>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6D43C76" w14:textId="77777777" w:rsidR="00726448" w:rsidRPr="008A26D2" w:rsidRDefault="00726448"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Lineamiento:</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72035D5" w14:textId="77777777" w:rsidR="00726448" w:rsidRPr="008A26D2" w:rsidRDefault="00726448" w:rsidP="0072651A">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hAnsi="Arial" w:cs="Arial"/>
                <w:sz w:val="20"/>
                <w:szCs w:val="20"/>
              </w:rPr>
              <w:t>L1.7 Fomentar la conservación y aprovechamiento sostenible de la vicuña como una prioridad estratégica para el desarrollo sostenible de las poblaciones altoandinas.</w:t>
            </w:r>
          </w:p>
        </w:tc>
      </w:tr>
      <w:tr w:rsidR="008A26D2" w:rsidRPr="008A26D2" w14:paraId="1213AD72" w14:textId="77777777" w:rsidTr="00726448">
        <w:trPr>
          <w:trHeight w:val="300"/>
          <w:jc w:val="center"/>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F794508" w14:textId="77777777" w:rsidR="00726448" w:rsidRPr="008A26D2" w:rsidRDefault="00726448"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Nombre del servicio:</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A5A3799" w14:textId="60BFFFFE" w:rsidR="00726448" w:rsidRPr="008A26D2" w:rsidRDefault="00726448" w:rsidP="0072651A">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hAnsi="Arial" w:cs="Arial"/>
                <w:sz w:val="20"/>
                <w:szCs w:val="20"/>
              </w:rPr>
              <w:t>S1.7.2 Promoción de la oferta exportable de prendas de vestir, accesorios y textiles del hogar confeccionados con fibra de vicuña de forma oportuna para beneficio de las empresas</w:t>
            </w:r>
            <w:r w:rsidR="009F2714" w:rsidRPr="008A26D2">
              <w:rPr>
                <w:rFonts w:ascii="Arial" w:hAnsi="Arial" w:cs="Arial"/>
                <w:sz w:val="20"/>
                <w:szCs w:val="20"/>
              </w:rPr>
              <w:t xml:space="preserve"> comercializadoras de productos de fibra de vicuña</w:t>
            </w:r>
            <w:r w:rsidRPr="008A26D2">
              <w:rPr>
                <w:rFonts w:ascii="Arial" w:hAnsi="Arial" w:cs="Arial"/>
                <w:sz w:val="20"/>
                <w:szCs w:val="20"/>
              </w:rPr>
              <w:t>.</w:t>
            </w:r>
          </w:p>
        </w:tc>
      </w:tr>
      <w:tr w:rsidR="008A26D2" w:rsidRPr="008A26D2" w14:paraId="5400AEEF" w14:textId="77777777" w:rsidTr="003934C1">
        <w:trPr>
          <w:trHeight w:val="396"/>
          <w:jc w:val="center"/>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7F19F1F" w14:textId="77777777" w:rsidR="00726448" w:rsidRPr="008A26D2" w:rsidRDefault="00726448"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Tipo de servicio:</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B721E49" w14:textId="77777777" w:rsidR="00726448" w:rsidRPr="008A26D2" w:rsidRDefault="00726448" w:rsidP="0072651A">
            <w:pPr>
              <w:pBdr>
                <w:top w:val="nil"/>
                <w:left w:val="nil"/>
                <w:bottom w:val="nil"/>
                <w:right w:val="nil"/>
                <w:between w:val="nil"/>
              </w:pBdr>
              <w:spacing w:after="0" w:line="240" w:lineRule="auto"/>
              <w:jc w:val="both"/>
              <w:rPr>
                <w:rFonts w:ascii="Arial" w:hAnsi="Arial" w:cs="Arial"/>
                <w:sz w:val="20"/>
                <w:szCs w:val="20"/>
              </w:rPr>
            </w:pPr>
            <w:r w:rsidRPr="008A26D2">
              <w:rPr>
                <w:rFonts w:ascii="Arial" w:hAnsi="Arial" w:cs="Arial"/>
                <w:sz w:val="20"/>
                <w:szCs w:val="20"/>
              </w:rPr>
              <w:t>Mejorado</w:t>
            </w:r>
          </w:p>
        </w:tc>
      </w:tr>
      <w:tr w:rsidR="008A26D2" w:rsidRPr="008A26D2" w14:paraId="16291EE5" w14:textId="77777777" w:rsidTr="003934C1">
        <w:trPr>
          <w:trHeight w:val="396"/>
          <w:jc w:val="center"/>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597D045" w14:textId="73F8D858" w:rsidR="0025489B" w:rsidRPr="008A26D2" w:rsidRDefault="0025489B" w:rsidP="0025489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Naturaleza del servicio:</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C1D96A4" w14:textId="52480A1F" w:rsidR="0025489B" w:rsidRPr="008A26D2" w:rsidRDefault="009E5E9D" w:rsidP="0025489B">
            <w:pPr>
              <w:pBdr>
                <w:top w:val="nil"/>
                <w:left w:val="nil"/>
                <w:bottom w:val="nil"/>
                <w:right w:val="nil"/>
                <w:between w:val="nil"/>
              </w:pBdr>
              <w:spacing w:after="0" w:line="240" w:lineRule="auto"/>
              <w:jc w:val="both"/>
              <w:rPr>
                <w:rFonts w:ascii="Arial" w:hAnsi="Arial" w:cs="Arial"/>
                <w:sz w:val="20"/>
                <w:szCs w:val="20"/>
              </w:rPr>
            </w:pPr>
            <w:r w:rsidRPr="008A26D2">
              <w:rPr>
                <w:rFonts w:ascii="Arial" w:eastAsia="Arial Narrow" w:hAnsi="Arial" w:cs="Arial"/>
                <w:sz w:val="20"/>
                <w:szCs w:val="20"/>
              </w:rPr>
              <w:t>P</w:t>
            </w:r>
            <w:r w:rsidR="0025489B" w:rsidRPr="008A26D2">
              <w:rPr>
                <w:rFonts w:ascii="Arial" w:eastAsia="Arial Narrow" w:hAnsi="Arial" w:cs="Arial"/>
                <w:sz w:val="20"/>
                <w:szCs w:val="20"/>
              </w:rPr>
              <w:t>restacional</w:t>
            </w:r>
          </w:p>
        </w:tc>
      </w:tr>
      <w:tr w:rsidR="008A26D2" w:rsidRPr="008A26D2" w14:paraId="505E9FD8" w14:textId="77777777" w:rsidTr="003934C1">
        <w:trPr>
          <w:trHeight w:val="396"/>
          <w:jc w:val="center"/>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419DFCD" w14:textId="45D2633F" w:rsidR="0025489B" w:rsidRPr="008A26D2" w:rsidRDefault="0025489B" w:rsidP="0025489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Entrega del servicio</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FAB7970" w14:textId="78C4617D" w:rsidR="0025489B" w:rsidRPr="008A26D2" w:rsidRDefault="0025489B" w:rsidP="0025489B">
            <w:pPr>
              <w:pBdr>
                <w:top w:val="nil"/>
                <w:left w:val="nil"/>
                <w:bottom w:val="nil"/>
                <w:right w:val="nil"/>
                <w:between w:val="nil"/>
              </w:pBdr>
              <w:spacing w:after="0" w:line="240" w:lineRule="auto"/>
              <w:jc w:val="both"/>
              <w:rPr>
                <w:rFonts w:ascii="Arial" w:hAnsi="Arial" w:cs="Arial"/>
                <w:sz w:val="20"/>
                <w:szCs w:val="20"/>
              </w:rPr>
            </w:pPr>
            <w:r w:rsidRPr="008A26D2">
              <w:rPr>
                <w:rFonts w:ascii="Arial" w:eastAsia="Arial Narrow" w:hAnsi="Arial" w:cs="Arial"/>
                <w:sz w:val="20"/>
                <w:szCs w:val="20"/>
              </w:rPr>
              <w:t>Competencia exclusiva</w:t>
            </w:r>
          </w:p>
        </w:tc>
      </w:tr>
      <w:tr w:rsidR="008A26D2" w:rsidRPr="008A26D2" w14:paraId="576951DF" w14:textId="77777777" w:rsidTr="00BD50F4">
        <w:trPr>
          <w:trHeight w:val="1117"/>
          <w:jc w:val="center"/>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943ED8D" w14:textId="77777777" w:rsidR="0025489B" w:rsidRPr="008A26D2" w:rsidRDefault="0025489B" w:rsidP="0025489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Descripción del servicio</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DFD152F" w14:textId="6E2595AF" w:rsidR="0025489B" w:rsidRPr="008A26D2" w:rsidRDefault="0025489B" w:rsidP="00E11FFB">
            <w:pPr>
              <w:pBdr>
                <w:top w:val="nil"/>
                <w:left w:val="nil"/>
                <w:bottom w:val="nil"/>
                <w:right w:val="nil"/>
                <w:between w:val="nil"/>
              </w:pBdr>
              <w:spacing w:after="0" w:line="240" w:lineRule="auto"/>
              <w:ind w:left="156"/>
              <w:jc w:val="both"/>
              <w:rPr>
                <w:rFonts w:ascii="Arial" w:hAnsi="Arial" w:cs="Arial"/>
                <w:sz w:val="20"/>
                <w:szCs w:val="20"/>
              </w:rPr>
            </w:pPr>
            <w:r w:rsidRPr="008A26D2">
              <w:rPr>
                <w:rFonts w:ascii="Arial" w:hAnsi="Arial" w:cs="Arial"/>
                <w:sz w:val="20"/>
                <w:szCs w:val="20"/>
              </w:rPr>
              <w:t>La promoción de la oferta exportable consiste en impulsar las capacidades y atributos de las empresas peruanas que cuentan con potencial exportador, esto a través de la mayor participación de empresas a través de herramientas como ferias, ruedas, misiones comerciales, así como programas especializados en contribuir a la internacionalización de las empresas con el fin de propiciar un encuentro comercial con la demanda representada por el comprador profesional de la línea de interés en cuestión.</w:t>
            </w:r>
          </w:p>
          <w:p w14:paraId="7122998B" w14:textId="00D6FA68" w:rsidR="0025489B" w:rsidRPr="008A26D2" w:rsidRDefault="0025489B" w:rsidP="00BD50F4">
            <w:pPr>
              <w:pBdr>
                <w:top w:val="nil"/>
                <w:left w:val="nil"/>
                <w:bottom w:val="nil"/>
                <w:right w:val="nil"/>
                <w:between w:val="nil"/>
              </w:pBdr>
              <w:spacing w:after="0" w:line="240" w:lineRule="auto"/>
              <w:ind w:left="156"/>
              <w:jc w:val="both"/>
              <w:rPr>
                <w:rFonts w:ascii="Arial" w:eastAsia="Arial Narrow" w:hAnsi="Arial" w:cs="Arial"/>
                <w:sz w:val="20"/>
                <w:szCs w:val="20"/>
              </w:rPr>
            </w:pPr>
            <w:r w:rsidRPr="008A26D2">
              <w:rPr>
                <w:rFonts w:ascii="Arial" w:hAnsi="Arial" w:cs="Arial"/>
                <w:sz w:val="20"/>
                <w:szCs w:val="20"/>
              </w:rPr>
              <w:t>La mejora consiste en el uso de tecnologías</w:t>
            </w:r>
            <w:r w:rsidR="001B2BAB" w:rsidRPr="008A26D2">
              <w:rPr>
                <w:rFonts w:ascii="Arial" w:hAnsi="Arial" w:cs="Arial"/>
                <w:sz w:val="20"/>
                <w:szCs w:val="20"/>
              </w:rPr>
              <w:t>, herramientas y prácticas</w:t>
            </w:r>
            <w:r w:rsidRPr="008A26D2">
              <w:rPr>
                <w:rFonts w:ascii="Arial" w:hAnsi="Arial" w:cs="Arial"/>
                <w:sz w:val="20"/>
                <w:szCs w:val="20"/>
              </w:rPr>
              <w:t xml:space="preserve"> que permitan un mayor acceso </w:t>
            </w:r>
            <w:r w:rsidR="001B2BAB" w:rsidRPr="008A26D2">
              <w:rPr>
                <w:rFonts w:ascii="Arial" w:hAnsi="Arial" w:cs="Arial"/>
                <w:sz w:val="20"/>
                <w:szCs w:val="20"/>
              </w:rPr>
              <w:t xml:space="preserve">a nivel global del potencial exportador que posee las empresas comercializadoras de productos de fibra de vicuña, </w:t>
            </w:r>
            <w:r w:rsidR="001B2BAB" w:rsidRPr="008A26D2">
              <w:rPr>
                <w:rFonts w:ascii="Arial" w:hAnsi="Arial" w:cs="Arial"/>
                <w:sz w:val="20"/>
                <w:szCs w:val="20"/>
              </w:rPr>
              <w:lastRenderedPageBreak/>
              <w:t>para acceder a las plataformas de promoción considerando que la oportunidad se cumple según la estacionalidad de compra de la oferta, programa que se expone en un calendario internacional propuesto por los operadores feriales.</w:t>
            </w:r>
          </w:p>
        </w:tc>
      </w:tr>
      <w:tr w:rsidR="008A26D2" w:rsidRPr="008A26D2" w14:paraId="3DD3ED82" w14:textId="77777777" w:rsidTr="00726448">
        <w:trPr>
          <w:trHeight w:val="300"/>
          <w:jc w:val="center"/>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E76B2E5" w14:textId="77777777" w:rsidR="0025489B" w:rsidRPr="008A26D2" w:rsidRDefault="0025489B" w:rsidP="0025489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lastRenderedPageBreak/>
              <w:t xml:space="preserve"> Proveedor del servicio</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ABA080F" w14:textId="77777777" w:rsidR="0025489B" w:rsidRPr="008A26D2" w:rsidRDefault="0025489B" w:rsidP="00E11FFB">
            <w:pPr>
              <w:pBdr>
                <w:top w:val="nil"/>
                <w:left w:val="nil"/>
                <w:bottom w:val="nil"/>
                <w:right w:val="nil"/>
                <w:between w:val="nil"/>
              </w:pBdr>
              <w:spacing w:after="0" w:line="240" w:lineRule="auto"/>
              <w:ind w:firstLine="156"/>
              <w:jc w:val="both"/>
              <w:rPr>
                <w:rFonts w:ascii="Arial" w:eastAsia="Arial Narrow" w:hAnsi="Arial" w:cs="Arial"/>
                <w:sz w:val="20"/>
                <w:szCs w:val="20"/>
              </w:rPr>
            </w:pPr>
            <w:r w:rsidRPr="008A26D2">
              <w:rPr>
                <w:rFonts w:ascii="Arial" w:hAnsi="Arial" w:cs="Arial"/>
                <w:sz w:val="20"/>
                <w:szCs w:val="20"/>
              </w:rPr>
              <w:t>PROMPERU</w:t>
            </w:r>
          </w:p>
        </w:tc>
      </w:tr>
      <w:tr w:rsidR="008A26D2" w:rsidRPr="008A26D2" w14:paraId="657EA69E" w14:textId="77777777" w:rsidTr="00A871BD">
        <w:trPr>
          <w:trHeight w:val="458"/>
          <w:jc w:val="center"/>
        </w:trPr>
        <w:tc>
          <w:tcPr>
            <w:tcW w:w="2235" w:type="dxa"/>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0D082295" w14:textId="77777777" w:rsidR="0025489B" w:rsidRPr="008A26D2" w:rsidRDefault="0025489B" w:rsidP="00F92620">
            <w:pPr>
              <w:spacing w:after="0" w:line="240" w:lineRule="auto"/>
              <w:rPr>
                <w:rFonts w:ascii="Arial" w:hAnsi="Arial" w:cs="Arial"/>
                <w:b/>
                <w:sz w:val="20"/>
                <w:szCs w:val="20"/>
              </w:rPr>
            </w:pPr>
            <w:r w:rsidRPr="008A26D2">
              <w:rPr>
                <w:rFonts w:ascii="Arial" w:hAnsi="Arial" w:cs="Arial"/>
                <w:b/>
                <w:sz w:val="20"/>
                <w:szCs w:val="20"/>
              </w:rPr>
              <w:t>Nivel (es) de gobierno que interviene</w:t>
            </w:r>
          </w:p>
          <w:p w14:paraId="0841F87F" w14:textId="0C23758A" w:rsidR="0025489B" w:rsidRPr="008A26D2" w:rsidRDefault="0025489B" w:rsidP="0025489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(n) en la provisión del servicio</w:t>
            </w:r>
          </w:p>
        </w:tc>
        <w:tc>
          <w:tcPr>
            <w:tcW w:w="2221"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4C4542CE" w14:textId="36267B3A" w:rsidR="0025489B" w:rsidRPr="008A26D2" w:rsidRDefault="0025489B" w:rsidP="00E11FFB">
            <w:pPr>
              <w:pBdr>
                <w:top w:val="nil"/>
                <w:left w:val="nil"/>
                <w:bottom w:val="nil"/>
                <w:right w:val="nil"/>
                <w:between w:val="nil"/>
              </w:pBdr>
              <w:spacing w:after="0" w:line="240" w:lineRule="auto"/>
              <w:jc w:val="center"/>
              <w:rPr>
                <w:rFonts w:ascii="Arial" w:hAnsi="Arial" w:cs="Arial"/>
                <w:sz w:val="20"/>
                <w:szCs w:val="20"/>
              </w:rPr>
            </w:pPr>
            <w:r w:rsidRPr="008A26D2">
              <w:rPr>
                <w:rFonts w:ascii="Arial" w:eastAsia="Arial Narrow" w:hAnsi="Arial" w:cs="Arial"/>
                <w:sz w:val="20"/>
                <w:szCs w:val="20"/>
              </w:rPr>
              <w:t>Nacional</w:t>
            </w:r>
          </w:p>
        </w:tc>
        <w:tc>
          <w:tcPr>
            <w:tcW w:w="2221" w:type="dxa"/>
            <w:tcBorders>
              <w:top w:val="single" w:sz="4" w:space="0" w:color="000000"/>
              <w:left w:val="single" w:sz="4" w:space="0" w:color="000000"/>
              <w:right w:val="single" w:sz="4" w:space="0" w:color="000000"/>
            </w:tcBorders>
            <w:shd w:val="clear" w:color="auto" w:fill="auto"/>
            <w:vAlign w:val="center"/>
          </w:tcPr>
          <w:p w14:paraId="1820C1AA" w14:textId="7D522394" w:rsidR="0025489B" w:rsidRPr="008A26D2" w:rsidRDefault="0025489B" w:rsidP="00E11FFB">
            <w:pPr>
              <w:pBdr>
                <w:top w:val="nil"/>
                <w:left w:val="nil"/>
                <w:bottom w:val="nil"/>
                <w:right w:val="nil"/>
                <w:between w:val="nil"/>
              </w:pBdr>
              <w:spacing w:after="0" w:line="240" w:lineRule="auto"/>
              <w:jc w:val="center"/>
              <w:rPr>
                <w:rFonts w:ascii="Arial" w:hAnsi="Arial" w:cs="Arial"/>
                <w:sz w:val="20"/>
                <w:szCs w:val="20"/>
              </w:rPr>
            </w:pPr>
            <w:r w:rsidRPr="008A26D2">
              <w:rPr>
                <w:rFonts w:ascii="Arial" w:eastAsia="Arial Narrow" w:hAnsi="Arial" w:cs="Arial"/>
                <w:sz w:val="20"/>
                <w:szCs w:val="20"/>
              </w:rPr>
              <w:t>Regional</w:t>
            </w:r>
          </w:p>
        </w:tc>
        <w:tc>
          <w:tcPr>
            <w:tcW w:w="2221" w:type="dxa"/>
            <w:tcBorders>
              <w:top w:val="single" w:sz="4" w:space="0" w:color="000000"/>
              <w:left w:val="single" w:sz="4" w:space="0" w:color="000000"/>
              <w:right w:val="single" w:sz="4" w:space="0" w:color="000000"/>
            </w:tcBorders>
            <w:shd w:val="clear" w:color="auto" w:fill="auto"/>
            <w:vAlign w:val="center"/>
          </w:tcPr>
          <w:p w14:paraId="65E6E226" w14:textId="532BD7DB" w:rsidR="0025489B" w:rsidRPr="008A26D2" w:rsidRDefault="0025489B" w:rsidP="00E11FFB">
            <w:pPr>
              <w:pBdr>
                <w:top w:val="nil"/>
                <w:left w:val="nil"/>
                <w:bottom w:val="nil"/>
                <w:right w:val="nil"/>
                <w:between w:val="nil"/>
              </w:pBdr>
              <w:spacing w:after="0" w:line="240" w:lineRule="auto"/>
              <w:jc w:val="center"/>
              <w:rPr>
                <w:rFonts w:ascii="Arial" w:hAnsi="Arial" w:cs="Arial"/>
                <w:sz w:val="20"/>
                <w:szCs w:val="20"/>
              </w:rPr>
            </w:pPr>
            <w:r w:rsidRPr="008A26D2">
              <w:rPr>
                <w:rFonts w:ascii="Arial" w:eastAsia="Arial Narrow" w:hAnsi="Arial" w:cs="Arial"/>
                <w:sz w:val="20"/>
                <w:szCs w:val="20"/>
              </w:rPr>
              <w:t>Local</w:t>
            </w:r>
          </w:p>
        </w:tc>
      </w:tr>
      <w:tr w:rsidR="008A26D2" w:rsidRPr="008A26D2" w14:paraId="22F32545" w14:textId="77777777" w:rsidTr="00A871BD">
        <w:trPr>
          <w:trHeight w:val="457"/>
          <w:jc w:val="center"/>
        </w:trPr>
        <w:tc>
          <w:tcPr>
            <w:tcW w:w="2235" w:type="dxa"/>
            <w:vMerge/>
            <w:tcBorders>
              <w:left w:val="single" w:sz="4" w:space="0" w:color="000000"/>
              <w:right w:val="single" w:sz="4" w:space="0" w:color="000000"/>
            </w:tcBorders>
            <w:shd w:val="clear" w:color="auto" w:fill="auto"/>
            <w:tcMar>
              <w:top w:w="15" w:type="dxa"/>
              <w:left w:w="15" w:type="dxa"/>
              <w:bottom w:w="0" w:type="dxa"/>
              <w:right w:w="15" w:type="dxa"/>
            </w:tcMar>
            <w:vAlign w:val="center"/>
          </w:tcPr>
          <w:p w14:paraId="230B48A7" w14:textId="77777777" w:rsidR="0025489B" w:rsidRPr="008A26D2" w:rsidRDefault="0025489B" w:rsidP="0025489B">
            <w:pPr>
              <w:spacing w:after="0" w:line="240" w:lineRule="auto"/>
              <w:rPr>
                <w:rFonts w:ascii="Arial" w:hAnsi="Arial" w:cs="Arial"/>
                <w:b/>
                <w:sz w:val="20"/>
                <w:szCs w:val="20"/>
              </w:rPr>
            </w:pPr>
          </w:p>
        </w:tc>
        <w:tc>
          <w:tcPr>
            <w:tcW w:w="2221"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7B39DB90" w14:textId="6584A8E4" w:rsidR="0025489B" w:rsidRPr="008A26D2" w:rsidRDefault="009E5E9D" w:rsidP="00E11FFB">
            <w:pPr>
              <w:pBdr>
                <w:top w:val="nil"/>
                <w:left w:val="nil"/>
                <w:bottom w:val="nil"/>
                <w:right w:val="nil"/>
                <w:between w:val="nil"/>
              </w:pBdr>
              <w:spacing w:after="0" w:line="240" w:lineRule="auto"/>
              <w:jc w:val="center"/>
              <w:rPr>
                <w:rFonts w:ascii="Arial" w:hAnsi="Arial" w:cs="Arial"/>
                <w:sz w:val="20"/>
                <w:szCs w:val="20"/>
              </w:rPr>
            </w:pPr>
            <w:r w:rsidRPr="008A26D2">
              <w:rPr>
                <w:rFonts w:ascii="Arial" w:hAnsi="Arial" w:cs="Arial"/>
                <w:sz w:val="20"/>
                <w:szCs w:val="20"/>
              </w:rPr>
              <w:t>X</w:t>
            </w:r>
          </w:p>
        </w:tc>
        <w:tc>
          <w:tcPr>
            <w:tcW w:w="2221" w:type="dxa"/>
            <w:tcBorders>
              <w:top w:val="single" w:sz="4" w:space="0" w:color="000000"/>
              <w:left w:val="single" w:sz="4" w:space="0" w:color="000000"/>
              <w:right w:val="single" w:sz="4" w:space="0" w:color="000000"/>
            </w:tcBorders>
            <w:shd w:val="clear" w:color="auto" w:fill="auto"/>
            <w:vAlign w:val="center"/>
          </w:tcPr>
          <w:p w14:paraId="75A9120E" w14:textId="77777777" w:rsidR="0025489B" w:rsidRPr="008A26D2" w:rsidRDefault="0025489B" w:rsidP="00E11FFB">
            <w:pPr>
              <w:pBdr>
                <w:top w:val="nil"/>
                <w:left w:val="nil"/>
                <w:bottom w:val="nil"/>
                <w:right w:val="nil"/>
                <w:between w:val="nil"/>
              </w:pBdr>
              <w:spacing w:after="0" w:line="240" w:lineRule="auto"/>
              <w:jc w:val="center"/>
              <w:rPr>
                <w:rFonts w:ascii="Arial" w:hAnsi="Arial" w:cs="Arial"/>
                <w:sz w:val="20"/>
                <w:szCs w:val="20"/>
              </w:rPr>
            </w:pPr>
          </w:p>
        </w:tc>
        <w:tc>
          <w:tcPr>
            <w:tcW w:w="2221" w:type="dxa"/>
            <w:tcBorders>
              <w:top w:val="single" w:sz="4" w:space="0" w:color="000000"/>
              <w:left w:val="single" w:sz="4" w:space="0" w:color="000000"/>
              <w:right w:val="single" w:sz="4" w:space="0" w:color="000000"/>
            </w:tcBorders>
            <w:shd w:val="clear" w:color="auto" w:fill="auto"/>
            <w:vAlign w:val="center"/>
          </w:tcPr>
          <w:p w14:paraId="02EEEC7D" w14:textId="2FB98541" w:rsidR="0025489B" w:rsidRPr="008A26D2" w:rsidRDefault="0025489B" w:rsidP="00E11FFB">
            <w:pPr>
              <w:pBdr>
                <w:top w:val="nil"/>
                <w:left w:val="nil"/>
                <w:bottom w:val="nil"/>
                <w:right w:val="nil"/>
                <w:between w:val="nil"/>
              </w:pBdr>
              <w:spacing w:after="0" w:line="240" w:lineRule="auto"/>
              <w:jc w:val="center"/>
              <w:rPr>
                <w:rFonts w:ascii="Arial" w:hAnsi="Arial" w:cs="Arial"/>
                <w:sz w:val="20"/>
                <w:szCs w:val="20"/>
              </w:rPr>
            </w:pPr>
          </w:p>
        </w:tc>
      </w:tr>
      <w:tr w:rsidR="008A26D2" w:rsidRPr="008A26D2" w14:paraId="4D9E5C84" w14:textId="77777777" w:rsidTr="003934C1">
        <w:trPr>
          <w:trHeight w:val="360"/>
          <w:jc w:val="center"/>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64B67B3" w14:textId="77777777" w:rsidR="0025489B" w:rsidRPr="008A26D2" w:rsidRDefault="0025489B" w:rsidP="0025489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Receptor del servicio</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5D5FED8" w14:textId="6FC90C76" w:rsidR="0025489B" w:rsidRPr="008A26D2" w:rsidRDefault="0025489B" w:rsidP="0025489B">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hAnsi="Arial" w:cs="Arial"/>
                <w:sz w:val="20"/>
                <w:szCs w:val="20"/>
              </w:rPr>
              <w:t xml:space="preserve"> </w:t>
            </w:r>
            <w:r w:rsidR="00BD50F4">
              <w:rPr>
                <w:rFonts w:ascii="Arial" w:hAnsi="Arial" w:cs="Arial"/>
                <w:sz w:val="20"/>
                <w:szCs w:val="20"/>
              </w:rPr>
              <w:t>E</w:t>
            </w:r>
            <w:r w:rsidR="00BD50F4" w:rsidRPr="008A26D2">
              <w:rPr>
                <w:rFonts w:ascii="Arial" w:hAnsi="Arial" w:cs="Arial"/>
                <w:sz w:val="20"/>
                <w:szCs w:val="20"/>
              </w:rPr>
              <w:t>mpresas comercializadoras de productos de fibra de vicuña</w:t>
            </w:r>
          </w:p>
        </w:tc>
      </w:tr>
      <w:tr w:rsidR="008A26D2" w:rsidRPr="008A26D2" w14:paraId="2C9F1FB2" w14:textId="77777777" w:rsidTr="003934C1">
        <w:trPr>
          <w:trHeight w:val="265"/>
          <w:jc w:val="center"/>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F5008B2" w14:textId="77777777" w:rsidR="0025489B" w:rsidRPr="008A26D2" w:rsidRDefault="0025489B" w:rsidP="0025489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Alcance del servicio </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C6A7F36" w14:textId="77777777" w:rsidR="0025489B" w:rsidRPr="008A26D2" w:rsidRDefault="0025489B" w:rsidP="0025489B">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hAnsi="Arial" w:cs="Arial"/>
                <w:sz w:val="20"/>
                <w:szCs w:val="20"/>
              </w:rPr>
              <w:t>Nacional</w:t>
            </w:r>
          </w:p>
        </w:tc>
      </w:tr>
      <w:tr w:rsidR="008A26D2" w:rsidRPr="008A26D2" w14:paraId="446A0860" w14:textId="77777777" w:rsidTr="00726448">
        <w:trPr>
          <w:trHeight w:val="62"/>
          <w:jc w:val="center"/>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F8FCAC6" w14:textId="77777777" w:rsidR="0025489B" w:rsidRPr="008A26D2" w:rsidRDefault="0025489B" w:rsidP="0025489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Estándar (es) de cumplimiento</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A630955" w14:textId="77777777" w:rsidR="0025489B" w:rsidRPr="008A26D2" w:rsidRDefault="0025489B" w:rsidP="0025489B">
            <w:pPr>
              <w:pBdr>
                <w:top w:val="nil"/>
                <w:left w:val="nil"/>
                <w:bottom w:val="nil"/>
                <w:right w:val="nil"/>
                <w:between w:val="nil"/>
              </w:pBdr>
              <w:spacing w:after="0" w:line="240" w:lineRule="auto"/>
              <w:rPr>
                <w:rFonts w:ascii="Arial" w:hAnsi="Arial" w:cs="Arial"/>
                <w:sz w:val="20"/>
                <w:szCs w:val="20"/>
              </w:rPr>
            </w:pPr>
            <w:r w:rsidRPr="008A26D2">
              <w:rPr>
                <w:rFonts w:ascii="Arial" w:hAnsi="Arial" w:cs="Arial"/>
                <w:sz w:val="20"/>
                <w:szCs w:val="20"/>
              </w:rPr>
              <w:t>Oportunidad</w:t>
            </w:r>
          </w:p>
        </w:tc>
      </w:tr>
      <w:tr w:rsidR="008A26D2" w:rsidRPr="008A26D2" w14:paraId="16E9701E" w14:textId="77777777" w:rsidTr="00726448">
        <w:trPr>
          <w:trHeight w:val="300"/>
          <w:jc w:val="center"/>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2D02683" w14:textId="77777777" w:rsidR="0025489B" w:rsidRPr="008A26D2" w:rsidRDefault="0025489B" w:rsidP="0025489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Descripción del estándar</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35" w:type="dxa"/>
              <w:bottom w:w="0" w:type="dxa"/>
              <w:right w:w="15" w:type="dxa"/>
            </w:tcMar>
            <w:vAlign w:val="center"/>
          </w:tcPr>
          <w:p w14:paraId="76624F0C" w14:textId="77777777" w:rsidR="0025489B" w:rsidRPr="008A26D2" w:rsidRDefault="0025489B" w:rsidP="0025489B">
            <w:pPr>
              <w:pBdr>
                <w:top w:val="nil"/>
                <w:left w:val="nil"/>
                <w:bottom w:val="nil"/>
                <w:right w:val="nil"/>
                <w:between w:val="nil"/>
              </w:pBdr>
              <w:spacing w:after="0" w:line="240" w:lineRule="auto"/>
              <w:jc w:val="both"/>
              <w:rPr>
                <w:rFonts w:ascii="Arial" w:hAnsi="Arial" w:cs="Arial"/>
                <w:sz w:val="20"/>
                <w:szCs w:val="20"/>
              </w:rPr>
            </w:pPr>
            <w:r w:rsidRPr="008A26D2">
              <w:rPr>
                <w:rFonts w:ascii="Arial" w:hAnsi="Arial" w:cs="Arial"/>
                <w:sz w:val="20"/>
                <w:szCs w:val="20"/>
              </w:rPr>
              <w:t>El servicio debe entregarse de manera oportuna a las empresas con potencial exportador prendas de vestir y accesorios confeccionados con fibra de vicuña, considerando la estacionalidad de compra de la oferta, programa que se expone en un calendario internacional propuesto por los operadores feriales. Para el caso de Misiones Comerciales, herramienta propia, se toma dicha consideración, así como la estrategia comercial establecida de manera particular en el país destino.</w:t>
            </w:r>
          </w:p>
          <w:p w14:paraId="347F68EF" w14:textId="77777777" w:rsidR="0025489B" w:rsidRPr="008A26D2" w:rsidRDefault="0025489B" w:rsidP="0025489B">
            <w:pPr>
              <w:pBdr>
                <w:top w:val="nil"/>
                <w:left w:val="nil"/>
                <w:bottom w:val="nil"/>
                <w:right w:val="nil"/>
                <w:between w:val="nil"/>
              </w:pBdr>
              <w:spacing w:after="0" w:line="240" w:lineRule="auto"/>
              <w:jc w:val="both"/>
              <w:rPr>
                <w:rFonts w:ascii="Arial" w:hAnsi="Arial" w:cs="Arial"/>
                <w:strike/>
                <w:sz w:val="20"/>
                <w:szCs w:val="20"/>
              </w:rPr>
            </w:pPr>
          </w:p>
        </w:tc>
      </w:tr>
      <w:tr w:rsidR="008A26D2" w:rsidRPr="008A26D2" w14:paraId="106976EE" w14:textId="77777777" w:rsidTr="00466925">
        <w:trPr>
          <w:trHeight w:val="743"/>
          <w:jc w:val="center"/>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C3E97A7" w14:textId="0C221580" w:rsidR="0025489B" w:rsidRPr="008A26D2" w:rsidRDefault="0025489B" w:rsidP="0025489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Indicador de calidad</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35" w:type="dxa"/>
              <w:bottom w:w="0" w:type="dxa"/>
              <w:right w:w="15" w:type="dxa"/>
            </w:tcMar>
            <w:vAlign w:val="bottom"/>
          </w:tcPr>
          <w:p w14:paraId="584CABD9" w14:textId="129F8CF2" w:rsidR="0025489B" w:rsidRPr="008A26D2" w:rsidRDefault="0025489B" w:rsidP="0025489B">
            <w:pPr>
              <w:pBdr>
                <w:top w:val="nil"/>
                <w:left w:val="nil"/>
                <w:bottom w:val="nil"/>
                <w:right w:val="nil"/>
                <w:between w:val="nil"/>
              </w:pBdr>
              <w:spacing w:after="0" w:line="240" w:lineRule="auto"/>
              <w:jc w:val="both"/>
              <w:rPr>
                <w:rFonts w:ascii="Arial" w:hAnsi="Arial" w:cs="Arial"/>
                <w:sz w:val="20"/>
                <w:szCs w:val="20"/>
              </w:rPr>
            </w:pPr>
            <w:r w:rsidRPr="008A26D2">
              <w:rPr>
                <w:rFonts w:ascii="Arial" w:eastAsia="Times New Roman" w:hAnsi="Arial" w:cs="Arial"/>
                <w:sz w:val="20"/>
                <w:szCs w:val="20"/>
              </w:rPr>
              <w:t>Número de empresas con oferta exportable de prendas de vestir, accesorios y textiles del hogar confeccionados con fibra de vicuña que participan de forma oportuna en actividades de promoción comercial</w:t>
            </w:r>
          </w:p>
        </w:tc>
      </w:tr>
      <w:tr w:rsidR="0025489B" w:rsidRPr="008A26D2" w14:paraId="7AF0B6F0" w14:textId="77777777" w:rsidTr="00466925">
        <w:trPr>
          <w:trHeight w:val="528"/>
          <w:jc w:val="center"/>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47EF9D4" w14:textId="77777777" w:rsidR="0025489B" w:rsidRPr="008A26D2" w:rsidRDefault="0025489B" w:rsidP="0025489B">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Indicador de cobertura</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344CA207" w14:textId="77777777" w:rsidR="0025489B" w:rsidRPr="008A26D2" w:rsidRDefault="0025489B" w:rsidP="0025489B">
            <w:pPr>
              <w:spacing w:after="0" w:line="240" w:lineRule="auto"/>
              <w:ind w:left="156"/>
              <w:jc w:val="both"/>
              <w:rPr>
                <w:rFonts w:ascii="Arial" w:hAnsi="Arial" w:cs="Arial"/>
                <w:sz w:val="20"/>
                <w:szCs w:val="20"/>
              </w:rPr>
            </w:pPr>
            <w:r w:rsidRPr="008A26D2">
              <w:rPr>
                <w:rFonts w:ascii="Arial" w:hAnsi="Arial" w:cs="Arial"/>
                <w:sz w:val="20"/>
                <w:szCs w:val="20"/>
              </w:rPr>
              <w:t>Número de eventos internacionales que incluyen como parte de la oferta, la elaborada en fibra de vicuña.</w:t>
            </w:r>
          </w:p>
        </w:tc>
      </w:tr>
    </w:tbl>
    <w:p w14:paraId="5663A385" w14:textId="4784FA5C" w:rsidR="006E08E6" w:rsidRPr="008A26D2" w:rsidRDefault="006E08E6" w:rsidP="00466925">
      <w:pPr>
        <w:tabs>
          <w:tab w:val="left" w:pos="3375"/>
        </w:tabs>
        <w:jc w:val="both"/>
        <w:rPr>
          <w:rFonts w:ascii="Arial" w:eastAsia="Arial Narrow" w:hAnsi="Arial" w:cs="Arial"/>
          <w:b/>
          <w:bCs/>
        </w:rPr>
      </w:pPr>
    </w:p>
    <w:p w14:paraId="6C384D49" w14:textId="46F9E53A" w:rsidR="009132D1" w:rsidRPr="008A26D2" w:rsidRDefault="009132D1" w:rsidP="00466925">
      <w:pPr>
        <w:tabs>
          <w:tab w:val="left" w:pos="3375"/>
        </w:tabs>
        <w:jc w:val="both"/>
        <w:rPr>
          <w:rFonts w:ascii="Arial" w:eastAsia="Arial Narrow" w:hAnsi="Arial" w:cs="Arial"/>
          <w:b/>
          <w:bCs/>
        </w:rPr>
      </w:pPr>
    </w:p>
    <w:p w14:paraId="78603ACD" w14:textId="4E162AE2" w:rsidR="00E5011C" w:rsidRPr="008A26D2" w:rsidRDefault="00726448" w:rsidP="00466925">
      <w:pPr>
        <w:tabs>
          <w:tab w:val="left" w:pos="3375"/>
        </w:tabs>
        <w:jc w:val="both"/>
        <w:rPr>
          <w:rFonts w:ascii="Arial" w:eastAsia="Arial Narrow" w:hAnsi="Arial" w:cs="Arial"/>
        </w:rPr>
      </w:pPr>
      <w:r w:rsidRPr="008A26D2">
        <w:rPr>
          <w:rFonts w:ascii="Arial" w:eastAsia="Arial Narrow" w:hAnsi="Arial" w:cs="Arial"/>
          <w:b/>
          <w:bCs/>
        </w:rPr>
        <w:t>S1.7.</w:t>
      </w:r>
      <w:r w:rsidRPr="00E11FFB">
        <w:rPr>
          <w:rFonts w:ascii="Arial" w:eastAsia="Arial Narrow" w:hAnsi="Arial" w:cs="Arial"/>
          <w:b/>
          <w:bCs/>
        </w:rPr>
        <w:t>3</w:t>
      </w:r>
      <w:r w:rsidRPr="00E11FFB">
        <w:rPr>
          <w:rFonts w:ascii="Arial" w:eastAsia="Arial Narrow" w:hAnsi="Arial" w:cs="Arial"/>
        </w:rPr>
        <w:t xml:space="preserve"> </w:t>
      </w:r>
      <w:r w:rsidR="00E11FFB" w:rsidRPr="00E11FFB">
        <w:rPr>
          <w:rFonts w:ascii="Arial" w:eastAsia="Arial Narrow" w:hAnsi="Arial" w:cs="Arial"/>
        </w:rPr>
        <w:t>Fortalecimiento de capacidades sobre el aprovechamiento sostenible de la vicuña de forma satisfactoria a los titulares de manejo, gobiernos regionales y Administraciones Técnicas Forestales y de Fauna Silvestre</w:t>
      </w:r>
      <w:r w:rsidRPr="008A26D2">
        <w:rPr>
          <w:rFonts w:ascii="Arial" w:eastAsia="Arial Narrow" w:hAnsi="Arial" w:cs="Arial"/>
        </w:rPr>
        <w:t>.</w:t>
      </w:r>
    </w:p>
    <w:tbl>
      <w:tblPr>
        <w:tblW w:w="8788" w:type="dxa"/>
        <w:jc w:val="center"/>
        <w:tblLayout w:type="fixed"/>
        <w:tblLook w:val="0600" w:firstRow="0" w:lastRow="0" w:firstColumn="0" w:lastColumn="0" w:noHBand="1" w:noVBand="1"/>
      </w:tblPr>
      <w:tblGrid>
        <w:gridCol w:w="2391"/>
        <w:gridCol w:w="2132"/>
        <w:gridCol w:w="2132"/>
        <w:gridCol w:w="2133"/>
      </w:tblGrid>
      <w:tr w:rsidR="008A26D2" w:rsidRPr="008A26D2" w14:paraId="37498912" w14:textId="77777777" w:rsidTr="00726448">
        <w:trPr>
          <w:trHeight w:val="300"/>
          <w:jc w:val="center"/>
        </w:trPr>
        <w:tc>
          <w:tcPr>
            <w:tcW w:w="8788" w:type="dxa"/>
            <w:gridSpan w:val="4"/>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vAlign w:val="center"/>
          </w:tcPr>
          <w:p w14:paraId="25408560" w14:textId="2DE33974" w:rsidR="00726448" w:rsidRPr="008A26D2" w:rsidRDefault="00726448" w:rsidP="0072651A">
            <w:pPr>
              <w:jc w:val="center"/>
              <w:rPr>
                <w:rFonts w:ascii="Arial" w:eastAsia="Arial Narrow" w:hAnsi="Arial" w:cs="Arial"/>
                <w:sz w:val="20"/>
                <w:szCs w:val="20"/>
              </w:rPr>
            </w:pPr>
            <w:r w:rsidRPr="008A26D2">
              <w:rPr>
                <w:rFonts w:ascii="Arial" w:eastAsia="Arial Narrow" w:hAnsi="Arial" w:cs="Arial"/>
                <w:b/>
                <w:sz w:val="20"/>
                <w:szCs w:val="20"/>
              </w:rPr>
              <w:t xml:space="preserve">FICHA DEL SERVICIO </w:t>
            </w:r>
          </w:p>
        </w:tc>
      </w:tr>
      <w:tr w:rsidR="008A26D2" w:rsidRPr="008A26D2" w14:paraId="15E499E3" w14:textId="77777777" w:rsidTr="00726448">
        <w:trPr>
          <w:trHeight w:val="300"/>
          <w:jc w:val="center"/>
        </w:trPr>
        <w:tc>
          <w:tcPr>
            <w:tcW w:w="23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B1C4AAD" w14:textId="77777777" w:rsidR="00726448" w:rsidRPr="008A26D2" w:rsidRDefault="00726448" w:rsidP="0072651A">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 xml:space="preserve"> Objetivo prioritario:</w:t>
            </w:r>
          </w:p>
        </w:tc>
        <w:tc>
          <w:tcPr>
            <w:tcW w:w="639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7698373" w14:textId="77777777" w:rsidR="00726448" w:rsidRPr="008A26D2" w:rsidRDefault="00726448" w:rsidP="0072651A">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r>
      <w:tr w:rsidR="008A26D2" w:rsidRPr="008A26D2" w14:paraId="6033B811" w14:textId="77777777" w:rsidTr="00726448">
        <w:trPr>
          <w:trHeight w:val="300"/>
          <w:jc w:val="center"/>
        </w:trPr>
        <w:tc>
          <w:tcPr>
            <w:tcW w:w="23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DF05B66" w14:textId="77777777" w:rsidR="00726448" w:rsidRPr="008A26D2" w:rsidRDefault="00726448" w:rsidP="0072651A">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 xml:space="preserve"> Lineamiento:</w:t>
            </w:r>
          </w:p>
        </w:tc>
        <w:tc>
          <w:tcPr>
            <w:tcW w:w="639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8EF5244" w14:textId="77777777" w:rsidR="00726448" w:rsidRPr="008A26D2" w:rsidRDefault="00726448" w:rsidP="0072651A">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L1.7 Fomentar la conservación y aprovechamiento sostenible de la vicuña como una prioridad estratégica para el desarrollo sostenible de las poblaciones altoandinas.</w:t>
            </w:r>
          </w:p>
        </w:tc>
      </w:tr>
      <w:tr w:rsidR="008A26D2" w:rsidRPr="008A26D2" w14:paraId="0286ED45" w14:textId="77777777" w:rsidTr="00726448">
        <w:trPr>
          <w:trHeight w:val="300"/>
          <w:jc w:val="center"/>
        </w:trPr>
        <w:tc>
          <w:tcPr>
            <w:tcW w:w="23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B295B50" w14:textId="77777777" w:rsidR="00726448" w:rsidRPr="008A26D2" w:rsidRDefault="00726448" w:rsidP="0072651A">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 xml:space="preserve"> Nombre del servicio:</w:t>
            </w:r>
          </w:p>
        </w:tc>
        <w:tc>
          <w:tcPr>
            <w:tcW w:w="639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CA0DE8F" w14:textId="77777777" w:rsidR="00726448" w:rsidRPr="008A26D2" w:rsidRDefault="00726448" w:rsidP="0072651A">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S1.7.3 Fortalecimiento de capacidades sobre el aprovechamiento sostenible de la vicuña de forma satisfactoria a los titulares de manejo, gobiernos regionales y Administraciones Técnicas Forestales y de Fauna Silvestre.</w:t>
            </w:r>
          </w:p>
        </w:tc>
      </w:tr>
      <w:tr w:rsidR="008A26D2" w:rsidRPr="008A26D2" w14:paraId="2AFD961F" w14:textId="77777777" w:rsidTr="00726448">
        <w:trPr>
          <w:trHeight w:val="300"/>
          <w:jc w:val="center"/>
        </w:trPr>
        <w:tc>
          <w:tcPr>
            <w:tcW w:w="23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D4910F7" w14:textId="77777777" w:rsidR="00726448" w:rsidRPr="008A26D2" w:rsidRDefault="00726448" w:rsidP="0072651A">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Tipo de servicio:</w:t>
            </w:r>
          </w:p>
        </w:tc>
        <w:tc>
          <w:tcPr>
            <w:tcW w:w="639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71C7D3E" w14:textId="77777777" w:rsidR="00726448" w:rsidRPr="008A26D2" w:rsidRDefault="00726448" w:rsidP="0072651A">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Mejorado</w:t>
            </w:r>
          </w:p>
        </w:tc>
      </w:tr>
      <w:tr w:rsidR="008A26D2" w:rsidRPr="008A26D2" w14:paraId="4CF8F450" w14:textId="77777777" w:rsidTr="00726448">
        <w:trPr>
          <w:trHeight w:val="300"/>
          <w:jc w:val="center"/>
        </w:trPr>
        <w:tc>
          <w:tcPr>
            <w:tcW w:w="23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4B61F72" w14:textId="306392C8" w:rsidR="007F4904" w:rsidRPr="008A26D2" w:rsidRDefault="007F4904" w:rsidP="007F4904">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hAnsi="Arial" w:cs="Arial"/>
                <w:b/>
                <w:sz w:val="20"/>
                <w:szCs w:val="20"/>
              </w:rPr>
              <w:t>Naturaleza del servicio:</w:t>
            </w:r>
          </w:p>
        </w:tc>
        <w:tc>
          <w:tcPr>
            <w:tcW w:w="639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9E12297" w14:textId="198393E9" w:rsidR="007F4904" w:rsidRPr="008A26D2" w:rsidRDefault="009E5E9D" w:rsidP="007F4904">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P</w:t>
            </w:r>
            <w:r w:rsidR="007F4904" w:rsidRPr="008A26D2">
              <w:rPr>
                <w:rFonts w:ascii="Arial" w:eastAsia="Arial Narrow" w:hAnsi="Arial" w:cs="Arial"/>
                <w:sz w:val="20"/>
                <w:szCs w:val="20"/>
              </w:rPr>
              <w:t>restacional</w:t>
            </w:r>
          </w:p>
        </w:tc>
      </w:tr>
      <w:tr w:rsidR="008A26D2" w:rsidRPr="008A26D2" w14:paraId="477E00B4" w14:textId="77777777" w:rsidTr="00726448">
        <w:trPr>
          <w:trHeight w:val="300"/>
          <w:jc w:val="center"/>
        </w:trPr>
        <w:tc>
          <w:tcPr>
            <w:tcW w:w="23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61FD6B1" w14:textId="3FD553B8" w:rsidR="007F4904" w:rsidRPr="008A26D2" w:rsidRDefault="007F4904" w:rsidP="007F4904">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hAnsi="Arial" w:cs="Arial"/>
                <w:b/>
                <w:sz w:val="20"/>
                <w:szCs w:val="20"/>
              </w:rPr>
              <w:t>Entrega del servicio</w:t>
            </w:r>
          </w:p>
        </w:tc>
        <w:tc>
          <w:tcPr>
            <w:tcW w:w="639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E7C0950" w14:textId="3331E601" w:rsidR="007F4904" w:rsidRPr="008A26D2" w:rsidRDefault="007F4904" w:rsidP="007F4904">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Competencia exclusiva </w:t>
            </w:r>
          </w:p>
        </w:tc>
      </w:tr>
      <w:tr w:rsidR="008A26D2" w:rsidRPr="008A26D2" w14:paraId="4321DA93" w14:textId="77777777" w:rsidTr="00726448">
        <w:trPr>
          <w:trHeight w:val="300"/>
          <w:jc w:val="center"/>
        </w:trPr>
        <w:tc>
          <w:tcPr>
            <w:tcW w:w="23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D74EF50" w14:textId="77777777" w:rsidR="007F4904" w:rsidRPr="008A26D2" w:rsidRDefault="007F4904" w:rsidP="007F4904">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 xml:space="preserve"> Descripción del servicio</w:t>
            </w:r>
          </w:p>
        </w:tc>
        <w:tc>
          <w:tcPr>
            <w:tcW w:w="639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A0DB7E9" w14:textId="5E58F36D" w:rsidR="007F4904" w:rsidRPr="008A26D2" w:rsidRDefault="007F4904" w:rsidP="007F4904">
            <w:pPr>
              <w:pBdr>
                <w:top w:val="nil"/>
                <w:left w:val="nil"/>
                <w:bottom w:val="nil"/>
                <w:right w:val="nil"/>
                <w:between w:val="nil"/>
              </w:pBdr>
              <w:spacing w:after="0" w:line="240" w:lineRule="auto"/>
              <w:jc w:val="both"/>
              <w:rPr>
                <w:rFonts w:ascii="Arial" w:eastAsia="Arial Narrow" w:hAnsi="Arial" w:cs="Arial"/>
                <w:strike/>
                <w:sz w:val="20"/>
                <w:szCs w:val="20"/>
              </w:rPr>
            </w:pPr>
            <w:r w:rsidRPr="008A26D2">
              <w:rPr>
                <w:rFonts w:ascii="Arial" w:eastAsia="Arial Narrow" w:hAnsi="Arial" w:cs="Arial"/>
                <w:sz w:val="20"/>
                <w:szCs w:val="20"/>
              </w:rPr>
              <w:t xml:space="preserve">El presente servicio consiste en mejorar las capacidades de los titulares de manejo, gobiernos regionales y Administraciones Técnicas Forestales y de Fauna Silvestre, a través de talleres, charlas, cursos, asistencias técnicas, entre otros, para asegurar el aprovechamiento sostenible y conservación de la vicuña. </w:t>
            </w:r>
          </w:p>
          <w:p w14:paraId="2B555C68" w14:textId="77777777" w:rsidR="007F4904" w:rsidRPr="008A26D2" w:rsidRDefault="007F4904" w:rsidP="007F4904">
            <w:pPr>
              <w:pBdr>
                <w:top w:val="nil"/>
                <w:left w:val="nil"/>
                <w:bottom w:val="nil"/>
                <w:right w:val="nil"/>
                <w:between w:val="nil"/>
              </w:pBdr>
              <w:spacing w:after="0" w:line="240" w:lineRule="auto"/>
              <w:jc w:val="both"/>
              <w:rPr>
                <w:rFonts w:ascii="Arial" w:eastAsia="Arial Narrow" w:hAnsi="Arial" w:cs="Arial"/>
                <w:sz w:val="20"/>
                <w:szCs w:val="20"/>
              </w:rPr>
            </w:pPr>
          </w:p>
          <w:p w14:paraId="04C6D7CE" w14:textId="77777777" w:rsidR="007F4904" w:rsidRPr="008A26D2" w:rsidRDefault="007F4904" w:rsidP="007F4904">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lastRenderedPageBreak/>
              <w:t>Las capacitaciones desarrollan las siguientes temáticas:</w:t>
            </w:r>
          </w:p>
          <w:p w14:paraId="5B519B07" w14:textId="77777777" w:rsidR="007F4904" w:rsidRPr="008A26D2" w:rsidRDefault="007F4904" w:rsidP="007F4904">
            <w:pPr>
              <w:numPr>
                <w:ilvl w:val="0"/>
                <w:numId w:val="13"/>
              </w:numPr>
              <w:pBdr>
                <w:top w:val="nil"/>
                <w:left w:val="nil"/>
                <w:bottom w:val="nil"/>
                <w:right w:val="nil"/>
                <w:between w:val="nil"/>
              </w:pBdr>
              <w:spacing w:after="0" w:line="240" w:lineRule="auto"/>
              <w:ind w:left="425" w:hanging="283"/>
              <w:jc w:val="both"/>
              <w:rPr>
                <w:rFonts w:ascii="Arial" w:eastAsia="Arial Narrow" w:hAnsi="Arial" w:cs="Arial"/>
                <w:sz w:val="20"/>
                <w:szCs w:val="20"/>
              </w:rPr>
            </w:pPr>
            <w:r w:rsidRPr="008A26D2">
              <w:rPr>
                <w:rFonts w:ascii="Arial" w:eastAsia="Arial Narrow" w:hAnsi="Arial" w:cs="Arial"/>
                <w:sz w:val="20"/>
                <w:szCs w:val="20"/>
              </w:rPr>
              <w:t>Buenas prácticas de bienestar animal en la vicuña</w:t>
            </w:r>
          </w:p>
          <w:p w14:paraId="64B5474A" w14:textId="77777777" w:rsidR="007F4904" w:rsidRPr="008A26D2" w:rsidRDefault="007F4904" w:rsidP="007F4904">
            <w:pPr>
              <w:numPr>
                <w:ilvl w:val="0"/>
                <w:numId w:val="13"/>
              </w:numPr>
              <w:pBdr>
                <w:top w:val="nil"/>
                <w:left w:val="nil"/>
                <w:bottom w:val="nil"/>
                <w:right w:val="nil"/>
                <w:between w:val="nil"/>
              </w:pBdr>
              <w:spacing w:after="0" w:line="240" w:lineRule="auto"/>
              <w:ind w:left="425" w:hanging="283"/>
              <w:jc w:val="both"/>
              <w:rPr>
                <w:rFonts w:ascii="Arial" w:eastAsia="Arial Narrow" w:hAnsi="Arial" w:cs="Arial"/>
                <w:sz w:val="20"/>
                <w:szCs w:val="20"/>
              </w:rPr>
            </w:pPr>
            <w:r w:rsidRPr="008A26D2">
              <w:rPr>
                <w:rFonts w:ascii="Arial" w:eastAsia="Arial Narrow" w:hAnsi="Arial" w:cs="Arial"/>
                <w:sz w:val="20"/>
                <w:szCs w:val="20"/>
              </w:rPr>
              <w:t>Manejo sanitario de la vicuña</w:t>
            </w:r>
          </w:p>
          <w:p w14:paraId="197CC35E" w14:textId="0148A517" w:rsidR="007F4904" w:rsidRPr="008A26D2" w:rsidRDefault="007F4904" w:rsidP="007F4904">
            <w:pPr>
              <w:numPr>
                <w:ilvl w:val="0"/>
                <w:numId w:val="13"/>
              </w:numPr>
              <w:pBdr>
                <w:top w:val="nil"/>
                <w:left w:val="nil"/>
                <w:bottom w:val="nil"/>
                <w:right w:val="nil"/>
                <w:between w:val="nil"/>
              </w:pBdr>
              <w:spacing w:after="0" w:line="240" w:lineRule="auto"/>
              <w:ind w:left="425" w:hanging="283"/>
              <w:jc w:val="both"/>
              <w:rPr>
                <w:rFonts w:ascii="Arial" w:eastAsia="Arial Narrow" w:hAnsi="Arial" w:cs="Arial"/>
                <w:sz w:val="20"/>
                <w:szCs w:val="20"/>
              </w:rPr>
            </w:pPr>
            <w:r w:rsidRPr="008A26D2">
              <w:rPr>
                <w:rFonts w:ascii="Arial" w:eastAsia="Arial Narrow" w:hAnsi="Arial" w:cs="Arial"/>
                <w:sz w:val="20"/>
                <w:szCs w:val="20"/>
              </w:rPr>
              <w:t xml:space="preserve">Mejoramiento y manejo del hábitat de la vicuña, incluyendo manejo de pasturas </w:t>
            </w:r>
          </w:p>
          <w:p w14:paraId="625FACB0" w14:textId="77777777" w:rsidR="007F4904" w:rsidRPr="008A26D2" w:rsidRDefault="007F4904" w:rsidP="007F4904">
            <w:pPr>
              <w:numPr>
                <w:ilvl w:val="0"/>
                <w:numId w:val="13"/>
              </w:numPr>
              <w:pBdr>
                <w:top w:val="nil"/>
                <w:left w:val="nil"/>
                <w:bottom w:val="nil"/>
                <w:right w:val="nil"/>
                <w:between w:val="nil"/>
              </w:pBdr>
              <w:spacing w:after="0" w:line="240" w:lineRule="auto"/>
              <w:ind w:left="425" w:hanging="283"/>
              <w:jc w:val="both"/>
              <w:rPr>
                <w:rFonts w:ascii="Arial" w:eastAsia="Arial Narrow" w:hAnsi="Arial" w:cs="Arial"/>
                <w:sz w:val="20"/>
                <w:szCs w:val="20"/>
              </w:rPr>
            </w:pPr>
            <w:r w:rsidRPr="008A26D2">
              <w:rPr>
                <w:rFonts w:ascii="Arial" w:eastAsia="Arial Narrow" w:hAnsi="Arial" w:cs="Arial"/>
                <w:sz w:val="20"/>
                <w:szCs w:val="20"/>
              </w:rPr>
              <w:t>Actividades para el aprovechamiento sostenible de la vicuña (obtención de fibra, procesos de transformación y en comercialización de sus productos)</w:t>
            </w:r>
          </w:p>
          <w:p w14:paraId="0B70B6FB" w14:textId="77777777" w:rsidR="007F4904" w:rsidRPr="008A26D2" w:rsidRDefault="007F4904" w:rsidP="007F4904">
            <w:pPr>
              <w:numPr>
                <w:ilvl w:val="0"/>
                <w:numId w:val="13"/>
              </w:numPr>
              <w:pBdr>
                <w:top w:val="nil"/>
                <w:left w:val="nil"/>
                <w:bottom w:val="nil"/>
                <w:right w:val="nil"/>
                <w:between w:val="nil"/>
              </w:pBdr>
              <w:spacing w:after="0" w:line="240" w:lineRule="auto"/>
              <w:ind w:left="425" w:hanging="283"/>
              <w:jc w:val="both"/>
              <w:rPr>
                <w:rFonts w:ascii="Arial" w:eastAsia="Arial Narrow" w:hAnsi="Arial" w:cs="Arial"/>
                <w:sz w:val="20"/>
                <w:szCs w:val="20"/>
              </w:rPr>
            </w:pPr>
            <w:r w:rsidRPr="008A26D2">
              <w:rPr>
                <w:rFonts w:ascii="Arial" w:eastAsia="Arial Narrow" w:hAnsi="Arial" w:cs="Arial"/>
                <w:sz w:val="20"/>
                <w:szCs w:val="20"/>
              </w:rPr>
              <w:t>Procedimientos administrativos para el manejo y aprovechamiento de la vicuña.</w:t>
            </w:r>
          </w:p>
          <w:p w14:paraId="7E2862E4" w14:textId="77777777" w:rsidR="007F4904" w:rsidRPr="008A26D2" w:rsidRDefault="007F4904" w:rsidP="007F4904">
            <w:pPr>
              <w:pBdr>
                <w:top w:val="nil"/>
                <w:left w:val="nil"/>
                <w:bottom w:val="nil"/>
                <w:right w:val="nil"/>
                <w:between w:val="nil"/>
              </w:pBdr>
              <w:spacing w:after="0" w:line="240" w:lineRule="auto"/>
              <w:ind w:left="425"/>
              <w:jc w:val="both"/>
              <w:rPr>
                <w:rFonts w:ascii="Arial" w:eastAsia="Arial Narrow" w:hAnsi="Arial" w:cs="Arial"/>
                <w:sz w:val="20"/>
                <w:szCs w:val="20"/>
              </w:rPr>
            </w:pPr>
          </w:p>
          <w:p w14:paraId="6E66CF5E" w14:textId="293AAC29" w:rsidR="007F4904" w:rsidRPr="008A26D2" w:rsidRDefault="007F4904" w:rsidP="007F4904">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Además, se generarán compromisos por parte de los titulares de manejo, gobiernos regionales y Administraciones Técnicas Forestales y de Fauna Silvestre que garantice la implementación de lo aprendido en las capacitaciones, propiciando una mejora en la gestión de la vicuña. Así mismo a nivel regional las Administraciones Técnicas Forestales y de Fauna Silvestre, como oficinas desconcentradas del Servicio Nacional Forestal y de Fauna Silvestre, también participan en las capacitaciones a los usuarios según su jurisdicción.</w:t>
            </w:r>
          </w:p>
          <w:p w14:paraId="792E43CE" w14:textId="77777777" w:rsidR="007F4904" w:rsidRPr="008A26D2" w:rsidRDefault="007F4904" w:rsidP="007F4904">
            <w:pPr>
              <w:pBdr>
                <w:top w:val="nil"/>
                <w:left w:val="nil"/>
                <w:bottom w:val="nil"/>
                <w:right w:val="nil"/>
                <w:between w:val="nil"/>
              </w:pBdr>
              <w:spacing w:after="0" w:line="240" w:lineRule="auto"/>
              <w:rPr>
                <w:rFonts w:ascii="Arial" w:hAnsi="Arial" w:cs="Arial"/>
              </w:rPr>
            </w:pPr>
          </w:p>
          <w:p w14:paraId="7EEC1D02" w14:textId="1B8837A0" w:rsidR="007F4904" w:rsidRPr="008A26D2" w:rsidRDefault="007F4904" w:rsidP="007F4904">
            <w:pPr>
              <w:jc w:val="both"/>
              <w:rPr>
                <w:rFonts w:ascii="Arial" w:eastAsia="Arial Narrow" w:hAnsi="Arial" w:cs="Arial"/>
                <w:sz w:val="20"/>
                <w:szCs w:val="20"/>
              </w:rPr>
            </w:pPr>
            <w:r w:rsidRPr="008A26D2">
              <w:rPr>
                <w:rFonts w:ascii="Arial" w:eastAsia="Arial Narrow" w:hAnsi="Arial" w:cs="Arial"/>
                <w:sz w:val="20"/>
                <w:szCs w:val="20"/>
              </w:rPr>
              <w:t>El servicio es de tipo mejorado porque se aplican nuevas herramientas metodológicas y tecnológicas para la entrega del servicio</w:t>
            </w:r>
            <w:r w:rsidR="00F92620" w:rsidRPr="008A26D2">
              <w:rPr>
                <w:rFonts w:ascii="Arial" w:eastAsia="Arial Narrow" w:hAnsi="Arial" w:cs="Arial"/>
                <w:sz w:val="20"/>
                <w:szCs w:val="20"/>
              </w:rPr>
              <w:t>,</w:t>
            </w:r>
            <w:r w:rsidRPr="008A26D2">
              <w:rPr>
                <w:rFonts w:ascii="Arial" w:eastAsia="Arial Narrow" w:hAnsi="Arial" w:cs="Arial"/>
                <w:sz w:val="20"/>
                <w:szCs w:val="20"/>
              </w:rPr>
              <w:t xml:space="preserve"> además, se busca llegar a nuevos titulares de manejo para que logren aprovechar sosteniblemente la vicuña.</w:t>
            </w:r>
          </w:p>
        </w:tc>
      </w:tr>
      <w:tr w:rsidR="008A26D2" w:rsidRPr="008A26D2" w14:paraId="4AE42FB6" w14:textId="77777777" w:rsidTr="00726448">
        <w:trPr>
          <w:trHeight w:val="300"/>
          <w:jc w:val="center"/>
        </w:trPr>
        <w:tc>
          <w:tcPr>
            <w:tcW w:w="23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4CB1532" w14:textId="77777777" w:rsidR="007F4904" w:rsidRPr="008A26D2" w:rsidRDefault="007F4904" w:rsidP="007F4904">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lastRenderedPageBreak/>
              <w:t xml:space="preserve"> Proveedor del servicio</w:t>
            </w:r>
          </w:p>
        </w:tc>
        <w:tc>
          <w:tcPr>
            <w:tcW w:w="639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DF8BFD4" w14:textId="77777777" w:rsidR="007F4904" w:rsidRPr="008A26D2" w:rsidRDefault="007F4904" w:rsidP="007F4904">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Servicio Nacional Forestal y de Fauna Silvestre - SERFOR</w:t>
            </w:r>
          </w:p>
        </w:tc>
      </w:tr>
      <w:tr w:rsidR="008A26D2" w:rsidRPr="008A26D2" w14:paraId="1D315701" w14:textId="77777777" w:rsidTr="00495254">
        <w:trPr>
          <w:trHeight w:val="458"/>
          <w:jc w:val="center"/>
        </w:trPr>
        <w:tc>
          <w:tcPr>
            <w:tcW w:w="2391" w:type="dxa"/>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79392AF8" w14:textId="77777777" w:rsidR="007F4904" w:rsidRPr="008A26D2" w:rsidRDefault="007F4904" w:rsidP="00F92620">
            <w:pPr>
              <w:spacing w:after="0" w:line="240" w:lineRule="auto"/>
              <w:rPr>
                <w:rFonts w:ascii="Arial" w:hAnsi="Arial" w:cs="Arial"/>
                <w:b/>
                <w:sz w:val="20"/>
                <w:szCs w:val="20"/>
              </w:rPr>
            </w:pPr>
            <w:r w:rsidRPr="008A26D2">
              <w:rPr>
                <w:rFonts w:ascii="Arial" w:hAnsi="Arial" w:cs="Arial"/>
                <w:b/>
                <w:sz w:val="20"/>
                <w:szCs w:val="20"/>
              </w:rPr>
              <w:t>Nivel (es) de gobierno que interviene</w:t>
            </w:r>
          </w:p>
          <w:p w14:paraId="1661F174" w14:textId="213274A7" w:rsidR="007F4904" w:rsidRPr="008A26D2" w:rsidRDefault="007F4904" w:rsidP="007F4904">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hAnsi="Arial" w:cs="Arial"/>
                <w:b/>
                <w:sz w:val="20"/>
                <w:szCs w:val="20"/>
              </w:rPr>
              <w:t>(n) en la provisión del servicio</w:t>
            </w:r>
          </w:p>
        </w:tc>
        <w:tc>
          <w:tcPr>
            <w:tcW w:w="2132"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1F4D3A1E" w14:textId="556E1E27" w:rsidR="007F4904" w:rsidRPr="008A26D2" w:rsidRDefault="007F4904" w:rsidP="00E11FFB">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Nacional</w:t>
            </w:r>
          </w:p>
        </w:tc>
        <w:tc>
          <w:tcPr>
            <w:tcW w:w="2132" w:type="dxa"/>
            <w:tcBorders>
              <w:top w:val="single" w:sz="4" w:space="0" w:color="000000"/>
              <w:left w:val="single" w:sz="4" w:space="0" w:color="000000"/>
              <w:right w:val="single" w:sz="4" w:space="0" w:color="000000"/>
            </w:tcBorders>
            <w:shd w:val="clear" w:color="auto" w:fill="auto"/>
            <w:vAlign w:val="center"/>
          </w:tcPr>
          <w:p w14:paraId="70BB5814" w14:textId="7C87B3BA" w:rsidR="007F4904" w:rsidRPr="008A26D2" w:rsidRDefault="007F4904" w:rsidP="00E11FFB">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Regional</w:t>
            </w:r>
          </w:p>
        </w:tc>
        <w:tc>
          <w:tcPr>
            <w:tcW w:w="2133" w:type="dxa"/>
            <w:tcBorders>
              <w:top w:val="single" w:sz="4" w:space="0" w:color="000000"/>
              <w:left w:val="single" w:sz="4" w:space="0" w:color="000000"/>
              <w:right w:val="single" w:sz="4" w:space="0" w:color="000000"/>
            </w:tcBorders>
            <w:shd w:val="clear" w:color="auto" w:fill="auto"/>
            <w:vAlign w:val="center"/>
          </w:tcPr>
          <w:p w14:paraId="4678A3D1" w14:textId="7D06E68B" w:rsidR="007F4904" w:rsidRPr="008A26D2" w:rsidRDefault="007F4904" w:rsidP="00E11FFB">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Local</w:t>
            </w:r>
          </w:p>
        </w:tc>
      </w:tr>
      <w:tr w:rsidR="008A26D2" w:rsidRPr="008A26D2" w14:paraId="51E10BF0" w14:textId="77777777" w:rsidTr="00495254">
        <w:trPr>
          <w:trHeight w:val="457"/>
          <w:jc w:val="center"/>
        </w:trPr>
        <w:tc>
          <w:tcPr>
            <w:tcW w:w="2391" w:type="dxa"/>
            <w:vMerge/>
            <w:tcBorders>
              <w:left w:val="single" w:sz="4" w:space="0" w:color="000000"/>
              <w:right w:val="single" w:sz="4" w:space="0" w:color="000000"/>
            </w:tcBorders>
            <w:shd w:val="clear" w:color="auto" w:fill="auto"/>
            <w:tcMar>
              <w:top w:w="15" w:type="dxa"/>
              <w:left w:w="15" w:type="dxa"/>
              <w:bottom w:w="0" w:type="dxa"/>
              <w:right w:w="15" w:type="dxa"/>
            </w:tcMar>
            <w:vAlign w:val="center"/>
          </w:tcPr>
          <w:p w14:paraId="41C73A42" w14:textId="77777777" w:rsidR="007F4904" w:rsidRPr="008A26D2" w:rsidRDefault="007F4904" w:rsidP="007F4904">
            <w:pPr>
              <w:spacing w:after="0" w:line="240" w:lineRule="auto"/>
              <w:rPr>
                <w:rFonts w:ascii="Arial" w:hAnsi="Arial" w:cs="Arial"/>
                <w:b/>
                <w:sz w:val="20"/>
                <w:szCs w:val="20"/>
              </w:rPr>
            </w:pPr>
          </w:p>
        </w:tc>
        <w:tc>
          <w:tcPr>
            <w:tcW w:w="2132"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1B4209C2" w14:textId="6286CCF6" w:rsidR="007F4904" w:rsidRPr="008A26D2" w:rsidRDefault="009E5E9D" w:rsidP="00E11FFB">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X</w:t>
            </w:r>
          </w:p>
        </w:tc>
        <w:tc>
          <w:tcPr>
            <w:tcW w:w="2132" w:type="dxa"/>
            <w:tcBorders>
              <w:top w:val="single" w:sz="4" w:space="0" w:color="000000"/>
              <w:left w:val="single" w:sz="4" w:space="0" w:color="000000"/>
              <w:right w:val="single" w:sz="4" w:space="0" w:color="000000"/>
            </w:tcBorders>
            <w:shd w:val="clear" w:color="auto" w:fill="auto"/>
            <w:vAlign w:val="center"/>
          </w:tcPr>
          <w:p w14:paraId="4F7D18E3" w14:textId="77777777" w:rsidR="007F4904" w:rsidRPr="008A26D2" w:rsidRDefault="007F4904" w:rsidP="00E11FFB">
            <w:pPr>
              <w:pBdr>
                <w:top w:val="nil"/>
                <w:left w:val="nil"/>
                <w:bottom w:val="nil"/>
                <w:right w:val="nil"/>
                <w:between w:val="nil"/>
              </w:pBdr>
              <w:spacing w:after="0" w:line="240" w:lineRule="auto"/>
              <w:jc w:val="center"/>
              <w:rPr>
                <w:rFonts w:ascii="Arial" w:eastAsia="Arial Narrow" w:hAnsi="Arial" w:cs="Arial"/>
                <w:sz w:val="20"/>
                <w:szCs w:val="20"/>
              </w:rPr>
            </w:pPr>
          </w:p>
        </w:tc>
        <w:tc>
          <w:tcPr>
            <w:tcW w:w="2133" w:type="dxa"/>
            <w:tcBorders>
              <w:top w:val="single" w:sz="4" w:space="0" w:color="000000"/>
              <w:left w:val="single" w:sz="4" w:space="0" w:color="000000"/>
              <w:right w:val="single" w:sz="4" w:space="0" w:color="000000"/>
            </w:tcBorders>
            <w:shd w:val="clear" w:color="auto" w:fill="auto"/>
            <w:vAlign w:val="center"/>
          </w:tcPr>
          <w:p w14:paraId="1312C375" w14:textId="1D428055" w:rsidR="007F4904" w:rsidRPr="008A26D2" w:rsidRDefault="007F4904" w:rsidP="00E11FFB">
            <w:pPr>
              <w:pBdr>
                <w:top w:val="nil"/>
                <w:left w:val="nil"/>
                <w:bottom w:val="nil"/>
                <w:right w:val="nil"/>
                <w:between w:val="nil"/>
              </w:pBdr>
              <w:spacing w:after="0" w:line="240" w:lineRule="auto"/>
              <w:jc w:val="center"/>
              <w:rPr>
                <w:rFonts w:ascii="Arial" w:eastAsia="Arial Narrow" w:hAnsi="Arial" w:cs="Arial"/>
                <w:sz w:val="20"/>
                <w:szCs w:val="20"/>
              </w:rPr>
            </w:pPr>
          </w:p>
        </w:tc>
      </w:tr>
      <w:tr w:rsidR="008A26D2" w:rsidRPr="008A26D2" w14:paraId="0A4B82DD" w14:textId="77777777" w:rsidTr="00726448">
        <w:trPr>
          <w:trHeight w:val="300"/>
          <w:jc w:val="center"/>
        </w:trPr>
        <w:tc>
          <w:tcPr>
            <w:tcW w:w="23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F073129" w14:textId="77777777" w:rsidR="007F4904" w:rsidRPr="008A26D2" w:rsidRDefault="007F4904" w:rsidP="007F4904">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 xml:space="preserve"> Receptor del servicio</w:t>
            </w:r>
          </w:p>
        </w:tc>
        <w:tc>
          <w:tcPr>
            <w:tcW w:w="639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1F5B5C8" w14:textId="77777777" w:rsidR="007F4904" w:rsidRPr="008A26D2" w:rsidRDefault="007F4904" w:rsidP="007F4904">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Titulares de manejo, gobiernos regionales y Administraciones Técnicas Forestales y de Fauna Silvestre.</w:t>
            </w:r>
          </w:p>
        </w:tc>
      </w:tr>
      <w:tr w:rsidR="008A26D2" w:rsidRPr="008A26D2" w14:paraId="3E61C811" w14:textId="77777777" w:rsidTr="00726448">
        <w:trPr>
          <w:trHeight w:val="211"/>
          <w:jc w:val="center"/>
        </w:trPr>
        <w:tc>
          <w:tcPr>
            <w:tcW w:w="23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DE81D86" w14:textId="77777777" w:rsidR="007F4904" w:rsidRPr="008A26D2" w:rsidRDefault="007F4904" w:rsidP="007F4904">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 xml:space="preserve"> Alcance del servicio </w:t>
            </w:r>
          </w:p>
        </w:tc>
        <w:tc>
          <w:tcPr>
            <w:tcW w:w="639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CC14ADD" w14:textId="77777777" w:rsidR="007F4904" w:rsidRPr="008A26D2" w:rsidRDefault="007F4904" w:rsidP="007F4904">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Nacional</w:t>
            </w:r>
          </w:p>
        </w:tc>
      </w:tr>
      <w:tr w:rsidR="008A26D2" w:rsidRPr="008A26D2" w14:paraId="2E07FD5C" w14:textId="77777777" w:rsidTr="00726448">
        <w:trPr>
          <w:trHeight w:val="62"/>
          <w:jc w:val="center"/>
        </w:trPr>
        <w:tc>
          <w:tcPr>
            <w:tcW w:w="23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8450E77" w14:textId="77777777" w:rsidR="007F4904" w:rsidRPr="008A26D2" w:rsidRDefault="007F4904" w:rsidP="007F4904">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 xml:space="preserve"> Estándar (es) de cumplimiento</w:t>
            </w:r>
          </w:p>
        </w:tc>
        <w:tc>
          <w:tcPr>
            <w:tcW w:w="639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1C48C05A" w14:textId="77777777" w:rsidR="007F4904" w:rsidRPr="008A26D2" w:rsidRDefault="007F4904" w:rsidP="007F4904">
            <w:pPr>
              <w:pBdr>
                <w:top w:val="nil"/>
                <w:left w:val="nil"/>
                <w:bottom w:val="nil"/>
                <w:right w:val="nil"/>
                <w:between w:val="nil"/>
              </w:pBdr>
              <w:spacing w:after="0" w:line="240" w:lineRule="auto"/>
              <w:rPr>
                <w:rFonts w:ascii="Arial" w:eastAsia="Arial Narrow" w:hAnsi="Arial" w:cs="Arial"/>
                <w:sz w:val="20"/>
                <w:szCs w:val="20"/>
              </w:rPr>
            </w:pPr>
            <w:r w:rsidRPr="008A26D2">
              <w:rPr>
                <w:rFonts w:ascii="Arial" w:eastAsia="Arial Narrow" w:hAnsi="Arial" w:cs="Arial"/>
                <w:sz w:val="20"/>
                <w:szCs w:val="20"/>
              </w:rPr>
              <w:t>Percepción</w:t>
            </w:r>
          </w:p>
        </w:tc>
      </w:tr>
      <w:tr w:rsidR="008A26D2" w:rsidRPr="008A26D2" w14:paraId="38B27026" w14:textId="77777777" w:rsidTr="00726448">
        <w:trPr>
          <w:trHeight w:val="300"/>
          <w:jc w:val="center"/>
        </w:trPr>
        <w:tc>
          <w:tcPr>
            <w:tcW w:w="23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38F82E6" w14:textId="77777777" w:rsidR="007F4904" w:rsidRPr="008A26D2" w:rsidRDefault="007F4904" w:rsidP="007F4904">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 xml:space="preserve"> Descripción del estándar</w:t>
            </w:r>
          </w:p>
        </w:tc>
        <w:tc>
          <w:tcPr>
            <w:tcW w:w="639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35" w:type="dxa"/>
              <w:bottom w:w="0" w:type="dxa"/>
              <w:right w:w="15" w:type="dxa"/>
            </w:tcMar>
            <w:vAlign w:val="center"/>
          </w:tcPr>
          <w:p w14:paraId="339D682E" w14:textId="3724EB9D" w:rsidR="007F4904" w:rsidRPr="008A26D2" w:rsidRDefault="007F4904" w:rsidP="007F4904">
            <w:pPr>
              <w:tabs>
                <w:tab w:val="left" w:pos="3375"/>
              </w:tabs>
              <w:ind w:left="-141"/>
              <w:jc w:val="both"/>
              <w:rPr>
                <w:rFonts w:ascii="Arial" w:eastAsia="Arial Narrow" w:hAnsi="Arial" w:cs="Arial"/>
                <w:sz w:val="20"/>
                <w:szCs w:val="20"/>
              </w:rPr>
            </w:pPr>
            <w:r w:rsidRPr="008A26D2">
              <w:rPr>
                <w:rFonts w:ascii="Arial" w:eastAsia="Arial Narrow" w:hAnsi="Arial" w:cs="Arial"/>
                <w:sz w:val="20"/>
                <w:szCs w:val="20"/>
              </w:rPr>
              <w:t>El estándar del servicio es de percepción debido a que éste satisface las expectativas de capacitación sobre la información para el aprovechamiento sostenible de la vicuña dirigido a Titulares de manejo, servidores de gobiernos regionales y servidores de las Administraciones Técnicas Forestales y de Fauna Silvestre.</w:t>
            </w:r>
          </w:p>
        </w:tc>
      </w:tr>
      <w:tr w:rsidR="007F4904" w:rsidRPr="008A26D2" w14:paraId="12DD57BB" w14:textId="77777777" w:rsidTr="00726448">
        <w:trPr>
          <w:trHeight w:val="491"/>
          <w:jc w:val="center"/>
        </w:trPr>
        <w:tc>
          <w:tcPr>
            <w:tcW w:w="239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0852790" w14:textId="30538300" w:rsidR="007F4904" w:rsidRPr="008A26D2" w:rsidRDefault="007F4904" w:rsidP="007F4904">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 xml:space="preserve">Indicador </w:t>
            </w:r>
            <w:r w:rsidR="00AE4522">
              <w:rPr>
                <w:rFonts w:ascii="Arial" w:eastAsia="Arial Narrow" w:hAnsi="Arial" w:cs="Arial"/>
                <w:b/>
                <w:sz w:val="20"/>
                <w:szCs w:val="20"/>
              </w:rPr>
              <w:t>de calidad</w:t>
            </w:r>
          </w:p>
        </w:tc>
        <w:tc>
          <w:tcPr>
            <w:tcW w:w="639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7F4B9D45" w14:textId="43B6A776" w:rsidR="007F4904" w:rsidRPr="008A26D2" w:rsidRDefault="007F4904" w:rsidP="007F4904">
            <w:pPr>
              <w:tabs>
                <w:tab w:val="left" w:pos="3375"/>
              </w:tabs>
              <w:ind w:left="128"/>
              <w:jc w:val="both"/>
              <w:rPr>
                <w:rFonts w:ascii="Arial" w:eastAsia="Arial Narrow" w:hAnsi="Arial" w:cs="Arial"/>
                <w:strike/>
                <w:sz w:val="20"/>
                <w:szCs w:val="20"/>
              </w:rPr>
            </w:pPr>
            <w:r w:rsidRPr="008A26D2">
              <w:rPr>
                <w:rFonts w:ascii="Arial" w:eastAsia="Arial Narrow" w:hAnsi="Arial" w:cs="Arial"/>
                <w:sz w:val="20"/>
                <w:szCs w:val="20"/>
              </w:rPr>
              <w:t>Porcentaje de representantes de los titulares de manejo y servidores de los gobiernos regionales y Administraciones Técnicas Forestales y de Fauna Silvestre con alto grado de satisfacción sobre las capacitaciones recibidas en aprovechamiento sostenible de la vicuña.</w:t>
            </w:r>
          </w:p>
        </w:tc>
      </w:tr>
    </w:tbl>
    <w:p w14:paraId="665578AC" w14:textId="77777777" w:rsidR="00BD50F4" w:rsidRDefault="00BD50F4" w:rsidP="00726448">
      <w:pPr>
        <w:tabs>
          <w:tab w:val="left" w:pos="3375"/>
        </w:tabs>
        <w:jc w:val="both"/>
        <w:rPr>
          <w:rFonts w:ascii="Arial" w:eastAsia="Arial Narrow" w:hAnsi="Arial" w:cs="Arial"/>
          <w:b/>
          <w:bCs/>
        </w:rPr>
      </w:pPr>
    </w:p>
    <w:p w14:paraId="6401B649" w14:textId="77777777" w:rsidR="00BD50F4" w:rsidRDefault="00BD50F4" w:rsidP="00726448">
      <w:pPr>
        <w:tabs>
          <w:tab w:val="left" w:pos="3375"/>
        </w:tabs>
        <w:jc w:val="both"/>
        <w:rPr>
          <w:rFonts w:ascii="Arial" w:eastAsia="Arial Narrow" w:hAnsi="Arial" w:cs="Arial"/>
          <w:b/>
          <w:bCs/>
        </w:rPr>
      </w:pPr>
    </w:p>
    <w:p w14:paraId="2AE9354C" w14:textId="77777777" w:rsidR="00BD50F4" w:rsidRDefault="00BD50F4" w:rsidP="00726448">
      <w:pPr>
        <w:tabs>
          <w:tab w:val="left" w:pos="3375"/>
        </w:tabs>
        <w:jc w:val="both"/>
        <w:rPr>
          <w:rFonts w:ascii="Arial" w:eastAsia="Arial Narrow" w:hAnsi="Arial" w:cs="Arial"/>
          <w:b/>
          <w:bCs/>
        </w:rPr>
      </w:pPr>
    </w:p>
    <w:p w14:paraId="151AB673" w14:textId="77777777" w:rsidR="00BD50F4" w:rsidRDefault="00BD50F4" w:rsidP="00726448">
      <w:pPr>
        <w:tabs>
          <w:tab w:val="left" w:pos="3375"/>
        </w:tabs>
        <w:jc w:val="both"/>
        <w:rPr>
          <w:rFonts w:ascii="Arial" w:eastAsia="Arial Narrow" w:hAnsi="Arial" w:cs="Arial"/>
          <w:b/>
          <w:bCs/>
        </w:rPr>
      </w:pPr>
    </w:p>
    <w:p w14:paraId="3971D2B8" w14:textId="77777777" w:rsidR="00BD50F4" w:rsidRDefault="00BD50F4" w:rsidP="00726448">
      <w:pPr>
        <w:tabs>
          <w:tab w:val="left" w:pos="3375"/>
        </w:tabs>
        <w:jc w:val="both"/>
        <w:rPr>
          <w:rFonts w:ascii="Arial" w:eastAsia="Arial Narrow" w:hAnsi="Arial" w:cs="Arial"/>
          <w:b/>
          <w:bCs/>
        </w:rPr>
      </w:pPr>
    </w:p>
    <w:p w14:paraId="11DB749B" w14:textId="77777777" w:rsidR="00BD50F4" w:rsidRDefault="00BD50F4" w:rsidP="00726448">
      <w:pPr>
        <w:tabs>
          <w:tab w:val="left" w:pos="3375"/>
        </w:tabs>
        <w:jc w:val="both"/>
        <w:rPr>
          <w:rFonts w:ascii="Arial" w:eastAsia="Arial Narrow" w:hAnsi="Arial" w:cs="Arial"/>
          <w:b/>
          <w:bCs/>
        </w:rPr>
      </w:pPr>
    </w:p>
    <w:p w14:paraId="144FFD18" w14:textId="2CF5A206" w:rsidR="00726448" w:rsidRPr="008A26D2" w:rsidRDefault="00726448" w:rsidP="00726448">
      <w:pPr>
        <w:tabs>
          <w:tab w:val="left" w:pos="3375"/>
        </w:tabs>
        <w:jc w:val="both"/>
        <w:rPr>
          <w:rFonts w:ascii="Arial" w:eastAsia="Arial Narrow" w:hAnsi="Arial" w:cs="Arial"/>
        </w:rPr>
      </w:pPr>
      <w:r w:rsidRPr="008A26D2">
        <w:rPr>
          <w:rFonts w:ascii="Arial" w:eastAsia="Arial Narrow" w:hAnsi="Arial" w:cs="Arial"/>
          <w:b/>
          <w:bCs/>
        </w:rPr>
        <w:lastRenderedPageBreak/>
        <w:t>S1.8.</w:t>
      </w:r>
      <w:r w:rsidR="00212957" w:rsidRPr="00AE4522">
        <w:rPr>
          <w:rFonts w:ascii="Arial" w:eastAsia="Arial Narrow" w:hAnsi="Arial" w:cs="Arial"/>
          <w:b/>
          <w:bCs/>
        </w:rPr>
        <w:t>1</w:t>
      </w:r>
      <w:r w:rsidRPr="00AE4522">
        <w:rPr>
          <w:rFonts w:ascii="Arial" w:eastAsia="Arial Narrow" w:hAnsi="Arial" w:cs="Arial"/>
        </w:rPr>
        <w:t xml:space="preserve"> </w:t>
      </w:r>
      <w:r w:rsidR="00AE4522" w:rsidRPr="00AE4522">
        <w:rPr>
          <w:rFonts w:ascii="Arial" w:eastAsia="Arial Narrow" w:hAnsi="Arial" w:cs="Arial"/>
        </w:rPr>
        <w:t>Fortalecimiento de capacidades en la gestión, control y vigilancia de los recursos forestales y de fauna silvestre brindados de manera oportuna para los titulares de títulos habilitantes</w:t>
      </w:r>
      <w:r w:rsidRPr="008A26D2">
        <w:rPr>
          <w:rFonts w:ascii="Arial" w:eastAsia="Arial Narrow" w:hAnsi="Arial" w:cs="Arial"/>
        </w:rPr>
        <w:t>.</w:t>
      </w:r>
    </w:p>
    <w:tbl>
      <w:tblPr>
        <w:tblW w:w="8930" w:type="dxa"/>
        <w:jc w:val="center"/>
        <w:tblLayout w:type="fixed"/>
        <w:tblLook w:val="0600" w:firstRow="0" w:lastRow="0" w:firstColumn="0" w:lastColumn="0" w:noHBand="1" w:noVBand="1"/>
      </w:tblPr>
      <w:tblGrid>
        <w:gridCol w:w="2551"/>
        <w:gridCol w:w="2126"/>
        <w:gridCol w:w="2126"/>
        <w:gridCol w:w="2127"/>
      </w:tblGrid>
      <w:tr w:rsidR="008A26D2" w:rsidRPr="008A26D2" w14:paraId="169EB9A8" w14:textId="77777777" w:rsidTr="00726448">
        <w:trPr>
          <w:trHeight w:val="397"/>
          <w:jc w:val="center"/>
        </w:trPr>
        <w:tc>
          <w:tcPr>
            <w:tcW w:w="8930"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center"/>
          </w:tcPr>
          <w:p w14:paraId="3E3872F3" w14:textId="54BEC008" w:rsidR="00726448" w:rsidRPr="008A26D2" w:rsidRDefault="00726448" w:rsidP="0072651A">
            <w:pPr>
              <w:tabs>
                <w:tab w:val="left" w:pos="3375"/>
              </w:tabs>
              <w:spacing w:after="0"/>
              <w:jc w:val="center"/>
              <w:rPr>
                <w:rFonts w:ascii="Arial" w:hAnsi="Arial" w:cs="Arial"/>
                <w:b/>
                <w:sz w:val="20"/>
                <w:szCs w:val="20"/>
              </w:rPr>
            </w:pPr>
            <w:r w:rsidRPr="008A26D2">
              <w:rPr>
                <w:rFonts w:ascii="Arial" w:hAnsi="Arial" w:cs="Arial"/>
                <w:b/>
                <w:sz w:val="20"/>
                <w:szCs w:val="20"/>
              </w:rPr>
              <w:t xml:space="preserve">FICHA DEL SERVICIO </w:t>
            </w:r>
          </w:p>
        </w:tc>
      </w:tr>
      <w:tr w:rsidR="008A26D2" w:rsidRPr="008A26D2" w14:paraId="25F0516A" w14:textId="77777777" w:rsidTr="00726448">
        <w:trPr>
          <w:trHeight w:val="567"/>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24532A7" w14:textId="77777777" w:rsidR="00726448" w:rsidRPr="008A26D2" w:rsidRDefault="00726448"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Objetivo prioritario:</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3B51B98" w14:textId="77777777" w:rsidR="00726448" w:rsidRPr="008A26D2" w:rsidRDefault="00726448" w:rsidP="0072651A">
            <w:pPr>
              <w:pBdr>
                <w:top w:val="nil"/>
                <w:left w:val="nil"/>
                <w:bottom w:val="nil"/>
                <w:right w:val="nil"/>
                <w:between w:val="nil"/>
              </w:pBdr>
              <w:spacing w:after="0" w:line="240" w:lineRule="auto"/>
              <w:ind w:left="129"/>
              <w:jc w:val="both"/>
              <w:rPr>
                <w:rFonts w:ascii="Arial" w:hAnsi="Arial" w:cs="Arial"/>
                <w:sz w:val="20"/>
                <w:szCs w:val="20"/>
              </w:rPr>
            </w:pPr>
            <w:r w:rsidRPr="008A26D2">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r>
      <w:tr w:rsidR="008A26D2" w:rsidRPr="008A26D2" w14:paraId="36DC00F6" w14:textId="77777777" w:rsidTr="00726448">
        <w:trPr>
          <w:trHeight w:val="567"/>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F701605" w14:textId="77777777" w:rsidR="00726448" w:rsidRPr="008A26D2" w:rsidRDefault="00726448"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Lineamiento:</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A096E5E" w14:textId="77777777" w:rsidR="00726448" w:rsidRPr="008A26D2" w:rsidRDefault="00726448" w:rsidP="0072651A">
            <w:pPr>
              <w:pBdr>
                <w:top w:val="nil"/>
                <w:left w:val="nil"/>
                <w:bottom w:val="nil"/>
                <w:right w:val="nil"/>
                <w:between w:val="nil"/>
              </w:pBdr>
              <w:spacing w:after="0" w:line="240" w:lineRule="auto"/>
              <w:ind w:left="129"/>
              <w:jc w:val="both"/>
              <w:rPr>
                <w:rFonts w:ascii="Arial" w:eastAsia="Arial Narrow" w:hAnsi="Arial" w:cs="Arial"/>
                <w:sz w:val="20"/>
                <w:szCs w:val="20"/>
              </w:rPr>
            </w:pPr>
            <w:r w:rsidRPr="008A26D2">
              <w:rPr>
                <w:rFonts w:ascii="Arial" w:eastAsia="Arial Narrow" w:hAnsi="Arial" w:cs="Arial"/>
                <w:sz w:val="20"/>
                <w:szCs w:val="20"/>
              </w:rPr>
              <w:t>L1.8 Fortalecer capacidades para el cumplimiento de la legislación forestal y de fauna silvestre</w:t>
            </w:r>
          </w:p>
        </w:tc>
      </w:tr>
      <w:tr w:rsidR="008A26D2" w:rsidRPr="008A26D2" w14:paraId="42FE2A8A" w14:textId="77777777" w:rsidTr="00BD50F4">
        <w:trPr>
          <w:trHeight w:val="957"/>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11DBE07" w14:textId="77777777" w:rsidR="00726448" w:rsidRPr="008A26D2" w:rsidRDefault="00726448"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Nombre del servicio:</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D0FD228" w14:textId="050E7F3E" w:rsidR="00726448" w:rsidRPr="008A26D2" w:rsidRDefault="00726448" w:rsidP="0072651A">
            <w:pPr>
              <w:pBdr>
                <w:top w:val="nil"/>
                <w:left w:val="nil"/>
                <w:bottom w:val="nil"/>
                <w:right w:val="nil"/>
                <w:between w:val="nil"/>
              </w:pBdr>
              <w:spacing w:after="0" w:line="240" w:lineRule="auto"/>
              <w:ind w:left="129"/>
              <w:jc w:val="both"/>
              <w:rPr>
                <w:rFonts w:ascii="Arial" w:eastAsia="Arial Narrow" w:hAnsi="Arial" w:cs="Arial"/>
                <w:sz w:val="20"/>
                <w:szCs w:val="20"/>
              </w:rPr>
            </w:pPr>
            <w:r w:rsidRPr="008A26D2">
              <w:rPr>
                <w:rFonts w:ascii="Arial" w:eastAsia="Arial Narrow" w:hAnsi="Arial" w:cs="Arial"/>
                <w:sz w:val="20"/>
                <w:szCs w:val="20"/>
              </w:rPr>
              <w:t>S1.8.</w:t>
            </w:r>
            <w:r w:rsidR="00212957" w:rsidRPr="008A26D2">
              <w:rPr>
                <w:rFonts w:ascii="Arial" w:eastAsia="Arial Narrow" w:hAnsi="Arial" w:cs="Arial"/>
                <w:sz w:val="20"/>
                <w:szCs w:val="20"/>
              </w:rPr>
              <w:t>1</w:t>
            </w:r>
            <w:r w:rsidRPr="008A26D2">
              <w:rPr>
                <w:rFonts w:ascii="Arial" w:eastAsia="Arial Narrow" w:hAnsi="Arial" w:cs="Arial"/>
                <w:sz w:val="20"/>
                <w:szCs w:val="20"/>
              </w:rPr>
              <w:t xml:space="preserve"> Fortalecimiento de capacidades </w:t>
            </w:r>
            <w:r w:rsidR="00652FB3" w:rsidRPr="008A26D2">
              <w:rPr>
                <w:rFonts w:ascii="Arial" w:eastAsia="Arial Narrow" w:hAnsi="Arial" w:cs="Arial"/>
                <w:sz w:val="20"/>
                <w:szCs w:val="20"/>
              </w:rPr>
              <w:t xml:space="preserve">en </w:t>
            </w:r>
            <w:r w:rsidRPr="008A26D2">
              <w:rPr>
                <w:rFonts w:ascii="Arial" w:eastAsia="Arial Narrow" w:hAnsi="Arial" w:cs="Arial"/>
                <w:sz w:val="20"/>
                <w:szCs w:val="20"/>
              </w:rPr>
              <w:t>la gestión, control y vigilancia de los recursos forestales</w:t>
            </w:r>
            <w:r w:rsidR="00652FB3" w:rsidRPr="008A26D2">
              <w:rPr>
                <w:rFonts w:ascii="Arial" w:eastAsia="Arial Narrow" w:hAnsi="Arial" w:cs="Arial"/>
                <w:sz w:val="20"/>
                <w:szCs w:val="20"/>
              </w:rPr>
              <w:t xml:space="preserve"> y de fauna silvestre</w:t>
            </w:r>
            <w:r w:rsidR="00F92620" w:rsidRPr="008A26D2">
              <w:rPr>
                <w:rFonts w:ascii="Arial" w:eastAsia="Arial Narrow" w:hAnsi="Arial" w:cs="Arial"/>
                <w:sz w:val="20"/>
                <w:szCs w:val="20"/>
              </w:rPr>
              <w:t xml:space="preserve"> </w:t>
            </w:r>
            <w:r w:rsidRPr="008A26D2">
              <w:rPr>
                <w:rFonts w:ascii="Arial" w:eastAsia="Arial Narrow" w:hAnsi="Arial" w:cs="Arial"/>
                <w:sz w:val="20"/>
                <w:szCs w:val="20"/>
              </w:rPr>
              <w:t xml:space="preserve">brindados de manera oportuna </w:t>
            </w:r>
            <w:r w:rsidR="00652FB3" w:rsidRPr="008A26D2">
              <w:rPr>
                <w:rFonts w:ascii="Arial" w:eastAsia="Arial Narrow" w:hAnsi="Arial" w:cs="Arial"/>
                <w:sz w:val="20"/>
                <w:szCs w:val="20"/>
              </w:rPr>
              <w:t>para</w:t>
            </w:r>
            <w:r w:rsidRPr="008A26D2">
              <w:rPr>
                <w:rFonts w:ascii="Arial" w:eastAsia="Arial Narrow" w:hAnsi="Arial" w:cs="Arial"/>
                <w:sz w:val="20"/>
                <w:szCs w:val="20"/>
              </w:rPr>
              <w:t xml:space="preserve"> los titulares de títulos habilitantes.</w:t>
            </w:r>
          </w:p>
        </w:tc>
      </w:tr>
      <w:tr w:rsidR="008A26D2" w:rsidRPr="008A26D2" w14:paraId="5FC9458E" w14:textId="77777777" w:rsidTr="00726448">
        <w:trPr>
          <w:trHeight w:val="397"/>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BB2BA17" w14:textId="77777777" w:rsidR="00726448" w:rsidRPr="008A26D2" w:rsidRDefault="00726448"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Tipo de servicio:</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299C28D" w14:textId="77777777" w:rsidR="00726448" w:rsidRPr="008A26D2" w:rsidRDefault="00726448" w:rsidP="0072651A">
            <w:pPr>
              <w:pBdr>
                <w:top w:val="nil"/>
                <w:left w:val="nil"/>
                <w:bottom w:val="nil"/>
                <w:right w:val="nil"/>
                <w:between w:val="nil"/>
              </w:pBdr>
              <w:spacing w:after="0" w:line="240" w:lineRule="auto"/>
              <w:ind w:left="129"/>
              <w:jc w:val="both"/>
              <w:rPr>
                <w:rFonts w:ascii="Arial" w:eastAsia="Arial Narrow" w:hAnsi="Arial" w:cs="Arial"/>
                <w:sz w:val="20"/>
                <w:szCs w:val="20"/>
              </w:rPr>
            </w:pPr>
            <w:r w:rsidRPr="008A26D2">
              <w:rPr>
                <w:rFonts w:ascii="Arial" w:eastAsia="Arial Narrow" w:hAnsi="Arial" w:cs="Arial"/>
                <w:sz w:val="20"/>
                <w:szCs w:val="20"/>
              </w:rPr>
              <w:t>Mejorado</w:t>
            </w:r>
          </w:p>
        </w:tc>
      </w:tr>
      <w:tr w:rsidR="008A26D2" w:rsidRPr="008A26D2" w14:paraId="0F1D0360" w14:textId="77777777" w:rsidTr="00726448">
        <w:trPr>
          <w:trHeight w:val="397"/>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A8D433B" w14:textId="766A804C" w:rsidR="007F4904" w:rsidRPr="008A26D2" w:rsidRDefault="007F4904" w:rsidP="007F490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Naturaleza del servicio:</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859263E" w14:textId="3B18D16B" w:rsidR="007F4904" w:rsidRPr="008A26D2" w:rsidRDefault="009E5E9D" w:rsidP="007F4904">
            <w:pPr>
              <w:pBdr>
                <w:top w:val="nil"/>
                <w:left w:val="nil"/>
                <w:bottom w:val="nil"/>
                <w:right w:val="nil"/>
                <w:between w:val="nil"/>
              </w:pBdr>
              <w:spacing w:after="0" w:line="240" w:lineRule="auto"/>
              <w:ind w:left="129"/>
              <w:jc w:val="both"/>
              <w:rPr>
                <w:rFonts w:ascii="Arial" w:eastAsia="Arial Narrow" w:hAnsi="Arial" w:cs="Arial"/>
                <w:sz w:val="20"/>
                <w:szCs w:val="20"/>
              </w:rPr>
            </w:pPr>
            <w:r w:rsidRPr="008A26D2">
              <w:rPr>
                <w:rFonts w:ascii="Arial" w:eastAsia="Arial Narrow" w:hAnsi="Arial" w:cs="Arial"/>
                <w:sz w:val="20"/>
                <w:szCs w:val="20"/>
              </w:rPr>
              <w:t>P</w:t>
            </w:r>
            <w:r w:rsidR="007F4904" w:rsidRPr="008A26D2">
              <w:rPr>
                <w:rFonts w:ascii="Arial" w:eastAsia="Arial Narrow" w:hAnsi="Arial" w:cs="Arial"/>
                <w:sz w:val="20"/>
                <w:szCs w:val="20"/>
              </w:rPr>
              <w:t>restacional</w:t>
            </w:r>
          </w:p>
        </w:tc>
      </w:tr>
      <w:tr w:rsidR="008A26D2" w:rsidRPr="008A26D2" w14:paraId="7EA25086" w14:textId="77777777" w:rsidTr="00726448">
        <w:trPr>
          <w:trHeight w:val="397"/>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C155967" w14:textId="2996AE61" w:rsidR="007F4904" w:rsidRPr="008A26D2" w:rsidRDefault="007F4904" w:rsidP="007F490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Entrega del servicio</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A13A4B4" w14:textId="5C855567" w:rsidR="007F4904" w:rsidRPr="008A26D2" w:rsidRDefault="007F4904" w:rsidP="007F4904">
            <w:pPr>
              <w:pBdr>
                <w:top w:val="nil"/>
                <w:left w:val="nil"/>
                <w:bottom w:val="nil"/>
                <w:right w:val="nil"/>
                <w:between w:val="nil"/>
              </w:pBdr>
              <w:spacing w:after="0" w:line="240" w:lineRule="auto"/>
              <w:ind w:left="129"/>
              <w:jc w:val="both"/>
              <w:rPr>
                <w:rFonts w:ascii="Arial" w:eastAsia="Arial Narrow" w:hAnsi="Arial" w:cs="Arial"/>
                <w:sz w:val="20"/>
                <w:szCs w:val="20"/>
              </w:rPr>
            </w:pPr>
            <w:r w:rsidRPr="008A26D2">
              <w:rPr>
                <w:rFonts w:ascii="Arial" w:eastAsia="Arial Narrow" w:hAnsi="Arial" w:cs="Arial"/>
                <w:sz w:val="20"/>
                <w:szCs w:val="20"/>
              </w:rPr>
              <w:t xml:space="preserve">Competencia exclusiva </w:t>
            </w:r>
          </w:p>
        </w:tc>
      </w:tr>
      <w:tr w:rsidR="008A26D2" w:rsidRPr="008A26D2" w14:paraId="686ADB29" w14:textId="77777777" w:rsidTr="00726448">
        <w:trPr>
          <w:trHeight w:val="3008"/>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77E4A7B" w14:textId="77777777" w:rsidR="007F4904" w:rsidRPr="008A26D2" w:rsidRDefault="007F4904" w:rsidP="007F490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Descripción del servicio</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03B7FCB" w14:textId="0FD0C64B" w:rsidR="00F10F5A" w:rsidRDefault="00F10F5A" w:rsidP="00F10F5A">
            <w:pPr>
              <w:pBdr>
                <w:top w:val="nil"/>
                <w:left w:val="nil"/>
                <w:bottom w:val="nil"/>
                <w:right w:val="nil"/>
                <w:between w:val="nil"/>
              </w:pBdr>
              <w:spacing w:after="0" w:line="240" w:lineRule="auto"/>
              <w:ind w:left="129"/>
              <w:jc w:val="both"/>
              <w:rPr>
                <w:rFonts w:ascii="Arial" w:eastAsia="Arial Narrow" w:hAnsi="Arial" w:cs="Arial"/>
                <w:sz w:val="20"/>
                <w:szCs w:val="20"/>
              </w:rPr>
            </w:pPr>
            <w:r w:rsidRPr="00DF13D0">
              <w:rPr>
                <w:rFonts w:ascii="Arial" w:eastAsia="Arial Narrow" w:hAnsi="Arial" w:cs="Arial"/>
                <w:sz w:val="20"/>
                <w:szCs w:val="20"/>
              </w:rPr>
              <w:t>El servicio consiste en desarrollar acciones de capacitación en materia forestal y de fauna silvestre</w:t>
            </w:r>
            <w:r>
              <w:rPr>
                <w:rFonts w:ascii="Arial" w:eastAsia="Arial Narrow" w:hAnsi="Arial" w:cs="Arial"/>
                <w:sz w:val="20"/>
                <w:szCs w:val="20"/>
              </w:rPr>
              <w:t>, con la finalidad de</w:t>
            </w:r>
            <w:r w:rsidRPr="00DF13D0">
              <w:rPr>
                <w:rFonts w:ascii="Arial" w:eastAsia="Arial Narrow" w:hAnsi="Arial" w:cs="Arial"/>
                <w:sz w:val="20"/>
                <w:szCs w:val="20"/>
              </w:rPr>
              <w:t xml:space="preserve"> contribuir al cambio de conducta de los </w:t>
            </w:r>
            <w:r>
              <w:rPr>
                <w:rFonts w:ascii="Arial" w:eastAsia="Arial Narrow" w:hAnsi="Arial" w:cs="Arial"/>
                <w:sz w:val="20"/>
                <w:szCs w:val="20"/>
              </w:rPr>
              <w:t>distintos</w:t>
            </w:r>
            <w:r w:rsidRPr="00DF13D0">
              <w:rPr>
                <w:rFonts w:ascii="Arial" w:eastAsia="Arial Narrow" w:hAnsi="Arial" w:cs="Arial"/>
                <w:sz w:val="20"/>
                <w:szCs w:val="20"/>
              </w:rPr>
              <w:t xml:space="preserve"> actores de la cadena de valor forestal</w:t>
            </w:r>
            <w:r>
              <w:rPr>
                <w:rFonts w:ascii="Arial" w:eastAsia="Arial Narrow" w:hAnsi="Arial" w:cs="Arial"/>
                <w:sz w:val="20"/>
                <w:szCs w:val="20"/>
              </w:rPr>
              <w:t xml:space="preserve"> y de fauna silvestre</w:t>
            </w:r>
            <w:r w:rsidRPr="00DF13D0">
              <w:rPr>
                <w:rFonts w:ascii="Arial" w:eastAsia="Arial Narrow" w:hAnsi="Arial" w:cs="Arial"/>
                <w:sz w:val="20"/>
                <w:szCs w:val="20"/>
              </w:rPr>
              <w:t>, con énfasis en los títulos habilitantes de las diferentes modalidades de aprovechamiento forestal y de fauna silvestre</w:t>
            </w:r>
            <w:r>
              <w:rPr>
                <w:rFonts w:ascii="Arial" w:eastAsia="Arial Narrow" w:hAnsi="Arial" w:cs="Arial"/>
                <w:sz w:val="20"/>
                <w:szCs w:val="20"/>
              </w:rPr>
              <w:t>.</w:t>
            </w:r>
          </w:p>
          <w:p w14:paraId="45A273D3" w14:textId="77777777" w:rsidR="00F10F5A" w:rsidRDefault="00F10F5A" w:rsidP="00F10F5A">
            <w:pPr>
              <w:pBdr>
                <w:top w:val="nil"/>
                <w:left w:val="nil"/>
                <w:bottom w:val="nil"/>
                <w:right w:val="nil"/>
                <w:between w:val="nil"/>
              </w:pBdr>
              <w:spacing w:after="0" w:line="240" w:lineRule="auto"/>
              <w:ind w:left="129"/>
              <w:jc w:val="both"/>
              <w:rPr>
                <w:rFonts w:ascii="Arial" w:eastAsia="Arial Narrow" w:hAnsi="Arial" w:cs="Arial"/>
                <w:sz w:val="20"/>
                <w:szCs w:val="20"/>
              </w:rPr>
            </w:pPr>
          </w:p>
          <w:p w14:paraId="044240C5" w14:textId="77777777" w:rsidR="00F10F5A" w:rsidRDefault="00F10F5A" w:rsidP="00F10F5A">
            <w:pPr>
              <w:pBdr>
                <w:top w:val="nil"/>
                <w:left w:val="nil"/>
                <w:bottom w:val="nil"/>
                <w:right w:val="nil"/>
                <w:between w:val="nil"/>
              </w:pBdr>
              <w:spacing w:after="0" w:line="240" w:lineRule="auto"/>
              <w:ind w:left="129"/>
              <w:jc w:val="both"/>
              <w:rPr>
                <w:rFonts w:ascii="Arial" w:eastAsia="Arial Narrow" w:hAnsi="Arial" w:cs="Arial"/>
                <w:sz w:val="20"/>
                <w:szCs w:val="20"/>
              </w:rPr>
            </w:pPr>
            <w:r>
              <w:rPr>
                <w:rFonts w:ascii="Arial" w:eastAsia="Arial Narrow" w:hAnsi="Arial" w:cs="Arial"/>
                <w:sz w:val="20"/>
                <w:szCs w:val="20"/>
              </w:rPr>
              <w:t xml:space="preserve">El atributo de oportunidad se refiere al hecho de que las </w:t>
            </w:r>
            <w:r w:rsidRPr="00DF13D0">
              <w:rPr>
                <w:rFonts w:ascii="Arial" w:eastAsia="Arial Narrow" w:hAnsi="Arial" w:cs="Arial"/>
                <w:sz w:val="20"/>
                <w:szCs w:val="20"/>
              </w:rPr>
              <w:t xml:space="preserve">capacitaciones se </w:t>
            </w:r>
            <w:r>
              <w:rPr>
                <w:rFonts w:ascii="Arial" w:eastAsia="Arial Narrow" w:hAnsi="Arial" w:cs="Arial"/>
                <w:sz w:val="20"/>
                <w:szCs w:val="20"/>
              </w:rPr>
              <w:t>desarrollen</w:t>
            </w:r>
            <w:r w:rsidRPr="00DF13D0">
              <w:rPr>
                <w:rFonts w:ascii="Arial" w:eastAsia="Arial Narrow" w:hAnsi="Arial" w:cs="Arial"/>
                <w:sz w:val="20"/>
                <w:szCs w:val="20"/>
              </w:rPr>
              <w:t xml:space="preserve"> con un enfoque preventivo</w:t>
            </w:r>
            <w:r>
              <w:rPr>
                <w:rFonts w:ascii="Arial" w:eastAsia="Arial Narrow" w:hAnsi="Arial" w:cs="Arial"/>
                <w:sz w:val="20"/>
                <w:szCs w:val="20"/>
              </w:rPr>
              <w:t>, es decir,</w:t>
            </w:r>
            <w:r w:rsidRPr="00DF13D0">
              <w:rPr>
                <w:rFonts w:ascii="Arial" w:eastAsia="Arial Narrow" w:hAnsi="Arial" w:cs="Arial"/>
                <w:sz w:val="20"/>
                <w:szCs w:val="20"/>
              </w:rPr>
              <w:t xml:space="preserve"> antes que se ejecuten las acciones de fiscalización de los recursos</w:t>
            </w:r>
            <w:r>
              <w:rPr>
                <w:rFonts w:ascii="Arial" w:eastAsia="Arial Narrow" w:hAnsi="Arial" w:cs="Arial"/>
                <w:sz w:val="20"/>
                <w:szCs w:val="20"/>
              </w:rPr>
              <w:t xml:space="preserve"> forestales y de fauna silvestre</w:t>
            </w:r>
            <w:r w:rsidRPr="00DF13D0">
              <w:rPr>
                <w:rFonts w:ascii="Arial" w:eastAsia="Arial Narrow" w:hAnsi="Arial" w:cs="Arial"/>
                <w:sz w:val="20"/>
                <w:szCs w:val="20"/>
              </w:rPr>
              <w:t xml:space="preserve">, </w:t>
            </w:r>
            <w:r>
              <w:rPr>
                <w:rFonts w:ascii="Arial" w:eastAsia="Arial Narrow" w:hAnsi="Arial" w:cs="Arial"/>
                <w:sz w:val="20"/>
                <w:szCs w:val="20"/>
              </w:rPr>
              <w:t xml:space="preserve">así como de </w:t>
            </w:r>
            <w:r w:rsidRPr="00DF13D0">
              <w:rPr>
                <w:rFonts w:ascii="Arial" w:eastAsia="Arial Narrow" w:hAnsi="Arial" w:cs="Arial"/>
                <w:sz w:val="20"/>
                <w:szCs w:val="20"/>
              </w:rPr>
              <w:t>conservación de áreas de bosques amenazados por la deforestación y degradación.</w:t>
            </w:r>
          </w:p>
          <w:p w14:paraId="7CBB743E" w14:textId="77777777" w:rsidR="00F10F5A" w:rsidRDefault="00F10F5A" w:rsidP="00F10F5A">
            <w:pPr>
              <w:pBdr>
                <w:top w:val="nil"/>
                <w:left w:val="nil"/>
                <w:bottom w:val="nil"/>
                <w:right w:val="nil"/>
                <w:between w:val="nil"/>
              </w:pBdr>
              <w:spacing w:after="0" w:line="240" w:lineRule="auto"/>
              <w:ind w:left="129"/>
              <w:jc w:val="both"/>
              <w:rPr>
                <w:rFonts w:ascii="Arial" w:eastAsia="Arial Narrow" w:hAnsi="Arial" w:cs="Arial"/>
                <w:sz w:val="20"/>
                <w:szCs w:val="20"/>
              </w:rPr>
            </w:pPr>
          </w:p>
          <w:p w14:paraId="3E6774F2" w14:textId="77777777" w:rsidR="00F10F5A" w:rsidRPr="004C10E7" w:rsidRDefault="00F10F5A" w:rsidP="00F10F5A">
            <w:pPr>
              <w:pBdr>
                <w:top w:val="nil"/>
                <w:left w:val="nil"/>
                <w:bottom w:val="nil"/>
                <w:right w:val="nil"/>
                <w:between w:val="nil"/>
              </w:pBdr>
              <w:spacing w:after="0" w:line="240" w:lineRule="auto"/>
              <w:ind w:left="129"/>
              <w:jc w:val="both"/>
              <w:rPr>
                <w:rFonts w:ascii="Arial" w:eastAsia="Arial Narrow" w:hAnsi="Arial" w:cs="Arial"/>
                <w:sz w:val="20"/>
                <w:szCs w:val="20"/>
              </w:rPr>
            </w:pPr>
            <w:r>
              <w:rPr>
                <w:rFonts w:ascii="Arial" w:eastAsia="Arial Narrow" w:hAnsi="Arial" w:cs="Arial"/>
                <w:sz w:val="20"/>
                <w:szCs w:val="20"/>
              </w:rPr>
              <w:t xml:space="preserve">Por otro lado, la mejora del servicio involucra desarrollar dos modalidades de prestación: </w:t>
            </w:r>
            <w:r w:rsidRPr="00DF13D0">
              <w:rPr>
                <w:rFonts w:ascii="Arial" w:eastAsia="Arial Narrow" w:hAnsi="Arial" w:cs="Arial"/>
                <w:sz w:val="20"/>
                <w:szCs w:val="20"/>
              </w:rPr>
              <w:t>la modalida</w:t>
            </w:r>
            <w:r>
              <w:rPr>
                <w:rFonts w:ascii="Arial" w:eastAsia="Arial Narrow" w:hAnsi="Arial" w:cs="Arial"/>
                <w:sz w:val="20"/>
                <w:szCs w:val="20"/>
              </w:rPr>
              <w:t xml:space="preserve">d presencial y virtual, así como la implementación del enfoque preventivo en las acciones de capacitación para </w:t>
            </w:r>
            <w:r w:rsidRPr="00DF13D0">
              <w:rPr>
                <w:rFonts w:ascii="Arial" w:eastAsia="Arial Narrow" w:hAnsi="Arial" w:cs="Arial"/>
                <w:sz w:val="20"/>
                <w:szCs w:val="20"/>
              </w:rPr>
              <w:t>el aprovechamiento sostenible de los recursos forestales y de fauna silvestre, y de los servicios ecosistémicos</w:t>
            </w:r>
            <w:r>
              <w:rPr>
                <w:rFonts w:ascii="Arial" w:eastAsia="Arial Narrow" w:hAnsi="Arial" w:cs="Arial"/>
                <w:sz w:val="20"/>
                <w:szCs w:val="20"/>
              </w:rPr>
              <w:t>.</w:t>
            </w:r>
          </w:p>
          <w:p w14:paraId="44F79062" w14:textId="7E6A3968" w:rsidR="007F4904" w:rsidRPr="008A26D2" w:rsidRDefault="007F4904" w:rsidP="007F4904">
            <w:pPr>
              <w:pBdr>
                <w:top w:val="nil"/>
                <w:left w:val="nil"/>
                <w:bottom w:val="nil"/>
                <w:right w:val="nil"/>
                <w:between w:val="nil"/>
              </w:pBdr>
              <w:spacing w:after="0" w:line="240" w:lineRule="auto"/>
              <w:ind w:left="129"/>
              <w:jc w:val="both"/>
              <w:rPr>
                <w:rFonts w:ascii="Arial" w:eastAsia="Arial Narrow" w:hAnsi="Arial" w:cs="Arial"/>
                <w:sz w:val="20"/>
                <w:szCs w:val="20"/>
              </w:rPr>
            </w:pPr>
          </w:p>
        </w:tc>
      </w:tr>
      <w:tr w:rsidR="008A26D2" w:rsidRPr="008A26D2" w14:paraId="2A21F779" w14:textId="77777777" w:rsidTr="00726448">
        <w:trPr>
          <w:trHeight w:val="486"/>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666B2BF" w14:textId="77777777" w:rsidR="007F4904" w:rsidRPr="008A26D2" w:rsidRDefault="007F4904" w:rsidP="007F490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Proveedor del servicio</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CE43716" w14:textId="77777777" w:rsidR="007F4904" w:rsidRPr="008A26D2" w:rsidRDefault="007F4904" w:rsidP="007F4904">
            <w:pPr>
              <w:pBdr>
                <w:top w:val="nil"/>
                <w:left w:val="nil"/>
                <w:bottom w:val="nil"/>
                <w:right w:val="nil"/>
                <w:between w:val="nil"/>
              </w:pBdr>
              <w:spacing w:after="0" w:line="240" w:lineRule="auto"/>
              <w:ind w:left="129"/>
              <w:jc w:val="both"/>
              <w:rPr>
                <w:rFonts w:ascii="Arial" w:eastAsia="Arial Narrow" w:hAnsi="Arial" w:cs="Arial"/>
                <w:sz w:val="20"/>
                <w:szCs w:val="20"/>
              </w:rPr>
            </w:pPr>
            <w:r w:rsidRPr="008A26D2">
              <w:rPr>
                <w:rFonts w:ascii="Arial" w:eastAsia="Arial Narrow" w:hAnsi="Arial" w:cs="Arial"/>
                <w:sz w:val="20"/>
                <w:szCs w:val="20"/>
              </w:rPr>
              <w:t>Organismo de Supervisión de los Recursos Forestales y de Fauna Silvestre - OSINFOR</w:t>
            </w:r>
          </w:p>
        </w:tc>
      </w:tr>
      <w:tr w:rsidR="008A26D2" w:rsidRPr="008A26D2" w14:paraId="5A0C316D" w14:textId="77777777" w:rsidTr="0074667D">
        <w:trPr>
          <w:trHeight w:val="495"/>
          <w:jc w:val="center"/>
        </w:trPr>
        <w:tc>
          <w:tcPr>
            <w:tcW w:w="2551" w:type="dxa"/>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17E5591F" w14:textId="77777777" w:rsidR="007F4904" w:rsidRPr="008A26D2" w:rsidRDefault="007F4904" w:rsidP="00F92620">
            <w:pPr>
              <w:spacing w:after="0" w:line="240" w:lineRule="auto"/>
              <w:rPr>
                <w:rFonts w:ascii="Arial" w:hAnsi="Arial" w:cs="Arial"/>
                <w:b/>
                <w:sz w:val="20"/>
                <w:szCs w:val="20"/>
              </w:rPr>
            </w:pPr>
            <w:r w:rsidRPr="008A26D2">
              <w:rPr>
                <w:rFonts w:ascii="Arial" w:hAnsi="Arial" w:cs="Arial"/>
                <w:b/>
                <w:sz w:val="20"/>
                <w:szCs w:val="20"/>
              </w:rPr>
              <w:t>Nivel (es) de gobierno que interviene</w:t>
            </w:r>
          </w:p>
          <w:p w14:paraId="2F7AB91B" w14:textId="5498C770" w:rsidR="007F4904" w:rsidRPr="008A26D2" w:rsidRDefault="007F4904" w:rsidP="007F490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(n) en la provisión del servicio</w:t>
            </w:r>
          </w:p>
        </w:tc>
        <w:tc>
          <w:tcPr>
            <w:tcW w:w="2126"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10E2A740" w14:textId="6AAEC975" w:rsidR="007F4904" w:rsidRPr="008A26D2" w:rsidRDefault="007F4904" w:rsidP="00AE4522">
            <w:pPr>
              <w:pBdr>
                <w:top w:val="nil"/>
                <w:left w:val="nil"/>
                <w:bottom w:val="nil"/>
                <w:right w:val="nil"/>
                <w:between w:val="nil"/>
              </w:pBdr>
              <w:spacing w:after="0" w:line="240" w:lineRule="auto"/>
              <w:ind w:left="129"/>
              <w:jc w:val="center"/>
              <w:rPr>
                <w:rFonts w:ascii="Arial" w:eastAsia="Arial Narrow" w:hAnsi="Arial" w:cs="Arial"/>
                <w:sz w:val="20"/>
                <w:szCs w:val="20"/>
              </w:rPr>
            </w:pPr>
            <w:r w:rsidRPr="008A26D2">
              <w:rPr>
                <w:rFonts w:ascii="Arial" w:eastAsia="Arial Narrow" w:hAnsi="Arial" w:cs="Arial"/>
                <w:sz w:val="20"/>
                <w:szCs w:val="20"/>
              </w:rPr>
              <w:t>Nacional</w:t>
            </w:r>
          </w:p>
        </w:tc>
        <w:tc>
          <w:tcPr>
            <w:tcW w:w="2126" w:type="dxa"/>
            <w:tcBorders>
              <w:top w:val="single" w:sz="4" w:space="0" w:color="000000"/>
              <w:left w:val="single" w:sz="4" w:space="0" w:color="000000"/>
              <w:right w:val="single" w:sz="4" w:space="0" w:color="000000"/>
            </w:tcBorders>
            <w:shd w:val="clear" w:color="auto" w:fill="auto"/>
            <w:vAlign w:val="center"/>
          </w:tcPr>
          <w:p w14:paraId="62370802" w14:textId="4E7382C4" w:rsidR="007F4904" w:rsidRPr="008A26D2" w:rsidRDefault="007F4904" w:rsidP="00AE4522">
            <w:pPr>
              <w:pBdr>
                <w:top w:val="nil"/>
                <w:left w:val="nil"/>
                <w:bottom w:val="nil"/>
                <w:right w:val="nil"/>
                <w:between w:val="nil"/>
              </w:pBdr>
              <w:spacing w:after="0" w:line="240" w:lineRule="auto"/>
              <w:ind w:left="129"/>
              <w:jc w:val="center"/>
              <w:rPr>
                <w:rFonts w:ascii="Arial" w:eastAsia="Arial Narrow" w:hAnsi="Arial" w:cs="Arial"/>
                <w:sz w:val="20"/>
                <w:szCs w:val="20"/>
              </w:rPr>
            </w:pPr>
            <w:r w:rsidRPr="008A26D2">
              <w:rPr>
                <w:rFonts w:ascii="Arial" w:eastAsia="Arial Narrow" w:hAnsi="Arial" w:cs="Arial"/>
                <w:sz w:val="20"/>
                <w:szCs w:val="20"/>
              </w:rPr>
              <w:t>Regional</w:t>
            </w:r>
          </w:p>
        </w:tc>
        <w:tc>
          <w:tcPr>
            <w:tcW w:w="2127" w:type="dxa"/>
            <w:tcBorders>
              <w:top w:val="single" w:sz="4" w:space="0" w:color="000000"/>
              <w:left w:val="single" w:sz="4" w:space="0" w:color="000000"/>
              <w:right w:val="single" w:sz="4" w:space="0" w:color="000000"/>
            </w:tcBorders>
            <w:shd w:val="clear" w:color="auto" w:fill="auto"/>
            <w:vAlign w:val="center"/>
          </w:tcPr>
          <w:p w14:paraId="121C12DC" w14:textId="406C7D4F" w:rsidR="007F4904" w:rsidRPr="008A26D2" w:rsidRDefault="007F4904" w:rsidP="00AE4522">
            <w:pPr>
              <w:pBdr>
                <w:top w:val="nil"/>
                <w:left w:val="nil"/>
                <w:bottom w:val="nil"/>
                <w:right w:val="nil"/>
                <w:between w:val="nil"/>
              </w:pBdr>
              <w:spacing w:after="0" w:line="240" w:lineRule="auto"/>
              <w:ind w:left="129"/>
              <w:jc w:val="center"/>
              <w:rPr>
                <w:rFonts w:ascii="Arial" w:eastAsia="Arial Narrow" w:hAnsi="Arial" w:cs="Arial"/>
                <w:sz w:val="20"/>
                <w:szCs w:val="20"/>
              </w:rPr>
            </w:pPr>
            <w:r w:rsidRPr="008A26D2">
              <w:rPr>
                <w:rFonts w:ascii="Arial" w:eastAsia="Arial Narrow" w:hAnsi="Arial" w:cs="Arial"/>
                <w:sz w:val="20"/>
                <w:szCs w:val="20"/>
              </w:rPr>
              <w:t>Local</w:t>
            </w:r>
          </w:p>
        </w:tc>
      </w:tr>
      <w:tr w:rsidR="008A26D2" w:rsidRPr="008A26D2" w14:paraId="29C578EA" w14:textId="77777777" w:rsidTr="0074667D">
        <w:trPr>
          <w:trHeight w:val="495"/>
          <w:jc w:val="center"/>
        </w:trPr>
        <w:tc>
          <w:tcPr>
            <w:tcW w:w="2551" w:type="dxa"/>
            <w:vMerge/>
            <w:tcBorders>
              <w:left w:val="single" w:sz="4" w:space="0" w:color="000000"/>
              <w:right w:val="single" w:sz="4" w:space="0" w:color="000000"/>
            </w:tcBorders>
            <w:shd w:val="clear" w:color="auto" w:fill="auto"/>
            <w:tcMar>
              <w:top w:w="15" w:type="dxa"/>
              <w:left w:w="15" w:type="dxa"/>
              <w:bottom w:w="0" w:type="dxa"/>
              <w:right w:w="15" w:type="dxa"/>
            </w:tcMar>
            <w:vAlign w:val="center"/>
          </w:tcPr>
          <w:p w14:paraId="6DF0C164" w14:textId="77777777" w:rsidR="007F4904" w:rsidRPr="008A26D2" w:rsidRDefault="007F4904" w:rsidP="007F4904">
            <w:pPr>
              <w:spacing w:after="0" w:line="240" w:lineRule="auto"/>
              <w:rPr>
                <w:rFonts w:ascii="Arial" w:hAnsi="Arial" w:cs="Arial"/>
                <w:b/>
                <w:sz w:val="20"/>
                <w:szCs w:val="20"/>
              </w:rPr>
            </w:pPr>
          </w:p>
        </w:tc>
        <w:tc>
          <w:tcPr>
            <w:tcW w:w="2126"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0E7FE44C" w14:textId="3B8C7FFA" w:rsidR="007F4904" w:rsidRPr="008A26D2" w:rsidRDefault="009E5E9D" w:rsidP="00AE4522">
            <w:pPr>
              <w:pBdr>
                <w:top w:val="nil"/>
                <w:left w:val="nil"/>
                <w:bottom w:val="nil"/>
                <w:right w:val="nil"/>
                <w:between w:val="nil"/>
              </w:pBdr>
              <w:spacing w:after="0" w:line="240" w:lineRule="auto"/>
              <w:ind w:left="129"/>
              <w:jc w:val="center"/>
              <w:rPr>
                <w:rFonts w:ascii="Arial" w:eastAsia="Arial Narrow" w:hAnsi="Arial" w:cs="Arial"/>
                <w:sz w:val="20"/>
                <w:szCs w:val="20"/>
              </w:rPr>
            </w:pPr>
            <w:r w:rsidRPr="008A26D2">
              <w:rPr>
                <w:rFonts w:ascii="Arial" w:eastAsia="Arial Narrow" w:hAnsi="Arial" w:cs="Arial"/>
                <w:sz w:val="20"/>
                <w:szCs w:val="20"/>
              </w:rPr>
              <w:t>X</w:t>
            </w:r>
          </w:p>
        </w:tc>
        <w:tc>
          <w:tcPr>
            <w:tcW w:w="2126" w:type="dxa"/>
            <w:tcBorders>
              <w:top w:val="single" w:sz="4" w:space="0" w:color="000000"/>
              <w:left w:val="single" w:sz="4" w:space="0" w:color="000000"/>
              <w:right w:val="single" w:sz="4" w:space="0" w:color="000000"/>
            </w:tcBorders>
            <w:shd w:val="clear" w:color="auto" w:fill="auto"/>
            <w:vAlign w:val="center"/>
          </w:tcPr>
          <w:p w14:paraId="5B65F8B9" w14:textId="77777777" w:rsidR="007F4904" w:rsidRPr="008A26D2" w:rsidRDefault="007F4904" w:rsidP="00AE4522">
            <w:pPr>
              <w:pBdr>
                <w:top w:val="nil"/>
                <w:left w:val="nil"/>
                <w:bottom w:val="nil"/>
                <w:right w:val="nil"/>
                <w:between w:val="nil"/>
              </w:pBdr>
              <w:spacing w:after="0" w:line="240" w:lineRule="auto"/>
              <w:ind w:left="129"/>
              <w:jc w:val="center"/>
              <w:rPr>
                <w:rFonts w:ascii="Arial" w:eastAsia="Arial Narrow" w:hAnsi="Arial" w:cs="Arial"/>
                <w:sz w:val="20"/>
                <w:szCs w:val="20"/>
              </w:rPr>
            </w:pPr>
          </w:p>
        </w:tc>
        <w:tc>
          <w:tcPr>
            <w:tcW w:w="2127" w:type="dxa"/>
            <w:tcBorders>
              <w:top w:val="single" w:sz="4" w:space="0" w:color="000000"/>
              <w:left w:val="single" w:sz="4" w:space="0" w:color="000000"/>
              <w:right w:val="single" w:sz="4" w:space="0" w:color="000000"/>
            </w:tcBorders>
            <w:shd w:val="clear" w:color="auto" w:fill="auto"/>
            <w:vAlign w:val="center"/>
          </w:tcPr>
          <w:p w14:paraId="48380FDD" w14:textId="11C004AC" w:rsidR="007F4904" w:rsidRPr="008A26D2" w:rsidRDefault="007F4904" w:rsidP="00AE4522">
            <w:pPr>
              <w:pBdr>
                <w:top w:val="nil"/>
                <w:left w:val="nil"/>
                <w:bottom w:val="nil"/>
                <w:right w:val="nil"/>
                <w:between w:val="nil"/>
              </w:pBdr>
              <w:spacing w:after="0" w:line="240" w:lineRule="auto"/>
              <w:ind w:left="129"/>
              <w:jc w:val="center"/>
              <w:rPr>
                <w:rFonts w:ascii="Arial" w:eastAsia="Arial Narrow" w:hAnsi="Arial" w:cs="Arial"/>
                <w:sz w:val="20"/>
                <w:szCs w:val="20"/>
              </w:rPr>
            </w:pPr>
          </w:p>
        </w:tc>
      </w:tr>
      <w:tr w:rsidR="008A26D2" w:rsidRPr="008A26D2" w14:paraId="418057E9" w14:textId="77777777" w:rsidTr="00726448">
        <w:trPr>
          <w:trHeight w:val="692"/>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41FA470" w14:textId="77777777" w:rsidR="007F4904" w:rsidRPr="008A26D2" w:rsidRDefault="007F4904" w:rsidP="007F490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Receptor del servicio</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CF44176" w14:textId="77777777" w:rsidR="007F4904" w:rsidRPr="008A26D2" w:rsidRDefault="007F4904" w:rsidP="007F4904">
            <w:pPr>
              <w:pBdr>
                <w:top w:val="nil"/>
                <w:left w:val="nil"/>
                <w:bottom w:val="nil"/>
                <w:right w:val="nil"/>
                <w:between w:val="nil"/>
              </w:pBdr>
              <w:spacing w:after="0" w:line="240" w:lineRule="auto"/>
              <w:ind w:left="129"/>
              <w:jc w:val="both"/>
              <w:rPr>
                <w:rFonts w:ascii="Arial" w:eastAsia="Arial Narrow" w:hAnsi="Arial" w:cs="Arial"/>
                <w:sz w:val="20"/>
                <w:szCs w:val="20"/>
              </w:rPr>
            </w:pPr>
            <w:r w:rsidRPr="008A26D2">
              <w:rPr>
                <w:rFonts w:ascii="Arial" w:eastAsia="Arial Narrow" w:hAnsi="Arial" w:cs="Arial"/>
                <w:sz w:val="20"/>
                <w:szCs w:val="20"/>
              </w:rPr>
              <w:t xml:space="preserve">Titulares de títulos habilitantes </w:t>
            </w:r>
          </w:p>
        </w:tc>
      </w:tr>
      <w:tr w:rsidR="008A26D2" w:rsidRPr="008A26D2" w14:paraId="5B52B1E1" w14:textId="77777777" w:rsidTr="00726448">
        <w:trPr>
          <w:trHeight w:val="397"/>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3B94BD9" w14:textId="77777777" w:rsidR="007F4904" w:rsidRPr="008A26D2" w:rsidRDefault="007F4904" w:rsidP="007F490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Alcance del servicio </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69FCB9B" w14:textId="77777777" w:rsidR="007F4904" w:rsidRPr="008A26D2" w:rsidRDefault="007F4904" w:rsidP="007F4904">
            <w:pPr>
              <w:pBdr>
                <w:top w:val="nil"/>
                <w:left w:val="nil"/>
                <w:bottom w:val="nil"/>
                <w:right w:val="nil"/>
                <w:between w:val="nil"/>
              </w:pBdr>
              <w:spacing w:after="0" w:line="240" w:lineRule="auto"/>
              <w:ind w:left="129"/>
              <w:jc w:val="both"/>
              <w:rPr>
                <w:rFonts w:ascii="Arial" w:eastAsia="Arial Narrow" w:hAnsi="Arial" w:cs="Arial"/>
                <w:sz w:val="20"/>
                <w:szCs w:val="20"/>
              </w:rPr>
            </w:pPr>
            <w:r w:rsidRPr="008A26D2">
              <w:rPr>
                <w:rFonts w:ascii="Arial" w:eastAsia="Arial Narrow" w:hAnsi="Arial" w:cs="Arial"/>
                <w:sz w:val="20"/>
                <w:szCs w:val="20"/>
              </w:rPr>
              <w:t>Nacional</w:t>
            </w:r>
          </w:p>
        </w:tc>
      </w:tr>
      <w:tr w:rsidR="008A26D2" w:rsidRPr="008A26D2" w14:paraId="6BB7F150" w14:textId="77777777" w:rsidTr="00726448">
        <w:trPr>
          <w:trHeight w:val="397"/>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E7EE3E7" w14:textId="77777777" w:rsidR="007F4904" w:rsidRPr="008A26D2" w:rsidRDefault="007F4904" w:rsidP="007F490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Estándar (es) de cumplimiento</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4F9BC42" w14:textId="77777777" w:rsidR="007F4904" w:rsidRPr="008A26D2" w:rsidRDefault="007F4904" w:rsidP="007F4904">
            <w:pPr>
              <w:pBdr>
                <w:top w:val="nil"/>
                <w:left w:val="nil"/>
                <w:bottom w:val="nil"/>
                <w:right w:val="nil"/>
                <w:between w:val="nil"/>
              </w:pBdr>
              <w:spacing w:after="0" w:line="240" w:lineRule="auto"/>
              <w:ind w:left="129"/>
              <w:jc w:val="both"/>
              <w:rPr>
                <w:rFonts w:ascii="Arial" w:eastAsia="Arial Narrow" w:hAnsi="Arial" w:cs="Arial"/>
                <w:sz w:val="20"/>
                <w:szCs w:val="20"/>
              </w:rPr>
            </w:pPr>
            <w:r w:rsidRPr="008A26D2">
              <w:rPr>
                <w:rFonts w:ascii="Arial" w:eastAsia="Arial Narrow" w:hAnsi="Arial" w:cs="Arial"/>
                <w:sz w:val="20"/>
                <w:szCs w:val="20"/>
              </w:rPr>
              <w:t>Oportunidad</w:t>
            </w:r>
          </w:p>
        </w:tc>
      </w:tr>
      <w:tr w:rsidR="008A26D2" w:rsidRPr="008A26D2" w14:paraId="653C223F" w14:textId="77777777" w:rsidTr="00726448">
        <w:trPr>
          <w:trHeight w:val="984"/>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AB172E4" w14:textId="77777777" w:rsidR="007F4904" w:rsidRPr="008A26D2" w:rsidRDefault="007F4904" w:rsidP="007F490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Descripción del estándar</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35" w:type="dxa"/>
              <w:bottom w:w="0" w:type="dxa"/>
              <w:right w:w="15" w:type="dxa"/>
            </w:tcMar>
            <w:vAlign w:val="center"/>
          </w:tcPr>
          <w:p w14:paraId="54914CCC" w14:textId="1C71BAEE" w:rsidR="007F4904" w:rsidRPr="008A26D2" w:rsidRDefault="00521E88" w:rsidP="007F4904">
            <w:pPr>
              <w:pBdr>
                <w:top w:val="nil"/>
                <w:left w:val="nil"/>
                <w:bottom w:val="nil"/>
                <w:right w:val="nil"/>
                <w:between w:val="nil"/>
              </w:pBdr>
              <w:spacing w:after="0" w:line="240" w:lineRule="auto"/>
              <w:ind w:left="9"/>
              <w:jc w:val="both"/>
              <w:rPr>
                <w:rFonts w:ascii="Arial" w:eastAsia="Arial Narrow" w:hAnsi="Arial" w:cs="Arial"/>
                <w:sz w:val="20"/>
                <w:szCs w:val="20"/>
              </w:rPr>
            </w:pPr>
            <w:r w:rsidRPr="008A26D2">
              <w:rPr>
                <w:rFonts w:ascii="Arial" w:eastAsia="Arial Narrow" w:hAnsi="Arial" w:cs="Arial"/>
                <w:sz w:val="20"/>
                <w:szCs w:val="20"/>
              </w:rPr>
              <w:t>El estándar del servicio asegura que las capacitaciones brindadas a los titulares de títulos habilitantes sean ejecutadas de manera preventiva, es decir, antes que se ejecuten las acciones de fiscalización de los recursos forestales y de fauna silvestre a fin de promover el cambio de conducta de los diferentes actores de la cadena de valor forestal y de fauna silvestre, contribuyendo así al manejo sostenible de los recursos.</w:t>
            </w:r>
          </w:p>
        </w:tc>
      </w:tr>
      <w:tr w:rsidR="007F4904" w:rsidRPr="008A26D2" w14:paraId="2D7A3285" w14:textId="77777777" w:rsidTr="00726448">
        <w:trPr>
          <w:trHeight w:val="540"/>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EFAB98E" w14:textId="7594BC16" w:rsidR="007F4904" w:rsidRPr="008A26D2" w:rsidRDefault="007F4904" w:rsidP="007F490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lastRenderedPageBreak/>
              <w:t>Indicador de calidad</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3AD614B" w14:textId="0552F614" w:rsidR="007F4904" w:rsidRPr="008A26D2" w:rsidRDefault="00F10F5A" w:rsidP="007F4904">
            <w:pPr>
              <w:pBdr>
                <w:top w:val="nil"/>
                <w:left w:val="nil"/>
                <w:bottom w:val="nil"/>
                <w:right w:val="nil"/>
                <w:between w:val="nil"/>
              </w:pBdr>
              <w:spacing w:after="0" w:line="240" w:lineRule="auto"/>
              <w:ind w:left="129"/>
              <w:jc w:val="both"/>
              <w:rPr>
                <w:rFonts w:ascii="Arial" w:eastAsia="Arial Narrow" w:hAnsi="Arial" w:cs="Arial"/>
                <w:sz w:val="20"/>
                <w:szCs w:val="20"/>
              </w:rPr>
            </w:pPr>
            <w:r w:rsidRPr="004C10E7">
              <w:rPr>
                <w:rFonts w:ascii="Arial" w:eastAsia="Arial Narrow" w:hAnsi="Arial" w:cs="Arial"/>
                <w:sz w:val="20"/>
                <w:szCs w:val="20"/>
              </w:rPr>
              <w:t xml:space="preserve">Porcentaje de titulares de títulos habilitantes que han sido capacitados de manera </w:t>
            </w:r>
            <w:r>
              <w:rPr>
                <w:rFonts w:ascii="Arial" w:eastAsia="Arial Narrow" w:hAnsi="Arial" w:cs="Arial"/>
                <w:sz w:val="20"/>
                <w:szCs w:val="20"/>
              </w:rPr>
              <w:t>preventiva</w:t>
            </w:r>
            <w:r w:rsidRPr="004C10E7">
              <w:rPr>
                <w:rFonts w:ascii="Arial" w:eastAsia="Arial Narrow" w:hAnsi="Arial" w:cs="Arial"/>
                <w:sz w:val="20"/>
                <w:szCs w:val="20"/>
              </w:rPr>
              <w:t xml:space="preserve"> durante el año</w:t>
            </w:r>
          </w:p>
        </w:tc>
      </w:tr>
    </w:tbl>
    <w:p w14:paraId="55E5B53F" w14:textId="77777777" w:rsidR="00726448" w:rsidRPr="008A26D2" w:rsidRDefault="00726448" w:rsidP="000D1705">
      <w:pPr>
        <w:tabs>
          <w:tab w:val="left" w:pos="3375"/>
        </w:tabs>
        <w:rPr>
          <w:rFonts w:ascii="Arial Narrow" w:eastAsia="Arial Narrow" w:hAnsi="Arial Narrow" w:cs="Arial Narrow"/>
          <w:b/>
        </w:rPr>
      </w:pPr>
    </w:p>
    <w:p w14:paraId="1B1B7D44" w14:textId="24CFAAFB" w:rsidR="00726448" w:rsidRPr="008A26D2" w:rsidRDefault="00726448" w:rsidP="00720F9E">
      <w:pPr>
        <w:tabs>
          <w:tab w:val="left" w:pos="3375"/>
        </w:tabs>
        <w:jc w:val="both"/>
        <w:rPr>
          <w:rFonts w:ascii="Arial" w:eastAsia="Arial Narrow" w:hAnsi="Arial" w:cs="Arial"/>
        </w:rPr>
      </w:pPr>
      <w:r w:rsidRPr="008A26D2">
        <w:rPr>
          <w:rFonts w:ascii="Arial" w:eastAsia="Arial Narrow" w:hAnsi="Arial" w:cs="Arial"/>
          <w:b/>
          <w:bCs/>
        </w:rPr>
        <w:t>S1.9.1</w:t>
      </w:r>
      <w:r w:rsidRPr="008A26D2">
        <w:rPr>
          <w:rFonts w:ascii="Arial" w:eastAsia="Arial Narrow" w:hAnsi="Arial" w:cs="Arial"/>
        </w:rPr>
        <w:t xml:space="preserve"> Fortalecimiento de capacidades en vigilancia y control de forma satisfactoria a las Autoridades Regionales Forestales y de Fauna Silvestre.</w:t>
      </w:r>
    </w:p>
    <w:tbl>
      <w:tblPr>
        <w:tblW w:w="8642" w:type="dxa"/>
        <w:jc w:val="center"/>
        <w:tblLayout w:type="fixed"/>
        <w:tblLook w:val="0600" w:firstRow="0" w:lastRow="0" w:firstColumn="0" w:lastColumn="0" w:noHBand="1" w:noVBand="1"/>
      </w:tblPr>
      <w:tblGrid>
        <w:gridCol w:w="2340"/>
        <w:gridCol w:w="2100"/>
        <w:gridCol w:w="2101"/>
        <w:gridCol w:w="2101"/>
      </w:tblGrid>
      <w:tr w:rsidR="008A26D2" w:rsidRPr="008A26D2" w14:paraId="3F454A2D" w14:textId="77777777" w:rsidTr="00720F9E">
        <w:trPr>
          <w:trHeight w:val="300"/>
          <w:jc w:val="center"/>
        </w:trPr>
        <w:tc>
          <w:tcPr>
            <w:tcW w:w="8642"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center"/>
          </w:tcPr>
          <w:p w14:paraId="01C009D1" w14:textId="4337001F" w:rsidR="00726448" w:rsidRPr="008A26D2" w:rsidRDefault="00726448" w:rsidP="0072651A">
            <w:pPr>
              <w:jc w:val="center"/>
              <w:rPr>
                <w:rFonts w:ascii="Arial" w:hAnsi="Arial" w:cs="Arial"/>
                <w:sz w:val="20"/>
                <w:szCs w:val="20"/>
              </w:rPr>
            </w:pPr>
            <w:r w:rsidRPr="008A26D2">
              <w:rPr>
                <w:rFonts w:ascii="Arial" w:hAnsi="Arial" w:cs="Arial"/>
                <w:b/>
                <w:sz w:val="20"/>
                <w:szCs w:val="20"/>
              </w:rPr>
              <w:t xml:space="preserve">FICHA DEL SERVICIO </w:t>
            </w:r>
          </w:p>
        </w:tc>
      </w:tr>
      <w:tr w:rsidR="008A26D2" w:rsidRPr="008A26D2" w14:paraId="551AAF4D" w14:textId="77777777" w:rsidTr="00720F9E">
        <w:trPr>
          <w:trHeight w:val="300"/>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03B837A" w14:textId="77777777" w:rsidR="00726448" w:rsidRPr="008A26D2" w:rsidRDefault="00726448"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Objetivo prioritario:</w:t>
            </w:r>
          </w:p>
        </w:tc>
        <w:tc>
          <w:tcPr>
            <w:tcW w:w="6302"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62FDC13" w14:textId="77777777" w:rsidR="00726448" w:rsidRPr="008A26D2" w:rsidRDefault="00726448" w:rsidP="0072651A">
            <w:pPr>
              <w:pBdr>
                <w:top w:val="nil"/>
                <w:left w:val="nil"/>
                <w:bottom w:val="nil"/>
                <w:right w:val="nil"/>
                <w:between w:val="nil"/>
              </w:pBdr>
              <w:spacing w:after="0" w:line="240" w:lineRule="auto"/>
              <w:jc w:val="both"/>
              <w:rPr>
                <w:rFonts w:ascii="Arial" w:hAnsi="Arial" w:cs="Arial"/>
                <w:sz w:val="20"/>
                <w:szCs w:val="20"/>
              </w:rPr>
            </w:pPr>
            <w:r w:rsidRPr="008A26D2">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r>
      <w:tr w:rsidR="008A26D2" w:rsidRPr="008A26D2" w14:paraId="63320245" w14:textId="77777777" w:rsidTr="00720F9E">
        <w:trPr>
          <w:trHeight w:val="300"/>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BC3F41C" w14:textId="77777777" w:rsidR="00726448" w:rsidRPr="008A26D2" w:rsidRDefault="00726448"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Lineamiento:</w:t>
            </w:r>
          </w:p>
        </w:tc>
        <w:tc>
          <w:tcPr>
            <w:tcW w:w="6302"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778DFE4" w14:textId="77777777" w:rsidR="00726448" w:rsidRPr="008A26D2" w:rsidRDefault="00726448" w:rsidP="0072651A">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L1.9 Reducir los niveles de tala ilegal, caza furtiva y del tráfico ilegal forestal y de fauna silvestre.</w:t>
            </w:r>
          </w:p>
        </w:tc>
      </w:tr>
      <w:tr w:rsidR="008A26D2" w:rsidRPr="008A26D2" w14:paraId="449F6B57" w14:textId="77777777" w:rsidTr="00720F9E">
        <w:trPr>
          <w:trHeight w:val="300"/>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08E061C" w14:textId="77777777" w:rsidR="00726448" w:rsidRPr="008A26D2" w:rsidRDefault="00726448"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Nombre del servicio:</w:t>
            </w:r>
          </w:p>
        </w:tc>
        <w:tc>
          <w:tcPr>
            <w:tcW w:w="6302"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38D0902" w14:textId="77777777" w:rsidR="00726448" w:rsidRPr="008A26D2" w:rsidRDefault="00726448" w:rsidP="0072651A">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S1.9.1 Fortalecimiento de capacidades en vigilancia y control de forma satisfactoria a las Autoridades Regionales Forestales y de Fauna Silvestre.</w:t>
            </w:r>
          </w:p>
        </w:tc>
      </w:tr>
      <w:tr w:rsidR="008A26D2" w:rsidRPr="008A26D2" w14:paraId="23F1ACD3" w14:textId="77777777" w:rsidTr="00720F9E">
        <w:trPr>
          <w:trHeight w:val="300"/>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2E5CBBD" w14:textId="77777777" w:rsidR="00726448" w:rsidRPr="008A26D2" w:rsidRDefault="00726448"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Tipo de servicio:</w:t>
            </w:r>
          </w:p>
        </w:tc>
        <w:tc>
          <w:tcPr>
            <w:tcW w:w="6302"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4C5D10D" w14:textId="77777777" w:rsidR="00726448" w:rsidRPr="008A26D2" w:rsidRDefault="00726448" w:rsidP="0072651A">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Mejorado</w:t>
            </w:r>
          </w:p>
        </w:tc>
      </w:tr>
      <w:tr w:rsidR="008A26D2" w:rsidRPr="008A26D2" w14:paraId="4CDB7F10" w14:textId="77777777" w:rsidTr="00720F9E">
        <w:trPr>
          <w:trHeight w:val="300"/>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6C149D9" w14:textId="57608CA1" w:rsidR="007C7934" w:rsidRPr="008A26D2" w:rsidRDefault="007C7934" w:rsidP="007C793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Naturaleza del servicio:</w:t>
            </w:r>
          </w:p>
        </w:tc>
        <w:tc>
          <w:tcPr>
            <w:tcW w:w="6302"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03ADA74" w14:textId="78D554F6" w:rsidR="007C7934" w:rsidRPr="008A26D2" w:rsidRDefault="009E5E9D" w:rsidP="007C7934">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A</w:t>
            </w:r>
            <w:r w:rsidR="007C7934" w:rsidRPr="008A26D2">
              <w:rPr>
                <w:rFonts w:ascii="Arial" w:eastAsia="Arial Narrow" w:hAnsi="Arial" w:cs="Arial"/>
                <w:sz w:val="20"/>
                <w:szCs w:val="20"/>
              </w:rPr>
              <w:t>dministrativo</w:t>
            </w:r>
          </w:p>
        </w:tc>
      </w:tr>
      <w:tr w:rsidR="008A26D2" w:rsidRPr="008A26D2" w14:paraId="118FDACE" w14:textId="77777777" w:rsidTr="00720F9E">
        <w:trPr>
          <w:trHeight w:val="300"/>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99A552A" w14:textId="4DF301FA" w:rsidR="007C7934" w:rsidRPr="008A26D2" w:rsidRDefault="007C7934" w:rsidP="007C793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Entrega del servicio</w:t>
            </w:r>
          </w:p>
        </w:tc>
        <w:tc>
          <w:tcPr>
            <w:tcW w:w="6302"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0C21AED" w14:textId="69EF3260" w:rsidR="007C7934" w:rsidRPr="008A26D2" w:rsidRDefault="007C7934" w:rsidP="007C7934">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Competencia exclusiva </w:t>
            </w:r>
          </w:p>
        </w:tc>
      </w:tr>
      <w:tr w:rsidR="008A26D2" w:rsidRPr="008A26D2" w14:paraId="649F014A" w14:textId="77777777" w:rsidTr="00720F9E">
        <w:trPr>
          <w:trHeight w:val="300"/>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97FF0F9" w14:textId="77777777" w:rsidR="007C7934" w:rsidRPr="008A26D2" w:rsidRDefault="007C7934" w:rsidP="007C793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Descripción del servicio</w:t>
            </w:r>
          </w:p>
        </w:tc>
        <w:tc>
          <w:tcPr>
            <w:tcW w:w="6302"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C4C3D87" w14:textId="4FC3A7C4" w:rsidR="007C7934" w:rsidRPr="008A26D2" w:rsidRDefault="007C7934" w:rsidP="007C7934">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El presente servicio consiste en mejorar las capacidades de las Autoridades Regionales Forestales y de Fauna Silvestre a través de talleres, charlas, cursos, asistencias técnicas, entre otros, con la finalidad de prevenir, controlar y sancionar acciones negativas que afecten al patrimonio forestal y de fauna silvestre, siendo necesario para ello la implementación de acciones preventivas en el bosque y la cadena productiva forestal y de fauna silvestre. Se toma en cuenta el enfoque de género e intercultural.</w:t>
            </w:r>
          </w:p>
          <w:p w14:paraId="63E118F1" w14:textId="77777777" w:rsidR="007C7934" w:rsidRPr="008A26D2" w:rsidRDefault="007C7934" w:rsidP="007C7934">
            <w:pPr>
              <w:pBdr>
                <w:top w:val="nil"/>
                <w:left w:val="nil"/>
                <w:bottom w:val="nil"/>
                <w:right w:val="nil"/>
                <w:between w:val="nil"/>
              </w:pBdr>
              <w:spacing w:after="0" w:line="240" w:lineRule="auto"/>
              <w:jc w:val="both"/>
              <w:rPr>
                <w:rFonts w:ascii="Arial" w:eastAsia="Arial Narrow" w:hAnsi="Arial" w:cs="Arial"/>
                <w:sz w:val="20"/>
                <w:szCs w:val="20"/>
              </w:rPr>
            </w:pPr>
          </w:p>
          <w:p w14:paraId="4D86B888" w14:textId="77777777" w:rsidR="007C7934" w:rsidRPr="008A26D2" w:rsidRDefault="007C7934" w:rsidP="007C7934">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Las capacitaciones desarrollan, entre otros, las siguientes temáticas: control y vigilancia forestal y de fauna silvestre, ejecución de operativos inopinados en campo y en puestos de control, implementación de procesos sancionadores, acompañamiento a procesos judiciales, entre otros. Debido a que estas acciones son realizadas por diferentes instituciones y niveles de gobierno, este servicio también considera la articulación y sinergia de las acciones conjuntas necesarias para un control, vigilancia y fiscalización efectivos.</w:t>
            </w:r>
          </w:p>
          <w:p w14:paraId="44621139" w14:textId="77777777" w:rsidR="007C7934" w:rsidRPr="008A26D2" w:rsidRDefault="007C7934" w:rsidP="007C7934">
            <w:pPr>
              <w:pStyle w:val="Prrafodelista"/>
              <w:pBdr>
                <w:top w:val="nil"/>
                <w:left w:val="nil"/>
                <w:bottom w:val="nil"/>
                <w:right w:val="nil"/>
                <w:between w:val="nil"/>
              </w:pBdr>
              <w:spacing w:after="0" w:line="240" w:lineRule="auto"/>
              <w:jc w:val="both"/>
              <w:rPr>
                <w:rFonts w:ascii="Arial" w:eastAsia="Arial Narrow" w:hAnsi="Arial" w:cs="Arial"/>
                <w:sz w:val="20"/>
                <w:szCs w:val="20"/>
              </w:rPr>
            </w:pPr>
          </w:p>
          <w:p w14:paraId="013B8D0E" w14:textId="77777777" w:rsidR="007C7934" w:rsidRPr="008A26D2" w:rsidRDefault="007C7934" w:rsidP="007C7934">
            <w:pPr>
              <w:jc w:val="both"/>
              <w:rPr>
                <w:rFonts w:ascii="Arial" w:hAnsi="Arial" w:cs="Arial"/>
                <w:lang w:val="es-MX"/>
              </w:rPr>
            </w:pPr>
            <w:r w:rsidRPr="008A26D2">
              <w:rPr>
                <w:rFonts w:ascii="Arial" w:eastAsia="Arial Narrow" w:hAnsi="Arial" w:cs="Arial"/>
                <w:sz w:val="20"/>
                <w:szCs w:val="20"/>
              </w:rPr>
              <w:t>El servicio es de tipo mejorado porque se aplicará nuevas herramientas metodológicas y tecnológicas para la entrega del servicio; además, se busca priorizar aquellos ámbitos donde la incidencia de ilegalidad es mayor en los últimos años.</w:t>
            </w:r>
          </w:p>
        </w:tc>
      </w:tr>
      <w:tr w:rsidR="008A26D2" w:rsidRPr="008A26D2" w14:paraId="250AC812" w14:textId="77777777" w:rsidTr="00720F9E">
        <w:trPr>
          <w:trHeight w:val="300"/>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3015E5B" w14:textId="77777777" w:rsidR="007C7934" w:rsidRPr="008A26D2" w:rsidRDefault="007C7934" w:rsidP="007C793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Proveedor del servicio</w:t>
            </w:r>
          </w:p>
        </w:tc>
        <w:tc>
          <w:tcPr>
            <w:tcW w:w="6302"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68DB2A2" w14:textId="77777777" w:rsidR="007C7934" w:rsidRPr="008A26D2" w:rsidRDefault="007C7934" w:rsidP="007C7934">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Servicio Nacional Forestal y Fauna Silvestre - SERFOR</w:t>
            </w:r>
          </w:p>
        </w:tc>
      </w:tr>
      <w:tr w:rsidR="008A26D2" w:rsidRPr="008A26D2" w14:paraId="4A54A516" w14:textId="77777777" w:rsidTr="009072FF">
        <w:trPr>
          <w:trHeight w:val="458"/>
          <w:jc w:val="center"/>
        </w:trPr>
        <w:tc>
          <w:tcPr>
            <w:tcW w:w="2340" w:type="dxa"/>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41F6CD31" w14:textId="77777777" w:rsidR="007C7934" w:rsidRPr="008A26D2" w:rsidRDefault="007C7934" w:rsidP="00F92620">
            <w:pPr>
              <w:spacing w:after="0" w:line="240" w:lineRule="auto"/>
              <w:rPr>
                <w:rFonts w:ascii="Arial" w:hAnsi="Arial" w:cs="Arial"/>
                <w:b/>
                <w:sz w:val="20"/>
                <w:szCs w:val="20"/>
              </w:rPr>
            </w:pPr>
            <w:r w:rsidRPr="008A26D2">
              <w:rPr>
                <w:rFonts w:ascii="Arial" w:hAnsi="Arial" w:cs="Arial"/>
                <w:b/>
                <w:sz w:val="20"/>
                <w:szCs w:val="20"/>
              </w:rPr>
              <w:t>Nivel (es) de gobierno que interviene</w:t>
            </w:r>
          </w:p>
          <w:p w14:paraId="1683D439" w14:textId="342AB55B" w:rsidR="007C7934" w:rsidRPr="008A26D2" w:rsidRDefault="007C7934" w:rsidP="007C793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(n) en la provisión del servicio</w:t>
            </w:r>
          </w:p>
        </w:tc>
        <w:tc>
          <w:tcPr>
            <w:tcW w:w="2100"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1C5C688F" w14:textId="5F37C8D5" w:rsidR="007C7934" w:rsidRPr="008A26D2" w:rsidRDefault="007C7934" w:rsidP="00AE4522">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Nacional</w:t>
            </w:r>
          </w:p>
        </w:tc>
        <w:tc>
          <w:tcPr>
            <w:tcW w:w="2101" w:type="dxa"/>
            <w:tcBorders>
              <w:top w:val="single" w:sz="4" w:space="0" w:color="000000"/>
              <w:left w:val="single" w:sz="4" w:space="0" w:color="000000"/>
              <w:right w:val="single" w:sz="4" w:space="0" w:color="000000"/>
            </w:tcBorders>
            <w:shd w:val="clear" w:color="auto" w:fill="auto"/>
            <w:vAlign w:val="center"/>
          </w:tcPr>
          <w:p w14:paraId="2023F5B7" w14:textId="7A20736F" w:rsidR="007C7934" w:rsidRPr="008A26D2" w:rsidRDefault="007C7934" w:rsidP="00AE4522">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Regional</w:t>
            </w:r>
          </w:p>
        </w:tc>
        <w:tc>
          <w:tcPr>
            <w:tcW w:w="2101" w:type="dxa"/>
            <w:tcBorders>
              <w:top w:val="single" w:sz="4" w:space="0" w:color="000000"/>
              <w:left w:val="single" w:sz="4" w:space="0" w:color="000000"/>
              <w:right w:val="single" w:sz="4" w:space="0" w:color="000000"/>
            </w:tcBorders>
            <w:shd w:val="clear" w:color="auto" w:fill="auto"/>
            <w:vAlign w:val="center"/>
          </w:tcPr>
          <w:p w14:paraId="5A715EF4" w14:textId="49F96448" w:rsidR="007C7934" w:rsidRPr="008A26D2" w:rsidRDefault="007C7934" w:rsidP="00AE4522">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Local</w:t>
            </w:r>
          </w:p>
        </w:tc>
      </w:tr>
      <w:tr w:rsidR="008A26D2" w:rsidRPr="008A26D2" w14:paraId="4E789E88" w14:textId="77777777" w:rsidTr="009072FF">
        <w:trPr>
          <w:trHeight w:val="457"/>
          <w:jc w:val="center"/>
        </w:trPr>
        <w:tc>
          <w:tcPr>
            <w:tcW w:w="2340" w:type="dxa"/>
            <w:vMerge/>
            <w:tcBorders>
              <w:left w:val="single" w:sz="4" w:space="0" w:color="000000"/>
              <w:right w:val="single" w:sz="4" w:space="0" w:color="000000"/>
            </w:tcBorders>
            <w:shd w:val="clear" w:color="auto" w:fill="auto"/>
            <w:tcMar>
              <w:top w:w="15" w:type="dxa"/>
              <w:left w:w="15" w:type="dxa"/>
              <w:bottom w:w="0" w:type="dxa"/>
              <w:right w:w="15" w:type="dxa"/>
            </w:tcMar>
            <w:vAlign w:val="center"/>
          </w:tcPr>
          <w:p w14:paraId="0B9BA926" w14:textId="77777777" w:rsidR="007C7934" w:rsidRPr="008A26D2" w:rsidRDefault="007C7934" w:rsidP="007C7934">
            <w:pPr>
              <w:spacing w:after="0" w:line="240" w:lineRule="auto"/>
              <w:rPr>
                <w:rFonts w:ascii="Arial" w:hAnsi="Arial" w:cs="Arial"/>
                <w:b/>
                <w:sz w:val="20"/>
                <w:szCs w:val="20"/>
              </w:rPr>
            </w:pPr>
          </w:p>
        </w:tc>
        <w:tc>
          <w:tcPr>
            <w:tcW w:w="2100"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139306B2" w14:textId="4773A9DD" w:rsidR="007C7934" w:rsidRPr="008A26D2" w:rsidRDefault="009E5E9D" w:rsidP="00AE4522">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X</w:t>
            </w:r>
          </w:p>
        </w:tc>
        <w:tc>
          <w:tcPr>
            <w:tcW w:w="2101" w:type="dxa"/>
            <w:tcBorders>
              <w:top w:val="single" w:sz="4" w:space="0" w:color="000000"/>
              <w:left w:val="single" w:sz="4" w:space="0" w:color="000000"/>
              <w:right w:val="single" w:sz="4" w:space="0" w:color="000000"/>
            </w:tcBorders>
            <w:shd w:val="clear" w:color="auto" w:fill="auto"/>
            <w:vAlign w:val="center"/>
          </w:tcPr>
          <w:p w14:paraId="0A748394" w14:textId="77777777" w:rsidR="007C7934" w:rsidRPr="008A26D2" w:rsidRDefault="007C7934" w:rsidP="00AE4522">
            <w:pPr>
              <w:pBdr>
                <w:top w:val="nil"/>
                <w:left w:val="nil"/>
                <w:bottom w:val="nil"/>
                <w:right w:val="nil"/>
                <w:between w:val="nil"/>
              </w:pBdr>
              <w:spacing w:after="0" w:line="240" w:lineRule="auto"/>
              <w:jc w:val="center"/>
              <w:rPr>
                <w:rFonts w:ascii="Arial" w:eastAsia="Arial Narrow" w:hAnsi="Arial" w:cs="Arial"/>
                <w:sz w:val="20"/>
                <w:szCs w:val="20"/>
              </w:rPr>
            </w:pPr>
          </w:p>
        </w:tc>
        <w:tc>
          <w:tcPr>
            <w:tcW w:w="2101" w:type="dxa"/>
            <w:tcBorders>
              <w:top w:val="single" w:sz="4" w:space="0" w:color="000000"/>
              <w:left w:val="single" w:sz="4" w:space="0" w:color="000000"/>
              <w:right w:val="single" w:sz="4" w:space="0" w:color="000000"/>
            </w:tcBorders>
            <w:shd w:val="clear" w:color="auto" w:fill="auto"/>
            <w:vAlign w:val="center"/>
          </w:tcPr>
          <w:p w14:paraId="6DB4DC69" w14:textId="617D00C2" w:rsidR="007C7934" w:rsidRPr="008A26D2" w:rsidRDefault="007C7934" w:rsidP="00AE4522">
            <w:pPr>
              <w:pBdr>
                <w:top w:val="nil"/>
                <w:left w:val="nil"/>
                <w:bottom w:val="nil"/>
                <w:right w:val="nil"/>
                <w:between w:val="nil"/>
              </w:pBdr>
              <w:spacing w:after="0" w:line="240" w:lineRule="auto"/>
              <w:jc w:val="center"/>
              <w:rPr>
                <w:rFonts w:ascii="Arial" w:eastAsia="Arial Narrow" w:hAnsi="Arial" w:cs="Arial"/>
                <w:sz w:val="20"/>
                <w:szCs w:val="20"/>
              </w:rPr>
            </w:pPr>
          </w:p>
        </w:tc>
      </w:tr>
      <w:tr w:rsidR="008A26D2" w:rsidRPr="008A26D2" w14:paraId="663181F5" w14:textId="77777777" w:rsidTr="00720F9E">
        <w:trPr>
          <w:trHeight w:val="300"/>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9AA1E80" w14:textId="77777777" w:rsidR="007C7934" w:rsidRPr="008A26D2" w:rsidRDefault="007C7934" w:rsidP="007C793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Receptor del servicio</w:t>
            </w:r>
          </w:p>
        </w:tc>
        <w:tc>
          <w:tcPr>
            <w:tcW w:w="6302"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E60E4AB" w14:textId="77777777" w:rsidR="007C7934" w:rsidRPr="008A26D2" w:rsidRDefault="007C7934" w:rsidP="007C7934">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Autoridades Regionales Forestales y de Fauna Silvestre</w:t>
            </w:r>
          </w:p>
        </w:tc>
      </w:tr>
      <w:tr w:rsidR="008A26D2" w:rsidRPr="008A26D2" w14:paraId="02F5C805" w14:textId="77777777" w:rsidTr="00720F9E">
        <w:trPr>
          <w:trHeight w:val="211"/>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4538E5D" w14:textId="77777777" w:rsidR="007C7934" w:rsidRPr="008A26D2" w:rsidRDefault="007C7934" w:rsidP="007C793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Alcance del servicio </w:t>
            </w:r>
          </w:p>
        </w:tc>
        <w:tc>
          <w:tcPr>
            <w:tcW w:w="6302"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4895103" w14:textId="77777777" w:rsidR="007C7934" w:rsidRPr="008A26D2" w:rsidRDefault="007C7934" w:rsidP="007C7934">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Nacional</w:t>
            </w:r>
          </w:p>
        </w:tc>
      </w:tr>
      <w:tr w:rsidR="008A26D2" w:rsidRPr="008A26D2" w14:paraId="3170CA5F" w14:textId="77777777" w:rsidTr="00720F9E">
        <w:trPr>
          <w:trHeight w:val="62"/>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A0718D2" w14:textId="77777777" w:rsidR="007C7934" w:rsidRPr="008A26D2" w:rsidRDefault="007C7934" w:rsidP="007C793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Estándar (es) de cumplimiento</w:t>
            </w:r>
          </w:p>
        </w:tc>
        <w:tc>
          <w:tcPr>
            <w:tcW w:w="6302"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6D500230" w14:textId="77777777" w:rsidR="007C7934" w:rsidRPr="008A26D2" w:rsidRDefault="007C7934" w:rsidP="007C7934">
            <w:pPr>
              <w:pBdr>
                <w:top w:val="nil"/>
                <w:left w:val="nil"/>
                <w:bottom w:val="nil"/>
                <w:right w:val="nil"/>
                <w:between w:val="nil"/>
              </w:pBdr>
              <w:spacing w:after="0" w:line="240" w:lineRule="auto"/>
              <w:rPr>
                <w:rFonts w:ascii="Arial" w:hAnsi="Arial" w:cs="Arial"/>
                <w:sz w:val="20"/>
                <w:szCs w:val="20"/>
              </w:rPr>
            </w:pPr>
            <w:r w:rsidRPr="008A26D2">
              <w:rPr>
                <w:rFonts w:ascii="Arial" w:eastAsia="Arial Narrow" w:hAnsi="Arial" w:cs="Arial"/>
                <w:sz w:val="20"/>
                <w:szCs w:val="20"/>
              </w:rPr>
              <w:t xml:space="preserve">Percepción </w:t>
            </w:r>
          </w:p>
        </w:tc>
      </w:tr>
      <w:tr w:rsidR="008A26D2" w:rsidRPr="008A26D2" w14:paraId="172A73F6" w14:textId="77777777" w:rsidTr="00720F9E">
        <w:trPr>
          <w:trHeight w:val="300"/>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F107DBF" w14:textId="77777777" w:rsidR="007C7934" w:rsidRPr="008A26D2" w:rsidRDefault="007C7934" w:rsidP="007C793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Descripción del estándar</w:t>
            </w:r>
          </w:p>
        </w:tc>
        <w:tc>
          <w:tcPr>
            <w:tcW w:w="6302"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35" w:type="dxa"/>
              <w:bottom w:w="0" w:type="dxa"/>
              <w:right w:w="15" w:type="dxa"/>
            </w:tcMar>
            <w:vAlign w:val="center"/>
          </w:tcPr>
          <w:p w14:paraId="46B4DD0E" w14:textId="6EA4D674" w:rsidR="007C7934" w:rsidRPr="008A26D2" w:rsidRDefault="007C7934" w:rsidP="007C7934">
            <w:pPr>
              <w:pBdr>
                <w:top w:val="nil"/>
                <w:left w:val="nil"/>
                <w:bottom w:val="nil"/>
                <w:right w:val="nil"/>
                <w:between w:val="nil"/>
              </w:pBdr>
              <w:spacing w:after="0" w:line="240" w:lineRule="auto"/>
              <w:jc w:val="both"/>
              <w:rPr>
                <w:rFonts w:ascii="Arial" w:eastAsia="Times New Roman" w:hAnsi="Arial" w:cs="Arial"/>
                <w:sz w:val="20"/>
                <w:szCs w:val="20"/>
                <w:lang w:val="es-ES"/>
              </w:rPr>
            </w:pPr>
            <w:r w:rsidRPr="008A26D2">
              <w:rPr>
                <w:rFonts w:ascii="Arial" w:eastAsia="Times New Roman" w:hAnsi="Arial" w:cs="Arial"/>
                <w:sz w:val="20"/>
                <w:szCs w:val="20"/>
                <w:lang w:val="es-ES"/>
              </w:rPr>
              <w:t xml:space="preserve">El estándar del servicio es de percepción debido a que éste satisface las expectativas de capacitación en </w:t>
            </w:r>
            <w:r w:rsidRPr="008A26D2">
              <w:rPr>
                <w:rFonts w:ascii="Arial" w:eastAsia="Arial Narrow" w:hAnsi="Arial" w:cs="Arial"/>
                <w:sz w:val="20"/>
                <w:szCs w:val="20"/>
              </w:rPr>
              <w:t xml:space="preserve">vigilancia y control </w:t>
            </w:r>
            <w:r w:rsidRPr="008A26D2">
              <w:rPr>
                <w:rFonts w:ascii="Arial" w:eastAsia="Times New Roman" w:hAnsi="Arial" w:cs="Arial"/>
                <w:sz w:val="20"/>
                <w:szCs w:val="20"/>
                <w:lang w:val="es-ES"/>
              </w:rPr>
              <w:t>de los servidores de las Autoridades Regionales Forestales y de Fauna Silvestre.</w:t>
            </w:r>
          </w:p>
          <w:p w14:paraId="239145AB" w14:textId="77777777" w:rsidR="007C7934" w:rsidRPr="008A26D2" w:rsidRDefault="007C7934" w:rsidP="007C7934">
            <w:pPr>
              <w:pBdr>
                <w:top w:val="nil"/>
                <w:left w:val="nil"/>
                <w:bottom w:val="nil"/>
                <w:right w:val="nil"/>
                <w:between w:val="nil"/>
              </w:pBdr>
              <w:spacing w:after="0" w:line="240" w:lineRule="auto"/>
              <w:jc w:val="both"/>
              <w:rPr>
                <w:rFonts w:ascii="Arial" w:hAnsi="Arial" w:cs="Arial"/>
                <w:strike/>
                <w:sz w:val="20"/>
                <w:szCs w:val="20"/>
              </w:rPr>
            </w:pPr>
          </w:p>
        </w:tc>
      </w:tr>
      <w:tr w:rsidR="007C7934" w:rsidRPr="008A26D2" w14:paraId="1ED67541" w14:textId="77777777" w:rsidTr="00720F9E">
        <w:trPr>
          <w:trHeight w:val="698"/>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2AF58BE" w14:textId="77777777" w:rsidR="007C7934" w:rsidRPr="008A26D2" w:rsidRDefault="007C7934" w:rsidP="007C793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lastRenderedPageBreak/>
              <w:t xml:space="preserve">Indicador </w:t>
            </w:r>
          </w:p>
        </w:tc>
        <w:tc>
          <w:tcPr>
            <w:tcW w:w="6302"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BEC4997" w14:textId="58AF024E" w:rsidR="007C7934" w:rsidRPr="008A26D2" w:rsidRDefault="007C7934" w:rsidP="007C7934">
            <w:pPr>
              <w:pBdr>
                <w:top w:val="nil"/>
                <w:left w:val="nil"/>
                <w:bottom w:val="nil"/>
                <w:right w:val="nil"/>
                <w:between w:val="nil"/>
              </w:pBdr>
              <w:spacing w:after="0" w:line="240" w:lineRule="auto"/>
              <w:jc w:val="both"/>
              <w:rPr>
                <w:rFonts w:ascii="Arial" w:eastAsia="Times New Roman" w:hAnsi="Arial" w:cs="Arial"/>
                <w:sz w:val="20"/>
                <w:szCs w:val="20"/>
                <w:lang w:val="es-ES"/>
              </w:rPr>
            </w:pPr>
            <w:r w:rsidRPr="008A26D2">
              <w:rPr>
                <w:rFonts w:ascii="Arial" w:eastAsia="Times New Roman" w:hAnsi="Arial" w:cs="Arial"/>
                <w:sz w:val="20"/>
                <w:szCs w:val="20"/>
                <w:lang w:val="es-ES"/>
              </w:rPr>
              <w:t xml:space="preserve">Porcentaje de </w:t>
            </w:r>
            <w:r w:rsidRPr="008A26D2">
              <w:rPr>
                <w:rFonts w:ascii="Arial" w:eastAsia="Times New Roman" w:hAnsi="Arial" w:cs="Arial"/>
                <w:sz w:val="20"/>
                <w:szCs w:val="20"/>
              </w:rPr>
              <w:t>servidores de las Autoridades Regionales Forestales y de Fauna Silvestre</w:t>
            </w:r>
            <w:r w:rsidRPr="008A26D2">
              <w:rPr>
                <w:rFonts w:ascii="Arial" w:eastAsia="Times New Roman" w:hAnsi="Arial" w:cs="Arial"/>
                <w:sz w:val="20"/>
                <w:szCs w:val="20"/>
                <w:lang w:val="es-ES"/>
              </w:rPr>
              <w:t xml:space="preserve"> con alto grado de satisfacción sobre el fortalecimiento de capacidades recibidas </w:t>
            </w:r>
            <w:r w:rsidRPr="008A26D2">
              <w:rPr>
                <w:rFonts w:ascii="Arial" w:eastAsia="Arial Narrow" w:hAnsi="Arial" w:cs="Arial"/>
                <w:sz w:val="20"/>
                <w:szCs w:val="20"/>
              </w:rPr>
              <w:t>en vigilancia y control</w:t>
            </w:r>
          </w:p>
          <w:p w14:paraId="22CFF428" w14:textId="77777777" w:rsidR="007C7934" w:rsidRPr="008A26D2" w:rsidRDefault="007C7934" w:rsidP="007C7934">
            <w:pPr>
              <w:pBdr>
                <w:top w:val="nil"/>
                <w:left w:val="nil"/>
                <w:bottom w:val="nil"/>
                <w:right w:val="nil"/>
                <w:between w:val="nil"/>
              </w:pBdr>
              <w:spacing w:after="0" w:line="240" w:lineRule="auto"/>
              <w:jc w:val="both"/>
              <w:rPr>
                <w:rFonts w:ascii="Arial" w:hAnsi="Arial" w:cs="Arial"/>
                <w:strike/>
                <w:sz w:val="20"/>
                <w:szCs w:val="20"/>
              </w:rPr>
            </w:pPr>
          </w:p>
        </w:tc>
      </w:tr>
    </w:tbl>
    <w:p w14:paraId="4DDF223E" w14:textId="77777777" w:rsidR="00726448" w:rsidRPr="008A26D2" w:rsidRDefault="00726448" w:rsidP="000D1705">
      <w:pPr>
        <w:tabs>
          <w:tab w:val="left" w:pos="3375"/>
        </w:tabs>
        <w:rPr>
          <w:rFonts w:ascii="Arial Narrow" w:eastAsia="Arial Narrow" w:hAnsi="Arial Narrow" w:cs="Arial Narrow"/>
          <w:b/>
        </w:rPr>
      </w:pPr>
    </w:p>
    <w:p w14:paraId="680D46A8" w14:textId="7D0D7C7E" w:rsidR="00726448" w:rsidRPr="008A26D2" w:rsidRDefault="00726448" w:rsidP="00726448">
      <w:pPr>
        <w:tabs>
          <w:tab w:val="left" w:pos="3375"/>
        </w:tabs>
        <w:jc w:val="both"/>
        <w:rPr>
          <w:rFonts w:ascii="Arial" w:eastAsia="Arial Narrow" w:hAnsi="Arial" w:cs="Arial"/>
        </w:rPr>
      </w:pPr>
      <w:bookmarkStart w:id="3" w:name="_Hlk135665670"/>
      <w:r w:rsidRPr="008A26D2">
        <w:rPr>
          <w:rFonts w:ascii="Arial" w:eastAsia="Arial Narrow" w:hAnsi="Arial" w:cs="Arial"/>
          <w:b/>
          <w:bCs/>
        </w:rPr>
        <w:t>S1.9.</w:t>
      </w:r>
      <w:r w:rsidR="00212957" w:rsidRPr="00AE4522">
        <w:rPr>
          <w:rFonts w:ascii="Arial" w:eastAsia="Arial Narrow" w:hAnsi="Arial" w:cs="Arial"/>
          <w:b/>
          <w:bCs/>
        </w:rPr>
        <w:t>2</w:t>
      </w:r>
      <w:r w:rsidRPr="00AE4522">
        <w:rPr>
          <w:rFonts w:ascii="Arial" w:eastAsia="Arial Narrow" w:hAnsi="Arial" w:cs="Arial"/>
        </w:rPr>
        <w:t xml:space="preserve"> </w:t>
      </w:r>
      <w:r w:rsidR="00AE4522" w:rsidRPr="00AE4522">
        <w:rPr>
          <w:rFonts w:ascii="Arial" w:eastAsia="Arial Narrow" w:hAnsi="Arial" w:cs="Arial"/>
        </w:rPr>
        <w:t>Operaciones policiales contra el crimen organizado en materia forestal de forma continua para beneficio de la población</w:t>
      </w:r>
    </w:p>
    <w:tbl>
      <w:tblPr>
        <w:tblW w:w="8930" w:type="dxa"/>
        <w:jc w:val="center"/>
        <w:tblLayout w:type="fixed"/>
        <w:tblLook w:val="0600" w:firstRow="0" w:lastRow="0" w:firstColumn="0" w:lastColumn="0" w:noHBand="1" w:noVBand="1"/>
      </w:tblPr>
      <w:tblGrid>
        <w:gridCol w:w="2482"/>
        <w:gridCol w:w="2149"/>
        <w:gridCol w:w="2149"/>
        <w:gridCol w:w="2150"/>
      </w:tblGrid>
      <w:tr w:rsidR="008A26D2" w:rsidRPr="008A26D2" w14:paraId="7389BADD" w14:textId="77777777" w:rsidTr="00726448">
        <w:trPr>
          <w:trHeight w:val="300"/>
          <w:jc w:val="center"/>
        </w:trPr>
        <w:tc>
          <w:tcPr>
            <w:tcW w:w="8930"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center"/>
          </w:tcPr>
          <w:p w14:paraId="37091C26" w14:textId="46957811" w:rsidR="00726448" w:rsidRPr="008A26D2" w:rsidRDefault="00726448" w:rsidP="0072651A">
            <w:pPr>
              <w:jc w:val="center"/>
              <w:rPr>
                <w:rFonts w:ascii="Arial" w:hAnsi="Arial" w:cs="Arial"/>
                <w:sz w:val="20"/>
                <w:szCs w:val="20"/>
              </w:rPr>
            </w:pPr>
            <w:r w:rsidRPr="008A26D2">
              <w:rPr>
                <w:rFonts w:ascii="Arial" w:hAnsi="Arial" w:cs="Arial"/>
                <w:b/>
                <w:sz w:val="20"/>
                <w:szCs w:val="20"/>
              </w:rPr>
              <w:t xml:space="preserve">FICHA DEL SERVICIO </w:t>
            </w:r>
          </w:p>
        </w:tc>
      </w:tr>
      <w:tr w:rsidR="008A26D2" w:rsidRPr="008A26D2" w14:paraId="562A1269" w14:textId="77777777" w:rsidTr="00726448">
        <w:trPr>
          <w:trHeight w:val="300"/>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5D2A10E" w14:textId="77777777" w:rsidR="00726448" w:rsidRPr="008A26D2" w:rsidRDefault="00726448"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Objetivo prioritario:</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C7957CB" w14:textId="77777777" w:rsidR="00726448" w:rsidRPr="008A26D2" w:rsidRDefault="00726448" w:rsidP="0072651A">
            <w:pPr>
              <w:pBdr>
                <w:top w:val="nil"/>
                <w:left w:val="nil"/>
                <w:bottom w:val="nil"/>
                <w:right w:val="nil"/>
                <w:between w:val="nil"/>
              </w:pBdr>
              <w:spacing w:after="0" w:line="240" w:lineRule="auto"/>
              <w:ind w:left="113"/>
              <w:jc w:val="both"/>
              <w:rPr>
                <w:rFonts w:ascii="Arial" w:hAnsi="Arial" w:cs="Arial"/>
                <w:sz w:val="20"/>
                <w:szCs w:val="20"/>
              </w:rPr>
            </w:pPr>
            <w:r w:rsidRPr="008A26D2">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r>
      <w:tr w:rsidR="008A26D2" w:rsidRPr="008A26D2" w14:paraId="7152255E" w14:textId="77777777" w:rsidTr="00726448">
        <w:trPr>
          <w:trHeight w:val="300"/>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711362A" w14:textId="77777777" w:rsidR="00726448" w:rsidRPr="008A26D2" w:rsidRDefault="00726448"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Lineamiento:</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A57B1F0" w14:textId="77777777" w:rsidR="00726448" w:rsidRPr="008A26D2" w:rsidRDefault="00726448" w:rsidP="0072651A">
            <w:pPr>
              <w:pBdr>
                <w:top w:val="nil"/>
                <w:left w:val="nil"/>
                <w:bottom w:val="nil"/>
                <w:right w:val="nil"/>
                <w:between w:val="nil"/>
              </w:pBdr>
              <w:spacing w:after="0" w:line="240" w:lineRule="auto"/>
              <w:ind w:left="113"/>
              <w:jc w:val="both"/>
              <w:rPr>
                <w:rFonts w:ascii="Arial" w:eastAsia="Arial Narrow" w:hAnsi="Arial" w:cs="Arial"/>
                <w:sz w:val="20"/>
                <w:szCs w:val="20"/>
              </w:rPr>
            </w:pPr>
            <w:r w:rsidRPr="008A26D2">
              <w:rPr>
                <w:rFonts w:ascii="Arial" w:eastAsia="Arial Narrow" w:hAnsi="Arial" w:cs="Arial"/>
                <w:sz w:val="20"/>
                <w:szCs w:val="20"/>
              </w:rPr>
              <w:t>L1.9 Reducir los niveles de tala ilegal, caza furtiva y del tráfico ilegal forestal y de fauna silvestre.</w:t>
            </w:r>
          </w:p>
        </w:tc>
      </w:tr>
      <w:tr w:rsidR="008A26D2" w:rsidRPr="008A26D2" w14:paraId="0B38FDB0" w14:textId="77777777" w:rsidTr="00726448">
        <w:trPr>
          <w:trHeight w:val="300"/>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770778A" w14:textId="77777777" w:rsidR="00726448" w:rsidRPr="008A26D2" w:rsidRDefault="00726448"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Nombre del servicio:</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0A6D4A8" w14:textId="25EC4988" w:rsidR="00726448" w:rsidRPr="008A26D2" w:rsidRDefault="00726448" w:rsidP="0072651A">
            <w:pPr>
              <w:pBdr>
                <w:top w:val="nil"/>
                <w:left w:val="nil"/>
                <w:bottom w:val="nil"/>
                <w:right w:val="nil"/>
                <w:between w:val="nil"/>
              </w:pBdr>
              <w:spacing w:after="0" w:line="240" w:lineRule="auto"/>
              <w:ind w:left="113"/>
              <w:jc w:val="both"/>
              <w:rPr>
                <w:rFonts w:ascii="Arial" w:eastAsia="Arial Narrow" w:hAnsi="Arial" w:cs="Arial"/>
                <w:sz w:val="20"/>
                <w:szCs w:val="20"/>
              </w:rPr>
            </w:pPr>
            <w:r w:rsidRPr="008A26D2">
              <w:rPr>
                <w:rFonts w:ascii="Arial" w:eastAsia="Arial Narrow" w:hAnsi="Arial" w:cs="Arial"/>
                <w:sz w:val="20"/>
                <w:szCs w:val="20"/>
              </w:rPr>
              <w:t>S1.9.</w:t>
            </w:r>
            <w:r w:rsidR="00212957" w:rsidRPr="008A26D2">
              <w:rPr>
                <w:rFonts w:ascii="Arial" w:eastAsia="Arial Narrow" w:hAnsi="Arial" w:cs="Arial"/>
                <w:sz w:val="20"/>
                <w:szCs w:val="20"/>
              </w:rPr>
              <w:t>2</w:t>
            </w:r>
            <w:r w:rsidRPr="008A26D2">
              <w:rPr>
                <w:rFonts w:ascii="Arial" w:eastAsia="Arial Narrow" w:hAnsi="Arial" w:cs="Arial"/>
                <w:sz w:val="20"/>
                <w:szCs w:val="20"/>
              </w:rPr>
              <w:t xml:space="preserve"> Operaciones </w:t>
            </w:r>
            <w:r w:rsidR="00171672" w:rsidRPr="008A26D2">
              <w:rPr>
                <w:rFonts w:ascii="Arial" w:eastAsia="Arial Narrow" w:hAnsi="Arial" w:cs="Arial"/>
                <w:sz w:val="20"/>
                <w:szCs w:val="20"/>
              </w:rPr>
              <w:t>p</w:t>
            </w:r>
            <w:r w:rsidRPr="008A26D2">
              <w:rPr>
                <w:rFonts w:ascii="Arial" w:eastAsia="Arial Narrow" w:hAnsi="Arial" w:cs="Arial"/>
                <w:sz w:val="20"/>
                <w:szCs w:val="20"/>
              </w:rPr>
              <w:t xml:space="preserve">oliciales contra el crimen organizado en </w:t>
            </w:r>
            <w:r w:rsidR="00171672" w:rsidRPr="008A26D2">
              <w:rPr>
                <w:rFonts w:ascii="Arial" w:eastAsia="Arial Narrow" w:hAnsi="Arial" w:cs="Arial"/>
                <w:sz w:val="20"/>
                <w:szCs w:val="20"/>
              </w:rPr>
              <w:t>materia</w:t>
            </w:r>
            <w:r w:rsidRPr="008A26D2">
              <w:rPr>
                <w:rFonts w:ascii="Arial" w:eastAsia="Arial Narrow" w:hAnsi="Arial" w:cs="Arial"/>
                <w:sz w:val="20"/>
                <w:szCs w:val="20"/>
              </w:rPr>
              <w:t xml:space="preserve"> forestal de forma continua para beneficio de la población</w:t>
            </w:r>
          </w:p>
        </w:tc>
      </w:tr>
      <w:tr w:rsidR="008A26D2" w:rsidRPr="008A26D2" w14:paraId="441E8645" w14:textId="77777777" w:rsidTr="00726448">
        <w:trPr>
          <w:trHeight w:val="300"/>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468F572" w14:textId="77777777" w:rsidR="00726448" w:rsidRPr="008A26D2" w:rsidRDefault="00726448"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Tipo de servicio:</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99CEC34" w14:textId="77777777" w:rsidR="00726448" w:rsidRPr="008A26D2" w:rsidRDefault="00726448" w:rsidP="0072651A">
            <w:pPr>
              <w:pBdr>
                <w:top w:val="nil"/>
                <w:left w:val="nil"/>
                <w:bottom w:val="nil"/>
                <w:right w:val="nil"/>
                <w:between w:val="nil"/>
              </w:pBdr>
              <w:spacing w:after="0" w:line="240" w:lineRule="auto"/>
              <w:ind w:left="113"/>
              <w:jc w:val="both"/>
              <w:rPr>
                <w:rFonts w:ascii="Arial" w:eastAsia="Arial Narrow" w:hAnsi="Arial" w:cs="Arial"/>
                <w:sz w:val="20"/>
                <w:szCs w:val="20"/>
              </w:rPr>
            </w:pPr>
            <w:r w:rsidRPr="008A26D2">
              <w:rPr>
                <w:rFonts w:ascii="Arial" w:eastAsia="Arial Narrow" w:hAnsi="Arial" w:cs="Arial"/>
                <w:sz w:val="20"/>
                <w:szCs w:val="20"/>
              </w:rPr>
              <w:t>Mejorado</w:t>
            </w:r>
          </w:p>
        </w:tc>
      </w:tr>
      <w:tr w:rsidR="008A26D2" w:rsidRPr="008A26D2" w14:paraId="718EAE1A" w14:textId="77777777" w:rsidTr="00726448">
        <w:trPr>
          <w:trHeight w:val="300"/>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A1A120B" w14:textId="47E9C265" w:rsidR="007C7934" w:rsidRPr="008A26D2" w:rsidRDefault="007C7934" w:rsidP="007C793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Naturaleza del servicio:</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5330689" w14:textId="0A7663A1" w:rsidR="007C7934" w:rsidRPr="008A26D2" w:rsidRDefault="009E5E9D" w:rsidP="007C7934">
            <w:pPr>
              <w:pBdr>
                <w:top w:val="nil"/>
                <w:left w:val="nil"/>
                <w:bottom w:val="nil"/>
                <w:right w:val="nil"/>
                <w:between w:val="nil"/>
              </w:pBdr>
              <w:spacing w:after="0" w:line="240" w:lineRule="auto"/>
              <w:ind w:left="113"/>
              <w:jc w:val="both"/>
              <w:rPr>
                <w:rFonts w:ascii="Arial" w:eastAsia="Arial Narrow" w:hAnsi="Arial" w:cs="Arial"/>
                <w:sz w:val="20"/>
                <w:szCs w:val="20"/>
              </w:rPr>
            </w:pPr>
            <w:r w:rsidRPr="008A26D2">
              <w:rPr>
                <w:rFonts w:ascii="Arial" w:eastAsia="Arial Narrow" w:hAnsi="Arial" w:cs="Arial"/>
                <w:sz w:val="20"/>
                <w:szCs w:val="20"/>
              </w:rPr>
              <w:t>P</w:t>
            </w:r>
            <w:r w:rsidR="007C7934" w:rsidRPr="008A26D2">
              <w:rPr>
                <w:rFonts w:ascii="Arial" w:eastAsia="Arial Narrow" w:hAnsi="Arial" w:cs="Arial"/>
                <w:sz w:val="20"/>
                <w:szCs w:val="20"/>
              </w:rPr>
              <w:t>restacional</w:t>
            </w:r>
          </w:p>
        </w:tc>
      </w:tr>
      <w:tr w:rsidR="008A26D2" w:rsidRPr="008A26D2" w14:paraId="7A237B64" w14:textId="77777777" w:rsidTr="00726448">
        <w:trPr>
          <w:trHeight w:val="300"/>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25D562B" w14:textId="678D8D83" w:rsidR="007C7934" w:rsidRPr="008A26D2" w:rsidRDefault="007C7934" w:rsidP="007C793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Entrega del servicio</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1BF7CCD" w14:textId="65C2BC30" w:rsidR="007C7934" w:rsidRPr="008A26D2" w:rsidRDefault="007C7934" w:rsidP="007C7934">
            <w:pPr>
              <w:pBdr>
                <w:top w:val="nil"/>
                <w:left w:val="nil"/>
                <w:bottom w:val="nil"/>
                <w:right w:val="nil"/>
                <w:between w:val="nil"/>
              </w:pBdr>
              <w:spacing w:after="0" w:line="240" w:lineRule="auto"/>
              <w:ind w:left="113"/>
              <w:jc w:val="both"/>
              <w:rPr>
                <w:rFonts w:ascii="Arial" w:eastAsia="Arial Narrow" w:hAnsi="Arial" w:cs="Arial"/>
                <w:sz w:val="20"/>
                <w:szCs w:val="20"/>
              </w:rPr>
            </w:pPr>
            <w:r w:rsidRPr="008A26D2">
              <w:rPr>
                <w:rFonts w:ascii="Arial" w:eastAsia="Arial Narrow" w:hAnsi="Arial" w:cs="Arial"/>
                <w:sz w:val="20"/>
                <w:szCs w:val="20"/>
              </w:rPr>
              <w:t xml:space="preserve">Competencia exclusiva </w:t>
            </w:r>
          </w:p>
        </w:tc>
      </w:tr>
      <w:tr w:rsidR="008A26D2" w:rsidRPr="008A26D2" w14:paraId="26BFC641" w14:textId="77777777" w:rsidTr="00726448">
        <w:trPr>
          <w:trHeight w:val="300"/>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211D6D0" w14:textId="77777777" w:rsidR="007C7934" w:rsidRPr="008A26D2" w:rsidRDefault="007C7934" w:rsidP="007C793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Descripción del servicio</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EDE7392" w14:textId="77777777" w:rsidR="007C7934" w:rsidRPr="008A26D2" w:rsidRDefault="007C7934" w:rsidP="007C7934">
            <w:pPr>
              <w:spacing w:after="0" w:line="240" w:lineRule="auto"/>
              <w:ind w:left="113"/>
              <w:jc w:val="both"/>
              <w:rPr>
                <w:rFonts w:ascii="Arial" w:eastAsia="Arial Narrow" w:hAnsi="Arial" w:cs="Arial"/>
                <w:sz w:val="20"/>
                <w:szCs w:val="20"/>
              </w:rPr>
            </w:pPr>
            <w:r w:rsidRPr="008A26D2">
              <w:rPr>
                <w:rFonts w:ascii="Arial" w:eastAsia="Arial Narrow" w:hAnsi="Arial" w:cs="Arial"/>
                <w:sz w:val="20"/>
                <w:szCs w:val="20"/>
              </w:rPr>
              <w:t xml:space="preserve">El presente servicio busca prevenir, investigar y denunciar los delitos ambientales en materia forestal; además, planificar, organizar y ejecutar operaciones policiales. Así mismo, se coordina con las autoridades y entidades competentes para la realización de actividades y operaciones conjuntas en el ámbito de su competencia. </w:t>
            </w:r>
          </w:p>
          <w:p w14:paraId="616AC9EB" w14:textId="58D68B3B" w:rsidR="007C7934" w:rsidRPr="008A26D2" w:rsidRDefault="007C7934" w:rsidP="007C7934">
            <w:pPr>
              <w:spacing w:after="0" w:line="240" w:lineRule="auto"/>
              <w:ind w:left="113"/>
              <w:jc w:val="both"/>
              <w:rPr>
                <w:rFonts w:ascii="Arial" w:eastAsia="Arial Narrow" w:hAnsi="Arial" w:cs="Arial"/>
                <w:sz w:val="20"/>
                <w:szCs w:val="20"/>
              </w:rPr>
            </w:pPr>
            <w:r w:rsidRPr="008A26D2">
              <w:rPr>
                <w:rFonts w:ascii="Arial" w:eastAsia="Arial Narrow" w:hAnsi="Arial" w:cs="Arial"/>
                <w:sz w:val="20"/>
                <w:szCs w:val="20"/>
              </w:rPr>
              <w:t>Los operativos policiales se programarán en un plan de trabajo anual de operaciones policiales concordante con el Plan Operativo Anual de la P</w:t>
            </w:r>
            <w:r w:rsidR="00F92620" w:rsidRPr="008A26D2">
              <w:rPr>
                <w:rFonts w:ascii="Arial" w:eastAsia="Arial Narrow" w:hAnsi="Arial" w:cs="Arial"/>
                <w:sz w:val="20"/>
                <w:szCs w:val="20"/>
              </w:rPr>
              <w:t>olicía Nacional del Perú</w:t>
            </w:r>
            <w:r w:rsidRPr="008A26D2">
              <w:rPr>
                <w:rFonts w:ascii="Arial" w:eastAsia="Arial Narrow" w:hAnsi="Arial" w:cs="Arial"/>
                <w:sz w:val="20"/>
                <w:szCs w:val="20"/>
              </w:rPr>
              <w:t xml:space="preserve">, realizando </w:t>
            </w:r>
            <w:r w:rsidR="000F74E8" w:rsidRPr="008A26D2">
              <w:rPr>
                <w:rFonts w:ascii="Arial" w:eastAsia="Arial Narrow" w:hAnsi="Arial" w:cs="Arial"/>
                <w:sz w:val="20"/>
                <w:szCs w:val="20"/>
              </w:rPr>
              <w:t>aproximadamente</w:t>
            </w:r>
            <w:r w:rsidRPr="008A26D2">
              <w:rPr>
                <w:rFonts w:ascii="Arial" w:eastAsia="Arial Narrow" w:hAnsi="Arial" w:cs="Arial"/>
                <w:sz w:val="20"/>
                <w:szCs w:val="20"/>
              </w:rPr>
              <w:t xml:space="preserve"> </w:t>
            </w:r>
            <w:r w:rsidR="000F74E8" w:rsidRPr="008A26D2">
              <w:rPr>
                <w:rFonts w:ascii="Arial" w:eastAsia="Arial Narrow" w:hAnsi="Arial" w:cs="Arial"/>
                <w:sz w:val="20"/>
                <w:szCs w:val="20"/>
              </w:rPr>
              <w:t>100</w:t>
            </w:r>
            <w:r w:rsidRPr="008A26D2">
              <w:rPr>
                <w:rFonts w:ascii="Arial" w:eastAsia="Arial Narrow" w:hAnsi="Arial" w:cs="Arial"/>
                <w:sz w:val="20"/>
                <w:szCs w:val="20"/>
              </w:rPr>
              <w:t xml:space="preserve"> operativos al mes; de tal forma que asegure la continuidad del servicio en todo el periodo, tomando en cuenta criterios tales como: características del territorio, medios logísticos y disponibilidad de efectivos, entre otros.</w:t>
            </w:r>
          </w:p>
          <w:p w14:paraId="58D12CD6" w14:textId="7664B4E2" w:rsidR="007C7934" w:rsidRPr="008A26D2" w:rsidRDefault="007C7934" w:rsidP="007C7934">
            <w:pPr>
              <w:pBdr>
                <w:top w:val="nil"/>
                <w:left w:val="nil"/>
                <w:bottom w:val="nil"/>
                <w:right w:val="nil"/>
                <w:between w:val="nil"/>
              </w:pBdr>
              <w:spacing w:after="0" w:line="240" w:lineRule="auto"/>
              <w:ind w:left="113"/>
              <w:jc w:val="both"/>
              <w:rPr>
                <w:rFonts w:ascii="Arial" w:eastAsia="Arial Narrow" w:hAnsi="Arial" w:cs="Arial"/>
                <w:sz w:val="20"/>
                <w:szCs w:val="20"/>
              </w:rPr>
            </w:pPr>
            <w:r w:rsidRPr="008A26D2">
              <w:rPr>
                <w:rFonts w:ascii="Arial" w:eastAsia="Arial Narrow" w:hAnsi="Arial" w:cs="Arial"/>
                <w:sz w:val="20"/>
                <w:szCs w:val="20"/>
              </w:rPr>
              <w:t xml:space="preserve">La Policía Nacional del Perú forma parte de la Comisión Multisectorial Permanente de Lucha contra la Tala Ilegal </w:t>
            </w:r>
            <w:r w:rsidR="004E7D4B">
              <w:rPr>
                <w:rFonts w:ascii="Arial" w:eastAsia="Arial Narrow" w:hAnsi="Arial" w:cs="Arial"/>
                <w:sz w:val="20"/>
                <w:szCs w:val="20"/>
              </w:rPr>
              <w:t xml:space="preserve">- </w:t>
            </w:r>
            <w:r w:rsidRPr="008A26D2">
              <w:rPr>
                <w:rFonts w:ascii="Arial" w:eastAsia="Arial Narrow" w:hAnsi="Arial" w:cs="Arial"/>
                <w:sz w:val="20"/>
                <w:szCs w:val="20"/>
              </w:rPr>
              <w:t>CMLTI y contribuye a alcanzar el objetivo propuesto de combatir el ilícito de la tala ilegal.</w:t>
            </w:r>
          </w:p>
          <w:p w14:paraId="6BB2003B" w14:textId="2B8ECC6F" w:rsidR="007C7934" w:rsidRPr="008A26D2" w:rsidRDefault="007C7934" w:rsidP="007C7934">
            <w:pPr>
              <w:pBdr>
                <w:top w:val="nil"/>
                <w:left w:val="nil"/>
                <w:bottom w:val="nil"/>
                <w:right w:val="nil"/>
                <w:between w:val="nil"/>
              </w:pBdr>
              <w:spacing w:after="0" w:line="240" w:lineRule="auto"/>
              <w:ind w:left="113"/>
              <w:jc w:val="both"/>
              <w:rPr>
                <w:rFonts w:ascii="Arial" w:eastAsia="Arial Narrow" w:hAnsi="Arial" w:cs="Arial"/>
                <w:sz w:val="20"/>
                <w:szCs w:val="20"/>
              </w:rPr>
            </w:pPr>
            <w:r w:rsidRPr="008A26D2">
              <w:rPr>
                <w:rFonts w:ascii="Arial" w:eastAsia="Arial Narrow" w:hAnsi="Arial" w:cs="Arial"/>
                <w:sz w:val="20"/>
                <w:szCs w:val="20"/>
              </w:rPr>
              <w:t>El servicio se optimiza y mejora con la capacitación constante y el uso de tecnologías de información.</w:t>
            </w:r>
          </w:p>
        </w:tc>
      </w:tr>
      <w:tr w:rsidR="008A26D2" w:rsidRPr="008A26D2" w14:paraId="48DA84A2" w14:textId="77777777" w:rsidTr="00726448">
        <w:trPr>
          <w:trHeight w:val="300"/>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62577F8" w14:textId="77777777" w:rsidR="007C7934" w:rsidRPr="008A26D2" w:rsidRDefault="007C7934" w:rsidP="007C793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Proveedor del servicio</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6781C18" w14:textId="771AF07D" w:rsidR="007C7934" w:rsidRPr="008A26D2" w:rsidRDefault="007C7934" w:rsidP="007C7934">
            <w:pPr>
              <w:pBdr>
                <w:top w:val="nil"/>
                <w:left w:val="nil"/>
                <w:bottom w:val="nil"/>
                <w:right w:val="nil"/>
                <w:between w:val="nil"/>
              </w:pBdr>
              <w:spacing w:after="0" w:line="240" w:lineRule="auto"/>
              <w:ind w:left="113"/>
              <w:jc w:val="both"/>
              <w:rPr>
                <w:rFonts w:ascii="Arial" w:eastAsia="Arial Narrow" w:hAnsi="Arial" w:cs="Arial"/>
                <w:sz w:val="20"/>
                <w:szCs w:val="20"/>
              </w:rPr>
            </w:pPr>
            <w:r w:rsidRPr="008A26D2">
              <w:rPr>
                <w:rFonts w:ascii="Arial" w:eastAsia="Arial Narrow" w:hAnsi="Arial" w:cs="Arial"/>
                <w:sz w:val="20"/>
                <w:szCs w:val="20"/>
              </w:rPr>
              <w:t xml:space="preserve">Ministerio del Interior - Policía Nacional del Perú </w:t>
            </w:r>
          </w:p>
        </w:tc>
      </w:tr>
      <w:tr w:rsidR="008A26D2" w:rsidRPr="008A26D2" w14:paraId="25D49A00" w14:textId="77777777" w:rsidTr="00EE592F">
        <w:trPr>
          <w:trHeight w:val="458"/>
          <w:jc w:val="center"/>
        </w:trPr>
        <w:tc>
          <w:tcPr>
            <w:tcW w:w="2482" w:type="dxa"/>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5CBB4D77" w14:textId="77777777" w:rsidR="007C7934" w:rsidRPr="008A26D2" w:rsidRDefault="007C7934" w:rsidP="00F92620">
            <w:pPr>
              <w:spacing w:after="0" w:line="240" w:lineRule="auto"/>
              <w:rPr>
                <w:rFonts w:ascii="Arial" w:hAnsi="Arial" w:cs="Arial"/>
                <w:b/>
                <w:sz w:val="20"/>
                <w:szCs w:val="20"/>
              </w:rPr>
            </w:pPr>
            <w:r w:rsidRPr="008A26D2">
              <w:rPr>
                <w:rFonts w:ascii="Arial" w:hAnsi="Arial" w:cs="Arial"/>
                <w:b/>
                <w:sz w:val="20"/>
                <w:szCs w:val="20"/>
              </w:rPr>
              <w:t>Nivel (es) de gobierno que interviene</w:t>
            </w:r>
          </w:p>
          <w:p w14:paraId="30514E60" w14:textId="1897C093" w:rsidR="007C7934" w:rsidRPr="008A26D2" w:rsidRDefault="007C7934" w:rsidP="007C793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(n) en la provisión del servicio</w:t>
            </w:r>
          </w:p>
        </w:tc>
        <w:tc>
          <w:tcPr>
            <w:tcW w:w="2149"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67730FA2" w14:textId="11394F92" w:rsidR="007C7934" w:rsidRPr="008A26D2" w:rsidRDefault="007C7934" w:rsidP="00AE4522">
            <w:pPr>
              <w:pBdr>
                <w:top w:val="nil"/>
                <w:left w:val="nil"/>
                <w:bottom w:val="nil"/>
                <w:right w:val="nil"/>
                <w:between w:val="nil"/>
              </w:pBdr>
              <w:spacing w:after="0" w:line="240" w:lineRule="auto"/>
              <w:ind w:left="113"/>
              <w:jc w:val="center"/>
              <w:rPr>
                <w:rFonts w:ascii="Arial" w:eastAsia="Arial Narrow" w:hAnsi="Arial" w:cs="Arial"/>
                <w:sz w:val="20"/>
                <w:szCs w:val="20"/>
              </w:rPr>
            </w:pPr>
            <w:r w:rsidRPr="008A26D2">
              <w:rPr>
                <w:rFonts w:ascii="Arial" w:eastAsia="Arial Narrow" w:hAnsi="Arial" w:cs="Arial"/>
                <w:sz w:val="20"/>
                <w:szCs w:val="20"/>
              </w:rPr>
              <w:t>Nacional</w:t>
            </w:r>
          </w:p>
        </w:tc>
        <w:tc>
          <w:tcPr>
            <w:tcW w:w="2149" w:type="dxa"/>
            <w:tcBorders>
              <w:top w:val="single" w:sz="4" w:space="0" w:color="000000"/>
              <w:left w:val="single" w:sz="4" w:space="0" w:color="000000"/>
              <w:right w:val="single" w:sz="4" w:space="0" w:color="000000"/>
            </w:tcBorders>
            <w:shd w:val="clear" w:color="auto" w:fill="auto"/>
            <w:vAlign w:val="center"/>
          </w:tcPr>
          <w:p w14:paraId="442BA406" w14:textId="5EAE41BE" w:rsidR="007C7934" w:rsidRPr="008A26D2" w:rsidRDefault="007C7934" w:rsidP="00AE4522">
            <w:pPr>
              <w:pBdr>
                <w:top w:val="nil"/>
                <w:left w:val="nil"/>
                <w:bottom w:val="nil"/>
                <w:right w:val="nil"/>
                <w:between w:val="nil"/>
              </w:pBdr>
              <w:spacing w:after="0" w:line="240" w:lineRule="auto"/>
              <w:ind w:left="113"/>
              <w:jc w:val="center"/>
              <w:rPr>
                <w:rFonts w:ascii="Arial" w:eastAsia="Arial Narrow" w:hAnsi="Arial" w:cs="Arial"/>
                <w:sz w:val="20"/>
                <w:szCs w:val="20"/>
              </w:rPr>
            </w:pPr>
            <w:r w:rsidRPr="008A26D2">
              <w:rPr>
                <w:rFonts w:ascii="Arial" w:eastAsia="Arial Narrow" w:hAnsi="Arial" w:cs="Arial"/>
                <w:sz w:val="20"/>
                <w:szCs w:val="20"/>
              </w:rPr>
              <w:t>Regional</w:t>
            </w:r>
          </w:p>
        </w:tc>
        <w:tc>
          <w:tcPr>
            <w:tcW w:w="2150" w:type="dxa"/>
            <w:tcBorders>
              <w:top w:val="single" w:sz="4" w:space="0" w:color="000000"/>
              <w:left w:val="single" w:sz="4" w:space="0" w:color="000000"/>
              <w:right w:val="single" w:sz="4" w:space="0" w:color="000000"/>
            </w:tcBorders>
            <w:shd w:val="clear" w:color="auto" w:fill="auto"/>
            <w:vAlign w:val="center"/>
          </w:tcPr>
          <w:p w14:paraId="3A388860" w14:textId="5E1D0E95" w:rsidR="007C7934" w:rsidRPr="008A26D2" w:rsidRDefault="007C7934" w:rsidP="00AE4522">
            <w:pPr>
              <w:pBdr>
                <w:top w:val="nil"/>
                <w:left w:val="nil"/>
                <w:bottom w:val="nil"/>
                <w:right w:val="nil"/>
                <w:between w:val="nil"/>
              </w:pBdr>
              <w:spacing w:after="0" w:line="240" w:lineRule="auto"/>
              <w:ind w:left="113"/>
              <w:jc w:val="center"/>
              <w:rPr>
                <w:rFonts w:ascii="Arial" w:eastAsia="Arial Narrow" w:hAnsi="Arial" w:cs="Arial"/>
                <w:sz w:val="20"/>
                <w:szCs w:val="20"/>
              </w:rPr>
            </w:pPr>
            <w:r w:rsidRPr="008A26D2">
              <w:rPr>
                <w:rFonts w:ascii="Arial" w:eastAsia="Arial Narrow" w:hAnsi="Arial" w:cs="Arial"/>
                <w:sz w:val="20"/>
                <w:szCs w:val="20"/>
              </w:rPr>
              <w:t>Local</w:t>
            </w:r>
          </w:p>
        </w:tc>
      </w:tr>
      <w:tr w:rsidR="008A26D2" w:rsidRPr="008A26D2" w14:paraId="401C59FD" w14:textId="77777777" w:rsidTr="00EE592F">
        <w:trPr>
          <w:trHeight w:val="457"/>
          <w:jc w:val="center"/>
        </w:trPr>
        <w:tc>
          <w:tcPr>
            <w:tcW w:w="2482" w:type="dxa"/>
            <w:vMerge/>
            <w:tcBorders>
              <w:left w:val="single" w:sz="4" w:space="0" w:color="000000"/>
              <w:right w:val="single" w:sz="4" w:space="0" w:color="000000"/>
            </w:tcBorders>
            <w:shd w:val="clear" w:color="auto" w:fill="auto"/>
            <w:tcMar>
              <w:top w:w="15" w:type="dxa"/>
              <w:left w:w="15" w:type="dxa"/>
              <w:bottom w:w="0" w:type="dxa"/>
              <w:right w:w="15" w:type="dxa"/>
            </w:tcMar>
            <w:vAlign w:val="center"/>
          </w:tcPr>
          <w:p w14:paraId="5BE96DF8" w14:textId="77777777" w:rsidR="007C7934" w:rsidRPr="008A26D2" w:rsidRDefault="007C7934" w:rsidP="007C7934">
            <w:pPr>
              <w:spacing w:after="0" w:line="240" w:lineRule="auto"/>
              <w:rPr>
                <w:rFonts w:ascii="Arial" w:hAnsi="Arial" w:cs="Arial"/>
                <w:b/>
                <w:sz w:val="20"/>
                <w:szCs w:val="20"/>
              </w:rPr>
            </w:pPr>
          </w:p>
        </w:tc>
        <w:tc>
          <w:tcPr>
            <w:tcW w:w="2149"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729D2F98" w14:textId="0876DCA7" w:rsidR="007C7934" w:rsidRPr="008A26D2" w:rsidRDefault="009E5E9D" w:rsidP="00AE4522">
            <w:pPr>
              <w:pBdr>
                <w:top w:val="nil"/>
                <w:left w:val="nil"/>
                <w:bottom w:val="nil"/>
                <w:right w:val="nil"/>
                <w:between w:val="nil"/>
              </w:pBdr>
              <w:spacing w:after="0" w:line="240" w:lineRule="auto"/>
              <w:ind w:left="113"/>
              <w:jc w:val="center"/>
              <w:rPr>
                <w:rFonts w:ascii="Arial" w:eastAsia="Arial Narrow" w:hAnsi="Arial" w:cs="Arial"/>
                <w:sz w:val="20"/>
                <w:szCs w:val="20"/>
              </w:rPr>
            </w:pPr>
            <w:r w:rsidRPr="008A26D2">
              <w:rPr>
                <w:rFonts w:ascii="Arial" w:eastAsia="Arial Narrow" w:hAnsi="Arial" w:cs="Arial"/>
                <w:sz w:val="20"/>
                <w:szCs w:val="20"/>
              </w:rPr>
              <w:t>X</w:t>
            </w:r>
          </w:p>
        </w:tc>
        <w:tc>
          <w:tcPr>
            <w:tcW w:w="2149" w:type="dxa"/>
            <w:tcBorders>
              <w:top w:val="single" w:sz="4" w:space="0" w:color="000000"/>
              <w:left w:val="single" w:sz="4" w:space="0" w:color="000000"/>
              <w:right w:val="single" w:sz="4" w:space="0" w:color="000000"/>
            </w:tcBorders>
            <w:shd w:val="clear" w:color="auto" w:fill="auto"/>
            <w:vAlign w:val="center"/>
          </w:tcPr>
          <w:p w14:paraId="1337C2F9" w14:textId="77777777" w:rsidR="007C7934" w:rsidRPr="008A26D2" w:rsidRDefault="007C7934" w:rsidP="00AE4522">
            <w:pPr>
              <w:pBdr>
                <w:top w:val="nil"/>
                <w:left w:val="nil"/>
                <w:bottom w:val="nil"/>
                <w:right w:val="nil"/>
                <w:between w:val="nil"/>
              </w:pBdr>
              <w:spacing w:after="0" w:line="240" w:lineRule="auto"/>
              <w:ind w:left="113"/>
              <w:jc w:val="center"/>
              <w:rPr>
                <w:rFonts w:ascii="Arial" w:eastAsia="Arial Narrow" w:hAnsi="Arial" w:cs="Arial"/>
                <w:sz w:val="20"/>
                <w:szCs w:val="20"/>
              </w:rPr>
            </w:pPr>
          </w:p>
        </w:tc>
        <w:tc>
          <w:tcPr>
            <w:tcW w:w="2150" w:type="dxa"/>
            <w:tcBorders>
              <w:top w:val="single" w:sz="4" w:space="0" w:color="000000"/>
              <w:left w:val="single" w:sz="4" w:space="0" w:color="000000"/>
              <w:right w:val="single" w:sz="4" w:space="0" w:color="000000"/>
            </w:tcBorders>
            <w:shd w:val="clear" w:color="auto" w:fill="auto"/>
            <w:vAlign w:val="center"/>
          </w:tcPr>
          <w:p w14:paraId="252CBB5B" w14:textId="27408E3B" w:rsidR="007C7934" w:rsidRPr="008A26D2" w:rsidRDefault="007C7934" w:rsidP="00AE4522">
            <w:pPr>
              <w:pBdr>
                <w:top w:val="nil"/>
                <w:left w:val="nil"/>
                <w:bottom w:val="nil"/>
                <w:right w:val="nil"/>
                <w:between w:val="nil"/>
              </w:pBdr>
              <w:spacing w:after="0" w:line="240" w:lineRule="auto"/>
              <w:ind w:left="113"/>
              <w:jc w:val="center"/>
              <w:rPr>
                <w:rFonts w:ascii="Arial" w:eastAsia="Arial Narrow" w:hAnsi="Arial" w:cs="Arial"/>
                <w:sz w:val="20"/>
                <w:szCs w:val="20"/>
              </w:rPr>
            </w:pPr>
          </w:p>
        </w:tc>
      </w:tr>
      <w:tr w:rsidR="008A26D2" w:rsidRPr="008A26D2" w14:paraId="7D0AA63C" w14:textId="77777777" w:rsidTr="00726448">
        <w:trPr>
          <w:trHeight w:val="300"/>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21F125F" w14:textId="77777777" w:rsidR="007C7934" w:rsidRPr="008A26D2" w:rsidRDefault="007C7934" w:rsidP="007C793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Receptor del servicio</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D107FFA" w14:textId="77777777" w:rsidR="007C7934" w:rsidRPr="008A26D2" w:rsidRDefault="007C7934" w:rsidP="007C7934">
            <w:pPr>
              <w:pBdr>
                <w:top w:val="nil"/>
                <w:left w:val="nil"/>
                <w:bottom w:val="nil"/>
                <w:right w:val="nil"/>
                <w:between w:val="nil"/>
              </w:pBdr>
              <w:spacing w:after="0" w:line="240" w:lineRule="auto"/>
              <w:ind w:left="113"/>
              <w:jc w:val="both"/>
              <w:rPr>
                <w:rFonts w:ascii="Arial" w:eastAsia="Arial Narrow" w:hAnsi="Arial" w:cs="Arial"/>
                <w:sz w:val="20"/>
                <w:szCs w:val="20"/>
              </w:rPr>
            </w:pPr>
            <w:r w:rsidRPr="008A26D2">
              <w:rPr>
                <w:rFonts w:ascii="Arial" w:eastAsia="Arial Narrow" w:hAnsi="Arial" w:cs="Arial"/>
                <w:sz w:val="20"/>
                <w:szCs w:val="20"/>
              </w:rPr>
              <w:t>Población en general</w:t>
            </w:r>
          </w:p>
        </w:tc>
      </w:tr>
      <w:tr w:rsidR="008A26D2" w:rsidRPr="008A26D2" w14:paraId="10FA44F7" w14:textId="77777777" w:rsidTr="00726448">
        <w:trPr>
          <w:trHeight w:val="211"/>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C984BDA" w14:textId="77777777" w:rsidR="007C7934" w:rsidRPr="008A26D2" w:rsidRDefault="007C7934" w:rsidP="007C793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Alcance del servicio </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9A2AE02" w14:textId="77777777" w:rsidR="007C7934" w:rsidRPr="008A26D2" w:rsidRDefault="007C7934" w:rsidP="007C7934">
            <w:pPr>
              <w:pBdr>
                <w:top w:val="nil"/>
                <w:left w:val="nil"/>
                <w:bottom w:val="nil"/>
                <w:right w:val="nil"/>
                <w:between w:val="nil"/>
              </w:pBdr>
              <w:spacing w:after="0" w:line="240" w:lineRule="auto"/>
              <w:ind w:left="113"/>
              <w:jc w:val="both"/>
              <w:rPr>
                <w:rFonts w:ascii="Arial" w:eastAsia="Arial Narrow" w:hAnsi="Arial" w:cs="Arial"/>
                <w:sz w:val="20"/>
                <w:szCs w:val="20"/>
              </w:rPr>
            </w:pPr>
            <w:r w:rsidRPr="008A26D2">
              <w:rPr>
                <w:rFonts w:ascii="Arial" w:eastAsia="Arial Narrow" w:hAnsi="Arial" w:cs="Arial"/>
                <w:sz w:val="20"/>
                <w:szCs w:val="20"/>
              </w:rPr>
              <w:t>Nacional</w:t>
            </w:r>
          </w:p>
        </w:tc>
      </w:tr>
      <w:tr w:rsidR="008A26D2" w:rsidRPr="008A26D2" w14:paraId="4BFEA2B6" w14:textId="77777777" w:rsidTr="00726448">
        <w:trPr>
          <w:trHeight w:val="62"/>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C348115" w14:textId="77777777" w:rsidR="007C7934" w:rsidRPr="008A26D2" w:rsidRDefault="007C7934" w:rsidP="007C793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Estándar (es) de cumplimiento</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3548FC2A" w14:textId="77777777" w:rsidR="007C7934" w:rsidRPr="008A26D2" w:rsidRDefault="007C7934" w:rsidP="007C7934">
            <w:pPr>
              <w:pBdr>
                <w:top w:val="nil"/>
                <w:left w:val="nil"/>
                <w:bottom w:val="nil"/>
                <w:right w:val="nil"/>
                <w:between w:val="nil"/>
              </w:pBdr>
              <w:spacing w:after="0" w:line="240" w:lineRule="auto"/>
              <w:ind w:left="113"/>
              <w:rPr>
                <w:rFonts w:ascii="Arial" w:hAnsi="Arial" w:cs="Arial"/>
                <w:sz w:val="20"/>
                <w:szCs w:val="20"/>
              </w:rPr>
            </w:pPr>
            <w:r w:rsidRPr="008A26D2">
              <w:rPr>
                <w:rFonts w:ascii="Arial" w:eastAsia="Arial Narrow" w:hAnsi="Arial" w:cs="Arial"/>
                <w:sz w:val="20"/>
                <w:szCs w:val="20"/>
              </w:rPr>
              <w:t>Continuidad</w:t>
            </w:r>
          </w:p>
        </w:tc>
      </w:tr>
      <w:tr w:rsidR="008A26D2" w:rsidRPr="008A26D2" w14:paraId="30F56F5B" w14:textId="77777777" w:rsidTr="00726448">
        <w:trPr>
          <w:trHeight w:val="300"/>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2B4F697" w14:textId="77777777" w:rsidR="007C7934" w:rsidRPr="008A26D2" w:rsidRDefault="007C7934" w:rsidP="007C793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Descripción del estándar</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35" w:type="dxa"/>
              <w:bottom w:w="0" w:type="dxa"/>
              <w:right w:w="15" w:type="dxa"/>
            </w:tcMar>
            <w:vAlign w:val="center"/>
          </w:tcPr>
          <w:p w14:paraId="76E11228" w14:textId="6AFE242B" w:rsidR="007C7934" w:rsidRPr="008A26D2" w:rsidRDefault="007C7934" w:rsidP="00F92620">
            <w:pPr>
              <w:pBdr>
                <w:top w:val="nil"/>
                <w:left w:val="nil"/>
                <w:bottom w:val="nil"/>
                <w:right w:val="nil"/>
                <w:between w:val="nil"/>
              </w:pBdr>
              <w:spacing w:after="0" w:line="240" w:lineRule="auto"/>
              <w:jc w:val="both"/>
              <w:rPr>
                <w:rFonts w:ascii="Arial" w:eastAsia="Arial Narrow" w:hAnsi="Arial" w:cs="Arial"/>
                <w:strike/>
                <w:sz w:val="20"/>
                <w:szCs w:val="20"/>
              </w:rPr>
            </w:pPr>
            <w:r w:rsidRPr="008A26D2">
              <w:rPr>
                <w:rFonts w:ascii="Arial" w:eastAsia="Arial Narrow" w:hAnsi="Arial" w:cs="Arial"/>
                <w:sz w:val="20"/>
                <w:szCs w:val="20"/>
              </w:rPr>
              <w:t xml:space="preserve">El presente estándar busca la conservación de los recursos forestales mediante operativos policiales continuas en sectores establecidos realizando al menos </w:t>
            </w:r>
            <w:r w:rsidR="000F74E8" w:rsidRPr="008A26D2">
              <w:rPr>
                <w:rFonts w:ascii="Arial" w:eastAsia="Arial Narrow" w:hAnsi="Arial" w:cs="Arial"/>
                <w:sz w:val="20"/>
                <w:szCs w:val="20"/>
              </w:rPr>
              <w:t>100</w:t>
            </w:r>
            <w:r w:rsidRPr="008A26D2">
              <w:rPr>
                <w:rFonts w:ascii="Arial" w:eastAsia="Arial Narrow" w:hAnsi="Arial" w:cs="Arial"/>
                <w:sz w:val="20"/>
                <w:szCs w:val="20"/>
              </w:rPr>
              <w:t xml:space="preserve"> operativos al mes, de acuerdo al plan de trabajo anual de operaciones policiales, en el cumplimiento de sus funciones para la lucha contra los ilícitos que afectan el Patrimonio Nacional Forestal y de Fauna Silvestre.</w:t>
            </w:r>
          </w:p>
          <w:p w14:paraId="33828357" w14:textId="1D191B00" w:rsidR="007C7934" w:rsidRPr="008A26D2" w:rsidRDefault="007C7934" w:rsidP="007C7934">
            <w:pPr>
              <w:pBdr>
                <w:top w:val="nil"/>
                <w:left w:val="nil"/>
                <w:bottom w:val="nil"/>
                <w:right w:val="nil"/>
                <w:between w:val="nil"/>
              </w:pBdr>
              <w:spacing w:after="0" w:line="0" w:lineRule="atLeast"/>
              <w:jc w:val="both"/>
              <w:rPr>
                <w:rFonts w:ascii="Arial" w:hAnsi="Arial" w:cs="Arial"/>
                <w:sz w:val="20"/>
                <w:szCs w:val="20"/>
              </w:rPr>
            </w:pPr>
            <w:r w:rsidRPr="008A26D2">
              <w:rPr>
                <w:rFonts w:ascii="Arial" w:hAnsi="Arial" w:cs="Arial"/>
                <w:sz w:val="20"/>
                <w:szCs w:val="20"/>
              </w:rPr>
              <w:t xml:space="preserve">  </w:t>
            </w:r>
          </w:p>
        </w:tc>
      </w:tr>
      <w:tr w:rsidR="007C7934" w:rsidRPr="008A26D2" w14:paraId="6E7951D1" w14:textId="77777777" w:rsidTr="00726448">
        <w:trPr>
          <w:trHeight w:val="491"/>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2BDCC3A" w14:textId="00128241" w:rsidR="007C7934" w:rsidRPr="008A26D2" w:rsidRDefault="007C7934" w:rsidP="007C793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Indicador de calidad</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650A290" w14:textId="002BBD9D" w:rsidR="007C7934" w:rsidRPr="008A26D2" w:rsidRDefault="007C7934" w:rsidP="007C7934">
            <w:pPr>
              <w:pBdr>
                <w:top w:val="nil"/>
                <w:left w:val="nil"/>
                <w:bottom w:val="nil"/>
                <w:right w:val="nil"/>
                <w:between w:val="nil"/>
              </w:pBdr>
              <w:spacing w:after="0" w:line="240" w:lineRule="auto"/>
              <w:ind w:left="113"/>
              <w:jc w:val="both"/>
              <w:rPr>
                <w:rFonts w:ascii="Arial" w:hAnsi="Arial" w:cs="Arial"/>
                <w:sz w:val="20"/>
                <w:szCs w:val="20"/>
              </w:rPr>
            </w:pPr>
            <w:r w:rsidRPr="008A26D2">
              <w:rPr>
                <w:rFonts w:ascii="Arial" w:eastAsia="Arial Narrow" w:hAnsi="Arial" w:cs="Arial"/>
                <w:sz w:val="20"/>
                <w:szCs w:val="20"/>
              </w:rPr>
              <w:t xml:space="preserve">Número de operativos policiales para reducir la tala ilegal forestal de </w:t>
            </w:r>
            <w:r w:rsidR="00F64AB6">
              <w:rPr>
                <w:rFonts w:ascii="Arial" w:eastAsia="Arial Narrow" w:hAnsi="Arial" w:cs="Arial"/>
                <w:sz w:val="20"/>
                <w:szCs w:val="20"/>
              </w:rPr>
              <w:t xml:space="preserve">realizados de </w:t>
            </w:r>
            <w:r w:rsidRPr="008A26D2">
              <w:rPr>
                <w:rFonts w:ascii="Arial" w:eastAsia="Arial Narrow" w:hAnsi="Arial" w:cs="Arial"/>
                <w:sz w:val="20"/>
                <w:szCs w:val="20"/>
              </w:rPr>
              <w:t>forma continua</w:t>
            </w:r>
          </w:p>
        </w:tc>
      </w:tr>
    </w:tbl>
    <w:p w14:paraId="68FA2A5F" w14:textId="77777777" w:rsidR="00726448" w:rsidRPr="008A26D2" w:rsidRDefault="00726448" w:rsidP="000D1705">
      <w:pPr>
        <w:tabs>
          <w:tab w:val="left" w:pos="3375"/>
        </w:tabs>
        <w:rPr>
          <w:rFonts w:ascii="Arial Narrow" w:eastAsia="Arial Narrow" w:hAnsi="Arial Narrow" w:cs="Arial Narrow"/>
          <w:b/>
        </w:rPr>
      </w:pPr>
    </w:p>
    <w:bookmarkEnd w:id="3"/>
    <w:p w14:paraId="5BB93E99" w14:textId="6F78898E" w:rsidR="00726448" w:rsidRPr="008A26D2" w:rsidRDefault="00726448">
      <w:pPr>
        <w:rPr>
          <w:rFonts w:ascii="Arial Narrow" w:eastAsia="Arial Narrow" w:hAnsi="Arial Narrow" w:cs="Arial Narrow"/>
          <w:b/>
        </w:rPr>
      </w:pPr>
    </w:p>
    <w:p w14:paraId="2BD90EA2" w14:textId="35F83865" w:rsidR="00726448" w:rsidRPr="008A26D2" w:rsidRDefault="00726448" w:rsidP="00726448">
      <w:pPr>
        <w:jc w:val="both"/>
        <w:rPr>
          <w:rFonts w:ascii="Arial Narrow" w:eastAsia="Arial Narrow" w:hAnsi="Arial Narrow" w:cs="Arial Narrow"/>
          <w:sz w:val="20"/>
          <w:szCs w:val="20"/>
        </w:rPr>
      </w:pPr>
      <w:bookmarkStart w:id="4" w:name="_Hlk135665794"/>
      <w:r w:rsidRPr="008A26D2">
        <w:rPr>
          <w:rFonts w:ascii="Arial" w:eastAsia="Arial Narrow" w:hAnsi="Arial" w:cs="Arial"/>
          <w:b/>
          <w:bCs/>
        </w:rPr>
        <w:t>S1.9.</w:t>
      </w:r>
      <w:r w:rsidR="00212957" w:rsidRPr="008A26D2">
        <w:rPr>
          <w:rFonts w:ascii="Arial" w:eastAsia="Arial Narrow" w:hAnsi="Arial" w:cs="Arial"/>
          <w:b/>
          <w:bCs/>
        </w:rPr>
        <w:t>3</w:t>
      </w:r>
      <w:r w:rsidRPr="008A26D2">
        <w:rPr>
          <w:rFonts w:ascii="Arial" w:eastAsia="Arial Narrow" w:hAnsi="Arial" w:cs="Arial"/>
        </w:rPr>
        <w:t xml:space="preserve"> Operaciones policiales para contrarrestar la comisión de delitos y faltas en desmedro de la fauna silvestre de forma permanente para beneficio de la población</w:t>
      </w:r>
      <w:r w:rsidRPr="008A26D2">
        <w:rPr>
          <w:rFonts w:ascii="Arial Narrow" w:eastAsia="Arial Narrow" w:hAnsi="Arial Narrow" w:cs="Arial Narrow"/>
          <w:sz w:val="20"/>
          <w:szCs w:val="20"/>
        </w:rPr>
        <w:t>.</w:t>
      </w:r>
    </w:p>
    <w:tbl>
      <w:tblPr>
        <w:tblW w:w="8930" w:type="dxa"/>
        <w:jc w:val="center"/>
        <w:tblLayout w:type="fixed"/>
        <w:tblLook w:val="0600" w:firstRow="0" w:lastRow="0" w:firstColumn="0" w:lastColumn="0" w:noHBand="1" w:noVBand="1"/>
      </w:tblPr>
      <w:tblGrid>
        <w:gridCol w:w="2482"/>
        <w:gridCol w:w="2149"/>
        <w:gridCol w:w="2149"/>
        <w:gridCol w:w="2150"/>
      </w:tblGrid>
      <w:tr w:rsidR="008A26D2" w:rsidRPr="008A26D2" w14:paraId="7AEA669F" w14:textId="77777777" w:rsidTr="00726448">
        <w:trPr>
          <w:trHeight w:val="300"/>
          <w:jc w:val="center"/>
        </w:trPr>
        <w:tc>
          <w:tcPr>
            <w:tcW w:w="8930"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center"/>
          </w:tcPr>
          <w:p w14:paraId="52720303" w14:textId="2EA68DAA" w:rsidR="00726448" w:rsidRPr="008A26D2" w:rsidRDefault="00726448" w:rsidP="0072651A">
            <w:pPr>
              <w:jc w:val="center"/>
              <w:rPr>
                <w:rFonts w:ascii="Arial" w:hAnsi="Arial" w:cs="Arial"/>
                <w:sz w:val="20"/>
                <w:szCs w:val="20"/>
              </w:rPr>
            </w:pPr>
            <w:r w:rsidRPr="008A26D2">
              <w:rPr>
                <w:rFonts w:ascii="Arial" w:hAnsi="Arial" w:cs="Arial"/>
                <w:b/>
                <w:sz w:val="20"/>
                <w:szCs w:val="20"/>
              </w:rPr>
              <w:t xml:space="preserve">FICHA DEL SERVICIO </w:t>
            </w:r>
          </w:p>
        </w:tc>
      </w:tr>
      <w:tr w:rsidR="008A26D2" w:rsidRPr="008A26D2" w14:paraId="56BE264A" w14:textId="77777777" w:rsidTr="00726448">
        <w:trPr>
          <w:trHeight w:val="300"/>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D6FEE7B" w14:textId="77777777" w:rsidR="00726448" w:rsidRPr="008A26D2" w:rsidRDefault="00726448"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Objetivo prioritario:</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A1C9CF5" w14:textId="77777777" w:rsidR="00726448" w:rsidRPr="008A26D2" w:rsidRDefault="00726448" w:rsidP="0072651A">
            <w:pPr>
              <w:pBdr>
                <w:top w:val="nil"/>
                <w:left w:val="nil"/>
                <w:bottom w:val="nil"/>
                <w:right w:val="nil"/>
                <w:between w:val="nil"/>
              </w:pBdr>
              <w:spacing w:after="0" w:line="240" w:lineRule="auto"/>
              <w:ind w:left="113"/>
              <w:jc w:val="both"/>
              <w:rPr>
                <w:rFonts w:ascii="Arial" w:hAnsi="Arial" w:cs="Arial"/>
                <w:sz w:val="20"/>
                <w:szCs w:val="20"/>
              </w:rPr>
            </w:pPr>
            <w:r w:rsidRPr="008A26D2">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r>
      <w:tr w:rsidR="008A26D2" w:rsidRPr="008A26D2" w14:paraId="0CBADECA" w14:textId="77777777" w:rsidTr="00726448">
        <w:trPr>
          <w:trHeight w:val="300"/>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7CFC311" w14:textId="77777777" w:rsidR="00726448" w:rsidRPr="008A26D2" w:rsidRDefault="00726448"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Lineamiento:</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87B4960" w14:textId="77777777" w:rsidR="00726448" w:rsidRPr="008A26D2" w:rsidRDefault="00726448" w:rsidP="0072651A">
            <w:pPr>
              <w:pBdr>
                <w:top w:val="nil"/>
                <w:left w:val="nil"/>
                <w:bottom w:val="nil"/>
                <w:right w:val="nil"/>
                <w:between w:val="nil"/>
              </w:pBdr>
              <w:spacing w:after="0" w:line="240" w:lineRule="auto"/>
              <w:ind w:left="113"/>
              <w:jc w:val="both"/>
              <w:rPr>
                <w:rFonts w:ascii="Arial" w:eastAsia="Arial Narrow" w:hAnsi="Arial" w:cs="Arial"/>
                <w:sz w:val="20"/>
                <w:szCs w:val="20"/>
              </w:rPr>
            </w:pPr>
            <w:r w:rsidRPr="008A26D2">
              <w:rPr>
                <w:rFonts w:ascii="Arial" w:eastAsia="Arial Narrow" w:hAnsi="Arial" w:cs="Arial"/>
                <w:sz w:val="20"/>
                <w:szCs w:val="20"/>
              </w:rPr>
              <w:t>L1.9 Reducir los niveles de tala ilegal, caza furtiva y del tráfico ilegal forestal y de fauna silvestre.</w:t>
            </w:r>
          </w:p>
        </w:tc>
      </w:tr>
      <w:tr w:rsidR="008A26D2" w:rsidRPr="008A26D2" w14:paraId="3AA88AEC" w14:textId="77777777" w:rsidTr="00726448">
        <w:trPr>
          <w:trHeight w:val="300"/>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801A8F9" w14:textId="77777777" w:rsidR="00726448" w:rsidRPr="008A26D2" w:rsidRDefault="00726448"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Nombre del servicio:</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2BC3E22" w14:textId="1674AA2A" w:rsidR="00726448" w:rsidRPr="008A26D2" w:rsidRDefault="00726448" w:rsidP="0072651A">
            <w:pPr>
              <w:spacing w:after="0" w:line="240" w:lineRule="auto"/>
              <w:ind w:left="113"/>
              <w:jc w:val="both"/>
              <w:rPr>
                <w:rFonts w:ascii="Arial" w:eastAsia="Arial Narrow" w:hAnsi="Arial" w:cs="Arial"/>
                <w:sz w:val="20"/>
                <w:szCs w:val="20"/>
              </w:rPr>
            </w:pPr>
            <w:r w:rsidRPr="008A26D2">
              <w:rPr>
                <w:rFonts w:ascii="Arial" w:eastAsia="Arial Narrow" w:hAnsi="Arial" w:cs="Arial"/>
                <w:sz w:val="20"/>
                <w:szCs w:val="20"/>
              </w:rPr>
              <w:t>S1.9.</w:t>
            </w:r>
            <w:r w:rsidR="00212957" w:rsidRPr="008A26D2">
              <w:rPr>
                <w:rFonts w:ascii="Arial" w:eastAsia="Arial Narrow" w:hAnsi="Arial" w:cs="Arial"/>
                <w:sz w:val="20"/>
                <w:szCs w:val="20"/>
              </w:rPr>
              <w:t>3</w:t>
            </w:r>
            <w:r w:rsidRPr="008A26D2">
              <w:rPr>
                <w:rFonts w:ascii="Arial" w:eastAsia="Arial Narrow" w:hAnsi="Arial" w:cs="Arial"/>
                <w:sz w:val="20"/>
                <w:szCs w:val="20"/>
              </w:rPr>
              <w:t xml:space="preserve"> Operaciones policiales para contrarrestar la comisión de delitos y faltas en desmedro de la fauna silvestre de forma permanente para beneficio de la población.</w:t>
            </w:r>
          </w:p>
        </w:tc>
      </w:tr>
      <w:tr w:rsidR="008A26D2" w:rsidRPr="008A26D2" w14:paraId="1C8D9924" w14:textId="77777777" w:rsidTr="00726448">
        <w:trPr>
          <w:trHeight w:val="300"/>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EE66137" w14:textId="77777777" w:rsidR="00726448" w:rsidRPr="008A26D2" w:rsidRDefault="00726448"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Tipo de servicio:</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72C60E3" w14:textId="77777777" w:rsidR="00726448" w:rsidRPr="008A26D2" w:rsidRDefault="00726448" w:rsidP="0072651A">
            <w:pPr>
              <w:spacing w:after="0" w:line="240" w:lineRule="auto"/>
              <w:ind w:left="113"/>
              <w:jc w:val="both"/>
              <w:rPr>
                <w:rFonts w:ascii="Arial" w:eastAsia="Arial Narrow" w:hAnsi="Arial" w:cs="Arial"/>
                <w:sz w:val="20"/>
                <w:szCs w:val="20"/>
              </w:rPr>
            </w:pPr>
            <w:r w:rsidRPr="008A26D2">
              <w:rPr>
                <w:rFonts w:ascii="Arial" w:eastAsia="Arial Narrow" w:hAnsi="Arial" w:cs="Arial"/>
                <w:sz w:val="20"/>
                <w:szCs w:val="20"/>
              </w:rPr>
              <w:t>Mejorado</w:t>
            </w:r>
          </w:p>
        </w:tc>
      </w:tr>
      <w:tr w:rsidR="008A26D2" w:rsidRPr="008A26D2" w14:paraId="7140D7E5" w14:textId="77777777" w:rsidTr="00726448">
        <w:trPr>
          <w:trHeight w:val="300"/>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7E74A02" w14:textId="3D2B7514" w:rsidR="00CF391F" w:rsidRPr="008A26D2" w:rsidRDefault="00CF391F" w:rsidP="00CF391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Naturaleza del servicio:</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F0F190D" w14:textId="3AE95CB5" w:rsidR="00CF391F" w:rsidRPr="008A26D2" w:rsidRDefault="009E5E9D" w:rsidP="00CF391F">
            <w:pPr>
              <w:spacing w:after="0" w:line="240" w:lineRule="auto"/>
              <w:ind w:left="113"/>
              <w:jc w:val="both"/>
              <w:rPr>
                <w:rFonts w:ascii="Arial" w:eastAsia="Arial Narrow" w:hAnsi="Arial" w:cs="Arial"/>
                <w:sz w:val="20"/>
                <w:szCs w:val="20"/>
              </w:rPr>
            </w:pPr>
            <w:r w:rsidRPr="008A26D2">
              <w:rPr>
                <w:rFonts w:ascii="Arial" w:eastAsia="Arial Narrow" w:hAnsi="Arial" w:cs="Arial"/>
                <w:sz w:val="20"/>
                <w:szCs w:val="20"/>
              </w:rPr>
              <w:t>P</w:t>
            </w:r>
            <w:r w:rsidR="00CF391F" w:rsidRPr="008A26D2">
              <w:rPr>
                <w:rFonts w:ascii="Arial" w:eastAsia="Arial Narrow" w:hAnsi="Arial" w:cs="Arial"/>
                <w:sz w:val="20"/>
                <w:szCs w:val="20"/>
              </w:rPr>
              <w:t>restacional</w:t>
            </w:r>
          </w:p>
        </w:tc>
      </w:tr>
      <w:tr w:rsidR="008A26D2" w:rsidRPr="008A26D2" w14:paraId="3ADBED06" w14:textId="77777777" w:rsidTr="00726448">
        <w:trPr>
          <w:trHeight w:val="300"/>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1D0D194" w14:textId="2E77D2CA" w:rsidR="00CF391F" w:rsidRPr="008A26D2" w:rsidRDefault="00CF391F" w:rsidP="00CF391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Entrega del servicio</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304D13E" w14:textId="1184A628" w:rsidR="00CF391F" w:rsidRPr="008A26D2" w:rsidRDefault="009E5E9D" w:rsidP="009E5E9D">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 </w:t>
            </w:r>
            <w:r w:rsidR="00CF391F" w:rsidRPr="008A26D2">
              <w:rPr>
                <w:rFonts w:ascii="Arial" w:eastAsia="Arial Narrow" w:hAnsi="Arial" w:cs="Arial"/>
                <w:sz w:val="20"/>
                <w:szCs w:val="20"/>
              </w:rPr>
              <w:t xml:space="preserve">Competencia exclusiva </w:t>
            </w:r>
          </w:p>
        </w:tc>
      </w:tr>
      <w:tr w:rsidR="008A26D2" w:rsidRPr="008A26D2" w14:paraId="60BFA73A" w14:textId="77777777" w:rsidTr="00726448">
        <w:trPr>
          <w:trHeight w:val="300"/>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F38C826" w14:textId="77777777" w:rsidR="00CF391F" w:rsidRPr="008A26D2" w:rsidRDefault="00CF391F" w:rsidP="00CF391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Descripción del servicio</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0636459" w14:textId="33BA523D" w:rsidR="00CF391F" w:rsidRPr="008A26D2" w:rsidRDefault="00CF391F" w:rsidP="00CF391F">
            <w:pPr>
              <w:spacing w:after="0" w:line="240" w:lineRule="auto"/>
              <w:ind w:left="113"/>
              <w:jc w:val="both"/>
              <w:rPr>
                <w:rFonts w:ascii="Arial" w:eastAsia="Arial Narrow" w:hAnsi="Arial" w:cs="Arial"/>
                <w:sz w:val="20"/>
                <w:szCs w:val="20"/>
              </w:rPr>
            </w:pPr>
            <w:r w:rsidRPr="008A26D2">
              <w:rPr>
                <w:rFonts w:ascii="Arial" w:eastAsia="Arial Narrow" w:hAnsi="Arial" w:cs="Arial"/>
                <w:sz w:val="20"/>
                <w:szCs w:val="20"/>
              </w:rPr>
              <w:t>El presente servicio busca prevenir, investigar y denunciar los delitos contra la fauna silvestre; además, planificar, organizar y ejecutar operaciones policiales, así mismo se coordina con las autoridades y entidades competentes para la realización de actividades y operaciones conjuntas en el ámbito de su competencia.</w:t>
            </w:r>
          </w:p>
          <w:p w14:paraId="73B34277" w14:textId="7BF3D055" w:rsidR="00CF391F" w:rsidRPr="008A26D2" w:rsidRDefault="00CF391F" w:rsidP="00CF391F">
            <w:pPr>
              <w:spacing w:after="0" w:line="240" w:lineRule="auto"/>
              <w:ind w:left="113"/>
              <w:jc w:val="both"/>
              <w:rPr>
                <w:rFonts w:ascii="Arial" w:eastAsia="Arial Narrow" w:hAnsi="Arial" w:cs="Arial"/>
                <w:sz w:val="20"/>
                <w:szCs w:val="20"/>
              </w:rPr>
            </w:pPr>
            <w:r w:rsidRPr="008A26D2">
              <w:rPr>
                <w:rFonts w:ascii="Arial" w:eastAsia="Arial Narrow" w:hAnsi="Arial" w:cs="Arial"/>
                <w:sz w:val="20"/>
                <w:szCs w:val="20"/>
              </w:rPr>
              <w:t>Los operativos policiales se programarán en un Plan de trabajo anual de operaciones policiales concordante con el Plan Operativo Anual de la P</w:t>
            </w:r>
            <w:r w:rsidR="00F92620" w:rsidRPr="008A26D2">
              <w:rPr>
                <w:rFonts w:ascii="Arial" w:eastAsia="Arial Narrow" w:hAnsi="Arial" w:cs="Arial"/>
                <w:sz w:val="20"/>
                <w:szCs w:val="20"/>
              </w:rPr>
              <w:t xml:space="preserve">olicía </w:t>
            </w:r>
            <w:r w:rsidRPr="008A26D2">
              <w:rPr>
                <w:rFonts w:ascii="Arial" w:eastAsia="Arial Narrow" w:hAnsi="Arial" w:cs="Arial"/>
                <w:sz w:val="20"/>
                <w:szCs w:val="20"/>
              </w:rPr>
              <w:t>N</w:t>
            </w:r>
            <w:r w:rsidR="00F92620" w:rsidRPr="008A26D2">
              <w:rPr>
                <w:rFonts w:ascii="Arial" w:eastAsia="Arial Narrow" w:hAnsi="Arial" w:cs="Arial"/>
                <w:sz w:val="20"/>
                <w:szCs w:val="20"/>
              </w:rPr>
              <w:t xml:space="preserve">acional del </w:t>
            </w:r>
            <w:r w:rsidRPr="008A26D2">
              <w:rPr>
                <w:rFonts w:ascii="Arial" w:eastAsia="Arial Narrow" w:hAnsi="Arial" w:cs="Arial"/>
                <w:sz w:val="20"/>
                <w:szCs w:val="20"/>
              </w:rPr>
              <w:t>P</w:t>
            </w:r>
            <w:r w:rsidR="00F92620" w:rsidRPr="008A26D2">
              <w:rPr>
                <w:rFonts w:ascii="Arial" w:eastAsia="Arial Narrow" w:hAnsi="Arial" w:cs="Arial"/>
                <w:sz w:val="20"/>
                <w:szCs w:val="20"/>
              </w:rPr>
              <w:t>erú</w:t>
            </w:r>
            <w:r w:rsidRPr="008A26D2">
              <w:rPr>
                <w:rFonts w:ascii="Arial" w:eastAsia="Arial Narrow" w:hAnsi="Arial" w:cs="Arial"/>
                <w:sz w:val="20"/>
                <w:szCs w:val="20"/>
              </w:rPr>
              <w:t xml:space="preserve">, realizando </w:t>
            </w:r>
            <w:r w:rsidR="00BB3B35" w:rsidRPr="008A26D2">
              <w:rPr>
                <w:rFonts w:ascii="Arial" w:eastAsia="Arial Narrow" w:hAnsi="Arial" w:cs="Arial"/>
                <w:sz w:val="20"/>
                <w:szCs w:val="20"/>
              </w:rPr>
              <w:t>aproximadamente</w:t>
            </w:r>
            <w:r w:rsidRPr="008A26D2">
              <w:rPr>
                <w:rFonts w:ascii="Arial" w:eastAsia="Arial Narrow" w:hAnsi="Arial" w:cs="Arial"/>
                <w:sz w:val="20"/>
                <w:szCs w:val="20"/>
              </w:rPr>
              <w:t xml:space="preserve"> </w:t>
            </w:r>
            <w:r w:rsidR="00BB3B35" w:rsidRPr="008A26D2">
              <w:rPr>
                <w:rFonts w:ascii="Arial" w:eastAsia="Arial Narrow" w:hAnsi="Arial" w:cs="Arial"/>
                <w:sz w:val="20"/>
                <w:szCs w:val="20"/>
              </w:rPr>
              <w:t>60</w:t>
            </w:r>
            <w:r w:rsidRPr="008A26D2">
              <w:rPr>
                <w:rFonts w:ascii="Arial" w:eastAsia="Arial Narrow" w:hAnsi="Arial" w:cs="Arial"/>
                <w:sz w:val="20"/>
                <w:szCs w:val="20"/>
              </w:rPr>
              <w:t xml:space="preserve"> operativos al mes; de tal forma que asegure la continuidad del servicio en todo el periodo, tomando en cuenta criterios tales como: características del territorio, medios logísticos y disponibilidad de efectivos, entre otros.</w:t>
            </w:r>
          </w:p>
          <w:p w14:paraId="1FBA45DA" w14:textId="6193871D" w:rsidR="00CF391F" w:rsidRPr="008A26D2" w:rsidRDefault="00CF391F" w:rsidP="00CF391F">
            <w:pPr>
              <w:spacing w:after="0" w:line="240" w:lineRule="auto"/>
              <w:ind w:left="113"/>
              <w:jc w:val="both"/>
              <w:rPr>
                <w:rFonts w:ascii="Arial" w:eastAsia="Arial Narrow" w:hAnsi="Arial" w:cs="Arial"/>
                <w:sz w:val="20"/>
                <w:szCs w:val="20"/>
              </w:rPr>
            </w:pPr>
          </w:p>
          <w:p w14:paraId="400D7EA0" w14:textId="7F140102" w:rsidR="00CF391F" w:rsidRPr="008A26D2" w:rsidRDefault="00CF391F" w:rsidP="00CF391F">
            <w:pPr>
              <w:spacing w:after="0" w:line="240" w:lineRule="auto"/>
              <w:ind w:left="113"/>
              <w:jc w:val="both"/>
              <w:rPr>
                <w:rFonts w:ascii="Arial" w:eastAsia="Arial Narrow" w:hAnsi="Arial" w:cs="Arial"/>
                <w:sz w:val="20"/>
                <w:szCs w:val="20"/>
              </w:rPr>
            </w:pPr>
            <w:r w:rsidRPr="008A26D2">
              <w:rPr>
                <w:rFonts w:ascii="Arial" w:eastAsia="Arial Narrow" w:hAnsi="Arial" w:cs="Arial"/>
                <w:sz w:val="20"/>
                <w:szCs w:val="20"/>
              </w:rPr>
              <w:t>El servicio se optimiza y mejora con la capacitación constante y el uso de tecnologías de información.</w:t>
            </w:r>
          </w:p>
        </w:tc>
      </w:tr>
      <w:tr w:rsidR="008A26D2" w:rsidRPr="008A26D2" w14:paraId="2C8CA951" w14:textId="77777777" w:rsidTr="00726448">
        <w:trPr>
          <w:trHeight w:val="300"/>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37F3383" w14:textId="77777777" w:rsidR="00CF391F" w:rsidRPr="008A26D2" w:rsidRDefault="00CF391F" w:rsidP="00CF391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Proveedor del servicio</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1E80175" w14:textId="6D9B7596" w:rsidR="00CF391F" w:rsidRPr="008A26D2" w:rsidRDefault="00CF391F" w:rsidP="00CF391F">
            <w:pPr>
              <w:pBdr>
                <w:top w:val="nil"/>
                <w:left w:val="nil"/>
                <w:bottom w:val="nil"/>
                <w:right w:val="nil"/>
                <w:between w:val="nil"/>
              </w:pBdr>
              <w:spacing w:after="0" w:line="240" w:lineRule="auto"/>
              <w:ind w:left="113"/>
              <w:jc w:val="both"/>
              <w:rPr>
                <w:rFonts w:ascii="Arial" w:eastAsia="Arial Narrow" w:hAnsi="Arial" w:cs="Arial"/>
                <w:sz w:val="20"/>
                <w:szCs w:val="20"/>
              </w:rPr>
            </w:pPr>
            <w:r w:rsidRPr="008A26D2">
              <w:rPr>
                <w:rFonts w:ascii="Arial" w:eastAsia="Arial Narrow" w:hAnsi="Arial" w:cs="Arial"/>
                <w:sz w:val="20"/>
                <w:szCs w:val="20"/>
              </w:rPr>
              <w:t xml:space="preserve">Ministerio del Interior - Policía Nacional del Perú </w:t>
            </w:r>
          </w:p>
        </w:tc>
      </w:tr>
      <w:tr w:rsidR="008A26D2" w:rsidRPr="008A26D2" w14:paraId="540EFC73" w14:textId="77777777" w:rsidTr="00B07031">
        <w:trPr>
          <w:trHeight w:val="458"/>
          <w:jc w:val="center"/>
        </w:trPr>
        <w:tc>
          <w:tcPr>
            <w:tcW w:w="2482" w:type="dxa"/>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2FFDBCD6" w14:textId="77777777" w:rsidR="00CF391F" w:rsidRPr="008A26D2" w:rsidRDefault="00CF391F" w:rsidP="00F92620">
            <w:pPr>
              <w:spacing w:after="0" w:line="240" w:lineRule="auto"/>
              <w:rPr>
                <w:rFonts w:ascii="Arial" w:hAnsi="Arial" w:cs="Arial"/>
                <w:b/>
                <w:sz w:val="20"/>
                <w:szCs w:val="20"/>
              </w:rPr>
            </w:pPr>
            <w:r w:rsidRPr="008A26D2">
              <w:rPr>
                <w:rFonts w:ascii="Arial" w:hAnsi="Arial" w:cs="Arial"/>
                <w:b/>
                <w:sz w:val="20"/>
                <w:szCs w:val="20"/>
              </w:rPr>
              <w:t>Nivel (es) de gobierno que interviene</w:t>
            </w:r>
          </w:p>
          <w:p w14:paraId="1F837F13" w14:textId="34421FD4" w:rsidR="00CF391F" w:rsidRPr="008A26D2" w:rsidRDefault="00CF391F" w:rsidP="00CF391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(n) en la provisión del servicio</w:t>
            </w:r>
          </w:p>
        </w:tc>
        <w:tc>
          <w:tcPr>
            <w:tcW w:w="2149"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2A4C731D" w14:textId="38D6A939" w:rsidR="00CF391F" w:rsidRPr="008A26D2" w:rsidRDefault="00CF391F" w:rsidP="00AE4522">
            <w:pPr>
              <w:pBdr>
                <w:top w:val="nil"/>
                <w:left w:val="nil"/>
                <w:bottom w:val="nil"/>
                <w:right w:val="nil"/>
                <w:between w:val="nil"/>
              </w:pBdr>
              <w:spacing w:after="0" w:line="240" w:lineRule="auto"/>
              <w:ind w:left="113"/>
              <w:jc w:val="center"/>
              <w:rPr>
                <w:rFonts w:ascii="Arial" w:eastAsia="Arial Narrow" w:hAnsi="Arial" w:cs="Arial"/>
                <w:sz w:val="20"/>
                <w:szCs w:val="20"/>
              </w:rPr>
            </w:pPr>
            <w:r w:rsidRPr="008A26D2">
              <w:rPr>
                <w:rFonts w:ascii="Arial" w:eastAsia="Arial Narrow" w:hAnsi="Arial" w:cs="Arial"/>
                <w:sz w:val="20"/>
                <w:szCs w:val="20"/>
              </w:rPr>
              <w:t>Nacional</w:t>
            </w:r>
          </w:p>
        </w:tc>
        <w:tc>
          <w:tcPr>
            <w:tcW w:w="2149" w:type="dxa"/>
            <w:tcBorders>
              <w:top w:val="single" w:sz="4" w:space="0" w:color="000000"/>
              <w:left w:val="single" w:sz="4" w:space="0" w:color="000000"/>
              <w:right w:val="single" w:sz="4" w:space="0" w:color="000000"/>
            </w:tcBorders>
            <w:shd w:val="clear" w:color="auto" w:fill="auto"/>
            <w:vAlign w:val="center"/>
          </w:tcPr>
          <w:p w14:paraId="51E8F2C8" w14:textId="1E26BD7C" w:rsidR="00CF391F" w:rsidRPr="008A26D2" w:rsidRDefault="00CF391F" w:rsidP="00AE4522">
            <w:pPr>
              <w:pBdr>
                <w:top w:val="nil"/>
                <w:left w:val="nil"/>
                <w:bottom w:val="nil"/>
                <w:right w:val="nil"/>
                <w:between w:val="nil"/>
              </w:pBdr>
              <w:spacing w:after="0" w:line="240" w:lineRule="auto"/>
              <w:ind w:left="113"/>
              <w:jc w:val="center"/>
              <w:rPr>
                <w:rFonts w:ascii="Arial" w:eastAsia="Arial Narrow" w:hAnsi="Arial" w:cs="Arial"/>
                <w:sz w:val="20"/>
                <w:szCs w:val="20"/>
              </w:rPr>
            </w:pPr>
            <w:r w:rsidRPr="008A26D2">
              <w:rPr>
                <w:rFonts w:ascii="Arial" w:eastAsia="Arial Narrow" w:hAnsi="Arial" w:cs="Arial"/>
                <w:sz w:val="20"/>
                <w:szCs w:val="20"/>
              </w:rPr>
              <w:t>Regional</w:t>
            </w:r>
          </w:p>
        </w:tc>
        <w:tc>
          <w:tcPr>
            <w:tcW w:w="2150" w:type="dxa"/>
            <w:tcBorders>
              <w:top w:val="single" w:sz="4" w:space="0" w:color="000000"/>
              <w:left w:val="single" w:sz="4" w:space="0" w:color="000000"/>
              <w:right w:val="single" w:sz="4" w:space="0" w:color="000000"/>
            </w:tcBorders>
            <w:shd w:val="clear" w:color="auto" w:fill="auto"/>
            <w:vAlign w:val="center"/>
          </w:tcPr>
          <w:p w14:paraId="12AEB97F" w14:textId="4F40065A" w:rsidR="00CF391F" w:rsidRPr="008A26D2" w:rsidRDefault="00CF391F" w:rsidP="00AE4522">
            <w:pPr>
              <w:pBdr>
                <w:top w:val="nil"/>
                <w:left w:val="nil"/>
                <w:bottom w:val="nil"/>
                <w:right w:val="nil"/>
                <w:between w:val="nil"/>
              </w:pBdr>
              <w:spacing w:after="0" w:line="240" w:lineRule="auto"/>
              <w:ind w:left="113"/>
              <w:jc w:val="center"/>
              <w:rPr>
                <w:rFonts w:ascii="Arial" w:eastAsia="Arial Narrow" w:hAnsi="Arial" w:cs="Arial"/>
                <w:sz w:val="20"/>
                <w:szCs w:val="20"/>
              </w:rPr>
            </w:pPr>
            <w:r w:rsidRPr="008A26D2">
              <w:rPr>
                <w:rFonts w:ascii="Arial" w:eastAsia="Arial Narrow" w:hAnsi="Arial" w:cs="Arial"/>
                <w:sz w:val="20"/>
                <w:szCs w:val="20"/>
              </w:rPr>
              <w:t>Local</w:t>
            </w:r>
          </w:p>
        </w:tc>
      </w:tr>
      <w:tr w:rsidR="008A26D2" w:rsidRPr="008A26D2" w14:paraId="1F7465EF" w14:textId="77777777" w:rsidTr="00B07031">
        <w:trPr>
          <w:trHeight w:val="457"/>
          <w:jc w:val="center"/>
        </w:trPr>
        <w:tc>
          <w:tcPr>
            <w:tcW w:w="2482" w:type="dxa"/>
            <w:vMerge/>
            <w:tcBorders>
              <w:left w:val="single" w:sz="4" w:space="0" w:color="000000"/>
              <w:right w:val="single" w:sz="4" w:space="0" w:color="000000"/>
            </w:tcBorders>
            <w:shd w:val="clear" w:color="auto" w:fill="auto"/>
            <w:tcMar>
              <w:top w:w="15" w:type="dxa"/>
              <w:left w:w="15" w:type="dxa"/>
              <w:bottom w:w="0" w:type="dxa"/>
              <w:right w:w="15" w:type="dxa"/>
            </w:tcMar>
            <w:vAlign w:val="center"/>
          </w:tcPr>
          <w:p w14:paraId="684A4546" w14:textId="77777777" w:rsidR="00CF391F" w:rsidRPr="008A26D2" w:rsidRDefault="00CF391F" w:rsidP="00CF391F">
            <w:pPr>
              <w:spacing w:after="0" w:line="240" w:lineRule="auto"/>
              <w:rPr>
                <w:rFonts w:ascii="Arial" w:hAnsi="Arial" w:cs="Arial"/>
                <w:b/>
                <w:sz w:val="20"/>
                <w:szCs w:val="20"/>
              </w:rPr>
            </w:pPr>
          </w:p>
        </w:tc>
        <w:tc>
          <w:tcPr>
            <w:tcW w:w="2149"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20C79857" w14:textId="467A0EB1" w:rsidR="00CF391F" w:rsidRPr="008A26D2" w:rsidRDefault="009E5E9D" w:rsidP="00AE4522">
            <w:pPr>
              <w:pBdr>
                <w:top w:val="nil"/>
                <w:left w:val="nil"/>
                <w:bottom w:val="nil"/>
                <w:right w:val="nil"/>
                <w:between w:val="nil"/>
              </w:pBdr>
              <w:spacing w:after="0" w:line="240" w:lineRule="auto"/>
              <w:ind w:left="113"/>
              <w:jc w:val="center"/>
              <w:rPr>
                <w:rFonts w:ascii="Arial" w:eastAsia="Arial Narrow" w:hAnsi="Arial" w:cs="Arial"/>
                <w:sz w:val="20"/>
                <w:szCs w:val="20"/>
              </w:rPr>
            </w:pPr>
            <w:r w:rsidRPr="008A26D2">
              <w:rPr>
                <w:rFonts w:ascii="Arial" w:eastAsia="Arial Narrow" w:hAnsi="Arial" w:cs="Arial"/>
                <w:sz w:val="20"/>
                <w:szCs w:val="20"/>
              </w:rPr>
              <w:t>X</w:t>
            </w:r>
          </w:p>
        </w:tc>
        <w:tc>
          <w:tcPr>
            <w:tcW w:w="2149" w:type="dxa"/>
            <w:tcBorders>
              <w:top w:val="single" w:sz="4" w:space="0" w:color="000000"/>
              <w:left w:val="single" w:sz="4" w:space="0" w:color="000000"/>
              <w:right w:val="single" w:sz="4" w:space="0" w:color="000000"/>
            </w:tcBorders>
            <w:shd w:val="clear" w:color="auto" w:fill="auto"/>
            <w:vAlign w:val="center"/>
          </w:tcPr>
          <w:p w14:paraId="242C14C7" w14:textId="77777777" w:rsidR="00CF391F" w:rsidRPr="008A26D2" w:rsidRDefault="00CF391F" w:rsidP="00AE4522">
            <w:pPr>
              <w:pBdr>
                <w:top w:val="nil"/>
                <w:left w:val="nil"/>
                <w:bottom w:val="nil"/>
                <w:right w:val="nil"/>
                <w:between w:val="nil"/>
              </w:pBdr>
              <w:spacing w:after="0" w:line="240" w:lineRule="auto"/>
              <w:ind w:left="113"/>
              <w:jc w:val="center"/>
              <w:rPr>
                <w:rFonts w:ascii="Arial" w:eastAsia="Arial Narrow" w:hAnsi="Arial" w:cs="Arial"/>
                <w:sz w:val="20"/>
                <w:szCs w:val="20"/>
              </w:rPr>
            </w:pPr>
          </w:p>
        </w:tc>
        <w:tc>
          <w:tcPr>
            <w:tcW w:w="2150" w:type="dxa"/>
            <w:tcBorders>
              <w:top w:val="single" w:sz="4" w:space="0" w:color="000000"/>
              <w:left w:val="single" w:sz="4" w:space="0" w:color="000000"/>
              <w:right w:val="single" w:sz="4" w:space="0" w:color="000000"/>
            </w:tcBorders>
            <w:shd w:val="clear" w:color="auto" w:fill="auto"/>
            <w:vAlign w:val="center"/>
          </w:tcPr>
          <w:p w14:paraId="04508113" w14:textId="5FF3A32B" w:rsidR="00CF391F" w:rsidRPr="008A26D2" w:rsidRDefault="00CF391F" w:rsidP="00AE4522">
            <w:pPr>
              <w:pBdr>
                <w:top w:val="nil"/>
                <w:left w:val="nil"/>
                <w:bottom w:val="nil"/>
                <w:right w:val="nil"/>
                <w:between w:val="nil"/>
              </w:pBdr>
              <w:spacing w:after="0" w:line="240" w:lineRule="auto"/>
              <w:ind w:left="113"/>
              <w:jc w:val="center"/>
              <w:rPr>
                <w:rFonts w:ascii="Arial" w:eastAsia="Arial Narrow" w:hAnsi="Arial" w:cs="Arial"/>
                <w:sz w:val="20"/>
                <w:szCs w:val="20"/>
              </w:rPr>
            </w:pPr>
          </w:p>
        </w:tc>
      </w:tr>
      <w:tr w:rsidR="008A26D2" w:rsidRPr="008A26D2" w14:paraId="364D9CB5" w14:textId="77777777" w:rsidTr="00726448">
        <w:trPr>
          <w:trHeight w:val="300"/>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B484AAA" w14:textId="77777777" w:rsidR="00CF391F" w:rsidRPr="008A26D2" w:rsidRDefault="00CF391F" w:rsidP="00CF391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Receptor del servicio</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F65251E" w14:textId="77777777" w:rsidR="00CF391F" w:rsidRPr="008A26D2" w:rsidRDefault="00CF391F" w:rsidP="00CF391F">
            <w:pPr>
              <w:pBdr>
                <w:top w:val="nil"/>
                <w:left w:val="nil"/>
                <w:bottom w:val="nil"/>
                <w:right w:val="nil"/>
                <w:between w:val="nil"/>
              </w:pBdr>
              <w:spacing w:after="0" w:line="240" w:lineRule="auto"/>
              <w:ind w:left="113"/>
              <w:jc w:val="both"/>
              <w:rPr>
                <w:rFonts w:ascii="Arial" w:eastAsia="Arial Narrow" w:hAnsi="Arial" w:cs="Arial"/>
                <w:sz w:val="20"/>
                <w:szCs w:val="20"/>
              </w:rPr>
            </w:pPr>
            <w:r w:rsidRPr="008A26D2">
              <w:rPr>
                <w:rFonts w:ascii="Arial" w:eastAsia="Arial Narrow" w:hAnsi="Arial" w:cs="Arial"/>
                <w:sz w:val="20"/>
                <w:szCs w:val="20"/>
              </w:rPr>
              <w:t xml:space="preserve">Población en general </w:t>
            </w:r>
          </w:p>
        </w:tc>
      </w:tr>
      <w:tr w:rsidR="008A26D2" w:rsidRPr="008A26D2" w14:paraId="0FEC8A6F" w14:textId="77777777" w:rsidTr="00726448">
        <w:trPr>
          <w:trHeight w:val="211"/>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A81970E" w14:textId="77777777" w:rsidR="00CF391F" w:rsidRPr="008A26D2" w:rsidRDefault="00CF391F" w:rsidP="00CF391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Alcance del servicio </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88CE2FB" w14:textId="77777777" w:rsidR="00CF391F" w:rsidRPr="008A26D2" w:rsidRDefault="00CF391F" w:rsidP="00CF391F">
            <w:pPr>
              <w:pBdr>
                <w:top w:val="nil"/>
                <w:left w:val="nil"/>
                <w:bottom w:val="nil"/>
                <w:right w:val="nil"/>
                <w:between w:val="nil"/>
              </w:pBdr>
              <w:spacing w:after="0" w:line="240" w:lineRule="auto"/>
              <w:ind w:left="113"/>
              <w:jc w:val="both"/>
              <w:rPr>
                <w:rFonts w:ascii="Arial" w:eastAsia="Arial Narrow" w:hAnsi="Arial" w:cs="Arial"/>
                <w:sz w:val="20"/>
                <w:szCs w:val="20"/>
              </w:rPr>
            </w:pPr>
            <w:r w:rsidRPr="008A26D2">
              <w:rPr>
                <w:rFonts w:ascii="Arial" w:eastAsia="Arial Narrow" w:hAnsi="Arial" w:cs="Arial"/>
                <w:sz w:val="20"/>
                <w:szCs w:val="20"/>
              </w:rPr>
              <w:t>Nacional</w:t>
            </w:r>
          </w:p>
        </w:tc>
      </w:tr>
      <w:tr w:rsidR="008A26D2" w:rsidRPr="008A26D2" w14:paraId="24CF2EE1" w14:textId="77777777" w:rsidTr="00726448">
        <w:trPr>
          <w:trHeight w:val="62"/>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087703D" w14:textId="77777777" w:rsidR="00CF391F" w:rsidRPr="008A26D2" w:rsidRDefault="00CF391F" w:rsidP="00CF391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Estándar (es) de cumplimiento</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66E97234" w14:textId="30E3B024" w:rsidR="00CF391F" w:rsidRPr="008A26D2" w:rsidRDefault="00CF391F" w:rsidP="00CF391F">
            <w:pPr>
              <w:pBdr>
                <w:top w:val="nil"/>
                <w:left w:val="nil"/>
                <w:bottom w:val="nil"/>
                <w:right w:val="nil"/>
                <w:between w:val="nil"/>
              </w:pBdr>
              <w:spacing w:after="0" w:line="240" w:lineRule="auto"/>
              <w:ind w:left="113"/>
              <w:rPr>
                <w:rFonts w:ascii="Arial" w:hAnsi="Arial" w:cs="Arial"/>
                <w:sz w:val="20"/>
                <w:szCs w:val="20"/>
              </w:rPr>
            </w:pPr>
            <w:r w:rsidRPr="008A26D2">
              <w:rPr>
                <w:rFonts w:ascii="Arial" w:eastAsia="Arial Narrow" w:hAnsi="Arial" w:cs="Arial"/>
                <w:sz w:val="20"/>
                <w:szCs w:val="20"/>
              </w:rPr>
              <w:t>Continuidad</w:t>
            </w:r>
          </w:p>
        </w:tc>
      </w:tr>
      <w:tr w:rsidR="008A26D2" w:rsidRPr="008A26D2" w14:paraId="6DA3B763" w14:textId="77777777" w:rsidTr="00726448">
        <w:trPr>
          <w:trHeight w:val="300"/>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B462197" w14:textId="77777777" w:rsidR="00CF391F" w:rsidRPr="008A26D2" w:rsidRDefault="00CF391F" w:rsidP="00CF391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Descripción del estándar</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35" w:type="dxa"/>
              <w:bottom w:w="0" w:type="dxa"/>
              <w:right w:w="15" w:type="dxa"/>
            </w:tcMar>
            <w:vAlign w:val="center"/>
          </w:tcPr>
          <w:p w14:paraId="4D516AB0" w14:textId="04F89711" w:rsidR="00CF391F" w:rsidRPr="008A26D2" w:rsidRDefault="00CF391F" w:rsidP="00CF391F">
            <w:pPr>
              <w:pBdr>
                <w:top w:val="nil"/>
                <w:left w:val="nil"/>
                <w:bottom w:val="nil"/>
                <w:right w:val="nil"/>
                <w:between w:val="nil"/>
              </w:pBdr>
              <w:spacing w:after="0" w:line="240" w:lineRule="auto"/>
              <w:jc w:val="both"/>
              <w:rPr>
                <w:rFonts w:ascii="Arial" w:eastAsia="Arial Narrow" w:hAnsi="Arial" w:cs="Arial"/>
                <w:strike/>
                <w:sz w:val="20"/>
                <w:szCs w:val="20"/>
              </w:rPr>
            </w:pPr>
            <w:r w:rsidRPr="008A26D2">
              <w:rPr>
                <w:rFonts w:ascii="Arial" w:eastAsia="Arial Narrow" w:hAnsi="Arial" w:cs="Arial"/>
                <w:sz w:val="20"/>
                <w:szCs w:val="20"/>
              </w:rPr>
              <w:t xml:space="preserve">El presente estándar asegura el desarrollo de operativos policiales de forma permanente en el cumplimiento de sus funciones para la lucha contra los ilícitos que afectan a la fauna silvestre, realizando </w:t>
            </w:r>
            <w:r w:rsidR="00BB3B35" w:rsidRPr="008A26D2">
              <w:rPr>
                <w:rFonts w:ascii="Arial" w:eastAsia="Arial Narrow" w:hAnsi="Arial" w:cs="Arial"/>
                <w:sz w:val="20"/>
                <w:szCs w:val="20"/>
              </w:rPr>
              <w:t>aproximadamente</w:t>
            </w:r>
            <w:r w:rsidRPr="008A26D2">
              <w:rPr>
                <w:rFonts w:ascii="Arial" w:eastAsia="Arial Narrow" w:hAnsi="Arial" w:cs="Arial"/>
                <w:sz w:val="20"/>
                <w:szCs w:val="20"/>
              </w:rPr>
              <w:t xml:space="preserve"> </w:t>
            </w:r>
            <w:r w:rsidR="00BB3B35" w:rsidRPr="008A26D2">
              <w:rPr>
                <w:rFonts w:ascii="Arial" w:eastAsia="Arial Narrow" w:hAnsi="Arial" w:cs="Arial"/>
                <w:sz w:val="20"/>
                <w:szCs w:val="20"/>
              </w:rPr>
              <w:t>60</w:t>
            </w:r>
            <w:r w:rsidRPr="008A26D2">
              <w:rPr>
                <w:rFonts w:ascii="Arial" w:eastAsia="Arial Narrow" w:hAnsi="Arial" w:cs="Arial"/>
                <w:sz w:val="20"/>
                <w:szCs w:val="20"/>
              </w:rPr>
              <w:t xml:space="preserve"> operativos al mes de acuerdo al plan de trabajo anual de operaciones policiales. </w:t>
            </w:r>
          </w:p>
          <w:p w14:paraId="320E6775" w14:textId="29E90FD3" w:rsidR="00CF391F" w:rsidRPr="008A26D2" w:rsidRDefault="00CF391F" w:rsidP="00CF391F">
            <w:pPr>
              <w:pBdr>
                <w:top w:val="nil"/>
                <w:left w:val="nil"/>
                <w:bottom w:val="nil"/>
                <w:right w:val="nil"/>
                <w:between w:val="nil"/>
              </w:pBdr>
              <w:spacing w:after="0" w:line="240" w:lineRule="auto"/>
              <w:jc w:val="both"/>
              <w:rPr>
                <w:rFonts w:ascii="Arial" w:hAnsi="Arial" w:cs="Arial"/>
                <w:sz w:val="20"/>
                <w:szCs w:val="20"/>
              </w:rPr>
            </w:pPr>
          </w:p>
        </w:tc>
      </w:tr>
      <w:tr w:rsidR="00CF391F" w:rsidRPr="008A26D2" w14:paraId="0C0012C8" w14:textId="77777777" w:rsidTr="00726448">
        <w:trPr>
          <w:trHeight w:val="491"/>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CBF4089" w14:textId="0E42EEEC" w:rsidR="00CF391F" w:rsidRPr="008A26D2" w:rsidRDefault="00CF391F" w:rsidP="00CF391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Indicador de calidad</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101B8D15" w14:textId="07B13625" w:rsidR="00CF391F" w:rsidRPr="008A26D2" w:rsidRDefault="00CF391F" w:rsidP="00CF391F">
            <w:pPr>
              <w:pBdr>
                <w:top w:val="nil"/>
                <w:left w:val="nil"/>
                <w:bottom w:val="nil"/>
                <w:right w:val="nil"/>
                <w:between w:val="nil"/>
              </w:pBdr>
              <w:spacing w:after="0" w:line="240" w:lineRule="auto"/>
              <w:ind w:left="113"/>
              <w:jc w:val="both"/>
              <w:rPr>
                <w:rFonts w:ascii="Arial" w:hAnsi="Arial" w:cs="Arial"/>
                <w:sz w:val="20"/>
                <w:szCs w:val="20"/>
              </w:rPr>
            </w:pPr>
            <w:r w:rsidRPr="008A26D2">
              <w:rPr>
                <w:rFonts w:ascii="Arial" w:eastAsia="Arial Narrow" w:hAnsi="Arial" w:cs="Arial"/>
                <w:sz w:val="20"/>
                <w:szCs w:val="20"/>
              </w:rPr>
              <w:t xml:space="preserve">Número de operativos policiales para reducir el tráfico ilegal de fauna silvestre </w:t>
            </w:r>
            <w:r w:rsidR="00930955">
              <w:rPr>
                <w:rFonts w:ascii="Arial" w:eastAsia="Arial Narrow" w:hAnsi="Arial" w:cs="Arial"/>
                <w:sz w:val="20"/>
                <w:szCs w:val="20"/>
              </w:rPr>
              <w:t xml:space="preserve">realizados </w:t>
            </w:r>
            <w:r w:rsidRPr="008A26D2">
              <w:rPr>
                <w:rFonts w:ascii="Arial" w:eastAsia="Arial Narrow" w:hAnsi="Arial" w:cs="Arial"/>
                <w:sz w:val="20"/>
                <w:szCs w:val="20"/>
              </w:rPr>
              <w:t>de forma continua</w:t>
            </w:r>
          </w:p>
        </w:tc>
      </w:tr>
    </w:tbl>
    <w:p w14:paraId="506AD392" w14:textId="57FA49DE" w:rsidR="00726448" w:rsidRDefault="00726448" w:rsidP="000D1705">
      <w:pPr>
        <w:tabs>
          <w:tab w:val="left" w:pos="3375"/>
        </w:tabs>
        <w:rPr>
          <w:rFonts w:ascii="Arial Narrow" w:eastAsia="Arial Narrow" w:hAnsi="Arial Narrow" w:cs="Arial Narrow"/>
          <w:b/>
        </w:rPr>
      </w:pPr>
    </w:p>
    <w:p w14:paraId="486DC75A" w14:textId="77777777" w:rsidR="00DC5551" w:rsidRDefault="00DC5551" w:rsidP="000D1705">
      <w:pPr>
        <w:tabs>
          <w:tab w:val="left" w:pos="3375"/>
        </w:tabs>
        <w:rPr>
          <w:rFonts w:ascii="Arial Narrow" w:eastAsia="Arial Narrow" w:hAnsi="Arial Narrow" w:cs="Arial Narrow"/>
          <w:b/>
        </w:rPr>
      </w:pPr>
    </w:p>
    <w:p w14:paraId="55AE92F6" w14:textId="77777777" w:rsidR="00DC5551" w:rsidRDefault="00DC5551" w:rsidP="000D1705">
      <w:pPr>
        <w:tabs>
          <w:tab w:val="left" w:pos="3375"/>
        </w:tabs>
        <w:rPr>
          <w:rFonts w:ascii="Arial Narrow" w:eastAsia="Arial Narrow" w:hAnsi="Arial Narrow" w:cs="Arial Narrow"/>
          <w:b/>
        </w:rPr>
      </w:pPr>
    </w:p>
    <w:p w14:paraId="3FBD02CC" w14:textId="77777777" w:rsidR="00DC5551" w:rsidRPr="008A26D2" w:rsidRDefault="00DC5551" w:rsidP="000D1705">
      <w:pPr>
        <w:tabs>
          <w:tab w:val="left" w:pos="3375"/>
        </w:tabs>
        <w:rPr>
          <w:rFonts w:ascii="Arial Narrow" w:eastAsia="Arial Narrow" w:hAnsi="Arial Narrow" w:cs="Arial Narrow"/>
          <w:b/>
        </w:rPr>
      </w:pPr>
    </w:p>
    <w:p w14:paraId="6F2F767D" w14:textId="67B659E2" w:rsidR="00726448" w:rsidRPr="008A26D2" w:rsidRDefault="00726448" w:rsidP="00726448">
      <w:pPr>
        <w:tabs>
          <w:tab w:val="left" w:pos="3375"/>
        </w:tabs>
        <w:jc w:val="both"/>
        <w:rPr>
          <w:rFonts w:ascii="Arial" w:eastAsia="Arial Narrow" w:hAnsi="Arial" w:cs="Arial"/>
        </w:rPr>
      </w:pPr>
      <w:bookmarkStart w:id="5" w:name="_Hlk135667077"/>
      <w:bookmarkEnd w:id="4"/>
      <w:r w:rsidRPr="008A26D2">
        <w:rPr>
          <w:rFonts w:ascii="Arial" w:eastAsia="Arial Narrow" w:hAnsi="Arial" w:cs="Arial"/>
          <w:b/>
          <w:bCs/>
        </w:rPr>
        <w:lastRenderedPageBreak/>
        <w:t>S1.9.</w:t>
      </w:r>
      <w:r w:rsidR="00212957" w:rsidRPr="008A26D2">
        <w:rPr>
          <w:rFonts w:ascii="Arial" w:eastAsia="Arial Narrow" w:hAnsi="Arial" w:cs="Arial"/>
          <w:b/>
          <w:bCs/>
        </w:rPr>
        <w:t>4</w:t>
      </w:r>
      <w:r w:rsidRPr="00AE4522">
        <w:rPr>
          <w:rFonts w:ascii="Arial" w:eastAsia="Arial Narrow" w:hAnsi="Arial" w:cs="Arial"/>
        </w:rPr>
        <w:t xml:space="preserve"> </w:t>
      </w:r>
      <w:r w:rsidR="00AE4522" w:rsidRPr="00AE4522">
        <w:rPr>
          <w:rFonts w:ascii="Arial" w:eastAsia="Arial Narrow" w:hAnsi="Arial" w:cs="Arial"/>
        </w:rPr>
        <w:t>Vigilancia y control eficaz de las actividades forestales y fauna silvestre en el ámbito marítimo, fluvial y lacustre para prevenir y reprimir el tráfico ilegal forestal y de fauna silvestre de forma continua en beneficio de la población</w:t>
      </w:r>
    </w:p>
    <w:tbl>
      <w:tblPr>
        <w:tblW w:w="8870" w:type="dxa"/>
        <w:jc w:val="center"/>
        <w:tblLayout w:type="fixed"/>
        <w:tblLook w:val="0600" w:firstRow="0" w:lastRow="0" w:firstColumn="0" w:lastColumn="0" w:noHBand="1" w:noVBand="1"/>
      </w:tblPr>
      <w:tblGrid>
        <w:gridCol w:w="2152"/>
        <w:gridCol w:w="2239"/>
        <w:gridCol w:w="2239"/>
        <w:gridCol w:w="2240"/>
      </w:tblGrid>
      <w:tr w:rsidR="008A26D2" w:rsidRPr="008A26D2" w14:paraId="0DFDF033" w14:textId="77777777" w:rsidTr="00730BFD">
        <w:trPr>
          <w:trHeight w:val="304"/>
          <w:jc w:val="center"/>
        </w:trPr>
        <w:tc>
          <w:tcPr>
            <w:tcW w:w="8870"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center"/>
          </w:tcPr>
          <w:p w14:paraId="076021D0" w14:textId="3CD9EA70" w:rsidR="00726448" w:rsidRPr="008A26D2" w:rsidRDefault="00726448" w:rsidP="0072651A">
            <w:pPr>
              <w:jc w:val="center"/>
              <w:rPr>
                <w:rFonts w:ascii="Arial" w:hAnsi="Arial" w:cs="Arial"/>
                <w:sz w:val="20"/>
                <w:szCs w:val="20"/>
              </w:rPr>
            </w:pPr>
            <w:r w:rsidRPr="008A26D2">
              <w:rPr>
                <w:rFonts w:ascii="Arial" w:hAnsi="Arial" w:cs="Arial"/>
                <w:b/>
                <w:sz w:val="20"/>
                <w:szCs w:val="20"/>
              </w:rPr>
              <w:t xml:space="preserve">FICHA DEL SERVICIO </w:t>
            </w:r>
          </w:p>
        </w:tc>
      </w:tr>
      <w:tr w:rsidR="008A26D2" w:rsidRPr="008A26D2" w14:paraId="3B789E57" w14:textId="77777777" w:rsidTr="00730BFD">
        <w:trPr>
          <w:trHeight w:val="304"/>
          <w:jc w:val="center"/>
        </w:trPr>
        <w:tc>
          <w:tcPr>
            <w:tcW w:w="21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1F47A84" w14:textId="77777777" w:rsidR="00726448" w:rsidRPr="008A26D2" w:rsidRDefault="00726448"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Objetivo prioritario:</w:t>
            </w:r>
          </w:p>
        </w:tc>
        <w:tc>
          <w:tcPr>
            <w:tcW w:w="671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B0CF74F" w14:textId="77777777" w:rsidR="00726448" w:rsidRPr="008A26D2" w:rsidRDefault="00726448" w:rsidP="0072651A">
            <w:pPr>
              <w:pBdr>
                <w:top w:val="nil"/>
                <w:left w:val="nil"/>
                <w:bottom w:val="nil"/>
                <w:right w:val="nil"/>
                <w:between w:val="nil"/>
              </w:pBdr>
              <w:spacing w:after="0" w:line="240" w:lineRule="auto"/>
              <w:jc w:val="both"/>
              <w:rPr>
                <w:rFonts w:ascii="Arial" w:hAnsi="Arial" w:cs="Arial"/>
                <w:sz w:val="20"/>
                <w:szCs w:val="20"/>
              </w:rPr>
            </w:pPr>
            <w:r w:rsidRPr="008A26D2">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r>
      <w:tr w:rsidR="008A26D2" w:rsidRPr="008A26D2" w14:paraId="58ABF8A9" w14:textId="77777777" w:rsidTr="00533A45">
        <w:trPr>
          <w:trHeight w:val="510"/>
          <w:jc w:val="center"/>
        </w:trPr>
        <w:tc>
          <w:tcPr>
            <w:tcW w:w="21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D5F4733" w14:textId="77777777" w:rsidR="00726448" w:rsidRPr="008A26D2" w:rsidRDefault="00726448"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Lineamiento:</w:t>
            </w:r>
          </w:p>
        </w:tc>
        <w:tc>
          <w:tcPr>
            <w:tcW w:w="671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B3B2FF7" w14:textId="77777777" w:rsidR="00726448" w:rsidRPr="008A26D2" w:rsidRDefault="00726448" w:rsidP="0072651A">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L1.9 Reducir los niveles de tala ilegal, caza furtiva y del tráfico ilegal forestal y de fauna silvestre.</w:t>
            </w:r>
          </w:p>
        </w:tc>
      </w:tr>
      <w:tr w:rsidR="008A26D2" w:rsidRPr="008A26D2" w14:paraId="58493E3D" w14:textId="77777777" w:rsidTr="00533A45">
        <w:trPr>
          <w:trHeight w:val="957"/>
          <w:jc w:val="center"/>
        </w:trPr>
        <w:tc>
          <w:tcPr>
            <w:tcW w:w="21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86F54D1" w14:textId="77777777" w:rsidR="00726448" w:rsidRPr="008A26D2" w:rsidRDefault="00726448"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Nombre del servicio:</w:t>
            </w:r>
          </w:p>
        </w:tc>
        <w:tc>
          <w:tcPr>
            <w:tcW w:w="671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215C592" w14:textId="18AD7EB3" w:rsidR="00726448" w:rsidRPr="008A26D2" w:rsidRDefault="00726448" w:rsidP="0072651A">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S1.9.</w:t>
            </w:r>
            <w:r w:rsidR="00212957" w:rsidRPr="008A26D2">
              <w:rPr>
                <w:rFonts w:ascii="Arial" w:eastAsia="Arial Narrow" w:hAnsi="Arial" w:cs="Arial"/>
                <w:sz w:val="20"/>
                <w:szCs w:val="20"/>
              </w:rPr>
              <w:t>4</w:t>
            </w:r>
            <w:r w:rsidRPr="008A26D2">
              <w:rPr>
                <w:rFonts w:ascii="Arial" w:eastAsia="Arial Narrow" w:hAnsi="Arial" w:cs="Arial"/>
                <w:sz w:val="20"/>
                <w:szCs w:val="20"/>
              </w:rPr>
              <w:t xml:space="preserve"> Vigilancia y control eficaz de las actividades forestales y fauna silvestre en el ámbito marítimo, fluvial y lacustre para prevenir y reprimir el tráfico ilegal forestal y de fauna silvestre de forma continua en beneficio de la población</w:t>
            </w:r>
          </w:p>
        </w:tc>
      </w:tr>
      <w:tr w:rsidR="008A26D2" w:rsidRPr="008A26D2" w14:paraId="11157A18" w14:textId="77777777" w:rsidTr="00730BFD">
        <w:trPr>
          <w:trHeight w:val="304"/>
          <w:jc w:val="center"/>
        </w:trPr>
        <w:tc>
          <w:tcPr>
            <w:tcW w:w="21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CE59FF3" w14:textId="77777777" w:rsidR="00726448" w:rsidRPr="008A26D2" w:rsidRDefault="00726448"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Tipo de servicio:</w:t>
            </w:r>
          </w:p>
        </w:tc>
        <w:tc>
          <w:tcPr>
            <w:tcW w:w="671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035F56F" w14:textId="77777777" w:rsidR="00726448" w:rsidRPr="008A26D2" w:rsidRDefault="00726448" w:rsidP="0072651A">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 Mejorado</w:t>
            </w:r>
          </w:p>
        </w:tc>
      </w:tr>
      <w:tr w:rsidR="008A26D2" w:rsidRPr="008A26D2" w14:paraId="5A6A6D13" w14:textId="77777777" w:rsidTr="00730BFD">
        <w:trPr>
          <w:trHeight w:val="304"/>
          <w:jc w:val="center"/>
        </w:trPr>
        <w:tc>
          <w:tcPr>
            <w:tcW w:w="21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7960380" w14:textId="0C911A68" w:rsidR="00CF391F" w:rsidRPr="008A26D2" w:rsidRDefault="00CF391F" w:rsidP="00CF391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Naturaleza del servicio:</w:t>
            </w:r>
          </w:p>
        </w:tc>
        <w:tc>
          <w:tcPr>
            <w:tcW w:w="671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111294F" w14:textId="03388BB2" w:rsidR="00CF391F" w:rsidRPr="008A26D2" w:rsidRDefault="009E5E9D" w:rsidP="00CF391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P</w:t>
            </w:r>
            <w:r w:rsidR="00CF391F" w:rsidRPr="008A26D2">
              <w:rPr>
                <w:rFonts w:ascii="Arial" w:eastAsia="Arial Narrow" w:hAnsi="Arial" w:cs="Arial"/>
                <w:sz w:val="20"/>
                <w:szCs w:val="20"/>
              </w:rPr>
              <w:t>restacional</w:t>
            </w:r>
          </w:p>
        </w:tc>
      </w:tr>
      <w:tr w:rsidR="008A26D2" w:rsidRPr="008A26D2" w14:paraId="38809C81" w14:textId="77777777" w:rsidTr="00730BFD">
        <w:trPr>
          <w:trHeight w:val="304"/>
          <w:jc w:val="center"/>
        </w:trPr>
        <w:tc>
          <w:tcPr>
            <w:tcW w:w="21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2C0D072" w14:textId="0B52A4A7" w:rsidR="00CF391F" w:rsidRPr="008A26D2" w:rsidRDefault="00CF391F" w:rsidP="00CF391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Entrega del servicio</w:t>
            </w:r>
          </w:p>
        </w:tc>
        <w:tc>
          <w:tcPr>
            <w:tcW w:w="671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A097955" w14:textId="46DAE110" w:rsidR="00CF391F" w:rsidRPr="008A26D2" w:rsidRDefault="00CF391F" w:rsidP="00CF391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Competencia exclusiva </w:t>
            </w:r>
          </w:p>
        </w:tc>
      </w:tr>
      <w:tr w:rsidR="008A26D2" w:rsidRPr="008A26D2" w14:paraId="0FC6A51C" w14:textId="77777777" w:rsidTr="00730BFD">
        <w:trPr>
          <w:trHeight w:val="304"/>
          <w:jc w:val="center"/>
        </w:trPr>
        <w:tc>
          <w:tcPr>
            <w:tcW w:w="21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FF9AB3A" w14:textId="77777777" w:rsidR="00CF391F" w:rsidRPr="008A26D2" w:rsidRDefault="00CF391F" w:rsidP="00CF391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Descripción del servicio</w:t>
            </w:r>
          </w:p>
        </w:tc>
        <w:tc>
          <w:tcPr>
            <w:tcW w:w="671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9785917" w14:textId="3C059A89" w:rsidR="00CF391F" w:rsidRPr="008A26D2" w:rsidRDefault="00CF391F" w:rsidP="00CF391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El servicio busca prevenir y controlar actividades ilegales sobre recursos forestales y fauna silvestre a través de los operativos de policía marítima, fluvial y lacustre, que consiste en las intervenciones inopinadas a las distintas naves y embarcaciones tanto en el mar, ríos y lagos navegables, con la finalidad de evitar el tráfico ilegal de los recursos forestales y de fauna silvestre; estos operativos son planificados por las Capitanías de Puerto a nivel nacional, órganos desconcentrados de la Dirección General de Capitanías y Guardacostas.</w:t>
            </w:r>
          </w:p>
          <w:p w14:paraId="3E0652B6" w14:textId="00FDD868" w:rsidR="00CF391F" w:rsidRPr="008A26D2" w:rsidRDefault="00CF391F" w:rsidP="00CF391F">
            <w:pPr>
              <w:pBdr>
                <w:top w:val="nil"/>
                <w:left w:val="nil"/>
                <w:bottom w:val="nil"/>
                <w:right w:val="nil"/>
                <w:between w:val="nil"/>
              </w:pBdr>
              <w:spacing w:after="0" w:line="240" w:lineRule="auto"/>
              <w:jc w:val="both"/>
              <w:rPr>
                <w:rFonts w:ascii="Arial" w:eastAsia="Arial Narrow" w:hAnsi="Arial" w:cs="Arial"/>
                <w:sz w:val="20"/>
                <w:szCs w:val="20"/>
              </w:rPr>
            </w:pPr>
          </w:p>
          <w:p w14:paraId="4DAE6C2C" w14:textId="11852A8D" w:rsidR="00CF391F" w:rsidRPr="008A26D2" w:rsidRDefault="00CF391F" w:rsidP="00CF391F">
            <w:pPr>
              <w:spacing w:after="0" w:line="240" w:lineRule="auto"/>
              <w:ind w:left="113"/>
              <w:jc w:val="both"/>
              <w:rPr>
                <w:rFonts w:ascii="Arial" w:eastAsia="Arial Narrow" w:hAnsi="Arial" w:cs="Arial"/>
                <w:sz w:val="20"/>
                <w:szCs w:val="20"/>
              </w:rPr>
            </w:pPr>
            <w:r w:rsidRPr="005226A2">
              <w:rPr>
                <w:rFonts w:ascii="Arial" w:eastAsia="Arial Narrow" w:hAnsi="Arial" w:cs="Arial"/>
                <w:sz w:val="20"/>
                <w:szCs w:val="20"/>
              </w:rPr>
              <w:t>Los operativos policiales se programarán en un plan de trabajo anual, realizando al</w:t>
            </w:r>
            <w:r w:rsidR="00F92620" w:rsidRPr="005226A2">
              <w:rPr>
                <w:rFonts w:ascii="Arial" w:eastAsia="Arial Narrow" w:hAnsi="Arial" w:cs="Arial"/>
                <w:sz w:val="20"/>
                <w:szCs w:val="20"/>
              </w:rPr>
              <w:t xml:space="preserve"> </w:t>
            </w:r>
            <w:r w:rsidRPr="005226A2">
              <w:rPr>
                <w:rFonts w:ascii="Arial" w:eastAsia="Arial Narrow" w:hAnsi="Arial" w:cs="Arial"/>
                <w:sz w:val="20"/>
                <w:szCs w:val="20"/>
              </w:rPr>
              <w:t xml:space="preserve">menos </w:t>
            </w:r>
            <w:r w:rsidR="00AE4522" w:rsidRPr="005226A2">
              <w:rPr>
                <w:rFonts w:ascii="Arial" w:eastAsia="Arial Narrow" w:hAnsi="Arial" w:cs="Arial"/>
                <w:sz w:val="20"/>
                <w:szCs w:val="20"/>
              </w:rPr>
              <w:t>1</w:t>
            </w:r>
            <w:r w:rsidRPr="005226A2">
              <w:rPr>
                <w:rFonts w:ascii="Arial" w:eastAsia="Arial Narrow" w:hAnsi="Arial" w:cs="Arial"/>
                <w:sz w:val="20"/>
                <w:szCs w:val="20"/>
              </w:rPr>
              <w:t xml:space="preserve"> operativo al mes de t</w:t>
            </w:r>
            <w:r w:rsidRPr="008A26D2">
              <w:rPr>
                <w:rFonts w:ascii="Arial" w:eastAsia="Arial Narrow" w:hAnsi="Arial" w:cs="Arial"/>
                <w:sz w:val="20"/>
                <w:szCs w:val="20"/>
              </w:rPr>
              <w:t>al forma que asegure la continuidad del servicio en todo el periodo, tomando en cuenta criterios tales como: características del territorio, medios logísticos y disponibilidad de efectivos, entre otros.</w:t>
            </w:r>
          </w:p>
          <w:p w14:paraId="2C2DF49B" w14:textId="77777777" w:rsidR="00CF391F" w:rsidRPr="008A26D2" w:rsidRDefault="00CF391F" w:rsidP="00CF391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br/>
              <w:t>Estos operativos se realizan con la participación de otras instituciones del estado, con competencias para tal fin, interviniendo a las naves y embarcaciones que se encuentren navegando y/o operando en el mar, ríos y lagos navegables, la fiscalización e inspecciones inopinadas de control a los astilleros que utilizan recursos maderables para la construcción de embarcaciones en el marco de lo establecido en el reglamento del Decreto Legislativo Nº 1147.</w:t>
            </w:r>
          </w:p>
          <w:p w14:paraId="282ADF56" w14:textId="08F13B5F" w:rsidR="00CF391F" w:rsidRPr="008A26D2" w:rsidRDefault="00CF391F" w:rsidP="00CF391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El servicio se optimiza y mejora con la capacitación constante y el uso de tecnologías de información.</w:t>
            </w:r>
          </w:p>
        </w:tc>
      </w:tr>
      <w:tr w:rsidR="008A26D2" w:rsidRPr="008A26D2" w14:paraId="151D9B04" w14:textId="77777777" w:rsidTr="00730BFD">
        <w:trPr>
          <w:trHeight w:val="304"/>
          <w:jc w:val="center"/>
        </w:trPr>
        <w:tc>
          <w:tcPr>
            <w:tcW w:w="21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2B8E5DB" w14:textId="77777777" w:rsidR="00CF391F" w:rsidRPr="008A26D2" w:rsidRDefault="00CF391F" w:rsidP="00CF391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Proveedor del servicio</w:t>
            </w:r>
          </w:p>
        </w:tc>
        <w:tc>
          <w:tcPr>
            <w:tcW w:w="671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A56F5BA" w14:textId="10CC6789" w:rsidR="00CF391F" w:rsidRPr="008A26D2" w:rsidRDefault="00CF391F" w:rsidP="00CF391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Ministerio de Defensa - Dirección General de Capitanías y Guardacostas (DICAPI)</w:t>
            </w:r>
          </w:p>
        </w:tc>
      </w:tr>
      <w:tr w:rsidR="008A26D2" w:rsidRPr="008A26D2" w14:paraId="191D88A0" w14:textId="77777777" w:rsidTr="005937A5">
        <w:trPr>
          <w:trHeight w:val="458"/>
          <w:jc w:val="center"/>
        </w:trPr>
        <w:tc>
          <w:tcPr>
            <w:tcW w:w="2152" w:type="dxa"/>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1353EDC0" w14:textId="77777777" w:rsidR="00CF391F" w:rsidRPr="008A26D2" w:rsidRDefault="00CF391F" w:rsidP="005C6B29">
            <w:pPr>
              <w:spacing w:after="0" w:line="240" w:lineRule="auto"/>
              <w:rPr>
                <w:rFonts w:ascii="Arial" w:hAnsi="Arial" w:cs="Arial"/>
                <w:b/>
                <w:sz w:val="20"/>
                <w:szCs w:val="20"/>
              </w:rPr>
            </w:pPr>
            <w:r w:rsidRPr="008A26D2">
              <w:rPr>
                <w:rFonts w:ascii="Arial" w:hAnsi="Arial" w:cs="Arial"/>
                <w:b/>
                <w:sz w:val="20"/>
                <w:szCs w:val="20"/>
              </w:rPr>
              <w:t>Nivel (es) de gobierno que interviene</w:t>
            </w:r>
          </w:p>
          <w:p w14:paraId="2222EC5E" w14:textId="15D4A470" w:rsidR="00CF391F" w:rsidRPr="008A26D2" w:rsidRDefault="00CF391F" w:rsidP="00CF391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(n) en la provisión del servicio</w:t>
            </w:r>
          </w:p>
        </w:tc>
        <w:tc>
          <w:tcPr>
            <w:tcW w:w="2239"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2B39E5EE" w14:textId="2650F822" w:rsidR="00CF391F" w:rsidRPr="008A26D2" w:rsidRDefault="00CF391F" w:rsidP="00AE4522">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Nacional</w:t>
            </w:r>
          </w:p>
        </w:tc>
        <w:tc>
          <w:tcPr>
            <w:tcW w:w="2239" w:type="dxa"/>
            <w:tcBorders>
              <w:top w:val="single" w:sz="4" w:space="0" w:color="000000"/>
              <w:left w:val="single" w:sz="4" w:space="0" w:color="000000"/>
              <w:right w:val="single" w:sz="4" w:space="0" w:color="000000"/>
            </w:tcBorders>
            <w:shd w:val="clear" w:color="auto" w:fill="auto"/>
            <w:vAlign w:val="center"/>
          </w:tcPr>
          <w:p w14:paraId="6736B632" w14:textId="0B4BF42A" w:rsidR="00CF391F" w:rsidRPr="008A26D2" w:rsidRDefault="00CF391F" w:rsidP="00AE4522">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Regional</w:t>
            </w:r>
          </w:p>
        </w:tc>
        <w:tc>
          <w:tcPr>
            <w:tcW w:w="2240" w:type="dxa"/>
            <w:tcBorders>
              <w:top w:val="single" w:sz="4" w:space="0" w:color="000000"/>
              <w:left w:val="single" w:sz="4" w:space="0" w:color="000000"/>
              <w:right w:val="single" w:sz="4" w:space="0" w:color="000000"/>
            </w:tcBorders>
            <w:shd w:val="clear" w:color="auto" w:fill="auto"/>
            <w:vAlign w:val="center"/>
          </w:tcPr>
          <w:p w14:paraId="30D29150" w14:textId="7BE2B17E" w:rsidR="00CF391F" w:rsidRPr="008A26D2" w:rsidRDefault="00CF391F" w:rsidP="00AE4522">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Local</w:t>
            </w:r>
          </w:p>
        </w:tc>
      </w:tr>
      <w:tr w:rsidR="008A26D2" w:rsidRPr="008A26D2" w14:paraId="6517F792" w14:textId="77777777" w:rsidTr="005937A5">
        <w:trPr>
          <w:trHeight w:val="457"/>
          <w:jc w:val="center"/>
        </w:trPr>
        <w:tc>
          <w:tcPr>
            <w:tcW w:w="2152" w:type="dxa"/>
            <w:vMerge/>
            <w:tcBorders>
              <w:left w:val="single" w:sz="4" w:space="0" w:color="000000"/>
              <w:right w:val="single" w:sz="4" w:space="0" w:color="000000"/>
            </w:tcBorders>
            <w:shd w:val="clear" w:color="auto" w:fill="auto"/>
            <w:tcMar>
              <w:top w:w="15" w:type="dxa"/>
              <w:left w:w="15" w:type="dxa"/>
              <w:bottom w:w="0" w:type="dxa"/>
              <w:right w:w="15" w:type="dxa"/>
            </w:tcMar>
            <w:vAlign w:val="center"/>
          </w:tcPr>
          <w:p w14:paraId="68141830" w14:textId="77777777" w:rsidR="00CF391F" w:rsidRPr="008A26D2" w:rsidRDefault="00CF391F" w:rsidP="00CF391F">
            <w:pPr>
              <w:spacing w:after="0" w:line="240" w:lineRule="auto"/>
              <w:rPr>
                <w:rFonts w:ascii="Arial" w:hAnsi="Arial" w:cs="Arial"/>
                <w:b/>
                <w:sz w:val="20"/>
                <w:szCs w:val="20"/>
              </w:rPr>
            </w:pPr>
          </w:p>
        </w:tc>
        <w:tc>
          <w:tcPr>
            <w:tcW w:w="2239"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7BC07534" w14:textId="720A9C77" w:rsidR="00CF391F" w:rsidRPr="008A26D2" w:rsidRDefault="009E5E9D" w:rsidP="00AE4522">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X</w:t>
            </w:r>
          </w:p>
        </w:tc>
        <w:tc>
          <w:tcPr>
            <w:tcW w:w="2239" w:type="dxa"/>
            <w:tcBorders>
              <w:top w:val="single" w:sz="4" w:space="0" w:color="000000"/>
              <w:left w:val="single" w:sz="4" w:space="0" w:color="000000"/>
              <w:right w:val="single" w:sz="4" w:space="0" w:color="000000"/>
            </w:tcBorders>
            <w:shd w:val="clear" w:color="auto" w:fill="auto"/>
            <w:vAlign w:val="center"/>
          </w:tcPr>
          <w:p w14:paraId="215D47C0" w14:textId="77777777" w:rsidR="00CF391F" w:rsidRPr="008A26D2" w:rsidRDefault="00CF391F" w:rsidP="00AE4522">
            <w:pPr>
              <w:pBdr>
                <w:top w:val="nil"/>
                <w:left w:val="nil"/>
                <w:bottom w:val="nil"/>
                <w:right w:val="nil"/>
                <w:between w:val="nil"/>
              </w:pBdr>
              <w:spacing w:after="0" w:line="240" w:lineRule="auto"/>
              <w:jc w:val="center"/>
              <w:rPr>
                <w:rFonts w:ascii="Arial" w:eastAsia="Arial Narrow" w:hAnsi="Arial" w:cs="Arial"/>
                <w:sz w:val="20"/>
                <w:szCs w:val="20"/>
              </w:rPr>
            </w:pPr>
          </w:p>
        </w:tc>
        <w:tc>
          <w:tcPr>
            <w:tcW w:w="2240" w:type="dxa"/>
            <w:tcBorders>
              <w:top w:val="single" w:sz="4" w:space="0" w:color="000000"/>
              <w:left w:val="single" w:sz="4" w:space="0" w:color="000000"/>
              <w:right w:val="single" w:sz="4" w:space="0" w:color="000000"/>
            </w:tcBorders>
            <w:shd w:val="clear" w:color="auto" w:fill="auto"/>
            <w:vAlign w:val="center"/>
          </w:tcPr>
          <w:p w14:paraId="65F0E1EC" w14:textId="7ED2E5A2" w:rsidR="00CF391F" w:rsidRPr="008A26D2" w:rsidRDefault="00CF391F" w:rsidP="00AE4522">
            <w:pPr>
              <w:pBdr>
                <w:top w:val="nil"/>
                <w:left w:val="nil"/>
                <w:bottom w:val="nil"/>
                <w:right w:val="nil"/>
                <w:between w:val="nil"/>
              </w:pBdr>
              <w:spacing w:after="0" w:line="240" w:lineRule="auto"/>
              <w:jc w:val="center"/>
              <w:rPr>
                <w:rFonts w:ascii="Arial" w:eastAsia="Arial Narrow" w:hAnsi="Arial" w:cs="Arial"/>
                <w:sz w:val="20"/>
                <w:szCs w:val="20"/>
              </w:rPr>
            </w:pPr>
          </w:p>
        </w:tc>
      </w:tr>
      <w:tr w:rsidR="008A26D2" w:rsidRPr="008A26D2" w14:paraId="2407A2B2" w14:textId="77777777" w:rsidTr="00730BFD">
        <w:trPr>
          <w:trHeight w:val="304"/>
          <w:jc w:val="center"/>
        </w:trPr>
        <w:tc>
          <w:tcPr>
            <w:tcW w:w="21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BD0B601" w14:textId="77777777" w:rsidR="00CF391F" w:rsidRPr="008A26D2" w:rsidRDefault="00CF391F" w:rsidP="00CF391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Receptor del servicio</w:t>
            </w:r>
          </w:p>
        </w:tc>
        <w:tc>
          <w:tcPr>
            <w:tcW w:w="671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0E31E22" w14:textId="77777777" w:rsidR="00CF391F" w:rsidRPr="008A26D2" w:rsidRDefault="00CF391F" w:rsidP="00CF391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Población en general</w:t>
            </w:r>
          </w:p>
        </w:tc>
      </w:tr>
      <w:tr w:rsidR="008A26D2" w:rsidRPr="008A26D2" w14:paraId="767F47F7" w14:textId="77777777" w:rsidTr="00730BFD">
        <w:trPr>
          <w:trHeight w:val="214"/>
          <w:jc w:val="center"/>
        </w:trPr>
        <w:tc>
          <w:tcPr>
            <w:tcW w:w="21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3F93DD0" w14:textId="77777777" w:rsidR="00CF391F" w:rsidRPr="008A26D2" w:rsidRDefault="00CF391F" w:rsidP="00CF391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Alcance del servicio </w:t>
            </w:r>
          </w:p>
        </w:tc>
        <w:tc>
          <w:tcPr>
            <w:tcW w:w="671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BC52DEB" w14:textId="77777777" w:rsidR="00CF391F" w:rsidRPr="008A26D2" w:rsidRDefault="00CF391F" w:rsidP="00CF391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Nacional</w:t>
            </w:r>
          </w:p>
        </w:tc>
      </w:tr>
      <w:tr w:rsidR="008A26D2" w:rsidRPr="008A26D2" w14:paraId="60EE31DC" w14:textId="77777777" w:rsidTr="00730BFD">
        <w:trPr>
          <w:trHeight w:val="62"/>
          <w:jc w:val="center"/>
        </w:trPr>
        <w:tc>
          <w:tcPr>
            <w:tcW w:w="21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BF8C665" w14:textId="77777777" w:rsidR="00CF391F" w:rsidRPr="008A26D2" w:rsidRDefault="00CF391F" w:rsidP="00CF391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Estándar (es) de cumplimiento</w:t>
            </w:r>
          </w:p>
        </w:tc>
        <w:tc>
          <w:tcPr>
            <w:tcW w:w="671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61DFC750" w14:textId="77777777" w:rsidR="00CF391F" w:rsidRPr="008A26D2" w:rsidRDefault="00CF391F" w:rsidP="00CF391F">
            <w:pPr>
              <w:pBdr>
                <w:top w:val="nil"/>
                <w:left w:val="nil"/>
                <w:bottom w:val="nil"/>
                <w:right w:val="nil"/>
                <w:between w:val="nil"/>
              </w:pBdr>
              <w:spacing w:after="0" w:line="240" w:lineRule="auto"/>
              <w:rPr>
                <w:rFonts w:ascii="Arial" w:hAnsi="Arial" w:cs="Arial"/>
                <w:sz w:val="20"/>
                <w:szCs w:val="20"/>
              </w:rPr>
            </w:pPr>
            <w:r w:rsidRPr="008A26D2">
              <w:rPr>
                <w:rFonts w:ascii="Arial" w:eastAsia="Arial Narrow" w:hAnsi="Arial" w:cs="Arial"/>
                <w:sz w:val="20"/>
                <w:szCs w:val="20"/>
              </w:rPr>
              <w:t>Continuidad</w:t>
            </w:r>
          </w:p>
        </w:tc>
      </w:tr>
      <w:tr w:rsidR="008A26D2" w:rsidRPr="008A26D2" w14:paraId="6E951EE2" w14:textId="77777777" w:rsidTr="00730BFD">
        <w:trPr>
          <w:trHeight w:val="304"/>
          <w:jc w:val="center"/>
        </w:trPr>
        <w:tc>
          <w:tcPr>
            <w:tcW w:w="21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CFBB10B" w14:textId="77777777" w:rsidR="00CF391F" w:rsidRPr="008A26D2" w:rsidRDefault="00CF391F" w:rsidP="00CF391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Descripción del estándar</w:t>
            </w:r>
          </w:p>
        </w:tc>
        <w:tc>
          <w:tcPr>
            <w:tcW w:w="671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35" w:type="dxa"/>
              <w:bottom w:w="0" w:type="dxa"/>
              <w:right w:w="15" w:type="dxa"/>
            </w:tcMar>
            <w:vAlign w:val="center"/>
          </w:tcPr>
          <w:p w14:paraId="4EC3D0F5" w14:textId="54F5D46A" w:rsidR="00CF391F" w:rsidRPr="008A26D2" w:rsidRDefault="00CF391F" w:rsidP="00CF391F">
            <w:pPr>
              <w:pBdr>
                <w:top w:val="nil"/>
                <w:left w:val="nil"/>
                <w:bottom w:val="nil"/>
                <w:right w:val="nil"/>
                <w:between w:val="nil"/>
              </w:pBdr>
              <w:spacing w:after="0" w:line="240" w:lineRule="auto"/>
              <w:jc w:val="both"/>
              <w:rPr>
                <w:rFonts w:ascii="Arial" w:hAnsi="Arial" w:cs="Arial"/>
                <w:sz w:val="20"/>
                <w:szCs w:val="20"/>
              </w:rPr>
            </w:pPr>
            <w:r w:rsidRPr="008A26D2">
              <w:rPr>
                <w:rFonts w:ascii="Arial" w:eastAsia="Arial Narrow" w:hAnsi="Arial" w:cs="Arial"/>
                <w:sz w:val="20"/>
                <w:szCs w:val="20"/>
              </w:rPr>
              <w:t xml:space="preserve">El presente estándar busca la conservación de los recursos forestales y de fauna silvestre mediante el desarrollo de operativos de policía marítima, fluvial y lacustre </w:t>
            </w:r>
            <w:r w:rsidRPr="005226A2">
              <w:rPr>
                <w:rFonts w:ascii="Arial" w:eastAsia="Arial Narrow" w:hAnsi="Arial" w:cs="Arial"/>
                <w:sz w:val="20"/>
                <w:szCs w:val="20"/>
              </w:rPr>
              <w:t>de forma permanente en la jurisdicción correspondiente,</w:t>
            </w:r>
            <w:r w:rsidR="00AE4522" w:rsidRPr="005226A2">
              <w:rPr>
                <w:rFonts w:ascii="Arial" w:eastAsia="Arial Narrow" w:hAnsi="Arial" w:cs="Arial"/>
                <w:sz w:val="20"/>
                <w:szCs w:val="20"/>
              </w:rPr>
              <w:t xml:space="preserve"> </w:t>
            </w:r>
            <w:r w:rsidRPr="005226A2">
              <w:rPr>
                <w:rFonts w:ascii="Arial" w:eastAsia="Arial Narrow" w:hAnsi="Arial" w:cs="Arial"/>
                <w:sz w:val="20"/>
                <w:szCs w:val="20"/>
              </w:rPr>
              <w:t xml:space="preserve">  realizando al</w:t>
            </w:r>
            <w:r w:rsidR="005C6B29" w:rsidRPr="005226A2">
              <w:rPr>
                <w:rFonts w:ascii="Arial" w:eastAsia="Arial Narrow" w:hAnsi="Arial" w:cs="Arial"/>
                <w:sz w:val="20"/>
                <w:szCs w:val="20"/>
              </w:rPr>
              <w:t xml:space="preserve"> </w:t>
            </w:r>
            <w:r w:rsidRPr="005226A2">
              <w:rPr>
                <w:rFonts w:ascii="Arial" w:eastAsia="Arial Narrow" w:hAnsi="Arial" w:cs="Arial"/>
                <w:sz w:val="20"/>
                <w:szCs w:val="20"/>
              </w:rPr>
              <w:t xml:space="preserve">menos </w:t>
            </w:r>
            <w:r w:rsidR="00AE4522" w:rsidRPr="005226A2">
              <w:rPr>
                <w:rFonts w:ascii="Arial" w:eastAsia="Arial Narrow" w:hAnsi="Arial" w:cs="Arial"/>
                <w:sz w:val="20"/>
                <w:szCs w:val="20"/>
              </w:rPr>
              <w:t>1</w:t>
            </w:r>
            <w:r w:rsidRPr="005226A2">
              <w:rPr>
                <w:rFonts w:ascii="Arial" w:eastAsia="Arial Narrow" w:hAnsi="Arial" w:cs="Arial"/>
                <w:sz w:val="20"/>
                <w:szCs w:val="20"/>
              </w:rPr>
              <w:t xml:space="preserve"> operativo al</w:t>
            </w:r>
            <w:r w:rsidRPr="008A26D2">
              <w:rPr>
                <w:rFonts w:ascii="Arial" w:eastAsia="Arial Narrow" w:hAnsi="Arial" w:cs="Arial"/>
                <w:sz w:val="20"/>
                <w:szCs w:val="20"/>
              </w:rPr>
              <w:t xml:space="preserve"> mes en el marco de las competencias </w:t>
            </w:r>
            <w:r w:rsidRPr="008A26D2">
              <w:rPr>
                <w:rFonts w:ascii="Arial" w:eastAsia="Arial Narrow" w:hAnsi="Arial" w:cs="Arial"/>
                <w:sz w:val="20"/>
                <w:szCs w:val="20"/>
              </w:rPr>
              <w:lastRenderedPageBreak/>
              <w:t xml:space="preserve">de la Dirección General de Capitanías y Guardacostas, y de acuerdo al plan de trabajo anual elaborado. </w:t>
            </w:r>
          </w:p>
          <w:p w14:paraId="4934184D" w14:textId="77777777" w:rsidR="00CF391F" w:rsidRPr="008A26D2" w:rsidRDefault="00CF391F" w:rsidP="00CF391F">
            <w:pPr>
              <w:pBdr>
                <w:top w:val="nil"/>
                <w:left w:val="nil"/>
                <w:bottom w:val="nil"/>
                <w:right w:val="nil"/>
                <w:between w:val="nil"/>
              </w:pBdr>
              <w:spacing w:after="0" w:line="240" w:lineRule="auto"/>
              <w:jc w:val="both"/>
              <w:rPr>
                <w:rFonts w:ascii="Arial" w:hAnsi="Arial" w:cs="Arial"/>
                <w:sz w:val="20"/>
                <w:szCs w:val="20"/>
              </w:rPr>
            </w:pPr>
          </w:p>
        </w:tc>
      </w:tr>
      <w:tr w:rsidR="00CF391F" w:rsidRPr="008A26D2" w14:paraId="46499B88" w14:textId="77777777" w:rsidTr="00730BFD">
        <w:trPr>
          <w:trHeight w:val="498"/>
          <w:jc w:val="center"/>
        </w:trPr>
        <w:tc>
          <w:tcPr>
            <w:tcW w:w="21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9CEA6EE" w14:textId="5762B3BE" w:rsidR="00CF391F" w:rsidRPr="008A26D2" w:rsidRDefault="00CF391F" w:rsidP="00CF391F">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lastRenderedPageBreak/>
              <w:t xml:space="preserve">Indicador </w:t>
            </w:r>
            <w:r w:rsidR="00937EF4" w:rsidRPr="008A26D2">
              <w:rPr>
                <w:rFonts w:ascii="Arial" w:hAnsi="Arial" w:cs="Arial"/>
                <w:b/>
                <w:sz w:val="20"/>
                <w:szCs w:val="20"/>
              </w:rPr>
              <w:t>de calidad</w:t>
            </w:r>
          </w:p>
        </w:tc>
        <w:tc>
          <w:tcPr>
            <w:tcW w:w="671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307CFED9" w14:textId="7213A034" w:rsidR="00CF391F" w:rsidRPr="008A26D2" w:rsidRDefault="00CF391F" w:rsidP="00CF391F">
            <w:pPr>
              <w:pBdr>
                <w:top w:val="nil"/>
                <w:left w:val="nil"/>
                <w:bottom w:val="nil"/>
                <w:right w:val="nil"/>
                <w:between w:val="nil"/>
              </w:pBdr>
              <w:spacing w:after="0" w:line="240" w:lineRule="auto"/>
              <w:jc w:val="both"/>
              <w:rPr>
                <w:rFonts w:ascii="Arial" w:hAnsi="Arial" w:cs="Arial"/>
                <w:sz w:val="20"/>
                <w:szCs w:val="20"/>
              </w:rPr>
            </w:pPr>
            <w:r w:rsidRPr="008A26D2">
              <w:rPr>
                <w:rFonts w:ascii="Arial" w:eastAsia="Arial Narrow" w:hAnsi="Arial" w:cs="Arial"/>
                <w:sz w:val="20"/>
                <w:szCs w:val="20"/>
              </w:rPr>
              <w:t>Número de operativos efectuados a las naves y embarcaciones para reducir el tráfico ilegal de los recursos forestales y de fauna silvestre de forma continua.</w:t>
            </w:r>
          </w:p>
        </w:tc>
      </w:tr>
    </w:tbl>
    <w:p w14:paraId="2A7C1179" w14:textId="77777777" w:rsidR="00726448" w:rsidRPr="008A26D2" w:rsidRDefault="00726448" w:rsidP="000D1705">
      <w:pPr>
        <w:tabs>
          <w:tab w:val="left" w:pos="3375"/>
        </w:tabs>
        <w:rPr>
          <w:rFonts w:ascii="Arial Narrow" w:eastAsia="Arial Narrow" w:hAnsi="Arial Narrow" w:cs="Arial Narrow"/>
          <w:b/>
        </w:rPr>
      </w:pPr>
    </w:p>
    <w:bookmarkEnd w:id="5"/>
    <w:p w14:paraId="1C6159F6" w14:textId="4D954E6F" w:rsidR="00730BFD" w:rsidRPr="008A26D2" w:rsidRDefault="00730BFD" w:rsidP="00730BFD">
      <w:pPr>
        <w:tabs>
          <w:tab w:val="left" w:pos="3375"/>
        </w:tabs>
        <w:jc w:val="both"/>
        <w:rPr>
          <w:rFonts w:ascii="Arial" w:eastAsia="Arial Narrow" w:hAnsi="Arial" w:cs="Arial"/>
        </w:rPr>
      </w:pPr>
      <w:r w:rsidRPr="008A26D2">
        <w:rPr>
          <w:rFonts w:ascii="Arial" w:eastAsia="Arial Narrow" w:hAnsi="Arial" w:cs="Arial"/>
          <w:b/>
          <w:bCs/>
        </w:rPr>
        <w:t>S1.9.</w:t>
      </w:r>
      <w:r w:rsidR="00212957" w:rsidRPr="008A26D2">
        <w:rPr>
          <w:rFonts w:ascii="Arial" w:eastAsia="Arial Narrow" w:hAnsi="Arial" w:cs="Arial"/>
          <w:b/>
          <w:bCs/>
        </w:rPr>
        <w:t>5</w:t>
      </w:r>
      <w:r w:rsidRPr="008A26D2">
        <w:rPr>
          <w:rFonts w:ascii="Arial" w:eastAsia="Arial Narrow" w:hAnsi="Arial" w:cs="Arial"/>
        </w:rPr>
        <w:t xml:space="preserve"> Vigilancia en el bosque y en la cadena productiva forestal y de fauna silvestre de forma permanente para beneficio de la población</w:t>
      </w:r>
    </w:p>
    <w:tbl>
      <w:tblPr>
        <w:tblW w:w="8930" w:type="dxa"/>
        <w:jc w:val="center"/>
        <w:tblLayout w:type="fixed"/>
        <w:tblLook w:val="0600" w:firstRow="0" w:lastRow="0" w:firstColumn="0" w:lastColumn="0" w:noHBand="1" w:noVBand="1"/>
      </w:tblPr>
      <w:tblGrid>
        <w:gridCol w:w="2482"/>
        <w:gridCol w:w="2149"/>
        <w:gridCol w:w="2149"/>
        <w:gridCol w:w="2150"/>
      </w:tblGrid>
      <w:tr w:rsidR="008A26D2" w:rsidRPr="008A26D2" w14:paraId="60083888" w14:textId="77777777" w:rsidTr="00F40748">
        <w:trPr>
          <w:trHeight w:val="300"/>
          <w:jc w:val="center"/>
        </w:trPr>
        <w:tc>
          <w:tcPr>
            <w:tcW w:w="8930"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center"/>
          </w:tcPr>
          <w:p w14:paraId="7A02FF47" w14:textId="6F1B6882" w:rsidR="00730BFD" w:rsidRPr="008A26D2" w:rsidRDefault="00730BFD" w:rsidP="0072651A">
            <w:pPr>
              <w:jc w:val="center"/>
              <w:rPr>
                <w:rFonts w:ascii="Arial" w:hAnsi="Arial" w:cs="Arial"/>
                <w:sz w:val="20"/>
                <w:szCs w:val="20"/>
              </w:rPr>
            </w:pPr>
            <w:r w:rsidRPr="008A26D2">
              <w:rPr>
                <w:rFonts w:ascii="Arial" w:hAnsi="Arial" w:cs="Arial"/>
              </w:rPr>
              <w:br w:type="page"/>
            </w:r>
            <w:r w:rsidRPr="008A26D2">
              <w:rPr>
                <w:rFonts w:ascii="Arial" w:hAnsi="Arial" w:cs="Arial"/>
                <w:b/>
                <w:sz w:val="20"/>
                <w:szCs w:val="20"/>
              </w:rPr>
              <w:t xml:space="preserve">FICHA DEL SERVICIO </w:t>
            </w:r>
          </w:p>
        </w:tc>
      </w:tr>
      <w:tr w:rsidR="008A26D2" w:rsidRPr="008A26D2" w14:paraId="05FF333B" w14:textId="77777777" w:rsidTr="00F40748">
        <w:trPr>
          <w:trHeight w:val="300"/>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66DAF6B" w14:textId="77777777" w:rsidR="00730BFD" w:rsidRPr="008A26D2" w:rsidRDefault="00730BFD"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Objetivo prioritario:</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8EF78EF" w14:textId="77777777" w:rsidR="00730BFD" w:rsidRPr="008A26D2" w:rsidRDefault="00730BFD" w:rsidP="0072651A">
            <w:pPr>
              <w:pBdr>
                <w:top w:val="nil"/>
                <w:left w:val="nil"/>
                <w:bottom w:val="nil"/>
                <w:right w:val="nil"/>
                <w:between w:val="nil"/>
              </w:pBdr>
              <w:spacing w:after="0" w:line="240" w:lineRule="auto"/>
              <w:jc w:val="both"/>
              <w:rPr>
                <w:rFonts w:ascii="Arial" w:hAnsi="Arial" w:cs="Arial"/>
                <w:sz w:val="20"/>
                <w:szCs w:val="20"/>
              </w:rPr>
            </w:pPr>
            <w:r w:rsidRPr="008A26D2">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r>
      <w:tr w:rsidR="008A26D2" w:rsidRPr="008A26D2" w14:paraId="22F3CF27" w14:textId="77777777" w:rsidTr="00F40748">
        <w:trPr>
          <w:trHeight w:val="300"/>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A5D2013" w14:textId="77777777" w:rsidR="00730BFD" w:rsidRPr="008A26D2" w:rsidRDefault="00730BFD"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Lineamiento:</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1A430DF" w14:textId="77777777" w:rsidR="00730BFD" w:rsidRPr="008A26D2" w:rsidRDefault="00730BFD" w:rsidP="0072651A">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L1.9 Reducir los niveles de tala ilegal, caza furtiva y del tráfico ilegal forestal y de fauna silvestre.</w:t>
            </w:r>
          </w:p>
        </w:tc>
      </w:tr>
      <w:tr w:rsidR="008A26D2" w:rsidRPr="008A26D2" w14:paraId="378A0B08" w14:textId="77777777" w:rsidTr="00F40748">
        <w:trPr>
          <w:trHeight w:val="300"/>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E5ED378" w14:textId="77777777" w:rsidR="00730BFD" w:rsidRPr="008A26D2" w:rsidRDefault="00730BFD"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Nombre del servicio:</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6E3ADAA" w14:textId="2B43AF77" w:rsidR="00730BFD" w:rsidRPr="008A26D2" w:rsidRDefault="00730BFD" w:rsidP="0072651A">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S1.9.</w:t>
            </w:r>
            <w:r w:rsidR="00212957" w:rsidRPr="008A26D2">
              <w:rPr>
                <w:rFonts w:ascii="Arial" w:eastAsia="Arial Narrow" w:hAnsi="Arial" w:cs="Arial"/>
                <w:sz w:val="20"/>
                <w:szCs w:val="20"/>
              </w:rPr>
              <w:t>5</w:t>
            </w:r>
            <w:r w:rsidRPr="008A26D2">
              <w:rPr>
                <w:rFonts w:ascii="Arial" w:eastAsia="Arial Narrow" w:hAnsi="Arial" w:cs="Arial"/>
                <w:sz w:val="20"/>
                <w:szCs w:val="20"/>
              </w:rPr>
              <w:t xml:space="preserve"> Vigilancia en el bosque y en la cadena productiva forestal y de fauna silvestre de forma permanente para beneficio de la población</w:t>
            </w:r>
          </w:p>
        </w:tc>
      </w:tr>
      <w:tr w:rsidR="008A26D2" w:rsidRPr="008A26D2" w14:paraId="074647C1" w14:textId="77777777" w:rsidTr="00F40748">
        <w:trPr>
          <w:trHeight w:val="300"/>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5D5F531" w14:textId="77777777" w:rsidR="00730BFD" w:rsidRPr="008A26D2" w:rsidRDefault="00730BFD"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Tipo de servicio:</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C2C36FC" w14:textId="77777777" w:rsidR="00730BFD" w:rsidRPr="008A26D2" w:rsidRDefault="00730BFD" w:rsidP="0072651A">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Mejorado</w:t>
            </w:r>
          </w:p>
        </w:tc>
      </w:tr>
      <w:tr w:rsidR="008A26D2" w:rsidRPr="008A26D2" w14:paraId="26263E65" w14:textId="77777777" w:rsidTr="00F40748">
        <w:trPr>
          <w:trHeight w:val="300"/>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CC6281A" w14:textId="65232DBE" w:rsidR="00937EF4" w:rsidRPr="008A26D2" w:rsidRDefault="00937EF4" w:rsidP="00937EF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Naturaleza del servicio:</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8FD3D51" w14:textId="1AC7696F" w:rsidR="00937EF4" w:rsidRPr="008A26D2" w:rsidRDefault="009E5E9D" w:rsidP="00937EF4">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P</w:t>
            </w:r>
            <w:r w:rsidR="00937EF4" w:rsidRPr="008A26D2">
              <w:rPr>
                <w:rFonts w:ascii="Arial" w:eastAsia="Arial Narrow" w:hAnsi="Arial" w:cs="Arial"/>
                <w:sz w:val="20"/>
                <w:szCs w:val="20"/>
              </w:rPr>
              <w:t>restacional</w:t>
            </w:r>
          </w:p>
        </w:tc>
      </w:tr>
      <w:tr w:rsidR="008A26D2" w:rsidRPr="008A26D2" w14:paraId="44FAAB04" w14:textId="77777777" w:rsidTr="00F40748">
        <w:trPr>
          <w:trHeight w:val="300"/>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94A7483" w14:textId="0F53AD8A" w:rsidR="00937EF4" w:rsidRPr="008A26D2" w:rsidRDefault="00937EF4" w:rsidP="00937EF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Entrega del servicio</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8649024" w14:textId="7D474B97" w:rsidR="00937EF4" w:rsidRPr="008A26D2" w:rsidRDefault="00937EF4" w:rsidP="00937EF4">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Competencia exclusiva </w:t>
            </w:r>
          </w:p>
        </w:tc>
      </w:tr>
      <w:tr w:rsidR="008A26D2" w:rsidRPr="008A26D2" w14:paraId="04BE1E7A" w14:textId="77777777" w:rsidTr="00F40748">
        <w:trPr>
          <w:trHeight w:val="300"/>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E3B614D" w14:textId="77777777" w:rsidR="00937EF4" w:rsidRPr="008A26D2" w:rsidRDefault="00937EF4" w:rsidP="00937EF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Descripción del servicio</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7108491" w14:textId="75A77AE4" w:rsidR="00937EF4" w:rsidRPr="008A26D2" w:rsidRDefault="00937EF4" w:rsidP="00937EF4">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El presente servicio consiste en ejecutar acciones orientadas a prevenir, intervenir y denunciar actividades ilegales que se realizan dentro del bosque y durante las diversas etapas de la cadena productiva forestal y de fauna silvestre (manejo, aprovechamiento, transporte y transformación de productos, subproductos, forestales y de fauna silvestre). </w:t>
            </w:r>
          </w:p>
          <w:p w14:paraId="42013DF1" w14:textId="70F66702" w:rsidR="00937EF4" w:rsidRPr="008A26D2" w:rsidRDefault="00937EF4" w:rsidP="00937EF4">
            <w:pPr>
              <w:spacing w:after="0" w:line="240" w:lineRule="auto"/>
              <w:ind w:left="113"/>
              <w:jc w:val="both"/>
              <w:rPr>
                <w:rFonts w:ascii="Arial" w:eastAsia="Arial Narrow" w:hAnsi="Arial" w:cs="Arial"/>
                <w:sz w:val="20"/>
                <w:szCs w:val="20"/>
              </w:rPr>
            </w:pPr>
            <w:r w:rsidRPr="008A26D2">
              <w:rPr>
                <w:rFonts w:ascii="Arial" w:eastAsia="Arial Narrow" w:hAnsi="Arial" w:cs="Arial"/>
                <w:sz w:val="20"/>
                <w:szCs w:val="20"/>
              </w:rPr>
              <w:t xml:space="preserve">Las acciones (operativos) se programarán en un plan de trabajo anual, </w:t>
            </w:r>
            <w:r w:rsidR="0042251B" w:rsidRPr="008A26D2">
              <w:rPr>
                <w:rFonts w:ascii="Arial" w:eastAsia="Arial Narrow" w:hAnsi="Arial" w:cs="Arial"/>
                <w:sz w:val="20"/>
                <w:szCs w:val="20"/>
              </w:rPr>
              <w:t xml:space="preserve">realizando al menos 1 operativo al mes </w:t>
            </w:r>
            <w:r w:rsidRPr="008A26D2">
              <w:rPr>
                <w:rFonts w:ascii="Arial" w:eastAsia="Arial Narrow" w:hAnsi="Arial" w:cs="Arial"/>
                <w:sz w:val="20"/>
                <w:szCs w:val="20"/>
              </w:rPr>
              <w:t xml:space="preserve">de tal forma que </w:t>
            </w:r>
            <w:r w:rsidR="00944F13" w:rsidRPr="008A26D2">
              <w:rPr>
                <w:rFonts w:ascii="Arial" w:eastAsia="Arial Narrow" w:hAnsi="Arial" w:cs="Arial"/>
                <w:sz w:val="20"/>
                <w:szCs w:val="20"/>
              </w:rPr>
              <w:t xml:space="preserve">se </w:t>
            </w:r>
            <w:r w:rsidRPr="008A26D2">
              <w:rPr>
                <w:rFonts w:ascii="Arial" w:eastAsia="Arial Narrow" w:hAnsi="Arial" w:cs="Arial"/>
                <w:sz w:val="20"/>
                <w:szCs w:val="20"/>
              </w:rPr>
              <w:t>asegure la continuidad del servicio en todo el periodo, tomando en cuenta criterios tales como: características del territorio, medios logísticos y disponibilidad de personal, entre otros.</w:t>
            </w:r>
          </w:p>
          <w:p w14:paraId="35226F2B" w14:textId="77777777" w:rsidR="00937EF4" w:rsidRPr="008A26D2" w:rsidRDefault="00937EF4" w:rsidP="00937EF4">
            <w:pPr>
              <w:spacing w:after="0" w:line="240" w:lineRule="auto"/>
              <w:jc w:val="both"/>
              <w:rPr>
                <w:rFonts w:ascii="Arial" w:eastAsia="Arial Narrow" w:hAnsi="Arial" w:cs="Arial"/>
                <w:sz w:val="20"/>
                <w:szCs w:val="20"/>
              </w:rPr>
            </w:pPr>
          </w:p>
          <w:p w14:paraId="0FBA6DFE" w14:textId="77777777" w:rsidR="00937EF4" w:rsidRPr="008A26D2" w:rsidRDefault="00937EF4" w:rsidP="00937EF4">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De esta forma, se contribuye a reducir la tala ilegal, caza furtiva y tráfico ilegal forestal y de fauna silvestre, asegurando la conservación, del patrimonio forestal y de fauna silvestre de la nación en beneficio de la población en general.</w:t>
            </w:r>
          </w:p>
          <w:p w14:paraId="7E1A6F67" w14:textId="28B861EF" w:rsidR="00937EF4" w:rsidRPr="008A26D2" w:rsidRDefault="00937EF4" w:rsidP="00937EF4">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El servicio es mejorado debido a que se realizarán operativos coordinados con otras entidades competentes, asegurando de esa forma el éxito esperado.</w:t>
            </w:r>
          </w:p>
          <w:p w14:paraId="5730C338" w14:textId="77777777" w:rsidR="00937EF4" w:rsidRPr="008A26D2" w:rsidRDefault="00937EF4" w:rsidP="00937EF4">
            <w:pPr>
              <w:spacing w:after="0" w:line="240" w:lineRule="auto"/>
              <w:jc w:val="both"/>
              <w:rPr>
                <w:rFonts w:ascii="Arial" w:eastAsia="Arial Narrow" w:hAnsi="Arial" w:cs="Arial"/>
                <w:strike/>
                <w:sz w:val="20"/>
                <w:szCs w:val="20"/>
              </w:rPr>
            </w:pPr>
          </w:p>
        </w:tc>
      </w:tr>
      <w:tr w:rsidR="008A26D2" w:rsidRPr="008A26D2" w14:paraId="312436AA" w14:textId="77777777" w:rsidTr="00F40748">
        <w:trPr>
          <w:trHeight w:val="300"/>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CA3EDB7" w14:textId="77777777" w:rsidR="00937EF4" w:rsidRPr="008A26D2" w:rsidRDefault="00937EF4" w:rsidP="00937EF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Proveedor del servicio</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7E32C39" w14:textId="77777777" w:rsidR="00937EF4" w:rsidRPr="008A26D2" w:rsidRDefault="00937EF4" w:rsidP="00937EF4">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Servicio Nacional Forestal y de Fauna Silvestre – SERFOR </w:t>
            </w:r>
          </w:p>
        </w:tc>
      </w:tr>
      <w:tr w:rsidR="008A26D2" w:rsidRPr="008A26D2" w14:paraId="0229AA14" w14:textId="77777777" w:rsidTr="00245271">
        <w:trPr>
          <w:trHeight w:val="458"/>
          <w:jc w:val="center"/>
        </w:trPr>
        <w:tc>
          <w:tcPr>
            <w:tcW w:w="2482" w:type="dxa"/>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35144F80" w14:textId="77777777" w:rsidR="00937EF4" w:rsidRPr="008A26D2" w:rsidRDefault="00937EF4" w:rsidP="005C6B29">
            <w:pPr>
              <w:spacing w:after="0" w:line="240" w:lineRule="auto"/>
              <w:rPr>
                <w:rFonts w:ascii="Arial" w:hAnsi="Arial" w:cs="Arial"/>
                <w:b/>
                <w:sz w:val="20"/>
                <w:szCs w:val="20"/>
              </w:rPr>
            </w:pPr>
            <w:r w:rsidRPr="008A26D2">
              <w:rPr>
                <w:rFonts w:ascii="Arial" w:hAnsi="Arial" w:cs="Arial"/>
                <w:b/>
                <w:sz w:val="20"/>
                <w:szCs w:val="20"/>
              </w:rPr>
              <w:t>Nivel (es) de gobierno que interviene</w:t>
            </w:r>
          </w:p>
          <w:p w14:paraId="6BE0E788" w14:textId="673AC1B5" w:rsidR="00937EF4" w:rsidRPr="008A26D2" w:rsidRDefault="00937EF4" w:rsidP="00937EF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(n) en la provisión del servicio</w:t>
            </w:r>
          </w:p>
        </w:tc>
        <w:tc>
          <w:tcPr>
            <w:tcW w:w="2149"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6AB4865B" w14:textId="05594BED" w:rsidR="00937EF4" w:rsidRPr="008A26D2" w:rsidRDefault="00937EF4" w:rsidP="00AE4522">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Nacional</w:t>
            </w:r>
          </w:p>
        </w:tc>
        <w:tc>
          <w:tcPr>
            <w:tcW w:w="2149" w:type="dxa"/>
            <w:tcBorders>
              <w:top w:val="single" w:sz="4" w:space="0" w:color="000000"/>
              <w:left w:val="single" w:sz="4" w:space="0" w:color="000000"/>
              <w:right w:val="single" w:sz="4" w:space="0" w:color="000000"/>
            </w:tcBorders>
            <w:shd w:val="clear" w:color="auto" w:fill="auto"/>
            <w:vAlign w:val="center"/>
          </w:tcPr>
          <w:p w14:paraId="2A933D08" w14:textId="4DC276DF" w:rsidR="00937EF4" w:rsidRPr="008A26D2" w:rsidRDefault="00937EF4" w:rsidP="00AE4522">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Regional</w:t>
            </w:r>
          </w:p>
        </w:tc>
        <w:tc>
          <w:tcPr>
            <w:tcW w:w="2150" w:type="dxa"/>
            <w:tcBorders>
              <w:top w:val="single" w:sz="4" w:space="0" w:color="000000"/>
              <w:left w:val="single" w:sz="4" w:space="0" w:color="000000"/>
              <w:right w:val="single" w:sz="4" w:space="0" w:color="000000"/>
            </w:tcBorders>
            <w:shd w:val="clear" w:color="auto" w:fill="auto"/>
            <w:vAlign w:val="center"/>
          </w:tcPr>
          <w:p w14:paraId="2E1F4F15" w14:textId="3857368F" w:rsidR="00937EF4" w:rsidRPr="008A26D2" w:rsidRDefault="00937EF4" w:rsidP="00AE4522">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Local</w:t>
            </w:r>
          </w:p>
        </w:tc>
      </w:tr>
      <w:tr w:rsidR="008A26D2" w:rsidRPr="008A26D2" w14:paraId="19571848" w14:textId="77777777" w:rsidTr="00245271">
        <w:trPr>
          <w:trHeight w:val="457"/>
          <w:jc w:val="center"/>
        </w:trPr>
        <w:tc>
          <w:tcPr>
            <w:tcW w:w="2482" w:type="dxa"/>
            <w:vMerge/>
            <w:tcBorders>
              <w:left w:val="single" w:sz="4" w:space="0" w:color="000000"/>
              <w:right w:val="single" w:sz="4" w:space="0" w:color="000000"/>
            </w:tcBorders>
            <w:shd w:val="clear" w:color="auto" w:fill="auto"/>
            <w:tcMar>
              <w:top w:w="15" w:type="dxa"/>
              <w:left w:w="15" w:type="dxa"/>
              <w:bottom w:w="0" w:type="dxa"/>
              <w:right w:w="15" w:type="dxa"/>
            </w:tcMar>
            <w:vAlign w:val="center"/>
          </w:tcPr>
          <w:p w14:paraId="2E72D331" w14:textId="77777777" w:rsidR="00937EF4" w:rsidRPr="008A26D2" w:rsidRDefault="00937EF4" w:rsidP="00937EF4">
            <w:pPr>
              <w:spacing w:after="0" w:line="240" w:lineRule="auto"/>
              <w:rPr>
                <w:rFonts w:ascii="Arial" w:hAnsi="Arial" w:cs="Arial"/>
                <w:b/>
                <w:sz w:val="20"/>
                <w:szCs w:val="20"/>
              </w:rPr>
            </w:pPr>
          </w:p>
        </w:tc>
        <w:tc>
          <w:tcPr>
            <w:tcW w:w="2149"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64A0BBF2" w14:textId="416485B1" w:rsidR="00937EF4" w:rsidRPr="008A26D2" w:rsidRDefault="009E5E9D" w:rsidP="00AE4522">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X</w:t>
            </w:r>
          </w:p>
        </w:tc>
        <w:tc>
          <w:tcPr>
            <w:tcW w:w="2149" w:type="dxa"/>
            <w:tcBorders>
              <w:top w:val="single" w:sz="4" w:space="0" w:color="000000"/>
              <w:left w:val="single" w:sz="4" w:space="0" w:color="000000"/>
              <w:right w:val="single" w:sz="4" w:space="0" w:color="000000"/>
            </w:tcBorders>
            <w:shd w:val="clear" w:color="auto" w:fill="auto"/>
            <w:vAlign w:val="center"/>
          </w:tcPr>
          <w:p w14:paraId="05572209" w14:textId="77777777" w:rsidR="00937EF4" w:rsidRPr="008A26D2" w:rsidRDefault="00937EF4" w:rsidP="00AE4522">
            <w:pPr>
              <w:pBdr>
                <w:top w:val="nil"/>
                <w:left w:val="nil"/>
                <w:bottom w:val="nil"/>
                <w:right w:val="nil"/>
                <w:between w:val="nil"/>
              </w:pBdr>
              <w:spacing w:after="0" w:line="240" w:lineRule="auto"/>
              <w:jc w:val="center"/>
              <w:rPr>
                <w:rFonts w:ascii="Arial" w:eastAsia="Arial Narrow" w:hAnsi="Arial" w:cs="Arial"/>
                <w:sz w:val="20"/>
                <w:szCs w:val="20"/>
              </w:rPr>
            </w:pPr>
          </w:p>
        </w:tc>
        <w:tc>
          <w:tcPr>
            <w:tcW w:w="2150" w:type="dxa"/>
            <w:tcBorders>
              <w:top w:val="single" w:sz="4" w:space="0" w:color="000000"/>
              <w:left w:val="single" w:sz="4" w:space="0" w:color="000000"/>
              <w:right w:val="single" w:sz="4" w:space="0" w:color="000000"/>
            </w:tcBorders>
            <w:shd w:val="clear" w:color="auto" w:fill="auto"/>
            <w:vAlign w:val="center"/>
          </w:tcPr>
          <w:p w14:paraId="061CC8FC" w14:textId="0AD691B6" w:rsidR="00937EF4" w:rsidRPr="008A26D2" w:rsidRDefault="00937EF4" w:rsidP="00AE4522">
            <w:pPr>
              <w:pBdr>
                <w:top w:val="nil"/>
                <w:left w:val="nil"/>
                <w:bottom w:val="nil"/>
                <w:right w:val="nil"/>
                <w:between w:val="nil"/>
              </w:pBdr>
              <w:spacing w:after="0" w:line="240" w:lineRule="auto"/>
              <w:jc w:val="center"/>
              <w:rPr>
                <w:rFonts w:ascii="Arial" w:eastAsia="Arial Narrow" w:hAnsi="Arial" w:cs="Arial"/>
                <w:sz w:val="20"/>
                <w:szCs w:val="20"/>
              </w:rPr>
            </w:pPr>
          </w:p>
        </w:tc>
      </w:tr>
      <w:tr w:rsidR="008A26D2" w:rsidRPr="008A26D2" w14:paraId="27115CFD" w14:textId="77777777" w:rsidTr="00F40748">
        <w:trPr>
          <w:trHeight w:val="300"/>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551D4D3" w14:textId="77777777" w:rsidR="00937EF4" w:rsidRPr="008A26D2" w:rsidRDefault="00937EF4" w:rsidP="00937EF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Receptor del servicio</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F5E7DEA" w14:textId="77777777" w:rsidR="00937EF4" w:rsidRPr="008A26D2" w:rsidRDefault="00937EF4" w:rsidP="00937EF4">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Población en general</w:t>
            </w:r>
          </w:p>
        </w:tc>
      </w:tr>
      <w:tr w:rsidR="008A26D2" w:rsidRPr="008A26D2" w14:paraId="7D3E9F93" w14:textId="77777777" w:rsidTr="00F40748">
        <w:trPr>
          <w:trHeight w:val="211"/>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0292DB9" w14:textId="77777777" w:rsidR="00937EF4" w:rsidRPr="008A26D2" w:rsidRDefault="00937EF4" w:rsidP="00937EF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Alcance del servicio </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6CC0DEA" w14:textId="77777777" w:rsidR="00937EF4" w:rsidRPr="008A26D2" w:rsidRDefault="00937EF4" w:rsidP="00937EF4">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Nacional</w:t>
            </w:r>
          </w:p>
        </w:tc>
      </w:tr>
      <w:tr w:rsidR="008A26D2" w:rsidRPr="008A26D2" w14:paraId="3447FB27" w14:textId="77777777" w:rsidTr="00F40748">
        <w:trPr>
          <w:trHeight w:val="62"/>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67CB4E0" w14:textId="77777777" w:rsidR="00937EF4" w:rsidRPr="008A26D2" w:rsidRDefault="00937EF4" w:rsidP="00937EF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Estándar (es) de cumplimiento</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5933D38F" w14:textId="77777777" w:rsidR="00937EF4" w:rsidRPr="008A26D2" w:rsidRDefault="00937EF4" w:rsidP="00937EF4">
            <w:pPr>
              <w:pBdr>
                <w:top w:val="nil"/>
                <w:left w:val="nil"/>
                <w:bottom w:val="nil"/>
                <w:right w:val="nil"/>
                <w:between w:val="nil"/>
              </w:pBdr>
              <w:spacing w:after="0" w:line="240" w:lineRule="auto"/>
              <w:rPr>
                <w:rFonts w:ascii="Arial" w:hAnsi="Arial" w:cs="Arial"/>
                <w:sz w:val="20"/>
                <w:szCs w:val="20"/>
              </w:rPr>
            </w:pPr>
            <w:r w:rsidRPr="008A26D2">
              <w:rPr>
                <w:rFonts w:ascii="Arial" w:eastAsia="Arial Narrow" w:hAnsi="Arial" w:cs="Arial"/>
                <w:sz w:val="20"/>
                <w:szCs w:val="20"/>
              </w:rPr>
              <w:t>Continuidad</w:t>
            </w:r>
          </w:p>
        </w:tc>
      </w:tr>
      <w:tr w:rsidR="008A26D2" w:rsidRPr="008A26D2" w14:paraId="340C577F" w14:textId="77777777" w:rsidTr="00F40748">
        <w:trPr>
          <w:trHeight w:val="300"/>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87AD7B7" w14:textId="77777777" w:rsidR="00937EF4" w:rsidRPr="008A26D2" w:rsidRDefault="00937EF4" w:rsidP="00937EF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Descripción del estándar</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35" w:type="dxa"/>
              <w:bottom w:w="0" w:type="dxa"/>
              <w:right w:w="15" w:type="dxa"/>
            </w:tcMar>
            <w:vAlign w:val="center"/>
          </w:tcPr>
          <w:p w14:paraId="2BB26B70" w14:textId="0AB82D7C" w:rsidR="00937EF4" w:rsidRPr="008A26D2" w:rsidRDefault="00937EF4" w:rsidP="00937EF4">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El presente estándar busca prevenir la ocurrencia de infracciones contra los recursos forestales y de fauna silvestre mediante el desarrollo de operativos de forma permanente en el bosque y en la cadena productiva forestal y de fauna silvestre, </w:t>
            </w:r>
            <w:r w:rsidR="0042251B" w:rsidRPr="008A26D2">
              <w:rPr>
                <w:rFonts w:ascii="Arial" w:eastAsia="Arial Narrow" w:hAnsi="Arial" w:cs="Arial"/>
                <w:sz w:val="20"/>
                <w:szCs w:val="20"/>
              </w:rPr>
              <w:t xml:space="preserve">realizando al menos 1 operativo al mes </w:t>
            </w:r>
            <w:r w:rsidRPr="008A26D2">
              <w:rPr>
                <w:rFonts w:ascii="Arial" w:eastAsia="Arial Narrow" w:hAnsi="Arial" w:cs="Arial"/>
                <w:sz w:val="20"/>
                <w:szCs w:val="20"/>
              </w:rPr>
              <w:t>de acuerdo al plan de trabajo anual elaborado.</w:t>
            </w:r>
          </w:p>
          <w:p w14:paraId="76D06700" w14:textId="77777777" w:rsidR="00937EF4" w:rsidRPr="008A26D2" w:rsidRDefault="00937EF4" w:rsidP="00937EF4">
            <w:pPr>
              <w:pBdr>
                <w:top w:val="nil"/>
                <w:left w:val="nil"/>
                <w:bottom w:val="nil"/>
                <w:right w:val="nil"/>
                <w:between w:val="nil"/>
              </w:pBdr>
              <w:spacing w:after="0" w:line="240" w:lineRule="auto"/>
              <w:jc w:val="both"/>
              <w:rPr>
                <w:rFonts w:ascii="Arial" w:hAnsi="Arial" w:cs="Arial"/>
                <w:sz w:val="20"/>
                <w:szCs w:val="20"/>
              </w:rPr>
            </w:pPr>
          </w:p>
        </w:tc>
      </w:tr>
      <w:tr w:rsidR="00937EF4" w:rsidRPr="008A26D2" w14:paraId="2EDC7E1B" w14:textId="77777777" w:rsidTr="00F40748">
        <w:trPr>
          <w:trHeight w:val="491"/>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8857D93" w14:textId="198F2806" w:rsidR="00937EF4" w:rsidRPr="008A26D2" w:rsidRDefault="00937EF4" w:rsidP="00937EF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lastRenderedPageBreak/>
              <w:t>Indicador de calidad</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142F5376" w14:textId="77777777" w:rsidR="00937EF4" w:rsidRPr="008A26D2" w:rsidRDefault="00937EF4" w:rsidP="00937EF4">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Número de operativos contra la tala ilegal, caza furtiva y del tráfico ilegal de recursos forestales y de fauna silvestre de forma continua.</w:t>
            </w:r>
          </w:p>
          <w:p w14:paraId="76A18E49" w14:textId="77777777" w:rsidR="00937EF4" w:rsidRPr="008A26D2" w:rsidRDefault="00937EF4" w:rsidP="00937EF4">
            <w:pPr>
              <w:spacing w:after="0" w:line="240" w:lineRule="auto"/>
              <w:ind w:left="283"/>
              <w:jc w:val="both"/>
              <w:rPr>
                <w:rFonts w:ascii="Arial" w:eastAsia="Arial Narrow" w:hAnsi="Arial" w:cs="Arial"/>
                <w:sz w:val="20"/>
                <w:szCs w:val="20"/>
              </w:rPr>
            </w:pPr>
          </w:p>
        </w:tc>
      </w:tr>
    </w:tbl>
    <w:p w14:paraId="5065BC8E" w14:textId="69FF700C" w:rsidR="00212957" w:rsidRDefault="00212957" w:rsidP="00DC5551">
      <w:pPr>
        <w:tabs>
          <w:tab w:val="left" w:pos="3375"/>
        </w:tabs>
        <w:jc w:val="both"/>
        <w:rPr>
          <w:rFonts w:ascii="Arial Narrow" w:eastAsia="Arial Narrow" w:hAnsi="Arial Narrow" w:cs="Arial Narrow"/>
          <w:b/>
        </w:rPr>
      </w:pPr>
    </w:p>
    <w:p w14:paraId="720F6C22" w14:textId="25CCAEFF" w:rsidR="007C046C" w:rsidRPr="0041123F" w:rsidRDefault="007C046C" w:rsidP="00DC5551">
      <w:pPr>
        <w:tabs>
          <w:tab w:val="left" w:pos="3375"/>
        </w:tabs>
        <w:jc w:val="both"/>
        <w:rPr>
          <w:rFonts w:ascii="Arial Narrow" w:eastAsia="Arial Narrow" w:hAnsi="Arial Narrow" w:cs="Arial Narrow"/>
          <w:b/>
        </w:rPr>
      </w:pPr>
      <w:r w:rsidRPr="0041123F">
        <w:rPr>
          <w:rFonts w:ascii="Arial" w:eastAsia="Times New Roman" w:hAnsi="Arial" w:cs="Arial"/>
          <w:b/>
          <w:bCs/>
          <w:sz w:val="20"/>
          <w:szCs w:val="20"/>
        </w:rPr>
        <w:t>S1.9</w:t>
      </w:r>
      <w:r w:rsidRPr="0041123F">
        <w:rPr>
          <w:rFonts w:ascii="Arial" w:eastAsia="Times New Roman" w:hAnsi="Arial" w:cs="Arial"/>
          <w:b/>
          <w:bCs/>
        </w:rPr>
        <w:t>.6</w:t>
      </w:r>
      <w:r w:rsidRPr="0041123F">
        <w:rPr>
          <w:rFonts w:ascii="Arial" w:eastAsia="Times New Roman" w:hAnsi="Arial" w:cs="Arial"/>
        </w:rPr>
        <w:t xml:space="preserve"> Fiscalización del cumplimiento de las obligaciones para la gestión forestal de manera oportuna a titulares de títulos habilitantes</w:t>
      </w:r>
    </w:p>
    <w:tbl>
      <w:tblPr>
        <w:tblW w:w="9214" w:type="dxa"/>
        <w:jc w:val="center"/>
        <w:tblLayout w:type="fixed"/>
        <w:tblLook w:val="0600" w:firstRow="0" w:lastRow="0" w:firstColumn="0" w:lastColumn="0" w:noHBand="1" w:noVBand="1"/>
      </w:tblPr>
      <w:tblGrid>
        <w:gridCol w:w="2693"/>
        <w:gridCol w:w="2221"/>
        <w:gridCol w:w="2221"/>
        <w:gridCol w:w="2079"/>
      </w:tblGrid>
      <w:tr w:rsidR="007C046C" w:rsidRPr="0041123F" w14:paraId="2E3016D6" w14:textId="77777777" w:rsidTr="007C046C">
        <w:trPr>
          <w:trHeight w:val="397"/>
          <w:jc w:val="center"/>
        </w:trPr>
        <w:tc>
          <w:tcPr>
            <w:tcW w:w="9214"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center"/>
          </w:tcPr>
          <w:p w14:paraId="52E1741B" w14:textId="7D9A39F6" w:rsidR="007C046C" w:rsidRPr="0041123F" w:rsidRDefault="007C046C" w:rsidP="00160C8B">
            <w:pPr>
              <w:spacing w:after="0"/>
              <w:jc w:val="center"/>
              <w:rPr>
                <w:rFonts w:ascii="Arial" w:hAnsi="Arial" w:cs="Arial"/>
                <w:sz w:val="20"/>
                <w:szCs w:val="20"/>
              </w:rPr>
            </w:pPr>
            <w:r w:rsidRPr="0041123F">
              <w:rPr>
                <w:rFonts w:ascii="Arial" w:hAnsi="Arial" w:cs="Arial"/>
                <w:b/>
                <w:sz w:val="20"/>
                <w:szCs w:val="20"/>
              </w:rPr>
              <w:t xml:space="preserve">FICHA DEL SERVICIO </w:t>
            </w:r>
          </w:p>
        </w:tc>
      </w:tr>
      <w:tr w:rsidR="007C046C" w:rsidRPr="0041123F" w14:paraId="44F03F87" w14:textId="77777777" w:rsidTr="007C046C">
        <w:trPr>
          <w:trHeight w:val="675"/>
          <w:jc w:val="center"/>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5E8E038" w14:textId="77777777" w:rsidR="007C046C" w:rsidRPr="0041123F" w:rsidRDefault="007C046C" w:rsidP="00160C8B">
            <w:pPr>
              <w:pBdr>
                <w:top w:val="nil"/>
                <w:left w:val="nil"/>
                <w:bottom w:val="nil"/>
                <w:right w:val="nil"/>
                <w:between w:val="nil"/>
              </w:pBdr>
              <w:spacing w:after="0" w:line="240" w:lineRule="auto"/>
              <w:rPr>
                <w:rFonts w:ascii="Arial" w:hAnsi="Arial" w:cs="Arial"/>
                <w:b/>
                <w:sz w:val="20"/>
                <w:szCs w:val="20"/>
              </w:rPr>
            </w:pPr>
            <w:r w:rsidRPr="0041123F">
              <w:rPr>
                <w:rFonts w:ascii="Arial" w:hAnsi="Arial" w:cs="Arial"/>
                <w:b/>
                <w:sz w:val="20"/>
                <w:szCs w:val="20"/>
              </w:rPr>
              <w:t xml:space="preserve"> Objetivo prioritario:</w:t>
            </w:r>
          </w:p>
        </w:tc>
        <w:tc>
          <w:tcPr>
            <w:tcW w:w="652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1EE7AF7" w14:textId="77777777" w:rsidR="007C046C" w:rsidRPr="0041123F" w:rsidRDefault="007C046C" w:rsidP="00160C8B">
            <w:pPr>
              <w:pBdr>
                <w:top w:val="nil"/>
                <w:left w:val="nil"/>
                <w:bottom w:val="nil"/>
                <w:right w:val="nil"/>
                <w:between w:val="nil"/>
              </w:pBdr>
              <w:spacing w:after="0" w:line="240" w:lineRule="auto"/>
              <w:jc w:val="both"/>
              <w:rPr>
                <w:rFonts w:ascii="Arial" w:hAnsi="Arial" w:cs="Arial"/>
                <w:sz w:val="20"/>
                <w:szCs w:val="20"/>
              </w:rPr>
            </w:pPr>
            <w:r w:rsidRPr="0041123F">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r>
      <w:tr w:rsidR="007C046C" w:rsidRPr="0041123F" w14:paraId="1FDCF4A5" w14:textId="77777777" w:rsidTr="007C046C">
        <w:trPr>
          <w:trHeight w:val="683"/>
          <w:jc w:val="center"/>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FC20A2A" w14:textId="77777777" w:rsidR="007C046C" w:rsidRPr="0041123F" w:rsidRDefault="007C046C" w:rsidP="00160C8B">
            <w:pPr>
              <w:pBdr>
                <w:top w:val="nil"/>
                <w:left w:val="nil"/>
                <w:bottom w:val="nil"/>
                <w:right w:val="nil"/>
                <w:between w:val="nil"/>
              </w:pBdr>
              <w:spacing w:after="0" w:line="240" w:lineRule="auto"/>
              <w:rPr>
                <w:rFonts w:ascii="Arial" w:hAnsi="Arial" w:cs="Arial"/>
                <w:b/>
                <w:sz w:val="20"/>
                <w:szCs w:val="20"/>
              </w:rPr>
            </w:pPr>
            <w:r w:rsidRPr="0041123F">
              <w:rPr>
                <w:rFonts w:ascii="Arial" w:hAnsi="Arial" w:cs="Arial"/>
                <w:b/>
                <w:sz w:val="20"/>
                <w:szCs w:val="20"/>
              </w:rPr>
              <w:t xml:space="preserve"> Lineamiento:</w:t>
            </w:r>
          </w:p>
        </w:tc>
        <w:tc>
          <w:tcPr>
            <w:tcW w:w="652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20CCB37" w14:textId="77777777" w:rsidR="007C046C" w:rsidRPr="0041123F" w:rsidRDefault="007C046C" w:rsidP="00160C8B">
            <w:pPr>
              <w:pBdr>
                <w:top w:val="nil"/>
                <w:left w:val="nil"/>
                <w:bottom w:val="nil"/>
                <w:right w:val="nil"/>
                <w:between w:val="nil"/>
              </w:pBdr>
              <w:spacing w:after="0" w:line="240" w:lineRule="auto"/>
              <w:jc w:val="both"/>
              <w:rPr>
                <w:rFonts w:ascii="Arial" w:eastAsia="Arial Narrow" w:hAnsi="Arial" w:cs="Arial"/>
                <w:sz w:val="20"/>
                <w:szCs w:val="20"/>
              </w:rPr>
            </w:pPr>
            <w:r w:rsidRPr="0041123F">
              <w:rPr>
                <w:rFonts w:ascii="Arial" w:eastAsia="Arial Narrow" w:hAnsi="Arial" w:cs="Arial"/>
                <w:sz w:val="20"/>
                <w:szCs w:val="20"/>
              </w:rPr>
              <w:t xml:space="preserve">L1.9 </w:t>
            </w:r>
            <w:r w:rsidRPr="0041123F">
              <w:rPr>
                <w:rFonts w:ascii="Arial" w:eastAsia="Times New Roman" w:hAnsi="Arial" w:cs="Arial"/>
                <w:sz w:val="20"/>
                <w:szCs w:val="20"/>
              </w:rPr>
              <w:t>Reducir los niveles de tala ilegal, caza furtiva y del tráfico ilegal forestal y de fauna silvestre.</w:t>
            </w:r>
          </w:p>
        </w:tc>
      </w:tr>
      <w:tr w:rsidR="007C046C" w:rsidRPr="002D17F7" w14:paraId="050C2E7B" w14:textId="77777777" w:rsidTr="007C046C">
        <w:trPr>
          <w:trHeight w:val="690"/>
          <w:jc w:val="center"/>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AA2147C" w14:textId="77777777" w:rsidR="007C046C" w:rsidRPr="0041123F" w:rsidRDefault="007C046C" w:rsidP="00160C8B">
            <w:pPr>
              <w:pBdr>
                <w:top w:val="nil"/>
                <w:left w:val="nil"/>
                <w:bottom w:val="nil"/>
                <w:right w:val="nil"/>
                <w:between w:val="nil"/>
              </w:pBdr>
              <w:spacing w:after="0" w:line="240" w:lineRule="auto"/>
              <w:rPr>
                <w:rFonts w:ascii="Arial" w:hAnsi="Arial" w:cs="Arial"/>
                <w:b/>
                <w:sz w:val="20"/>
                <w:szCs w:val="20"/>
              </w:rPr>
            </w:pPr>
            <w:r w:rsidRPr="0041123F">
              <w:rPr>
                <w:rFonts w:ascii="Arial" w:hAnsi="Arial" w:cs="Arial"/>
                <w:b/>
                <w:sz w:val="20"/>
                <w:szCs w:val="20"/>
              </w:rPr>
              <w:t xml:space="preserve"> Nombre del servicio:</w:t>
            </w:r>
          </w:p>
        </w:tc>
        <w:tc>
          <w:tcPr>
            <w:tcW w:w="652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6F8E23E" w14:textId="77777777" w:rsidR="007C046C" w:rsidRPr="002D17F7" w:rsidRDefault="007C046C" w:rsidP="00160C8B">
            <w:pPr>
              <w:pBdr>
                <w:top w:val="nil"/>
                <w:left w:val="nil"/>
                <w:bottom w:val="nil"/>
                <w:right w:val="nil"/>
                <w:between w:val="nil"/>
              </w:pBdr>
              <w:spacing w:after="0" w:line="240" w:lineRule="auto"/>
              <w:jc w:val="both"/>
              <w:rPr>
                <w:rFonts w:ascii="Arial" w:eastAsia="Times New Roman" w:hAnsi="Arial" w:cs="Arial"/>
                <w:sz w:val="20"/>
                <w:szCs w:val="20"/>
              </w:rPr>
            </w:pPr>
            <w:r w:rsidRPr="0041123F">
              <w:rPr>
                <w:rFonts w:ascii="Arial" w:eastAsia="Times New Roman" w:hAnsi="Arial" w:cs="Arial"/>
                <w:sz w:val="20"/>
                <w:szCs w:val="20"/>
              </w:rPr>
              <w:t>S1.9.6 Fiscalización del cumplimiento de las obligaciones para la gestión forestal de manera oportuna a titulares de títulos habilitantes.</w:t>
            </w:r>
          </w:p>
        </w:tc>
      </w:tr>
      <w:tr w:rsidR="007C046C" w:rsidRPr="00007C5C" w14:paraId="0797B06F" w14:textId="77777777" w:rsidTr="007C046C">
        <w:trPr>
          <w:trHeight w:val="400"/>
          <w:jc w:val="center"/>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F5FE2E0" w14:textId="77777777" w:rsidR="007C046C" w:rsidRPr="00007C5C" w:rsidRDefault="007C046C" w:rsidP="00160C8B">
            <w:pPr>
              <w:pBdr>
                <w:top w:val="nil"/>
                <w:left w:val="nil"/>
                <w:bottom w:val="nil"/>
                <w:right w:val="nil"/>
                <w:between w:val="nil"/>
              </w:pBdr>
              <w:spacing w:after="0" w:line="240" w:lineRule="auto"/>
              <w:rPr>
                <w:rFonts w:ascii="Arial" w:hAnsi="Arial" w:cs="Arial"/>
                <w:b/>
                <w:sz w:val="20"/>
                <w:szCs w:val="20"/>
              </w:rPr>
            </w:pPr>
            <w:r w:rsidRPr="00007C5C">
              <w:rPr>
                <w:rFonts w:ascii="Arial" w:hAnsi="Arial" w:cs="Arial"/>
                <w:b/>
                <w:sz w:val="20"/>
                <w:szCs w:val="20"/>
              </w:rPr>
              <w:t>Tipo de servicio:</w:t>
            </w:r>
          </w:p>
        </w:tc>
        <w:tc>
          <w:tcPr>
            <w:tcW w:w="652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C8F7C12" w14:textId="77777777" w:rsidR="007C046C" w:rsidRPr="00007C5C" w:rsidRDefault="007C046C" w:rsidP="00160C8B">
            <w:pPr>
              <w:pBdr>
                <w:top w:val="nil"/>
                <w:left w:val="nil"/>
                <w:bottom w:val="nil"/>
                <w:right w:val="nil"/>
                <w:between w:val="nil"/>
              </w:pBdr>
              <w:spacing w:after="0" w:line="240" w:lineRule="auto"/>
              <w:jc w:val="both"/>
              <w:rPr>
                <w:rFonts w:ascii="Arial" w:eastAsia="Arial Narrow" w:hAnsi="Arial" w:cs="Arial"/>
                <w:sz w:val="20"/>
                <w:szCs w:val="20"/>
              </w:rPr>
            </w:pPr>
            <w:r w:rsidRPr="00007C5C">
              <w:rPr>
                <w:rFonts w:ascii="Arial" w:eastAsia="Arial Narrow" w:hAnsi="Arial" w:cs="Arial"/>
                <w:sz w:val="20"/>
                <w:szCs w:val="20"/>
              </w:rPr>
              <w:t>Mejorado</w:t>
            </w:r>
          </w:p>
        </w:tc>
      </w:tr>
      <w:tr w:rsidR="007C046C" w:rsidRPr="002D17F7" w14:paraId="31D28E95" w14:textId="77777777" w:rsidTr="007C046C">
        <w:trPr>
          <w:trHeight w:val="400"/>
          <w:jc w:val="center"/>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1584965" w14:textId="77777777" w:rsidR="007C046C" w:rsidRPr="002D17F7" w:rsidRDefault="007C046C" w:rsidP="00160C8B">
            <w:pPr>
              <w:pBdr>
                <w:top w:val="nil"/>
                <w:left w:val="nil"/>
                <w:bottom w:val="nil"/>
                <w:right w:val="nil"/>
                <w:between w:val="nil"/>
              </w:pBdr>
              <w:spacing w:after="0" w:line="240" w:lineRule="auto"/>
              <w:rPr>
                <w:rFonts w:ascii="Arial" w:hAnsi="Arial" w:cs="Arial"/>
                <w:b/>
                <w:sz w:val="20"/>
                <w:szCs w:val="20"/>
              </w:rPr>
            </w:pPr>
            <w:r w:rsidRPr="002D17F7">
              <w:rPr>
                <w:rFonts w:ascii="Arial" w:hAnsi="Arial" w:cs="Arial"/>
                <w:b/>
                <w:sz w:val="20"/>
                <w:szCs w:val="20"/>
              </w:rPr>
              <w:t>Naturaleza del servicio:</w:t>
            </w:r>
          </w:p>
        </w:tc>
        <w:tc>
          <w:tcPr>
            <w:tcW w:w="652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30494F1" w14:textId="77777777" w:rsidR="007C046C" w:rsidRPr="002D17F7" w:rsidRDefault="007C046C" w:rsidP="00160C8B">
            <w:pPr>
              <w:pBdr>
                <w:top w:val="nil"/>
                <w:left w:val="nil"/>
                <w:bottom w:val="nil"/>
                <w:right w:val="nil"/>
                <w:between w:val="nil"/>
              </w:pBdr>
              <w:spacing w:after="0" w:line="240" w:lineRule="auto"/>
              <w:jc w:val="both"/>
              <w:rPr>
                <w:rFonts w:ascii="Arial" w:eastAsia="Arial Narrow" w:hAnsi="Arial" w:cs="Arial"/>
                <w:sz w:val="20"/>
                <w:szCs w:val="20"/>
              </w:rPr>
            </w:pPr>
            <w:r w:rsidRPr="002D17F7">
              <w:rPr>
                <w:rFonts w:ascii="Arial" w:eastAsia="Arial Narrow" w:hAnsi="Arial" w:cs="Arial"/>
                <w:sz w:val="20"/>
                <w:szCs w:val="20"/>
              </w:rPr>
              <w:t>No prestacional</w:t>
            </w:r>
          </w:p>
        </w:tc>
      </w:tr>
      <w:tr w:rsidR="007C046C" w:rsidRPr="002D17F7" w14:paraId="60D9AB5F" w14:textId="77777777" w:rsidTr="007C046C">
        <w:trPr>
          <w:trHeight w:val="400"/>
          <w:jc w:val="center"/>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5B4CA55" w14:textId="77777777" w:rsidR="007C046C" w:rsidRPr="002D17F7" w:rsidRDefault="007C046C" w:rsidP="00160C8B">
            <w:pPr>
              <w:pBdr>
                <w:top w:val="nil"/>
                <w:left w:val="nil"/>
                <w:bottom w:val="nil"/>
                <w:right w:val="nil"/>
                <w:between w:val="nil"/>
              </w:pBdr>
              <w:spacing w:after="0" w:line="240" w:lineRule="auto"/>
              <w:rPr>
                <w:rFonts w:ascii="Arial" w:hAnsi="Arial" w:cs="Arial"/>
                <w:b/>
                <w:sz w:val="20"/>
                <w:szCs w:val="20"/>
              </w:rPr>
            </w:pPr>
            <w:r w:rsidRPr="002D17F7">
              <w:rPr>
                <w:rFonts w:ascii="Arial" w:hAnsi="Arial" w:cs="Arial"/>
                <w:b/>
                <w:sz w:val="20"/>
                <w:szCs w:val="20"/>
              </w:rPr>
              <w:t>Entrega del servicio</w:t>
            </w:r>
          </w:p>
        </w:tc>
        <w:tc>
          <w:tcPr>
            <w:tcW w:w="652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3C327C6" w14:textId="77777777" w:rsidR="007C046C" w:rsidRPr="002D17F7" w:rsidRDefault="007C046C" w:rsidP="00160C8B">
            <w:pPr>
              <w:pBdr>
                <w:top w:val="nil"/>
                <w:left w:val="nil"/>
                <w:bottom w:val="nil"/>
                <w:right w:val="nil"/>
                <w:between w:val="nil"/>
              </w:pBdr>
              <w:spacing w:after="0" w:line="240" w:lineRule="auto"/>
              <w:jc w:val="both"/>
              <w:rPr>
                <w:rFonts w:ascii="Arial" w:eastAsia="Arial Narrow" w:hAnsi="Arial" w:cs="Arial"/>
                <w:sz w:val="20"/>
                <w:szCs w:val="20"/>
              </w:rPr>
            </w:pPr>
            <w:r w:rsidRPr="002D17F7">
              <w:rPr>
                <w:rFonts w:ascii="Arial" w:eastAsia="Arial Narrow" w:hAnsi="Arial" w:cs="Arial"/>
                <w:sz w:val="20"/>
                <w:szCs w:val="20"/>
              </w:rPr>
              <w:t xml:space="preserve">Competencia exclusiva </w:t>
            </w:r>
          </w:p>
        </w:tc>
      </w:tr>
      <w:tr w:rsidR="007C046C" w:rsidRPr="00007C5C" w14:paraId="797586DF" w14:textId="77777777" w:rsidTr="007C046C">
        <w:trPr>
          <w:trHeight w:val="3242"/>
          <w:jc w:val="center"/>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990508D" w14:textId="77777777" w:rsidR="007C046C" w:rsidRPr="00007C5C" w:rsidRDefault="007C046C" w:rsidP="00160C8B">
            <w:pPr>
              <w:pBdr>
                <w:top w:val="nil"/>
                <w:left w:val="nil"/>
                <w:bottom w:val="nil"/>
                <w:right w:val="nil"/>
                <w:between w:val="nil"/>
              </w:pBdr>
              <w:spacing w:after="0" w:line="240" w:lineRule="auto"/>
              <w:rPr>
                <w:rFonts w:ascii="Arial" w:hAnsi="Arial" w:cs="Arial"/>
                <w:b/>
                <w:sz w:val="20"/>
                <w:szCs w:val="20"/>
              </w:rPr>
            </w:pPr>
            <w:r w:rsidRPr="00007C5C">
              <w:rPr>
                <w:rFonts w:ascii="Arial" w:hAnsi="Arial" w:cs="Arial"/>
                <w:b/>
                <w:sz w:val="20"/>
                <w:szCs w:val="20"/>
              </w:rPr>
              <w:t xml:space="preserve"> Descripción del servicio</w:t>
            </w:r>
          </w:p>
        </w:tc>
        <w:tc>
          <w:tcPr>
            <w:tcW w:w="652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06F006C" w14:textId="682E9CC0" w:rsidR="007C046C" w:rsidRDefault="007C046C" w:rsidP="00160C8B">
            <w:pPr>
              <w:spacing w:after="0" w:line="240" w:lineRule="auto"/>
              <w:jc w:val="both"/>
              <w:rPr>
                <w:rFonts w:ascii="Arial" w:eastAsia="Arial Narrow" w:hAnsi="Arial" w:cs="Arial"/>
                <w:sz w:val="20"/>
                <w:szCs w:val="20"/>
              </w:rPr>
            </w:pPr>
            <w:r w:rsidRPr="00007C5C">
              <w:rPr>
                <w:rFonts w:ascii="Arial" w:eastAsia="Arial Narrow" w:hAnsi="Arial" w:cs="Arial"/>
                <w:sz w:val="20"/>
                <w:szCs w:val="20"/>
              </w:rPr>
              <w:t xml:space="preserve">El servicio </w:t>
            </w:r>
            <w:r>
              <w:rPr>
                <w:rFonts w:ascii="Arial" w:eastAsia="Arial Narrow" w:hAnsi="Arial" w:cs="Arial"/>
                <w:sz w:val="20"/>
                <w:szCs w:val="20"/>
              </w:rPr>
              <w:t>de</w:t>
            </w:r>
            <w:r w:rsidRPr="00007C5C">
              <w:rPr>
                <w:rFonts w:ascii="Arial" w:eastAsia="Arial Narrow" w:hAnsi="Arial" w:cs="Arial"/>
                <w:sz w:val="20"/>
                <w:szCs w:val="20"/>
              </w:rPr>
              <w:t xml:space="preserve"> fiscalización </w:t>
            </w:r>
            <w:r>
              <w:rPr>
                <w:rFonts w:ascii="Arial" w:eastAsia="Arial Narrow" w:hAnsi="Arial" w:cs="Arial"/>
                <w:sz w:val="20"/>
                <w:szCs w:val="20"/>
              </w:rPr>
              <w:t>a títulos habilitantes que realiza el OSINFOR consiste en el conjunto de</w:t>
            </w:r>
            <w:r w:rsidRPr="00007C5C">
              <w:rPr>
                <w:rFonts w:ascii="Arial" w:eastAsia="Arial Narrow" w:hAnsi="Arial" w:cs="Arial"/>
                <w:sz w:val="20"/>
                <w:szCs w:val="20"/>
              </w:rPr>
              <w:t xml:space="preserve"> actos y diligencias de</w:t>
            </w:r>
            <w:r>
              <w:rPr>
                <w:rFonts w:ascii="Arial" w:eastAsia="Arial Narrow" w:hAnsi="Arial" w:cs="Arial"/>
                <w:sz w:val="20"/>
                <w:szCs w:val="20"/>
              </w:rPr>
              <w:t xml:space="preserve"> </w:t>
            </w:r>
            <w:r w:rsidRPr="00007C5C">
              <w:rPr>
                <w:rFonts w:ascii="Arial" w:eastAsia="Arial Narrow" w:hAnsi="Arial" w:cs="Arial"/>
                <w:sz w:val="20"/>
                <w:szCs w:val="20"/>
              </w:rPr>
              <w:t>supervisión</w:t>
            </w:r>
            <w:r>
              <w:rPr>
                <w:rFonts w:ascii="Arial" w:eastAsia="Arial Narrow" w:hAnsi="Arial" w:cs="Arial"/>
                <w:sz w:val="20"/>
                <w:szCs w:val="20"/>
              </w:rPr>
              <w:t xml:space="preserve"> que </w:t>
            </w:r>
            <w:r w:rsidRPr="00007C5C">
              <w:rPr>
                <w:rFonts w:ascii="Arial" w:eastAsia="Arial Narrow" w:hAnsi="Arial" w:cs="Arial"/>
                <w:sz w:val="20"/>
                <w:szCs w:val="20"/>
              </w:rPr>
              <w:t xml:space="preserve">busca </w:t>
            </w:r>
            <w:r w:rsidRPr="004E6B45">
              <w:rPr>
                <w:rFonts w:ascii="Arial" w:eastAsia="Arial Narrow" w:hAnsi="Arial" w:cs="Arial"/>
                <w:sz w:val="20"/>
                <w:szCs w:val="20"/>
              </w:rPr>
              <w:t>garantizar el cumplimiento de las obligaciones, prohibiciones y otras limitaciones exigibles para el manejo de los recursos forestales</w:t>
            </w:r>
            <w:r>
              <w:rPr>
                <w:rFonts w:ascii="Arial" w:eastAsia="Arial Narrow" w:hAnsi="Arial" w:cs="Arial"/>
                <w:sz w:val="20"/>
                <w:szCs w:val="20"/>
              </w:rPr>
              <w:t xml:space="preserve"> maderables</w:t>
            </w:r>
            <w:r w:rsidR="00581D34">
              <w:rPr>
                <w:rFonts w:ascii="Arial" w:eastAsia="Arial Narrow" w:hAnsi="Arial" w:cs="Arial"/>
                <w:sz w:val="20"/>
                <w:szCs w:val="20"/>
              </w:rPr>
              <w:t xml:space="preserve"> y no maderables</w:t>
            </w:r>
            <w:r w:rsidRPr="004E6B45">
              <w:rPr>
                <w:rFonts w:ascii="Arial" w:eastAsia="Arial Narrow" w:hAnsi="Arial" w:cs="Arial"/>
                <w:sz w:val="20"/>
                <w:szCs w:val="20"/>
              </w:rPr>
              <w:t xml:space="preserve"> por parte de los titulares de títulos habilitantes, de conformidad con una norma legal o reglamentaria, contratos con el Estado u otra fuente jurídica, a fin de contribuir a la conservación del</w:t>
            </w:r>
            <w:r w:rsidRPr="00007C5C">
              <w:rPr>
                <w:rFonts w:ascii="Arial" w:eastAsia="Arial Narrow" w:hAnsi="Arial" w:cs="Arial"/>
                <w:sz w:val="20"/>
                <w:szCs w:val="20"/>
              </w:rPr>
              <w:t xml:space="preserve"> Patrimonio Forestal de la Nación y a la competitividad de la cadena de valor de la madera. </w:t>
            </w:r>
          </w:p>
          <w:p w14:paraId="4D7008D9" w14:textId="77777777" w:rsidR="007C046C" w:rsidRDefault="007C046C" w:rsidP="00160C8B">
            <w:pPr>
              <w:spacing w:after="0" w:line="240" w:lineRule="auto"/>
              <w:jc w:val="both"/>
              <w:rPr>
                <w:rFonts w:ascii="Arial" w:eastAsia="Arial Narrow" w:hAnsi="Arial" w:cs="Arial"/>
                <w:sz w:val="20"/>
                <w:szCs w:val="20"/>
              </w:rPr>
            </w:pPr>
          </w:p>
          <w:p w14:paraId="5E104FF6" w14:textId="77777777" w:rsidR="007C046C" w:rsidRDefault="007C046C" w:rsidP="00160C8B">
            <w:pPr>
              <w:spacing w:after="0" w:line="240" w:lineRule="auto"/>
              <w:jc w:val="both"/>
              <w:rPr>
                <w:rFonts w:ascii="Arial" w:eastAsia="Arial Narrow" w:hAnsi="Arial" w:cs="Arial"/>
                <w:sz w:val="20"/>
                <w:szCs w:val="20"/>
              </w:rPr>
            </w:pPr>
            <w:r>
              <w:rPr>
                <w:rFonts w:ascii="Arial" w:eastAsia="Arial Narrow" w:hAnsi="Arial" w:cs="Arial"/>
                <w:sz w:val="20"/>
                <w:szCs w:val="20"/>
              </w:rPr>
              <w:t xml:space="preserve">El atributo de oportunidad se refiere al hecho de que las fiscalizaciones se realizan antes o durante la extracción y/o movilización del recurso, es decir, con un enfoque preventivo y promotor del cumplimiento de obligaciones, que busca </w:t>
            </w:r>
            <w:r w:rsidRPr="00527FDC">
              <w:rPr>
                <w:rFonts w:ascii="Arial" w:eastAsia="Arial Narrow" w:hAnsi="Arial" w:cs="Arial"/>
                <w:sz w:val="20"/>
                <w:szCs w:val="20"/>
              </w:rPr>
              <w:t>garantizar el</w:t>
            </w:r>
            <w:r w:rsidRPr="00007C5C">
              <w:rPr>
                <w:rFonts w:ascii="Arial" w:eastAsia="Arial Narrow" w:hAnsi="Arial" w:cs="Arial"/>
                <w:sz w:val="20"/>
                <w:szCs w:val="20"/>
              </w:rPr>
              <w:t xml:space="preserve"> uso sostenible de los recursos otorgado</w:t>
            </w:r>
            <w:r>
              <w:rPr>
                <w:rFonts w:ascii="Arial" w:eastAsia="Arial Narrow" w:hAnsi="Arial" w:cs="Arial"/>
                <w:sz w:val="20"/>
                <w:szCs w:val="20"/>
              </w:rPr>
              <w:t>s mediante títulos habilitantes.</w:t>
            </w:r>
          </w:p>
          <w:p w14:paraId="32D8761F" w14:textId="77777777" w:rsidR="007C046C" w:rsidRDefault="007C046C" w:rsidP="00160C8B">
            <w:pPr>
              <w:spacing w:after="0" w:line="240" w:lineRule="auto"/>
              <w:jc w:val="both"/>
              <w:rPr>
                <w:rFonts w:ascii="Arial" w:eastAsia="Arial Narrow" w:hAnsi="Arial" w:cs="Arial"/>
                <w:sz w:val="20"/>
                <w:szCs w:val="20"/>
              </w:rPr>
            </w:pPr>
          </w:p>
          <w:p w14:paraId="3538505D" w14:textId="77777777" w:rsidR="007C046C" w:rsidRDefault="007C046C" w:rsidP="00160C8B">
            <w:pPr>
              <w:spacing w:after="0" w:line="240" w:lineRule="auto"/>
              <w:jc w:val="both"/>
              <w:rPr>
                <w:rFonts w:ascii="Arial" w:eastAsia="Arial Narrow" w:hAnsi="Arial" w:cs="Arial"/>
                <w:sz w:val="20"/>
                <w:szCs w:val="20"/>
              </w:rPr>
            </w:pPr>
            <w:r>
              <w:rPr>
                <w:rFonts w:ascii="Arial" w:eastAsia="Arial Narrow" w:hAnsi="Arial" w:cs="Arial"/>
                <w:sz w:val="20"/>
                <w:szCs w:val="20"/>
              </w:rPr>
              <w:t xml:space="preserve">La mejora del servicio involucra aplicar los enfoques preventivo y promotor que se propone a las fiscalizaciones, las mismas que antes sólo consideraban el enfoque de riesgo. Por otro lado, se propone la modalidad de las fiscalizaciones en gabinete (remota), las cuales consisten en </w:t>
            </w:r>
            <w:r w:rsidRPr="00E0177C">
              <w:rPr>
                <w:rFonts w:ascii="Arial" w:eastAsia="Arial Narrow" w:hAnsi="Arial" w:cs="Arial"/>
                <w:sz w:val="20"/>
                <w:szCs w:val="20"/>
              </w:rPr>
              <w:t xml:space="preserve">emplear </w:t>
            </w:r>
            <w:r>
              <w:rPr>
                <w:rFonts w:ascii="Arial" w:eastAsia="Arial Narrow" w:hAnsi="Arial" w:cs="Arial"/>
                <w:sz w:val="20"/>
                <w:szCs w:val="20"/>
              </w:rPr>
              <w:t xml:space="preserve">herramientas </w:t>
            </w:r>
            <w:r w:rsidRPr="00E0177C">
              <w:rPr>
                <w:rFonts w:ascii="Arial" w:eastAsia="Arial Narrow" w:hAnsi="Arial" w:cs="Arial"/>
                <w:sz w:val="20"/>
                <w:szCs w:val="20"/>
              </w:rPr>
              <w:t>tecnol</w:t>
            </w:r>
            <w:r>
              <w:rPr>
                <w:rFonts w:ascii="Arial" w:eastAsia="Arial Narrow" w:hAnsi="Arial" w:cs="Arial"/>
                <w:sz w:val="20"/>
                <w:szCs w:val="20"/>
              </w:rPr>
              <w:t>ó</w:t>
            </w:r>
            <w:r w:rsidRPr="00E0177C">
              <w:rPr>
                <w:rFonts w:ascii="Arial" w:eastAsia="Arial Narrow" w:hAnsi="Arial" w:cs="Arial"/>
                <w:sz w:val="20"/>
                <w:szCs w:val="20"/>
              </w:rPr>
              <w:t>gi</w:t>
            </w:r>
            <w:r>
              <w:rPr>
                <w:rFonts w:ascii="Arial" w:eastAsia="Arial Narrow" w:hAnsi="Arial" w:cs="Arial"/>
                <w:sz w:val="20"/>
                <w:szCs w:val="20"/>
              </w:rPr>
              <w:t>c</w:t>
            </w:r>
            <w:r w:rsidRPr="00E0177C">
              <w:rPr>
                <w:rFonts w:ascii="Arial" w:eastAsia="Arial Narrow" w:hAnsi="Arial" w:cs="Arial"/>
                <w:sz w:val="20"/>
                <w:szCs w:val="20"/>
              </w:rPr>
              <w:t>as tales como i</w:t>
            </w:r>
            <w:r>
              <w:rPr>
                <w:rFonts w:ascii="Arial" w:eastAsia="Arial Narrow" w:hAnsi="Arial" w:cs="Arial"/>
                <w:sz w:val="20"/>
                <w:szCs w:val="20"/>
              </w:rPr>
              <w:t>mágenes satelitales y algoritmos,</w:t>
            </w:r>
            <w:r w:rsidRPr="00E0177C">
              <w:rPr>
                <w:rFonts w:ascii="Arial" w:eastAsia="Arial Narrow" w:hAnsi="Arial" w:cs="Arial"/>
                <w:sz w:val="20"/>
                <w:szCs w:val="20"/>
              </w:rPr>
              <w:t xml:space="preserve"> </w:t>
            </w:r>
            <w:r>
              <w:rPr>
                <w:rFonts w:ascii="Arial" w:eastAsia="Arial Narrow" w:hAnsi="Arial" w:cs="Arial"/>
                <w:sz w:val="20"/>
                <w:szCs w:val="20"/>
              </w:rPr>
              <w:t>las cuales complementan</w:t>
            </w:r>
            <w:r w:rsidRPr="00E0177C">
              <w:rPr>
                <w:rFonts w:ascii="Arial" w:eastAsia="Arial Narrow" w:hAnsi="Arial" w:cs="Arial"/>
                <w:sz w:val="20"/>
                <w:szCs w:val="20"/>
              </w:rPr>
              <w:t xml:space="preserve"> a las</w:t>
            </w:r>
            <w:r>
              <w:rPr>
                <w:rFonts w:ascii="Arial" w:eastAsia="Arial Narrow" w:hAnsi="Arial" w:cs="Arial"/>
                <w:sz w:val="20"/>
                <w:szCs w:val="20"/>
              </w:rPr>
              <w:t xml:space="preserve"> fiscalizaciones</w:t>
            </w:r>
            <w:r w:rsidRPr="00E0177C">
              <w:rPr>
                <w:rFonts w:ascii="Arial" w:eastAsia="Arial Narrow" w:hAnsi="Arial" w:cs="Arial"/>
                <w:sz w:val="20"/>
                <w:szCs w:val="20"/>
              </w:rPr>
              <w:t xml:space="preserve"> presenciales</w:t>
            </w:r>
            <w:r>
              <w:rPr>
                <w:rFonts w:ascii="Arial" w:eastAsia="Arial Narrow" w:hAnsi="Arial" w:cs="Arial"/>
                <w:sz w:val="20"/>
                <w:szCs w:val="20"/>
              </w:rPr>
              <w:t xml:space="preserve"> (campo); ambas se ejecutan a </w:t>
            </w:r>
            <w:r w:rsidRPr="00007C5C">
              <w:rPr>
                <w:rFonts w:ascii="Arial" w:eastAsia="Arial Narrow" w:hAnsi="Arial" w:cs="Arial"/>
                <w:sz w:val="20"/>
                <w:szCs w:val="20"/>
              </w:rPr>
              <w:t>n</w:t>
            </w:r>
            <w:r>
              <w:rPr>
                <w:rFonts w:ascii="Arial" w:eastAsia="Arial Narrow" w:hAnsi="Arial" w:cs="Arial"/>
                <w:sz w:val="20"/>
                <w:szCs w:val="20"/>
              </w:rPr>
              <w:t xml:space="preserve">ivel nacional, a través de las </w:t>
            </w:r>
            <w:r w:rsidRPr="00007C5C">
              <w:rPr>
                <w:rFonts w:ascii="Arial" w:eastAsia="Arial Narrow" w:hAnsi="Arial" w:cs="Arial"/>
                <w:sz w:val="20"/>
                <w:szCs w:val="20"/>
              </w:rPr>
              <w:t>Oficinas Desconcentradas</w:t>
            </w:r>
          </w:p>
          <w:p w14:paraId="4C6FD61A" w14:textId="77777777" w:rsidR="007C046C" w:rsidRPr="00007C5C" w:rsidRDefault="007C046C" w:rsidP="00160C8B">
            <w:pPr>
              <w:spacing w:after="0" w:line="240" w:lineRule="auto"/>
              <w:jc w:val="both"/>
              <w:rPr>
                <w:rFonts w:ascii="Arial" w:eastAsia="Arial Narrow" w:hAnsi="Arial" w:cs="Arial"/>
                <w:sz w:val="20"/>
                <w:szCs w:val="20"/>
              </w:rPr>
            </w:pPr>
          </w:p>
        </w:tc>
      </w:tr>
      <w:tr w:rsidR="007C046C" w:rsidRPr="00007C5C" w14:paraId="54B28FB8" w14:textId="77777777" w:rsidTr="007C046C">
        <w:trPr>
          <w:trHeight w:val="395"/>
          <w:jc w:val="center"/>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CC41AA4" w14:textId="77777777" w:rsidR="007C046C" w:rsidRPr="00007C5C" w:rsidRDefault="007C046C" w:rsidP="00160C8B">
            <w:pPr>
              <w:pBdr>
                <w:top w:val="nil"/>
                <w:left w:val="nil"/>
                <w:bottom w:val="nil"/>
                <w:right w:val="nil"/>
                <w:between w:val="nil"/>
              </w:pBdr>
              <w:spacing w:after="0" w:line="240" w:lineRule="auto"/>
              <w:rPr>
                <w:rFonts w:ascii="Arial" w:hAnsi="Arial" w:cs="Arial"/>
                <w:b/>
                <w:sz w:val="20"/>
                <w:szCs w:val="20"/>
              </w:rPr>
            </w:pPr>
            <w:r w:rsidRPr="00007C5C">
              <w:rPr>
                <w:rFonts w:ascii="Arial" w:hAnsi="Arial" w:cs="Arial"/>
                <w:b/>
                <w:sz w:val="20"/>
                <w:szCs w:val="20"/>
              </w:rPr>
              <w:t xml:space="preserve"> Proveedor del servicio</w:t>
            </w:r>
          </w:p>
        </w:tc>
        <w:tc>
          <w:tcPr>
            <w:tcW w:w="652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A3EC257" w14:textId="77777777" w:rsidR="007C046C" w:rsidRPr="00007C5C" w:rsidRDefault="007C046C" w:rsidP="00160C8B">
            <w:pPr>
              <w:pBdr>
                <w:top w:val="nil"/>
                <w:left w:val="nil"/>
                <w:bottom w:val="nil"/>
                <w:right w:val="nil"/>
                <w:between w:val="nil"/>
              </w:pBdr>
              <w:spacing w:after="0" w:line="240" w:lineRule="auto"/>
              <w:jc w:val="both"/>
              <w:rPr>
                <w:rFonts w:ascii="Arial" w:eastAsia="Arial Narrow" w:hAnsi="Arial" w:cs="Arial"/>
                <w:sz w:val="20"/>
                <w:szCs w:val="20"/>
              </w:rPr>
            </w:pPr>
            <w:r w:rsidRPr="00007C5C">
              <w:rPr>
                <w:rFonts w:ascii="Arial" w:eastAsia="Arial Narrow" w:hAnsi="Arial" w:cs="Arial"/>
                <w:sz w:val="20"/>
                <w:szCs w:val="20"/>
              </w:rPr>
              <w:t>Organismo de Supervisión de los Recursos Forestales y de Fauna Silvestre-OSINFOR</w:t>
            </w:r>
          </w:p>
        </w:tc>
      </w:tr>
      <w:tr w:rsidR="007C046C" w:rsidRPr="002D17F7" w14:paraId="6F4E31FA" w14:textId="77777777" w:rsidTr="007C046C">
        <w:trPr>
          <w:trHeight w:val="382"/>
          <w:jc w:val="center"/>
        </w:trPr>
        <w:tc>
          <w:tcPr>
            <w:tcW w:w="2693" w:type="dxa"/>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61407975" w14:textId="77777777" w:rsidR="007C046C" w:rsidRPr="002D17F7" w:rsidRDefault="007C046C" w:rsidP="00160C8B">
            <w:pPr>
              <w:spacing w:after="0" w:line="240" w:lineRule="auto"/>
              <w:rPr>
                <w:rFonts w:ascii="Arial" w:hAnsi="Arial" w:cs="Arial"/>
                <w:b/>
                <w:sz w:val="20"/>
                <w:szCs w:val="20"/>
              </w:rPr>
            </w:pPr>
            <w:r w:rsidRPr="002D17F7">
              <w:rPr>
                <w:rFonts w:ascii="Arial" w:hAnsi="Arial" w:cs="Arial"/>
                <w:b/>
                <w:sz w:val="20"/>
                <w:szCs w:val="20"/>
              </w:rPr>
              <w:t>Nivel (es) de gobierno que interviene</w:t>
            </w:r>
          </w:p>
          <w:p w14:paraId="018061C3" w14:textId="77777777" w:rsidR="007C046C" w:rsidRPr="002D17F7" w:rsidRDefault="007C046C" w:rsidP="00160C8B">
            <w:pPr>
              <w:pBdr>
                <w:top w:val="nil"/>
                <w:left w:val="nil"/>
                <w:bottom w:val="nil"/>
                <w:right w:val="nil"/>
                <w:between w:val="nil"/>
              </w:pBdr>
              <w:spacing w:after="0" w:line="240" w:lineRule="auto"/>
              <w:rPr>
                <w:rFonts w:ascii="Arial" w:hAnsi="Arial" w:cs="Arial"/>
                <w:b/>
                <w:sz w:val="20"/>
                <w:szCs w:val="20"/>
              </w:rPr>
            </w:pPr>
            <w:r w:rsidRPr="002D17F7">
              <w:rPr>
                <w:rFonts w:ascii="Arial" w:hAnsi="Arial" w:cs="Arial"/>
                <w:b/>
                <w:sz w:val="20"/>
                <w:szCs w:val="20"/>
              </w:rPr>
              <w:t>(n) en la provisión del servicio</w:t>
            </w:r>
          </w:p>
        </w:tc>
        <w:tc>
          <w:tcPr>
            <w:tcW w:w="2221"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35332AAA" w14:textId="77777777" w:rsidR="007C046C" w:rsidRPr="002D17F7" w:rsidRDefault="007C046C" w:rsidP="00160C8B">
            <w:pPr>
              <w:pBdr>
                <w:top w:val="nil"/>
                <w:left w:val="nil"/>
                <w:bottom w:val="nil"/>
                <w:right w:val="nil"/>
                <w:between w:val="nil"/>
              </w:pBdr>
              <w:spacing w:after="0" w:line="240" w:lineRule="auto"/>
              <w:jc w:val="center"/>
              <w:rPr>
                <w:rFonts w:ascii="Arial" w:eastAsia="Arial Narrow" w:hAnsi="Arial" w:cs="Arial"/>
                <w:sz w:val="20"/>
                <w:szCs w:val="20"/>
              </w:rPr>
            </w:pPr>
            <w:r w:rsidRPr="002D17F7">
              <w:rPr>
                <w:rFonts w:ascii="Arial" w:eastAsia="Arial Narrow" w:hAnsi="Arial" w:cs="Arial"/>
                <w:sz w:val="20"/>
                <w:szCs w:val="20"/>
              </w:rPr>
              <w:t>Nacional</w:t>
            </w:r>
          </w:p>
        </w:tc>
        <w:tc>
          <w:tcPr>
            <w:tcW w:w="2221" w:type="dxa"/>
            <w:tcBorders>
              <w:top w:val="single" w:sz="4" w:space="0" w:color="000000"/>
              <w:left w:val="single" w:sz="4" w:space="0" w:color="000000"/>
              <w:right w:val="single" w:sz="4" w:space="0" w:color="000000"/>
            </w:tcBorders>
            <w:shd w:val="clear" w:color="auto" w:fill="auto"/>
            <w:vAlign w:val="center"/>
          </w:tcPr>
          <w:p w14:paraId="06F897C6" w14:textId="77777777" w:rsidR="007C046C" w:rsidRPr="002D17F7" w:rsidRDefault="007C046C" w:rsidP="00160C8B">
            <w:pPr>
              <w:pBdr>
                <w:top w:val="nil"/>
                <w:left w:val="nil"/>
                <w:bottom w:val="nil"/>
                <w:right w:val="nil"/>
                <w:between w:val="nil"/>
              </w:pBdr>
              <w:spacing w:after="0" w:line="240" w:lineRule="auto"/>
              <w:jc w:val="center"/>
              <w:rPr>
                <w:rFonts w:ascii="Arial" w:eastAsia="Arial Narrow" w:hAnsi="Arial" w:cs="Arial"/>
                <w:sz w:val="20"/>
                <w:szCs w:val="20"/>
              </w:rPr>
            </w:pPr>
            <w:r w:rsidRPr="002D17F7">
              <w:rPr>
                <w:rFonts w:ascii="Arial" w:eastAsia="Arial Narrow" w:hAnsi="Arial" w:cs="Arial"/>
                <w:sz w:val="20"/>
                <w:szCs w:val="20"/>
              </w:rPr>
              <w:t>Regional</w:t>
            </w:r>
          </w:p>
        </w:tc>
        <w:tc>
          <w:tcPr>
            <w:tcW w:w="2079" w:type="dxa"/>
            <w:tcBorders>
              <w:top w:val="single" w:sz="4" w:space="0" w:color="000000"/>
              <w:left w:val="single" w:sz="4" w:space="0" w:color="000000"/>
              <w:right w:val="single" w:sz="4" w:space="0" w:color="000000"/>
            </w:tcBorders>
            <w:shd w:val="clear" w:color="auto" w:fill="auto"/>
            <w:vAlign w:val="center"/>
          </w:tcPr>
          <w:p w14:paraId="09E34802" w14:textId="77777777" w:rsidR="007C046C" w:rsidRPr="002D17F7" w:rsidRDefault="007C046C" w:rsidP="00160C8B">
            <w:pPr>
              <w:pBdr>
                <w:top w:val="nil"/>
                <w:left w:val="nil"/>
                <w:bottom w:val="nil"/>
                <w:right w:val="nil"/>
                <w:between w:val="nil"/>
              </w:pBdr>
              <w:spacing w:after="0" w:line="240" w:lineRule="auto"/>
              <w:jc w:val="center"/>
              <w:rPr>
                <w:rFonts w:ascii="Arial" w:eastAsia="Arial Narrow" w:hAnsi="Arial" w:cs="Arial"/>
                <w:sz w:val="20"/>
                <w:szCs w:val="20"/>
              </w:rPr>
            </w:pPr>
            <w:r w:rsidRPr="002D17F7">
              <w:rPr>
                <w:rFonts w:ascii="Arial" w:eastAsia="Arial Narrow" w:hAnsi="Arial" w:cs="Arial"/>
                <w:sz w:val="20"/>
                <w:szCs w:val="20"/>
              </w:rPr>
              <w:t>Local</w:t>
            </w:r>
          </w:p>
        </w:tc>
      </w:tr>
      <w:tr w:rsidR="007C046C" w:rsidRPr="00007C5C" w14:paraId="02A8F0BE" w14:textId="77777777" w:rsidTr="007C046C">
        <w:trPr>
          <w:trHeight w:val="382"/>
          <w:jc w:val="center"/>
        </w:trPr>
        <w:tc>
          <w:tcPr>
            <w:tcW w:w="2693" w:type="dxa"/>
            <w:vMerge/>
            <w:tcBorders>
              <w:left w:val="single" w:sz="4" w:space="0" w:color="000000"/>
              <w:right w:val="single" w:sz="4" w:space="0" w:color="000000"/>
            </w:tcBorders>
            <w:shd w:val="clear" w:color="auto" w:fill="auto"/>
            <w:tcMar>
              <w:top w:w="15" w:type="dxa"/>
              <w:left w:w="15" w:type="dxa"/>
              <w:bottom w:w="0" w:type="dxa"/>
              <w:right w:w="15" w:type="dxa"/>
            </w:tcMar>
            <w:vAlign w:val="center"/>
          </w:tcPr>
          <w:p w14:paraId="25E043B0" w14:textId="77777777" w:rsidR="007C046C" w:rsidRPr="00160C8B" w:rsidRDefault="007C046C" w:rsidP="00160C8B">
            <w:pPr>
              <w:spacing w:after="0" w:line="240" w:lineRule="auto"/>
              <w:rPr>
                <w:rFonts w:ascii="Arial" w:hAnsi="Arial" w:cs="Arial"/>
                <w:b/>
                <w:color w:val="FF0000"/>
                <w:sz w:val="20"/>
                <w:szCs w:val="20"/>
              </w:rPr>
            </w:pPr>
          </w:p>
        </w:tc>
        <w:tc>
          <w:tcPr>
            <w:tcW w:w="2221"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27917C8C" w14:textId="77777777" w:rsidR="007C046C" w:rsidRPr="00007C5C" w:rsidRDefault="007C046C" w:rsidP="00160C8B">
            <w:pPr>
              <w:pBdr>
                <w:top w:val="nil"/>
                <w:left w:val="nil"/>
                <w:bottom w:val="nil"/>
                <w:right w:val="nil"/>
                <w:between w:val="nil"/>
              </w:pBdr>
              <w:spacing w:after="0" w:line="240" w:lineRule="auto"/>
              <w:jc w:val="center"/>
              <w:rPr>
                <w:rFonts w:ascii="Arial" w:eastAsia="Arial Narrow" w:hAnsi="Arial" w:cs="Arial"/>
                <w:sz w:val="20"/>
                <w:szCs w:val="20"/>
              </w:rPr>
            </w:pPr>
            <w:r>
              <w:rPr>
                <w:rFonts w:ascii="Arial" w:eastAsia="Arial Narrow" w:hAnsi="Arial" w:cs="Arial"/>
                <w:sz w:val="20"/>
                <w:szCs w:val="20"/>
              </w:rPr>
              <w:t>X</w:t>
            </w:r>
          </w:p>
        </w:tc>
        <w:tc>
          <w:tcPr>
            <w:tcW w:w="2221" w:type="dxa"/>
            <w:tcBorders>
              <w:top w:val="single" w:sz="4" w:space="0" w:color="000000"/>
              <w:left w:val="single" w:sz="4" w:space="0" w:color="000000"/>
              <w:right w:val="single" w:sz="4" w:space="0" w:color="000000"/>
            </w:tcBorders>
            <w:shd w:val="clear" w:color="auto" w:fill="auto"/>
            <w:vAlign w:val="center"/>
          </w:tcPr>
          <w:p w14:paraId="1363D6E3" w14:textId="77777777" w:rsidR="007C046C" w:rsidRPr="00007C5C" w:rsidRDefault="007C046C" w:rsidP="00160C8B">
            <w:pPr>
              <w:pBdr>
                <w:top w:val="nil"/>
                <w:left w:val="nil"/>
                <w:bottom w:val="nil"/>
                <w:right w:val="nil"/>
                <w:between w:val="nil"/>
              </w:pBdr>
              <w:spacing w:after="0" w:line="240" w:lineRule="auto"/>
              <w:jc w:val="center"/>
              <w:rPr>
                <w:rFonts w:ascii="Arial" w:eastAsia="Arial Narrow" w:hAnsi="Arial" w:cs="Arial"/>
                <w:sz w:val="20"/>
                <w:szCs w:val="20"/>
              </w:rPr>
            </w:pPr>
          </w:p>
        </w:tc>
        <w:tc>
          <w:tcPr>
            <w:tcW w:w="2079" w:type="dxa"/>
            <w:tcBorders>
              <w:top w:val="single" w:sz="4" w:space="0" w:color="000000"/>
              <w:left w:val="single" w:sz="4" w:space="0" w:color="000000"/>
              <w:right w:val="single" w:sz="4" w:space="0" w:color="000000"/>
            </w:tcBorders>
            <w:shd w:val="clear" w:color="auto" w:fill="auto"/>
            <w:vAlign w:val="center"/>
          </w:tcPr>
          <w:p w14:paraId="783775A3" w14:textId="77777777" w:rsidR="007C046C" w:rsidRPr="00007C5C" w:rsidRDefault="007C046C" w:rsidP="00160C8B">
            <w:pPr>
              <w:pBdr>
                <w:top w:val="nil"/>
                <w:left w:val="nil"/>
                <w:bottom w:val="nil"/>
                <w:right w:val="nil"/>
                <w:between w:val="nil"/>
              </w:pBdr>
              <w:spacing w:after="0" w:line="240" w:lineRule="auto"/>
              <w:jc w:val="center"/>
              <w:rPr>
                <w:rFonts w:ascii="Arial" w:eastAsia="Arial Narrow" w:hAnsi="Arial" w:cs="Arial"/>
                <w:sz w:val="20"/>
                <w:szCs w:val="20"/>
              </w:rPr>
            </w:pPr>
          </w:p>
        </w:tc>
      </w:tr>
      <w:tr w:rsidR="007C046C" w:rsidRPr="00007C5C" w14:paraId="26B91CC3" w14:textId="77777777" w:rsidTr="007C046C">
        <w:trPr>
          <w:trHeight w:val="400"/>
          <w:jc w:val="center"/>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6286CB0" w14:textId="77777777" w:rsidR="007C046C" w:rsidRPr="00007C5C" w:rsidRDefault="007C046C" w:rsidP="00160C8B">
            <w:pPr>
              <w:pBdr>
                <w:top w:val="nil"/>
                <w:left w:val="nil"/>
                <w:bottom w:val="nil"/>
                <w:right w:val="nil"/>
                <w:between w:val="nil"/>
              </w:pBdr>
              <w:spacing w:after="0" w:line="240" w:lineRule="auto"/>
              <w:rPr>
                <w:rFonts w:ascii="Arial" w:hAnsi="Arial" w:cs="Arial"/>
                <w:b/>
                <w:sz w:val="20"/>
                <w:szCs w:val="20"/>
              </w:rPr>
            </w:pPr>
            <w:r w:rsidRPr="00007C5C">
              <w:rPr>
                <w:rFonts w:ascii="Arial" w:hAnsi="Arial" w:cs="Arial"/>
                <w:b/>
                <w:sz w:val="20"/>
                <w:szCs w:val="20"/>
              </w:rPr>
              <w:t xml:space="preserve"> Receptor del servicio</w:t>
            </w:r>
          </w:p>
        </w:tc>
        <w:tc>
          <w:tcPr>
            <w:tcW w:w="652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7DE503D" w14:textId="77777777" w:rsidR="007C046C" w:rsidRPr="00007C5C" w:rsidRDefault="007C046C" w:rsidP="00160C8B">
            <w:pPr>
              <w:pBdr>
                <w:top w:val="nil"/>
                <w:left w:val="nil"/>
                <w:bottom w:val="nil"/>
                <w:right w:val="nil"/>
                <w:between w:val="nil"/>
              </w:pBdr>
              <w:spacing w:after="0" w:line="240" w:lineRule="auto"/>
              <w:jc w:val="both"/>
              <w:rPr>
                <w:rFonts w:ascii="Arial" w:eastAsia="Arial Narrow" w:hAnsi="Arial" w:cs="Arial"/>
                <w:sz w:val="20"/>
                <w:szCs w:val="20"/>
              </w:rPr>
            </w:pPr>
            <w:r>
              <w:rPr>
                <w:rFonts w:ascii="Arial" w:eastAsia="Arial Narrow" w:hAnsi="Arial" w:cs="Arial"/>
                <w:sz w:val="20"/>
                <w:szCs w:val="20"/>
              </w:rPr>
              <w:t>Titulares de t</w:t>
            </w:r>
            <w:r w:rsidRPr="00007C5C">
              <w:rPr>
                <w:rFonts w:ascii="Arial" w:eastAsia="Arial Narrow" w:hAnsi="Arial" w:cs="Arial"/>
                <w:sz w:val="20"/>
                <w:szCs w:val="20"/>
              </w:rPr>
              <w:t>ítulos habilitantes</w:t>
            </w:r>
          </w:p>
        </w:tc>
      </w:tr>
      <w:tr w:rsidR="007C046C" w:rsidRPr="00007C5C" w14:paraId="3E74398C" w14:textId="77777777" w:rsidTr="007C046C">
        <w:trPr>
          <w:trHeight w:val="393"/>
          <w:jc w:val="center"/>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6912E32" w14:textId="77777777" w:rsidR="007C046C" w:rsidRPr="00007C5C" w:rsidRDefault="007C046C" w:rsidP="00160C8B">
            <w:pPr>
              <w:pBdr>
                <w:top w:val="nil"/>
                <w:left w:val="nil"/>
                <w:bottom w:val="nil"/>
                <w:right w:val="nil"/>
                <w:between w:val="nil"/>
              </w:pBdr>
              <w:spacing w:after="0" w:line="240" w:lineRule="auto"/>
              <w:rPr>
                <w:rFonts w:ascii="Arial" w:hAnsi="Arial" w:cs="Arial"/>
                <w:b/>
                <w:sz w:val="20"/>
                <w:szCs w:val="20"/>
              </w:rPr>
            </w:pPr>
            <w:r w:rsidRPr="00007C5C">
              <w:rPr>
                <w:rFonts w:ascii="Arial" w:hAnsi="Arial" w:cs="Arial"/>
                <w:b/>
                <w:sz w:val="20"/>
                <w:szCs w:val="20"/>
              </w:rPr>
              <w:lastRenderedPageBreak/>
              <w:t xml:space="preserve"> Alcance del servicio </w:t>
            </w:r>
          </w:p>
        </w:tc>
        <w:tc>
          <w:tcPr>
            <w:tcW w:w="652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AA60756" w14:textId="77777777" w:rsidR="007C046C" w:rsidRPr="00007C5C" w:rsidRDefault="007C046C" w:rsidP="00160C8B">
            <w:pPr>
              <w:pBdr>
                <w:top w:val="nil"/>
                <w:left w:val="nil"/>
                <w:bottom w:val="nil"/>
                <w:right w:val="nil"/>
                <w:between w:val="nil"/>
              </w:pBdr>
              <w:spacing w:after="0" w:line="240" w:lineRule="auto"/>
              <w:jc w:val="both"/>
              <w:rPr>
                <w:rFonts w:ascii="Arial" w:eastAsia="Arial Narrow" w:hAnsi="Arial" w:cs="Arial"/>
                <w:sz w:val="20"/>
                <w:szCs w:val="20"/>
              </w:rPr>
            </w:pPr>
            <w:r w:rsidRPr="00007C5C">
              <w:rPr>
                <w:rFonts w:ascii="Arial" w:eastAsia="Arial Narrow" w:hAnsi="Arial" w:cs="Arial"/>
                <w:sz w:val="20"/>
                <w:szCs w:val="20"/>
              </w:rPr>
              <w:t>Nacional</w:t>
            </w:r>
          </w:p>
        </w:tc>
      </w:tr>
      <w:tr w:rsidR="007C046C" w:rsidRPr="00007C5C" w14:paraId="4C3D44AC" w14:textId="77777777" w:rsidTr="007C046C">
        <w:trPr>
          <w:trHeight w:val="413"/>
          <w:jc w:val="center"/>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BD07865" w14:textId="77777777" w:rsidR="007C046C" w:rsidRPr="00007C5C" w:rsidRDefault="007C046C" w:rsidP="00160C8B">
            <w:pPr>
              <w:pBdr>
                <w:top w:val="nil"/>
                <w:left w:val="nil"/>
                <w:bottom w:val="nil"/>
                <w:right w:val="nil"/>
                <w:between w:val="nil"/>
              </w:pBdr>
              <w:spacing w:after="0" w:line="240" w:lineRule="auto"/>
              <w:rPr>
                <w:rFonts w:ascii="Arial" w:hAnsi="Arial" w:cs="Arial"/>
                <w:b/>
                <w:sz w:val="20"/>
                <w:szCs w:val="20"/>
              </w:rPr>
            </w:pPr>
            <w:r w:rsidRPr="00007C5C">
              <w:rPr>
                <w:rFonts w:ascii="Arial" w:hAnsi="Arial" w:cs="Arial"/>
                <w:b/>
                <w:sz w:val="20"/>
                <w:szCs w:val="20"/>
              </w:rPr>
              <w:t xml:space="preserve"> Estándar (es) de cumplimiento</w:t>
            </w:r>
          </w:p>
        </w:tc>
        <w:tc>
          <w:tcPr>
            <w:tcW w:w="652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7A76793" w14:textId="77777777" w:rsidR="007C046C" w:rsidRPr="00007C5C" w:rsidRDefault="007C046C" w:rsidP="00160C8B">
            <w:pPr>
              <w:pBdr>
                <w:top w:val="nil"/>
                <w:left w:val="nil"/>
                <w:bottom w:val="nil"/>
                <w:right w:val="nil"/>
                <w:between w:val="nil"/>
              </w:pBdr>
              <w:spacing w:after="0" w:line="240" w:lineRule="auto"/>
              <w:jc w:val="both"/>
              <w:rPr>
                <w:rFonts w:ascii="Arial" w:hAnsi="Arial" w:cs="Arial"/>
                <w:sz w:val="20"/>
                <w:szCs w:val="20"/>
              </w:rPr>
            </w:pPr>
            <w:r w:rsidRPr="00007C5C">
              <w:rPr>
                <w:rFonts w:ascii="Arial" w:eastAsia="Arial Narrow" w:hAnsi="Arial" w:cs="Arial"/>
                <w:sz w:val="20"/>
                <w:szCs w:val="20"/>
              </w:rPr>
              <w:t>Oportunidad</w:t>
            </w:r>
          </w:p>
        </w:tc>
      </w:tr>
      <w:tr w:rsidR="007C046C" w:rsidRPr="00007C5C" w14:paraId="28EE8455" w14:textId="77777777" w:rsidTr="007C046C">
        <w:trPr>
          <w:trHeight w:val="1837"/>
          <w:jc w:val="center"/>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5806541" w14:textId="77777777" w:rsidR="007C046C" w:rsidRPr="00007C5C" w:rsidRDefault="007C046C" w:rsidP="00160C8B">
            <w:pPr>
              <w:pBdr>
                <w:top w:val="nil"/>
                <w:left w:val="nil"/>
                <w:bottom w:val="nil"/>
                <w:right w:val="nil"/>
                <w:between w:val="nil"/>
              </w:pBdr>
              <w:spacing w:after="0" w:line="240" w:lineRule="auto"/>
              <w:rPr>
                <w:rFonts w:ascii="Arial" w:hAnsi="Arial" w:cs="Arial"/>
                <w:b/>
                <w:sz w:val="20"/>
                <w:szCs w:val="20"/>
              </w:rPr>
            </w:pPr>
            <w:r w:rsidRPr="00007C5C">
              <w:rPr>
                <w:rFonts w:ascii="Arial" w:hAnsi="Arial" w:cs="Arial"/>
                <w:b/>
                <w:sz w:val="20"/>
                <w:szCs w:val="20"/>
              </w:rPr>
              <w:t xml:space="preserve"> Descripción del estándar</w:t>
            </w:r>
          </w:p>
        </w:tc>
        <w:tc>
          <w:tcPr>
            <w:tcW w:w="652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35" w:type="dxa"/>
              <w:bottom w:w="0" w:type="dxa"/>
              <w:right w:w="15" w:type="dxa"/>
            </w:tcMar>
            <w:vAlign w:val="center"/>
          </w:tcPr>
          <w:p w14:paraId="09B9689A" w14:textId="37BC7BDF" w:rsidR="007C046C" w:rsidRPr="00007C5C" w:rsidRDefault="007C046C" w:rsidP="00160C8B">
            <w:pPr>
              <w:pStyle w:val="Default"/>
              <w:pBdr>
                <w:top w:val="nil"/>
                <w:left w:val="nil"/>
                <w:bottom w:val="nil"/>
                <w:right w:val="nil"/>
                <w:between w:val="nil"/>
              </w:pBdr>
              <w:jc w:val="both"/>
              <w:rPr>
                <w:rFonts w:ascii="Arial" w:eastAsia="Arial Narrow" w:hAnsi="Arial" w:cs="Arial"/>
                <w:sz w:val="20"/>
                <w:szCs w:val="20"/>
              </w:rPr>
            </w:pPr>
            <w:r>
              <w:rPr>
                <w:rFonts w:ascii="Arial" w:eastAsia="Arial Narrow" w:hAnsi="Arial" w:cs="Arial"/>
                <w:sz w:val="20"/>
                <w:szCs w:val="20"/>
              </w:rPr>
              <w:t xml:space="preserve">El estándar del servicio asegura que las fiscalizaciones ejecutadas a los titulares de títulos habilitantes se realicen con un enfoque preventivo y promotor, es decir, </w:t>
            </w:r>
            <w:r w:rsidRPr="00007C5C">
              <w:rPr>
                <w:rFonts w:ascii="Arial" w:eastAsia="Arial Narrow" w:hAnsi="Arial" w:cs="Arial"/>
                <w:sz w:val="20"/>
                <w:szCs w:val="20"/>
              </w:rPr>
              <w:t xml:space="preserve">en las etapas antes o durante la extracción y/o movilización del recurso, con la finalidad de </w:t>
            </w:r>
            <w:r>
              <w:rPr>
                <w:rFonts w:ascii="Arial" w:eastAsia="Arial Narrow" w:hAnsi="Arial" w:cs="Arial"/>
                <w:sz w:val="20"/>
                <w:szCs w:val="20"/>
              </w:rPr>
              <w:t xml:space="preserve">reducir los riesgos de afectación al </w:t>
            </w:r>
            <w:r w:rsidRPr="00007C5C">
              <w:rPr>
                <w:rFonts w:ascii="Arial" w:eastAsia="Arial Narrow" w:hAnsi="Arial" w:cs="Arial"/>
                <w:sz w:val="20"/>
                <w:szCs w:val="20"/>
              </w:rPr>
              <w:t>Patrimonio Forestal de la Nación</w:t>
            </w:r>
            <w:r>
              <w:rPr>
                <w:rFonts w:ascii="Arial" w:eastAsia="Arial Narrow" w:hAnsi="Arial" w:cs="Arial"/>
                <w:sz w:val="20"/>
                <w:szCs w:val="20"/>
              </w:rPr>
              <w:t>, buscando promover</w:t>
            </w:r>
            <w:r w:rsidRPr="00007C5C">
              <w:rPr>
                <w:rFonts w:ascii="Arial" w:eastAsia="Arial Narrow" w:hAnsi="Arial" w:cs="Arial"/>
                <w:sz w:val="20"/>
                <w:szCs w:val="20"/>
              </w:rPr>
              <w:t xml:space="preserve"> el uso sostenible de los </w:t>
            </w:r>
            <w:r>
              <w:rPr>
                <w:rFonts w:ascii="Arial" w:eastAsia="Arial Narrow" w:hAnsi="Arial" w:cs="Arial"/>
                <w:sz w:val="20"/>
                <w:szCs w:val="20"/>
              </w:rPr>
              <w:t xml:space="preserve">mismos y </w:t>
            </w:r>
            <w:r w:rsidRPr="004E6B45">
              <w:rPr>
                <w:rFonts w:ascii="Arial" w:eastAsia="Arial Narrow" w:hAnsi="Arial" w:cs="Arial"/>
                <w:sz w:val="20"/>
                <w:szCs w:val="20"/>
              </w:rPr>
              <w:t xml:space="preserve">contribuir </w:t>
            </w:r>
            <w:r w:rsidRPr="00007C5C">
              <w:rPr>
                <w:rFonts w:ascii="Arial" w:eastAsia="Arial Narrow" w:hAnsi="Arial" w:cs="Arial"/>
                <w:sz w:val="20"/>
                <w:szCs w:val="20"/>
              </w:rPr>
              <w:t>a la competitividad de la cadena de valor de l</w:t>
            </w:r>
            <w:r w:rsidR="00581D34">
              <w:rPr>
                <w:rFonts w:ascii="Arial" w:eastAsia="Arial Narrow" w:hAnsi="Arial" w:cs="Arial"/>
                <w:sz w:val="20"/>
                <w:szCs w:val="20"/>
              </w:rPr>
              <w:t>os recursos forestales</w:t>
            </w:r>
            <w:r>
              <w:rPr>
                <w:rFonts w:ascii="Arial" w:eastAsia="Arial Narrow" w:hAnsi="Arial" w:cs="Arial"/>
                <w:sz w:val="20"/>
                <w:szCs w:val="20"/>
              </w:rPr>
              <w:t>.</w:t>
            </w:r>
          </w:p>
        </w:tc>
      </w:tr>
      <w:tr w:rsidR="007C046C" w:rsidRPr="00007C5C" w14:paraId="60C80AB3" w14:textId="77777777" w:rsidTr="007C046C">
        <w:trPr>
          <w:trHeight w:val="491"/>
          <w:jc w:val="center"/>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157870B" w14:textId="77777777" w:rsidR="007C046C" w:rsidRPr="00007C5C" w:rsidRDefault="007C046C" w:rsidP="00160C8B">
            <w:pPr>
              <w:pBdr>
                <w:top w:val="nil"/>
                <w:left w:val="nil"/>
                <w:bottom w:val="nil"/>
                <w:right w:val="nil"/>
                <w:between w:val="nil"/>
              </w:pBdr>
              <w:spacing w:after="0" w:line="240" w:lineRule="auto"/>
              <w:rPr>
                <w:rFonts w:ascii="Arial" w:hAnsi="Arial" w:cs="Arial"/>
                <w:b/>
                <w:sz w:val="20"/>
                <w:szCs w:val="20"/>
              </w:rPr>
            </w:pPr>
            <w:r w:rsidRPr="00007C5C">
              <w:rPr>
                <w:rFonts w:ascii="Arial" w:hAnsi="Arial" w:cs="Arial"/>
                <w:b/>
                <w:sz w:val="20"/>
                <w:szCs w:val="20"/>
              </w:rPr>
              <w:t>Indicador de Calidad</w:t>
            </w:r>
          </w:p>
        </w:tc>
        <w:tc>
          <w:tcPr>
            <w:tcW w:w="652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5E4ACD9" w14:textId="77777777" w:rsidR="007C046C" w:rsidRPr="00007C5C" w:rsidRDefault="007C046C" w:rsidP="00160C8B">
            <w:pPr>
              <w:pStyle w:val="Default"/>
              <w:ind w:left="129"/>
              <w:jc w:val="both"/>
              <w:rPr>
                <w:rFonts w:ascii="Arial" w:hAnsi="Arial" w:cs="Arial"/>
                <w:sz w:val="20"/>
                <w:szCs w:val="20"/>
              </w:rPr>
            </w:pPr>
            <w:r w:rsidRPr="00007C5C">
              <w:rPr>
                <w:rFonts w:ascii="Arial" w:eastAsia="Arial Narrow" w:hAnsi="Arial" w:cs="Arial"/>
                <w:sz w:val="20"/>
                <w:szCs w:val="20"/>
              </w:rPr>
              <w:t xml:space="preserve">Porcentaje de títulos habilitantes </w:t>
            </w:r>
            <w:r>
              <w:rPr>
                <w:rFonts w:ascii="Arial" w:eastAsia="Arial Narrow" w:hAnsi="Arial" w:cs="Arial"/>
                <w:sz w:val="20"/>
                <w:szCs w:val="20"/>
              </w:rPr>
              <w:t>en materia forestal fiscalizados</w:t>
            </w:r>
            <w:r w:rsidRPr="00007C5C">
              <w:rPr>
                <w:rFonts w:ascii="Arial" w:eastAsia="Arial Narrow" w:hAnsi="Arial" w:cs="Arial"/>
                <w:sz w:val="20"/>
                <w:szCs w:val="20"/>
              </w:rPr>
              <w:t xml:space="preserve"> antes o durante la extracción y/o movilización</w:t>
            </w:r>
            <w:r>
              <w:rPr>
                <w:rFonts w:ascii="Arial" w:eastAsia="Arial Narrow" w:hAnsi="Arial" w:cs="Arial"/>
                <w:sz w:val="20"/>
                <w:szCs w:val="20"/>
              </w:rPr>
              <w:t xml:space="preserve"> </w:t>
            </w:r>
          </w:p>
        </w:tc>
      </w:tr>
    </w:tbl>
    <w:p w14:paraId="2E1B892A" w14:textId="77777777" w:rsidR="007C046C" w:rsidRPr="008A26D2" w:rsidRDefault="007C046C" w:rsidP="000D1705">
      <w:pPr>
        <w:tabs>
          <w:tab w:val="left" w:pos="3375"/>
        </w:tabs>
        <w:rPr>
          <w:rFonts w:ascii="Arial Narrow" w:eastAsia="Arial Narrow" w:hAnsi="Arial Narrow" w:cs="Arial Narrow"/>
          <w:b/>
        </w:rPr>
      </w:pPr>
    </w:p>
    <w:p w14:paraId="75C29BAD" w14:textId="77777777" w:rsidR="00937EF4" w:rsidRPr="008A26D2" w:rsidRDefault="00937EF4" w:rsidP="000D1705">
      <w:pPr>
        <w:tabs>
          <w:tab w:val="left" w:pos="3375"/>
        </w:tabs>
        <w:rPr>
          <w:rFonts w:ascii="Arial Narrow" w:eastAsia="Arial Narrow" w:hAnsi="Arial Narrow" w:cs="Arial Narrow"/>
          <w:b/>
        </w:rPr>
      </w:pPr>
    </w:p>
    <w:p w14:paraId="489912A1" w14:textId="5AE33E9C" w:rsidR="00726448" w:rsidRPr="008A26D2" w:rsidRDefault="00F40748" w:rsidP="00F40748">
      <w:pPr>
        <w:tabs>
          <w:tab w:val="left" w:pos="3375"/>
        </w:tabs>
        <w:jc w:val="both"/>
        <w:rPr>
          <w:rFonts w:ascii="Arial" w:eastAsia="Arial Narrow" w:hAnsi="Arial" w:cs="Arial"/>
        </w:rPr>
      </w:pPr>
      <w:r w:rsidRPr="008A26D2">
        <w:rPr>
          <w:rFonts w:ascii="Arial" w:eastAsia="Arial Narrow" w:hAnsi="Arial" w:cs="Arial"/>
          <w:b/>
          <w:bCs/>
        </w:rPr>
        <w:t>S1.10.</w:t>
      </w:r>
      <w:r w:rsidRPr="00AE4522">
        <w:rPr>
          <w:rFonts w:ascii="Arial" w:eastAsia="Arial Narrow" w:hAnsi="Arial" w:cs="Arial"/>
          <w:b/>
          <w:bCs/>
        </w:rPr>
        <w:t>1</w:t>
      </w:r>
      <w:r w:rsidRPr="00AE4522">
        <w:rPr>
          <w:rFonts w:ascii="Arial" w:eastAsia="Arial Narrow" w:hAnsi="Arial" w:cs="Arial"/>
        </w:rPr>
        <w:t xml:space="preserve"> </w:t>
      </w:r>
      <w:r w:rsidR="00AE4522" w:rsidRPr="00AE4522">
        <w:rPr>
          <w:rFonts w:ascii="Arial" w:eastAsia="Arial Narrow" w:hAnsi="Arial" w:cs="Arial"/>
        </w:rPr>
        <w:t>Fortalecimiento de capacidades en gestión del uso del territorio para la conservación y aprovechamiento de los ecosistemas forestales y otros ecosistemas de vegetación silvestre de forma satisfactoria dirigida a las Autoridades Regionales Forestales y de Fauna Silvestre</w:t>
      </w:r>
      <w:r w:rsidRPr="008A26D2">
        <w:rPr>
          <w:rFonts w:ascii="Arial" w:eastAsia="Arial Narrow" w:hAnsi="Arial" w:cs="Arial"/>
        </w:rPr>
        <w:t>.</w:t>
      </w:r>
    </w:p>
    <w:tbl>
      <w:tblPr>
        <w:tblW w:w="8651" w:type="dxa"/>
        <w:jc w:val="center"/>
        <w:tblLayout w:type="fixed"/>
        <w:tblLook w:val="0600" w:firstRow="0" w:lastRow="0" w:firstColumn="0" w:lastColumn="0" w:noHBand="1" w:noVBand="1"/>
      </w:tblPr>
      <w:tblGrid>
        <w:gridCol w:w="2405"/>
        <w:gridCol w:w="2082"/>
        <w:gridCol w:w="2082"/>
        <w:gridCol w:w="2082"/>
      </w:tblGrid>
      <w:tr w:rsidR="008A26D2" w:rsidRPr="008A26D2" w14:paraId="529D2A98" w14:textId="77777777" w:rsidTr="00F40748">
        <w:trPr>
          <w:trHeight w:val="300"/>
          <w:jc w:val="center"/>
        </w:trPr>
        <w:tc>
          <w:tcPr>
            <w:tcW w:w="8651"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center"/>
          </w:tcPr>
          <w:p w14:paraId="0E75A73B" w14:textId="40A0FBD0" w:rsidR="00F40748" w:rsidRPr="008A26D2" w:rsidRDefault="00F40748" w:rsidP="0072651A">
            <w:pPr>
              <w:jc w:val="center"/>
              <w:rPr>
                <w:rFonts w:ascii="Arial" w:hAnsi="Arial" w:cs="Arial"/>
                <w:sz w:val="20"/>
                <w:szCs w:val="20"/>
              </w:rPr>
            </w:pPr>
            <w:r w:rsidRPr="008A26D2">
              <w:rPr>
                <w:rFonts w:ascii="Arial" w:hAnsi="Arial" w:cs="Arial"/>
                <w:b/>
                <w:sz w:val="20"/>
                <w:szCs w:val="20"/>
              </w:rPr>
              <w:t xml:space="preserve">FICHA DEL SERVICIO </w:t>
            </w:r>
          </w:p>
        </w:tc>
      </w:tr>
      <w:tr w:rsidR="008A26D2" w:rsidRPr="008A26D2" w14:paraId="2E6502AF" w14:textId="77777777" w:rsidTr="00A62784">
        <w:trPr>
          <w:trHeight w:val="300"/>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277F0D8" w14:textId="77777777" w:rsidR="00F40748" w:rsidRPr="008A26D2" w:rsidRDefault="00F40748"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Objetivo prioritario:</w:t>
            </w:r>
          </w:p>
        </w:tc>
        <w:tc>
          <w:tcPr>
            <w:tcW w:w="624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E5F7052" w14:textId="77777777" w:rsidR="00F40748" w:rsidRPr="008A26D2" w:rsidRDefault="00F40748" w:rsidP="0072651A">
            <w:pPr>
              <w:pBdr>
                <w:top w:val="nil"/>
                <w:left w:val="nil"/>
                <w:bottom w:val="nil"/>
                <w:right w:val="nil"/>
                <w:between w:val="nil"/>
              </w:pBdr>
              <w:spacing w:after="0" w:line="240" w:lineRule="auto"/>
              <w:jc w:val="both"/>
              <w:rPr>
                <w:rFonts w:ascii="Arial" w:hAnsi="Arial" w:cs="Arial"/>
                <w:sz w:val="20"/>
                <w:szCs w:val="20"/>
              </w:rPr>
            </w:pPr>
            <w:r w:rsidRPr="008A26D2">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r>
      <w:tr w:rsidR="008A26D2" w:rsidRPr="008A26D2" w14:paraId="02A94F20" w14:textId="77777777" w:rsidTr="00A62784">
        <w:trPr>
          <w:trHeight w:val="300"/>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424C804" w14:textId="77777777" w:rsidR="00F40748" w:rsidRPr="008A26D2" w:rsidRDefault="00F40748"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Lineamiento:</w:t>
            </w:r>
          </w:p>
        </w:tc>
        <w:tc>
          <w:tcPr>
            <w:tcW w:w="624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21A367E" w14:textId="77777777" w:rsidR="00F40748" w:rsidRPr="008A26D2" w:rsidRDefault="00F40748" w:rsidP="0072651A">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L1.10 Desarrollar programas de fortalecimiento de capacidades para la gestión eficiente del uso del territorio en los ecosistemas forestales y otros ecosistemas de vegetación silvestre contribuyendo a la adaptación del cambio climático.</w:t>
            </w:r>
          </w:p>
        </w:tc>
      </w:tr>
      <w:tr w:rsidR="008A26D2" w:rsidRPr="008A26D2" w14:paraId="1C29DE49" w14:textId="77777777" w:rsidTr="00A62784">
        <w:trPr>
          <w:trHeight w:val="300"/>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44D3FD0" w14:textId="77777777" w:rsidR="00F40748" w:rsidRPr="008A26D2" w:rsidRDefault="00F40748"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Nombre del servicio:</w:t>
            </w:r>
          </w:p>
        </w:tc>
        <w:tc>
          <w:tcPr>
            <w:tcW w:w="624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295E975" w14:textId="2779C7BF" w:rsidR="00F40748" w:rsidRPr="008A26D2" w:rsidRDefault="00F40748" w:rsidP="0072651A">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S1.10.1 Fortalecimiento de capacidades en gestión del uso del territorio para la conservación y aprovechamiento de los ecosistemas forestales y otros ecosistemas de vegetación silvestre de forma satisfactoria </w:t>
            </w:r>
            <w:r w:rsidR="00F040E1" w:rsidRPr="008A26D2">
              <w:rPr>
                <w:rFonts w:ascii="Arial" w:eastAsia="Arial Narrow" w:hAnsi="Arial" w:cs="Arial"/>
                <w:sz w:val="20"/>
                <w:szCs w:val="20"/>
              </w:rPr>
              <w:t xml:space="preserve">dirigida </w:t>
            </w:r>
            <w:r w:rsidRPr="008A26D2">
              <w:rPr>
                <w:rFonts w:ascii="Arial" w:eastAsia="Arial Narrow" w:hAnsi="Arial" w:cs="Arial"/>
                <w:sz w:val="20"/>
                <w:szCs w:val="20"/>
              </w:rPr>
              <w:t xml:space="preserve">a las </w:t>
            </w:r>
            <w:r w:rsidR="00F040E1" w:rsidRPr="008A26D2">
              <w:rPr>
                <w:rFonts w:ascii="Arial" w:eastAsia="Arial Narrow" w:hAnsi="Arial" w:cs="Arial"/>
                <w:sz w:val="20"/>
                <w:szCs w:val="20"/>
              </w:rPr>
              <w:t>A</w:t>
            </w:r>
            <w:r w:rsidRPr="008A26D2">
              <w:rPr>
                <w:rFonts w:ascii="Arial" w:eastAsia="Arial Narrow" w:hAnsi="Arial" w:cs="Arial"/>
                <w:sz w:val="20"/>
                <w:szCs w:val="20"/>
              </w:rPr>
              <w:t xml:space="preserve">utoridades </w:t>
            </w:r>
            <w:r w:rsidR="00F040E1" w:rsidRPr="008A26D2">
              <w:rPr>
                <w:rFonts w:ascii="Arial" w:eastAsia="Arial Narrow" w:hAnsi="Arial" w:cs="Arial"/>
                <w:sz w:val="20"/>
                <w:szCs w:val="20"/>
              </w:rPr>
              <w:t>R</w:t>
            </w:r>
            <w:r w:rsidRPr="008A26D2">
              <w:rPr>
                <w:rFonts w:ascii="Arial" w:eastAsia="Arial Narrow" w:hAnsi="Arial" w:cs="Arial"/>
                <w:sz w:val="20"/>
                <w:szCs w:val="20"/>
              </w:rPr>
              <w:t xml:space="preserve">egionales </w:t>
            </w:r>
            <w:r w:rsidR="00F040E1" w:rsidRPr="008A26D2">
              <w:rPr>
                <w:rFonts w:ascii="Arial" w:eastAsia="Arial Narrow" w:hAnsi="Arial" w:cs="Arial"/>
                <w:sz w:val="20"/>
                <w:szCs w:val="20"/>
              </w:rPr>
              <w:t>F</w:t>
            </w:r>
            <w:r w:rsidRPr="008A26D2">
              <w:rPr>
                <w:rFonts w:ascii="Arial" w:eastAsia="Arial Narrow" w:hAnsi="Arial" w:cs="Arial"/>
                <w:sz w:val="20"/>
                <w:szCs w:val="20"/>
              </w:rPr>
              <w:t xml:space="preserve">orestales y de </w:t>
            </w:r>
            <w:r w:rsidR="00F040E1" w:rsidRPr="008A26D2">
              <w:rPr>
                <w:rFonts w:ascii="Arial" w:eastAsia="Arial Narrow" w:hAnsi="Arial" w:cs="Arial"/>
                <w:sz w:val="20"/>
                <w:szCs w:val="20"/>
              </w:rPr>
              <w:t>F</w:t>
            </w:r>
            <w:r w:rsidRPr="008A26D2">
              <w:rPr>
                <w:rFonts w:ascii="Arial" w:eastAsia="Arial Narrow" w:hAnsi="Arial" w:cs="Arial"/>
                <w:sz w:val="20"/>
                <w:szCs w:val="20"/>
              </w:rPr>
              <w:t xml:space="preserve">auna </w:t>
            </w:r>
            <w:r w:rsidR="00F040E1" w:rsidRPr="008A26D2">
              <w:rPr>
                <w:rFonts w:ascii="Arial" w:eastAsia="Arial Narrow" w:hAnsi="Arial" w:cs="Arial"/>
                <w:sz w:val="20"/>
                <w:szCs w:val="20"/>
              </w:rPr>
              <w:t>S</w:t>
            </w:r>
            <w:r w:rsidRPr="008A26D2">
              <w:rPr>
                <w:rFonts w:ascii="Arial" w:eastAsia="Arial Narrow" w:hAnsi="Arial" w:cs="Arial"/>
                <w:sz w:val="20"/>
                <w:szCs w:val="20"/>
              </w:rPr>
              <w:t>ilvestre.</w:t>
            </w:r>
          </w:p>
        </w:tc>
      </w:tr>
      <w:tr w:rsidR="008A26D2" w:rsidRPr="008A26D2" w14:paraId="56E87134" w14:textId="77777777" w:rsidTr="00A62784">
        <w:trPr>
          <w:trHeight w:val="300"/>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D415384" w14:textId="77777777" w:rsidR="00F40748" w:rsidRPr="008A26D2" w:rsidRDefault="00F40748"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Tipo de servicio:</w:t>
            </w:r>
          </w:p>
        </w:tc>
        <w:tc>
          <w:tcPr>
            <w:tcW w:w="624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E2D9CE3" w14:textId="77777777" w:rsidR="00F40748" w:rsidRPr="008A26D2" w:rsidRDefault="00F40748" w:rsidP="0072651A">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Mejorado</w:t>
            </w:r>
          </w:p>
        </w:tc>
      </w:tr>
      <w:tr w:rsidR="008A26D2" w:rsidRPr="008A26D2" w14:paraId="266BEFF6" w14:textId="77777777" w:rsidTr="00A62784">
        <w:trPr>
          <w:trHeight w:val="300"/>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11432D5" w14:textId="602EE696" w:rsidR="00937EF4" w:rsidRPr="008A26D2" w:rsidRDefault="00937EF4" w:rsidP="00937EF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Naturaleza del servicio:</w:t>
            </w:r>
          </w:p>
        </w:tc>
        <w:tc>
          <w:tcPr>
            <w:tcW w:w="624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EEEB392" w14:textId="6D1CFF03" w:rsidR="00937EF4" w:rsidRPr="008A26D2" w:rsidRDefault="009E5E9D" w:rsidP="00937EF4">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A</w:t>
            </w:r>
            <w:r w:rsidR="00937EF4" w:rsidRPr="008A26D2">
              <w:rPr>
                <w:rFonts w:ascii="Arial" w:eastAsia="Arial Narrow" w:hAnsi="Arial" w:cs="Arial"/>
                <w:sz w:val="20"/>
                <w:szCs w:val="20"/>
              </w:rPr>
              <w:t>dministrativo</w:t>
            </w:r>
          </w:p>
        </w:tc>
      </w:tr>
      <w:tr w:rsidR="008A26D2" w:rsidRPr="008A26D2" w14:paraId="333D1A4B" w14:textId="77777777" w:rsidTr="00A62784">
        <w:trPr>
          <w:trHeight w:val="300"/>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298B605" w14:textId="783AB82E" w:rsidR="00937EF4" w:rsidRPr="008A26D2" w:rsidRDefault="00937EF4" w:rsidP="00937EF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Entrega del servicio</w:t>
            </w:r>
          </w:p>
        </w:tc>
        <w:tc>
          <w:tcPr>
            <w:tcW w:w="624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78BA4C6" w14:textId="752EC89D" w:rsidR="00937EF4" w:rsidRPr="008A26D2" w:rsidRDefault="00937EF4" w:rsidP="00937EF4">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Competencia exclusiva </w:t>
            </w:r>
          </w:p>
        </w:tc>
      </w:tr>
      <w:tr w:rsidR="008A26D2" w:rsidRPr="008A26D2" w14:paraId="4A860BFD" w14:textId="77777777" w:rsidTr="00A62784">
        <w:trPr>
          <w:trHeight w:val="300"/>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E4BAF55" w14:textId="77777777" w:rsidR="00937EF4" w:rsidRPr="008A26D2" w:rsidRDefault="00937EF4" w:rsidP="00937EF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Descripción del servicio</w:t>
            </w:r>
          </w:p>
        </w:tc>
        <w:tc>
          <w:tcPr>
            <w:tcW w:w="624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89228BF" w14:textId="26422880" w:rsidR="00937EF4" w:rsidRPr="008A26D2" w:rsidRDefault="00937EF4" w:rsidP="00937EF4">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El presente servicio consiste en mejorar las capacidades de las Autoridades Regionales Forestales y de Fauna Silvestre a través de talleres, charlas, cursos, asistencias técnicas, entre otros, para asegurar la gestión eficiente del uso del territorio en los ecosistemas forestales y otros ecosistemas de vegetación silvestre. </w:t>
            </w:r>
          </w:p>
          <w:p w14:paraId="0A31EB33" w14:textId="77777777" w:rsidR="00937EF4" w:rsidRPr="008A26D2" w:rsidRDefault="00937EF4" w:rsidP="00937EF4">
            <w:pPr>
              <w:pBdr>
                <w:top w:val="nil"/>
                <w:left w:val="nil"/>
                <w:bottom w:val="nil"/>
                <w:right w:val="nil"/>
                <w:between w:val="nil"/>
              </w:pBdr>
              <w:spacing w:after="0" w:line="240" w:lineRule="auto"/>
              <w:jc w:val="both"/>
              <w:rPr>
                <w:rFonts w:ascii="Arial" w:eastAsia="Arial Narrow" w:hAnsi="Arial" w:cs="Arial"/>
                <w:sz w:val="20"/>
                <w:szCs w:val="20"/>
              </w:rPr>
            </w:pPr>
          </w:p>
          <w:p w14:paraId="3818C5C4" w14:textId="50D3DCF4" w:rsidR="00937EF4" w:rsidRPr="008A26D2" w:rsidRDefault="00937EF4" w:rsidP="00937EF4">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Las capacitaciones buscan impartir conocimientos sobre el manejo integrado de las tierras, aguas y recursos vivos, que promueve la conservación y uso sostenible de un modo equitativo. Del mismo modo, se busca evitar afectaciones a los ecosistemas por el inadecuado cambio de uso, otorgamiento de concesiones para otros recursos, habilitaciones urbanas, proyectos agrícolas, entre otros, que pongan en riesgo los ecosistemas forestales y otros ecosistemas de vegetación silvestre.</w:t>
            </w:r>
          </w:p>
          <w:p w14:paraId="2967B98F" w14:textId="77777777" w:rsidR="00937EF4" w:rsidRPr="008A26D2" w:rsidRDefault="00937EF4" w:rsidP="00937EF4">
            <w:pPr>
              <w:pBdr>
                <w:top w:val="nil"/>
                <w:left w:val="nil"/>
                <w:bottom w:val="nil"/>
                <w:right w:val="nil"/>
                <w:between w:val="nil"/>
              </w:pBdr>
              <w:spacing w:after="0" w:line="240" w:lineRule="auto"/>
              <w:jc w:val="both"/>
              <w:rPr>
                <w:rFonts w:ascii="Arial" w:eastAsia="Arial Narrow" w:hAnsi="Arial" w:cs="Arial"/>
                <w:sz w:val="20"/>
                <w:szCs w:val="20"/>
              </w:rPr>
            </w:pPr>
          </w:p>
          <w:p w14:paraId="0B467620" w14:textId="77777777" w:rsidR="00937EF4" w:rsidRPr="008A26D2" w:rsidRDefault="00937EF4" w:rsidP="00937EF4">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Las capacitaciones desarrollan, entre otros, las siguientes temáticas:</w:t>
            </w:r>
          </w:p>
          <w:p w14:paraId="292E4E91" w14:textId="77777777" w:rsidR="00937EF4" w:rsidRPr="008A26D2" w:rsidRDefault="00937EF4" w:rsidP="00937EF4">
            <w:pPr>
              <w:pStyle w:val="Prrafodelista"/>
              <w:numPr>
                <w:ilvl w:val="0"/>
                <w:numId w:val="14"/>
              </w:numPr>
              <w:pBdr>
                <w:top w:val="nil"/>
                <w:left w:val="nil"/>
                <w:bottom w:val="nil"/>
                <w:right w:val="nil"/>
                <w:between w:val="nil"/>
              </w:pBdr>
              <w:spacing w:after="0" w:line="240" w:lineRule="auto"/>
              <w:ind w:left="300" w:hanging="141"/>
              <w:jc w:val="both"/>
              <w:rPr>
                <w:rFonts w:ascii="Arial" w:eastAsia="Arial Narrow" w:hAnsi="Arial" w:cs="Arial"/>
                <w:sz w:val="20"/>
                <w:szCs w:val="20"/>
              </w:rPr>
            </w:pPr>
            <w:r w:rsidRPr="008A26D2">
              <w:rPr>
                <w:rFonts w:ascii="Arial" w:eastAsia="Arial Narrow" w:hAnsi="Arial" w:cs="Arial"/>
                <w:sz w:val="20"/>
                <w:szCs w:val="20"/>
              </w:rPr>
              <w:t xml:space="preserve">Planificación del uso del territorio </w:t>
            </w:r>
          </w:p>
          <w:p w14:paraId="7088D934" w14:textId="77777777" w:rsidR="00937EF4" w:rsidRPr="008A26D2" w:rsidRDefault="00937EF4" w:rsidP="00937EF4">
            <w:pPr>
              <w:pStyle w:val="Prrafodelista"/>
              <w:numPr>
                <w:ilvl w:val="0"/>
                <w:numId w:val="5"/>
              </w:numPr>
              <w:pBdr>
                <w:top w:val="nil"/>
                <w:left w:val="nil"/>
                <w:bottom w:val="nil"/>
                <w:right w:val="nil"/>
                <w:between w:val="nil"/>
              </w:pBdr>
              <w:spacing w:after="0" w:line="240" w:lineRule="auto"/>
              <w:ind w:left="300" w:hanging="141"/>
              <w:jc w:val="both"/>
              <w:rPr>
                <w:rFonts w:ascii="Arial" w:eastAsia="Arial Narrow" w:hAnsi="Arial" w:cs="Arial"/>
                <w:sz w:val="20"/>
                <w:szCs w:val="20"/>
              </w:rPr>
            </w:pPr>
            <w:r w:rsidRPr="008A26D2">
              <w:rPr>
                <w:rFonts w:ascii="Arial" w:eastAsia="Arial Narrow" w:hAnsi="Arial" w:cs="Arial"/>
                <w:sz w:val="20"/>
                <w:szCs w:val="20"/>
              </w:rPr>
              <w:t>Derechos de los usuarios del territorio.</w:t>
            </w:r>
          </w:p>
          <w:p w14:paraId="4D019980" w14:textId="77777777" w:rsidR="00937EF4" w:rsidRPr="008A26D2" w:rsidRDefault="00937EF4" w:rsidP="00937EF4">
            <w:pPr>
              <w:pStyle w:val="Prrafodelista"/>
              <w:numPr>
                <w:ilvl w:val="0"/>
                <w:numId w:val="5"/>
              </w:numPr>
              <w:pBdr>
                <w:top w:val="nil"/>
                <w:left w:val="nil"/>
                <w:bottom w:val="nil"/>
                <w:right w:val="nil"/>
                <w:between w:val="nil"/>
              </w:pBdr>
              <w:spacing w:after="0" w:line="240" w:lineRule="auto"/>
              <w:ind w:left="300" w:hanging="141"/>
              <w:jc w:val="both"/>
              <w:rPr>
                <w:rFonts w:ascii="Arial" w:eastAsia="Arial Narrow" w:hAnsi="Arial" w:cs="Arial"/>
                <w:sz w:val="20"/>
                <w:szCs w:val="20"/>
              </w:rPr>
            </w:pPr>
            <w:r w:rsidRPr="008A26D2">
              <w:rPr>
                <w:rFonts w:ascii="Arial" w:eastAsia="Arial Narrow" w:hAnsi="Arial" w:cs="Arial"/>
                <w:sz w:val="20"/>
                <w:szCs w:val="20"/>
              </w:rPr>
              <w:lastRenderedPageBreak/>
              <w:t>Convenios y acuerdos</w:t>
            </w:r>
          </w:p>
          <w:p w14:paraId="516A95D8" w14:textId="77777777" w:rsidR="00937EF4" w:rsidRPr="008A26D2" w:rsidRDefault="00937EF4" w:rsidP="00937EF4">
            <w:pPr>
              <w:pStyle w:val="Prrafodelista"/>
              <w:numPr>
                <w:ilvl w:val="0"/>
                <w:numId w:val="5"/>
              </w:numPr>
              <w:pBdr>
                <w:top w:val="nil"/>
                <w:left w:val="nil"/>
                <w:bottom w:val="nil"/>
                <w:right w:val="nil"/>
                <w:between w:val="nil"/>
              </w:pBdr>
              <w:spacing w:after="0" w:line="240" w:lineRule="auto"/>
              <w:ind w:left="300" w:hanging="141"/>
              <w:jc w:val="both"/>
              <w:rPr>
                <w:rFonts w:ascii="Arial" w:eastAsia="Arial Narrow" w:hAnsi="Arial" w:cs="Arial"/>
                <w:sz w:val="20"/>
                <w:szCs w:val="20"/>
              </w:rPr>
            </w:pPr>
            <w:r w:rsidRPr="008A26D2">
              <w:rPr>
                <w:rFonts w:ascii="Arial" w:eastAsia="Arial Narrow" w:hAnsi="Arial" w:cs="Arial"/>
                <w:sz w:val="20"/>
                <w:szCs w:val="20"/>
              </w:rPr>
              <w:t>Levantamiento y procesamiento de datos de las acciones realizadas en el territorio</w:t>
            </w:r>
          </w:p>
          <w:p w14:paraId="01037137" w14:textId="77777777" w:rsidR="00937EF4" w:rsidRPr="008A26D2" w:rsidRDefault="00937EF4" w:rsidP="00937EF4">
            <w:pPr>
              <w:pStyle w:val="Prrafodelista"/>
              <w:numPr>
                <w:ilvl w:val="0"/>
                <w:numId w:val="5"/>
              </w:numPr>
              <w:pBdr>
                <w:top w:val="nil"/>
                <w:left w:val="nil"/>
                <w:bottom w:val="nil"/>
                <w:right w:val="nil"/>
                <w:between w:val="nil"/>
              </w:pBdr>
              <w:spacing w:after="0" w:line="240" w:lineRule="auto"/>
              <w:ind w:left="300" w:hanging="141"/>
              <w:jc w:val="both"/>
              <w:rPr>
                <w:rFonts w:ascii="Arial" w:eastAsia="Arial Narrow" w:hAnsi="Arial" w:cs="Arial"/>
                <w:sz w:val="20"/>
                <w:szCs w:val="20"/>
              </w:rPr>
            </w:pPr>
            <w:r w:rsidRPr="008A26D2">
              <w:rPr>
                <w:rFonts w:ascii="Arial" w:eastAsia="Arial Narrow" w:hAnsi="Arial" w:cs="Arial"/>
                <w:sz w:val="20"/>
                <w:szCs w:val="20"/>
              </w:rPr>
              <w:t>Seguimiento y monitoreo de las acciones en el territorio.</w:t>
            </w:r>
          </w:p>
          <w:p w14:paraId="7C1AF41D" w14:textId="77777777" w:rsidR="00937EF4" w:rsidRPr="008A26D2" w:rsidRDefault="00937EF4" w:rsidP="00937EF4">
            <w:pPr>
              <w:pStyle w:val="Prrafodelista"/>
              <w:pBdr>
                <w:top w:val="nil"/>
                <w:left w:val="nil"/>
                <w:bottom w:val="nil"/>
                <w:right w:val="nil"/>
                <w:between w:val="nil"/>
              </w:pBdr>
              <w:spacing w:after="0" w:line="240" w:lineRule="auto"/>
              <w:jc w:val="both"/>
              <w:rPr>
                <w:rFonts w:ascii="Arial" w:eastAsia="Arial Narrow" w:hAnsi="Arial" w:cs="Arial"/>
                <w:sz w:val="20"/>
                <w:szCs w:val="20"/>
              </w:rPr>
            </w:pPr>
          </w:p>
          <w:p w14:paraId="6538AE5D" w14:textId="57ED49BA" w:rsidR="00937EF4" w:rsidRPr="008A26D2" w:rsidRDefault="00937EF4" w:rsidP="00937EF4">
            <w:pPr>
              <w:pBdr>
                <w:top w:val="nil"/>
                <w:left w:val="nil"/>
                <w:bottom w:val="nil"/>
                <w:right w:val="nil"/>
                <w:between w:val="nil"/>
              </w:pBdr>
              <w:spacing w:after="0" w:line="240" w:lineRule="auto"/>
              <w:jc w:val="both"/>
              <w:rPr>
                <w:rFonts w:ascii="Arial" w:eastAsia="Arial Narrow" w:hAnsi="Arial" w:cs="Arial"/>
                <w:strike/>
                <w:sz w:val="20"/>
                <w:szCs w:val="20"/>
              </w:rPr>
            </w:pPr>
            <w:r w:rsidRPr="008A26D2">
              <w:rPr>
                <w:rFonts w:ascii="Arial" w:eastAsia="Arial Narrow" w:hAnsi="Arial" w:cs="Arial"/>
                <w:sz w:val="20"/>
                <w:szCs w:val="20"/>
              </w:rPr>
              <w:t xml:space="preserve">El servicio es de tipo mejorado porque se aplicará nuevas herramientas metodológicas y tecnológicas para la entrega del servicio, para </w:t>
            </w:r>
            <w:r w:rsidRPr="008A26D2">
              <w:rPr>
                <w:rFonts w:ascii="Arial" w:eastAsia="Times New Roman" w:hAnsi="Arial" w:cs="Arial"/>
                <w:sz w:val="20"/>
                <w:szCs w:val="20"/>
                <w:lang w:val="es-ES"/>
              </w:rPr>
              <w:t xml:space="preserve">satisfacer las expectativas de capacitación en </w:t>
            </w:r>
            <w:r w:rsidRPr="008A26D2">
              <w:rPr>
                <w:rFonts w:ascii="Arial" w:eastAsia="Arial Narrow" w:hAnsi="Arial" w:cs="Arial"/>
                <w:sz w:val="20"/>
                <w:szCs w:val="20"/>
              </w:rPr>
              <w:t>gestión del uso del territorio para la conservación y aprovechamiento de los ecosistemas forestales y otros ecosistemas de vegetación silvestre</w:t>
            </w:r>
            <w:r w:rsidRPr="008A26D2">
              <w:rPr>
                <w:rFonts w:ascii="Arial" w:eastAsia="Times New Roman" w:hAnsi="Arial" w:cs="Arial"/>
                <w:sz w:val="20"/>
                <w:szCs w:val="20"/>
                <w:lang w:val="es-ES"/>
              </w:rPr>
              <w:t xml:space="preserve"> por parte de las Autoridades Regionales Forestales y de Fauna Silvestre.</w:t>
            </w:r>
            <w:r w:rsidRPr="008A26D2">
              <w:rPr>
                <w:rFonts w:ascii="Arial" w:eastAsia="Arial Narrow" w:hAnsi="Arial" w:cs="Arial"/>
                <w:sz w:val="20"/>
                <w:szCs w:val="20"/>
              </w:rPr>
              <w:t xml:space="preserve"> </w:t>
            </w:r>
          </w:p>
        </w:tc>
      </w:tr>
      <w:tr w:rsidR="008A26D2" w:rsidRPr="008A26D2" w14:paraId="4B8FEB2E" w14:textId="77777777" w:rsidTr="00A62784">
        <w:trPr>
          <w:trHeight w:val="300"/>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386B976" w14:textId="77777777" w:rsidR="00937EF4" w:rsidRPr="008A26D2" w:rsidRDefault="00937EF4" w:rsidP="00937EF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lastRenderedPageBreak/>
              <w:t xml:space="preserve"> Proveedor del servicio</w:t>
            </w:r>
          </w:p>
        </w:tc>
        <w:tc>
          <w:tcPr>
            <w:tcW w:w="624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285A176" w14:textId="77777777" w:rsidR="00937EF4" w:rsidRPr="008A26D2" w:rsidRDefault="00937EF4" w:rsidP="00937EF4">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Servicio Nacional Forestal y Fauna Silvestre – SERFOR</w:t>
            </w:r>
          </w:p>
        </w:tc>
      </w:tr>
      <w:tr w:rsidR="008A26D2" w:rsidRPr="008A26D2" w14:paraId="24979115" w14:textId="77777777" w:rsidTr="008E160E">
        <w:trPr>
          <w:trHeight w:val="458"/>
          <w:jc w:val="center"/>
        </w:trPr>
        <w:tc>
          <w:tcPr>
            <w:tcW w:w="2405" w:type="dxa"/>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016CFB21" w14:textId="77777777" w:rsidR="00937EF4" w:rsidRPr="008A26D2" w:rsidRDefault="00937EF4" w:rsidP="005C6B29">
            <w:pPr>
              <w:spacing w:after="0" w:line="240" w:lineRule="auto"/>
              <w:rPr>
                <w:rFonts w:ascii="Arial" w:hAnsi="Arial" w:cs="Arial"/>
                <w:b/>
                <w:sz w:val="20"/>
                <w:szCs w:val="20"/>
              </w:rPr>
            </w:pPr>
            <w:r w:rsidRPr="008A26D2">
              <w:rPr>
                <w:rFonts w:ascii="Arial" w:hAnsi="Arial" w:cs="Arial"/>
                <w:b/>
                <w:sz w:val="20"/>
                <w:szCs w:val="20"/>
              </w:rPr>
              <w:t>Nivel (es) de gobierno que interviene</w:t>
            </w:r>
          </w:p>
          <w:p w14:paraId="13FEE9E2" w14:textId="4CEAC1BB" w:rsidR="00937EF4" w:rsidRPr="008A26D2" w:rsidRDefault="00937EF4" w:rsidP="00937EF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(n) en la provisión del servicio</w:t>
            </w:r>
          </w:p>
        </w:tc>
        <w:tc>
          <w:tcPr>
            <w:tcW w:w="2082"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4196041C" w14:textId="29105259" w:rsidR="00937EF4" w:rsidRPr="008A26D2" w:rsidRDefault="00937EF4" w:rsidP="00AE4522">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Nacional</w:t>
            </w:r>
          </w:p>
        </w:tc>
        <w:tc>
          <w:tcPr>
            <w:tcW w:w="2082" w:type="dxa"/>
            <w:tcBorders>
              <w:top w:val="single" w:sz="4" w:space="0" w:color="000000"/>
              <w:left w:val="single" w:sz="4" w:space="0" w:color="000000"/>
              <w:right w:val="single" w:sz="4" w:space="0" w:color="000000"/>
            </w:tcBorders>
            <w:shd w:val="clear" w:color="auto" w:fill="auto"/>
            <w:vAlign w:val="center"/>
          </w:tcPr>
          <w:p w14:paraId="33287DEA" w14:textId="7233F4EC" w:rsidR="00937EF4" w:rsidRPr="008A26D2" w:rsidRDefault="00937EF4" w:rsidP="00AE4522">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Regional</w:t>
            </w:r>
          </w:p>
        </w:tc>
        <w:tc>
          <w:tcPr>
            <w:tcW w:w="2082" w:type="dxa"/>
            <w:tcBorders>
              <w:top w:val="single" w:sz="4" w:space="0" w:color="000000"/>
              <w:left w:val="single" w:sz="4" w:space="0" w:color="000000"/>
              <w:right w:val="single" w:sz="4" w:space="0" w:color="000000"/>
            </w:tcBorders>
            <w:shd w:val="clear" w:color="auto" w:fill="auto"/>
            <w:vAlign w:val="center"/>
          </w:tcPr>
          <w:p w14:paraId="355F5047" w14:textId="4E4804B5" w:rsidR="00937EF4" w:rsidRPr="008A26D2" w:rsidRDefault="00937EF4" w:rsidP="00AE4522">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Local</w:t>
            </w:r>
          </w:p>
        </w:tc>
      </w:tr>
      <w:tr w:rsidR="008A26D2" w:rsidRPr="008A26D2" w14:paraId="77208797" w14:textId="77777777" w:rsidTr="008E160E">
        <w:trPr>
          <w:trHeight w:val="457"/>
          <w:jc w:val="center"/>
        </w:trPr>
        <w:tc>
          <w:tcPr>
            <w:tcW w:w="2405" w:type="dxa"/>
            <w:vMerge/>
            <w:tcBorders>
              <w:left w:val="single" w:sz="4" w:space="0" w:color="000000"/>
              <w:right w:val="single" w:sz="4" w:space="0" w:color="000000"/>
            </w:tcBorders>
            <w:shd w:val="clear" w:color="auto" w:fill="auto"/>
            <w:tcMar>
              <w:top w:w="15" w:type="dxa"/>
              <w:left w:w="15" w:type="dxa"/>
              <w:bottom w:w="0" w:type="dxa"/>
              <w:right w:w="15" w:type="dxa"/>
            </w:tcMar>
            <w:vAlign w:val="center"/>
          </w:tcPr>
          <w:p w14:paraId="0F3B5E8F" w14:textId="77777777" w:rsidR="00937EF4" w:rsidRPr="008A26D2" w:rsidRDefault="00937EF4" w:rsidP="00937EF4">
            <w:pPr>
              <w:spacing w:after="0" w:line="240" w:lineRule="auto"/>
              <w:rPr>
                <w:rFonts w:ascii="Arial" w:hAnsi="Arial" w:cs="Arial"/>
                <w:b/>
                <w:sz w:val="20"/>
                <w:szCs w:val="20"/>
              </w:rPr>
            </w:pPr>
          </w:p>
        </w:tc>
        <w:tc>
          <w:tcPr>
            <w:tcW w:w="2082"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1242A59B" w14:textId="6648A366" w:rsidR="00937EF4" w:rsidRPr="008A26D2" w:rsidRDefault="009E5E9D" w:rsidP="00AE4522">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X</w:t>
            </w:r>
          </w:p>
        </w:tc>
        <w:tc>
          <w:tcPr>
            <w:tcW w:w="2082" w:type="dxa"/>
            <w:tcBorders>
              <w:top w:val="single" w:sz="4" w:space="0" w:color="000000"/>
              <w:left w:val="single" w:sz="4" w:space="0" w:color="000000"/>
              <w:right w:val="single" w:sz="4" w:space="0" w:color="000000"/>
            </w:tcBorders>
            <w:shd w:val="clear" w:color="auto" w:fill="auto"/>
            <w:vAlign w:val="center"/>
          </w:tcPr>
          <w:p w14:paraId="21D7D904" w14:textId="77777777" w:rsidR="00937EF4" w:rsidRPr="008A26D2" w:rsidRDefault="00937EF4" w:rsidP="00AE4522">
            <w:pPr>
              <w:pBdr>
                <w:top w:val="nil"/>
                <w:left w:val="nil"/>
                <w:bottom w:val="nil"/>
                <w:right w:val="nil"/>
                <w:between w:val="nil"/>
              </w:pBdr>
              <w:spacing w:after="0" w:line="240" w:lineRule="auto"/>
              <w:jc w:val="center"/>
              <w:rPr>
                <w:rFonts w:ascii="Arial" w:eastAsia="Arial Narrow" w:hAnsi="Arial" w:cs="Arial"/>
                <w:sz w:val="20"/>
                <w:szCs w:val="20"/>
              </w:rPr>
            </w:pPr>
          </w:p>
        </w:tc>
        <w:tc>
          <w:tcPr>
            <w:tcW w:w="2082" w:type="dxa"/>
            <w:tcBorders>
              <w:top w:val="single" w:sz="4" w:space="0" w:color="000000"/>
              <w:left w:val="single" w:sz="4" w:space="0" w:color="000000"/>
              <w:right w:val="single" w:sz="4" w:space="0" w:color="000000"/>
            </w:tcBorders>
            <w:shd w:val="clear" w:color="auto" w:fill="auto"/>
            <w:vAlign w:val="center"/>
          </w:tcPr>
          <w:p w14:paraId="73A76026" w14:textId="3C04767E" w:rsidR="00937EF4" w:rsidRPr="008A26D2" w:rsidRDefault="00937EF4" w:rsidP="00AE4522">
            <w:pPr>
              <w:pBdr>
                <w:top w:val="nil"/>
                <w:left w:val="nil"/>
                <w:bottom w:val="nil"/>
                <w:right w:val="nil"/>
                <w:between w:val="nil"/>
              </w:pBdr>
              <w:spacing w:after="0" w:line="240" w:lineRule="auto"/>
              <w:jc w:val="center"/>
              <w:rPr>
                <w:rFonts w:ascii="Arial" w:eastAsia="Arial Narrow" w:hAnsi="Arial" w:cs="Arial"/>
                <w:sz w:val="20"/>
                <w:szCs w:val="20"/>
              </w:rPr>
            </w:pPr>
          </w:p>
        </w:tc>
      </w:tr>
      <w:tr w:rsidR="008A26D2" w:rsidRPr="008A26D2" w14:paraId="751AD86E" w14:textId="77777777" w:rsidTr="00A62784">
        <w:trPr>
          <w:trHeight w:val="300"/>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B3E3034" w14:textId="77777777" w:rsidR="00937EF4" w:rsidRPr="008A26D2" w:rsidRDefault="00937EF4" w:rsidP="00937EF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Receptor del servicio</w:t>
            </w:r>
          </w:p>
        </w:tc>
        <w:tc>
          <w:tcPr>
            <w:tcW w:w="624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BCC3BB1" w14:textId="6AD059D9" w:rsidR="00937EF4" w:rsidRPr="008A26D2" w:rsidRDefault="00937EF4" w:rsidP="00937EF4">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Autoridades regionales forestales y de fauna silvestre </w:t>
            </w:r>
          </w:p>
        </w:tc>
      </w:tr>
      <w:tr w:rsidR="008A26D2" w:rsidRPr="008A26D2" w14:paraId="15300031" w14:textId="77777777" w:rsidTr="00A62784">
        <w:trPr>
          <w:trHeight w:val="211"/>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1EDD9B7" w14:textId="77777777" w:rsidR="00937EF4" w:rsidRPr="008A26D2" w:rsidRDefault="00937EF4" w:rsidP="00937EF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Alcance del servicio </w:t>
            </w:r>
          </w:p>
        </w:tc>
        <w:tc>
          <w:tcPr>
            <w:tcW w:w="624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CC60EBB" w14:textId="77777777" w:rsidR="00937EF4" w:rsidRPr="008A26D2" w:rsidRDefault="00937EF4" w:rsidP="00937EF4">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Nacional</w:t>
            </w:r>
          </w:p>
        </w:tc>
      </w:tr>
      <w:tr w:rsidR="008A26D2" w:rsidRPr="008A26D2" w14:paraId="5CC144A7" w14:textId="77777777" w:rsidTr="00A62784">
        <w:trPr>
          <w:trHeight w:val="62"/>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D840C9F" w14:textId="77777777" w:rsidR="00937EF4" w:rsidRPr="008A26D2" w:rsidRDefault="00937EF4" w:rsidP="00937EF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Estándar (es) de cumplimiento</w:t>
            </w:r>
          </w:p>
        </w:tc>
        <w:tc>
          <w:tcPr>
            <w:tcW w:w="624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7DE53222" w14:textId="77777777" w:rsidR="00937EF4" w:rsidRPr="008A26D2" w:rsidRDefault="00937EF4" w:rsidP="00937EF4">
            <w:pPr>
              <w:pBdr>
                <w:top w:val="nil"/>
                <w:left w:val="nil"/>
                <w:bottom w:val="nil"/>
                <w:right w:val="nil"/>
                <w:between w:val="nil"/>
              </w:pBdr>
              <w:spacing w:after="0" w:line="240" w:lineRule="auto"/>
              <w:rPr>
                <w:rFonts w:ascii="Arial" w:hAnsi="Arial" w:cs="Arial"/>
                <w:sz w:val="20"/>
                <w:szCs w:val="20"/>
              </w:rPr>
            </w:pPr>
            <w:r w:rsidRPr="008A26D2">
              <w:rPr>
                <w:rFonts w:ascii="Arial" w:eastAsia="Arial Narrow" w:hAnsi="Arial" w:cs="Arial"/>
                <w:sz w:val="20"/>
                <w:szCs w:val="20"/>
              </w:rPr>
              <w:t>Percepción</w:t>
            </w:r>
          </w:p>
        </w:tc>
      </w:tr>
      <w:tr w:rsidR="008A26D2" w:rsidRPr="008A26D2" w14:paraId="418C64E7" w14:textId="77777777" w:rsidTr="00A62784">
        <w:trPr>
          <w:trHeight w:val="300"/>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D738FB5" w14:textId="77777777" w:rsidR="00937EF4" w:rsidRPr="008A26D2" w:rsidRDefault="00937EF4" w:rsidP="00937EF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Descripción del estándar</w:t>
            </w:r>
          </w:p>
        </w:tc>
        <w:tc>
          <w:tcPr>
            <w:tcW w:w="624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35" w:type="dxa"/>
              <w:bottom w:w="0" w:type="dxa"/>
              <w:right w:w="15" w:type="dxa"/>
            </w:tcMar>
            <w:vAlign w:val="center"/>
          </w:tcPr>
          <w:p w14:paraId="555D192D" w14:textId="5D29F64E" w:rsidR="00937EF4" w:rsidRPr="008A26D2" w:rsidRDefault="00937EF4" w:rsidP="00937EF4">
            <w:pPr>
              <w:pBdr>
                <w:top w:val="nil"/>
                <w:left w:val="nil"/>
                <w:bottom w:val="nil"/>
                <w:right w:val="nil"/>
                <w:between w:val="nil"/>
              </w:pBdr>
              <w:spacing w:after="0" w:line="240" w:lineRule="auto"/>
              <w:jc w:val="both"/>
              <w:rPr>
                <w:rFonts w:ascii="Arial" w:eastAsia="Times New Roman" w:hAnsi="Arial" w:cs="Arial"/>
                <w:sz w:val="20"/>
                <w:szCs w:val="20"/>
                <w:lang w:val="es-ES"/>
              </w:rPr>
            </w:pPr>
            <w:r w:rsidRPr="008A26D2">
              <w:rPr>
                <w:rFonts w:ascii="Arial" w:eastAsia="Times New Roman" w:hAnsi="Arial" w:cs="Arial"/>
                <w:sz w:val="20"/>
                <w:szCs w:val="20"/>
                <w:lang w:val="es-ES"/>
              </w:rPr>
              <w:t xml:space="preserve">El estándar del servicio es de percepción debido a que éste satisface las expectativas de capacitación en </w:t>
            </w:r>
            <w:r w:rsidRPr="008A26D2">
              <w:rPr>
                <w:rFonts w:ascii="Arial" w:eastAsia="Arial Narrow" w:hAnsi="Arial" w:cs="Arial"/>
                <w:sz w:val="20"/>
                <w:szCs w:val="20"/>
              </w:rPr>
              <w:t>gestión del uso del territorio para la conservación y aprovechamiento de los ecosistemas forestales y otros ecosistemas de vegetación silvestre</w:t>
            </w:r>
            <w:r w:rsidRPr="008A26D2">
              <w:rPr>
                <w:rFonts w:ascii="Arial" w:eastAsia="Times New Roman" w:hAnsi="Arial" w:cs="Arial"/>
                <w:sz w:val="20"/>
                <w:szCs w:val="20"/>
                <w:lang w:val="es-ES"/>
              </w:rPr>
              <w:t xml:space="preserve"> de los servidores de las Autoridades Regionales Forestales y de Fauna Silvestre.</w:t>
            </w:r>
          </w:p>
          <w:p w14:paraId="6F9BA817" w14:textId="77777777" w:rsidR="00937EF4" w:rsidRPr="008A26D2" w:rsidRDefault="00937EF4" w:rsidP="00937EF4">
            <w:pPr>
              <w:pBdr>
                <w:top w:val="nil"/>
                <w:left w:val="nil"/>
                <w:bottom w:val="nil"/>
                <w:right w:val="nil"/>
                <w:between w:val="nil"/>
              </w:pBdr>
              <w:spacing w:after="0" w:line="240" w:lineRule="auto"/>
              <w:jc w:val="both"/>
              <w:rPr>
                <w:rFonts w:ascii="Arial" w:hAnsi="Arial" w:cs="Arial"/>
                <w:strike/>
                <w:sz w:val="20"/>
                <w:szCs w:val="20"/>
              </w:rPr>
            </w:pPr>
          </w:p>
        </w:tc>
      </w:tr>
      <w:tr w:rsidR="00937EF4" w:rsidRPr="008A26D2" w14:paraId="38EEA193" w14:textId="77777777" w:rsidTr="00A62784">
        <w:trPr>
          <w:trHeight w:val="491"/>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207D725" w14:textId="0376B41D" w:rsidR="00937EF4" w:rsidRPr="008A26D2" w:rsidRDefault="00937EF4" w:rsidP="00937EF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Indicador de calidad</w:t>
            </w:r>
          </w:p>
        </w:tc>
        <w:tc>
          <w:tcPr>
            <w:tcW w:w="624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41D58F7E" w14:textId="55864243" w:rsidR="00937EF4" w:rsidRPr="008A26D2" w:rsidRDefault="00937EF4" w:rsidP="00937EF4">
            <w:pPr>
              <w:pBdr>
                <w:top w:val="nil"/>
                <w:left w:val="nil"/>
                <w:bottom w:val="nil"/>
                <w:right w:val="nil"/>
                <w:between w:val="nil"/>
              </w:pBdr>
              <w:spacing w:after="0" w:line="240" w:lineRule="auto"/>
              <w:jc w:val="both"/>
              <w:rPr>
                <w:rFonts w:ascii="Arial" w:hAnsi="Arial" w:cs="Arial"/>
                <w:strike/>
                <w:sz w:val="20"/>
                <w:szCs w:val="20"/>
              </w:rPr>
            </w:pPr>
            <w:r w:rsidRPr="008A26D2">
              <w:rPr>
                <w:rFonts w:ascii="Arial" w:eastAsia="Times New Roman" w:hAnsi="Arial" w:cs="Arial"/>
                <w:sz w:val="20"/>
                <w:szCs w:val="20"/>
              </w:rPr>
              <w:t xml:space="preserve">Porcentaje de servidores de las </w:t>
            </w:r>
            <w:r w:rsidRPr="008A26D2">
              <w:rPr>
                <w:rFonts w:ascii="Arial" w:eastAsia="Arial Narrow" w:hAnsi="Arial" w:cs="Arial"/>
                <w:sz w:val="20"/>
                <w:szCs w:val="20"/>
              </w:rPr>
              <w:t xml:space="preserve">Autoridades Regionales Forestales y de Fauna Silvestre </w:t>
            </w:r>
            <w:r w:rsidRPr="008A26D2">
              <w:rPr>
                <w:rFonts w:ascii="Arial" w:eastAsia="Times New Roman" w:hAnsi="Arial" w:cs="Arial"/>
                <w:sz w:val="20"/>
                <w:szCs w:val="20"/>
                <w:lang w:val="es-ES"/>
              </w:rPr>
              <w:t>con alto grado de satisfacción sobre las capacitaciones recibidas</w:t>
            </w:r>
            <w:r w:rsidRPr="008A26D2">
              <w:rPr>
                <w:rFonts w:ascii="Arial" w:hAnsi="Arial" w:cs="Arial"/>
                <w:sz w:val="20"/>
                <w:szCs w:val="20"/>
              </w:rPr>
              <w:t xml:space="preserve"> en g</w:t>
            </w:r>
            <w:r w:rsidRPr="008A26D2">
              <w:rPr>
                <w:rFonts w:ascii="Arial" w:eastAsia="Arial Narrow" w:hAnsi="Arial" w:cs="Arial"/>
                <w:sz w:val="20"/>
                <w:szCs w:val="20"/>
              </w:rPr>
              <w:t>estión del uso del territorio para la conservación y aprovechamiento de los ecosistemas forestales y otros ecosistemas de vegetación silvestre</w:t>
            </w:r>
          </w:p>
        </w:tc>
      </w:tr>
    </w:tbl>
    <w:p w14:paraId="0136CB17" w14:textId="2FC24C8A" w:rsidR="00F40748" w:rsidRPr="008A26D2" w:rsidRDefault="00F40748" w:rsidP="000D1705">
      <w:pPr>
        <w:tabs>
          <w:tab w:val="left" w:pos="3375"/>
        </w:tabs>
        <w:rPr>
          <w:rFonts w:ascii="Arial Narrow" w:eastAsia="Arial Narrow" w:hAnsi="Arial Narrow" w:cs="Arial Narrow"/>
          <w:b/>
        </w:rPr>
      </w:pPr>
    </w:p>
    <w:p w14:paraId="4BFF20AD" w14:textId="77777777" w:rsidR="00023773" w:rsidRPr="008A26D2" w:rsidRDefault="00023773" w:rsidP="000D1705">
      <w:pPr>
        <w:tabs>
          <w:tab w:val="left" w:pos="3375"/>
        </w:tabs>
        <w:rPr>
          <w:rFonts w:ascii="Arial Narrow" w:eastAsia="Arial Narrow" w:hAnsi="Arial Narrow" w:cs="Arial Narrow"/>
          <w:b/>
        </w:rPr>
      </w:pPr>
    </w:p>
    <w:p w14:paraId="27106E32" w14:textId="59230EA1" w:rsidR="00A62784" w:rsidRPr="008A26D2" w:rsidRDefault="00A62784" w:rsidP="00A62784">
      <w:pPr>
        <w:pBdr>
          <w:top w:val="nil"/>
          <w:left w:val="nil"/>
          <w:bottom w:val="nil"/>
          <w:right w:val="nil"/>
          <w:between w:val="nil"/>
        </w:pBdr>
        <w:spacing w:after="0" w:line="240" w:lineRule="auto"/>
        <w:jc w:val="both"/>
        <w:rPr>
          <w:rFonts w:ascii="Arial" w:hAnsi="Arial" w:cs="Arial"/>
        </w:rPr>
      </w:pPr>
      <w:r w:rsidRPr="008A26D2">
        <w:rPr>
          <w:rFonts w:ascii="Arial" w:eastAsia="Arial Narrow" w:hAnsi="Arial" w:cs="Arial"/>
          <w:b/>
        </w:rPr>
        <w:t>S2.1.</w:t>
      </w:r>
      <w:r w:rsidRPr="00AE4522">
        <w:rPr>
          <w:rFonts w:ascii="Arial" w:eastAsia="Arial Narrow" w:hAnsi="Arial" w:cs="Arial"/>
          <w:b/>
        </w:rPr>
        <w:t>1</w:t>
      </w:r>
      <w:r w:rsidRPr="00AE4522">
        <w:rPr>
          <w:rFonts w:ascii="Arial" w:eastAsia="Arial Narrow" w:hAnsi="Arial" w:cs="Arial"/>
        </w:rPr>
        <w:t xml:space="preserve"> </w:t>
      </w:r>
      <w:r w:rsidR="00AE4522" w:rsidRPr="00AE4522">
        <w:rPr>
          <w:rFonts w:ascii="Arial" w:eastAsia="Arial Narrow" w:hAnsi="Arial" w:cs="Arial"/>
        </w:rPr>
        <w:t>Fortalecimiento de capacidades en actividades productivas de la cadena forestal y fauna silvestre de forma satisfactoria dirigido a</w:t>
      </w:r>
      <w:r w:rsidR="00AE4522" w:rsidRPr="00AE4522">
        <w:rPr>
          <w:rFonts w:ascii="Arial" w:hAnsi="Arial" w:cs="Arial"/>
        </w:rPr>
        <w:t xml:space="preserve"> profesionales y técnicos forestales y de fauna silvestre</w:t>
      </w:r>
    </w:p>
    <w:p w14:paraId="4E6F38C1" w14:textId="03B2FF3C" w:rsidR="00F40748" w:rsidRPr="008A26D2" w:rsidRDefault="00F40748">
      <w:pPr>
        <w:rPr>
          <w:rFonts w:ascii="Arial Narrow" w:eastAsia="Arial Narrow" w:hAnsi="Arial Narrow" w:cs="Arial Narrow"/>
          <w:b/>
        </w:rPr>
      </w:pPr>
    </w:p>
    <w:tbl>
      <w:tblPr>
        <w:tblW w:w="8930" w:type="dxa"/>
        <w:jc w:val="center"/>
        <w:tblLayout w:type="fixed"/>
        <w:tblLook w:val="0600" w:firstRow="0" w:lastRow="0" w:firstColumn="0" w:lastColumn="0" w:noHBand="1" w:noVBand="1"/>
      </w:tblPr>
      <w:tblGrid>
        <w:gridCol w:w="2547"/>
        <w:gridCol w:w="2127"/>
        <w:gridCol w:w="2128"/>
        <w:gridCol w:w="2128"/>
      </w:tblGrid>
      <w:tr w:rsidR="008A26D2" w:rsidRPr="008A26D2" w14:paraId="67BB9588" w14:textId="77777777" w:rsidTr="00A62784">
        <w:trPr>
          <w:trHeight w:val="300"/>
          <w:jc w:val="center"/>
        </w:trPr>
        <w:tc>
          <w:tcPr>
            <w:tcW w:w="8930"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center"/>
          </w:tcPr>
          <w:p w14:paraId="5F374E16" w14:textId="336B04FD" w:rsidR="00A62784" w:rsidRPr="008A26D2" w:rsidRDefault="00A62784" w:rsidP="00086DE5">
            <w:pPr>
              <w:jc w:val="center"/>
              <w:rPr>
                <w:rFonts w:ascii="Arial" w:hAnsi="Arial" w:cs="Arial"/>
                <w:sz w:val="20"/>
                <w:szCs w:val="20"/>
              </w:rPr>
            </w:pPr>
            <w:r w:rsidRPr="008A26D2">
              <w:rPr>
                <w:rFonts w:ascii="Arial" w:hAnsi="Arial" w:cs="Arial"/>
                <w:b/>
                <w:sz w:val="20"/>
                <w:szCs w:val="20"/>
              </w:rPr>
              <w:t xml:space="preserve">FICHA DEL SERVICIO </w:t>
            </w:r>
          </w:p>
        </w:tc>
      </w:tr>
      <w:tr w:rsidR="008A26D2" w:rsidRPr="008A26D2" w14:paraId="4D63844F" w14:textId="77777777" w:rsidTr="00A62784">
        <w:trPr>
          <w:trHeight w:val="30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2645FB2" w14:textId="77777777" w:rsidR="00A62784" w:rsidRPr="008A26D2" w:rsidRDefault="00A62784" w:rsidP="00086DE5">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Objetivo prioritario:</w:t>
            </w:r>
          </w:p>
        </w:tc>
        <w:tc>
          <w:tcPr>
            <w:tcW w:w="638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FB7E89B" w14:textId="77777777" w:rsidR="00A62784" w:rsidRPr="008A26D2" w:rsidRDefault="00A62784" w:rsidP="00086DE5">
            <w:pPr>
              <w:pBdr>
                <w:top w:val="nil"/>
                <w:left w:val="nil"/>
                <w:bottom w:val="nil"/>
                <w:right w:val="nil"/>
                <w:between w:val="nil"/>
              </w:pBdr>
              <w:spacing w:after="0" w:line="240" w:lineRule="auto"/>
              <w:jc w:val="both"/>
              <w:rPr>
                <w:rFonts w:ascii="Arial" w:hAnsi="Arial" w:cs="Arial"/>
                <w:sz w:val="20"/>
                <w:szCs w:val="20"/>
              </w:rPr>
            </w:pPr>
            <w:r w:rsidRPr="008A26D2">
              <w:rPr>
                <w:rFonts w:ascii="Arial" w:hAnsi="Arial" w:cs="Arial"/>
                <w:sz w:val="20"/>
                <w:szCs w:val="20"/>
              </w:rPr>
              <w:t>OP2 Incrementar la productividad de los ecosistemas forestales, otros ecosistemas de vegetación silvestre y de la fauna silvestre</w:t>
            </w:r>
          </w:p>
        </w:tc>
      </w:tr>
      <w:tr w:rsidR="008A26D2" w:rsidRPr="008A26D2" w14:paraId="0A7C0F12" w14:textId="77777777" w:rsidTr="00A62784">
        <w:trPr>
          <w:trHeight w:val="30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DD7AA3B" w14:textId="77777777" w:rsidR="00A62784" w:rsidRPr="008A26D2" w:rsidRDefault="00A62784" w:rsidP="00086DE5">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Lineamiento:</w:t>
            </w:r>
          </w:p>
        </w:tc>
        <w:tc>
          <w:tcPr>
            <w:tcW w:w="638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5AA89FA" w14:textId="77777777" w:rsidR="00A62784" w:rsidRPr="008A26D2" w:rsidRDefault="00A62784" w:rsidP="00086DE5">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hAnsi="Arial" w:cs="Arial"/>
                <w:sz w:val="20"/>
                <w:szCs w:val="20"/>
              </w:rPr>
              <w:t>L2.1 Mejorar la formación académica y laboral de acuerdo a las necesidades de las actividades forestales y de fauna silvestre y las exigencias del mercado</w:t>
            </w:r>
          </w:p>
        </w:tc>
      </w:tr>
      <w:tr w:rsidR="008A26D2" w:rsidRPr="008A26D2" w14:paraId="36AEF433" w14:textId="77777777" w:rsidTr="00A62784">
        <w:trPr>
          <w:trHeight w:val="30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45AD172" w14:textId="77777777" w:rsidR="00A62784" w:rsidRPr="008A26D2" w:rsidRDefault="00A62784" w:rsidP="00086DE5">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Nombre del servicio:</w:t>
            </w:r>
          </w:p>
        </w:tc>
        <w:tc>
          <w:tcPr>
            <w:tcW w:w="638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B21ED30" w14:textId="77777777" w:rsidR="00A62784" w:rsidRPr="008A26D2" w:rsidRDefault="00A62784" w:rsidP="00086DE5">
            <w:pPr>
              <w:pBdr>
                <w:top w:val="nil"/>
                <w:left w:val="nil"/>
                <w:bottom w:val="nil"/>
                <w:right w:val="nil"/>
                <w:between w:val="nil"/>
              </w:pBdr>
              <w:spacing w:after="0" w:line="240" w:lineRule="auto"/>
              <w:jc w:val="both"/>
              <w:rPr>
                <w:rFonts w:ascii="Arial" w:hAnsi="Arial" w:cs="Arial"/>
                <w:sz w:val="20"/>
                <w:szCs w:val="20"/>
              </w:rPr>
            </w:pPr>
            <w:r w:rsidRPr="008A26D2">
              <w:rPr>
                <w:rFonts w:ascii="Arial" w:eastAsia="Arial Narrow" w:hAnsi="Arial" w:cs="Arial"/>
                <w:sz w:val="20"/>
                <w:szCs w:val="20"/>
              </w:rPr>
              <w:t>S2.1.1 Fortalecimiento de capacidades en actividades productivas de la cadena forestal y fauna silvestre de forma satisfactoria dirigido a</w:t>
            </w:r>
            <w:r w:rsidRPr="008A26D2">
              <w:rPr>
                <w:rFonts w:ascii="Arial" w:hAnsi="Arial" w:cs="Arial"/>
                <w:sz w:val="20"/>
                <w:szCs w:val="20"/>
              </w:rPr>
              <w:t xml:space="preserve"> profesionales y técnicos forestales y de fauna silvestre</w:t>
            </w:r>
          </w:p>
          <w:p w14:paraId="1F951E0F" w14:textId="77777777" w:rsidR="00A62784" w:rsidRPr="008A26D2" w:rsidRDefault="00A62784" w:rsidP="00086DE5">
            <w:pPr>
              <w:pBdr>
                <w:top w:val="nil"/>
                <w:left w:val="nil"/>
                <w:bottom w:val="nil"/>
                <w:right w:val="nil"/>
                <w:between w:val="nil"/>
              </w:pBdr>
              <w:spacing w:after="0" w:line="240" w:lineRule="auto"/>
              <w:jc w:val="both"/>
              <w:rPr>
                <w:rFonts w:ascii="Arial" w:eastAsia="Arial Narrow" w:hAnsi="Arial" w:cs="Arial"/>
                <w:sz w:val="20"/>
                <w:szCs w:val="20"/>
              </w:rPr>
            </w:pPr>
          </w:p>
        </w:tc>
      </w:tr>
      <w:tr w:rsidR="008A26D2" w:rsidRPr="008A26D2" w14:paraId="18E9AA1D" w14:textId="77777777" w:rsidTr="00A62784">
        <w:trPr>
          <w:trHeight w:val="30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0DB1EB1" w14:textId="77777777" w:rsidR="00A62784" w:rsidRPr="008A26D2" w:rsidRDefault="00A62784" w:rsidP="00086DE5">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Tipo de servicio:</w:t>
            </w:r>
          </w:p>
        </w:tc>
        <w:tc>
          <w:tcPr>
            <w:tcW w:w="638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1356829" w14:textId="77777777" w:rsidR="00A62784" w:rsidRPr="008A26D2" w:rsidRDefault="00A62784" w:rsidP="00086DE5">
            <w:pPr>
              <w:pBdr>
                <w:top w:val="nil"/>
                <w:left w:val="nil"/>
                <w:bottom w:val="nil"/>
                <w:right w:val="nil"/>
                <w:between w:val="nil"/>
              </w:pBdr>
              <w:spacing w:after="0" w:line="240" w:lineRule="auto"/>
              <w:jc w:val="both"/>
              <w:rPr>
                <w:rFonts w:ascii="Arial" w:hAnsi="Arial" w:cs="Arial"/>
                <w:sz w:val="20"/>
                <w:szCs w:val="20"/>
              </w:rPr>
            </w:pPr>
            <w:r w:rsidRPr="008A26D2">
              <w:rPr>
                <w:rFonts w:ascii="Arial" w:hAnsi="Arial" w:cs="Arial"/>
                <w:sz w:val="20"/>
                <w:szCs w:val="20"/>
              </w:rPr>
              <w:t>Mejorado</w:t>
            </w:r>
          </w:p>
        </w:tc>
      </w:tr>
      <w:tr w:rsidR="008A26D2" w:rsidRPr="008A26D2" w14:paraId="03E9A74A" w14:textId="77777777" w:rsidTr="00A62784">
        <w:trPr>
          <w:trHeight w:val="30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5987B42" w14:textId="36770206" w:rsidR="00937EF4" w:rsidRPr="008A26D2" w:rsidRDefault="00937EF4" w:rsidP="00937EF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Naturaleza del servicio:</w:t>
            </w:r>
          </w:p>
        </w:tc>
        <w:tc>
          <w:tcPr>
            <w:tcW w:w="638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5BD8D7B" w14:textId="5FA8CD25" w:rsidR="00937EF4" w:rsidRPr="008A26D2" w:rsidRDefault="00FB2B17" w:rsidP="00937EF4">
            <w:pPr>
              <w:pBdr>
                <w:top w:val="nil"/>
                <w:left w:val="nil"/>
                <w:bottom w:val="nil"/>
                <w:right w:val="nil"/>
                <w:between w:val="nil"/>
              </w:pBdr>
              <w:spacing w:after="0" w:line="240" w:lineRule="auto"/>
              <w:jc w:val="both"/>
              <w:rPr>
                <w:rFonts w:ascii="Arial" w:hAnsi="Arial" w:cs="Arial"/>
                <w:sz w:val="20"/>
                <w:szCs w:val="20"/>
              </w:rPr>
            </w:pPr>
            <w:r w:rsidRPr="008A26D2">
              <w:rPr>
                <w:rFonts w:ascii="Arial" w:eastAsia="Arial Narrow" w:hAnsi="Arial" w:cs="Arial"/>
                <w:sz w:val="20"/>
                <w:szCs w:val="20"/>
              </w:rPr>
              <w:t>P</w:t>
            </w:r>
            <w:r w:rsidR="00937EF4" w:rsidRPr="008A26D2">
              <w:rPr>
                <w:rFonts w:ascii="Arial" w:eastAsia="Arial Narrow" w:hAnsi="Arial" w:cs="Arial"/>
                <w:sz w:val="20"/>
                <w:szCs w:val="20"/>
              </w:rPr>
              <w:t>restacional</w:t>
            </w:r>
          </w:p>
        </w:tc>
      </w:tr>
      <w:tr w:rsidR="008A26D2" w:rsidRPr="008A26D2" w14:paraId="48C00BC5" w14:textId="77777777" w:rsidTr="00A62784">
        <w:trPr>
          <w:trHeight w:val="30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DE0B516" w14:textId="14B3C34E" w:rsidR="00937EF4" w:rsidRPr="008A26D2" w:rsidRDefault="00937EF4" w:rsidP="00937EF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Entrega del servicio</w:t>
            </w:r>
          </w:p>
        </w:tc>
        <w:tc>
          <w:tcPr>
            <w:tcW w:w="638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08FD3E0" w14:textId="216A26B1" w:rsidR="00937EF4" w:rsidRPr="008A26D2" w:rsidRDefault="00937EF4" w:rsidP="00937EF4">
            <w:pPr>
              <w:pBdr>
                <w:top w:val="nil"/>
                <w:left w:val="nil"/>
                <w:bottom w:val="nil"/>
                <w:right w:val="nil"/>
                <w:between w:val="nil"/>
              </w:pBdr>
              <w:spacing w:after="0" w:line="240" w:lineRule="auto"/>
              <w:jc w:val="both"/>
              <w:rPr>
                <w:rFonts w:ascii="Arial" w:hAnsi="Arial" w:cs="Arial"/>
                <w:sz w:val="20"/>
                <w:szCs w:val="20"/>
              </w:rPr>
            </w:pPr>
            <w:r w:rsidRPr="008A26D2">
              <w:rPr>
                <w:rFonts w:ascii="Arial" w:eastAsia="Arial Narrow" w:hAnsi="Arial" w:cs="Arial"/>
                <w:sz w:val="20"/>
                <w:szCs w:val="20"/>
              </w:rPr>
              <w:t xml:space="preserve">Competencia exclusiva </w:t>
            </w:r>
          </w:p>
        </w:tc>
      </w:tr>
      <w:tr w:rsidR="008A26D2" w:rsidRPr="008A26D2" w14:paraId="6DFCA090" w14:textId="77777777" w:rsidTr="00A62784">
        <w:trPr>
          <w:trHeight w:val="30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72FDD5F" w14:textId="77777777" w:rsidR="00937EF4" w:rsidRPr="008A26D2" w:rsidRDefault="00937EF4" w:rsidP="00937EF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Descripción del servicio</w:t>
            </w:r>
          </w:p>
        </w:tc>
        <w:tc>
          <w:tcPr>
            <w:tcW w:w="638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24C6040" w14:textId="77777777" w:rsidR="00937EF4" w:rsidRPr="008A26D2" w:rsidRDefault="00937EF4" w:rsidP="00937EF4">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El presente servicio consiste </w:t>
            </w:r>
            <w:r w:rsidRPr="008A26D2">
              <w:rPr>
                <w:rFonts w:ascii="Arial" w:hAnsi="Arial" w:cs="Arial"/>
                <w:sz w:val="20"/>
                <w:szCs w:val="20"/>
              </w:rPr>
              <w:t xml:space="preserve">en mejorar las capacidades de los profesionales (regentes y demás profesionales) y técnicos responsables de conducir el aprovechamiento forestal o la transformación primaria a </w:t>
            </w:r>
            <w:r w:rsidRPr="008A26D2">
              <w:rPr>
                <w:rFonts w:ascii="Arial" w:hAnsi="Arial" w:cs="Arial"/>
                <w:sz w:val="20"/>
                <w:szCs w:val="20"/>
              </w:rPr>
              <w:lastRenderedPageBreak/>
              <w:t xml:space="preserve">través de diversas actividades productivas </w:t>
            </w:r>
            <w:r w:rsidRPr="008A26D2">
              <w:rPr>
                <w:rFonts w:ascii="Arial" w:eastAsia="Arial Narrow" w:hAnsi="Arial" w:cs="Arial"/>
                <w:sz w:val="20"/>
                <w:szCs w:val="20"/>
              </w:rPr>
              <w:t xml:space="preserve">en materia forestal y de fauna silvestre mediante la implementación de Programas de Formación Continua gestionados juntamente con la Academia. El fortalecimiento de capacidades se realiza a través de talleres, charlas, cursos, asistencias técnicas, entre otros, para mejorar el desempeño laboral de acuerdo a las necesidades y exigencias del mercado. </w:t>
            </w:r>
          </w:p>
          <w:p w14:paraId="27154FD1" w14:textId="77777777" w:rsidR="00937EF4" w:rsidRPr="008A26D2" w:rsidRDefault="00937EF4" w:rsidP="00937EF4">
            <w:pPr>
              <w:pBdr>
                <w:top w:val="nil"/>
                <w:left w:val="nil"/>
                <w:bottom w:val="nil"/>
                <w:right w:val="nil"/>
                <w:between w:val="nil"/>
              </w:pBdr>
              <w:spacing w:after="0" w:line="240" w:lineRule="auto"/>
              <w:jc w:val="both"/>
              <w:rPr>
                <w:rFonts w:ascii="Arial" w:eastAsia="Arial Narrow" w:hAnsi="Arial" w:cs="Arial"/>
                <w:sz w:val="20"/>
                <w:szCs w:val="20"/>
              </w:rPr>
            </w:pPr>
          </w:p>
          <w:p w14:paraId="77A3D339" w14:textId="77777777" w:rsidR="00937EF4" w:rsidRPr="008A26D2" w:rsidRDefault="00937EF4" w:rsidP="00937EF4">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El desarrollo de capacidades incluye, entre otros, las siguientes líneas disciplinares:</w:t>
            </w:r>
          </w:p>
          <w:p w14:paraId="62EB2ACA" w14:textId="77777777" w:rsidR="00937EF4" w:rsidRPr="008A26D2" w:rsidRDefault="00937EF4" w:rsidP="00937EF4">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Dendrología y Anatomía de la Madera -</w:t>
            </w:r>
          </w:p>
          <w:p w14:paraId="72D57599" w14:textId="77777777" w:rsidR="00937EF4" w:rsidRPr="008A26D2" w:rsidRDefault="00937EF4" w:rsidP="00937EF4">
            <w:pPr>
              <w:pStyle w:val="Prrafodelista"/>
              <w:numPr>
                <w:ilvl w:val="0"/>
                <w:numId w:val="36"/>
              </w:num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Taxonomía Botánica</w:t>
            </w:r>
          </w:p>
          <w:p w14:paraId="020D7635" w14:textId="77777777" w:rsidR="00937EF4" w:rsidRPr="008A26D2" w:rsidRDefault="00937EF4" w:rsidP="00937EF4">
            <w:pPr>
              <w:pStyle w:val="Prrafodelista"/>
              <w:numPr>
                <w:ilvl w:val="0"/>
                <w:numId w:val="36"/>
              </w:num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Reconocimiento de especies maderables.</w:t>
            </w:r>
          </w:p>
          <w:p w14:paraId="597C7A09" w14:textId="77777777" w:rsidR="00937EF4" w:rsidRPr="008A26D2" w:rsidRDefault="00937EF4" w:rsidP="00937EF4">
            <w:pPr>
              <w:pStyle w:val="Prrafodelista"/>
              <w:numPr>
                <w:ilvl w:val="0"/>
                <w:numId w:val="36"/>
              </w:num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Anatomía de la madera macroscópica y microscópica</w:t>
            </w:r>
          </w:p>
          <w:p w14:paraId="1762A09D" w14:textId="77777777" w:rsidR="00937EF4" w:rsidRPr="008A26D2" w:rsidRDefault="00937EF4" w:rsidP="00937EF4">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Trazabilidad en el bosque y trazabilidad en la industria </w:t>
            </w:r>
          </w:p>
          <w:p w14:paraId="3DB85C62" w14:textId="77777777" w:rsidR="00937EF4" w:rsidRPr="008A26D2" w:rsidRDefault="00937EF4" w:rsidP="00937EF4">
            <w:pPr>
              <w:pStyle w:val="Prrafodelista"/>
              <w:numPr>
                <w:ilvl w:val="0"/>
                <w:numId w:val="37"/>
              </w:num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Procedimientos </w:t>
            </w:r>
          </w:p>
          <w:p w14:paraId="64BD0207" w14:textId="4B100AE5" w:rsidR="00937EF4" w:rsidRPr="008A26D2" w:rsidRDefault="00937EF4" w:rsidP="00937EF4">
            <w:pPr>
              <w:pStyle w:val="Prrafodelista"/>
              <w:numPr>
                <w:ilvl w:val="0"/>
                <w:numId w:val="37"/>
              </w:num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Instrumentos: Libros de Operaciones, Guías de Transporte Forestal y otros.</w:t>
            </w:r>
          </w:p>
          <w:p w14:paraId="4203ABFF" w14:textId="77777777" w:rsidR="00937EF4" w:rsidRPr="008A26D2" w:rsidRDefault="00937EF4" w:rsidP="00937EF4">
            <w:pPr>
              <w:pStyle w:val="Prrafodelista"/>
              <w:numPr>
                <w:ilvl w:val="0"/>
                <w:numId w:val="37"/>
              </w:num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Cadena Productiva</w:t>
            </w:r>
          </w:p>
          <w:p w14:paraId="21EA2D3B" w14:textId="77777777" w:rsidR="00937EF4" w:rsidRPr="008A26D2" w:rsidRDefault="00937EF4" w:rsidP="00937EF4">
            <w:pPr>
              <w:pStyle w:val="Prrafodelista"/>
              <w:numPr>
                <w:ilvl w:val="0"/>
                <w:numId w:val="37"/>
              </w:num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Aprovechamiento</w:t>
            </w:r>
          </w:p>
          <w:p w14:paraId="2FD5F0E0" w14:textId="77777777" w:rsidR="00937EF4" w:rsidRPr="008A26D2" w:rsidRDefault="00937EF4" w:rsidP="00937EF4">
            <w:pPr>
              <w:pStyle w:val="Prrafodelista"/>
              <w:numPr>
                <w:ilvl w:val="0"/>
                <w:numId w:val="37"/>
              </w:num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Transporte, transformación y Comercialización.</w:t>
            </w:r>
          </w:p>
          <w:p w14:paraId="3D867CF2" w14:textId="3557A654" w:rsidR="00937EF4" w:rsidRPr="008A26D2" w:rsidRDefault="00937EF4" w:rsidP="00937EF4">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Plan de manejo forestal</w:t>
            </w:r>
          </w:p>
          <w:p w14:paraId="6B7412E6" w14:textId="77777777" w:rsidR="00937EF4" w:rsidRPr="008A26D2" w:rsidRDefault="00937EF4" w:rsidP="00937EF4">
            <w:pPr>
              <w:pStyle w:val="Prrafodelista"/>
              <w:numPr>
                <w:ilvl w:val="0"/>
                <w:numId w:val="38"/>
              </w:num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Niveles de aprovechamiento Forestal</w:t>
            </w:r>
          </w:p>
          <w:p w14:paraId="5F05EA3A" w14:textId="07B978C5" w:rsidR="00937EF4" w:rsidRPr="008A26D2" w:rsidRDefault="00937EF4" w:rsidP="00937EF4">
            <w:pPr>
              <w:pStyle w:val="Prrafodelista"/>
              <w:numPr>
                <w:ilvl w:val="0"/>
                <w:numId w:val="38"/>
              </w:num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Plan General de manejo forestal </w:t>
            </w:r>
            <w:r w:rsidR="00880D35">
              <w:rPr>
                <w:rFonts w:ascii="Arial" w:eastAsia="Arial Narrow" w:hAnsi="Arial" w:cs="Arial"/>
                <w:sz w:val="20"/>
                <w:szCs w:val="20"/>
              </w:rPr>
              <w:t>(</w:t>
            </w:r>
            <w:r w:rsidRPr="008A26D2">
              <w:rPr>
                <w:rFonts w:ascii="Arial" w:eastAsia="Arial Narrow" w:hAnsi="Arial" w:cs="Arial"/>
                <w:sz w:val="20"/>
                <w:szCs w:val="20"/>
              </w:rPr>
              <w:t>PGMF</w:t>
            </w:r>
            <w:r w:rsidR="00880D35">
              <w:rPr>
                <w:rFonts w:ascii="Arial" w:eastAsia="Arial Narrow" w:hAnsi="Arial" w:cs="Arial"/>
                <w:sz w:val="20"/>
                <w:szCs w:val="20"/>
              </w:rPr>
              <w:t>)</w:t>
            </w:r>
            <w:r w:rsidRPr="008A26D2">
              <w:rPr>
                <w:rFonts w:ascii="Arial" w:eastAsia="Arial Narrow" w:hAnsi="Arial" w:cs="Arial"/>
                <w:sz w:val="20"/>
                <w:szCs w:val="20"/>
              </w:rPr>
              <w:t>, PMFI, PO y DEMA</w:t>
            </w:r>
          </w:p>
          <w:p w14:paraId="00F7A9D6" w14:textId="34A8C700" w:rsidR="00937EF4" w:rsidRPr="008A26D2" w:rsidRDefault="00937EF4" w:rsidP="00937EF4">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Aprovechamiento forestal maderable y no maderable</w:t>
            </w:r>
          </w:p>
          <w:p w14:paraId="42522B3A" w14:textId="77777777" w:rsidR="00937EF4" w:rsidRPr="008A26D2" w:rsidRDefault="00937EF4" w:rsidP="00937EF4">
            <w:pPr>
              <w:spacing w:after="0" w:line="240" w:lineRule="auto"/>
              <w:rPr>
                <w:rFonts w:ascii="Arial" w:hAnsi="Arial" w:cs="Arial"/>
                <w:sz w:val="20"/>
                <w:szCs w:val="20"/>
              </w:rPr>
            </w:pPr>
            <w:r w:rsidRPr="008A26D2">
              <w:rPr>
                <w:rFonts w:ascii="Arial" w:hAnsi="Arial" w:cs="Arial"/>
                <w:sz w:val="20"/>
                <w:szCs w:val="20"/>
              </w:rPr>
              <w:t xml:space="preserve">Títulos habilitantes para el manejo de fauna Silvestre </w:t>
            </w:r>
          </w:p>
          <w:p w14:paraId="6551300D" w14:textId="54DED925" w:rsidR="00937EF4" w:rsidRPr="008A26D2" w:rsidRDefault="00937EF4" w:rsidP="00937EF4">
            <w:pPr>
              <w:pStyle w:val="Prrafodelista"/>
              <w:numPr>
                <w:ilvl w:val="0"/>
                <w:numId w:val="38"/>
              </w:numPr>
              <w:spacing w:after="0" w:line="240" w:lineRule="auto"/>
              <w:jc w:val="both"/>
              <w:rPr>
                <w:rFonts w:ascii="Arial" w:hAnsi="Arial" w:cs="Arial"/>
                <w:sz w:val="20"/>
                <w:szCs w:val="20"/>
              </w:rPr>
            </w:pPr>
            <w:r w:rsidRPr="008A26D2">
              <w:rPr>
                <w:rFonts w:ascii="Arial" w:hAnsi="Arial" w:cs="Arial"/>
                <w:sz w:val="20"/>
                <w:szCs w:val="20"/>
              </w:rPr>
              <w:t>Títulos habilitantes y actos administrativos que no constituyen títulos habilitantes</w:t>
            </w:r>
          </w:p>
          <w:p w14:paraId="76AD56B5" w14:textId="77777777" w:rsidR="00937EF4" w:rsidRPr="008A26D2" w:rsidRDefault="00937EF4" w:rsidP="00937EF4">
            <w:pPr>
              <w:spacing w:after="0" w:line="240" w:lineRule="auto"/>
              <w:rPr>
                <w:rFonts w:ascii="Arial" w:hAnsi="Arial" w:cs="Arial"/>
                <w:bCs/>
                <w:sz w:val="20"/>
                <w:szCs w:val="20"/>
              </w:rPr>
            </w:pPr>
            <w:r w:rsidRPr="008A26D2">
              <w:rPr>
                <w:rFonts w:ascii="Arial" w:hAnsi="Arial" w:cs="Arial"/>
                <w:bCs/>
                <w:sz w:val="20"/>
                <w:szCs w:val="20"/>
              </w:rPr>
              <w:t>Conservación de especies de fauna silvestre</w:t>
            </w:r>
          </w:p>
          <w:p w14:paraId="72E464D9" w14:textId="77777777" w:rsidR="00937EF4" w:rsidRPr="008A26D2" w:rsidRDefault="00937EF4" w:rsidP="00937EF4">
            <w:pPr>
              <w:pStyle w:val="Prrafodelista"/>
              <w:numPr>
                <w:ilvl w:val="0"/>
                <w:numId w:val="38"/>
              </w:numPr>
              <w:spacing w:after="0" w:line="240" w:lineRule="auto"/>
              <w:jc w:val="both"/>
              <w:rPr>
                <w:rFonts w:ascii="Arial" w:hAnsi="Arial" w:cs="Arial"/>
                <w:sz w:val="20"/>
                <w:szCs w:val="20"/>
              </w:rPr>
            </w:pPr>
            <w:r w:rsidRPr="008A26D2">
              <w:rPr>
                <w:rFonts w:ascii="Arial" w:hAnsi="Arial" w:cs="Arial"/>
                <w:sz w:val="20"/>
                <w:szCs w:val="20"/>
              </w:rPr>
              <w:t>Planes de conservación, conservación ex situ, conservación in situ y especies amenazadas</w:t>
            </w:r>
          </w:p>
          <w:p w14:paraId="3EFDC5DA" w14:textId="77777777" w:rsidR="00937EF4" w:rsidRPr="008A26D2" w:rsidRDefault="00937EF4" w:rsidP="00937EF4">
            <w:pPr>
              <w:spacing w:after="0" w:line="240" w:lineRule="auto"/>
              <w:rPr>
                <w:rFonts w:ascii="Arial" w:hAnsi="Arial" w:cs="Arial"/>
                <w:bCs/>
                <w:sz w:val="20"/>
                <w:szCs w:val="20"/>
              </w:rPr>
            </w:pPr>
            <w:r w:rsidRPr="008A26D2">
              <w:rPr>
                <w:rFonts w:ascii="Arial" w:hAnsi="Arial" w:cs="Arial"/>
                <w:bCs/>
                <w:sz w:val="20"/>
                <w:szCs w:val="20"/>
              </w:rPr>
              <w:t>Evaluación de impacto ambiental</w:t>
            </w:r>
          </w:p>
          <w:p w14:paraId="289C2120" w14:textId="77777777" w:rsidR="00937EF4" w:rsidRPr="008A26D2" w:rsidRDefault="00937EF4" w:rsidP="00937EF4">
            <w:pPr>
              <w:pStyle w:val="Prrafodelista"/>
              <w:numPr>
                <w:ilvl w:val="0"/>
                <w:numId w:val="38"/>
              </w:numPr>
              <w:spacing w:after="0" w:line="240" w:lineRule="auto"/>
              <w:jc w:val="both"/>
              <w:rPr>
                <w:rFonts w:ascii="Arial" w:hAnsi="Arial" w:cs="Arial"/>
                <w:sz w:val="20"/>
                <w:szCs w:val="20"/>
              </w:rPr>
            </w:pPr>
            <w:r w:rsidRPr="008A26D2">
              <w:rPr>
                <w:rFonts w:ascii="Arial" w:hAnsi="Arial" w:cs="Arial"/>
                <w:sz w:val="20"/>
                <w:szCs w:val="20"/>
              </w:rPr>
              <w:t>Niveles de evaluación de Impacto Ambiental y adaptación y mitigación</w:t>
            </w:r>
          </w:p>
          <w:p w14:paraId="08AF95CE" w14:textId="05DC60BA" w:rsidR="00937EF4" w:rsidRPr="008A26D2" w:rsidRDefault="00937EF4" w:rsidP="00937EF4">
            <w:pPr>
              <w:spacing w:after="0" w:line="240" w:lineRule="auto"/>
              <w:rPr>
                <w:rFonts w:ascii="Arial" w:hAnsi="Arial" w:cs="Arial"/>
                <w:bCs/>
                <w:sz w:val="20"/>
                <w:szCs w:val="20"/>
              </w:rPr>
            </w:pPr>
            <w:r w:rsidRPr="008A26D2">
              <w:rPr>
                <w:rFonts w:ascii="Arial" w:hAnsi="Arial" w:cs="Arial"/>
                <w:bCs/>
                <w:sz w:val="20"/>
                <w:szCs w:val="20"/>
              </w:rPr>
              <w:t>Negocios en fauna silvestre</w:t>
            </w:r>
          </w:p>
          <w:p w14:paraId="5312B6C2" w14:textId="77777777" w:rsidR="00937EF4" w:rsidRPr="008A26D2" w:rsidRDefault="00937EF4" w:rsidP="00937EF4">
            <w:pPr>
              <w:pStyle w:val="Prrafodelista"/>
              <w:numPr>
                <w:ilvl w:val="0"/>
                <w:numId w:val="38"/>
              </w:numPr>
              <w:spacing w:after="0" w:line="240" w:lineRule="auto"/>
              <w:jc w:val="both"/>
              <w:rPr>
                <w:rFonts w:ascii="Arial" w:hAnsi="Arial" w:cs="Arial"/>
                <w:sz w:val="20"/>
                <w:szCs w:val="20"/>
              </w:rPr>
            </w:pPr>
            <w:r w:rsidRPr="008A26D2">
              <w:rPr>
                <w:rFonts w:ascii="Arial" w:hAnsi="Arial" w:cs="Arial"/>
                <w:sz w:val="20"/>
                <w:szCs w:val="20"/>
              </w:rPr>
              <w:t>Identificación de cadenas productivas y valoración de recursos</w:t>
            </w:r>
          </w:p>
          <w:p w14:paraId="0FFA0FCA" w14:textId="16751F85" w:rsidR="00937EF4" w:rsidRPr="008A26D2" w:rsidRDefault="00937EF4" w:rsidP="00937EF4">
            <w:pPr>
              <w:spacing w:after="0" w:line="240" w:lineRule="auto"/>
              <w:rPr>
                <w:rFonts w:ascii="Arial" w:hAnsi="Arial" w:cs="Arial"/>
                <w:sz w:val="20"/>
                <w:szCs w:val="20"/>
              </w:rPr>
            </w:pPr>
            <w:r w:rsidRPr="008A26D2">
              <w:rPr>
                <w:rFonts w:ascii="Arial" w:hAnsi="Arial" w:cs="Arial"/>
                <w:sz w:val="20"/>
                <w:szCs w:val="20"/>
              </w:rPr>
              <w:t>Manejo de fauna silvestre</w:t>
            </w:r>
          </w:p>
          <w:p w14:paraId="073C6DA9" w14:textId="7553C61D" w:rsidR="00937EF4" w:rsidRPr="008A26D2" w:rsidRDefault="00937EF4" w:rsidP="00937EF4">
            <w:pPr>
              <w:pStyle w:val="Prrafodelista"/>
              <w:numPr>
                <w:ilvl w:val="0"/>
                <w:numId w:val="38"/>
              </w:numPr>
              <w:spacing w:after="0" w:line="240" w:lineRule="auto"/>
              <w:jc w:val="both"/>
              <w:rPr>
                <w:rFonts w:ascii="Arial" w:hAnsi="Arial" w:cs="Arial"/>
                <w:bCs/>
                <w:sz w:val="20"/>
                <w:szCs w:val="20"/>
              </w:rPr>
            </w:pPr>
            <w:r w:rsidRPr="008A26D2">
              <w:rPr>
                <w:rFonts w:ascii="Arial" w:hAnsi="Arial" w:cs="Arial"/>
                <w:bCs/>
                <w:sz w:val="20"/>
                <w:szCs w:val="20"/>
              </w:rPr>
              <w:t xml:space="preserve">Plan de Manejo de Fauna Silvestre, Plan de Manejo de Fauna Silvestre Simplificado </w:t>
            </w:r>
            <w:r w:rsidR="004E7D4B">
              <w:rPr>
                <w:rFonts w:ascii="Arial" w:hAnsi="Arial" w:cs="Arial"/>
                <w:bCs/>
                <w:sz w:val="20"/>
                <w:szCs w:val="20"/>
              </w:rPr>
              <w:t xml:space="preserve">- </w:t>
            </w:r>
            <w:r w:rsidRPr="008A26D2">
              <w:rPr>
                <w:rFonts w:ascii="Arial" w:hAnsi="Arial" w:cs="Arial"/>
                <w:bCs/>
                <w:sz w:val="20"/>
                <w:szCs w:val="20"/>
              </w:rPr>
              <w:t xml:space="preserve">PMFSS, Declaración de Manejo de Fauna Silvestre </w:t>
            </w:r>
            <w:r w:rsidR="004E7D4B">
              <w:rPr>
                <w:rFonts w:ascii="Arial" w:hAnsi="Arial" w:cs="Arial"/>
                <w:bCs/>
                <w:sz w:val="20"/>
                <w:szCs w:val="20"/>
              </w:rPr>
              <w:t xml:space="preserve">- </w:t>
            </w:r>
            <w:r w:rsidRPr="008A26D2">
              <w:rPr>
                <w:rFonts w:ascii="Arial" w:hAnsi="Arial" w:cs="Arial"/>
                <w:bCs/>
                <w:sz w:val="20"/>
                <w:szCs w:val="20"/>
              </w:rPr>
              <w:t>DEMAFS, Técnicas básicas de monitoreo de fauna silvestre y Dinámica de poblaciones de fauna silvestre</w:t>
            </w:r>
          </w:p>
          <w:p w14:paraId="3447A57E" w14:textId="5313E6F2" w:rsidR="00937EF4" w:rsidRPr="008A26D2" w:rsidRDefault="00937EF4" w:rsidP="00937EF4">
            <w:pPr>
              <w:spacing w:after="0" w:line="240" w:lineRule="auto"/>
              <w:rPr>
                <w:rFonts w:ascii="Arial" w:hAnsi="Arial" w:cs="Arial"/>
                <w:sz w:val="20"/>
                <w:szCs w:val="20"/>
              </w:rPr>
            </w:pPr>
            <w:r w:rsidRPr="008A26D2">
              <w:rPr>
                <w:rFonts w:ascii="Arial" w:hAnsi="Arial" w:cs="Arial"/>
                <w:sz w:val="20"/>
                <w:szCs w:val="20"/>
              </w:rPr>
              <w:t>Manejo de fauna silvestre en libertad (in situ)</w:t>
            </w:r>
          </w:p>
          <w:p w14:paraId="3BA495FC" w14:textId="77777777" w:rsidR="00937EF4" w:rsidRPr="008A26D2" w:rsidRDefault="00937EF4" w:rsidP="00937EF4">
            <w:pPr>
              <w:pStyle w:val="Prrafodelista"/>
              <w:numPr>
                <w:ilvl w:val="0"/>
                <w:numId w:val="38"/>
              </w:numPr>
              <w:spacing w:after="0" w:line="240" w:lineRule="auto"/>
              <w:jc w:val="both"/>
              <w:rPr>
                <w:rFonts w:ascii="Arial" w:hAnsi="Arial" w:cs="Arial"/>
                <w:sz w:val="20"/>
                <w:szCs w:val="20"/>
              </w:rPr>
            </w:pPr>
            <w:r w:rsidRPr="008A26D2">
              <w:rPr>
                <w:rFonts w:ascii="Arial" w:hAnsi="Arial" w:cs="Arial"/>
                <w:sz w:val="20"/>
                <w:szCs w:val="20"/>
              </w:rPr>
              <w:t>Concesiones, Permisos Zoonosis y problemas sanitarios en especies de fauna silvestre y especies de fauna silvestre exóticas e invasivas y, manejo e implementación de cotos de caza.</w:t>
            </w:r>
          </w:p>
          <w:p w14:paraId="341ABBC4" w14:textId="05D8B84F" w:rsidR="00937EF4" w:rsidRPr="008A26D2" w:rsidRDefault="00937EF4" w:rsidP="00937EF4">
            <w:pPr>
              <w:spacing w:after="0" w:line="240" w:lineRule="auto"/>
              <w:rPr>
                <w:rFonts w:ascii="Arial" w:hAnsi="Arial" w:cs="Arial"/>
                <w:sz w:val="20"/>
                <w:szCs w:val="20"/>
              </w:rPr>
            </w:pPr>
            <w:r w:rsidRPr="008A26D2">
              <w:rPr>
                <w:rFonts w:ascii="Arial" w:hAnsi="Arial" w:cs="Arial"/>
                <w:sz w:val="20"/>
                <w:szCs w:val="20"/>
              </w:rPr>
              <w:t>Manejo de fauna silvestre en cautiverio</w:t>
            </w:r>
          </w:p>
          <w:p w14:paraId="00A2122B" w14:textId="77777777" w:rsidR="00937EF4" w:rsidRPr="008A26D2" w:rsidRDefault="00937EF4" w:rsidP="00937EF4">
            <w:pPr>
              <w:pStyle w:val="Prrafodelista"/>
              <w:numPr>
                <w:ilvl w:val="0"/>
                <w:numId w:val="38"/>
              </w:numPr>
              <w:spacing w:after="0" w:line="240" w:lineRule="auto"/>
              <w:jc w:val="both"/>
              <w:rPr>
                <w:rFonts w:ascii="Arial" w:hAnsi="Arial" w:cs="Arial"/>
                <w:bCs/>
                <w:sz w:val="20"/>
                <w:szCs w:val="20"/>
              </w:rPr>
            </w:pPr>
            <w:r w:rsidRPr="008A26D2">
              <w:rPr>
                <w:rFonts w:ascii="Arial" w:hAnsi="Arial" w:cs="Arial"/>
                <w:bCs/>
                <w:sz w:val="20"/>
                <w:szCs w:val="20"/>
              </w:rPr>
              <w:t>Modalidades de acceso al manejo de fauna silvestre en cautiverio y plantel reproductor o genético para manejo en cautiverio</w:t>
            </w:r>
          </w:p>
          <w:p w14:paraId="49E71D0C" w14:textId="77777777" w:rsidR="00937EF4" w:rsidRPr="008A26D2" w:rsidRDefault="00937EF4" w:rsidP="00937EF4">
            <w:pPr>
              <w:pBdr>
                <w:top w:val="nil"/>
                <w:left w:val="nil"/>
                <w:bottom w:val="nil"/>
                <w:right w:val="nil"/>
                <w:between w:val="nil"/>
              </w:pBdr>
              <w:spacing w:after="0" w:line="240" w:lineRule="auto"/>
              <w:jc w:val="both"/>
              <w:rPr>
                <w:rFonts w:ascii="Arial" w:eastAsia="Arial Narrow" w:hAnsi="Arial" w:cs="Arial"/>
                <w:sz w:val="20"/>
                <w:szCs w:val="20"/>
              </w:rPr>
            </w:pPr>
          </w:p>
          <w:p w14:paraId="503CDE9D" w14:textId="77777777" w:rsidR="00937EF4" w:rsidRPr="008A26D2" w:rsidRDefault="00937EF4" w:rsidP="00937EF4">
            <w:pPr>
              <w:pBdr>
                <w:top w:val="nil"/>
                <w:left w:val="nil"/>
                <w:bottom w:val="nil"/>
                <w:right w:val="nil"/>
                <w:between w:val="nil"/>
              </w:pBdr>
              <w:spacing w:after="0" w:line="240" w:lineRule="auto"/>
              <w:jc w:val="both"/>
              <w:rPr>
                <w:rFonts w:ascii="Arial" w:hAnsi="Arial" w:cs="Arial"/>
                <w:sz w:val="20"/>
                <w:szCs w:val="20"/>
              </w:rPr>
            </w:pPr>
            <w:r w:rsidRPr="008A26D2">
              <w:rPr>
                <w:rFonts w:ascii="Arial" w:eastAsia="Arial Narrow" w:hAnsi="Arial" w:cs="Arial"/>
                <w:sz w:val="20"/>
                <w:szCs w:val="20"/>
              </w:rPr>
              <w:t xml:space="preserve">El servicio es de tipo mejorado porque se aplicará nuevas herramientas metodológicas y tecnológicas para la entrega del servicio, para </w:t>
            </w:r>
            <w:r w:rsidRPr="008A26D2">
              <w:rPr>
                <w:rFonts w:ascii="Arial" w:eastAsia="Times New Roman" w:hAnsi="Arial" w:cs="Arial"/>
                <w:sz w:val="20"/>
                <w:szCs w:val="20"/>
                <w:lang w:val="es-ES"/>
              </w:rPr>
              <w:t xml:space="preserve">satisfacer las expectativas de capacitación en </w:t>
            </w:r>
            <w:r w:rsidRPr="008A26D2">
              <w:rPr>
                <w:rFonts w:ascii="Arial" w:eastAsia="Arial Narrow" w:hAnsi="Arial" w:cs="Arial"/>
                <w:sz w:val="20"/>
                <w:szCs w:val="20"/>
              </w:rPr>
              <w:t>actividades productivas de la cadena forestal y fauna silvestre</w:t>
            </w:r>
            <w:r w:rsidRPr="008A26D2">
              <w:rPr>
                <w:rFonts w:ascii="Arial" w:eastAsia="Times New Roman" w:hAnsi="Arial" w:cs="Arial"/>
                <w:sz w:val="20"/>
                <w:szCs w:val="20"/>
                <w:lang w:val="es-ES"/>
              </w:rPr>
              <w:t xml:space="preserve"> por parte de las </w:t>
            </w:r>
            <w:r w:rsidRPr="008A26D2">
              <w:rPr>
                <w:rFonts w:ascii="Arial" w:hAnsi="Arial" w:cs="Arial"/>
                <w:sz w:val="20"/>
                <w:szCs w:val="20"/>
              </w:rPr>
              <w:t>profesionales y técnicos</w:t>
            </w:r>
            <w:r w:rsidRPr="008A26D2">
              <w:rPr>
                <w:rFonts w:ascii="Arial" w:eastAsia="Times New Roman" w:hAnsi="Arial" w:cs="Arial"/>
                <w:sz w:val="20"/>
                <w:szCs w:val="20"/>
                <w:lang w:val="es-ES"/>
              </w:rPr>
              <w:t>.</w:t>
            </w:r>
          </w:p>
          <w:p w14:paraId="4A34FDE2" w14:textId="77777777" w:rsidR="00937EF4" w:rsidRPr="008A26D2" w:rsidRDefault="00937EF4" w:rsidP="00937EF4">
            <w:pPr>
              <w:pBdr>
                <w:top w:val="nil"/>
                <w:left w:val="nil"/>
                <w:bottom w:val="nil"/>
                <w:right w:val="nil"/>
                <w:between w:val="nil"/>
              </w:pBdr>
              <w:spacing w:after="0" w:line="240" w:lineRule="auto"/>
              <w:jc w:val="both"/>
              <w:rPr>
                <w:rFonts w:ascii="Arial" w:eastAsia="Arial Narrow" w:hAnsi="Arial" w:cs="Arial"/>
                <w:sz w:val="20"/>
                <w:szCs w:val="20"/>
              </w:rPr>
            </w:pPr>
          </w:p>
        </w:tc>
      </w:tr>
      <w:tr w:rsidR="008A26D2" w:rsidRPr="008A26D2" w14:paraId="3C00F72A" w14:textId="77777777" w:rsidTr="00A62784">
        <w:trPr>
          <w:trHeight w:val="30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FA8AFDF" w14:textId="77777777" w:rsidR="00937EF4" w:rsidRPr="008A26D2" w:rsidRDefault="00937EF4" w:rsidP="00937EF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lastRenderedPageBreak/>
              <w:t xml:space="preserve"> Proveedor del servicio</w:t>
            </w:r>
          </w:p>
        </w:tc>
        <w:tc>
          <w:tcPr>
            <w:tcW w:w="638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56FC5B8" w14:textId="77777777" w:rsidR="00937EF4" w:rsidRPr="008A26D2" w:rsidRDefault="00937EF4" w:rsidP="00937EF4">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hAnsi="Arial" w:cs="Arial"/>
                <w:sz w:val="20"/>
                <w:szCs w:val="20"/>
              </w:rPr>
              <w:t xml:space="preserve">Servicio Nacional Forestal y de Fauna Silvestre - SERFOR  </w:t>
            </w:r>
          </w:p>
        </w:tc>
      </w:tr>
      <w:tr w:rsidR="008A26D2" w:rsidRPr="008A26D2" w14:paraId="3DC21F22" w14:textId="77777777" w:rsidTr="005B6834">
        <w:trPr>
          <w:trHeight w:val="458"/>
          <w:jc w:val="center"/>
        </w:trPr>
        <w:tc>
          <w:tcPr>
            <w:tcW w:w="2547" w:type="dxa"/>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4ABC014D" w14:textId="77777777" w:rsidR="00937EF4" w:rsidRPr="008A26D2" w:rsidRDefault="00937EF4" w:rsidP="005C6B29">
            <w:pPr>
              <w:spacing w:after="0" w:line="240" w:lineRule="auto"/>
              <w:rPr>
                <w:rFonts w:ascii="Arial" w:hAnsi="Arial" w:cs="Arial"/>
                <w:b/>
                <w:sz w:val="20"/>
                <w:szCs w:val="20"/>
              </w:rPr>
            </w:pPr>
            <w:r w:rsidRPr="008A26D2">
              <w:rPr>
                <w:rFonts w:ascii="Arial" w:hAnsi="Arial" w:cs="Arial"/>
                <w:b/>
                <w:sz w:val="20"/>
                <w:szCs w:val="20"/>
              </w:rPr>
              <w:t>Nivel (es) de gobierno que interviene</w:t>
            </w:r>
          </w:p>
          <w:p w14:paraId="7053E08C" w14:textId="298AB2BA" w:rsidR="00937EF4" w:rsidRPr="008A26D2" w:rsidRDefault="00937EF4" w:rsidP="00937EF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(n) en la provisión del servicio</w:t>
            </w:r>
          </w:p>
        </w:tc>
        <w:tc>
          <w:tcPr>
            <w:tcW w:w="2127"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44D19CC6" w14:textId="0B7AF905" w:rsidR="00937EF4" w:rsidRPr="008A26D2" w:rsidRDefault="00937EF4" w:rsidP="00AE4522">
            <w:pPr>
              <w:pBdr>
                <w:top w:val="nil"/>
                <w:left w:val="nil"/>
                <w:bottom w:val="nil"/>
                <w:right w:val="nil"/>
                <w:between w:val="nil"/>
              </w:pBdr>
              <w:spacing w:after="0" w:line="240" w:lineRule="auto"/>
              <w:jc w:val="center"/>
              <w:rPr>
                <w:rFonts w:ascii="Arial" w:hAnsi="Arial" w:cs="Arial"/>
                <w:sz w:val="20"/>
                <w:szCs w:val="20"/>
              </w:rPr>
            </w:pPr>
            <w:r w:rsidRPr="008A26D2">
              <w:rPr>
                <w:rFonts w:ascii="Arial" w:eastAsia="Arial Narrow" w:hAnsi="Arial" w:cs="Arial"/>
                <w:sz w:val="20"/>
                <w:szCs w:val="20"/>
              </w:rPr>
              <w:t>Nacional</w:t>
            </w:r>
          </w:p>
        </w:tc>
        <w:tc>
          <w:tcPr>
            <w:tcW w:w="2128" w:type="dxa"/>
            <w:tcBorders>
              <w:top w:val="single" w:sz="4" w:space="0" w:color="000000"/>
              <w:left w:val="single" w:sz="4" w:space="0" w:color="000000"/>
              <w:right w:val="single" w:sz="4" w:space="0" w:color="000000"/>
            </w:tcBorders>
            <w:shd w:val="clear" w:color="auto" w:fill="auto"/>
            <w:vAlign w:val="center"/>
          </w:tcPr>
          <w:p w14:paraId="3878306C" w14:textId="07AFF3D6" w:rsidR="00937EF4" w:rsidRPr="008A26D2" w:rsidRDefault="00937EF4" w:rsidP="00AE4522">
            <w:pPr>
              <w:pBdr>
                <w:top w:val="nil"/>
                <w:left w:val="nil"/>
                <w:bottom w:val="nil"/>
                <w:right w:val="nil"/>
                <w:between w:val="nil"/>
              </w:pBdr>
              <w:spacing w:after="0" w:line="240" w:lineRule="auto"/>
              <w:jc w:val="center"/>
              <w:rPr>
                <w:rFonts w:ascii="Arial" w:hAnsi="Arial" w:cs="Arial"/>
                <w:sz w:val="20"/>
                <w:szCs w:val="20"/>
              </w:rPr>
            </w:pPr>
            <w:r w:rsidRPr="008A26D2">
              <w:rPr>
                <w:rFonts w:ascii="Arial" w:eastAsia="Arial Narrow" w:hAnsi="Arial" w:cs="Arial"/>
                <w:sz w:val="20"/>
                <w:szCs w:val="20"/>
              </w:rPr>
              <w:t>Regional</w:t>
            </w:r>
          </w:p>
        </w:tc>
        <w:tc>
          <w:tcPr>
            <w:tcW w:w="2128" w:type="dxa"/>
            <w:tcBorders>
              <w:top w:val="single" w:sz="4" w:space="0" w:color="000000"/>
              <w:left w:val="single" w:sz="4" w:space="0" w:color="000000"/>
              <w:right w:val="single" w:sz="4" w:space="0" w:color="000000"/>
            </w:tcBorders>
            <w:shd w:val="clear" w:color="auto" w:fill="auto"/>
            <w:vAlign w:val="center"/>
          </w:tcPr>
          <w:p w14:paraId="5CDA4CD3" w14:textId="042A0301" w:rsidR="00937EF4" w:rsidRPr="008A26D2" w:rsidRDefault="00937EF4" w:rsidP="00AE4522">
            <w:pPr>
              <w:pBdr>
                <w:top w:val="nil"/>
                <w:left w:val="nil"/>
                <w:bottom w:val="nil"/>
                <w:right w:val="nil"/>
                <w:between w:val="nil"/>
              </w:pBdr>
              <w:spacing w:after="0" w:line="240" w:lineRule="auto"/>
              <w:jc w:val="center"/>
              <w:rPr>
                <w:rFonts w:ascii="Arial" w:hAnsi="Arial" w:cs="Arial"/>
                <w:sz w:val="20"/>
                <w:szCs w:val="20"/>
              </w:rPr>
            </w:pPr>
            <w:r w:rsidRPr="008A26D2">
              <w:rPr>
                <w:rFonts w:ascii="Arial" w:eastAsia="Arial Narrow" w:hAnsi="Arial" w:cs="Arial"/>
                <w:sz w:val="20"/>
                <w:szCs w:val="20"/>
              </w:rPr>
              <w:t>Local</w:t>
            </w:r>
          </w:p>
        </w:tc>
      </w:tr>
      <w:tr w:rsidR="008A26D2" w:rsidRPr="008A26D2" w14:paraId="161DC73E" w14:textId="77777777" w:rsidTr="005B6834">
        <w:trPr>
          <w:trHeight w:val="457"/>
          <w:jc w:val="center"/>
        </w:trPr>
        <w:tc>
          <w:tcPr>
            <w:tcW w:w="2547" w:type="dxa"/>
            <w:vMerge/>
            <w:tcBorders>
              <w:left w:val="single" w:sz="4" w:space="0" w:color="000000"/>
              <w:right w:val="single" w:sz="4" w:space="0" w:color="000000"/>
            </w:tcBorders>
            <w:shd w:val="clear" w:color="auto" w:fill="auto"/>
            <w:tcMar>
              <w:top w:w="15" w:type="dxa"/>
              <w:left w:w="15" w:type="dxa"/>
              <w:bottom w:w="0" w:type="dxa"/>
              <w:right w:w="15" w:type="dxa"/>
            </w:tcMar>
            <w:vAlign w:val="center"/>
          </w:tcPr>
          <w:p w14:paraId="6B876C0B" w14:textId="77777777" w:rsidR="00937EF4" w:rsidRPr="008A26D2" w:rsidRDefault="00937EF4" w:rsidP="00937EF4">
            <w:pPr>
              <w:spacing w:after="0" w:line="240" w:lineRule="auto"/>
              <w:rPr>
                <w:rFonts w:ascii="Arial" w:hAnsi="Arial" w:cs="Arial"/>
                <w:b/>
                <w:sz w:val="20"/>
                <w:szCs w:val="20"/>
              </w:rPr>
            </w:pPr>
          </w:p>
        </w:tc>
        <w:tc>
          <w:tcPr>
            <w:tcW w:w="2127"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10555695" w14:textId="18303031" w:rsidR="00937EF4" w:rsidRPr="008A26D2" w:rsidRDefault="00FB2B17" w:rsidP="00AE4522">
            <w:pPr>
              <w:pBdr>
                <w:top w:val="nil"/>
                <w:left w:val="nil"/>
                <w:bottom w:val="nil"/>
                <w:right w:val="nil"/>
                <w:between w:val="nil"/>
              </w:pBdr>
              <w:spacing w:after="0" w:line="240" w:lineRule="auto"/>
              <w:jc w:val="center"/>
              <w:rPr>
                <w:rFonts w:ascii="Arial" w:hAnsi="Arial" w:cs="Arial"/>
                <w:sz w:val="20"/>
                <w:szCs w:val="20"/>
              </w:rPr>
            </w:pPr>
            <w:r w:rsidRPr="008A26D2">
              <w:rPr>
                <w:rFonts w:ascii="Arial" w:hAnsi="Arial" w:cs="Arial"/>
                <w:sz w:val="20"/>
                <w:szCs w:val="20"/>
              </w:rPr>
              <w:t>X</w:t>
            </w:r>
          </w:p>
        </w:tc>
        <w:tc>
          <w:tcPr>
            <w:tcW w:w="2128" w:type="dxa"/>
            <w:tcBorders>
              <w:top w:val="single" w:sz="4" w:space="0" w:color="000000"/>
              <w:left w:val="single" w:sz="4" w:space="0" w:color="000000"/>
              <w:right w:val="single" w:sz="4" w:space="0" w:color="000000"/>
            </w:tcBorders>
            <w:shd w:val="clear" w:color="auto" w:fill="auto"/>
            <w:vAlign w:val="center"/>
          </w:tcPr>
          <w:p w14:paraId="34E73FFC" w14:textId="77777777" w:rsidR="00937EF4" w:rsidRPr="008A26D2" w:rsidRDefault="00937EF4" w:rsidP="00AE4522">
            <w:pPr>
              <w:pBdr>
                <w:top w:val="nil"/>
                <w:left w:val="nil"/>
                <w:bottom w:val="nil"/>
                <w:right w:val="nil"/>
                <w:between w:val="nil"/>
              </w:pBdr>
              <w:spacing w:after="0" w:line="240" w:lineRule="auto"/>
              <w:jc w:val="center"/>
              <w:rPr>
                <w:rFonts w:ascii="Arial" w:hAnsi="Arial" w:cs="Arial"/>
                <w:sz w:val="20"/>
                <w:szCs w:val="20"/>
              </w:rPr>
            </w:pPr>
          </w:p>
        </w:tc>
        <w:tc>
          <w:tcPr>
            <w:tcW w:w="2128" w:type="dxa"/>
            <w:tcBorders>
              <w:top w:val="single" w:sz="4" w:space="0" w:color="000000"/>
              <w:left w:val="single" w:sz="4" w:space="0" w:color="000000"/>
              <w:right w:val="single" w:sz="4" w:space="0" w:color="000000"/>
            </w:tcBorders>
            <w:shd w:val="clear" w:color="auto" w:fill="auto"/>
            <w:vAlign w:val="center"/>
          </w:tcPr>
          <w:p w14:paraId="4548D4F0" w14:textId="66BD899E" w:rsidR="00937EF4" w:rsidRPr="008A26D2" w:rsidRDefault="00937EF4" w:rsidP="00AE4522">
            <w:pPr>
              <w:pBdr>
                <w:top w:val="nil"/>
                <w:left w:val="nil"/>
                <w:bottom w:val="nil"/>
                <w:right w:val="nil"/>
                <w:between w:val="nil"/>
              </w:pBdr>
              <w:spacing w:after="0" w:line="240" w:lineRule="auto"/>
              <w:jc w:val="center"/>
              <w:rPr>
                <w:rFonts w:ascii="Arial" w:hAnsi="Arial" w:cs="Arial"/>
                <w:sz w:val="20"/>
                <w:szCs w:val="20"/>
              </w:rPr>
            </w:pPr>
          </w:p>
        </w:tc>
      </w:tr>
      <w:tr w:rsidR="008A26D2" w:rsidRPr="008A26D2" w14:paraId="74B0A660" w14:textId="77777777" w:rsidTr="00A62784">
        <w:trPr>
          <w:trHeight w:val="30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C16DF80" w14:textId="77777777" w:rsidR="00937EF4" w:rsidRPr="008A26D2" w:rsidRDefault="00937EF4" w:rsidP="00937EF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Receptor del servicio</w:t>
            </w:r>
          </w:p>
        </w:tc>
        <w:tc>
          <w:tcPr>
            <w:tcW w:w="638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488F1C9" w14:textId="77777777" w:rsidR="00937EF4" w:rsidRPr="008A26D2" w:rsidRDefault="00937EF4" w:rsidP="00937EF4">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hAnsi="Arial" w:cs="Arial"/>
                <w:sz w:val="20"/>
                <w:szCs w:val="20"/>
              </w:rPr>
              <w:t>Profesionales y técnicos forestales y de fauna silvestre</w:t>
            </w:r>
          </w:p>
        </w:tc>
      </w:tr>
      <w:tr w:rsidR="008A26D2" w:rsidRPr="008A26D2" w14:paraId="41E7B0E6" w14:textId="77777777" w:rsidTr="00A62784">
        <w:trPr>
          <w:trHeight w:val="211"/>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7EBA278" w14:textId="77777777" w:rsidR="00937EF4" w:rsidRPr="008A26D2" w:rsidRDefault="00937EF4" w:rsidP="00937EF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Alcance del servicio </w:t>
            </w:r>
          </w:p>
        </w:tc>
        <w:tc>
          <w:tcPr>
            <w:tcW w:w="638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5C49727" w14:textId="77777777" w:rsidR="00937EF4" w:rsidRPr="008A26D2" w:rsidRDefault="00937EF4" w:rsidP="00937EF4">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hAnsi="Arial" w:cs="Arial"/>
                <w:sz w:val="20"/>
                <w:szCs w:val="20"/>
              </w:rPr>
              <w:t>Nacional</w:t>
            </w:r>
          </w:p>
        </w:tc>
      </w:tr>
      <w:tr w:rsidR="008A26D2" w:rsidRPr="008A26D2" w14:paraId="024C9DC5" w14:textId="77777777" w:rsidTr="00A62784">
        <w:trPr>
          <w:trHeight w:val="62"/>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07A3973" w14:textId="77777777" w:rsidR="00937EF4" w:rsidRPr="008A26D2" w:rsidRDefault="00937EF4" w:rsidP="00937EF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Estándar (es) de cumplimiento</w:t>
            </w:r>
          </w:p>
        </w:tc>
        <w:tc>
          <w:tcPr>
            <w:tcW w:w="638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1BFADF13" w14:textId="77777777" w:rsidR="00937EF4" w:rsidRPr="008A26D2" w:rsidRDefault="00937EF4" w:rsidP="00937EF4">
            <w:pPr>
              <w:pBdr>
                <w:top w:val="nil"/>
                <w:left w:val="nil"/>
                <w:bottom w:val="nil"/>
                <w:right w:val="nil"/>
                <w:between w:val="nil"/>
              </w:pBdr>
              <w:spacing w:after="0" w:line="240" w:lineRule="auto"/>
              <w:rPr>
                <w:rFonts w:ascii="Arial" w:hAnsi="Arial" w:cs="Arial"/>
                <w:sz w:val="20"/>
                <w:szCs w:val="20"/>
              </w:rPr>
            </w:pPr>
            <w:r w:rsidRPr="008A26D2">
              <w:rPr>
                <w:rFonts w:ascii="Arial" w:hAnsi="Arial" w:cs="Arial"/>
                <w:sz w:val="20"/>
                <w:szCs w:val="20"/>
              </w:rPr>
              <w:t>Percepción</w:t>
            </w:r>
          </w:p>
        </w:tc>
      </w:tr>
      <w:tr w:rsidR="008A26D2" w:rsidRPr="008A26D2" w14:paraId="7F396308" w14:textId="77777777" w:rsidTr="00A62784">
        <w:trPr>
          <w:trHeight w:val="30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04D3514" w14:textId="77777777" w:rsidR="00937EF4" w:rsidRPr="008A26D2" w:rsidRDefault="00937EF4" w:rsidP="00937EF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Descripción del estándar</w:t>
            </w:r>
          </w:p>
        </w:tc>
        <w:tc>
          <w:tcPr>
            <w:tcW w:w="638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35" w:type="dxa"/>
              <w:bottom w:w="0" w:type="dxa"/>
              <w:right w:w="15" w:type="dxa"/>
            </w:tcMar>
            <w:vAlign w:val="center"/>
          </w:tcPr>
          <w:p w14:paraId="3CFA280B" w14:textId="77777777" w:rsidR="00937EF4" w:rsidRPr="008A26D2" w:rsidRDefault="00937EF4" w:rsidP="00937EF4">
            <w:pPr>
              <w:pBdr>
                <w:top w:val="nil"/>
                <w:left w:val="nil"/>
                <w:bottom w:val="nil"/>
                <w:right w:val="nil"/>
                <w:between w:val="nil"/>
              </w:pBdr>
              <w:spacing w:after="0" w:line="240" w:lineRule="auto"/>
              <w:jc w:val="both"/>
              <w:rPr>
                <w:rFonts w:ascii="Arial" w:eastAsia="Times New Roman" w:hAnsi="Arial" w:cs="Arial"/>
                <w:sz w:val="20"/>
                <w:szCs w:val="20"/>
                <w:lang w:val="es-ES"/>
              </w:rPr>
            </w:pPr>
            <w:r w:rsidRPr="008A26D2">
              <w:rPr>
                <w:rFonts w:ascii="Arial" w:eastAsia="Times New Roman" w:hAnsi="Arial" w:cs="Arial"/>
                <w:sz w:val="20"/>
                <w:szCs w:val="20"/>
                <w:lang w:val="es-ES"/>
              </w:rPr>
              <w:t>El estándar del servicio es de percepción debido a que éste satisface las expectativas de capacitación en</w:t>
            </w:r>
            <w:r w:rsidRPr="008A26D2">
              <w:rPr>
                <w:rFonts w:ascii="Arial" w:eastAsia="Arial Narrow" w:hAnsi="Arial" w:cs="Arial"/>
                <w:sz w:val="20"/>
                <w:szCs w:val="20"/>
              </w:rPr>
              <w:t xml:space="preserve"> actividades productivas de la cadena forestal y fauna silvestre,</w:t>
            </w:r>
            <w:r w:rsidRPr="008A26D2">
              <w:rPr>
                <w:rFonts w:ascii="Arial" w:eastAsia="Times New Roman" w:hAnsi="Arial" w:cs="Arial"/>
                <w:sz w:val="20"/>
                <w:szCs w:val="20"/>
                <w:lang w:val="es-ES"/>
              </w:rPr>
              <w:t xml:space="preserve"> de los </w:t>
            </w:r>
            <w:r w:rsidRPr="008A26D2">
              <w:rPr>
                <w:rFonts w:ascii="Arial" w:hAnsi="Arial" w:cs="Arial"/>
                <w:sz w:val="20"/>
                <w:szCs w:val="20"/>
              </w:rPr>
              <w:t>profesionales y técnicos forestales y de fauna silvestre</w:t>
            </w:r>
            <w:r w:rsidRPr="008A26D2">
              <w:rPr>
                <w:rFonts w:ascii="Arial" w:eastAsia="Times New Roman" w:hAnsi="Arial" w:cs="Arial"/>
                <w:sz w:val="20"/>
                <w:szCs w:val="20"/>
                <w:lang w:val="es-ES"/>
              </w:rPr>
              <w:t>.</w:t>
            </w:r>
          </w:p>
          <w:p w14:paraId="63DF0E6D" w14:textId="77777777" w:rsidR="00937EF4" w:rsidRPr="008A26D2" w:rsidRDefault="00937EF4" w:rsidP="00937EF4">
            <w:pPr>
              <w:pBdr>
                <w:top w:val="nil"/>
                <w:left w:val="nil"/>
                <w:bottom w:val="nil"/>
                <w:right w:val="nil"/>
                <w:between w:val="nil"/>
              </w:pBdr>
              <w:spacing w:after="0" w:line="240" w:lineRule="auto"/>
              <w:jc w:val="both"/>
              <w:rPr>
                <w:rFonts w:ascii="Arial" w:hAnsi="Arial" w:cs="Arial"/>
                <w:sz w:val="20"/>
                <w:szCs w:val="20"/>
              </w:rPr>
            </w:pPr>
          </w:p>
        </w:tc>
      </w:tr>
      <w:tr w:rsidR="00937EF4" w:rsidRPr="008A26D2" w14:paraId="229DB6C1" w14:textId="77777777" w:rsidTr="00A62784">
        <w:trPr>
          <w:trHeight w:val="491"/>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7991846" w14:textId="75344EF2" w:rsidR="00937EF4" w:rsidRPr="008A26D2" w:rsidRDefault="00937EF4" w:rsidP="00937EF4">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Indicador </w:t>
            </w:r>
            <w:r w:rsidR="00C31FC1">
              <w:rPr>
                <w:rFonts w:ascii="Arial" w:hAnsi="Arial" w:cs="Arial"/>
                <w:b/>
                <w:sz w:val="20"/>
                <w:szCs w:val="20"/>
              </w:rPr>
              <w:t>de calidad</w:t>
            </w:r>
          </w:p>
        </w:tc>
        <w:tc>
          <w:tcPr>
            <w:tcW w:w="638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274524B3" w14:textId="77777777" w:rsidR="00937EF4" w:rsidRPr="008A26D2" w:rsidRDefault="00937EF4" w:rsidP="00937EF4">
            <w:pPr>
              <w:pBdr>
                <w:top w:val="nil"/>
                <w:left w:val="nil"/>
                <w:bottom w:val="nil"/>
                <w:right w:val="nil"/>
                <w:between w:val="nil"/>
              </w:pBdr>
              <w:spacing w:after="0" w:line="240" w:lineRule="auto"/>
              <w:jc w:val="both"/>
              <w:rPr>
                <w:rFonts w:ascii="Arial" w:hAnsi="Arial" w:cs="Arial"/>
                <w:sz w:val="20"/>
                <w:szCs w:val="20"/>
              </w:rPr>
            </w:pPr>
            <w:r w:rsidRPr="008A26D2">
              <w:rPr>
                <w:rFonts w:ascii="Arial" w:eastAsia="Times New Roman" w:hAnsi="Arial" w:cs="Arial"/>
                <w:sz w:val="20"/>
                <w:szCs w:val="20"/>
              </w:rPr>
              <w:t xml:space="preserve">Porcentaje de </w:t>
            </w:r>
            <w:r w:rsidRPr="008A26D2">
              <w:rPr>
                <w:rFonts w:ascii="Arial" w:hAnsi="Arial" w:cs="Arial"/>
                <w:sz w:val="20"/>
                <w:szCs w:val="20"/>
              </w:rPr>
              <w:t xml:space="preserve">profesionales y técnicos forestales y de fauna silvestre </w:t>
            </w:r>
            <w:r w:rsidRPr="008A26D2">
              <w:rPr>
                <w:rFonts w:ascii="Arial" w:eastAsia="Times New Roman" w:hAnsi="Arial" w:cs="Arial"/>
                <w:sz w:val="20"/>
                <w:szCs w:val="20"/>
                <w:lang w:val="es-ES"/>
              </w:rPr>
              <w:t>con alto grado de satisfacción sobre las capacitaciones recibidas</w:t>
            </w:r>
            <w:r w:rsidRPr="008A26D2">
              <w:rPr>
                <w:rFonts w:ascii="Arial" w:eastAsia="Arial Narrow" w:hAnsi="Arial" w:cs="Arial"/>
                <w:sz w:val="20"/>
                <w:szCs w:val="20"/>
              </w:rPr>
              <w:t xml:space="preserve"> en actividades productivas de la cadena forestal y fauna silvestre</w:t>
            </w:r>
          </w:p>
        </w:tc>
      </w:tr>
    </w:tbl>
    <w:p w14:paraId="04F65134" w14:textId="7895F867" w:rsidR="00A62784" w:rsidRPr="008A26D2" w:rsidRDefault="00A62784">
      <w:pPr>
        <w:rPr>
          <w:rFonts w:ascii="Arial Narrow" w:eastAsia="Arial Narrow" w:hAnsi="Arial Narrow" w:cs="Arial Narrow"/>
          <w:b/>
        </w:rPr>
      </w:pPr>
    </w:p>
    <w:p w14:paraId="2C677052" w14:textId="694C9DEB" w:rsidR="00A62784" w:rsidRPr="008A26D2" w:rsidRDefault="00A62784">
      <w:pPr>
        <w:rPr>
          <w:rFonts w:ascii="Arial Narrow" w:eastAsia="Arial Narrow" w:hAnsi="Arial Narrow" w:cs="Arial Narrow"/>
          <w:b/>
        </w:rPr>
      </w:pPr>
    </w:p>
    <w:p w14:paraId="40D079E2" w14:textId="678D9769" w:rsidR="003702A2" w:rsidRPr="008A26D2" w:rsidRDefault="003702A2" w:rsidP="003702A2">
      <w:pPr>
        <w:jc w:val="both"/>
        <w:rPr>
          <w:rFonts w:ascii="Arial" w:eastAsia="Arial Narrow" w:hAnsi="Arial" w:cs="Arial"/>
        </w:rPr>
      </w:pPr>
      <w:r w:rsidRPr="008D6FE4">
        <w:rPr>
          <w:rFonts w:ascii="Arial" w:eastAsia="Arial Narrow" w:hAnsi="Arial" w:cs="Arial"/>
          <w:b/>
          <w:bCs/>
        </w:rPr>
        <w:t>S2.2.</w:t>
      </w:r>
      <w:r w:rsidR="002F0C3D" w:rsidRPr="008D6FE4">
        <w:rPr>
          <w:rFonts w:ascii="Arial" w:eastAsia="Arial Narrow" w:hAnsi="Arial" w:cs="Arial"/>
          <w:b/>
          <w:bCs/>
        </w:rPr>
        <w:t>1</w:t>
      </w:r>
      <w:r w:rsidRPr="008D6FE4">
        <w:rPr>
          <w:rFonts w:ascii="Arial" w:eastAsia="Arial Narrow" w:hAnsi="Arial" w:cs="Arial"/>
        </w:rPr>
        <w:t xml:space="preserve"> </w:t>
      </w:r>
      <w:r w:rsidR="00AE4522" w:rsidRPr="008D6FE4">
        <w:rPr>
          <w:rFonts w:ascii="Arial" w:eastAsia="Arial Narrow" w:hAnsi="Arial" w:cs="Arial"/>
        </w:rPr>
        <w:t>Promoción</w:t>
      </w:r>
      <w:r w:rsidR="00AE4522" w:rsidRPr="00AE4522">
        <w:rPr>
          <w:rFonts w:ascii="Arial" w:eastAsia="Arial Narrow" w:hAnsi="Arial" w:cs="Arial"/>
        </w:rPr>
        <w:t xml:space="preserve"> de mecanismos de financiamiento e incentivos para el desarrollo de actividades productivas en las cadenas forestales y de fauna silvestre de forma satisfactoria dirigido a los usuarios forestales y de fauna silvestre</w:t>
      </w:r>
    </w:p>
    <w:tbl>
      <w:tblPr>
        <w:tblW w:w="8788" w:type="dxa"/>
        <w:jc w:val="center"/>
        <w:tblLayout w:type="fixed"/>
        <w:tblLook w:val="0600" w:firstRow="0" w:lastRow="0" w:firstColumn="0" w:lastColumn="0" w:noHBand="1" w:noVBand="1"/>
      </w:tblPr>
      <w:tblGrid>
        <w:gridCol w:w="2340"/>
        <w:gridCol w:w="2149"/>
        <w:gridCol w:w="2149"/>
        <w:gridCol w:w="2150"/>
      </w:tblGrid>
      <w:tr w:rsidR="008A26D2" w:rsidRPr="008A26D2" w14:paraId="7EF2A43C" w14:textId="77777777" w:rsidTr="00086DE5">
        <w:trPr>
          <w:trHeight w:val="300"/>
          <w:jc w:val="center"/>
        </w:trPr>
        <w:tc>
          <w:tcPr>
            <w:tcW w:w="8788" w:type="dxa"/>
            <w:gridSpan w:val="4"/>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vAlign w:val="center"/>
          </w:tcPr>
          <w:p w14:paraId="18E0B0FD" w14:textId="77777777" w:rsidR="003702A2" w:rsidRPr="008A26D2" w:rsidRDefault="003702A2" w:rsidP="00086DE5">
            <w:pPr>
              <w:jc w:val="center"/>
              <w:rPr>
                <w:rFonts w:ascii="Arial" w:eastAsia="Arial Narrow" w:hAnsi="Arial" w:cs="Arial"/>
                <w:sz w:val="20"/>
                <w:szCs w:val="20"/>
              </w:rPr>
            </w:pPr>
            <w:r w:rsidRPr="008A26D2">
              <w:rPr>
                <w:rFonts w:ascii="Arial" w:eastAsia="Arial Narrow" w:hAnsi="Arial" w:cs="Arial"/>
                <w:b/>
                <w:sz w:val="20"/>
                <w:szCs w:val="20"/>
              </w:rPr>
              <w:t xml:space="preserve">FICHA DEL SERVICIO </w:t>
            </w:r>
          </w:p>
        </w:tc>
      </w:tr>
      <w:tr w:rsidR="008A26D2" w:rsidRPr="008A26D2" w14:paraId="69E6C43F" w14:textId="77777777" w:rsidTr="00086DE5">
        <w:trPr>
          <w:trHeight w:val="300"/>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D939931" w14:textId="77777777" w:rsidR="003702A2" w:rsidRPr="008A26D2" w:rsidRDefault="003702A2" w:rsidP="00086DE5">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 xml:space="preserve"> Objetivo prioritario:</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268CF54" w14:textId="77777777" w:rsidR="003702A2" w:rsidRPr="008A26D2" w:rsidRDefault="003702A2" w:rsidP="00086DE5">
            <w:pPr>
              <w:pBdr>
                <w:top w:val="nil"/>
                <w:left w:val="nil"/>
                <w:bottom w:val="nil"/>
                <w:right w:val="nil"/>
                <w:between w:val="nil"/>
              </w:pBdr>
              <w:spacing w:after="0" w:line="240" w:lineRule="auto"/>
              <w:ind w:left="196"/>
              <w:jc w:val="both"/>
              <w:rPr>
                <w:rFonts w:ascii="Arial" w:eastAsia="Arial Narrow" w:hAnsi="Arial" w:cs="Arial"/>
                <w:sz w:val="20"/>
                <w:szCs w:val="20"/>
              </w:rPr>
            </w:pPr>
            <w:r w:rsidRPr="008A26D2">
              <w:rPr>
                <w:rFonts w:ascii="Arial" w:eastAsia="Arial Narrow" w:hAnsi="Arial" w:cs="Arial"/>
                <w:sz w:val="20"/>
                <w:szCs w:val="20"/>
              </w:rPr>
              <w:t>OP2 Incrementar la productividad de los ecosistemas forestales, otros ecosistemas de vegetación silvestre y de la fauna silvestre</w:t>
            </w:r>
          </w:p>
        </w:tc>
      </w:tr>
      <w:tr w:rsidR="008A26D2" w:rsidRPr="008A26D2" w14:paraId="272C0D65" w14:textId="77777777" w:rsidTr="00086DE5">
        <w:trPr>
          <w:trHeight w:val="300"/>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50392F5" w14:textId="77777777" w:rsidR="003702A2" w:rsidRPr="008A26D2" w:rsidRDefault="003702A2" w:rsidP="00086DE5">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 xml:space="preserve"> Lineamiento:</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5299454" w14:textId="77777777" w:rsidR="003702A2" w:rsidRPr="008A26D2" w:rsidRDefault="003702A2" w:rsidP="00086DE5">
            <w:pPr>
              <w:pBdr>
                <w:top w:val="nil"/>
                <w:left w:val="nil"/>
                <w:bottom w:val="nil"/>
                <w:right w:val="nil"/>
                <w:between w:val="nil"/>
              </w:pBdr>
              <w:spacing w:after="0" w:line="240" w:lineRule="auto"/>
              <w:ind w:left="196"/>
              <w:jc w:val="both"/>
              <w:rPr>
                <w:rFonts w:ascii="Arial" w:eastAsia="Arial Narrow" w:hAnsi="Arial" w:cs="Arial"/>
                <w:sz w:val="20"/>
                <w:szCs w:val="20"/>
              </w:rPr>
            </w:pPr>
            <w:r w:rsidRPr="008A26D2">
              <w:rPr>
                <w:rFonts w:ascii="Arial" w:eastAsia="Arial Narrow" w:hAnsi="Arial" w:cs="Arial"/>
                <w:sz w:val="20"/>
                <w:szCs w:val="20"/>
              </w:rPr>
              <w:t>L2.2 Incrementar el acceso a financiamiento e incentivos para el desarrollo de las actividades forestales y de fauna silvestre</w:t>
            </w:r>
          </w:p>
        </w:tc>
      </w:tr>
      <w:tr w:rsidR="008A26D2" w:rsidRPr="008A26D2" w14:paraId="5AEF6FF0" w14:textId="77777777" w:rsidTr="00086DE5">
        <w:trPr>
          <w:trHeight w:val="300"/>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00A9BFA" w14:textId="77777777" w:rsidR="003702A2" w:rsidRPr="008A26D2" w:rsidRDefault="003702A2" w:rsidP="00086DE5">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 xml:space="preserve"> Nombre del servicio:</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3F97C84" w14:textId="7962D9A4" w:rsidR="003702A2" w:rsidRPr="008A26D2" w:rsidRDefault="003702A2" w:rsidP="00086DE5">
            <w:pPr>
              <w:pBdr>
                <w:top w:val="nil"/>
                <w:left w:val="nil"/>
                <w:bottom w:val="nil"/>
                <w:right w:val="nil"/>
                <w:between w:val="nil"/>
              </w:pBdr>
              <w:spacing w:after="0" w:line="240" w:lineRule="auto"/>
              <w:ind w:left="196"/>
              <w:jc w:val="both"/>
              <w:rPr>
                <w:rFonts w:ascii="Arial" w:eastAsia="Arial Narrow" w:hAnsi="Arial" w:cs="Arial"/>
                <w:sz w:val="20"/>
                <w:szCs w:val="20"/>
              </w:rPr>
            </w:pPr>
            <w:r w:rsidRPr="005226A2">
              <w:rPr>
                <w:rFonts w:ascii="Arial" w:eastAsia="Arial Narrow" w:hAnsi="Arial" w:cs="Arial"/>
                <w:sz w:val="20"/>
                <w:szCs w:val="20"/>
              </w:rPr>
              <w:t>S2.2.</w:t>
            </w:r>
            <w:r w:rsidR="002F0C3D" w:rsidRPr="005226A2">
              <w:rPr>
                <w:rFonts w:ascii="Arial" w:eastAsia="Arial Narrow" w:hAnsi="Arial" w:cs="Arial"/>
                <w:sz w:val="20"/>
                <w:szCs w:val="20"/>
              </w:rPr>
              <w:t>1</w:t>
            </w:r>
            <w:r w:rsidRPr="005226A2">
              <w:rPr>
                <w:rFonts w:ascii="Arial" w:eastAsia="Arial Narrow" w:hAnsi="Arial" w:cs="Arial"/>
                <w:sz w:val="20"/>
                <w:szCs w:val="20"/>
              </w:rPr>
              <w:t xml:space="preserve"> Promoción</w:t>
            </w:r>
            <w:r w:rsidRPr="008A26D2">
              <w:rPr>
                <w:rFonts w:ascii="Arial" w:eastAsia="Arial Narrow" w:hAnsi="Arial" w:cs="Arial"/>
                <w:sz w:val="20"/>
                <w:szCs w:val="20"/>
              </w:rPr>
              <w:t xml:space="preserve"> de mecanismos de financiamiento e incentivos para el desarrollo de actividades productivas en las cadenas forestales y de fauna silvestre de forma satisfactoria dirigido a los usuarios forestales y de fauna silvestre</w:t>
            </w:r>
          </w:p>
          <w:p w14:paraId="120EC02E" w14:textId="27B78BBE" w:rsidR="001F3887" w:rsidRPr="008A26D2" w:rsidRDefault="001F3887" w:rsidP="00086DE5">
            <w:pPr>
              <w:pBdr>
                <w:top w:val="nil"/>
                <w:left w:val="nil"/>
                <w:bottom w:val="nil"/>
                <w:right w:val="nil"/>
                <w:between w:val="nil"/>
              </w:pBdr>
              <w:spacing w:after="0" w:line="240" w:lineRule="auto"/>
              <w:ind w:left="196"/>
              <w:jc w:val="both"/>
              <w:rPr>
                <w:rFonts w:ascii="Arial" w:eastAsia="Arial Narrow" w:hAnsi="Arial" w:cs="Arial"/>
                <w:sz w:val="20"/>
                <w:szCs w:val="20"/>
              </w:rPr>
            </w:pPr>
          </w:p>
        </w:tc>
      </w:tr>
      <w:tr w:rsidR="008A26D2" w:rsidRPr="008A26D2" w14:paraId="1ECEC4D1" w14:textId="77777777" w:rsidTr="00086DE5">
        <w:trPr>
          <w:trHeight w:val="300"/>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EA6321D" w14:textId="77777777" w:rsidR="003702A2" w:rsidRPr="008A26D2" w:rsidRDefault="003702A2" w:rsidP="00086DE5">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Tipo de servicio:</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8DD59E7" w14:textId="77777777" w:rsidR="003702A2" w:rsidRPr="008A26D2" w:rsidRDefault="003702A2" w:rsidP="00086DE5">
            <w:pPr>
              <w:pBdr>
                <w:top w:val="nil"/>
                <w:left w:val="nil"/>
                <w:bottom w:val="nil"/>
                <w:right w:val="nil"/>
                <w:between w:val="nil"/>
              </w:pBdr>
              <w:spacing w:after="0" w:line="240" w:lineRule="auto"/>
              <w:ind w:left="196"/>
              <w:jc w:val="both"/>
              <w:rPr>
                <w:rFonts w:ascii="Arial" w:eastAsia="Arial Narrow" w:hAnsi="Arial" w:cs="Arial"/>
                <w:sz w:val="20"/>
                <w:szCs w:val="20"/>
              </w:rPr>
            </w:pPr>
            <w:r w:rsidRPr="008A26D2">
              <w:rPr>
                <w:rFonts w:ascii="Arial" w:eastAsia="Arial Narrow" w:hAnsi="Arial" w:cs="Arial"/>
                <w:sz w:val="20"/>
                <w:szCs w:val="20"/>
              </w:rPr>
              <w:t>Mejorado</w:t>
            </w:r>
          </w:p>
        </w:tc>
      </w:tr>
      <w:tr w:rsidR="008A26D2" w:rsidRPr="008A26D2" w14:paraId="233CA18A" w14:textId="77777777" w:rsidTr="00086DE5">
        <w:trPr>
          <w:trHeight w:val="300"/>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9672263" w14:textId="067483B9" w:rsidR="00416B48" w:rsidRPr="008A26D2" w:rsidRDefault="00416B48" w:rsidP="00416B48">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hAnsi="Arial" w:cs="Arial"/>
                <w:b/>
                <w:sz w:val="20"/>
                <w:szCs w:val="20"/>
              </w:rPr>
              <w:t>Naturaleza del servicio:</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49F02D6" w14:textId="6BAC86D0" w:rsidR="00416B48" w:rsidRPr="008A26D2" w:rsidRDefault="00FB2B17" w:rsidP="00416B48">
            <w:pPr>
              <w:pBdr>
                <w:top w:val="nil"/>
                <w:left w:val="nil"/>
                <w:bottom w:val="nil"/>
                <w:right w:val="nil"/>
                <w:between w:val="nil"/>
              </w:pBdr>
              <w:spacing w:after="0" w:line="240" w:lineRule="auto"/>
              <w:ind w:left="196"/>
              <w:jc w:val="both"/>
              <w:rPr>
                <w:rFonts w:ascii="Arial" w:eastAsia="Arial Narrow" w:hAnsi="Arial" w:cs="Arial"/>
                <w:sz w:val="20"/>
                <w:szCs w:val="20"/>
              </w:rPr>
            </w:pPr>
            <w:r w:rsidRPr="008A26D2">
              <w:rPr>
                <w:rFonts w:ascii="Arial" w:eastAsia="Arial Narrow" w:hAnsi="Arial" w:cs="Arial"/>
                <w:sz w:val="20"/>
                <w:szCs w:val="20"/>
              </w:rPr>
              <w:t>P</w:t>
            </w:r>
            <w:r w:rsidR="00416B48" w:rsidRPr="008A26D2">
              <w:rPr>
                <w:rFonts w:ascii="Arial" w:eastAsia="Arial Narrow" w:hAnsi="Arial" w:cs="Arial"/>
                <w:sz w:val="20"/>
                <w:szCs w:val="20"/>
              </w:rPr>
              <w:t>restacional</w:t>
            </w:r>
          </w:p>
        </w:tc>
      </w:tr>
      <w:tr w:rsidR="008A26D2" w:rsidRPr="008A26D2" w14:paraId="4ECC0B57" w14:textId="77777777" w:rsidTr="00086DE5">
        <w:trPr>
          <w:trHeight w:val="300"/>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96C6812" w14:textId="4E016BDF" w:rsidR="00416B48" w:rsidRPr="008A26D2" w:rsidRDefault="00416B48" w:rsidP="00416B48">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hAnsi="Arial" w:cs="Arial"/>
                <w:b/>
                <w:sz w:val="20"/>
                <w:szCs w:val="20"/>
              </w:rPr>
              <w:t>Entrega del servicio</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EE12818" w14:textId="6359FED9" w:rsidR="00416B48" w:rsidRPr="008A26D2" w:rsidRDefault="00416B48" w:rsidP="00416B48">
            <w:pPr>
              <w:pBdr>
                <w:top w:val="nil"/>
                <w:left w:val="nil"/>
                <w:bottom w:val="nil"/>
                <w:right w:val="nil"/>
                <w:between w:val="nil"/>
              </w:pBdr>
              <w:spacing w:after="0" w:line="240" w:lineRule="auto"/>
              <w:ind w:left="196"/>
              <w:jc w:val="both"/>
              <w:rPr>
                <w:rFonts w:ascii="Arial" w:eastAsia="Arial Narrow" w:hAnsi="Arial" w:cs="Arial"/>
                <w:sz w:val="20"/>
                <w:szCs w:val="20"/>
              </w:rPr>
            </w:pPr>
            <w:r w:rsidRPr="008A26D2">
              <w:rPr>
                <w:rFonts w:ascii="Arial" w:eastAsia="Arial Narrow" w:hAnsi="Arial" w:cs="Arial"/>
                <w:sz w:val="20"/>
                <w:szCs w:val="20"/>
              </w:rPr>
              <w:t xml:space="preserve">Competencia exclusiva </w:t>
            </w:r>
          </w:p>
        </w:tc>
      </w:tr>
      <w:tr w:rsidR="008A26D2" w:rsidRPr="008A26D2" w14:paraId="30D6F72D" w14:textId="77777777" w:rsidTr="00086DE5">
        <w:trPr>
          <w:trHeight w:val="300"/>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D614DDB" w14:textId="77777777" w:rsidR="00416B48" w:rsidRPr="008A26D2" w:rsidRDefault="00416B48" w:rsidP="00416B48">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 xml:space="preserve"> Descripción del servicio</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8F4B2C9" w14:textId="77777777" w:rsidR="00416B48" w:rsidRPr="008A26D2" w:rsidRDefault="00416B48" w:rsidP="00416B48">
            <w:pPr>
              <w:pBdr>
                <w:top w:val="nil"/>
                <w:left w:val="nil"/>
                <w:bottom w:val="nil"/>
                <w:right w:val="nil"/>
                <w:between w:val="nil"/>
              </w:pBdr>
              <w:spacing w:after="0" w:line="240" w:lineRule="auto"/>
              <w:ind w:left="196"/>
              <w:jc w:val="both"/>
              <w:rPr>
                <w:rFonts w:ascii="Arial" w:eastAsia="Arial Narrow" w:hAnsi="Arial" w:cs="Arial"/>
                <w:sz w:val="20"/>
                <w:szCs w:val="20"/>
              </w:rPr>
            </w:pPr>
          </w:p>
          <w:p w14:paraId="7E7B95F8" w14:textId="77777777" w:rsidR="00416B48" w:rsidRPr="008A26D2" w:rsidRDefault="00416B48" w:rsidP="00416B48">
            <w:pPr>
              <w:spacing w:after="0" w:line="240" w:lineRule="auto"/>
              <w:ind w:left="196"/>
              <w:jc w:val="both"/>
              <w:rPr>
                <w:rFonts w:ascii="Arial" w:eastAsia="Arial Narrow" w:hAnsi="Arial" w:cs="Arial"/>
                <w:sz w:val="20"/>
                <w:szCs w:val="20"/>
              </w:rPr>
            </w:pPr>
            <w:r w:rsidRPr="008A26D2">
              <w:rPr>
                <w:rFonts w:ascii="Arial" w:eastAsia="Arial Narrow" w:hAnsi="Arial" w:cs="Arial"/>
                <w:sz w:val="20"/>
                <w:szCs w:val="20"/>
              </w:rPr>
              <w:t>El presente servicio consiste en informar a los usuarios forestales y de fauna silvestre, a través de talleres, charlas y campañas, la disponibilidad de mecanismos de financiamiento e incentivos de buenas prácticas para el desarrollo de sus actividades productivas. Asimismo, se busca motivarlos a acceder a dichos mecanismos e incentivos.</w:t>
            </w:r>
          </w:p>
          <w:p w14:paraId="663539D6" w14:textId="77777777" w:rsidR="00416B48" w:rsidRPr="008A26D2" w:rsidRDefault="00416B48" w:rsidP="00416B48">
            <w:pPr>
              <w:pBdr>
                <w:top w:val="nil"/>
                <w:left w:val="nil"/>
                <w:bottom w:val="nil"/>
                <w:right w:val="nil"/>
                <w:between w:val="nil"/>
              </w:pBdr>
              <w:spacing w:after="0" w:line="240" w:lineRule="auto"/>
              <w:ind w:left="196"/>
              <w:jc w:val="both"/>
              <w:rPr>
                <w:rFonts w:ascii="Arial" w:eastAsia="Arial Narrow" w:hAnsi="Arial" w:cs="Arial"/>
                <w:sz w:val="20"/>
                <w:szCs w:val="20"/>
              </w:rPr>
            </w:pPr>
          </w:p>
          <w:p w14:paraId="22F8B291" w14:textId="77777777" w:rsidR="00416B48" w:rsidRPr="008A26D2" w:rsidRDefault="00416B48" w:rsidP="00416B48">
            <w:pPr>
              <w:ind w:left="196"/>
              <w:rPr>
                <w:rFonts w:ascii="Arial" w:eastAsia="Arial Narrow" w:hAnsi="Arial" w:cs="Arial"/>
                <w:sz w:val="20"/>
                <w:szCs w:val="20"/>
              </w:rPr>
            </w:pPr>
            <w:r w:rsidRPr="008A26D2">
              <w:rPr>
                <w:rFonts w:ascii="Arial" w:eastAsia="Arial Narrow" w:hAnsi="Arial" w:cs="Arial"/>
                <w:sz w:val="20"/>
                <w:szCs w:val="20"/>
              </w:rPr>
              <w:t>El servicio es de tipo mejorado porque se aplicará nuevas herramientas tecnológicas para la entrega del servicio, además se abordarán nuevas fuentes de financiamiento e incentivos (según se encuentren disponibles)</w:t>
            </w:r>
          </w:p>
          <w:p w14:paraId="73C6E89E" w14:textId="4C0AAD5F" w:rsidR="00416B48" w:rsidRPr="008A26D2" w:rsidRDefault="00416B48" w:rsidP="00416B48">
            <w:pPr>
              <w:ind w:left="196"/>
              <w:rPr>
                <w:rFonts w:ascii="Arial" w:eastAsia="Arial Narrow" w:hAnsi="Arial" w:cs="Arial"/>
                <w:sz w:val="20"/>
                <w:szCs w:val="20"/>
              </w:rPr>
            </w:pPr>
            <w:r w:rsidRPr="008A26D2">
              <w:rPr>
                <w:rFonts w:ascii="Arial" w:eastAsia="Arial Narrow" w:hAnsi="Arial" w:cs="Arial"/>
                <w:sz w:val="20"/>
                <w:szCs w:val="20"/>
              </w:rPr>
              <w:t>El servicio contribuye a Incrementar el acceso a financiamiento de los productores forestales y de fauna silvestre que postulan a los diversos mecanismos financieros.</w:t>
            </w:r>
          </w:p>
        </w:tc>
      </w:tr>
      <w:tr w:rsidR="008A26D2" w:rsidRPr="008A26D2" w14:paraId="2570EBDE" w14:textId="77777777" w:rsidTr="00086DE5">
        <w:trPr>
          <w:trHeight w:val="300"/>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1D543E7" w14:textId="77777777" w:rsidR="00416B48" w:rsidRPr="008A26D2" w:rsidRDefault="00416B48" w:rsidP="00416B48">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 xml:space="preserve"> Proveedor del servicio</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D9AC47E" w14:textId="77777777" w:rsidR="00416B48" w:rsidRPr="008A26D2" w:rsidRDefault="00416B48" w:rsidP="00416B48">
            <w:pPr>
              <w:pBdr>
                <w:top w:val="nil"/>
                <w:left w:val="nil"/>
                <w:bottom w:val="nil"/>
                <w:right w:val="nil"/>
                <w:between w:val="nil"/>
              </w:pBdr>
              <w:spacing w:after="0" w:line="240" w:lineRule="auto"/>
              <w:ind w:left="196"/>
              <w:jc w:val="both"/>
              <w:rPr>
                <w:rFonts w:ascii="Arial" w:eastAsia="Arial Narrow" w:hAnsi="Arial" w:cs="Arial"/>
                <w:sz w:val="20"/>
                <w:szCs w:val="20"/>
              </w:rPr>
            </w:pPr>
            <w:r w:rsidRPr="008A26D2">
              <w:rPr>
                <w:rFonts w:ascii="Arial" w:eastAsia="Arial Narrow" w:hAnsi="Arial" w:cs="Arial"/>
                <w:sz w:val="20"/>
                <w:szCs w:val="20"/>
              </w:rPr>
              <w:t>Servicio Nacional Forestal y Fauna Silvestre - SERFOR</w:t>
            </w:r>
          </w:p>
        </w:tc>
      </w:tr>
      <w:tr w:rsidR="008A26D2" w:rsidRPr="008A26D2" w14:paraId="40FA767D" w14:textId="77777777" w:rsidTr="006F173F">
        <w:trPr>
          <w:trHeight w:val="458"/>
          <w:jc w:val="center"/>
        </w:trPr>
        <w:tc>
          <w:tcPr>
            <w:tcW w:w="2340" w:type="dxa"/>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5C36459D" w14:textId="77777777" w:rsidR="00416B48" w:rsidRPr="008A26D2" w:rsidRDefault="00416B48" w:rsidP="005C6B29">
            <w:pPr>
              <w:spacing w:after="0" w:line="240" w:lineRule="auto"/>
              <w:rPr>
                <w:rFonts w:ascii="Arial" w:hAnsi="Arial" w:cs="Arial"/>
                <w:b/>
                <w:sz w:val="20"/>
                <w:szCs w:val="20"/>
              </w:rPr>
            </w:pPr>
            <w:r w:rsidRPr="008A26D2">
              <w:rPr>
                <w:rFonts w:ascii="Arial" w:hAnsi="Arial" w:cs="Arial"/>
                <w:b/>
                <w:sz w:val="20"/>
                <w:szCs w:val="20"/>
              </w:rPr>
              <w:lastRenderedPageBreak/>
              <w:t>Nivel (es) de gobierno que interviene</w:t>
            </w:r>
          </w:p>
          <w:p w14:paraId="531CEE36" w14:textId="29197313" w:rsidR="00416B48" w:rsidRPr="008A26D2" w:rsidRDefault="00416B48" w:rsidP="00416B48">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hAnsi="Arial" w:cs="Arial"/>
                <w:b/>
                <w:sz w:val="20"/>
                <w:szCs w:val="20"/>
              </w:rPr>
              <w:t>(n) en la provisión del servicio</w:t>
            </w:r>
          </w:p>
        </w:tc>
        <w:tc>
          <w:tcPr>
            <w:tcW w:w="2149"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1383AFBF" w14:textId="01578807" w:rsidR="00416B48" w:rsidRPr="008A26D2" w:rsidRDefault="00416B48" w:rsidP="00AE4522">
            <w:pPr>
              <w:pBdr>
                <w:top w:val="nil"/>
                <w:left w:val="nil"/>
                <w:bottom w:val="nil"/>
                <w:right w:val="nil"/>
                <w:between w:val="nil"/>
              </w:pBdr>
              <w:spacing w:after="0" w:line="240" w:lineRule="auto"/>
              <w:ind w:left="196"/>
              <w:jc w:val="center"/>
              <w:rPr>
                <w:rFonts w:ascii="Arial" w:eastAsia="Arial Narrow" w:hAnsi="Arial" w:cs="Arial"/>
                <w:sz w:val="20"/>
                <w:szCs w:val="20"/>
              </w:rPr>
            </w:pPr>
            <w:r w:rsidRPr="008A26D2">
              <w:rPr>
                <w:rFonts w:ascii="Arial" w:eastAsia="Arial Narrow" w:hAnsi="Arial" w:cs="Arial"/>
                <w:sz w:val="20"/>
                <w:szCs w:val="20"/>
              </w:rPr>
              <w:t>Nacional</w:t>
            </w:r>
          </w:p>
        </w:tc>
        <w:tc>
          <w:tcPr>
            <w:tcW w:w="2149" w:type="dxa"/>
            <w:tcBorders>
              <w:top w:val="single" w:sz="4" w:space="0" w:color="000000"/>
              <w:left w:val="single" w:sz="4" w:space="0" w:color="000000"/>
              <w:right w:val="single" w:sz="4" w:space="0" w:color="000000"/>
            </w:tcBorders>
            <w:shd w:val="clear" w:color="auto" w:fill="auto"/>
            <w:vAlign w:val="center"/>
          </w:tcPr>
          <w:p w14:paraId="3DF9F825" w14:textId="160A2FBD" w:rsidR="00416B48" w:rsidRPr="008A26D2" w:rsidRDefault="00416B48" w:rsidP="00AE4522">
            <w:pPr>
              <w:pBdr>
                <w:top w:val="nil"/>
                <w:left w:val="nil"/>
                <w:bottom w:val="nil"/>
                <w:right w:val="nil"/>
                <w:between w:val="nil"/>
              </w:pBdr>
              <w:spacing w:after="0" w:line="240" w:lineRule="auto"/>
              <w:ind w:left="196"/>
              <w:jc w:val="center"/>
              <w:rPr>
                <w:rFonts w:ascii="Arial" w:eastAsia="Arial Narrow" w:hAnsi="Arial" w:cs="Arial"/>
                <w:sz w:val="20"/>
                <w:szCs w:val="20"/>
              </w:rPr>
            </w:pPr>
            <w:r w:rsidRPr="008A26D2">
              <w:rPr>
                <w:rFonts w:ascii="Arial" w:eastAsia="Arial Narrow" w:hAnsi="Arial" w:cs="Arial"/>
                <w:sz w:val="20"/>
                <w:szCs w:val="20"/>
              </w:rPr>
              <w:t>Regional</w:t>
            </w:r>
          </w:p>
        </w:tc>
        <w:tc>
          <w:tcPr>
            <w:tcW w:w="2150" w:type="dxa"/>
            <w:tcBorders>
              <w:top w:val="single" w:sz="4" w:space="0" w:color="000000"/>
              <w:left w:val="single" w:sz="4" w:space="0" w:color="000000"/>
              <w:right w:val="single" w:sz="4" w:space="0" w:color="000000"/>
            </w:tcBorders>
            <w:shd w:val="clear" w:color="auto" w:fill="auto"/>
            <w:vAlign w:val="center"/>
          </w:tcPr>
          <w:p w14:paraId="17EB8282" w14:textId="1FD62C2C" w:rsidR="00416B48" w:rsidRPr="008A26D2" w:rsidRDefault="00416B48" w:rsidP="00AE4522">
            <w:pPr>
              <w:pBdr>
                <w:top w:val="nil"/>
                <w:left w:val="nil"/>
                <w:bottom w:val="nil"/>
                <w:right w:val="nil"/>
                <w:between w:val="nil"/>
              </w:pBdr>
              <w:spacing w:after="0" w:line="240" w:lineRule="auto"/>
              <w:ind w:left="196"/>
              <w:jc w:val="center"/>
              <w:rPr>
                <w:rFonts w:ascii="Arial" w:eastAsia="Arial Narrow" w:hAnsi="Arial" w:cs="Arial"/>
                <w:sz w:val="20"/>
                <w:szCs w:val="20"/>
              </w:rPr>
            </w:pPr>
            <w:r w:rsidRPr="008A26D2">
              <w:rPr>
                <w:rFonts w:ascii="Arial" w:eastAsia="Arial Narrow" w:hAnsi="Arial" w:cs="Arial"/>
                <w:sz w:val="20"/>
                <w:szCs w:val="20"/>
              </w:rPr>
              <w:t>Local</w:t>
            </w:r>
          </w:p>
        </w:tc>
      </w:tr>
      <w:tr w:rsidR="008A26D2" w:rsidRPr="008A26D2" w14:paraId="10015C02" w14:textId="77777777" w:rsidTr="006F173F">
        <w:trPr>
          <w:trHeight w:val="457"/>
          <w:jc w:val="center"/>
        </w:trPr>
        <w:tc>
          <w:tcPr>
            <w:tcW w:w="2340" w:type="dxa"/>
            <w:vMerge/>
            <w:tcBorders>
              <w:left w:val="single" w:sz="4" w:space="0" w:color="000000"/>
              <w:right w:val="single" w:sz="4" w:space="0" w:color="000000"/>
            </w:tcBorders>
            <w:shd w:val="clear" w:color="auto" w:fill="auto"/>
            <w:tcMar>
              <w:top w:w="15" w:type="dxa"/>
              <w:left w:w="15" w:type="dxa"/>
              <w:bottom w:w="0" w:type="dxa"/>
              <w:right w:w="15" w:type="dxa"/>
            </w:tcMar>
            <w:vAlign w:val="center"/>
          </w:tcPr>
          <w:p w14:paraId="3B88819A" w14:textId="77777777" w:rsidR="00416B48" w:rsidRPr="008A26D2" w:rsidRDefault="00416B48" w:rsidP="00416B48">
            <w:pPr>
              <w:spacing w:after="0" w:line="240" w:lineRule="auto"/>
              <w:rPr>
                <w:rFonts w:ascii="Arial" w:hAnsi="Arial" w:cs="Arial"/>
                <w:b/>
                <w:sz w:val="20"/>
                <w:szCs w:val="20"/>
              </w:rPr>
            </w:pPr>
          </w:p>
        </w:tc>
        <w:tc>
          <w:tcPr>
            <w:tcW w:w="2149"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3E220EE1" w14:textId="77D11969" w:rsidR="00416B48" w:rsidRPr="008A26D2" w:rsidRDefault="00FB2B17" w:rsidP="00AE4522">
            <w:pPr>
              <w:pBdr>
                <w:top w:val="nil"/>
                <w:left w:val="nil"/>
                <w:bottom w:val="nil"/>
                <w:right w:val="nil"/>
                <w:between w:val="nil"/>
              </w:pBdr>
              <w:spacing w:after="0" w:line="240" w:lineRule="auto"/>
              <w:ind w:left="196"/>
              <w:jc w:val="center"/>
              <w:rPr>
                <w:rFonts w:ascii="Arial" w:eastAsia="Arial Narrow" w:hAnsi="Arial" w:cs="Arial"/>
                <w:sz w:val="20"/>
                <w:szCs w:val="20"/>
              </w:rPr>
            </w:pPr>
            <w:r w:rsidRPr="008A26D2">
              <w:rPr>
                <w:rFonts w:ascii="Arial" w:eastAsia="Arial Narrow" w:hAnsi="Arial" w:cs="Arial"/>
                <w:sz w:val="20"/>
                <w:szCs w:val="20"/>
              </w:rPr>
              <w:t>X</w:t>
            </w:r>
          </w:p>
        </w:tc>
        <w:tc>
          <w:tcPr>
            <w:tcW w:w="2149" w:type="dxa"/>
            <w:tcBorders>
              <w:top w:val="single" w:sz="4" w:space="0" w:color="000000"/>
              <w:left w:val="single" w:sz="4" w:space="0" w:color="000000"/>
              <w:right w:val="single" w:sz="4" w:space="0" w:color="000000"/>
            </w:tcBorders>
            <w:shd w:val="clear" w:color="auto" w:fill="auto"/>
            <w:vAlign w:val="center"/>
          </w:tcPr>
          <w:p w14:paraId="3BA19E36" w14:textId="77777777" w:rsidR="00416B48" w:rsidRPr="008A26D2" w:rsidRDefault="00416B48" w:rsidP="00AE4522">
            <w:pPr>
              <w:pBdr>
                <w:top w:val="nil"/>
                <w:left w:val="nil"/>
                <w:bottom w:val="nil"/>
                <w:right w:val="nil"/>
                <w:between w:val="nil"/>
              </w:pBdr>
              <w:spacing w:after="0" w:line="240" w:lineRule="auto"/>
              <w:ind w:left="196"/>
              <w:jc w:val="center"/>
              <w:rPr>
                <w:rFonts w:ascii="Arial" w:eastAsia="Arial Narrow" w:hAnsi="Arial" w:cs="Arial"/>
                <w:sz w:val="20"/>
                <w:szCs w:val="20"/>
              </w:rPr>
            </w:pPr>
          </w:p>
        </w:tc>
        <w:tc>
          <w:tcPr>
            <w:tcW w:w="2150" w:type="dxa"/>
            <w:tcBorders>
              <w:top w:val="single" w:sz="4" w:space="0" w:color="000000"/>
              <w:left w:val="single" w:sz="4" w:space="0" w:color="000000"/>
              <w:right w:val="single" w:sz="4" w:space="0" w:color="000000"/>
            </w:tcBorders>
            <w:shd w:val="clear" w:color="auto" w:fill="auto"/>
            <w:vAlign w:val="center"/>
          </w:tcPr>
          <w:p w14:paraId="7EE0C563" w14:textId="0B4055A3" w:rsidR="00416B48" w:rsidRPr="008A26D2" w:rsidRDefault="00416B48" w:rsidP="00AE4522">
            <w:pPr>
              <w:pBdr>
                <w:top w:val="nil"/>
                <w:left w:val="nil"/>
                <w:bottom w:val="nil"/>
                <w:right w:val="nil"/>
                <w:between w:val="nil"/>
              </w:pBdr>
              <w:spacing w:after="0" w:line="240" w:lineRule="auto"/>
              <w:ind w:left="196"/>
              <w:jc w:val="center"/>
              <w:rPr>
                <w:rFonts w:ascii="Arial" w:eastAsia="Arial Narrow" w:hAnsi="Arial" w:cs="Arial"/>
                <w:sz w:val="20"/>
                <w:szCs w:val="20"/>
              </w:rPr>
            </w:pPr>
          </w:p>
        </w:tc>
      </w:tr>
      <w:tr w:rsidR="008A26D2" w:rsidRPr="008A26D2" w14:paraId="0213E79B" w14:textId="77777777" w:rsidTr="00086DE5">
        <w:trPr>
          <w:trHeight w:val="300"/>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815722C" w14:textId="77777777" w:rsidR="00416B48" w:rsidRPr="008A26D2" w:rsidRDefault="00416B48" w:rsidP="00416B48">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 xml:space="preserve"> Receptor del servicio</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9C9E99C" w14:textId="77777777" w:rsidR="00416B48" w:rsidRPr="008A26D2" w:rsidRDefault="00416B48" w:rsidP="00416B48">
            <w:pPr>
              <w:pBdr>
                <w:top w:val="nil"/>
                <w:left w:val="nil"/>
                <w:bottom w:val="nil"/>
                <w:right w:val="nil"/>
                <w:between w:val="nil"/>
              </w:pBdr>
              <w:spacing w:after="0" w:line="240" w:lineRule="auto"/>
              <w:ind w:left="196"/>
              <w:jc w:val="both"/>
              <w:rPr>
                <w:rFonts w:ascii="Arial" w:eastAsia="Arial Narrow" w:hAnsi="Arial" w:cs="Arial"/>
                <w:sz w:val="20"/>
                <w:szCs w:val="20"/>
              </w:rPr>
            </w:pPr>
            <w:r w:rsidRPr="008A26D2">
              <w:rPr>
                <w:rFonts w:ascii="Arial" w:eastAsia="Arial Narrow" w:hAnsi="Arial" w:cs="Arial"/>
                <w:sz w:val="20"/>
                <w:szCs w:val="20"/>
              </w:rPr>
              <w:t>Usuarios forestales y de fauna silvestre</w:t>
            </w:r>
          </w:p>
        </w:tc>
      </w:tr>
      <w:tr w:rsidR="008A26D2" w:rsidRPr="008A26D2" w14:paraId="2859DE10" w14:textId="77777777" w:rsidTr="00086DE5">
        <w:trPr>
          <w:trHeight w:val="211"/>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0A8E84B" w14:textId="77777777" w:rsidR="00416B48" w:rsidRPr="008A26D2" w:rsidRDefault="00416B48" w:rsidP="00416B48">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 xml:space="preserve"> Alcance del servicio </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AE46DEC" w14:textId="77777777" w:rsidR="00416B48" w:rsidRPr="008A26D2" w:rsidRDefault="00416B48" w:rsidP="00416B48">
            <w:pPr>
              <w:pBdr>
                <w:top w:val="nil"/>
                <w:left w:val="nil"/>
                <w:bottom w:val="nil"/>
                <w:right w:val="nil"/>
                <w:between w:val="nil"/>
              </w:pBdr>
              <w:spacing w:after="0" w:line="240" w:lineRule="auto"/>
              <w:ind w:left="196"/>
              <w:jc w:val="both"/>
              <w:rPr>
                <w:rFonts w:ascii="Arial" w:eastAsia="Arial Narrow" w:hAnsi="Arial" w:cs="Arial"/>
                <w:sz w:val="20"/>
                <w:szCs w:val="20"/>
              </w:rPr>
            </w:pPr>
            <w:r w:rsidRPr="008A26D2">
              <w:rPr>
                <w:rFonts w:ascii="Arial" w:eastAsia="Arial Narrow" w:hAnsi="Arial" w:cs="Arial"/>
                <w:sz w:val="20"/>
                <w:szCs w:val="20"/>
              </w:rPr>
              <w:t>Nacional</w:t>
            </w:r>
          </w:p>
        </w:tc>
      </w:tr>
      <w:tr w:rsidR="008A26D2" w:rsidRPr="008A26D2" w14:paraId="57F8F4DC" w14:textId="77777777" w:rsidTr="00086DE5">
        <w:trPr>
          <w:trHeight w:val="62"/>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AA8D1E0" w14:textId="77777777" w:rsidR="00416B48" w:rsidRPr="008A26D2" w:rsidRDefault="00416B48" w:rsidP="00416B48">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 xml:space="preserve"> Estándar (es) de cumplimiento</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59882B7B" w14:textId="77777777" w:rsidR="00416B48" w:rsidRPr="008A26D2" w:rsidRDefault="00416B48" w:rsidP="00416B48">
            <w:pPr>
              <w:pBdr>
                <w:top w:val="nil"/>
                <w:left w:val="nil"/>
                <w:bottom w:val="nil"/>
                <w:right w:val="nil"/>
                <w:between w:val="nil"/>
              </w:pBdr>
              <w:spacing w:after="0" w:line="240" w:lineRule="auto"/>
              <w:ind w:left="196"/>
              <w:jc w:val="both"/>
              <w:rPr>
                <w:rFonts w:ascii="Arial" w:eastAsia="Arial Narrow" w:hAnsi="Arial" w:cs="Arial"/>
                <w:sz w:val="20"/>
                <w:szCs w:val="20"/>
              </w:rPr>
            </w:pPr>
            <w:r w:rsidRPr="008A26D2">
              <w:rPr>
                <w:rFonts w:ascii="Arial" w:eastAsia="Arial Narrow" w:hAnsi="Arial" w:cs="Arial"/>
                <w:sz w:val="20"/>
                <w:szCs w:val="20"/>
              </w:rPr>
              <w:t>Percepción</w:t>
            </w:r>
          </w:p>
        </w:tc>
      </w:tr>
      <w:tr w:rsidR="008A26D2" w:rsidRPr="008A26D2" w14:paraId="696C354F" w14:textId="77777777" w:rsidTr="00086DE5">
        <w:trPr>
          <w:trHeight w:val="300"/>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4D67A56" w14:textId="77777777" w:rsidR="00416B48" w:rsidRPr="008A26D2" w:rsidRDefault="00416B48" w:rsidP="00416B48">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 xml:space="preserve"> Descripción del estándar</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35" w:type="dxa"/>
              <w:bottom w:w="0" w:type="dxa"/>
              <w:right w:w="15" w:type="dxa"/>
            </w:tcMar>
            <w:vAlign w:val="center"/>
          </w:tcPr>
          <w:p w14:paraId="331FE3A0" w14:textId="77777777" w:rsidR="00416B48" w:rsidRPr="008A26D2" w:rsidRDefault="00416B48" w:rsidP="00416B48">
            <w:pPr>
              <w:pBdr>
                <w:top w:val="nil"/>
                <w:left w:val="nil"/>
                <w:bottom w:val="nil"/>
                <w:right w:val="nil"/>
                <w:between w:val="nil"/>
              </w:pBdr>
              <w:spacing w:after="0" w:line="240" w:lineRule="auto"/>
              <w:ind w:left="76"/>
              <w:jc w:val="both"/>
              <w:rPr>
                <w:rFonts w:ascii="Arial" w:eastAsia="Arial Narrow" w:hAnsi="Arial" w:cs="Arial"/>
                <w:sz w:val="20"/>
                <w:szCs w:val="20"/>
              </w:rPr>
            </w:pPr>
            <w:r w:rsidRPr="008A26D2">
              <w:rPr>
                <w:rFonts w:ascii="Arial" w:eastAsia="Arial Narrow" w:hAnsi="Arial" w:cs="Arial"/>
                <w:sz w:val="20"/>
                <w:szCs w:val="20"/>
              </w:rPr>
              <w:t>El estándar del servicio es de percepción por cuanto satisface las expectativas de los usuarios respecto a la información sobre los mecanismos de financiamiento e incentivos disponibles a los que pueden postular.</w:t>
            </w:r>
          </w:p>
        </w:tc>
      </w:tr>
      <w:tr w:rsidR="00416B48" w:rsidRPr="008A26D2" w14:paraId="244A1FD4" w14:textId="77777777" w:rsidTr="00086DE5">
        <w:trPr>
          <w:trHeight w:val="357"/>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745FCC6" w14:textId="44FEA046" w:rsidR="00416B48" w:rsidRPr="008A26D2" w:rsidRDefault="00416B48" w:rsidP="00416B48">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Indicador de calidad</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52FF3968" w14:textId="77777777" w:rsidR="00416B48" w:rsidRPr="008A26D2" w:rsidRDefault="00416B48" w:rsidP="00416B48">
            <w:pPr>
              <w:pBdr>
                <w:top w:val="nil"/>
                <w:left w:val="nil"/>
                <w:bottom w:val="nil"/>
                <w:right w:val="nil"/>
                <w:between w:val="nil"/>
              </w:pBdr>
              <w:spacing w:after="0" w:line="240" w:lineRule="auto"/>
              <w:ind w:left="196"/>
              <w:jc w:val="both"/>
              <w:rPr>
                <w:rFonts w:ascii="Arial" w:eastAsia="Arial Narrow" w:hAnsi="Arial" w:cs="Arial"/>
                <w:sz w:val="20"/>
                <w:szCs w:val="20"/>
              </w:rPr>
            </w:pPr>
            <w:r w:rsidRPr="008A26D2">
              <w:rPr>
                <w:rFonts w:ascii="Arial" w:eastAsia="Arial Narrow" w:hAnsi="Arial" w:cs="Arial"/>
                <w:sz w:val="20"/>
                <w:szCs w:val="20"/>
              </w:rPr>
              <w:t>Porcentaje de usuarios forestales y de fauna silvestre con alto grado de satisfacción sobre las actividades de promoción en las que han participado</w:t>
            </w:r>
          </w:p>
        </w:tc>
      </w:tr>
    </w:tbl>
    <w:p w14:paraId="4AB3C1B6" w14:textId="77777777" w:rsidR="003702A2" w:rsidRPr="008A26D2" w:rsidRDefault="003702A2" w:rsidP="003702A2">
      <w:pPr>
        <w:rPr>
          <w:rFonts w:ascii="Arial Narrow" w:eastAsia="Arial Narrow" w:hAnsi="Arial Narrow" w:cs="Arial Narrow"/>
          <w:b/>
        </w:rPr>
      </w:pPr>
    </w:p>
    <w:p w14:paraId="555776CE" w14:textId="6B2B305A" w:rsidR="00F40748" w:rsidRPr="008A26D2" w:rsidRDefault="00C47A41" w:rsidP="00C47A41">
      <w:pPr>
        <w:jc w:val="both"/>
        <w:rPr>
          <w:rFonts w:ascii="Arial" w:eastAsia="Arial Narrow" w:hAnsi="Arial" w:cs="Arial"/>
        </w:rPr>
      </w:pPr>
      <w:r w:rsidRPr="005226A2">
        <w:rPr>
          <w:rFonts w:ascii="Arial" w:eastAsia="Arial Narrow" w:hAnsi="Arial" w:cs="Arial"/>
          <w:b/>
          <w:bCs/>
        </w:rPr>
        <w:t>S2.2.</w:t>
      </w:r>
      <w:r w:rsidR="002F0C3D" w:rsidRPr="005226A2">
        <w:rPr>
          <w:rFonts w:ascii="Arial" w:eastAsia="Arial Narrow" w:hAnsi="Arial" w:cs="Arial"/>
          <w:b/>
          <w:bCs/>
        </w:rPr>
        <w:t>2</w:t>
      </w:r>
      <w:r w:rsidRPr="005226A2">
        <w:rPr>
          <w:rFonts w:ascii="Arial" w:eastAsia="Arial Narrow" w:hAnsi="Arial" w:cs="Arial"/>
        </w:rPr>
        <w:t xml:space="preserve"> </w:t>
      </w:r>
      <w:r w:rsidR="00AE4522" w:rsidRPr="005226A2">
        <w:rPr>
          <w:rFonts w:ascii="Arial" w:eastAsia="Arial Narrow" w:hAnsi="Arial" w:cs="Arial"/>
        </w:rPr>
        <w:t>Atención de solicitudes de cartas de no objeción a los programas que contribuyan a la mitigación</w:t>
      </w:r>
      <w:r w:rsidR="00AE4522" w:rsidRPr="00AE4522">
        <w:rPr>
          <w:rFonts w:ascii="Arial" w:eastAsia="Arial Narrow" w:hAnsi="Arial" w:cs="Arial"/>
        </w:rPr>
        <w:t xml:space="preserve"> y adaptación al cambio climático para las actividades forestales y de fauna silvestre, de forma oportuna, de entidades acreditadas ante el Fondo Verde para el Clima</w:t>
      </w:r>
    </w:p>
    <w:tbl>
      <w:tblPr>
        <w:tblW w:w="8505" w:type="dxa"/>
        <w:jc w:val="center"/>
        <w:tblLayout w:type="fixed"/>
        <w:tblLook w:val="0600" w:firstRow="0" w:lastRow="0" w:firstColumn="0" w:lastColumn="0" w:noHBand="1" w:noVBand="1"/>
      </w:tblPr>
      <w:tblGrid>
        <w:gridCol w:w="2273"/>
        <w:gridCol w:w="2077"/>
        <w:gridCol w:w="2077"/>
        <w:gridCol w:w="2078"/>
      </w:tblGrid>
      <w:tr w:rsidR="008A26D2" w:rsidRPr="008A26D2" w14:paraId="750F5444" w14:textId="77777777" w:rsidTr="00C1101D">
        <w:trPr>
          <w:trHeight w:val="300"/>
          <w:jc w:val="center"/>
        </w:trPr>
        <w:tc>
          <w:tcPr>
            <w:tcW w:w="8505"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center"/>
          </w:tcPr>
          <w:p w14:paraId="6DA52F2A" w14:textId="7D3BC937" w:rsidR="00C47A41" w:rsidRPr="008A26D2" w:rsidRDefault="00C47A41" w:rsidP="0072651A">
            <w:pPr>
              <w:jc w:val="center"/>
              <w:rPr>
                <w:rFonts w:ascii="Arial" w:hAnsi="Arial" w:cs="Arial"/>
                <w:sz w:val="20"/>
                <w:szCs w:val="20"/>
              </w:rPr>
            </w:pPr>
            <w:r w:rsidRPr="008A26D2">
              <w:rPr>
                <w:rFonts w:ascii="Arial" w:hAnsi="Arial" w:cs="Arial"/>
                <w:b/>
                <w:sz w:val="20"/>
                <w:szCs w:val="20"/>
              </w:rPr>
              <w:t xml:space="preserve">FICHA DEL SERVICIO </w:t>
            </w:r>
          </w:p>
        </w:tc>
      </w:tr>
      <w:tr w:rsidR="008A26D2" w:rsidRPr="008A26D2" w14:paraId="3246F217" w14:textId="77777777" w:rsidTr="00C1101D">
        <w:trPr>
          <w:trHeight w:val="300"/>
          <w:jc w:val="center"/>
        </w:trPr>
        <w:tc>
          <w:tcPr>
            <w:tcW w:w="22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820B833" w14:textId="77777777" w:rsidR="00C47A41" w:rsidRPr="008A26D2" w:rsidRDefault="00C47A41"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Objetivo prioritario:</w:t>
            </w:r>
          </w:p>
        </w:tc>
        <w:tc>
          <w:tcPr>
            <w:tcW w:w="6232"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A477456" w14:textId="77777777" w:rsidR="00C47A41" w:rsidRPr="008A26D2" w:rsidRDefault="00C47A41" w:rsidP="0072651A">
            <w:pPr>
              <w:pBdr>
                <w:top w:val="nil"/>
                <w:left w:val="nil"/>
                <w:bottom w:val="nil"/>
                <w:right w:val="nil"/>
                <w:between w:val="nil"/>
              </w:pBdr>
              <w:spacing w:after="0" w:line="240" w:lineRule="auto"/>
              <w:ind w:left="126"/>
              <w:jc w:val="both"/>
              <w:rPr>
                <w:rFonts w:ascii="Arial" w:hAnsi="Arial" w:cs="Arial"/>
                <w:sz w:val="20"/>
                <w:szCs w:val="20"/>
              </w:rPr>
            </w:pPr>
            <w:r w:rsidRPr="008A26D2">
              <w:rPr>
                <w:rFonts w:ascii="Arial" w:hAnsi="Arial" w:cs="Arial"/>
                <w:sz w:val="20"/>
                <w:szCs w:val="20"/>
              </w:rPr>
              <w:t>OP2 Incrementar la productividad de los ecosistemas forestales, otros ecosistemas de vegetación silvestre y de la fauna silvestre</w:t>
            </w:r>
          </w:p>
        </w:tc>
      </w:tr>
      <w:tr w:rsidR="008A26D2" w:rsidRPr="008A26D2" w14:paraId="1E62270A" w14:textId="77777777" w:rsidTr="00C1101D">
        <w:trPr>
          <w:trHeight w:val="300"/>
          <w:jc w:val="center"/>
        </w:trPr>
        <w:tc>
          <w:tcPr>
            <w:tcW w:w="22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6C236F1" w14:textId="77777777" w:rsidR="00C47A41" w:rsidRPr="008A26D2" w:rsidRDefault="00C47A41"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Lineamiento:</w:t>
            </w:r>
          </w:p>
        </w:tc>
        <w:tc>
          <w:tcPr>
            <w:tcW w:w="6232"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3C2AC8B" w14:textId="77777777" w:rsidR="00C47A41" w:rsidRPr="008A26D2" w:rsidRDefault="00C47A41" w:rsidP="0072651A">
            <w:pPr>
              <w:pBdr>
                <w:top w:val="nil"/>
                <w:left w:val="nil"/>
                <w:bottom w:val="nil"/>
                <w:right w:val="nil"/>
                <w:between w:val="nil"/>
              </w:pBdr>
              <w:spacing w:after="0" w:line="240" w:lineRule="auto"/>
              <w:ind w:left="126"/>
              <w:jc w:val="both"/>
              <w:rPr>
                <w:rFonts w:ascii="Arial" w:eastAsia="Arial Narrow" w:hAnsi="Arial" w:cs="Arial"/>
                <w:sz w:val="20"/>
                <w:szCs w:val="20"/>
              </w:rPr>
            </w:pPr>
            <w:r w:rsidRPr="008A26D2">
              <w:rPr>
                <w:rFonts w:ascii="Arial" w:eastAsia="Arial Narrow" w:hAnsi="Arial" w:cs="Arial"/>
                <w:sz w:val="20"/>
                <w:szCs w:val="20"/>
              </w:rPr>
              <w:t>L2.2 Incrementar el acceso a financiamiento e incentivos para el desarrollo de las actividades forestales y de fauna silvestre</w:t>
            </w:r>
          </w:p>
        </w:tc>
      </w:tr>
      <w:tr w:rsidR="008A26D2" w:rsidRPr="008A26D2" w14:paraId="7AEF765B" w14:textId="77777777" w:rsidTr="00C1101D">
        <w:trPr>
          <w:trHeight w:val="300"/>
          <w:jc w:val="center"/>
        </w:trPr>
        <w:tc>
          <w:tcPr>
            <w:tcW w:w="22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6807C9B" w14:textId="77777777" w:rsidR="00C47A41" w:rsidRPr="008A26D2" w:rsidRDefault="00C47A41"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Nombre del servicio:</w:t>
            </w:r>
          </w:p>
        </w:tc>
        <w:tc>
          <w:tcPr>
            <w:tcW w:w="6232"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264D058" w14:textId="3BAC1331" w:rsidR="00CF0101" w:rsidRPr="008A26D2" w:rsidRDefault="00C47A41" w:rsidP="00CF0101">
            <w:pPr>
              <w:pBdr>
                <w:top w:val="nil"/>
                <w:left w:val="nil"/>
                <w:bottom w:val="nil"/>
                <w:right w:val="nil"/>
                <w:between w:val="nil"/>
              </w:pBdr>
              <w:spacing w:after="0" w:line="240" w:lineRule="auto"/>
              <w:ind w:left="126"/>
              <w:jc w:val="both"/>
              <w:rPr>
                <w:rFonts w:ascii="Arial" w:eastAsia="Arial Narrow" w:hAnsi="Arial" w:cs="Arial"/>
                <w:sz w:val="20"/>
                <w:szCs w:val="20"/>
              </w:rPr>
            </w:pPr>
            <w:r w:rsidRPr="005226A2">
              <w:rPr>
                <w:rFonts w:ascii="Arial" w:eastAsia="Arial Narrow" w:hAnsi="Arial" w:cs="Arial"/>
                <w:sz w:val="20"/>
                <w:szCs w:val="20"/>
              </w:rPr>
              <w:t>S2.2.</w:t>
            </w:r>
            <w:r w:rsidR="002F0C3D" w:rsidRPr="005226A2">
              <w:rPr>
                <w:rFonts w:ascii="Arial" w:eastAsia="Arial Narrow" w:hAnsi="Arial" w:cs="Arial"/>
                <w:sz w:val="20"/>
                <w:szCs w:val="20"/>
              </w:rPr>
              <w:t>2</w:t>
            </w:r>
            <w:r w:rsidRPr="005226A2">
              <w:rPr>
                <w:rFonts w:ascii="Arial" w:eastAsia="Arial Narrow" w:hAnsi="Arial" w:cs="Arial"/>
                <w:sz w:val="20"/>
                <w:szCs w:val="20"/>
              </w:rPr>
              <w:t xml:space="preserve"> </w:t>
            </w:r>
            <w:r w:rsidR="00CF0101" w:rsidRPr="005226A2">
              <w:rPr>
                <w:rFonts w:ascii="Arial" w:eastAsia="Arial Narrow" w:hAnsi="Arial" w:cs="Arial"/>
                <w:sz w:val="20"/>
                <w:szCs w:val="20"/>
              </w:rPr>
              <w:t>Atención</w:t>
            </w:r>
            <w:r w:rsidR="00CF0101" w:rsidRPr="008A26D2">
              <w:rPr>
                <w:rFonts w:ascii="Arial" w:eastAsia="Arial Narrow" w:hAnsi="Arial" w:cs="Arial"/>
                <w:sz w:val="20"/>
                <w:szCs w:val="20"/>
              </w:rPr>
              <w:t xml:space="preserve"> de solicitudes de cartas de no objeción a los programas que contribuyan a la mitigación y adaptación al cambio climático para las actividades forestales y de fauna silvestre, de forma oportuna, de entidades acreditadas ante el Fondo Verde para el Clima</w:t>
            </w:r>
          </w:p>
          <w:p w14:paraId="7A391534" w14:textId="2FD4CA36" w:rsidR="00CF0101" w:rsidRPr="008A26D2" w:rsidRDefault="00CF0101" w:rsidP="0072651A">
            <w:pPr>
              <w:pBdr>
                <w:top w:val="nil"/>
                <w:left w:val="nil"/>
                <w:bottom w:val="nil"/>
                <w:right w:val="nil"/>
                <w:between w:val="nil"/>
              </w:pBdr>
              <w:spacing w:after="0" w:line="240" w:lineRule="auto"/>
              <w:ind w:left="126"/>
              <w:jc w:val="both"/>
              <w:rPr>
                <w:rFonts w:ascii="Arial" w:eastAsia="Arial Narrow" w:hAnsi="Arial" w:cs="Arial"/>
                <w:sz w:val="20"/>
                <w:szCs w:val="20"/>
              </w:rPr>
            </w:pPr>
          </w:p>
        </w:tc>
      </w:tr>
      <w:tr w:rsidR="008A26D2" w:rsidRPr="008A26D2" w14:paraId="44EEE3B8" w14:textId="77777777" w:rsidTr="00C1101D">
        <w:trPr>
          <w:trHeight w:val="300"/>
          <w:jc w:val="center"/>
        </w:trPr>
        <w:tc>
          <w:tcPr>
            <w:tcW w:w="22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F9C74AC" w14:textId="77777777" w:rsidR="00C47A41" w:rsidRPr="008A26D2" w:rsidRDefault="00C47A41"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Tipo de servicio:</w:t>
            </w:r>
          </w:p>
        </w:tc>
        <w:tc>
          <w:tcPr>
            <w:tcW w:w="6232"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034CED0" w14:textId="77777777" w:rsidR="00C47A41" w:rsidRPr="008A26D2" w:rsidRDefault="00C47A41" w:rsidP="0072651A">
            <w:pPr>
              <w:pBdr>
                <w:top w:val="nil"/>
                <w:left w:val="nil"/>
                <w:bottom w:val="nil"/>
                <w:right w:val="nil"/>
                <w:between w:val="nil"/>
              </w:pBdr>
              <w:spacing w:after="0" w:line="240" w:lineRule="auto"/>
              <w:ind w:left="126"/>
              <w:jc w:val="both"/>
              <w:rPr>
                <w:rFonts w:ascii="Arial" w:eastAsia="Arial Narrow" w:hAnsi="Arial" w:cs="Arial"/>
                <w:sz w:val="20"/>
                <w:szCs w:val="20"/>
              </w:rPr>
            </w:pPr>
            <w:r w:rsidRPr="008A26D2">
              <w:rPr>
                <w:rFonts w:ascii="Arial" w:eastAsia="Arial Narrow" w:hAnsi="Arial" w:cs="Arial"/>
                <w:sz w:val="20"/>
                <w:szCs w:val="20"/>
              </w:rPr>
              <w:t>Mejorado</w:t>
            </w:r>
          </w:p>
        </w:tc>
      </w:tr>
      <w:tr w:rsidR="008A26D2" w:rsidRPr="008A26D2" w14:paraId="5C777412" w14:textId="77777777" w:rsidTr="00C1101D">
        <w:trPr>
          <w:trHeight w:val="300"/>
          <w:jc w:val="center"/>
        </w:trPr>
        <w:tc>
          <w:tcPr>
            <w:tcW w:w="22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60A2D63" w14:textId="23C5C533" w:rsidR="00416B48" w:rsidRPr="008A26D2" w:rsidRDefault="00416B48" w:rsidP="00416B48">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Naturaleza del servicio:</w:t>
            </w:r>
          </w:p>
        </w:tc>
        <w:tc>
          <w:tcPr>
            <w:tcW w:w="6232"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F7BD3C1" w14:textId="6BD64217" w:rsidR="00416B48" w:rsidRPr="008A26D2" w:rsidRDefault="00FB2B17" w:rsidP="00416B48">
            <w:pPr>
              <w:pBdr>
                <w:top w:val="nil"/>
                <w:left w:val="nil"/>
                <w:bottom w:val="nil"/>
                <w:right w:val="nil"/>
                <w:between w:val="nil"/>
              </w:pBdr>
              <w:spacing w:after="0" w:line="240" w:lineRule="auto"/>
              <w:ind w:left="126"/>
              <w:jc w:val="both"/>
              <w:rPr>
                <w:rFonts w:ascii="Arial" w:eastAsia="Arial Narrow" w:hAnsi="Arial" w:cs="Arial"/>
                <w:sz w:val="20"/>
                <w:szCs w:val="20"/>
              </w:rPr>
            </w:pPr>
            <w:r w:rsidRPr="008A26D2">
              <w:rPr>
                <w:rFonts w:ascii="Arial" w:eastAsia="Arial Narrow" w:hAnsi="Arial" w:cs="Arial"/>
                <w:sz w:val="20"/>
                <w:szCs w:val="20"/>
              </w:rPr>
              <w:t>N</w:t>
            </w:r>
            <w:r w:rsidR="00416B48" w:rsidRPr="008A26D2">
              <w:rPr>
                <w:rFonts w:ascii="Arial" w:eastAsia="Arial Narrow" w:hAnsi="Arial" w:cs="Arial"/>
                <w:sz w:val="20"/>
                <w:szCs w:val="20"/>
              </w:rPr>
              <w:t>o prestacional</w:t>
            </w:r>
          </w:p>
        </w:tc>
      </w:tr>
      <w:tr w:rsidR="008A26D2" w:rsidRPr="008A26D2" w14:paraId="087C1895" w14:textId="77777777" w:rsidTr="00C1101D">
        <w:trPr>
          <w:trHeight w:val="300"/>
          <w:jc w:val="center"/>
        </w:trPr>
        <w:tc>
          <w:tcPr>
            <w:tcW w:w="22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D17AB74" w14:textId="0ED707E3" w:rsidR="00416B48" w:rsidRPr="008A26D2" w:rsidRDefault="00416B48" w:rsidP="00416B48">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Entrega del servicio</w:t>
            </w:r>
          </w:p>
        </w:tc>
        <w:tc>
          <w:tcPr>
            <w:tcW w:w="6232"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0195FC7" w14:textId="46946378" w:rsidR="00416B48" w:rsidRPr="008A26D2" w:rsidRDefault="00416B48" w:rsidP="00416B48">
            <w:pPr>
              <w:pBdr>
                <w:top w:val="nil"/>
                <w:left w:val="nil"/>
                <w:bottom w:val="nil"/>
                <w:right w:val="nil"/>
                <w:between w:val="nil"/>
              </w:pBdr>
              <w:spacing w:after="0" w:line="240" w:lineRule="auto"/>
              <w:ind w:left="126"/>
              <w:jc w:val="both"/>
              <w:rPr>
                <w:rFonts w:ascii="Arial" w:eastAsia="Arial Narrow" w:hAnsi="Arial" w:cs="Arial"/>
                <w:sz w:val="20"/>
                <w:szCs w:val="20"/>
              </w:rPr>
            </w:pPr>
            <w:r w:rsidRPr="008A26D2">
              <w:rPr>
                <w:rFonts w:ascii="Arial" w:eastAsia="Arial Narrow" w:hAnsi="Arial" w:cs="Arial"/>
                <w:sz w:val="20"/>
                <w:szCs w:val="20"/>
              </w:rPr>
              <w:t xml:space="preserve">Competencia exclusiva </w:t>
            </w:r>
          </w:p>
        </w:tc>
      </w:tr>
      <w:tr w:rsidR="008A26D2" w:rsidRPr="008A26D2" w14:paraId="424F6482" w14:textId="77777777" w:rsidTr="00C1101D">
        <w:trPr>
          <w:trHeight w:val="300"/>
          <w:jc w:val="center"/>
        </w:trPr>
        <w:tc>
          <w:tcPr>
            <w:tcW w:w="22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BA2E1BD" w14:textId="77777777" w:rsidR="00416B48" w:rsidRPr="008A26D2" w:rsidRDefault="00416B48" w:rsidP="00416B48">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Descripción del servicio</w:t>
            </w:r>
          </w:p>
        </w:tc>
        <w:tc>
          <w:tcPr>
            <w:tcW w:w="6232"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2BAC59C" w14:textId="5049ED7D" w:rsidR="00416B48" w:rsidRPr="008A26D2" w:rsidRDefault="00416B48" w:rsidP="00416B48">
            <w:pPr>
              <w:pBdr>
                <w:top w:val="nil"/>
                <w:left w:val="nil"/>
                <w:bottom w:val="nil"/>
                <w:right w:val="nil"/>
                <w:between w:val="nil"/>
              </w:pBdr>
              <w:spacing w:after="0" w:line="240" w:lineRule="auto"/>
              <w:ind w:left="126"/>
              <w:jc w:val="both"/>
              <w:rPr>
                <w:rFonts w:ascii="Arial" w:hAnsi="Arial" w:cs="Arial"/>
                <w:sz w:val="20"/>
                <w:szCs w:val="20"/>
              </w:rPr>
            </w:pPr>
            <w:r w:rsidRPr="008A26D2">
              <w:rPr>
                <w:rFonts w:ascii="Arial" w:eastAsia="Arial Narrow" w:hAnsi="Arial" w:cs="Arial"/>
                <w:sz w:val="20"/>
                <w:szCs w:val="20"/>
              </w:rPr>
              <w:t xml:space="preserve">El servicio consiste en evaluar, dentro de los plazos establecidos por el Decreto Supremo Nº 219-2020-EF, que aprueba los procedimientos para el acceso a los recursos del Fondo Verde para el Clima </w:t>
            </w:r>
            <w:r w:rsidR="004E7D4B">
              <w:rPr>
                <w:rFonts w:ascii="Arial" w:eastAsia="Arial Narrow" w:hAnsi="Arial" w:cs="Arial"/>
                <w:sz w:val="20"/>
                <w:szCs w:val="20"/>
              </w:rPr>
              <w:t xml:space="preserve">- </w:t>
            </w:r>
            <w:r w:rsidRPr="008A26D2">
              <w:rPr>
                <w:rFonts w:ascii="Arial" w:eastAsia="Arial Narrow" w:hAnsi="Arial" w:cs="Arial"/>
                <w:sz w:val="20"/>
                <w:szCs w:val="20"/>
              </w:rPr>
              <w:t xml:space="preserve">FVC, las solicitudes de carta de no objeción de los programas </w:t>
            </w:r>
            <w:r w:rsidRPr="008A26D2">
              <w:rPr>
                <w:rFonts w:ascii="Arial" w:hAnsi="Arial" w:cs="Arial"/>
                <w:sz w:val="20"/>
                <w:szCs w:val="20"/>
              </w:rPr>
              <w:t xml:space="preserve">que contribuyan a la mitigación y adaptación al cambio climático, en materia forestal y/o de fauna silvestre, para su financiamiento por el FVC. </w:t>
            </w:r>
          </w:p>
          <w:p w14:paraId="623BC31E" w14:textId="77777777" w:rsidR="00416B48" w:rsidRPr="008A26D2" w:rsidRDefault="00416B48" w:rsidP="00416B48">
            <w:pPr>
              <w:pBdr>
                <w:top w:val="nil"/>
                <w:left w:val="nil"/>
                <w:bottom w:val="nil"/>
                <w:right w:val="nil"/>
                <w:between w:val="nil"/>
              </w:pBdr>
              <w:spacing w:after="0" w:line="240" w:lineRule="auto"/>
              <w:ind w:left="126"/>
              <w:jc w:val="both"/>
              <w:rPr>
                <w:rFonts w:ascii="Arial" w:hAnsi="Arial" w:cs="Arial"/>
                <w:sz w:val="20"/>
                <w:szCs w:val="20"/>
              </w:rPr>
            </w:pPr>
          </w:p>
          <w:p w14:paraId="29B940BF" w14:textId="4430860E" w:rsidR="00416B48" w:rsidRPr="008A26D2" w:rsidRDefault="00416B48" w:rsidP="00416B48">
            <w:pPr>
              <w:pBdr>
                <w:top w:val="nil"/>
                <w:left w:val="nil"/>
                <w:bottom w:val="nil"/>
                <w:right w:val="nil"/>
                <w:between w:val="nil"/>
              </w:pBdr>
              <w:spacing w:after="0" w:line="240" w:lineRule="auto"/>
              <w:ind w:left="126"/>
              <w:jc w:val="both"/>
              <w:rPr>
                <w:rFonts w:ascii="Arial" w:hAnsi="Arial" w:cs="Arial"/>
                <w:sz w:val="20"/>
                <w:szCs w:val="20"/>
              </w:rPr>
            </w:pPr>
            <w:r w:rsidRPr="008A26D2">
              <w:rPr>
                <w:rFonts w:ascii="Arial" w:hAnsi="Arial" w:cs="Arial"/>
                <w:sz w:val="20"/>
                <w:szCs w:val="20"/>
              </w:rPr>
              <w:t>De esa manera, una atención oportuna permitirá que los programas que cumplan con las condiciones para adquirir una carta de no objeción tengan mayores oportunidades de acceder al financiamiento que otorga el FVC dentro de las sesiones de consejo que programa esta entidad a lo largo del año.</w:t>
            </w:r>
          </w:p>
          <w:p w14:paraId="42F5B9FA" w14:textId="77777777" w:rsidR="00416B48" w:rsidRPr="008A26D2" w:rsidRDefault="00416B48" w:rsidP="00416B48">
            <w:pPr>
              <w:pBdr>
                <w:top w:val="nil"/>
                <w:left w:val="nil"/>
                <w:bottom w:val="nil"/>
                <w:right w:val="nil"/>
                <w:between w:val="nil"/>
              </w:pBdr>
              <w:spacing w:after="0" w:line="240" w:lineRule="auto"/>
              <w:ind w:left="126"/>
              <w:jc w:val="both"/>
              <w:rPr>
                <w:rFonts w:ascii="Arial" w:hAnsi="Arial" w:cs="Arial"/>
                <w:sz w:val="20"/>
                <w:szCs w:val="20"/>
              </w:rPr>
            </w:pPr>
          </w:p>
          <w:p w14:paraId="67EC7672" w14:textId="05CC825E" w:rsidR="00416B48" w:rsidRPr="008A26D2" w:rsidRDefault="00416B48" w:rsidP="00416B48">
            <w:pPr>
              <w:pBdr>
                <w:top w:val="nil"/>
                <w:left w:val="nil"/>
                <w:bottom w:val="nil"/>
                <w:right w:val="nil"/>
                <w:between w:val="nil"/>
              </w:pBdr>
              <w:spacing w:after="0" w:line="240" w:lineRule="auto"/>
              <w:ind w:left="126"/>
              <w:jc w:val="both"/>
              <w:rPr>
                <w:rFonts w:ascii="Arial" w:eastAsia="Arial Narrow" w:hAnsi="Arial" w:cs="Arial"/>
                <w:sz w:val="20"/>
                <w:szCs w:val="20"/>
              </w:rPr>
            </w:pPr>
            <w:r w:rsidRPr="008A26D2">
              <w:rPr>
                <w:rFonts w:ascii="Arial" w:eastAsia="Arial Narrow" w:hAnsi="Arial" w:cs="Arial"/>
                <w:sz w:val="20"/>
                <w:szCs w:val="20"/>
              </w:rPr>
              <w:t xml:space="preserve">El Decreto Supremo Nº 219-2020-EF regula el procedimiento para la emisión de la carta de no objeción para proyectos o programas que se presenten al FVC. Las solicitudes de no objeción son formuladas por las Entidades Acreditadas, sean públicas o privadas, y presentadas al MEF en su calidad de Autoridad Nacional Designada (NDA, por sus siglas en inglés) para dar inicio al procedimiento de </w:t>
            </w:r>
            <w:r w:rsidRPr="008A26D2">
              <w:rPr>
                <w:rFonts w:ascii="Arial" w:eastAsia="Arial Narrow" w:hAnsi="Arial" w:cs="Arial"/>
                <w:sz w:val="20"/>
                <w:szCs w:val="20"/>
              </w:rPr>
              <w:lastRenderedPageBreak/>
              <w:t>evaluación. El citado Decreto Supremo regula los requisitos y etapas, y establece el plazo de 22 días hábiles si no se cuentan con observaciones en primera ronda, y en caso que sí, un total de 47 días hábiles para atención de este procedimiento. Así mismo, se considera la participación del Ministerio del Ambiente y demás autoridades competentes, de corresponder, en el proceso de evaluación.</w:t>
            </w:r>
          </w:p>
          <w:p w14:paraId="7588F051" w14:textId="77777777" w:rsidR="00416B48" w:rsidRPr="008A26D2" w:rsidRDefault="00416B48" w:rsidP="00416B48">
            <w:pPr>
              <w:pBdr>
                <w:top w:val="nil"/>
                <w:left w:val="nil"/>
                <w:bottom w:val="nil"/>
                <w:right w:val="nil"/>
                <w:between w:val="nil"/>
              </w:pBdr>
              <w:spacing w:after="0" w:line="240" w:lineRule="auto"/>
              <w:ind w:left="126"/>
              <w:jc w:val="both"/>
              <w:rPr>
                <w:rFonts w:ascii="Arial" w:eastAsia="Arial Narrow" w:hAnsi="Arial" w:cs="Arial"/>
                <w:sz w:val="20"/>
                <w:szCs w:val="20"/>
              </w:rPr>
            </w:pPr>
          </w:p>
          <w:p w14:paraId="21784BC3" w14:textId="7BA784F9" w:rsidR="00416B48" w:rsidRPr="008A26D2" w:rsidRDefault="00416B48" w:rsidP="00416B48">
            <w:pPr>
              <w:pBdr>
                <w:top w:val="nil"/>
                <w:left w:val="nil"/>
                <w:bottom w:val="nil"/>
                <w:right w:val="nil"/>
                <w:between w:val="nil"/>
              </w:pBdr>
              <w:spacing w:after="0" w:line="240" w:lineRule="auto"/>
              <w:ind w:left="126"/>
              <w:jc w:val="both"/>
              <w:rPr>
                <w:rFonts w:ascii="Arial" w:eastAsia="Arial Narrow" w:hAnsi="Arial" w:cs="Arial"/>
                <w:sz w:val="20"/>
                <w:szCs w:val="20"/>
              </w:rPr>
            </w:pPr>
            <w:r w:rsidRPr="008A26D2">
              <w:rPr>
                <w:rFonts w:ascii="Arial" w:eastAsia="Arial Narrow" w:hAnsi="Arial" w:cs="Arial"/>
                <w:sz w:val="20"/>
                <w:szCs w:val="20"/>
              </w:rPr>
              <w:t xml:space="preserve">El Ministerio de Economía y Finanzas es la Autoridad Nacional Designada ante el FVC. Toda propuesta presentada por una Entidad Acreditada </w:t>
            </w:r>
            <w:r w:rsidR="004E7D4B">
              <w:rPr>
                <w:rFonts w:ascii="Arial" w:eastAsia="Arial Narrow" w:hAnsi="Arial" w:cs="Arial"/>
                <w:sz w:val="20"/>
                <w:szCs w:val="20"/>
              </w:rPr>
              <w:t xml:space="preserve">- </w:t>
            </w:r>
            <w:r w:rsidRPr="008A26D2">
              <w:rPr>
                <w:rFonts w:ascii="Arial" w:eastAsia="Arial Narrow" w:hAnsi="Arial" w:cs="Arial"/>
                <w:sz w:val="20"/>
                <w:szCs w:val="20"/>
              </w:rPr>
              <w:t>EA para el financiamiento de proyectos/programas, o de solicitud de apoyo para su formulación, debe contar previamente con una carta de no objeción emitida por la NDA. Obtener dicha carta significa que: (i) el gobierno del Perú no tiene objeción a la propuesta de financiamiento presentada y (ii), la propuesta de financiamiento está alineada con las prioridades, políticas, los planes y las estrategias nacionales, así como con los compromisos internacionales asumidos por el país en el contexto de cambio climático.</w:t>
            </w:r>
            <w:r w:rsidRPr="008A26D2">
              <w:rPr>
                <w:rFonts w:ascii="Arial" w:eastAsia="Arial Narrow" w:hAnsi="Arial" w:cs="Arial"/>
                <w:sz w:val="20"/>
                <w:szCs w:val="20"/>
              </w:rPr>
              <w:br/>
            </w:r>
            <w:r w:rsidRPr="008A26D2">
              <w:rPr>
                <w:rFonts w:ascii="Arial" w:eastAsia="Arial Narrow" w:hAnsi="Arial" w:cs="Arial"/>
                <w:sz w:val="20"/>
                <w:szCs w:val="20"/>
              </w:rPr>
              <w:br/>
              <w:t>La mejora del servicio consiste en generar un mayor seguimiento a las entidades del sector público que también participan del proceso de atención de la solicitud de cartas de no objeción, pues emiten comentarios u observaciones sobre los proyectos o programas. De esa manera, con un mayor seguimiento, se espera que las entidades involucradas envíen su análisis dentro del plazo establecido en el Decreto Supremo mencionado.</w:t>
            </w:r>
          </w:p>
          <w:p w14:paraId="1EFF46E4" w14:textId="77777777" w:rsidR="00416B48" w:rsidRPr="008A26D2" w:rsidRDefault="00416B48" w:rsidP="00416B48">
            <w:pPr>
              <w:pBdr>
                <w:top w:val="nil"/>
                <w:left w:val="nil"/>
                <w:bottom w:val="nil"/>
                <w:right w:val="nil"/>
                <w:between w:val="nil"/>
              </w:pBdr>
              <w:spacing w:after="0" w:line="240" w:lineRule="auto"/>
              <w:ind w:left="126"/>
              <w:jc w:val="both"/>
              <w:rPr>
                <w:rFonts w:ascii="Arial" w:eastAsia="Arial Narrow" w:hAnsi="Arial" w:cs="Arial"/>
                <w:sz w:val="20"/>
                <w:szCs w:val="20"/>
              </w:rPr>
            </w:pPr>
          </w:p>
        </w:tc>
      </w:tr>
      <w:tr w:rsidR="008A26D2" w:rsidRPr="008A26D2" w14:paraId="4AE9DA9E" w14:textId="77777777" w:rsidTr="00C1101D">
        <w:trPr>
          <w:trHeight w:val="300"/>
          <w:jc w:val="center"/>
        </w:trPr>
        <w:tc>
          <w:tcPr>
            <w:tcW w:w="22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ACF943B" w14:textId="77777777" w:rsidR="00416B48" w:rsidRPr="008A26D2" w:rsidRDefault="00416B48" w:rsidP="00416B48">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lastRenderedPageBreak/>
              <w:t xml:space="preserve"> Proveedor del servicio</w:t>
            </w:r>
          </w:p>
        </w:tc>
        <w:tc>
          <w:tcPr>
            <w:tcW w:w="6232"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876A6CE" w14:textId="6EEAC133" w:rsidR="00416B48" w:rsidRPr="008A26D2" w:rsidRDefault="00416B48" w:rsidP="00416B48">
            <w:pPr>
              <w:pBdr>
                <w:top w:val="nil"/>
                <w:left w:val="nil"/>
                <w:bottom w:val="nil"/>
                <w:right w:val="nil"/>
                <w:between w:val="nil"/>
              </w:pBdr>
              <w:spacing w:after="0" w:line="240" w:lineRule="auto"/>
              <w:ind w:left="126"/>
              <w:jc w:val="both"/>
              <w:rPr>
                <w:rFonts w:ascii="Arial" w:eastAsia="Arial Narrow" w:hAnsi="Arial" w:cs="Arial"/>
                <w:sz w:val="20"/>
                <w:szCs w:val="20"/>
              </w:rPr>
            </w:pPr>
            <w:r w:rsidRPr="008A26D2">
              <w:rPr>
                <w:rFonts w:ascii="Arial" w:eastAsia="Arial Narrow" w:hAnsi="Arial" w:cs="Arial"/>
                <w:sz w:val="20"/>
                <w:szCs w:val="20"/>
              </w:rPr>
              <w:t>Ministerio de Economía y Finanzas - MEF</w:t>
            </w:r>
          </w:p>
        </w:tc>
      </w:tr>
      <w:tr w:rsidR="008A26D2" w:rsidRPr="008A26D2" w14:paraId="1AB64E62" w14:textId="77777777" w:rsidTr="00574DE4">
        <w:trPr>
          <w:trHeight w:val="458"/>
          <w:jc w:val="center"/>
        </w:trPr>
        <w:tc>
          <w:tcPr>
            <w:tcW w:w="2273" w:type="dxa"/>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38FFB247" w14:textId="77777777" w:rsidR="00416B48" w:rsidRPr="008A26D2" w:rsidRDefault="00416B48" w:rsidP="005C6B29">
            <w:pPr>
              <w:spacing w:after="0" w:line="240" w:lineRule="auto"/>
              <w:rPr>
                <w:rFonts w:ascii="Arial" w:hAnsi="Arial" w:cs="Arial"/>
                <w:b/>
                <w:sz w:val="20"/>
                <w:szCs w:val="20"/>
              </w:rPr>
            </w:pPr>
            <w:r w:rsidRPr="008A26D2">
              <w:rPr>
                <w:rFonts w:ascii="Arial" w:hAnsi="Arial" w:cs="Arial"/>
                <w:b/>
                <w:sz w:val="20"/>
                <w:szCs w:val="20"/>
              </w:rPr>
              <w:t>Nivel (es) de gobierno que interviene</w:t>
            </w:r>
          </w:p>
          <w:p w14:paraId="4EF75D7A" w14:textId="44672802" w:rsidR="00416B48" w:rsidRPr="008A26D2" w:rsidRDefault="00416B48" w:rsidP="00416B48">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(n) en la provisión del servicio</w:t>
            </w:r>
          </w:p>
        </w:tc>
        <w:tc>
          <w:tcPr>
            <w:tcW w:w="2077"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09345648" w14:textId="1C4A51EB" w:rsidR="00416B48" w:rsidRPr="008A26D2" w:rsidRDefault="00416B48" w:rsidP="003A517E">
            <w:pPr>
              <w:pBdr>
                <w:top w:val="nil"/>
                <w:left w:val="nil"/>
                <w:bottom w:val="nil"/>
                <w:right w:val="nil"/>
                <w:between w:val="nil"/>
              </w:pBdr>
              <w:spacing w:after="0" w:line="240" w:lineRule="auto"/>
              <w:ind w:left="126"/>
              <w:jc w:val="center"/>
              <w:rPr>
                <w:rFonts w:ascii="Arial" w:eastAsia="Arial Narrow" w:hAnsi="Arial" w:cs="Arial"/>
                <w:sz w:val="20"/>
                <w:szCs w:val="20"/>
              </w:rPr>
            </w:pPr>
            <w:r w:rsidRPr="008A26D2">
              <w:rPr>
                <w:rFonts w:ascii="Arial" w:eastAsia="Arial Narrow" w:hAnsi="Arial" w:cs="Arial"/>
                <w:sz w:val="20"/>
                <w:szCs w:val="20"/>
              </w:rPr>
              <w:t>Nacional</w:t>
            </w:r>
          </w:p>
        </w:tc>
        <w:tc>
          <w:tcPr>
            <w:tcW w:w="2077" w:type="dxa"/>
            <w:tcBorders>
              <w:top w:val="single" w:sz="4" w:space="0" w:color="000000"/>
              <w:left w:val="single" w:sz="4" w:space="0" w:color="000000"/>
              <w:right w:val="single" w:sz="4" w:space="0" w:color="000000"/>
            </w:tcBorders>
            <w:shd w:val="clear" w:color="auto" w:fill="auto"/>
            <w:vAlign w:val="center"/>
          </w:tcPr>
          <w:p w14:paraId="37DEC479" w14:textId="6A355632" w:rsidR="00416B48" w:rsidRPr="008A26D2" w:rsidRDefault="00416B48" w:rsidP="003A517E">
            <w:pPr>
              <w:pBdr>
                <w:top w:val="nil"/>
                <w:left w:val="nil"/>
                <w:bottom w:val="nil"/>
                <w:right w:val="nil"/>
                <w:between w:val="nil"/>
              </w:pBdr>
              <w:spacing w:after="0" w:line="240" w:lineRule="auto"/>
              <w:ind w:left="126"/>
              <w:jc w:val="center"/>
              <w:rPr>
                <w:rFonts w:ascii="Arial" w:eastAsia="Arial Narrow" w:hAnsi="Arial" w:cs="Arial"/>
                <w:sz w:val="20"/>
                <w:szCs w:val="20"/>
              </w:rPr>
            </w:pPr>
            <w:r w:rsidRPr="008A26D2">
              <w:rPr>
                <w:rFonts w:ascii="Arial" w:eastAsia="Arial Narrow" w:hAnsi="Arial" w:cs="Arial"/>
                <w:sz w:val="20"/>
                <w:szCs w:val="20"/>
              </w:rPr>
              <w:t>Regional</w:t>
            </w:r>
          </w:p>
        </w:tc>
        <w:tc>
          <w:tcPr>
            <w:tcW w:w="2078" w:type="dxa"/>
            <w:tcBorders>
              <w:top w:val="single" w:sz="4" w:space="0" w:color="000000"/>
              <w:left w:val="single" w:sz="4" w:space="0" w:color="000000"/>
              <w:right w:val="single" w:sz="4" w:space="0" w:color="000000"/>
            </w:tcBorders>
            <w:shd w:val="clear" w:color="auto" w:fill="auto"/>
            <w:vAlign w:val="center"/>
          </w:tcPr>
          <w:p w14:paraId="02CA01DE" w14:textId="1B38B45A" w:rsidR="00416B48" w:rsidRPr="008A26D2" w:rsidRDefault="00416B48" w:rsidP="003A517E">
            <w:pPr>
              <w:pBdr>
                <w:top w:val="nil"/>
                <w:left w:val="nil"/>
                <w:bottom w:val="nil"/>
                <w:right w:val="nil"/>
                <w:between w:val="nil"/>
              </w:pBdr>
              <w:spacing w:after="0" w:line="240" w:lineRule="auto"/>
              <w:ind w:left="126"/>
              <w:jc w:val="center"/>
              <w:rPr>
                <w:rFonts w:ascii="Arial" w:eastAsia="Arial Narrow" w:hAnsi="Arial" w:cs="Arial"/>
                <w:sz w:val="20"/>
                <w:szCs w:val="20"/>
              </w:rPr>
            </w:pPr>
            <w:r w:rsidRPr="008A26D2">
              <w:rPr>
                <w:rFonts w:ascii="Arial" w:eastAsia="Arial Narrow" w:hAnsi="Arial" w:cs="Arial"/>
                <w:sz w:val="20"/>
                <w:szCs w:val="20"/>
              </w:rPr>
              <w:t>Local</w:t>
            </w:r>
          </w:p>
        </w:tc>
      </w:tr>
      <w:tr w:rsidR="008A26D2" w:rsidRPr="008A26D2" w14:paraId="5C939149" w14:textId="77777777" w:rsidTr="00574DE4">
        <w:trPr>
          <w:trHeight w:val="457"/>
          <w:jc w:val="center"/>
        </w:trPr>
        <w:tc>
          <w:tcPr>
            <w:tcW w:w="2273" w:type="dxa"/>
            <w:vMerge/>
            <w:tcBorders>
              <w:left w:val="single" w:sz="4" w:space="0" w:color="000000"/>
              <w:right w:val="single" w:sz="4" w:space="0" w:color="000000"/>
            </w:tcBorders>
            <w:shd w:val="clear" w:color="auto" w:fill="auto"/>
            <w:tcMar>
              <w:top w:w="15" w:type="dxa"/>
              <w:left w:w="15" w:type="dxa"/>
              <w:bottom w:w="0" w:type="dxa"/>
              <w:right w:w="15" w:type="dxa"/>
            </w:tcMar>
            <w:vAlign w:val="center"/>
          </w:tcPr>
          <w:p w14:paraId="1ECA5851" w14:textId="77777777" w:rsidR="00416B48" w:rsidRPr="008A26D2" w:rsidRDefault="00416B48" w:rsidP="00416B48">
            <w:pPr>
              <w:spacing w:after="0" w:line="240" w:lineRule="auto"/>
              <w:rPr>
                <w:rFonts w:ascii="Arial" w:hAnsi="Arial" w:cs="Arial"/>
                <w:b/>
                <w:sz w:val="20"/>
                <w:szCs w:val="20"/>
              </w:rPr>
            </w:pPr>
          </w:p>
        </w:tc>
        <w:tc>
          <w:tcPr>
            <w:tcW w:w="2077"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7F593D48" w14:textId="1393EAE3" w:rsidR="00416B48" w:rsidRPr="00846D49" w:rsidRDefault="00FB2B17" w:rsidP="003A517E">
            <w:pPr>
              <w:pBdr>
                <w:top w:val="nil"/>
                <w:left w:val="nil"/>
                <w:bottom w:val="nil"/>
                <w:right w:val="nil"/>
                <w:between w:val="nil"/>
              </w:pBdr>
              <w:spacing w:after="0" w:line="240" w:lineRule="auto"/>
              <w:ind w:left="126"/>
              <w:jc w:val="center"/>
              <w:rPr>
                <w:rFonts w:ascii="Arial" w:eastAsia="Arial Narrow" w:hAnsi="Arial" w:cs="Arial"/>
                <w:sz w:val="20"/>
                <w:szCs w:val="20"/>
              </w:rPr>
            </w:pPr>
            <w:r w:rsidRPr="00846D49">
              <w:rPr>
                <w:rFonts w:ascii="Arial" w:eastAsia="Arial Narrow" w:hAnsi="Arial" w:cs="Arial"/>
                <w:sz w:val="20"/>
                <w:szCs w:val="20"/>
              </w:rPr>
              <w:t>X</w:t>
            </w:r>
          </w:p>
        </w:tc>
        <w:tc>
          <w:tcPr>
            <w:tcW w:w="2077" w:type="dxa"/>
            <w:tcBorders>
              <w:top w:val="single" w:sz="4" w:space="0" w:color="000000"/>
              <w:left w:val="single" w:sz="4" w:space="0" w:color="000000"/>
              <w:right w:val="single" w:sz="4" w:space="0" w:color="000000"/>
            </w:tcBorders>
            <w:shd w:val="clear" w:color="auto" w:fill="auto"/>
            <w:vAlign w:val="center"/>
          </w:tcPr>
          <w:p w14:paraId="1D9100C6" w14:textId="77777777" w:rsidR="00416B48" w:rsidRPr="00846D49" w:rsidRDefault="00416B48" w:rsidP="003A517E">
            <w:pPr>
              <w:pBdr>
                <w:top w:val="nil"/>
                <w:left w:val="nil"/>
                <w:bottom w:val="nil"/>
                <w:right w:val="nil"/>
                <w:between w:val="nil"/>
              </w:pBdr>
              <w:spacing w:after="0" w:line="240" w:lineRule="auto"/>
              <w:ind w:left="126"/>
              <w:jc w:val="center"/>
              <w:rPr>
                <w:rFonts w:ascii="Arial" w:eastAsia="Arial Narrow" w:hAnsi="Arial" w:cs="Arial"/>
                <w:sz w:val="20"/>
                <w:szCs w:val="20"/>
              </w:rPr>
            </w:pPr>
          </w:p>
        </w:tc>
        <w:tc>
          <w:tcPr>
            <w:tcW w:w="2078" w:type="dxa"/>
            <w:tcBorders>
              <w:top w:val="single" w:sz="4" w:space="0" w:color="000000"/>
              <w:left w:val="single" w:sz="4" w:space="0" w:color="000000"/>
              <w:right w:val="single" w:sz="4" w:space="0" w:color="000000"/>
            </w:tcBorders>
            <w:shd w:val="clear" w:color="auto" w:fill="auto"/>
            <w:vAlign w:val="center"/>
          </w:tcPr>
          <w:p w14:paraId="53AADAAA" w14:textId="5B55A2F3" w:rsidR="00416B48" w:rsidRPr="00846D49" w:rsidRDefault="00416B48" w:rsidP="003A517E">
            <w:pPr>
              <w:pBdr>
                <w:top w:val="nil"/>
                <w:left w:val="nil"/>
                <w:bottom w:val="nil"/>
                <w:right w:val="nil"/>
                <w:between w:val="nil"/>
              </w:pBdr>
              <w:spacing w:after="0" w:line="240" w:lineRule="auto"/>
              <w:ind w:left="126"/>
              <w:jc w:val="center"/>
              <w:rPr>
                <w:rFonts w:ascii="Arial" w:eastAsia="Arial Narrow" w:hAnsi="Arial" w:cs="Arial"/>
                <w:sz w:val="20"/>
                <w:szCs w:val="20"/>
              </w:rPr>
            </w:pPr>
          </w:p>
        </w:tc>
      </w:tr>
      <w:tr w:rsidR="008A26D2" w:rsidRPr="008A26D2" w14:paraId="2B454DC1" w14:textId="77777777" w:rsidTr="00C1101D">
        <w:trPr>
          <w:trHeight w:val="300"/>
          <w:jc w:val="center"/>
        </w:trPr>
        <w:tc>
          <w:tcPr>
            <w:tcW w:w="22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874B891" w14:textId="77777777" w:rsidR="00416B48" w:rsidRPr="008A26D2" w:rsidRDefault="00416B48" w:rsidP="00416B48">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Receptor del servicio</w:t>
            </w:r>
          </w:p>
        </w:tc>
        <w:tc>
          <w:tcPr>
            <w:tcW w:w="6232"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0D94C00" w14:textId="0C08BC86" w:rsidR="00416B48" w:rsidRPr="00846D49" w:rsidRDefault="005D1836" w:rsidP="00416B48">
            <w:pPr>
              <w:pBdr>
                <w:top w:val="nil"/>
                <w:left w:val="nil"/>
                <w:bottom w:val="nil"/>
                <w:right w:val="nil"/>
                <w:between w:val="nil"/>
              </w:pBdr>
              <w:spacing w:after="0" w:line="240" w:lineRule="auto"/>
              <w:ind w:left="126"/>
              <w:jc w:val="both"/>
              <w:rPr>
                <w:rFonts w:ascii="Arial" w:eastAsia="Arial Narrow" w:hAnsi="Arial" w:cs="Arial"/>
                <w:sz w:val="20"/>
                <w:szCs w:val="20"/>
              </w:rPr>
            </w:pPr>
            <w:r w:rsidRPr="00846D49">
              <w:rPr>
                <w:rFonts w:ascii="Arial" w:eastAsia="Arial Narrow" w:hAnsi="Arial" w:cs="Arial"/>
                <w:sz w:val="20"/>
                <w:szCs w:val="20"/>
              </w:rPr>
              <w:t xml:space="preserve">Entidades acreditas por el </w:t>
            </w:r>
            <w:r w:rsidR="00AE1AC4" w:rsidRPr="00846D49">
              <w:rPr>
                <w:rFonts w:ascii="Arial" w:eastAsia="Arial Narrow" w:hAnsi="Arial" w:cs="Arial"/>
                <w:sz w:val="20"/>
                <w:szCs w:val="20"/>
              </w:rPr>
              <w:t>Fondo Verde para el Clima - FVC</w:t>
            </w:r>
          </w:p>
        </w:tc>
      </w:tr>
      <w:tr w:rsidR="008A26D2" w:rsidRPr="008A26D2" w14:paraId="440B2078" w14:textId="77777777" w:rsidTr="00C1101D">
        <w:trPr>
          <w:trHeight w:val="211"/>
          <w:jc w:val="center"/>
        </w:trPr>
        <w:tc>
          <w:tcPr>
            <w:tcW w:w="22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CC4AFF8" w14:textId="77777777" w:rsidR="00416B48" w:rsidRPr="008A26D2" w:rsidRDefault="00416B48" w:rsidP="00416B48">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Alcance del servicio </w:t>
            </w:r>
          </w:p>
        </w:tc>
        <w:tc>
          <w:tcPr>
            <w:tcW w:w="6232"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09F8DAE" w14:textId="77777777" w:rsidR="00416B48" w:rsidRPr="00846D49" w:rsidRDefault="00416B48" w:rsidP="00416B48">
            <w:pPr>
              <w:pBdr>
                <w:top w:val="nil"/>
                <w:left w:val="nil"/>
                <w:bottom w:val="nil"/>
                <w:right w:val="nil"/>
                <w:between w:val="nil"/>
              </w:pBdr>
              <w:spacing w:after="0" w:line="240" w:lineRule="auto"/>
              <w:ind w:left="126"/>
              <w:jc w:val="both"/>
              <w:rPr>
                <w:rFonts w:ascii="Arial" w:eastAsia="Arial Narrow" w:hAnsi="Arial" w:cs="Arial"/>
                <w:sz w:val="20"/>
                <w:szCs w:val="20"/>
              </w:rPr>
            </w:pPr>
            <w:r w:rsidRPr="00846D49">
              <w:rPr>
                <w:rFonts w:ascii="Arial" w:eastAsia="Arial Narrow" w:hAnsi="Arial" w:cs="Arial"/>
                <w:sz w:val="20"/>
                <w:szCs w:val="20"/>
              </w:rPr>
              <w:t>Nacional.</w:t>
            </w:r>
          </w:p>
        </w:tc>
      </w:tr>
      <w:tr w:rsidR="008A26D2" w:rsidRPr="008A26D2" w14:paraId="5A43FFC4" w14:textId="77777777" w:rsidTr="00C1101D">
        <w:trPr>
          <w:trHeight w:val="62"/>
          <w:jc w:val="center"/>
        </w:trPr>
        <w:tc>
          <w:tcPr>
            <w:tcW w:w="22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9E96C10" w14:textId="77777777" w:rsidR="00416B48" w:rsidRPr="008A26D2" w:rsidRDefault="00416B48" w:rsidP="00416B48">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Estándar (es) de cumplimiento</w:t>
            </w:r>
          </w:p>
        </w:tc>
        <w:tc>
          <w:tcPr>
            <w:tcW w:w="6232"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AE3A52A" w14:textId="77777777" w:rsidR="00416B48" w:rsidRPr="00846D49" w:rsidRDefault="00416B48" w:rsidP="00416B48">
            <w:pPr>
              <w:pBdr>
                <w:top w:val="nil"/>
                <w:left w:val="nil"/>
                <w:bottom w:val="nil"/>
                <w:right w:val="nil"/>
                <w:between w:val="nil"/>
              </w:pBdr>
              <w:spacing w:after="0" w:line="240" w:lineRule="auto"/>
              <w:ind w:left="126"/>
              <w:rPr>
                <w:rFonts w:ascii="Arial" w:hAnsi="Arial" w:cs="Arial"/>
                <w:sz w:val="20"/>
                <w:szCs w:val="20"/>
              </w:rPr>
            </w:pPr>
            <w:r w:rsidRPr="00846D49">
              <w:rPr>
                <w:rFonts w:ascii="Arial" w:hAnsi="Arial" w:cs="Arial"/>
                <w:sz w:val="20"/>
                <w:szCs w:val="20"/>
              </w:rPr>
              <w:t>Oportunidad.</w:t>
            </w:r>
          </w:p>
        </w:tc>
      </w:tr>
      <w:tr w:rsidR="008A26D2" w:rsidRPr="008A26D2" w14:paraId="568AD5BD" w14:textId="77777777" w:rsidTr="00C1101D">
        <w:trPr>
          <w:trHeight w:val="300"/>
          <w:jc w:val="center"/>
        </w:trPr>
        <w:tc>
          <w:tcPr>
            <w:tcW w:w="22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DB7F54A" w14:textId="77777777" w:rsidR="00416B48" w:rsidRPr="008A26D2" w:rsidRDefault="00416B48" w:rsidP="00416B48">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Descripción del estándar</w:t>
            </w:r>
          </w:p>
        </w:tc>
        <w:tc>
          <w:tcPr>
            <w:tcW w:w="6232"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35" w:type="dxa"/>
              <w:bottom w:w="0" w:type="dxa"/>
              <w:right w:w="15" w:type="dxa"/>
            </w:tcMar>
            <w:vAlign w:val="center"/>
          </w:tcPr>
          <w:p w14:paraId="154A1817" w14:textId="77777777" w:rsidR="00416B48" w:rsidRPr="008A26D2" w:rsidRDefault="00416B48" w:rsidP="00416B48">
            <w:pPr>
              <w:pBdr>
                <w:top w:val="nil"/>
                <w:left w:val="nil"/>
                <w:bottom w:val="nil"/>
                <w:right w:val="nil"/>
                <w:between w:val="nil"/>
              </w:pBdr>
              <w:spacing w:after="0" w:line="240" w:lineRule="auto"/>
              <w:ind w:left="6" w:hanging="6"/>
              <w:jc w:val="both"/>
              <w:rPr>
                <w:rFonts w:ascii="Arial" w:hAnsi="Arial" w:cs="Arial"/>
                <w:sz w:val="20"/>
                <w:szCs w:val="20"/>
              </w:rPr>
            </w:pPr>
            <w:r w:rsidRPr="008A26D2">
              <w:rPr>
                <w:rFonts w:ascii="Arial" w:hAnsi="Arial" w:cs="Arial"/>
                <w:sz w:val="20"/>
                <w:szCs w:val="20"/>
              </w:rPr>
              <w:t>El estándar asegura emitir, dentro de los plazos establecidos en el marco legal, la evaluación a los proyectos/programas que contribuyan a la mitigación y adaptación al cambio climático, en materia forestal y/o de fauna silvestre, para su financiamiento por el FVC.</w:t>
            </w:r>
          </w:p>
        </w:tc>
      </w:tr>
      <w:tr w:rsidR="00416B48" w:rsidRPr="008A26D2" w14:paraId="728F22DC" w14:textId="77777777" w:rsidTr="00C1101D">
        <w:trPr>
          <w:trHeight w:val="491"/>
          <w:jc w:val="center"/>
        </w:trPr>
        <w:tc>
          <w:tcPr>
            <w:tcW w:w="22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7369405" w14:textId="47DE8B7D" w:rsidR="00416B48" w:rsidRPr="008A26D2" w:rsidRDefault="00416B48" w:rsidP="00416B48">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Indicador de calidad</w:t>
            </w:r>
          </w:p>
        </w:tc>
        <w:tc>
          <w:tcPr>
            <w:tcW w:w="6232"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73D94DEB" w14:textId="77777777" w:rsidR="00416B48" w:rsidRPr="008A26D2" w:rsidRDefault="00416B48" w:rsidP="00416B48">
            <w:pPr>
              <w:pStyle w:val="Prrafodelista"/>
              <w:pBdr>
                <w:top w:val="nil"/>
                <w:left w:val="nil"/>
                <w:bottom w:val="nil"/>
                <w:right w:val="nil"/>
                <w:between w:val="nil"/>
              </w:pBdr>
              <w:spacing w:before="120" w:after="0" w:line="240" w:lineRule="auto"/>
              <w:ind w:left="268"/>
              <w:jc w:val="both"/>
              <w:rPr>
                <w:rFonts w:ascii="Arial" w:hAnsi="Arial" w:cs="Arial"/>
                <w:sz w:val="20"/>
                <w:szCs w:val="20"/>
              </w:rPr>
            </w:pPr>
            <w:r w:rsidRPr="008A26D2">
              <w:rPr>
                <w:rFonts w:ascii="Arial" w:hAnsi="Arial" w:cs="Arial"/>
                <w:sz w:val="20"/>
                <w:szCs w:val="20"/>
              </w:rPr>
              <w:t xml:space="preserve">Porcentaje de solicitudes de </w:t>
            </w:r>
            <w:r w:rsidRPr="008A26D2">
              <w:rPr>
                <w:rFonts w:ascii="Arial" w:eastAsia="Arial Narrow" w:hAnsi="Arial" w:cs="Arial"/>
                <w:sz w:val="20"/>
                <w:szCs w:val="20"/>
              </w:rPr>
              <w:t xml:space="preserve">cartas de </w:t>
            </w:r>
            <w:r w:rsidRPr="008A26D2">
              <w:rPr>
                <w:rFonts w:ascii="Arial" w:hAnsi="Arial" w:cs="Arial"/>
                <w:sz w:val="20"/>
                <w:szCs w:val="20"/>
              </w:rPr>
              <w:t xml:space="preserve">no objeción a proyectos resueltas de forma oportuna </w:t>
            </w:r>
          </w:p>
        </w:tc>
      </w:tr>
    </w:tbl>
    <w:p w14:paraId="3160B179" w14:textId="2B852DD6" w:rsidR="00C47A41" w:rsidRDefault="00C47A41">
      <w:pPr>
        <w:rPr>
          <w:rFonts w:ascii="Arial Narrow" w:eastAsia="Arial Narrow" w:hAnsi="Arial Narrow" w:cs="Arial Narrow"/>
          <w:b/>
        </w:rPr>
      </w:pPr>
    </w:p>
    <w:p w14:paraId="318CF354" w14:textId="77777777" w:rsidR="00701F97" w:rsidRDefault="00701F97">
      <w:pPr>
        <w:rPr>
          <w:rFonts w:ascii="Arial Narrow" w:eastAsia="Arial Narrow" w:hAnsi="Arial Narrow" w:cs="Arial Narrow"/>
          <w:b/>
        </w:rPr>
      </w:pPr>
    </w:p>
    <w:p w14:paraId="326351E8" w14:textId="77777777" w:rsidR="00701F97" w:rsidRDefault="00701F97">
      <w:pPr>
        <w:rPr>
          <w:rFonts w:ascii="Arial Narrow" w:eastAsia="Arial Narrow" w:hAnsi="Arial Narrow" w:cs="Arial Narrow"/>
          <w:b/>
        </w:rPr>
      </w:pPr>
    </w:p>
    <w:p w14:paraId="483C5DB9" w14:textId="77777777" w:rsidR="00701F97" w:rsidRDefault="00701F97">
      <w:pPr>
        <w:rPr>
          <w:rFonts w:ascii="Arial Narrow" w:eastAsia="Arial Narrow" w:hAnsi="Arial Narrow" w:cs="Arial Narrow"/>
          <w:b/>
        </w:rPr>
      </w:pPr>
    </w:p>
    <w:p w14:paraId="311F9045" w14:textId="77777777" w:rsidR="004941CB" w:rsidRDefault="004941CB">
      <w:pPr>
        <w:rPr>
          <w:rFonts w:ascii="Arial Narrow" w:eastAsia="Arial Narrow" w:hAnsi="Arial Narrow" w:cs="Arial Narrow"/>
          <w:b/>
        </w:rPr>
      </w:pPr>
    </w:p>
    <w:p w14:paraId="3401FF50" w14:textId="77777777" w:rsidR="005B0BE8" w:rsidRDefault="005B0BE8">
      <w:pPr>
        <w:rPr>
          <w:rFonts w:ascii="Arial Narrow" w:eastAsia="Arial Narrow" w:hAnsi="Arial Narrow" w:cs="Arial Narrow"/>
          <w:b/>
        </w:rPr>
      </w:pPr>
    </w:p>
    <w:p w14:paraId="54B34ACE" w14:textId="77777777" w:rsidR="005B0BE8" w:rsidRDefault="005B0BE8">
      <w:pPr>
        <w:rPr>
          <w:rFonts w:ascii="Arial Narrow" w:eastAsia="Arial Narrow" w:hAnsi="Arial Narrow" w:cs="Arial Narrow"/>
          <w:b/>
        </w:rPr>
      </w:pPr>
    </w:p>
    <w:p w14:paraId="31742606" w14:textId="616D916A" w:rsidR="0022281C" w:rsidRPr="008A26D2" w:rsidRDefault="0022281C" w:rsidP="0022281C">
      <w:pPr>
        <w:jc w:val="both"/>
        <w:rPr>
          <w:rFonts w:ascii="Arial" w:eastAsia="Arial Narrow" w:hAnsi="Arial" w:cs="Arial"/>
        </w:rPr>
      </w:pPr>
      <w:r w:rsidRPr="003A517E">
        <w:rPr>
          <w:rFonts w:ascii="Arial" w:eastAsia="Arial Narrow" w:hAnsi="Arial" w:cs="Arial"/>
          <w:b/>
          <w:bCs/>
        </w:rPr>
        <w:lastRenderedPageBreak/>
        <w:t>S2.</w:t>
      </w:r>
      <w:r w:rsidR="003A517E" w:rsidRPr="003A517E">
        <w:rPr>
          <w:rFonts w:ascii="Arial" w:eastAsia="Arial Narrow" w:hAnsi="Arial" w:cs="Arial"/>
          <w:b/>
          <w:bCs/>
        </w:rPr>
        <w:t>3</w:t>
      </w:r>
      <w:r w:rsidRPr="003A517E">
        <w:rPr>
          <w:rFonts w:ascii="Arial" w:eastAsia="Arial Narrow" w:hAnsi="Arial" w:cs="Arial"/>
          <w:b/>
          <w:bCs/>
        </w:rPr>
        <w:t>.</w:t>
      </w:r>
      <w:r w:rsidR="003A517E" w:rsidRPr="003A517E">
        <w:rPr>
          <w:rFonts w:ascii="Arial" w:eastAsia="Arial Narrow" w:hAnsi="Arial" w:cs="Arial"/>
          <w:b/>
          <w:bCs/>
        </w:rPr>
        <w:t>1</w:t>
      </w:r>
      <w:r w:rsidRPr="003A517E">
        <w:rPr>
          <w:rFonts w:ascii="Arial" w:eastAsia="Arial Narrow" w:hAnsi="Arial" w:cs="Arial"/>
        </w:rPr>
        <w:t xml:space="preserve"> Cofinanciamiento</w:t>
      </w:r>
      <w:r w:rsidRPr="008A26D2">
        <w:rPr>
          <w:rFonts w:ascii="Arial" w:eastAsia="Arial Narrow" w:hAnsi="Arial" w:cs="Arial"/>
        </w:rPr>
        <w:t xml:space="preserve"> de planes de negocio para mejorar las capacidades productivas y empresariales de forma oportuna a los pequeños y medianos productores forestales y de fauna silvestre organizados.</w:t>
      </w:r>
    </w:p>
    <w:tbl>
      <w:tblPr>
        <w:tblW w:w="8764" w:type="dxa"/>
        <w:jc w:val="center"/>
        <w:tblLayout w:type="fixed"/>
        <w:tblLook w:val="0600" w:firstRow="0" w:lastRow="0" w:firstColumn="0" w:lastColumn="0" w:noHBand="1" w:noVBand="1"/>
      </w:tblPr>
      <w:tblGrid>
        <w:gridCol w:w="2585"/>
        <w:gridCol w:w="2059"/>
        <w:gridCol w:w="2060"/>
        <w:gridCol w:w="2060"/>
      </w:tblGrid>
      <w:tr w:rsidR="008A26D2" w:rsidRPr="008A26D2" w14:paraId="65200644" w14:textId="77777777" w:rsidTr="00655F3E">
        <w:trPr>
          <w:trHeight w:val="304"/>
          <w:jc w:val="center"/>
        </w:trPr>
        <w:tc>
          <w:tcPr>
            <w:tcW w:w="8764"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center"/>
          </w:tcPr>
          <w:p w14:paraId="4FE37C2F" w14:textId="77777777" w:rsidR="0022281C" w:rsidRPr="008A26D2" w:rsidRDefault="0022281C" w:rsidP="00655F3E">
            <w:pPr>
              <w:jc w:val="center"/>
              <w:rPr>
                <w:rFonts w:ascii="Arial" w:hAnsi="Arial" w:cs="Arial"/>
                <w:sz w:val="20"/>
                <w:szCs w:val="20"/>
              </w:rPr>
            </w:pPr>
            <w:r w:rsidRPr="008A26D2">
              <w:rPr>
                <w:rFonts w:ascii="Arial" w:hAnsi="Arial" w:cs="Arial"/>
                <w:b/>
                <w:sz w:val="20"/>
                <w:szCs w:val="20"/>
              </w:rPr>
              <w:t xml:space="preserve">FICHA DEL SERVICIO </w:t>
            </w:r>
          </w:p>
        </w:tc>
      </w:tr>
      <w:tr w:rsidR="008A26D2" w:rsidRPr="008A26D2" w14:paraId="78D709F5" w14:textId="77777777" w:rsidTr="00416B48">
        <w:trPr>
          <w:trHeight w:val="304"/>
          <w:jc w:val="center"/>
        </w:trPr>
        <w:tc>
          <w:tcPr>
            <w:tcW w:w="2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89D4DD3" w14:textId="77777777" w:rsidR="0022281C" w:rsidRPr="008A26D2" w:rsidRDefault="0022281C" w:rsidP="00655F3E">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Objetivo prioritario:</w:t>
            </w:r>
          </w:p>
        </w:tc>
        <w:tc>
          <w:tcPr>
            <w:tcW w:w="61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5BF5970" w14:textId="77777777" w:rsidR="0022281C" w:rsidRPr="003A517E" w:rsidRDefault="0022281C" w:rsidP="00655F3E">
            <w:pPr>
              <w:pBdr>
                <w:top w:val="nil"/>
                <w:left w:val="nil"/>
                <w:bottom w:val="nil"/>
                <w:right w:val="nil"/>
                <w:between w:val="nil"/>
              </w:pBdr>
              <w:spacing w:after="0" w:line="240" w:lineRule="auto"/>
              <w:ind w:left="126"/>
              <w:jc w:val="both"/>
              <w:rPr>
                <w:rFonts w:ascii="Arial" w:hAnsi="Arial" w:cs="Arial"/>
                <w:sz w:val="20"/>
                <w:szCs w:val="20"/>
              </w:rPr>
            </w:pPr>
            <w:r w:rsidRPr="003A517E">
              <w:rPr>
                <w:rFonts w:ascii="Arial" w:hAnsi="Arial" w:cs="Arial"/>
                <w:sz w:val="20"/>
                <w:szCs w:val="20"/>
              </w:rPr>
              <w:t>OP2 Incrementar la productividad de los ecosistemas forestales, otros ecosistemas de vegetación silvestre y de la fauna silvestre</w:t>
            </w:r>
          </w:p>
        </w:tc>
      </w:tr>
      <w:tr w:rsidR="008A26D2" w:rsidRPr="008A26D2" w14:paraId="275B9B32" w14:textId="77777777" w:rsidTr="00416B48">
        <w:trPr>
          <w:trHeight w:val="304"/>
          <w:jc w:val="center"/>
        </w:trPr>
        <w:tc>
          <w:tcPr>
            <w:tcW w:w="2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CA5E7E6" w14:textId="77777777" w:rsidR="0022281C" w:rsidRPr="008A26D2" w:rsidRDefault="0022281C" w:rsidP="00655F3E">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Lineamiento:</w:t>
            </w:r>
          </w:p>
        </w:tc>
        <w:tc>
          <w:tcPr>
            <w:tcW w:w="61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3BE51F9" w14:textId="117D60EE" w:rsidR="0022281C" w:rsidRPr="003A517E" w:rsidRDefault="003A517E" w:rsidP="003A517E">
            <w:pPr>
              <w:tabs>
                <w:tab w:val="left" w:pos="3375"/>
              </w:tabs>
              <w:ind w:left="128"/>
              <w:rPr>
                <w:rFonts w:ascii="Arial" w:eastAsia="Arial Narrow" w:hAnsi="Arial" w:cs="Arial"/>
                <w:sz w:val="20"/>
                <w:szCs w:val="20"/>
              </w:rPr>
            </w:pPr>
            <w:r w:rsidRPr="003A517E">
              <w:rPr>
                <w:rFonts w:ascii="Arial" w:eastAsia="Arial Narrow" w:hAnsi="Arial" w:cs="Arial"/>
                <w:sz w:val="20"/>
                <w:szCs w:val="20"/>
              </w:rPr>
              <w:t>L2.3 Mejorar la infraestructura, equipamiento y servicios para las actividades forestales y de fauna silvestre</w:t>
            </w:r>
          </w:p>
        </w:tc>
      </w:tr>
      <w:tr w:rsidR="008A26D2" w:rsidRPr="008A26D2" w14:paraId="184EDAA2" w14:textId="77777777" w:rsidTr="00416B48">
        <w:trPr>
          <w:trHeight w:val="304"/>
          <w:jc w:val="center"/>
        </w:trPr>
        <w:tc>
          <w:tcPr>
            <w:tcW w:w="2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05D898F" w14:textId="77777777" w:rsidR="0022281C" w:rsidRPr="008A26D2" w:rsidRDefault="0022281C" w:rsidP="00655F3E">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Nombre del servicio:</w:t>
            </w:r>
          </w:p>
        </w:tc>
        <w:tc>
          <w:tcPr>
            <w:tcW w:w="61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F72F5DD" w14:textId="44BE6031" w:rsidR="0022281C" w:rsidRPr="008A26D2" w:rsidRDefault="0022281C" w:rsidP="00655F3E">
            <w:pPr>
              <w:pBdr>
                <w:top w:val="nil"/>
                <w:left w:val="nil"/>
                <w:bottom w:val="nil"/>
                <w:right w:val="nil"/>
                <w:between w:val="nil"/>
              </w:pBdr>
              <w:spacing w:after="0" w:line="240" w:lineRule="auto"/>
              <w:ind w:left="126"/>
              <w:jc w:val="both"/>
              <w:rPr>
                <w:rFonts w:ascii="Arial" w:hAnsi="Arial" w:cs="Arial"/>
                <w:sz w:val="20"/>
                <w:szCs w:val="20"/>
              </w:rPr>
            </w:pPr>
            <w:r w:rsidRPr="008A26D2">
              <w:rPr>
                <w:rFonts w:ascii="Arial" w:eastAsia="Arial Narrow" w:hAnsi="Arial" w:cs="Arial"/>
                <w:sz w:val="20"/>
                <w:szCs w:val="20"/>
              </w:rPr>
              <w:t>S2.</w:t>
            </w:r>
            <w:r w:rsidR="003A517E">
              <w:rPr>
                <w:rFonts w:ascii="Arial" w:eastAsia="Arial Narrow" w:hAnsi="Arial" w:cs="Arial"/>
                <w:sz w:val="20"/>
                <w:szCs w:val="20"/>
              </w:rPr>
              <w:t>3</w:t>
            </w:r>
            <w:r w:rsidRPr="008A26D2">
              <w:rPr>
                <w:rFonts w:ascii="Arial" w:eastAsia="Arial Narrow" w:hAnsi="Arial" w:cs="Arial"/>
                <w:sz w:val="20"/>
                <w:szCs w:val="20"/>
              </w:rPr>
              <w:t>.</w:t>
            </w:r>
            <w:r w:rsidR="003A517E">
              <w:rPr>
                <w:rFonts w:ascii="Arial" w:eastAsia="Arial Narrow" w:hAnsi="Arial" w:cs="Arial"/>
                <w:sz w:val="20"/>
                <w:szCs w:val="20"/>
              </w:rPr>
              <w:t>1</w:t>
            </w:r>
            <w:r w:rsidRPr="008A26D2">
              <w:rPr>
                <w:rFonts w:ascii="Arial" w:eastAsia="Arial Narrow" w:hAnsi="Arial" w:cs="Arial"/>
                <w:sz w:val="20"/>
                <w:szCs w:val="20"/>
              </w:rPr>
              <w:t xml:space="preserve"> Cofinanciamiento de planes de negocio para mejorar las capacidades productivas y empresariales de forma oportuna a los pequeños y medianos productores forestales y de fauna silvestre organizados. </w:t>
            </w:r>
          </w:p>
        </w:tc>
      </w:tr>
      <w:tr w:rsidR="008A26D2" w:rsidRPr="008A26D2" w14:paraId="4E3501B5" w14:textId="77777777" w:rsidTr="00416B48">
        <w:trPr>
          <w:trHeight w:val="304"/>
          <w:jc w:val="center"/>
        </w:trPr>
        <w:tc>
          <w:tcPr>
            <w:tcW w:w="2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4263552" w14:textId="77777777" w:rsidR="0022281C" w:rsidRPr="008A26D2" w:rsidRDefault="0022281C" w:rsidP="00655F3E">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Tipo de servicio:</w:t>
            </w:r>
          </w:p>
        </w:tc>
        <w:tc>
          <w:tcPr>
            <w:tcW w:w="61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8D854AB" w14:textId="77777777" w:rsidR="0022281C" w:rsidRPr="008A26D2" w:rsidRDefault="0022281C" w:rsidP="00655F3E">
            <w:pPr>
              <w:pBdr>
                <w:top w:val="nil"/>
                <w:left w:val="nil"/>
                <w:bottom w:val="nil"/>
                <w:right w:val="nil"/>
                <w:between w:val="nil"/>
              </w:pBdr>
              <w:spacing w:after="0" w:line="240" w:lineRule="auto"/>
              <w:ind w:left="126"/>
              <w:jc w:val="both"/>
              <w:rPr>
                <w:rFonts w:ascii="Arial" w:eastAsia="Arial Narrow" w:hAnsi="Arial" w:cs="Arial"/>
                <w:sz w:val="20"/>
                <w:szCs w:val="20"/>
              </w:rPr>
            </w:pPr>
            <w:r w:rsidRPr="008A26D2">
              <w:rPr>
                <w:rFonts w:ascii="Arial" w:eastAsia="Arial Narrow" w:hAnsi="Arial" w:cs="Arial"/>
                <w:sz w:val="20"/>
                <w:szCs w:val="20"/>
              </w:rPr>
              <w:t>Mejorado</w:t>
            </w:r>
          </w:p>
        </w:tc>
      </w:tr>
      <w:tr w:rsidR="008A26D2" w:rsidRPr="008A26D2" w14:paraId="26B4BEF6" w14:textId="77777777" w:rsidTr="00416B48">
        <w:trPr>
          <w:trHeight w:val="304"/>
          <w:jc w:val="center"/>
        </w:trPr>
        <w:tc>
          <w:tcPr>
            <w:tcW w:w="2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48B3357" w14:textId="6295E2DD" w:rsidR="00416B48" w:rsidRPr="008A26D2" w:rsidRDefault="00416B48" w:rsidP="00416B48">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Naturaleza del servicio:</w:t>
            </w:r>
          </w:p>
        </w:tc>
        <w:tc>
          <w:tcPr>
            <w:tcW w:w="61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B3D38B1" w14:textId="0EAF0A4D" w:rsidR="00416B48" w:rsidRPr="008A26D2" w:rsidRDefault="00FB2B17" w:rsidP="00416B48">
            <w:pPr>
              <w:pBdr>
                <w:top w:val="nil"/>
                <w:left w:val="nil"/>
                <w:bottom w:val="nil"/>
                <w:right w:val="nil"/>
                <w:between w:val="nil"/>
              </w:pBdr>
              <w:spacing w:after="0" w:line="240" w:lineRule="auto"/>
              <w:ind w:left="126"/>
              <w:jc w:val="both"/>
              <w:rPr>
                <w:rFonts w:ascii="Arial" w:eastAsia="Arial Narrow" w:hAnsi="Arial" w:cs="Arial"/>
                <w:sz w:val="20"/>
                <w:szCs w:val="20"/>
              </w:rPr>
            </w:pPr>
            <w:r w:rsidRPr="008A26D2">
              <w:rPr>
                <w:rFonts w:ascii="Arial" w:eastAsia="Arial Narrow" w:hAnsi="Arial" w:cs="Arial"/>
                <w:sz w:val="20"/>
                <w:szCs w:val="20"/>
              </w:rPr>
              <w:t>P</w:t>
            </w:r>
            <w:r w:rsidR="00416B48" w:rsidRPr="008A26D2">
              <w:rPr>
                <w:rFonts w:ascii="Arial" w:eastAsia="Arial Narrow" w:hAnsi="Arial" w:cs="Arial"/>
                <w:sz w:val="20"/>
                <w:szCs w:val="20"/>
              </w:rPr>
              <w:t>restacional</w:t>
            </w:r>
          </w:p>
        </w:tc>
      </w:tr>
      <w:tr w:rsidR="008A26D2" w:rsidRPr="008A26D2" w14:paraId="5759B1BB" w14:textId="77777777" w:rsidTr="00416B48">
        <w:trPr>
          <w:trHeight w:val="304"/>
          <w:jc w:val="center"/>
        </w:trPr>
        <w:tc>
          <w:tcPr>
            <w:tcW w:w="2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0E9D6EC" w14:textId="7C4539F9" w:rsidR="00416B48" w:rsidRPr="008A26D2" w:rsidRDefault="00416B48" w:rsidP="00416B48">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Entrega del servicio</w:t>
            </w:r>
          </w:p>
        </w:tc>
        <w:tc>
          <w:tcPr>
            <w:tcW w:w="61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5E6EE89" w14:textId="0398B411" w:rsidR="00416B48" w:rsidRPr="008A26D2" w:rsidRDefault="00416B48" w:rsidP="00416B48">
            <w:pPr>
              <w:pBdr>
                <w:top w:val="nil"/>
                <w:left w:val="nil"/>
                <w:bottom w:val="nil"/>
                <w:right w:val="nil"/>
                <w:between w:val="nil"/>
              </w:pBdr>
              <w:spacing w:after="0" w:line="240" w:lineRule="auto"/>
              <w:ind w:left="126"/>
              <w:jc w:val="both"/>
              <w:rPr>
                <w:rFonts w:ascii="Arial" w:eastAsia="Arial Narrow" w:hAnsi="Arial" w:cs="Arial"/>
                <w:sz w:val="20"/>
                <w:szCs w:val="20"/>
              </w:rPr>
            </w:pPr>
            <w:r w:rsidRPr="008A26D2">
              <w:rPr>
                <w:rFonts w:ascii="Arial" w:eastAsia="Arial Narrow" w:hAnsi="Arial" w:cs="Arial"/>
                <w:sz w:val="20"/>
                <w:szCs w:val="20"/>
              </w:rPr>
              <w:t xml:space="preserve">Competencia exclusiva </w:t>
            </w:r>
          </w:p>
        </w:tc>
      </w:tr>
      <w:tr w:rsidR="008A26D2" w:rsidRPr="008A26D2" w14:paraId="60EFAEFB" w14:textId="77777777" w:rsidTr="00416B48">
        <w:trPr>
          <w:trHeight w:val="2370"/>
          <w:jc w:val="center"/>
        </w:trPr>
        <w:tc>
          <w:tcPr>
            <w:tcW w:w="2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28F5192" w14:textId="77777777" w:rsidR="00416B48" w:rsidRPr="008A26D2" w:rsidRDefault="00416B48" w:rsidP="00416B48">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Descripción del servicio</w:t>
            </w:r>
          </w:p>
        </w:tc>
        <w:tc>
          <w:tcPr>
            <w:tcW w:w="61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C3ABEB1" w14:textId="341C98E5" w:rsidR="003A517E" w:rsidRDefault="00416B48" w:rsidP="00416B48">
            <w:pPr>
              <w:pBdr>
                <w:top w:val="nil"/>
                <w:left w:val="nil"/>
                <w:bottom w:val="nil"/>
                <w:right w:val="nil"/>
                <w:between w:val="nil"/>
              </w:pBdr>
              <w:spacing w:after="0" w:line="240" w:lineRule="auto"/>
              <w:ind w:left="126"/>
              <w:jc w:val="both"/>
              <w:rPr>
                <w:rFonts w:ascii="Arial" w:eastAsia="Arial Narrow" w:hAnsi="Arial" w:cs="Arial"/>
                <w:sz w:val="20"/>
                <w:szCs w:val="20"/>
              </w:rPr>
            </w:pPr>
            <w:r w:rsidRPr="008A26D2">
              <w:rPr>
                <w:rFonts w:ascii="Arial" w:eastAsia="Arial Narrow" w:hAnsi="Arial" w:cs="Arial"/>
                <w:sz w:val="20"/>
                <w:szCs w:val="20"/>
              </w:rPr>
              <w:t>El servicio se otorga a las pequeños y medianos productores forestales y de fauna silvestre organizados que hayan pasado por un proceso de elegibilidad, cumpliendo un conjunto de requisitos relacionados a la organización agraria. Una vez elegibles, presentan un plan de negocio orientado a la adopción de tecnología</w:t>
            </w:r>
            <w:r w:rsidR="003A517E">
              <w:rPr>
                <w:rFonts w:ascii="Arial" w:eastAsia="Arial Narrow" w:hAnsi="Arial" w:cs="Arial"/>
                <w:sz w:val="20"/>
                <w:szCs w:val="20"/>
              </w:rPr>
              <w:t xml:space="preserve"> </w:t>
            </w:r>
            <w:r w:rsidRPr="008A26D2">
              <w:rPr>
                <w:rFonts w:ascii="Arial" w:eastAsia="Arial Narrow" w:hAnsi="Arial" w:cs="Arial"/>
                <w:sz w:val="20"/>
                <w:szCs w:val="20"/>
              </w:rPr>
              <w:t>que demuestre una rentabilidad en el tiempo, cuya finalidad es mejorar</w:t>
            </w:r>
            <w:r w:rsidR="00701F97">
              <w:rPr>
                <w:rFonts w:ascii="Arial" w:eastAsia="Arial Narrow" w:hAnsi="Arial" w:cs="Arial"/>
                <w:sz w:val="20"/>
                <w:szCs w:val="20"/>
              </w:rPr>
              <w:t xml:space="preserve"> la infraestructura y equipamiento</w:t>
            </w:r>
            <w:r w:rsidRPr="008A26D2">
              <w:rPr>
                <w:rFonts w:ascii="Arial" w:eastAsia="Arial Narrow" w:hAnsi="Arial" w:cs="Arial"/>
                <w:sz w:val="20"/>
                <w:szCs w:val="20"/>
              </w:rPr>
              <w:t xml:space="preserve"> de los productores forestales y de fauna silvestre</w:t>
            </w:r>
            <w:r w:rsidR="00701F97">
              <w:rPr>
                <w:rFonts w:ascii="Arial" w:eastAsia="Arial Narrow" w:hAnsi="Arial" w:cs="Arial"/>
                <w:sz w:val="20"/>
                <w:szCs w:val="20"/>
              </w:rPr>
              <w:t xml:space="preserve"> incrementando su competitividad</w:t>
            </w:r>
            <w:r w:rsidRPr="008A26D2">
              <w:rPr>
                <w:rFonts w:ascii="Arial" w:eastAsia="Arial Narrow" w:hAnsi="Arial" w:cs="Arial"/>
                <w:sz w:val="20"/>
                <w:szCs w:val="20"/>
              </w:rPr>
              <w:t xml:space="preserve">. </w:t>
            </w:r>
          </w:p>
          <w:p w14:paraId="0F843A6F" w14:textId="77777777" w:rsidR="003A517E" w:rsidRDefault="003A517E" w:rsidP="00416B48">
            <w:pPr>
              <w:pBdr>
                <w:top w:val="nil"/>
                <w:left w:val="nil"/>
                <w:bottom w:val="nil"/>
                <w:right w:val="nil"/>
                <w:between w:val="nil"/>
              </w:pBdr>
              <w:spacing w:after="0" w:line="240" w:lineRule="auto"/>
              <w:ind w:left="126"/>
              <w:jc w:val="both"/>
              <w:rPr>
                <w:rFonts w:ascii="Arial" w:eastAsia="Arial Narrow" w:hAnsi="Arial" w:cs="Arial"/>
                <w:sz w:val="20"/>
                <w:szCs w:val="20"/>
              </w:rPr>
            </w:pPr>
          </w:p>
          <w:p w14:paraId="2F393F8F" w14:textId="7F3187DC" w:rsidR="00416B48" w:rsidRDefault="00416B48" w:rsidP="00416B48">
            <w:pPr>
              <w:pBdr>
                <w:top w:val="nil"/>
                <w:left w:val="nil"/>
                <w:bottom w:val="nil"/>
                <w:right w:val="nil"/>
                <w:between w:val="nil"/>
              </w:pBdr>
              <w:spacing w:after="0" w:line="240" w:lineRule="auto"/>
              <w:ind w:left="126"/>
              <w:jc w:val="both"/>
              <w:rPr>
                <w:rFonts w:ascii="Arial" w:eastAsia="Arial Narrow" w:hAnsi="Arial" w:cs="Arial"/>
                <w:sz w:val="20"/>
                <w:szCs w:val="20"/>
              </w:rPr>
            </w:pPr>
            <w:r w:rsidRPr="008A26D2">
              <w:rPr>
                <w:rFonts w:ascii="Arial" w:eastAsia="Arial Narrow" w:hAnsi="Arial" w:cs="Arial"/>
                <w:sz w:val="20"/>
                <w:szCs w:val="20"/>
              </w:rPr>
              <w:t xml:space="preserve">Los planes que superen un índice determinado reciben el cofinanciamiento (desde el 60 al 80% financiado por </w:t>
            </w:r>
            <w:r w:rsidR="004E7D4B">
              <w:rPr>
                <w:rFonts w:ascii="Arial" w:eastAsia="Arial Narrow" w:hAnsi="Arial" w:cs="Arial"/>
                <w:sz w:val="20"/>
                <w:szCs w:val="20"/>
              </w:rPr>
              <w:t xml:space="preserve">el </w:t>
            </w:r>
            <w:r w:rsidR="004E7D4B" w:rsidRPr="008A26D2">
              <w:rPr>
                <w:rFonts w:ascii="Arial" w:eastAsia="Arial Narrow" w:hAnsi="Arial" w:cs="Arial"/>
                <w:sz w:val="20"/>
                <w:szCs w:val="20"/>
              </w:rPr>
              <w:t>Programa de Compensaciones para la Competitividad - AGROIDEAS</w:t>
            </w:r>
            <w:r w:rsidRPr="008A26D2">
              <w:rPr>
                <w:rFonts w:ascii="Arial" w:eastAsia="Arial Narrow" w:hAnsi="Arial" w:cs="Arial"/>
                <w:sz w:val="20"/>
                <w:szCs w:val="20"/>
              </w:rPr>
              <w:t xml:space="preserve"> y la contrapartida es financiada por la organización agraria)</w:t>
            </w:r>
            <w:r w:rsidR="003A517E">
              <w:rPr>
                <w:rFonts w:ascii="Arial" w:eastAsia="Arial Narrow" w:hAnsi="Arial" w:cs="Arial"/>
                <w:sz w:val="20"/>
                <w:szCs w:val="20"/>
              </w:rPr>
              <w:t>,</w:t>
            </w:r>
            <w:r w:rsidRPr="008A26D2">
              <w:rPr>
                <w:rFonts w:ascii="Arial" w:eastAsia="Arial Narrow" w:hAnsi="Arial" w:cs="Arial"/>
                <w:sz w:val="20"/>
                <w:szCs w:val="20"/>
              </w:rPr>
              <w:t xml:space="preserve"> los recursos otorgados no son reembolsables. A</w:t>
            </w:r>
            <w:r w:rsidR="000C39A1" w:rsidRPr="008A26D2">
              <w:rPr>
                <w:rFonts w:ascii="Arial" w:eastAsia="Arial Narrow" w:hAnsi="Arial" w:cs="Arial"/>
                <w:sz w:val="20"/>
                <w:szCs w:val="20"/>
              </w:rPr>
              <w:t>GROIDEAS</w:t>
            </w:r>
            <w:r w:rsidRPr="008A26D2">
              <w:rPr>
                <w:rFonts w:ascii="Arial" w:eastAsia="Arial Narrow" w:hAnsi="Arial" w:cs="Arial"/>
                <w:sz w:val="20"/>
                <w:szCs w:val="20"/>
              </w:rPr>
              <w:t xml:space="preserve"> realiza el acompañamiento y monitoreo hasta la entrega completa de los bienes y servicios (infraestructura y equipamiento) a los productores</w:t>
            </w:r>
            <w:r w:rsidR="003A517E">
              <w:rPr>
                <w:rFonts w:ascii="Arial" w:eastAsia="Arial Narrow" w:hAnsi="Arial" w:cs="Arial"/>
                <w:sz w:val="20"/>
                <w:szCs w:val="20"/>
              </w:rPr>
              <w:t xml:space="preserve"> que realizan actividades forestales o de fauna silvestre</w:t>
            </w:r>
            <w:r w:rsidRPr="008A26D2">
              <w:rPr>
                <w:rFonts w:ascii="Arial" w:eastAsia="Arial Narrow" w:hAnsi="Arial" w:cs="Arial"/>
                <w:sz w:val="20"/>
                <w:szCs w:val="20"/>
              </w:rPr>
              <w:t xml:space="preserve"> para que dicha entrega sea oportuna, dado que está vinculado al año agrícola y para mejorar el servicio el instructivo está modificado bajo la lógica de procesos y ahorro de tiempo. </w:t>
            </w:r>
          </w:p>
          <w:p w14:paraId="4F325548" w14:textId="77777777" w:rsidR="003A517E" w:rsidRPr="008A26D2" w:rsidRDefault="003A517E" w:rsidP="00416B48">
            <w:pPr>
              <w:pBdr>
                <w:top w:val="nil"/>
                <w:left w:val="nil"/>
                <w:bottom w:val="nil"/>
                <w:right w:val="nil"/>
                <w:between w:val="nil"/>
              </w:pBdr>
              <w:spacing w:after="0" w:line="240" w:lineRule="auto"/>
              <w:ind w:left="126"/>
              <w:jc w:val="both"/>
              <w:rPr>
                <w:rFonts w:ascii="Arial" w:eastAsia="Arial Narrow" w:hAnsi="Arial" w:cs="Arial"/>
                <w:sz w:val="20"/>
                <w:szCs w:val="20"/>
              </w:rPr>
            </w:pPr>
          </w:p>
          <w:p w14:paraId="42480B8B" w14:textId="77777777" w:rsidR="00416B48" w:rsidRPr="008A26D2" w:rsidRDefault="00416B48" w:rsidP="00416B48">
            <w:pPr>
              <w:pBdr>
                <w:top w:val="nil"/>
                <w:left w:val="nil"/>
                <w:bottom w:val="nil"/>
                <w:right w:val="nil"/>
                <w:between w:val="nil"/>
              </w:pBdr>
              <w:spacing w:after="0" w:line="240" w:lineRule="auto"/>
              <w:ind w:left="126"/>
              <w:jc w:val="both"/>
              <w:rPr>
                <w:rFonts w:ascii="Arial" w:eastAsia="Arial Narrow" w:hAnsi="Arial" w:cs="Arial"/>
                <w:sz w:val="20"/>
                <w:szCs w:val="20"/>
              </w:rPr>
            </w:pPr>
            <w:r w:rsidRPr="008A26D2">
              <w:rPr>
                <w:rFonts w:ascii="Arial" w:eastAsia="Arial Narrow" w:hAnsi="Arial" w:cs="Arial"/>
                <w:sz w:val="20"/>
                <w:szCs w:val="20"/>
              </w:rPr>
              <w:t>El servicio es mejorado al ampliar su alcance para llegar a nuevas organizaciones a nivel nacional.</w:t>
            </w:r>
          </w:p>
        </w:tc>
      </w:tr>
      <w:tr w:rsidR="008A26D2" w:rsidRPr="008A26D2" w14:paraId="28B7B2BE" w14:textId="77777777" w:rsidTr="00416B48">
        <w:trPr>
          <w:trHeight w:val="304"/>
          <w:jc w:val="center"/>
        </w:trPr>
        <w:tc>
          <w:tcPr>
            <w:tcW w:w="2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618CB11" w14:textId="77777777" w:rsidR="00416B48" w:rsidRPr="008A26D2" w:rsidRDefault="00416B48" w:rsidP="00416B48">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Proveedor del servicio</w:t>
            </w:r>
          </w:p>
        </w:tc>
        <w:tc>
          <w:tcPr>
            <w:tcW w:w="61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0333CFD" w14:textId="77777777" w:rsidR="00416B48" w:rsidRPr="008A26D2" w:rsidRDefault="00416B48" w:rsidP="00416B48">
            <w:pPr>
              <w:pBdr>
                <w:top w:val="nil"/>
                <w:left w:val="nil"/>
                <w:bottom w:val="nil"/>
                <w:right w:val="nil"/>
                <w:between w:val="nil"/>
              </w:pBdr>
              <w:spacing w:after="0" w:line="240" w:lineRule="auto"/>
              <w:ind w:left="126"/>
              <w:jc w:val="both"/>
              <w:rPr>
                <w:rFonts w:ascii="Arial" w:eastAsia="Arial Narrow" w:hAnsi="Arial" w:cs="Arial"/>
                <w:sz w:val="20"/>
                <w:szCs w:val="20"/>
              </w:rPr>
            </w:pPr>
            <w:r w:rsidRPr="008A26D2">
              <w:rPr>
                <w:rFonts w:ascii="Arial" w:eastAsia="Arial Narrow" w:hAnsi="Arial" w:cs="Arial"/>
                <w:sz w:val="20"/>
                <w:szCs w:val="20"/>
              </w:rPr>
              <w:t>Programa de Compensaciones para la Competitividad - AGROIDEAS del Ministerio de Desarrollo Agrario y Riego – MIDAGRI.</w:t>
            </w:r>
          </w:p>
        </w:tc>
      </w:tr>
      <w:tr w:rsidR="008A26D2" w:rsidRPr="008A26D2" w14:paraId="41379977" w14:textId="77777777" w:rsidTr="003B5C60">
        <w:trPr>
          <w:trHeight w:val="458"/>
          <w:jc w:val="center"/>
        </w:trPr>
        <w:tc>
          <w:tcPr>
            <w:tcW w:w="2585" w:type="dxa"/>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70D157DD" w14:textId="77777777" w:rsidR="00416B48" w:rsidRPr="008A26D2" w:rsidRDefault="00416B48" w:rsidP="000C39A1">
            <w:pPr>
              <w:spacing w:after="0" w:line="240" w:lineRule="auto"/>
              <w:rPr>
                <w:rFonts w:ascii="Arial" w:hAnsi="Arial" w:cs="Arial"/>
                <w:b/>
                <w:sz w:val="20"/>
                <w:szCs w:val="20"/>
              </w:rPr>
            </w:pPr>
            <w:r w:rsidRPr="008A26D2">
              <w:rPr>
                <w:rFonts w:ascii="Arial" w:hAnsi="Arial" w:cs="Arial"/>
                <w:b/>
                <w:sz w:val="20"/>
                <w:szCs w:val="20"/>
              </w:rPr>
              <w:t>Nivel (es) de gobierno que interviene</w:t>
            </w:r>
          </w:p>
          <w:p w14:paraId="115DBEED" w14:textId="2A24B332" w:rsidR="00416B48" w:rsidRPr="008A26D2" w:rsidRDefault="00416B48" w:rsidP="00416B48">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(n) en la provisión del servicio</w:t>
            </w:r>
          </w:p>
        </w:tc>
        <w:tc>
          <w:tcPr>
            <w:tcW w:w="2059"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5E91C5EA" w14:textId="2A72E82C" w:rsidR="00416B48" w:rsidRPr="008A26D2" w:rsidRDefault="00416B48" w:rsidP="004941CB">
            <w:pPr>
              <w:pBdr>
                <w:top w:val="nil"/>
                <w:left w:val="nil"/>
                <w:bottom w:val="nil"/>
                <w:right w:val="nil"/>
                <w:between w:val="nil"/>
              </w:pBdr>
              <w:spacing w:after="0" w:line="240" w:lineRule="auto"/>
              <w:ind w:left="126"/>
              <w:jc w:val="center"/>
              <w:rPr>
                <w:rFonts w:ascii="Arial" w:eastAsia="Arial Narrow" w:hAnsi="Arial" w:cs="Arial"/>
                <w:sz w:val="20"/>
                <w:szCs w:val="20"/>
              </w:rPr>
            </w:pPr>
            <w:r w:rsidRPr="008A26D2">
              <w:rPr>
                <w:rFonts w:ascii="Arial" w:eastAsia="Arial Narrow" w:hAnsi="Arial" w:cs="Arial"/>
                <w:sz w:val="20"/>
                <w:szCs w:val="20"/>
              </w:rPr>
              <w:t>Nacional</w:t>
            </w:r>
          </w:p>
        </w:tc>
        <w:tc>
          <w:tcPr>
            <w:tcW w:w="2060" w:type="dxa"/>
            <w:tcBorders>
              <w:top w:val="single" w:sz="4" w:space="0" w:color="000000"/>
              <w:left w:val="single" w:sz="4" w:space="0" w:color="000000"/>
              <w:right w:val="single" w:sz="4" w:space="0" w:color="000000"/>
            </w:tcBorders>
            <w:shd w:val="clear" w:color="auto" w:fill="auto"/>
            <w:vAlign w:val="center"/>
          </w:tcPr>
          <w:p w14:paraId="1962793A" w14:textId="1541AE96" w:rsidR="00416B48" w:rsidRPr="008A26D2" w:rsidRDefault="00416B48" w:rsidP="004941CB">
            <w:pPr>
              <w:pBdr>
                <w:top w:val="nil"/>
                <w:left w:val="nil"/>
                <w:bottom w:val="nil"/>
                <w:right w:val="nil"/>
                <w:between w:val="nil"/>
              </w:pBdr>
              <w:spacing w:after="0" w:line="240" w:lineRule="auto"/>
              <w:ind w:left="126"/>
              <w:jc w:val="center"/>
              <w:rPr>
                <w:rFonts w:ascii="Arial" w:eastAsia="Arial Narrow" w:hAnsi="Arial" w:cs="Arial"/>
                <w:sz w:val="20"/>
                <w:szCs w:val="20"/>
              </w:rPr>
            </w:pPr>
            <w:r w:rsidRPr="008A26D2">
              <w:rPr>
                <w:rFonts w:ascii="Arial" w:eastAsia="Arial Narrow" w:hAnsi="Arial" w:cs="Arial"/>
                <w:sz w:val="20"/>
                <w:szCs w:val="20"/>
              </w:rPr>
              <w:t>Regional</w:t>
            </w:r>
          </w:p>
        </w:tc>
        <w:tc>
          <w:tcPr>
            <w:tcW w:w="2060" w:type="dxa"/>
            <w:tcBorders>
              <w:top w:val="single" w:sz="4" w:space="0" w:color="000000"/>
              <w:left w:val="single" w:sz="4" w:space="0" w:color="000000"/>
              <w:right w:val="single" w:sz="4" w:space="0" w:color="000000"/>
            </w:tcBorders>
            <w:shd w:val="clear" w:color="auto" w:fill="auto"/>
            <w:vAlign w:val="center"/>
          </w:tcPr>
          <w:p w14:paraId="5472551A" w14:textId="13D378BA" w:rsidR="00416B48" w:rsidRPr="008A26D2" w:rsidRDefault="00416B48" w:rsidP="004941CB">
            <w:pPr>
              <w:pBdr>
                <w:top w:val="nil"/>
                <w:left w:val="nil"/>
                <w:bottom w:val="nil"/>
                <w:right w:val="nil"/>
                <w:between w:val="nil"/>
              </w:pBdr>
              <w:spacing w:after="0" w:line="240" w:lineRule="auto"/>
              <w:ind w:left="126"/>
              <w:jc w:val="center"/>
              <w:rPr>
                <w:rFonts w:ascii="Arial" w:eastAsia="Arial Narrow" w:hAnsi="Arial" w:cs="Arial"/>
                <w:sz w:val="20"/>
                <w:szCs w:val="20"/>
              </w:rPr>
            </w:pPr>
            <w:r w:rsidRPr="008A26D2">
              <w:rPr>
                <w:rFonts w:ascii="Arial" w:eastAsia="Arial Narrow" w:hAnsi="Arial" w:cs="Arial"/>
                <w:sz w:val="20"/>
                <w:szCs w:val="20"/>
              </w:rPr>
              <w:t>Local</w:t>
            </w:r>
          </w:p>
        </w:tc>
      </w:tr>
      <w:tr w:rsidR="008A26D2" w:rsidRPr="008A26D2" w14:paraId="19ADF97E" w14:textId="77777777" w:rsidTr="003B5C60">
        <w:trPr>
          <w:trHeight w:val="457"/>
          <w:jc w:val="center"/>
        </w:trPr>
        <w:tc>
          <w:tcPr>
            <w:tcW w:w="2585" w:type="dxa"/>
            <w:vMerge/>
            <w:tcBorders>
              <w:left w:val="single" w:sz="4" w:space="0" w:color="000000"/>
              <w:right w:val="single" w:sz="4" w:space="0" w:color="000000"/>
            </w:tcBorders>
            <w:shd w:val="clear" w:color="auto" w:fill="auto"/>
            <w:tcMar>
              <w:top w:w="15" w:type="dxa"/>
              <w:left w:w="15" w:type="dxa"/>
              <w:bottom w:w="0" w:type="dxa"/>
              <w:right w:w="15" w:type="dxa"/>
            </w:tcMar>
            <w:vAlign w:val="center"/>
          </w:tcPr>
          <w:p w14:paraId="5948537E" w14:textId="77777777" w:rsidR="00416B48" w:rsidRPr="008A26D2" w:rsidRDefault="00416B48" w:rsidP="00416B48">
            <w:pPr>
              <w:spacing w:after="0" w:line="240" w:lineRule="auto"/>
              <w:rPr>
                <w:rFonts w:ascii="Arial" w:hAnsi="Arial" w:cs="Arial"/>
                <w:b/>
                <w:sz w:val="20"/>
                <w:szCs w:val="20"/>
              </w:rPr>
            </w:pPr>
          </w:p>
        </w:tc>
        <w:tc>
          <w:tcPr>
            <w:tcW w:w="2059"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3BA61BE9" w14:textId="7FDC3A93" w:rsidR="00416B48" w:rsidRPr="008A26D2" w:rsidRDefault="00FB2B17" w:rsidP="004941CB">
            <w:pPr>
              <w:pBdr>
                <w:top w:val="nil"/>
                <w:left w:val="nil"/>
                <w:bottom w:val="nil"/>
                <w:right w:val="nil"/>
                <w:between w:val="nil"/>
              </w:pBdr>
              <w:spacing w:after="0" w:line="240" w:lineRule="auto"/>
              <w:ind w:left="126"/>
              <w:jc w:val="center"/>
              <w:rPr>
                <w:rFonts w:ascii="Arial" w:eastAsia="Arial Narrow" w:hAnsi="Arial" w:cs="Arial"/>
                <w:sz w:val="20"/>
                <w:szCs w:val="20"/>
              </w:rPr>
            </w:pPr>
            <w:r w:rsidRPr="008A26D2">
              <w:rPr>
                <w:rFonts w:ascii="Arial" w:eastAsia="Arial Narrow" w:hAnsi="Arial" w:cs="Arial"/>
                <w:sz w:val="20"/>
                <w:szCs w:val="20"/>
              </w:rPr>
              <w:t>X</w:t>
            </w:r>
          </w:p>
        </w:tc>
        <w:tc>
          <w:tcPr>
            <w:tcW w:w="2060" w:type="dxa"/>
            <w:tcBorders>
              <w:top w:val="single" w:sz="4" w:space="0" w:color="000000"/>
              <w:left w:val="single" w:sz="4" w:space="0" w:color="000000"/>
              <w:right w:val="single" w:sz="4" w:space="0" w:color="000000"/>
            </w:tcBorders>
            <w:shd w:val="clear" w:color="auto" w:fill="auto"/>
            <w:vAlign w:val="center"/>
          </w:tcPr>
          <w:p w14:paraId="6E898C37" w14:textId="77777777" w:rsidR="00416B48" w:rsidRPr="008A26D2" w:rsidRDefault="00416B48" w:rsidP="004941CB">
            <w:pPr>
              <w:pBdr>
                <w:top w:val="nil"/>
                <w:left w:val="nil"/>
                <w:bottom w:val="nil"/>
                <w:right w:val="nil"/>
                <w:between w:val="nil"/>
              </w:pBdr>
              <w:spacing w:after="0" w:line="240" w:lineRule="auto"/>
              <w:ind w:left="126"/>
              <w:jc w:val="center"/>
              <w:rPr>
                <w:rFonts w:ascii="Arial" w:eastAsia="Arial Narrow" w:hAnsi="Arial" w:cs="Arial"/>
                <w:sz w:val="20"/>
                <w:szCs w:val="20"/>
              </w:rPr>
            </w:pPr>
          </w:p>
        </w:tc>
        <w:tc>
          <w:tcPr>
            <w:tcW w:w="2060" w:type="dxa"/>
            <w:tcBorders>
              <w:top w:val="single" w:sz="4" w:space="0" w:color="000000"/>
              <w:left w:val="single" w:sz="4" w:space="0" w:color="000000"/>
              <w:right w:val="single" w:sz="4" w:space="0" w:color="000000"/>
            </w:tcBorders>
            <w:shd w:val="clear" w:color="auto" w:fill="auto"/>
            <w:vAlign w:val="center"/>
          </w:tcPr>
          <w:p w14:paraId="46B7F139" w14:textId="0E7F106F" w:rsidR="00416B48" w:rsidRPr="008A26D2" w:rsidRDefault="00416B48" w:rsidP="004941CB">
            <w:pPr>
              <w:pBdr>
                <w:top w:val="nil"/>
                <w:left w:val="nil"/>
                <w:bottom w:val="nil"/>
                <w:right w:val="nil"/>
                <w:between w:val="nil"/>
              </w:pBdr>
              <w:spacing w:after="0" w:line="240" w:lineRule="auto"/>
              <w:ind w:left="126"/>
              <w:jc w:val="center"/>
              <w:rPr>
                <w:rFonts w:ascii="Arial" w:eastAsia="Arial Narrow" w:hAnsi="Arial" w:cs="Arial"/>
                <w:sz w:val="20"/>
                <w:szCs w:val="20"/>
              </w:rPr>
            </w:pPr>
          </w:p>
        </w:tc>
      </w:tr>
      <w:tr w:rsidR="008A26D2" w:rsidRPr="008A26D2" w14:paraId="0987590C" w14:textId="77777777" w:rsidTr="00416B48">
        <w:trPr>
          <w:trHeight w:val="304"/>
          <w:jc w:val="center"/>
        </w:trPr>
        <w:tc>
          <w:tcPr>
            <w:tcW w:w="2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A50EE07" w14:textId="77777777" w:rsidR="00416B48" w:rsidRPr="008A26D2" w:rsidRDefault="00416B48" w:rsidP="00416B48">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Receptor del servicio</w:t>
            </w:r>
          </w:p>
        </w:tc>
        <w:tc>
          <w:tcPr>
            <w:tcW w:w="61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DC8558F" w14:textId="77777777" w:rsidR="00416B48" w:rsidRPr="008A26D2" w:rsidRDefault="00416B48" w:rsidP="00416B48">
            <w:pPr>
              <w:pBdr>
                <w:top w:val="nil"/>
                <w:left w:val="nil"/>
                <w:bottom w:val="nil"/>
                <w:right w:val="nil"/>
                <w:between w:val="nil"/>
              </w:pBdr>
              <w:spacing w:after="0" w:line="240" w:lineRule="auto"/>
              <w:ind w:left="126"/>
              <w:jc w:val="both"/>
              <w:rPr>
                <w:rFonts w:ascii="Arial" w:eastAsia="Arial Narrow" w:hAnsi="Arial" w:cs="Arial"/>
                <w:sz w:val="20"/>
                <w:szCs w:val="20"/>
              </w:rPr>
            </w:pPr>
            <w:r w:rsidRPr="008A26D2">
              <w:rPr>
                <w:rFonts w:ascii="Arial" w:eastAsia="Arial Narrow" w:hAnsi="Arial" w:cs="Arial"/>
                <w:sz w:val="20"/>
                <w:szCs w:val="20"/>
              </w:rPr>
              <w:t>Pequeños y medianos productores forestales y de fauna silvestre organizados</w:t>
            </w:r>
          </w:p>
        </w:tc>
      </w:tr>
      <w:tr w:rsidR="008A26D2" w:rsidRPr="008A26D2" w14:paraId="6E6D0404" w14:textId="77777777" w:rsidTr="00416B48">
        <w:trPr>
          <w:trHeight w:val="214"/>
          <w:jc w:val="center"/>
        </w:trPr>
        <w:tc>
          <w:tcPr>
            <w:tcW w:w="2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86FCBD8" w14:textId="77777777" w:rsidR="00416B48" w:rsidRPr="008A26D2" w:rsidRDefault="00416B48" w:rsidP="00416B48">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Alcance del servicio </w:t>
            </w:r>
          </w:p>
        </w:tc>
        <w:tc>
          <w:tcPr>
            <w:tcW w:w="61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3EBF6EE" w14:textId="77777777" w:rsidR="00416B48" w:rsidRPr="008A26D2" w:rsidRDefault="00416B48" w:rsidP="00416B48">
            <w:pPr>
              <w:pBdr>
                <w:top w:val="nil"/>
                <w:left w:val="nil"/>
                <w:bottom w:val="nil"/>
                <w:right w:val="nil"/>
                <w:between w:val="nil"/>
              </w:pBdr>
              <w:spacing w:after="0" w:line="240" w:lineRule="auto"/>
              <w:ind w:left="126"/>
              <w:jc w:val="both"/>
              <w:rPr>
                <w:rFonts w:ascii="Arial" w:eastAsia="Arial Narrow" w:hAnsi="Arial" w:cs="Arial"/>
                <w:sz w:val="20"/>
                <w:szCs w:val="20"/>
              </w:rPr>
            </w:pPr>
            <w:r w:rsidRPr="008A26D2">
              <w:rPr>
                <w:rFonts w:ascii="Arial" w:eastAsia="Arial Narrow" w:hAnsi="Arial" w:cs="Arial"/>
                <w:sz w:val="20"/>
                <w:szCs w:val="20"/>
              </w:rPr>
              <w:t>Nacional.</w:t>
            </w:r>
          </w:p>
        </w:tc>
      </w:tr>
      <w:tr w:rsidR="008A26D2" w:rsidRPr="008A26D2" w14:paraId="7CB5CA58" w14:textId="77777777" w:rsidTr="00416B48">
        <w:trPr>
          <w:trHeight w:val="62"/>
          <w:jc w:val="center"/>
        </w:trPr>
        <w:tc>
          <w:tcPr>
            <w:tcW w:w="2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73FFB72" w14:textId="77777777" w:rsidR="00416B48" w:rsidRPr="008A26D2" w:rsidRDefault="00416B48" w:rsidP="00416B48">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Estándar (es) de cumplimiento</w:t>
            </w:r>
          </w:p>
        </w:tc>
        <w:tc>
          <w:tcPr>
            <w:tcW w:w="61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1C9E3722" w14:textId="77777777" w:rsidR="00416B48" w:rsidRPr="008A26D2" w:rsidRDefault="00416B48" w:rsidP="00416B48">
            <w:pPr>
              <w:pBdr>
                <w:top w:val="nil"/>
                <w:left w:val="nil"/>
                <w:bottom w:val="nil"/>
                <w:right w:val="nil"/>
                <w:between w:val="nil"/>
              </w:pBdr>
              <w:spacing w:after="0" w:line="240" w:lineRule="auto"/>
              <w:ind w:left="126"/>
              <w:rPr>
                <w:rFonts w:ascii="Arial" w:hAnsi="Arial" w:cs="Arial"/>
                <w:sz w:val="20"/>
                <w:szCs w:val="20"/>
              </w:rPr>
            </w:pPr>
            <w:r w:rsidRPr="008A26D2">
              <w:rPr>
                <w:rFonts w:ascii="Arial" w:hAnsi="Arial" w:cs="Arial"/>
                <w:sz w:val="20"/>
                <w:szCs w:val="20"/>
              </w:rPr>
              <w:t>Oportunidad</w:t>
            </w:r>
          </w:p>
        </w:tc>
      </w:tr>
      <w:tr w:rsidR="008A26D2" w:rsidRPr="008A26D2" w14:paraId="5E08E202" w14:textId="77777777" w:rsidTr="00416B48">
        <w:trPr>
          <w:trHeight w:val="304"/>
          <w:jc w:val="center"/>
        </w:trPr>
        <w:tc>
          <w:tcPr>
            <w:tcW w:w="2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5209E9B" w14:textId="77777777" w:rsidR="00416B48" w:rsidRPr="008A26D2" w:rsidRDefault="00416B48" w:rsidP="00416B48">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Descripción del estándar</w:t>
            </w:r>
          </w:p>
        </w:tc>
        <w:tc>
          <w:tcPr>
            <w:tcW w:w="61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35" w:type="dxa"/>
              <w:bottom w:w="0" w:type="dxa"/>
              <w:right w:w="15" w:type="dxa"/>
            </w:tcMar>
            <w:vAlign w:val="center"/>
          </w:tcPr>
          <w:p w14:paraId="2F719E44" w14:textId="77777777" w:rsidR="00416B48" w:rsidRPr="008A26D2" w:rsidRDefault="00416B48" w:rsidP="00416B48">
            <w:pPr>
              <w:pBdr>
                <w:top w:val="nil"/>
                <w:left w:val="nil"/>
                <w:bottom w:val="nil"/>
                <w:right w:val="nil"/>
                <w:between w:val="nil"/>
              </w:pBdr>
              <w:spacing w:after="0" w:line="240" w:lineRule="auto"/>
              <w:ind w:firstLine="6"/>
              <w:jc w:val="both"/>
              <w:rPr>
                <w:rFonts w:ascii="Arial" w:hAnsi="Arial" w:cs="Arial"/>
                <w:sz w:val="20"/>
                <w:szCs w:val="20"/>
              </w:rPr>
            </w:pPr>
            <w:r w:rsidRPr="008A26D2">
              <w:rPr>
                <w:rFonts w:ascii="Arial" w:hAnsi="Arial" w:cs="Arial"/>
                <w:sz w:val="20"/>
                <w:szCs w:val="20"/>
              </w:rPr>
              <w:t xml:space="preserve">El presente estándar busca que los planes de negocio del incentivo de adopción de tecnología de las </w:t>
            </w:r>
            <w:r w:rsidRPr="008A26D2">
              <w:rPr>
                <w:rFonts w:ascii="Arial" w:eastAsia="Arial Narrow" w:hAnsi="Arial" w:cs="Arial"/>
                <w:sz w:val="20"/>
                <w:szCs w:val="20"/>
              </w:rPr>
              <w:t>actividades forestales y de fauna silvestre registren su primer desembolso dentro del mismo año en que se firmaron los convenios de adjudicación de recursos no reembolsables.</w:t>
            </w:r>
          </w:p>
          <w:p w14:paraId="34D15724" w14:textId="77777777" w:rsidR="00416B48" w:rsidRPr="008A26D2" w:rsidRDefault="00416B48" w:rsidP="00416B48">
            <w:pPr>
              <w:pBdr>
                <w:top w:val="nil"/>
                <w:left w:val="nil"/>
                <w:bottom w:val="nil"/>
                <w:right w:val="nil"/>
                <w:between w:val="nil"/>
              </w:pBdr>
              <w:spacing w:after="0" w:line="240" w:lineRule="auto"/>
              <w:ind w:firstLine="6"/>
              <w:jc w:val="both"/>
              <w:rPr>
                <w:rFonts w:ascii="Arial" w:hAnsi="Arial" w:cs="Arial"/>
                <w:sz w:val="20"/>
                <w:szCs w:val="20"/>
              </w:rPr>
            </w:pPr>
          </w:p>
        </w:tc>
      </w:tr>
      <w:tr w:rsidR="00416B48" w:rsidRPr="008A26D2" w14:paraId="7BF6A067" w14:textId="77777777" w:rsidTr="00416B48">
        <w:trPr>
          <w:trHeight w:val="498"/>
          <w:jc w:val="center"/>
        </w:trPr>
        <w:tc>
          <w:tcPr>
            <w:tcW w:w="2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5D35014" w14:textId="77777777" w:rsidR="00416B48" w:rsidRPr="008A26D2" w:rsidRDefault="00416B48" w:rsidP="00416B48">
            <w:pPr>
              <w:pBdr>
                <w:top w:val="nil"/>
                <w:left w:val="nil"/>
                <w:bottom w:val="nil"/>
                <w:right w:val="nil"/>
                <w:between w:val="nil"/>
              </w:pBdr>
              <w:spacing w:after="0" w:line="240" w:lineRule="auto"/>
              <w:rPr>
                <w:rFonts w:ascii="Arial" w:hAnsi="Arial" w:cs="Arial"/>
                <w:b/>
                <w:sz w:val="20"/>
                <w:szCs w:val="20"/>
              </w:rPr>
            </w:pPr>
          </w:p>
          <w:p w14:paraId="66B3D193" w14:textId="7DC34B41" w:rsidR="00416B48" w:rsidRPr="008A26D2" w:rsidRDefault="00416B48" w:rsidP="00416B48">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Indicador </w:t>
            </w:r>
            <w:r w:rsidR="0063579E">
              <w:rPr>
                <w:rFonts w:ascii="Arial" w:hAnsi="Arial" w:cs="Arial"/>
                <w:b/>
                <w:sz w:val="20"/>
                <w:szCs w:val="20"/>
              </w:rPr>
              <w:t>de calidad</w:t>
            </w:r>
          </w:p>
        </w:tc>
        <w:tc>
          <w:tcPr>
            <w:tcW w:w="61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1B7BEB17" w14:textId="77777777" w:rsidR="00416B48" w:rsidRPr="008A26D2" w:rsidRDefault="00416B48" w:rsidP="00416B48">
            <w:pPr>
              <w:pBdr>
                <w:top w:val="nil"/>
                <w:left w:val="nil"/>
                <w:bottom w:val="nil"/>
                <w:right w:val="nil"/>
                <w:between w:val="nil"/>
              </w:pBdr>
              <w:spacing w:after="0" w:line="240" w:lineRule="auto"/>
              <w:ind w:left="126"/>
              <w:jc w:val="both"/>
              <w:rPr>
                <w:rFonts w:ascii="Arial" w:hAnsi="Arial" w:cs="Arial"/>
                <w:sz w:val="20"/>
                <w:szCs w:val="20"/>
              </w:rPr>
            </w:pPr>
            <w:r w:rsidRPr="008A26D2">
              <w:rPr>
                <w:rFonts w:ascii="Arial" w:eastAsia="Arial Narrow" w:hAnsi="Arial" w:cs="Arial"/>
                <w:sz w:val="20"/>
                <w:szCs w:val="20"/>
              </w:rPr>
              <w:t>Porcentaje de organizaciones agrarias que recibieron oportunamente el primer desembolso para implementar sus planes de negocio del incentivo de adopción de tecnología.</w:t>
            </w:r>
          </w:p>
        </w:tc>
      </w:tr>
    </w:tbl>
    <w:p w14:paraId="3F748176" w14:textId="77777777" w:rsidR="0022281C" w:rsidRPr="008A26D2" w:rsidRDefault="0022281C" w:rsidP="0022281C">
      <w:pPr>
        <w:rPr>
          <w:rFonts w:ascii="Arial Narrow" w:eastAsia="Arial Narrow" w:hAnsi="Arial Narrow" w:cs="Arial Narrow"/>
          <w:b/>
        </w:rPr>
      </w:pPr>
    </w:p>
    <w:p w14:paraId="08DD61C0" w14:textId="77777777" w:rsidR="00735666" w:rsidRPr="008A26D2" w:rsidRDefault="00735666">
      <w:pPr>
        <w:rPr>
          <w:rFonts w:ascii="Arial Narrow" w:eastAsia="Arial Narrow" w:hAnsi="Arial Narrow" w:cs="Arial Narrow"/>
          <w:b/>
        </w:rPr>
      </w:pPr>
    </w:p>
    <w:p w14:paraId="70F192D2" w14:textId="438BCE5F" w:rsidR="00DC31CB" w:rsidRPr="008A26D2" w:rsidRDefault="00DC31CB" w:rsidP="00DC31CB">
      <w:pPr>
        <w:jc w:val="both"/>
        <w:rPr>
          <w:rFonts w:ascii="Arial" w:eastAsia="Arial Narrow" w:hAnsi="Arial" w:cs="Arial"/>
        </w:rPr>
      </w:pPr>
      <w:r w:rsidRPr="008A26D2">
        <w:rPr>
          <w:rFonts w:ascii="Arial" w:eastAsia="Arial Narrow" w:hAnsi="Arial" w:cs="Arial"/>
          <w:b/>
          <w:bCs/>
        </w:rPr>
        <w:t>S2.4.1</w:t>
      </w:r>
      <w:r w:rsidRPr="008A26D2">
        <w:rPr>
          <w:rFonts w:ascii="Arial" w:eastAsia="Arial Narrow" w:hAnsi="Arial" w:cs="Arial"/>
        </w:rPr>
        <w:t xml:space="preserve"> Transferencia de tecnologías agrarias liberadas de forma satisfactoria para los usuarios forestales y de fauna silvestre</w:t>
      </w:r>
    </w:p>
    <w:tbl>
      <w:tblPr>
        <w:tblW w:w="8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72"/>
        <w:gridCol w:w="2219"/>
        <w:gridCol w:w="2219"/>
        <w:gridCol w:w="2220"/>
      </w:tblGrid>
      <w:tr w:rsidR="008A26D2" w:rsidRPr="008A26D2" w14:paraId="088A0DBA" w14:textId="77777777" w:rsidTr="0040206E">
        <w:trPr>
          <w:trHeight w:val="300"/>
          <w:jc w:val="center"/>
        </w:trPr>
        <w:tc>
          <w:tcPr>
            <w:tcW w:w="8930" w:type="dxa"/>
            <w:gridSpan w:val="4"/>
            <w:shd w:val="clear" w:color="auto" w:fill="D9D9D9" w:themeFill="background1" w:themeFillShade="D9"/>
            <w:tcMar>
              <w:top w:w="15" w:type="dxa"/>
              <w:left w:w="15" w:type="dxa"/>
              <w:bottom w:w="0" w:type="dxa"/>
              <w:right w:w="15" w:type="dxa"/>
            </w:tcMar>
            <w:vAlign w:val="center"/>
          </w:tcPr>
          <w:p w14:paraId="7E9A826A" w14:textId="77777777" w:rsidR="00DC31CB" w:rsidRPr="008A26D2" w:rsidRDefault="00DC31CB" w:rsidP="0040206E">
            <w:pPr>
              <w:tabs>
                <w:tab w:val="left" w:pos="3375"/>
              </w:tabs>
              <w:spacing w:after="0" w:line="240" w:lineRule="auto"/>
              <w:jc w:val="center"/>
              <w:rPr>
                <w:rFonts w:ascii="Arial" w:hAnsi="Arial" w:cs="Arial"/>
                <w:sz w:val="20"/>
                <w:szCs w:val="20"/>
              </w:rPr>
            </w:pPr>
            <w:r w:rsidRPr="008A26D2">
              <w:rPr>
                <w:rFonts w:ascii="Arial" w:hAnsi="Arial" w:cs="Arial"/>
                <w:b/>
                <w:sz w:val="20"/>
                <w:szCs w:val="20"/>
              </w:rPr>
              <w:t xml:space="preserve">FICHA DEL SERVICIO </w:t>
            </w:r>
          </w:p>
        </w:tc>
      </w:tr>
      <w:tr w:rsidR="008A26D2" w:rsidRPr="008A26D2" w14:paraId="73F7BC7D" w14:textId="77777777" w:rsidTr="0040206E">
        <w:trPr>
          <w:trHeight w:val="300"/>
          <w:jc w:val="center"/>
        </w:trPr>
        <w:tc>
          <w:tcPr>
            <w:tcW w:w="2272" w:type="dxa"/>
            <w:shd w:val="clear" w:color="auto" w:fill="auto"/>
            <w:tcMar>
              <w:top w:w="15" w:type="dxa"/>
              <w:left w:w="15" w:type="dxa"/>
              <w:bottom w:w="0" w:type="dxa"/>
              <w:right w:w="15" w:type="dxa"/>
            </w:tcMar>
            <w:vAlign w:val="center"/>
          </w:tcPr>
          <w:p w14:paraId="333D5DBB" w14:textId="77777777" w:rsidR="00DC31CB" w:rsidRPr="008A26D2" w:rsidRDefault="00DC31CB" w:rsidP="0040206E">
            <w:pPr>
              <w:tabs>
                <w:tab w:val="left" w:pos="3375"/>
              </w:tabs>
              <w:spacing w:after="0" w:line="240" w:lineRule="auto"/>
              <w:rPr>
                <w:rFonts w:ascii="Arial" w:hAnsi="Arial" w:cs="Arial"/>
                <w:b/>
                <w:sz w:val="20"/>
                <w:szCs w:val="20"/>
              </w:rPr>
            </w:pPr>
            <w:r w:rsidRPr="008A26D2">
              <w:rPr>
                <w:rFonts w:ascii="Arial" w:hAnsi="Arial" w:cs="Arial"/>
                <w:b/>
                <w:sz w:val="20"/>
                <w:szCs w:val="20"/>
              </w:rPr>
              <w:t xml:space="preserve"> Objetivo prioritario:</w:t>
            </w:r>
          </w:p>
        </w:tc>
        <w:tc>
          <w:tcPr>
            <w:tcW w:w="6658" w:type="dxa"/>
            <w:gridSpan w:val="3"/>
            <w:shd w:val="clear" w:color="auto" w:fill="auto"/>
            <w:tcMar>
              <w:top w:w="15" w:type="dxa"/>
              <w:left w:w="15" w:type="dxa"/>
              <w:bottom w:w="0" w:type="dxa"/>
              <w:right w:w="15" w:type="dxa"/>
            </w:tcMar>
            <w:vAlign w:val="center"/>
          </w:tcPr>
          <w:p w14:paraId="54419B82" w14:textId="77777777" w:rsidR="00DC31CB" w:rsidRPr="008A26D2" w:rsidRDefault="00DC31CB" w:rsidP="0040206E">
            <w:pPr>
              <w:tabs>
                <w:tab w:val="left" w:pos="3375"/>
              </w:tabs>
              <w:spacing w:after="0" w:line="240" w:lineRule="auto"/>
              <w:ind w:left="130" w:right="277"/>
              <w:jc w:val="both"/>
              <w:rPr>
                <w:rFonts w:ascii="Arial" w:hAnsi="Arial" w:cs="Arial"/>
                <w:sz w:val="20"/>
                <w:szCs w:val="20"/>
              </w:rPr>
            </w:pPr>
            <w:r w:rsidRPr="008A26D2">
              <w:rPr>
                <w:rFonts w:ascii="Arial" w:eastAsia="Arial Narrow" w:hAnsi="Arial" w:cs="Arial"/>
                <w:sz w:val="20"/>
                <w:szCs w:val="20"/>
              </w:rPr>
              <w:t>OP2 Incrementar la productividad de los ecosistemas forestales, otros ecosistemas de vegetación silvestre y de la fauna silvestre</w:t>
            </w:r>
          </w:p>
        </w:tc>
      </w:tr>
      <w:tr w:rsidR="008A26D2" w:rsidRPr="008A26D2" w14:paraId="4B61DA09" w14:textId="77777777" w:rsidTr="0040206E">
        <w:trPr>
          <w:trHeight w:val="300"/>
          <w:jc w:val="center"/>
        </w:trPr>
        <w:tc>
          <w:tcPr>
            <w:tcW w:w="2272" w:type="dxa"/>
            <w:shd w:val="clear" w:color="auto" w:fill="auto"/>
            <w:tcMar>
              <w:top w:w="15" w:type="dxa"/>
              <w:left w:w="15" w:type="dxa"/>
              <w:bottom w:w="0" w:type="dxa"/>
              <w:right w:w="15" w:type="dxa"/>
            </w:tcMar>
            <w:vAlign w:val="center"/>
          </w:tcPr>
          <w:p w14:paraId="020707B1" w14:textId="77777777" w:rsidR="00DC31CB" w:rsidRPr="008A26D2" w:rsidRDefault="00DC31CB" w:rsidP="0040206E">
            <w:pPr>
              <w:tabs>
                <w:tab w:val="left" w:pos="3375"/>
              </w:tabs>
              <w:spacing w:after="0" w:line="240" w:lineRule="auto"/>
              <w:rPr>
                <w:rFonts w:ascii="Arial" w:hAnsi="Arial" w:cs="Arial"/>
                <w:b/>
                <w:sz w:val="20"/>
                <w:szCs w:val="20"/>
              </w:rPr>
            </w:pPr>
            <w:r w:rsidRPr="008A26D2">
              <w:rPr>
                <w:rFonts w:ascii="Arial" w:hAnsi="Arial" w:cs="Arial"/>
                <w:b/>
                <w:sz w:val="20"/>
                <w:szCs w:val="20"/>
              </w:rPr>
              <w:t xml:space="preserve"> Lineamiento:</w:t>
            </w:r>
          </w:p>
        </w:tc>
        <w:tc>
          <w:tcPr>
            <w:tcW w:w="6658" w:type="dxa"/>
            <w:gridSpan w:val="3"/>
            <w:shd w:val="clear" w:color="auto" w:fill="auto"/>
            <w:tcMar>
              <w:top w:w="15" w:type="dxa"/>
              <w:left w:w="15" w:type="dxa"/>
              <w:bottom w:w="0" w:type="dxa"/>
              <w:right w:w="15" w:type="dxa"/>
            </w:tcMar>
            <w:vAlign w:val="center"/>
          </w:tcPr>
          <w:p w14:paraId="62BEC393" w14:textId="77777777" w:rsidR="00DC31CB" w:rsidRPr="008A26D2" w:rsidRDefault="00DC31CB" w:rsidP="0040206E">
            <w:pPr>
              <w:tabs>
                <w:tab w:val="left" w:pos="3375"/>
              </w:tabs>
              <w:spacing w:after="0" w:line="240" w:lineRule="auto"/>
              <w:ind w:left="130" w:right="277"/>
              <w:jc w:val="both"/>
              <w:rPr>
                <w:rFonts w:ascii="Arial" w:hAnsi="Arial" w:cs="Arial"/>
                <w:sz w:val="20"/>
                <w:szCs w:val="20"/>
              </w:rPr>
            </w:pPr>
            <w:r w:rsidRPr="008A26D2">
              <w:rPr>
                <w:rFonts w:ascii="Arial" w:eastAsia="Arial Narrow" w:hAnsi="Arial" w:cs="Arial"/>
                <w:sz w:val="20"/>
                <w:szCs w:val="20"/>
              </w:rPr>
              <w:t>L2.4 Incrementar la generación de investigaciones e innovación, así como el desarrollo y transferencia de tecnologías en materia forestal y de fauna silvestre, y sus microorganismos asociados, incluyendo sus recursos genéticos</w:t>
            </w:r>
          </w:p>
        </w:tc>
      </w:tr>
      <w:tr w:rsidR="008A26D2" w:rsidRPr="008A26D2" w14:paraId="78028CB0" w14:textId="77777777" w:rsidTr="0040206E">
        <w:trPr>
          <w:trHeight w:val="300"/>
          <w:jc w:val="center"/>
        </w:trPr>
        <w:tc>
          <w:tcPr>
            <w:tcW w:w="2272" w:type="dxa"/>
            <w:shd w:val="clear" w:color="auto" w:fill="auto"/>
            <w:tcMar>
              <w:top w:w="15" w:type="dxa"/>
              <w:left w:w="15" w:type="dxa"/>
              <w:bottom w:w="0" w:type="dxa"/>
              <w:right w:w="15" w:type="dxa"/>
            </w:tcMar>
            <w:vAlign w:val="center"/>
          </w:tcPr>
          <w:p w14:paraId="03F670E0" w14:textId="77777777" w:rsidR="00DC31CB" w:rsidRPr="008A26D2" w:rsidRDefault="00DC31CB" w:rsidP="0040206E">
            <w:pPr>
              <w:tabs>
                <w:tab w:val="left" w:pos="3375"/>
              </w:tabs>
              <w:spacing w:after="0" w:line="240" w:lineRule="auto"/>
              <w:rPr>
                <w:rFonts w:ascii="Arial" w:hAnsi="Arial" w:cs="Arial"/>
                <w:b/>
                <w:sz w:val="20"/>
                <w:szCs w:val="20"/>
              </w:rPr>
            </w:pPr>
            <w:r w:rsidRPr="008A26D2">
              <w:rPr>
                <w:rFonts w:ascii="Arial" w:hAnsi="Arial" w:cs="Arial"/>
                <w:b/>
                <w:sz w:val="20"/>
                <w:szCs w:val="20"/>
              </w:rPr>
              <w:t xml:space="preserve"> Nombre del servicio:</w:t>
            </w:r>
          </w:p>
        </w:tc>
        <w:tc>
          <w:tcPr>
            <w:tcW w:w="6658" w:type="dxa"/>
            <w:gridSpan w:val="3"/>
            <w:shd w:val="clear" w:color="auto" w:fill="auto"/>
            <w:tcMar>
              <w:top w:w="15" w:type="dxa"/>
              <w:left w:w="15" w:type="dxa"/>
              <w:bottom w:w="0" w:type="dxa"/>
              <w:right w:w="15" w:type="dxa"/>
            </w:tcMar>
            <w:vAlign w:val="center"/>
          </w:tcPr>
          <w:p w14:paraId="2055008B" w14:textId="77777777" w:rsidR="00DC31CB" w:rsidRPr="008A26D2" w:rsidRDefault="00DC31CB" w:rsidP="0040206E">
            <w:pPr>
              <w:tabs>
                <w:tab w:val="left" w:pos="3375"/>
              </w:tabs>
              <w:spacing w:after="0" w:line="240" w:lineRule="auto"/>
              <w:ind w:left="130" w:right="277"/>
              <w:jc w:val="both"/>
              <w:rPr>
                <w:rFonts w:ascii="Arial" w:hAnsi="Arial" w:cs="Arial"/>
                <w:sz w:val="20"/>
                <w:szCs w:val="20"/>
              </w:rPr>
            </w:pPr>
            <w:r w:rsidRPr="008A26D2">
              <w:rPr>
                <w:rFonts w:ascii="Arial" w:eastAsia="Arial Narrow" w:hAnsi="Arial" w:cs="Arial"/>
                <w:sz w:val="20"/>
                <w:szCs w:val="20"/>
              </w:rPr>
              <w:t>S 2.4.1 Transferencia de tecnologías agrarias liberadas de forma satisfactoria para los usuarios forestales y de fauna silvestre</w:t>
            </w:r>
          </w:p>
        </w:tc>
      </w:tr>
      <w:tr w:rsidR="008A26D2" w:rsidRPr="008A26D2" w14:paraId="367A081C" w14:textId="77777777" w:rsidTr="0040206E">
        <w:trPr>
          <w:trHeight w:val="300"/>
          <w:jc w:val="center"/>
        </w:trPr>
        <w:tc>
          <w:tcPr>
            <w:tcW w:w="2272" w:type="dxa"/>
            <w:shd w:val="clear" w:color="auto" w:fill="auto"/>
            <w:tcMar>
              <w:top w:w="15" w:type="dxa"/>
              <w:left w:w="15" w:type="dxa"/>
              <w:bottom w:w="0" w:type="dxa"/>
              <w:right w:w="15" w:type="dxa"/>
            </w:tcMar>
            <w:vAlign w:val="center"/>
          </w:tcPr>
          <w:p w14:paraId="14DC44FC" w14:textId="77777777" w:rsidR="00DC31CB" w:rsidRPr="008A26D2" w:rsidRDefault="00DC31CB" w:rsidP="0040206E">
            <w:pPr>
              <w:tabs>
                <w:tab w:val="left" w:pos="3375"/>
              </w:tabs>
              <w:spacing w:after="0" w:line="240" w:lineRule="auto"/>
              <w:rPr>
                <w:rFonts w:ascii="Arial" w:hAnsi="Arial" w:cs="Arial"/>
                <w:b/>
                <w:sz w:val="20"/>
                <w:szCs w:val="20"/>
              </w:rPr>
            </w:pPr>
            <w:r w:rsidRPr="008A26D2">
              <w:rPr>
                <w:rFonts w:ascii="Arial" w:hAnsi="Arial" w:cs="Arial"/>
                <w:b/>
                <w:sz w:val="20"/>
                <w:szCs w:val="20"/>
              </w:rPr>
              <w:t>Tipo de servicio:</w:t>
            </w:r>
          </w:p>
        </w:tc>
        <w:tc>
          <w:tcPr>
            <w:tcW w:w="6658" w:type="dxa"/>
            <w:gridSpan w:val="3"/>
            <w:shd w:val="clear" w:color="auto" w:fill="auto"/>
            <w:tcMar>
              <w:top w:w="15" w:type="dxa"/>
              <w:left w:w="15" w:type="dxa"/>
              <w:bottom w:w="0" w:type="dxa"/>
              <w:right w:w="15" w:type="dxa"/>
            </w:tcMar>
            <w:vAlign w:val="center"/>
          </w:tcPr>
          <w:p w14:paraId="614F3390" w14:textId="77777777" w:rsidR="00DC31CB" w:rsidRPr="008A26D2" w:rsidRDefault="00DC31CB" w:rsidP="0040206E">
            <w:pPr>
              <w:tabs>
                <w:tab w:val="left" w:pos="3375"/>
              </w:tabs>
              <w:spacing w:after="0" w:line="240" w:lineRule="auto"/>
              <w:ind w:left="130"/>
              <w:rPr>
                <w:rFonts w:ascii="Arial" w:eastAsia="Arial Narrow" w:hAnsi="Arial" w:cs="Arial"/>
                <w:sz w:val="20"/>
                <w:szCs w:val="20"/>
              </w:rPr>
            </w:pPr>
            <w:r w:rsidRPr="008A26D2">
              <w:rPr>
                <w:rFonts w:ascii="Arial" w:eastAsia="Arial Narrow" w:hAnsi="Arial" w:cs="Arial"/>
                <w:sz w:val="20"/>
                <w:szCs w:val="20"/>
              </w:rPr>
              <w:t>Mejorado</w:t>
            </w:r>
          </w:p>
        </w:tc>
      </w:tr>
      <w:tr w:rsidR="008A26D2" w:rsidRPr="008A26D2" w14:paraId="53A5C0AA" w14:textId="77777777" w:rsidTr="0040206E">
        <w:trPr>
          <w:trHeight w:val="300"/>
          <w:jc w:val="center"/>
        </w:trPr>
        <w:tc>
          <w:tcPr>
            <w:tcW w:w="2272" w:type="dxa"/>
            <w:shd w:val="clear" w:color="auto" w:fill="auto"/>
            <w:tcMar>
              <w:top w:w="15" w:type="dxa"/>
              <w:left w:w="15" w:type="dxa"/>
              <w:bottom w:w="0" w:type="dxa"/>
              <w:right w:w="15" w:type="dxa"/>
            </w:tcMar>
            <w:vAlign w:val="center"/>
          </w:tcPr>
          <w:p w14:paraId="0295EA20" w14:textId="77777777" w:rsidR="00DC31CB" w:rsidRPr="008A26D2" w:rsidRDefault="00DC31CB" w:rsidP="0040206E">
            <w:pPr>
              <w:tabs>
                <w:tab w:val="left" w:pos="3375"/>
              </w:tabs>
              <w:spacing w:after="0" w:line="240" w:lineRule="auto"/>
              <w:rPr>
                <w:rFonts w:ascii="Arial" w:hAnsi="Arial" w:cs="Arial"/>
                <w:b/>
                <w:sz w:val="20"/>
                <w:szCs w:val="20"/>
              </w:rPr>
            </w:pPr>
            <w:r w:rsidRPr="008A26D2">
              <w:rPr>
                <w:rFonts w:ascii="Arial" w:hAnsi="Arial" w:cs="Arial"/>
                <w:b/>
                <w:sz w:val="20"/>
                <w:szCs w:val="20"/>
              </w:rPr>
              <w:t>Naturaleza del servicio:</w:t>
            </w:r>
          </w:p>
        </w:tc>
        <w:tc>
          <w:tcPr>
            <w:tcW w:w="6658" w:type="dxa"/>
            <w:gridSpan w:val="3"/>
            <w:shd w:val="clear" w:color="auto" w:fill="auto"/>
            <w:tcMar>
              <w:top w:w="15" w:type="dxa"/>
              <w:left w:w="15" w:type="dxa"/>
              <w:bottom w:w="0" w:type="dxa"/>
              <w:right w:w="15" w:type="dxa"/>
            </w:tcMar>
            <w:vAlign w:val="center"/>
          </w:tcPr>
          <w:p w14:paraId="4C4379D5" w14:textId="77777777" w:rsidR="00DC31CB" w:rsidRPr="008A26D2" w:rsidRDefault="00DC31CB" w:rsidP="0040206E">
            <w:pPr>
              <w:tabs>
                <w:tab w:val="left" w:pos="3375"/>
              </w:tabs>
              <w:spacing w:after="0" w:line="240" w:lineRule="auto"/>
              <w:ind w:left="130"/>
              <w:rPr>
                <w:rFonts w:ascii="Arial" w:eastAsia="Arial Narrow" w:hAnsi="Arial" w:cs="Arial"/>
                <w:sz w:val="20"/>
                <w:szCs w:val="20"/>
              </w:rPr>
            </w:pPr>
            <w:r w:rsidRPr="008A26D2">
              <w:rPr>
                <w:rFonts w:ascii="Arial" w:eastAsia="Arial Narrow" w:hAnsi="Arial" w:cs="Arial"/>
                <w:sz w:val="20"/>
                <w:szCs w:val="20"/>
              </w:rPr>
              <w:t>Prestacional</w:t>
            </w:r>
          </w:p>
        </w:tc>
      </w:tr>
      <w:tr w:rsidR="008A26D2" w:rsidRPr="008A26D2" w14:paraId="68218C90" w14:textId="77777777" w:rsidTr="0040206E">
        <w:trPr>
          <w:trHeight w:val="300"/>
          <w:jc w:val="center"/>
        </w:trPr>
        <w:tc>
          <w:tcPr>
            <w:tcW w:w="2272" w:type="dxa"/>
            <w:shd w:val="clear" w:color="auto" w:fill="auto"/>
            <w:tcMar>
              <w:top w:w="15" w:type="dxa"/>
              <w:left w:w="15" w:type="dxa"/>
              <w:bottom w:w="0" w:type="dxa"/>
              <w:right w:w="15" w:type="dxa"/>
            </w:tcMar>
            <w:vAlign w:val="center"/>
          </w:tcPr>
          <w:p w14:paraId="18DD13E6" w14:textId="77777777" w:rsidR="00DC31CB" w:rsidRPr="008A26D2" w:rsidRDefault="00DC31CB" w:rsidP="0040206E">
            <w:pPr>
              <w:tabs>
                <w:tab w:val="left" w:pos="3375"/>
              </w:tabs>
              <w:spacing w:after="0" w:line="240" w:lineRule="auto"/>
              <w:rPr>
                <w:rFonts w:ascii="Arial" w:hAnsi="Arial" w:cs="Arial"/>
                <w:b/>
                <w:sz w:val="20"/>
                <w:szCs w:val="20"/>
              </w:rPr>
            </w:pPr>
            <w:r w:rsidRPr="008A26D2">
              <w:rPr>
                <w:rFonts w:ascii="Arial" w:hAnsi="Arial" w:cs="Arial"/>
                <w:b/>
                <w:sz w:val="20"/>
                <w:szCs w:val="20"/>
              </w:rPr>
              <w:t>Entrega del servicio</w:t>
            </w:r>
          </w:p>
        </w:tc>
        <w:tc>
          <w:tcPr>
            <w:tcW w:w="6658" w:type="dxa"/>
            <w:gridSpan w:val="3"/>
            <w:shd w:val="clear" w:color="auto" w:fill="auto"/>
            <w:tcMar>
              <w:top w:w="15" w:type="dxa"/>
              <w:left w:w="15" w:type="dxa"/>
              <w:bottom w:w="0" w:type="dxa"/>
              <w:right w:w="15" w:type="dxa"/>
            </w:tcMar>
            <w:vAlign w:val="center"/>
          </w:tcPr>
          <w:p w14:paraId="745125BC" w14:textId="77777777" w:rsidR="00DC31CB" w:rsidRPr="008A26D2" w:rsidRDefault="00DC31CB" w:rsidP="0040206E">
            <w:pPr>
              <w:tabs>
                <w:tab w:val="left" w:pos="3375"/>
              </w:tabs>
              <w:spacing w:after="0" w:line="240" w:lineRule="auto"/>
              <w:ind w:left="130"/>
              <w:rPr>
                <w:rFonts w:ascii="Arial" w:eastAsia="Arial Narrow" w:hAnsi="Arial" w:cs="Arial"/>
                <w:sz w:val="20"/>
                <w:szCs w:val="20"/>
              </w:rPr>
            </w:pPr>
            <w:r w:rsidRPr="008A26D2">
              <w:rPr>
                <w:rFonts w:ascii="Arial" w:eastAsia="Arial Narrow" w:hAnsi="Arial" w:cs="Arial"/>
                <w:sz w:val="20"/>
                <w:szCs w:val="20"/>
              </w:rPr>
              <w:t xml:space="preserve">Competencia exclusiva </w:t>
            </w:r>
          </w:p>
        </w:tc>
      </w:tr>
      <w:tr w:rsidR="008A26D2" w:rsidRPr="008A26D2" w14:paraId="210902B8" w14:textId="77777777" w:rsidTr="0040206E">
        <w:trPr>
          <w:trHeight w:val="3865"/>
          <w:jc w:val="center"/>
        </w:trPr>
        <w:tc>
          <w:tcPr>
            <w:tcW w:w="2272" w:type="dxa"/>
            <w:shd w:val="clear" w:color="auto" w:fill="auto"/>
            <w:tcMar>
              <w:top w:w="15" w:type="dxa"/>
              <w:left w:w="15" w:type="dxa"/>
              <w:bottom w:w="0" w:type="dxa"/>
              <w:right w:w="15" w:type="dxa"/>
            </w:tcMar>
            <w:vAlign w:val="center"/>
          </w:tcPr>
          <w:p w14:paraId="6A1A6679" w14:textId="77777777" w:rsidR="00DC31CB" w:rsidRPr="008A26D2" w:rsidRDefault="00DC31CB" w:rsidP="0040206E">
            <w:pPr>
              <w:tabs>
                <w:tab w:val="left" w:pos="3375"/>
              </w:tabs>
              <w:spacing w:after="0" w:line="240" w:lineRule="auto"/>
              <w:rPr>
                <w:rFonts w:ascii="Arial" w:hAnsi="Arial" w:cs="Arial"/>
                <w:b/>
                <w:sz w:val="20"/>
                <w:szCs w:val="20"/>
              </w:rPr>
            </w:pPr>
            <w:r w:rsidRPr="008A26D2">
              <w:rPr>
                <w:rFonts w:ascii="Arial" w:hAnsi="Arial" w:cs="Arial"/>
                <w:b/>
                <w:sz w:val="20"/>
                <w:szCs w:val="20"/>
              </w:rPr>
              <w:t xml:space="preserve"> Descripción del servicio</w:t>
            </w:r>
          </w:p>
        </w:tc>
        <w:tc>
          <w:tcPr>
            <w:tcW w:w="6658" w:type="dxa"/>
            <w:gridSpan w:val="3"/>
            <w:shd w:val="clear" w:color="auto" w:fill="auto"/>
            <w:tcMar>
              <w:top w:w="15" w:type="dxa"/>
              <w:left w:w="15" w:type="dxa"/>
              <w:bottom w:w="0" w:type="dxa"/>
              <w:right w:w="15" w:type="dxa"/>
            </w:tcMar>
            <w:vAlign w:val="center"/>
          </w:tcPr>
          <w:p w14:paraId="11DA1AF5" w14:textId="60F31E6A" w:rsidR="00DC31CB" w:rsidRPr="008A26D2" w:rsidRDefault="00DC31CB" w:rsidP="0040206E">
            <w:pPr>
              <w:pBdr>
                <w:top w:val="nil"/>
                <w:left w:val="nil"/>
                <w:bottom w:val="nil"/>
                <w:right w:val="nil"/>
                <w:between w:val="nil"/>
              </w:pBdr>
              <w:tabs>
                <w:tab w:val="left" w:pos="3375"/>
              </w:tabs>
              <w:spacing w:after="0" w:line="240" w:lineRule="auto"/>
              <w:ind w:left="130" w:right="277"/>
              <w:jc w:val="both"/>
              <w:rPr>
                <w:rFonts w:ascii="Arial" w:eastAsia="Arial Narrow" w:hAnsi="Arial" w:cs="Arial"/>
                <w:sz w:val="20"/>
                <w:szCs w:val="20"/>
              </w:rPr>
            </w:pPr>
            <w:r w:rsidRPr="008A26D2">
              <w:rPr>
                <w:rFonts w:ascii="Arial" w:eastAsia="Arial Narrow" w:hAnsi="Arial" w:cs="Arial"/>
                <w:sz w:val="20"/>
                <w:szCs w:val="20"/>
              </w:rPr>
              <w:t>El presente servicio consiste en transferir los conocimientos técnicos generados por el Instituto Nacional de Innovación Agraria (conocimientos de procesos y/o de productos) dirigido a productores y productoras, a través de herramientas como: cursos modulares, charlas técnicas, pasantías, etc., complementados con demostraciones de métodos prácticos en parcelas demostrativas, empleando metodologías de enseñanza - aprendizaje, en respuesta a las demandas tecnológicas determinadas y priorizadas en forma conjunta con los productores forestales.</w:t>
            </w:r>
          </w:p>
          <w:p w14:paraId="7748EB2A" w14:textId="77777777" w:rsidR="00DC31CB" w:rsidRPr="008A26D2" w:rsidRDefault="00DC31CB" w:rsidP="0040206E">
            <w:pPr>
              <w:pBdr>
                <w:top w:val="nil"/>
                <w:left w:val="nil"/>
                <w:bottom w:val="nil"/>
                <w:right w:val="nil"/>
                <w:between w:val="nil"/>
              </w:pBdr>
              <w:tabs>
                <w:tab w:val="left" w:pos="3375"/>
              </w:tabs>
              <w:spacing w:after="0" w:line="240" w:lineRule="auto"/>
              <w:ind w:left="130" w:right="277"/>
              <w:jc w:val="both"/>
              <w:rPr>
                <w:rFonts w:ascii="Arial" w:eastAsia="Arial Narrow" w:hAnsi="Arial" w:cs="Arial"/>
                <w:sz w:val="20"/>
                <w:szCs w:val="20"/>
              </w:rPr>
            </w:pPr>
          </w:p>
          <w:p w14:paraId="43729302" w14:textId="77777777" w:rsidR="00DC31CB" w:rsidRPr="008A26D2" w:rsidRDefault="00DC31CB" w:rsidP="0040206E">
            <w:pPr>
              <w:pBdr>
                <w:top w:val="nil"/>
                <w:left w:val="nil"/>
                <w:bottom w:val="nil"/>
                <w:right w:val="nil"/>
                <w:between w:val="nil"/>
              </w:pBdr>
              <w:tabs>
                <w:tab w:val="left" w:pos="3375"/>
              </w:tabs>
              <w:spacing w:after="0" w:line="240" w:lineRule="auto"/>
              <w:ind w:left="130" w:right="277"/>
              <w:jc w:val="both"/>
              <w:rPr>
                <w:rFonts w:ascii="Arial" w:eastAsia="Arial Narrow" w:hAnsi="Arial" w:cs="Arial"/>
                <w:sz w:val="20"/>
                <w:szCs w:val="20"/>
              </w:rPr>
            </w:pPr>
            <w:r w:rsidRPr="008A26D2">
              <w:rPr>
                <w:rFonts w:ascii="Arial" w:eastAsia="Arial Narrow" w:hAnsi="Arial" w:cs="Arial"/>
                <w:sz w:val="20"/>
                <w:szCs w:val="20"/>
              </w:rPr>
              <w:t>La transferencia de tecnologías consiste en desarrollar el proceso de enseñanza-aprendizaje a productores(as) agropecuarios(as) con el fin de entrenarlos en el uso y aplicación de paquetes tecnológicos agropecuarios que solucionen la problemática de sus procesos productivos. Este proceso se realiza a través de cursos modulares a productores(as) con sesiones teóricas y prácticas y con talleres a proveedores de asistencia técnica.</w:t>
            </w:r>
          </w:p>
          <w:p w14:paraId="1D7E8B2C" w14:textId="77777777" w:rsidR="00DC31CB" w:rsidRPr="008A26D2" w:rsidRDefault="00DC31CB" w:rsidP="0040206E">
            <w:pPr>
              <w:pBdr>
                <w:top w:val="nil"/>
                <w:left w:val="nil"/>
                <w:bottom w:val="nil"/>
                <w:right w:val="nil"/>
                <w:between w:val="nil"/>
              </w:pBdr>
              <w:tabs>
                <w:tab w:val="left" w:pos="3375"/>
              </w:tabs>
              <w:spacing w:after="0" w:line="240" w:lineRule="auto"/>
              <w:ind w:left="130" w:right="277"/>
              <w:jc w:val="both"/>
              <w:rPr>
                <w:rFonts w:ascii="Arial" w:eastAsia="Arial Narrow" w:hAnsi="Arial" w:cs="Arial"/>
                <w:sz w:val="20"/>
                <w:szCs w:val="20"/>
              </w:rPr>
            </w:pPr>
          </w:p>
          <w:p w14:paraId="593840F1" w14:textId="2456315B" w:rsidR="00DC31CB" w:rsidRPr="008A26D2" w:rsidRDefault="00DC31CB" w:rsidP="0040206E">
            <w:pPr>
              <w:pBdr>
                <w:top w:val="nil"/>
                <w:left w:val="nil"/>
                <w:bottom w:val="nil"/>
                <w:right w:val="nil"/>
                <w:between w:val="nil"/>
              </w:pBdr>
              <w:tabs>
                <w:tab w:val="left" w:pos="3375"/>
              </w:tabs>
              <w:spacing w:after="0" w:line="240" w:lineRule="auto"/>
              <w:ind w:left="130" w:right="277"/>
              <w:jc w:val="both"/>
              <w:rPr>
                <w:rFonts w:ascii="Arial" w:eastAsia="Arial Narrow" w:hAnsi="Arial" w:cs="Arial"/>
                <w:sz w:val="20"/>
                <w:szCs w:val="20"/>
              </w:rPr>
            </w:pPr>
            <w:r w:rsidRPr="008A26D2">
              <w:rPr>
                <w:rFonts w:ascii="Arial" w:eastAsia="Arial Narrow" w:hAnsi="Arial" w:cs="Arial"/>
                <w:sz w:val="20"/>
                <w:szCs w:val="20"/>
              </w:rPr>
              <w:t>Para la priorización de los beneficiarios(as) que recibirán el servicio de transferencia tecnológica, se ha considerado a aquellos productores(as) de las zonas de intervención en las que el INIA cuenta con Estaciones Experimentales Agrarias</w:t>
            </w:r>
            <w:r w:rsidR="004E7D4B">
              <w:rPr>
                <w:rFonts w:ascii="Arial" w:eastAsia="Arial Narrow" w:hAnsi="Arial" w:cs="Arial"/>
                <w:sz w:val="20"/>
                <w:szCs w:val="20"/>
              </w:rPr>
              <w:t xml:space="preserve"> - EEA</w:t>
            </w:r>
            <w:r w:rsidR="00DF3E5A" w:rsidRPr="008A26D2">
              <w:rPr>
                <w:rFonts w:ascii="Arial" w:eastAsia="Arial Narrow" w:hAnsi="Arial" w:cs="Arial"/>
                <w:sz w:val="20"/>
                <w:szCs w:val="20"/>
              </w:rPr>
              <w:t>, teniendo en cuenta los siguientes</w:t>
            </w:r>
            <w:r w:rsidRPr="008A26D2">
              <w:rPr>
                <w:rFonts w:ascii="Arial" w:eastAsia="Arial Narrow" w:hAnsi="Arial" w:cs="Arial"/>
                <w:sz w:val="20"/>
                <w:szCs w:val="20"/>
              </w:rPr>
              <w:t xml:space="preserve"> criterios:</w:t>
            </w:r>
          </w:p>
          <w:p w14:paraId="5E204D44" w14:textId="77777777" w:rsidR="00DC31CB" w:rsidRPr="008A26D2" w:rsidRDefault="00DC31CB" w:rsidP="0040206E">
            <w:pPr>
              <w:pBdr>
                <w:top w:val="nil"/>
                <w:left w:val="nil"/>
                <w:bottom w:val="nil"/>
                <w:right w:val="nil"/>
                <w:between w:val="nil"/>
              </w:pBdr>
              <w:tabs>
                <w:tab w:val="left" w:pos="3375"/>
              </w:tabs>
              <w:spacing w:after="0" w:line="240" w:lineRule="auto"/>
              <w:ind w:left="130" w:right="277"/>
              <w:jc w:val="both"/>
              <w:rPr>
                <w:rFonts w:ascii="Arial" w:eastAsia="Arial Narrow" w:hAnsi="Arial" w:cs="Arial"/>
                <w:sz w:val="20"/>
                <w:szCs w:val="20"/>
              </w:rPr>
            </w:pPr>
          </w:p>
          <w:p w14:paraId="1841233D" w14:textId="77777777" w:rsidR="00DC31CB" w:rsidRPr="008A26D2" w:rsidRDefault="00DC31CB" w:rsidP="00DC31CB">
            <w:pPr>
              <w:pStyle w:val="Prrafodelista"/>
              <w:numPr>
                <w:ilvl w:val="0"/>
                <w:numId w:val="51"/>
              </w:numPr>
              <w:spacing w:after="120" w:line="276" w:lineRule="auto"/>
              <w:ind w:right="277"/>
              <w:jc w:val="both"/>
              <w:rPr>
                <w:rFonts w:ascii="Arial" w:eastAsia="Arial Narrow" w:hAnsi="Arial" w:cs="Arial"/>
                <w:sz w:val="20"/>
                <w:szCs w:val="20"/>
                <w:lang w:eastAsia="es-PE"/>
              </w:rPr>
            </w:pPr>
            <w:r w:rsidRPr="008A26D2">
              <w:rPr>
                <w:rFonts w:ascii="Arial" w:eastAsia="Arial Narrow" w:hAnsi="Arial" w:cs="Arial"/>
                <w:sz w:val="20"/>
                <w:szCs w:val="20"/>
                <w:u w:val="single"/>
                <w:lang w:eastAsia="es-PE"/>
              </w:rPr>
              <w:t>Productores(as) organizados</w:t>
            </w:r>
            <w:r w:rsidRPr="008A26D2">
              <w:rPr>
                <w:rFonts w:ascii="Arial" w:eastAsia="Arial Narrow" w:hAnsi="Arial" w:cs="Arial"/>
                <w:sz w:val="20"/>
                <w:szCs w:val="20"/>
                <w:lang w:eastAsia="es-PE"/>
              </w:rPr>
              <w:t>: se priorizará organizaciones que tengan como mínimo 1 año de constituidas, asociaciones de productores(as) que tengan como mínimo 20 socios y que tengan acceso a mercados locales o regionales.</w:t>
            </w:r>
          </w:p>
          <w:p w14:paraId="15F1A677" w14:textId="77777777" w:rsidR="00DC31CB" w:rsidRPr="008A26D2" w:rsidRDefault="00DC31CB" w:rsidP="00DC31CB">
            <w:pPr>
              <w:pStyle w:val="Prrafodelista"/>
              <w:numPr>
                <w:ilvl w:val="0"/>
                <w:numId w:val="51"/>
              </w:numPr>
              <w:spacing w:after="120" w:line="276" w:lineRule="auto"/>
              <w:ind w:right="277"/>
              <w:jc w:val="both"/>
              <w:rPr>
                <w:rFonts w:ascii="Arial" w:eastAsia="Arial Narrow" w:hAnsi="Arial" w:cs="Arial"/>
                <w:sz w:val="20"/>
                <w:szCs w:val="20"/>
                <w:lang w:eastAsia="es-PE"/>
              </w:rPr>
            </w:pPr>
            <w:r w:rsidRPr="008A26D2">
              <w:rPr>
                <w:rFonts w:ascii="Arial" w:eastAsia="Arial Narrow" w:hAnsi="Arial" w:cs="Arial"/>
                <w:sz w:val="20"/>
                <w:szCs w:val="20"/>
                <w:u w:val="single"/>
                <w:lang w:eastAsia="es-PE"/>
              </w:rPr>
              <w:t>Bajos Índices de productividad</w:t>
            </w:r>
            <w:r w:rsidRPr="008A26D2">
              <w:rPr>
                <w:rFonts w:ascii="Arial" w:eastAsia="Arial Narrow" w:hAnsi="Arial" w:cs="Arial"/>
                <w:sz w:val="20"/>
                <w:szCs w:val="20"/>
                <w:lang w:eastAsia="es-PE"/>
              </w:rPr>
              <w:t>: pequeños y medianos productores(as) que cuenten con niveles de productividad inferiores al promedio regional.</w:t>
            </w:r>
          </w:p>
          <w:p w14:paraId="728BEBC2" w14:textId="77777777" w:rsidR="00DC31CB" w:rsidRPr="008A26D2" w:rsidRDefault="00DC31CB" w:rsidP="00DC31CB">
            <w:pPr>
              <w:pStyle w:val="Prrafodelista"/>
              <w:numPr>
                <w:ilvl w:val="0"/>
                <w:numId w:val="51"/>
              </w:numPr>
              <w:spacing w:after="120" w:line="276" w:lineRule="auto"/>
              <w:ind w:right="277"/>
              <w:jc w:val="both"/>
              <w:rPr>
                <w:rFonts w:ascii="Arial" w:eastAsia="Arial Narrow" w:hAnsi="Arial" w:cs="Arial"/>
                <w:sz w:val="20"/>
                <w:szCs w:val="20"/>
                <w:lang w:eastAsia="es-PE"/>
              </w:rPr>
            </w:pPr>
            <w:r w:rsidRPr="008A26D2">
              <w:rPr>
                <w:rFonts w:ascii="Arial" w:eastAsia="Arial Narrow" w:hAnsi="Arial" w:cs="Arial"/>
                <w:sz w:val="20"/>
                <w:szCs w:val="20"/>
                <w:u w:val="single"/>
                <w:lang w:eastAsia="es-PE"/>
              </w:rPr>
              <w:lastRenderedPageBreak/>
              <w:t>Beneficiarios(as) de capacitación o asistencia técnica</w:t>
            </w:r>
            <w:r w:rsidRPr="008A26D2">
              <w:rPr>
                <w:rFonts w:ascii="Arial" w:eastAsia="Arial Narrow" w:hAnsi="Arial" w:cs="Arial"/>
                <w:sz w:val="20"/>
                <w:szCs w:val="20"/>
                <w:lang w:eastAsia="es-PE"/>
              </w:rPr>
              <w:t>: agricultores(as) que no han recibido o reciben capacitación o asistencia técnica.</w:t>
            </w:r>
          </w:p>
          <w:p w14:paraId="7CE06B15" w14:textId="77777777" w:rsidR="00DC31CB" w:rsidRPr="008A26D2" w:rsidRDefault="00DC31CB" w:rsidP="00DC31CB">
            <w:pPr>
              <w:pStyle w:val="Prrafodelista"/>
              <w:numPr>
                <w:ilvl w:val="0"/>
                <w:numId w:val="51"/>
              </w:numPr>
              <w:spacing w:after="120" w:line="276" w:lineRule="auto"/>
              <w:ind w:right="277"/>
              <w:contextualSpacing w:val="0"/>
              <w:jc w:val="both"/>
              <w:rPr>
                <w:rFonts w:ascii="Arial" w:eastAsia="Arial Narrow" w:hAnsi="Arial" w:cs="Arial"/>
                <w:sz w:val="20"/>
                <w:szCs w:val="20"/>
              </w:rPr>
            </w:pPr>
            <w:r w:rsidRPr="008A26D2">
              <w:rPr>
                <w:rFonts w:ascii="Arial" w:eastAsia="Arial Narrow" w:hAnsi="Arial" w:cs="Arial"/>
                <w:sz w:val="20"/>
                <w:szCs w:val="20"/>
                <w:u w:val="single"/>
                <w:lang w:eastAsia="es-PE"/>
              </w:rPr>
              <w:t>Nivel de instrucción</w:t>
            </w:r>
            <w:r w:rsidRPr="008A26D2">
              <w:rPr>
                <w:rFonts w:ascii="Arial" w:eastAsia="Arial Narrow" w:hAnsi="Arial" w:cs="Arial"/>
                <w:sz w:val="20"/>
                <w:szCs w:val="20"/>
                <w:lang w:eastAsia="es-PE"/>
              </w:rPr>
              <w:t>: se priorizará a los productores(as) con instrucción primaria o secundaria.</w:t>
            </w:r>
          </w:p>
          <w:p w14:paraId="649BBE0E" w14:textId="60C6B064" w:rsidR="00DC31CB" w:rsidRPr="008A26D2" w:rsidRDefault="00DC31CB" w:rsidP="0040206E">
            <w:pPr>
              <w:ind w:left="123" w:right="277"/>
              <w:jc w:val="both"/>
              <w:rPr>
                <w:rFonts w:ascii="Arial" w:eastAsia="Arial Narrow" w:hAnsi="Arial" w:cs="Arial"/>
                <w:sz w:val="20"/>
                <w:szCs w:val="20"/>
              </w:rPr>
            </w:pPr>
            <w:r w:rsidRPr="008A26D2">
              <w:rPr>
                <w:rFonts w:ascii="Arial" w:eastAsia="Arial Narrow" w:hAnsi="Arial" w:cs="Arial"/>
                <w:sz w:val="20"/>
                <w:szCs w:val="20"/>
              </w:rPr>
              <w:t>En base a la priorización de temas y beneficiarios, las Estaciones Experimentales Agrarias presentan sus propuestas de Planes Anuales al Coordinador(a) Nacional de Transferencia Tecnológica, las mismas que se recogen en el Plan Operativo Institucional</w:t>
            </w:r>
            <w:r w:rsidR="00EA4602" w:rsidRPr="008A26D2">
              <w:rPr>
                <w:rFonts w:ascii="Arial" w:eastAsia="Arial Narrow" w:hAnsi="Arial" w:cs="Arial"/>
                <w:sz w:val="20"/>
                <w:szCs w:val="20"/>
              </w:rPr>
              <w:t xml:space="preserve"> e involucra las siguientes acciones</w:t>
            </w:r>
            <w:r w:rsidRPr="008A26D2">
              <w:rPr>
                <w:rFonts w:ascii="Arial" w:eastAsia="Arial Narrow" w:hAnsi="Arial" w:cs="Arial"/>
                <w:sz w:val="20"/>
                <w:szCs w:val="20"/>
              </w:rPr>
              <w:t>:</w:t>
            </w:r>
          </w:p>
          <w:p w14:paraId="45D71BEB" w14:textId="77777777" w:rsidR="00DC31CB" w:rsidRPr="008A26D2" w:rsidRDefault="00DC31CB" w:rsidP="00DC31CB">
            <w:pPr>
              <w:pStyle w:val="Prrafodelista"/>
              <w:numPr>
                <w:ilvl w:val="0"/>
                <w:numId w:val="52"/>
              </w:numPr>
              <w:ind w:right="273"/>
              <w:jc w:val="both"/>
              <w:rPr>
                <w:rFonts w:ascii="Arial" w:eastAsia="Arial Narrow" w:hAnsi="Arial" w:cs="Arial"/>
                <w:sz w:val="20"/>
                <w:szCs w:val="20"/>
              </w:rPr>
            </w:pPr>
            <w:r w:rsidRPr="008A26D2">
              <w:rPr>
                <w:rFonts w:ascii="Arial" w:eastAsia="Arial Narrow" w:hAnsi="Arial" w:cs="Arial"/>
                <w:sz w:val="20"/>
                <w:szCs w:val="20"/>
                <w:u w:val="single"/>
              </w:rPr>
              <w:t>Convocan a las organizaciones y productores en los ámbitos seleccionados:</w:t>
            </w:r>
            <w:r w:rsidRPr="008A26D2">
              <w:rPr>
                <w:rFonts w:ascii="Arial" w:eastAsia="Arial Narrow" w:hAnsi="Arial" w:cs="Arial"/>
                <w:sz w:val="20"/>
                <w:szCs w:val="20"/>
              </w:rPr>
              <w:t xml:space="preserve"> Los(as) especialistas en transferencia de tecnología de cada EEA convocan y se reúnen con las autoridades y técnicos de los distritos seleccionados, que conozcan el ámbito, para dar a conocer y coordinar la participación y compromisos de cada institución en los eventos de transferencia programados en su ámbito.</w:t>
            </w:r>
          </w:p>
          <w:p w14:paraId="6856D15F" w14:textId="77777777" w:rsidR="00DC31CB" w:rsidRPr="008A26D2" w:rsidRDefault="00DC31CB" w:rsidP="00DC31CB">
            <w:pPr>
              <w:pStyle w:val="Prrafodelista"/>
              <w:numPr>
                <w:ilvl w:val="0"/>
                <w:numId w:val="52"/>
              </w:numPr>
              <w:ind w:right="273"/>
              <w:jc w:val="both"/>
              <w:rPr>
                <w:rFonts w:cstheme="minorHAnsi"/>
                <w:lang w:val="es-ES"/>
              </w:rPr>
            </w:pPr>
            <w:r w:rsidRPr="008A26D2">
              <w:rPr>
                <w:rFonts w:ascii="Arial" w:eastAsia="Arial Narrow" w:hAnsi="Arial" w:cs="Arial"/>
                <w:sz w:val="20"/>
                <w:szCs w:val="20"/>
                <w:u w:val="single"/>
              </w:rPr>
              <w:t xml:space="preserve">Ubicar e instalar de la parcela demostrativa: </w:t>
            </w:r>
            <w:r w:rsidRPr="008A26D2">
              <w:rPr>
                <w:rFonts w:ascii="Arial" w:eastAsia="Arial Narrow" w:hAnsi="Arial" w:cs="Arial"/>
                <w:sz w:val="20"/>
                <w:szCs w:val="20"/>
              </w:rPr>
              <w:t>Consiste en seleccionar el lugar y determinar el área donde se instalará la parcela demostrativa, que es el espacio físico en el que se desarrollan los cursos modulares de capacitación.</w:t>
            </w:r>
          </w:p>
          <w:p w14:paraId="65AB22E5" w14:textId="77777777" w:rsidR="00DC31CB" w:rsidRPr="008A26D2" w:rsidRDefault="00DC31CB" w:rsidP="00DC31CB">
            <w:pPr>
              <w:pStyle w:val="Prrafodelista"/>
              <w:numPr>
                <w:ilvl w:val="0"/>
                <w:numId w:val="52"/>
              </w:numPr>
              <w:ind w:right="273"/>
              <w:jc w:val="both"/>
              <w:rPr>
                <w:rFonts w:ascii="Arial" w:eastAsia="Arial Narrow" w:hAnsi="Arial" w:cs="Arial"/>
                <w:sz w:val="20"/>
                <w:szCs w:val="20"/>
              </w:rPr>
            </w:pPr>
            <w:r w:rsidRPr="008A26D2">
              <w:rPr>
                <w:rFonts w:ascii="Arial" w:eastAsia="Arial Narrow" w:hAnsi="Arial" w:cs="Arial"/>
                <w:sz w:val="20"/>
                <w:szCs w:val="20"/>
                <w:u w:val="single"/>
              </w:rPr>
              <w:t>Transferir de tecnología:</w:t>
            </w:r>
            <w:r w:rsidRPr="008A26D2">
              <w:rPr>
                <w:rFonts w:ascii="Arial" w:eastAsia="Arial Narrow" w:hAnsi="Arial" w:cs="Arial"/>
                <w:sz w:val="20"/>
                <w:szCs w:val="20"/>
              </w:rPr>
              <w:t xml:space="preserve"> El proceso de enseñanza-aprendizaje será de tipo presencial, teórico-práctico de acuerdo con el ciclo fenológico del cultivo o etapa de crecimiento de la crianza.</w:t>
            </w:r>
          </w:p>
          <w:p w14:paraId="71668EEB" w14:textId="2139051B" w:rsidR="00DC31CB" w:rsidRPr="008A26D2" w:rsidRDefault="00DC31CB" w:rsidP="000C39A1">
            <w:pPr>
              <w:ind w:left="119" w:right="273"/>
              <w:jc w:val="both"/>
              <w:rPr>
                <w:rFonts w:ascii="Arial" w:eastAsia="Arial Narrow" w:hAnsi="Arial" w:cs="Arial"/>
                <w:sz w:val="20"/>
                <w:szCs w:val="20"/>
                <w:lang w:eastAsia="en-US"/>
              </w:rPr>
            </w:pPr>
            <w:r w:rsidRPr="008A26D2">
              <w:rPr>
                <w:rFonts w:ascii="Arial" w:eastAsia="Arial Narrow" w:hAnsi="Arial" w:cs="Arial"/>
                <w:sz w:val="20"/>
                <w:szCs w:val="20"/>
                <w:lang w:eastAsia="en-US"/>
              </w:rPr>
              <w:t xml:space="preserve">En el desarrollo de los cursos modulares, desde el inicio de cada curso se debe llevar un padrón de inscripción de los productores(as) participantes donde se registren los datos personales de cada uno. Al finalizar cada curso modular, se entregará a los productores(as) capacitados un certificado de participación emitido por la </w:t>
            </w:r>
            <w:r w:rsidRPr="008A26D2">
              <w:rPr>
                <w:rFonts w:ascii="Arial" w:eastAsia="Arial Narrow" w:hAnsi="Arial" w:cs="Arial"/>
                <w:sz w:val="20"/>
                <w:szCs w:val="20"/>
              </w:rPr>
              <w:t>Estación Experimental Agraria</w:t>
            </w:r>
            <w:r w:rsidRPr="008A26D2">
              <w:rPr>
                <w:rFonts w:ascii="Arial" w:eastAsia="Arial Narrow" w:hAnsi="Arial" w:cs="Arial"/>
                <w:sz w:val="20"/>
                <w:szCs w:val="20"/>
                <w:lang w:eastAsia="en-US"/>
              </w:rPr>
              <w:t xml:space="preserve"> correspondiente.</w:t>
            </w:r>
          </w:p>
          <w:p w14:paraId="0685C483" w14:textId="77777777" w:rsidR="00DC31CB" w:rsidRPr="008A26D2" w:rsidRDefault="00DC31CB" w:rsidP="000C39A1">
            <w:pPr>
              <w:spacing w:after="0"/>
              <w:ind w:left="119" w:right="273"/>
              <w:jc w:val="both"/>
              <w:rPr>
                <w:rFonts w:ascii="Arial" w:eastAsia="Arial Narrow" w:hAnsi="Arial" w:cs="Arial"/>
                <w:sz w:val="20"/>
                <w:szCs w:val="20"/>
                <w:lang w:eastAsia="en-US"/>
              </w:rPr>
            </w:pPr>
            <w:r w:rsidRPr="008A26D2">
              <w:rPr>
                <w:rFonts w:ascii="Arial" w:eastAsia="Arial Narrow" w:hAnsi="Arial" w:cs="Arial"/>
                <w:sz w:val="20"/>
                <w:szCs w:val="20"/>
                <w:lang w:eastAsia="en-US"/>
              </w:rPr>
              <w:t>En cada curso modular participan de 20 a 25 productores(as). Cuenta con tres módulos. Cada uno tiene una duración de un día y consiste en una sección teórica y una práctica.</w:t>
            </w:r>
          </w:p>
          <w:p w14:paraId="54D081DF" w14:textId="77777777" w:rsidR="00DC31CB" w:rsidRPr="008A26D2" w:rsidRDefault="00DC31CB" w:rsidP="0040206E">
            <w:pPr>
              <w:pBdr>
                <w:top w:val="nil"/>
                <w:left w:val="nil"/>
                <w:bottom w:val="nil"/>
                <w:right w:val="nil"/>
                <w:between w:val="nil"/>
              </w:pBdr>
              <w:tabs>
                <w:tab w:val="left" w:pos="3375"/>
              </w:tabs>
              <w:spacing w:after="0" w:line="240" w:lineRule="auto"/>
              <w:ind w:right="277"/>
              <w:jc w:val="both"/>
              <w:rPr>
                <w:rFonts w:ascii="Arial" w:eastAsia="Arial Narrow" w:hAnsi="Arial" w:cs="Arial"/>
                <w:sz w:val="20"/>
                <w:szCs w:val="20"/>
              </w:rPr>
            </w:pPr>
          </w:p>
          <w:p w14:paraId="5E132F43" w14:textId="653E9B37" w:rsidR="00DC31CB" w:rsidRPr="008A26D2" w:rsidRDefault="00DC31CB" w:rsidP="0040206E">
            <w:pPr>
              <w:tabs>
                <w:tab w:val="left" w:pos="3375"/>
              </w:tabs>
              <w:spacing w:after="0" w:line="240" w:lineRule="auto"/>
              <w:ind w:left="130" w:right="277"/>
              <w:jc w:val="both"/>
              <w:rPr>
                <w:rFonts w:ascii="Arial" w:hAnsi="Arial" w:cs="Arial"/>
                <w:sz w:val="20"/>
                <w:szCs w:val="20"/>
              </w:rPr>
            </w:pPr>
            <w:r w:rsidRPr="008A26D2">
              <w:rPr>
                <w:rFonts w:ascii="Arial" w:eastAsia="Arial Narrow" w:hAnsi="Arial" w:cs="Arial"/>
                <w:sz w:val="20"/>
                <w:szCs w:val="20"/>
              </w:rPr>
              <w:t>El servicio es de tipo mejorado en la medida que se emplear</w:t>
            </w:r>
            <w:r w:rsidR="00633E24">
              <w:rPr>
                <w:rFonts w:ascii="Arial" w:eastAsia="Arial Narrow" w:hAnsi="Arial" w:cs="Arial"/>
                <w:sz w:val="20"/>
                <w:szCs w:val="20"/>
              </w:rPr>
              <w:t>á</w:t>
            </w:r>
            <w:r w:rsidRPr="008A26D2">
              <w:rPr>
                <w:rFonts w:ascii="Arial" w:eastAsia="Arial Narrow" w:hAnsi="Arial" w:cs="Arial"/>
                <w:sz w:val="20"/>
                <w:szCs w:val="20"/>
              </w:rPr>
              <w:t xml:space="preserve"> herramientas informáticas y experiencias adquiridas recientemente en el manejo de los recursos forestales y de fauna silvestre</w:t>
            </w:r>
          </w:p>
        </w:tc>
      </w:tr>
      <w:tr w:rsidR="008A26D2" w:rsidRPr="008A26D2" w14:paraId="5B483ECC" w14:textId="77777777" w:rsidTr="0040206E">
        <w:trPr>
          <w:trHeight w:val="300"/>
          <w:jc w:val="center"/>
        </w:trPr>
        <w:tc>
          <w:tcPr>
            <w:tcW w:w="2272" w:type="dxa"/>
            <w:shd w:val="clear" w:color="auto" w:fill="auto"/>
            <w:tcMar>
              <w:top w:w="15" w:type="dxa"/>
              <w:left w:w="15" w:type="dxa"/>
              <w:bottom w:w="0" w:type="dxa"/>
              <w:right w:w="15" w:type="dxa"/>
            </w:tcMar>
            <w:vAlign w:val="center"/>
          </w:tcPr>
          <w:p w14:paraId="71BA1D77" w14:textId="77777777" w:rsidR="00DC31CB" w:rsidRPr="008A26D2" w:rsidRDefault="00DC31CB" w:rsidP="0040206E">
            <w:pPr>
              <w:tabs>
                <w:tab w:val="left" w:pos="3375"/>
              </w:tabs>
              <w:spacing w:after="0" w:line="240" w:lineRule="auto"/>
              <w:rPr>
                <w:rFonts w:ascii="Arial" w:hAnsi="Arial" w:cs="Arial"/>
                <w:b/>
                <w:sz w:val="20"/>
                <w:szCs w:val="20"/>
              </w:rPr>
            </w:pPr>
            <w:r w:rsidRPr="008A26D2">
              <w:rPr>
                <w:rFonts w:ascii="Arial" w:hAnsi="Arial" w:cs="Arial"/>
                <w:b/>
                <w:sz w:val="20"/>
                <w:szCs w:val="20"/>
              </w:rPr>
              <w:lastRenderedPageBreak/>
              <w:t xml:space="preserve"> Proveedor del servicio</w:t>
            </w:r>
          </w:p>
        </w:tc>
        <w:tc>
          <w:tcPr>
            <w:tcW w:w="6658" w:type="dxa"/>
            <w:gridSpan w:val="3"/>
            <w:shd w:val="clear" w:color="auto" w:fill="auto"/>
            <w:tcMar>
              <w:top w:w="15" w:type="dxa"/>
              <w:left w:w="15" w:type="dxa"/>
              <w:bottom w:w="0" w:type="dxa"/>
              <w:right w:w="15" w:type="dxa"/>
            </w:tcMar>
            <w:vAlign w:val="center"/>
          </w:tcPr>
          <w:p w14:paraId="0C094928" w14:textId="77777777" w:rsidR="00DC31CB" w:rsidRPr="008A26D2" w:rsidRDefault="00DC31CB" w:rsidP="0040206E">
            <w:pPr>
              <w:tabs>
                <w:tab w:val="left" w:pos="3375"/>
              </w:tabs>
              <w:spacing w:after="0" w:line="240" w:lineRule="auto"/>
              <w:ind w:left="130"/>
              <w:rPr>
                <w:rFonts w:ascii="Arial" w:hAnsi="Arial" w:cs="Arial"/>
                <w:sz w:val="20"/>
                <w:szCs w:val="20"/>
              </w:rPr>
            </w:pPr>
            <w:r w:rsidRPr="008A26D2">
              <w:rPr>
                <w:rFonts w:ascii="Arial" w:eastAsia="Arial Narrow" w:hAnsi="Arial" w:cs="Arial"/>
                <w:sz w:val="20"/>
                <w:szCs w:val="20"/>
              </w:rPr>
              <w:t>Instituto Nacional de Innovación Agraria - INIA</w:t>
            </w:r>
          </w:p>
        </w:tc>
      </w:tr>
      <w:tr w:rsidR="008A26D2" w:rsidRPr="008A26D2" w14:paraId="725667C8" w14:textId="77777777" w:rsidTr="0040206E">
        <w:trPr>
          <w:trHeight w:val="458"/>
          <w:jc w:val="center"/>
        </w:trPr>
        <w:tc>
          <w:tcPr>
            <w:tcW w:w="2272" w:type="dxa"/>
            <w:vMerge w:val="restart"/>
            <w:shd w:val="clear" w:color="auto" w:fill="auto"/>
            <w:tcMar>
              <w:top w:w="15" w:type="dxa"/>
              <w:left w:w="15" w:type="dxa"/>
              <w:bottom w:w="0" w:type="dxa"/>
              <w:right w:w="15" w:type="dxa"/>
            </w:tcMar>
            <w:vAlign w:val="center"/>
          </w:tcPr>
          <w:p w14:paraId="7D9E0BF2" w14:textId="77777777" w:rsidR="00DC31CB" w:rsidRPr="008A26D2" w:rsidRDefault="00DC31CB" w:rsidP="0040206E">
            <w:pPr>
              <w:spacing w:after="0" w:line="240" w:lineRule="auto"/>
              <w:rPr>
                <w:rFonts w:ascii="Arial" w:hAnsi="Arial" w:cs="Arial"/>
                <w:b/>
                <w:sz w:val="20"/>
                <w:szCs w:val="20"/>
              </w:rPr>
            </w:pPr>
            <w:r w:rsidRPr="008A26D2">
              <w:rPr>
                <w:rFonts w:ascii="Arial" w:hAnsi="Arial" w:cs="Arial"/>
                <w:b/>
                <w:sz w:val="20"/>
                <w:szCs w:val="20"/>
              </w:rPr>
              <w:t>Nivel (es) de gobierno que interviene</w:t>
            </w:r>
          </w:p>
          <w:p w14:paraId="333D3C13" w14:textId="77777777" w:rsidR="00DC31CB" w:rsidRPr="008A26D2" w:rsidRDefault="00DC31CB" w:rsidP="0040206E">
            <w:pPr>
              <w:tabs>
                <w:tab w:val="left" w:pos="3375"/>
              </w:tabs>
              <w:spacing w:after="0" w:line="240" w:lineRule="auto"/>
              <w:rPr>
                <w:rFonts w:ascii="Arial" w:hAnsi="Arial" w:cs="Arial"/>
                <w:b/>
                <w:sz w:val="20"/>
                <w:szCs w:val="20"/>
              </w:rPr>
            </w:pPr>
            <w:r w:rsidRPr="008A26D2">
              <w:rPr>
                <w:rFonts w:ascii="Arial" w:hAnsi="Arial" w:cs="Arial"/>
                <w:b/>
                <w:sz w:val="20"/>
                <w:szCs w:val="20"/>
              </w:rPr>
              <w:t>(n) en la provisión del servicio</w:t>
            </w:r>
          </w:p>
        </w:tc>
        <w:tc>
          <w:tcPr>
            <w:tcW w:w="2219" w:type="dxa"/>
            <w:shd w:val="clear" w:color="auto" w:fill="auto"/>
            <w:tcMar>
              <w:top w:w="15" w:type="dxa"/>
              <w:left w:w="15" w:type="dxa"/>
              <w:bottom w:w="0" w:type="dxa"/>
              <w:right w:w="15" w:type="dxa"/>
            </w:tcMar>
            <w:vAlign w:val="center"/>
          </w:tcPr>
          <w:p w14:paraId="4F3673CD" w14:textId="77777777" w:rsidR="00DC31CB" w:rsidRPr="008A26D2" w:rsidRDefault="00DC31CB" w:rsidP="00701F97">
            <w:pPr>
              <w:tabs>
                <w:tab w:val="left" w:pos="3375"/>
              </w:tabs>
              <w:spacing w:after="0" w:line="240" w:lineRule="auto"/>
              <w:ind w:left="130"/>
              <w:jc w:val="center"/>
              <w:rPr>
                <w:rFonts w:ascii="Arial" w:eastAsia="Arial Narrow" w:hAnsi="Arial" w:cs="Arial"/>
                <w:sz w:val="20"/>
                <w:szCs w:val="20"/>
              </w:rPr>
            </w:pPr>
            <w:r w:rsidRPr="008A26D2">
              <w:rPr>
                <w:rFonts w:ascii="Arial" w:eastAsia="Arial Narrow" w:hAnsi="Arial" w:cs="Arial"/>
                <w:sz w:val="20"/>
                <w:szCs w:val="20"/>
              </w:rPr>
              <w:t>Nacional</w:t>
            </w:r>
          </w:p>
        </w:tc>
        <w:tc>
          <w:tcPr>
            <w:tcW w:w="2219" w:type="dxa"/>
            <w:shd w:val="clear" w:color="auto" w:fill="auto"/>
            <w:vAlign w:val="center"/>
          </w:tcPr>
          <w:p w14:paraId="77056393" w14:textId="77777777" w:rsidR="00DC31CB" w:rsidRPr="008A26D2" w:rsidRDefault="00DC31CB" w:rsidP="00701F97">
            <w:pPr>
              <w:tabs>
                <w:tab w:val="left" w:pos="3375"/>
              </w:tabs>
              <w:spacing w:after="0" w:line="240" w:lineRule="auto"/>
              <w:ind w:left="130"/>
              <w:jc w:val="center"/>
              <w:rPr>
                <w:rFonts w:ascii="Arial" w:eastAsia="Arial Narrow" w:hAnsi="Arial" w:cs="Arial"/>
                <w:sz w:val="20"/>
                <w:szCs w:val="20"/>
              </w:rPr>
            </w:pPr>
            <w:r w:rsidRPr="008A26D2">
              <w:rPr>
                <w:rFonts w:ascii="Arial" w:eastAsia="Arial Narrow" w:hAnsi="Arial" w:cs="Arial"/>
                <w:sz w:val="20"/>
                <w:szCs w:val="20"/>
              </w:rPr>
              <w:t>Regional</w:t>
            </w:r>
          </w:p>
        </w:tc>
        <w:tc>
          <w:tcPr>
            <w:tcW w:w="2220" w:type="dxa"/>
            <w:shd w:val="clear" w:color="auto" w:fill="auto"/>
            <w:vAlign w:val="center"/>
          </w:tcPr>
          <w:p w14:paraId="24C9F205" w14:textId="77777777" w:rsidR="00DC31CB" w:rsidRPr="008A26D2" w:rsidRDefault="00DC31CB" w:rsidP="00701F97">
            <w:pPr>
              <w:tabs>
                <w:tab w:val="left" w:pos="3375"/>
              </w:tabs>
              <w:spacing w:after="0" w:line="240" w:lineRule="auto"/>
              <w:ind w:left="130"/>
              <w:jc w:val="center"/>
              <w:rPr>
                <w:rFonts w:ascii="Arial" w:eastAsia="Arial Narrow" w:hAnsi="Arial" w:cs="Arial"/>
                <w:sz w:val="20"/>
                <w:szCs w:val="20"/>
              </w:rPr>
            </w:pPr>
            <w:r w:rsidRPr="008A26D2">
              <w:rPr>
                <w:rFonts w:ascii="Arial" w:eastAsia="Arial Narrow" w:hAnsi="Arial" w:cs="Arial"/>
                <w:sz w:val="20"/>
                <w:szCs w:val="20"/>
              </w:rPr>
              <w:t>Local</w:t>
            </w:r>
          </w:p>
        </w:tc>
      </w:tr>
      <w:tr w:rsidR="008A26D2" w:rsidRPr="008A26D2" w14:paraId="249908A3" w14:textId="77777777" w:rsidTr="0040206E">
        <w:trPr>
          <w:trHeight w:val="457"/>
          <w:jc w:val="center"/>
        </w:trPr>
        <w:tc>
          <w:tcPr>
            <w:tcW w:w="2272" w:type="dxa"/>
            <w:vMerge/>
            <w:shd w:val="clear" w:color="auto" w:fill="auto"/>
            <w:tcMar>
              <w:top w:w="15" w:type="dxa"/>
              <w:left w:w="15" w:type="dxa"/>
              <w:bottom w:w="0" w:type="dxa"/>
              <w:right w:w="15" w:type="dxa"/>
            </w:tcMar>
            <w:vAlign w:val="center"/>
          </w:tcPr>
          <w:p w14:paraId="77D845CF" w14:textId="77777777" w:rsidR="00DC31CB" w:rsidRPr="008A26D2" w:rsidRDefault="00DC31CB" w:rsidP="0040206E">
            <w:pPr>
              <w:spacing w:after="0" w:line="240" w:lineRule="auto"/>
              <w:rPr>
                <w:rFonts w:ascii="Arial" w:hAnsi="Arial" w:cs="Arial"/>
                <w:b/>
                <w:sz w:val="20"/>
                <w:szCs w:val="20"/>
              </w:rPr>
            </w:pPr>
          </w:p>
        </w:tc>
        <w:tc>
          <w:tcPr>
            <w:tcW w:w="2219" w:type="dxa"/>
            <w:shd w:val="clear" w:color="auto" w:fill="auto"/>
            <w:tcMar>
              <w:top w:w="15" w:type="dxa"/>
              <w:left w:w="15" w:type="dxa"/>
              <w:bottom w:w="0" w:type="dxa"/>
              <w:right w:w="15" w:type="dxa"/>
            </w:tcMar>
            <w:vAlign w:val="center"/>
          </w:tcPr>
          <w:p w14:paraId="3EFB149B" w14:textId="77777777" w:rsidR="00DC31CB" w:rsidRPr="008A26D2" w:rsidRDefault="00DC31CB" w:rsidP="00701F97">
            <w:pPr>
              <w:tabs>
                <w:tab w:val="left" w:pos="3375"/>
              </w:tabs>
              <w:spacing w:after="0" w:line="240" w:lineRule="auto"/>
              <w:ind w:left="130"/>
              <w:jc w:val="center"/>
              <w:rPr>
                <w:rFonts w:ascii="Arial" w:eastAsia="Arial Narrow" w:hAnsi="Arial" w:cs="Arial"/>
                <w:sz w:val="20"/>
                <w:szCs w:val="20"/>
              </w:rPr>
            </w:pPr>
            <w:r w:rsidRPr="008A26D2">
              <w:rPr>
                <w:rFonts w:ascii="Arial" w:eastAsia="Arial Narrow" w:hAnsi="Arial" w:cs="Arial"/>
                <w:sz w:val="20"/>
                <w:szCs w:val="20"/>
              </w:rPr>
              <w:t>X</w:t>
            </w:r>
          </w:p>
        </w:tc>
        <w:tc>
          <w:tcPr>
            <w:tcW w:w="2219" w:type="dxa"/>
            <w:shd w:val="clear" w:color="auto" w:fill="auto"/>
            <w:vAlign w:val="center"/>
          </w:tcPr>
          <w:p w14:paraId="41524245" w14:textId="77777777" w:rsidR="00DC31CB" w:rsidRPr="008A26D2" w:rsidRDefault="00DC31CB" w:rsidP="00701F97">
            <w:pPr>
              <w:tabs>
                <w:tab w:val="left" w:pos="3375"/>
              </w:tabs>
              <w:spacing w:after="0" w:line="240" w:lineRule="auto"/>
              <w:ind w:left="130"/>
              <w:jc w:val="center"/>
              <w:rPr>
                <w:rFonts w:ascii="Arial" w:eastAsia="Arial Narrow" w:hAnsi="Arial" w:cs="Arial"/>
                <w:sz w:val="20"/>
                <w:szCs w:val="20"/>
              </w:rPr>
            </w:pPr>
          </w:p>
        </w:tc>
        <w:tc>
          <w:tcPr>
            <w:tcW w:w="2220" w:type="dxa"/>
            <w:shd w:val="clear" w:color="auto" w:fill="auto"/>
            <w:vAlign w:val="center"/>
          </w:tcPr>
          <w:p w14:paraId="0BC5213E" w14:textId="77777777" w:rsidR="00DC31CB" w:rsidRPr="008A26D2" w:rsidRDefault="00DC31CB" w:rsidP="00701F97">
            <w:pPr>
              <w:tabs>
                <w:tab w:val="left" w:pos="3375"/>
              </w:tabs>
              <w:spacing w:after="0" w:line="240" w:lineRule="auto"/>
              <w:ind w:left="130"/>
              <w:jc w:val="center"/>
              <w:rPr>
                <w:rFonts w:ascii="Arial" w:eastAsia="Arial Narrow" w:hAnsi="Arial" w:cs="Arial"/>
                <w:sz w:val="20"/>
                <w:szCs w:val="20"/>
              </w:rPr>
            </w:pPr>
          </w:p>
        </w:tc>
      </w:tr>
      <w:tr w:rsidR="008A26D2" w:rsidRPr="008A26D2" w14:paraId="4A832781" w14:textId="77777777" w:rsidTr="0040206E">
        <w:trPr>
          <w:trHeight w:val="300"/>
          <w:jc w:val="center"/>
        </w:trPr>
        <w:tc>
          <w:tcPr>
            <w:tcW w:w="2272" w:type="dxa"/>
            <w:shd w:val="clear" w:color="auto" w:fill="auto"/>
            <w:tcMar>
              <w:top w:w="15" w:type="dxa"/>
              <w:left w:w="15" w:type="dxa"/>
              <w:bottom w:w="0" w:type="dxa"/>
              <w:right w:w="15" w:type="dxa"/>
            </w:tcMar>
            <w:vAlign w:val="center"/>
          </w:tcPr>
          <w:p w14:paraId="1DED2923" w14:textId="77777777" w:rsidR="00DC31CB" w:rsidRPr="008A26D2" w:rsidRDefault="00DC31CB" w:rsidP="0040206E">
            <w:pPr>
              <w:tabs>
                <w:tab w:val="left" w:pos="3375"/>
              </w:tabs>
              <w:spacing w:after="0" w:line="240" w:lineRule="auto"/>
              <w:rPr>
                <w:rFonts w:ascii="Arial" w:hAnsi="Arial" w:cs="Arial"/>
                <w:b/>
                <w:sz w:val="20"/>
                <w:szCs w:val="20"/>
              </w:rPr>
            </w:pPr>
            <w:r w:rsidRPr="008A26D2">
              <w:rPr>
                <w:rFonts w:ascii="Arial" w:hAnsi="Arial" w:cs="Arial"/>
                <w:b/>
                <w:sz w:val="20"/>
                <w:szCs w:val="20"/>
              </w:rPr>
              <w:t xml:space="preserve"> Receptor del servicio</w:t>
            </w:r>
          </w:p>
        </w:tc>
        <w:tc>
          <w:tcPr>
            <w:tcW w:w="6658" w:type="dxa"/>
            <w:gridSpan w:val="3"/>
            <w:shd w:val="clear" w:color="auto" w:fill="auto"/>
            <w:tcMar>
              <w:top w:w="15" w:type="dxa"/>
              <w:left w:w="15" w:type="dxa"/>
              <w:bottom w:w="0" w:type="dxa"/>
              <w:right w:w="15" w:type="dxa"/>
            </w:tcMar>
            <w:vAlign w:val="center"/>
          </w:tcPr>
          <w:p w14:paraId="2E4FE7FA" w14:textId="77777777" w:rsidR="00DC31CB" w:rsidRPr="008A26D2" w:rsidRDefault="00DC31CB" w:rsidP="0040206E">
            <w:pPr>
              <w:tabs>
                <w:tab w:val="left" w:pos="3375"/>
              </w:tabs>
              <w:spacing w:after="0" w:line="240" w:lineRule="auto"/>
              <w:ind w:left="130"/>
              <w:rPr>
                <w:rFonts w:ascii="Arial" w:hAnsi="Arial" w:cs="Arial"/>
                <w:sz w:val="20"/>
                <w:szCs w:val="20"/>
              </w:rPr>
            </w:pPr>
            <w:r w:rsidRPr="008A26D2">
              <w:rPr>
                <w:rFonts w:ascii="Arial" w:eastAsia="Arial Narrow" w:hAnsi="Arial" w:cs="Arial"/>
                <w:sz w:val="20"/>
                <w:szCs w:val="20"/>
              </w:rPr>
              <w:t>Usuarios forestales y de fauna silvestre</w:t>
            </w:r>
          </w:p>
        </w:tc>
      </w:tr>
      <w:tr w:rsidR="008A26D2" w:rsidRPr="008A26D2" w14:paraId="7274275B" w14:textId="77777777" w:rsidTr="0040206E">
        <w:trPr>
          <w:trHeight w:val="211"/>
          <w:jc w:val="center"/>
        </w:trPr>
        <w:tc>
          <w:tcPr>
            <w:tcW w:w="2272" w:type="dxa"/>
            <w:shd w:val="clear" w:color="auto" w:fill="auto"/>
            <w:tcMar>
              <w:top w:w="15" w:type="dxa"/>
              <w:left w:w="15" w:type="dxa"/>
              <w:bottom w:w="0" w:type="dxa"/>
              <w:right w:w="15" w:type="dxa"/>
            </w:tcMar>
            <w:vAlign w:val="center"/>
          </w:tcPr>
          <w:p w14:paraId="248F56DB" w14:textId="77777777" w:rsidR="00DC31CB" w:rsidRPr="008A26D2" w:rsidRDefault="00DC31CB" w:rsidP="0040206E">
            <w:pPr>
              <w:tabs>
                <w:tab w:val="left" w:pos="3375"/>
              </w:tabs>
              <w:spacing w:after="0" w:line="240" w:lineRule="auto"/>
              <w:rPr>
                <w:rFonts w:ascii="Arial" w:hAnsi="Arial" w:cs="Arial"/>
                <w:b/>
                <w:sz w:val="20"/>
                <w:szCs w:val="20"/>
              </w:rPr>
            </w:pPr>
            <w:r w:rsidRPr="008A26D2">
              <w:rPr>
                <w:rFonts w:ascii="Arial" w:hAnsi="Arial" w:cs="Arial"/>
                <w:b/>
                <w:sz w:val="20"/>
                <w:szCs w:val="20"/>
              </w:rPr>
              <w:t xml:space="preserve"> Alcance del servicio </w:t>
            </w:r>
          </w:p>
        </w:tc>
        <w:tc>
          <w:tcPr>
            <w:tcW w:w="6658" w:type="dxa"/>
            <w:gridSpan w:val="3"/>
            <w:shd w:val="clear" w:color="auto" w:fill="auto"/>
            <w:tcMar>
              <w:top w:w="15" w:type="dxa"/>
              <w:left w:w="15" w:type="dxa"/>
              <w:bottom w:w="0" w:type="dxa"/>
              <w:right w:w="15" w:type="dxa"/>
            </w:tcMar>
            <w:vAlign w:val="center"/>
          </w:tcPr>
          <w:p w14:paraId="2A03E4FA" w14:textId="77777777" w:rsidR="00DC31CB" w:rsidRPr="008A26D2" w:rsidRDefault="00DC31CB" w:rsidP="0040206E">
            <w:pPr>
              <w:tabs>
                <w:tab w:val="left" w:pos="3375"/>
              </w:tabs>
              <w:spacing w:after="0" w:line="240" w:lineRule="auto"/>
              <w:ind w:left="130"/>
              <w:rPr>
                <w:rFonts w:ascii="Arial" w:hAnsi="Arial" w:cs="Arial"/>
                <w:sz w:val="20"/>
                <w:szCs w:val="20"/>
              </w:rPr>
            </w:pPr>
            <w:r w:rsidRPr="008A26D2">
              <w:rPr>
                <w:rFonts w:ascii="Arial" w:hAnsi="Arial" w:cs="Arial"/>
                <w:sz w:val="20"/>
                <w:szCs w:val="20"/>
              </w:rPr>
              <w:t>Nacional</w:t>
            </w:r>
          </w:p>
        </w:tc>
      </w:tr>
      <w:tr w:rsidR="008A26D2" w:rsidRPr="008A26D2" w14:paraId="69220204" w14:textId="77777777" w:rsidTr="0040206E">
        <w:trPr>
          <w:trHeight w:val="62"/>
          <w:jc w:val="center"/>
        </w:trPr>
        <w:tc>
          <w:tcPr>
            <w:tcW w:w="2272" w:type="dxa"/>
            <w:shd w:val="clear" w:color="auto" w:fill="auto"/>
            <w:tcMar>
              <w:top w:w="15" w:type="dxa"/>
              <w:left w:w="15" w:type="dxa"/>
              <w:bottom w:w="0" w:type="dxa"/>
              <w:right w:w="15" w:type="dxa"/>
            </w:tcMar>
            <w:vAlign w:val="center"/>
          </w:tcPr>
          <w:p w14:paraId="6D16B469" w14:textId="77777777" w:rsidR="00DC31CB" w:rsidRPr="008A26D2" w:rsidRDefault="00DC31CB" w:rsidP="0040206E">
            <w:pPr>
              <w:tabs>
                <w:tab w:val="left" w:pos="3375"/>
              </w:tabs>
              <w:spacing w:after="0" w:line="240" w:lineRule="auto"/>
              <w:rPr>
                <w:rFonts w:ascii="Arial" w:hAnsi="Arial" w:cs="Arial"/>
                <w:b/>
                <w:sz w:val="20"/>
                <w:szCs w:val="20"/>
              </w:rPr>
            </w:pPr>
            <w:r w:rsidRPr="008A26D2">
              <w:rPr>
                <w:rFonts w:ascii="Arial" w:hAnsi="Arial" w:cs="Arial"/>
                <w:b/>
                <w:sz w:val="20"/>
                <w:szCs w:val="20"/>
              </w:rPr>
              <w:t xml:space="preserve"> Estándar (es) de cumplimiento</w:t>
            </w:r>
          </w:p>
        </w:tc>
        <w:tc>
          <w:tcPr>
            <w:tcW w:w="6658" w:type="dxa"/>
            <w:gridSpan w:val="3"/>
            <w:shd w:val="clear" w:color="auto" w:fill="auto"/>
            <w:tcMar>
              <w:top w:w="15" w:type="dxa"/>
              <w:left w:w="15" w:type="dxa"/>
              <w:bottom w:w="0" w:type="dxa"/>
              <w:right w:w="15" w:type="dxa"/>
            </w:tcMar>
            <w:vAlign w:val="center"/>
          </w:tcPr>
          <w:p w14:paraId="1B13FEC8" w14:textId="77777777" w:rsidR="00DC31CB" w:rsidRPr="008A26D2" w:rsidRDefault="00DC31CB" w:rsidP="0040206E">
            <w:pPr>
              <w:tabs>
                <w:tab w:val="left" w:pos="3375"/>
              </w:tabs>
              <w:spacing w:after="0" w:line="240" w:lineRule="auto"/>
              <w:ind w:left="130"/>
              <w:rPr>
                <w:rFonts w:ascii="Arial" w:hAnsi="Arial" w:cs="Arial"/>
                <w:sz w:val="20"/>
                <w:szCs w:val="20"/>
              </w:rPr>
            </w:pPr>
            <w:r w:rsidRPr="008A26D2">
              <w:rPr>
                <w:rFonts w:ascii="Arial" w:hAnsi="Arial" w:cs="Arial"/>
                <w:sz w:val="20"/>
                <w:szCs w:val="20"/>
              </w:rPr>
              <w:t>Percepción</w:t>
            </w:r>
          </w:p>
        </w:tc>
      </w:tr>
      <w:tr w:rsidR="008A26D2" w:rsidRPr="008A26D2" w14:paraId="4E39F140" w14:textId="77777777" w:rsidTr="0040206E">
        <w:trPr>
          <w:trHeight w:val="300"/>
          <w:jc w:val="center"/>
        </w:trPr>
        <w:tc>
          <w:tcPr>
            <w:tcW w:w="2272" w:type="dxa"/>
            <w:shd w:val="clear" w:color="auto" w:fill="auto"/>
            <w:tcMar>
              <w:top w:w="15" w:type="dxa"/>
              <w:left w:w="15" w:type="dxa"/>
              <w:bottom w:w="0" w:type="dxa"/>
              <w:right w:w="15" w:type="dxa"/>
            </w:tcMar>
            <w:vAlign w:val="center"/>
          </w:tcPr>
          <w:p w14:paraId="58B4389B" w14:textId="77777777" w:rsidR="00DC31CB" w:rsidRPr="008A26D2" w:rsidRDefault="00DC31CB" w:rsidP="0040206E">
            <w:pPr>
              <w:tabs>
                <w:tab w:val="left" w:pos="3375"/>
              </w:tabs>
              <w:spacing w:after="0" w:line="240" w:lineRule="auto"/>
              <w:rPr>
                <w:rFonts w:ascii="Arial" w:hAnsi="Arial" w:cs="Arial"/>
                <w:b/>
                <w:sz w:val="20"/>
                <w:szCs w:val="20"/>
              </w:rPr>
            </w:pPr>
            <w:r w:rsidRPr="008A26D2">
              <w:rPr>
                <w:rFonts w:ascii="Arial" w:hAnsi="Arial" w:cs="Arial"/>
                <w:b/>
                <w:sz w:val="20"/>
                <w:szCs w:val="20"/>
              </w:rPr>
              <w:t xml:space="preserve"> Descripción del estándar</w:t>
            </w:r>
          </w:p>
        </w:tc>
        <w:tc>
          <w:tcPr>
            <w:tcW w:w="6658" w:type="dxa"/>
            <w:gridSpan w:val="3"/>
            <w:shd w:val="clear" w:color="auto" w:fill="auto"/>
            <w:tcMar>
              <w:top w:w="15" w:type="dxa"/>
              <w:left w:w="135" w:type="dxa"/>
              <w:bottom w:w="0" w:type="dxa"/>
              <w:right w:w="15" w:type="dxa"/>
            </w:tcMar>
            <w:vAlign w:val="center"/>
          </w:tcPr>
          <w:p w14:paraId="14EC7465" w14:textId="77777777" w:rsidR="00DC31CB" w:rsidRPr="008A26D2" w:rsidRDefault="00DC31CB" w:rsidP="0040206E">
            <w:pPr>
              <w:pBdr>
                <w:top w:val="nil"/>
                <w:left w:val="nil"/>
                <w:bottom w:val="nil"/>
                <w:right w:val="nil"/>
                <w:between w:val="nil"/>
              </w:pBdr>
              <w:spacing w:after="0" w:line="240" w:lineRule="auto"/>
              <w:jc w:val="both"/>
              <w:rPr>
                <w:rFonts w:ascii="Arial" w:eastAsia="Times New Roman" w:hAnsi="Arial" w:cs="Arial"/>
                <w:sz w:val="20"/>
                <w:szCs w:val="20"/>
              </w:rPr>
            </w:pPr>
            <w:r w:rsidRPr="008A26D2">
              <w:rPr>
                <w:rFonts w:ascii="Arial" w:eastAsia="Arial Narrow" w:hAnsi="Arial" w:cs="Arial"/>
                <w:sz w:val="20"/>
                <w:szCs w:val="20"/>
              </w:rPr>
              <w:t xml:space="preserve">El estándar del servicio es de percepción en vista que éste satisface las expectativas de </w:t>
            </w:r>
            <w:r w:rsidRPr="008A26D2">
              <w:rPr>
                <w:rFonts w:ascii="Arial" w:eastAsia="Times New Roman" w:hAnsi="Arial" w:cs="Arial"/>
                <w:sz w:val="20"/>
                <w:szCs w:val="20"/>
              </w:rPr>
              <w:t>los usuarios forestales y de fauna silvestre</w:t>
            </w:r>
            <w:r w:rsidRPr="008A26D2">
              <w:rPr>
                <w:rFonts w:ascii="Arial" w:eastAsia="Arial Narrow" w:hAnsi="Arial" w:cs="Arial"/>
                <w:sz w:val="20"/>
                <w:szCs w:val="20"/>
              </w:rPr>
              <w:t xml:space="preserve"> sobre la transferencia de conocimientos y tecnologías agrarias </w:t>
            </w:r>
          </w:p>
        </w:tc>
      </w:tr>
      <w:tr w:rsidR="008A26D2" w:rsidRPr="008A26D2" w14:paraId="55B86E4F" w14:textId="77777777" w:rsidTr="0040206E">
        <w:trPr>
          <w:trHeight w:val="491"/>
          <w:jc w:val="center"/>
        </w:trPr>
        <w:tc>
          <w:tcPr>
            <w:tcW w:w="2272" w:type="dxa"/>
            <w:shd w:val="clear" w:color="auto" w:fill="auto"/>
            <w:tcMar>
              <w:top w:w="15" w:type="dxa"/>
              <w:left w:w="15" w:type="dxa"/>
              <w:bottom w:w="0" w:type="dxa"/>
              <w:right w:w="15" w:type="dxa"/>
            </w:tcMar>
            <w:vAlign w:val="center"/>
          </w:tcPr>
          <w:p w14:paraId="1FE904AF" w14:textId="5C6EF435" w:rsidR="00DC31CB" w:rsidRPr="008A26D2" w:rsidRDefault="00DC31CB" w:rsidP="0040206E">
            <w:pPr>
              <w:tabs>
                <w:tab w:val="left" w:pos="3375"/>
              </w:tabs>
              <w:spacing w:after="0" w:line="240" w:lineRule="auto"/>
              <w:rPr>
                <w:rFonts w:ascii="Arial" w:hAnsi="Arial" w:cs="Arial"/>
                <w:b/>
                <w:sz w:val="20"/>
                <w:szCs w:val="20"/>
              </w:rPr>
            </w:pPr>
            <w:r w:rsidRPr="008A26D2">
              <w:rPr>
                <w:rFonts w:ascii="Arial" w:hAnsi="Arial" w:cs="Arial"/>
                <w:b/>
                <w:sz w:val="20"/>
                <w:szCs w:val="20"/>
              </w:rPr>
              <w:t xml:space="preserve">Indicador </w:t>
            </w:r>
            <w:r w:rsidR="0063579E">
              <w:rPr>
                <w:rFonts w:ascii="Arial" w:hAnsi="Arial" w:cs="Arial"/>
                <w:b/>
                <w:sz w:val="20"/>
                <w:szCs w:val="20"/>
              </w:rPr>
              <w:t>de calidad</w:t>
            </w:r>
          </w:p>
        </w:tc>
        <w:tc>
          <w:tcPr>
            <w:tcW w:w="6658" w:type="dxa"/>
            <w:gridSpan w:val="3"/>
            <w:shd w:val="clear" w:color="auto" w:fill="auto"/>
            <w:tcMar>
              <w:top w:w="15" w:type="dxa"/>
              <w:left w:w="15" w:type="dxa"/>
              <w:bottom w:w="0" w:type="dxa"/>
              <w:right w:w="15" w:type="dxa"/>
            </w:tcMar>
            <w:vAlign w:val="center"/>
          </w:tcPr>
          <w:p w14:paraId="49657EA5" w14:textId="77777777" w:rsidR="00DC31CB" w:rsidRPr="008A26D2" w:rsidRDefault="00DC31CB" w:rsidP="0040206E">
            <w:pPr>
              <w:tabs>
                <w:tab w:val="left" w:pos="3375"/>
              </w:tabs>
              <w:spacing w:after="0" w:line="240" w:lineRule="auto"/>
              <w:ind w:left="130"/>
              <w:jc w:val="both"/>
              <w:rPr>
                <w:rFonts w:ascii="Arial" w:eastAsia="Arial Narrow" w:hAnsi="Arial" w:cs="Arial"/>
                <w:sz w:val="20"/>
                <w:szCs w:val="20"/>
              </w:rPr>
            </w:pPr>
            <w:r w:rsidRPr="008A26D2">
              <w:rPr>
                <w:rFonts w:ascii="Arial" w:eastAsia="Times New Roman" w:hAnsi="Arial" w:cs="Arial"/>
                <w:sz w:val="20"/>
                <w:szCs w:val="20"/>
                <w:lang w:eastAsia="es-ES"/>
              </w:rPr>
              <w:t xml:space="preserve">Porcentaje de </w:t>
            </w:r>
            <w:r w:rsidRPr="008A26D2">
              <w:rPr>
                <w:rFonts w:ascii="Arial" w:eastAsia="Arial Narrow" w:hAnsi="Arial" w:cs="Arial"/>
                <w:sz w:val="20"/>
                <w:szCs w:val="20"/>
              </w:rPr>
              <w:t>usuarios forestales y de fauna silvestre</w:t>
            </w:r>
            <w:r w:rsidRPr="008A26D2">
              <w:rPr>
                <w:rFonts w:ascii="Arial" w:eastAsia="Times New Roman" w:hAnsi="Arial" w:cs="Arial"/>
                <w:sz w:val="20"/>
                <w:szCs w:val="20"/>
                <w:lang w:eastAsia="es-ES"/>
              </w:rPr>
              <w:t xml:space="preserve"> con alto grado de satisfacción sobre la </w:t>
            </w:r>
            <w:r w:rsidRPr="008A26D2">
              <w:rPr>
                <w:rFonts w:ascii="Arial" w:hAnsi="Arial" w:cs="Arial"/>
                <w:sz w:val="20"/>
                <w:szCs w:val="20"/>
              </w:rPr>
              <w:t>transferencia de conocimientos y tecnologías agrarias</w:t>
            </w:r>
          </w:p>
        </w:tc>
      </w:tr>
    </w:tbl>
    <w:p w14:paraId="47DF1E42" w14:textId="49C9CCEB" w:rsidR="00735666" w:rsidRPr="008A26D2" w:rsidRDefault="00735666">
      <w:pPr>
        <w:rPr>
          <w:rFonts w:ascii="Arial Narrow" w:eastAsia="Arial Narrow" w:hAnsi="Arial Narrow" w:cs="Arial Narrow"/>
          <w:b/>
        </w:rPr>
      </w:pPr>
    </w:p>
    <w:p w14:paraId="1ADC75F5" w14:textId="790F702F" w:rsidR="00735666" w:rsidRPr="008A26D2" w:rsidRDefault="00735666" w:rsidP="00735666">
      <w:pPr>
        <w:jc w:val="both"/>
        <w:rPr>
          <w:rFonts w:ascii="Arial" w:hAnsi="Arial" w:cs="Arial"/>
        </w:rPr>
      </w:pPr>
      <w:r w:rsidRPr="008A26D2">
        <w:rPr>
          <w:rFonts w:ascii="Arial" w:hAnsi="Arial" w:cs="Arial"/>
          <w:b/>
          <w:bCs/>
        </w:rPr>
        <w:lastRenderedPageBreak/>
        <w:t>S2.4.</w:t>
      </w:r>
      <w:r w:rsidR="00BD0FD3" w:rsidRPr="008A26D2">
        <w:rPr>
          <w:rFonts w:ascii="Arial" w:hAnsi="Arial" w:cs="Arial"/>
          <w:b/>
          <w:bCs/>
        </w:rPr>
        <w:t>2</w:t>
      </w:r>
      <w:r w:rsidRPr="008A26D2">
        <w:rPr>
          <w:rFonts w:ascii="Arial" w:hAnsi="Arial" w:cs="Arial"/>
        </w:rPr>
        <w:t xml:space="preserve"> </w:t>
      </w:r>
      <w:r w:rsidR="009B3845" w:rsidRPr="008A26D2">
        <w:rPr>
          <w:rFonts w:ascii="Arial" w:hAnsi="Arial" w:cs="Arial"/>
        </w:rPr>
        <w:t>Captación de fondos para proyectos de investigación, desarrollo e innovación (I+D+í) en temas forestales y de fauna silvestre de forma oportuna dirigido a entidades públicas y privadas del Sistema Nacional de Ciencia, Tecnología e Innovación</w:t>
      </w:r>
      <w:r w:rsidRPr="008A26D2">
        <w:rPr>
          <w:rFonts w:ascii="Arial" w:hAnsi="Arial" w:cs="Arial"/>
        </w:rPr>
        <w:t>.</w:t>
      </w:r>
    </w:p>
    <w:tbl>
      <w:tblPr>
        <w:tblW w:w="8863" w:type="dxa"/>
        <w:jc w:val="center"/>
        <w:tblLayout w:type="fixed"/>
        <w:tblLook w:val="0600" w:firstRow="0" w:lastRow="0" w:firstColumn="0" w:lastColumn="0" w:noHBand="1" w:noVBand="1"/>
      </w:tblPr>
      <w:tblGrid>
        <w:gridCol w:w="2405"/>
        <w:gridCol w:w="2149"/>
        <w:gridCol w:w="2149"/>
        <w:gridCol w:w="2150"/>
        <w:gridCol w:w="10"/>
      </w:tblGrid>
      <w:tr w:rsidR="008A26D2" w:rsidRPr="008A26D2" w14:paraId="39E83D6C" w14:textId="77777777" w:rsidTr="001C43EA">
        <w:trPr>
          <w:trHeight w:val="300"/>
          <w:jc w:val="center"/>
        </w:trPr>
        <w:tc>
          <w:tcPr>
            <w:tcW w:w="8863" w:type="dxa"/>
            <w:gridSpan w:val="5"/>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center"/>
          </w:tcPr>
          <w:p w14:paraId="3EE6DE3A" w14:textId="325AD05E" w:rsidR="00735666" w:rsidRPr="008A26D2" w:rsidRDefault="00735666" w:rsidP="0072651A">
            <w:pPr>
              <w:tabs>
                <w:tab w:val="left" w:pos="3375"/>
              </w:tabs>
              <w:jc w:val="center"/>
              <w:rPr>
                <w:rFonts w:ascii="Arial" w:hAnsi="Arial" w:cs="Arial"/>
                <w:sz w:val="20"/>
                <w:szCs w:val="20"/>
              </w:rPr>
            </w:pPr>
            <w:r w:rsidRPr="008A26D2">
              <w:rPr>
                <w:rFonts w:ascii="Arial" w:hAnsi="Arial" w:cs="Arial"/>
                <w:b/>
                <w:sz w:val="20"/>
                <w:szCs w:val="20"/>
              </w:rPr>
              <w:t xml:space="preserve">FICHA DEL SERVICIO </w:t>
            </w:r>
          </w:p>
        </w:tc>
      </w:tr>
      <w:tr w:rsidR="008A26D2" w:rsidRPr="008A26D2" w14:paraId="40BF8A03" w14:textId="77777777" w:rsidTr="001C43EA">
        <w:trPr>
          <w:gridAfter w:val="1"/>
          <w:wAfter w:w="10" w:type="dxa"/>
          <w:trHeight w:val="300"/>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D8936B9" w14:textId="77777777" w:rsidR="00735666" w:rsidRPr="008A26D2" w:rsidRDefault="00735666" w:rsidP="0072651A">
            <w:pPr>
              <w:tabs>
                <w:tab w:val="left" w:pos="3375"/>
              </w:tabs>
              <w:rPr>
                <w:rFonts w:ascii="Arial" w:hAnsi="Arial" w:cs="Arial"/>
                <w:b/>
                <w:sz w:val="20"/>
                <w:szCs w:val="20"/>
              </w:rPr>
            </w:pPr>
            <w:r w:rsidRPr="008A26D2">
              <w:rPr>
                <w:rFonts w:ascii="Arial" w:hAnsi="Arial" w:cs="Arial"/>
                <w:b/>
                <w:sz w:val="20"/>
                <w:szCs w:val="20"/>
              </w:rPr>
              <w:t xml:space="preserve"> Objetivo prioritario:</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4050C8F" w14:textId="77777777" w:rsidR="00735666" w:rsidRPr="008A26D2" w:rsidRDefault="00735666" w:rsidP="0072651A">
            <w:pPr>
              <w:tabs>
                <w:tab w:val="left" w:pos="3375"/>
              </w:tabs>
              <w:ind w:left="128"/>
              <w:rPr>
                <w:rFonts w:ascii="Arial" w:hAnsi="Arial" w:cs="Arial"/>
                <w:sz w:val="20"/>
                <w:szCs w:val="20"/>
              </w:rPr>
            </w:pPr>
            <w:r w:rsidRPr="008A26D2">
              <w:rPr>
                <w:rFonts w:ascii="Arial" w:hAnsi="Arial" w:cs="Arial"/>
                <w:sz w:val="20"/>
                <w:szCs w:val="20"/>
              </w:rPr>
              <w:t>OP2 Incrementar la productividad de los ecosistemas forestales, otros ecosistemas de vegetación silvestre y de la fauna silvestre</w:t>
            </w:r>
          </w:p>
        </w:tc>
      </w:tr>
      <w:tr w:rsidR="008A26D2" w:rsidRPr="008A26D2" w14:paraId="5AD378CB" w14:textId="77777777" w:rsidTr="001C43EA">
        <w:trPr>
          <w:gridAfter w:val="1"/>
          <w:wAfter w:w="10" w:type="dxa"/>
          <w:trHeight w:val="300"/>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F1E7A8C" w14:textId="77777777" w:rsidR="00735666" w:rsidRPr="008A26D2" w:rsidRDefault="00735666" w:rsidP="0072651A">
            <w:pPr>
              <w:tabs>
                <w:tab w:val="left" w:pos="3375"/>
              </w:tabs>
              <w:rPr>
                <w:rFonts w:ascii="Arial" w:hAnsi="Arial" w:cs="Arial"/>
                <w:b/>
                <w:sz w:val="20"/>
                <w:szCs w:val="20"/>
              </w:rPr>
            </w:pPr>
            <w:r w:rsidRPr="008A26D2">
              <w:rPr>
                <w:rFonts w:ascii="Arial" w:hAnsi="Arial" w:cs="Arial"/>
                <w:b/>
                <w:sz w:val="20"/>
                <w:szCs w:val="20"/>
              </w:rPr>
              <w:t xml:space="preserve"> Lineamiento:</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F4FFE17" w14:textId="77777777" w:rsidR="00735666" w:rsidRPr="008A26D2" w:rsidRDefault="00735666" w:rsidP="0072651A">
            <w:pPr>
              <w:tabs>
                <w:tab w:val="left" w:pos="3375"/>
              </w:tabs>
              <w:ind w:left="128"/>
              <w:rPr>
                <w:rFonts w:ascii="Arial" w:hAnsi="Arial" w:cs="Arial"/>
                <w:sz w:val="20"/>
                <w:szCs w:val="20"/>
              </w:rPr>
            </w:pPr>
            <w:r w:rsidRPr="008A26D2">
              <w:rPr>
                <w:rFonts w:ascii="Arial" w:hAnsi="Arial" w:cs="Arial"/>
                <w:sz w:val="20"/>
                <w:szCs w:val="20"/>
              </w:rPr>
              <w:t>L2.4 Incrementar la generación de investigaciones e innovación, así como el desarrollo y transferencia de tecnologías en materia forestal y de fauna silvestre, y sus microorganismos asociados, incluyendo sus recursos genéticos</w:t>
            </w:r>
          </w:p>
        </w:tc>
      </w:tr>
      <w:tr w:rsidR="008A26D2" w:rsidRPr="008A26D2" w14:paraId="5FADF1FD" w14:textId="77777777" w:rsidTr="001C43EA">
        <w:trPr>
          <w:gridAfter w:val="1"/>
          <w:wAfter w:w="10" w:type="dxa"/>
          <w:trHeight w:val="300"/>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DCDE5AD" w14:textId="77777777" w:rsidR="00735666" w:rsidRPr="008A26D2" w:rsidRDefault="00735666" w:rsidP="0072651A">
            <w:pPr>
              <w:tabs>
                <w:tab w:val="left" w:pos="3375"/>
              </w:tabs>
              <w:rPr>
                <w:rFonts w:ascii="Arial" w:hAnsi="Arial" w:cs="Arial"/>
                <w:b/>
                <w:sz w:val="20"/>
                <w:szCs w:val="20"/>
              </w:rPr>
            </w:pPr>
            <w:r w:rsidRPr="008A26D2">
              <w:rPr>
                <w:rFonts w:ascii="Arial" w:hAnsi="Arial" w:cs="Arial"/>
                <w:b/>
                <w:sz w:val="20"/>
                <w:szCs w:val="20"/>
              </w:rPr>
              <w:t xml:space="preserve"> Nombre del servicio:</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EF10732" w14:textId="6EAADAB5" w:rsidR="00735666" w:rsidRPr="008A26D2" w:rsidRDefault="00735666" w:rsidP="0072651A">
            <w:pPr>
              <w:tabs>
                <w:tab w:val="left" w:pos="3375"/>
              </w:tabs>
              <w:ind w:left="128"/>
              <w:jc w:val="both"/>
              <w:rPr>
                <w:rFonts w:ascii="Arial" w:hAnsi="Arial" w:cs="Arial"/>
                <w:sz w:val="20"/>
                <w:szCs w:val="20"/>
              </w:rPr>
            </w:pPr>
            <w:r w:rsidRPr="008A26D2">
              <w:rPr>
                <w:rFonts w:ascii="Arial" w:hAnsi="Arial" w:cs="Arial"/>
                <w:sz w:val="20"/>
                <w:szCs w:val="20"/>
              </w:rPr>
              <w:t>S2.4.</w:t>
            </w:r>
            <w:r w:rsidR="00BD0FD3" w:rsidRPr="008A26D2">
              <w:rPr>
                <w:rFonts w:ascii="Arial" w:hAnsi="Arial" w:cs="Arial"/>
                <w:sz w:val="20"/>
                <w:szCs w:val="20"/>
              </w:rPr>
              <w:t>2</w:t>
            </w:r>
            <w:r w:rsidRPr="008A26D2">
              <w:rPr>
                <w:rFonts w:ascii="Arial" w:hAnsi="Arial" w:cs="Arial"/>
                <w:sz w:val="20"/>
                <w:szCs w:val="20"/>
              </w:rPr>
              <w:t xml:space="preserve"> Captación de fondos para proyectos de investigación, desarrollo e innovación (I+D+í) en temas forestales y de fauna silvestre de forma oportuna dirigido a </w:t>
            </w:r>
            <w:r w:rsidR="00CF3DD2" w:rsidRPr="008A26D2">
              <w:rPr>
                <w:rFonts w:ascii="Arial" w:hAnsi="Arial" w:cs="Arial"/>
                <w:sz w:val="20"/>
                <w:szCs w:val="20"/>
              </w:rPr>
              <w:t>entidades públicas y privadas del Sistema Nacional de Ciencia, Tecnología e Innovación</w:t>
            </w:r>
            <w:r w:rsidRPr="008A26D2">
              <w:rPr>
                <w:rFonts w:ascii="Arial" w:hAnsi="Arial" w:cs="Arial"/>
                <w:sz w:val="20"/>
                <w:szCs w:val="20"/>
              </w:rPr>
              <w:t xml:space="preserve">. </w:t>
            </w:r>
          </w:p>
        </w:tc>
      </w:tr>
      <w:tr w:rsidR="008A26D2" w:rsidRPr="008A26D2" w14:paraId="475D1B2C" w14:textId="77777777" w:rsidTr="001C43EA">
        <w:trPr>
          <w:gridAfter w:val="1"/>
          <w:wAfter w:w="10" w:type="dxa"/>
          <w:trHeight w:val="300"/>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F29552C" w14:textId="77777777" w:rsidR="00735666" w:rsidRPr="008A26D2" w:rsidRDefault="00735666" w:rsidP="0072651A">
            <w:pPr>
              <w:tabs>
                <w:tab w:val="left" w:pos="3375"/>
              </w:tabs>
              <w:rPr>
                <w:rFonts w:ascii="Arial" w:hAnsi="Arial" w:cs="Arial"/>
                <w:b/>
                <w:sz w:val="20"/>
                <w:szCs w:val="20"/>
              </w:rPr>
            </w:pPr>
            <w:r w:rsidRPr="008A26D2">
              <w:rPr>
                <w:rFonts w:ascii="Arial" w:hAnsi="Arial" w:cs="Arial"/>
                <w:b/>
                <w:sz w:val="20"/>
                <w:szCs w:val="20"/>
              </w:rPr>
              <w:t>Tipo de servicio:</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FB53FCA" w14:textId="77777777" w:rsidR="00735666" w:rsidRPr="008A26D2" w:rsidRDefault="00735666" w:rsidP="0072651A">
            <w:pPr>
              <w:tabs>
                <w:tab w:val="left" w:pos="3375"/>
              </w:tabs>
              <w:ind w:left="128"/>
              <w:rPr>
                <w:rFonts w:ascii="Arial" w:hAnsi="Arial" w:cs="Arial"/>
                <w:sz w:val="20"/>
                <w:szCs w:val="20"/>
              </w:rPr>
            </w:pPr>
            <w:r w:rsidRPr="008A26D2">
              <w:rPr>
                <w:rFonts w:ascii="Arial" w:hAnsi="Arial" w:cs="Arial"/>
                <w:sz w:val="20"/>
                <w:szCs w:val="20"/>
              </w:rPr>
              <w:t>Mejorado</w:t>
            </w:r>
          </w:p>
        </w:tc>
      </w:tr>
      <w:tr w:rsidR="008A26D2" w:rsidRPr="008A26D2" w14:paraId="53873181" w14:textId="77777777" w:rsidTr="001C43EA">
        <w:trPr>
          <w:gridAfter w:val="1"/>
          <w:wAfter w:w="10" w:type="dxa"/>
          <w:trHeight w:val="300"/>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81B7B97" w14:textId="7A2C7B88" w:rsidR="006B6C7C" w:rsidRPr="008A26D2" w:rsidRDefault="006B6C7C" w:rsidP="006B6C7C">
            <w:pPr>
              <w:tabs>
                <w:tab w:val="left" w:pos="3375"/>
              </w:tabs>
              <w:rPr>
                <w:rFonts w:ascii="Arial" w:hAnsi="Arial" w:cs="Arial"/>
                <w:b/>
                <w:sz w:val="20"/>
                <w:szCs w:val="20"/>
              </w:rPr>
            </w:pPr>
            <w:r w:rsidRPr="008A26D2">
              <w:rPr>
                <w:rFonts w:ascii="Arial" w:hAnsi="Arial" w:cs="Arial"/>
                <w:b/>
                <w:sz w:val="20"/>
                <w:szCs w:val="20"/>
              </w:rPr>
              <w:t>Naturaleza del servicio:</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1610EF3" w14:textId="72FA2966" w:rsidR="006B6C7C" w:rsidRPr="008A26D2" w:rsidRDefault="00FB2B17" w:rsidP="006B6C7C">
            <w:pPr>
              <w:tabs>
                <w:tab w:val="left" w:pos="3375"/>
              </w:tabs>
              <w:ind w:left="128"/>
              <w:rPr>
                <w:rFonts w:ascii="Arial" w:hAnsi="Arial" w:cs="Arial"/>
                <w:sz w:val="20"/>
                <w:szCs w:val="20"/>
              </w:rPr>
            </w:pPr>
            <w:r w:rsidRPr="008A26D2">
              <w:rPr>
                <w:rFonts w:ascii="Arial" w:eastAsia="Arial Narrow" w:hAnsi="Arial" w:cs="Arial"/>
                <w:sz w:val="20"/>
                <w:szCs w:val="20"/>
              </w:rPr>
              <w:t>A</w:t>
            </w:r>
            <w:r w:rsidR="006B6C7C" w:rsidRPr="008A26D2">
              <w:rPr>
                <w:rFonts w:ascii="Arial" w:eastAsia="Arial Narrow" w:hAnsi="Arial" w:cs="Arial"/>
                <w:sz w:val="20"/>
                <w:szCs w:val="20"/>
              </w:rPr>
              <w:t>dministrativo</w:t>
            </w:r>
          </w:p>
        </w:tc>
      </w:tr>
      <w:tr w:rsidR="008A26D2" w:rsidRPr="008A26D2" w14:paraId="657FA4D8" w14:textId="77777777" w:rsidTr="001C43EA">
        <w:trPr>
          <w:gridAfter w:val="1"/>
          <w:wAfter w:w="10" w:type="dxa"/>
          <w:trHeight w:val="300"/>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A347EFC" w14:textId="7399C017" w:rsidR="006B6C7C" w:rsidRPr="008A26D2" w:rsidRDefault="006B6C7C" w:rsidP="006B6C7C">
            <w:pPr>
              <w:tabs>
                <w:tab w:val="left" w:pos="3375"/>
              </w:tabs>
              <w:rPr>
                <w:rFonts w:ascii="Arial" w:hAnsi="Arial" w:cs="Arial"/>
                <w:b/>
                <w:sz w:val="20"/>
                <w:szCs w:val="20"/>
              </w:rPr>
            </w:pPr>
            <w:r w:rsidRPr="008A26D2">
              <w:rPr>
                <w:rFonts w:ascii="Arial" w:hAnsi="Arial" w:cs="Arial"/>
                <w:b/>
                <w:sz w:val="20"/>
                <w:szCs w:val="20"/>
              </w:rPr>
              <w:t>Entrega del servicio</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AF85FCA" w14:textId="3C078AFB" w:rsidR="006B6C7C" w:rsidRPr="008A26D2" w:rsidRDefault="006B6C7C" w:rsidP="006B6C7C">
            <w:pPr>
              <w:tabs>
                <w:tab w:val="left" w:pos="3375"/>
              </w:tabs>
              <w:ind w:left="128"/>
              <w:rPr>
                <w:rFonts w:ascii="Arial" w:hAnsi="Arial" w:cs="Arial"/>
                <w:sz w:val="20"/>
                <w:szCs w:val="20"/>
              </w:rPr>
            </w:pPr>
            <w:r w:rsidRPr="008A26D2">
              <w:rPr>
                <w:rFonts w:ascii="Arial" w:eastAsia="Arial Narrow" w:hAnsi="Arial" w:cs="Arial"/>
                <w:sz w:val="20"/>
                <w:szCs w:val="20"/>
              </w:rPr>
              <w:t>Competencia compartida</w:t>
            </w:r>
          </w:p>
        </w:tc>
      </w:tr>
      <w:tr w:rsidR="00846D49" w:rsidRPr="00846D49" w14:paraId="27112CF3" w14:textId="77777777" w:rsidTr="001C43EA">
        <w:trPr>
          <w:gridAfter w:val="1"/>
          <w:wAfter w:w="10" w:type="dxa"/>
          <w:trHeight w:val="300"/>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9E84B50" w14:textId="77777777" w:rsidR="006B6C7C" w:rsidRPr="00846D49" w:rsidRDefault="006B6C7C" w:rsidP="006B6C7C">
            <w:pPr>
              <w:tabs>
                <w:tab w:val="left" w:pos="3375"/>
              </w:tabs>
              <w:rPr>
                <w:rFonts w:ascii="Arial" w:hAnsi="Arial" w:cs="Arial"/>
                <w:b/>
                <w:sz w:val="20"/>
                <w:szCs w:val="20"/>
              </w:rPr>
            </w:pPr>
            <w:r w:rsidRPr="00846D49">
              <w:rPr>
                <w:rFonts w:ascii="Arial" w:hAnsi="Arial" w:cs="Arial"/>
                <w:b/>
                <w:sz w:val="20"/>
                <w:szCs w:val="20"/>
              </w:rPr>
              <w:t xml:space="preserve"> Descripción del servicio</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F9E1E38" w14:textId="5C41E8D5" w:rsidR="006B6C7C" w:rsidRPr="00846D49" w:rsidRDefault="006B6C7C" w:rsidP="006B6C7C">
            <w:pPr>
              <w:pStyle w:val="Default"/>
              <w:jc w:val="both"/>
              <w:rPr>
                <w:rFonts w:ascii="Arial" w:hAnsi="Arial" w:cs="Arial"/>
                <w:color w:val="auto"/>
                <w:sz w:val="20"/>
                <w:szCs w:val="20"/>
              </w:rPr>
            </w:pPr>
            <w:r w:rsidRPr="00846D49">
              <w:rPr>
                <w:rFonts w:ascii="Arial" w:hAnsi="Arial" w:cs="Arial"/>
                <w:color w:val="auto"/>
                <w:sz w:val="20"/>
                <w:szCs w:val="20"/>
              </w:rPr>
              <w:t xml:space="preserve">El servicio consiste en captar fondos de fuentes nacionales e internacionales en coordinación con el Servicio Nacional Forestal y de Fauna Silvestre para otorgar subvenciones de proyectos de I+D+i en temas forestales y de fauna silvestre. Dicha subvención atiende la demanda de financiamiento de proyectos de Captación de fondos para proyectos de investigación, desarrollo e innovación (I+D+í) en temas forestales y de fauna silvestre de forma oportuna dirigido a entidades públicas y privadas del Sistema Nacional de Ciencia, Tecnología e Innovación </w:t>
            </w:r>
            <w:r w:rsidR="004E7D4B" w:rsidRPr="00846D49">
              <w:rPr>
                <w:rFonts w:ascii="Arial" w:hAnsi="Arial" w:cs="Arial"/>
                <w:color w:val="auto"/>
                <w:sz w:val="20"/>
                <w:szCs w:val="20"/>
              </w:rPr>
              <w:t xml:space="preserve">- </w:t>
            </w:r>
            <w:r w:rsidRPr="00846D49">
              <w:rPr>
                <w:rFonts w:ascii="Arial" w:hAnsi="Arial" w:cs="Arial"/>
                <w:color w:val="auto"/>
                <w:sz w:val="20"/>
                <w:szCs w:val="20"/>
              </w:rPr>
              <w:t xml:space="preserve">SINACTI. </w:t>
            </w:r>
          </w:p>
          <w:p w14:paraId="2FFA223C" w14:textId="77777777" w:rsidR="006B6C7C" w:rsidRPr="00846D49" w:rsidRDefault="006B6C7C" w:rsidP="006B6C7C">
            <w:pPr>
              <w:pStyle w:val="Default"/>
              <w:jc w:val="both"/>
              <w:rPr>
                <w:rFonts w:ascii="Arial" w:hAnsi="Arial" w:cs="Arial"/>
                <w:color w:val="auto"/>
                <w:sz w:val="20"/>
                <w:szCs w:val="20"/>
              </w:rPr>
            </w:pPr>
          </w:p>
          <w:p w14:paraId="196595B3" w14:textId="0D491F02" w:rsidR="000C39A1" w:rsidRPr="00846D49" w:rsidRDefault="00AC6393" w:rsidP="006B6C7C">
            <w:pPr>
              <w:tabs>
                <w:tab w:val="left" w:pos="3375"/>
              </w:tabs>
              <w:jc w:val="both"/>
              <w:rPr>
                <w:rFonts w:ascii="Arial" w:hAnsi="Arial" w:cs="Arial"/>
                <w:sz w:val="20"/>
                <w:szCs w:val="20"/>
              </w:rPr>
            </w:pPr>
            <w:r w:rsidRPr="00846D49">
              <w:rPr>
                <w:rFonts w:ascii="Arial" w:hAnsi="Arial" w:cs="Arial"/>
                <w:sz w:val="20"/>
                <w:szCs w:val="20"/>
              </w:rPr>
              <w:t>El proceso de captación de fondos implica acciones de gestión con los organismos de cooperación ya sean nacionales e internacionales, que se concretan a través de la suscripción de convenios de cooperación. Los fondos captados se incorporan en un Plan Anual de Concursos que es un conjunto de actividades (concursos) que se programan en un año para seleccionar proyectos que serán subvencionados de acuerdo a una evaluación técnica</w:t>
            </w:r>
            <w:r w:rsidR="000C39A1" w:rsidRPr="00846D49">
              <w:rPr>
                <w:rFonts w:ascii="Arial" w:hAnsi="Arial" w:cs="Arial"/>
                <w:sz w:val="20"/>
                <w:szCs w:val="20"/>
              </w:rPr>
              <w:t xml:space="preserve">. </w:t>
            </w:r>
          </w:p>
          <w:p w14:paraId="64DBE79E" w14:textId="7160A2B8" w:rsidR="006B6C7C" w:rsidRPr="00846D49" w:rsidRDefault="006B6C7C" w:rsidP="006B6C7C">
            <w:pPr>
              <w:tabs>
                <w:tab w:val="left" w:pos="3375"/>
              </w:tabs>
              <w:jc w:val="both"/>
              <w:rPr>
                <w:rFonts w:ascii="Arial" w:hAnsi="Arial" w:cs="Arial"/>
                <w:sz w:val="20"/>
                <w:szCs w:val="20"/>
              </w:rPr>
            </w:pPr>
            <w:r w:rsidRPr="00846D49">
              <w:rPr>
                <w:rFonts w:ascii="Arial" w:hAnsi="Arial" w:cs="Arial"/>
                <w:sz w:val="20"/>
                <w:szCs w:val="20"/>
              </w:rPr>
              <w:t xml:space="preserve">El estándar de oportunidad busca que la captación de fondos se realice previo a la aprobación del Plan Anual de Concursos, para lo cual el  </w:t>
            </w:r>
            <w:r w:rsidR="00880D35" w:rsidRPr="00846D49">
              <w:rPr>
                <w:rFonts w:ascii="Arial" w:hAnsi="Arial" w:cs="Arial"/>
                <w:sz w:val="20"/>
                <w:szCs w:val="20"/>
              </w:rPr>
              <w:t>Consejo Nacional de Ciencia, Tecnología e Innovación Tecnológica - CONCYTEC</w:t>
            </w:r>
            <w:r w:rsidRPr="00846D49">
              <w:rPr>
                <w:rFonts w:ascii="Arial" w:hAnsi="Arial" w:cs="Arial"/>
                <w:sz w:val="20"/>
                <w:szCs w:val="20"/>
              </w:rPr>
              <w:t xml:space="preserve"> y </w:t>
            </w:r>
            <w:r w:rsidR="00880D35" w:rsidRPr="00846D49">
              <w:rPr>
                <w:rFonts w:ascii="Arial" w:hAnsi="Arial" w:cs="Arial"/>
                <w:sz w:val="20"/>
                <w:szCs w:val="20"/>
              </w:rPr>
              <w:t>el Servicio Nacional Forestal y de Fauna Silvestre -</w:t>
            </w:r>
            <w:r w:rsidRPr="00846D49">
              <w:rPr>
                <w:rFonts w:ascii="Arial" w:hAnsi="Arial" w:cs="Arial"/>
                <w:sz w:val="20"/>
                <w:szCs w:val="20"/>
              </w:rPr>
              <w:t>SERFOR realizan la búsqueda de recursos financieros para las convocatorias a fondos concursables del Programa Nacional de Investigación Científica y Estudios Avanzados (PROCIENCIA), así como en el cumplimiento de los compromisos en los eventuales convenios que se suscriban.</w:t>
            </w:r>
          </w:p>
          <w:p w14:paraId="6351833F" w14:textId="6FB2FD61" w:rsidR="006B6C7C" w:rsidRPr="00846D49" w:rsidRDefault="006B6C7C" w:rsidP="006B6C7C">
            <w:pPr>
              <w:tabs>
                <w:tab w:val="left" w:pos="3375"/>
              </w:tabs>
              <w:jc w:val="both"/>
              <w:rPr>
                <w:rFonts w:ascii="Arial" w:hAnsi="Arial" w:cs="Arial"/>
                <w:sz w:val="20"/>
                <w:szCs w:val="20"/>
              </w:rPr>
            </w:pPr>
            <w:r w:rsidRPr="00846D49">
              <w:rPr>
                <w:rFonts w:ascii="Arial" w:hAnsi="Arial" w:cs="Arial"/>
                <w:sz w:val="20"/>
                <w:szCs w:val="20"/>
              </w:rPr>
              <w:t xml:space="preserve">El servicio se vincula con el lineamiento, ya que la oportunidad de los fondos captados para proyectos de </w:t>
            </w:r>
            <w:r w:rsidR="00880D35" w:rsidRPr="00846D49">
              <w:rPr>
                <w:rFonts w:ascii="Arial" w:hAnsi="Arial" w:cs="Arial"/>
                <w:sz w:val="20"/>
                <w:szCs w:val="20"/>
              </w:rPr>
              <w:t>Ciencia, Tecnología e Innovación ( CTI)</w:t>
            </w:r>
            <w:r w:rsidRPr="00846D49">
              <w:rPr>
                <w:rFonts w:ascii="Arial" w:hAnsi="Arial" w:cs="Arial"/>
                <w:sz w:val="20"/>
                <w:szCs w:val="20"/>
              </w:rPr>
              <w:t xml:space="preserve"> puede destinarse a la promoción de investigaciones, innovación y transferencia de tecnologías en materia forestal y de fauna silvestre.</w:t>
            </w:r>
          </w:p>
          <w:p w14:paraId="4924E27A" w14:textId="77777777" w:rsidR="006B6C7C" w:rsidRPr="00846D49" w:rsidRDefault="006B6C7C" w:rsidP="006B6C7C">
            <w:pPr>
              <w:tabs>
                <w:tab w:val="left" w:pos="3375"/>
              </w:tabs>
              <w:rPr>
                <w:rFonts w:ascii="Arial" w:hAnsi="Arial" w:cs="Arial"/>
                <w:sz w:val="20"/>
                <w:szCs w:val="20"/>
              </w:rPr>
            </w:pPr>
            <w:r w:rsidRPr="00846D49">
              <w:rPr>
                <w:rFonts w:ascii="Arial" w:hAnsi="Arial" w:cs="Arial"/>
                <w:sz w:val="20"/>
                <w:szCs w:val="20"/>
              </w:rPr>
              <w:lastRenderedPageBreak/>
              <w:t>El servicio es mejorado porque permite ampliar la oferta del servicio en CTI a la temática forestal y de fauna silvestre; así como potenciar los procesos de seguimiento y evaluación en este tipo de proyectos.</w:t>
            </w:r>
          </w:p>
        </w:tc>
      </w:tr>
      <w:tr w:rsidR="00846D49" w:rsidRPr="00846D49" w14:paraId="24B02357" w14:textId="77777777" w:rsidTr="001C43EA">
        <w:trPr>
          <w:gridAfter w:val="1"/>
          <w:wAfter w:w="10" w:type="dxa"/>
          <w:trHeight w:val="300"/>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8F63CD1" w14:textId="77777777" w:rsidR="006B6C7C" w:rsidRPr="00846D49" w:rsidRDefault="006B6C7C" w:rsidP="006B6C7C">
            <w:pPr>
              <w:tabs>
                <w:tab w:val="left" w:pos="3375"/>
              </w:tabs>
              <w:rPr>
                <w:rFonts w:ascii="Arial" w:hAnsi="Arial" w:cs="Arial"/>
                <w:b/>
                <w:sz w:val="20"/>
                <w:szCs w:val="20"/>
              </w:rPr>
            </w:pPr>
            <w:r w:rsidRPr="00846D49">
              <w:rPr>
                <w:rFonts w:ascii="Arial" w:hAnsi="Arial" w:cs="Arial"/>
                <w:b/>
                <w:sz w:val="20"/>
                <w:szCs w:val="20"/>
              </w:rPr>
              <w:lastRenderedPageBreak/>
              <w:t xml:space="preserve"> Proveedor del servicio</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08428F7" w14:textId="63FE6351" w:rsidR="006B6C7C" w:rsidRPr="00846D49" w:rsidRDefault="006B6C7C" w:rsidP="006B6C7C">
            <w:pPr>
              <w:pStyle w:val="Default"/>
              <w:rPr>
                <w:rFonts w:ascii="Arial" w:hAnsi="Arial" w:cs="Arial"/>
                <w:color w:val="auto"/>
                <w:sz w:val="20"/>
                <w:szCs w:val="20"/>
              </w:rPr>
            </w:pPr>
            <w:r w:rsidRPr="00846D49">
              <w:rPr>
                <w:rFonts w:ascii="Arial" w:hAnsi="Arial" w:cs="Arial"/>
                <w:color w:val="auto"/>
                <w:sz w:val="20"/>
                <w:szCs w:val="20"/>
              </w:rPr>
              <w:t>Consejo Nacional de Ciencia, Tecnología e Innovación Tecnológica - CONCYTEC;</w:t>
            </w:r>
          </w:p>
          <w:p w14:paraId="79881642" w14:textId="419AA465" w:rsidR="006B6C7C" w:rsidRPr="00846D49" w:rsidRDefault="006B6C7C" w:rsidP="006B6C7C">
            <w:pPr>
              <w:pStyle w:val="Default"/>
              <w:rPr>
                <w:rFonts w:ascii="Arial" w:hAnsi="Arial" w:cs="Arial"/>
                <w:color w:val="auto"/>
                <w:sz w:val="20"/>
                <w:szCs w:val="20"/>
              </w:rPr>
            </w:pPr>
            <w:r w:rsidRPr="00846D49">
              <w:rPr>
                <w:rFonts w:ascii="Arial" w:hAnsi="Arial" w:cs="Arial"/>
                <w:color w:val="auto"/>
                <w:sz w:val="20"/>
                <w:szCs w:val="20"/>
              </w:rPr>
              <w:t xml:space="preserve">Servicio Nacional Forestal y de Fauna Silvestre - SERFOR </w:t>
            </w:r>
          </w:p>
          <w:p w14:paraId="74CAD73D" w14:textId="77777777" w:rsidR="006B6C7C" w:rsidRPr="00846D49" w:rsidRDefault="006B6C7C" w:rsidP="006B6C7C">
            <w:pPr>
              <w:pStyle w:val="Default"/>
              <w:rPr>
                <w:rFonts w:ascii="Arial" w:hAnsi="Arial" w:cs="Arial"/>
                <w:color w:val="auto"/>
                <w:sz w:val="20"/>
                <w:szCs w:val="20"/>
              </w:rPr>
            </w:pPr>
          </w:p>
        </w:tc>
      </w:tr>
      <w:tr w:rsidR="00846D49" w:rsidRPr="00846D49" w14:paraId="2F571A9C" w14:textId="77777777" w:rsidTr="00352E51">
        <w:trPr>
          <w:gridAfter w:val="1"/>
          <w:wAfter w:w="10" w:type="dxa"/>
          <w:trHeight w:val="555"/>
          <w:jc w:val="center"/>
        </w:trPr>
        <w:tc>
          <w:tcPr>
            <w:tcW w:w="2405" w:type="dxa"/>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2ABF2868" w14:textId="77777777" w:rsidR="006B6C7C" w:rsidRPr="00846D49" w:rsidRDefault="006B6C7C" w:rsidP="000C39A1">
            <w:pPr>
              <w:spacing w:after="0" w:line="240" w:lineRule="auto"/>
              <w:rPr>
                <w:rFonts w:ascii="Arial" w:hAnsi="Arial" w:cs="Arial"/>
                <w:b/>
                <w:sz w:val="20"/>
                <w:szCs w:val="20"/>
              </w:rPr>
            </w:pPr>
            <w:r w:rsidRPr="00846D49">
              <w:rPr>
                <w:rFonts w:ascii="Arial" w:hAnsi="Arial" w:cs="Arial"/>
                <w:b/>
                <w:sz w:val="20"/>
                <w:szCs w:val="20"/>
              </w:rPr>
              <w:t>Nivel (es) de gobierno que interviene</w:t>
            </w:r>
          </w:p>
          <w:p w14:paraId="61935DCA" w14:textId="027DE57E" w:rsidR="006B6C7C" w:rsidRPr="00846D49" w:rsidRDefault="006B6C7C" w:rsidP="006B6C7C">
            <w:pPr>
              <w:tabs>
                <w:tab w:val="left" w:pos="3375"/>
              </w:tabs>
              <w:rPr>
                <w:rFonts w:ascii="Arial" w:hAnsi="Arial" w:cs="Arial"/>
                <w:b/>
                <w:sz w:val="20"/>
                <w:szCs w:val="20"/>
              </w:rPr>
            </w:pPr>
            <w:r w:rsidRPr="00846D49">
              <w:rPr>
                <w:rFonts w:ascii="Arial" w:hAnsi="Arial" w:cs="Arial"/>
                <w:b/>
                <w:sz w:val="20"/>
                <w:szCs w:val="20"/>
              </w:rPr>
              <w:t>(n) en la provisión del servicio</w:t>
            </w:r>
          </w:p>
        </w:tc>
        <w:tc>
          <w:tcPr>
            <w:tcW w:w="2149"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364089F8" w14:textId="59E88328" w:rsidR="006B6C7C" w:rsidRPr="00846D49" w:rsidRDefault="006B6C7C" w:rsidP="00701F97">
            <w:pPr>
              <w:pStyle w:val="Default"/>
              <w:jc w:val="center"/>
              <w:rPr>
                <w:rFonts w:ascii="Arial" w:hAnsi="Arial" w:cs="Arial"/>
                <w:color w:val="auto"/>
                <w:sz w:val="20"/>
                <w:szCs w:val="20"/>
              </w:rPr>
            </w:pPr>
            <w:r w:rsidRPr="00846D49">
              <w:rPr>
                <w:rFonts w:ascii="Arial" w:eastAsia="Arial Narrow" w:hAnsi="Arial" w:cs="Arial"/>
                <w:color w:val="auto"/>
                <w:sz w:val="20"/>
                <w:szCs w:val="20"/>
              </w:rPr>
              <w:t>Nacional</w:t>
            </w:r>
          </w:p>
        </w:tc>
        <w:tc>
          <w:tcPr>
            <w:tcW w:w="2149" w:type="dxa"/>
            <w:tcBorders>
              <w:top w:val="single" w:sz="4" w:space="0" w:color="000000"/>
              <w:left w:val="single" w:sz="4" w:space="0" w:color="000000"/>
              <w:right w:val="single" w:sz="4" w:space="0" w:color="000000"/>
            </w:tcBorders>
            <w:shd w:val="clear" w:color="auto" w:fill="auto"/>
            <w:vAlign w:val="center"/>
          </w:tcPr>
          <w:p w14:paraId="64F9AF75" w14:textId="47FC7B35" w:rsidR="006B6C7C" w:rsidRPr="00846D49" w:rsidRDefault="006B6C7C" w:rsidP="00701F97">
            <w:pPr>
              <w:pStyle w:val="Default"/>
              <w:jc w:val="center"/>
              <w:rPr>
                <w:rFonts w:ascii="Arial" w:hAnsi="Arial" w:cs="Arial"/>
                <w:color w:val="auto"/>
                <w:sz w:val="20"/>
                <w:szCs w:val="20"/>
              </w:rPr>
            </w:pPr>
            <w:r w:rsidRPr="00846D49">
              <w:rPr>
                <w:rFonts w:ascii="Arial" w:eastAsia="Arial Narrow" w:hAnsi="Arial" w:cs="Arial"/>
                <w:color w:val="auto"/>
                <w:sz w:val="20"/>
                <w:szCs w:val="20"/>
              </w:rPr>
              <w:t>Regional</w:t>
            </w:r>
          </w:p>
        </w:tc>
        <w:tc>
          <w:tcPr>
            <w:tcW w:w="2150" w:type="dxa"/>
            <w:tcBorders>
              <w:top w:val="single" w:sz="4" w:space="0" w:color="000000"/>
              <w:left w:val="single" w:sz="4" w:space="0" w:color="000000"/>
              <w:right w:val="single" w:sz="4" w:space="0" w:color="000000"/>
            </w:tcBorders>
            <w:shd w:val="clear" w:color="auto" w:fill="auto"/>
            <w:vAlign w:val="center"/>
          </w:tcPr>
          <w:p w14:paraId="6D82006C" w14:textId="3C0F8CC0" w:rsidR="006B6C7C" w:rsidRPr="00846D49" w:rsidRDefault="006B6C7C" w:rsidP="00701F97">
            <w:pPr>
              <w:pStyle w:val="Default"/>
              <w:jc w:val="center"/>
              <w:rPr>
                <w:rFonts w:ascii="Arial" w:hAnsi="Arial" w:cs="Arial"/>
                <w:color w:val="auto"/>
                <w:sz w:val="20"/>
                <w:szCs w:val="20"/>
              </w:rPr>
            </w:pPr>
            <w:r w:rsidRPr="00846D49">
              <w:rPr>
                <w:rFonts w:ascii="Arial" w:eastAsia="Arial Narrow" w:hAnsi="Arial" w:cs="Arial"/>
                <w:color w:val="auto"/>
                <w:sz w:val="20"/>
                <w:szCs w:val="20"/>
              </w:rPr>
              <w:t>Local</w:t>
            </w:r>
          </w:p>
        </w:tc>
      </w:tr>
      <w:tr w:rsidR="00846D49" w:rsidRPr="00846D49" w14:paraId="743610DC" w14:textId="77777777" w:rsidTr="00352E51">
        <w:trPr>
          <w:gridAfter w:val="1"/>
          <w:wAfter w:w="10" w:type="dxa"/>
          <w:trHeight w:val="555"/>
          <w:jc w:val="center"/>
        </w:trPr>
        <w:tc>
          <w:tcPr>
            <w:tcW w:w="2405" w:type="dxa"/>
            <w:vMerge/>
            <w:tcBorders>
              <w:left w:val="single" w:sz="4" w:space="0" w:color="000000"/>
              <w:right w:val="single" w:sz="4" w:space="0" w:color="000000"/>
            </w:tcBorders>
            <w:shd w:val="clear" w:color="auto" w:fill="auto"/>
            <w:tcMar>
              <w:top w:w="15" w:type="dxa"/>
              <w:left w:w="15" w:type="dxa"/>
              <w:bottom w:w="0" w:type="dxa"/>
              <w:right w:w="15" w:type="dxa"/>
            </w:tcMar>
            <w:vAlign w:val="center"/>
          </w:tcPr>
          <w:p w14:paraId="66F68A0D" w14:textId="77777777" w:rsidR="006B6C7C" w:rsidRPr="00846D49" w:rsidRDefault="006B6C7C" w:rsidP="006B6C7C">
            <w:pPr>
              <w:spacing w:after="0" w:line="240" w:lineRule="auto"/>
              <w:rPr>
                <w:rFonts w:ascii="Arial" w:hAnsi="Arial" w:cs="Arial"/>
                <w:b/>
                <w:sz w:val="20"/>
                <w:szCs w:val="20"/>
              </w:rPr>
            </w:pPr>
          </w:p>
        </w:tc>
        <w:tc>
          <w:tcPr>
            <w:tcW w:w="2149"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7CC641E9" w14:textId="4C3117BB" w:rsidR="006B6C7C" w:rsidRPr="00846D49" w:rsidRDefault="00FB2B17" w:rsidP="00701F97">
            <w:pPr>
              <w:pStyle w:val="Default"/>
              <w:jc w:val="center"/>
              <w:rPr>
                <w:rFonts w:ascii="Arial" w:hAnsi="Arial" w:cs="Arial"/>
                <w:color w:val="auto"/>
                <w:sz w:val="20"/>
                <w:szCs w:val="20"/>
              </w:rPr>
            </w:pPr>
            <w:r w:rsidRPr="00846D49">
              <w:rPr>
                <w:rFonts w:ascii="Arial" w:hAnsi="Arial" w:cs="Arial"/>
                <w:color w:val="auto"/>
                <w:sz w:val="20"/>
                <w:szCs w:val="20"/>
              </w:rPr>
              <w:t>X</w:t>
            </w:r>
          </w:p>
        </w:tc>
        <w:tc>
          <w:tcPr>
            <w:tcW w:w="2149" w:type="dxa"/>
            <w:tcBorders>
              <w:top w:val="single" w:sz="4" w:space="0" w:color="000000"/>
              <w:left w:val="single" w:sz="4" w:space="0" w:color="000000"/>
              <w:right w:val="single" w:sz="4" w:space="0" w:color="000000"/>
            </w:tcBorders>
            <w:shd w:val="clear" w:color="auto" w:fill="auto"/>
            <w:vAlign w:val="center"/>
          </w:tcPr>
          <w:p w14:paraId="5CDB85E6" w14:textId="77777777" w:rsidR="006B6C7C" w:rsidRPr="00846D49" w:rsidRDefault="006B6C7C" w:rsidP="00701F97">
            <w:pPr>
              <w:pStyle w:val="Default"/>
              <w:jc w:val="center"/>
              <w:rPr>
                <w:rFonts w:ascii="Arial" w:hAnsi="Arial" w:cs="Arial"/>
                <w:color w:val="auto"/>
                <w:sz w:val="20"/>
                <w:szCs w:val="20"/>
              </w:rPr>
            </w:pPr>
          </w:p>
        </w:tc>
        <w:tc>
          <w:tcPr>
            <w:tcW w:w="2150" w:type="dxa"/>
            <w:tcBorders>
              <w:top w:val="single" w:sz="4" w:space="0" w:color="000000"/>
              <w:left w:val="single" w:sz="4" w:space="0" w:color="000000"/>
              <w:right w:val="single" w:sz="4" w:space="0" w:color="000000"/>
            </w:tcBorders>
            <w:shd w:val="clear" w:color="auto" w:fill="auto"/>
            <w:vAlign w:val="center"/>
          </w:tcPr>
          <w:p w14:paraId="1B1AF502" w14:textId="1D951EAB" w:rsidR="006B6C7C" w:rsidRPr="00846D49" w:rsidRDefault="006B6C7C" w:rsidP="00701F97">
            <w:pPr>
              <w:pStyle w:val="Default"/>
              <w:jc w:val="center"/>
              <w:rPr>
                <w:rFonts w:ascii="Arial" w:hAnsi="Arial" w:cs="Arial"/>
                <w:color w:val="auto"/>
                <w:sz w:val="20"/>
                <w:szCs w:val="20"/>
              </w:rPr>
            </w:pPr>
          </w:p>
        </w:tc>
      </w:tr>
      <w:tr w:rsidR="00846D49" w:rsidRPr="00846D49" w14:paraId="718F5E78" w14:textId="77777777" w:rsidTr="001C43EA">
        <w:trPr>
          <w:gridAfter w:val="1"/>
          <w:wAfter w:w="10" w:type="dxa"/>
          <w:trHeight w:val="300"/>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44894E7" w14:textId="77777777" w:rsidR="006B6C7C" w:rsidRPr="00846D49" w:rsidRDefault="006B6C7C" w:rsidP="006B6C7C">
            <w:pPr>
              <w:tabs>
                <w:tab w:val="left" w:pos="3375"/>
              </w:tabs>
              <w:rPr>
                <w:rFonts w:ascii="Arial" w:hAnsi="Arial" w:cs="Arial"/>
                <w:b/>
                <w:sz w:val="20"/>
                <w:szCs w:val="20"/>
              </w:rPr>
            </w:pPr>
            <w:r w:rsidRPr="00846D49">
              <w:rPr>
                <w:rFonts w:ascii="Arial" w:hAnsi="Arial" w:cs="Arial"/>
                <w:b/>
                <w:sz w:val="20"/>
                <w:szCs w:val="20"/>
              </w:rPr>
              <w:t xml:space="preserve"> Receptor del servicio</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F8522A8" w14:textId="77777777" w:rsidR="006B6C7C" w:rsidRPr="00846D49" w:rsidRDefault="006B6C7C" w:rsidP="006B6C7C">
            <w:pPr>
              <w:tabs>
                <w:tab w:val="left" w:pos="3375"/>
              </w:tabs>
              <w:ind w:left="128" w:hanging="5"/>
              <w:rPr>
                <w:rFonts w:ascii="Arial" w:hAnsi="Arial" w:cs="Arial"/>
                <w:sz w:val="20"/>
                <w:szCs w:val="20"/>
              </w:rPr>
            </w:pPr>
            <w:r w:rsidRPr="00846D49">
              <w:rPr>
                <w:rFonts w:ascii="Arial" w:hAnsi="Arial" w:cs="Arial"/>
                <w:sz w:val="20"/>
                <w:szCs w:val="20"/>
              </w:rPr>
              <w:t>Entidades públicas y privadas del Sistema Nacional de Ciencia, Tecnología e Innovación (SINACTI)</w:t>
            </w:r>
          </w:p>
        </w:tc>
      </w:tr>
      <w:tr w:rsidR="00846D49" w:rsidRPr="00846D49" w14:paraId="73F11135" w14:textId="77777777" w:rsidTr="001C43EA">
        <w:trPr>
          <w:gridAfter w:val="1"/>
          <w:wAfter w:w="10" w:type="dxa"/>
          <w:trHeight w:val="211"/>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42820D3" w14:textId="77777777" w:rsidR="006B6C7C" w:rsidRPr="00846D49" w:rsidRDefault="006B6C7C" w:rsidP="006B6C7C">
            <w:pPr>
              <w:tabs>
                <w:tab w:val="left" w:pos="3375"/>
              </w:tabs>
              <w:rPr>
                <w:rFonts w:ascii="Arial" w:hAnsi="Arial" w:cs="Arial"/>
                <w:b/>
                <w:sz w:val="20"/>
                <w:szCs w:val="20"/>
              </w:rPr>
            </w:pPr>
            <w:r w:rsidRPr="00846D49">
              <w:rPr>
                <w:rFonts w:ascii="Arial" w:hAnsi="Arial" w:cs="Arial"/>
                <w:b/>
                <w:sz w:val="20"/>
                <w:szCs w:val="20"/>
              </w:rPr>
              <w:t xml:space="preserve"> Alcance del servicio </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280029D" w14:textId="77777777" w:rsidR="006B6C7C" w:rsidRPr="00846D49" w:rsidRDefault="006B6C7C" w:rsidP="006B6C7C">
            <w:pPr>
              <w:tabs>
                <w:tab w:val="left" w:pos="3375"/>
              </w:tabs>
              <w:ind w:left="128" w:hanging="74"/>
              <w:rPr>
                <w:rFonts w:ascii="Arial" w:hAnsi="Arial" w:cs="Arial"/>
                <w:sz w:val="20"/>
                <w:szCs w:val="20"/>
              </w:rPr>
            </w:pPr>
            <w:r w:rsidRPr="00846D49">
              <w:rPr>
                <w:rFonts w:ascii="Arial" w:hAnsi="Arial" w:cs="Arial"/>
                <w:sz w:val="20"/>
                <w:szCs w:val="20"/>
              </w:rPr>
              <w:t>Nacional</w:t>
            </w:r>
          </w:p>
        </w:tc>
      </w:tr>
      <w:tr w:rsidR="00846D49" w:rsidRPr="00846D49" w14:paraId="741037B0" w14:textId="77777777" w:rsidTr="001C43EA">
        <w:trPr>
          <w:gridAfter w:val="1"/>
          <w:wAfter w:w="10" w:type="dxa"/>
          <w:trHeight w:val="62"/>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22E05BC" w14:textId="77777777" w:rsidR="006B6C7C" w:rsidRPr="00846D49" w:rsidRDefault="006B6C7C" w:rsidP="006B6C7C">
            <w:pPr>
              <w:tabs>
                <w:tab w:val="left" w:pos="3375"/>
              </w:tabs>
              <w:rPr>
                <w:rFonts w:ascii="Arial" w:hAnsi="Arial" w:cs="Arial"/>
                <w:b/>
                <w:sz w:val="20"/>
                <w:szCs w:val="20"/>
              </w:rPr>
            </w:pPr>
            <w:r w:rsidRPr="00846D49">
              <w:rPr>
                <w:rFonts w:ascii="Arial" w:hAnsi="Arial" w:cs="Arial"/>
                <w:b/>
                <w:sz w:val="20"/>
                <w:szCs w:val="20"/>
              </w:rPr>
              <w:t xml:space="preserve"> Estándar (es) de cumplimiento</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3A9EAAEE" w14:textId="77777777" w:rsidR="006B6C7C" w:rsidRPr="00846D49" w:rsidRDefault="006B6C7C" w:rsidP="006B6C7C">
            <w:pPr>
              <w:tabs>
                <w:tab w:val="left" w:pos="3375"/>
              </w:tabs>
              <w:ind w:left="128" w:hanging="74"/>
              <w:rPr>
                <w:rFonts w:ascii="Arial" w:hAnsi="Arial" w:cs="Arial"/>
                <w:sz w:val="20"/>
                <w:szCs w:val="20"/>
              </w:rPr>
            </w:pPr>
            <w:r w:rsidRPr="00846D49">
              <w:rPr>
                <w:rFonts w:ascii="Arial" w:hAnsi="Arial" w:cs="Arial"/>
                <w:sz w:val="20"/>
                <w:szCs w:val="20"/>
              </w:rPr>
              <w:t xml:space="preserve">Oportunidad </w:t>
            </w:r>
          </w:p>
        </w:tc>
      </w:tr>
      <w:tr w:rsidR="00846D49" w:rsidRPr="00846D49" w14:paraId="1A3767BE" w14:textId="77777777" w:rsidTr="001C43EA">
        <w:trPr>
          <w:gridAfter w:val="1"/>
          <w:wAfter w:w="10" w:type="dxa"/>
          <w:trHeight w:val="300"/>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D3559DE" w14:textId="77777777" w:rsidR="006B6C7C" w:rsidRPr="00846D49" w:rsidRDefault="006B6C7C" w:rsidP="006B6C7C">
            <w:pPr>
              <w:tabs>
                <w:tab w:val="left" w:pos="3375"/>
              </w:tabs>
              <w:rPr>
                <w:rFonts w:ascii="Arial" w:hAnsi="Arial" w:cs="Arial"/>
                <w:b/>
                <w:sz w:val="20"/>
                <w:szCs w:val="20"/>
              </w:rPr>
            </w:pPr>
            <w:r w:rsidRPr="00846D49">
              <w:rPr>
                <w:rFonts w:ascii="Arial" w:hAnsi="Arial" w:cs="Arial"/>
                <w:b/>
                <w:sz w:val="20"/>
                <w:szCs w:val="20"/>
              </w:rPr>
              <w:t xml:space="preserve"> Descripción del estándar</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35" w:type="dxa"/>
              <w:bottom w:w="0" w:type="dxa"/>
              <w:right w:w="15" w:type="dxa"/>
            </w:tcMar>
            <w:vAlign w:val="center"/>
          </w:tcPr>
          <w:p w14:paraId="72C56818" w14:textId="64891738" w:rsidR="006B6C7C" w:rsidRPr="00846D49" w:rsidRDefault="006B6C7C" w:rsidP="006B6C7C">
            <w:pPr>
              <w:pStyle w:val="Default"/>
              <w:ind w:left="-66"/>
              <w:rPr>
                <w:rFonts w:ascii="Arial" w:hAnsi="Arial" w:cs="Arial"/>
                <w:color w:val="auto"/>
                <w:sz w:val="20"/>
                <w:szCs w:val="20"/>
              </w:rPr>
            </w:pPr>
            <w:r w:rsidRPr="00846D49">
              <w:rPr>
                <w:rFonts w:ascii="Arial" w:hAnsi="Arial" w:cs="Arial"/>
                <w:color w:val="auto"/>
                <w:sz w:val="20"/>
                <w:szCs w:val="20"/>
              </w:rPr>
              <w:t xml:space="preserve">El estándar garantiza que la captación de fondos se realice antes de la aprobación del Plan Anual de Concursos. </w:t>
            </w:r>
          </w:p>
        </w:tc>
      </w:tr>
      <w:tr w:rsidR="00846D49" w:rsidRPr="00846D49" w14:paraId="64CE926D" w14:textId="77777777" w:rsidTr="001C43EA">
        <w:trPr>
          <w:gridAfter w:val="1"/>
          <w:wAfter w:w="10" w:type="dxa"/>
          <w:trHeight w:val="491"/>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A93A3C9" w14:textId="77777777" w:rsidR="006B6C7C" w:rsidRPr="00846D49" w:rsidRDefault="006B6C7C" w:rsidP="006B6C7C">
            <w:pPr>
              <w:tabs>
                <w:tab w:val="left" w:pos="3375"/>
              </w:tabs>
              <w:rPr>
                <w:rFonts w:ascii="Arial" w:hAnsi="Arial" w:cs="Arial"/>
                <w:b/>
                <w:sz w:val="20"/>
                <w:szCs w:val="20"/>
              </w:rPr>
            </w:pPr>
            <w:r w:rsidRPr="00846D49">
              <w:rPr>
                <w:rFonts w:ascii="Arial" w:hAnsi="Arial" w:cs="Arial"/>
                <w:b/>
                <w:sz w:val="20"/>
                <w:szCs w:val="20"/>
              </w:rPr>
              <w:t>Indicador de calidad</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6CFF45F6" w14:textId="6B5FBEFB" w:rsidR="006B6C7C" w:rsidRPr="00846D49" w:rsidRDefault="006B6C7C" w:rsidP="006B6C7C">
            <w:pPr>
              <w:pStyle w:val="Default"/>
              <w:rPr>
                <w:rFonts w:ascii="Arial" w:hAnsi="Arial" w:cs="Arial"/>
                <w:color w:val="auto"/>
                <w:sz w:val="20"/>
                <w:szCs w:val="20"/>
              </w:rPr>
            </w:pPr>
            <w:r w:rsidRPr="00846D49">
              <w:rPr>
                <w:rFonts w:ascii="Arial" w:hAnsi="Arial" w:cs="Arial"/>
                <w:color w:val="auto"/>
                <w:sz w:val="20"/>
                <w:szCs w:val="20"/>
              </w:rPr>
              <w:t>Porcentaje de fondos captados oportunamente para la subvención de proyectos de I+D+i en temas forestales y de fauna silvestre</w:t>
            </w:r>
          </w:p>
          <w:p w14:paraId="182BD672" w14:textId="77777777" w:rsidR="006B6C7C" w:rsidRPr="00846D49" w:rsidRDefault="006B6C7C" w:rsidP="006B6C7C">
            <w:pPr>
              <w:pStyle w:val="Default"/>
              <w:rPr>
                <w:rFonts w:ascii="Arial" w:hAnsi="Arial" w:cs="Arial"/>
                <w:color w:val="auto"/>
                <w:sz w:val="20"/>
                <w:szCs w:val="20"/>
              </w:rPr>
            </w:pPr>
          </w:p>
        </w:tc>
      </w:tr>
      <w:tr w:rsidR="006B6C7C" w:rsidRPr="00846D49" w14:paraId="016C3D49" w14:textId="77777777" w:rsidTr="001C43EA">
        <w:trPr>
          <w:gridAfter w:val="1"/>
          <w:wAfter w:w="10" w:type="dxa"/>
          <w:trHeight w:val="491"/>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3D45695" w14:textId="77777777" w:rsidR="006B6C7C" w:rsidRPr="00846D49" w:rsidRDefault="006B6C7C" w:rsidP="006B6C7C">
            <w:pPr>
              <w:tabs>
                <w:tab w:val="left" w:pos="3375"/>
              </w:tabs>
              <w:rPr>
                <w:rFonts w:ascii="Arial" w:hAnsi="Arial" w:cs="Arial"/>
                <w:b/>
                <w:sz w:val="20"/>
                <w:szCs w:val="20"/>
              </w:rPr>
            </w:pPr>
            <w:r w:rsidRPr="00846D49">
              <w:rPr>
                <w:rFonts w:ascii="Arial" w:hAnsi="Arial" w:cs="Arial"/>
                <w:b/>
                <w:sz w:val="20"/>
                <w:szCs w:val="20"/>
              </w:rPr>
              <w:t>Indicador de cobertura</w:t>
            </w:r>
          </w:p>
        </w:tc>
        <w:tc>
          <w:tcPr>
            <w:tcW w:w="644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640A7D0D" w14:textId="143A925A" w:rsidR="006B6C7C" w:rsidRPr="00846D49" w:rsidRDefault="00B4731C" w:rsidP="006B6C7C">
            <w:pPr>
              <w:pStyle w:val="Default"/>
              <w:rPr>
                <w:rFonts w:ascii="Arial" w:hAnsi="Arial" w:cs="Arial"/>
                <w:color w:val="auto"/>
                <w:sz w:val="20"/>
                <w:szCs w:val="20"/>
              </w:rPr>
            </w:pPr>
            <w:r w:rsidRPr="00846D49">
              <w:rPr>
                <w:rFonts w:ascii="Arial" w:hAnsi="Arial" w:cs="Arial"/>
                <w:color w:val="auto"/>
                <w:sz w:val="20"/>
                <w:szCs w:val="20"/>
              </w:rPr>
              <w:t>Porcentaje de entidades públicas y privadas integrantes del Sistema Nacional de Ciencia, Tecnología e Innovación que acceden a los fondos concursables de PROCIENCIA en temas forestales y de fauna silvestre y sus microorganismos asociados, incluyendo sus recursos genéticos.</w:t>
            </w:r>
          </w:p>
        </w:tc>
      </w:tr>
    </w:tbl>
    <w:p w14:paraId="23512C45" w14:textId="77777777" w:rsidR="00735666" w:rsidRPr="00846D49" w:rsidRDefault="00735666">
      <w:pPr>
        <w:rPr>
          <w:rFonts w:ascii="Arial Narrow" w:eastAsia="Arial Narrow" w:hAnsi="Arial Narrow" w:cs="Arial Narrow"/>
          <w:b/>
        </w:rPr>
      </w:pPr>
    </w:p>
    <w:p w14:paraId="66C9BE22" w14:textId="77777777" w:rsidR="00735666" w:rsidRPr="00846D49" w:rsidRDefault="00735666">
      <w:pPr>
        <w:rPr>
          <w:rFonts w:ascii="Arial Narrow" w:eastAsia="Arial Narrow" w:hAnsi="Arial Narrow" w:cs="Arial Narrow"/>
          <w:b/>
        </w:rPr>
      </w:pPr>
    </w:p>
    <w:p w14:paraId="747849C8" w14:textId="561C0DCB" w:rsidR="002D1C93" w:rsidRPr="00846D49" w:rsidRDefault="002D1C93" w:rsidP="002D1C93">
      <w:pPr>
        <w:jc w:val="both"/>
        <w:rPr>
          <w:rFonts w:ascii="Arial Narrow" w:eastAsia="Arial Narrow" w:hAnsi="Arial Narrow" w:cs="Arial Narrow"/>
          <w:b/>
        </w:rPr>
      </w:pPr>
      <w:r w:rsidRPr="00846D49">
        <w:rPr>
          <w:rFonts w:ascii="Arial" w:eastAsia="Arial Narrow" w:hAnsi="Arial" w:cs="Arial"/>
          <w:b/>
          <w:bCs/>
        </w:rPr>
        <w:t>S2.4.</w:t>
      </w:r>
      <w:r w:rsidR="00256B4A" w:rsidRPr="00846D49">
        <w:rPr>
          <w:rFonts w:ascii="Arial" w:eastAsia="Arial Narrow" w:hAnsi="Arial" w:cs="Arial"/>
          <w:b/>
          <w:bCs/>
        </w:rPr>
        <w:t>3</w:t>
      </w:r>
      <w:r w:rsidRPr="00846D49">
        <w:rPr>
          <w:rFonts w:ascii="Arial" w:eastAsia="Arial Narrow" w:hAnsi="Arial" w:cs="Arial"/>
        </w:rPr>
        <w:t xml:space="preserve"> Asistencia técnica en la identificación de las necesidades de investigación forestal y de fauna silvestre de forma satisfactoria para las Autoridades Regionales Forestales y de Fauna Silvestre</w:t>
      </w:r>
      <w:r w:rsidRPr="00846D49">
        <w:rPr>
          <w:rFonts w:ascii="Arial Narrow" w:eastAsia="Arial Narrow" w:hAnsi="Arial Narrow" w:cs="Arial Narrow"/>
          <w:b/>
        </w:rPr>
        <w:t xml:space="preserve"> </w:t>
      </w:r>
    </w:p>
    <w:tbl>
      <w:tblPr>
        <w:tblW w:w="8647" w:type="dxa"/>
        <w:jc w:val="center"/>
        <w:tblLayout w:type="fixed"/>
        <w:tblLook w:val="0600" w:firstRow="0" w:lastRow="0" w:firstColumn="0" w:lastColumn="0" w:noHBand="1" w:noVBand="1"/>
      </w:tblPr>
      <w:tblGrid>
        <w:gridCol w:w="2340"/>
        <w:gridCol w:w="2102"/>
        <w:gridCol w:w="2102"/>
        <w:gridCol w:w="2103"/>
      </w:tblGrid>
      <w:tr w:rsidR="00846D49" w:rsidRPr="00846D49" w14:paraId="29B3FDF4" w14:textId="77777777" w:rsidTr="002D1C93">
        <w:trPr>
          <w:trHeight w:val="300"/>
          <w:jc w:val="center"/>
        </w:trPr>
        <w:tc>
          <w:tcPr>
            <w:tcW w:w="8647"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center"/>
          </w:tcPr>
          <w:p w14:paraId="43442E60" w14:textId="6E57D043" w:rsidR="002D1C93" w:rsidRPr="00846D49" w:rsidRDefault="002D1C93" w:rsidP="002D1C93">
            <w:pPr>
              <w:tabs>
                <w:tab w:val="left" w:pos="3375"/>
              </w:tabs>
              <w:spacing w:after="0" w:line="240" w:lineRule="auto"/>
              <w:jc w:val="center"/>
              <w:rPr>
                <w:rFonts w:ascii="Arial" w:hAnsi="Arial" w:cs="Arial"/>
                <w:sz w:val="20"/>
                <w:szCs w:val="20"/>
              </w:rPr>
            </w:pPr>
            <w:r w:rsidRPr="00846D49">
              <w:rPr>
                <w:rFonts w:ascii="Arial" w:hAnsi="Arial" w:cs="Arial"/>
                <w:b/>
                <w:sz w:val="20"/>
                <w:szCs w:val="20"/>
              </w:rPr>
              <w:t xml:space="preserve">FICHA DEL SERVICIO </w:t>
            </w:r>
          </w:p>
        </w:tc>
      </w:tr>
      <w:tr w:rsidR="00846D49" w:rsidRPr="00846D49" w14:paraId="4BDBEFAA" w14:textId="77777777" w:rsidTr="002D1C93">
        <w:trPr>
          <w:trHeight w:val="300"/>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92254C0" w14:textId="77777777" w:rsidR="002D1C93" w:rsidRPr="00846D49" w:rsidRDefault="002D1C93" w:rsidP="0072651A">
            <w:pPr>
              <w:tabs>
                <w:tab w:val="left" w:pos="3375"/>
              </w:tabs>
              <w:spacing w:after="0" w:line="240" w:lineRule="auto"/>
              <w:jc w:val="both"/>
              <w:rPr>
                <w:rFonts w:ascii="Arial" w:hAnsi="Arial" w:cs="Arial"/>
                <w:b/>
                <w:sz w:val="20"/>
                <w:szCs w:val="20"/>
              </w:rPr>
            </w:pPr>
            <w:r w:rsidRPr="00846D49">
              <w:rPr>
                <w:rFonts w:ascii="Arial" w:hAnsi="Arial" w:cs="Arial"/>
                <w:b/>
                <w:sz w:val="20"/>
                <w:szCs w:val="20"/>
              </w:rPr>
              <w:t xml:space="preserve"> Objetivo prioritario:</w:t>
            </w:r>
          </w:p>
        </w:tc>
        <w:tc>
          <w:tcPr>
            <w:tcW w:w="630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51A4528" w14:textId="77777777" w:rsidR="002D1C93" w:rsidRPr="00846D49" w:rsidRDefault="002D1C93" w:rsidP="0072651A">
            <w:pPr>
              <w:tabs>
                <w:tab w:val="left" w:pos="3375"/>
              </w:tabs>
              <w:spacing w:after="0" w:line="240" w:lineRule="auto"/>
              <w:ind w:left="55" w:right="57"/>
              <w:jc w:val="both"/>
              <w:rPr>
                <w:rFonts w:ascii="Arial" w:hAnsi="Arial" w:cs="Arial"/>
                <w:sz w:val="20"/>
                <w:szCs w:val="20"/>
              </w:rPr>
            </w:pPr>
            <w:r w:rsidRPr="00846D49">
              <w:rPr>
                <w:rFonts w:ascii="Arial" w:eastAsia="Arial Narrow" w:hAnsi="Arial" w:cs="Arial"/>
                <w:sz w:val="20"/>
                <w:szCs w:val="20"/>
              </w:rPr>
              <w:t>OP2 Incrementar la productividad de los ecosistemas forestales, otros ecosistemas de vegetación silvestre y de la fauna silvestre</w:t>
            </w:r>
          </w:p>
        </w:tc>
      </w:tr>
      <w:tr w:rsidR="00846D49" w:rsidRPr="00846D49" w14:paraId="0222537E" w14:textId="77777777" w:rsidTr="002D1C93">
        <w:trPr>
          <w:trHeight w:val="300"/>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F862852" w14:textId="77777777" w:rsidR="002D1C93" w:rsidRPr="00846D49" w:rsidRDefault="002D1C93" w:rsidP="0072651A">
            <w:pPr>
              <w:tabs>
                <w:tab w:val="left" w:pos="3375"/>
              </w:tabs>
              <w:spacing w:after="0" w:line="240" w:lineRule="auto"/>
              <w:jc w:val="both"/>
              <w:rPr>
                <w:rFonts w:ascii="Arial" w:hAnsi="Arial" w:cs="Arial"/>
                <w:b/>
                <w:sz w:val="20"/>
                <w:szCs w:val="20"/>
              </w:rPr>
            </w:pPr>
            <w:r w:rsidRPr="00846D49">
              <w:rPr>
                <w:rFonts w:ascii="Arial" w:hAnsi="Arial" w:cs="Arial"/>
                <w:b/>
                <w:sz w:val="20"/>
                <w:szCs w:val="20"/>
              </w:rPr>
              <w:t xml:space="preserve"> Lineamiento:</w:t>
            </w:r>
          </w:p>
        </w:tc>
        <w:tc>
          <w:tcPr>
            <w:tcW w:w="630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8C5AA47" w14:textId="77777777" w:rsidR="002D1C93" w:rsidRPr="00846D49" w:rsidRDefault="002D1C93" w:rsidP="0072651A">
            <w:pPr>
              <w:tabs>
                <w:tab w:val="left" w:pos="3375"/>
              </w:tabs>
              <w:spacing w:after="0" w:line="240" w:lineRule="auto"/>
              <w:ind w:left="55" w:right="57"/>
              <w:jc w:val="both"/>
              <w:rPr>
                <w:rFonts w:ascii="Arial" w:hAnsi="Arial" w:cs="Arial"/>
                <w:sz w:val="20"/>
                <w:szCs w:val="20"/>
              </w:rPr>
            </w:pPr>
            <w:r w:rsidRPr="00846D49">
              <w:rPr>
                <w:rFonts w:ascii="Arial" w:eastAsia="Arial Narrow" w:hAnsi="Arial" w:cs="Arial"/>
                <w:sz w:val="20"/>
                <w:szCs w:val="20"/>
              </w:rPr>
              <w:t>L2.4 Incrementar la generación de investigaciones e innovación, así como el desarrollo y transferencia de tecnologías en materia forestal y de fauna silvestre, y sus microorganismos asociados, incluyendo sus recursos genéticos.</w:t>
            </w:r>
          </w:p>
        </w:tc>
      </w:tr>
      <w:tr w:rsidR="00846D49" w:rsidRPr="00846D49" w14:paraId="17142694" w14:textId="77777777" w:rsidTr="002D1C93">
        <w:trPr>
          <w:trHeight w:val="300"/>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9E9B940" w14:textId="77777777" w:rsidR="002D1C93" w:rsidRPr="00846D49" w:rsidRDefault="002D1C93" w:rsidP="0072651A">
            <w:pPr>
              <w:tabs>
                <w:tab w:val="left" w:pos="3375"/>
              </w:tabs>
              <w:spacing w:after="0" w:line="240" w:lineRule="auto"/>
              <w:jc w:val="both"/>
              <w:rPr>
                <w:rFonts w:ascii="Arial" w:hAnsi="Arial" w:cs="Arial"/>
                <w:b/>
                <w:sz w:val="20"/>
                <w:szCs w:val="20"/>
              </w:rPr>
            </w:pPr>
            <w:r w:rsidRPr="00846D49">
              <w:rPr>
                <w:rFonts w:ascii="Arial" w:hAnsi="Arial" w:cs="Arial"/>
                <w:b/>
                <w:sz w:val="20"/>
                <w:szCs w:val="20"/>
              </w:rPr>
              <w:t xml:space="preserve"> Nombre del servicio:</w:t>
            </w:r>
          </w:p>
        </w:tc>
        <w:tc>
          <w:tcPr>
            <w:tcW w:w="630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674BA1A" w14:textId="65DF720D" w:rsidR="002D1C93" w:rsidRPr="00846D49" w:rsidRDefault="002D1C93" w:rsidP="0072651A">
            <w:pPr>
              <w:tabs>
                <w:tab w:val="left" w:pos="3375"/>
              </w:tabs>
              <w:spacing w:after="0" w:line="240" w:lineRule="auto"/>
              <w:ind w:left="55" w:right="57"/>
              <w:jc w:val="both"/>
              <w:rPr>
                <w:rFonts w:ascii="Arial" w:eastAsia="Arial Narrow" w:hAnsi="Arial" w:cs="Arial"/>
                <w:sz w:val="20"/>
                <w:szCs w:val="20"/>
              </w:rPr>
            </w:pPr>
            <w:r w:rsidRPr="00846D49">
              <w:rPr>
                <w:rFonts w:ascii="Arial" w:eastAsia="Arial Narrow" w:hAnsi="Arial" w:cs="Arial"/>
                <w:sz w:val="20"/>
                <w:szCs w:val="20"/>
              </w:rPr>
              <w:t>S2.4.</w:t>
            </w:r>
            <w:r w:rsidR="00256B4A" w:rsidRPr="00846D49">
              <w:rPr>
                <w:rFonts w:ascii="Arial" w:eastAsia="Arial Narrow" w:hAnsi="Arial" w:cs="Arial"/>
                <w:sz w:val="20"/>
                <w:szCs w:val="20"/>
              </w:rPr>
              <w:t xml:space="preserve">3 </w:t>
            </w:r>
            <w:r w:rsidR="0063579E" w:rsidRPr="00846D49">
              <w:rPr>
                <w:rFonts w:ascii="Arial" w:eastAsia="Arial Narrow" w:hAnsi="Arial" w:cs="Arial"/>
                <w:sz w:val="20"/>
                <w:szCs w:val="20"/>
              </w:rPr>
              <w:t>Asistencia técnica en la identificación de las necesidades de investigación forestal y de fauna silvestre de forma satisfactoria para las Autoridades Regionales Forestales y de Fauna Silvestre</w:t>
            </w:r>
          </w:p>
        </w:tc>
      </w:tr>
      <w:tr w:rsidR="00846D49" w:rsidRPr="00846D49" w14:paraId="3C544686" w14:textId="77777777" w:rsidTr="002D1C93">
        <w:trPr>
          <w:trHeight w:val="300"/>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B18B8E7" w14:textId="77777777" w:rsidR="002D1C93" w:rsidRPr="00846D49" w:rsidRDefault="002D1C93" w:rsidP="0072651A">
            <w:pPr>
              <w:tabs>
                <w:tab w:val="left" w:pos="3375"/>
              </w:tabs>
              <w:spacing w:after="0" w:line="240" w:lineRule="auto"/>
              <w:jc w:val="both"/>
              <w:rPr>
                <w:rFonts w:ascii="Arial" w:hAnsi="Arial" w:cs="Arial"/>
                <w:b/>
                <w:sz w:val="20"/>
                <w:szCs w:val="20"/>
              </w:rPr>
            </w:pPr>
            <w:r w:rsidRPr="00846D49">
              <w:rPr>
                <w:rFonts w:ascii="Arial" w:hAnsi="Arial" w:cs="Arial"/>
                <w:b/>
                <w:sz w:val="20"/>
                <w:szCs w:val="20"/>
              </w:rPr>
              <w:t>Tipo de servicio:</w:t>
            </w:r>
          </w:p>
        </w:tc>
        <w:tc>
          <w:tcPr>
            <w:tcW w:w="630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E7A7E82" w14:textId="2CA73D72" w:rsidR="002D1C93" w:rsidRPr="00846D49" w:rsidRDefault="002D1C93" w:rsidP="0072651A">
            <w:pPr>
              <w:tabs>
                <w:tab w:val="left" w:pos="3375"/>
              </w:tabs>
              <w:spacing w:after="0" w:line="240" w:lineRule="auto"/>
              <w:jc w:val="both"/>
              <w:rPr>
                <w:rFonts w:ascii="Arial" w:eastAsia="Arial Narrow" w:hAnsi="Arial" w:cs="Arial"/>
                <w:sz w:val="20"/>
                <w:szCs w:val="20"/>
              </w:rPr>
            </w:pPr>
            <w:r w:rsidRPr="00846D49">
              <w:rPr>
                <w:rFonts w:ascii="Arial" w:eastAsia="Arial Narrow" w:hAnsi="Arial" w:cs="Arial"/>
                <w:sz w:val="20"/>
                <w:szCs w:val="20"/>
              </w:rPr>
              <w:t>Nuevo</w:t>
            </w:r>
          </w:p>
        </w:tc>
      </w:tr>
      <w:tr w:rsidR="00846D49" w:rsidRPr="00846D49" w14:paraId="1B1C5C20" w14:textId="77777777" w:rsidTr="002D1C93">
        <w:trPr>
          <w:trHeight w:val="300"/>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68F284C" w14:textId="062FD917" w:rsidR="006B6C7C" w:rsidRPr="00846D49" w:rsidRDefault="006B6C7C" w:rsidP="006B6C7C">
            <w:pPr>
              <w:tabs>
                <w:tab w:val="left" w:pos="3375"/>
              </w:tabs>
              <w:spacing w:after="0" w:line="240" w:lineRule="auto"/>
              <w:jc w:val="both"/>
              <w:rPr>
                <w:rFonts w:ascii="Arial" w:hAnsi="Arial" w:cs="Arial"/>
                <w:b/>
                <w:sz w:val="20"/>
                <w:szCs w:val="20"/>
              </w:rPr>
            </w:pPr>
            <w:r w:rsidRPr="00846D49">
              <w:rPr>
                <w:rFonts w:ascii="Arial" w:hAnsi="Arial" w:cs="Arial"/>
                <w:b/>
                <w:sz w:val="20"/>
                <w:szCs w:val="20"/>
              </w:rPr>
              <w:t>Naturaleza del servicio:</w:t>
            </w:r>
          </w:p>
        </w:tc>
        <w:tc>
          <w:tcPr>
            <w:tcW w:w="630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D09C6CD" w14:textId="1F3F6324" w:rsidR="006B6C7C" w:rsidRPr="00846D49" w:rsidRDefault="00FB2B17" w:rsidP="006B6C7C">
            <w:pPr>
              <w:tabs>
                <w:tab w:val="left" w:pos="3375"/>
              </w:tabs>
              <w:spacing w:after="0" w:line="240" w:lineRule="auto"/>
              <w:jc w:val="both"/>
              <w:rPr>
                <w:rFonts w:ascii="Arial" w:eastAsia="Arial Narrow" w:hAnsi="Arial" w:cs="Arial"/>
                <w:sz w:val="20"/>
                <w:szCs w:val="20"/>
              </w:rPr>
            </w:pPr>
            <w:r w:rsidRPr="00846D49">
              <w:rPr>
                <w:rFonts w:ascii="Arial" w:eastAsia="Arial Narrow" w:hAnsi="Arial" w:cs="Arial"/>
                <w:sz w:val="20"/>
                <w:szCs w:val="20"/>
              </w:rPr>
              <w:t>A</w:t>
            </w:r>
            <w:r w:rsidR="006B6C7C" w:rsidRPr="00846D49">
              <w:rPr>
                <w:rFonts w:ascii="Arial" w:eastAsia="Arial Narrow" w:hAnsi="Arial" w:cs="Arial"/>
                <w:sz w:val="20"/>
                <w:szCs w:val="20"/>
              </w:rPr>
              <w:t>dministrativo</w:t>
            </w:r>
          </w:p>
        </w:tc>
      </w:tr>
      <w:tr w:rsidR="00846D49" w:rsidRPr="00846D49" w14:paraId="2B197AF8" w14:textId="77777777" w:rsidTr="002D1C93">
        <w:trPr>
          <w:trHeight w:val="300"/>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6FDF10D" w14:textId="6BECA7EF" w:rsidR="006B6C7C" w:rsidRPr="00846D49" w:rsidRDefault="006B6C7C" w:rsidP="006B6C7C">
            <w:pPr>
              <w:tabs>
                <w:tab w:val="left" w:pos="3375"/>
              </w:tabs>
              <w:spacing w:after="0" w:line="240" w:lineRule="auto"/>
              <w:jc w:val="both"/>
              <w:rPr>
                <w:rFonts w:ascii="Arial" w:hAnsi="Arial" w:cs="Arial"/>
                <w:b/>
                <w:sz w:val="20"/>
                <w:szCs w:val="20"/>
              </w:rPr>
            </w:pPr>
            <w:r w:rsidRPr="00846D49">
              <w:rPr>
                <w:rFonts w:ascii="Arial" w:hAnsi="Arial" w:cs="Arial"/>
                <w:b/>
                <w:sz w:val="20"/>
                <w:szCs w:val="20"/>
              </w:rPr>
              <w:t>Entrega del servicio</w:t>
            </w:r>
          </w:p>
        </w:tc>
        <w:tc>
          <w:tcPr>
            <w:tcW w:w="630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71566E7" w14:textId="44200171" w:rsidR="006B6C7C" w:rsidRPr="00846D49" w:rsidRDefault="006B6C7C" w:rsidP="006B6C7C">
            <w:pPr>
              <w:tabs>
                <w:tab w:val="left" w:pos="3375"/>
              </w:tabs>
              <w:spacing w:after="0" w:line="240" w:lineRule="auto"/>
              <w:jc w:val="both"/>
              <w:rPr>
                <w:rFonts w:ascii="Arial" w:eastAsia="Arial Narrow" w:hAnsi="Arial" w:cs="Arial"/>
                <w:sz w:val="20"/>
                <w:szCs w:val="20"/>
              </w:rPr>
            </w:pPr>
            <w:r w:rsidRPr="00846D49">
              <w:rPr>
                <w:rFonts w:ascii="Arial" w:eastAsia="Arial Narrow" w:hAnsi="Arial" w:cs="Arial"/>
                <w:sz w:val="20"/>
                <w:szCs w:val="20"/>
              </w:rPr>
              <w:t xml:space="preserve">Competencia exclusiva </w:t>
            </w:r>
          </w:p>
        </w:tc>
      </w:tr>
      <w:tr w:rsidR="00846D49" w:rsidRPr="00846D49" w14:paraId="2914CD84" w14:textId="77777777" w:rsidTr="002D1C93">
        <w:trPr>
          <w:trHeight w:val="300"/>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82261EB" w14:textId="77777777" w:rsidR="006B6C7C" w:rsidRPr="00846D49" w:rsidRDefault="006B6C7C" w:rsidP="006B6C7C">
            <w:pPr>
              <w:tabs>
                <w:tab w:val="left" w:pos="3375"/>
              </w:tabs>
              <w:spacing w:after="0" w:line="240" w:lineRule="auto"/>
              <w:jc w:val="both"/>
              <w:rPr>
                <w:rFonts w:ascii="Arial" w:hAnsi="Arial" w:cs="Arial"/>
                <w:b/>
                <w:sz w:val="20"/>
                <w:szCs w:val="20"/>
              </w:rPr>
            </w:pPr>
            <w:r w:rsidRPr="00846D49">
              <w:rPr>
                <w:rFonts w:ascii="Arial" w:hAnsi="Arial" w:cs="Arial"/>
                <w:b/>
                <w:sz w:val="20"/>
                <w:szCs w:val="20"/>
              </w:rPr>
              <w:t xml:space="preserve"> Descripción del servicio</w:t>
            </w:r>
          </w:p>
        </w:tc>
        <w:tc>
          <w:tcPr>
            <w:tcW w:w="630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A1322AE" w14:textId="41C72BB4" w:rsidR="006B6C7C" w:rsidRPr="00846D49" w:rsidRDefault="006B6C7C" w:rsidP="006B6C7C">
            <w:pPr>
              <w:spacing w:after="0" w:line="240" w:lineRule="auto"/>
              <w:ind w:left="55" w:right="57"/>
              <w:jc w:val="both"/>
              <w:rPr>
                <w:rFonts w:ascii="Arial" w:eastAsia="Arial Narrow" w:hAnsi="Arial" w:cs="Arial"/>
                <w:sz w:val="20"/>
                <w:szCs w:val="20"/>
              </w:rPr>
            </w:pPr>
            <w:r w:rsidRPr="00846D49">
              <w:rPr>
                <w:rFonts w:ascii="Arial" w:eastAsia="Arial Narrow" w:hAnsi="Arial" w:cs="Arial"/>
                <w:sz w:val="20"/>
                <w:szCs w:val="20"/>
              </w:rPr>
              <w:t xml:space="preserve">El servicio consiste en brindar asistencia técnica a través de talleres, reuniones, entre otros, presenciales o virtuales a las Autoridades Regionales Forestales y de Fauna Silvestre </w:t>
            </w:r>
            <w:r w:rsidR="00E222E0" w:rsidRPr="00846D49">
              <w:rPr>
                <w:rFonts w:ascii="Arial" w:eastAsia="Arial Narrow" w:hAnsi="Arial" w:cs="Arial"/>
                <w:sz w:val="20"/>
                <w:szCs w:val="20"/>
              </w:rPr>
              <w:t>en</w:t>
            </w:r>
            <w:r w:rsidRPr="00846D49">
              <w:rPr>
                <w:rFonts w:ascii="Arial" w:eastAsia="Arial Narrow" w:hAnsi="Arial" w:cs="Arial"/>
                <w:sz w:val="20"/>
                <w:szCs w:val="20"/>
              </w:rPr>
              <w:t xml:space="preserve"> el proceso de identificación de las necesidades de investigación forestal y de fauna silvestre regionales.</w:t>
            </w:r>
            <w:r w:rsidR="000A4CEC" w:rsidRPr="00846D49">
              <w:rPr>
                <w:rFonts w:ascii="Arial" w:eastAsia="Arial Narrow" w:hAnsi="Arial" w:cs="Arial"/>
                <w:sz w:val="20"/>
                <w:szCs w:val="20"/>
              </w:rPr>
              <w:t xml:space="preserve"> De esta forma, se busca </w:t>
            </w:r>
            <w:r w:rsidR="00E222E0" w:rsidRPr="00846D49">
              <w:rPr>
                <w:rFonts w:ascii="Arial" w:eastAsia="Arial Narrow" w:hAnsi="Arial" w:cs="Arial"/>
                <w:sz w:val="20"/>
                <w:szCs w:val="20"/>
              </w:rPr>
              <w:t>que los temas de investigación a nivel regional estén alineados</w:t>
            </w:r>
            <w:r w:rsidR="000A4CEC" w:rsidRPr="00846D49">
              <w:rPr>
                <w:rFonts w:ascii="Arial" w:eastAsia="Arial Narrow" w:hAnsi="Arial" w:cs="Arial"/>
                <w:sz w:val="20"/>
                <w:szCs w:val="20"/>
              </w:rPr>
              <w:t xml:space="preserve"> </w:t>
            </w:r>
            <w:r w:rsidR="00E222E0" w:rsidRPr="00846D49">
              <w:rPr>
                <w:rFonts w:ascii="Arial" w:eastAsia="Arial Narrow" w:hAnsi="Arial" w:cs="Arial"/>
                <w:sz w:val="20"/>
                <w:szCs w:val="20"/>
              </w:rPr>
              <w:t>con</w:t>
            </w:r>
            <w:r w:rsidR="000A4CEC" w:rsidRPr="00846D49">
              <w:rPr>
                <w:rFonts w:ascii="Arial" w:eastAsia="Arial Narrow" w:hAnsi="Arial" w:cs="Arial"/>
                <w:sz w:val="20"/>
                <w:szCs w:val="20"/>
              </w:rPr>
              <w:t xml:space="preserve"> la Agenda Nacional </w:t>
            </w:r>
            <w:r w:rsidR="000A4CEC" w:rsidRPr="00846D49">
              <w:rPr>
                <w:rFonts w:ascii="Arial" w:eastAsia="Arial Narrow" w:hAnsi="Arial" w:cs="Arial"/>
                <w:sz w:val="20"/>
                <w:szCs w:val="20"/>
              </w:rPr>
              <w:lastRenderedPageBreak/>
              <w:t>de Investigación Forestal y de Fauna Silvestre aprobado por el SERFOR.</w:t>
            </w:r>
          </w:p>
          <w:p w14:paraId="3B262A6E" w14:textId="77777777" w:rsidR="006B6C7C" w:rsidRPr="00846D49" w:rsidRDefault="006B6C7C" w:rsidP="006B6C7C">
            <w:pPr>
              <w:spacing w:after="0" w:line="240" w:lineRule="auto"/>
              <w:ind w:left="55" w:right="57"/>
              <w:jc w:val="both"/>
              <w:rPr>
                <w:rFonts w:ascii="Arial" w:eastAsia="Arial Narrow" w:hAnsi="Arial" w:cs="Arial"/>
                <w:sz w:val="20"/>
                <w:szCs w:val="20"/>
              </w:rPr>
            </w:pPr>
          </w:p>
          <w:p w14:paraId="423680CC" w14:textId="77777777" w:rsidR="006B6C7C" w:rsidRPr="00846D49" w:rsidRDefault="006B6C7C" w:rsidP="006B6C7C">
            <w:pPr>
              <w:spacing w:after="0" w:line="240" w:lineRule="auto"/>
              <w:ind w:left="55" w:right="57"/>
              <w:jc w:val="both"/>
              <w:rPr>
                <w:rFonts w:ascii="Arial" w:eastAsia="Arial Narrow" w:hAnsi="Arial" w:cs="Arial"/>
                <w:sz w:val="20"/>
                <w:szCs w:val="20"/>
              </w:rPr>
            </w:pPr>
            <w:r w:rsidRPr="00846D49">
              <w:rPr>
                <w:rFonts w:ascii="Arial" w:eastAsia="Arial Narrow" w:hAnsi="Arial" w:cs="Arial"/>
                <w:sz w:val="20"/>
                <w:szCs w:val="20"/>
              </w:rPr>
              <w:t xml:space="preserve">El servicio tomará en cuenta las demandas en investigación e innovación tecnológica, que requieren los usuarios que manejan y aprovechan los recursos forestales y de fauna silvestre a nivel de cada región, para incrementar la productividad de sus actividades. </w:t>
            </w:r>
          </w:p>
          <w:p w14:paraId="3FF7ECD9" w14:textId="77777777" w:rsidR="006B6C7C" w:rsidRPr="00846D49" w:rsidRDefault="006B6C7C" w:rsidP="006B6C7C">
            <w:pPr>
              <w:spacing w:after="0" w:line="240" w:lineRule="auto"/>
              <w:ind w:left="55" w:right="57"/>
              <w:jc w:val="both"/>
              <w:rPr>
                <w:rFonts w:ascii="Arial" w:eastAsia="Arial Narrow" w:hAnsi="Arial" w:cs="Arial"/>
                <w:sz w:val="20"/>
                <w:szCs w:val="20"/>
              </w:rPr>
            </w:pPr>
          </w:p>
          <w:p w14:paraId="25461966" w14:textId="77777777" w:rsidR="006B6C7C" w:rsidRPr="00846D49" w:rsidRDefault="006B6C7C" w:rsidP="006B6C7C">
            <w:pPr>
              <w:spacing w:after="0" w:line="240" w:lineRule="auto"/>
              <w:ind w:left="55" w:right="57"/>
              <w:jc w:val="both"/>
              <w:rPr>
                <w:rFonts w:ascii="Arial" w:eastAsia="Arial Narrow" w:hAnsi="Arial" w:cs="Arial"/>
                <w:sz w:val="20"/>
                <w:szCs w:val="20"/>
              </w:rPr>
            </w:pPr>
            <w:r w:rsidRPr="00846D49">
              <w:rPr>
                <w:rFonts w:ascii="Arial" w:eastAsia="Arial Narrow" w:hAnsi="Arial" w:cs="Arial"/>
                <w:sz w:val="20"/>
                <w:szCs w:val="20"/>
              </w:rPr>
              <w:t>A partir de ello las Autoridades Regionales Forestales y de Fauna Silvestre podrán aprobar herramientas estratégicas que orienten las investigaciones forestales y de fauna silvestre para el desarrollo productivo de la región.</w:t>
            </w:r>
          </w:p>
          <w:p w14:paraId="0D492C5C" w14:textId="77777777" w:rsidR="006B6C7C" w:rsidRPr="00846D49" w:rsidRDefault="006B6C7C" w:rsidP="006B6C7C">
            <w:pPr>
              <w:spacing w:after="0" w:line="240" w:lineRule="auto"/>
              <w:ind w:left="55" w:right="57"/>
              <w:jc w:val="both"/>
              <w:rPr>
                <w:rFonts w:ascii="Arial" w:eastAsia="Arial Narrow" w:hAnsi="Arial" w:cs="Arial"/>
                <w:sz w:val="20"/>
                <w:szCs w:val="20"/>
              </w:rPr>
            </w:pPr>
          </w:p>
          <w:p w14:paraId="4B3771C7" w14:textId="5F807556" w:rsidR="006B6C7C" w:rsidRPr="00846D49" w:rsidRDefault="006B6C7C" w:rsidP="006B6C7C">
            <w:pPr>
              <w:spacing w:after="0" w:line="240" w:lineRule="auto"/>
              <w:ind w:left="55" w:right="57"/>
              <w:jc w:val="both"/>
              <w:rPr>
                <w:rFonts w:ascii="Arial" w:eastAsia="Arial Narrow" w:hAnsi="Arial" w:cs="Arial"/>
                <w:sz w:val="20"/>
                <w:szCs w:val="20"/>
              </w:rPr>
            </w:pPr>
            <w:r w:rsidRPr="00846D49">
              <w:rPr>
                <w:rFonts w:ascii="Arial" w:eastAsia="Arial Narrow" w:hAnsi="Arial" w:cs="Arial"/>
                <w:sz w:val="20"/>
                <w:szCs w:val="20"/>
              </w:rPr>
              <w:t>El servicio</w:t>
            </w:r>
            <w:r w:rsidR="0082173C" w:rsidRPr="00846D49">
              <w:rPr>
                <w:rFonts w:ascii="Arial" w:eastAsia="Arial Narrow" w:hAnsi="Arial" w:cs="Arial"/>
                <w:sz w:val="20"/>
                <w:szCs w:val="20"/>
              </w:rPr>
              <w:t xml:space="preserve"> es nuevo y </w:t>
            </w:r>
            <w:r w:rsidRPr="00846D49">
              <w:rPr>
                <w:rFonts w:ascii="Arial" w:eastAsia="Arial Narrow" w:hAnsi="Arial" w:cs="Arial"/>
                <w:sz w:val="20"/>
                <w:szCs w:val="20"/>
              </w:rPr>
              <w:t>contribuye a incrementar la generación de investigaciones e innovación forestal y de fauna silvestre en el país.</w:t>
            </w:r>
          </w:p>
        </w:tc>
      </w:tr>
      <w:tr w:rsidR="00846D49" w:rsidRPr="00846D49" w14:paraId="0452A06C" w14:textId="77777777" w:rsidTr="002D1C93">
        <w:trPr>
          <w:trHeight w:val="300"/>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E1CFBD9" w14:textId="77777777" w:rsidR="006B6C7C" w:rsidRPr="00846D49" w:rsidRDefault="006B6C7C" w:rsidP="006B6C7C">
            <w:pPr>
              <w:tabs>
                <w:tab w:val="left" w:pos="3375"/>
              </w:tabs>
              <w:spacing w:after="0" w:line="240" w:lineRule="auto"/>
              <w:jc w:val="both"/>
              <w:rPr>
                <w:rFonts w:ascii="Arial" w:hAnsi="Arial" w:cs="Arial"/>
                <w:b/>
                <w:sz w:val="20"/>
                <w:szCs w:val="20"/>
              </w:rPr>
            </w:pPr>
            <w:r w:rsidRPr="00846D49">
              <w:rPr>
                <w:rFonts w:ascii="Arial" w:hAnsi="Arial" w:cs="Arial"/>
                <w:b/>
                <w:sz w:val="20"/>
                <w:szCs w:val="20"/>
              </w:rPr>
              <w:lastRenderedPageBreak/>
              <w:t xml:space="preserve"> Proveedor del servicio</w:t>
            </w:r>
          </w:p>
        </w:tc>
        <w:tc>
          <w:tcPr>
            <w:tcW w:w="630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8F684D4" w14:textId="7A31682A" w:rsidR="006B6C7C" w:rsidRPr="00846D49" w:rsidRDefault="006B6C7C" w:rsidP="006B6C7C">
            <w:pPr>
              <w:tabs>
                <w:tab w:val="left" w:pos="3375"/>
              </w:tabs>
              <w:spacing w:after="0" w:line="240" w:lineRule="auto"/>
              <w:ind w:left="128"/>
              <w:jc w:val="both"/>
              <w:rPr>
                <w:rFonts w:ascii="Arial" w:eastAsia="Arial Narrow" w:hAnsi="Arial" w:cs="Arial"/>
                <w:sz w:val="20"/>
                <w:szCs w:val="20"/>
              </w:rPr>
            </w:pPr>
            <w:r w:rsidRPr="00846D49">
              <w:rPr>
                <w:rFonts w:ascii="Arial" w:eastAsia="Arial Narrow" w:hAnsi="Arial" w:cs="Arial"/>
                <w:sz w:val="20"/>
                <w:szCs w:val="20"/>
              </w:rPr>
              <w:t>Servicio Nacional Forestal y Fauna Silvestre – SERFOR.</w:t>
            </w:r>
          </w:p>
        </w:tc>
      </w:tr>
      <w:tr w:rsidR="00846D49" w:rsidRPr="00846D49" w14:paraId="5DCD1451" w14:textId="77777777" w:rsidTr="00A97191">
        <w:trPr>
          <w:trHeight w:val="458"/>
          <w:jc w:val="center"/>
        </w:trPr>
        <w:tc>
          <w:tcPr>
            <w:tcW w:w="2340" w:type="dxa"/>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458F26EE" w14:textId="77777777" w:rsidR="006B6C7C" w:rsidRPr="00846D49" w:rsidRDefault="006B6C7C" w:rsidP="000C39A1">
            <w:pPr>
              <w:spacing w:after="0" w:line="240" w:lineRule="auto"/>
              <w:rPr>
                <w:rFonts w:ascii="Arial" w:hAnsi="Arial" w:cs="Arial"/>
                <w:b/>
                <w:sz w:val="20"/>
                <w:szCs w:val="20"/>
              </w:rPr>
            </w:pPr>
            <w:r w:rsidRPr="00846D49">
              <w:rPr>
                <w:rFonts w:ascii="Arial" w:hAnsi="Arial" w:cs="Arial"/>
                <w:b/>
                <w:sz w:val="20"/>
                <w:szCs w:val="20"/>
              </w:rPr>
              <w:t>Nivel (es) de gobierno que interviene</w:t>
            </w:r>
          </w:p>
          <w:p w14:paraId="0D7856C7" w14:textId="1FD54484" w:rsidR="006B6C7C" w:rsidRPr="00846D49" w:rsidRDefault="006B6C7C" w:rsidP="006B6C7C">
            <w:pPr>
              <w:tabs>
                <w:tab w:val="left" w:pos="3375"/>
              </w:tabs>
              <w:spacing w:after="0" w:line="240" w:lineRule="auto"/>
              <w:jc w:val="both"/>
              <w:rPr>
                <w:rFonts w:ascii="Arial" w:hAnsi="Arial" w:cs="Arial"/>
                <w:b/>
                <w:sz w:val="20"/>
                <w:szCs w:val="20"/>
              </w:rPr>
            </w:pPr>
            <w:r w:rsidRPr="00846D49">
              <w:rPr>
                <w:rFonts w:ascii="Arial" w:hAnsi="Arial" w:cs="Arial"/>
                <w:b/>
                <w:sz w:val="20"/>
                <w:szCs w:val="20"/>
              </w:rPr>
              <w:t>(n) en la provisión del servicio</w:t>
            </w:r>
          </w:p>
        </w:tc>
        <w:tc>
          <w:tcPr>
            <w:tcW w:w="2102"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7512730F" w14:textId="5BED2F0B" w:rsidR="006B6C7C" w:rsidRPr="00846D49" w:rsidRDefault="006B6C7C" w:rsidP="00701F97">
            <w:pPr>
              <w:tabs>
                <w:tab w:val="left" w:pos="3375"/>
              </w:tabs>
              <w:spacing w:after="0" w:line="240" w:lineRule="auto"/>
              <w:ind w:left="128"/>
              <w:jc w:val="center"/>
              <w:rPr>
                <w:rFonts w:ascii="Arial" w:eastAsia="Arial Narrow" w:hAnsi="Arial" w:cs="Arial"/>
                <w:sz w:val="20"/>
                <w:szCs w:val="20"/>
              </w:rPr>
            </w:pPr>
            <w:r w:rsidRPr="00846D49">
              <w:rPr>
                <w:rFonts w:ascii="Arial" w:eastAsia="Arial Narrow" w:hAnsi="Arial" w:cs="Arial"/>
                <w:sz w:val="20"/>
                <w:szCs w:val="20"/>
              </w:rPr>
              <w:t>Nacional</w:t>
            </w:r>
          </w:p>
        </w:tc>
        <w:tc>
          <w:tcPr>
            <w:tcW w:w="2102" w:type="dxa"/>
            <w:tcBorders>
              <w:top w:val="single" w:sz="4" w:space="0" w:color="000000"/>
              <w:left w:val="single" w:sz="4" w:space="0" w:color="000000"/>
              <w:right w:val="single" w:sz="4" w:space="0" w:color="000000"/>
            </w:tcBorders>
            <w:shd w:val="clear" w:color="auto" w:fill="auto"/>
            <w:vAlign w:val="center"/>
          </w:tcPr>
          <w:p w14:paraId="5FD4F20B" w14:textId="3532B202" w:rsidR="006B6C7C" w:rsidRPr="00846D49" w:rsidRDefault="006B6C7C" w:rsidP="00701F97">
            <w:pPr>
              <w:tabs>
                <w:tab w:val="left" w:pos="3375"/>
              </w:tabs>
              <w:spacing w:after="0" w:line="240" w:lineRule="auto"/>
              <w:ind w:left="128"/>
              <w:jc w:val="center"/>
              <w:rPr>
                <w:rFonts w:ascii="Arial" w:eastAsia="Arial Narrow" w:hAnsi="Arial" w:cs="Arial"/>
                <w:sz w:val="20"/>
                <w:szCs w:val="20"/>
              </w:rPr>
            </w:pPr>
            <w:r w:rsidRPr="00846D49">
              <w:rPr>
                <w:rFonts w:ascii="Arial" w:eastAsia="Arial Narrow" w:hAnsi="Arial" w:cs="Arial"/>
                <w:sz w:val="20"/>
                <w:szCs w:val="20"/>
              </w:rPr>
              <w:t>Regional</w:t>
            </w:r>
          </w:p>
        </w:tc>
        <w:tc>
          <w:tcPr>
            <w:tcW w:w="2103" w:type="dxa"/>
            <w:tcBorders>
              <w:top w:val="single" w:sz="4" w:space="0" w:color="000000"/>
              <w:left w:val="single" w:sz="4" w:space="0" w:color="000000"/>
              <w:right w:val="single" w:sz="4" w:space="0" w:color="000000"/>
            </w:tcBorders>
            <w:shd w:val="clear" w:color="auto" w:fill="auto"/>
            <w:vAlign w:val="center"/>
          </w:tcPr>
          <w:p w14:paraId="5CA5C03F" w14:textId="74E3B79D" w:rsidR="006B6C7C" w:rsidRPr="00846D49" w:rsidRDefault="006B6C7C" w:rsidP="00701F97">
            <w:pPr>
              <w:tabs>
                <w:tab w:val="left" w:pos="3375"/>
              </w:tabs>
              <w:spacing w:after="0" w:line="240" w:lineRule="auto"/>
              <w:ind w:left="128"/>
              <w:jc w:val="center"/>
              <w:rPr>
                <w:rFonts w:ascii="Arial" w:eastAsia="Arial Narrow" w:hAnsi="Arial" w:cs="Arial"/>
                <w:sz w:val="20"/>
                <w:szCs w:val="20"/>
              </w:rPr>
            </w:pPr>
            <w:r w:rsidRPr="00846D49">
              <w:rPr>
                <w:rFonts w:ascii="Arial" w:eastAsia="Arial Narrow" w:hAnsi="Arial" w:cs="Arial"/>
                <w:sz w:val="20"/>
                <w:szCs w:val="20"/>
              </w:rPr>
              <w:t>Local</w:t>
            </w:r>
          </w:p>
        </w:tc>
      </w:tr>
      <w:tr w:rsidR="00846D49" w:rsidRPr="00846D49" w14:paraId="20400DC7" w14:textId="77777777" w:rsidTr="00A97191">
        <w:trPr>
          <w:trHeight w:val="457"/>
          <w:jc w:val="center"/>
        </w:trPr>
        <w:tc>
          <w:tcPr>
            <w:tcW w:w="2340" w:type="dxa"/>
            <w:vMerge/>
            <w:tcBorders>
              <w:left w:val="single" w:sz="4" w:space="0" w:color="000000"/>
              <w:right w:val="single" w:sz="4" w:space="0" w:color="000000"/>
            </w:tcBorders>
            <w:shd w:val="clear" w:color="auto" w:fill="auto"/>
            <w:tcMar>
              <w:top w:w="15" w:type="dxa"/>
              <w:left w:w="15" w:type="dxa"/>
              <w:bottom w:w="0" w:type="dxa"/>
              <w:right w:w="15" w:type="dxa"/>
            </w:tcMar>
            <w:vAlign w:val="center"/>
          </w:tcPr>
          <w:p w14:paraId="1F0D566B" w14:textId="77777777" w:rsidR="006B6C7C" w:rsidRPr="00846D49" w:rsidRDefault="006B6C7C" w:rsidP="006B6C7C">
            <w:pPr>
              <w:spacing w:after="0" w:line="240" w:lineRule="auto"/>
              <w:rPr>
                <w:rFonts w:ascii="Arial" w:hAnsi="Arial" w:cs="Arial"/>
                <w:b/>
                <w:sz w:val="20"/>
                <w:szCs w:val="20"/>
              </w:rPr>
            </w:pPr>
          </w:p>
        </w:tc>
        <w:tc>
          <w:tcPr>
            <w:tcW w:w="2102"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54A90716" w14:textId="557927D5" w:rsidR="006B6C7C" w:rsidRPr="00846D49" w:rsidRDefault="00FB2B17" w:rsidP="00701F97">
            <w:pPr>
              <w:tabs>
                <w:tab w:val="left" w:pos="3375"/>
              </w:tabs>
              <w:spacing w:after="0" w:line="240" w:lineRule="auto"/>
              <w:ind w:left="128"/>
              <w:jc w:val="center"/>
              <w:rPr>
                <w:rFonts w:ascii="Arial" w:eastAsia="Arial Narrow" w:hAnsi="Arial" w:cs="Arial"/>
                <w:sz w:val="20"/>
                <w:szCs w:val="20"/>
              </w:rPr>
            </w:pPr>
            <w:r w:rsidRPr="00846D49">
              <w:rPr>
                <w:rFonts w:ascii="Arial" w:eastAsia="Arial Narrow" w:hAnsi="Arial" w:cs="Arial"/>
                <w:sz w:val="20"/>
                <w:szCs w:val="20"/>
              </w:rPr>
              <w:t>X</w:t>
            </w:r>
          </w:p>
        </w:tc>
        <w:tc>
          <w:tcPr>
            <w:tcW w:w="2102" w:type="dxa"/>
            <w:tcBorders>
              <w:top w:val="single" w:sz="4" w:space="0" w:color="000000"/>
              <w:left w:val="single" w:sz="4" w:space="0" w:color="000000"/>
              <w:right w:val="single" w:sz="4" w:space="0" w:color="000000"/>
            </w:tcBorders>
            <w:shd w:val="clear" w:color="auto" w:fill="auto"/>
            <w:vAlign w:val="center"/>
          </w:tcPr>
          <w:p w14:paraId="7381CC54" w14:textId="77777777" w:rsidR="006B6C7C" w:rsidRPr="00846D49" w:rsidRDefault="006B6C7C" w:rsidP="00701F97">
            <w:pPr>
              <w:tabs>
                <w:tab w:val="left" w:pos="3375"/>
              </w:tabs>
              <w:spacing w:after="0" w:line="240" w:lineRule="auto"/>
              <w:ind w:left="128"/>
              <w:jc w:val="center"/>
              <w:rPr>
                <w:rFonts w:ascii="Arial" w:eastAsia="Arial Narrow" w:hAnsi="Arial" w:cs="Arial"/>
                <w:sz w:val="20"/>
                <w:szCs w:val="20"/>
              </w:rPr>
            </w:pPr>
          </w:p>
        </w:tc>
        <w:tc>
          <w:tcPr>
            <w:tcW w:w="2103" w:type="dxa"/>
            <w:tcBorders>
              <w:top w:val="single" w:sz="4" w:space="0" w:color="000000"/>
              <w:left w:val="single" w:sz="4" w:space="0" w:color="000000"/>
              <w:right w:val="single" w:sz="4" w:space="0" w:color="000000"/>
            </w:tcBorders>
            <w:shd w:val="clear" w:color="auto" w:fill="auto"/>
            <w:vAlign w:val="center"/>
          </w:tcPr>
          <w:p w14:paraId="5DB913F9" w14:textId="08E1ACA6" w:rsidR="006B6C7C" w:rsidRPr="00846D49" w:rsidRDefault="006B6C7C" w:rsidP="00701F97">
            <w:pPr>
              <w:tabs>
                <w:tab w:val="left" w:pos="3375"/>
              </w:tabs>
              <w:spacing w:after="0" w:line="240" w:lineRule="auto"/>
              <w:ind w:left="128"/>
              <w:jc w:val="center"/>
              <w:rPr>
                <w:rFonts w:ascii="Arial" w:eastAsia="Arial Narrow" w:hAnsi="Arial" w:cs="Arial"/>
                <w:sz w:val="20"/>
                <w:szCs w:val="20"/>
              </w:rPr>
            </w:pPr>
          </w:p>
        </w:tc>
      </w:tr>
      <w:tr w:rsidR="00846D49" w:rsidRPr="00846D49" w14:paraId="11FAE6BB" w14:textId="77777777" w:rsidTr="002D1C93">
        <w:trPr>
          <w:trHeight w:val="300"/>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0E0F5D2" w14:textId="77777777" w:rsidR="006B6C7C" w:rsidRPr="00846D49" w:rsidRDefault="006B6C7C" w:rsidP="006B6C7C">
            <w:pPr>
              <w:tabs>
                <w:tab w:val="left" w:pos="3375"/>
              </w:tabs>
              <w:spacing w:after="0" w:line="240" w:lineRule="auto"/>
              <w:jc w:val="both"/>
              <w:rPr>
                <w:rFonts w:ascii="Arial" w:hAnsi="Arial" w:cs="Arial"/>
                <w:b/>
                <w:sz w:val="20"/>
                <w:szCs w:val="20"/>
              </w:rPr>
            </w:pPr>
            <w:r w:rsidRPr="00846D49">
              <w:rPr>
                <w:rFonts w:ascii="Arial" w:hAnsi="Arial" w:cs="Arial"/>
                <w:b/>
                <w:sz w:val="20"/>
                <w:szCs w:val="20"/>
              </w:rPr>
              <w:t xml:space="preserve"> Receptor del servicio</w:t>
            </w:r>
          </w:p>
        </w:tc>
        <w:tc>
          <w:tcPr>
            <w:tcW w:w="630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143680A" w14:textId="71099B47" w:rsidR="006B6C7C" w:rsidRPr="00846D49" w:rsidRDefault="006B6C7C" w:rsidP="006B6C7C">
            <w:pPr>
              <w:tabs>
                <w:tab w:val="left" w:pos="3375"/>
              </w:tabs>
              <w:spacing w:after="0" w:line="240" w:lineRule="auto"/>
              <w:ind w:left="128"/>
              <w:jc w:val="both"/>
              <w:rPr>
                <w:rFonts w:ascii="Arial" w:hAnsi="Arial" w:cs="Arial"/>
                <w:sz w:val="20"/>
                <w:szCs w:val="20"/>
              </w:rPr>
            </w:pPr>
            <w:r w:rsidRPr="00846D49">
              <w:rPr>
                <w:rFonts w:ascii="Arial" w:eastAsia="Arial Narrow" w:hAnsi="Arial" w:cs="Arial"/>
                <w:sz w:val="20"/>
                <w:szCs w:val="20"/>
              </w:rPr>
              <w:t>Autoridades Regionales Forestales y de Fauna Silvestre</w:t>
            </w:r>
          </w:p>
        </w:tc>
      </w:tr>
      <w:tr w:rsidR="00846D49" w:rsidRPr="00846D49" w14:paraId="0CFA082F" w14:textId="77777777" w:rsidTr="002D1C93">
        <w:trPr>
          <w:trHeight w:val="211"/>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1725605" w14:textId="77777777" w:rsidR="006B6C7C" w:rsidRPr="00846D49" w:rsidRDefault="006B6C7C" w:rsidP="006B6C7C">
            <w:pPr>
              <w:tabs>
                <w:tab w:val="left" w:pos="3375"/>
              </w:tabs>
              <w:spacing w:after="0" w:line="240" w:lineRule="auto"/>
              <w:jc w:val="both"/>
              <w:rPr>
                <w:rFonts w:ascii="Arial" w:hAnsi="Arial" w:cs="Arial"/>
                <w:b/>
                <w:sz w:val="20"/>
                <w:szCs w:val="20"/>
              </w:rPr>
            </w:pPr>
            <w:r w:rsidRPr="00846D49">
              <w:rPr>
                <w:rFonts w:ascii="Arial" w:hAnsi="Arial" w:cs="Arial"/>
                <w:b/>
                <w:sz w:val="20"/>
                <w:szCs w:val="20"/>
              </w:rPr>
              <w:t xml:space="preserve"> Alcance del servicio </w:t>
            </w:r>
          </w:p>
        </w:tc>
        <w:tc>
          <w:tcPr>
            <w:tcW w:w="630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A5AEB19" w14:textId="77777777" w:rsidR="006B6C7C" w:rsidRPr="00846D49" w:rsidRDefault="006B6C7C" w:rsidP="006B6C7C">
            <w:pPr>
              <w:tabs>
                <w:tab w:val="left" w:pos="3375"/>
              </w:tabs>
              <w:spacing w:after="0" w:line="240" w:lineRule="auto"/>
              <w:ind w:left="128"/>
              <w:jc w:val="both"/>
              <w:rPr>
                <w:rFonts w:ascii="Arial" w:hAnsi="Arial" w:cs="Arial"/>
                <w:sz w:val="20"/>
                <w:szCs w:val="20"/>
              </w:rPr>
            </w:pPr>
            <w:r w:rsidRPr="00846D49">
              <w:rPr>
                <w:rFonts w:ascii="Arial" w:hAnsi="Arial" w:cs="Arial"/>
                <w:sz w:val="20"/>
                <w:szCs w:val="20"/>
              </w:rPr>
              <w:t>Nacional.</w:t>
            </w:r>
          </w:p>
        </w:tc>
      </w:tr>
      <w:tr w:rsidR="00846D49" w:rsidRPr="00846D49" w14:paraId="13F36F5D" w14:textId="77777777" w:rsidTr="002D1C93">
        <w:trPr>
          <w:trHeight w:val="62"/>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F18AE57" w14:textId="77777777" w:rsidR="006B6C7C" w:rsidRPr="00846D49" w:rsidRDefault="006B6C7C" w:rsidP="006B6C7C">
            <w:pPr>
              <w:tabs>
                <w:tab w:val="left" w:pos="3375"/>
              </w:tabs>
              <w:spacing w:after="0" w:line="240" w:lineRule="auto"/>
              <w:ind w:right="58"/>
              <w:jc w:val="both"/>
              <w:rPr>
                <w:rFonts w:ascii="Arial" w:hAnsi="Arial" w:cs="Arial"/>
                <w:b/>
                <w:sz w:val="20"/>
                <w:szCs w:val="20"/>
              </w:rPr>
            </w:pPr>
            <w:r w:rsidRPr="00846D49">
              <w:rPr>
                <w:rFonts w:ascii="Arial" w:hAnsi="Arial" w:cs="Arial"/>
                <w:b/>
                <w:sz w:val="20"/>
                <w:szCs w:val="20"/>
              </w:rPr>
              <w:t xml:space="preserve"> Estándar (es) de cumplimiento</w:t>
            </w:r>
          </w:p>
        </w:tc>
        <w:tc>
          <w:tcPr>
            <w:tcW w:w="630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20E53372" w14:textId="77777777" w:rsidR="006B6C7C" w:rsidRPr="00846D49" w:rsidRDefault="006B6C7C" w:rsidP="006B6C7C">
            <w:pPr>
              <w:tabs>
                <w:tab w:val="left" w:pos="3375"/>
              </w:tabs>
              <w:spacing w:after="0" w:line="240" w:lineRule="auto"/>
              <w:ind w:left="128"/>
              <w:jc w:val="both"/>
              <w:rPr>
                <w:rFonts w:ascii="Arial" w:hAnsi="Arial" w:cs="Arial"/>
                <w:sz w:val="20"/>
                <w:szCs w:val="20"/>
              </w:rPr>
            </w:pPr>
            <w:r w:rsidRPr="00846D49">
              <w:rPr>
                <w:rFonts w:ascii="Arial" w:hAnsi="Arial" w:cs="Arial"/>
                <w:sz w:val="20"/>
                <w:szCs w:val="20"/>
              </w:rPr>
              <w:t>Percepción</w:t>
            </w:r>
          </w:p>
        </w:tc>
      </w:tr>
      <w:tr w:rsidR="00846D49" w:rsidRPr="00846D49" w14:paraId="4277804A" w14:textId="77777777" w:rsidTr="002D1C93">
        <w:trPr>
          <w:trHeight w:val="300"/>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D03F92E" w14:textId="77777777" w:rsidR="006B6C7C" w:rsidRPr="00846D49" w:rsidRDefault="006B6C7C" w:rsidP="006B6C7C">
            <w:pPr>
              <w:tabs>
                <w:tab w:val="left" w:pos="3375"/>
              </w:tabs>
              <w:spacing w:after="0" w:line="240" w:lineRule="auto"/>
              <w:jc w:val="both"/>
              <w:rPr>
                <w:rFonts w:ascii="Arial" w:hAnsi="Arial" w:cs="Arial"/>
                <w:b/>
                <w:sz w:val="20"/>
                <w:szCs w:val="20"/>
              </w:rPr>
            </w:pPr>
            <w:r w:rsidRPr="00846D49">
              <w:rPr>
                <w:rFonts w:ascii="Arial" w:hAnsi="Arial" w:cs="Arial"/>
                <w:b/>
                <w:sz w:val="20"/>
                <w:szCs w:val="20"/>
              </w:rPr>
              <w:t xml:space="preserve"> Descripción del estándar</w:t>
            </w:r>
          </w:p>
        </w:tc>
        <w:tc>
          <w:tcPr>
            <w:tcW w:w="630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35" w:type="dxa"/>
              <w:bottom w:w="0" w:type="dxa"/>
              <w:right w:w="15" w:type="dxa"/>
            </w:tcMar>
            <w:vAlign w:val="center"/>
          </w:tcPr>
          <w:p w14:paraId="1C7B54F8" w14:textId="77777777" w:rsidR="006B6C7C" w:rsidRPr="00846D49" w:rsidRDefault="006B6C7C" w:rsidP="006B6C7C">
            <w:pPr>
              <w:pBdr>
                <w:top w:val="nil"/>
                <w:left w:val="nil"/>
                <w:bottom w:val="nil"/>
                <w:right w:val="nil"/>
                <w:between w:val="nil"/>
              </w:pBdr>
              <w:spacing w:after="0" w:line="240" w:lineRule="auto"/>
              <w:ind w:left="55" w:right="57"/>
              <w:jc w:val="both"/>
              <w:rPr>
                <w:rFonts w:ascii="Arial" w:eastAsia="Arial Narrow" w:hAnsi="Arial" w:cs="Arial"/>
                <w:sz w:val="20"/>
                <w:szCs w:val="20"/>
              </w:rPr>
            </w:pPr>
            <w:r w:rsidRPr="00846D49">
              <w:rPr>
                <w:rFonts w:ascii="Arial" w:eastAsia="Arial Narrow" w:hAnsi="Arial" w:cs="Arial"/>
                <w:sz w:val="20"/>
                <w:szCs w:val="20"/>
              </w:rPr>
              <w:t>El estándar del servicio es de percepción debido a que éste satisface las expectativas de asistencia técnica para la identificación de las necesidades regionales de investigación forestal y de fauna silvestre de las Autoridades Regionales Forestales y de Fauna Silvestre.</w:t>
            </w:r>
          </w:p>
        </w:tc>
      </w:tr>
      <w:tr w:rsidR="00846D49" w:rsidRPr="00846D49" w14:paraId="724AA6A8" w14:textId="77777777" w:rsidTr="002D1C93">
        <w:trPr>
          <w:trHeight w:val="300"/>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D817AAF" w14:textId="77777777" w:rsidR="006B6C7C" w:rsidRPr="00846D49" w:rsidRDefault="006B6C7C" w:rsidP="006B6C7C">
            <w:pPr>
              <w:tabs>
                <w:tab w:val="left" w:pos="3375"/>
              </w:tabs>
              <w:spacing w:after="0" w:line="240" w:lineRule="auto"/>
              <w:jc w:val="both"/>
              <w:rPr>
                <w:rFonts w:ascii="Arial" w:hAnsi="Arial" w:cs="Arial"/>
                <w:b/>
                <w:sz w:val="20"/>
                <w:szCs w:val="20"/>
              </w:rPr>
            </w:pPr>
            <w:r w:rsidRPr="00846D49">
              <w:rPr>
                <w:rFonts w:ascii="Arial" w:hAnsi="Arial" w:cs="Arial"/>
                <w:b/>
                <w:sz w:val="20"/>
                <w:szCs w:val="20"/>
              </w:rPr>
              <w:t>Indicador de calidad</w:t>
            </w:r>
          </w:p>
        </w:tc>
        <w:tc>
          <w:tcPr>
            <w:tcW w:w="630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35" w:type="dxa"/>
              <w:bottom w:w="0" w:type="dxa"/>
              <w:right w:w="15" w:type="dxa"/>
            </w:tcMar>
            <w:vAlign w:val="center"/>
          </w:tcPr>
          <w:p w14:paraId="6B4C89AD" w14:textId="6E749BFB" w:rsidR="006B6C7C" w:rsidRPr="00846D49" w:rsidRDefault="006B6C7C" w:rsidP="006B6C7C">
            <w:pPr>
              <w:spacing w:after="0" w:line="240" w:lineRule="auto"/>
              <w:ind w:right="57"/>
              <w:jc w:val="both"/>
              <w:rPr>
                <w:rFonts w:ascii="Arial" w:eastAsia="Arial Narrow" w:hAnsi="Arial" w:cs="Arial"/>
                <w:sz w:val="20"/>
                <w:szCs w:val="20"/>
              </w:rPr>
            </w:pPr>
            <w:r w:rsidRPr="00846D49">
              <w:rPr>
                <w:rFonts w:ascii="Arial" w:eastAsia="Arial Narrow" w:hAnsi="Arial" w:cs="Arial"/>
                <w:sz w:val="20"/>
                <w:szCs w:val="20"/>
              </w:rPr>
              <w:t>Porcentaje de servidores de las Autoridades Regionales Forestales y de Fauna Silvestre con alto grado de satisfacción sobre la asistencia técnica recibida en la identificación de las necesidades de investigación forestal y de fauna silvestre.</w:t>
            </w:r>
          </w:p>
        </w:tc>
      </w:tr>
      <w:tr w:rsidR="006B6C7C" w:rsidRPr="00846D49" w14:paraId="426D88CC" w14:textId="77777777" w:rsidTr="002D1C93">
        <w:trPr>
          <w:trHeight w:val="549"/>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4E88221" w14:textId="77777777" w:rsidR="006B6C7C" w:rsidRPr="00846D49" w:rsidRDefault="006B6C7C" w:rsidP="006B6C7C">
            <w:pPr>
              <w:tabs>
                <w:tab w:val="left" w:pos="3375"/>
              </w:tabs>
              <w:spacing w:after="0" w:line="240" w:lineRule="auto"/>
              <w:jc w:val="both"/>
              <w:rPr>
                <w:rFonts w:ascii="Arial" w:hAnsi="Arial" w:cs="Arial"/>
                <w:b/>
                <w:sz w:val="20"/>
                <w:szCs w:val="20"/>
              </w:rPr>
            </w:pPr>
            <w:r w:rsidRPr="00846D49">
              <w:rPr>
                <w:rFonts w:ascii="Arial" w:hAnsi="Arial" w:cs="Arial"/>
                <w:b/>
                <w:sz w:val="20"/>
                <w:szCs w:val="20"/>
              </w:rPr>
              <w:t>Indicador cobertura</w:t>
            </w:r>
          </w:p>
        </w:tc>
        <w:tc>
          <w:tcPr>
            <w:tcW w:w="630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6D4F2A5" w14:textId="77777777" w:rsidR="006B6C7C" w:rsidRPr="00846D49" w:rsidRDefault="006B6C7C" w:rsidP="006B6C7C">
            <w:pPr>
              <w:spacing w:after="0" w:line="240" w:lineRule="auto"/>
              <w:ind w:left="55" w:right="57"/>
              <w:jc w:val="both"/>
              <w:rPr>
                <w:rFonts w:ascii="Arial" w:eastAsia="Arial Narrow" w:hAnsi="Arial" w:cs="Arial"/>
                <w:sz w:val="20"/>
                <w:szCs w:val="20"/>
              </w:rPr>
            </w:pPr>
            <w:r w:rsidRPr="00846D49">
              <w:rPr>
                <w:rFonts w:ascii="Arial" w:eastAsia="Arial Narrow" w:hAnsi="Arial" w:cs="Arial"/>
                <w:sz w:val="20"/>
                <w:szCs w:val="20"/>
              </w:rPr>
              <w:t>Número de Autoridades Regionales Forestales y de Fauna Silvestre que acceden a asistencia técnica para la identificación de las necesidades de investigación forestal y de fauna silvestre.</w:t>
            </w:r>
          </w:p>
        </w:tc>
      </w:tr>
    </w:tbl>
    <w:p w14:paraId="04009DF8" w14:textId="77777777" w:rsidR="00FA79DD" w:rsidRPr="00846D49" w:rsidRDefault="00FA79DD">
      <w:pPr>
        <w:rPr>
          <w:rFonts w:ascii="Arial Narrow" w:eastAsia="Arial Narrow" w:hAnsi="Arial Narrow" w:cs="Arial Narrow"/>
          <w:b/>
        </w:rPr>
      </w:pPr>
    </w:p>
    <w:p w14:paraId="1D3EAE8D" w14:textId="77777777" w:rsidR="00FA79DD" w:rsidRPr="00846D49" w:rsidRDefault="00FA79DD">
      <w:pPr>
        <w:rPr>
          <w:rFonts w:ascii="Arial Narrow" w:eastAsia="Arial Narrow" w:hAnsi="Arial Narrow" w:cs="Arial Narrow"/>
          <w:b/>
        </w:rPr>
      </w:pPr>
    </w:p>
    <w:p w14:paraId="4C1600BE" w14:textId="0B3A426E" w:rsidR="002D1C93" w:rsidRPr="00846D49" w:rsidRDefault="00FA79DD">
      <w:pPr>
        <w:rPr>
          <w:rFonts w:ascii="Arial Narrow" w:eastAsia="Arial Narrow" w:hAnsi="Arial Narrow" w:cs="Arial Narrow"/>
          <w:b/>
        </w:rPr>
      </w:pPr>
      <w:r w:rsidRPr="00846D49">
        <w:rPr>
          <w:rFonts w:ascii="Arial" w:eastAsia="Times New Roman" w:hAnsi="Arial" w:cs="Arial"/>
          <w:b/>
        </w:rPr>
        <w:t>S2.4.4</w:t>
      </w:r>
      <w:r w:rsidR="006B6C7C" w:rsidRPr="00846D49">
        <w:rPr>
          <w:rFonts w:ascii="Arial" w:eastAsia="Times New Roman" w:hAnsi="Arial" w:cs="Arial"/>
          <w:b/>
        </w:rPr>
        <w:t xml:space="preserve"> </w:t>
      </w:r>
      <w:r w:rsidR="005763FF" w:rsidRPr="00846D49">
        <w:rPr>
          <w:rFonts w:ascii="Arial" w:eastAsia="Times New Roman" w:hAnsi="Arial" w:cs="Arial"/>
        </w:rPr>
        <w:t>Investigación, estudios, tecnologías e innovación sobre los recursos forestales y de fauna silvestre de forma pertinente para los usuarios forestales y de fauna silvestre.</w:t>
      </w:r>
    </w:p>
    <w:tbl>
      <w:tblPr>
        <w:tblW w:w="8788" w:type="dxa"/>
        <w:jc w:val="center"/>
        <w:tblLayout w:type="fixed"/>
        <w:tblLook w:val="0600" w:firstRow="0" w:lastRow="0" w:firstColumn="0" w:lastColumn="0" w:noHBand="1" w:noVBand="1"/>
      </w:tblPr>
      <w:tblGrid>
        <w:gridCol w:w="2340"/>
        <w:gridCol w:w="2149"/>
        <w:gridCol w:w="2149"/>
        <w:gridCol w:w="2150"/>
      </w:tblGrid>
      <w:tr w:rsidR="00846D49" w:rsidRPr="00846D49" w14:paraId="442E28DF" w14:textId="77777777" w:rsidTr="00FA79DD">
        <w:trPr>
          <w:trHeight w:val="300"/>
          <w:jc w:val="center"/>
        </w:trPr>
        <w:tc>
          <w:tcPr>
            <w:tcW w:w="8788"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center"/>
          </w:tcPr>
          <w:p w14:paraId="34FF60B7" w14:textId="31E8FC2E" w:rsidR="00FA79DD" w:rsidRPr="00846D49" w:rsidRDefault="00FA79DD" w:rsidP="00FA79DD">
            <w:pPr>
              <w:tabs>
                <w:tab w:val="left" w:pos="3375"/>
              </w:tabs>
              <w:spacing w:after="0" w:line="240" w:lineRule="auto"/>
              <w:jc w:val="center"/>
              <w:rPr>
                <w:rFonts w:ascii="Arial" w:eastAsia="Times New Roman" w:hAnsi="Arial" w:cs="Arial"/>
                <w:sz w:val="20"/>
                <w:szCs w:val="20"/>
              </w:rPr>
            </w:pPr>
            <w:r w:rsidRPr="00846D49">
              <w:rPr>
                <w:rFonts w:ascii="Arial" w:eastAsia="Times New Roman" w:hAnsi="Arial" w:cs="Arial"/>
                <w:b/>
                <w:sz w:val="20"/>
                <w:szCs w:val="20"/>
              </w:rPr>
              <w:t xml:space="preserve">FICHA DEL SERVICIO </w:t>
            </w:r>
          </w:p>
        </w:tc>
      </w:tr>
      <w:tr w:rsidR="00846D49" w:rsidRPr="00846D49" w14:paraId="552DAE87" w14:textId="77777777" w:rsidTr="00FA79DD">
        <w:trPr>
          <w:trHeight w:val="300"/>
          <w:jc w:val="center"/>
        </w:trPr>
        <w:tc>
          <w:tcPr>
            <w:tcW w:w="23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39E2BC11" w14:textId="77777777" w:rsidR="00FA79DD" w:rsidRPr="00846D49" w:rsidRDefault="00FA79DD" w:rsidP="00FA79DD">
            <w:pPr>
              <w:tabs>
                <w:tab w:val="left" w:pos="3375"/>
              </w:tabs>
              <w:spacing w:after="0" w:line="240" w:lineRule="auto"/>
              <w:rPr>
                <w:rFonts w:ascii="Arial" w:eastAsia="Times New Roman" w:hAnsi="Arial" w:cs="Arial"/>
                <w:b/>
                <w:sz w:val="20"/>
                <w:szCs w:val="20"/>
              </w:rPr>
            </w:pPr>
            <w:r w:rsidRPr="00846D49">
              <w:rPr>
                <w:rFonts w:ascii="Arial" w:eastAsia="Times New Roman" w:hAnsi="Arial" w:cs="Arial"/>
                <w:b/>
                <w:sz w:val="20"/>
                <w:szCs w:val="20"/>
              </w:rPr>
              <w:t xml:space="preserve"> Objetivo prioritario:</w:t>
            </w:r>
          </w:p>
        </w:tc>
        <w:tc>
          <w:tcPr>
            <w:tcW w:w="6448"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4A55B5D6" w14:textId="77777777" w:rsidR="00FA79DD" w:rsidRPr="00846D49" w:rsidRDefault="00FA79DD" w:rsidP="00FA79DD">
            <w:pPr>
              <w:tabs>
                <w:tab w:val="left" w:pos="3375"/>
              </w:tabs>
              <w:spacing w:after="0" w:line="240" w:lineRule="auto"/>
              <w:ind w:left="128"/>
              <w:rPr>
                <w:rFonts w:ascii="Arial" w:eastAsia="Times New Roman" w:hAnsi="Arial" w:cs="Arial"/>
                <w:sz w:val="20"/>
                <w:szCs w:val="20"/>
              </w:rPr>
            </w:pPr>
            <w:r w:rsidRPr="00846D49">
              <w:rPr>
                <w:rFonts w:ascii="Arial" w:eastAsia="Times New Roman" w:hAnsi="Arial" w:cs="Arial"/>
                <w:sz w:val="20"/>
                <w:szCs w:val="20"/>
              </w:rPr>
              <w:t>OP2 Incrementar la productividad de los ecosistemas forestales, otros ecosistemas de vegetación silvestre y de la fauna silvestre</w:t>
            </w:r>
          </w:p>
        </w:tc>
      </w:tr>
      <w:tr w:rsidR="00846D49" w:rsidRPr="00846D49" w14:paraId="3F7527C8" w14:textId="77777777" w:rsidTr="00FA79DD">
        <w:trPr>
          <w:trHeight w:val="300"/>
          <w:jc w:val="center"/>
        </w:trPr>
        <w:tc>
          <w:tcPr>
            <w:tcW w:w="23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548D5E70" w14:textId="77777777" w:rsidR="00FA79DD" w:rsidRPr="00846D49" w:rsidRDefault="00FA79DD" w:rsidP="00FA79DD">
            <w:pPr>
              <w:tabs>
                <w:tab w:val="left" w:pos="3375"/>
              </w:tabs>
              <w:spacing w:after="0" w:line="240" w:lineRule="auto"/>
              <w:rPr>
                <w:rFonts w:ascii="Arial" w:eastAsia="Times New Roman" w:hAnsi="Arial" w:cs="Arial"/>
                <w:b/>
                <w:sz w:val="20"/>
                <w:szCs w:val="20"/>
              </w:rPr>
            </w:pPr>
            <w:r w:rsidRPr="00846D49">
              <w:rPr>
                <w:rFonts w:ascii="Arial" w:eastAsia="Times New Roman" w:hAnsi="Arial" w:cs="Arial"/>
                <w:b/>
                <w:sz w:val="20"/>
                <w:szCs w:val="20"/>
              </w:rPr>
              <w:t xml:space="preserve"> Lineamiento:</w:t>
            </w:r>
          </w:p>
        </w:tc>
        <w:tc>
          <w:tcPr>
            <w:tcW w:w="6448"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4E6CD005" w14:textId="77777777" w:rsidR="00FA79DD" w:rsidRPr="00846D49" w:rsidRDefault="00FA79DD" w:rsidP="00C550B2">
            <w:pPr>
              <w:tabs>
                <w:tab w:val="left" w:pos="3375"/>
              </w:tabs>
              <w:spacing w:after="0" w:line="240" w:lineRule="auto"/>
              <w:ind w:left="128"/>
              <w:jc w:val="both"/>
              <w:rPr>
                <w:rFonts w:ascii="Arial" w:eastAsia="Times New Roman" w:hAnsi="Arial" w:cs="Arial"/>
                <w:sz w:val="20"/>
                <w:szCs w:val="20"/>
              </w:rPr>
            </w:pPr>
            <w:r w:rsidRPr="00846D49">
              <w:rPr>
                <w:rFonts w:ascii="Arial" w:eastAsia="Times New Roman" w:hAnsi="Arial" w:cs="Arial"/>
                <w:sz w:val="20"/>
                <w:szCs w:val="20"/>
              </w:rPr>
              <w:t>L2.4 Incrementar la generación de investigaciones e innovación, así como el desarrollo y transferencia de tecnologías en materia forestal y de fauna silvestre, y sus microorganismos asociados, incluyendo sus recursos genéticos.</w:t>
            </w:r>
          </w:p>
        </w:tc>
      </w:tr>
      <w:tr w:rsidR="00846D49" w:rsidRPr="00846D49" w14:paraId="7F0676CF" w14:textId="77777777" w:rsidTr="00FA79DD">
        <w:trPr>
          <w:trHeight w:val="300"/>
          <w:jc w:val="center"/>
        </w:trPr>
        <w:tc>
          <w:tcPr>
            <w:tcW w:w="23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0C8406F1" w14:textId="77777777" w:rsidR="00FA79DD" w:rsidRPr="00846D49" w:rsidRDefault="00FA79DD" w:rsidP="00FA79DD">
            <w:pPr>
              <w:tabs>
                <w:tab w:val="left" w:pos="3375"/>
              </w:tabs>
              <w:spacing w:after="0" w:line="240" w:lineRule="auto"/>
              <w:rPr>
                <w:rFonts w:ascii="Arial" w:eastAsia="Times New Roman" w:hAnsi="Arial" w:cs="Arial"/>
                <w:b/>
                <w:sz w:val="20"/>
                <w:szCs w:val="20"/>
              </w:rPr>
            </w:pPr>
            <w:bookmarkStart w:id="6" w:name="_Hlk129354310"/>
            <w:r w:rsidRPr="00846D49">
              <w:rPr>
                <w:rFonts w:ascii="Arial" w:eastAsia="Times New Roman" w:hAnsi="Arial" w:cs="Arial"/>
                <w:b/>
                <w:sz w:val="20"/>
                <w:szCs w:val="20"/>
              </w:rPr>
              <w:t xml:space="preserve"> Nombre del servicio:</w:t>
            </w:r>
          </w:p>
        </w:tc>
        <w:tc>
          <w:tcPr>
            <w:tcW w:w="6448"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400AF284" w14:textId="34FECCD0" w:rsidR="00FA79DD" w:rsidRPr="00846D49" w:rsidRDefault="00FA79DD" w:rsidP="00C550B2">
            <w:pPr>
              <w:tabs>
                <w:tab w:val="left" w:pos="3375"/>
              </w:tabs>
              <w:spacing w:after="0" w:line="240" w:lineRule="auto"/>
              <w:ind w:left="128"/>
              <w:jc w:val="both"/>
              <w:rPr>
                <w:rFonts w:ascii="Arial" w:eastAsia="Times New Roman" w:hAnsi="Arial" w:cs="Arial"/>
                <w:sz w:val="20"/>
                <w:szCs w:val="20"/>
              </w:rPr>
            </w:pPr>
            <w:r w:rsidRPr="00846D49">
              <w:rPr>
                <w:rFonts w:ascii="Arial" w:eastAsia="Times New Roman" w:hAnsi="Arial" w:cs="Arial"/>
                <w:sz w:val="20"/>
                <w:szCs w:val="20"/>
              </w:rPr>
              <w:t xml:space="preserve">S2.4.4 </w:t>
            </w:r>
            <w:r w:rsidR="00CD5007" w:rsidRPr="00846D49">
              <w:rPr>
                <w:rFonts w:ascii="Arial" w:eastAsia="Times New Roman" w:hAnsi="Arial" w:cs="Arial"/>
                <w:sz w:val="20"/>
                <w:szCs w:val="20"/>
              </w:rPr>
              <w:t>Investigación, estudios, tecnologías e innovación sobre los recursos forestales y de fauna silvestre de forma pertinente para los usuarios forestales y de fauna silvestre.</w:t>
            </w:r>
          </w:p>
        </w:tc>
      </w:tr>
      <w:bookmarkEnd w:id="6"/>
      <w:tr w:rsidR="00846D49" w:rsidRPr="00846D49" w14:paraId="0F639589" w14:textId="77777777" w:rsidTr="00FA79DD">
        <w:trPr>
          <w:trHeight w:val="300"/>
          <w:jc w:val="center"/>
        </w:trPr>
        <w:tc>
          <w:tcPr>
            <w:tcW w:w="23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3608E0A1" w14:textId="77777777" w:rsidR="00FA79DD" w:rsidRPr="00846D49" w:rsidRDefault="00FA79DD" w:rsidP="00FA79DD">
            <w:pPr>
              <w:tabs>
                <w:tab w:val="left" w:pos="3375"/>
              </w:tabs>
              <w:spacing w:after="0" w:line="240" w:lineRule="auto"/>
              <w:rPr>
                <w:rFonts w:ascii="Arial" w:eastAsia="Times New Roman" w:hAnsi="Arial" w:cs="Arial"/>
                <w:b/>
                <w:sz w:val="20"/>
                <w:szCs w:val="20"/>
              </w:rPr>
            </w:pPr>
            <w:r w:rsidRPr="00846D49">
              <w:rPr>
                <w:rFonts w:ascii="Arial" w:eastAsia="Times New Roman" w:hAnsi="Arial" w:cs="Arial"/>
                <w:b/>
                <w:sz w:val="20"/>
                <w:szCs w:val="20"/>
              </w:rPr>
              <w:t>Tipo de servicio:</w:t>
            </w:r>
          </w:p>
        </w:tc>
        <w:tc>
          <w:tcPr>
            <w:tcW w:w="6448"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0D9E5D07" w14:textId="77777777" w:rsidR="00FA79DD" w:rsidRPr="00846D49" w:rsidRDefault="00FA79DD" w:rsidP="00C550B2">
            <w:pPr>
              <w:tabs>
                <w:tab w:val="left" w:pos="3375"/>
              </w:tabs>
              <w:spacing w:after="0" w:line="240" w:lineRule="auto"/>
              <w:ind w:left="128"/>
              <w:jc w:val="both"/>
              <w:rPr>
                <w:rFonts w:ascii="Arial" w:eastAsia="Times New Roman" w:hAnsi="Arial" w:cs="Arial"/>
                <w:sz w:val="20"/>
                <w:szCs w:val="20"/>
              </w:rPr>
            </w:pPr>
            <w:r w:rsidRPr="00846D49">
              <w:rPr>
                <w:rFonts w:ascii="Arial" w:eastAsia="Times New Roman" w:hAnsi="Arial" w:cs="Arial"/>
                <w:sz w:val="20"/>
                <w:szCs w:val="20"/>
              </w:rPr>
              <w:t>Mejorado</w:t>
            </w:r>
          </w:p>
        </w:tc>
      </w:tr>
      <w:tr w:rsidR="00846D49" w:rsidRPr="00846D49" w14:paraId="0A08668A" w14:textId="77777777" w:rsidTr="00FA79DD">
        <w:trPr>
          <w:trHeight w:val="300"/>
          <w:jc w:val="center"/>
        </w:trPr>
        <w:tc>
          <w:tcPr>
            <w:tcW w:w="23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26C472FD" w14:textId="335F29FC" w:rsidR="006B6C7C" w:rsidRPr="00846D49" w:rsidRDefault="006B6C7C" w:rsidP="006B6C7C">
            <w:pPr>
              <w:tabs>
                <w:tab w:val="left" w:pos="3375"/>
              </w:tabs>
              <w:spacing w:after="0" w:line="240" w:lineRule="auto"/>
              <w:rPr>
                <w:rFonts w:ascii="Arial" w:eastAsia="Times New Roman" w:hAnsi="Arial" w:cs="Arial"/>
                <w:b/>
                <w:sz w:val="20"/>
                <w:szCs w:val="20"/>
              </w:rPr>
            </w:pPr>
            <w:r w:rsidRPr="00846D49">
              <w:rPr>
                <w:rFonts w:ascii="Arial" w:hAnsi="Arial" w:cs="Arial"/>
                <w:b/>
                <w:sz w:val="20"/>
                <w:szCs w:val="20"/>
              </w:rPr>
              <w:t>Naturaleza del servicio:</w:t>
            </w:r>
          </w:p>
        </w:tc>
        <w:tc>
          <w:tcPr>
            <w:tcW w:w="6448"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597C20EF" w14:textId="5249FF62" w:rsidR="006B6C7C" w:rsidRPr="00846D49" w:rsidRDefault="00A32B05" w:rsidP="006B6C7C">
            <w:pPr>
              <w:tabs>
                <w:tab w:val="left" w:pos="3375"/>
              </w:tabs>
              <w:spacing w:after="0" w:line="240" w:lineRule="auto"/>
              <w:ind w:left="128"/>
              <w:jc w:val="both"/>
              <w:rPr>
                <w:rFonts w:ascii="Arial" w:eastAsia="Times New Roman" w:hAnsi="Arial" w:cs="Arial"/>
                <w:sz w:val="20"/>
                <w:szCs w:val="20"/>
              </w:rPr>
            </w:pPr>
            <w:r w:rsidRPr="00846D49">
              <w:rPr>
                <w:rFonts w:ascii="Arial" w:eastAsia="Arial Narrow" w:hAnsi="Arial" w:cs="Arial"/>
                <w:sz w:val="20"/>
                <w:szCs w:val="20"/>
              </w:rPr>
              <w:t>P</w:t>
            </w:r>
            <w:r w:rsidR="006B6C7C" w:rsidRPr="00846D49">
              <w:rPr>
                <w:rFonts w:ascii="Arial" w:eastAsia="Arial Narrow" w:hAnsi="Arial" w:cs="Arial"/>
                <w:sz w:val="20"/>
                <w:szCs w:val="20"/>
              </w:rPr>
              <w:t>restacional</w:t>
            </w:r>
          </w:p>
        </w:tc>
      </w:tr>
      <w:tr w:rsidR="00846D49" w:rsidRPr="00846D49" w14:paraId="085D36AE" w14:textId="77777777" w:rsidTr="00FA79DD">
        <w:trPr>
          <w:trHeight w:val="300"/>
          <w:jc w:val="center"/>
        </w:trPr>
        <w:tc>
          <w:tcPr>
            <w:tcW w:w="23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603A7B08" w14:textId="2E447C14" w:rsidR="006B6C7C" w:rsidRPr="00846D49" w:rsidRDefault="006B6C7C" w:rsidP="006B6C7C">
            <w:pPr>
              <w:tabs>
                <w:tab w:val="left" w:pos="3375"/>
              </w:tabs>
              <w:spacing w:after="0" w:line="240" w:lineRule="auto"/>
              <w:rPr>
                <w:rFonts w:ascii="Arial" w:eastAsia="Times New Roman" w:hAnsi="Arial" w:cs="Arial"/>
                <w:b/>
                <w:sz w:val="20"/>
                <w:szCs w:val="20"/>
              </w:rPr>
            </w:pPr>
            <w:r w:rsidRPr="00846D49">
              <w:rPr>
                <w:rFonts w:ascii="Arial" w:hAnsi="Arial" w:cs="Arial"/>
                <w:b/>
                <w:sz w:val="20"/>
                <w:szCs w:val="20"/>
              </w:rPr>
              <w:t>Entrega del servicio</w:t>
            </w:r>
          </w:p>
        </w:tc>
        <w:tc>
          <w:tcPr>
            <w:tcW w:w="6448"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3E8ED3B9" w14:textId="66DAAF96" w:rsidR="006B6C7C" w:rsidRPr="00846D49" w:rsidRDefault="006B6C7C" w:rsidP="006B6C7C">
            <w:pPr>
              <w:tabs>
                <w:tab w:val="left" w:pos="3375"/>
              </w:tabs>
              <w:spacing w:after="0" w:line="240" w:lineRule="auto"/>
              <w:ind w:left="128"/>
              <w:jc w:val="both"/>
              <w:rPr>
                <w:rFonts w:ascii="Arial" w:eastAsia="Times New Roman" w:hAnsi="Arial" w:cs="Arial"/>
                <w:sz w:val="20"/>
                <w:szCs w:val="20"/>
              </w:rPr>
            </w:pPr>
            <w:r w:rsidRPr="00846D49">
              <w:rPr>
                <w:rFonts w:ascii="Arial" w:eastAsia="Arial Narrow" w:hAnsi="Arial" w:cs="Arial"/>
                <w:sz w:val="20"/>
                <w:szCs w:val="20"/>
              </w:rPr>
              <w:t>Competencia compartida</w:t>
            </w:r>
          </w:p>
        </w:tc>
      </w:tr>
      <w:tr w:rsidR="00846D49" w:rsidRPr="00846D49" w14:paraId="1B1CC3FA" w14:textId="77777777" w:rsidTr="00FA79DD">
        <w:trPr>
          <w:trHeight w:val="2759"/>
          <w:jc w:val="center"/>
        </w:trPr>
        <w:tc>
          <w:tcPr>
            <w:tcW w:w="23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7A6C60E3" w14:textId="77777777" w:rsidR="006B6C7C" w:rsidRPr="00846D49" w:rsidRDefault="006B6C7C" w:rsidP="006B6C7C">
            <w:pPr>
              <w:tabs>
                <w:tab w:val="left" w:pos="3375"/>
              </w:tabs>
              <w:spacing w:after="0" w:line="240" w:lineRule="auto"/>
              <w:rPr>
                <w:rFonts w:ascii="Arial" w:eastAsia="Times New Roman" w:hAnsi="Arial" w:cs="Arial"/>
                <w:b/>
                <w:sz w:val="20"/>
                <w:szCs w:val="20"/>
              </w:rPr>
            </w:pPr>
            <w:r w:rsidRPr="00846D49">
              <w:rPr>
                <w:rFonts w:ascii="Arial" w:eastAsia="Times New Roman" w:hAnsi="Arial" w:cs="Arial"/>
                <w:b/>
                <w:sz w:val="20"/>
                <w:szCs w:val="20"/>
              </w:rPr>
              <w:lastRenderedPageBreak/>
              <w:t xml:space="preserve"> Descripción del servicio</w:t>
            </w:r>
          </w:p>
        </w:tc>
        <w:tc>
          <w:tcPr>
            <w:tcW w:w="6448"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0177793F" w14:textId="7BD44F52" w:rsidR="00AA6FDB" w:rsidRPr="00846D49" w:rsidRDefault="00AA6FDB" w:rsidP="00AA6FDB">
            <w:pPr>
              <w:tabs>
                <w:tab w:val="left" w:pos="3375"/>
              </w:tabs>
              <w:spacing w:after="0" w:line="240" w:lineRule="auto"/>
              <w:jc w:val="both"/>
              <w:rPr>
                <w:rFonts w:ascii="Arial" w:eastAsia="Times New Roman" w:hAnsi="Arial" w:cs="Arial"/>
                <w:sz w:val="20"/>
                <w:szCs w:val="20"/>
              </w:rPr>
            </w:pPr>
            <w:r w:rsidRPr="00846D49">
              <w:rPr>
                <w:rFonts w:ascii="Arial" w:eastAsia="Times New Roman" w:hAnsi="Arial" w:cs="Arial"/>
                <w:sz w:val="20"/>
                <w:szCs w:val="20"/>
              </w:rPr>
              <w:t xml:space="preserve">El servicio consiste en desarrollar investigaciones, estudios, desarrollo de tecnologías e innovación sobre los recursos forestales y de fauna silvestre, con la finalidad de generar mayor conocimiento técnico y científico que permita mejorar las actividades de manejo, aprovechamiento y transformación forestal, </w:t>
            </w:r>
            <w:r w:rsidR="003315B7" w:rsidRPr="00846D49">
              <w:rPr>
                <w:rFonts w:ascii="Arial" w:eastAsia="Times New Roman" w:hAnsi="Arial" w:cs="Arial"/>
                <w:sz w:val="20"/>
                <w:szCs w:val="20"/>
              </w:rPr>
              <w:t>así como el</w:t>
            </w:r>
            <w:r w:rsidRPr="00846D49">
              <w:rPr>
                <w:rFonts w:ascii="Arial" w:eastAsia="Times New Roman" w:hAnsi="Arial" w:cs="Arial"/>
                <w:sz w:val="20"/>
                <w:szCs w:val="20"/>
              </w:rPr>
              <w:t xml:space="preserve"> manejo y conservación de las especies de fauna silvestre.</w:t>
            </w:r>
          </w:p>
          <w:p w14:paraId="5F73140A" w14:textId="77777777" w:rsidR="00AA6FDB" w:rsidRPr="00846D49" w:rsidRDefault="00AA6FDB" w:rsidP="00AA6FDB">
            <w:pPr>
              <w:tabs>
                <w:tab w:val="left" w:pos="3375"/>
              </w:tabs>
              <w:spacing w:after="0" w:line="240" w:lineRule="auto"/>
              <w:ind w:left="128"/>
              <w:jc w:val="both"/>
              <w:rPr>
                <w:rFonts w:ascii="Arial" w:eastAsia="Times New Roman" w:hAnsi="Arial" w:cs="Arial"/>
                <w:sz w:val="20"/>
                <w:szCs w:val="20"/>
              </w:rPr>
            </w:pPr>
            <w:r w:rsidRPr="00846D49">
              <w:rPr>
                <w:rFonts w:ascii="Arial" w:eastAsia="Times New Roman" w:hAnsi="Arial" w:cs="Arial"/>
                <w:sz w:val="20"/>
                <w:szCs w:val="20"/>
              </w:rPr>
              <w:t xml:space="preserve"> </w:t>
            </w:r>
          </w:p>
          <w:p w14:paraId="5CD4BFA4" w14:textId="1D3D6E06" w:rsidR="00AA6FDB" w:rsidRPr="00846D49" w:rsidRDefault="00AA6FDB" w:rsidP="00AA6FDB">
            <w:pPr>
              <w:spacing w:after="0" w:line="240" w:lineRule="auto"/>
              <w:contextualSpacing/>
              <w:jc w:val="both"/>
              <w:rPr>
                <w:rFonts w:ascii="Arial" w:eastAsia="Times New Roman" w:hAnsi="Arial" w:cs="Arial"/>
                <w:sz w:val="20"/>
                <w:szCs w:val="20"/>
              </w:rPr>
            </w:pPr>
            <w:r w:rsidRPr="00846D49">
              <w:rPr>
                <w:rFonts w:ascii="Arial" w:eastAsia="Times New Roman" w:hAnsi="Arial" w:cs="Arial"/>
                <w:sz w:val="20"/>
                <w:szCs w:val="20"/>
              </w:rPr>
              <w:t xml:space="preserve">El desarrollo de las investigaciones, estudios, desarrollo de tecnologías e innovación sobre los recursos forestales y de fauna silvestre se realiza teniendo en cuenta las necesidades de los usuarios forestales y de fauna silvestre, las cuales están identificadas en la Agenda Nacional de Investigación Forestal y de Fauna Silvestre </w:t>
            </w:r>
            <w:r w:rsidR="00193E26" w:rsidRPr="00846D49">
              <w:rPr>
                <w:rFonts w:ascii="Arial" w:eastAsia="Times New Roman" w:hAnsi="Arial" w:cs="Arial"/>
                <w:sz w:val="20"/>
                <w:szCs w:val="20"/>
              </w:rPr>
              <w:t>y</w:t>
            </w:r>
            <w:r w:rsidRPr="00846D49">
              <w:rPr>
                <w:rFonts w:ascii="Arial" w:eastAsia="Times New Roman" w:hAnsi="Arial" w:cs="Arial"/>
                <w:sz w:val="20"/>
                <w:szCs w:val="20"/>
              </w:rPr>
              <w:t xml:space="preserve"> en las Agendas Regionales de Investigación Forestal y de Fauna Silvestre. </w:t>
            </w:r>
          </w:p>
          <w:p w14:paraId="68C8CD1E" w14:textId="77777777" w:rsidR="00AA6FDB" w:rsidRPr="00846D49" w:rsidRDefault="00AA6FDB" w:rsidP="00AA6FDB">
            <w:pPr>
              <w:spacing w:after="0" w:line="240" w:lineRule="auto"/>
              <w:ind w:left="190"/>
              <w:contextualSpacing/>
              <w:jc w:val="both"/>
              <w:rPr>
                <w:rFonts w:ascii="Arial" w:eastAsia="Times New Roman" w:hAnsi="Arial" w:cs="Arial"/>
                <w:sz w:val="20"/>
                <w:szCs w:val="20"/>
              </w:rPr>
            </w:pPr>
            <w:r w:rsidRPr="00846D49">
              <w:rPr>
                <w:rFonts w:ascii="Arial" w:eastAsia="Times New Roman" w:hAnsi="Arial" w:cs="Arial"/>
                <w:sz w:val="20"/>
                <w:szCs w:val="20"/>
              </w:rPr>
              <w:t xml:space="preserve">          </w:t>
            </w:r>
          </w:p>
          <w:p w14:paraId="7A71F03B" w14:textId="77777777" w:rsidR="00AA6FDB" w:rsidRPr="00846D49" w:rsidRDefault="00AA6FDB" w:rsidP="00AA6FDB">
            <w:pPr>
              <w:tabs>
                <w:tab w:val="left" w:pos="3375"/>
              </w:tabs>
              <w:spacing w:after="0" w:line="240" w:lineRule="auto"/>
              <w:jc w:val="both"/>
              <w:rPr>
                <w:rFonts w:ascii="Arial" w:eastAsia="Times New Roman" w:hAnsi="Arial" w:cs="Arial"/>
                <w:sz w:val="20"/>
                <w:szCs w:val="20"/>
              </w:rPr>
            </w:pPr>
            <w:r w:rsidRPr="00846D49">
              <w:rPr>
                <w:rFonts w:ascii="Arial" w:eastAsia="Times New Roman" w:hAnsi="Arial" w:cs="Arial"/>
                <w:sz w:val="20"/>
                <w:szCs w:val="20"/>
              </w:rPr>
              <w:t>El servicio es de tipo mejorado porque tomará en cuenta las necesidades de los usuarios forestales y de fauna silvestre.</w:t>
            </w:r>
          </w:p>
          <w:p w14:paraId="0201D388" w14:textId="46673C0C" w:rsidR="006B6C7C" w:rsidRPr="00846D49" w:rsidRDefault="00905E60" w:rsidP="006B6C7C">
            <w:pPr>
              <w:tabs>
                <w:tab w:val="left" w:pos="3375"/>
              </w:tabs>
              <w:spacing w:after="0" w:line="240" w:lineRule="auto"/>
              <w:ind w:left="128"/>
              <w:jc w:val="both"/>
              <w:rPr>
                <w:rFonts w:ascii="Arial" w:eastAsia="Times New Roman" w:hAnsi="Arial" w:cs="Arial"/>
                <w:sz w:val="20"/>
                <w:szCs w:val="20"/>
              </w:rPr>
            </w:pPr>
            <w:r w:rsidRPr="00846D49">
              <w:rPr>
                <w:rFonts w:ascii="Arial" w:eastAsia="Times New Roman" w:hAnsi="Arial" w:cs="Arial"/>
                <w:sz w:val="20"/>
                <w:szCs w:val="20"/>
              </w:rPr>
              <w:t>.</w:t>
            </w:r>
          </w:p>
        </w:tc>
      </w:tr>
      <w:tr w:rsidR="00846D49" w:rsidRPr="00846D49" w14:paraId="26372540" w14:textId="77777777" w:rsidTr="00FA79DD">
        <w:trPr>
          <w:trHeight w:val="300"/>
          <w:jc w:val="center"/>
        </w:trPr>
        <w:tc>
          <w:tcPr>
            <w:tcW w:w="23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399710CF" w14:textId="77777777" w:rsidR="006B6C7C" w:rsidRPr="00846D49" w:rsidRDefault="006B6C7C" w:rsidP="006B6C7C">
            <w:pPr>
              <w:tabs>
                <w:tab w:val="left" w:pos="3375"/>
              </w:tabs>
              <w:spacing w:after="0" w:line="240" w:lineRule="auto"/>
              <w:rPr>
                <w:rFonts w:ascii="Arial" w:eastAsia="Times New Roman" w:hAnsi="Arial" w:cs="Arial"/>
                <w:b/>
                <w:sz w:val="20"/>
                <w:szCs w:val="20"/>
              </w:rPr>
            </w:pPr>
            <w:r w:rsidRPr="00846D49">
              <w:rPr>
                <w:rFonts w:ascii="Arial" w:eastAsia="Times New Roman" w:hAnsi="Arial" w:cs="Arial"/>
                <w:b/>
                <w:sz w:val="20"/>
                <w:szCs w:val="20"/>
              </w:rPr>
              <w:t xml:space="preserve"> Proveedor del servicio</w:t>
            </w:r>
          </w:p>
        </w:tc>
        <w:tc>
          <w:tcPr>
            <w:tcW w:w="6448"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736CAE83" w14:textId="77777777" w:rsidR="006B6C7C" w:rsidRPr="00846D49" w:rsidRDefault="006B6C7C" w:rsidP="006B6C7C">
            <w:pPr>
              <w:tabs>
                <w:tab w:val="left" w:pos="3375"/>
              </w:tabs>
              <w:spacing w:after="0" w:line="240" w:lineRule="auto"/>
              <w:ind w:left="128"/>
              <w:jc w:val="both"/>
              <w:rPr>
                <w:rFonts w:ascii="Arial" w:eastAsia="Times New Roman" w:hAnsi="Arial" w:cs="Arial"/>
                <w:sz w:val="20"/>
                <w:szCs w:val="20"/>
              </w:rPr>
            </w:pPr>
            <w:r w:rsidRPr="00846D49">
              <w:rPr>
                <w:rFonts w:ascii="Arial" w:eastAsia="Times New Roman" w:hAnsi="Arial" w:cs="Arial"/>
                <w:sz w:val="20"/>
                <w:szCs w:val="20"/>
              </w:rPr>
              <w:t>Servicio Nacional Forestal y Fauna Silvestre - SERFOR</w:t>
            </w:r>
          </w:p>
          <w:p w14:paraId="2B6FC536" w14:textId="77777777" w:rsidR="006B6C7C" w:rsidRPr="00846D49" w:rsidRDefault="006B6C7C" w:rsidP="006B6C7C">
            <w:pPr>
              <w:tabs>
                <w:tab w:val="left" w:pos="3375"/>
              </w:tabs>
              <w:spacing w:after="0" w:line="240" w:lineRule="auto"/>
              <w:ind w:left="128"/>
              <w:jc w:val="both"/>
              <w:rPr>
                <w:rFonts w:ascii="Arial" w:eastAsia="Times New Roman" w:hAnsi="Arial" w:cs="Arial"/>
                <w:sz w:val="20"/>
                <w:szCs w:val="20"/>
              </w:rPr>
            </w:pPr>
            <w:r w:rsidRPr="00846D49">
              <w:rPr>
                <w:rFonts w:ascii="Arial" w:eastAsia="Times New Roman" w:hAnsi="Arial" w:cs="Arial"/>
                <w:sz w:val="20"/>
                <w:szCs w:val="20"/>
              </w:rPr>
              <w:t>Instituto Nacional de Innovación Agraria - INIA</w:t>
            </w:r>
          </w:p>
          <w:p w14:paraId="79ED7890" w14:textId="77777777" w:rsidR="006B6C7C" w:rsidRPr="00846D49" w:rsidRDefault="006B6C7C" w:rsidP="006B6C7C">
            <w:pPr>
              <w:tabs>
                <w:tab w:val="left" w:pos="3375"/>
              </w:tabs>
              <w:spacing w:after="0" w:line="240" w:lineRule="auto"/>
              <w:ind w:left="128"/>
              <w:jc w:val="both"/>
              <w:rPr>
                <w:rFonts w:ascii="Arial" w:eastAsia="Times New Roman" w:hAnsi="Arial" w:cs="Arial"/>
                <w:sz w:val="20"/>
                <w:szCs w:val="20"/>
              </w:rPr>
            </w:pPr>
            <w:r w:rsidRPr="00846D49">
              <w:rPr>
                <w:rFonts w:ascii="Arial" w:eastAsia="Times New Roman" w:hAnsi="Arial" w:cs="Arial"/>
                <w:sz w:val="20"/>
                <w:szCs w:val="20"/>
              </w:rPr>
              <w:t>Instituto de Investigaciones de la Amazonía Peruana - IIAP</w:t>
            </w:r>
          </w:p>
        </w:tc>
      </w:tr>
      <w:tr w:rsidR="00846D49" w:rsidRPr="00846D49" w14:paraId="497BA699" w14:textId="77777777" w:rsidTr="00FF5B87">
        <w:trPr>
          <w:trHeight w:val="458"/>
          <w:jc w:val="center"/>
        </w:trPr>
        <w:tc>
          <w:tcPr>
            <w:tcW w:w="2340" w:type="dxa"/>
            <w:vMerge w:val="restart"/>
            <w:tcBorders>
              <w:top w:val="single" w:sz="4" w:space="0" w:color="000000"/>
              <w:left w:val="single" w:sz="4" w:space="0" w:color="000000"/>
              <w:right w:val="single" w:sz="4" w:space="0" w:color="000000"/>
            </w:tcBorders>
            <w:tcMar>
              <w:top w:w="15" w:type="dxa"/>
              <w:left w:w="15" w:type="dxa"/>
              <w:bottom w:w="0" w:type="dxa"/>
              <w:right w:w="15" w:type="dxa"/>
            </w:tcMar>
            <w:vAlign w:val="center"/>
          </w:tcPr>
          <w:p w14:paraId="6F33814D" w14:textId="77777777" w:rsidR="006B6C7C" w:rsidRPr="00846D49" w:rsidRDefault="006B6C7C" w:rsidP="00B32B7E">
            <w:pPr>
              <w:spacing w:after="0" w:line="240" w:lineRule="auto"/>
              <w:rPr>
                <w:rFonts w:ascii="Arial" w:hAnsi="Arial" w:cs="Arial"/>
                <w:b/>
                <w:sz w:val="20"/>
                <w:szCs w:val="20"/>
              </w:rPr>
            </w:pPr>
            <w:r w:rsidRPr="00846D49">
              <w:rPr>
                <w:rFonts w:ascii="Arial" w:hAnsi="Arial" w:cs="Arial"/>
                <w:b/>
                <w:sz w:val="20"/>
                <w:szCs w:val="20"/>
              </w:rPr>
              <w:t>Nivel (es) de gobierno que interviene</w:t>
            </w:r>
          </w:p>
          <w:p w14:paraId="765FA5EB" w14:textId="25F4623B" w:rsidR="006B6C7C" w:rsidRPr="00846D49" w:rsidRDefault="006B6C7C" w:rsidP="006B6C7C">
            <w:pPr>
              <w:tabs>
                <w:tab w:val="left" w:pos="3375"/>
              </w:tabs>
              <w:spacing w:after="0" w:line="240" w:lineRule="auto"/>
              <w:rPr>
                <w:rFonts w:ascii="Arial" w:eastAsia="Times New Roman" w:hAnsi="Arial" w:cs="Arial"/>
                <w:b/>
                <w:sz w:val="20"/>
                <w:szCs w:val="20"/>
              </w:rPr>
            </w:pPr>
            <w:r w:rsidRPr="00846D49">
              <w:rPr>
                <w:rFonts w:ascii="Arial" w:hAnsi="Arial" w:cs="Arial"/>
                <w:b/>
                <w:sz w:val="20"/>
                <w:szCs w:val="20"/>
              </w:rPr>
              <w:t>(n) en la provisión del servicio</w:t>
            </w:r>
          </w:p>
        </w:tc>
        <w:tc>
          <w:tcPr>
            <w:tcW w:w="2149" w:type="dxa"/>
            <w:tcBorders>
              <w:top w:val="single" w:sz="4" w:space="0" w:color="000000"/>
              <w:left w:val="single" w:sz="4" w:space="0" w:color="000000"/>
              <w:right w:val="single" w:sz="4" w:space="0" w:color="000000"/>
            </w:tcBorders>
            <w:tcMar>
              <w:top w:w="15" w:type="dxa"/>
              <w:left w:w="15" w:type="dxa"/>
              <w:bottom w:w="0" w:type="dxa"/>
              <w:right w:w="15" w:type="dxa"/>
            </w:tcMar>
            <w:vAlign w:val="center"/>
          </w:tcPr>
          <w:p w14:paraId="1DB7E5D9" w14:textId="2B0A0E96" w:rsidR="006B6C7C" w:rsidRPr="00846D49" w:rsidRDefault="006B6C7C" w:rsidP="00B75FFA">
            <w:pPr>
              <w:tabs>
                <w:tab w:val="left" w:pos="3375"/>
              </w:tabs>
              <w:spacing w:after="0" w:line="240" w:lineRule="auto"/>
              <w:ind w:left="128"/>
              <w:jc w:val="center"/>
              <w:rPr>
                <w:rFonts w:ascii="Arial" w:eastAsia="Times New Roman" w:hAnsi="Arial" w:cs="Arial"/>
                <w:sz w:val="20"/>
                <w:szCs w:val="20"/>
              </w:rPr>
            </w:pPr>
            <w:r w:rsidRPr="00846D49">
              <w:rPr>
                <w:rFonts w:ascii="Arial" w:eastAsia="Arial Narrow" w:hAnsi="Arial" w:cs="Arial"/>
                <w:sz w:val="20"/>
                <w:szCs w:val="20"/>
              </w:rPr>
              <w:t>Nacional</w:t>
            </w:r>
          </w:p>
        </w:tc>
        <w:tc>
          <w:tcPr>
            <w:tcW w:w="2149" w:type="dxa"/>
            <w:tcBorders>
              <w:top w:val="single" w:sz="4" w:space="0" w:color="000000"/>
              <w:left w:val="single" w:sz="4" w:space="0" w:color="000000"/>
              <w:right w:val="single" w:sz="4" w:space="0" w:color="000000"/>
            </w:tcBorders>
            <w:vAlign w:val="center"/>
          </w:tcPr>
          <w:p w14:paraId="32F96A82" w14:textId="3BDE4F48" w:rsidR="006B6C7C" w:rsidRPr="00846D49" w:rsidRDefault="006B6C7C" w:rsidP="00B75FFA">
            <w:pPr>
              <w:tabs>
                <w:tab w:val="left" w:pos="3375"/>
              </w:tabs>
              <w:spacing w:after="0" w:line="240" w:lineRule="auto"/>
              <w:ind w:left="128"/>
              <w:jc w:val="center"/>
              <w:rPr>
                <w:rFonts w:ascii="Arial" w:eastAsia="Times New Roman" w:hAnsi="Arial" w:cs="Arial"/>
                <w:sz w:val="20"/>
                <w:szCs w:val="20"/>
              </w:rPr>
            </w:pPr>
            <w:r w:rsidRPr="00846D49">
              <w:rPr>
                <w:rFonts w:ascii="Arial" w:eastAsia="Arial Narrow" w:hAnsi="Arial" w:cs="Arial"/>
                <w:sz w:val="20"/>
                <w:szCs w:val="20"/>
              </w:rPr>
              <w:t>Regional</w:t>
            </w:r>
          </w:p>
        </w:tc>
        <w:tc>
          <w:tcPr>
            <w:tcW w:w="2150" w:type="dxa"/>
            <w:tcBorders>
              <w:top w:val="single" w:sz="4" w:space="0" w:color="000000"/>
              <w:left w:val="single" w:sz="4" w:space="0" w:color="000000"/>
              <w:right w:val="single" w:sz="4" w:space="0" w:color="000000"/>
            </w:tcBorders>
            <w:vAlign w:val="center"/>
          </w:tcPr>
          <w:p w14:paraId="4E6D12EB" w14:textId="5A945F3C" w:rsidR="006B6C7C" w:rsidRPr="00846D49" w:rsidRDefault="006B6C7C" w:rsidP="00B75FFA">
            <w:pPr>
              <w:tabs>
                <w:tab w:val="left" w:pos="3375"/>
              </w:tabs>
              <w:spacing w:after="0" w:line="240" w:lineRule="auto"/>
              <w:ind w:left="128"/>
              <w:jc w:val="center"/>
              <w:rPr>
                <w:rFonts w:ascii="Arial" w:eastAsia="Times New Roman" w:hAnsi="Arial" w:cs="Arial"/>
                <w:sz w:val="20"/>
                <w:szCs w:val="20"/>
              </w:rPr>
            </w:pPr>
            <w:r w:rsidRPr="00846D49">
              <w:rPr>
                <w:rFonts w:ascii="Arial" w:eastAsia="Arial Narrow" w:hAnsi="Arial" w:cs="Arial"/>
                <w:sz w:val="20"/>
                <w:szCs w:val="20"/>
              </w:rPr>
              <w:t>Local</w:t>
            </w:r>
          </w:p>
        </w:tc>
      </w:tr>
      <w:tr w:rsidR="00846D49" w:rsidRPr="00846D49" w14:paraId="45E1C37E" w14:textId="77777777" w:rsidTr="00FF5B87">
        <w:trPr>
          <w:trHeight w:val="457"/>
          <w:jc w:val="center"/>
        </w:trPr>
        <w:tc>
          <w:tcPr>
            <w:tcW w:w="2340" w:type="dxa"/>
            <w:vMerge/>
            <w:tcBorders>
              <w:left w:val="single" w:sz="4" w:space="0" w:color="000000"/>
              <w:right w:val="single" w:sz="4" w:space="0" w:color="000000"/>
            </w:tcBorders>
            <w:tcMar>
              <w:top w:w="15" w:type="dxa"/>
              <w:left w:w="15" w:type="dxa"/>
              <w:bottom w:w="0" w:type="dxa"/>
              <w:right w:w="15" w:type="dxa"/>
            </w:tcMar>
            <w:vAlign w:val="center"/>
          </w:tcPr>
          <w:p w14:paraId="7D971C7F" w14:textId="77777777" w:rsidR="006B6C7C" w:rsidRPr="00846D49" w:rsidRDefault="006B6C7C" w:rsidP="006B6C7C">
            <w:pPr>
              <w:spacing w:after="0" w:line="240" w:lineRule="auto"/>
              <w:rPr>
                <w:rFonts w:ascii="Arial" w:hAnsi="Arial" w:cs="Arial"/>
                <w:b/>
                <w:sz w:val="20"/>
                <w:szCs w:val="20"/>
              </w:rPr>
            </w:pPr>
          </w:p>
        </w:tc>
        <w:tc>
          <w:tcPr>
            <w:tcW w:w="2149" w:type="dxa"/>
            <w:tcBorders>
              <w:top w:val="single" w:sz="4" w:space="0" w:color="000000"/>
              <w:left w:val="single" w:sz="4" w:space="0" w:color="000000"/>
              <w:right w:val="single" w:sz="4" w:space="0" w:color="000000"/>
            </w:tcBorders>
            <w:tcMar>
              <w:top w:w="15" w:type="dxa"/>
              <w:left w:w="15" w:type="dxa"/>
              <w:bottom w:w="0" w:type="dxa"/>
              <w:right w:w="15" w:type="dxa"/>
            </w:tcMar>
            <w:vAlign w:val="center"/>
          </w:tcPr>
          <w:p w14:paraId="4FE2000F" w14:textId="689E24AD" w:rsidR="006B6C7C" w:rsidRPr="00846D49" w:rsidRDefault="00A32B05" w:rsidP="00B75FFA">
            <w:pPr>
              <w:tabs>
                <w:tab w:val="left" w:pos="3375"/>
              </w:tabs>
              <w:spacing w:after="0" w:line="240" w:lineRule="auto"/>
              <w:ind w:left="128"/>
              <w:jc w:val="center"/>
              <w:rPr>
                <w:rFonts w:ascii="Arial" w:eastAsia="Times New Roman" w:hAnsi="Arial" w:cs="Arial"/>
                <w:sz w:val="20"/>
                <w:szCs w:val="20"/>
              </w:rPr>
            </w:pPr>
            <w:r w:rsidRPr="00846D49">
              <w:rPr>
                <w:rFonts w:ascii="Arial" w:eastAsia="Times New Roman" w:hAnsi="Arial" w:cs="Arial"/>
                <w:sz w:val="20"/>
                <w:szCs w:val="20"/>
              </w:rPr>
              <w:t>X</w:t>
            </w:r>
          </w:p>
        </w:tc>
        <w:tc>
          <w:tcPr>
            <w:tcW w:w="2149" w:type="dxa"/>
            <w:tcBorders>
              <w:top w:val="single" w:sz="4" w:space="0" w:color="000000"/>
              <w:left w:val="single" w:sz="4" w:space="0" w:color="000000"/>
              <w:right w:val="single" w:sz="4" w:space="0" w:color="000000"/>
            </w:tcBorders>
            <w:vAlign w:val="center"/>
          </w:tcPr>
          <w:p w14:paraId="2C292B33" w14:textId="77777777" w:rsidR="006B6C7C" w:rsidRPr="00846D49" w:rsidRDefault="006B6C7C" w:rsidP="00B75FFA">
            <w:pPr>
              <w:tabs>
                <w:tab w:val="left" w:pos="3375"/>
              </w:tabs>
              <w:spacing w:after="0" w:line="240" w:lineRule="auto"/>
              <w:ind w:left="128"/>
              <w:jc w:val="center"/>
              <w:rPr>
                <w:rFonts w:ascii="Arial" w:eastAsia="Times New Roman" w:hAnsi="Arial" w:cs="Arial"/>
                <w:sz w:val="20"/>
                <w:szCs w:val="20"/>
              </w:rPr>
            </w:pPr>
          </w:p>
        </w:tc>
        <w:tc>
          <w:tcPr>
            <w:tcW w:w="2150" w:type="dxa"/>
            <w:tcBorders>
              <w:top w:val="single" w:sz="4" w:space="0" w:color="000000"/>
              <w:left w:val="single" w:sz="4" w:space="0" w:color="000000"/>
              <w:right w:val="single" w:sz="4" w:space="0" w:color="000000"/>
            </w:tcBorders>
            <w:vAlign w:val="center"/>
          </w:tcPr>
          <w:p w14:paraId="292D31F1" w14:textId="1E377075" w:rsidR="006B6C7C" w:rsidRPr="00846D49" w:rsidRDefault="006B6C7C" w:rsidP="00B75FFA">
            <w:pPr>
              <w:tabs>
                <w:tab w:val="left" w:pos="3375"/>
              </w:tabs>
              <w:spacing w:after="0" w:line="240" w:lineRule="auto"/>
              <w:ind w:left="128"/>
              <w:jc w:val="center"/>
              <w:rPr>
                <w:rFonts w:ascii="Arial" w:eastAsia="Times New Roman" w:hAnsi="Arial" w:cs="Arial"/>
                <w:sz w:val="20"/>
                <w:szCs w:val="20"/>
              </w:rPr>
            </w:pPr>
          </w:p>
        </w:tc>
      </w:tr>
      <w:tr w:rsidR="00846D49" w:rsidRPr="00846D49" w14:paraId="2D76AA4B" w14:textId="77777777" w:rsidTr="00FA79DD">
        <w:trPr>
          <w:trHeight w:val="300"/>
          <w:jc w:val="center"/>
        </w:trPr>
        <w:tc>
          <w:tcPr>
            <w:tcW w:w="23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2C9CC252" w14:textId="77777777" w:rsidR="006B6C7C" w:rsidRPr="00846D49" w:rsidRDefault="006B6C7C" w:rsidP="006B6C7C">
            <w:pPr>
              <w:tabs>
                <w:tab w:val="left" w:pos="3375"/>
              </w:tabs>
              <w:spacing w:after="0" w:line="240" w:lineRule="auto"/>
              <w:rPr>
                <w:rFonts w:ascii="Arial" w:eastAsia="Times New Roman" w:hAnsi="Arial" w:cs="Arial"/>
                <w:b/>
                <w:sz w:val="20"/>
                <w:szCs w:val="20"/>
              </w:rPr>
            </w:pPr>
            <w:r w:rsidRPr="00846D49">
              <w:rPr>
                <w:rFonts w:ascii="Arial" w:eastAsia="Times New Roman" w:hAnsi="Arial" w:cs="Arial"/>
                <w:b/>
                <w:sz w:val="20"/>
                <w:szCs w:val="20"/>
              </w:rPr>
              <w:t xml:space="preserve"> Receptor del servicio</w:t>
            </w:r>
          </w:p>
        </w:tc>
        <w:tc>
          <w:tcPr>
            <w:tcW w:w="6448"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14D794DD" w14:textId="77777777" w:rsidR="006B6C7C" w:rsidRPr="00846D49" w:rsidRDefault="006B6C7C" w:rsidP="006B6C7C">
            <w:pPr>
              <w:tabs>
                <w:tab w:val="left" w:pos="3375"/>
              </w:tabs>
              <w:spacing w:after="0" w:line="240" w:lineRule="auto"/>
              <w:ind w:left="128"/>
              <w:rPr>
                <w:rFonts w:ascii="Arial" w:eastAsia="Times New Roman" w:hAnsi="Arial" w:cs="Arial"/>
                <w:sz w:val="20"/>
                <w:szCs w:val="20"/>
              </w:rPr>
            </w:pPr>
            <w:r w:rsidRPr="00846D49">
              <w:rPr>
                <w:rFonts w:ascii="Arial" w:eastAsia="Times New Roman" w:hAnsi="Arial" w:cs="Arial"/>
                <w:sz w:val="20"/>
                <w:szCs w:val="20"/>
              </w:rPr>
              <w:t>Usuarios forestales y de fauna silvestre</w:t>
            </w:r>
          </w:p>
        </w:tc>
      </w:tr>
      <w:tr w:rsidR="00846D49" w:rsidRPr="00846D49" w14:paraId="79E557F7" w14:textId="77777777" w:rsidTr="00FA79DD">
        <w:trPr>
          <w:trHeight w:val="211"/>
          <w:jc w:val="center"/>
        </w:trPr>
        <w:tc>
          <w:tcPr>
            <w:tcW w:w="23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3C6FC814" w14:textId="77777777" w:rsidR="006B6C7C" w:rsidRPr="00846D49" w:rsidRDefault="006B6C7C" w:rsidP="006B6C7C">
            <w:pPr>
              <w:tabs>
                <w:tab w:val="left" w:pos="3375"/>
              </w:tabs>
              <w:spacing w:after="0" w:line="240" w:lineRule="auto"/>
              <w:rPr>
                <w:rFonts w:ascii="Arial" w:eastAsia="Times New Roman" w:hAnsi="Arial" w:cs="Arial"/>
                <w:b/>
                <w:sz w:val="20"/>
                <w:szCs w:val="20"/>
              </w:rPr>
            </w:pPr>
            <w:r w:rsidRPr="00846D49">
              <w:rPr>
                <w:rFonts w:ascii="Arial" w:eastAsia="Times New Roman" w:hAnsi="Arial" w:cs="Arial"/>
                <w:b/>
                <w:sz w:val="20"/>
                <w:szCs w:val="20"/>
              </w:rPr>
              <w:t xml:space="preserve"> Alcance del servicio </w:t>
            </w:r>
          </w:p>
        </w:tc>
        <w:tc>
          <w:tcPr>
            <w:tcW w:w="6448"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275B7006" w14:textId="77777777" w:rsidR="006B6C7C" w:rsidRPr="00846D49" w:rsidRDefault="006B6C7C" w:rsidP="006B6C7C">
            <w:pPr>
              <w:tabs>
                <w:tab w:val="left" w:pos="3375"/>
              </w:tabs>
              <w:spacing w:after="0" w:line="240" w:lineRule="auto"/>
              <w:ind w:left="128"/>
              <w:rPr>
                <w:rFonts w:ascii="Arial" w:eastAsia="Times New Roman" w:hAnsi="Arial" w:cs="Arial"/>
                <w:sz w:val="20"/>
                <w:szCs w:val="20"/>
              </w:rPr>
            </w:pPr>
            <w:r w:rsidRPr="00846D49">
              <w:rPr>
                <w:rFonts w:ascii="Arial" w:eastAsia="Times New Roman" w:hAnsi="Arial" w:cs="Arial"/>
                <w:sz w:val="20"/>
                <w:szCs w:val="20"/>
              </w:rPr>
              <w:t>Nacional.</w:t>
            </w:r>
          </w:p>
        </w:tc>
      </w:tr>
      <w:tr w:rsidR="00846D49" w:rsidRPr="00846D49" w14:paraId="649DA28E" w14:textId="77777777" w:rsidTr="00FA79DD">
        <w:trPr>
          <w:trHeight w:val="62"/>
          <w:jc w:val="center"/>
        </w:trPr>
        <w:tc>
          <w:tcPr>
            <w:tcW w:w="23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6E6C8B00" w14:textId="77777777" w:rsidR="006B6C7C" w:rsidRPr="00846D49" w:rsidRDefault="006B6C7C" w:rsidP="006B6C7C">
            <w:pPr>
              <w:tabs>
                <w:tab w:val="left" w:pos="3375"/>
              </w:tabs>
              <w:spacing w:after="0" w:line="240" w:lineRule="auto"/>
              <w:rPr>
                <w:rFonts w:ascii="Arial" w:eastAsia="Times New Roman" w:hAnsi="Arial" w:cs="Arial"/>
                <w:b/>
                <w:sz w:val="20"/>
                <w:szCs w:val="20"/>
              </w:rPr>
            </w:pPr>
            <w:r w:rsidRPr="00846D49">
              <w:rPr>
                <w:rFonts w:ascii="Arial" w:eastAsia="Times New Roman" w:hAnsi="Arial" w:cs="Arial"/>
                <w:b/>
                <w:sz w:val="20"/>
                <w:szCs w:val="20"/>
              </w:rPr>
              <w:t xml:space="preserve"> Estándar (es) de cumplimiento</w:t>
            </w:r>
          </w:p>
        </w:tc>
        <w:tc>
          <w:tcPr>
            <w:tcW w:w="6448"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551D6AF9" w14:textId="7D20EB0D" w:rsidR="006B6C7C" w:rsidRPr="00846D49" w:rsidRDefault="00AA6FDB" w:rsidP="006B6C7C">
            <w:pPr>
              <w:tabs>
                <w:tab w:val="left" w:pos="3375"/>
              </w:tabs>
              <w:spacing w:after="0" w:line="240" w:lineRule="auto"/>
              <w:ind w:left="128"/>
              <w:jc w:val="both"/>
              <w:rPr>
                <w:rFonts w:ascii="Arial" w:eastAsia="Times New Roman" w:hAnsi="Arial" w:cs="Arial"/>
                <w:sz w:val="20"/>
                <w:szCs w:val="20"/>
              </w:rPr>
            </w:pPr>
            <w:r w:rsidRPr="00846D49">
              <w:rPr>
                <w:rFonts w:ascii="Arial" w:eastAsia="Times New Roman" w:hAnsi="Arial" w:cs="Arial"/>
                <w:sz w:val="20"/>
                <w:szCs w:val="20"/>
              </w:rPr>
              <w:t>Pertinencia</w:t>
            </w:r>
          </w:p>
        </w:tc>
      </w:tr>
      <w:tr w:rsidR="00846D49" w:rsidRPr="00846D49" w14:paraId="61C03EB9" w14:textId="77777777" w:rsidTr="00B75FFA">
        <w:trPr>
          <w:trHeight w:val="1699"/>
          <w:jc w:val="center"/>
        </w:trPr>
        <w:tc>
          <w:tcPr>
            <w:tcW w:w="23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0E720219" w14:textId="77777777" w:rsidR="006B6C7C" w:rsidRPr="00846D49" w:rsidRDefault="006B6C7C" w:rsidP="006B6C7C">
            <w:pPr>
              <w:tabs>
                <w:tab w:val="left" w:pos="3375"/>
              </w:tabs>
              <w:spacing w:after="0" w:line="240" w:lineRule="auto"/>
              <w:rPr>
                <w:rFonts w:ascii="Arial" w:eastAsia="Times New Roman" w:hAnsi="Arial" w:cs="Arial"/>
                <w:b/>
                <w:sz w:val="20"/>
                <w:szCs w:val="20"/>
              </w:rPr>
            </w:pPr>
            <w:r w:rsidRPr="00846D49">
              <w:rPr>
                <w:rFonts w:ascii="Arial" w:eastAsia="Times New Roman" w:hAnsi="Arial" w:cs="Arial"/>
                <w:b/>
                <w:sz w:val="20"/>
                <w:szCs w:val="20"/>
              </w:rPr>
              <w:t xml:space="preserve"> Descripción del estándar</w:t>
            </w:r>
          </w:p>
        </w:tc>
        <w:tc>
          <w:tcPr>
            <w:tcW w:w="6448" w:type="dxa"/>
            <w:gridSpan w:val="3"/>
            <w:tcBorders>
              <w:top w:val="single" w:sz="4" w:space="0" w:color="000000"/>
              <w:left w:val="single" w:sz="4" w:space="0" w:color="000000"/>
              <w:bottom w:val="single" w:sz="4" w:space="0" w:color="000000"/>
              <w:right w:val="single" w:sz="4" w:space="0" w:color="000000"/>
            </w:tcBorders>
            <w:tcMar>
              <w:top w:w="15" w:type="dxa"/>
              <w:left w:w="135" w:type="dxa"/>
              <w:bottom w:w="0" w:type="dxa"/>
              <w:right w:w="15" w:type="dxa"/>
            </w:tcMar>
            <w:vAlign w:val="center"/>
          </w:tcPr>
          <w:p w14:paraId="46C72AC2" w14:textId="6E363E87" w:rsidR="006B6C7C" w:rsidRPr="00846D49" w:rsidRDefault="00AA6FDB" w:rsidP="006B6C7C">
            <w:pPr>
              <w:tabs>
                <w:tab w:val="left" w:pos="3375"/>
              </w:tabs>
              <w:spacing w:after="0" w:line="240" w:lineRule="auto"/>
              <w:jc w:val="both"/>
              <w:rPr>
                <w:rFonts w:ascii="Arial" w:eastAsia="Times New Roman" w:hAnsi="Arial" w:cs="Arial"/>
                <w:sz w:val="20"/>
                <w:szCs w:val="20"/>
              </w:rPr>
            </w:pPr>
            <w:r w:rsidRPr="00846D49">
              <w:rPr>
                <w:rFonts w:ascii="Arial" w:eastAsia="Arial Narrow" w:hAnsi="Arial" w:cs="Arial"/>
                <w:sz w:val="20"/>
                <w:szCs w:val="20"/>
              </w:rPr>
              <w:t xml:space="preserve">El estándar del servicio es de pertinencia porque responde a las necesidades </w:t>
            </w:r>
            <w:r w:rsidRPr="00846D49">
              <w:rPr>
                <w:rFonts w:ascii="Arial" w:eastAsia="Times New Roman" w:hAnsi="Arial" w:cs="Arial"/>
                <w:sz w:val="20"/>
                <w:szCs w:val="20"/>
              </w:rPr>
              <w:t>de los usuarios forestales y de fauna silvestre sobre estudios, investigaciones, desarrollo de tecnologías e innovación sobre los recursos forestales y de fauna silvestre, los cuales están identificados en la Agenda Nacional de Investigación Forestal y de Fauna Silvestre y en las Agendas Regionales de Investigación Forestal y de Fauna Silvestre.</w:t>
            </w:r>
          </w:p>
        </w:tc>
      </w:tr>
      <w:tr w:rsidR="006B6C7C" w:rsidRPr="00846D49" w14:paraId="2E290797" w14:textId="77777777" w:rsidTr="00FA79DD">
        <w:trPr>
          <w:trHeight w:val="696"/>
          <w:jc w:val="center"/>
        </w:trPr>
        <w:tc>
          <w:tcPr>
            <w:tcW w:w="23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27332EC7" w14:textId="0D8E3ED3" w:rsidR="006B6C7C" w:rsidRPr="00846D49" w:rsidRDefault="006B6C7C" w:rsidP="006B6C7C">
            <w:pPr>
              <w:tabs>
                <w:tab w:val="left" w:pos="3375"/>
              </w:tabs>
              <w:spacing w:after="0" w:line="240" w:lineRule="auto"/>
              <w:rPr>
                <w:rFonts w:ascii="Arial" w:eastAsia="Times New Roman" w:hAnsi="Arial" w:cs="Arial"/>
                <w:b/>
                <w:sz w:val="20"/>
                <w:szCs w:val="20"/>
              </w:rPr>
            </w:pPr>
            <w:r w:rsidRPr="00846D49">
              <w:rPr>
                <w:rFonts w:ascii="Arial" w:eastAsia="Times New Roman" w:hAnsi="Arial" w:cs="Arial"/>
                <w:b/>
                <w:sz w:val="20"/>
                <w:szCs w:val="20"/>
              </w:rPr>
              <w:t xml:space="preserve">Indicador </w:t>
            </w:r>
            <w:r w:rsidR="00174341" w:rsidRPr="00846D49">
              <w:rPr>
                <w:rFonts w:ascii="Arial" w:eastAsia="Times New Roman" w:hAnsi="Arial" w:cs="Arial"/>
                <w:b/>
                <w:sz w:val="20"/>
                <w:szCs w:val="20"/>
              </w:rPr>
              <w:t>de calidad</w:t>
            </w:r>
          </w:p>
        </w:tc>
        <w:tc>
          <w:tcPr>
            <w:tcW w:w="6448"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71964D86" w14:textId="0F45EB06" w:rsidR="006B6C7C" w:rsidRPr="00846D49" w:rsidRDefault="00AA6FDB" w:rsidP="006B6C7C">
            <w:pPr>
              <w:tabs>
                <w:tab w:val="left" w:pos="3375"/>
              </w:tabs>
              <w:spacing w:after="0" w:line="240" w:lineRule="auto"/>
              <w:ind w:left="61"/>
              <w:jc w:val="both"/>
              <w:rPr>
                <w:rFonts w:ascii="Arial" w:eastAsia="Times New Roman" w:hAnsi="Arial" w:cs="Arial"/>
                <w:sz w:val="20"/>
                <w:szCs w:val="20"/>
              </w:rPr>
            </w:pPr>
            <w:r w:rsidRPr="00846D49">
              <w:rPr>
                <w:rFonts w:ascii="Arial" w:eastAsia="Times New Roman" w:hAnsi="Arial" w:cs="Arial"/>
                <w:sz w:val="20"/>
                <w:szCs w:val="20"/>
              </w:rPr>
              <w:t>Porcentaje de estudios, investigaciones, tecnologías e innovación sobre los recursos forestales y de fauna silvestre realizados de forma pertinente para los usuarios forestales y de fauna silvestre</w:t>
            </w:r>
            <w:r w:rsidR="006B6C7C" w:rsidRPr="00846D49">
              <w:rPr>
                <w:rFonts w:ascii="Arial" w:eastAsia="Times New Roman" w:hAnsi="Arial" w:cs="Arial"/>
                <w:sz w:val="20"/>
                <w:szCs w:val="20"/>
              </w:rPr>
              <w:t>.</w:t>
            </w:r>
          </w:p>
        </w:tc>
      </w:tr>
    </w:tbl>
    <w:p w14:paraId="180CE9AA" w14:textId="7043CA0E" w:rsidR="002D1C93" w:rsidRPr="00846D49" w:rsidRDefault="002D1C93">
      <w:pPr>
        <w:rPr>
          <w:rFonts w:ascii="Arial Narrow" w:eastAsia="Arial Narrow" w:hAnsi="Arial Narrow" w:cs="Arial Narrow"/>
          <w:b/>
        </w:rPr>
      </w:pPr>
    </w:p>
    <w:p w14:paraId="7097F442" w14:textId="36FB7203" w:rsidR="00C47A41" w:rsidRPr="008A26D2" w:rsidRDefault="00C47A41" w:rsidP="00C47A41">
      <w:pPr>
        <w:jc w:val="both"/>
        <w:rPr>
          <w:rFonts w:ascii="Arial" w:eastAsia="Arial Narrow" w:hAnsi="Arial" w:cs="Arial"/>
          <w:bCs/>
        </w:rPr>
      </w:pPr>
      <w:r w:rsidRPr="00846D49">
        <w:rPr>
          <w:rFonts w:ascii="Arial" w:eastAsia="Arial Narrow" w:hAnsi="Arial" w:cs="Arial"/>
          <w:b/>
          <w:bCs/>
        </w:rPr>
        <w:t>S2.4.</w:t>
      </w:r>
      <w:r w:rsidR="00D02599" w:rsidRPr="00846D49">
        <w:rPr>
          <w:rFonts w:ascii="Arial" w:eastAsia="Arial Narrow" w:hAnsi="Arial" w:cs="Arial"/>
          <w:b/>
          <w:bCs/>
        </w:rPr>
        <w:t>5</w:t>
      </w:r>
      <w:r w:rsidRPr="00846D49">
        <w:rPr>
          <w:rFonts w:ascii="Arial" w:eastAsia="Arial Narrow" w:hAnsi="Arial" w:cs="Arial"/>
        </w:rPr>
        <w:t xml:space="preserve"> </w:t>
      </w:r>
      <w:r w:rsidR="00B75FFA" w:rsidRPr="00846D49">
        <w:rPr>
          <w:rFonts w:ascii="Arial" w:eastAsia="Arial Narrow" w:hAnsi="Arial" w:cs="Arial"/>
          <w:bCs/>
          <w:sz w:val="20"/>
          <w:szCs w:val="20"/>
        </w:rPr>
        <w:t>Otorgamiento de derechos relacionados con investigación</w:t>
      </w:r>
      <w:r w:rsidR="00B75FFA" w:rsidRPr="008A26D2">
        <w:rPr>
          <w:rFonts w:ascii="Arial" w:eastAsia="Arial Narrow" w:hAnsi="Arial" w:cs="Arial"/>
          <w:bCs/>
          <w:sz w:val="20"/>
          <w:szCs w:val="20"/>
        </w:rPr>
        <w:t xml:space="preserve"> científica y acceso a los recursos genéticos y sus derivados en materia forestal y de fauna silvestre de forma oportuna a usuarios forestales y de fauna silvestre</w:t>
      </w:r>
    </w:p>
    <w:tbl>
      <w:tblPr>
        <w:tblW w:w="8930" w:type="dxa"/>
        <w:jc w:val="center"/>
        <w:tblLayout w:type="fixed"/>
        <w:tblLook w:val="0600" w:firstRow="0" w:lastRow="0" w:firstColumn="0" w:lastColumn="0" w:noHBand="1" w:noVBand="1"/>
      </w:tblPr>
      <w:tblGrid>
        <w:gridCol w:w="2414"/>
        <w:gridCol w:w="2172"/>
        <w:gridCol w:w="2172"/>
        <w:gridCol w:w="2172"/>
      </w:tblGrid>
      <w:tr w:rsidR="008A26D2" w:rsidRPr="008A26D2" w14:paraId="23ECD43D" w14:textId="77777777" w:rsidTr="00C47A41">
        <w:trPr>
          <w:trHeight w:val="300"/>
          <w:jc w:val="center"/>
        </w:trPr>
        <w:tc>
          <w:tcPr>
            <w:tcW w:w="8930" w:type="dxa"/>
            <w:gridSpan w:val="4"/>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vAlign w:val="center"/>
          </w:tcPr>
          <w:p w14:paraId="1497F05D" w14:textId="0C07C92A" w:rsidR="00C47A41" w:rsidRPr="008A26D2" w:rsidRDefault="00C47A41" w:rsidP="0072651A">
            <w:pPr>
              <w:tabs>
                <w:tab w:val="left" w:pos="3375"/>
              </w:tabs>
              <w:jc w:val="center"/>
              <w:rPr>
                <w:rFonts w:ascii="Arial" w:hAnsi="Arial" w:cs="Arial"/>
                <w:sz w:val="20"/>
                <w:szCs w:val="20"/>
              </w:rPr>
            </w:pPr>
            <w:r w:rsidRPr="008A26D2">
              <w:rPr>
                <w:rFonts w:ascii="Arial" w:hAnsi="Arial" w:cs="Arial"/>
                <w:b/>
                <w:sz w:val="20"/>
                <w:szCs w:val="20"/>
              </w:rPr>
              <w:t xml:space="preserve">FICHA DEL SERVICIO </w:t>
            </w:r>
          </w:p>
        </w:tc>
      </w:tr>
      <w:tr w:rsidR="008A26D2" w:rsidRPr="008A26D2" w14:paraId="7DF2C68B" w14:textId="77777777" w:rsidTr="00C47A41">
        <w:trPr>
          <w:trHeight w:val="300"/>
          <w:jc w:val="center"/>
        </w:trPr>
        <w:tc>
          <w:tcPr>
            <w:tcW w:w="24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F96E154" w14:textId="77777777" w:rsidR="00C47A41" w:rsidRPr="008A26D2" w:rsidRDefault="00C47A41" w:rsidP="0072651A">
            <w:pPr>
              <w:tabs>
                <w:tab w:val="left" w:pos="3375"/>
              </w:tabs>
              <w:rPr>
                <w:rFonts w:ascii="Arial" w:hAnsi="Arial" w:cs="Arial"/>
                <w:b/>
                <w:sz w:val="20"/>
                <w:szCs w:val="20"/>
              </w:rPr>
            </w:pPr>
            <w:r w:rsidRPr="008A26D2">
              <w:rPr>
                <w:rFonts w:ascii="Arial" w:hAnsi="Arial" w:cs="Arial"/>
                <w:b/>
                <w:sz w:val="20"/>
                <w:szCs w:val="20"/>
              </w:rPr>
              <w:t xml:space="preserve"> Objetivo prioritario:</w:t>
            </w:r>
          </w:p>
        </w:tc>
        <w:tc>
          <w:tcPr>
            <w:tcW w:w="651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A4F440E" w14:textId="77777777" w:rsidR="00C47A41" w:rsidRPr="008A26D2" w:rsidRDefault="00C47A41" w:rsidP="0072651A">
            <w:pPr>
              <w:tabs>
                <w:tab w:val="left" w:pos="3375"/>
              </w:tabs>
              <w:ind w:left="128"/>
              <w:rPr>
                <w:rFonts w:ascii="Arial" w:hAnsi="Arial" w:cs="Arial"/>
                <w:sz w:val="20"/>
                <w:szCs w:val="20"/>
              </w:rPr>
            </w:pPr>
            <w:r w:rsidRPr="008A26D2">
              <w:rPr>
                <w:rFonts w:ascii="Arial" w:eastAsia="Arial Narrow" w:hAnsi="Arial" w:cs="Arial"/>
                <w:sz w:val="20"/>
                <w:szCs w:val="20"/>
              </w:rPr>
              <w:t>OP2 Incrementar la productividad de los ecosistemas forestales, otros ecosistemas de vegetación silvestre y de la fauna silvestre</w:t>
            </w:r>
          </w:p>
        </w:tc>
      </w:tr>
      <w:tr w:rsidR="008A26D2" w:rsidRPr="008A26D2" w14:paraId="7F76DBCB" w14:textId="77777777" w:rsidTr="00C47A41">
        <w:trPr>
          <w:trHeight w:val="300"/>
          <w:jc w:val="center"/>
        </w:trPr>
        <w:tc>
          <w:tcPr>
            <w:tcW w:w="24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5B7AD31" w14:textId="77777777" w:rsidR="00C47A41" w:rsidRPr="008A26D2" w:rsidRDefault="00C47A41" w:rsidP="0072651A">
            <w:pPr>
              <w:tabs>
                <w:tab w:val="left" w:pos="3375"/>
              </w:tabs>
              <w:rPr>
                <w:rFonts w:ascii="Arial" w:hAnsi="Arial" w:cs="Arial"/>
                <w:b/>
                <w:sz w:val="20"/>
                <w:szCs w:val="20"/>
              </w:rPr>
            </w:pPr>
            <w:r w:rsidRPr="008A26D2">
              <w:rPr>
                <w:rFonts w:ascii="Arial" w:hAnsi="Arial" w:cs="Arial"/>
                <w:b/>
                <w:sz w:val="20"/>
                <w:szCs w:val="20"/>
              </w:rPr>
              <w:t xml:space="preserve"> Lineamiento:</w:t>
            </w:r>
          </w:p>
        </w:tc>
        <w:tc>
          <w:tcPr>
            <w:tcW w:w="651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27C23D1" w14:textId="77777777" w:rsidR="00C47A41" w:rsidRPr="008A26D2" w:rsidRDefault="00C47A41" w:rsidP="0072651A">
            <w:pPr>
              <w:tabs>
                <w:tab w:val="left" w:pos="3375"/>
              </w:tabs>
              <w:ind w:left="128"/>
              <w:rPr>
                <w:rFonts w:ascii="Arial" w:hAnsi="Arial" w:cs="Arial"/>
                <w:sz w:val="20"/>
                <w:szCs w:val="20"/>
              </w:rPr>
            </w:pPr>
            <w:r w:rsidRPr="008A26D2">
              <w:rPr>
                <w:rFonts w:ascii="Arial" w:eastAsia="Arial Narrow" w:hAnsi="Arial" w:cs="Arial"/>
                <w:sz w:val="20"/>
                <w:szCs w:val="20"/>
              </w:rPr>
              <w:t>L2.4 Incrementar la generación de investigaciones e innovación, así como el desarrollo y transferencia de tecnologías en materia forestal y de fauna silvestre, y sus microorganismos asociados, incluyendo sus recursos genéticos.</w:t>
            </w:r>
          </w:p>
        </w:tc>
      </w:tr>
      <w:tr w:rsidR="008A26D2" w:rsidRPr="008A26D2" w14:paraId="197E8672" w14:textId="77777777" w:rsidTr="00C47A41">
        <w:trPr>
          <w:trHeight w:val="300"/>
          <w:jc w:val="center"/>
        </w:trPr>
        <w:tc>
          <w:tcPr>
            <w:tcW w:w="24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DDAF6E8" w14:textId="77777777" w:rsidR="00C47A41" w:rsidRPr="008A26D2" w:rsidRDefault="00C47A41" w:rsidP="0072651A">
            <w:pPr>
              <w:tabs>
                <w:tab w:val="left" w:pos="3375"/>
              </w:tabs>
              <w:rPr>
                <w:rFonts w:ascii="Arial" w:hAnsi="Arial" w:cs="Arial"/>
                <w:b/>
                <w:sz w:val="20"/>
                <w:szCs w:val="20"/>
              </w:rPr>
            </w:pPr>
            <w:r w:rsidRPr="008A26D2">
              <w:rPr>
                <w:rFonts w:ascii="Arial" w:hAnsi="Arial" w:cs="Arial"/>
                <w:b/>
                <w:sz w:val="20"/>
                <w:szCs w:val="20"/>
              </w:rPr>
              <w:t xml:space="preserve"> Nombre del servicio:</w:t>
            </w:r>
          </w:p>
        </w:tc>
        <w:tc>
          <w:tcPr>
            <w:tcW w:w="651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43ED502" w14:textId="48842A97" w:rsidR="00C47A41" w:rsidRPr="008A26D2" w:rsidRDefault="00C47A41" w:rsidP="0072651A">
            <w:pPr>
              <w:tabs>
                <w:tab w:val="left" w:pos="3375"/>
              </w:tabs>
              <w:ind w:left="128"/>
              <w:jc w:val="both"/>
              <w:rPr>
                <w:rFonts w:ascii="Arial" w:eastAsia="Arial Narrow" w:hAnsi="Arial" w:cs="Arial"/>
                <w:bCs/>
                <w:sz w:val="20"/>
                <w:szCs w:val="20"/>
              </w:rPr>
            </w:pPr>
            <w:r w:rsidRPr="008A26D2">
              <w:rPr>
                <w:rFonts w:ascii="Arial" w:eastAsia="Arial Narrow" w:hAnsi="Arial" w:cs="Arial"/>
                <w:sz w:val="20"/>
                <w:szCs w:val="20"/>
              </w:rPr>
              <w:t>S2.4.</w:t>
            </w:r>
            <w:r w:rsidR="00D02599" w:rsidRPr="008A26D2">
              <w:rPr>
                <w:rFonts w:ascii="Arial" w:eastAsia="Arial Narrow" w:hAnsi="Arial" w:cs="Arial"/>
                <w:sz w:val="20"/>
                <w:szCs w:val="20"/>
              </w:rPr>
              <w:t>5</w:t>
            </w:r>
            <w:r w:rsidRPr="008A26D2">
              <w:rPr>
                <w:rFonts w:ascii="Arial" w:eastAsia="Arial Narrow" w:hAnsi="Arial" w:cs="Arial"/>
                <w:sz w:val="20"/>
                <w:szCs w:val="20"/>
              </w:rPr>
              <w:t xml:space="preserve"> </w:t>
            </w:r>
            <w:r w:rsidRPr="008A26D2">
              <w:rPr>
                <w:rFonts w:ascii="Arial" w:eastAsia="Arial Narrow" w:hAnsi="Arial" w:cs="Arial"/>
                <w:bCs/>
                <w:sz w:val="20"/>
                <w:szCs w:val="20"/>
              </w:rPr>
              <w:t>Otorgamiento de derechos relacionados con investigación científica y acceso a los recursos genéticos y sus derivados en materia forestal y de fauna silvestre de forma oportuna a usuarios forestales y de fauna silvestre</w:t>
            </w:r>
          </w:p>
        </w:tc>
      </w:tr>
      <w:tr w:rsidR="008A26D2" w:rsidRPr="008A26D2" w14:paraId="06997665" w14:textId="77777777" w:rsidTr="00C47A41">
        <w:trPr>
          <w:trHeight w:val="300"/>
          <w:jc w:val="center"/>
        </w:trPr>
        <w:tc>
          <w:tcPr>
            <w:tcW w:w="24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5F8794A" w14:textId="77777777" w:rsidR="00C47A41" w:rsidRPr="008A26D2" w:rsidRDefault="00C47A41" w:rsidP="0072651A">
            <w:pPr>
              <w:tabs>
                <w:tab w:val="left" w:pos="3375"/>
              </w:tabs>
              <w:rPr>
                <w:rFonts w:ascii="Arial" w:hAnsi="Arial" w:cs="Arial"/>
                <w:b/>
                <w:sz w:val="20"/>
                <w:szCs w:val="20"/>
              </w:rPr>
            </w:pPr>
            <w:r w:rsidRPr="008A26D2">
              <w:rPr>
                <w:rFonts w:ascii="Arial" w:hAnsi="Arial" w:cs="Arial"/>
                <w:b/>
                <w:sz w:val="20"/>
                <w:szCs w:val="20"/>
              </w:rPr>
              <w:lastRenderedPageBreak/>
              <w:t>Tipo de servicio:</w:t>
            </w:r>
          </w:p>
        </w:tc>
        <w:tc>
          <w:tcPr>
            <w:tcW w:w="651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851D65D" w14:textId="77777777" w:rsidR="00C47A41" w:rsidRPr="008A26D2" w:rsidRDefault="00C47A41" w:rsidP="0072651A">
            <w:pPr>
              <w:tabs>
                <w:tab w:val="left" w:pos="3375"/>
              </w:tabs>
              <w:ind w:left="128"/>
              <w:jc w:val="both"/>
              <w:rPr>
                <w:rFonts w:ascii="Arial" w:eastAsia="Arial Narrow" w:hAnsi="Arial" w:cs="Arial"/>
                <w:sz w:val="20"/>
                <w:szCs w:val="20"/>
              </w:rPr>
            </w:pPr>
            <w:r w:rsidRPr="008A26D2">
              <w:rPr>
                <w:rFonts w:ascii="Arial" w:eastAsia="Arial Narrow" w:hAnsi="Arial" w:cs="Arial"/>
                <w:sz w:val="20"/>
                <w:szCs w:val="20"/>
              </w:rPr>
              <w:t>Mejorado</w:t>
            </w:r>
          </w:p>
        </w:tc>
      </w:tr>
      <w:tr w:rsidR="00846D49" w:rsidRPr="00846D49" w14:paraId="7608992A" w14:textId="77777777" w:rsidTr="00C47A41">
        <w:trPr>
          <w:trHeight w:val="300"/>
          <w:jc w:val="center"/>
        </w:trPr>
        <w:tc>
          <w:tcPr>
            <w:tcW w:w="24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50CFA4A" w14:textId="79A62CF4" w:rsidR="00174341" w:rsidRPr="00846D49" w:rsidRDefault="00174341" w:rsidP="00174341">
            <w:pPr>
              <w:tabs>
                <w:tab w:val="left" w:pos="3375"/>
              </w:tabs>
              <w:rPr>
                <w:rFonts w:ascii="Arial" w:hAnsi="Arial" w:cs="Arial"/>
                <w:b/>
                <w:sz w:val="20"/>
                <w:szCs w:val="20"/>
              </w:rPr>
            </w:pPr>
            <w:r w:rsidRPr="00846D49">
              <w:rPr>
                <w:rFonts w:ascii="Arial" w:hAnsi="Arial" w:cs="Arial"/>
                <w:b/>
                <w:sz w:val="20"/>
                <w:szCs w:val="20"/>
              </w:rPr>
              <w:t>Naturaleza del servicio:</w:t>
            </w:r>
          </w:p>
        </w:tc>
        <w:tc>
          <w:tcPr>
            <w:tcW w:w="651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DEADC0C" w14:textId="3E96BEE5" w:rsidR="00174341" w:rsidRPr="00846D49" w:rsidRDefault="00A32B05" w:rsidP="00A32B05">
            <w:pPr>
              <w:tabs>
                <w:tab w:val="left" w:pos="3375"/>
              </w:tabs>
              <w:jc w:val="both"/>
              <w:rPr>
                <w:rFonts w:ascii="Arial" w:eastAsia="Arial Narrow" w:hAnsi="Arial" w:cs="Arial"/>
                <w:sz w:val="20"/>
                <w:szCs w:val="20"/>
              </w:rPr>
            </w:pPr>
            <w:r w:rsidRPr="00846D49">
              <w:rPr>
                <w:rFonts w:ascii="Arial" w:eastAsia="Arial Narrow" w:hAnsi="Arial" w:cs="Arial"/>
                <w:sz w:val="20"/>
                <w:szCs w:val="20"/>
              </w:rPr>
              <w:t xml:space="preserve"> N</w:t>
            </w:r>
            <w:r w:rsidR="00174341" w:rsidRPr="00846D49">
              <w:rPr>
                <w:rFonts w:ascii="Arial" w:eastAsia="Arial Narrow" w:hAnsi="Arial" w:cs="Arial"/>
                <w:sz w:val="20"/>
                <w:szCs w:val="20"/>
              </w:rPr>
              <w:t>o prestacional</w:t>
            </w:r>
          </w:p>
        </w:tc>
      </w:tr>
      <w:tr w:rsidR="00846D49" w:rsidRPr="00846D49" w14:paraId="7B81D50E" w14:textId="77777777" w:rsidTr="00C47A41">
        <w:trPr>
          <w:trHeight w:val="300"/>
          <w:jc w:val="center"/>
        </w:trPr>
        <w:tc>
          <w:tcPr>
            <w:tcW w:w="24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BF1A291" w14:textId="5A7AEF22" w:rsidR="00174341" w:rsidRPr="00846D49" w:rsidRDefault="00174341" w:rsidP="00174341">
            <w:pPr>
              <w:tabs>
                <w:tab w:val="left" w:pos="3375"/>
              </w:tabs>
              <w:rPr>
                <w:rFonts w:ascii="Arial" w:hAnsi="Arial" w:cs="Arial"/>
                <w:b/>
                <w:sz w:val="20"/>
                <w:szCs w:val="20"/>
              </w:rPr>
            </w:pPr>
            <w:r w:rsidRPr="00846D49">
              <w:rPr>
                <w:rFonts w:ascii="Arial" w:hAnsi="Arial" w:cs="Arial"/>
                <w:b/>
                <w:sz w:val="20"/>
                <w:szCs w:val="20"/>
              </w:rPr>
              <w:t>Entrega del servicio</w:t>
            </w:r>
          </w:p>
        </w:tc>
        <w:tc>
          <w:tcPr>
            <w:tcW w:w="651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FF66B5F" w14:textId="1FFDB005" w:rsidR="00174341" w:rsidRPr="00846D49" w:rsidRDefault="00174341" w:rsidP="00174341">
            <w:pPr>
              <w:tabs>
                <w:tab w:val="left" w:pos="3375"/>
              </w:tabs>
              <w:ind w:left="128"/>
              <w:jc w:val="both"/>
              <w:rPr>
                <w:rFonts w:ascii="Arial" w:eastAsia="Arial Narrow" w:hAnsi="Arial" w:cs="Arial"/>
                <w:sz w:val="20"/>
                <w:szCs w:val="20"/>
              </w:rPr>
            </w:pPr>
            <w:r w:rsidRPr="00846D49">
              <w:rPr>
                <w:rFonts w:ascii="Arial" w:eastAsia="Arial Narrow" w:hAnsi="Arial" w:cs="Arial"/>
                <w:sz w:val="20"/>
                <w:szCs w:val="20"/>
              </w:rPr>
              <w:t>Competencia compartida</w:t>
            </w:r>
          </w:p>
        </w:tc>
      </w:tr>
      <w:tr w:rsidR="00846D49" w:rsidRPr="00846D49" w14:paraId="10187EA1" w14:textId="77777777" w:rsidTr="00C47A41">
        <w:trPr>
          <w:trHeight w:val="300"/>
          <w:jc w:val="center"/>
        </w:trPr>
        <w:tc>
          <w:tcPr>
            <w:tcW w:w="24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85FB48B" w14:textId="77777777" w:rsidR="00174341" w:rsidRPr="00846D49" w:rsidRDefault="00174341" w:rsidP="00174341">
            <w:pPr>
              <w:tabs>
                <w:tab w:val="left" w:pos="3375"/>
              </w:tabs>
              <w:rPr>
                <w:rFonts w:ascii="Arial" w:hAnsi="Arial" w:cs="Arial"/>
                <w:b/>
                <w:sz w:val="20"/>
                <w:szCs w:val="20"/>
              </w:rPr>
            </w:pPr>
            <w:r w:rsidRPr="00846D49">
              <w:rPr>
                <w:rFonts w:ascii="Arial" w:hAnsi="Arial" w:cs="Arial"/>
                <w:b/>
                <w:sz w:val="20"/>
                <w:szCs w:val="20"/>
              </w:rPr>
              <w:t xml:space="preserve"> Descripción del servicio</w:t>
            </w:r>
          </w:p>
        </w:tc>
        <w:tc>
          <w:tcPr>
            <w:tcW w:w="651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A9E06A6" w14:textId="332B1853" w:rsidR="00174341" w:rsidRPr="00846D49" w:rsidRDefault="00174341" w:rsidP="00174341">
            <w:pPr>
              <w:pBdr>
                <w:top w:val="nil"/>
                <w:left w:val="nil"/>
                <w:bottom w:val="nil"/>
                <w:right w:val="nil"/>
                <w:between w:val="nil"/>
              </w:pBdr>
              <w:spacing w:after="0" w:line="240" w:lineRule="auto"/>
              <w:jc w:val="both"/>
              <w:rPr>
                <w:rFonts w:ascii="Arial" w:eastAsia="Arial Narrow" w:hAnsi="Arial" w:cs="Arial"/>
                <w:sz w:val="20"/>
                <w:szCs w:val="20"/>
              </w:rPr>
            </w:pPr>
            <w:r w:rsidRPr="00846D49">
              <w:rPr>
                <w:rFonts w:ascii="Arial" w:eastAsia="Arial Narrow" w:hAnsi="Arial" w:cs="Arial"/>
                <w:sz w:val="20"/>
                <w:szCs w:val="20"/>
              </w:rPr>
              <w:t>El presente servicio consiste en la atención de las solicitudes de derechos que presentan los usuarios forestales y de fauna silvestre para realizar investigación y/o acceder a los recursos genéticos y sus derivados ubicados fuera de Áreas Naturales Protegidas, así como el otorgamiento de permisos para el transporte internacional de ejemplares de la flora y fauna silvestre con fines científicos y la autorización de institución científica nacional depositaria de material biológico colectado en investigaciones de flora y/o fauna silvestre.</w:t>
            </w:r>
          </w:p>
          <w:p w14:paraId="3B71D317" w14:textId="77777777" w:rsidR="00174341" w:rsidRPr="00846D49" w:rsidRDefault="00174341" w:rsidP="00174341">
            <w:pPr>
              <w:pBdr>
                <w:top w:val="nil"/>
                <w:left w:val="nil"/>
                <w:bottom w:val="nil"/>
                <w:right w:val="nil"/>
                <w:between w:val="nil"/>
              </w:pBdr>
              <w:spacing w:after="0" w:line="240" w:lineRule="auto"/>
              <w:jc w:val="both"/>
              <w:rPr>
                <w:rFonts w:ascii="Arial" w:eastAsia="Arial Narrow" w:hAnsi="Arial" w:cs="Arial"/>
                <w:sz w:val="20"/>
                <w:szCs w:val="20"/>
              </w:rPr>
            </w:pPr>
          </w:p>
          <w:p w14:paraId="18BBE975" w14:textId="25523C6D" w:rsidR="00174341" w:rsidRPr="00846D49" w:rsidRDefault="00174341" w:rsidP="00174341">
            <w:pPr>
              <w:pBdr>
                <w:top w:val="nil"/>
                <w:left w:val="nil"/>
                <w:bottom w:val="nil"/>
                <w:right w:val="nil"/>
                <w:between w:val="nil"/>
              </w:pBdr>
              <w:spacing w:after="0" w:line="240" w:lineRule="auto"/>
              <w:jc w:val="both"/>
              <w:rPr>
                <w:rFonts w:ascii="Arial" w:eastAsia="Arial Narrow" w:hAnsi="Arial" w:cs="Arial"/>
                <w:sz w:val="20"/>
                <w:szCs w:val="20"/>
              </w:rPr>
            </w:pPr>
            <w:r w:rsidRPr="00846D49">
              <w:rPr>
                <w:rFonts w:ascii="Arial" w:eastAsia="Arial Narrow" w:hAnsi="Arial" w:cs="Arial"/>
                <w:sz w:val="20"/>
                <w:szCs w:val="20"/>
              </w:rPr>
              <w:t>La atención de las solicitudes hasta la emisión de la resolución, permiso y/o contrato correspondiente debe realizarse en los plazos establecidos según la normativa vigente.</w:t>
            </w:r>
          </w:p>
          <w:p w14:paraId="5EE4F464" w14:textId="77777777" w:rsidR="00174341" w:rsidRPr="00846D49" w:rsidRDefault="00174341" w:rsidP="00174341">
            <w:pPr>
              <w:pBdr>
                <w:top w:val="nil"/>
                <w:left w:val="nil"/>
                <w:bottom w:val="nil"/>
                <w:right w:val="nil"/>
                <w:between w:val="nil"/>
              </w:pBdr>
              <w:spacing w:after="0" w:line="240" w:lineRule="auto"/>
              <w:jc w:val="both"/>
              <w:rPr>
                <w:rFonts w:ascii="Arial" w:eastAsia="Arial Narrow" w:hAnsi="Arial" w:cs="Arial"/>
                <w:sz w:val="20"/>
                <w:szCs w:val="20"/>
              </w:rPr>
            </w:pPr>
          </w:p>
          <w:p w14:paraId="4E0BA2E0" w14:textId="162BB2B8" w:rsidR="00174341" w:rsidRPr="00846D49" w:rsidRDefault="00174341" w:rsidP="00174341">
            <w:pPr>
              <w:pBdr>
                <w:top w:val="nil"/>
                <w:left w:val="nil"/>
                <w:bottom w:val="nil"/>
                <w:right w:val="nil"/>
                <w:between w:val="nil"/>
              </w:pBdr>
              <w:spacing w:after="0" w:line="240" w:lineRule="auto"/>
              <w:jc w:val="both"/>
              <w:rPr>
                <w:rFonts w:ascii="Arial" w:eastAsia="Arial Narrow" w:hAnsi="Arial" w:cs="Arial"/>
                <w:sz w:val="20"/>
                <w:szCs w:val="20"/>
              </w:rPr>
            </w:pPr>
            <w:r w:rsidRPr="00846D49">
              <w:rPr>
                <w:rFonts w:ascii="Arial" w:eastAsia="Arial Narrow" w:hAnsi="Arial" w:cs="Arial"/>
                <w:sz w:val="20"/>
                <w:szCs w:val="20"/>
              </w:rPr>
              <w:t>Los plazos varían entre 30 y 90 días</w:t>
            </w:r>
            <w:r w:rsidR="00311718" w:rsidRPr="00846D49">
              <w:rPr>
                <w:rFonts w:ascii="Arial" w:eastAsia="Arial Narrow" w:hAnsi="Arial" w:cs="Arial"/>
                <w:sz w:val="20"/>
                <w:szCs w:val="20"/>
              </w:rPr>
              <w:t xml:space="preserve"> de presentada la solicitud</w:t>
            </w:r>
            <w:r w:rsidRPr="00846D49">
              <w:rPr>
                <w:rFonts w:ascii="Arial" w:eastAsia="Arial Narrow" w:hAnsi="Arial" w:cs="Arial"/>
                <w:sz w:val="20"/>
                <w:szCs w:val="20"/>
              </w:rPr>
              <w:t xml:space="preserve">, conforme </w:t>
            </w:r>
            <w:r w:rsidR="00311718" w:rsidRPr="00846D49">
              <w:rPr>
                <w:rFonts w:ascii="Arial" w:eastAsia="Arial Narrow" w:hAnsi="Arial" w:cs="Arial"/>
                <w:sz w:val="20"/>
                <w:szCs w:val="20"/>
              </w:rPr>
              <w:t xml:space="preserve">a </w:t>
            </w:r>
            <w:r w:rsidRPr="00846D49">
              <w:rPr>
                <w:rFonts w:ascii="Arial" w:eastAsia="Arial Narrow" w:hAnsi="Arial" w:cs="Arial"/>
                <w:sz w:val="20"/>
                <w:szCs w:val="20"/>
              </w:rPr>
              <w:t>la Ley N° 27444, ley del Procedimiento Administrativo General y el Decreto Supremo 019-2021-MINAM, decreto que aprueba el Reglamento de Acceso a los Recursos Genéticos y sus Derivados, respectivamente; así como de acuerdo al análisis de calidad regulatoria correspondiente para cada procedimiento.</w:t>
            </w:r>
          </w:p>
          <w:p w14:paraId="7BF7E7A5" w14:textId="77777777" w:rsidR="00174341" w:rsidRPr="00846D49" w:rsidRDefault="00174341" w:rsidP="00174341">
            <w:pPr>
              <w:pBdr>
                <w:top w:val="nil"/>
                <w:left w:val="nil"/>
                <w:bottom w:val="nil"/>
                <w:right w:val="nil"/>
                <w:between w:val="nil"/>
              </w:pBdr>
              <w:spacing w:after="0" w:line="240" w:lineRule="auto"/>
              <w:jc w:val="both"/>
              <w:rPr>
                <w:rFonts w:ascii="Arial" w:eastAsia="Arial Narrow" w:hAnsi="Arial" w:cs="Arial"/>
                <w:sz w:val="20"/>
                <w:szCs w:val="20"/>
              </w:rPr>
            </w:pPr>
          </w:p>
          <w:p w14:paraId="707EA358" w14:textId="77777777" w:rsidR="00174341" w:rsidRPr="00846D49" w:rsidRDefault="00174341" w:rsidP="00174341">
            <w:pPr>
              <w:pBdr>
                <w:top w:val="nil"/>
                <w:left w:val="nil"/>
                <w:bottom w:val="nil"/>
                <w:right w:val="nil"/>
                <w:between w:val="nil"/>
              </w:pBdr>
              <w:spacing w:after="0" w:line="240" w:lineRule="auto"/>
              <w:jc w:val="both"/>
              <w:rPr>
                <w:rFonts w:ascii="Arial" w:eastAsia="Arial Narrow" w:hAnsi="Arial" w:cs="Arial"/>
                <w:sz w:val="20"/>
                <w:szCs w:val="20"/>
              </w:rPr>
            </w:pPr>
            <w:r w:rsidRPr="00846D49">
              <w:rPr>
                <w:rFonts w:ascii="Arial" w:eastAsia="Arial Narrow" w:hAnsi="Arial" w:cs="Arial"/>
                <w:sz w:val="20"/>
                <w:szCs w:val="20"/>
              </w:rPr>
              <w:t>La atención de las solicitudes tiene las siguientes etapas:</w:t>
            </w:r>
          </w:p>
          <w:p w14:paraId="454D514B" w14:textId="77777777" w:rsidR="00174341" w:rsidRPr="00846D49" w:rsidRDefault="00174341" w:rsidP="00174341">
            <w:pPr>
              <w:pBdr>
                <w:top w:val="nil"/>
                <w:left w:val="nil"/>
                <w:bottom w:val="nil"/>
                <w:right w:val="nil"/>
                <w:between w:val="nil"/>
              </w:pBdr>
              <w:spacing w:after="0" w:line="240" w:lineRule="auto"/>
              <w:jc w:val="both"/>
              <w:rPr>
                <w:rFonts w:ascii="Arial" w:eastAsia="Arial Narrow" w:hAnsi="Arial" w:cs="Arial"/>
                <w:sz w:val="20"/>
                <w:szCs w:val="20"/>
              </w:rPr>
            </w:pPr>
          </w:p>
          <w:p w14:paraId="42347A7F" w14:textId="77777777" w:rsidR="00174341" w:rsidRPr="00846D49" w:rsidRDefault="00174341" w:rsidP="00174341">
            <w:pPr>
              <w:pStyle w:val="Prrafodelista"/>
              <w:numPr>
                <w:ilvl w:val="0"/>
                <w:numId w:val="5"/>
              </w:numPr>
              <w:pBdr>
                <w:top w:val="nil"/>
                <w:left w:val="nil"/>
                <w:bottom w:val="nil"/>
                <w:right w:val="nil"/>
                <w:between w:val="nil"/>
              </w:pBdr>
              <w:spacing w:after="0" w:line="240" w:lineRule="auto"/>
              <w:jc w:val="both"/>
              <w:rPr>
                <w:rFonts w:ascii="Arial" w:eastAsia="Arial Narrow" w:hAnsi="Arial" w:cs="Arial"/>
                <w:sz w:val="20"/>
                <w:szCs w:val="20"/>
              </w:rPr>
            </w:pPr>
            <w:r w:rsidRPr="00846D49">
              <w:rPr>
                <w:rFonts w:ascii="Arial" w:eastAsia="Arial Narrow" w:hAnsi="Arial" w:cs="Arial"/>
                <w:sz w:val="20"/>
                <w:szCs w:val="20"/>
              </w:rPr>
              <w:t>Evaluación de requisitos según norma vigente</w:t>
            </w:r>
          </w:p>
          <w:p w14:paraId="724C2237" w14:textId="77777777" w:rsidR="00174341" w:rsidRPr="00846D49" w:rsidRDefault="00174341" w:rsidP="00174341">
            <w:pPr>
              <w:pStyle w:val="Prrafodelista"/>
              <w:numPr>
                <w:ilvl w:val="0"/>
                <w:numId w:val="5"/>
              </w:numPr>
              <w:pBdr>
                <w:top w:val="nil"/>
                <w:left w:val="nil"/>
                <w:bottom w:val="nil"/>
                <w:right w:val="nil"/>
                <w:between w:val="nil"/>
              </w:pBdr>
              <w:spacing w:after="0" w:line="240" w:lineRule="auto"/>
              <w:jc w:val="both"/>
              <w:rPr>
                <w:rFonts w:ascii="Arial" w:eastAsia="Arial Narrow" w:hAnsi="Arial" w:cs="Arial"/>
                <w:sz w:val="20"/>
                <w:szCs w:val="20"/>
              </w:rPr>
            </w:pPr>
            <w:r w:rsidRPr="00846D49">
              <w:rPr>
                <w:rFonts w:ascii="Arial" w:eastAsia="Arial Narrow" w:hAnsi="Arial" w:cs="Arial"/>
                <w:sz w:val="20"/>
                <w:szCs w:val="20"/>
              </w:rPr>
              <w:t>Evaluación del expediente</w:t>
            </w:r>
          </w:p>
          <w:p w14:paraId="6DC98E24" w14:textId="77777777" w:rsidR="00174341" w:rsidRPr="00846D49" w:rsidRDefault="00174341" w:rsidP="00174341">
            <w:pPr>
              <w:pStyle w:val="Prrafodelista"/>
              <w:numPr>
                <w:ilvl w:val="0"/>
                <w:numId w:val="5"/>
              </w:numPr>
              <w:pBdr>
                <w:top w:val="nil"/>
                <w:left w:val="nil"/>
                <w:bottom w:val="nil"/>
                <w:right w:val="nil"/>
                <w:between w:val="nil"/>
              </w:pBdr>
              <w:spacing w:after="0" w:line="240" w:lineRule="auto"/>
              <w:jc w:val="both"/>
              <w:rPr>
                <w:rFonts w:ascii="Arial" w:eastAsia="Arial Narrow" w:hAnsi="Arial" w:cs="Arial"/>
                <w:sz w:val="20"/>
                <w:szCs w:val="20"/>
              </w:rPr>
            </w:pPr>
            <w:r w:rsidRPr="00846D49">
              <w:rPr>
                <w:rFonts w:ascii="Arial" w:eastAsia="Arial Narrow" w:hAnsi="Arial" w:cs="Arial"/>
                <w:sz w:val="20"/>
                <w:szCs w:val="20"/>
              </w:rPr>
              <w:t xml:space="preserve">Elaboración de informe técnico de análisis para otorgar los derechos solicitados </w:t>
            </w:r>
          </w:p>
          <w:p w14:paraId="685EE626" w14:textId="77777777" w:rsidR="00174341" w:rsidRPr="00846D49" w:rsidRDefault="00174341" w:rsidP="00174341">
            <w:pPr>
              <w:pStyle w:val="Prrafodelista"/>
              <w:numPr>
                <w:ilvl w:val="0"/>
                <w:numId w:val="5"/>
              </w:numPr>
              <w:pBdr>
                <w:top w:val="nil"/>
                <w:left w:val="nil"/>
                <w:bottom w:val="nil"/>
                <w:right w:val="nil"/>
                <w:between w:val="nil"/>
              </w:pBdr>
              <w:spacing w:after="0" w:line="240" w:lineRule="auto"/>
              <w:jc w:val="both"/>
              <w:rPr>
                <w:rFonts w:ascii="Arial" w:eastAsia="Arial Narrow" w:hAnsi="Arial" w:cs="Arial"/>
                <w:sz w:val="20"/>
                <w:szCs w:val="20"/>
              </w:rPr>
            </w:pPr>
            <w:r w:rsidRPr="00846D49">
              <w:rPr>
                <w:rFonts w:ascii="Arial" w:eastAsia="Arial Narrow" w:hAnsi="Arial" w:cs="Arial"/>
                <w:sz w:val="20"/>
                <w:szCs w:val="20"/>
              </w:rPr>
              <w:t>Elaboración y emisión de la resolución, permiso y/o contrato correspondiente</w:t>
            </w:r>
          </w:p>
          <w:p w14:paraId="1BB02F60" w14:textId="77777777" w:rsidR="00174341" w:rsidRPr="00846D49" w:rsidRDefault="00174341" w:rsidP="00174341">
            <w:pPr>
              <w:pStyle w:val="Prrafodelista"/>
              <w:numPr>
                <w:ilvl w:val="0"/>
                <w:numId w:val="5"/>
              </w:numPr>
              <w:pBdr>
                <w:top w:val="nil"/>
                <w:left w:val="nil"/>
                <w:bottom w:val="nil"/>
                <w:right w:val="nil"/>
                <w:between w:val="nil"/>
              </w:pBdr>
              <w:spacing w:after="0" w:line="240" w:lineRule="auto"/>
              <w:jc w:val="both"/>
              <w:rPr>
                <w:rFonts w:ascii="Arial" w:eastAsia="Arial Narrow" w:hAnsi="Arial" w:cs="Arial"/>
                <w:sz w:val="20"/>
                <w:szCs w:val="20"/>
              </w:rPr>
            </w:pPr>
            <w:r w:rsidRPr="00846D49">
              <w:rPr>
                <w:rFonts w:ascii="Arial" w:eastAsia="Arial Narrow" w:hAnsi="Arial" w:cs="Arial"/>
                <w:sz w:val="20"/>
                <w:szCs w:val="20"/>
              </w:rPr>
              <w:t xml:space="preserve">Negociación y suscripción del contrato de acceso a los recursos genéticos y sus derivados, de corresponder </w:t>
            </w:r>
          </w:p>
          <w:p w14:paraId="51163B1C" w14:textId="77777777" w:rsidR="00174341" w:rsidRPr="00846D49" w:rsidRDefault="00174341" w:rsidP="00174341">
            <w:pPr>
              <w:pStyle w:val="Prrafodelista"/>
              <w:pBdr>
                <w:top w:val="nil"/>
                <w:left w:val="nil"/>
                <w:bottom w:val="nil"/>
                <w:right w:val="nil"/>
                <w:between w:val="nil"/>
              </w:pBdr>
              <w:spacing w:after="0" w:line="240" w:lineRule="auto"/>
              <w:jc w:val="both"/>
              <w:rPr>
                <w:rFonts w:ascii="Arial" w:eastAsia="Arial Narrow" w:hAnsi="Arial" w:cs="Arial"/>
                <w:sz w:val="20"/>
                <w:szCs w:val="20"/>
              </w:rPr>
            </w:pPr>
          </w:p>
          <w:p w14:paraId="1BFD25E2" w14:textId="4920E78F" w:rsidR="00174341" w:rsidRPr="00846D49" w:rsidRDefault="00174341" w:rsidP="00174341">
            <w:pPr>
              <w:jc w:val="both"/>
              <w:rPr>
                <w:rFonts w:ascii="Arial" w:eastAsia="Arial Narrow" w:hAnsi="Arial" w:cs="Arial"/>
                <w:sz w:val="20"/>
                <w:szCs w:val="20"/>
              </w:rPr>
            </w:pPr>
            <w:r w:rsidRPr="00846D49">
              <w:rPr>
                <w:rFonts w:ascii="Arial" w:eastAsia="Arial Narrow" w:hAnsi="Arial" w:cs="Arial"/>
                <w:sz w:val="20"/>
                <w:szCs w:val="20"/>
              </w:rPr>
              <w:t>El servicio es de tipo mejorado porque toma en cuenta los criterios aprobados en la Ley Forestal y de Fauna Silvestre y sus Reglamentos, así como en el Reglamento de Acceso a los Recursos Genéticos y su Derivados, para autorizar los derechos referidos en el marco de la simplificación administrativa.</w:t>
            </w:r>
          </w:p>
          <w:p w14:paraId="5CE674B7" w14:textId="66A5EE97" w:rsidR="00174341" w:rsidRPr="00846D49" w:rsidRDefault="00174341" w:rsidP="00174341">
            <w:pPr>
              <w:jc w:val="both"/>
              <w:rPr>
                <w:rFonts w:ascii="Arial" w:hAnsi="Arial" w:cs="Arial"/>
                <w:strike/>
                <w:sz w:val="20"/>
                <w:szCs w:val="20"/>
              </w:rPr>
            </w:pPr>
            <w:r w:rsidRPr="00846D49">
              <w:rPr>
                <w:rFonts w:ascii="Arial" w:eastAsia="Arial Narrow" w:hAnsi="Arial" w:cs="Arial"/>
                <w:sz w:val="20"/>
                <w:szCs w:val="20"/>
              </w:rPr>
              <w:t>El servicio promoverá el desarrollo de las investigaciones y el acceso a los recursos genéticos en flora y/o fauna silvestre fuera de Áreas Naturales Protegidas a nivel nacional, impulsando la investigación e innovación en el país.</w:t>
            </w:r>
          </w:p>
        </w:tc>
      </w:tr>
      <w:tr w:rsidR="00846D49" w:rsidRPr="00846D49" w14:paraId="31164627" w14:textId="77777777" w:rsidTr="00C47A41">
        <w:trPr>
          <w:trHeight w:val="300"/>
          <w:jc w:val="center"/>
        </w:trPr>
        <w:tc>
          <w:tcPr>
            <w:tcW w:w="24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6BE9A6B" w14:textId="77777777" w:rsidR="00174341" w:rsidRPr="00846D49" w:rsidRDefault="00174341" w:rsidP="00174341">
            <w:pPr>
              <w:tabs>
                <w:tab w:val="left" w:pos="3375"/>
              </w:tabs>
              <w:rPr>
                <w:rFonts w:ascii="Arial" w:hAnsi="Arial" w:cs="Arial"/>
                <w:b/>
                <w:sz w:val="20"/>
                <w:szCs w:val="20"/>
              </w:rPr>
            </w:pPr>
            <w:r w:rsidRPr="00846D49">
              <w:rPr>
                <w:rFonts w:ascii="Arial" w:hAnsi="Arial" w:cs="Arial"/>
                <w:b/>
                <w:sz w:val="20"/>
                <w:szCs w:val="20"/>
              </w:rPr>
              <w:t xml:space="preserve"> Proveedor del servicio</w:t>
            </w:r>
          </w:p>
        </w:tc>
        <w:tc>
          <w:tcPr>
            <w:tcW w:w="651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F1C7BF7" w14:textId="77777777" w:rsidR="00174341" w:rsidRPr="00846D49" w:rsidRDefault="00174341" w:rsidP="00174341">
            <w:pPr>
              <w:tabs>
                <w:tab w:val="left" w:pos="3375"/>
              </w:tabs>
              <w:ind w:left="128"/>
              <w:rPr>
                <w:rFonts w:ascii="Arial" w:eastAsia="Arial Narrow" w:hAnsi="Arial" w:cs="Arial"/>
                <w:sz w:val="20"/>
                <w:szCs w:val="20"/>
              </w:rPr>
            </w:pPr>
            <w:r w:rsidRPr="00846D49">
              <w:rPr>
                <w:rFonts w:ascii="Arial" w:eastAsia="Arial Narrow" w:hAnsi="Arial" w:cs="Arial"/>
                <w:sz w:val="20"/>
                <w:szCs w:val="20"/>
              </w:rPr>
              <w:t xml:space="preserve">Servicio Nacional Forestal y Fauna Silvestre-SERFOR; </w:t>
            </w:r>
          </w:p>
          <w:p w14:paraId="2936A9A1" w14:textId="15955ED2" w:rsidR="00174341" w:rsidRPr="00846D49" w:rsidRDefault="00174341" w:rsidP="00174341">
            <w:pPr>
              <w:tabs>
                <w:tab w:val="left" w:pos="3375"/>
              </w:tabs>
              <w:ind w:left="128"/>
              <w:rPr>
                <w:rFonts w:ascii="Arial" w:hAnsi="Arial" w:cs="Arial"/>
                <w:sz w:val="20"/>
                <w:szCs w:val="20"/>
              </w:rPr>
            </w:pPr>
            <w:r w:rsidRPr="00846D49">
              <w:rPr>
                <w:rFonts w:ascii="Arial" w:eastAsia="Arial Narrow" w:hAnsi="Arial" w:cs="Arial"/>
                <w:sz w:val="20"/>
                <w:szCs w:val="20"/>
              </w:rPr>
              <w:t xml:space="preserve">Gobiernos Regionales – GORE </w:t>
            </w:r>
          </w:p>
        </w:tc>
      </w:tr>
      <w:tr w:rsidR="00846D49" w:rsidRPr="00846D49" w14:paraId="6DF0A727" w14:textId="77777777" w:rsidTr="00D0051E">
        <w:trPr>
          <w:trHeight w:val="555"/>
          <w:jc w:val="center"/>
        </w:trPr>
        <w:tc>
          <w:tcPr>
            <w:tcW w:w="2414" w:type="dxa"/>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23CFF815" w14:textId="77777777" w:rsidR="00174341" w:rsidRPr="00846D49" w:rsidRDefault="00174341" w:rsidP="00B32B7E">
            <w:pPr>
              <w:spacing w:after="0" w:line="240" w:lineRule="auto"/>
              <w:rPr>
                <w:rFonts w:ascii="Arial" w:hAnsi="Arial" w:cs="Arial"/>
                <w:b/>
                <w:sz w:val="20"/>
                <w:szCs w:val="20"/>
              </w:rPr>
            </w:pPr>
            <w:r w:rsidRPr="00846D49">
              <w:rPr>
                <w:rFonts w:ascii="Arial" w:hAnsi="Arial" w:cs="Arial"/>
                <w:b/>
                <w:sz w:val="20"/>
                <w:szCs w:val="20"/>
              </w:rPr>
              <w:t>Nivel (es) de gobierno que interviene</w:t>
            </w:r>
          </w:p>
          <w:p w14:paraId="2C8C2572" w14:textId="7C6D0F5F" w:rsidR="00174341" w:rsidRPr="00846D49" w:rsidRDefault="00174341" w:rsidP="00174341">
            <w:pPr>
              <w:tabs>
                <w:tab w:val="left" w:pos="3375"/>
              </w:tabs>
              <w:rPr>
                <w:rFonts w:ascii="Arial" w:hAnsi="Arial" w:cs="Arial"/>
                <w:b/>
                <w:sz w:val="20"/>
                <w:szCs w:val="20"/>
              </w:rPr>
            </w:pPr>
            <w:r w:rsidRPr="00846D49">
              <w:rPr>
                <w:rFonts w:ascii="Arial" w:hAnsi="Arial" w:cs="Arial"/>
                <w:b/>
                <w:sz w:val="20"/>
                <w:szCs w:val="20"/>
              </w:rPr>
              <w:t>(n) en la provisión del servicio</w:t>
            </w:r>
          </w:p>
        </w:tc>
        <w:tc>
          <w:tcPr>
            <w:tcW w:w="2172"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55A07F31" w14:textId="7ADED9F1" w:rsidR="00174341" w:rsidRPr="00846D49" w:rsidRDefault="00174341" w:rsidP="00B75FFA">
            <w:pPr>
              <w:tabs>
                <w:tab w:val="left" w:pos="3375"/>
              </w:tabs>
              <w:ind w:left="128"/>
              <w:jc w:val="center"/>
              <w:rPr>
                <w:rFonts w:ascii="Arial" w:eastAsia="Arial Narrow" w:hAnsi="Arial" w:cs="Arial"/>
                <w:sz w:val="20"/>
                <w:szCs w:val="20"/>
              </w:rPr>
            </w:pPr>
            <w:r w:rsidRPr="00846D49">
              <w:rPr>
                <w:rFonts w:ascii="Arial" w:eastAsia="Arial Narrow" w:hAnsi="Arial" w:cs="Arial"/>
                <w:sz w:val="20"/>
                <w:szCs w:val="20"/>
              </w:rPr>
              <w:t>Nacional</w:t>
            </w:r>
          </w:p>
        </w:tc>
        <w:tc>
          <w:tcPr>
            <w:tcW w:w="2172" w:type="dxa"/>
            <w:tcBorders>
              <w:top w:val="single" w:sz="4" w:space="0" w:color="000000"/>
              <w:left w:val="single" w:sz="4" w:space="0" w:color="000000"/>
              <w:right w:val="single" w:sz="4" w:space="0" w:color="000000"/>
            </w:tcBorders>
            <w:shd w:val="clear" w:color="auto" w:fill="auto"/>
            <w:vAlign w:val="center"/>
          </w:tcPr>
          <w:p w14:paraId="093C668D" w14:textId="525BF78C" w:rsidR="00174341" w:rsidRPr="00846D49" w:rsidRDefault="00174341" w:rsidP="00B75FFA">
            <w:pPr>
              <w:tabs>
                <w:tab w:val="left" w:pos="3375"/>
              </w:tabs>
              <w:ind w:left="128"/>
              <w:jc w:val="center"/>
              <w:rPr>
                <w:rFonts w:ascii="Arial" w:eastAsia="Arial Narrow" w:hAnsi="Arial" w:cs="Arial"/>
                <w:sz w:val="20"/>
                <w:szCs w:val="20"/>
              </w:rPr>
            </w:pPr>
            <w:r w:rsidRPr="00846D49">
              <w:rPr>
                <w:rFonts w:ascii="Arial" w:eastAsia="Arial Narrow" w:hAnsi="Arial" w:cs="Arial"/>
                <w:sz w:val="20"/>
                <w:szCs w:val="20"/>
              </w:rPr>
              <w:t>Regional</w:t>
            </w:r>
          </w:p>
        </w:tc>
        <w:tc>
          <w:tcPr>
            <w:tcW w:w="2172" w:type="dxa"/>
            <w:tcBorders>
              <w:top w:val="single" w:sz="4" w:space="0" w:color="000000"/>
              <w:left w:val="single" w:sz="4" w:space="0" w:color="000000"/>
              <w:right w:val="single" w:sz="4" w:space="0" w:color="000000"/>
            </w:tcBorders>
            <w:shd w:val="clear" w:color="auto" w:fill="auto"/>
            <w:vAlign w:val="center"/>
          </w:tcPr>
          <w:p w14:paraId="17853FE3" w14:textId="2D349F96" w:rsidR="00174341" w:rsidRPr="00846D49" w:rsidRDefault="00174341" w:rsidP="00B75FFA">
            <w:pPr>
              <w:tabs>
                <w:tab w:val="left" w:pos="3375"/>
              </w:tabs>
              <w:ind w:left="128"/>
              <w:jc w:val="center"/>
              <w:rPr>
                <w:rFonts w:ascii="Arial" w:eastAsia="Arial Narrow" w:hAnsi="Arial" w:cs="Arial"/>
                <w:sz w:val="20"/>
                <w:szCs w:val="20"/>
              </w:rPr>
            </w:pPr>
            <w:r w:rsidRPr="00846D49">
              <w:rPr>
                <w:rFonts w:ascii="Arial" w:eastAsia="Arial Narrow" w:hAnsi="Arial" w:cs="Arial"/>
                <w:sz w:val="20"/>
                <w:szCs w:val="20"/>
              </w:rPr>
              <w:t>Local</w:t>
            </w:r>
          </w:p>
        </w:tc>
      </w:tr>
      <w:tr w:rsidR="00846D49" w:rsidRPr="00846D49" w14:paraId="5795DEA7" w14:textId="77777777" w:rsidTr="00D0051E">
        <w:trPr>
          <w:trHeight w:val="555"/>
          <w:jc w:val="center"/>
        </w:trPr>
        <w:tc>
          <w:tcPr>
            <w:tcW w:w="2414" w:type="dxa"/>
            <w:vMerge/>
            <w:tcBorders>
              <w:left w:val="single" w:sz="4" w:space="0" w:color="000000"/>
              <w:right w:val="single" w:sz="4" w:space="0" w:color="000000"/>
            </w:tcBorders>
            <w:shd w:val="clear" w:color="auto" w:fill="auto"/>
            <w:tcMar>
              <w:top w:w="15" w:type="dxa"/>
              <w:left w:w="15" w:type="dxa"/>
              <w:bottom w:w="0" w:type="dxa"/>
              <w:right w:w="15" w:type="dxa"/>
            </w:tcMar>
            <w:vAlign w:val="center"/>
          </w:tcPr>
          <w:p w14:paraId="71DD27E8" w14:textId="77777777" w:rsidR="00174341" w:rsidRPr="00846D49" w:rsidRDefault="00174341" w:rsidP="00174341">
            <w:pPr>
              <w:spacing w:after="0" w:line="240" w:lineRule="auto"/>
              <w:rPr>
                <w:rFonts w:ascii="Arial" w:hAnsi="Arial" w:cs="Arial"/>
                <w:b/>
                <w:sz w:val="20"/>
                <w:szCs w:val="20"/>
              </w:rPr>
            </w:pPr>
          </w:p>
        </w:tc>
        <w:tc>
          <w:tcPr>
            <w:tcW w:w="2172"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4894958C" w14:textId="59DE4070" w:rsidR="00174341" w:rsidRPr="00846D49" w:rsidRDefault="00A32B05" w:rsidP="00B75FFA">
            <w:pPr>
              <w:tabs>
                <w:tab w:val="left" w:pos="3375"/>
              </w:tabs>
              <w:ind w:left="128"/>
              <w:jc w:val="center"/>
              <w:rPr>
                <w:rFonts w:ascii="Arial" w:eastAsia="Arial Narrow" w:hAnsi="Arial" w:cs="Arial"/>
                <w:sz w:val="20"/>
                <w:szCs w:val="20"/>
              </w:rPr>
            </w:pPr>
            <w:r w:rsidRPr="00846D49">
              <w:rPr>
                <w:rFonts w:ascii="Arial" w:eastAsia="Arial Narrow" w:hAnsi="Arial" w:cs="Arial"/>
                <w:sz w:val="20"/>
                <w:szCs w:val="20"/>
              </w:rPr>
              <w:t>X</w:t>
            </w:r>
          </w:p>
        </w:tc>
        <w:tc>
          <w:tcPr>
            <w:tcW w:w="2172" w:type="dxa"/>
            <w:tcBorders>
              <w:top w:val="single" w:sz="4" w:space="0" w:color="000000"/>
              <w:left w:val="single" w:sz="4" w:space="0" w:color="000000"/>
              <w:right w:val="single" w:sz="4" w:space="0" w:color="000000"/>
            </w:tcBorders>
            <w:shd w:val="clear" w:color="auto" w:fill="auto"/>
            <w:vAlign w:val="center"/>
          </w:tcPr>
          <w:p w14:paraId="0739EC43" w14:textId="0165108D" w:rsidR="00174341" w:rsidRPr="00846D49" w:rsidRDefault="00A32B05" w:rsidP="00B75FFA">
            <w:pPr>
              <w:tabs>
                <w:tab w:val="left" w:pos="3375"/>
              </w:tabs>
              <w:ind w:left="128"/>
              <w:jc w:val="center"/>
              <w:rPr>
                <w:rFonts w:ascii="Arial" w:eastAsia="Arial Narrow" w:hAnsi="Arial" w:cs="Arial"/>
                <w:sz w:val="20"/>
                <w:szCs w:val="20"/>
              </w:rPr>
            </w:pPr>
            <w:r w:rsidRPr="00846D49">
              <w:rPr>
                <w:rFonts w:ascii="Arial" w:eastAsia="Arial Narrow" w:hAnsi="Arial" w:cs="Arial"/>
                <w:sz w:val="20"/>
                <w:szCs w:val="20"/>
              </w:rPr>
              <w:t>X</w:t>
            </w:r>
          </w:p>
        </w:tc>
        <w:tc>
          <w:tcPr>
            <w:tcW w:w="2172" w:type="dxa"/>
            <w:tcBorders>
              <w:top w:val="single" w:sz="4" w:space="0" w:color="000000"/>
              <w:left w:val="single" w:sz="4" w:space="0" w:color="000000"/>
              <w:right w:val="single" w:sz="4" w:space="0" w:color="000000"/>
            </w:tcBorders>
            <w:shd w:val="clear" w:color="auto" w:fill="auto"/>
            <w:vAlign w:val="center"/>
          </w:tcPr>
          <w:p w14:paraId="4C50ECB6" w14:textId="7013F46B" w:rsidR="00174341" w:rsidRPr="00846D49" w:rsidRDefault="00174341" w:rsidP="00B75FFA">
            <w:pPr>
              <w:tabs>
                <w:tab w:val="left" w:pos="3375"/>
              </w:tabs>
              <w:ind w:left="128"/>
              <w:jc w:val="center"/>
              <w:rPr>
                <w:rFonts w:ascii="Arial" w:eastAsia="Arial Narrow" w:hAnsi="Arial" w:cs="Arial"/>
                <w:sz w:val="20"/>
                <w:szCs w:val="20"/>
              </w:rPr>
            </w:pPr>
          </w:p>
        </w:tc>
      </w:tr>
      <w:tr w:rsidR="00846D49" w:rsidRPr="00846D49" w14:paraId="7429741C" w14:textId="77777777" w:rsidTr="00C47A41">
        <w:trPr>
          <w:trHeight w:val="300"/>
          <w:jc w:val="center"/>
        </w:trPr>
        <w:tc>
          <w:tcPr>
            <w:tcW w:w="24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E8E16A4" w14:textId="77777777" w:rsidR="00174341" w:rsidRPr="00846D49" w:rsidRDefault="00174341" w:rsidP="00174341">
            <w:pPr>
              <w:tabs>
                <w:tab w:val="left" w:pos="3375"/>
              </w:tabs>
              <w:rPr>
                <w:rFonts w:ascii="Arial" w:hAnsi="Arial" w:cs="Arial"/>
                <w:b/>
                <w:sz w:val="20"/>
                <w:szCs w:val="20"/>
              </w:rPr>
            </w:pPr>
            <w:r w:rsidRPr="00846D49">
              <w:rPr>
                <w:rFonts w:ascii="Arial" w:hAnsi="Arial" w:cs="Arial"/>
                <w:b/>
                <w:sz w:val="20"/>
                <w:szCs w:val="20"/>
              </w:rPr>
              <w:t xml:space="preserve"> Receptor del servicio</w:t>
            </w:r>
          </w:p>
        </w:tc>
        <w:tc>
          <w:tcPr>
            <w:tcW w:w="651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C076E90" w14:textId="77777777" w:rsidR="00174341" w:rsidRPr="00846D49" w:rsidRDefault="00174341" w:rsidP="00174341">
            <w:pPr>
              <w:tabs>
                <w:tab w:val="left" w:pos="3375"/>
              </w:tabs>
              <w:ind w:left="128"/>
              <w:rPr>
                <w:rFonts w:ascii="Arial" w:hAnsi="Arial" w:cs="Arial"/>
                <w:sz w:val="20"/>
                <w:szCs w:val="20"/>
                <w:lang w:val="es-MX"/>
              </w:rPr>
            </w:pPr>
            <w:r w:rsidRPr="00846D49">
              <w:rPr>
                <w:rFonts w:ascii="Arial" w:hAnsi="Arial" w:cs="Arial"/>
                <w:sz w:val="20"/>
                <w:szCs w:val="20"/>
                <w:lang w:val="es-MX"/>
              </w:rPr>
              <w:t>Usuarios forestales y de fauna silvestre</w:t>
            </w:r>
          </w:p>
        </w:tc>
      </w:tr>
      <w:tr w:rsidR="00846D49" w:rsidRPr="00846D49" w14:paraId="0FE14380" w14:textId="77777777" w:rsidTr="00C47A41">
        <w:trPr>
          <w:trHeight w:val="211"/>
          <w:jc w:val="center"/>
        </w:trPr>
        <w:tc>
          <w:tcPr>
            <w:tcW w:w="24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558424A" w14:textId="77777777" w:rsidR="00174341" w:rsidRPr="00846D49" w:rsidRDefault="00174341" w:rsidP="00174341">
            <w:pPr>
              <w:tabs>
                <w:tab w:val="left" w:pos="3375"/>
              </w:tabs>
              <w:rPr>
                <w:rFonts w:ascii="Arial" w:hAnsi="Arial" w:cs="Arial"/>
                <w:b/>
                <w:sz w:val="20"/>
                <w:szCs w:val="20"/>
              </w:rPr>
            </w:pPr>
            <w:r w:rsidRPr="00846D49">
              <w:rPr>
                <w:rFonts w:ascii="Arial" w:hAnsi="Arial" w:cs="Arial"/>
                <w:b/>
                <w:sz w:val="20"/>
                <w:szCs w:val="20"/>
              </w:rPr>
              <w:t xml:space="preserve"> Alcance del servicio </w:t>
            </w:r>
          </w:p>
        </w:tc>
        <w:tc>
          <w:tcPr>
            <w:tcW w:w="651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5F41548" w14:textId="77777777" w:rsidR="00174341" w:rsidRPr="00846D49" w:rsidRDefault="00174341" w:rsidP="00174341">
            <w:pPr>
              <w:tabs>
                <w:tab w:val="left" w:pos="3375"/>
              </w:tabs>
              <w:ind w:left="128"/>
              <w:rPr>
                <w:rFonts w:ascii="Arial" w:hAnsi="Arial" w:cs="Arial"/>
                <w:sz w:val="20"/>
                <w:szCs w:val="20"/>
              </w:rPr>
            </w:pPr>
            <w:r w:rsidRPr="00846D49">
              <w:rPr>
                <w:rFonts w:ascii="Arial" w:hAnsi="Arial" w:cs="Arial"/>
                <w:sz w:val="20"/>
                <w:szCs w:val="20"/>
              </w:rPr>
              <w:t>Nacional.</w:t>
            </w:r>
          </w:p>
        </w:tc>
      </w:tr>
      <w:tr w:rsidR="00846D49" w:rsidRPr="00846D49" w14:paraId="33B18887" w14:textId="77777777" w:rsidTr="00C47A41">
        <w:trPr>
          <w:trHeight w:val="62"/>
          <w:jc w:val="center"/>
        </w:trPr>
        <w:tc>
          <w:tcPr>
            <w:tcW w:w="24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FE73EE5" w14:textId="77777777" w:rsidR="00174341" w:rsidRPr="00846D49" w:rsidRDefault="00174341" w:rsidP="00174341">
            <w:pPr>
              <w:tabs>
                <w:tab w:val="left" w:pos="3375"/>
              </w:tabs>
              <w:rPr>
                <w:rFonts w:ascii="Arial" w:hAnsi="Arial" w:cs="Arial"/>
                <w:b/>
                <w:sz w:val="20"/>
                <w:szCs w:val="20"/>
              </w:rPr>
            </w:pPr>
            <w:r w:rsidRPr="00846D49">
              <w:rPr>
                <w:rFonts w:ascii="Arial" w:hAnsi="Arial" w:cs="Arial"/>
                <w:b/>
                <w:sz w:val="20"/>
                <w:szCs w:val="20"/>
              </w:rPr>
              <w:lastRenderedPageBreak/>
              <w:t xml:space="preserve"> Estándar (es) de cumplimiento</w:t>
            </w:r>
          </w:p>
        </w:tc>
        <w:tc>
          <w:tcPr>
            <w:tcW w:w="651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7564B646" w14:textId="77777777" w:rsidR="00174341" w:rsidRPr="00846D49" w:rsidRDefault="00174341" w:rsidP="00174341">
            <w:pPr>
              <w:tabs>
                <w:tab w:val="left" w:pos="3375"/>
              </w:tabs>
              <w:ind w:left="128"/>
              <w:rPr>
                <w:rFonts w:ascii="Arial" w:hAnsi="Arial" w:cs="Arial"/>
                <w:sz w:val="20"/>
                <w:szCs w:val="20"/>
              </w:rPr>
            </w:pPr>
            <w:r w:rsidRPr="00846D49">
              <w:rPr>
                <w:rFonts w:ascii="Arial" w:hAnsi="Arial" w:cs="Arial"/>
                <w:sz w:val="20"/>
                <w:szCs w:val="20"/>
              </w:rPr>
              <w:t>Oportunidad.</w:t>
            </w:r>
          </w:p>
        </w:tc>
      </w:tr>
      <w:tr w:rsidR="00846D49" w:rsidRPr="00846D49" w14:paraId="2FBDF20F" w14:textId="77777777" w:rsidTr="00C47A41">
        <w:trPr>
          <w:trHeight w:val="300"/>
          <w:jc w:val="center"/>
        </w:trPr>
        <w:tc>
          <w:tcPr>
            <w:tcW w:w="24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CCF6881" w14:textId="77777777" w:rsidR="00174341" w:rsidRPr="00846D49" w:rsidRDefault="00174341" w:rsidP="00174341">
            <w:pPr>
              <w:tabs>
                <w:tab w:val="left" w:pos="3375"/>
              </w:tabs>
              <w:rPr>
                <w:rFonts w:ascii="Arial" w:hAnsi="Arial" w:cs="Arial"/>
                <w:b/>
                <w:sz w:val="20"/>
                <w:szCs w:val="20"/>
              </w:rPr>
            </w:pPr>
            <w:r w:rsidRPr="00846D49">
              <w:rPr>
                <w:rFonts w:ascii="Arial" w:hAnsi="Arial" w:cs="Arial"/>
                <w:b/>
                <w:sz w:val="20"/>
                <w:szCs w:val="20"/>
              </w:rPr>
              <w:t xml:space="preserve"> Descripción del estándar</w:t>
            </w:r>
          </w:p>
        </w:tc>
        <w:tc>
          <w:tcPr>
            <w:tcW w:w="651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35" w:type="dxa"/>
              <w:bottom w:w="0" w:type="dxa"/>
              <w:right w:w="15" w:type="dxa"/>
            </w:tcMar>
            <w:vAlign w:val="center"/>
          </w:tcPr>
          <w:p w14:paraId="7BE8DEF2" w14:textId="6D7818B5" w:rsidR="00174341" w:rsidRPr="00846D49" w:rsidRDefault="00174341" w:rsidP="00174341">
            <w:pPr>
              <w:tabs>
                <w:tab w:val="left" w:pos="3375"/>
              </w:tabs>
              <w:jc w:val="both"/>
              <w:rPr>
                <w:rFonts w:ascii="Arial" w:hAnsi="Arial" w:cs="Arial"/>
                <w:strike/>
                <w:sz w:val="20"/>
                <w:szCs w:val="20"/>
              </w:rPr>
            </w:pPr>
            <w:r w:rsidRPr="00846D49">
              <w:rPr>
                <w:rFonts w:ascii="Arial" w:eastAsia="Times New Roman" w:hAnsi="Arial" w:cs="Arial"/>
                <w:sz w:val="20"/>
                <w:szCs w:val="20"/>
              </w:rPr>
              <w:t xml:space="preserve">El estándar del servicio es de oportunidad, porque las solicitudes presentadas por los usuarios forestales y de fauna silvestre se atienden </w:t>
            </w:r>
            <w:r w:rsidR="00B32B7E" w:rsidRPr="00846D49">
              <w:rPr>
                <w:rFonts w:ascii="Arial" w:eastAsia="Arial Narrow" w:hAnsi="Arial" w:cs="Arial"/>
                <w:sz w:val="20"/>
                <w:szCs w:val="20"/>
              </w:rPr>
              <w:t>entre 30 y 90 días hábiles</w:t>
            </w:r>
            <w:r w:rsidR="00311718" w:rsidRPr="00846D49">
              <w:rPr>
                <w:rFonts w:ascii="Arial" w:eastAsia="Arial Narrow" w:hAnsi="Arial" w:cs="Arial"/>
                <w:sz w:val="20"/>
                <w:szCs w:val="20"/>
              </w:rPr>
              <w:t xml:space="preserve"> de presentada la solicitud</w:t>
            </w:r>
            <w:r w:rsidR="00B32B7E" w:rsidRPr="00846D49">
              <w:rPr>
                <w:rFonts w:ascii="Arial" w:eastAsia="Arial Narrow" w:hAnsi="Arial" w:cs="Arial"/>
                <w:sz w:val="20"/>
                <w:szCs w:val="20"/>
              </w:rPr>
              <w:t>, conforme</w:t>
            </w:r>
            <w:r w:rsidRPr="00846D49">
              <w:rPr>
                <w:rFonts w:ascii="Arial" w:eastAsia="Times New Roman" w:hAnsi="Arial" w:cs="Arial"/>
                <w:sz w:val="20"/>
                <w:szCs w:val="20"/>
              </w:rPr>
              <w:t xml:space="preserve"> los plazos establecidos en la normativa vigente. </w:t>
            </w:r>
          </w:p>
        </w:tc>
      </w:tr>
      <w:tr w:rsidR="00174341" w:rsidRPr="00846D49" w14:paraId="4E63DD92" w14:textId="77777777" w:rsidTr="00C47A41">
        <w:trPr>
          <w:trHeight w:val="491"/>
          <w:jc w:val="center"/>
        </w:trPr>
        <w:tc>
          <w:tcPr>
            <w:tcW w:w="24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4FC04F0" w14:textId="06008900" w:rsidR="00174341" w:rsidRPr="00846D49" w:rsidRDefault="00174341" w:rsidP="00174341">
            <w:pPr>
              <w:tabs>
                <w:tab w:val="left" w:pos="3375"/>
              </w:tabs>
              <w:rPr>
                <w:rFonts w:ascii="Arial" w:hAnsi="Arial" w:cs="Arial"/>
                <w:b/>
                <w:sz w:val="20"/>
                <w:szCs w:val="20"/>
              </w:rPr>
            </w:pPr>
            <w:r w:rsidRPr="00846D49">
              <w:rPr>
                <w:rFonts w:ascii="Arial" w:hAnsi="Arial" w:cs="Arial"/>
                <w:b/>
                <w:sz w:val="20"/>
                <w:szCs w:val="20"/>
              </w:rPr>
              <w:t xml:space="preserve">Indicador </w:t>
            </w:r>
            <w:r w:rsidR="000C1D8F" w:rsidRPr="00846D49">
              <w:rPr>
                <w:rFonts w:ascii="Arial" w:hAnsi="Arial" w:cs="Arial"/>
                <w:b/>
                <w:sz w:val="20"/>
                <w:szCs w:val="20"/>
              </w:rPr>
              <w:t>de calidad</w:t>
            </w:r>
          </w:p>
        </w:tc>
        <w:tc>
          <w:tcPr>
            <w:tcW w:w="651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73563CB5" w14:textId="77777777" w:rsidR="00174341" w:rsidRPr="00846D49" w:rsidRDefault="00174341" w:rsidP="00174341">
            <w:pPr>
              <w:pBdr>
                <w:top w:val="nil"/>
                <w:left w:val="nil"/>
                <w:bottom w:val="nil"/>
                <w:right w:val="nil"/>
                <w:between w:val="nil"/>
              </w:pBdr>
              <w:spacing w:after="0" w:line="240" w:lineRule="auto"/>
              <w:jc w:val="both"/>
              <w:rPr>
                <w:rFonts w:ascii="Arial" w:eastAsia="Arial Narrow" w:hAnsi="Arial" w:cs="Arial"/>
                <w:sz w:val="20"/>
                <w:szCs w:val="20"/>
              </w:rPr>
            </w:pPr>
            <w:r w:rsidRPr="00846D49">
              <w:rPr>
                <w:rFonts w:ascii="Arial" w:eastAsia="Arial Narrow" w:hAnsi="Arial" w:cs="Arial"/>
                <w:sz w:val="20"/>
                <w:szCs w:val="20"/>
              </w:rPr>
              <w:t>Porcentaje de solicitudes sobre derechos relacionados con investigación científica y acceso a los recursos genéticos y sus derivados en materia forestal y de fauna silvestre atendidas oportunamente.</w:t>
            </w:r>
          </w:p>
        </w:tc>
      </w:tr>
    </w:tbl>
    <w:p w14:paraId="26A57555" w14:textId="77777777" w:rsidR="00C47A41" w:rsidRPr="00846D49" w:rsidRDefault="00C47A41">
      <w:pPr>
        <w:rPr>
          <w:rFonts w:ascii="Arial Narrow" w:eastAsia="Arial Narrow" w:hAnsi="Arial Narrow" w:cs="Arial Narrow"/>
          <w:b/>
        </w:rPr>
      </w:pPr>
    </w:p>
    <w:p w14:paraId="184FB7EC" w14:textId="6E74512C" w:rsidR="00F40748" w:rsidRPr="00846D49" w:rsidRDefault="00F40748">
      <w:pPr>
        <w:rPr>
          <w:rFonts w:ascii="Arial Narrow" w:eastAsia="Arial Narrow" w:hAnsi="Arial Narrow" w:cs="Arial Narrow"/>
          <w:b/>
        </w:rPr>
      </w:pPr>
    </w:p>
    <w:p w14:paraId="4415D82C" w14:textId="150EEFD2" w:rsidR="0070399A" w:rsidRPr="008A26D2" w:rsidRDefault="0070399A" w:rsidP="00E457BC">
      <w:pPr>
        <w:tabs>
          <w:tab w:val="left" w:pos="3375"/>
        </w:tabs>
        <w:spacing w:after="0" w:line="240" w:lineRule="auto"/>
        <w:jc w:val="both"/>
        <w:rPr>
          <w:rFonts w:ascii="Arial" w:hAnsi="Arial" w:cs="Arial"/>
        </w:rPr>
      </w:pPr>
      <w:r w:rsidRPr="00846D49">
        <w:rPr>
          <w:rFonts w:ascii="Arial" w:hAnsi="Arial" w:cs="Arial"/>
          <w:b/>
          <w:bCs/>
        </w:rPr>
        <w:t>2.5.1</w:t>
      </w:r>
      <w:r w:rsidRPr="00846D49">
        <w:rPr>
          <w:rFonts w:ascii="Arial" w:hAnsi="Arial" w:cs="Arial"/>
        </w:rPr>
        <w:t xml:space="preserve"> Provisión de material genético</w:t>
      </w:r>
      <w:r w:rsidRPr="008A26D2">
        <w:rPr>
          <w:rFonts w:ascii="Arial" w:hAnsi="Arial" w:cs="Arial"/>
        </w:rPr>
        <w:t xml:space="preserve"> de calidad de forma fiable para los usuarios forestales.</w:t>
      </w:r>
    </w:p>
    <w:p w14:paraId="7912F9D1" w14:textId="77777777" w:rsidR="00E457BC" w:rsidRPr="008A26D2" w:rsidRDefault="00E457BC" w:rsidP="0070399A">
      <w:pPr>
        <w:tabs>
          <w:tab w:val="left" w:pos="3375"/>
        </w:tabs>
        <w:spacing w:after="0" w:line="240" w:lineRule="auto"/>
        <w:rPr>
          <w:rFonts w:ascii="Arial" w:hAnsi="Arial" w:cs="Arial"/>
        </w:rPr>
      </w:pPr>
    </w:p>
    <w:tbl>
      <w:tblPr>
        <w:tblW w:w="8898" w:type="dxa"/>
        <w:jc w:val="center"/>
        <w:tblLayout w:type="fixed"/>
        <w:tblLook w:val="0600" w:firstRow="0" w:lastRow="0" w:firstColumn="0" w:lastColumn="0" w:noHBand="1" w:noVBand="1"/>
      </w:tblPr>
      <w:tblGrid>
        <w:gridCol w:w="2235"/>
        <w:gridCol w:w="2221"/>
        <w:gridCol w:w="2221"/>
        <w:gridCol w:w="2221"/>
      </w:tblGrid>
      <w:tr w:rsidR="008A26D2" w:rsidRPr="008A26D2" w14:paraId="3F5FD088" w14:textId="77777777" w:rsidTr="00E457BC">
        <w:trPr>
          <w:trHeight w:val="300"/>
          <w:jc w:val="center"/>
        </w:trPr>
        <w:tc>
          <w:tcPr>
            <w:tcW w:w="8898"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center"/>
          </w:tcPr>
          <w:p w14:paraId="19E9F4C4" w14:textId="52CC6096" w:rsidR="0070399A" w:rsidRPr="008A26D2" w:rsidRDefault="0070399A" w:rsidP="0072651A">
            <w:pPr>
              <w:tabs>
                <w:tab w:val="left" w:pos="3375"/>
              </w:tabs>
              <w:spacing w:after="0" w:line="240" w:lineRule="auto"/>
              <w:jc w:val="center"/>
              <w:rPr>
                <w:rFonts w:ascii="Arial" w:hAnsi="Arial" w:cs="Arial"/>
                <w:sz w:val="20"/>
                <w:szCs w:val="20"/>
              </w:rPr>
            </w:pPr>
            <w:r w:rsidRPr="008A26D2">
              <w:rPr>
                <w:rFonts w:ascii="Arial" w:hAnsi="Arial" w:cs="Arial"/>
                <w:b/>
                <w:sz w:val="20"/>
                <w:szCs w:val="20"/>
              </w:rPr>
              <w:t xml:space="preserve">FICHA DEL SERVICIO </w:t>
            </w:r>
          </w:p>
        </w:tc>
      </w:tr>
      <w:tr w:rsidR="008A26D2" w:rsidRPr="008A26D2" w14:paraId="0505D2F5" w14:textId="77777777" w:rsidTr="00E457BC">
        <w:trPr>
          <w:trHeight w:val="505"/>
          <w:jc w:val="center"/>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9CFB644" w14:textId="77777777" w:rsidR="0070399A" w:rsidRPr="008A26D2" w:rsidRDefault="0070399A" w:rsidP="0072651A">
            <w:pPr>
              <w:tabs>
                <w:tab w:val="left" w:pos="3375"/>
              </w:tabs>
              <w:spacing w:after="0" w:line="240" w:lineRule="auto"/>
              <w:rPr>
                <w:rFonts w:ascii="Arial" w:hAnsi="Arial" w:cs="Arial"/>
                <w:b/>
                <w:sz w:val="20"/>
                <w:szCs w:val="20"/>
              </w:rPr>
            </w:pPr>
            <w:r w:rsidRPr="008A26D2">
              <w:rPr>
                <w:rFonts w:ascii="Arial" w:hAnsi="Arial" w:cs="Arial"/>
                <w:b/>
                <w:sz w:val="20"/>
                <w:szCs w:val="20"/>
              </w:rPr>
              <w:t xml:space="preserve"> Objetivo prioritario:</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09025C6" w14:textId="77777777" w:rsidR="0070399A" w:rsidRPr="008A26D2" w:rsidRDefault="0070399A" w:rsidP="0072651A">
            <w:pPr>
              <w:tabs>
                <w:tab w:val="left" w:pos="3375"/>
              </w:tabs>
              <w:spacing w:after="0" w:line="240" w:lineRule="auto"/>
              <w:ind w:left="128"/>
              <w:rPr>
                <w:rFonts w:ascii="Arial" w:hAnsi="Arial" w:cs="Arial"/>
                <w:sz w:val="20"/>
                <w:szCs w:val="20"/>
              </w:rPr>
            </w:pPr>
            <w:r w:rsidRPr="008A26D2">
              <w:rPr>
                <w:rFonts w:ascii="Arial" w:hAnsi="Arial" w:cs="Arial"/>
                <w:sz w:val="20"/>
                <w:szCs w:val="20"/>
              </w:rPr>
              <w:t>OP2 Incrementar la productividad de los ecosistemas forestales, otros ecosistemas de vegetación silvestre y de la fauna silvestre.</w:t>
            </w:r>
          </w:p>
        </w:tc>
      </w:tr>
      <w:tr w:rsidR="008A26D2" w:rsidRPr="008A26D2" w14:paraId="0FF63487" w14:textId="77777777" w:rsidTr="00E457BC">
        <w:trPr>
          <w:trHeight w:val="555"/>
          <w:jc w:val="center"/>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B7AB30E" w14:textId="77777777" w:rsidR="0070399A" w:rsidRPr="008A26D2" w:rsidRDefault="0070399A" w:rsidP="0072651A">
            <w:pPr>
              <w:tabs>
                <w:tab w:val="left" w:pos="3375"/>
              </w:tabs>
              <w:spacing w:after="0" w:line="240" w:lineRule="auto"/>
              <w:rPr>
                <w:rFonts w:ascii="Arial" w:hAnsi="Arial" w:cs="Arial"/>
                <w:b/>
                <w:sz w:val="20"/>
                <w:szCs w:val="20"/>
              </w:rPr>
            </w:pPr>
            <w:r w:rsidRPr="008A26D2">
              <w:rPr>
                <w:rFonts w:ascii="Arial" w:hAnsi="Arial" w:cs="Arial"/>
                <w:b/>
                <w:sz w:val="20"/>
                <w:szCs w:val="20"/>
              </w:rPr>
              <w:t xml:space="preserve"> Lineamiento:</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D3406D0" w14:textId="77777777" w:rsidR="0070399A" w:rsidRPr="008A26D2" w:rsidRDefault="0070399A" w:rsidP="0072651A">
            <w:pPr>
              <w:tabs>
                <w:tab w:val="left" w:pos="3375"/>
              </w:tabs>
              <w:spacing w:after="0" w:line="240" w:lineRule="auto"/>
              <w:ind w:left="128"/>
              <w:rPr>
                <w:rFonts w:ascii="Arial" w:hAnsi="Arial" w:cs="Arial"/>
                <w:sz w:val="20"/>
                <w:szCs w:val="20"/>
              </w:rPr>
            </w:pPr>
            <w:r w:rsidRPr="008A26D2">
              <w:rPr>
                <w:rFonts w:ascii="Arial" w:hAnsi="Arial" w:cs="Arial"/>
                <w:sz w:val="20"/>
                <w:szCs w:val="20"/>
              </w:rPr>
              <w:t>L2.5 Lograr el aprovechamiento de nuevas especies forestales y de fauna silvestre con potencial para el mercado nacional e internacional.</w:t>
            </w:r>
          </w:p>
        </w:tc>
      </w:tr>
      <w:tr w:rsidR="008A26D2" w:rsidRPr="008A26D2" w14:paraId="62CF5565" w14:textId="77777777" w:rsidTr="00E457BC">
        <w:trPr>
          <w:trHeight w:val="818"/>
          <w:jc w:val="center"/>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349E626" w14:textId="77777777" w:rsidR="0070399A" w:rsidRPr="008A26D2" w:rsidRDefault="0070399A" w:rsidP="0072651A">
            <w:pPr>
              <w:tabs>
                <w:tab w:val="left" w:pos="3375"/>
              </w:tabs>
              <w:spacing w:after="0" w:line="240" w:lineRule="auto"/>
              <w:rPr>
                <w:rFonts w:ascii="Arial" w:hAnsi="Arial" w:cs="Arial"/>
                <w:b/>
                <w:sz w:val="20"/>
                <w:szCs w:val="20"/>
              </w:rPr>
            </w:pPr>
            <w:r w:rsidRPr="008A26D2">
              <w:rPr>
                <w:rFonts w:ascii="Arial" w:hAnsi="Arial" w:cs="Arial"/>
                <w:b/>
                <w:sz w:val="20"/>
                <w:szCs w:val="20"/>
              </w:rPr>
              <w:t xml:space="preserve"> Nombre del servicio:</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50F281A" w14:textId="77777777" w:rsidR="0070399A" w:rsidRPr="008A26D2" w:rsidRDefault="0070399A" w:rsidP="0072651A">
            <w:pPr>
              <w:tabs>
                <w:tab w:val="left" w:pos="3375"/>
              </w:tabs>
              <w:spacing w:after="0" w:line="240" w:lineRule="auto"/>
              <w:ind w:left="128"/>
              <w:rPr>
                <w:rFonts w:ascii="Arial" w:hAnsi="Arial" w:cs="Arial"/>
                <w:sz w:val="20"/>
                <w:szCs w:val="20"/>
              </w:rPr>
            </w:pPr>
            <w:r w:rsidRPr="008A26D2">
              <w:rPr>
                <w:rFonts w:ascii="Arial" w:hAnsi="Arial" w:cs="Arial"/>
                <w:sz w:val="20"/>
                <w:szCs w:val="20"/>
              </w:rPr>
              <w:t>2.5.1 Provisión de material genético de calidad de forma fiable para los usuarios forestales.</w:t>
            </w:r>
          </w:p>
          <w:p w14:paraId="618267A7" w14:textId="77777777" w:rsidR="0070399A" w:rsidRPr="008A26D2" w:rsidRDefault="0070399A" w:rsidP="0072651A">
            <w:pPr>
              <w:tabs>
                <w:tab w:val="left" w:pos="3375"/>
              </w:tabs>
              <w:spacing w:after="0" w:line="240" w:lineRule="auto"/>
              <w:ind w:left="128"/>
              <w:rPr>
                <w:rFonts w:ascii="Arial" w:hAnsi="Arial" w:cs="Arial"/>
                <w:sz w:val="20"/>
                <w:szCs w:val="20"/>
              </w:rPr>
            </w:pPr>
          </w:p>
        </w:tc>
      </w:tr>
      <w:tr w:rsidR="008A26D2" w:rsidRPr="008A26D2" w14:paraId="3EB69FE8" w14:textId="77777777" w:rsidTr="00E457BC">
        <w:trPr>
          <w:trHeight w:val="405"/>
          <w:jc w:val="center"/>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70BFAD4" w14:textId="77777777" w:rsidR="0070399A" w:rsidRPr="008A26D2" w:rsidRDefault="0070399A" w:rsidP="0072651A">
            <w:pPr>
              <w:tabs>
                <w:tab w:val="left" w:pos="3375"/>
              </w:tabs>
              <w:spacing w:after="0" w:line="240" w:lineRule="auto"/>
              <w:rPr>
                <w:rFonts w:ascii="Arial" w:hAnsi="Arial" w:cs="Arial"/>
                <w:b/>
                <w:sz w:val="20"/>
                <w:szCs w:val="20"/>
              </w:rPr>
            </w:pPr>
            <w:r w:rsidRPr="008A26D2">
              <w:rPr>
                <w:rFonts w:ascii="Arial" w:hAnsi="Arial" w:cs="Arial"/>
                <w:b/>
                <w:sz w:val="20"/>
                <w:szCs w:val="20"/>
              </w:rPr>
              <w:t>Tipo de servicio:</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1A26983" w14:textId="77777777" w:rsidR="0070399A" w:rsidRPr="008A26D2" w:rsidRDefault="0070399A" w:rsidP="0072651A">
            <w:pPr>
              <w:tabs>
                <w:tab w:val="left" w:pos="3375"/>
              </w:tabs>
              <w:spacing w:after="0" w:line="240" w:lineRule="auto"/>
              <w:ind w:left="128"/>
              <w:rPr>
                <w:rFonts w:ascii="Arial" w:hAnsi="Arial" w:cs="Arial"/>
                <w:sz w:val="20"/>
                <w:szCs w:val="20"/>
              </w:rPr>
            </w:pPr>
            <w:r w:rsidRPr="008A26D2">
              <w:rPr>
                <w:rFonts w:ascii="Arial" w:hAnsi="Arial" w:cs="Arial"/>
                <w:sz w:val="20"/>
                <w:szCs w:val="20"/>
              </w:rPr>
              <w:t>Mejorado</w:t>
            </w:r>
          </w:p>
        </w:tc>
      </w:tr>
      <w:tr w:rsidR="008A26D2" w:rsidRPr="008A26D2" w14:paraId="2E2BC6A1" w14:textId="77777777" w:rsidTr="00E457BC">
        <w:trPr>
          <w:trHeight w:val="405"/>
          <w:jc w:val="center"/>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8AF2B76" w14:textId="6B4DDA88" w:rsidR="000C1D8F" w:rsidRPr="008A26D2" w:rsidRDefault="000C1D8F" w:rsidP="000C1D8F">
            <w:pPr>
              <w:tabs>
                <w:tab w:val="left" w:pos="3375"/>
              </w:tabs>
              <w:spacing w:after="0" w:line="240" w:lineRule="auto"/>
              <w:rPr>
                <w:rFonts w:ascii="Arial" w:hAnsi="Arial" w:cs="Arial"/>
                <w:b/>
                <w:sz w:val="20"/>
                <w:szCs w:val="20"/>
              </w:rPr>
            </w:pPr>
            <w:r w:rsidRPr="008A26D2">
              <w:rPr>
                <w:rFonts w:ascii="Arial" w:hAnsi="Arial" w:cs="Arial"/>
                <w:b/>
                <w:sz w:val="20"/>
                <w:szCs w:val="20"/>
              </w:rPr>
              <w:t>Naturaleza del servicio:</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3235975" w14:textId="0102301E" w:rsidR="000C1D8F" w:rsidRPr="008A26D2" w:rsidRDefault="00A32B05" w:rsidP="000C1D8F">
            <w:pPr>
              <w:tabs>
                <w:tab w:val="left" w:pos="3375"/>
              </w:tabs>
              <w:spacing w:after="0" w:line="240" w:lineRule="auto"/>
              <w:ind w:left="128"/>
              <w:rPr>
                <w:rFonts w:ascii="Arial" w:hAnsi="Arial" w:cs="Arial"/>
                <w:sz w:val="20"/>
                <w:szCs w:val="20"/>
              </w:rPr>
            </w:pPr>
            <w:r w:rsidRPr="008A26D2">
              <w:rPr>
                <w:rFonts w:ascii="Arial" w:eastAsia="Arial Narrow" w:hAnsi="Arial" w:cs="Arial"/>
                <w:sz w:val="20"/>
                <w:szCs w:val="20"/>
              </w:rPr>
              <w:t>P</w:t>
            </w:r>
            <w:r w:rsidR="000C1D8F" w:rsidRPr="008A26D2">
              <w:rPr>
                <w:rFonts w:ascii="Arial" w:eastAsia="Arial Narrow" w:hAnsi="Arial" w:cs="Arial"/>
                <w:sz w:val="20"/>
                <w:szCs w:val="20"/>
              </w:rPr>
              <w:t>restacional</w:t>
            </w:r>
          </w:p>
        </w:tc>
      </w:tr>
      <w:tr w:rsidR="008A26D2" w:rsidRPr="008A26D2" w14:paraId="7653C6E9" w14:textId="77777777" w:rsidTr="00E457BC">
        <w:trPr>
          <w:trHeight w:val="405"/>
          <w:jc w:val="center"/>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F51F626" w14:textId="47EDF9C0" w:rsidR="000C1D8F" w:rsidRPr="008A26D2" w:rsidRDefault="000C1D8F" w:rsidP="000C1D8F">
            <w:pPr>
              <w:tabs>
                <w:tab w:val="left" w:pos="3375"/>
              </w:tabs>
              <w:spacing w:after="0" w:line="240" w:lineRule="auto"/>
              <w:rPr>
                <w:rFonts w:ascii="Arial" w:hAnsi="Arial" w:cs="Arial"/>
                <w:b/>
                <w:sz w:val="20"/>
                <w:szCs w:val="20"/>
              </w:rPr>
            </w:pPr>
            <w:r w:rsidRPr="008A26D2">
              <w:rPr>
                <w:rFonts w:ascii="Arial" w:hAnsi="Arial" w:cs="Arial"/>
                <w:b/>
                <w:sz w:val="20"/>
                <w:szCs w:val="20"/>
              </w:rPr>
              <w:t>Entrega del servicio</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65CEF43" w14:textId="346469F3" w:rsidR="000C1D8F" w:rsidRPr="008A26D2" w:rsidRDefault="000C1D8F" w:rsidP="000C1D8F">
            <w:pPr>
              <w:tabs>
                <w:tab w:val="left" w:pos="3375"/>
              </w:tabs>
              <w:spacing w:after="0" w:line="240" w:lineRule="auto"/>
              <w:ind w:left="128"/>
              <w:rPr>
                <w:rFonts w:ascii="Arial" w:hAnsi="Arial" w:cs="Arial"/>
                <w:sz w:val="20"/>
                <w:szCs w:val="20"/>
              </w:rPr>
            </w:pPr>
            <w:r w:rsidRPr="008A26D2">
              <w:rPr>
                <w:rFonts w:ascii="Arial" w:eastAsia="Arial Narrow" w:hAnsi="Arial" w:cs="Arial"/>
                <w:sz w:val="20"/>
                <w:szCs w:val="20"/>
              </w:rPr>
              <w:t xml:space="preserve">Competencia exclusiva </w:t>
            </w:r>
          </w:p>
        </w:tc>
      </w:tr>
      <w:tr w:rsidR="008A26D2" w:rsidRPr="008A26D2" w14:paraId="2F413CB5" w14:textId="77777777" w:rsidTr="00E457BC">
        <w:trPr>
          <w:trHeight w:val="3658"/>
          <w:jc w:val="center"/>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F214E89" w14:textId="77777777" w:rsidR="000C1D8F" w:rsidRPr="008A26D2" w:rsidRDefault="000C1D8F" w:rsidP="000C1D8F">
            <w:pPr>
              <w:tabs>
                <w:tab w:val="left" w:pos="3375"/>
              </w:tabs>
              <w:spacing w:after="0" w:line="240" w:lineRule="auto"/>
              <w:rPr>
                <w:rFonts w:ascii="Arial" w:hAnsi="Arial" w:cs="Arial"/>
                <w:b/>
                <w:sz w:val="20"/>
                <w:szCs w:val="20"/>
              </w:rPr>
            </w:pPr>
            <w:r w:rsidRPr="008A26D2">
              <w:rPr>
                <w:rFonts w:ascii="Arial" w:hAnsi="Arial" w:cs="Arial"/>
                <w:b/>
                <w:sz w:val="20"/>
                <w:szCs w:val="20"/>
              </w:rPr>
              <w:t xml:space="preserve"> Descripción del servicio</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BCED402" w14:textId="77777777" w:rsidR="000C1D8F" w:rsidRPr="008A26D2" w:rsidRDefault="000C1D8F" w:rsidP="000C1D8F">
            <w:pPr>
              <w:tabs>
                <w:tab w:val="left" w:pos="3375"/>
              </w:tabs>
              <w:spacing w:after="0" w:line="240" w:lineRule="auto"/>
              <w:ind w:left="128"/>
              <w:jc w:val="both"/>
              <w:rPr>
                <w:rFonts w:ascii="Arial" w:eastAsia="Arial Narrow" w:hAnsi="Arial" w:cs="Arial"/>
                <w:sz w:val="20"/>
                <w:szCs w:val="20"/>
              </w:rPr>
            </w:pPr>
            <w:r w:rsidRPr="008A26D2">
              <w:rPr>
                <w:rFonts w:ascii="Arial" w:eastAsia="Arial Narrow" w:hAnsi="Arial" w:cs="Arial"/>
                <w:sz w:val="20"/>
                <w:szCs w:val="20"/>
              </w:rPr>
              <w:t>El presente servicio consiste en realizar selección de material genético a través de la caracterización fenotípica de los árboles semilleros, respetando la rigurosidad en la intensidad de selección para la provisión de semillas de clase no certificada, lo que garantiza la sostenibilidad del abastecimiento de insumos de calidad para la producción forestal en beneficio de los usuarios forestales. Por otro lado, al tener material genético de calidad se puede promover el aprovechamiento de nuevas especies forestales.</w:t>
            </w:r>
          </w:p>
          <w:p w14:paraId="08A81C7C" w14:textId="77777777" w:rsidR="000C1D8F" w:rsidRPr="008A26D2" w:rsidRDefault="000C1D8F" w:rsidP="000C1D8F">
            <w:pPr>
              <w:tabs>
                <w:tab w:val="left" w:pos="3375"/>
              </w:tabs>
              <w:spacing w:after="0" w:line="240" w:lineRule="auto"/>
              <w:ind w:left="128"/>
              <w:jc w:val="both"/>
              <w:rPr>
                <w:rFonts w:ascii="Arial" w:eastAsia="Arial Narrow" w:hAnsi="Arial" w:cs="Arial"/>
                <w:sz w:val="20"/>
                <w:szCs w:val="20"/>
              </w:rPr>
            </w:pPr>
          </w:p>
          <w:p w14:paraId="345966A9" w14:textId="77777777" w:rsidR="000C1D8F" w:rsidRPr="008A26D2" w:rsidRDefault="000C1D8F" w:rsidP="000C1D8F">
            <w:pPr>
              <w:tabs>
                <w:tab w:val="left" w:pos="3375"/>
              </w:tabs>
              <w:spacing w:after="0" w:line="240" w:lineRule="auto"/>
              <w:ind w:left="128"/>
              <w:jc w:val="both"/>
              <w:rPr>
                <w:rFonts w:ascii="Arial" w:eastAsia="Arial Narrow" w:hAnsi="Arial" w:cs="Arial"/>
                <w:sz w:val="20"/>
                <w:szCs w:val="20"/>
              </w:rPr>
            </w:pPr>
            <w:r w:rsidRPr="008A26D2">
              <w:rPr>
                <w:rFonts w:ascii="Arial" w:eastAsia="Arial Narrow" w:hAnsi="Arial" w:cs="Arial"/>
                <w:sz w:val="20"/>
                <w:szCs w:val="20"/>
              </w:rPr>
              <w:t>El servicio es de tipo mejorado en la medida que se empleara nuevas tecnologías en la selección del material genético a través de caracteres dasométricos, morfológicos y de sanidad interna de la madera.</w:t>
            </w:r>
          </w:p>
          <w:p w14:paraId="64C44246" w14:textId="77777777" w:rsidR="000C1D8F" w:rsidRPr="008A26D2" w:rsidRDefault="000C1D8F" w:rsidP="000C1D8F">
            <w:pPr>
              <w:tabs>
                <w:tab w:val="left" w:pos="3375"/>
              </w:tabs>
              <w:spacing w:after="0" w:line="240" w:lineRule="auto"/>
              <w:ind w:left="128"/>
              <w:jc w:val="both"/>
              <w:rPr>
                <w:rFonts w:ascii="Arial" w:eastAsia="Arial Narrow" w:hAnsi="Arial" w:cs="Arial"/>
                <w:sz w:val="20"/>
                <w:szCs w:val="20"/>
              </w:rPr>
            </w:pPr>
          </w:p>
          <w:p w14:paraId="582F7250" w14:textId="4EE703A6" w:rsidR="000C1D8F" w:rsidRPr="008A26D2" w:rsidRDefault="000C1D8F" w:rsidP="000C1D8F">
            <w:pPr>
              <w:tabs>
                <w:tab w:val="left" w:pos="3375"/>
              </w:tabs>
              <w:spacing w:after="0" w:line="240" w:lineRule="auto"/>
              <w:ind w:left="128"/>
              <w:jc w:val="both"/>
              <w:rPr>
                <w:rFonts w:ascii="Arial" w:hAnsi="Arial" w:cs="Arial"/>
                <w:sz w:val="20"/>
                <w:szCs w:val="20"/>
              </w:rPr>
            </w:pPr>
            <w:r w:rsidRPr="008A26D2">
              <w:rPr>
                <w:rFonts w:ascii="Arial" w:hAnsi="Arial" w:cs="Arial"/>
                <w:sz w:val="20"/>
                <w:szCs w:val="20"/>
              </w:rPr>
              <w:t>La provisión del material genético de calidad de forma fiable para los usuarios forestales, se hará entrega de acuerdo a los requerimientos y disponibilidad. Los requerimientos del material genético deberán ser presentados oportunamente, para su programación en el Plan Operativo Institucional.</w:t>
            </w:r>
          </w:p>
        </w:tc>
      </w:tr>
      <w:tr w:rsidR="008A26D2" w:rsidRPr="008A26D2" w14:paraId="56DB6CD5" w14:textId="77777777" w:rsidTr="00E457BC">
        <w:trPr>
          <w:trHeight w:val="400"/>
          <w:jc w:val="center"/>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4C2B6D4" w14:textId="77777777" w:rsidR="000C1D8F" w:rsidRPr="008A26D2" w:rsidRDefault="000C1D8F" w:rsidP="000C1D8F">
            <w:pPr>
              <w:tabs>
                <w:tab w:val="left" w:pos="3375"/>
              </w:tabs>
              <w:spacing w:after="0" w:line="240" w:lineRule="auto"/>
              <w:rPr>
                <w:rFonts w:ascii="Arial" w:hAnsi="Arial" w:cs="Arial"/>
                <w:b/>
                <w:sz w:val="20"/>
                <w:szCs w:val="20"/>
              </w:rPr>
            </w:pPr>
            <w:r w:rsidRPr="008A26D2">
              <w:rPr>
                <w:rFonts w:ascii="Arial" w:hAnsi="Arial" w:cs="Arial"/>
                <w:b/>
                <w:sz w:val="20"/>
                <w:szCs w:val="20"/>
              </w:rPr>
              <w:t xml:space="preserve"> Proveedor del servicio</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CECE35E" w14:textId="6B59DEEB" w:rsidR="000C1D8F" w:rsidRPr="008A26D2" w:rsidRDefault="000C1D8F" w:rsidP="000C1D8F">
            <w:pPr>
              <w:tabs>
                <w:tab w:val="left" w:pos="3375"/>
              </w:tabs>
              <w:spacing w:after="0" w:line="240" w:lineRule="auto"/>
              <w:ind w:left="128"/>
              <w:rPr>
                <w:rFonts w:ascii="Arial" w:hAnsi="Arial" w:cs="Arial"/>
                <w:sz w:val="20"/>
                <w:szCs w:val="20"/>
              </w:rPr>
            </w:pPr>
            <w:r w:rsidRPr="008A26D2">
              <w:rPr>
                <w:rFonts w:ascii="Arial" w:eastAsia="Arial Narrow" w:hAnsi="Arial" w:cs="Arial"/>
                <w:sz w:val="20"/>
                <w:szCs w:val="20"/>
              </w:rPr>
              <w:t xml:space="preserve">Instituto Nacional de Innovación Agraria </w:t>
            </w:r>
            <w:r w:rsidR="002469C9" w:rsidRPr="008A26D2">
              <w:rPr>
                <w:rFonts w:ascii="Arial" w:eastAsia="Arial Narrow" w:hAnsi="Arial" w:cs="Arial"/>
                <w:sz w:val="20"/>
                <w:szCs w:val="20"/>
              </w:rPr>
              <w:t>–</w:t>
            </w:r>
            <w:r w:rsidRPr="008A26D2">
              <w:rPr>
                <w:rFonts w:ascii="Arial" w:eastAsia="Arial Narrow" w:hAnsi="Arial" w:cs="Arial"/>
                <w:sz w:val="20"/>
                <w:szCs w:val="20"/>
              </w:rPr>
              <w:t xml:space="preserve"> INIA</w:t>
            </w:r>
          </w:p>
        </w:tc>
      </w:tr>
      <w:tr w:rsidR="008A26D2" w:rsidRPr="008A26D2" w14:paraId="76D6E75F" w14:textId="77777777" w:rsidTr="00A14D3D">
        <w:trPr>
          <w:trHeight w:val="458"/>
          <w:jc w:val="center"/>
        </w:trPr>
        <w:tc>
          <w:tcPr>
            <w:tcW w:w="2235" w:type="dxa"/>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1ED3AF55" w14:textId="77777777" w:rsidR="000C1D8F" w:rsidRPr="008A26D2" w:rsidRDefault="000C1D8F" w:rsidP="00B32B7E">
            <w:pPr>
              <w:spacing w:after="0" w:line="240" w:lineRule="auto"/>
              <w:rPr>
                <w:rFonts w:ascii="Arial" w:hAnsi="Arial" w:cs="Arial"/>
                <w:b/>
                <w:sz w:val="20"/>
                <w:szCs w:val="20"/>
              </w:rPr>
            </w:pPr>
            <w:r w:rsidRPr="008A26D2">
              <w:rPr>
                <w:rFonts w:ascii="Arial" w:hAnsi="Arial" w:cs="Arial"/>
                <w:b/>
                <w:sz w:val="20"/>
                <w:szCs w:val="20"/>
              </w:rPr>
              <w:t>Nivel (es) de gobierno que interviene</w:t>
            </w:r>
          </w:p>
          <w:p w14:paraId="7227D51D" w14:textId="39FA0335" w:rsidR="000C1D8F" w:rsidRPr="008A26D2" w:rsidRDefault="000C1D8F" w:rsidP="000C1D8F">
            <w:pPr>
              <w:tabs>
                <w:tab w:val="left" w:pos="3375"/>
              </w:tabs>
              <w:spacing w:after="0" w:line="240" w:lineRule="auto"/>
              <w:rPr>
                <w:rFonts w:ascii="Arial" w:hAnsi="Arial" w:cs="Arial"/>
                <w:b/>
                <w:sz w:val="20"/>
                <w:szCs w:val="20"/>
              </w:rPr>
            </w:pPr>
            <w:r w:rsidRPr="008A26D2">
              <w:rPr>
                <w:rFonts w:ascii="Arial" w:hAnsi="Arial" w:cs="Arial"/>
                <w:b/>
                <w:sz w:val="20"/>
                <w:szCs w:val="20"/>
              </w:rPr>
              <w:t>(n) en la provisión del servicio</w:t>
            </w:r>
          </w:p>
        </w:tc>
        <w:tc>
          <w:tcPr>
            <w:tcW w:w="2221"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19EA60AD" w14:textId="5B5CF4B9" w:rsidR="000C1D8F" w:rsidRPr="008A26D2" w:rsidRDefault="000C1D8F" w:rsidP="00B75FFA">
            <w:pPr>
              <w:tabs>
                <w:tab w:val="left" w:pos="3375"/>
              </w:tabs>
              <w:spacing w:after="0" w:line="240" w:lineRule="auto"/>
              <w:ind w:left="128"/>
              <w:jc w:val="center"/>
              <w:rPr>
                <w:rFonts w:ascii="Arial" w:eastAsia="Arial Narrow" w:hAnsi="Arial" w:cs="Arial"/>
                <w:sz w:val="20"/>
                <w:szCs w:val="20"/>
              </w:rPr>
            </w:pPr>
            <w:r w:rsidRPr="008A26D2">
              <w:rPr>
                <w:rFonts w:ascii="Arial" w:eastAsia="Arial Narrow" w:hAnsi="Arial" w:cs="Arial"/>
                <w:sz w:val="20"/>
                <w:szCs w:val="20"/>
              </w:rPr>
              <w:t>Nacional</w:t>
            </w:r>
          </w:p>
        </w:tc>
        <w:tc>
          <w:tcPr>
            <w:tcW w:w="2221" w:type="dxa"/>
            <w:tcBorders>
              <w:top w:val="single" w:sz="4" w:space="0" w:color="000000"/>
              <w:left w:val="single" w:sz="4" w:space="0" w:color="000000"/>
              <w:right w:val="single" w:sz="4" w:space="0" w:color="000000"/>
            </w:tcBorders>
            <w:shd w:val="clear" w:color="auto" w:fill="auto"/>
            <w:vAlign w:val="center"/>
          </w:tcPr>
          <w:p w14:paraId="4F8B8FFC" w14:textId="18255253" w:rsidR="000C1D8F" w:rsidRPr="008A26D2" w:rsidRDefault="000C1D8F" w:rsidP="00B75FFA">
            <w:pPr>
              <w:tabs>
                <w:tab w:val="left" w:pos="3375"/>
              </w:tabs>
              <w:spacing w:after="0" w:line="240" w:lineRule="auto"/>
              <w:ind w:left="128"/>
              <w:jc w:val="center"/>
              <w:rPr>
                <w:rFonts w:ascii="Arial" w:eastAsia="Arial Narrow" w:hAnsi="Arial" w:cs="Arial"/>
                <w:sz w:val="20"/>
                <w:szCs w:val="20"/>
              </w:rPr>
            </w:pPr>
            <w:r w:rsidRPr="008A26D2">
              <w:rPr>
                <w:rFonts w:ascii="Arial" w:eastAsia="Arial Narrow" w:hAnsi="Arial" w:cs="Arial"/>
                <w:sz w:val="20"/>
                <w:szCs w:val="20"/>
              </w:rPr>
              <w:t>Regional</w:t>
            </w:r>
          </w:p>
        </w:tc>
        <w:tc>
          <w:tcPr>
            <w:tcW w:w="2221" w:type="dxa"/>
            <w:tcBorders>
              <w:top w:val="single" w:sz="4" w:space="0" w:color="000000"/>
              <w:left w:val="single" w:sz="4" w:space="0" w:color="000000"/>
              <w:right w:val="single" w:sz="4" w:space="0" w:color="000000"/>
            </w:tcBorders>
            <w:shd w:val="clear" w:color="auto" w:fill="auto"/>
            <w:vAlign w:val="center"/>
          </w:tcPr>
          <w:p w14:paraId="7D27B1A4" w14:textId="6AD3E9F4" w:rsidR="000C1D8F" w:rsidRPr="008A26D2" w:rsidRDefault="000C1D8F" w:rsidP="00B75FFA">
            <w:pPr>
              <w:tabs>
                <w:tab w:val="left" w:pos="3375"/>
              </w:tabs>
              <w:spacing w:after="0" w:line="240" w:lineRule="auto"/>
              <w:ind w:left="128"/>
              <w:jc w:val="center"/>
              <w:rPr>
                <w:rFonts w:ascii="Arial" w:eastAsia="Arial Narrow" w:hAnsi="Arial" w:cs="Arial"/>
                <w:sz w:val="20"/>
                <w:szCs w:val="20"/>
              </w:rPr>
            </w:pPr>
            <w:r w:rsidRPr="008A26D2">
              <w:rPr>
                <w:rFonts w:ascii="Arial" w:eastAsia="Arial Narrow" w:hAnsi="Arial" w:cs="Arial"/>
                <w:sz w:val="20"/>
                <w:szCs w:val="20"/>
              </w:rPr>
              <w:t>Local</w:t>
            </w:r>
          </w:p>
        </w:tc>
      </w:tr>
      <w:tr w:rsidR="008A26D2" w:rsidRPr="008A26D2" w14:paraId="03786228" w14:textId="77777777" w:rsidTr="00A14D3D">
        <w:trPr>
          <w:trHeight w:val="457"/>
          <w:jc w:val="center"/>
        </w:trPr>
        <w:tc>
          <w:tcPr>
            <w:tcW w:w="2235" w:type="dxa"/>
            <w:vMerge/>
            <w:tcBorders>
              <w:left w:val="single" w:sz="4" w:space="0" w:color="000000"/>
              <w:right w:val="single" w:sz="4" w:space="0" w:color="000000"/>
            </w:tcBorders>
            <w:shd w:val="clear" w:color="auto" w:fill="auto"/>
            <w:tcMar>
              <w:top w:w="15" w:type="dxa"/>
              <w:left w:w="15" w:type="dxa"/>
              <w:bottom w:w="0" w:type="dxa"/>
              <w:right w:w="15" w:type="dxa"/>
            </w:tcMar>
            <w:vAlign w:val="center"/>
          </w:tcPr>
          <w:p w14:paraId="1918DE9C" w14:textId="77777777" w:rsidR="000C1D8F" w:rsidRPr="008A26D2" w:rsidRDefault="000C1D8F" w:rsidP="000C1D8F">
            <w:pPr>
              <w:spacing w:after="0" w:line="240" w:lineRule="auto"/>
              <w:rPr>
                <w:rFonts w:ascii="Arial" w:hAnsi="Arial" w:cs="Arial"/>
                <w:b/>
                <w:sz w:val="20"/>
                <w:szCs w:val="20"/>
              </w:rPr>
            </w:pPr>
          </w:p>
        </w:tc>
        <w:tc>
          <w:tcPr>
            <w:tcW w:w="2221"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3AB37683" w14:textId="54D5B20C" w:rsidR="000C1D8F" w:rsidRPr="008A26D2" w:rsidRDefault="00A32B05" w:rsidP="00B75FFA">
            <w:pPr>
              <w:tabs>
                <w:tab w:val="left" w:pos="3375"/>
              </w:tabs>
              <w:spacing w:after="0" w:line="240" w:lineRule="auto"/>
              <w:ind w:left="128"/>
              <w:jc w:val="center"/>
              <w:rPr>
                <w:rFonts w:ascii="Arial" w:eastAsia="Arial Narrow" w:hAnsi="Arial" w:cs="Arial"/>
                <w:sz w:val="20"/>
                <w:szCs w:val="20"/>
              </w:rPr>
            </w:pPr>
            <w:r w:rsidRPr="008A26D2">
              <w:rPr>
                <w:rFonts w:ascii="Arial" w:eastAsia="Arial Narrow" w:hAnsi="Arial" w:cs="Arial"/>
                <w:sz w:val="20"/>
                <w:szCs w:val="20"/>
              </w:rPr>
              <w:t>X</w:t>
            </w:r>
          </w:p>
        </w:tc>
        <w:tc>
          <w:tcPr>
            <w:tcW w:w="2221" w:type="dxa"/>
            <w:tcBorders>
              <w:top w:val="single" w:sz="4" w:space="0" w:color="000000"/>
              <w:left w:val="single" w:sz="4" w:space="0" w:color="000000"/>
              <w:right w:val="single" w:sz="4" w:space="0" w:color="000000"/>
            </w:tcBorders>
            <w:shd w:val="clear" w:color="auto" w:fill="auto"/>
            <w:vAlign w:val="center"/>
          </w:tcPr>
          <w:p w14:paraId="11D64F8B" w14:textId="77777777" w:rsidR="000C1D8F" w:rsidRPr="008A26D2" w:rsidRDefault="000C1D8F" w:rsidP="00B75FFA">
            <w:pPr>
              <w:tabs>
                <w:tab w:val="left" w:pos="3375"/>
              </w:tabs>
              <w:spacing w:after="0" w:line="240" w:lineRule="auto"/>
              <w:ind w:left="128"/>
              <w:jc w:val="center"/>
              <w:rPr>
                <w:rFonts w:ascii="Arial" w:eastAsia="Arial Narrow" w:hAnsi="Arial" w:cs="Arial"/>
                <w:sz w:val="20"/>
                <w:szCs w:val="20"/>
              </w:rPr>
            </w:pPr>
          </w:p>
        </w:tc>
        <w:tc>
          <w:tcPr>
            <w:tcW w:w="2221" w:type="dxa"/>
            <w:tcBorders>
              <w:top w:val="single" w:sz="4" w:space="0" w:color="000000"/>
              <w:left w:val="single" w:sz="4" w:space="0" w:color="000000"/>
              <w:right w:val="single" w:sz="4" w:space="0" w:color="000000"/>
            </w:tcBorders>
            <w:shd w:val="clear" w:color="auto" w:fill="auto"/>
            <w:vAlign w:val="center"/>
          </w:tcPr>
          <w:p w14:paraId="6A20B2CD" w14:textId="6E1BC723" w:rsidR="000C1D8F" w:rsidRPr="008A26D2" w:rsidRDefault="000C1D8F" w:rsidP="00B75FFA">
            <w:pPr>
              <w:tabs>
                <w:tab w:val="left" w:pos="3375"/>
              </w:tabs>
              <w:spacing w:after="0" w:line="240" w:lineRule="auto"/>
              <w:ind w:left="128"/>
              <w:jc w:val="center"/>
              <w:rPr>
                <w:rFonts w:ascii="Arial" w:eastAsia="Arial Narrow" w:hAnsi="Arial" w:cs="Arial"/>
                <w:sz w:val="20"/>
                <w:szCs w:val="20"/>
              </w:rPr>
            </w:pPr>
          </w:p>
        </w:tc>
      </w:tr>
      <w:tr w:rsidR="008A26D2" w:rsidRPr="008A26D2" w14:paraId="1EF9C040" w14:textId="77777777" w:rsidTr="00E457BC">
        <w:trPr>
          <w:trHeight w:val="407"/>
          <w:jc w:val="center"/>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AEAFF92" w14:textId="77777777" w:rsidR="000C1D8F" w:rsidRPr="008A26D2" w:rsidRDefault="000C1D8F" w:rsidP="000C1D8F">
            <w:pPr>
              <w:tabs>
                <w:tab w:val="left" w:pos="3375"/>
              </w:tabs>
              <w:spacing w:after="0" w:line="240" w:lineRule="auto"/>
              <w:rPr>
                <w:rFonts w:ascii="Arial" w:hAnsi="Arial" w:cs="Arial"/>
                <w:b/>
                <w:sz w:val="20"/>
                <w:szCs w:val="20"/>
              </w:rPr>
            </w:pPr>
            <w:r w:rsidRPr="008A26D2">
              <w:rPr>
                <w:rFonts w:ascii="Arial" w:hAnsi="Arial" w:cs="Arial"/>
                <w:b/>
                <w:sz w:val="20"/>
                <w:szCs w:val="20"/>
              </w:rPr>
              <w:t xml:space="preserve"> Receptor del servicio</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45B55DC" w14:textId="77777777" w:rsidR="000C1D8F" w:rsidRPr="008A26D2" w:rsidRDefault="000C1D8F" w:rsidP="000C1D8F">
            <w:pPr>
              <w:tabs>
                <w:tab w:val="left" w:pos="3375"/>
              </w:tabs>
              <w:spacing w:after="0" w:line="240" w:lineRule="auto"/>
              <w:ind w:left="128"/>
              <w:rPr>
                <w:rFonts w:ascii="Arial" w:hAnsi="Arial" w:cs="Arial"/>
                <w:sz w:val="20"/>
                <w:szCs w:val="20"/>
              </w:rPr>
            </w:pPr>
            <w:r w:rsidRPr="008A26D2">
              <w:rPr>
                <w:rFonts w:ascii="Arial" w:hAnsi="Arial" w:cs="Arial"/>
                <w:sz w:val="20"/>
                <w:szCs w:val="20"/>
              </w:rPr>
              <w:t xml:space="preserve">Usuarios forestales </w:t>
            </w:r>
          </w:p>
        </w:tc>
      </w:tr>
      <w:tr w:rsidR="008A26D2" w:rsidRPr="008A26D2" w14:paraId="511775FB" w14:textId="77777777" w:rsidTr="00E457BC">
        <w:trPr>
          <w:trHeight w:val="385"/>
          <w:jc w:val="center"/>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E511D3B" w14:textId="77777777" w:rsidR="000C1D8F" w:rsidRPr="008A26D2" w:rsidRDefault="000C1D8F" w:rsidP="000C1D8F">
            <w:pPr>
              <w:tabs>
                <w:tab w:val="left" w:pos="3375"/>
              </w:tabs>
              <w:spacing w:after="0" w:line="240" w:lineRule="auto"/>
              <w:rPr>
                <w:rFonts w:ascii="Arial" w:hAnsi="Arial" w:cs="Arial"/>
                <w:b/>
                <w:sz w:val="20"/>
                <w:szCs w:val="20"/>
              </w:rPr>
            </w:pPr>
            <w:r w:rsidRPr="008A26D2">
              <w:rPr>
                <w:rFonts w:ascii="Arial" w:hAnsi="Arial" w:cs="Arial"/>
                <w:b/>
                <w:sz w:val="20"/>
                <w:szCs w:val="20"/>
              </w:rPr>
              <w:lastRenderedPageBreak/>
              <w:t xml:space="preserve"> Alcance del servicio </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8DB534D" w14:textId="77777777" w:rsidR="000C1D8F" w:rsidRPr="008A26D2" w:rsidRDefault="000C1D8F" w:rsidP="000C1D8F">
            <w:pPr>
              <w:tabs>
                <w:tab w:val="left" w:pos="3375"/>
              </w:tabs>
              <w:spacing w:after="0" w:line="240" w:lineRule="auto"/>
              <w:ind w:left="128"/>
              <w:rPr>
                <w:rFonts w:ascii="Arial" w:hAnsi="Arial" w:cs="Arial"/>
                <w:sz w:val="20"/>
                <w:szCs w:val="20"/>
              </w:rPr>
            </w:pPr>
            <w:r w:rsidRPr="008A26D2">
              <w:rPr>
                <w:rFonts w:ascii="Arial" w:hAnsi="Arial" w:cs="Arial"/>
                <w:sz w:val="20"/>
                <w:szCs w:val="20"/>
              </w:rPr>
              <w:t>Nacional</w:t>
            </w:r>
          </w:p>
        </w:tc>
      </w:tr>
      <w:tr w:rsidR="008A26D2" w:rsidRPr="008A26D2" w14:paraId="64A6594B" w14:textId="77777777" w:rsidTr="00E457BC">
        <w:trPr>
          <w:trHeight w:val="418"/>
          <w:jc w:val="center"/>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C160331" w14:textId="77777777" w:rsidR="000C1D8F" w:rsidRPr="008A26D2" w:rsidRDefault="000C1D8F" w:rsidP="000C1D8F">
            <w:pPr>
              <w:tabs>
                <w:tab w:val="left" w:pos="3375"/>
              </w:tabs>
              <w:spacing w:after="0" w:line="240" w:lineRule="auto"/>
              <w:jc w:val="center"/>
              <w:rPr>
                <w:rFonts w:ascii="Arial" w:hAnsi="Arial" w:cs="Arial"/>
                <w:b/>
                <w:sz w:val="20"/>
                <w:szCs w:val="20"/>
              </w:rPr>
            </w:pPr>
            <w:r w:rsidRPr="008A26D2">
              <w:rPr>
                <w:rFonts w:ascii="Arial" w:hAnsi="Arial" w:cs="Arial"/>
                <w:b/>
                <w:sz w:val="20"/>
                <w:szCs w:val="20"/>
              </w:rPr>
              <w:t>Estándar (es) de cumplimiento</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3851C95" w14:textId="77777777" w:rsidR="000C1D8F" w:rsidRPr="008A26D2" w:rsidRDefault="000C1D8F" w:rsidP="000C1D8F">
            <w:pPr>
              <w:tabs>
                <w:tab w:val="left" w:pos="3375"/>
              </w:tabs>
              <w:spacing w:after="0" w:line="240" w:lineRule="auto"/>
              <w:ind w:left="128"/>
              <w:rPr>
                <w:rFonts w:ascii="Arial" w:hAnsi="Arial" w:cs="Arial"/>
                <w:sz w:val="20"/>
                <w:szCs w:val="20"/>
              </w:rPr>
            </w:pPr>
            <w:r w:rsidRPr="008A26D2">
              <w:rPr>
                <w:rFonts w:ascii="Arial" w:hAnsi="Arial" w:cs="Arial"/>
                <w:sz w:val="20"/>
                <w:szCs w:val="20"/>
              </w:rPr>
              <w:t>Fiabilidad</w:t>
            </w:r>
          </w:p>
        </w:tc>
      </w:tr>
      <w:tr w:rsidR="008A26D2" w:rsidRPr="008A26D2" w14:paraId="6D6FEB9E" w14:textId="77777777" w:rsidTr="00E457BC">
        <w:trPr>
          <w:trHeight w:val="808"/>
          <w:jc w:val="center"/>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CBC71EE" w14:textId="77777777" w:rsidR="000C1D8F" w:rsidRPr="008A26D2" w:rsidRDefault="000C1D8F" w:rsidP="000C1D8F">
            <w:pPr>
              <w:tabs>
                <w:tab w:val="left" w:pos="3375"/>
              </w:tabs>
              <w:rPr>
                <w:rFonts w:ascii="Arial" w:hAnsi="Arial" w:cs="Arial"/>
                <w:b/>
                <w:sz w:val="20"/>
                <w:szCs w:val="20"/>
              </w:rPr>
            </w:pPr>
            <w:r w:rsidRPr="008A26D2">
              <w:rPr>
                <w:rFonts w:ascii="Arial" w:hAnsi="Arial" w:cs="Arial"/>
                <w:b/>
                <w:sz w:val="20"/>
                <w:szCs w:val="20"/>
              </w:rPr>
              <w:t xml:space="preserve"> Descripción del estándar</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35" w:type="dxa"/>
              <w:bottom w:w="0" w:type="dxa"/>
              <w:right w:w="15" w:type="dxa"/>
            </w:tcMar>
            <w:vAlign w:val="center"/>
          </w:tcPr>
          <w:p w14:paraId="446B8F94" w14:textId="77777777" w:rsidR="000C1D8F" w:rsidRPr="008A26D2" w:rsidRDefault="000C1D8F" w:rsidP="000C1D8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El estándar del servicio es de fiabilidad toda vez que la provisión de material genético de calidad se basa en criterios previstos en Protocolos nacionales e internacionales que evitan errores en la entrega del servicio.</w:t>
            </w:r>
          </w:p>
        </w:tc>
      </w:tr>
      <w:tr w:rsidR="000C1D8F" w:rsidRPr="008A26D2" w14:paraId="334E4FE4" w14:textId="77777777" w:rsidTr="00E457BC">
        <w:trPr>
          <w:trHeight w:val="491"/>
          <w:jc w:val="center"/>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9AEF7D8" w14:textId="77777777" w:rsidR="000C1D8F" w:rsidRPr="008A26D2" w:rsidRDefault="000C1D8F" w:rsidP="000C1D8F">
            <w:pPr>
              <w:tabs>
                <w:tab w:val="left" w:pos="3375"/>
              </w:tabs>
              <w:rPr>
                <w:rFonts w:ascii="Arial" w:hAnsi="Arial" w:cs="Arial"/>
                <w:b/>
                <w:sz w:val="20"/>
                <w:szCs w:val="20"/>
              </w:rPr>
            </w:pPr>
            <w:r w:rsidRPr="008A26D2">
              <w:rPr>
                <w:rFonts w:ascii="Arial" w:hAnsi="Arial" w:cs="Arial"/>
                <w:b/>
                <w:sz w:val="20"/>
                <w:szCs w:val="20"/>
              </w:rPr>
              <w:t xml:space="preserve">Indicador </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48670597" w14:textId="525103B4" w:rsidR="000C1D8F" w:rsidRPr="008A26D2" w:rsidRDefault="000C1D8F" w:rsidP="000C1D8F">
            <w:pPr>
              <w:tabs>
                <w:tab w:val="left" w:pos="3375"/>
              </w:tabs>
              <w:ind w:left="128"/>
              <w:rPr>
                <w:rFonts w:ascii="Arial" w:eastAsia="Arial Narrow" w:hAnsi="Arial" w:cs="Arial"/>
                <w:sz w:val="20"/>
                <w:szCs w:val="20"/>
              </w:rPr>
            </w:pPr>
            <w:r w:rsidRPr="008A26D2">
              <w:rPr>
                <w:rFonts w:ascii="Arial" w:eastAsia="Arial Narrow" w:hAnsi="Arial" w:cs="Arial"/>
                <w:sz w:val="20"/>
                <w:szCs w:val="20"/>
              </w:rPr>
              <w:t>Número de usuarios forestales que acceden al material genético de calidad de forma fiable</w:t>
            </w:r>
          </w:p>
        </w:tc>
      </w:tr>
    </w:tbl>
    <w:p w14:paraId="05D7F38C" w14:textId="1CAF4254" w:rsidR="0070399A" w:rsidRPr="008A26D2" w:rsidRDefault="0070399A">
      <w:pPr>
        <w:rPr>
          <w:rFonts w:ascii="Arial Narrow" w:eastAsia="Arial Narrow" w:hAnsi="Arial Narrow" w:cs="Arial Narrow"/>
          <w:b/>
        </w:rPr>
      </w:pPr>
    </w:p>
    <w:p w14:paraId="0A90596D" w14:textId="2D981037" w:rsidR="0079746D" w:rsidRPr="00282C70" w:rsidRDefault="0079746D" w:rsidP="006C5B77">
      <w:pPr>
        <w:jc w:val="both"/>
        <w:rPr>
          <w:rFonts w:ascii="Arial Narrow" w:eastAsia="Arial Narrow" w:hAnsi="Arial Narrow" w:cs="Arial Narrow"/>
          <w:b/>
        </w:rPr>
      </w:pPr>
      <w:r w:rsidRPr="0029395C">
        <w:rPr>
          <w:rFonts w:ascii="Arial" w:hAnsi="Arial" w:cs="Arial"/>
          <w:b/>
          <w:bCs/>
        </w:rPr>
        <w:t>S2.5.2</w:t>
      </w:r>
      <w:r w:rsidRPr="0029395C">
        <w:rPr>
          <w:rFonts w:ascii="Arial" w:hAnsi="Arial" w:cs="Arial"/>
        </w:rPr>
        <w:t xml:space="preserve">. </w:t>
      </w:r>
      <w:r w:rsidR="006C5B77" w:rsidRPr="0029395C">
        <w:rPr>
          <w:rFonts w:ascii="Arial" w:hAnsi="Arial" w:cs="Arial"/>
        </w:rPr>
        <w:t>Asistencia técnica en diseño y desarrollo de productos brindados de manera satisfactoria</w:t>
      </w:r>
      <w:r w:rsidR="006C5B77" w:rsidRPr="00282C70">
        <w:rPr>
          <w:rFonts w:ascii="Arial" w:hAnsi="Arial" w:cs="Arial"/>
        </w:rPr>
        <w:t xml:space="preserve"> a las unidades productivas de la cadena forestal, madera y textil</w:t>
      </w:r>
    </w:p>
    <w:tbl>
      <w:tblPr>
        <w:tblW w:w="8930" w:type="dxa"/>
        <w:jc w:val="center"/>
        <w:tblLayout w:type="fixed"/>
        <w:tblLook w:val="0600" w:firstRow="0" w:lastRow="0" w:firstColumn="0" w:lastColumn="0" w:noHBand="1" w:noVBand="1"/>
      </w:tblPr>
      <w:tblGrid>
        <w:gridCol w:w="1847"/>
        <w:gridCol w:w="2361"/>
        <w:gridCol w:w="2361"/>
        <w:gridCol w:w="2361"/>
      </w:tblGrid>
      <w:tr w:rsidR="008A26D2" w:rsidRPr="00282C70" w14:paraId="780F3BD1" w14:textId="77777777" w:rsidTr="0079746D">
        <w:trPr>
          <w:trHeight w:val="300"/>
          <w:jc w:val="center"/>
        </w:trPr>
        <w:tc>
          <w:tcPr>
            <w:tcW w:w="8930"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center"/>
          </w:tcPr>
          <w:p w14:paraId="283E45F9" w14:textId="160D4D09" w:rsidR="0079746D" w:rsidRPr="00282C70" w:rsidRDefault="0079746D" w:rsidP="009C5D49">
            <w:pPr>
              <w:tabs>
                <w:tab w:val="left" w:pos="3375"/>
              </w:tabs>
              <w:spacing w:after="0" w:line="240" w:lineRule="auto"/>
              <w:jc w:val="center"/>
              <w:rPr>
                <w:rFonts w:ascii="Arial" w:hAnsi="Arial" w:cs="Arial"/>
                <w:sz w:val="20"/>
                <w:szCs w:val="20"/>
              </w:rPr>
            </w:pPr>
            <w:r w:rsidRPr="00282C70">
              <w:rPr>
                <w:rFonts w:ascii="Arial" w:hAnsi="Arial" w:cs="Arial"/>
                <w:b/>
                <w:sz w:val="20"/>
                <w:szCs w:val="20"/>
              </w:rPr>
              <w:t xml:space="preserve">FICHA DEL SERVICIO </w:t>
            </w:r>
          </w:p>
        </w:tc>
      </w:tr>
      <w:tr w:rsidR="008A26D2" w:rsidRPr="00282C70" w14:paraId="1B89D574" w14:textId="77777777" w:rsidTr="0079746D">
        <w:trPr>
          <w:trHeight w:val="300"/>
          <w:jc w:val="center"/>
        </w:trPr>
        <w:tc>
          <w:tcPr>
            <w:tcW w:w="18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B76C35F" w14:textId="77777777" w:rsidR="0079746D" w:rsidRPr="00282C70" w:rsidRDefault="0079746D" w:rsidP="009C5D49">
            <w:pPr>
              <w:tabs>
                <w:tab w:val="left" w:pos="3375"/>
              </w:tabs>
              <w:spacing w:after="0" w:line="240" w:lineRule="auto"/>
              <w:rPr>
                <w:rFonts w:ascii="Arial" w:hAnsi="Arial" w:cs="Arial"/>
                <w:b/>
                <w:sz w:val="20"/>
                <w:szCs w:val="20"/>
              </w:rPr>
            </w:pPr>
            <w:r w:rsidRPr="00282C70">
              <w:rPr>
                <w:rFonts w:ascii="Arial" w:hAnsi="Arial" w:cs="Arial"/>
                <w:b/>
                <w:sz w:val="20"/>
                <w:szCs w:val="20"/>
              </w:rPr>
              <w:t xml:space="preserve"> Objetivo prioritario:</w:t>
            </w:r>
          </w:p>
        </w:tc>
        <w:tc>
          <w:tcPr>
            <w:tcW w:w="708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6321CDC" w14:textId="77777777" w:rsidR="0079746D" w:rsidRPr="00282C70" w:rsidRDefault="0079746D" w:rsidP="00C550B2">
            <w:pPr>
              <w:tabs>
                <w:tab w:val="left" w:pos="3375"/>
              </w:tabs>
              <w:spacing w:after="0" w:line="240" w:lineRule="auto"/>
              <w:ind w:left="128"/>
              <w:jc w:val="both"/>
              <w:rPr>
                <w:rFonts w:ascii="Arial" w:hAnsi="Arial" w:cs="Arial"/>
                <w:sz w:val="20"/>
                <w:szCs w:val="20"/>
              </w:rPr>
            </w:pPr>
            <w:r w:rsidRPr="00282C70">
              <w:rPr>
                <w:rFonts w:ascii="Arial" w:hAnsi="Arial" w:cs="Arial"/>
                <w:sz w:val="20"/>
                <w:szCs w:val="20"/>
              </w:rPr>
              <w:t xml:space="preserve">OP2 Incrementar la productividad de los ecosistemas forestales, otros ecosistemas de vegetación silvestre y de la fauna silvestre </w:t>
            </w:r>
          </w:p>
        </w:tc>
      </w:tr>
      <w:tr w:rsidR="008A26D2" w:rsidRPr="00282C70" w14:paraId="0B77FB53" w14:textId="77777777" w:rsidTr="0079746D">
        <w:trPr>
          <w:trHeight w:val="300"/>
          <w:jc w:val="center"/>
        </w:trPr>
        <w:tc>
          <w:tcPr>
            <w:tcW w:w="18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1CE7918" w14:textId="77777777" w:rsidR="0079746D" w:rsidRPr="00282C70" w:rsidRDefault="0079746D" w:rsidP="009C5D49">
            <w:pPr>
              <w:tabs>
                <w:tab w:val="left" w:pos="3375"/>
              </w:tabs>
              <w:spacing w:after="0" w:line="240" w:lineRule="auto"/>
              <w:rPr>
                <w:rFonts w:ascii="Arial" w:hAnsi="Arial" w:cs="Arial"/>
                <w:b/>
                <w:sz w:val="20"/>
                <w:szCs w:val="20"/>
              </w:rPr>
            </w:pPr>
            <w:r w:rsidRPr="00282C70">
              <w:rPr>
                <w:rFonts w:ascii="Arial" w:hAnsi="Arial" w:cs="Arial"/>
                <w:b/>
                <w:sz w:val="20"/>
                <w:szCs w:val="20"/>
              </w:rPr>
              <w:t xml:space="preserve"> Lineamiento:</w:t>
            </w:r>
          </w:p>
        </w:tc>
        <w:tc>
          <w:tcPr>
            <w:tcW w:w="708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90838CE" w14:textId="77777777" w:rsidR="0079746D" w:rsidRPr="00282C70" w:rsidRDefault="0079746D" w:rsidP="00C550B2">
            <w:pPr>
              <w:tabs>
                <w:tab w:val="left" w:pos="3375"/>
              </w:tabs>
              <w:spacing w:after="0" w:line="240" w:lineRule="auto"/>
              <w:ind w:left="128"/>
              <w:jc w:val="both"/>
              <w:rPr>
                <w:rFonts w:ascii="Arial" w:hAnsi="Arial" w:cs="Arial"/>
                <w:sz w:val="20"/>
                <w:szCs w:val="20"/>
              </w:rPr>
            </w:pPr>
            <w:r w:rsidRPr="00282C70">
              <w:rPr>
                <w:rFonts w:ascii="Arial" w:hAnsi="Arial" w:cs="Arial"/>
                <w:sz w:val="20"/>
                <w:szCs w:val="20"/>
              </w:rPr>
              <w:t>L2.5 Lograr el aprovechamiento de nuevas especies forestales y de fauna silvestre con potencial para el mercado nacional e internacional.</w:t>
            </w:r>
          </w:p>
        </w:tc>
      </w:tr>
      <w:tr w:rsidR="008A26D2" w:rsidRPr="00282C70" w14:paraId="0B2E6D32" w14:textId="77777777" w:rsidTr="0079746D">
        <w:trPr>
          <w:trHeight w:val="300"/>
          <w:jc w:val="center"/>
        </w:trPr>
        <w:tc>
          <w:tcPr>
            <w:tcW w:w="18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4F15361" w14:textId="77777777" w:rsidR="0079746D" w:rsidRPr="00282C70" w:rsidRDefault="0079746D" w:rsidP="009C5D49">
            <w:pPr>
              <w:tabs>
                <w:tab w:val="left" w:pos="3375"/>
              </w:tabs>
              <w:spacing w:after="0" w:line="240" w:lineRule="auto"/>
              <w:rPr>
                <w:rFonts w:ascii="Arial" w:hAnsi="Arial" w:cs="Arial"/>
                <w:b/>
                <w:sz w:val="20"/>
                <w:szCs w:val="20"/>
              </w:rPr>
            </w:pPr>
            <w:r w:rsidRPr="00282C70">
              <w:rPr>
                <w:rFonts w:ascii="Arial" w:hAnsi="Arial" w:cs="Arial"/>
                <w:b/>
                <w:sz w:val="20"/>
                <w:szCs w:val="20"/>
              </w:rPr>
              <w:t xml:space="preserve"> Nombre del servicio:</w:t>
            </w:r>
          </w:p>
        </w:tc>
        <w:tc>
          <w:tcPr>
            <w:tcW w:w="708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9187ADF" w14:textId="60D518AE" w:rsidR="008C23F1" w:rsidRPr="00282C70" w:rsidRDefault="0079746D" w:rsidP="00AA433C">
            <w:pPr>
              <w:tabs>
                <w:tab w:val="left" w:pos="3375"/>
              </w:tabs>
              <w:spacing w:after="0" w:line="240" w:lineRule="auto"/>
              <w:ind w:left="131"/>
              <w:jc w:val="both"/>
              <w:rPr>
                <w:rFonts w:ascii="Arial" w:hAnsi="Arial" w:cs="Arial"/>
                <w:sz w:val="20"/>
                <w:szCs w:val="20"/>
              </w:rPr>
            </w:pPr>
            <w:r w:rsidRPr="00282C70">
              <w:rPr>
                <w:rFonts w:ascii="Arial" w:hAnsi="Arial" w:cs="Arial"/>
                <w:sz w:val="20"/>
                <w:szCs w:val="20"/>
              </w:rPr>
              <w:t xml:space="preserve">S 2.5.2. </w:t>
            </w:r>
            <w:r w:rsidR="00ED4FEA" w:rsidRPr="00282C70">
              <w:rPr>
                <w:rFonts w:ascii="Arial" w:hAnsi="Arial" w:cs="Arial"/>
                <w:sz w:val="20"/>
                <w:szCs w:val="20"/>
              </w:rPr>
              <w:t xml:space="preserve">Asistencia </w:t>
            </w:r>
            <w:r w:rsidR="00AA433C" w:rsidRPr="00282C70">
              <w:rPr>
                <w:rFonts w:ascii="Arial" w:hAnsi="Arial" w:cs="Arial"/>
                <w:sz w:val="20"/>
                <w:szCs w:val="20"/>
              </w:rPr>
              <w:t>t</w:t>
            </w:r>
            <w:r w:rsidR="00ED4FEA" w:rsidRPr="00282C70">
              <w:rPr>
                <w:rFonts w:ascii="Arial" w:hAnsi="Arial" w:cs="Arial"/>
                <w:sz w:val="20"/>
                <w:szCs w:val="20"/>
              </w:rPr>
              <w:t xml:space="preserve">écnica en </w:t>
            </w:r>
            <w:r w:rsidR="00AA433C" w:rsidRPr="00282C70">
              <w:rPr>
                <w:rFonts w:ascii="Arial" w:hAnsi="Arial" w:cs="Arial"/>
                <w:sz w:val="20"/>
                <w:szCs w:val="20"/>
              </w:rPr>
              <w:t>d</w:t>
            </w:r>
            <w:r w:rsidR="00ED4FEA" w:rsidRPr="00282C70">
              <w:rPr>
                <w:rFonts w:ascii="Arial" w:hAnsi="Arial" w:cs="Arial"/>
                <w:sz w:val="20"/>
                <w:szCs w:val="20"/>
              </w:rPr>
              <w:t xml:space="preserve">iseño y </w:t>
            </w:r>
            <w:r w:rsidR="00AA433C" w:rsidRPr="00282C70">
              <w:rPr>
                <w:rFonts w:ascii="Arial" w:hAnsi="Arial" w:cs="Arial"/>
                <w:sz w:val="20"/>
                <w:szCs w:val="20"/>
              </w:rPr>
              <w:t>d</w:t>
            </w:r>
            <w:r w:rsidR="00ED4FEA" w:rsidRPr="00282C70">
              <w:rPr>
                <w:rFonts w:ascii="Arial" w:hAnsi="Arial" w:cs="Arial"/>
                <w:sz w:val="20"/>
                <w:szCs w:val="20"/>
              </w:rPr>
              <w:t xml:space="preserve">esarrollo de </w:t>
            </w:r>
            <w:r w:rsidR="00AA433C" w:rsidRPr="00282C70">
              <w:rPr>
                <w:rFonts w:ascii="Arial" w:hAnsi="Arial" w:cs="Arial"/>
                <w:sz w:val="20"/>
                <w:szCs w:val="20"/>
              </w:rPr>
              <w:t>p</w:t>
            </w:r>
            <w:r w:rsidR="00ED4FEA" w:rsidRPr="00282C70">
              <w:rPr>
                <w:rFonts w:ascii="Arial" w:hAnsi="Arial" w:cs="Arial"/>
                <w:sz w:val="20"/>
                <w:szCs w:val="20"/>
              </w:rPr>
              <w:t xml:space="preserve">roductos brindados de manera satisfactoria a las unidades productivas de la cadena forestal, madera y textil </w:t>
            </w:r>
          </w:p>
        </w:tc>
      </w:tr>
      <w:tr w:rsidR="008A26D2" w:rsidRPr="00282C70" w14:paraId="57E04D1E" w14:textId="77777777" w:rsidTr="0079746D">
        <w:trPr>
          <w:trHeight w:val="300"/>
          <w:jc w:val="center"/>
        </w:trPr>
        <w:tc>
          <w:tcPr>
            <w:tcW w:w="18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F1FC2C7" w14:textId="77777777" w:rsidR="0079746D" w:rsidRPr="00282C70" w:rsidRDefault="0079746D" w:rsidP="009C5D49">
            <w:pPr>
              <w:tabs>
                <w:tab w:val="left" w:pos="3375"/>
              </w:tabs>
              <w:spacing w:after="0" w:line="240" w:lineRule="auto"/>
              <w:rPr>
                <w:rFonts w:ascii="Arial" w:hAnsi="Arial" w:cs="Arial"/>
                <w:b/>
                <w:sz w:val="20"/>
                <w:szCs w:val="20"/>
              </w:rPr>
            </w:pPr>
            <w:r w:rsidRPr="00282C70">
              <w:rPr>
                <w:rFonts w:ascii="Arial" w:hAnsi="Arial" w:cs="Arial"/>
                <w:b/>
                <w:sz w:val="20"/>
                <w:szCs w:val="20"/>
              </w:rPr>
              <w:t>Tipo de servicio:</w:t>
            </w:r>
          </w:p>
        </w:tc>
        <w:tc>
          <w:tcPr>
            <w:tcW w:w="708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07FF4D4" w14:textId="77777777" w:rsidR="0079746D" w:rsidRPr="00282C70" w:rsidRDefault="0079746D" w:rsidP="00C550B2">
            <w:pPr>
              <w:tabs>
                <w:tab w:val="left" w:pos="3375"/>
              </w:tabs>
              <w:spacing w:after="0" w:line="240" w:lineRule="auto"/>
              <w:ind w:left="131"/>
              <w:jc w:val="both"/>
              <w:rPr>
                <w:rFonts w:ascii="Arial" w:hAnsi="Arial" w:cs="Arial"/>
                <w:sz w:val="20"/>
                <w:szCs w:val="20"/>
              </w:rPr>
            </w:pPr>
            <w:r w:rsidRPr="00282C70">
              <w:rPr>
                <w:rFonts w:ascii="Arial" w:hAnsi="Arial" w:cs="Arial"/>
                <w:sz w:val="20"/>
                <w:szCs w:val="20"/>
              </w:rPr>
              <w:t>Mejorado</w:t>
            </w:r>
          </w:p>
        </w:tc>
      </w:tr>
      <w:tr w:rsidR="008A26D2" w:rsidRPr="008A26D2" w14:paraId="624F5834" w14:textId="77777777" w:rsidTr="0079746D">
        <w:trPr>
          <w:trHeight w:val="300"/>
          <w:jc w:val="center"/>
        </w:trPr>
        <w:tc>
          <w:tcPr>
            <w:tcW w:w="18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EBB2075" w14:textId="214679BD" w:rsidR="002D189A" w:rsidRPr="00282C70" w:rsidRDefault="002D189A" w:rsidP="002D189A">
            <w:pPr>
              <w:tabs>
                <w:tab w:val="left" w:pos="3375"/>
              </w:tabs>
              <w:spacing w:after="0" w:line="240" w:lineRule="auto"/>
              <w:rPr>
                <w:rFonts w:ascii="Arial" w:hAnsi="Arial" w:cs="Arial"/>
                <w:b/>
                <w:sz w:val="20"/>
                <w:szCs w:val="20"/>
              </w:rPr>
            </w:pPr>
            <w:r w:rsidRPr="00282C70">
              <w:rPr>
                <w:rFonts w:ascii="Arial" w:hAnsi="Arial" w:cs="Arial"/>
                <w:b/>
                <w:sz w:val="20"/>
                <w:szCs w:val="20"/>
              </w:rPr>
              <w:t>Naturaleza del servicio:</w:t>
            </w:r>
          </w:p>
        </w:tc>
        <w:tc>
          <w:tcPr>
            <w:tcW w:w="708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BD916DF" w14:textId="258E02DA" w:rsidR="002D189A" w:rsidRPr="008A26D2" w:rsidRDefault="00A32B05" w:rsidP="002D189A">
            <w:pPr>
              <w:tabs>
                <w:tab w:val="left" w:pos="3375"/>
              </w:tabs>
              <w:spacing w:after="0" w:line="240" w:lineRule="auto"/>
              <w:ind w:left="131"/>
              <w:jc w:val="both"/>
              <w:rPr>
                <w:rFonts w:ascii="Arial" w:hAnsi="Arial" w:cs="Arial"/>
                <w:sz w:val="20"/>
                <w:szCs w:val="20"/>
              </w:rPr>
            </w:pPr>
            <w:r w:rsidRPr="00282C70">
              <w:rPr>
                <w:rFonts w:ascii="Arial" w:eastAsia="Arial Narrow" w:hAnsi="Arial" w:cs="Arial"/>
                <w:sz w:val="20"/>
                <w:szCs w:val="20"/>
              </w:rPr>
              <w:t>P</w:t>
            </w:r>
            <w:r w:rsidR="002D189A" w:rsidRPr="00282C70">
              <w:rPr>
                <w:rFonts w:ascii="Arial" w:eastAsia="Arial Narrow" w:hAnsi="Arial" w:cs="Arial"/>
                <w:sz w:val="20"/>
                <w:szCs w:val="20"/>
              </w:rPr>
              <w:t>restacional</w:t>
            </w:r>
          </w:p>
        </w:tc>
      </w:tr>
      <w:tr w:rsidR="008A26D2" w:rsidRPr="008A26D2" w14:paraId="64329F68" w14:textId="77777777" w:rsidTr="0079746D">
        <w:trPr>
          <w:trHeight w:val="300"/>
          <w:jc w:val="center"/>
        </w:trPr>
        <w:tc>
          <w:tcPr>
            <w:tcW w:w="18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B93B132" w14:textId="0335E976" w:rsidR="002D189A" w:rsidRPr="008A26D2" w:rsidRDefault="002D189A" w:rsidP="002D189A">
            <w:pPr>
              <w:tabs>
                <w:tab w:val="left" w:pos="3375"/>
              </w:tabs>
              <w:spacing w:after="0" w:line="240" w:lineRule="auto"/>
              <w:rPr>
                <w:rFonts w:ascii="Arial" w:hAnsi="Arial" w:cs="Arial"/>
                <w:b/>
                <w:sz w:val="20"/>
                <w:szCs w:val="20"/>
              </w:rPr>
            </w:pPr>
            <w:r w:rsidRPr="008A26D2">
              <w:rPr>
                <w:rFonts w:ascii="Arial" w:hAnsi="Arial" w:cs="Arial"/>
                <w:b/>
                <w:sz w:val="20"/>
                <w:szCs w:val="20"/>
              </w:rPr>
              <w:t>Entrega del servicio</w:t>
            </w:r>
          </w:p>
        </w:tc>
        <w:tc>
          <w:tcPr>
            <w:tcW w:w="708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C01980A" w14:textId="07483A5A" w:rsidR="002D189A" w:rsidRPr="008A26D2" w:rsidRDefault="002D189A" w:rsidP="002D189A">
            <w:pPr>
              <w:tabs>
                <w:tab w:val="left" w:pos="3375"/>
              </w:tabs>
              <w:spacing w:after="0" w:line="240" w:lineRule="auto"/>
              <w:ind w:left="131"/>
              <w:jc w:val="both"/>
              <w:rPr>
                <w:rFonts w:ascii="Arial" w:hAnsi="Arial" w:cs="Arial"/>
                <w:sz w:val="20"/>
                <w:szCs w:val="20"/>
              </w:rPr>
            </w:pPr>
            <w:r w:rsidRPr="008A26D2">
              <w:rPr>
                <w:rFonts w:ascii="Arial" w:eastAsia="Arial Narrow" w:hAnsi="Arial" w:cs="Arial"/>
                <w:sz w:val="20"/>
                <w:szCs w:val="20"/>
              </w:rPr>
              <w:t xml:space="preserve">Competencia exclusiva </w:t>
            </w:r>
          </w:p>
        </w:tc>
      </w:tr>
      <w:tr w:rsidR="008A26D2" w:rsidRPr="008A26D2" w14:paraId="4E4427ED" w14:textId="77777777" w:rsidTr="0079746D">
        <w:trPr>
          <w:trHeight w:val="300"/>
          <w:jc w:val="center"/>
        </w:trPr>
        <w:tc>
          <w:tcPr>
            <w:tcW w:w="18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2FB6B83" w14:textId="77777777" w:rsidR="002D189A" w:rsidRPr="008A26D2" w:rsidRDefault="002D189A" w:rsidP="002D189A">
            <w:pPr>
              <w:tabs>
                <w:tab w:val="left" w:pos="3375"/>
              </w:tabs>
              <w:spacing w:after="0" w:line="240" w:lineRule="auto"/>
              <w:rPr>
                <w:rFonts w:ascii="Arial" w:hAnsi="Arial" w:cs="Arial"/>
                <w:b/>
                <w:sz w:val="20"/>
                <w:szCs w:val="20"/>
              </w:rPr>
            </w:pPr>
            <w:r w:rsidRPr="008A26D2">
              <w:rPr>
                <w:rFonts w:ascii="Arial" w:hAnsi="Arial" w:cs="Arial"/>
                <w:b/>
                <w:sz w:val="20"/>
                <w:szCs w:val="20"/>
              </w:rPr>
              <w:t xml:space="preserve"> Descripción del servicio</w:t>
            </w:r>
          </w:p>
        </w:tc>
        <w:tc>
          <w:tcPr>
            <w:tcW w:w="708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25864D9" w14:textId="3B4A65EC" w:rsidR="002D189A" w:rsidRPr="008A26D2" w:rsidRDefault="002D189A" w:rsidP="002D189A">
            <w:pPr>
              <w:spacing w:after="0" w:line="240" w:lineRule="auto"/>
              <w:ind w:left="130"/>
              <w:jc w:val="both"/>
              <w:rPr>
                <w:rFonts w:ascii="Arial" w:hAnsi="Arial" w:cs="Arial"/>
                <w:sz w:val="20"/>
                <w:szCs w:val="20"/>
              </w:rPr>
            </w:pPr>
            <w:r w:rsidRPr="008A26D2">
              <w:rPr>
                <w:rFonts w:ascii="Arial" w:hAnsi="Arial" w:cs="Arial"/>
                <w:sz w:val="20"/>
                <w:szCs w:val="20"/>
              </w:rPr>
              <w:t xml:space="preserve">El servicio comprende </w:t>
            </w:r>
            <w:r w:rsidRPr="008A26D2">
              <w:rPr>
                <w:rFonts w:ascii="Arial" w:hAnsi="Arial" w:cs="Arial"/>
                <w:bCs/>
                <w:sz w:val="20"/>
                <w:szCs w:val="20"/>
              </w:rPr>
              <w:t>actividades de capacitación y asistencia técnica</w:t>
            </w:r>
            <w:r w:rsidR="00AA433C">
              <w:rPr>
                <w:rFonts w:ascii="Arial" w:hAnsi="Arial" w:cs="Arial"/>
                <w:bCs/>
                <w:sz w:val="20"/>
                <w:szCs w:val="20"/>
              </w:rPr>
              <w:t xml:space="preserve"> de</w:t>
            </w:r>
            <w:r w:rsidRPr="008A26D2">
              <w:rPr>
                <w:rFonts w:ascii="Arial" w:hAnsi="Arial" w:cs="Arial"/>
                <w:bCs/>
                <w:sz w:val="20"/>
                <w:szCs w:val="20"/>
              </w:rPr>
              <w:t xml:space="preserve"> asesoría especializada para la adopción de nuevas tecnologías</w:t>
            </w:r>
            <w:r w:rsidR="00AA433C">
              <w:rPr>
                <w:rFonts w:ascii="Arial" w:hAnsi="Arial" w:cs="Arial"/>
                <w:bCs/>
                <w:sz w:val="20"/>
                <w:szCs w:val="20"/>
              </w:rPr>
              <w:t>,</w:t>
            </w:r>
            <w:r w:rsidRPr="008A26D2">
              <w:rPr>
                <w:rFonts w:ascii="Arial" w:hAnsi="Arial" w:cs="Arial"/>
                <w:bCs/>
                <w:sz w:val="20"/>
                <w:szCs w:val="20"/>
              </w:rPr>
              <w:t xml:space="preserve"> transferencia tecnológica</w:t>
            </w:r>
            <w:r w:rsidR="00AA433C">
              <w:rPr>
                <w:rFonts w:ascii="Arial" w:hAnsi="Arial" w:cs="Arial"/>
                <w:bCs/>
                <w:sz w:val="20"/>
                <w:szCs w:val="20"/>
              </w:rPr>
              <w:t>,</w:t>
            </w:r>
            <w:r w:rsidRPr="008A26D2">
              <w:rPr>
                <w:rFonts w:ascii="Arial" w:hAnsi="Arial" w:cs="Arial"/>
                <w:bCs/>
                <w:sz w:val="20"/>
                <w:szCs w:val="20"/>
              </w:rPr>
              <w:t xml:space="preserve"> investigación, desarrollo e innovación productiva y servicios tecnológicos</w:t>
            </w:r>
            <w:r w:rsidR="00AA433C">
              <w:rPr>
                <w:rFonts w:ascii="Arial" w:hAnsi="Arial" w:cs="Arial"/>
                <w:bCs/>
                <w:sz w:val="20"/>
                <w:szCs w:val="20"/>
              </w:rPr>
              <w:t>;</w:t>
            </w:r>
            <w:r w:rsidRPr="008A26D2">
              <w:rPr>
                <w:rFonts w:ascii="Arial" w:hAnsi="Arial" w:cs="Arial"/>
                <w:bCs/>
                <w:sz w:val="20"/>
                <w:szCs w:val="20"/>
              </w:rPr>
              <w:t xml:space="preserve">  difusión de información; interrelación de actores estratégicos y generación de sinergias, bajo un enfoque de demanda, generando mayor valor en la transformación de los recursos</w:t>
            </w:r>
            <w:r w:rsidR="003264AF">
              <w:rPr>
                <w:rFonts w:ascii="Arial" w:hAnsi="Arial" w:cs="Arial"/>
                <w:bCs/>
                <w:sz w:val="20"/>
                <w:szCs w:val="20"/>
              </w:rPr>
              <w:t>;</w:t>
            </w:r>
            <w:r w:rsidRPr="008A26D2">
              <w:rPr>
                <w:rFonts w:ascii="Arial" w:hAnsi="Arial" w:cs="Arial"/>
                <w:bCs/>
                <w:sz w:val="20"/>
                <w:szCs w:val="20"/>
              </w:rPr>
              <w:t xml:space="preserve"> mejorando la oferta, productividad y calidad de los productos tanto para el mercado nacional como para el mercado externo, propiciando</w:t>
            </w:r>
            <w:r w:rsidR="003264AF">
              <w:rPr>
                <w:rFonts w:ascii="Arial" w:hAnsi="Arial" w:cs="Arial"/>
                <w:bCs/>
                <w:sz w:val="20"/>
                <w:szCs w:val="20"/>
              </w:rPr>
              <w:t xml:space="preserve"> de esta forma</w:t>
            </w:r>
            <w:r w:rsidRPr="008A26D2">
              <w:rPr>
                <w:rFonts w:ascii="Arial" w:hAnsi="Arial" w:cs="Arial"/>
                <w:bCs/>
                <w:sz w:val="20"/>
                <w:szCs w:val="20"/>
              </w:rPr>
              <w:t xml:space="preserve"> la diversificación productiva.</w:t>
            </w:r>
            <w:r w:rsidR="003264AF">
              <w:rPr>
                <w:rFonts w:ascii="Arial" w:hAnsi="Arial" w:cs="Arial"/>
                <w:bCs/>
                <w:sz w:val="20"/>
                <w:szCs w:val="20"/>
              </w:rPr>
              <w:t xml:space="preserve"> Esto se logra</w:t>
            </w:r>
            <w:r w:rsidRPr="008A26D2">
              <w:rPr>
                <w:rFonts w:ascii="Arial" w:hAnsi="Arial" w:cs="Arial"/>
                <w:bCs/>
                <w:sz w:val="20"/>
                <w:szCs w:val="20"/>
              </w:rPr>
              <w:t xml:space="preserve"> a través de </w:t>
            </w:r>
            <w:r w:rsidRPr="008A26D2">
              <w:rPr>
                <w:rFonts w:ascii="Arial" w:hAnsi="Arial" w:cs="Arial"/>
                <w:sz w:val="20"/>
                <w:szCs w:val="20"/>
              </w:rPr>
              <w:t xml:space="preserve">los servicios tecnológicos y de innovación de mediana complejidad que se brindan a las unidades productivas a través de la Red de Centros de Innovación Productiva y Transferencia Tecnológica </w:t>
            </w:r>
            <w:r w:rsidR="004E7D4B">
              <w:rPr>
                <w:rFonts w:ascii="Arial" w:hAnsi="Arial" w:cs="Arial"/>
                <w:sz w:val="20"/>
                <w:szCs w:val="20"/>
              </w:rPr>
              <w:t xml:space="preserve">- </w:t>
            </w:r>
            <w:r w:rsidRPr="008A26D2">
              <w:rPr>
                <w:rFonts w:ascii="Arial" w:hAnsi="Arial" w:cs="Arial"/>
                <w:sz w:val="20"/>
                <w:szCs w:val="20"/>
              </w:rPr>
              <w:t>CITE públicos, entre ellos los referidos a Asistencia Técnica y Diseño y Desarrollo de Productos.</w:t>
            </w:r>
          </w:p>
          <w:p w14:paraId="64218DA8" w14:textId="77777777" w:rsidR="002D189A" w:rsidRPr="008A26D2" w:rsidRDefault="002D189A" w:rsidP="002D189A">
            <w:pPr>
              <w:spacing w:after="0" w:line="240" w:lineRule="auto"/>
              <w:ind w:left="130"/>
              <w:jc w:val="both"/>
              <w:rPr>
                <w:rFonts w:ascii="Arial" w:hAnsi="Arial" w:cs="Arial"/>
                <w:sz w:val="20"/>
                <w:szCs w:val="20"/>
              </w:rPr>
            </w:pPr>
          </w:p>
          <w:p w14:paraId="33A67BEF" w14:textId="77777777" w:rsidR="002D189A" w:rsidRPr="008A26D2" w:rsidRDefault="002D189A" w:rsidP="002D189A">
            <w:pPr>
              <w:spacing w:after="0" w:line="240" w:lineRule="auto"/>
              <w:ind w:left="130"/>
              <w:jc w:val="both"/>
              <w:rPr>
                <w:rFonts w:ascii="Arial" w:hAnsi="Arial" w:cs="Arial"/>
                <w:bCs/>
                <w:sz w:val="20"/>
                <w:szCs w:val="20"/>
              </w:rPr>
            </w:pPr>
          </w:p>
          <w:p w14:paraId="14ED54DF" w14:textId="576440C5" w:rsidR="002D189A" w:rsidRPr="008A26D2" w:rsidRDefault="002D189A" w:rsidP="002D189A">
            <w:pPr>
              <w:spacing w:after="0" w:line="240" w:lineRule="auto"/>
              <w:ind w:left="130"/>
              <w:jc w:val="both"/>
              <w:rPr>
                <w:rFonts w:ascii="Arial" w:hAnsi="Arial" w:cs="Arial"/>
                <w:bCs/>
                <w:sz w:val="20"/>
                <w:szCs w:val="20"/>
              </w:rPr>
            </w:pPr>
            <w:r w:rsidRPr="008A26D2">
              <w:rPr>
                <w:rFonts w:ascii="Arial" w:hAnsi="Arial" w:cs="Arial"/>
                <w:bCs/>
                <w:sz w:val="20"/>
                <w:szCs w:val="20"/>
              </w:rPr>
              <w:t>La Asistencia Técnica es un servicio de transferencia tecnológica que consisten en la transferencia de conocimientos especializados, no patentables, que tiene como objetivo resolver los problemas de la unidad productiva referidos a su gestión de operaciones. Asimismo, el servicio de Diseño y Desarrollo de Productos es un servicio de transferencia tecnológica que consiste en actividades de diseño y/o desarrollo para lograr productos nuevos o mejorados. Los esfuerzos de estas actividades pueden estar dirigidos a aumentar el valor agregado y/o la eficiencia de recursos, así como a la minimización de los impactos del producto y/o proceso, en todo el ciclo de vida del producto. (Marco Conceptual aprobado con Resolución Ejecutiva N° 042 – 2021- ITP/DE).</w:t>
            </w:r>
          </w:p>
          <w:p w14:paraId="6FDDA8B4" w14:textId="77777777" w:rsidR="002D189A" w:rsidRPr="008A26D2" w:rsidRDefault="002D189A" w:rsidP="002D189A">
            <w:pPr>
              <w:spacing w:after="0" w:line="240" w:lineRule="auto"/>
              <w:ind w:left="130"/>
              <w:jc w:val="both"/>
              <w:rPr>
                <w:rFonts w:ascii="Arial" w:hAnsi="Arial" w:cs="Arial"/>
                <w:bCs/>
                <w:sz w:val="20"/>
                <w:szCs w:val="20"/>
              </w:rPr>
            </w:pPr>
          </w:p>
          <w:p w14:paraId="3F458691" w14:textId="77777777" w:rsidR="00CE7E99" w:rsidRDefault="00CE7E99" w:rsidP="00CE7E99">
            <w:pPr>
              <w:spacing w:after="0" w:line="240" w:lineRule="auto"/>
              <w:ind w:left="130"/>
              <w:jc w:val="both"/>
              <w:rPr>
                <w:rFonts w:ascii="Arial" w:hAnsi="Arial" w:cs="Arial"/>
                <w:sz w:val="20"/>
                <w:szCs w:val="20"/>
              </w:rPr>
            </w:pPr>
            <w:r>
              <w:rPr>
                <w:rFonts w:ascii="Arial" w:hAnsi="Arial" w:cs="Arial"/>
                <w:bCs/>
                <w:sz w:val="20"/>
                <w:szCs w:val="20"/>
              </w:rPr>
              <w:t>Las</w:t>
            </w:r>
            <w:r w:rsidRPr="008A26D2">
              <w:rPr>
                <w:rFonts w:ascii="Arial" w:hAnsi="Arial" w:cs="Arial"/>
                <w:bCs/>
                <w:sz w:val="20"/>
                <w:szCs w:val="20"/>
              </w:rPr>
              <w:t xml:space="preserve"> unidades productivas se encuentran definido</w:t>
            </w:r>
            <w:r>
              <w:rPr>
                <w:rFonts w:ascii="Arial" w:hAnsi="Arial" w:cs="Arial"/>
                <w:bCs/>
                <w:sz w:val="20"/>
                <w:szCs w:val="20"/>
              </w:rPr>
              <w:t>s</w:t>
            </w:r>
            <w:r w:rsidRPr="008A26D2">
              <w:rPr>
                <w:rFonts w:ascii="Arial" w:hAnsi="Arial" w:cs="Arial"/>
                <w:bCs/>
                <w:sz w:val="20"/>
                <w:szCs w:val="20"/>
              </w:rPr>
              <w:t xml:space="preserve"> en</w:t>
            </w:r>
            <w:r>
              <w:rPr>
                <w:rFonts w:ascii="Arial" w:hAnsi="Arial" w:cs="Arial"/>
                <w:bCs/>
                <w:sz w:val="20"/>
                <w:szCs w:val="20"/>
              </w:rPr>
              <w:t xml:space="preserve"> el</w:t>
            </w:r>
            <w:r w:rsidRPr="008A26D2">
              <w:rPr>
                <w:rFonts w:ascii="Arial" w:hAnsi="Arial" w:cs="Arial"/>
                <w:bCs/>
                <w:sz w:val="20"/>
                <w:szCs w:val="20"/>
              </w:rPr>
              <w:t xml:space="preserve"> </w:t>
            </w:r>
            <w:r w:rsidRPr="008A26D2">
              <w:rPr>
                <w:rFonts w:ascii="Arial" w:hAnsi="Arial" w:cs="Arial"/>
                <w:sz w:val="20"/>
                <w:szCs w:val="20"/>
              </w:rPr>
              <w:t xml:space="preserve">numeral 45.4 del artículo 45° del Decreto de Urgencia N° 013-2020, </w:t>
            </w:r>
            <w:r>
              <w:rPr>
                <w:rFonts w:ascii="Arial" w:hAnsi="Arial" w:cs="Arial"/>
                <w:sz w:val="20"/>
                <w:szCs w:val="20"/>
              </w:rPr>
              <w:t>siendo las siguientes</w:t>
            </w:r>
            <w:r w:rsidRPr="008A26D2">
              <w:rPr>
                <w:rFonts w:ascii="Arial" w:hAnsi="Arial" w:cs="Arial"/>
                <w:sz w:val="20"/>
                <w:szCs w:val="20"/>
              </w:rPr>
              <w:t xml:space="preserve"> i) organizaciones bajo cualquier forma empresarial contemplada en la legislación vigente, incluyendo, asociaciones y cooperativas, y ii) personas naturales con </w:t>
            </w:r>
            <w:r w:rsidRPr="008A26D2">
              <w:rPr>
                <w:rFonts w:ascii="Arial" w:hAnsi="Arial" w:cs="Arial"/>
                <w:sz w:val="20"/>
                <w:szCs w:val="20"/>
              </w:rPr>
              <w:lastRenderedPageBreak/>
              <w:t>negocio. Las unidades productivas formales deben contar con Registro Único de Contribuyentes (RUC) activo y habido, respectivamente; y, preferentemente dichas unidades productivas formales deben tener ventas anuales no mayores a 2300 UIT</w:t>
            </w:r>
            <w:r>
              <w:rPr>
                <w:rFonts w:ascii="Arial" w:hAnsi="Arial" w:cs="Arial"/>
                <w:sz w:val="20"/>
                <w:szCs w:val="20"/>
              </w:rPr>
              <w:t>.</w:t>
            </w:r>
          </w:p>
          <w:p w14:paraId="1FC20693" w14:textId="77777777" w:rsidR="00CE7E99" w:rsidRPr="008A26D2" w:rsidRDefault="00CE7E99" w:rsidP="00CE7E99">
            <w:pPr>
              <w:spacing w:after="0" w:line="240" w:lineRule="auto"/>
              <w:ind w:left="130"/>
              <w:jc w:val="both"/>
              <w:rPr>
                <w:rFonts w:ascii="Arial" w:hAnsi="Arial" w:cs="Arial"/>
                <w:bCs/>
                <w:sz w:val="20"/>
                <w:szCs w:val="20"/>
              </w:rPr>
            </w:pPr>
          </w:p>
          <w:p w14:paraId="259DFC5A" w14:textId="61386D02" w:rsidR="002D189A" w:rsidRPr="008A26D2" w:rsidRDefault="002D189A" w:rsidP="002D189A">
            <w:pPr>
              <w:spacing w:after="0" w:line="240" w:lineRule="auto"/>
              <w:ind w:left="130"/>
              <w:jc w:val="both"/>
              <w:rPr>
                <w:rFonts w:ascii="Arial" w:hAnsi="Arial" w:cs="Arial"/>
                <w:bCs/>
                <w:sz w:val="20"/>
                <w:szCs w:val="20"/>
              </w:rPr>
            </w:pPr>
            <w:r w:rsidRPr="008A26D2">
              <w:rPr>
                <w:rFonts w:ascii="Arial" w:hAnsi="Arial" w:cs="Arial"/>
                <w:bCs/>
                <w:sz w:val="20"/>
                <w:szCs w:val="20"/>
              </w:rPr>
              <w:t xml:space="preserve">Cabe indicar que la prestación de los servicios de Asistencia Técnica y Diseño y Desarrollo de Productos se aplica y cobra una tarifa a las </w:t>
            </w:r>
            <w:r w:rsidR="00CE7E99">
              <w:rPr>
                <w:rFonts w:ascii="Arial" w:hAnsi="Arial" w:cs="Arial"/>
                <w:bCs/>
                <w:sz w:val="20"/>
                <w:szCs w:val="20"/>
              </w:rPr>
              <w:t>u</w:t>
            </w:r>
            <w:r w:rsidRPr="008A26D2">
              <w:rPr>
                <w:rFonts w:ascii="Arial" w:hAnsi="Arial" w:cs="Arial"/>
                <w:bCs/>
                <w:sz w:val="20"/>
                <w:szCs w:val="20"/>
              </w:rPr>
              <w:t xml:space="preserve">nidades </w:t>
            </w:r>
            <w:r w:rsidR="00CE7E99">
              <w:rPr>
                <w:rFonts w:ascii="Arial" w:hAnsi="Arial" w:cs="Arial"/>
                <w:bCs/>
                <w:sz w:val="20"/>
                <w:szCs w:val="20"/>
              </w:rPr>
              <w:t>p</w:t>
            </w:r>
            <w:r w:rsidRPr="008A26D2">
              <w:rPr>
                <w:rFonts w:ascii="Arial" w:hAnsi="Arial" w:cs="Arial"/>
                <w:bCs/>
                <w:sz w:val="20"/>
                <w:szCs w:val="20"/>
              </w:rPr>
              <w:t>roductivas acorde al tarifario aprobado para cada CITE y que además se aplica Esquema Promocionales de acuerdo a la Directiva de diseño y aplicación de esquemas promocionales para el acceso a los servicios tecnológicos que brinda el ITP (Resolución Ejecutiva N.° 100-2022-ITP)</w:t>
            </w:r>
          </w:p>
          <w:p w14:paraId="38E6BF05" w14:textId="77777777" w:rsidR="002D189A" w:rsidRPr="008A26D2" w:rsidRDefault="002D189A" w:rsidP="002D189A">
            <w:pPr>
              <w:spacing w:after="0" w:line="240" w:lineRule="auto"/>
              <w:ind w:left="130"/>
              <w:jc w:val="both"/>
              <w:rPr>
                <w:rFonts w:ascii="Arial" w:hAnsi="Arial" w:cs="Arial"/>
                <w:bCs/>
                <w:sz w:val="20"/>
                <w:szCs w:val="20"/>
              </w:rPr>
            </w:pPr>
          </w:p>
          <w:p w14:paraId="5B49302A" w14:textId="2ABC2F24" w:rsidR="002D189A" w:rsidRPr="008A26D2" w:rsidRDefault="002D189A" w:rsidP="002D189A">
            <w:pPr>
              <w:spacing w:after="0" w:line="240" w:lineRule="auto"/>
              <w:ind w:left="130"/>
              <w:jc w:val="both"/>
              <w:rPr>
                <w:rFonts w:ascii="Arial" w:hAnsi="Arial" w:cs="Arial"/>
                <w:bCs/>
                <w:iCs/>
                <w:sz w:val="20"/>
                <w:szCs w:val="20"/>
              </w:rPr>
            </w:pPr>
            <w:r w:rsidRPr="008A26D2">
              <w:rPr>
                <w:rFonts w:ascii="Arial" w:hAnsi="Arial" w:cs="Arial"/>
                <w:bCs/>
                <w:iCs/>
                <w:sz w:val="20"/>
                <w:szCs w:val="20"/>
              </w:rPr>
              <w:t xml:space="preserve">La mejora en la prestación de los servicios consiste en facilitar a los usuarios el acceso a los servicios que brinda la Red de CITE públicos a través de la aplicación de una plataforma digital (Sistema de Servicios de Innovación Productiva – SSIPRO) que permite el registro, gestión y trazabilidad de las solicitudes de servicios requeridos por las unidades productivas en las diferentes cadenas que interviene la Red de CITE públicos. La digitalización de la atención a través del SSIPRO constituye un proceso de mejora gradual orientado a la </w:t>
            </w:r>
            <w:r w:rsidR="002469C9" w:rsidRPr="008A26D2">
              <w:rPr>
                <w:rFonts w:ascii="Arial" w:hAnsi="Arial" w:cs="Arial"/>
                <w:bCs/>
                <w:iCs/>
                <w:sz w:val="20"/>
                <w:szCs w:val="20"/>
              </w:rPr>
              <w:t>as</w:t>
            </w:r>
            <w:r w:rsidR="006C5B77">
              <w:rPr>
                <w:rFonts w:ascii="Arial" w:hAnsi="Arial" w:cs="Arial"/>
                <w:bCs/>
                <w:iCs/>
                <w:sz w:val="20"/>
                <w:szCs w:val="20"/>
              </w:rPr>
              <w:t>ist</w:t>
            </w:r>
            <w:r w:rsidR="002469C9" w:rsidRPr="008A26D2">
              <w:rPr>
                <w:rFonts w:ascii="Arial" w:hAnsi="Arial" w:cs="Arial"/>
                <w:bCs/>
                <w:iCs/>
                <w:sz w:val="20"/>
                <w:szCs w:val="20"/>
              </w:rPr>
              <w:t>encia</w:t>
            </w:r>
            <w:r w:rsidRPr="008A26D2">
              <w:rPr>
                <w:rFonts w:ascii="Arial" w:hAnsi="Arial" w:cs="Arial"/>
                <w:bCs/>
                <w:iCs/>
                <w:sz w:val="20"/>
                <w:szCs w:val="20"/>
              </w:rPr>
              <w:t xml:space="preserve"> de los procesos y enfocado en las unidades productivas, usuarias de la Red de CITE públicos.</w:t>
            </w:r>
          </w:p>
          <w:p w14:paraId="21C99ACB" w14:textId="77777777" w:rsidR="002D189A" w:rsidRPr="008A26D2" w:rsidRDefault="002D189A" w:rsidP="002D189A">
            <w:pPr>
              <w:tabs>
                <w:tab w:val="left" w:pos="3375"/>
              </w:tabs>
              <w:spacing w:after="0" w:line="240" w:lineRule="auto"/>
              <w:ind w:left="128"/>
              <w:jc w:val="both"/>
              <w:rPr>
                <w:rFonts w:ascii="Arial" w:hAnsi="Arial" w:cs="Arial"/>
                <w:sz w:val="20"/>
                <w:szCs w:val="20"/>
              </w:rPr>
            </w:pPr>
          </w:p>
        </w:tc>
      </w:tr>
      <w:tr w:rsidR="008A26D2" w:rsidRPr="008A26D2" w14:paraId="50440727" w14:textId="77777777" w:rsidTr="0079746D">
        <w:trPr>
          <w:trHeight w:val="300"/>
          <w:jc w:val="center"/>
        </w:trPr>
        <w:tc>
          <w:tcPr>
            <w:tcW w:w="18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7BC8232" w14:textId="77777777" w:rsidR="002D189A" w:rsidRPr="008A26D2" w:rsidRDefault="002D189A" w:rsidP="002D189A">
            <w:pPr>
              <w:tabs>
                <w:tab w:val="left" w:pos="3375"/>
              </w:tabs>
              <w:spacing w:after="0" w:line="240" w:lineRule="auto"/>
              <w:rPr>
                <w:rFonts w:ascii="Arial" w:hAnsi="Arial" w:cs="Arial"/>
                <w:b/>
                <w:sz w:val="20"/>
                <w:szCs w:val="20"/>
              </w:rPr>
            </w:pPr>
            <w:r w:rsidRPr="008A26D2">
              <w:rPr>
                <w:rFonts w:ascii="Arial" w:hAnsi="Arial" w:cs="Arial"/>
                <w:b/>
                <w:sz w:val="20"/>
                <w:szCs w:val="20"/>
              </w:rPr>
              <w:lastRenderedPageBreak/>
              <w:t xml:space="preserve"> Proveedor del servicio</w:t>
            </w:r>
          </w:p>
        </w:tc>
        <w:tc>
          <w:tcPr>
            <w:tcW w:w="708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5DB7C81" w14:textId="6CBBD015" w:rsidR="002D189A" w:rsidRPr="008A26D2" w:rsidRDefault="002D189A" w:rsidP="002D189A">
            <w:pPr>
              <w:tabs>
                <w:tab w:val="left" w:pos="3375"/>
              </w:tabs>
              <w:spacing w:after="0" w:line="240" w:lineRule="auto"/>
              <w:ind w:left="130"/>
              <w:rPr>
                <w:rFonts w:ascii="Arial" w:hAnsi="Arial" w:cs="Arial"/>
                <w:sz w:val="20"/>
                <w:szCs w:val="20"/>
              </w:rPr>
            </w:pPr>
            <w:r w:rsidRPr="008A26D2">
              <w:rPr>
                <w:rFonts w:ascii="Arial" w:hAnsi="Arial" w:cs="Arial"/>
                <w:sz w:val="20"/>
                <w:szCs w:val="20"/>
              </w:rPr>
              <w:t>Instituto Tecnológico de la Producción -</w:t>
            </w:r>
            <w:r w:rsidR="006C5B77">
              <w:rPr>
                <w:rFonts w:ascii="Arial" w:hAnsi="Arial" w:cs="Arial"/>
                <w:sz w:val="20"/>
                <w:szCs w:val="20"/>
              </w:rPr>
              <w:t xml:space="preserve"> </w:t>
            </w:r>
            <w:r w:rsidRPr="008A26D2">
              <w:rPr>
                <w:rFonts w:ascii="Arial" w:hAnsi="Arial" w:cs="Arial"/>
                <w:sz w:val="20"/>
                <w:szCs w:val="20"/>
              </w:rPr>
              <w:t xml:space="preserve">ITP </w:t>
            </w:r>
          </w:p>
        </w:tc>
      </w:tr>
      <w:tr w:rsidR="008A26D2" w:rsidRPr="008A26D2" w14:paraId="311A8241" w14:textId="77777777" w:rsidTr="003D0C4B">
        <w:trPr>
          <w:trHeight w:val="578"/>
          <w:jc w:val="center"/>
        </w:trPr>
        <w:tc>
          <w:tcPr>
            <w:tcW w:w="1847" w:type="dxa"/>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5863D777" w14:textId="77777777" w:rsidR="002D189A" w:rsidRPr="008A26D2" w:rsidRDefault="002D189A" w:rsidP="002469C9">
            <w:pPr>
              <w:spacing w:after="0" w:line="240" w:lineRule="auto"/>
              <w:rPr>
                <w:rFonts w:ascii="Arial" w:hAnsi="Arial" w:cs="Arial"/>
                <w:b/>
                <w:sz w:val="20"/>
                <w:szCs w:val="20"/>
              </w:rPr>
            </w:pPr>
            <w:r w:rsidRPr="008A26D2">
              <w:rPr>
                <w:rFonts w:ascii="Arial" w:hAnsi="Arial" w:cs="Arial"/>
                <w:b/>
                <w:sz w:val="20"/>
                <w:szCs w:val="20"/>
              </w:rPr>
              <w:t>Nivel (es) de gobierno que interviene</w:t>
            </w:r>
          </w:p>
          <w:p w14:paraId="62A07B60" w14:textId="094DD5B0" w:rsidR="002D189A" w:rsidRPr="008A26D2" w:rsidRDefault="002D189A" w:rsidP="002D189A">
            <w:pPr>
              <w:tabs>
                <w:tab w:val="left" w:pos="3375"/>
              </w:tabs>
              <w:spacing w:after="0" w:line="240" w:lineRule="auto"/>
              <w:rPr>
                <w:rFonts w:ascii="Arial" w:hAnsi="Arial" w:cs="Arial"/>
                <w:b/>
                <w:sz w:val="20"/>
                <w:szCs w:val="20"/>
              </w:rPr>
            </w:pPr>
            <w:r w:rsidRPr="008A26D2">
              <w:rPr>
                <w:rFonts w:ascii="Arial" w:hAnsi="Arial" w:cs="Arial"/>
                <w:b/>
                <w:sz w:val="20"/>
                <w:szCs w:val="20"/>
              </w:rPr>
              <w:t>(n) en la provisión del servicio</w:t>
            </w:r>
          </w:p>
        </w:tc>
        <w:tc>
          <w:tcPr>
            <w:tcW w:w="2361"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1B5D6208" w14:textId="469BBFC0" w:rsidR="002D189A" w:rsidRPr="008A26D2" w:rsidRDefault="002D189A" w:rsidP="00324662">
            <w:pPr>
              <w:tabs>
                <w:tab w:val="left" w:pos="3375"/>
              </w:tabs>
              <w:spacing w:after="0" w:line="240" w:lineRule="auto"/>
              <w:ind w:left="130"/>
              <w:jc w:val="center"/>
              <w:rPr>
                <w:rFonts w:ascii="Arial" w:hAnsi="Arial" w:cs="Arial"/>
                <w:sz w:val="20"/>
                <w:szCs w:val="20"/>
              </w:rPr>
            </w:pPr>
            <w:r w:rsidRPr="008A26D2">
              <w:rPr>
                <w:rFonts w:ascii="Arial" w:eastAsia="Arial Narrow" w:hAnsi="Arial" w:cs="Arial"/>
                <w:sz w:val="20"/>
                <w:szCs w:val="20"/>
              </w:rPr>
              <w:t>Nacional</w:t>
            </w:r>
          </w:p>
        </w:tc>
        <w:tc>
          <w:tcPr>
            <w:tcW w:w="2361" w:type="dxa"/>
            <w:tcBorders>
              <w:top w:val="single" w:sz="4" w:space="0" w:color="000000"/>
              <w:left w:val="single" w:sz="4" w:space="0" w:color="000000"/>
              <w:right w:val="single" w:sz="4" w:space="0" w:color="000000"/>
            </w:tcBorders>
            <w:shd w:val="clear" w:color="auto" w:fill="auto"/>
            <w:vAlign w:val="center"/>
          </w:tcPr>
          <w:p w14:paraId="68867FEE" w14:textId="601814CC" w:rsidR="002D189A" w:rsidRPr="008A26D2" w:rsidRDefault="002D189A" w:rsidP="00324662">
            <w:pPr>
              <w:tabs>
                <w:tab w:val="left" w:pos="3375"/>
              </w:tabs>
              <w:spacing w:after="0" w:line="240" w:lineRule="auto"/>
              <w:ind w:left="130"/>
              <w:jc w:val="center"/>
              <w:rPr>
                <w:rFonts w:ascii="Arial" w:hAnsi="Arial" w:cs="Arial"/>
                <w:sz w:val="20"/>
                <w:szCs w:val="20"/>
              </w:rPr>
            </w:pPr>
            <w:r w:rsidRPr="008A26D2">
              <w:rPr>
                <w:rFonts w:ascii="Arial" w:eastAsia="Arial Narrow" w:hAnsi="Arial" w:cs="Arial"/>
                <w:sz w:val="20"/>
                <w:szCs w:val="20"/>
              </w:rPr>
              <w:t>Regional</w:t>
            </w:r>
          </w:p>
        </w:tc>
        <w:tc>
          <w:tcPr>
            <w:tcW w:w="2361" w:type="dxa"/>
            <w:tcBorders>
              <w:top w:val="single" w:sz="4" w:space="0" w:color="000000"/>
              <w:left w:val="single" w:sz="4" w:space="0" w:color="000000"/>
              <w:right w:val="single" w:sz="4" w:space="0" w:color="000000"/>
            </w:tcBorders>
            <w:shd w:val="clear" w:color="auto" w:fill="auto"/>
            <w:vAlign w:val="center"/>
          </w:tcPr>
          <w:p w14:paraId="41A9FB4D" w14:textId="16E2C41B" w:rsidR="002D189A" w:rsidRPr="008A26D2" w:rsidRDefault="002D189A" w:rsidP="00324662">
            <w:pPr>
              <w:tabs>
                <w:tab w:val="left" w:pos="3375"/>
              </w:tabs>
              <w:spacing w:after="0" w:line="240" w:lineRule="auto"/>
              <w:ind w:left="130"/>
              <w:jc w:val="center"/>
              <w:rPr>
                <w:rFonts w:ascii="Arial" w:hAnsi="Arial" w:cs="Arial"/>
                <w:sz w:val="20"/>
                <w:szCs w:val="20"/>
              </w:rPr>
            </w:pPr>
            <w:r w:rsidRPr="008A26D2">
              <w:rPr>
                <w:rFonts w:ascii="Arial" w:eastAsia="Arial Narrow" w:hAnsi="Arial" w:cs="Arial"/>
                <w:sz w:val="20"/>
                <w:szCs w:val="20"/>
              </w:rPr>
              <w:t>Local</w:t>
            </w:r>
          </w:p>
        </w:tc>
      </w:tr>
      <w:tr w:rsidR="008A26D2" w:rsidRPr="008A26D2" w14:paraId="3F87EE55" w14:textId="77777777" w:rsidTr="003D0C4B">
        <w:trPr>
          <w:trHeight w:val="577"/>
          <w:jc w:val="center"/>
        </w:trPr>
        <w:tc>
          <w:tcPr>
            <w:tcW w:w="1847" w:type="dxa"/>
            <w:vMerge/>
            <w:tcBorders>
              <w:left w:val="single" w:sz="4" w:space="0" w:color="000000"/>
              <w:right w:val="single" w:sz="4" w:space="0" w:color="000000"/>
            </w:tcBorders>
            <w:shd w:val="clear" w:color="auto" w:fill="auto"/>
            <w:tcMar>
              <w:top w:w="15" w:type="dxa"/>
              <w:left w:w="15" w:type="dxa"/>
              <w:bottom w:w="0" w:type="dxa"/>
              <w:right w:w="15" w:type="dxa"/>
            </w:tcMar>
            <w:vAlign w:val="center"/>
          </w:tcPr>
          <w:p w14:paraId="721FA8CC" w14:textId="77777777" w:rsidR="002D189A" w:rsidRPr="008A26D2" w:rsidRDefault="002D189A" w:rsidP="002D189A">
            <w:pPr>
              <w:spacing w:after="0" w:line="240" w:lineRule="auto"/>
              <w:rPr>
                <w:rFonts w:ascii="Arial" w:hAnsi="Arial" w:cs="Arial"/>
                <w:b/>
                <w:sz w:val="20"/>
                <w:szCs w:val="20"/>
              </w:rPr>
            </w:pPr>
          </w:p>
        </w:tc>
        <w:tc>
          <w:tcPr>
            <w:tcW w:w="2361"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39F29A3E" w14:textId="63587869" w:rsidR="002D189A" w:rsidRPr="008A26D2" w:rsidRDefault="00A32B05" w:rsidP="00324662">
            <w:pPr>
              <w:tabs>
                <w:tab w:val="left" w:pos="3375"/>
              </w:tabs>
              <w:spacing w:after="0" w:line="240" w:lineRule="auto"/>
              <w:ind w:left="130"/>
              <w:jc w:val="center"/>
              <w:rPr>
                <w:rFonts w:ascii="Arial" w:hAnsi="Arial" w:cs="Arial"/>
                <w:sz w:val="20"/>
                <w:szCs w:val="20"/>
              </w:rPr>
            </w:pPr>
            <w:r w:rsidRPr="008A26D2">
              <w:rPr>
                <w:rFonts w:ascii="Arial" w:hAnsi="Arial" w:cs="Arial"/>
                <w:sz w:val="20"/>
                <w:szCs w:val="20"/>
              </w:rPr>
              <w:t>X</w:t>
            </w:r>
          </w:p>
        </w:tc>
        <w:tc>
          <w:tcPr>
            <w:tcW w:w="2361" w:type="dxa"/>
            <w:tcBorders>
              <w:top w:val="single" w:sz="4" w:space="0" w:color="000000"/>
              <w:left w:val="single" w:sz="4" w:space="0" w:color="000000"/>
              <w:right w:val="single" w:sz="4" w:space="0" w:color="000000"/>
            </w:tcBorders>
            <w:shd w:val="clear" w:color="auto" w:fill="auto"/>
            <w:vAlign w:val="center"/>
          </w:tcPr>
          <w:p w14:paraId="2B140940" w14:textId="77777777" w:rsidR="002D189A" w:rsidRPr="008A26D2" w:rsidRDefault="002D189A" w:rsidP="00324662">
            <w:pPr>
              <w:tabs>
                <w:tab w:val="left" w:pos="3375"/>
              </w:tabs>
              <w:spacing w:after="0" w:line="240" w:lineRule="auto"/>
              <w:ind w:left="130"/>
              <w:jc w:val="center"/>
              <w:rPr>
                <w:rFonts w:ascii="Arial" w:hAnsi="Arial" w:cs="Arial"/>
                <w:sz w:val="20"/>
                <w:szCs w:val="20"/>
              </w:rPr>
            </w:pPr>
          </w:p>
        </w:tc>
        <w:tc>
          <w:tcPr>
            <w:tcW w:w="2361" w:type="dxa"/>
            <w:tcBorders>
              <w:top w:val="single" w:sz="4" w:space="0" w:color="000000"/>
              <w:left w:val="single" w:sz="4" w:space="0" w:color="000000"/>
              <w:right w:val="single" w:sz="4" w:space="0" w:color="000000"/>
            </w:tcBorders>
            <w:shd w:val="clear" w:color="auto" w:fill="auto"/>
            <w:vAlign w:val="center"/>
          </w:tcPr>
          <w:p w14:paraId="439B7FF0" w14:textId="57B0EFF6" w:rsidR="002D189A" w:rsidRPr="008A26D2" w:rsidRDefault="002D189A" w:rsidP="00324662">
            <w:pPr>
              <w:tabs>
                <w:tab w:val="left" w:pos="3375"/>
              </w:tabs>
              <w:spacing w:after="0" w:line="240" w:lineRule="auto"/>
              <w:ind w:left="130"/>
              <w:jc w:val="center"/>
              <w:rPr>
                <w:rFonts w:ascii="Arial" w:hAnsi="Arial" w:cs="Arial"/>
                <w:sz w:val="20"/>
                <w:szCs w:val="20"/>
              </w:rPr>
            </w:pPr>
          </w:p>
        </w:tc>
      </w:tr>
      <w:tr w:rsidR="008A26D2" w:rsidRPr="008A26D2" w14:paraId="2AA3759D" w14:textId="77777777" w:rsidTr="0079746D">
        <w:trPr>
          <w:trHeight w:val="300"/>
          <w:jc w:val="center"/>
        </w:trPr>
        <w:tc>
          <w:tcPr>
            <w:tcW w:w="18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CD3360A" w14:textId="77777777" w:rsidR="002D189A" w:rsidRPr="008A26D2" w:rsidRDefault="002D189A" w:rsidP="002D189A">
            <w:pPr>
              <w:tabs>
                <w:tab w:val="left" w:pos="3375"/>
              </w:tabs>
              <w:spacing w:after="0" w:line="240" w:lineRule="auto"/>
              <w:rPr>
                <w:rFonts w:ascii="Arial" w:hAnsi="Arial" w:cs="Arial"/>
                <w:b/>
                <w:sz w:val="20"/>
                <w:szCs w:val="20"/>
              </w:rPr>
            </w:pPr>
            <w:r w:rsidRPr="008A26D2">
              <w:rPr>
                <w:rFonts w:ascii="Arial" w:hAnsi="Arial" w:cs="Arial"/>
                <w:b/>
                <w:sz w:val="20"/>
                <w:szCs w:val="20"/>
              </w:rPr>
              <w:t xml:space="preserve"> Receptor del servicio</w:t>
            </w:r>
          </w:p>
        </w:tc>
        <w:tc>
          <w:tcPr>
            <w:tcW w:w="708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DCCF36D" w14:textId="193368D5" w:rsidR="002D189A" w:rsidRPr="008A26D2" w:rsidRDefault="002D189A" w:rsidP="002D189A">
            <w:pPr>
              <w:tabs>
                <w:tab w:val="left" w:pos="3375"/>
              </w:tabs>
              <w:spacing w:after="0" w:line="240" w:lineRule="auto"/>
              <w:ind w:left="128"/>
              <w:rPr>
                <w:rFonts w:ascii="Arial" w:hAnsi="Arial" w:cs="Arial"/>
                <w:sz w:val="20"/>
                <w:szCs w:val="20"/>
              </w:rPr>
            </w:pPr>
            <w:r w:rsidRPr="008A26D2">
              <w:rPr>
                <w:rFonts w:ascii="Arial" w:hAnsi="Arial" w:cs="Arial"/>
                <w:sz w:val="20"/>
                <w:szCs w:val="20"/>
              </w:rPr>
              <w:t xml:space="preserve"> Unidades productivas de la cadena forestal, madera y textil</w:t>
            </w:r>
          </w:p>
        </w:tc>
      </w:tr>
      <w:tr w:rsidR="008A26D2" w:rsidRPr="008A26D2" w14:paraId="19EE998F" w14:textId="77777777" w:rsidTr="0079746D">
        <w:trPr>
          <w:trHeight w:val="211"/>
          <w:jc w:val="center"/>
        </w:trPr>
        <w:tc>
          <w:tcPr>
            <w:tcW w:w="18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BE3D9C8" w14:textId="77777777" w:rsidR="002D189A" w:rsidRPr="008A26D2" w:rsidRDefault="002D189A" w:rsidP="002D189A">
            <w:pPr>
              <w:tabs>
                <w:tab w:val="left" w:pos="3375"/>
              </w:tabs>
              <w:spacing w:after="0" w:line="240" w:lineRule="auto"/>
              <w:rPr>
                <w:rFonts w:ascii="Arial" w:hAnsi="Arial" w:cs="Arial"/>
                <w:b/>
                <w:sz w:val="20"/>
                <w:szCs w:val="20"/>
              </w:rPr>
            </w:pPr>
            <w:r w:rsidRPr="008A26D2">
              <w:rPr>
                <w:rFonts w:ascii="Arial" w:hAnsi="Arial" w:cs="Arial"/>
                <w:b/>
                <w:sz w:val="20"/>
                <w:szCs w:val="20"/>
              </w:rPr>
              <w:t xml:space="preserve"> Alcance del servicio </w:t>
            </w:r>
          </w:p>
        </w:tc>
        <w:tc>
          <w:tcPr>
            <w:tcW w:w="708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F26AE03" w14:textId="77777777" w:rsidR="002D189A" w:rsidRPr="008A26D2" w:rsidRDefault="002D189A" w:rsidP="002D189A">
            <w:pPr>
              <w:tabs>
                <w:tab w:val="left" w:pos="3375"/>
              </w:tabs>
              <w:spacing w:after="0" w:line="240" w:lineRule="auto"/>
              <w:ind w:left="128"/>
              <w:rPr>
                <w:rFonts w:ascii="Arial" w:hAnsi="Arial" w:cs="Arial"/>
                <w:sz w:val="20"/>
                <w:szCs w:val="20"/>
              </w:rPr>
            </w:pPr>
            <w:r w:rsidRPr="008A26D2">
              <w:rPr>
                <w:rFonts w:ascii="Arial" w:hAnsi="Arial" w:cs="Arial"/>
                <w:sz w:val="20"/>
                <w:szCs w:val="20"/>
              </w:rPr>
              <w:t>Nacional.</w:t>
            </w:r>
          </w:p>
        </w:tc>
      </w:tr>
      <w:tr w:rsidR="008A26D2" w:rsidRPr="008A26D2" w14:paraId="24505790" w14:textId="77777777" w:rsidTr="0079746D">
        <w:trPr>
          <w:trHeight w:val="62"/>
          <w:jc w:val="center"/>
        </w:trPr>
        <w:tc>
          <w:tcPr>
            <w:tcW w:w="18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185CF13" w14:textId="77777777" w:rsidR="002D189A" w:rsidRPr="008A26D2" w:rsidRDefault="002D189A" w:rsidP="002D189A">
            <w:pPr>
              <w:tabs>
                <w:tab w:val="left" w:pos="3375"/>
              </w:tabs>
              <w:spacing w:after="0" w:line="240" w:lineRule="auto"/>
              <w:rPr>
                <w:rFonts w:ascii="Arial" w:hAnsi="Arial" w:cs="Arial"/>
                <w:b/>
                <w:sz w:val="20"/>
                <w:szCs w:val="20"/>
              </w:rPr>
            </w:pPr>
            <w:r w:rsidRPr="008A26D2">
              <w:rPr>
                <w:rFonts w:ascii="Arial" w:hAnsi="Arial" w:cs="Arial"/>
                <w:b/>
                <w:sz w:val="20"/>
                <w:szCs w:val="20"/>
              </w:rPr>
              <w:t xml:space="preserve"> Estándar (es) de cumplimiento</w:t>
            </w:r>
          </w:p>
        </w:tc>
        <w:tc>
          <w:tcPr>
            <w:tcW w:w="708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3565FAB9" w14:textId="77777777" w:rsidR="002D189A" w:rsidRPr="008A26D2" w:rsidRDefault="002D189A" w:rsidP="002D189A">
            <w:pPr>
              <w:tabs>
                <w:tab w:val="left" w:pos="3375"/>
              </w:tabs>
              <w:spacing w:after="0" w:line="240" w:lineRule="auto"/>
              <w:ind w:left="128"/>
              <w:rPr>
                <w:rFonts w:ascii="Arial" w:hAnsi="Arial" w:cs="Arial"/>
                <w:sz w:val="20"/>
                <w:szCs w:val="20"/>
              </w:rPr>
            </w:pPr>
            <w:r w:rsidRPr="008A26D2">
              <w:rPr>
                <w:rFonts w:ascii="Arial" w:hAnsi="Arial" w:cs="Arial"/>
                <w:sz w:val="20"/>
                <w:szCs w:val="20"/>
              </w:rPr>
              <w:t>Percepción</w:t>
            </w:r>
          </w:p>
        </w:tc>
      </w:tr>
      <w:tr w:rsidR="008A26D2" w:rsidRPr="008A26D2" w14:paraId="3D073313" w14:textId="77777777" w:rsidTr="0079746D">
        <w:trPr>
          <w:trHeight w:val="300"/>
          <w:jc w:val="center"/>
        </w:trPr>
        <w:tc>
          <w:tcPr>
            <w:tcW w:w="18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93BE650" w14:textId="77777777" w:rsidR="002D189A" w:rsidRPr="008A26D2" w:rsidRDefault="002D189A" w:rsidP="002D189A">
            <w:pPr>
              <w:tabs>
                <w:tab w:val="left" w:pos="3375"/>
              </w:tabs>
              <w:spacing w:after="0" w:line="240" w:lineRule="auto"/>
              <w:rPr>
                <w:rFonts w:ascii="Arial" w:hAnsi="Arial" w:cs="Arial"/>
                <w:b/>
                <w:sz w:val="20"/>
                <w:szCs w:val="20"/>
              </w:rPr>
            </w:pPr>
            <w:r w:rsidRPr="008A26D2">
              <w:rPr>
                <w:rFonts w:ascii="Arial" w:hAnsi="Arial" w:cs="Arial"/>
                <w:b/>
                <w:sz w:val="20"/>
                <w:szCs w:val="20"/>
              </w:rPr>
              <w:t xml:space="preserve"> Descripción del estándar</w:t>
            </w:r>
          </w:p>
        </w:tc>
        <w:tc>
          <w:tcPr>
            <w:tcW w:w="708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35" w:type="dxa"/>
              <w:bottom w:w="0" w:type="dxa"/>
              <w:right w:w="15" w:type="dxa"/>
            </w:tcMar>
            <w:vAlign w:val="center"/>
          </w:tcPr>
          <w:p w14:paraId="49FF4AFA" w14:textId="2D4C6774" w:rsidR="002D189A" w:rsidRPr="008A26D2" w:rsidRDefault="002D189A" w:rsidP="002D189A">
            <w:pPr>
              <w:pBdr>
                <w:top w:val="nil"/>
                <w:left w:val="nil"/>
                <w:bottom w:val="nil"/>
                <w:right w:val="nil"/>
                <w:between w:val="nil"/>
              </w:pBdr>
              <w:tabs>
                <w:tab w:val="left" w:pos="3375"/>
              </w:tabs>
              <w:spacing w:after="0" w:line="240" w:lineRule="auto"/>
              <w:jc w:val="both"/>
              <w:rPr>
                <w:rFonts w:ascii="Arial" w:hAnsi="Arial" w:cs="Arial"/>
                <w:sz w:val="20"/>
                <w:szCs w:val="20"/>
              </w:rPr>
            </w:pPr>
            <w:r w:rsidRPr="008A26D2">
              <w:rPr>
                <w:rFonts w:ascii="Arial" w:hAnsi="Arial" w:cs="Arial"/>
                <w:sz w:val="20"/>
                <w:szCs w:val="20"/>
              </w:rPr>
              <w:t>El estándar del servicio es de percepción debido a que éste satisface las necesidades de las unidades productivas de la cadena forestal, madera y textil respecto a la asistencia técnica en diseño y desarrollo de productos.</w:t>
            </w:r>
          </w:p>
          <w:p w14:paraId="61EC3056" w14:textId="77777777" w:rsidR="002D189A" w:rsidRPr="008A26D2" w:rsidRDefault="002D189A" w:rsidP="002D189A">
            <w:pPr>
              <w:tabs>
                <w:tab w:val="left" w:pos="3375"/>
              </w:tabs>
              <w:spacing w:after="0" w:line="240" w:lineRule="auto"/>
              <w:jc w:val="both"/>
              <w:rPr>
                <w:rFonts w:ascii="Arial" w:hAnsi="Arial" w:cs="Arial"/>
                <w:sz w:val="20"/>
                <w:szCs w:val="20"/>
              </w:rPr>
            </w:pPr>
          </w:p>
        </w:tc>
      </w:tr>
      <w:tr w:rsidR="002D189A" w:rsidRPr="008A26D2" w14:paraId="4EB1953B" w14:textId="77777777" w:rsidTr="0079746D">
        <w:trPr>
          <w:trHeight w:val="491"/>
          <w:jc w:val="center"/>
        </w:trPr>
        <w:tc>
          <w:tcPr>
            <w:tcW w:w="18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83F45F4" w14:textId="1CA77EAD" w:rsidR="002D189A" w:rsidRPr="008A26D2" w:rsidRDefault="002D189A" w:rsidP="002D189A">
            <w:pPr>
              <w:tabs>
                <w:tab w:val="left" w:pos="3375"/>
              </w:tabs>
              <w:spacing w:after="0" w:line="240" w:lineRule="auto"/>
              <w:rPr>
                <w:rFonts w:ascii="Arial" w:hAnsi="Arial" w:cs="Arial"/>
                <w:b/>
                <w:sz w:val="20"/>
                <w:szCs w:val="20"/>
              </w:rPr>
            </w:pPr>
            <w:r w:rsidRPr="008A26D2">
              <w:rPr>
                <w:rFonts w:ascii="Arial" w:hAnsi="Arial" w:cs="Arial"/>
                <w:b/>
                <w:sz w:val="20"/>
                <w:szCs w:val="20"/>
              </w:rPr>
              <w:t xml:space="preserve">Indicador </w:t>
            </w:r>
            <w:r w:rsidR="00324662">
              <w:rPr>
                <w:rFonts w:ascii="Arial" w:hAnsi="Arial" w:cs="Arial"/>
                <w:b/>
                <w:sz w:val="20"/>
                <w:szCs w:val="20"/>
              </w:rPr>
              <w:t>de calidad</w:t>
            </w:r>
          </w:p>
        </w:tc>
        <w:tc>
          <w:tcPr>
            <w:tcW w:w="708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E6B8A9E" w14:textId="3C72EB71" w:rsidR="002D189A" w:rsidRPr="008A26D2" w:rsidRDefault="002D189A" w:rsidP="002D189A">
            <w:pPr>
              <w:tabs>
                <w:tab w:val="left" w:pos="3375"/>
              </w:tabs>
              <w:spacing w:after="0" w:line="240" w:lineRule="auto"/>
              <w:ind w:left="128"/>
              <w:jc w:val="both"/>
              <w:rPr>
                <w:rFonts w:ascii="Arial" w:hAnsi="Arial" w:cs="Arial"/>
                <w:sz w:val="20"/>
                <w:szCs w:val="20"/>
              </w:rPr>
            </w:pPr>
            <w:r w:rsidRPr="008A26D2">
              <w:rPr>
                <w:rFonts w:ascii="Arial" w:hAnsi="Arial" w:cs="Arial"/>
                <w:sz w:val="20"/>
                <w:szCs w:val="20"/>
              </w:rPr>
              <w:t xml:space="preserve">Porcentaje de unidades productivas de la cadena forestal, madera y textil </w:t>
            </w:r>
            <w:r w:rsidR="006C5B77" w:rsidRPr="008A26D2">
              <w:rPr>
                <w:rFonts w:ascii="Arial" w:hAnsi="Arial" w:cs="Arial"/>
                <w:sz w:val="20"/>
                <w:szCs w:val="20"/>
              </w:rPr>
              <w:t xml:space="preserve">satisfechas </w:t>
            </w:r>
            <w:r w:rsidRPr="008A26D2">
              <w:rPr>
                <w:rFonts w:ascii="Arial" w:hAnsi="Arial" w:cs="Arial"/>
                <w:sz w:val="20"/>
                <w:szCs w:val="20"/>
              </w:rPr>
              <w:t xml:space="preserve">con la </w:t>
            </w:r>
            <w:r w:rsidR="006C5B77">
              <w:rPr>
                <w:rFonts w:ascii="Arial" w:hAnsi="Arial" w:cs="Arial"/>
                <w:sz w:val="20"/>
                <w:szCs w:val="20"/>
              </w:rPr>
              <w:t>a</w:t>
            </w:r>
            <w:r w:rsidRPr="008A26D2">
              <w:rPr>
                <w:rFonts w:ascii="Arial" w:hAnsi="Arial" w:cs="Arial"/>
                <w:sz w:val="20"/>
                <w:szCs w:val="20"/>
              </w:rPr>
              <w:t xml:space="preserve">sistencia </w:t>
            </w:r>
            <w:r w:rsidR="006C5B77">
              <w:rPr>
                <w:rFonts w:ascii="Arial" w:hAnsi="Arial" w:cs="Arial"/>
                <w:sz w:val="20"/>
                <w:szCs w:val="20"/>
              </w:rPr>
              <w:t>t</w:t>
            </w:r>
            <w:r w:rsidRPr="008A26D2">
              <w:rPr>
                <w:rFonts w:ascii="Arial" w:hAnsi="Arial" w:cs="Arial"/>
                <w:sz w:val="20"/>
                <w:szCs w:val="20"/>
              </w:rPr>
              <w:t xml:space="preserve">écnica </w:t>
            </w:r>
            <w:r w:rsidR="006C5B77">
              <w:rPr>
                <w:rFonts w:ascii="Arial" w:hAnsi="Arial" w:cs="Arial"/>
                <w:sz w:val="20"/>
                <w:szCs w:val="20"/>
              </w:rPr>
              <w:t xml:space="preserve">brindada </w:t>
            </w:r>
            <w:r w:rsidRPr="008A26D2">
              <w:rPr>
                <w:rFonts w:ascii="Arial" w:hAnsi="Arial" w:cs="Arial"/>
                <w:sz w:val="20"/>
                <w:szCs w:val="20"/>
              </w:rPr>
              <w:t xml:space="preserve">en </w:t>
            </w:r>
            <w:r w:rsidR="006C5B77">
              <w:rPr>
                <w:rFonts w:ascii="Arial" w:hAnsi="Arial" w:cs="Arial"/>
                <w:sz w:val="20"/>
                <w:szCs w:val="20"/>
              </w:rPr>
              <w:t>d</w:t>
            </w:r>
            <w:r w:rsidRPr="008A26D2">
              <w:rPr>
                <w:rFonts w:ascii="Arial" w:hAnsi="Arial" w:cs="Arial"/>
                <w:sz w:val="20"/>
                <w:szCs w:val="20"/>
              </w:rPr>
              <w:t xml:space="preserve">iseño y </w:t>
            </w:r>
            <w:r w:rsidR="006C5B77">
              <w:rPr>
                <w:rFonts w:ascii="Arial" w:hAnsi="Arial" w:cs="Arial"/>
                <w:sz w:val="20"/>
                <w:szCs w:val="20"/>
              </w:rPr>
              <w:t>d</w:t>
            </w:r>
            <w:r w:rsidRPr="008A26D2">
              <w:rPr>
                <w:rFonts w:ascii="Arial" w:hAnsi="Arial" w:cs="Arial"/>
                <w:sz w:val="20"/>
                <w:szCs w:val="20"/>
              </w:rPr>
              <w:t xml:space="preserve">esarrollo de </w:t>
            </w:r>
            <w:r w:rsidR="006C5B77">
              <w:rPr>
                <w:rFonts w:ascii="Arial" w:hAnsi="Arial" w:cs="Arial"/>
                <w:sz w:val="20"/>
                <w:szCs w:val="20"/>
              </w:rPr>
              <w:t>p</w:t>
            </w:r>
            <w:r w:rsidRPr="008A26D2">
              <w:rPr>
                <w:rFonts w:ascii="Arial" w:hAnsi="Arial" w:cs="Arial"/>
                <w:sz w:val="20"/>
                <w:szCs w:val="20"/>
              </w:rPr>
              <w:t xml:space="preserve">roductos </w:t>
            </w:r>
          </w:p>
        </w:tc>
      </w:tr>
    </w:tbl>
    <w:p w14:paraId="0286988D" w14:textId="77777777" w:rsidR="0079746D" w:rsidRPr="008A26D2" w:rsidRDefault="0079746D">
      <w:pPr>
        <w:rPr>
          <w:rFonts w:ascii="Arial Narrow" w:eastAsia="Arial Narrow" w:hAnsi="Arial Narrow" w:cs="Arial Narrow"/>
          <w:b/>
        </w:rPr>
      </w:pPr>
    </w:p>
    <w:p w14:paraId="1B23FE5D" w14:textId="4EE2025C" w:rsidR="00F40748" w:rsidRPr="008A26D2" w:rsidRDefault="00F40748">
      <w:pPr>
        <w:rPr>
          <w:rFonts w:ascii="Arial Narrow" w:eastAsia="Arial Narrow" w:hAnsi="Arial Narrow" w:cs="Arial Narrow"/>
          <w:b/>
        </w:rPr>
      </w:pPr>
    </w:p>
    <w:p w14:paraId="35492B48" w14:textId="5D0C1EA6" w:rsidR="00E457BC" w:rsidRPr="008A26D2" w:rsidRDefault="00E457BC" w:rsidP="00E457BC">
      <w:pPr>
        <w:pBdr>
          <w:top w:val="nil"/>
          <w:left w:val="nil"/>
          <w:bottom w:val="nil"/>
          <w:right w:val="nil"/>
          <w:between w:val="nil"/>
        </w:pBdr>
        <w:spacing w:after="0" w:line="240" w:lineRule="auto"/>
        <w:jc w:val="both"/>
        <w:rPr>
          <w:rFonts w:ascii="Arial" w:eastAsia="Arial Narrow" w:hAnsi="Arial" w:cs="Arial"/>
        </w:rPr>
      </w:pPr>
      <w:r w:rsidRPr="008A26D2">
        <w:rPr>
          <w:rFonts w:ascii="Arial" w:eastAsia="Arial Narrow" w:hAnsi="Arial" w:cs="Arial"/>
          <w:b/>
          <w:bCs/>
        </w:rPr>
        <w:t>S2.6.1.</w:t>
      </w:r>
      <w:r w:rsidRPr="008A26D2">
        <w:rPr>
          <w:rFonts w:ascii="Arial" w:eastAsia="Arial Narrow" w:hAnsi="Arial" w:cs="Arial"/>
        </w:rPr>
        <w:t xml:space="preserve"> Fortalecimiento de capacidades para el cumplimiento de criterios técnicos y normativos en el proceso de transformación de productos de fibra de vicuña de forma satisfactoria a los titulares de manejo.</w:t>
      </w:r>
    </w:p>
    <w:p w14:paraId="4F8175B0" w14:textId="00FE41C6" w:rsidR="00F40748" w:rsidRPr="008A26D2" w:rsidRDefault="00F40748">
      <w:pPr>
        <w:rPr>
          <w:rFonts w:ascii="Arial Narrow" w:eastAsia="Arial Narrow" w:hAnsi="Arial Narrow" w:cs="Arial Narrow"/>
          <w:b/>
        </w:rPr>
      </w:pPr>
    </w:p>
    <w:tbl>
      <w:tblPr>
        <w:tblW w:w="8758" w:type="dxa"/>
        <w:jc w:val="center"/>
        <w:tblLayout w:type="fixed"/>
        <w:tblLook w:val="0600" w:firstRow="0" w:lastRow="0" w:firstColumn="0" w:lastColumn="0" w:noHBand="1" w:noVBand="1"/>
      </w:tblPr>
      <w:tblGrid>
        <w:gridCol w:w="2409"/>
        <w:gridCol w:w="2116"/>
        <w:gridCol w:w="2116"/>
        <w:gridCol w:w="2117"/>
      </w:tblGrid>
      <w:tr w:rsidR="008A26D2" w:rsidRPr="008A26D2" w14:paraId="7B4ED054" w14:textId="77777777" w:rsidTr="00E457BC">
        <w:trPr>
          <w:trHeight w:val="300"/>
          <w:jc w:val="center"/>
        </w:trPr>
        <w:tc>
          <w:tcPr>
            <w:tcW w:w="8758" w:type="dxa"/>
            <w:gridSpan w:val="4"/>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vAlign w:val="center"/>
          </w:tcPr>
          <w:p w14:paraId="416C859E" w14:textId="0907ED75" w:rsidR="00E457BC" w:rsidRPr="008A26D2" w:rsidRDefault="00E457BC" w:rsidP="0072651A">
            <w:pPr>
              <w:jc w:val="center"/>
              <w:rPr>
                <w:rFonts w:ascii="Arial" w:eastAsia="Arial Narrow" w:hAnsi="Arial" w:cs="Arial"/>
                <w:sz w:val="20"/>
                <w:szCs w:val="20"/>
              </w:rPr>
            </w:pPr>
            <w:r w:rsidRPr="008A26D2">
              <w:rPr>
                <w:rFonts w:ascii="Arial" w:eastAsia="Arial Narrow" w:hAnsi="Arial" w:cs="Arial"/>
                <w:b/>
                <w:sz w:val="20"/>
                <w:szCs w:val="20"/>
              </w:rPr>
              <w:t xml:space="preserve">FICHA DEL SERVICIO </w:t>
            </w:r>
          </w:p>
        </w:tc>
      </w:tr>
      <w:tr w:rsidR="008A26D2" w:rsidRPr="008A26D2" w14:paraId="1ADD9A33" w14:textId="77777777" w:rsidTr="00E457BC">
        <w:trPr>
          <w:trHeight w:val="300"/>
          <w:jc w:val="center"/>
        </w:trPr>
        <w:tc>
          <w:tcPr>
            <w:tcW w:w="24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99B2B71" w14:textId="77777777" w:rsidR="00E457BC" w:rsidRPr="008A26D2" w:rsidRDefault="00E457BC" w:rsidP="0072651A">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 xml:space="preserve"> Objetivo prioritario:</w:t>
            </w:r>
          </w:p>
        </w:tc>
        <w:tc>
          <w:tcPr>
            <w:tcW w:w="634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0DE4A84" w14:textId="77777777" w:rsidR="00E457BC" w:rsidRPr="008A26D2" w:rsidRDefault="00E457BC" w:rsidP="0072651A">
            <w:pPr>
              <w:pBdr>
                <w:top w:val="nil"/>
                <w:left w:val="nil"/>
                <w:bottom w:val="nil"/>
                <w:right w:val="nil"/>
                <w:between w:val="nil"/>
              </w:pBdr>
              <w:spacing w:after="0" w:line="240" w:lineRule="auto"/>
              <w:ind w:left="141" w:firstLine="15"/>
              <w:jc w:val="both"/>
              <w:rPr>
                <w:rFonts w:ascii="Arial" w:eastAsia="Arial Narrow" w:hAnsi="Arial" w:cs="Arial"/>
                <w:sz w:val="20"/>
                <w:szCs w:val="20"/>
              </w:rPr>
            </w:pPr>
            <w:r w:rsidRPr="008A26D2">
              <w:rPr>
                <w:rFonts w:ascii="Arial" w:eastAsia="Arial Narrow" w:hAnsi="Arial" w:cs="Arial"/>
                <w:sz w:val="20"/>
                <w:szCs w:val="20"/>
              </w:rPr>
              <w:t>OP2 Incrementar la productividad de los ecosistemas forestales, otros ecosistemas de vegetación silvestre y de la fauna silvestre</w:t>
            </w:r>
          </w:p>
        </w:tc>
      </w:tr>
      <w:tr w:rsidR="008A26D2" w:rsidRPr="008A26D2" w14:paraId="4676E6F9" w14:textId="77777777" w:rsidTr="00E457BC">
        <w:trPr>
          <w:trHeight w:val="300"/>
          <w:jc w:val="center"/>
        </w:trPr>
        <w:tc>
          <w:tcPr>
            <w:tcW w:w="24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2714DE6" w14:textId="77777777" w:rsidR="00E457BC" w:rsidRPr="008A26D2" w:rsidRDefault="00E457BC" w:rsidP="0072651A">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 xml:space="preserve"> Lineamiento:</w:t>
            </w:r>
          </w:p>
        </w:tc>
        <w:tc>
          <w:tcPr>
            <w:tcW w:w="634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FC65350" w14:textId="77777777" w:rsidR="00E457BC" w:rsidRPr="008A26D2" w:rsidRDefault="00E457BC" w:rsidP="0072651A">
            <w:pPr>
              <w:pBdr>
                <w:top w:val="nil"/>
                <w:left w:val="nil"/>
                <w:bottom w:val="nil"/>
                <w:right w:val="nil"/>
                <w:between w:val="nil"/>
              </w:pBdr>
              <w:spacing w:after="0" w:line="240" w:lineRule="auto"/>
              <w:ind w:left="141" w:firstLine="15"/>
              <w:jc w:val="both"/>
              <w:rPr>
                <w:rFonts w:ascii="Arial" w:eastAsia="Arial Narrow" w:hAnsi="Arial" w:cs="Arial"/>
                <w:sz w:val="20"/>
                <w:szCs w:val="20"/>
              </w:rPr>
            </w:pPr>
            <w:r w:rsidRPr="008A26D2">
              <w:rPr>
                <w:rFonts w:ascii="Arial" w:eastAsia="Arial Narrow" w:hAnsi="Arial" w:cs="Arial"/>
                <w:sz w:val="20"/>
                <w:szCs w:val="20"/>
              </w:rPr>
              <w:t>L.2.6 Incrementar el comercio nacional e internacional de especímenes, productos y subproductos de flora y de fauna silvestre provenientes de actividades de aprovechamiento autorizadas.</w:t>
            </w:r>
          </w:p>
        </w:tc>
      </w:tr>
      <w:tr w:rsidR="008A26D2" w:rsidRPr="008A26D2" w14:paraId="73C01A5F" w14:textId="77777777" w:rsidTr="00E457BC">
        <w:trPr>
          <w:trHeight w:val="300"/>
          <w:jc w:val="center"/>
        </w:trPr>
        <w:tc>
          <w:tcPr>
            <w:tcW w:w="24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A87C02A" w14:textId="77777777" w:rsidR="00E457BC" w:rsidRPr="008A26D2" w:rsidRDefault="00E457BC" w:rsidP="0072651A">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lastRenderedPageBreak/>
              <w:t xml:space="preserve"> Nombre del servicio:</w:t>
            </w:r>
          </w:p>
        </w:tc>
        <w:tc>
          <w:tcPr>
            <w:tcW w:w="634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4E3DFB4" w14:textId="61FA5E9A" w:rsidR="00E457BC" w:rsidRPr="008A26D2" w:rsidRDefault="00E457BC" w:rsidP="0072651A">
            <w:pPr>
              <w:pBdr>
                <w:top w:val="nil"/>
                <w:left w:val="nil"/>
                <w:bottom w:val="nil"/>
                <w:right w:val="nil"/>
                <w:between w:val="nil"/>
              </w:pBdr>
              <w:spacing w:after="0" w:line="240" w:lineRule="auto"/>
              <w:ind w:left="141" w:firstLine="15"/>
              <w:jc w:val="both"/>
              <w:rPr>
                <w:rFonts w:ascii="Arial" w:eastAsia="Arial Narrow" w:hAnsi="Arial" w:cs="Arial"/>
                <w:sz w:val="20"/>
                <w:szCs w:val="20"/>
              </w:rPr>
            </w:pPr>
            <w:r w:rsidRPr="008A26D2">
              <w:rPr>
                <w:rFonts w:ascii="Arial" w:eastAsia="Arial Narrow" w:hAnsi="Arial" w:cs="Arial"/>
                <w:sz w:val="20"/>
                <w:szCs w:val="20"/>
              </w:rPr>
              <w:t>S2.6.1. Fortalecimiento de capacidades para el cumplimiento de criterios técnicos y normativos en el proceso de transformación de productos de fibra de vicuña de forma satisfactoria a los titulares de manejo.</w:t>
            </w:r>
          </w:p>
          <w:p w14:paraId="5509CB10" w14:textId="77777777" w:rsidR="00E457BC" w:rsidRPr="008A26D2" w:rsidRDefault="00E457BC" w:rsidP="0072651A">
            <w:pPr>
              <w:pBdr>
                <w:top w:val="nil"/>
                <w:left w:val="nil"/>
                <w:bottom w:val="nil"/>
                <w:right w:val="nil"/>
                <w:between w:val="nil"/>
              </w:pBdr>
              <w:spacing w:after="0" w:line="240" w:lineRule="auto"/>
              <w:ind w:left="141" w:firstLine="15"/>
              <w:jc w:val="both"/>
              <w:rPr>
                <w:rFonts w:ascii="Arial" w:eastAsia="Arial Narrow" w:hAnsi="Arial" w:cs="Arial"/>
                <w:sz w:val="20"/>
                <w:szCs w:val="20"/>
              </w:rPr>
            </w:pPr>
          </w:p>
        </w:tc>
      </w:tr>
      <w:tr w:rsidR="008A26D2" w:rsidRPr="008A26D2" w14:paraId="13D097E3" w14:textId="77777777" w:rsidTr="00E457BC">
        <w:trPr>
          <w:trHeight w:val="300"/>
          <w:jc w:val="center"/>
        </w:trPr>
        <w:tc>
          <w:tcPr>
            <w:tcW w:w="24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BC0AE7E" w14:textId="77777777" w:rsidR="00E457BC" w:rsidRPr="008A26D2" w:rsidRDefault="00E457BC" w:rsidP="0072651A">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Tipo de servicio:</w:t>
            </w:r>
          </w:p>
        </w:tc>
        <w:tc>
          <w:tcPr>
            <w:tcW w:w="634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9F2D48B" w14:textId="77777777" w:rsidR="00E457BC" w:rsidRPr="008A26D2" w:rsidRDefault="00E457BC" w:rsidP="0072651A">
            <w:pPr>
              <w:pBdr>
                <w:top w:val="nil"/>
                <w:left w:val="nil"/>
                <w:bottom w:val="nil"/>
                <w:right w:val="nil"/>
                <w:between w:val="nil"/>
              </w:pBdr>
              <w:spacing w:after="0" w:line="240" w:lineRule="auto"/>
              <w:ind w:left="141" w:firstLine="15"/>
              <w:jc w:val="both"/>
              <w:rPr>
                <w:rFonts w:ascii="Arial" w:eastAsia="Arial Narrow" w:hAnsi="Arial" w:cs="Arial"/>
                <w:sz w:val="20"/>
                <w:szCs w:val="20"/>
              </w:rPr>
            </w:pPr>
            <w:r w:rsidRPr="008A26D2">
              <w:rPr>
                <w:rFonts w:ascii="Arial" w:eastAsia="Arial Narrow" w:hAnsi="Arial" w:cs="Arial"/>
                <w:sz w:val="20"/>
                <w:szCs w:val="20"/>
              </w:rPr>
              <w:t>Mejorado</w:t>
            </w:r>
          </w:p>
        </w:tc>
      </w:tr>
      <w:tr w:rsidR="008A26D2" w:rsidRPr="008A26D2" w14:paraId="78605ADE" w14:textId="77777777" w:rsidTr="00E457BC">
        <w:trPr>
          <w:trHeight w:val="300"/>
          <w:jc w:val="center"/>
        </w:trPr>
        <w:tc>
          <w:tcPr>
            <w:tcW w:w="24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9C52135" w14:textId="6DC110C7" w:rsidR="002D189A" w:rsidRPr="008A26D2" w:rsidRDefault="002D189A" w:rsidP="002D189A">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hAnsi="Arial" w:cs="Arial"/>
                <w:b/>
                <w:sz w:val="20"/>
                <w:szCs w:val="20"/>
              </w:rPr>
              <w:t>Naturaleza del servicio:</w:t>
            </w:r>
          </w:p>
        </w:tc>
        <w:tc>
          <w:tcPr>
            <w:tcW w:w="634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A97B0A5" w14:textId="11ED3DEC" w:rsidR="002D189A" w:rsidRPr="008A26D2" w:rsidRDefault="00A32B05" w:rsidP="002D189A">
            <w:pPr>
              <w:pBdr>
                <w:top w:val="nil"/>
                <w:left w:val="nil"/>
                <w:bottom w:val="nil"/>
                <w:right w:val="nil"/>
                <w:between w:val="nil"/>
              </w:pBdr>
              <w:spacing w:after="0" w:line="240" w:lineRule="auto"/>
              <w:ind w:left="141" w:firstLine="15"/>
              <w:jc w:val="both"/>
              <w:rPr>
                <w:rFonts w:ascii="Arial" w:eastAsia="Arial Narrow" w:hAnsi="Arial" w:cs="Arial"/>
                <w:sz w:val="20"/>
                <w:szCs w:val="20"/>
              </w:rPr>
            </w:pPr>
            <w:r w:rsidRPr="008A26D2">
              <w:rPr>
                <w:rFonts w:ascii="Arial" w:eastAsia="Arial Narrow" w:hAnsi="Arial" w:cs="Arial"/>
                <w:sz w:val="20"/>
                <w:szCs w:val="20"/>
              </w:rPr>
              <w:t>P</w:t>
            </w:r>
            <w:r w:rsidR="002D189A" w:rsidRPr="008A26D2">
              <w:rPr>
                <w:rFonts w:ascii="Arial" w:eastAsia="Arial Narrow" w:hAnsi="Arial" w:cs="Arial"/>
                <w:sz w:val="20"/>
                <w:szCs w:val="20"/>
              </w:rPr>
              <w:t>restacional</w:t>
            </w:r>
          </w:p>
        </w:tc>
      </w:tr>
      <w:tr w:rsidR="008A26D2" w:rsidRPr="008A26D2" w14:paraId="5795B622" w14:textId="77777777" w:rsidTr="00E457BC">
        <w:trPr>
          <w:trHeight w:val="300"/>
          <w:jc w:val="center"/>
        </w:trPr>
        <w:tc>
          <w:tcPr>
            <w:tcW w:w="24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2C11704" w14:textId="776594BB" w:rsidR="002D189A" w:rsidRPr="008A26D2" w:rsidRDefault="002D189A" w:rsidP="002D189A">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hAnsi="Arial" w:cs="Arial"/>
                <w:b/>
                <w:sz w:val="20"/>
                <w:szCs w:val="20"/>
              </w:rPr>
              <w:t>Entrega del servicio</w:t>
            </w:r>
          </w:p>
        </w:tc>
        <w:tc>
          <w:tcPr>
            <w:tcW w:w="634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49C9F3D" w14:textId="4958936B" w:rsidR="002D189A" w:rsidRPr="008A26D2" w:rsidRDefault="002D189A" w:rsidP="002D189A">
            <w:pPr>
              <w:pBdr>
                <w:top w:val="nil"/>
                <w:left w:val="nil"/>
                <w:bottom w:val="nil"/>
                <w:right w:val="nil"/>
                <w:between w:val="nil"/>
              </w:pBdr>
              <w:spacing w:after="0" w:line="240" w:lineRule="auto"/>
              <w:ind w:left="141" w:firstLine="15"/>
              <w:jc w:val="both"/>
              <w:rPr>
                <w:rFonts w:ascii="Arial" w:eastAsia="Arial Narrow" w:hAnsi="Arial" w:cs="Arial"/>
                <w:sz w:val="20"/>
                <w:szCs w:val="20"/>
              </w:rPr>
            </w:pPr>
            <w:r w:rsidRPr="008A26D2">
              <w:rPr>
                <w:rFonts w:ascii="Arial" w:eastAsia="Arial Narrow" w:hAnsi="Arial" w:cs="Arial"/>
                <w:sz w:val="20"/>
                <w:szCs w:val="20"/>
              </w:rPr>
              <w:t xml:space="preserve">Competencia exclusiva </w:t>
            </w:r>
          </w:p>
        </w:tc>
      </w:tr>
      <w:tr w:rsidR="008A26D2" w:rsidRPr="008A26D2" w14:paraId="33651485" w14:textId="77777777" w:rsidTr="00E457BC">
        <w:trPr>
          <w:trHeight w:val="300"/>
          <w:jc w:val="center"/>
        </w:trPr>
        <w:tc>
          <w:tcPr>
            <w:tcW w:w="24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45FAC91" w14:textId="77777777" w:rsidR="002D189A" w:rsidRPr="008A26D2" w:rsidRDefault="002D189A" w:rsidP="002D189A">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 xml:space="preserve"> Descripción del servicio</w:t>
            </w:r>
          </w:p>
        </w:tc>
        <w:tc>
          <w:tcPr>
            <w:tcW w:w="634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56C0CFF" w14:textId="77777777" w:rsidR="002D189A" w:rsidRPr="008A26D2" w:rsidRDefault="002D189A" w:rsidP="002D189A">
            <w:pPr>
              <w:spacing w:after="0" w:line="240" w:lineRule="auto"/>
              <w:ind w:left="141" w:firstLine="15"/>
              <w:jc w:val="both"/>
              <w:rPr>
                <w:rFonts w:ascii="Arial" w:eastAsia="Arial Narrow" w:hAnsi="Arial" w:cs="Arial"/>
                <w:sz w:val="20"/>
                <w:szCs w:val="20"/>
              </w:rPr>
            </w:pPr>
          </w:p>
          <w:p w14:paraId="3D3B4FB4" w14:textId="77777777" w:rsidR="002D189A" w:rsidRPr="008A26D2" w:rsidRDefault="002D189A" w:rsidP="002D189A">
            <w:pPr>
              <w:spacing w:after="0" w:line="240" w:lineRule="auto"/>
              <w:ind w:left="141" w:firstLine="15"/>
              <w:jc w:val="both"/>
              <w:rPr>
                <w:rFonts w:ascii="Arial" w:eastAsia="Arial Narrow" w:hAnsi="Arial" w:cs="Arial"/>
                <w:sz w:val="20"/>
                <w:szCs w:val="20"/>
              </w:rPr>
            </w:pPr>
            <w:r w:rsidRPr="008A26D2">
              <w:rPr>
                <w:rFonts w:ascii="Arial" w:eastAsia="Arial Narrow" w:hAnsi="Arial" w:cs="Arial"/>
                <w:sz w:val="20"/>
                <w:szCs w:val="20"/>
              </w:rPr>
              <w:t xml:space="preserve">El servicio consiste en brindar procesos de capacitación a los titulares de manejo de vicuña a nivel nacional, a través de talleres, charlas, campañas, entre otros, que permita transmitir criterios técnicos y normativos adecuados. Los temas por desarrollar son los siguientes: esquila mecánica, procesos de limpieza y descerdado del vellón de fibra de vicuña, procesos de valor agregado en la fibra de vicuña para la obtención de productos como hilo, fieltro y prendas elaboradas con calidad para los nichos de mercado local y en el exterior acorde a la normativa, entre otros. </w:t>
            </w:r>
          </w:p>
          <w:p w14:paraId="276D87A8" w14:textId="77777777" w:rsidR="002D189A" w:rsidRPr="008A26D2" w:rsidRDefault="002D189A" w:rsidP="002D189A">
            <w:pPr>
              <w:pBdr>
                <w:top w:val="nil"/>
                <w:left w:val="nil"/>
                <w:bottom w:val="nil"/>
                <w:right w:val="nil"/>
                <w:between w:val="nil"/>
              </w:pBdr>
              <w:spacing w:after="0" w:line="240" w:lineRule="auto"/>
              <w:ind w:left="141" w:firstLine="15"/>
              <w:jc w:val="both"/>
              <w:rPr>
                <w:rFonts w:ascii="Arial" w:eastAsia="Arial Narrow" w:hAnsi="Arial" w:cs="Arial"/>
                <w:sz w:val="20"/>
                <w:szCs w:val="20"/>
              </w:rPr>
            </w:pPr>
          </w:p>
          <w:p w14:paraId="2FF9F4A6" w14:textId="3AB61F6A" w:rsidR="002D189A" w:rsidRPr="008A26D2" w:rsidRDefault="002D189A" w:rsidP="002D189A">
            <w:pPr>
              <w:pBdr>
                <w:top w:val="nil"/>
                <w:left w:val="nil"/>
                <w:bottom w:val="nil"/>
                <w:right w:val="nil"/>
                <w:between w:val="nil"/>
              </w:pBdr>
              <w:spacing w:after="0" w:line="240" w:lineRule="auto"/>
              <w:ind w:left="141" w:firstLine="15"/>
              <w:jc w:val="both"/>
              <w:rPr>
                <w:rFonts w:ascii="Arial" w:eastAsia="Arial Narrow" w:hAnsi="Arial" w:cs="Arial"/>
                <w:sz w:val="20"/>
                <w:szCs w:val="20"/>
              </w:rPr>
            </w:pPr>
            <w:r w:rsidRPr="008A26D2">
              <w:rPr>
                <w:rFonts w:ascii="Arial" w:eastAsia="Arial Narrow" w:hAnsi="Arial" w:cs="Arial"/>
                <w:sz w:val="20"/>
                <w:szCs w:val="20"/>
              </w:rPr>
              <w:t xml:space="preserve">Las capacitaciones abarcan la aplicación de criterios técnicos, normativos, Normas Técnicas Peruanas </w:t>
            </w:r>
            <w:r w:rsidR="004E7D4B">
              <w:rPr>
                <w:rFonts w:ascii="Arial" w:eastAsia="Arial Narrow" w:hAnsi="Arial" w:cs="Arial"/>
                <w:sz w:val="20"/>
                <w:szCs w:val="20"/>
              </w:rPr>
              <w:t xml:space="preserve">- </w:t>
            </w:r>
            <w:r w:rsidRPr="008A26D2">
              <w:rPr>
                <w:rFonts w:ascii="Arial" w:eastAsia="Arial Narrow" w:hAnsi="Arial" w:cs="Arial"/>
                <w:sz w:val="20"/>
                <w:szCs w:val="20"/>
              </w:rPr>
              <w:t>NTP, protocolo de buenas prácticas, así como promover y difundir las ventajas sobre uso de la marca VICUÑA PERU y VICUÑA PERU ARTESANIA, vinculadas a la sostenibilidad del recurso.</w:t>
            </w:r>
          </w:p>
          <w:p w14:paraId="232B5C1F" w14:textId="77777777" w:rsidR="002D189A" w:rsidRPr="008A26D2" w:rsidRDefault="002D189A" w:rsidP="002D189A">
            <w:pPr>
              <w:pBdr>
                <w:top w:val="nil"/>
                <w:left w:val="nil"/>
                <w:bottom w:val="nil"/>
                <w:right w:val="nil"/>
                <w:between w:val="nil"/>
              </w:pBdr>
              <w:spacing w:after="0" w:line="240" w:lineRule="auto"/>
              <w:ind w:left="141" w:firstLine="15"/>
              <w:jc w:val="both"/>
              <w:rPr>
                <w:rFonts w:ascii="Arial" w:eastAsia="Arial Narrow" w:hAnsi="Arial" w:cs="Arial"/>
                <w:sz w:val="20"/>
                <w:szCs w:val="20"/>
              </w:rPr>
            </w:pPr>
          </w:p>
          <w:p w14:paraId="5179E69B" w14:textId="77777777" w:rsidR="002D189A" w:rsidRPr="008A26D2" w:rsidRDefault="002D189A" w:rsidP="002D189A">
            <w:pPr>
              <w:pBdr>
                <w:top w:val="nil"/>
                <w:left w:val="nil"/>
                <w:bottom w:val="nil"/>
                <w:right w:val="nil"/>
                <w:between w:val="nil"/>
              </w:pBdr>
              <w:spacing w:after="0" w:line="240" w:lineRule="auto"/>
              <w:ind w:left="141" w:firstLine="15"/>
              <w:jc w:val="both"/>
              <w:rPr>
                <w:rFonts w:ascii="Arial" w:eastAsia="Arial Narrow" w:hAnsi="Arial" w:cs="Arial"/>
                <w:sz w:val="20"/>
                <w:szCs w:val="20"/>
              </w:rPr>
            </w:pPr>
            <w:r w:rsidRPr="008A26D2">
              <w:rPr>
                <w:rFonts w:ascii="Arial" w:eastAsia="Arial Narrow" w:hAnsi="Arial" w:cs="Arial"/>
                <w:sz w:val="20"/>
                <w:szCs w:val="20"/>
              </w:rPr>
              <w:t>El servicio responde a las necesidades de la población objetivo, considerando prioritariamente las características geográficas, las sociales, las ambientales, las lingüísticas y culturales</w:t>
            </w:r>
          </w:p>
          <w:p w14:paraId="4C909DE0" w14:textId="77777777" w:rsidR="002D189A" w:rsidRPr="008A26D2" w:rsidRDefault="002D189A" w:rsidP="002D189A">
            <w:pPr>
              <w:pBdr>
                <w:top w:val="nil"/>
                <w:left w:val="nil"/>
                <w:bottom w:val="nil"/>
                <w:right w:val="nil"/>
                <w:between w:val="nil"/>
              </w:pBdr>
              <w:spacing w:after="0" w:line="240" w:lineRule="auto"/>
              <w:ind w:left="141" w:firstLine="15"/>
              <w:jc w:val="both"/>
              <w:rPr>
                <w:rFonts w:ascii="Arial" w:eastAsia="Arial Narrow" w:hAnsi="Arial" w:cs="Arial"/>
                <w:sz w:val="20"/>
                <w:szCs w:val="20"/>
              </w:rPr>
            </w:pPr>
          </w:p>
          <w:p w14:paraId="630584D9" w14:textId="77777777" w:rsidR="002D189A" w:rsidRPr="008A26D2" w:rsidRDefault="002D189A" w:rsidP="002D189A">
            <w:pPr>
              <w:pBdr>
                <w:top w:val="nil"/>
                <w:left w:val="nil"/>
                <w:bottom w:val="nil"/>
                <w:right w:val="nil"/>
                <w:between w:val="nil"/>
              </w:pBdr>
              <w:spacing w:after="0" w:line="240" w:lineRule="auto"/>
              <w:ind w:left="141" w:firstLine="15"/>
              <w:jc w:val="both"/>
              <w:rPr>
                <w:rFonts w:ascii="Arial" w:eastAsia="Arial Narrow" w:hAnsi="Arial" w:cs="Arial"/>
                <w:sz w:val="20"/>
                <w:szCs w:val="20"/>
              </w:rPr>
            </w:pPr>
            <w:r w:rsidRPr="008A26D2">
              <w:rPr>
                <w:rFonts w:ascii="Arial" w:eastAsia="Arial Narrow" w:hAnsi="Arial" w:cs="Arial"/>
                <w:sz w:val="20"/>
                <w:szCs w:val="20"/>
              </w:rPr>
              <w:t>El servicio es de tipo mejorado porque se estandarizan procedimientos y se abordarán nuevas metodologías de trabajo</w:t>
            </w:r>
          </w:p>
          <w:p w14:paraId="65C656F1" w14:textId="77777777" w:rsidR="002D189A" w:rsidRPr="008A26D2" w:rsidRDefault="002D189A" w:rsidP="002D189A">
            <w:pPr>
              <w:pBdr>
                <w:top w:val="nil"/>
                <w:left w:val="nil"/>
                <w:bottom w:val="nil"/>
                <w:right w:val="nil"/>
                <w:between w:val="nil"/>
              </w:pBdr>
              <w:spacing w:after="0" w:line="240" w:lineRule="auto"/>
              <w:ind w:left="141" w:firstLine="15"/>
              <w:jc w:val="both"/>
              <w:rPr>
                <w:rFonts w:ascii="Arial" w:eastAsia="Arial Narrow" w:hAnsi="Arial" w:cs="Arial"/>
                <w:sz w:val="20"/>
                <w:szCs w:val="20"/>
              </w:rPr>
            </w:pPr>
          </w:p>
          <w:p w14:paraId="05023ACA" w14:textId="77777777" w:rsidR="002D189A" w:rsidRPr="008A26D2" w:rsidRDefault="002D189A" w:rsidP="002D189A">
            <w:pPr>
              <w:pBdr>
                <w:top w:val="nil"/>
                <w:left w:val="nil"/>
                <w:bottom w:val="nil"/>
                <w:right w:val="nil"/>
                <w:between w:val="nil"/>
              </w:pBdr>
              <w:spacing w:after="0" w:line="240" w:lineRule="auto"/>
              <w:ind w:left="141" w:firstLine="15"/>
              <w:jc w:val="both"/>
              <w:rPr>
                <w:rFonts w:ascii="Arial" w:eastAsia="Arial Narrow" w:hAnsi="Arial" w:cs="Arial"/>
                <w:sz w:val="20"/>
                <w:szCs w:val="20"/>
              </w:rPr>
            </w:pPr>
            <w:r w:rsidRPr="008A26D2">
              <w:rPr>
                <w:rFonts w:ascii="Arial" w:eastAsia="Arial Narrow" w:hAnsi="Arial" w:cs="Arial"/>
                <w:sz w:val="20"/>
                <w:szCs w:val="20"/>
              </w:rPr>
              <w:t>El servicio contribuye a mejorar la competitividad del titular de manejo de vicuñas debido a que obtiene productos con mejor calidad. Ello a su vez permite incrementar el comercio nacional e internacional de productos de fibra de vicuña.</w:t>
            </w:r>
          </w:p>
          <w:p w14:paraId="419605B0" w14:textId="77777777" w:rsidR="002D189A" w:rsidRPr="008A26D2" w:rsidRDefault="002D189A" w:rsidP="002D189A">
            <w:pPr>
              <w:pBdr>
                <w:top w:val="nil"/>
                <w:left w:val="nil"/>
                <w:bottom w:val="nil"/>
                <w:right w:val="nil"/>
                <w:between w:val="nil"/>
              </w:pBdr>
              <w:spacing w:after="0" w:line="240" w:lineRule="auto"/>
              <w:ind w:left="141" w:firstLine="15"/>
              <w:jc w:val="both"/>
              <w:rPr>
                <w:rFonts w:ascii="Arial" w:eastAsia="Arial Narrow" w:hAnsi="Arial" w:cs="Arial"/>
                <w:sz w:val="20"/>
                <w:szCs w:val="20"/>
              </w:rPr>
            </w:pPr>
          </w:p>
        </w:tc>
      </w:tr>
      <w:tr w:rsidR="008A26D2" w:rsidRPr="008A26D2" w14:paraId="2A57A3D9" w14:textId="77777777" w:rsidTr="00E457BC">
        <w:trPr>
          <w:trHeight w:val="300"/>
          <w:jc w:val="center"/>
        </w:trPr>
        <w:tc>
          <w:tcPr>
            <w:tcW w:w="24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7D0F527" w14:textId="77777777" w:rsidR="002D189A" w:rsidRPr="008A26D2" w:rsidRDefault="002D189A" w:rsidP="002D189A">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 xml:space="preserve"> Proveedor del servicio</w:t>
            </w:r>
          </w:p>
        </w:tc>
        <w:tc>
          <w:tcPr>
            <w:tcW w:w="634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659B3E8" w14:textId="2183A2E2" w:rsidR="002D189A" w:rsidRPr="008A26D2" w:rsidRDefault="002D189A" w:rsidP="002D189A">
            <w:pPr>
              <w:pBdr>
                <w:top w:val="nil"/>
                <w:left w:val="nil"/>
                <w:bottom w:val="nil"/>
                <w:right w:val="nil"/>
                <w:between w:val="nil"/>
              </w:pBdr>
              <w:spacing w:after="0" w:line="240" w:lineRule="auto"/>
              <w:ind w:firstLine="141"/>
              <w:jc w:val="both"/>
              <w:rPr>
                <w:rFonts w:ascii="Arial" w:eastAsia="Arial Narrow" w:hAnsi="Arial" w:cs="Arial"/>
                <w:sz w:val="20"/>
                <w:szCs w:val="20"/>
              </w:rPr>
            </w:pPr>
            <w:r w:rsidRPr="008A26D2">
              <w:rPr>
                <w:rFonts w:ascii="Arial" w:eastAsia="Arial Narrow" w:hAnsi="Arial" w:cs="Arial"/>
                <w:sz w:val="20"/>
                <w:szCs w:val="20"/>
              </w:rPr>
              <w:t xml:space="preserve">Servicio Nacional Forestal y de Fauna Silvestre </w:t>
            </w:r>
            <w:r w:rsidR="002469C9" w:rsidRPr="008A26D2">
              <w:rPr>
                <w:rFonts w:ascii="Arial" w:eastAsia="Arial Narrow" w:hAnsi="Arial" w:cs="Arial"/>
                <w:sz w:val="20"/>
                <w:szCs w:val="20"/>
              </w:rPr>
              <w:t>–</w:t>
            </w:r>
            <w:r w:rsidRPr="008A26D2">
              <w:rPr>
                <w:rFonts w:ascii="Arial" w:eastAsia="Arial Narrow" w:hAnsi="Arial" w:cs="Arial"/>
                <w:sz w:val="20"/>
                <w:szCs w:val="20"/>
              </w:rPr>
              <w:t xml:space="preserve"> SERFOR</w:t>
            </w:r>
          </w:p>
        </w:tc>
      </w:tr>
      <w:tr w:rsidR="008A26D2" w:rsidRPr="008A26D2" w14:paraId="6FAD68E5" w14:textId="77777777" w:rsidTr="00A33033">
        <w:trPr>
          <w:trHeight w:val="458"/>
          <w:jc w:val="center"/>
        </w:trPr>
        <w:tc>
          <w:tcPr>
            <w:tcW w:w="2409" w:type="dxa"/>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172827FB" w14:textId="77777777" w:rsidR="002D189A" w:rsidRPr="008A26D2" w:rsidRDefault="002D189A" w:rsidP="002469C9">
            <w:pPr>
              <w:spacing w:after="0" w:line="240" w:lineRule="auto"/>
              <w:rPr>
                <w:rFonts w:ascii="Arial" w:hAnsi="Arial" w:cs="Arial"/>
                <w:b/>
                <w:sz w:val="20"/>
                <w:szCs w:val="20"/>
              </w:rPr>
            </w:pPr>
            <w:r w:rsidRPr="008A26D2">
              <w:rPr>
                <w:rFonts w:ascii="Arial" w:hAnsi="Arial" w:cs="Arial"/>
                <w:b/>
                <w:sz w:val="20"/>
                <w:szCs w:val="20"/>
              </w:rPr>
              <w:t>Nivel (es) de gobierno que interviene</w:t>
            </w:r>
          </w:p>
          <w:p w14:paraId="7C8E5EB4" w14:textId="7A927FED" w:rsidR="002D189A" w:rsidRPr="008A26D2" w:rsidRDefault="002D189A" w:rsidP="002D189A">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hAnsi="Arial" w:cs="Arial"/>
                <w:b/>
                <w:sz w:val="20"/>
                <w:szCs w:val="20"/>
              </w:rPr>
              <w:t>(n) en la provisión del servicio</w:t>
            </w:r>
          </w:p>
        </w:tc>
        <w:tc>
          <w:tcPr>
            <w:tcW w:w="2116"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0DA77293" w14:textId="774AA4C4" w:rsidR="002D189A" w:rsidRPr="008A26D2" w:rsidRDefault="002D189A" w:rsidP="00324662">
            <w:pPr>
              <w:pBdr>
                <w:top w:val="nil"/>
                <w:left w:val="nil"/>
                <w:bottom w:val="nil"/>
                <w:right w:val="nil"/>
                <w:between w:val="nil"/>
              </w:pBdr>
              <w:spacing w:after="0" w:line="240" w:lineRule="auto"/>
              <w:ind w:firstLine="141"/>
              <w:jc w:val="center"/>
              <w:rPr>
                <w:rFonts w:ascii="Arial" w:eastAsia="Arial Narrow" w:hAnsi="Arial" w:cs="Arial"/>
                <w:sz w:val="20"/>
                <w:szCs w:val="20"/>
              </w:rPr>
            </w:pPr>
            <w:r w:rsidRPr="008A26D2">
              <w:rPr>
                <w:rFonts w:ascii="Arial" w:eastAsia="Arial Narrow" w:hAnsi="Arial" w:cs="Arial"/>
                <w:sz w:val="20"/>
                <w:szCs w:val="20"/>
              </w:rPr>
              <w:t>Nacional</w:t>
            </w:r>
          </w:p>
        </w:tc>
        <w:tc>
          <w:tcPr>
            <w:tcW w:w="2116" w:type="dxa"/>
            <w:tcBorders>
              <w:top w:val="single" w:sz="4" w:space="0" w:color="000000"/>
              <w:left w:val="single" w:sz="4" w:space="0" w:color="000000"/>
              <w:right w:val="single" w:sz="4" w:space="0" w:color="000000"/>
            </w:tcBorders>
            <w:shd w:val="clear" w:color="auto" w:fill="auto"/>
            <w:vAlign w:val="center"/>
          </w:tcPr>
          <w:p w14:paraId="6BE3392E" w14:textId="059FF43C" w:rsidR="002D189A" w:rsidRPr="008A26D2" w:rsidRDefault="002D189A" w:rsidP="00324662">
            <w:pPr>
              <w:pBdr>
                <w:top w:val="nil"/>
                <w:left w:val="nil"/>
                <w:bottom w:val="nil"/>
                <w:right w:val="nil"/>
                <w:between w:val="nil"/>
              </w:pBdr>
              <w:spacing w:after="0" w:line="240" w:lineRule="auto"/>
              <w:ind w:firstLine="141"/>
              <w:jc w:val="center"/>
              <w:rPr>
                <w:rFonts w:ascii="Arial" w:eastAsia="Arial Narrow" w:hAnsi="Arial" w:cs="Arial"/>
                <w:sz w:val="20"/>
                <w:szCs w:val="20"/>
              </w:rPr>
            </w:pPr>
            <w:r w:rsidRPr="008A26D2">
              <w:rPr>
                <w:rFonts w:ascii="Arial" w:eastAsia="Arial Narrow" w:hAnsi="Arial" w:cs="Arial"/>
                <w:sz w:val="20"/>
                <w:szCs w:val="20"/>
              </w:rPr>
              <w:t>Regional</w:t>
            </w:r>
          </w:p>
        </w:tc>
        <w:tc>
          <w:tcPr>
            <w:tcW w:w="2117" w:type="dxa"/>
            <w:tcBorders>
              <w:top w:val="single" w:sz="4" w:space="0" w:color="000000"/>
              <w:left w:val="single" w:sz="4" w:space="0" w:color="000000"/>
              <w:right w:val="single" w:sz="4" w:space="0" w:color="000000"/>
            </w:tcBorders>
            <w:shd w:val="clear" w:color="auto" w:fill="auto"/>
            <w:vAlign w:val="center"/>
          </w:tcPr>
          <w:p w14:paraId="7CD41819" w14:textId="64694D2E" w:rsidR="002D189A" w:rsidRPr="008A26D2" w:rsidRDefault="002D189A" w:rsidP="00324662">
            <w:pPr>
              <w:pBdr>
                <w:top w:val="nil"/>
                <w:left w:val="nil"/>
                <w:bottom w:val="nil"/>
                <w:right w:val="nil"/>
                <w:between w:val="nil"/>
              </w:pBdr>
              <w:spacing w:after="0" w:line="240" w:lineRule="auto"/>
              <w:ind w:firstLine="141"/>
              <w:jc w:val="center"/>
              <w:rPr>
                <w:rFonts w:ascii="Arial" w:eastAsia="Arial Narrow" w:hAnsi="Arial" w:cs="Arial"/>
                <w:sz w:val="20"/>
                <w:szCs w:val="20"/>
              </w:rPr>
            </w:pPr>
            <w:r w:rsidRPr="008A26D2">
              <w:rPr>
                <w:rFonts w:ascii="Arial" w:eastAsia="Arial Narrow" w:hAnsi="Arial" w:cs="Arial"/>
                <w:sz w:val="20"/>
                <w:szCs w:val="20"/>
              </w:rPr>
              <w:t>Local</w:t>
            </w:r>
          </w:p>
        </w:tc>
      </w:tr>
      <w:tr w:rsidR="008A26D2" w:rsidRPr="008A26D2" w14:paraId="09D47DA8" w14:textId="77777777" w:rsidTr="00A33033">
        <w:trPr>
          <w:trHeight w:val="457"/>
          <w:jc w:val="center"/>
        </w:trPr>
        <w:tc>
          <w:tcPr>
            <w:tcW w:w="2409" w:type="dxa"/>
            <w:vMerge/>
            <w:tcBorders>
              <w:left w:val="single" w:sz="4" w:space="0" w:color="000000"/>
              <w:right w:val="single" w:sz="4" w:space="0" w:color="000000"/>
            </w:tcBorders>
            <w:shd w:val="clear" w:color="auto" w:fill="auto"/>
            <w:tcMar>
              <w:top w:w="15" w:type="dxa"/>
              <w:left w:w="15" w:type="dxa"/>
              <w:bottom w:w="0" w:type="dxa"/>
              <w:right w:w="15" w:type="dxa"/>
            </w:tcMar>
            <w:vAlign w:val="center"/>
          </w:tcPr>
          <w:p w14:paraId="19FB2C2F" w14:textId="77777777" w:rsidR="002D189A" w:rsidRPr="008A26D2" w:rsidRDefault="002D189A" w:rsidP="002D189A">
            <w:pPr>
              <w:spacing w:after="0" w:line="240" w:lineRule="auto"/>
              <w:rPr>
                <w:rFonts w:ascii="Arial" w:hAnsi="Arial" w:cs="Arial"/>
                <w:b/>
                <w:sz w:val="20"/>
                <w:szCs w:val="20"/>
              </w:rPr>
            </w:pPr>
          </w:p>
        </w:tc>
        <w:tc>
          <w:tcPr>
            <w:tcW w:w="2116"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5DE0DA85" w14:textId="51588950" w:rsidR="002D189A" w:rsidRPr="008A26D2" w:rsidRDefault="00A32B05" w:rsidP="00324662">
            <w:pPr>
              <w:pBdr>
                <w:top w:val="nil"/>
                <w:left w:val="nil"/>
                <w:bottom w:val="nil"/>
                <w:right w:val="nil"/>
                <w:between w:val="nil"/>
              </w:pBdr>
              <w:spacing w:after="0" w:line="240" w:lineRule="auto"/>
              <w:ind w:firstLine="141"/>
              <w:jc w:val="center"/>
              <w:rPr>
                <w:rFonts w:ascii="Arial" w:eastAsia="Arial Narrow" w:hAnsi="Arial" w:cs="Arial"/>
                <w:sz w:val="20"/>
                <w:szCs w:val="20"/>
              </w:rPr>
            </w:pPr>
            <w:r w:rsidRPr="008A26D2">
              <w:rPr>
                <w:rFonts w:ascii="Arial" w:eastAsia="Arial Narrow" w:hAnsi="Arial" w:cs="Arial"/>
                <w:sz w:val="20"/>
                <w:szCs w:val="20"/>
              </w:rPr>
              <w:t>X</w:t>
            </w:r>
          </w:p>
        </w:tc>
        <w:tc>
          <w:tcPr>
            <w:tcW w:w="2116" w:type="dxa"/>
            <w:tcBorders>
              <w:top w:val="single" w:sz="4" w:space="0" w:color="000000"/>
              <w:left w:val="single" w:sz="4" w:space="0" w:color="000000"/>
              <w:right w:val="single" w:sz="4" w:space="0" w:color="000000"/>
            </w:tcBorders>
            <w:shd w:val="clear" w:color="auto" w:fill="auto"/>
            <w:vAlign w:val="center"/>
          </w:tcPr>
          <w:p w14:paraId="162C0FE3" w14:textId="77777777" w:rsidR="002D189A" w:rsidRPr="008A26D2" w:rsidRDefault="002D189A" w:rsidP="00324662">
            <w:pPr>
              <w:pBdr>
                <w:top w:val="nil"/>
                <w:left w:val="nil"/>
                <w:bottom w:val="nil"/>
                <w:right w:val="nil"/>
                <w:between w:val="nil"/>
              </w:pBdr>
              <w:spacing w:after="0" w:line="240" w:lineRule="auto"/>
              <w:ind w:firstLine="141"/>
              <w:jc w:val="center"/>
              <w:rPr>
                <w:rFonts w:ascii="Arial" w:eastAsia="Arial Narrow" w:hAnsi="Arial" w:cs="Arial"/>
                <w:sz w:val="20"/>
                <w:szCs w:val="20"/>
              </w:rPr>
            </w:pPr>
          </w:p>
        </w:tc>
        <w:tc>
          <w:tcPr>
            <w:tcW w:w="2117" w:type="dxa"/>
            <w:tcBorders>
              <w:top w:val="single" w:sz="4" w:space="0" w:color="000000"/>
              <w:left w:val="single" w:sz="4" w:space="0" w:color="000000"/>
              <w:right w:val="single" w:sz="4" w:space="0" w:color="000000"/>
            </w:tcBorders>
            <w:shd w:val="clear" w:color="auto" w:fill="auto"/>
            <w:vAlign w:val="center"/>
          </w:tcPr>
          <w:p w14:paraId="53DABEBF" w14:textId="4AC760FE" w:rsidR="002D189A" w:rsidRPr="008A26D2" w:rsidRDefault="002D189A" w:rsidP="00324662">
            <w:pPr>
              <w:pBdr>
                <w:top w:val="nil"/>
                <w:left w:val="nil"/>
                <w:bottom w:val="nil"/>
                <w:right w:val="nil"/>
                <w:between w:val="nil"/>
              </w:pBdr>
              <w:spacing w:after="0" w:line="240" w:lineRule="auto"/>
              <w:ind w:firstLine="141"/>
              <w:jc w:val="center"/>
              <w:rPr>
                <w:rFonts w:ascii="Arial" w:eastAsia="Arial Narrow" w:hAnsi="Arial" w:cs="Arial"/>
                <w:sz w:val="20"/>
                <w:szCs w:val="20"/>
              </w:rPr>
            </w:pPr>
          </w:p>
        </w:tc>
      </w:tr>
      <w:tr w:rsidR="008A26D2" w:rsidRPr="008A26D2" w14:paraId="775F59C1" w14:textId="77777777" w:rsidTr="00E457BC">
        <w:trPr>
          <w:trHeight w:val="300"/>
          <w:jc w:val="center"/>
        </w:trPr>
        <w:tc>
          <w:tcPr>
            <w:tcW w:w="24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F358A21" w14:textId="77777777" w:rsidR="002D189A" w:rsidRPr="008A26D2" w:rsidRDefault="002D189A" w:rsidP="002D189A">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 xml:space="preserve"> Receptor del servicio</w:t>
            </w:r>
          </w:p>
        </w:tc>
        <w:tc>
          <w:tcPr>
            <w:tcW w:w="634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4010D13" w14:textId="77777777" w:rsidR="002D189A" w:rsidRPr="008A26D2" w:rsidRDefault="002D189A" w:rsidP="002D189A">
            <w:pPr>
              <w:pBdr>
                <w:top w:val="nil"/>
                <w:left w:val="nil"/>
                <w:bottom w:val="nil"/>
                <w:right w:val="nil"/>
                <w:between w:val="nil"/>
              </w:pBdr>
              <w:spacing w:after="0" w:line="240" w:lineRule="auto"/>
              <w:ind w:firstLine="141"/>
              <w:jc w:val="both"/>
              <w:rPr>
                <w:rFonts w:ascii="Arial" w:eastAsia="Arial Narrow" w:hAnsi="Arial" w:cs="Arial"/>
                <w:sz w:val="20"/>
                <w:szCs w:val="20"/>
              </w:rPr>
            </w:pPr>
            <w:r w:rsidRPr="008A26D2">
              <w:rPr>
                <w:rFonts w:ascii="Arial" w:eastAsia="Arial Narrow" w:hAnsi="Arial" w:cs="Arial"/>
                <w:sz w:val="20"/>
                <w:szCs w:val="20"/>
              </w:rPr>
              <w:t>Titulares de manejo de vicuña</w:t>
            </w:r>
          </w:p>
        </w:tc>
      </w:tr>
      <w:tr w:rsidR="008A26D2" w:rsidRPr="008A26D2" w14:paraId="554B5563" w14:textId="77777777" w:rsidTr="00E457BC">
        <w:trPr>
          <w:trHeight w:val="211"/>
          <w:jc w:val="center"/>
        </w:trPr>
        <w:tc>
          <w:tcPr>
            <w:tcW w:w="24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00348BC" w14:textId="77777777" w:rsidR="002D189A" w:rsidRPr="008A26D2" w:rsidRDefault="002D189A" w:rsidP="002D189A">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 xml:space="preserve"> Alcance del servicio </w:t>
            </w:r>
          </w:p>
        </w:tc>
        <w:tc>
          <w:tcPr>
            <w:tcW w:w="634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90A2572" w14:textId="77777777" w:rsidR="002D189A" w:rsidRPr="008A26D2" w:rsidRDefault="002D189A" w:rsidP="002D189A">
            <w:pPr>
              <w:pBdr>
                <w:top w:val="nil"/>
                <w:left w:val="nil"/>
                <w:bottom w:val="nil"/>
                <w:right w:val="nil"/>
                <w:between w:val="nil"/>
              </w:pBdr>
              <w:spacing w:after="0" w:line="240" w:lineRule="auto"/>
              <w:ind w:firstLine="141"/>
              <w:jc w:val="both"/>
              <w:rPr>
                <w:rFonts w:ascii="Arial" w:eastAsia="Arial Narrow" w:hAnsi="Arial" w:cs="Arial"/>
                <w:sz w:val="20"/>
                <w:szCs w:val="20"/>
              </w:rPr>
            </w:pPr>
            <w:r w:rsidRPr="008A26D2">
              <w:rPr>
                <w:rFonts w:ascii="Arial" w:eastAsia="Arial Narrow" w:hAnsi="Arial" w:cs="Arial"/>
                <w:sz w:val="20"/>
                <w:szCs w:val="20"/>
              </w:rPr>
              <w:t>Nacional</w:t>
            </w:r>
          </w:p>
        </w:tc>
      </w:tr>
      <w:tr w:rsidR="008A26D2" w:rsidRPr="008A26D2" w14:paraId="67327777" w14:textId="77777777" w:rsidTr="00E457BC">
        <w:trPr>
          <w:trHeight w:val="62"/>
          <w:jc w:val="center"/>
        </w:trPr>
        <w:tc>
          <w:tcPr>
            <w:tcW w:w="24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617A20A" w14:textId="77777777" w:rsidR="002D189A" w:rsidRPr="008A26D2" w:rsidRDefault="002D189A" w:rsidP="002D189A">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 xml:space="preserve"> Estándar (es) de cumplimiento</w:t>
            </w:r>
          </w:p>
        </w:tc>
        <w:tc>
          <w:tcPr>
            <w:tcW w:w="634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13B022C4" w14:textId="77777777" w:rsidR="002D189A" w:rsidRPr="008A26D2" w:rsidRDefault="002D189A" w:rsidP="002D189A">
            <w:pPr>
              <w:pBdr>
                <w:top w:val="nil"/>
                <w:left w:val="nil"/>
                <w:bottom w:val="nil"/>
                <w:right w:val="nil"/>
                <w:between w:val="nil"/>
              </w:pBdr>
              <w:spacing w:after="0" w:line="240" w:lineRule="auto"/>
              <w:ind w:firstLine="141"/>
              <w:jc w:val="both"/>
              <w:rPr>
                <w:rFonts w:ascii="Arial" w:eastAsia="Arial Narrow" w:hAnsi="Arial" w:cs="Arial"/>
                <w:sz w:val="20"/>
                <w:szCs w:val="20"/>
              </w:rPr>
            </w:pPr>
            <w:r w:rsidRPr="008A26D2">
              <w:rPr>
                <w:rFonts w:ascii="Arial" w:eastAsia="Arial Narrow" w:hAnsi="Arial" w:cs="Arial"/>
                <w:sz w:val="20"/>
                <w:szCs w:val="20"/>
              </w:rPr>
              <w:t>Percepción</w:t>
            </w:r>
          </w:p>
        </w:tc>
      </w:tr>
      <w:tr w:rsidR="008A26D2" w:rsidRPr="008A26D2" w14:paraId="21722FE4" w14:textId="77777777" w:rsidTr="00E457BC">
        <w:trPr>
          <w:trHeight w:val="300"/>
          <w:jc w:val="center"/>
        </w:trPr>
        <w:tc>
          <w:tcPr>
            <w:tcW w:w="24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61E0E43" w14:textId="77777777" w:rsidR="002D189A" w:rsidRPr="008A26D2" w:rsidRDefault="002D189A" w:rsidP="002D189A">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 xml:space="preserve"> Descripción del estándar</w:t>
            </w:r>
          </w:p>
        </w:tc>
        <w:tc>
          <w:tcPr>
            <w:tcW w:w="634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35" w:type="dxa"/>
              <w:bottom w:w="0" w:type="dxa"/>
              <w:right w:w="15" w:type="dxa"/>
            </w:tcMar>
            <w:vAlign w:val="center"/>
          </w:tcPr>
          <w:p w14:paraId="1A15E7C0" w14:textId="77777777" w:rsidR="002D189A" w:rsidRPr="008A26D2" w:rsidRDefault="002D189A" w:rsidP="002D189A">
            <w:pPr>
              <w:spacing w:after="0" w:line="240" w:lineRule="auto"/>
              <w:jc w:val="both"/>
              <w:rPr>
                <w:rFonts w:ascii="Arial" w:eastAsia="Times New Roman" w:hAnsi="Arial" w:cs="Arial"/>
                <w:sz w:val="20"/>
                <w:szCs w:val="20"/>
                <w:lang w:val="es-ES"/>
              </w:rPr>
            </w:pPr>
            <w:r w:rsidRPr="008A26D2">
              <w:rPr>
                <w:rFonts w:ascii="Arial" w:eastAsia="Times New Roman" w:hAnsi="Arial" w:cs="Arial"/>
                <w:sz w:val="20"/>
                <w:szCs w:val="20"/>
                <w:lang w:val="es-ES"/>
              </w:rPr>
              <w:t xml:space="preserve">El estándar del servicio es de percepción debido a que éste satisface las expectativas de capacitación </w:t>
            </w:r>
            <w:r w:rsidRPr="008A26D2">
              <w:rPr>
                <w:rFonts w:ascii="Arial" w:eastAsia="Arial Narrow" w:hAnsi="Arial" w:cs="Arial"/>
                <w:sz w:val="20"/>
                <w:szCs w:val="20"/>
              </w:rPr>
              <w:t>para el cumplimiento de criterios técnicos y normativos en el proceso de transformación de productos de fibra de vicuña</w:t>
            </w:r>
            <w:r w:rsidRPr="008A26D2">
              <w:rPr>
                <w:rFonts w:ascii="Arial" w:eastAsia="Times New Roman" w:hAnsi="Arial" w:cs="Arial"/>
                <w:sz w:val="20"/>
                <w:szCs w:val="20"/>
                <w:lang w:val="es-ES"/>
              </w:rPr>
              <w:t xml:space="preserve"> de </w:t>
            </w:r>
            <w:r w:rsidRPr="008A26D2">
              <w:rPr>
                <w:rFonts w:ascii="Arial" w:eastAsia="Arial Narrow" w:hAnsi="Arial" w:cs="Arial"/>
                <w:sz w:val="20"/>
                <w:szCs w:val="20"/>
              </w:rPr>
              <w:t>los titulares de manejo</w:t>
            </w:r>
            <w:r w:rsidRPr="008A26D2">
              <w:rPr>
                <w:rFonts w:ascii="Arial" w:eastAsia="Times New Roman" w:hAnsi="Arial" w:cs="Arial"/>
                <w:sz w:val="20"/>
                <w:szCs w:val="20"/>
                <w:lang w:val="es-ES"/>
              </w:rPr>
              <w:t>.</w:t>
            </w:r>
          </w:p>
          <w:p w14:paraId="55686832" w14:textId="77777777" w:rsidR="002D189A" w:rsidRPr="008A26D2" w:rsidRDefault="002D189A" w:rsidP="002D189A">
            <w:pPr>
              <w:spacing w:after="0" w:line="240" w:lineRule="auto"/>
              <w:ind w:left="141" w:firstLine="15"/>
              <w:jc w:val="both"/>
              <w:rPr>
                <w:rFonts w:ascii="Arial" w:eastAsia="Arial Narrow" w:hAnsi="Arial" w:cs="Arial"/>
                <w:sz w:val="20"/>
                <w:szCs w:val="20"/>
              </w:rPr>
            </w:pPr>
          </w:p>
        </w:tc>
      </w:tr>
      <w:tr w:rsidR="002D189A" w:rsidRPr="008A26D2" w14:paraId="6F3330BD" w14:textId="77777777" w:rsidTr="00E457BC">
        <w:trPr>
          <w:trHeight w:val="748"/>
          <w:jc w:val="center"/>
        </w:trPr>
        <w:tc>
          <w:tcPr>
            <w:tcW w:w="24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4A3FC9E" w14:textId="0C18906D" w:rsidR="002D189A" w:rsidRPr="008A26D2" w:rsidRDefault="002D189A" w:rsidP="002D189A">
            <w:pPr>
              <w:pBdr>
                <w:top w:val="nil"/>
                <w:left w:val="nil"/>
                <w:bottom w:val="nil"/>
                <w:right w:val="nil"/>
                <w:between w:val="nil"/>
              </w:pBdr>
              <w:spacing w:after="0" w:line="240" w:lineRule="auto"/>
              <w:rPr>
                <w:rFonts w:ascii="Arial" w:eastAsia="Arial Narrow" w:hAnsi="Arial" w:cs="Arial"/>
                <w:b/>
                <w:sz w:val="20"/>
                <w:szCs w:val="20"/>
              </w:rPr>
            </w:pPr>
            <w:r w:rsidRPr="008A26D2">
              <w:rPr>
                <w:rFonts w:ascii="Arial" w:eastAsia="Arial Narrow" w:hAnsi="Arial" w:cs="Arial"/>
                <w:b/>
                <w:sz w:val="20"/>
                <w:szCs w:val="20"/>
              </w:rPr>
              <w:t xml:space="preserve">Indicador </w:t>
            </w:r>
            <w:r w:rsidR="00343E98" w:rsidRPr="008A26D2">
              <w:rPr>
                <w:rFonts w:ascii="Arial" w:eastAsia="Arial Narrow" w:hAnsi="Arial" w:cs="Arial"/>
                <w:b/>
                <w:sz w:val="20"/>
                <w:szCs w:val="20"/>
              </w:rPr>
              <w:t>de calidad</w:t>
            </w:r>
          </w:p>
        </w:tc>
        <w:tc>
          <w:tcPr>
            <w:tcW w:w="634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121F1B7C" w14:textId="35DC68F3" w:rsidR="002D189A" w:rsidRPr="008A26D2" w:rsidRDefault="002D189A" w:rsidP="002D189A">
            <w:pPr>
              <w:pBdr>
                <w:top w:val="nil"/>
                <w:left w:val="nil"/>
                <w:bottom w:val="nil"/>
                <w:right w:val="nil"/>
                <w:between w:val="nil"/>
              </w:pBdr>
              <w:spacing w:after="0" w:line="240" w:lineRule="auto"/>
              <w:ind w:left="141" w:firstLine="15"/>
              <w:jc w:val="both"/>
              <w:rPr>
                <w:rFonts w:ascii="Arial" w:eastAsia="Arial Narrow" w:hAnsi="Arial" w:cs="Arial"/>
                <w:strike/>
                <w:sz w:val="20"/>
                <w:szCs w:val="20"/>
              </w:rPr>
            </w:pPr>
            <w:r w:rsidRPr="008A26D2">
              <w:rPr>
                <w:rFonts w:ascii="Arial" w:eastAsia="Times New Roman" w:hAnsi="Arial" w:cs="Arial"/>
                <w:sz w:val="20"/>
                <w:szCs w:val="20"/>
              </w:rPr>
              <w:t xml:space="preserve">Porcentaje de </w:t>
            </w:r>
            <w:r w:rsidRPr="008A26D2">
              <w:rPr>
                <w:rFonts w:ascii="Arial" w:eastAsia="Arial Narrow" w:hAnsi="Arial" w:cs="Arial"/>
                <w:sz w:val="20"/>
                <w:szCs w:val="20"/>
              </w:rPr>
              <w:t xml:space="preserve">titulares de manejo de vicuña </w:t>
            </w:r>
            <w:r w:rsidRPr="008A26D2">
              <w:rPr>
                <w:rFonts w:ascii="Arial" w:eastAsia="Times New Roman" w:hAnsi="Arial" w:cs="Arial"/>
                <w:sz w:val="20"/>
                <w:szCs w:val="20"/>
                <w:lang w:val="es-ES"/>
              </w:rPr>
              <w:t>con alto grado de satisfacción sobre las capacitaciones recibidas</w:t>
            </w:r>
            <w:r w:rsidRPr="008A26D2">
              <w:rPr>
                <w:rFonts w:ascii="Arial" w:hAnsi="Arial" w:cs="Arial"/>
                <w:sz w:val="20"/>
                <w:szCs w:val="20"/>
              </w:rPr>
              <w:t xml:space="preserve"> en </w:t>
            </w:r>
            <w:r w:rsidRPr="008A26D2">
              <w:rPr>
                <w:rFonts w:ascii="Arial" w:eastAsia="Arial Narrow" w:hAnsi="Arial" w:cs="Arial"/>
                <w:sz w:val="20"/>
                <w:szCs w:val="20"/>
              </w:rPr>
              <w:t>el cumplimiento de criterios técnicos y normativos para el proceso de transformación de productos de fibra de vicuña</w:t>
            </w:r>
          </w:p>
          <w:p w14:paraId="4E6E0E9B" w14:textId="77777777" w:rsidR="002D189A" w:rsidRPr="008A26D2" w:rsidRDefault="002D189A" w:rsidP="002D189A">
            <w:pPr>
              <w:pBdr>
                <w:top w:val="nil"/>
                <w:left w:val="nil"/>
                <w:bottom w:val="nil"/>
                <w:right w:val="nil"/>
                <w:between w:val="nil"/>
              </w:pBdr>
              <w:spacing w:after="0" w:line="240" w:lineRule="auto"/>
              <w:ind w:left="141" w:firstLine="15"/>
              <w:jc w:val="both"/>
              <w:rPr>
                <w:rFonts w:ascii="Arial" w:eastAsia="Arial Narrow" w:hAnsi="Arial" w:cs="Arial"/>
                <w:sz w:val="20"/>
                <w:szCs w:val="20"/>
              </w:rPr>
            </w:pPr>
          </w:p>
        </w:tc>
      </w:tr>
    </w:tbl>
    <w:p w14:paraId="352E046C" w14:textId="77777777" w:rsidR="00E457BC" w:rsidRPr="008A26D2" w:rsidRDefault="00E457BC">
      <w:pPr>
        <w:rPr>
          <w:rFonts w:ascii="Arial Narrow" w:eastAsia="Arial Narrow" w:hAnsi="Arial Narrow" w:cs="Arial Narrow"/>
          <w:b/>
        </w:rPr>
      </w:pPr>
    </w:p>
    <w:p w14:paraId="5815D535" w14:textId="52C60654" w:rsidR="00E457BC" w:rsidRDefault="00E457BC">
      <w:pPr>
        <w:rPr>
          <w:rFonts w:ascii="Arial Narrow" w:eastAsia="Arial Narrow" w:hAnsi="Arial Narrow" w:cs="Arial Narrow"/>
          <w:b/>
        </w:rPr>
      </w:pPr>
      <w:bookmarkStart w:id="7" w:name="_Hlk136505824"/>
    </w:p>
    <w:p w14:paraId="15E915D7" w14:textId="4A9EF52A" w:rsidR="00E457BC" w:rsidRPr="008A26D2" w:rsidRDefault="00E457BC" w:rsidP="00E457BC">
      <w:pPr>
        <w:jc w:val="both"/>
        <w:rPr>
          <w:rFonts w:ascii="Arial" w:hAnsi="Arial" w:cs="Arial"/>
        </w:rPr>
      </w:pPr>
      <w:r w:rsidRPr="008A26D2">
        <w:rPr>
          <w:rFonts w:ascii="Arial" w:hAnsi="Arial" w:cs="Arial"/>
          <w:b/>
          <w:bCs/>
        </w:rPr>
        <w:t>S2.6.2</w:t>
      </w:r>
      <w:r w:rsidRPr="008A26D2">
        <w:rPr>
          <w:rFonts w:ascii="Arial" w:hAnsi="Arial" w:cs="Arial"/>
        </w:rPr>
        <w:t xml:space="preserve"> </w:t>
      </w:r>
      <w:r w:rsidR="00324662" w:rsidRPr="00324662">
        <w:rPr>
          <w:rFonts w:ascii="Arial" w:hAnsi="Arial" w:cs="Arial"/>
        </w:rPr>
        <w:t xml:space="preserve">Fortalecimiento de capacidades para la identificación de oportunidades y tendencias de los mercados internacionales de forma satisfactoria </w:t>
      </w:r>
      <w:r w:rsidR="00324662" w:rsidRPr="00324662">
        <w:rPr>
          <w:rStyle w:val="Refdecomentario"/>
          <w:rFonts w:ascii="Arial" w:eastAsiaTheme="minorEastAsia" w:hAnsi="Arial" w:cs="Arial"/>
          <w:sz w:val="22"/>
          <w:szCs w:val="22"/>
          <w:lang w:eastAsia="en-US"/>
        </w:rPr>
        <w:t xml:space="preserve">a instituciones públicas y privadas así como </w:t>
      </w:r>
      <w:r w:rsidR="00324662" w:rsidRPr="00324662">
        <w:rPr>
          <w:rFonts w:ascii="Arial" w:hAnsi="Arial" w:cs="Arial"/>
        </w:rPr>
        <w:t>empresas exportadoras y con potencial exportador de la actividad forestal y de fauna silvestre</w:t>
      </w:r>
    </w:p>
    <w:tbl>
      <w:tblPr>
        <w:tblW w:w="8789" w:type="dxa"/>
        <w:jc w:val="center"/>
        <w:tblLayout w:type="fixed"/>
        <w:tblLook w:val="0600" w:firstRow="0" w:lastRow="0" w:firstColumn="0" w:lastColumn="0" w:noHBand="1" w:noVBand="1"/>
      </w:tblPr>
      <w:tblGrid>
        <w:gridCol w:w="2693"/>
        <w:gridCol w:w="2032"/>
        <w:gridCol w:w="2032"/>
        <w:gridCol w:w="2032"/>
      </w:tblGrid>
      <w:tr w:rsidR="008A26D2" w:rsidRPr="008A26D2" w14:paraId="757B1BD2" w14:textId="77777777" w:rsidTr="00E457BC">
        <w:trPr>
          <w:trHeight w:val="300"/>
          <w:jc w:val="center"/>
        </w:trPr>
        <w:tc>
          <w:tcPr>
            <w:tcW w:w="878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bottom w:w="0" w:type="dxa"/>
              <w:right w:w="15" w:type="dxa"/>
            </w:tcMar>
            <w:vAlign w:val="center"/>
          </w:tcPr>
          <w:p w14:paraId="0A9E499F" w14:textId="2C78B22A" w:rsidR="00E457BC" w:rsidRPr="008A26D2" w:rsidRDefault="00E457BC" w:rsidP="0072651A">
            <w:pPr>
              <w:tabs>
                <w:tab w:val="left" w:pos="3375"/>
              </w:tabs>
              <w:jc w:val="center"/>
              <w:rPr>
                <w:rFonts w:ascii="Arial" w:hAnsi="Arial" w:cs="Arial"/>
                <w:sz w:val="20"/>
                <w:szCs w:val="20"/>
              </w:rPr>
            </w:pPr>
            <w:r w:rsidRPr="008A26D2">
              <w:rPr>
                <w:rFonts w:ascii="Arial" w:hAnsi="Arial" w:cs="Arial"/>
                <w:sz w:val="20"/>
                <w:szCs w:val="20"/>
              </w:rPr>
              <w:br w:type="page"/>
            </w:r>
            <w:r w:rsidRPr="008A26D2">
              <w:rPr>
                <w:rFonts w:ascii="Arial" w:hAnsi="Arial" w:cs="Arial"/>
                <w:b/>
                <w:sz w:val="20"/>
                <w:szCs w:val="20"/>
              </w:rPr>
              <w:t xml:space="preserve">FICHA DEL SERVICIO </w:t>
            </w:r>
          </w:p>
        </w:tc>
      </w:tr>
      <w:tr w:rsidR="008A26D2" w:rsidRPr="008A26D2" w14:paraId="63720AB5" w14:textId="77777777" w:rsidTr="00E457BC">
        <w:trPr>
          <w:trHeight w:val="300"/>
          <w:jc w:val="center"/>
        </w:trPr>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center"/>
          </w:tcPr>
          <w:p w14:paraId="0EE736F0" w14:textId="77777777" w:rsidR="00E457BC" w:rsidRPr="008A26D2" w:rsidRDefault="00E457BC" w:rsidP="0072651A">
            <w:pPr>
              <w:tabs>
                <w:tab w:val="left" w:pos="3375"/>
              </w:tabs>
              <w:rPr>
                <w:rFonts w:ascii="Arial" w:hAnsi="Arial" w:cs="Arial"/>
                <w:b/>
                <w:sz w:val="20"/>
                <w:szCs w:val="20"/>
              </w:rPr>
            </w:pPr>
            <w:r w:rsidRPr="008A26D2">
              <w:rPr>
                <w:rFonts w:ascii="Arial" w:hAnsi="Arial" w:cs="Arial"/>
                <w:b/>
                <w:sz w:val="20"/>
                <w:szCs w:val="20"/>
              </w:rPr>
              <w:t>Objetivo prioritario:</w:t>
            </w:r>
          </w:p>
        </w:tc>
        <w:tc>
          <w:tcPr>
            <w:tcW w:w="609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center"/>
          </w:tcPr>
          <w:p w14:paraId="57333B2D" w14:textId="77777777" w:rsidR="00E457BC" w:rsidRPr="008A26D2" w:rsidRDefault="00E457BC" w:rsidP="0072651A">
            <w:pPr>
              <w:tabs>
                <w:tab w:val="left" w:pos="3375"/>
              </w:tabs>
              <w:ind w:left="128"/>
              <w:rPr>
                <w:rFonts w:ascii="Arial" w:hAnsi="Arial" w:cs="Arial"/>
                <w:sz w:val="20"/>
                <w:szCs w:val="20"/>
              </w:rPr>
            </w:pPr>
            <w:r w:rsidRPr="008A26D2">
              <w:rPr>
                <w:rFonts w:ascii="Arial" w:hAnsi="Arial" w:cs="Arial"/>
                <w:sz w:val="20"/>
                <w:szCs w:val="20"/>
              </w:rPr>
              <w:t>OP2 Incrementar la productividad de los ecosistemas forestales, otros ecosistemas de vegetación silvestre y de la fauna silvestre.</w:t>
            </w:r>
          </w:p>
        </w:tc>
      </w:tr>
      <w:tr w:rsidR="008A26D2" w:rsidRPr="008A26D2" w14:paraId="24979912" w14:textId="77777777" w:rsidTr="00E457BC">
        <w:trPr>
          <w:trHeight w:val="300"/>
          <w:jc w:val="center"/>
        </w:trPr>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center"/>
          </w:tcPr>
          <w:p w14:paraId="2911A808" w14:textId="77777777" w:rsidR="00E457BC" w:rsidRPr="008A26D2" w:rsidRDefault="00E457BC" w:rsidP="0072651A">
            <w:pPr>
              <w:tabs>
                <w:tab w:val="left" w:pos="3375"/>
              </w:tabs>
              <w:rPr>
                <w:rFonts w:ascii="Arial" w:hAnsi="Arial" w:cs="Arial"/>
                <w:b/>
                <w:sz w:val="20"/>
                <w:szCs w:val="20"/>
              </w:rPr>
            </w:pPr>
            <w:r w:rsidRPr="008A26D2">
              <w:rPr>
                <w:rFonts w:ascii="Arial" w:hAnsi="Arial" w:cs="Arial"/>
                <w:b/>
                <w:sz w:val="20"/>
                <w:szCs w:val="20"/>
              </w:rPr>
              <w:t>Lineamiento:</w:t>
            </w:r>
          </w:p>
        </w:tc>
        <w:tc>
          <w:tcPr>
            <w:tcW w:w="609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center"/>
          </w:tcPr>
          <w:p w14:paraId="2568126D" w14:textId="77777777" w:rsidR="00E457BC" w:rsidRPr="008A26D2" w:rsidRDefault="00E457BC" w:rsidP="0072651A">
            <w:pPr>
              <w:tabs>
                <w:tab w:val="left" w:pos="3375"/>
              </w:tabs>
              <w:ind w:left="128"/>
              <w:rPr>
                <w:rFonts w:ascii="Arial" w:hAnsi="Arial" w:cs="Arial"/>
                <w:sz w:val="20"/>
                <w:szCs w:val="20"/>
              </w:rPr>
            </w:pPr>
            <w:r w:rsidRPr="008A26D2">
              <w:rPr>
                <w:rFonts w:ascii="Arial" w:hAnsi="Arial" w:cs="Arial"/>
                <w:sz w:val="20"/>
                <w:szCs w:val="20"/>
              </w:rPr>
              <w:t>L2.6 Incrementar el comercio nacional e internacional de especímenes, productos y subproductos de flora y fauna silvestre provenientes de actividades de aprovechamiento autorizadas</w:t>
            </w:r>
          </w:p>
        </w:tc>
      </w:tr>
      <w:tr w:rsidR="008A26D2" w:rsidRPr="008A26D2" w14:paraId="1C8C0332" w14:textId="77777777" w:rsidTr="00E457BC">
        <w:trPr>
          <w:trHeight w:val="300"/>
          <w:jc w:val="center"/>
        </w:trPr>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center"/>
          </w:tcPr>
          <w:p w14:paraId="66D8073A" w14:textId="77777777" w:rsidR="00E457BC" w:rsidRPr="008A26D2" w:rsidRDefault="00E457BC" w:rsidP="0072651A">
            <w:pPr>
              <w:tabs>
                <w:tab w:val="left" w:pos="3375"/>
              </w:tabs>
              <w:rPr>
                <w:rFonts w:ascii="Arial" w:hAnsi="Arial" w:cs="Arial"/>
                <w:b/>
                <w:sz w:val="20"/>
                <w:szCs w:val="20"/>
              </w:rPr>
            </w:pPr>
            <w:r w:rsidRPr="008A26D2">
              <w:rPr>
                <w:rFonts w:ascii="Arial" w:hAnsi="Arial" w:cs="Arial"/>
                <w:b/>
                <w:sz w:val="20"/>
                <w:szCs w:val="20"/>
              </w:rPr>
              <w:t>Nombre del servicio:</w:t>
            </w:r>
          </w:p>
        </w:tc>
        <w:tc>
          <w:tcPr>
            <w:tcW w:w="609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center"/>
          </w:tcPr>
          <w:p w14:paraId="089A250C" w14:textId="38E33D17" w:rsidR="00E457BC" w:rsidRPr="008A26D2" w:rsidRDefault="00E457BC" w:rsidP="0072651A">
            <w:pPr>
              <w:tabs>
                <w:tab w:val="left" w:pos="3375"/>
              </w:tabs>
              <w:ind w:left="128"/>
              <w:rPr>
                <w:rFonts w:ascii="Arial" w:hAnsi="Arial" w:cs="Arial"/>
                <w:sz w:val="20"/>
                <w:szCs w:val="20"/>
              </w:rPr>
            </w:pPr>
            <w:r w:rsidRPr="008A26D2">
              <w:rPr>
                <w:rFonts w:ascii="Arial" w:hAnsi="Arial" w:cs="Arial"/>
                <w:sz w:val="20"/>
                <w:szCs w:val="20"/>
              </w:rPr>
              <w:t xml:space="preserve">S2.6.2 Fortalecimiento de capacidades para la identificación de oportunidades y tendencias de los mercados internacionales de forma satisfactoria </w:t>
            </w:r>
            <w:r w:rsidRPr="008A26D2">
              <w:rPr>
                <w:rStyle w:val="Refdecomentario"/>
                <w:rFonts w:ascii="Arial" w:eastAsiaTheme="minorEastAsia" w:hAnsi="Arial" w:cs="Arial"/>
                <w:sz w:val="20"/>
                <w:szCs w:val="20"/>
                <w:lang w:eastAsia="en-US"/>
              </w:rPr>
              <w:t xml:space="preserve">a instituciones públicas y privadas </w:t>
            </w:r>
            <w:r w:rsidR="002469C9" w:rsidRPr="008A26D2">
              <w:rPr>
                <w:rStyle w:val="Refdecomentario"/>
                <w:rFonts w:ascii="Arial" w:eastAsiaTheme="minorEastAsia" w:hAnsi="Arial" w:cs="Arial"/>
                <w:sz w:val="20"/>
                <w:szCs w:val="20"/>
                <w:lang w:eastAsia="en-US"/>
              </w:rPr>
              <w:t>así como</w:t>
            </w:r>
            <w:r w:rsidRPr="008A26D2">
              <w:rPr>
                <w:rStyle w:val="Refdecomentario"/>
                <w:rFonts w:ascii="Arial" w:eastAsiaTheme="minorEastAsia" w:hAnsi="Arial" w:cs="Arial"/>
                <w:sz w:val="20"/>
                <w:szCs w:val="20"/>
                <w:lang w:eastAsia="en-US"/>
              </w:rPr>
              <w:t xml:space="preserve"> </w:t>
            </w:r>
            <w:r w:rsidRPr="008A26D2">
              <w:rPr>
                <w:rFonts w:ascii="Arial" w:hAnsi="Arial" w:cs="Arial"/>
                <w:sz w:val="20"/>
                <w:szCs w:val="20"/>
              </w:rPr>
              <w:t>empresas exportadoras y con potencial exportador de la actividad forestal y de fauna silvestre</w:t>
            </w:r>
          </w:p>
        </w:tc>
      </w:tr>
      <w:tr w:rsidR="008A26D2" w:rsidRPr="008A26D2" w14:paraId="697AE175" w14:textId="77777777" w:rsidTr="00E457BC">
        <w:trPr>
          <w:trHeight w:val="300"/>
          <w:jc w:val="center"/>
        </w:trPr>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center"/>
          </w:tcPr>
          <w:p w14:paraId="426353BB" w14:textId="77777777" w:rsidR="00E457BC" w:rsidRPr="008A26D2" w:rsidRDefault="00E457BC" w:rsidP="0072651A">
            <w:pPr>
              <w:tabs>
                <w:tab w:val="left" w:pos="3375"/>
              </w:tabs>
              <w:rPr>
                <w:rFonts w:ascii="Arial" w:hAnsi="Arial" w:cs="Arial"/>
                <w:b/>
                <w:sz w:val="20"/>
                <w:szCs w:val="20"/>
              </w:rPr>
            </w:pPr>
            <w:r w:rsidRPr="008A26D2">
              <w:rPr>
                <w:rFonts w:ascii="Arial" w:hAnsi="Arial" w:cs="Arial"/>
                <w:b/>
                <w:sz w:val="20"/>
                <w:szCs w:val="20"/>
              </w:rPr>
              <w:t>Tipo de servicio:</w:t>
            </w:r>
          </w:p>
        </w:tc>
        <w:tc>
          <w:tcPr>
            <w:tcW w:w="609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center"/>
          </w:tcPr>
          <w:p w14:paraId="778FFA1B" w14:textId="77777777" w:rsidR="00E457BC" w:rsidRPr="008A26D2" w:rsidRDefault="00E457BC" w:rsidP="0072651A">
            <w:pPr>
              <w:tabs>
                <w:tab w:val="left" w:pos="3375"/>
              </w:tabs>
              <w:ind w:left="128"/>
              <w:rPr>
                <w:rFonts w:ascii="Arial" w:hAnsi="Arial" w:cs="Arial"/>
                <w:sz w:val="20"/>
                <w:szCs w:val="20"/>
              </w:rPr>
            </w:pPr>
            <w:r w:rsidRPr="008A26D2">
              <w:rPr>
                <w:rFonts w:ascii="Arial" w:hAnsi="Arial" w:cs="Arial"/>
                <w:sz w:val="20"/>
                <w:szCs w:val="20"/>
              </w:rPr>
              <w:t>Mejorado</w:t>
            </w:r>
          </w:p>
        </w:tc>
      </w:tr>
      <w:tr w:rsidR="008A26D2" w:rsidRPr="008A26D2" w14:paraId="10184DC3" w14:textId="77777777" w:rsidTr="00E457BC">
        <w:trPr>
          <w:trHeight w:val="300"/>
          <w:jc w:val="center"/>
        </w:trPr>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center"/>
          </w:tcPr>
          <w:p w14:paraId="288293C2" w14:textId="4A1C59BD" w:rsidR="00343E98" w:rsidRPr="008A26D2" w:rsidRDefault="00343E98" w:rsidP="00343E98">
            <w:pPr>
              <w:tabs>
                <w:tab w:val="left" w:pos="3375"/>
              </w:tabs>
              <w:rPr>
                <w:rFonts w:ascii="Arial" w:hAnsi="Arial" w:cs="Arial"/>
                <w:b/>
                <w:sz w:val="20"/>
                <w:szCs w:val="20"/>
              </w:rPr>
            </w:pPr>
            <w:r w:rsidRPr="008A26D2">
              <w:rPr>
                <w:rFonts w:ascii="Arial" w:hAnsi="Arial" w:cs="Arial"/>
                <w:b/>
                <w:sz w:val="20"/>
                <w:szCs w:val="20"/>
              </w:rPr>
              <w:t>Naturaleza del servicio:</w:t>
            </w:r>
          </w:p>
        </w:tc>
        <w:tc>
          <w:tcPr>
            <w:tcW w:w="609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center"/>
          </w:tcPr>
          <w:p w14:paraId="346B368B" w14:textId="283EC303" w:rsidR="00343E98" w:rsidRPr="008A26D2" w:rsidRDefault="00A32B05" w:rsidP="00343E98">
            <w:pPr>
              <w:tabs>
                <w:tab w:val="left" w:pos="3375"/>
              </w:tabs>
              <w:ind w:left="128"/>
              <w:rPr>
                <w:rFonts w:ascii="Arial" w:hAnsi="Arial" w:cs="Arial"/>
                <w:sz w:val="20"/>
                <w:szCs w:val="20"/>
              </w:rPr>
            </w:pPr>
            <w:r w:rsidRPr="008A26D2">
              <w:rPr>
                <w:rFonts w:ascii="Arial" w:eastAsia="Arial Narrow" w:hAnsi="Arial" w:cs="Arial"/>
                <w:sz w:val="20"/>
                <w:szCs w:val="20"/>
              </w:rPr>
              <w:t>P</w:t>
            </w:r>
            <w:r w:rsidR="00343E98" w:rsidRPr="008A26D2">
              <w:rPr>
                <w:rFonts w:ascii="Arial" w:eastAsia="Arial Narrow" w:hAnsi="Arial" w:cs="Arial"/>
                <w:sz w:val="20"/>
                <w:szCs w:val="20"/>
              </w:rPr>
              <w:t>restacional</w:t>
            </w:r>
          </w:p>
        </w:tc>
      </w:tr>
      <w:tr w:rsidR="008A26D2" w:rsidRPr="008A26D2" w14:paraId="4F2829D4" w14:textId="77777777" w:rsidTr="00E457BC">
        <w:trPr>
          <w:trHeight w:val="300"/>
          <w:jc w:val="center"/>
        </w:trPr>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center"/>
          </w:tcPr>
          <w:p w14:paraId="317D06C1" w14:textId="1D0F2098" w:rsidR="00343E98" w:rsidRPr="008A26D2" w:rsidRDefault="00343E98" w:rsidP="00343E98">
            <w:pPr>
              <w:tabs>
                <w:tab w:val="left" w:pos="3375"/>
              </w:tabs>
              <w:rPr>
                <w:rFonts w:ascii="Arial" w:hAnsi="Arial" w:cs="Arial"/>
                <w:b/>
                <w:sz w:val="20"/>
                <w:szCs w:val="20"/>
              </w:rPr>
            </w:pPr>
            <w:r w:rsidRPr="008A26D2">
              <w:rPr>
                <w:rFonts w:ascii="Arial" w:hAnsi="Arial" w:cs="Arial"/>
                <w:b/>
                <w:sz w:val="20"/>
                <w:szCs w:val="20"/>
              </w:rPr>
              <w:t>Entrega del servicio</w:t>
            </w:r>
          </w:p>
        </w:tc>
        <w:tc>
          <w:tcPr>
            <w:tcW w:w="609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center"/>
          </w:tcPr>
          <w:p w14:paraId="2478F3A8" w14:textId="5DD0E9DA" w:rsidR="00343E98" w:rsidRPr="008A26D2" w:rsidRDefault="00343E98" w:rsidP="00343E98">
            <w:pPr>
              <w:tabs>
                <w:tab w:val="left" w:pos="3375"/>
              </w:tabs>
              <w:ind w:left="128"/>
              <w:rPr>
                <w:rFonts w:ascii="Arial" w:hAnsi="Arial" w:cs="Arial"/>
                <w:sz w:val="20"/>
                <w:szCs w:val="20"/>
              </w:rPr>
            </w:pPr>
            <w:r w:rsidRPr="008A26D2">
              <w:rPr>
                <w:rFonts w:ascii="Arial" w:eastAsia="Arial Narrow" w:hAnsi="Arial" w:cs="Arial"/>
                <w:sz w:val="20"/>
                <w:szCs w:val="20"/>
              </w:rPr>
              <w:t xml:space="preserve">Competencia exclusiva </w:t>
            </w:r>
          </w:p>
        </w:tc>
      </w:tr>
      <w:tr w:rsidR="008A26D2" w:rsidRPr="008A26D2" w14:paraId="5ED68F49" w14:textId="77777777" w:rsidTr="00E457BC">
        <w:trPr>
          <w:trHeight w:val="300"/>
          <w:jc w:val="center"/>
        </w:trPr>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center"/>
          </w:tcPr>
          <w:p w14:paraId="2A2824E4" w14:textId="77777777" w:rsidR="00343E98" w:rsidRPr="008A26D2" w:rsidRDefault="00343E98" w:rsidP="00343E98">
            <w:pPr>
              <w:tabs>
                <w:tab w:val="left" w:pos="3375"/>
              </w:tabs>
              <w:rPr>
                <w:rFonts w:ascii="Arial" w:hAnsi="Arial" w:cs="Arial"/>
                <w:b/>
                <w:sz w:val="20"/>
                <w:szCs w:val="20"/>
              </w:rPr>
            </w:pPr>
            <w:r w:rsidRPr="008A26D2">
              <w:rPr>
                <w:rFonts w:ascii="Arial" w:hAnsi="Arial" w:cs="Arial"/>
                <w:b/>
                <w:sz w:val="20"/>
                <w:szCs w:val="20"/>
              </w:rPr>
              <w:t>Descripción del servicio</w:t>
            </w:r>
          </w:p>
        </w:tc>
        <w:tc>
          <w:tcPr>
            <w:tcW w:w="609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center"/>
          </w:tcPr>
          <w:p w14:paraId="611BFB12" w14:textId="7859E1BF" w:rsidR="00343E98" w:rsidRPr="008A26D2" w:rsidRDefault="00343E98" w:rsidP="00343E98">
            <w:pPr>
              <w:pBdr>
                <w:top w:val="nil"/>
                <w:left w:val="nil"/>
                <w:bottom w:val="nil"/>
                <w:right w:val="nil"/>
                <w:between w:val="nil"/>
              </w:pBdr>
              <w:spacing w:after="0" w:line="240" w:lineRule="auto"/>
              <w:rPr>
                <w:rFonts w:ascii="Arial" w:eastAsia="Arial Narrow" w:hAnsi="Arial" w:cs="Arial"/>
                <w:sz w:val="20"/>
                <w:szCs w:val="20"/>
              </w:rPr>
            </w:pPr>
            <w:r w:rsidRPr="008A26D2">
              <w:rPr>
                <w:rFonts w:ascii="Arial" w:eastAsia="Arial Narrow" w:hAnsi="Arial" w:cs="Arial"/>
                <w:sz w:val="20"/>
                <w:szCs w:val="20"/>
              </w:rPr>
              <w:t xml:space="preserve">El presente servicio consiste en mejorar las capacidades de los profesionales de las </w:t>
            </w:r>
            <w:r w:rsidRPr="008A26D2">
              <w:rPr>
                <w:rStyle w:val="Refdecomentario"/>
                <w:rFonts w:ascii="Arial" w:eastAsiaTheme="minorEastAsia" w:hAnsi="Arial" w:cs="Arial"/>
                <w:sz w:val="20"/>
                <w:szCs w:val="20"/>
                <w:lang w:eastAsia="en-US"/>
              </w:rPr>
              <w:t>instituciones públicas y privadas</w:t>
            </w:r>
            <w:r w:rsidR="002469C9" w:rsidRPr="008A26D2">
              <w:rPr>
                <w:rStyle w:val="Refdecomentario"/>
                <w:rFonts w:ascii="Arial" w:eastAsiaTheme="minorEastAsia" w:hAnsi="Arial" w:cs="Arial"/>
                <w:sz w:val="20"/>
                <w:szCs w:val="20"/>
                <w:lang w:eastAsia="en-US"/>
              </w:rPr>
              <w:t>,</w:t>
            </w:r>
            <w:r w:rsidRPr="008A26D2">
              <w:rPr>
                <w:rStyle w:val="Refdecomentario"/>
                <w:rFonts w:ascii="Arial" w:eastAsiaTheme="minorEastAsia" w:hAnsi="Arial" w:cs="Arial"/>
                <w:sz w:val="20"/>
                <w:szCs w:val="20"/>
                <w:lang w:eastAsia="en-US"/>
              </w:rPr>
              <w:t xml:space="preserve"> y de </w:t>
            </w:r>
            <w:r w:rsidRPr="008A26D2">
              <w:rPr>
                <w:rFonts w:ascii="Arial" w:hAnsi="Arial" w:cs="Arial"/>
                <w:sz w:val="20"/>
                <w:szCs w:val="20"/>
              </w:rPr>
              <w:t>empresas exportadoras y con potencial exportador de la actividad forestal y de fauna silvestre</w:t>
            </w:r>
            <w:r w:rsidRPr="008A26D2">
              <w:rPr>
                <w:rFonts w:ascii="Arial" w:eastAsia="Arial Narrow" w:hAnsi="Arial" w:cs="Arial"/>
                <w:sz w:val="20"/>
                <w:szCs w:val="20"/>
              </w:rPr>
              <w:t xml:space="preserve"> a través de talleres, charlas, cursos, asistencias técnicas, entre otros, </w:t>
            </w:r>
            <w:r w:rsidRPr="008A26D2">
              <w:rPr>
                <w:rFonts w:ascii="Arial" w:hAnsi="Arial" w:cs="Arial"/>
                <w:sz w:val="20"/>
                <w:szCs w:val="20"/>
              </w:rPr>
              <w:t>a fin de que conozcan más sobre la demanda de productos</w:t>
            </w:r>
            <w:r w:rsidRPr="008A26D2">
              <w:rPr>
                <w:rFonts w:ascii="Arial" w:eastAsia="Arial Narrow" w:hAnsi="Arial" w:cs="Arial"/>
                <w:sz w:val="20"/>
                <w:szCs w:val="20"/>
              </w:rPr>
              <w:t>. Se tiene en cuenta los enfoques de género, sostenibilidad, intergeneracional e intercultural.</w:t>
            </w:r>
          </w:p>
          <w:p w14:paraId="1011D246" w14:textId="77777777" w:rsidR="00343E98" w:rsidRPr="008A26D2" w:rsidRDefault="00343E98" w:rsidP="00343E98">
            <w:pPr>
              <w:pBdr>
                <w:top w:val="nil"/>
                <w:left w:val="nil"/>
                <w:bottom w:val="nil"/>
                <w:right w:val="nil"/>
                <w:between w:val="nil"/>
              </w:pBdr>
              <w:spacing w:after="0" w:line="240" w:lineRule="auto"/>
              <w:rPr>
                <w:rFonts w:ascii="Arial" w:eastAsia="Arial Narrow" w:hAnsi="Arial" w:cs="Arial"/>
                <w:sz w:val="20"/>
                <w:szCs w:val="20"/>
              </w:rPr>
            </w:pPr>
          </w:p>
          <w:p w14:paraId="097BBCE1" w14:textId="77777777" w:rsidR="00343E98" w:rsidRPr="008A26D2" w:rsidRDefault="00343E98" w:rsidP="00343E98">
            <w:pPr>
              <w:pBdr>
                <w:top w:val="nil"/>
                <w:left w:val="nil"/>
                <w:bottom w:val="nil"/>
                <w:right w:val="nil"/>
                <w:between w:val="nil"/>
              </w:pBdr>
              <w:spacing w:after="0" w:line="240" w:lineRule="auto"/>
              <w:rPr>
                <w:rFonts w:ascii="Arial" w:eastAsia="Arial Narrow" w:hAnsi="Arial" w:cs="Arial"/>
                <w:sz w:val="20"/>
                <w:szCs w:val="20"/>
              </w:rPr>
            </w:pPr>
            <w:r w:rsidRPr="008A26D2">
              <w:rPr>
                <w:rFonts w:ascii="Arial" w:eastAsia="Arial Narrow" w:hAnsi="Arial" w:cs="Arial"/>
                <w:sz w:val="20"/>
                <w:szCs w:val="20"/>
              </w:rPr>
              <w:t>La difusión involucra, entre otros, las siguientes temáticas:</w:t>
            </w:r>
          </w:p>
          <w:p w14:paraId="71308ED8" w14:textId="77777777" w:rsidR="00343E98" w:rsidRPr="008A26D2" w:rsidRDefault="00343E98" w:rsidP="00343E98">
            <w:pPr>
              <w:pStyle w:val="Prrafodelista"/>
              <w:numPr>
                <w:ilvl w:val="0"/>
                <w:numId w:val="5"/>
              </w:numPr>
              <w:pBdr>
                <w:top w:val="nil"/>
                <w:left w:val="nil"/>
                <w:bottom w:val="nil"/>
                <w:right w:val="nil"/>
                <w:between w:val="nil"/>
              </w:pBdr>
              <w:spacing w:after="0" w:line="240" w:lineRule="auto"/>
              <w:rPr>
                <w:rFonts w:ascii="Arial" w:eastAsia="Arial Narrow" w:hAnsi="Arial" w:cs="Arial"/>
                <w:sz w:val="20"/>
                <w:szCs w:val="20"/>
              </w:rPr>
            </w:pPr>
            <w:r w:rsidRPr="008A26D2">
              <w:rPr>
                <w:rFonts w:ascii="Arial" w:eastAsia="Arial Narrow" w:hAnsi="Arial" w:cs="Arial"/>
                <w:sz w:val="20"/>
                <w:szCs w:val="20"/>
              </w:rPr>
              <w:t>Tendencias de consumo para productos priorizados</w:t>
            </w:r>
          </w:p>
          <w:p w14:paraId="6EE4F09F" w14:textId="77777777" w:rsidR="00343E98" w:rsidRPr="008A26D2" w:rsidRDefault="00343E98" w:rsidP="00343E98">
            <w:pPr>
              <w:pStyle w:val="Prrafodelista"/>
              <w:numPr>
                <w:ilvl w:val="0"/>
                <w:numId w:val="5"/>
              </w:numPr>
              <w:pBdr>
                <w:top w:val="nil"/>
                <w:left w:val="nil"/>
                <w:bottom w:val="nil"/>
                <w:right w:val="nil"/>
                <w:between w:val="nil"/>
              </w:pBdr>
              <w:spacing w:after="0" w:line="240" w:lineRule="auto"/>
              <w:rPr>
                <w:rFonts w:ascii="Arial" w:eastAsia="Arial Narrow" w:hAnsi="Arial" w:cs="Arial"/>
                <w:sz w:val="20"/>
                <w:szCs w:val="20"/>
              </w:rPr>
            </w:pPr>
            <w:r w:rsidRPr="008A26D2">
              <w:rPr>
                <w:rFonts w:ascii="Arial" w:eastAsia="Arial Narrow" w:hAnsi="Arial" w:cs="Arial"/>
                <w:sz w:val="20"/>
                <w:szCs w:val="20"/>
              </w:rPr>
              <w:t>Evaluación del tamaño de mercado</w:t>
            </w:r>
          </w:p>
          <w:p w14:paraId="5FF00337" w14:textId="77777777" w:rsidR="00343E98" w:rsidRPr="008A26D2" w:rsidRDefault="00343E98" w:rsidP="00343E98">
            <w:pPr>
              <w:pStyle w:val="Prrafodelista"/>
              <w:numPr>
                <w:ilvl w:val="0"/>
                <w:numId w:val="5"/>
              </w:numPr>
              <w:pBdr>
                <w:top w:val="nil"/>
                <w:left w:val="nil"/>
                <w:bottom w:val="nil"/>
                <w:right w:val="nil"/>
                <w:between w:val="nil"/>
              </w:pBdr>
              <w:spacing w:after="0" w:line="240" w:lineRule="auto"/>
              <w:rPr>
                <w:rFonts w:ascii="Arial" w:eastAsia="Arial Narrow" w:hAnsi="Arial" w:cs="Arial"/>
                <w:sz w:val="20"/>
                <w:szCs w:val="20"/>
              </w:rPr>
            </w:pPr>
            <w:r w:rsidRPr="008A26D2">
              <w:rPr>
                <w:rFonts w:ascii="Arial" w:eastAsia="Arial Narrow" w:hAnsi="Arial" w:cs="Arial"/>
                <w:sz w:val="20"/>
                <w:szCs w:val="20"/>
              </w:rPr>
              <w:t>Oportunidades de comerciales</w:t>
            </w:r>
          </w:p>
          <w:p w14:paraId="15B82DC6" w14:textId="1CB586E4" w:rsidR="00343E98" w:rsidRPr="008A26D2" w:rsidRDefault="00343E98" w:rsidP="00343E98">
            <w:pPr>
              <w:pStyle w:val="Prrafodelista"/>
              <w:numPr>
                <w:ilvl w:val="0"/>
                <w:numId w:val="5"/>
              </w:numPr>
              <w:pBdr>
                <w:top w:val="nil"/>
                <w:left w:val="nil"/>
                <w:bottom w:val="nil"/>
                <w:right w:val="nil"/>
                <w:between w:val="nil"/>
              </w:pBdr>
              <w:spacing w:after="0" w:line="240" w:lineRule="auto"/>
              <w:rPr>
                <w:rFonts w:ascii="Arial" w:eastAsia="Arial Narrow" w:hAnsi="Arial" w:cs="Arial"/>
                <w:sz w:val="20"/>
                <w:szCs w:val="20"/>
              </w:rPr>
            </w:pPr>
            <w:r w:rsidRPr="008A26D2">
              <w:rPr>
                <w:rFonts w:ascii="Arial" w:eastAsia="Arial Narrow" w:hAnsi="Arial" w:cs="Arial"/>
                <w:sz w:val="20"/>
                <w:szCs w:val="20"/>
              </w:rPr>
              <w:t xml:space="preserve">Presentaciones de productos </w:t>
            </w:r>
          </w:p>
          <w:p w14:paraId="7B0497D7" w14:textId="77777777" w:rsidR="00343E98" w:rsidRPr="008A26D2" w:rsidRDefault="00343E98" w:rsidP="00343E98">
            <w:pPr>
              <w:pBdr>
                <w:top w:val="nil"/>
                <w:left w:val="nil"/>
                <w:bottom w:val="nil"/>
                <w:right w:val="nil"/>
                <w:between w:val="nil"/>
              </w:pBdr>
              <w:spacing w:after="0" w:line="240" w:lineRule="auto"/>
              <w:ind w:left="360"/>
              <w:rPr>
                <w:rFonts w:ascii="Arial" w:eastAsia="Arial Narrow" w:hAnsi="Arial" w:cs="Arial"/>
                <w:sz w:val="20"/>
                <w:szCs w:val="20"/>
              </w:rPr>
            </w:pPr>
          </w:p>
          <w:p w14:paraId="55C0C1C5" w14:textId="7B9203D9" w:rsidR="00343E98" w:rsidRPr="008A26D2" w:rsidRDefault="00343E98" w:rsidP="00343E98">
            <w:pPr>
              <w:rPr>
                <w:rFonts w:ascii="Arial" w:hAnsi="Arial" w:cs="Arial"/>
                <w:sz w:val="20"/>
                <w:szCs w:val="20"/>
              </w:rPr>
            </w:pPr>
            <w:r w:rsidRPr="008A26D2">
              <w:rPr>
                <w:rFonts w:ascii="Arial" w:eastAsia="Arial Narrow" w:hAnsi="Arial" w:cs="Arial"/>
                <w:sz w:val="20"/>
                <w:szCs w:val="20"/>
              </w:rPr>
              <w:t>El servicio es de tipo mejorado porque se aplicará nuevas herramientas tecnológicas (webinars) en caso sean virtuales, o de manera presencial para la entrega del servicio, así como la utilización de nuevas herramientas de inteligencia comercial.</w:t>
            </w:r>
          </w:p>
        </w:tc>
      </w:tr>
      <w:tr w:rsidR="008A26D2" w:rsidRPr="008A26D2" w14:paraId="6A65DCBA" w14:textId="77777777" w:rsidTr="00E457BC">
        <w:trPr>
          <w:trHeight w:val="300"/>
          <w:jc w:val="center"/>
        </w:trPr>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center"/>
          </w:tcPr>
          <w:p w14:paraId="6843D2DC" w14:textId="77777777" w:rsidR="00343E98" w:rsidRPr="008A26D2" w:rsidRDefault="00343E98" w:rsidP="00343E98">
            <w:pPr>
              <w:tabs>
                <w:tab w:val="left" w:pos="3375"/>
              </w:tabs>
              <w:rPr>
                <w:rFonts w:ascii="Arial" w:hAnsi="Arial" w:cs="Arial"/>
                <w:b/>
                <w:sz w:val="20"/>
                <w:szCs w:val="20"/>
              </w:rPr>
            </w:pPr>
            <w:r w:rsidRPr="008A26D2">
              <w:rPr>
                <w:rFonts w:ascii="Arial" w:hAnsi="Arial" w:cs="Arial"/>
                <w:b/>
                <w:sz w:val="20"/>
                <w:szCs w:val="20"/>
              </w:rPr>
              <w:t>Proveedor del servicio</w:t>
            </w:r>
          </w:p>
        </w:tc>
        <w:tc>
          <w:tcPr>
            <w:tcW w:w="609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center"/>
          </w:tcPr>
          <w:p w14:paraId="0CFD3EFB" w14:textId="77777777" w:rsidR="00343E98" w:rsidRPr="008A26D2" w:rsidRDefault="00343E98" w:rsidP="00343E98">
            <w:pPr>
              <w:tabs>
                <w:tab w:val="left" w:pos="3375"/>
              </w:tabs>
              <w:ind w:left="128"/>
              <w:rPr>
                <w:rFonts w:ascii="Arial" w:hAnsi="Arial" w:cs="Arial"/>
                <w:sz w:val="20"/>
                <w:szCs w:val="20"/>
              </w:rPr>
            </w:pPr>
            <w:r w:rsidRPr="008A26D2">
              <w:rPr>
                <w:rFonts w:ascii="Arial" w:hAnsi="Arial" w:cs="Arial"/>
                <w:sz w:val="20"/>
                <w:szCs w:val="20"/>
              </w:rPr>
              <w:t>Ministerio de Comercio Exterior y Turismo - MINCETUR</w:t>
            </w:r>
          </w:p>
        </w:tc>
      </w:tr>
      <w:tr w:rsidR="008A26D2" w:rsidRPr="008A26D2" w14:paraId="3577ADD9" w14:textId="77777777" w:rsidTr="00853269">
        <w:trPr>
          <w:trHeight w:val="555"/>
          <w:jc w:val="center"/>
        </w:trPr>
        <w:tc>
          <w:tcPr>
            <w:tcW w:w="2693" w:type="dxa"/>
            <w:vMerge w:val="restart"/>
            <w:tcBorders>
              <w:top w:val="single" w:sz="4" w:space="0" w:color="000000" w:themeColor="text1"/>
              <w:left w:val="single" w:sz="4" w:space="0" w:color="000000" w:themeColor="text1"/>
              <w:right w:val="single" w:sz="4" w:space="0" w:color="000000" w:themeColor="text1"/>
            </w:tcBorders>
            <w:shd w:val="clear" w:color="auto" w:fill="auto"/>
            <w:tcMar>
              <w:top w:w="15" w:type="dxa"/>
              <w:left w:w="15" w:type="dxa"/>
              <w:bottom w:w="0" w:type="dxa"/>
              <w:right w:w="15" w:type="dxa"/>
            </w:tcMar>
            <w:vAlign w:val="center"/>
          </w:tcPr>
          <w:p w14:paraId="1B3A917F" w14:textId="77777777" w:rsidR="00343E98" w:rsidRPr="008A26D2" w:rsidRDefault="00343E98" w:rsidP="002469C9">
            <w:pPr>
              <w:spacing w:after="0" w:line="240" w:lineRule="auto"/>
              <w:rPr>
                <w:rFonts w:ascii="Arial" w:hAnsi="Arial" w:cs="Arial"/>
                <w:b/>
                <w:sz w:val="20"/>
                <w:szCs w:val="20"/>
              </w:rPr>
            </w:pPr>
            <w:r w:rsidRPr="008A26D2">
              <w:rPr>
                <w:rFonts w:ascii="Arial" w:hAnsi="Arial" w:cs="Arial"/>
                <w:b/>
                <w:sz w:val="20"/>
                <w:szCs w:val="20"/>
              </w:rPr>
              <w:t>Nivel (es) de gobierno que interviene</w:t>
            </w:r>
          </w:p>
          <w:p w14:paraId="2F913C9E" w14:textId="30EC884F" w:rsidR="00343E98" w:rsidRPr="008A26D2" w:rsidRDefault="00343E98" w:rsidP="00343E98">
            <w:pPr>
              <w:tabs>
                <w:tab w:val="left" w:pos="3375"/>
              </w:tabs>
              <w:rPr>
                <w:rFonts w:ascii="Arial" w:hAnsi="Arial" w:cs="Arial"/>
                <w:b/>
                <w:sz w:val="20"/>
                <w:szCs w:val="20"/>
              </w:rPr>
            </w:pPr>
            <w:r w:rsidRPr="008A26D2">
              <w:rPr>
                <w:rFonts w:ascii="Arial" w:hAnsi="Arial" w:cs="Arial"/>
                <w:b/>
                <w:sz w:val="20"/>
                <w:szCs w:val="20"/>
              </w:rPr>
              <w:t>(n) en la provisión del servicio</w:t>
            </w:r>
          </w:p>
        </w:tc>
        <w:tc>
          <w:tcPr>
            <w:tcW w:w="2032" w:type="dxa"/>
            <w:tcBorders>
              <w:top w:val="single" w:sz="4" w:space="0" w:color="000000" w:themeColor="text1"/>
              <w:left w:val="single" w:sz="4" w:space="0" w:color="000000" w:themeColor="text1"/>
              <w:right w:val="single" w:sz="4" w:space="0" w:color="000000" w:themeColor="text1"/>
            </w:tcBorders>
            <w:shd w:val="clear" w:color="auto" w:fill="auto"/>
            <w:tcMar>
              <w:top w:w="15" w:type="dxa"/>
              <w:left w:w="15" w:type="dxa"/>
              <w:bottom w:w="0" w:type="dxa"/>
              <w:right w:w="15" w:type="dxa"/>
            </w:tcMar>
            <w:vAlign w:val="center"/>
          </w:tcPr>
          <w:p w14:paraId="522E0397" w14:textId="3B50CCDC" w:rsidR="00343E98" w:rsidRPr="008A26D2" w:rsidRDefault="00343E98" w:rsidP="00324662">
            <w:pPr>
              <w:tabs>
                <w:tab w:val="left" w:pos="3375"/>
              </w:tabs>
              <w:ind w:left="128"/>
              <w:jc w:val="center"/>
              <w:rPr>
                <w:rFonts w:ascii="Arial" w:hAnsi="Arial" w:cs="Arial"/>
                <w:sz w:val="20"/>
                <w:szCs w:val="20"/>
              </w:rPr>
            </w:pPr>
            <w:r w:rsidRPr="008A26D2">
              <w:rPr>
                <w:rFonts w:ascii="Arial" w:eastAsia="Arial Narrow" w:hAnsi="Arial" w:cs="Arial"/>
                <w:sz w:val="20"/>
                <w:szCs w:val="20"/>
              </w:rPr>
              <w:t>Nacional</w:t>
            </w:r>
          </w:p>
        </w:tc>
        <w:tc>
          <w:tcPr>
            <w:tcW w:w="2032" w:type="dxa"/>
            <w:tcBorders>
              <w:top w:val="single" w:sz="4" w:space="0" w:color="000000" w:themeColor="text1"/>
              <w:left w:val="single" w:sz="4" w:space="0" w:color="000000" w:themeColor="text1"/>
              <w:right w:val="single" w:sz="4" w:space="0" w:color="000000" w:themeColor="text1"/>
            </w:tcBorders>
            <w:shd w:val="clear" w:color="auto" w:fill="auto"/>
            <w:vAlign w:val="center"/>
          </w:tcPr>
          <w:p w14:paraId="4A4CABFE" w14:textId="25CFE539" w:rsidR="00343E98" w:rsidRPr="008A26D2" w:rsidRDefault="00343E98" w:rsidP="00324662">
            <w:pPr>
              <w:tabs>
                <w:tab w:val="left" w:pos="3375"/>
              </w:tabs>
              <w:ind w:left="128"/>
              <w:jc w:val="center"/>
              <w:rPr>
                <w:rFonts w:ascii="Arial" w:hAnsi="Arial" w:cs="Arial"/>
                <w:sz w:val="20"/>
                <w:szCs w:val="20"/>
              </w:rPr>
            </w:pPr>
            <w:r w:rsidRPr="008A26D2">
              <w:rPr>
                <w:rFonts w:ascii="Arial" w:eastAsia="Arial Narrow" w:hAnsi="Arial" w:cs="Arial"/>
                <w:sz w:val="20"/>
                <w:szCs w:val="20"/>
              </w:rPr>
              <w:t>Regional</w:t>
            </w:r>
          </w:p>
        </w:tc>
        <w:tc>
          <w:tcPr>
            <w:tcW w:w="2032" w:type="dxa"/>
            <w:tcBorders>
              <w:top w:val="single" w:sz="4" w:space="0" w:color="000000" w:themeColor="text1"/>
              <w:left w:val="single" w:sz="4" w:space="0" w:color="000000" w:themeColor="text1"/>
              <w:right w:val="single" w:sz="4" w:space="0" w:color="000000" w:themeColor="text1"/>
            </w:tcBorders>
            <w:shd w:val="clear" w:color="auto" w:fill="auto"/>
            <w:vAlign w:val="center"/>
          </w:tcPr>
          <w:p w14:paraId="71CF36D6" w14:textId="33997242" w:rsidR="00343E98" w:rsidRPr="008A26D2" w:rsidRDefault="00343E98" w:rsidP="00324662">
            <w:pPr>
              <w:tabs>
                <w:tab w:val="left" w:pos="3375"/>
              </w:tabs>
              <w:ind w:left="128"/>
              <w:jc w:val="center"/>
              <w:rPr>
                <w:rFonts w:ascii="Arial" w:hAnsi="Arial" w:cs="Arial"/>
                <w:sz w:val="20"/>
                <w:szCs w:val="20"/>
              </w:rPr>
            </w:pPr>
            <w:r w:rsidRPr="008A26D2">
              <w:rPr>
                <w:rFonts w:ascii="Arial" w:eastAsia="Arial Narrow" w:hAnsi="Arial" w:cs="Arial"/>
                <w:sz w:val="20"/>
                <w:szCs w:val="20"/>
              </w:rPr>
              <w:t>Local</w:t>
            </w:r>
          </w:p>
        </w:tc>
      </w:tr>
      <w:tr w:rsidR="008A26D2" w:rsidRPr="008A26D2" w14:paraId="27048D19" w14:textId="77777777" w:rsidTr="00853269">
        <w:trPr>
          <w:trHeight w:val="555"/>
          <w:jc w:val="center"/>
        </w:trPr>
        <w:tc>
          <w:tcPr>
            <w:tcW w:w="2693" w:type="dxa"/>
            <w:vMerge/>
            <w:tcBorders>
              <w:left w:val="single" w:sz="4" w:space="0" w:color="000000" w:themeColor="text1"/>
              <w:right w:val="single" w:sz="4" w:space="0" w:color="000000" w:themeColor="text1"/>
            </w:tcBorders>
            <w:shd w:val="clear" w:color="auto" w:fill="auto"/>
            <w:tcMar>
              <w:top w:w="15" w:type="dxa"/>
              <w:left w:w="15" w:type="dxa"/>
              <w:bottom w:w="0" w:type="dxa"/>
              <w:right w:w="15" w:type="dxa"/>
            </w:tcMar>
            <w:vAlign w:val="center"/>
          </w:tcPr>
          <w:p w14:paraId="6FA14AC2" w14:textId="77777777" w:rsidR="00343E98" w:rsidRPr="008A26D2" w:rsidRDefault="00343E98" w:rsidP="00343E98">
            <w:pPr>
              <w:spacing w:after="0" w:line="240" w:lineRule="auto"/>
              <w:rPr>
                <w:rFonts w:ascii="Arial" w:hAnsi="Arial" w:cs="Arial"/>
                <w:b/>
                <w:sz w:val="20"/>
                <w:szCs w:val="20"/>
              </w:rPr>
            </w:pPr>
          </w:p>
        </w:tc>
        <w:tc>
          <w:tcPr>
            <w:tcW w:w="2032" w:type="dxa"/>
            <w:tcBorders>
              <w:top w:val="single" w:sz="4" w:space="0" w:color="000000" w:themeColor="text1"/>
              <w:left w:val="single" w:sz="4" w:space="0" w:color="000000" w:themeColor="text1"/>
              <w:right w:val="single" w:sz="4" w:space="0" w:color="000000" w:themeColor="text1"/>
            </w:tcBorders>
            <w:shd w:val="clear" w:color="auto" w:fill="auto"/>
            <w:tcMar>
              <w:top w:w="15" w:type="dxa"/>
              <w:left w:w="15" w:type="dxa"/>
              <w:bottom w:w="0" w:type="dxa"/>
              <w:right w:w="15" w:type="dxa"/>
            </w:tcMar>
            <w:vAlign w:val="center"/>
          </w:tcPr>
          <w:p w14:paraId="3D5A1647" w14:textId="27C5E0AB" w:rsidR="00343E98" w:rsidRPr="008A26D2" w:rsidRDefault="00A32B05" w:rsidP="00324662">
            <w:pPr>
              <w:tabs>
                <w:tab w:val="left" w:pos="3375"/>
              </w:tabs>
              <w:ind w:left="128"/>
              <w:jc w:val="center"/>
              <w:rPr>
                <w:rFonts w:ascii="Arial" w:hAnsi="Arial" w:cs="Arial"/>
                <w:sz w:val="20"/>
                <w:szCs w:val="20"/>
              </w:rPr>
            </w:pPr>
            <w:r w:rsidRPr="008A26D2">
              <w:rPr>
                <w:rFonts w:ascii="Arial" w:hAnsi="Arial" w:cs="Arial"/>
                <w:sz w:val="20"/>
                <w:szCs w:val="20"/>
              </w:rPr>
              <w:t>X</w:t>
            </w:r>
          </w:p>
        </w:tc>
        <w:tc>
          <w:tcPr>
            <w:tcW w:w="2032" w:type="dxa"/>
            <w:tcBorders>
              <w:top w:val="single" w:sz="4" w:space="0" w:color="000000" w:themeColor="text1"/>
              <w:left w:val="single" w:sz="4" w:space="0" w:color="000000" w:themeColor="text1"/>
              <w:right w:val="single" w:sz="4" w:space="0" w:color="000000" w:themeColor="text1"/>
            </w:tcBorders>
            <w:shd w:val="clear" w:color="auto" w:fill="auto"/>
            <w:vAlign w:val="center"/>
          </w:tcPr>
          <w:p w14:paraId="44156C32" w14:textId="77777777" w:rsidR="00343E98" w:rsidRPr="008A26D2" w:rsidRDefault="00343E98" w:rsidP="00324662">
            <w:pPr>
              <w:tabs>
                <w:tab w:val="left" w:pos="3375"/>
              </w:tabs>
              <w:ind w:left="128"/>
              <w:jc w:val="center"/>
              <w:rPr>
                <w:rFonts w:ascii="Arial" w:hAnsi="Arial" w:cs="Arial"/>
                <w:sz w:val="20"/>
                <w:szCs w:val="20"/>
              </w:rPr>
            </w:pPr>
          </w:p>
        </w:tc>
        <w:tc>
          <w:tcPr>
            <w:tcW w:w="2032" w:type="dxa"/>
            <w:tcBorders>
              <w:top w:val="single" w:sz="4" w:space="0" w:color="000000" w:themeColor="text1"/>
              <w:left w:val="single" w:sz="4" w:space="0" w:color="000000" w:themeColor="text1"/>
              <w:right w:val="single" w:sz="4" w:space="0" w:color="000000" w:themeColor="text1"/>
            </w:tcBorders>
            <w:shd w:val="clear" w:color="auto" w:fill="auto"/>
            <w:vAlign w:val="center"/>
          </w:tcPr>
          <w:p w14:paraId="19BDF249" w14:textId="1CA33CA4" w:rsidR="00343E98" w:rsidRPr="008A26D2" w:rsidRDefault="00343E98" w:rsidP="00324662">
            <w:pPr>
              <w:tabs>
                <w:tab w:val="left" w:pos="3375"/>
              </w:tabs>
              <w:ind w:left="128"/>
              <w:jc w:val="center"/>
              <w:rPr>
                <w:rFonts w:ascii="Arial" w:hAnsi="Arial" w:cs="Arial"/>
                <w:sz w:val="20"/>
                <w:szCs w:val="20"/>
              </w:rPr>
            </w:pPr>
          </w:p>
        </w:tc>
      </w:tr>
      <w:tr w:rsidR="008A26D2" w:rsidRPr="008A26D2" w14:paraId="5E4ED553" w14:textId="77777777" w:rsidTr="00E457BC">
        <w:trPr>
          <w:trHeight w:val="300"/>
          <w:jc w:val="center"/>
        </w:trPr>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center"/>
          </w:tcPr>
          <w:p w14:paraId="60D1B897" w14:textId="77777777" w:rsidR="00343E98" w:rsidRPr="008A26D2" w:rsidRDefault="00343E98" w:rsidP="00343E98">
            <w:pPr>
              <w:tabs>
                <w:tab w:val="left" w:pos="3375"/>
              </w:tabs>
              <w:rPr>
                <w:rFonts w:ascii="Arial" w:hAnsi="Arial" w:cs="Arial"/>
                <w:b/>
                <w:sz w:val="20"/>
                <w:szCs w:val="20"/>
              </w:rPr>
            </w:pPr>
            <w:r w:rsidRPr="008A26D2">
              <w:rPr>
                <w:rFonts w:ascii="Arial" w:hAnsi="Arial" w:cs="Arial"/>
                <w:b/>
                <w:sz w:val="20"/>
                <w:szCs w:val="20"/>
              </w:rPr>
              <w:t>Receptor del servicio</w:t>
            </w:r>
          </w:p>
        </w:tc>
        <w:tc>
          <w:tcPr>
            <w:tcW w:w="609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center"/>
          </w:tcPr>
          <w:p w14:paraId="68A35DB5" w14:textId="77777777" w:rsidR="00343E98" w:rsidRPr="008A26D2" w:rsidRDefault="00343E98" w:rsidP="00343E98">
            <w:pPr>
              <w:tabs>
                <w:tab w:val="left" w:pos="3375"/>
              </w:tabs>
              <w:ind w:left="128"/>
              <w:rPr>
                <w:rFonts w:ascii="Arial" w:hAnsi="Arial" w:cs="Arial"/>
                <w:sz w:val="20"/>
                <w:szCs w:val="20"/>
              </w:rPr>
            </w:pPr>
            <w:r w:rsidRPr="008A26D2">
              <w:rPr>
                <w:rFonts w:ascii="Arial" w:hAnsi="Arial" w:cs="Arial"/>
                <w:sz w:val="20"/>
                <w:szCs w:val="20"/>
              </w:rPr>
              <w:t>Instituciones públicas y privadas, empresas exportadoras y con potencial exportador</w:t>
            </w:r>
          </w:p>
        </w:tc>
      </w:tr>
      <w:tr w:rsidR="008A26D2" w:rsidRPr="008A26D2" w14:paraId="718C1B42" w14:textId="77777777" w:rsidTr="00E457BC">
        <w:trPr>
          <w:trHeight w:val="211"/>
          <w:jc w:val="center"/>
        </w:trPr>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center"/>
          </w:tcPr>
          <w:p w14:paraId="115AB290" w14:textId="77777777" w:rsidR="00343E98" w:rsidRPr="008A26D2" w:rsidRDefault="00343E98" w:rsidP="00343E98">
            <w:pPr>
              <w:tabs>
                <w:tab w:val="left" w:pos="3375"/>
              </w:tabs>
              <w:rPr>
                <w:rFonts w:ascii="Arial" w:hAnsi="Arial" w:cs="Arial"/>
                <w:b/>
                <w:sz w:val="20"/>
                <w:szCs w:val="20"/>
              </w:rPr>
            </w:pPr>
            <w:r w:rsidRPr="008A26D2">
              <w:rPr>
                <w:rFonts w:ascii="Arial" w:hAnsi="Arial" w:cs="Arial"/>
                <w:b/>
                <w:sz w:val="20"/>
                <w:szCs w:val="20"/>
              </w:rPr>
              <w:t>Alcance del servicio</w:t>
            </w:r>
          </w:p>
        </w:tc>
        <w:tc>
          <w:tcPr>
            <w:tcW w:w="609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center"/>
          </w:tcPr>
          <w:p w14:paraId="5F80F6E2" w14:textId="77777777" w:rsidR="00343E98" w:rsidRPr="008A26D2" w:rsidRDefault="00343E98" w:rsidP="00343E98">
            <w:pPr>
              <w:tabs>
                <w:tab w:val="left" w:pos="3375"/>
              </w:tabs>
              <w:ind w:left="128"/>
              <w:rPr>
                <w:rFonts w:ascii="Arial" w:hAnsi="Arial" w:cs="Arial"/>
                <w:sz w:val="20"/>
                <w:szCs w:val="20"/>
              </w:rPr>
            </w:pPr>
            <w:r w:rsidRPr="008A26D2">
              <w:rPr>
                <w:rFonts w:ascii="Arial" w:hAnsi="Arial" w:cs="Arial"/>
                <w:sz w:val="20"/>
                <w:szCs w:val="20"/>
              </w:rPr>
              <w:t>Nacional</w:t>
            </w:r>
          </w:p>
        </w:tc>
      </w:tr>
      <w:tr w:rsidR="008A26D2" w:rsidRPr="008A26D2" w14:paraId="4ADE0F93" w14:textId="77777777" w:rsidTr="00E457BC">
        <w:trPr>
          <w:trHeight w:val="62"/>
          <w:jc w:val="center"/>
        </w:trPr>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center"/>
          </w:tcPr>
          <w:p w14:paraId="26FEA70B" w14:textId="77777777" w:rsidR="00343E98" w:rsidRPr="008A26D2" w:rsidRDefault="00343E98" w:rsidP="00343E98">
            <w:pPr>
              <w:tabs>
                <w:tab w:val="left" w:pos="3375"/>
              </w:tabs>
              <w:rPr>
                <w:rFonts w:ascii="Arial" w:hAnsi="Arial" w:cs="Arial"/>
                <w:b/>
                <w:sz w:val="20"/>
                <w:szCs w:val="20"/>
              </w:rPr>
            </w:pPr>
            <w:r w:rsidRPr="008A26D2">
              <w:rPr>
                <w:rFonts w:ascii="Arial" w:hAnsi="Arial" w:cs="Arial"/>
                <w:b/>
                <w:sz w:val="20"/>
                <w:szCs w:val="20"/>
              </w:rPr>
              <w:lastRenderedPageBreak/>
              <w:t>Estándar (es) de cumplimiento</w:t>
            </w:r>
          </w:p>
        </w:tc>
        <w:tc>
          <w:tcPr>
            <w:tcW w:w="609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center"/>
          </w:tcPr>
          <w:p w14:paraId="125B1269" w14:textId="77777777" w:rsidR="00343E98" w:rsidRPr="008A26D2" w:rsidRDefault="00343E98" w:rsidP="00343E98">
            <w:pPr>
              <w:tabs>
                <w:tab w:val="left" w:pos="3375"/>
              </w:tabs>
              <w:ind w:left="128"/>
              <w:rPr>
                <w:rFonts w:ascii="Arial" w:hAnsi="Arial" w:cs="Arial"/>
                <w:sz w:val="20"/>
                <w:szCs w:val="20"/>
              </w:rPr>
            </w:pPr>
            <w:r w:rsidRPr="008A26D2">
              <w:rPr>
                <w:rFonts w:ascii="Arial" w:hAnsi="Arial" w:cs="Arial"/>
                <w:sz w:val="20"/>
                <w:szCs w:val="20"/>
              </w:rPr>
              <w:t>Percepción</w:t>
            </w:r>
          </w:p>
        </w:tc>
      </w:tr>
      <w:tr w:rsidR="008A26D2" w:rsidRPr="008A26D2" w14:paraId="2FEC1F1E" w14:textId="77777777" w:rsidTr="00E457BC">
        <w:trPr>
          <w:trHeight w:val="300"/>
          <w:jc w:val="center"/>
        </w:trPr>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center"/>
          </w:tcPr>
          <w:p w14:paraId="4408548B" w14:textId="77777777" w:rsidR="00343E98" w:rsidRPr="008A26D2" w:rsidRDefault="00343E98" w:rsidP="00343E98">
            <w:pPr>
              <w:tabs>
                <w:tab w:val="left" w:pos="3375"/>
              </w:tabs>
              <w:rPr>
                <w:rFonts w:ascii="Arial" w:hAnsi="Arial" w:cs="Arial"/>
                <w:b/>
                <w:sz w:val="20"/>
                <w:szCs w:val="20"/>
              </w:rPr>
            </w:pPr>
            <w:r w:rsidRPr="008A26D2">
              <w:rPr>
                <w:rFonts w:ascii="Arial" w:hAnsi="Arial" w:cs="Arial"/>
                <w:b/>
                <w:sz w:val="20"/>
                <w:szCs w:val="20"/>
              </w:rPr>
              <w:t>Descripción del estándar</w:t>
            </w:r>
          </w:p>
        </w:tc>
        <w:tc>
          <w:tcPr>
            <w:tcW w:w="609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35" w:type="dxa"/>
              <w:bottom w:w="0" w:type="dxa"/>
              <w:right w:w="15" w:type="dxa"/>
            </w:tcMar>
            <w:vAlign w:val="center"/>
          </w:tcPr>
          <w:p w14:paraId="0EA01FAE" w14:textId="026C57A0" w:rsidR="00343E98" w:rsidRPr="008A26D2" w:rsidRDefault="00343E98" w:rsidP="00343E98">
            <w:pPr>
              <w:tabs>
                <w:tab w:val="left" w:pos="3375"/>
              </w:tabs>
              <w:ind w:left="8"/>
              <w:rPr>
                <w:rFonts w:ascii="Arial" w:hAnsi="Arial" w:cs="Arial"/>
                <w:sz w:val="20"/>
                <w:szCs w:val="20"/>
              </w:rPr>
            </w:pPr>
            <w:r w:rsidRPr="008A26D2">
              <w:rPr>
                <w:rFonts w:ascii="Arial" w:eastAsia="Times New Roman" w:hAnsi="Arial" w:cs="Arial"/>
                <w:sz w:val="20"/>
                <w:szCs w:val="20"/>
                <w:lang w:val="es-ES"/>
              </w:rPr>
              <w:t xml:space="preserve">El estándar del servicio es de percepción debido a que éste satisface las expectativas de capacitación en </w:t>
            </w:r>
            <w:r w:rsidRPr="008A26D2">
              <w:rPr>
                <w:rFonts w:ascii="Arial" w:hAnsi="Arial" w:cs="Arial"/>
                <w:sz w:val="20"/>
                <w:szCs w:val="20"/>
              </w:rPr>
              <w:t>la identificación de oportunidades y tendencias de los mercados internacionales</w:t>
            </w:r>
            <w:r w:rsidRPr="008A26D2">
              <w:rPr>
                <w:rFonts w:ascii="Arial" w:eastAsia="Times New Roman" w:hAnsi="Arial" w:cs="Arial"/>
                <w:sz w:val="20"/>
                <w:szCs w:val="20"/>
                <w:lang w:val="es-ES"/>
              </w:rPr>
              <w:t xml:space="preserve"> de las </w:t>
            </w:r>
            <w:r w:rsidRPr="008A26D2">
              <w:rPr>
                <w:rStyle w:val="Refdecomentario"/>
                <w:rFonts w:ascii="Arial" w:eastAsiaTheme="minorEastAsia" w:hAnsi="Arial" w:cs="Arial"/>
                <w:sz w:val="20"/>
                <w:szCs w:val="20"/>
                <w:lang w:eastAsia="en-US"/>
              </w:rPr>
              <w:t xml:space="preserve">instituciones públicas y privadas y </w:t>
            </w:r>
            <w:r w:rsidRPr="008A26D2">
              <w:rPr>
                <w:rFonts w:ascii="Arial" w:hAnsi="Arial" w:cs="Arial"/>
                <w:sz w:val="20"/>
                <w:szCs w:val="20"/>
              </w:rPr>
              <w:t xml:space="preserve">empresas exportadoras y con potencial exportador de la actividad forestal y de fauna silvestre </w:t>
            </w:r>
          </w:p>
        </w:tc>
      </w:tr>
      <w:tr w:rsidR="00343E98" w:rsidRPr="008A26D2" w14:paraId="18AC8608" w14:textId="77777777" w:rsidTr="00E457BC">
        <w:trPr>
          <w:trHeight w:val="491"/>
          <w:jc w:val="center"/>
        </w:trPr>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center"/>
          </w:tcPr>
          <w:p w14:paraId="107291A0" w14:textId="77777777" w:rsidR="00343E98" w:rsidRPr="008A26D2" w:rsidRDefault="00343E98" w:rsidP="00343E98">
            <w:pPr>
              <w:tabs>
                <w:tab w:val="left" w:pos="3375"/>
              </w:tabs>
              <w:rPr>
                <w:rFonts w:ascii="Arial" w:hAnsi="Arial" w:cs="Arial"/>
                <w:b/>
                <w:sz w:val="20"/>
                <w:szCs w:val="20"/>
              </w:rPr>
            </w:pPr>
            <w:r w:rsidRPr="008A26D2">
              <w:rPr>
                <w:rFonts w:ascii="Arial" w:hAnsi="Arial" w:cs="Arial"/>
                <w:b/>
                <w:sz w:val="20"/>
                <w:szCs w:val="20"/>
              </w:rPr>
              <w:t>Indicador</w:t>
            </w:r>
          </w:p>
        </w:tc>
        <w:tc>
          <w:tcPr>
            <w:tcW w:w="609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center"/>
          </w:tcPr>
          <w:p w14:paraId="164964CB" w14:textId="1FCFC801" w:rsidR="00343E98" w:rsidRPr="008A26D2" w:rsidRDefault="00343E98" w:rsidP="00343E98">
            <w:pPr>
              <w:tabs>
                <w:tab w:val="left" w:pos="3375"/>
              </w:tabs>
              <w:rPr>
                <w:rFonts w:ascii="Arial" w:eastAsia="Times New Roman" w:hAnsi="Arial" w:cs="Arial"/>
                <w:sz w:val="20"/>
                <w:szCs w:val="20"/>
              </w:rPr>
            </w:pPr>
            <w:r w:rsidRPr="008A26D2">
              <w:rPr>
                <w:rFonts w:ascii="Arial" w:eastAsia="Times New Roman" w:hAnsi="Arial" w:cs="Arial"/>
                <w:sz w:val="20"/>
                <w:szCs w:val="20"/>
              </w:rPr>
              <w:t xml:space="preserve">Porcentaje de profesionales de entidades públicas y privadas y representantes de las </w:t>
            </w:r>
            <w:r w:rsidRPr="008A26D2">
              <w:rPr>
                <w:rFonts w:ascii="Arial" w:hAnsi="Arial" w:cs="Arial"/>
                <w:sz w:val="20"/>
                <w:szCs w:val="20"/>
              </w:rPr>
              <w:t xml:space="preserve">empresas exportadoras y con potencial exportador con alto grado de satisfacción sobre las capacitaciones recibidas </w:t>
            </w:r>
            <w:r w:rsidRPr="008A26D2">
              <w:rPr>
                <w:rFonts w:ascii="Arial" w:eastAsia="Times New Roman" w:hAnsi="Arial" w:cs="Arial"/>
                <w:sz w:val="20"/>
                <w:szCs w:val="20"/>
                <w:lang w:val="es-ES"/>
              </w:rPr>
              <w:t xml:space="preserve">en </w:t>
            </w:r>
            <w:r w:rsidRPr="008A26D2">
              <w:rPr>
                <w:rFonts w:ascii="Arial" w:hAnsi="Arial" w:cs="Arial"/>
                <w:sz w:val="20"/>
                <w:szCs w:val="20"/>
              </w:rPr>
              <w:t>la identificación de oportunidades y tendencias de los mercados internacionales</w:t>
            </w:r>
          </w:p>
        </w:tc>
      </w:tr>
    </w:tbl>
    <w:p w14:paraId="116E1E64" w14:textId="77777777" w:rsidR="00E457BC" w:rsidRPr="008A26D2" w:rsidRDefault="00E457BC">
      <w:pPr>
        <w:rPr>
          <w:rFonts w:ascii="Arial Narrow" w:eastAsia="Arial Narrow" w:hAnsi="Arial Narrow" w:cs="Arial Narrow"/>
          <w:b/>
        </w:rPr>
      </w:pPr>
    </w:p>
    <w:bookmarkEnd w:id="7"/>
    <w:p w14:paraId="04DF3FBB" w14:textId="77777777" w:rsidR="00137B40" w:rsidRPr="008A26D2" w:rsidRDefault="00137B40">
      <w:pPr>
        <w:rPr>
          <w:rFonts w:ascii="Arial Narrow" w:eastAsia="Arial Narrow" w:hAnsi="Arial Narrow" w:cs="Arial Narrow"/>
          <w:b/>
        </w:rPr>
      </w:pPr>
    </w:p>
    <w:p w14:paraId="3052E6CE" w14:textId="7497C06A" w:rsidR="00E457BC" w:rsidRPr="008A26D2" w:rsidRDefault="00E457BC" w:rsidP="008516F0">
      <w:pPr>
        <w:jc w:val="both"/>
        <w:rPr>
          <w:rFonts w:ascii="Arial" w:hAnsi="Arial" w:cs="Arial"/>
        </w:rPr>
      </w:pPr>
      <w:r w:rsidRPr="00890D07">
        <w:rPr>
          <w:rFonts w:ascii="Arial" w:hAnsi="Arial" w:cs="Arial"/>
          <w:b/>
          <w:bCs/>
        </w:rPr>
        <w:t>S2.6.</w:t>
      </w:r>
      <w:r w:rsidR="0007422E" w:rsidRPr="00890D07">
        <w:rPr>
          <w:rFonts w:ascii="Arial" w:hAnsi="Arial" w:cs="Arial"/>
          <w:b/>
          <w:bCs/>
        </w:rPr>
        <w:t>3</w:t>
      </w:r>
      <w:r w:rsidRPr="00890D07">
        <w:rPr>
          <w:rFonts w:ascii="Arial" w:hAnsi="Arial" w:cs="Arial"/>
        </w:rPr>
        <w:t xml:space="preserve"> </w:t>
      </w:r>
      <w:r w:rsidR="00324662" w:rsidRPr="00890D07">
        <w:rPr>
          <w:rFonts w:ascii="Arial" w:hAnsi="Arial" w:cs="Arial"/>
        </w:rPr>
        <w:t>Promoción de la oferta exportable de nuevas especies de productos maderables de valor agregado</w:t>
      </w:r>
      <w:r w:rsidR="00324662" w:rsidRPr="00324662">
        <w:rPr>
          <w:rFonts w:ascii="Arial" w:hAnsi="Arial" w:cs="Arial"/>
        </w:rPr>
        <w:t xml:space="preserve"> de forma oportuna en beneficio de exportadores y potenciales exportadores forestales</w:t>
      </w:r>
    </w:p>
    <w:tbl>
      <w:tblPr>
        <w:tblW w:w="8642" w:type="dxa"/>
        <w:tblLayout w:type="fixed"/>
        <w:tblLook w:val="0600" w:firstRow="0" w:lastRow="0" w:firstColumn="0" w:lastColumn="0" w:noHBand="1" w:noVBand="1"/>
      </w:tblPr>
      <w:tblGrid>
        <w:gridCol w:w="2693"/>
        <w:gridCol w:w="1983"/>
        <w:gridCol w:w="1983"/>
        <w:gridCol w:w="1983"/>
      </w:tblGrid>
      <w:tr w:rsidR="008A26D2" w:rsidRPr="008A26D2" w14:paraId="4F6944D7" w14:textId="77777777" w:rsidTr="0080067C">
        <w:trPr>
          <w:trHeight w:val="300"/>
        </w:trPr>
        <w:tc>
          <w:tcPr>
            <w:tcW w:w="8642"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center"/>
          </w:tcPr>
          <w:p w14:paraId="6E30563D" w14:textId="43BA6D5E" w:rsidR="00E457BC" w:rsidRPr="008A26D2" w:rsidRDefault="00E457BC" w:rsidP="00D87323">
            <w:pPr>
              <w:tabs>
                <w:tab w:val="left" w:pos="3375"/>
              </w:tabs>
              <w:jc w:val="center"/>
              <w:rPr>
                <w:rFonts w:ascii="Arial" w:hAnsi="Arial" w:cs="Arial"/>
                <w:sz w:val="20"/>
                <w:szCs w:val="20"/>
              </w:rPr>
            </w:pPr>
            <w:bookmarkStart w:id="8" w:name="_Hlk128988959"/>
            <w:r w:rsidRPr="008A26D2">
              <w:rPr>
                <w:rFonts w:ascii="Arial" w:hAnsi="Arial" w:cs="Arial"/>
                <w:b/>
                <w:sz w:val="20"/>
                <w:szCs w:val="20"/>
              </w:rPr>
              <w:t>FICHA DEL SERVICIO</w:t>
            </w:r>
          </w:p>
        </w:tc>
      </w:tr>
      <w:tr w:rsidR="008A26D2" w:rsidRPr="008A26D2" w14:paraId="018EC96C" w14:textId="77777777" w:rsidTr="0080067C">
        <w:trPr>
          <w:trHeight w:val="300"/>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482CE7D" w14:textId="77777777" w:rsidR="00E457BC" w:rsidRPr="008A26D2" w:rsidRDefault="00E457BC" w:rsidP="0080067C">
            <w:pPr>
              <w:tabs>
                <w:tab w:val="left" w:pos="3375"/>
              </w:tabs>
              <w:jc w:val="both"/>
              <w:rPr>
                <w:rFonts w:ascii="Arial" w:hAnsi="Arial" w:cs="Arial"/>
                <w:b/>
                <w:sz w:val="20"/>
                <w:szCs w:val="20"/>
              </w:rPr>
            </w:pPr>
            <w:r w:rsidRPr="008A26D2">
              <w:rPr>
                <w:rFonts w:ascii="Arial" w:hAnsi="Arial" w:cs="Arial"/>
                <w:b/>
                <w:sz w:val="20"/>
                <w:szCs w:val="20"/>
              </w:rPr>
              <w:t xml:space="preserve"> Objetivo prioritario:</w:t>
            </w:r>
          </w:p>
        </w:tc>
        <w:tc>
          <w:tcPr>
            <w:tcW w:w="594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93857D7" w14:textId="77777777" w:rsidR="00E457BC" w:rsidRPr="008A26D2" w:rsidRDefault="00E457BC" w:rsidP="0080067C">
            <w:pPr>
              <w:tabs>
                <w:tab w:val="left" w:pos="3375"/>
              </w:tabs>
              <w:ind w:left="128"/>
              <w:jc w:val="both"/>
              <w:rPr>
                <w:rFonts w:ascii="Arial" w:hAnsi="Arial" w:cs="Arial"/>
                <w:sz w:val="20"/>
                <w:szCs w:val="20"/>
              </w:rPr>
            </w:pPr>
            <w:r w:rsidRPr="008A26D2">
              <w:rPr>
                <w:rFonts w:ascii="Arial" w:hAnsi="Arial" w:cs="Arial"/>
                <w:sz w:val="20"/>
                <w:szCs w:val="20"/>
              </w:rPr>
              <w:t>OP2 Incrementar la productividad de los ecosistemas forestales, otros ecosistemas de vegetación silvestre y de la fauna silvestre.</w:t>
            </w:r>
          </w:p>
        </w:tc>
      </w:tr>
      <w:tr w:rsidR="008A26D2" w:rsidRPr="008A26D2" w14:paraId="0C172EBC" w14:textId="77777777" w:rsidTr="0080067C">
        <w:trPr>
          <w:trHeight w:val="300"/>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DD1E084" w14:textId="77777777" w:rsidR="00E457BC" w:rsidRPr="008A26D2" w:rsidRDefault="00E457BC" w:rsidP="0080067C">
            <w:pPr>
              <w:tabs>
                <w:tab w:val="left" w:pos="3375"/>
              </w:tabs>
              <w:jc w:val="both"/>
              <w:rPr>
                <w:rFonts w:ascii="Arial" w:hAnsi="Arial" w:cs="Arial"/>
                <w:b/>
                <w:sz w:val="20"/>
                <w:szCs w:val="20"/>
              </w:rPr>
            </w:pPr>
            <w:r w:rsidRPr="008A26D2">
              <w:rPr>
                <w:rFonts w:ascii="Arial" w:hAnsi="Arial" w:cs="Arial"/>
                <w:b/>
                <w:sz w:val="20"/>
                <w:szCs w:val="20"/>
              </w:rPr>
              <w:t xml:space="preserve"> Lineamiento:</w:t>
            </w:r>
          </w:p>
        </w:tc>
        <w:tc>
          <w:tcPr>
            <w:tcW w:w="594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79F0F34" w14:textId="77777777" w:rsidR="00E457BC" w:rsidRPr="008A26D2" w:rsidRDefault="00E457BC" w:rsidP="0080067C">
            <w:pPr>
              <w:tabs>
                <w:tab w:val="left" w:pos="3375"/>
              </w:tabs>
              <w:ind w:left="128"/>
              <w:jc w:val="both"/>
              <w:rPr>
                <w:rFonts w:ascii="Arial" w:hAnsi="Arial" w:cs="Arial"/>
                <w:sz w:val="20"/>
                <w:szCs w:val="20"/>
              </w:rPr>
            </w:pPr>
            <w:r w:rsidRPr="008A26D2">
              <w:rPr>
                <w:rFonts w:ascii="Arial" w:hAnsi="Arial" w:cs="Arial"/>
                <w:sz w:val="20"/>
                <w:szCs w:val="20"/>
              </w:rPr>
              <w:t>L2.6 Incrementar el comercio nacional e internacional de especímenes, productos y subproductos de flora y fauna silvestre provenientes de actividades de aprovechamiento autorizadas</w:t>
            </w:r>
          </w:p>
        </w:tc>
      </w:tr>
      <w:tr w:rsidR="008A26D2" w:rsidRPr="008A26D2" w14:paraId="64CFF880" w14:textId="77777777" w:rsidTr="0080067C">
        <w:trPr>
          <w:trHeight w:val="300"/>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068AAE6" w14:textId="77777777" w:rsidR="00E457BC" w:rsidRPr="008A26D2" w:rsidRDefault="00E457BC" w:rsidP="0080067C">
            <w:pPr>
              <w:tabs>
                <w:tab w:val="left" w:pos="3375"/>
              </w:tabs>
              <w:jc w:val="both"/>
              <w:rPr>
                <w:rFonts w:ascii="Arial" w:hAnsi="Arial" w:cs="Arial"/>
                <w:b/>
                <w:sz w:val="20"/>
                <w:szCs w:val="20"/>
              </w:rPr>
            </w:pPr>
            <w:r w:rsidRPr="008A26D2">
              <w:rPr>
                <w:rFonts w:ascii="Arial" w:hAnsi="Arial" w:cs="Arial"/>
                <w:b/>
                <w:sz w:val="20"/>
                <w:szCs w:val="20"/>
              </w:rPr>
              <w:t xml:space="preserve"> Nombre del servicio:</w:t>
            </w:r>
          </w:p>
        </w:tc>
        <w:tc>
          <w:tcPr>
            <w:tcW w:w="594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A713A21" w14:textId="20229AA5" w:rsidR="00DC7958" w:rsidRPr="008A26D2" w:rsidRDefault="00E457BC" w:rsidP="002469C9">
            <w:pPr>
              <w:tabs>
                <w:tab w:val="left" w:pos="3375"/>
              </w:tabs>
              <w:ind w:left="128"/>
              <w:jc w:val="both"/>
              <w:rPr>
                <w:rFonts w:ascii="Arial" w:hAnsi="Arial" w:cs="Arial"/>
                <w:sz w:val="20"/>
                <w:szCs w:val="20"/>
              </w:rPr>
            </w:pPr>
            <w:r w:rsidRPr="008A26D2">
              <w:rPr>
                <w:rFonts w:ascii="Arial" w:hAnsi="Arial" w:cs="Arial"/>
                <w:sz w:val="20"/>
                <w:szCs w:val="20"/>
              </w:rPr>
              <w:t>S2.6.</w:t>
            </w:r>
            <w:r w:rsidR="0007422E" w:rsidRPr="008A26D2">
              <w:rPr>
                <w:rFonts w:ascii="Arial" w:hAnsi="Arial" w:cs="Arial"/>
                <w:sz w:val="20"/>
                <w:szCs w:val="20"/>
              </w:rPr>
              <w:t>3</w:t>
            </w:r>
            <w:r w:rsidRPr="008A26D2">
              <w:rPr>
                <w:rFonts w:ascii="Arial" w:hAnsi="Arial" w:cs="Arial"/>
                <w:sz w:val="20"/>
                <w:szCs w:val="20"/>
              </w:rPr>
              <w:t xml:space="preserve"> </w:t>
            </w:r>
            <w:r w:rsidR="00DC7958" w:rsidRPr="008A26D2">
              <w:rPr>
                <w:rFonts w:ascii="Arial" w:hAnsi="Arial" w:cs="Arial"/>
                <w:sz w:val="20"/>
                <w:szCs w:val="20"/>
              </w:rPr>
              <w:t>Promoción de la oferta exportable de nuevas especies de productos maderables de valor agregado de forma oportuna en beneficio de exportadores y potenciales exportadores forestales</w:t>
            </w:r>
          </w:p>
        </w:tc>
      </w:tr>
      <w:tr w:rsidR="008A26D2" w:rsidRPr="008A26D2" w14:paraId="7DAC22D0" w14:textId="77777777" w:rsidTr="0080067C">
        <w:trPr>
          <w:trHeight w:val="300"/>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97D31BA" w14:textId="77777777" w:rsidR="00E457BC" w:rsidRPr="008A26D2" w:rsidRDefault="00E457BC" w:rsidP="0080067C">
            <w:pPr>
              <w:tabs>
                <w:tab w:val="left" w:pos="3375"/>
              </w:tabs>
              <w:jc w:val="both"/>
              <w:rPr>
                <w:rFonts w:ascii="Arial" w:hAnsi="Arial" w:cs="Arial"/>
                <w:b/>
                <w:sz w:val="20"/>
                <w:szCs w:val="20"/>
              </w:rPr>
            </w:pPr>
            <w:r w:rsidRPr="008A26D2">
              <w:rPr>
                <w:rFonts w:ascii="Arial" w:hAnsi="Arial" w:cs="Arial"/>
                <w:b/>
                <w:sz w:val="20"/>
                <w:szCs w:val="20"/>
              </w:rPr>
              <w:t>Tipo de servicio:</w:t>
            </w:r>
          </w:p>
        </w:tc>
        <w:tc>
          <w:tcPr>
            <w:tcW w:w="594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2E95D45" w14:textId="77777777" w:rsidR="00E457BC" w:rsidRPr="008A26D2" w:rsidRDefault="00E457BC" w:rsidP="0080067C">
            <w:pPr>
              <w:tabs>
                <w:tab w:val="left" w:pos="3375"/>
              </w:tabs>
              <w:ind w:left="128"/>
              <w:jc w:val="both"/>
              <w:rPr>
                <w:rFonts w:ascii="Arial" w:hAnsi="Arial" w:cs="Arial"/>
                <w:sz w:val="20"/>
                <w:szCs w:val="20"/>
              </w:rPr>
            </w:pPr>
            <w:r w:rsidRPr="008A26D2">
              <w:rPr>
                <w:rFonts w:ascii="Arial" w:hAnsi="Arial" w:cs="Arial"/>
                <w:sz w:val="20"/>
                <w:szCs w:val="20"/>
              </w:rPr>
              <w:t>Mejorado</w:t>
            </w:r>
          </w:p>
        </w:tc>
      </w:tr>
      <w:tr w:rsidR="008A26D2" w:rsidRPr="008A26D2" w14:paraId="295E4C0D" w14:textId="77777777" w:rsidTr="0080067C">
        <w:trPr>
          <w:trHeight w:val="300"/>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06B9EBA" w14:textId="78DB1DA2" w:rsidR="00B46669" w:rsidRPr="008A26D2" w:rsidRDefault="00B46669" w:rsidP="00B46669">
            <w:pPr>
              <w:tabs>
                <w:tab w:val="left" w:pos="3375"/>
              </w:tabs>
              <w:jc w:val="both"/>
              <w:rPr>
                <w:rFonts w:ascii="Arial" w:hAnsi="Arial" w:cs="Arial"/>
                <w:b/>
                <w:sz w:val="20"/>
                <w:szCs w:val="20"/>
              </w:rPr>
            </w:pPr>
            <w:r w:rsidRPr="008A26D2">
              <w:rPr>
                <w:rFonts w:ascii="Arial" w:hAnsi="Arial" w:cs="Arial"/>
                <w:b/>
                <w:sz w:val="20"/>
                <w:szCs w:val="20"/>
              </w:rPr>
              <w:t>Naturaleza del servicio:</w:t>
            </w:r>
          </w:p>
        </w:tc>
        <w:tc>
          <w:tcPr>
            <w:tcW w:w="594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BB4FD18" w14:textId="2C279EB5" w:rsidR="00B46669" w:rsidRPr="008A26D2" w:rsidRDefault="00A32B05" w:rsidP="00B46669">
            <w:pPr>
              <w:tabs>
                <w:tab w:val="left" w:pos="3375"/>
              </w:tabs>
              <w:ind w:left="128"/>
              <w:jc w:val="both"/>
              <w:rPr>
                <w:rFonts w:ascii="Arial" w:hAnsi="Arial" w:cs="Arial"/>
                <w:sz w:val="20"/>
                <w:szCs w:val="20"/>
              </w:rPr>
            </w:pPr>
            <w:r w:rsidRPr="008A26D2">
              <w:rPr>
                <w:rFonts w:ascii="Arial" w:eastAsia="Arial Narrow" w:hAnsi="Arial" w:cs="Arial"/>
                <w:sz w:val="20"/>
                <w:szCs w:val="20"/>
              </w:rPr>
              <w:t>P</w:t>
            </w:r>
            <w:r w:rsidR="00B46669" w:rsidRPr="008A26D2">
              <w:rPr>
                <w:rFonts w:ascii="Arial" w:eastAsia="Arial Narrow" w:hAnsi="Arial" w:cs="Arial"/>
                <w:sz w:val="20"/>
                <w:szCs w:val="20"/>
              </w:rPr>
              <w:t>restacional</w:t>
            </w:r>
          </w:p>
        </w:tc>
      </w:tr>
      <w:tr w:rsidR="008A26D2" w:rsidRPr="008A26D2" w14:paraId="692882CA" w14:textId="77777777" w:rsidTr="0080067C">
        <w:trPr>
          <w:trHeight w:val="300"/>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517F74C" w14:textId="4CF24B1C" w:rsidR="00B46669" w:rsidRPr="008A26D2" w:rsidRDefault="00B46669" w:rsidP="00B46669">
            <w:pPr>
              <w:tabs>
                <w:tab w:val="left" w:pos="3375"/>
              </w:tabs>
              <w:jc w:val="both"/>
              <w:rPr>
                <w:rFonts w:ascii="Arial" w:hAnsi="Arial" w:cs="Arial"/>
                <w:b/>
                <w:sz w:val="20"/>
                <w:szCs w:val="20"/>
              </w:rPr>
            </w:pPr>
            <w:r w:rsidRPr="008A26D2">
              <w:rPr>
                <w:rFonts w:ascii="Arial" w:hAnsi="Arial" w:cs="Arial"/>
                <w:b/>
                <w:sz w:val="20"/>
                <w:szCs w:val="20"/>
              </w:rPr>
              <w:t>Entrega del servicio</w:t>
            </w:r>
          </w:p>
        </w:tc>
        <w:tc>
          <w:tcPr>
            <w:tcW w:w="594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3770C87" w14:textId="4C63A5C7" w:rsidR="00B46669" w:rsidRPr="008A26D2" w:rsidRDefault="00B46669" w:rsidP="00B46669">
            <w:pPr>
              <w:tabs>
                <w:tab w:val="left" w:pos="3375"/>
              </w:tabs>
              <w:ind w:left="128"/>
              <w:jc w:val="both"/>
              <w:rPr>
                <w:rFonts w:ascii="Arial" w:hAnsi="Arial" w:cs="Arial"/>
                <w:sz w:val="20"/>
                <w:szCs w:val="20"/>
              </w:rPr>
            </w:pPr>
            <w:r w:rsidRPr="008A26D2">
              <w:rPr>
                <w:rFonts w:ascii="Arial" w:eastAsia="Arial Narrow" w:hAnsi="Arial" w:cs="Arial"/>
                <w:sz w:val="20"/>
                <w:szCs w:val="20"/>
              </w:rPr>
              <w:t xml:space="preserve">Competencia exclusiva </w:t>
            </w:r>
          </w:p>
        </w:tc>
      </w:tr>
      <w:tr w:rsidR="008A26D2" w:rsidRPr="008A26D2" w14:paraId="6294F0D2" w14:textId="77777777" w:rsidTr="0080067C">
        <w:trPr>
          <w:trHeight w:val="300"/>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FC0846A" w14:textId="77777777" w:rsidR="00B46669" w:rsidRPr="008A26D2" w:rsidRDefault="00B46669" w:rsidP="00B46669">
            <w:pPr>
              <w:tabs>
                <w:tab w:val="left" w:pos="3375"/>
              </w:tabs>
              <w:jc w:val="both"/>
              <w:rPr>
                <w:rFonts w:ascii="Arial" w:hAnsi="Arial" w:cs="Arial"/>
                <w:b/>
                <w:sz w:val="20"/>
                <w:szCs w:val="20"/>
              </w:rPr>
            </w:pPr>
            <w:r w:rsidRPr="008A26D2">
              <w:rPr>
                <w:rFonts w:ascii="Arial" w:hAnsi="Arial" w:cs="Arial"/>
                <w:b/>
                <w:sz w:val="20"/>
                <w:szCs w:val="20"/>
              </w:rPr>
              <w:t xml:space="preserve"> Descripción del servicio</w:t>
            </w:r>
          </w:p>
        </w:tc>
        <w:tc>
          <w:tcPr>
            <w:tcW w:w="594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7A4C448" w14:textId="77777777" w:rsidR="00B46669" w:rsidRPr="008A26D2" w:rsidRDefault="00B46669" w:rsidP="00B46669">
            <w:pPr>
              <w:pStyle w:val="Prrafodelista"/>
              <w:pBdr>
                <w:top w:val="nil"/>
                <w:left w:val="nil"/>
                <w:bottom w:val="nil"/>
                <w:right w:val="nil"/>
                <w:between w:val="nil"/>
              </w:pBdr>
              <w:spacing w:after="0" w:line="240" w:lineRule="auto"/>
              <w:jc w:val="both"/>
              <w:rPr>
                <w:rFonts w:ascii="Arial" w:hAnsi="Arial" w:cs="Arial"/>
                <w:i/>
                <w:iCs/>
                <w:sz w:val="20"/>
                <w:szCs w:val="20"/>
              </w:rPr>
            </w:pPr>
          </w:p>
          <w:p w14:paraId="770AB59A" w14:textId="77777777" w:rsidR="00B46669" w:rsidRPr="008A26D2" w:rsidRDefault="00B46669" w:rsidP="00B46669">
            <w:pPr>
              <w:pBdr>
                <w:top w:val="nil"/>
                <w:left w:val="nil"/>
                <w:bottom w:val="nil"/>
                <w:right w:val="nil"/>
                <w:between w:val="nil"/>
              </w:pBdr>
              <w:tabs>
                <w:tab w:val="left" w:pos="3375"/>
              </w:tabs>
              <w:ind w:left="128"/>
              <w:jc w:val="both"/>
              <w:rPr>
                <w:rFonts w:ascii="Arial" w:hAnsi="Arial" w:cs="Arial"/>
                <w:sz w:val="20"/>
                <w:szCs w:val="20"/>
              </w:rPr>
            </w:pPr>
            <w:r w:rsidRPr="008A26D2">
              <w:rPr>
                <w:rFonts w:ascii="Arial" w:hAnsi="Arial" w:cs="Arial"/>
                <w:sz w:val="20"/>
                <w:szCs w:val="20"/>
              </w:rPr>
              <w:t>La promoción de la oferta exportable consiste en facilitar la participación de las empresas exportadoras y/o con potencial exportador en ferias internacionales especializadas, ruedas de negocio y misiones comerciales.</w:t>
            </w:r>
          </w:p>
          <w:p w14:paraId="70E5BEAB" w14:textId="77777777" w:rsidR="00B46669" w:rsidRPr="008A26D2" w:rsidRDefault="00B46669" w:rsidP="00B46669">
            <w:pPr>
              <w:pBdr>
                <w:top w:val="nil"/>
                <w:left w:val="nil"/>
                <w:bottom w:val="nil"/>
                <w:right w:val="nil"/>
                <w:between w:val="nil"/>
              </w:pBdr>
              <w:tabs>
                <w:tab w:val="left" w:pos="3375"/>
              </w:tabs>
              <w:ind w:left="128"/>
              <w:jc w:val="both"/>
              <w:rPr>
                <w:rFonts w:ascii="Arial" w:hAnsi="Arial" w:cs="Arial"/>
                <w:sz w:val="20"/>
                <w:szCs w:val="20"/>
              </w:rPr>
            </w:pPr>
            <w:r w:rsidRPr="008A26D2">
              <w:rPr>
                <w:rFonts w:ascii="Arial" w:hAnsi="Arial" w:cs="Arial"/>
                <w:sz w:val="20"/>
                <w:szCs w:val="20"/>
              </w:rPr>
              <w:t>La facilitación consiste en gestionar la participación de las empresas peruanas (instalación en el evento internacional, entre otros), identificación de potenciales compradores y el marketing correspondiente para la promoción de los productos nacionales exportables.</w:t>
            </w:r>
          </w:p>
          <w:p w14:paraId="38D08B5A" w14:textId="77777777" w:rsidR="00B46669" w:rsidRPr="008A26D2" w:rsidRDefault="00B46669" w:rsidP="00B46669">
            <w:pPr>
              <w:pBdr>
                <w:top w:val="nil"/>
                <w:left w:val="nil"/>
                <w:bottom w:val="nil"/>
                <w:right w:val="nil"/>
                <w:between w:val="nil"/>
              </w:pBdr>
              <w:tabs>
                <w:tab w:val="left" w:pos="3375"/>
              </w:tabs>
              <w:ind w:left="128"/>
              <w:jc w:val="both"/>
              <w:rPr>
                <w:rFonts w:ascii="Arial" w:hAnsi="Arial" w:cs="Arial"/>
                <w:sz w:val="20"/>
                <w:szCs w:val="20"/>
              </w:rPr>
            </w:pPr>
            <w:r w:rsidRPr="008A26D2">
              <w:rPr>
                <w:rFonts w:ascii="Arial" w:hAnsi="Arial" w:cs="Arial"/>
                <w:sz w:val="20"/>
                <w:szCs w:val="20"/>
              </w:rPr>
              <w:t>El servicio se entrega a los exportadores y potenciales exportadores.</w:t>
            </w:r>
          </w:p>
          <w:p w14:paraId="337EBE75" w14:textId="77777777" w:rsidR="00B46669" w:rsidRPr="008A26D2" w:rsidRDefault="00B46669" w:rsidP="00B46669">
            <w:pPr>
              <w:pBdr>
                <w:top w:val="nil"/>
                <w:left w:val="nil"/>
                <w:bottom w:val="nil"/>
                <w:right w:val="nil"/>
                <w:between w:val="nil"/>
              </w:pBdr>
              <w:tabs>
                <w:tab w:val="left" w:pos="3375"/>
              </w:tabs>
              <w:ind w:left="128"/>
              <w:jc w:val="both"/>
              <w:rPr>
                <w:rFonts w:ascii="Arial" w:hAnsi="Arial" w:cs="Arial"/>
                <w:sz w:val="20"/>
                <w:szCs w:val="20"/>
              </w:rPr>
            </w:pPr>
            <w:r w:rsidRPr="008A26D2">
              <w:rPr>
                <w:rFonts w:ascii="Arial" w:hAnsi="Arial" w:cs="Arial"/>
                <w:sz w:val="20"/>
                <w:szCs w:val="20"/>
              </w:rPr>
              <w:lastRenderedPageBreak/>
              <w:t>La mejora del servicio se da por la identificación de demandantes internacionales que subsanan la brecha de necesidades de los ofertantes nacionales.</w:t>
            </w:r>
          </w:p>
          <w:p w14:paraId="398FF41E" w14:textId="781278B2" w:rsidR="00B46669" w:rsidRPr="008A26D2" w:rsidRDefault="00B46669" w:rsidP="00B46669">
            <w:pPr>
              <w:tabs>
                <w:tab w:val="left" w:pos="3375"/>
              </w:tabs>
              <w:ind w:left="128"/>
              <w:jc w:val="both"/>
              <w:rPr>
                <w:rFonts w:ascii="Arial" w:hAnsi="Arial" w:cs="Arial"/>
                <w:strike/>
                <w:sz w:val="20"/>
                <w:szCs w:val="20"/>
              </w:rPr>
            </w:pPr>
            <w:r w:rsidRPr="008A26D2">
              <w:rPr>
                <w:rFonts w:ascii="Arial" w:hAnsi="Arial" w:cs="Arial"/>
                <w:sz w:val="20"/>
                <w:szCs w:val="20"/>
              </w:rPr>
              <w:t>El servicio busca incrementar la oferta exportable y mejorar el bienestar de los beneficiarios.</w:t>
            </w:r>
          </w:p>
        </w:tc>
      </w:tr>
      <w:tr w:rsidR="008A26D2" w:rsidRPr="008A26D2" w14:paraId="47EB030D" w14:textId="77777777" w:rsidTr="0080067C">
        <w:trPr>
          <w:trHeight w:val="300"/>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6E7A4E6" w14:textId="77777777" w:rsidR="00B46669" w:rsidRPr="008A26D2" w:rsidRDefault="00B46669" w:rsidP="00B46669">
            <w:pPr>
              <w:tabs>
                <w:tab w:val="left" w:pos="3375"/>
              </w:tabs>
              <w:jc w:val="both"/>
              <w:rPr>
                <w:rFonts w:ascii="Arial" w:hAnsi="Arial" w:cs="Arial"/>
                <w:b/>
                <w:sz w:val="20"/>
                <w:szCs w:val="20"/>
              </w:rPr>
            </w:pPr>
            <w:r w:rsidRPr="008A26D2">
              <w:rPr>
                <w:rFonts w:ascii="Arial" w:hAnsi="Arial" w:cs="Arial"/>
                <w:b/>
                <w:sz w:val="20"/>
                <w:szCs w:val="20"/>
              </w:rPr>
              <w:lastRenderedPageBreak/>
              <w:t xml:space="preserve"> Proveedor del servicio</w:t>
            </w:r>
          </w:p>
        </w:tc>
        <w:tc>
          <w:tcPr>
            <w:tcW w:w="594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FADC1A6" w14:textId="77777777" w:rsidR="00B46669" w:rsidRPr="008A26D2" w:rsidRDefault="00B46669" w:rsidP="00B46669">
            <w:pPr>
              <w:tabs>
                <w:tab w:val="left" w:pos="3375"/>
              </w:tabs>
              <w:ind w:left="128"/>
              <w:jc w:val="both"/>
              <w:rPr>
                <w:rFonts w:ascii="Arial" w:hAnsi="Arial" w:cs="Arial"/>
                <w:sz w:val="20"/>
                <w:szCs w:val="20"/>
              </w:rPr>
            </w:pPr>
            <w:r w:rsidRPr="008A26D2">
              <w:rPr>
                <w:rFonts w:ascii="Arial" w:hAnsi="Arial" w:cs="Arial"/>
                <w:sz w:val="20"/>
                <w:szCs w:val="20"/>
              </w:rPr>
              <w:t>PROMPERU</w:t>
            </w:r>
          </w:p>
        </w:tc>
      </w:tr>
      <w:tr w:rsidR="008A26D2" w:rsidRPr="008A26D2" w14:paraId="44E12457" w14:textId="77777777" w:rsidTr="00657455">
        <w:trPr>
          <w:trHeight w:val="555"/>
        </w:trPr>
        <w:tc>
          <w:tcPr>
            <w:tcW w:w="2693" w:type="dxa"/>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12618B87" w14:textId="77777777" w:rsidR="00B46669" w:rsidRPr="008A26D2" w:rsidRDefault="00B46669" w:rsidP="002469C9">
            <w:pPr>
              <w:spacing w:after="0" w:line="240" w:lineRule="auto"/>
              <w:rPr>
                <w:rFonts w:ascii="Arial" w:hAnsi="Arial" w:cs="Arial"/>
                <w:b/>
                <w:sz w:val="20"/>
                <w:szCs w:val="20"/>
              </w:rPr>
            </w:pPr>
            <w:r w:rsidRPr="008A26D2">
              <w:rPr>
                <w:rFonts w:ascii="Arial" w:hAnsi="Arial" w:cs="Arial"/>
                <w:b/>
                <w:sz w:val="20"/>
                <w:szCs w:val="20"/>
              </w:rPr>
              <w:t>Nivel (es) de gobierno que interviene</w:t>
            </w:r>
          </w:p>
          <w:p w14:paraId="0EAB06D1" w14:textId="4332808D" w:rsidR="00B46669" w:rsidRPr="008A26D2" w:rsidRDefault="00B46669" w:rsidP="00B46669">
            <w:pPr>
              <w:tabs>
                <w:tab w:val="left" w:pos="3375"/>
              </w:tabs>
              <w:jc w:val="both"/>
              <w:rPr>
                <w:rFonts w:ascii="Arial" w:hAnsi="Arial" w:cs="Arial"/>
                <w:b/>
                <w:sz w:val="20"/>
                <w:szCs w:val="20"/>
              </w:rPr>
            </w:pPr>
            <w:r w:rsidRPr="008A26D2">
              <w:rPr>
                <w:rFonts w:ascii="Arial" w:hAnsi="Arial" w:cs="Arial"/>
                <w:b/>
                <w:sz w:val="20"/>
                <w:szCs w:val="20"/>
              </w:rPr>
              <w:t>(n) en la provisión del servicio</w:t>
            </w:r>
          </w:p>
        </w:tc>
        <w:tc>
          <w:tcPr>
            <w:tcW w:w="1983"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6A6D6E13" w14:textId="3090F004" w:rsidR="00B46669" w:rsidRPr="008A26D2" w:rsidRDefault="00B46669" w:rsidP="00324662">
            <w:pPr>
              <w:tabs>
                <w:tab w:val="left" w:pos="3375"/>
              </w:tabs>
              <w:ind w:left="128"/>
              <w:jc w:val="center"/>
              <w:rPr>
                <w:rFonts w:ascii="Arial" w:hAnsi="Arial" w:cs="Arial"/>
                <w:sz w:val="20"/>
                <w:szCs w:val="20"/>
              </w:rPr>
            </w:pPr>
            <w:r w:rsidRPr="008A26D2">
              <w:rPr>
                <w:rFonts w:ascii="Arial" w:eastAsia="Arial Narrow" w:hAnsi="Arial" w:cs="Arial"/>
                <w:sz w:val="20"/>
                <w:szCs w:val="20"/>
              </w:rPr>
              <w:t>Nacional</w:t>
            </w:r>
          </w:p>
        </w:tc>
        <w:tc>
          <w:tcPr>
            <w:tcW w:w="1983" w:type="dxa"/>
            <w:tcBorders>
              <w:top w:val="single" w:sz="4" w:space="0" w:color="000000"/>
              <w:left w:val="single" w:sz="4" w:space="0" w:color="000000"/>
              <w:right w:val="single" w:sz="4" w:space="0" w:color="000000"/>
            </w:tcBorders>
            <w:shd w:val="clear" w:color="auto" w:fill="auto"/>
            <w:vAlign w:val="center"/>
          </w:tcPr>
          <w:p w14:paraId="0324CA50" w14:textId="4354A132" w:rsidR="00B46669" w:rsidRPr="008A26D2" w:rsidRDefault="00B46669" w:rsidP="00324662">
            <w:pPr>
              <w:tabs>
                <w:tab w:val="left" w:pos="3375"/>
              </w:tabs>
              <w:ind w:left="128"/>
              <w:jc w:val="center"/>
              <w:rPr>
                <w:rFonts w:ascii="Arial" w:hAnsi="Arial" w:cs="Arial"/>
                <w:sz w:val="20"/>
                <w:szCs w:val="20"/>
              </w:rPr>
            </w:pPr>
            <w:r w:rsidRPr="008A26D2">
              <w:rPr>
                <w:rFonts w:ascii="Arial" w:eastAsia="Arial Narrow" w:hAnsi="Arial" w:cs="Arial"/>
                <w:sz w:val="20"/>
                <w:szCs w:val="20"/>
              </w:rPr>
              <w:t>Regional</w:t>
            </w:r>
          </w:p>
        </w:tc>
        <w:tc>
          <w:tcPr>
            <w:tcW w:w="1983" w:type="dxa"/>
            <w:tcBorders>
              <w:top w:val="single" w:sz="4" w:space="0" w:color="000000"/>
              <w:left w:val="single" w:sz="4" w:space="0" w:color="000000"/>
              <w:right w:val="single" w:sz="4" w:space="0" w:color="000000"/>
            </w:tcBorders>
            <w:shd w:val="clear" w:color="auto" w:fill="auto"/>
            <w:vAlign w:val="center"/>
          </w:tcPr>
          <w:p w14:paraId="52313593" w14:textId="20B8C98B" w:rsidR="00B46669" w:rsidRPr="008A26D2" w:rsidRDefault="00B46669" w:rsidP="00324662">
            <w:pPr>
              <w:tabs>
                <w:tab w:val="left" w:pos="3375"/>
              </w:tabs>
              <w:ind w:left="128"/>
              <w:jc w:val="center"/>
              <w:rPr>
                <w:rFonts w:ascii="Arial" w:hAnsi="Arial" w:cs="Arial"/>
                <w:sz w:val="20"/>
                <w:szCs w:val="20"/>
              </w:rPr>
            </w:pPr>
            <w:r w:rsidRPr="008A26D2">
              <w:rPr>
                <w:rFonts w:ascii="Arial" w:eastAsia="Arial Narrow" w:hAnsi="Arial" w:cs="Arial"/>
                <w:sz w:val="20"/>
                <w:szCs w:val="20"/>
              </w:rPr>
              <w:t>Local</w:t>
            </w:r>
          </w:p>
        </w:tc>
      </w:tr>
      <w:tr w:rsidR="008A26D2" w:rsidRPr="008A26D2" w14:paraId="55B66805" w14:textId="77777777" w:rsidTr="00657455">
        <w:trPr>
          <w:trHeight w:val="555"/>
        </w:trPr>
        <w:tc>
          <w:tcPr>
            <w:tcW w:w="2693" w:type="dxa"/>
            <w:vMerge/>
            <w:tcBorders>
              <w:left w:val="single" w:sz="4" w:space="0" w:color="000000"/>
              <w:right w:val="single" w:sz="4" w:space="0" w:color="000000"/>
            </w:tcBorders>
            <w:shd w:val="clear" w:color="auto" w:fill="auto"/>
            <w:tcMar>
              <w:top w:w="15" w:type="dxa"/>
              <w:left w:w="15" w:type="dxa"/>
              <w:bottom w:w="0" w:type="dxa"/>
              <w:right w:w="15" w:type="dxa"/>
            </w:tcMar>
            <w:vAlign w:val="center"/>
          </w:tcPr>
          <w:p w14:paraId="356B3310" w14:textId="77777777" w:rsidR="00B46669" w:rsidRPr="008A26D2" w:rsidRDefault="00B46669" w:rsidP="00B46669">
            <w:pPr>
              <w:spacing w:after="0" w:line="240" w:lineRule="auto"/>
              <w:rPr>
                <w:rFonts w:ascii="Arial" w:hAnsi="Arial" w:cs="Arial"/>
                <w:b/>
                <w:sz w:val="20"/>
                <w:szCs w:val="20"/>
              </w:rPr>
            </w:pPr>
          </w:p>
        </w:tc>
        <w:tc>
          <w:tcPr>
            <w:tcW w:w="1983"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065FC15C" w14:textId="3DE72512" w:rsidR="00B46669" w:rsidRPr="008A26D2" w:rsidRDefault="00A32B05" w:rsidP="00324662">
            <w:pPr>
              <w:tabs>
                <w:tab w:val="left" w:pos="3375"/>
              </w:tabs>
              <w:ind w:left="128"/>
              <w:jc w:val="center"/>
              <w:rPr>
                <w:rFonts w:ascii="Arial" w:hAnsi="Arial" w:cs="Arial"/>
                <w:sz w:val="20"/>
                <w:szCs w:val="20"/>
              </w:rPr>
            </w:pPr>
            <w:r w:rsidRPr="008A26D2">
              <w:rPr>
                <w:rFonts w:ascii="Arial" w:hAnsi="Arial" w:cs="Arial"/>
                <w:sz w:val="20"/>
                <w:szCs w:val="20"/>
              </w:rPr>
              <w:t>X</w:t>
            </w:r>
          </w:p>
        </w:tc>
        <w:tc>
          <w:tcPr>
            <w:tcW w:w="1983" w:type="dxa"/>
            <w:tcBorders>
              <w:top w:val="single" w:sz="4" w:space="0" w:color="000000"/>
              <w:left w:val="single" w:sz="4" w:space="0" w:color="000000"/>
              <w:right w:val="single" w:sz="4" w:space="0" w:color="000000"/>
            </w:tcBorders>
            <w:shd w:val="clear" w:color="auto" w:fill="auto"/>
            <w:vAlign w:val="center"/>
          </w:tcPr>
          <w:p w14:paraId="2289AA9C" w14:textId="77777777" w:rsidR="00B46669" w:rsidRPr="008A26D2" w:rsidRDefault="00B46669" w:rsidP="00324662">
            <w:pPr>
              <w:tabs>
                <w:tab w:val="left" w:pos="3375"/>
              </w:tabs>
              <w:ind w:left="128"/>
              <w:jc w:val="center"/>
              <w:rPr>
                <w:rFonts w:ascii="Arial" w:hAnsi="Arial" w:cs="Arial"/>
                <w:sz w:val="20"/>
                <w:szCs w:val="20"/>
              </w:rPr>
            </w:pPr>
          </w:p>
        </w:tc>
        <w:tc>
          <w:tcPr>
            <w:tcW w:w="1983" w:type="dxa"/>
            <w:tcBorders>
              <w:top w:val="single" w:sz="4" w:space="0" w:color="000000"/>
              <w:left w:val="single" w:sz="4" w:space="0" w:color="000000"/>
              <w:right w:val="single" w:sz="4" w:space="0" w:color="000000"/>
            </w:tcBorders>
            <w:shd w:val="clear" w:color="auto" w:fill="auto"/>
            <w:vAlign w:val="center"/>
          </w:tcPr>
          <w:p w14:paraId="6C92C5AD" w14:textId="299CFB41" w:rsidR="00B46669" w:rsidRPr="008A26D2" w:rsidRDefault="00B46669" w:rsidP="00324662">
            <w:pPr>
              <w:tabs>
                <w:tab w:val="left" w:pos="3375"/>
              </w:tabs>
              <w:ind w:left="128"/>
              <w:jc w:val="center"/>
              <w:rPr>
                <w:rFonts w:ascii="Arial" w:hAnsi="Arial" w:cs="Arial"/>
                <w:sz w:val="20"/>
                <w:szCs w:val="20"/>
              </w:rPr>
            </w:pPr>
          </w:p>
        </w:tc>
      </w:tr>
      <w:tr w:rsidR="008A26D2" w:rsidRPr="008A26D2" w14:paraId="404D5809" w14:textId="77777777" w:rsidTr="0080067C">
        <w:trPr>
          <w:trHeight w:val="300"/>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DE0EC68" w14:textId="77777777" w:rsidR="00B46669" w:rsidRPr="008A26D2" w:rsidRDefault="00B46669" w:rsidP="00B46669">
            <w:pPr>
              <w:tabs>
                <w:tab w:val="left" w:pos="3375"/>
              </w:tabs>
              <w:jc w:val="both"/>
              <w:rPr>
                <w:rFonts w:ascii="Arial" w:hAnsi="Arial" w:cs="Arial"/>
                <w:b/>
                <w:sz w:val="20"/>
                <w:szCs w:val="20"/>
              </w:rPr>
            </w:pPr>
            <w:r w:rsidRPr="008A26D2">
              <w:rPr>
                <w:rFonts w:ascii="Arial" w:hAnsi="Arial" w:cs="Arial"/>
                <w:b/>
                <w:sz w:val="20"/>
                <w:szCs w:val="20"/>
              </w:rPr>
              <w:t xml:space="preserve"> Receptor del servicio</w:t>
            </w:r>
          </w:p>
        </w:tc>
        <w:tc>
          <w:tcPr>
            <w:tcW w:w="594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8DA0DB9" w14:textId="77777777" w:rsidR="00B46669" w:rsidRPr="008A26D2" w:rsidRDefault="00B46669" w:rsidP="00B46669">
            <w:pPr>
              <w:tabs>
                <w:tab w:val="left" w:pos="3375"/>
              </w:tabs>
              <w:ind w:left="128"/>
              <w:jc w:val="both"/>
              <w:rPr>
                <w:rFonts w:ascii="Arial" w:hAnsi="Arial" w:cs="Arial"/>
                <w:sz w:val="20"/>
                <w:szCs w:val="20"/>
              </w:rPr>
            </w:pPr>
            <w:r w:rsidRPr="008A26D2">
              <w:rPr>
                <w:rFonts w:ascii="Arial" w:hAnsi="Arial" w:cs="Arial"/>
                <w:sz w:val="20"/>
                <w:szCs w:val="20"/>
              </w:rPr>
              <w:t>Exportadores y potenciales exportadores</w:t>
            </w:r>
            <w:r w:rsidRPr="008A26D2" w:rsidDel="007E6D24">
              <w:rPr>
                <w:rFonts w:ascii="Arial" w:hAnsi="Arial" w:cs="Arial"/>
                <w:sz w:val="20"/>
                <w:szCs w:val="20"/>
              </w:rPr>
              <w:t xml:space="preserve"> </w:t>
            </w:r>
            <w:r w:rsidRPr="008A26D2">
              <w:rPr>
                <w:rFonts w:ascii="Arial" w:hAnsi="Arial" w:cs="Arial"/>
                <w:sz w:val="20"/>
                <w:szCs w:val="20"/>
              </w:rPr>
              <w:t>forestales</w:t>
            </w:r>
          </w:p>
        </w:tc>
      </w:tr>
      <w:tr w:rsidR="008A26D2" w:rsidRPr="008A26D2" w14:paraId="48AF385A" w14:textId="77777777" w:rsidTr="0080067C">
        <w:trPr>
          <w:trHeight w:val="21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2372556" w14:textId="77777777" w:rsidR="00B46669" w:rsidRPr="008A26D2" w:rsidRDefault="00B46669" w:rsidP="00B46669">
            <w:pPr>
              <w:tabs>
                <w:tab w:val="left" w:pos="3375"/>
              </w:tabs>
              <w:jc w:val="both"/>
              <w:rPr>
                <w:rFonts w:ascii="Arial" w:hAnsi="Arial" w:cs="Arial"/>
                <w:b/>
                <w:sz w:val="20"/>
                <w:szCs w:val="20"/>
              </w:rPr>
            </w:pPr>
            <w:r w:rsidRPr="008A26D2">
              <w:rPr>
                <w:rFonts w:ascii="Arial" w:hAnsi="Arial" w:cs="Arial"/>
                <w:b/>
                <w:sz w:val="20"/>
                <w:szCs w:val="20"/>
              </w:rPr>
              <w:t xml:space="preserve"> Alcance del servicio </w:t>
            </w:r>
          </w:p>
        </w:tc>
        <w:tc>
          <w:tcPr>
            <w:tcW w:w="594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8A04CCD" w14:textId="77777777" w:rsidR="00B46669" w:rsidRPr="008A26D2" w:rsidRDefault="00B46669" w:rsidP="00B46669">
            <w:pPr>
              <w:tabs>
                <w:tab w:val="left" w:pos="3375"/>
              </w:tabs>
              <w:ind w:left="128"/>
              <w:jc w:val="both"/>
              <w:rPr>
                <w:rFonts w:ascii="Arial" w:hAnsi="Arial" w:cs="Arial"/>
                <w:sz w:val="20"/>
                <w:szCs w:val="20"/>
              </w:rPr>
            </w:pPr>
            <w:r w:rsidRPr="008A26D2">
              <w:rPr>
                <w:rFonts w:ascii="Arial" w:hAnsi="Arial" w:cs="Arial"/>
                <w:sz w:val="20"/>
                <w:szCs w:val="20"/>
              </w:rPr>
              <w:t>Nacional.</w:t>
            </w:r>
          </w:p>
        </w:tc>
      </w:tr>
      <w:tr w:rsidR="008A26D2" w:rsidRPr="008A26D2" w14:paraId="43A99E55" w14:textId="77777777" w:rsidTr="0080067C">
        <w:trPr>
          <w:trHeight w:val="62"/>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511B369" w14:textId="77777777" w:rsidR="00B46669" w:rsidRPr="008A26D2" w:rsidRDefault="00B46669" w:rsidP="00B46669">
            <w:pPr>
              <w:tabs>
                <w:tab w:val="left" w:pos="3375"/>
              </w:tabs>
              <w:jc w:val="both"/>
              <w:rPr>
                <w:rFonts w:ascii="Arial" w:hAnsi="Arial" w:cs="Arial"/>
                <w:b/>
                <w:sz w:val="20"/>
                <w:szCs w:val="20"/>
              </w:rPr>
            </w:pPr>
            <w:r w:rsidRPr="008A26D2">
              <w:rPr>
                <w:rFonts w:ascii="Arial" w:hAnsi="Arial" w:cs="Arial"/>
                <w:b/>
                <w:sz w:val="20"/>
                <w:szCs w:val="20"/>
              </w:rPr>
              <w:t xml:space="preserve"> Estándar (es) de cumplimiento</w:t>
            </w:r>
          </w:p>
        </w:tc>
        <w:tc>
          <w:tcPr>
            <w:tcW w:w="594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131C670A" w14:textId="77777777" w:rsidR="00B46669" w:rsidRPr="008A26D2" w:rsidRDefault="00B46669" w:rsidP="00B46669">
            <w:pPr>
              <w:tabs>
                <w:tab w:val="left" w:pos="3375"/>
              </w:tabs>
              <w:ind w:left="128"/>
              <w:jc w:val="both"/>
              <w:rPr>
                <w:rFonts w:ascii="Arial" w:hAnsi="Arial" w:cs="Arial"/>
                <w:sz w:val="20"/>
                <w:szCs w:val="20"/>
              </w:rPr>
            </w:pPr>
            <w:r w:rsidRPr="008A26D2">
              <w:rPr>
                <w:rFonts w:ascii="Arial" w:hAnsi="Arial" w:cs="Arial"/>
                <w:sz w:val="20"/>
                <w:szCs w:val="20"/>
              </w:rPr>
              <w:t>Oportunidad</w:t>
            </w:r>
          </w:p>
        </w:tc>
      </w:tr>
      <w:tr w:rsidR="008A26D2" w:rsidRPr="008A26D2" w14:paraId="21CE2DBE" w14:textId="77777777" w:rsidTr="0080067C">
        <w:trPr>
          <w:trHeight w:val="1768"/>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D2C0974" w14:textId="77777777" w:rsidR="00B46669" w:rsidRPr="008A26D2" w:rsidRDefault="00B46669" w:rsidP="00B46669">
            <w:pPr>
              <w:tabs>
                <w:tab w:val="left" w:pos="3375"/>
              </w:tabs>
              <w:jc w:val="both"/>
              <w:rPr>
                <w:rFonts w:ascii="Arial" w:hAnsi="Arial" w:cs="Arial"/>
                <w:b/>
                <w:sz w:val="20"/>
                <w:szCs w:val="20"/>
              </w:rPr>
            </w:pPr>
            <w:r w:rsidRPr="008A26D2">
              <w:rPr>
                <w:rFonts w:ascii="Arial" w:hAnsi="Arial" w:cs="Arial"/>
                <w:b/>
                <w:sz w:val="20"/>
                <w:szCs w:val="20"/>
              </w:rPr>
              <w:t xml:space="preserve"> Descripción del estándar</w:t>
            </w:r>
          </w:p>
        </w:tc>
        <w:tc>
          <w:tcPr>
            <w:tcW w:w="594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35" w:type="dxa"/>
              <w:bottom w:w="0" w:type="dxa"/>
              <w:right w:w="15" w:type="dxa"/>
            </w:tcMar>
            <w:vAlign w:val="center"/>
          </w:tcPr>
          <w:p w14:paraId="56FC22C1" w14:textId="77AD3FEB" w:rsidR="00B46669" w:rsidRPr="008A26D2" w:rsidRDefault="00B46669" w:rsidP="00B46669">
            <w:pPr>
              <w:pBdr>
                <w:top w:val="nil"/>
                <w:left w:val="nil"/>
                <w:bottom w:val="nil"/>
                <w:right w:val="nil"/>
                <w:between w:val="nil"/>
              </w:pBdr>
              <w:spacing w:after="0" w:line="240" w:lineRule="auto"/>
              <w:jc w:val="both"/>
              <w:rPr>
                <w:rFonts w:ascii="Arial" w:hAnsi="Arial" w:cs="Arial"/>
                <w:strike/>
                <w:sz w:val="20"/>
                <w:szCs w:val="20"/>
              </w:rPr>
            </w:pPr>
            <w:r w:rsidRPr="008A26D2">
              <w:rPr>
                <w:rFonts w:ascii="Arial" w:hAnsi="Arial" w:cs="Arial"/>
                <w:sz w:val="20"/>
                <w:szCs w:val="20"/>
              </w:rPr>
              <w:t>El servicio debe entregarse de manera oportuna a los exportadores y potenciales exportadores</w:t>
            </w:r>
            <w:r w:rsidRPr="008A26D2" w:rsidDel="007E6D24">
              <w:rPr>
                <w:rFonts w:ascii="Arial" w:hAnsi="Arial" w:cs="Arial"/>
                <w:sz w:val="20"/>
                <w:szCs w:val="20"/>
              </w:rPr>
              <w:t xml:space="preserve"> </w:t>
            </w:r>
            <w:r w:rsidRPr="008A26D2">
              <w:rPr>
                <w:rFonts w:ascii="Arial" w:hAnsi="Arial" w:cs="Arial"/>
                <w:sz w:val="20"/>
                <w:szCs w:val="20"/>
              </w:rPr>
              <w:t>forestales considerando la estacionalidad de compra de la oferta, programa que se expone en un calendario internacional propuesto por los operadores feriales. Para el caso de Misiones Comerciales, herramienta propia, se toma dicha consideración, así como la estrategia comercial establecida de manera particular en el país destino.</w:t>
            </w:r>
          </w:p>
        </w:tc>
      </w:tr>
      <w:tr w:rsidR="008A26D2" w:rsidRPr="008A26D2" w14:paraId="204AE6B4" w14:textId="77777777" w:rsidTr="0080067C">
        <w:trPr>
          <w:trHeight w:val="97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848C030" w14:textId="54672847" w:rsidR="00B46669" w:rsidRPr="008A26D2" w:rsidRDefault="00B46669" w:rsidP="00B46669">
            <w:pPr>
              <w:tabs>
                <w:tab w:val="left" w:pos="3375"/>
              </w:tabs>
              <w:jc w:val="both"/>
              <w:rPr>
                <w:rFonts w:ascii="Arial" w:hAnsi="Arial" w:cs="Arial"/>
                <w:b/>
                <w:sz w:val="20"/>
                <w:szCs w:val="20"/>
              </w:rPr>
            </w:pPr>
            <w:r w:rsidRPr="008A26D2">
              <w:rPr>
                <w:rFonts w:ascii="Arial" w:hAnsi="Arial" w:cs="Arial"/>
                <w:b/>
                <w:sz w:val="20"/>
                <w:szCs w:val="20"/>
              </w:rPr>
              <w:t>Indicador de calidad</w:t>
            </w:r>
          </w:p>
        </w:tc>
        <w:tc>
          <w:tcPr>
            <w:tcW w:w="594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35" w:type="dxa"/>
              <w:bottom w:w="0" w:type="dxa"/>
              <w:right w:w="15" w:type="dxa"/>
            </w:tcMar>
            <w:vAlign w:val="bottom"/>
          </w:tcPr>
          <w:p w14:paraId="14811898" w14:textId="1C41FDE1" w:rsidR="00B46669" w:rsidRPr="008A26D2" w:rsidRDefault="00B46669" w:rsidP="00B46669">
            <w:pPr>
              <w:spacing w:after="0" w:line="240" w:lineRule="auto"/>
              <w:jc w:val="both"/>
              <w:rPr>
                <w:rFonts w:ascii="Arial" w:hAnsi="Arial" w:cs="Arial"/>
                <w:sz w:val="20"/>
                <w:szCs w:val="20"/>
              </w:rPr>
            </w:pPr>
            <w:r w:rsidRPr="008A26D2">
              <w:rPr>
                <w:rFonts w:ascii="Arial" w:hAnsi="Arial" w:cs="Arial"/>
                <w:sz w:val="20"/>
                <w:szCs w:val="20"/>
              </w:rPr>
              <w:t>Porcentaje de especies forestales maderables no tan conocidas (“lesser known species”) promovidas en eventos de promoción comercial de manera oportuna por los exportadores nacionales.</w:t>
            </w:r>
          </w:p>
          <w:p w14:paraId="2A01C0B7" w14:textId="77777777" w:rsidR="00B46669" w:rsidRPr="008A26D2" w:rsidRDefault="00B46669" w:rsidP="00B46669">
            <w:pPr>
              <w:pBdr>
                <w:top w:val="nil"/>
                <w:left w:val="nil"/>
                <w:bottom w:val="nil"/>
                <w:right w:val="nil"/>
                <w:between w:val="nil"/>
              </w:pBdr>
              <w:spacing w:after="0" w:line="240" w:lineRule="auto"/>
              <w:jc w:val="both"/>
              <w:rPr>
                <w:rFonts w:ascii="Arial" w:hAnsi="Arial" w:cs="Arial"/>
                <w:sz w:val="20"/>
                <w:szCs w:val="20"/>
              </w:rPr>
            </w:pPr>
          </w:p>
        </w:tc>
      </w:tr>
      <w:tr w:rsidR="00B46669" w:rsidRPr="008A26D2" w14:paraId="44953CBE" w14:textId="77777777" w:rsidTr="0080067C">
        <w:trPr>
          <w:trHeight w:val="49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DBD8D83" w14:textId="77777777" w:rsidR="00B46669" w:rsidRPr="008A26D2" w:rsidRDefault="00B46669" w:rsidP="00B46669">
            <w:pPr>
              <w:tabs>
                <w:tab w:val="left" w:pos="3375"/>
              </w:tabs>
              <w:jc w:val="both"/>
              <w:rPr>
                <w:rFonts w:ascii="Arial" w:hAnsi="Arial" w:cs="Arial"/>
                <w:b/>
                <w:sz w:val="20"/>
                <w:szCs w:val="20"/>
              </w:rPr>
            </w:pPr>
            <w:r w:rsidRPr="008A26D2">
              <w:rPr>
                <w:rFonts w:ascii="Arial" w:hAnsi="Arial" w:cs="Arial"/>
                <w:b/>
                <w:sz w:val="20"/>
                <w:szCs w:val="20"/>
              </w:rPr>
              <w:t>Indicador de cobertura</w:t>
            </w:r>
          </w:p>
        </w:tc>
        <w:tc>
          <w:tcPr>
            <w:tcW w:w="594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6BEAE355" w14:textId="225A0DAF" w:rsidR="00B46669" w:rsidRPr="008A26D2" w:rsidRDefault="00B46669" w:rsidP="00B46669">
            <w:pPr>
              <w:spacing w:after="0" w:line="240" w:lineRule="auto"/>
              <w:ind w:left="117"/>
              <w:jc w:val="both"/>
              <w:rPr>
                <w:rFonts w:ascii="Arial" w:hAnsi="Arial" w:cs="Arial"/>
                <w:sz w:val="20"/>
                <w:szCs w:val="20"/>
              </w:rPr>
            </w:pPr>
            <w:r w:rsidRPr="008A26D2">
              <w:rPr>
                <w:rFonts w:ascii="Arial" w:hAnsi="Arial" w:cs="Arial"/>
                <w:sz w:val="20"/>
                <w:szCs w:val="20"/>
              </w:rPr>
              <w:t>Número de eventos internacionales de comercialización de productos maderables donde puedan promoverse el uso de especies no tan conocidas en los que participaron los exportadores nacionales.</w:t>
            </w:r>
          </w:p>
          <w:p w14:paraId="2D2020C0" w14:textId="77777777" w:rsidR="00B46669" w:rsidRPr="008A26D2" w:rsidRDefault="00B46669" w:rsidP="00B46669">
            <w:pPr>
              <w:spacing w:after="0" w:line="240" w:lineRule="auto"/>
              <w:jc w:val="both"/>
              <w:rPr>
                <w:rFonts w:ascii="Arial" w:hAnsi="Arial" w:cs="Arial"/>
                <w:sz w:val="20"/>
                <w:szCs w:val="20"/>
              </w:rPr>
            </w:pPr>
          </w:p>
        </w:tc>
      </w:tr>
      <w:bookmarkEnd w:id="8"/>
    </w:tbl>
    <w:p w14:paraId="67659029" w14:textId="77777777" w:rsidR="00E457BC" w:rsidRPr="008A26D2" w:rsidRDefault="00E457BC">
      <w:pPr>
        <w:rPr>
          <w:rFonts w:ascii="Arial Narrow" w:eastAsia="Arial Narrow" w:hAnsi="Arial Narrow" w:cs="Arial Narrow"/>
          <w:b/>
        </w:rPr>
      </w:pPr>
    </w:p>
    <w:p w14:paraId="365CCB19" w14:textId="6839244A" w:rsidR="00E457BC" w:rsidRPr="008A26D2" w:rsidRDefault="00E457BC">
      <w:pPr>
        <w:rPr>
          <w:rFonts w:ascii="Arial Narrow" w:eastAsia="Arial Narrow" w:hAnsi="Arial Narrow" w:cs="Arial Narrow"/>
          <w:b/>
        </w:rPr>
      </w:pPr>
    </w:p>
    <w:p w14:paraId="73320C23" w14:textId="777690A1" w:rsidR="00E457BC" w:rsidRPr="008A26D2" w:rsidRDefault="00E457BC" w:rsidP="00E457BC">
      <w:pPr>
        <w:jc w:val="both"/>
        <w:rPr>
          <w:rFonts w:ascii="Arial" w:eastAsia="Times New Roman" w:hAnsi="Arial" w:cs="Arial"/>
        </w:rPr>
      </w:pPr>
      <w:r w:rsidRPr="00D04BDA">
        <w:rPr>
          <w:rFonts w:ascii="Arial" w:eastAsia="Times New Roman" w:hAnsi="Arial" w:cs="Arial"/>
          <w:b/>
          <w:bCs/>
        </w:rPr>
        <w:t>S.3.1.1.</w:t>
      </w:r>
      <w:r w:rsidRPr="00D04BDA">
        <w:rPr>
          <w:rFonts w:ascii="Arial" w:eastAsia="Times New Roman" w:hAnsi="Arial" w:cs="Arial"/>
        </w:rPr>
        <w:t xml:space="preserve"> </w:t>
      </w:r>
      <w:r w:rsidR="00FF20CF" w:rsidRPr="00D04BDA">
        <w:rPr>
          <w:rFonts w:ascii="Arial" w:eastAsia="Times New Roman" w:hAnsi="Arial" w:cs="Arial"/>
        </w:rPr>
        <w:t>Fortalecimiento de capacidades en el seguimiento, evaluación y gestión del conocimiento de intervenciones de forma satisfactoria dirigido a servidores de las Autoridades Regionales Forestales y de Fauna Silvestre</w:t>
      </w:r>
    </w:p>
    <w:tbl>
      <w:tblPr>
        <w:tblW w:w="8720" w:type="dxa"/>
        <w:jc w:val="center"/>
        <w:tblCellMar>
          <w:left w:w="70" w:type="dxa"/>
          <w:right w:w="70" w:type="dxa"/>
        </w:tblCellMar>
        <w:tblLook w:val="04A0" w:firstRow="1" w:lastRow="0" w:firstColumn="1" w:lastColumn="0" w:noHBand="0" w:noVBand="1"/>
      </w:tblPr>
      <w:tblGrid>
        <w:gridCol w:w="2268"/>
        <w:gridCol w:w="2150"/>
        <w:gridCol w:w="2151"/>
        <w:gridCol w:w="2151"/>
      </w:tblGrid>
      <w:tr w:rsidR="008A26D2" w:rsidRPr="008A26D2" w14:paraId="20B19ED7" w14:textId="77777777" w:rsidTr="00074D53">
        <w:trPr>
          <w:cantSplit/>
          <w:trHeight w:val="565"/>
          <w:jc w:val="center"/>
        </w:trPr>
        <w:tc>
          <w:tcPr>
            <w:tcW w:w="872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EBAD607" w14:textId="4FB94995" w:rsidR="00E457BC" w:rsidRPr="008A26D2" w:rsidRDefault="00E457BC" w:rsidP="00E457BC">
            <w:pPr>
              <w:spacing w:after="0" w:line="240" w:lineRule="auto"/>
              <w:jc w:val="center"/>
              <w:rPr>
                <w:rFonts w:ascii="Arial" w:eastAsia="Times New Roman" w:hAnsi="Arial" w:cs="Arial"/>
                <w:b/>
                <w:bCs/>
                <w:sz w:val="20"/>
                <w:szCs w:val="20"/>
              </w:rPr>
            </w:pPr>
            <w:bookmarkStart w:id="9" w:name="_Hlk108205327"/>
            <w:r w:rsidRPr="008A26D2">
              <w:rPr>
                <w:rFonts w:ascii="Arial" w:eastAsia="Times New Roman" w:hAnsi="Arial" w:cs="Arial"/>
                <w:b/>
                <w:bCs/>
                <w:sz w:val="20"/>
                <w:szCs w:val="20"/>
              </w:rPr>
              <w:t xml:space="preserve">FICHA DEL SERVICIO </w:t>
            </w:r>
          </w:p>
        </w:tc>
      </w:tr>
      <w:tr w:rsidR="008A26D2" w:rsidRPr="008A26D2" w14:paraId="62C8D282" w14:textId="77777777" w:rsidTr="00074D53">
        <w:trPr>
          <w:cantSplit/>
          <w:trHeight w:val="549"/>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9275ED8" w14:textId="77777777" w:rsidR="00E457BC" w:rsidRPr="008A26D2" w:rsidRDefault="00E457BC" w:rsidP="00E457BC">
            <w:pPr>
              <w:tabs>
                <w:tab w:val="left" w:pos="3375"/>
              </w:tabs>
              <w:rPr>
                <w:rFonts w:ascii="Arial" w:eastAsia="Times New Roman" w:hAnsi="Arial" w:cs="Arial"/>
                <w:b/>
                <w:bCs/>
                <w:sz w:val="20"/>
                <w:szCs w:val="20"/>
              </w:rPr>
            </w:pPr>
            <w:r w:rsidRPr="008A26D2">
              <w:rPr>
                <w:rFonts w:ascii="Arial" w:eastAsia="Times New Roman" w:hAnsi="Arial" w:cs="Arial"/>
                <w:b/>
                <w:bCs/>
                <w:sz w:val="20"/>
                <w:szCs w:val="20"/>
              </w:rPr>
              <w:t>Objetivo prioritario:</w:t>
            </w:r>
          </w:p>
        </w:tc>
        <w:tc>
          <w:tcPr>
            <w:tcW w:w="64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66E5BE9" w14:textId="77777777" w:rsidR="00E457BC" w:rsidRPr="008A26D2" w:rsidRDefault="00E457BC" w:rsidP="00E457BC">
            <w:pPr>
              <w:tabs>
                <w:tab w:val="left" w:pos="3375"/>
              </w:tabs>
              <w:jc w:val="both"/>
              <w:rPr>
                <w:rFonts w:ascii="Arial" w:eastAsia="Times New Roman" w:hAnsi="Arial" w:cs="Arial"/>
                <w:sz w:val="20"/>
                <w:szCs w:val="20"/>
              </w:rPr>
            </w:pPr>
            <w:r w:rsidRPr="008A26D2">
              <w:rPr>
                <w:rFonts w:ascii="Arial" w:eastAsia="Times New Roman" w:hAnsi="Arial" w:cs="Arial"/>
                <w:sz w:val="20"/>
                <w:szCs w:val="20"/>
              </w:rPr>
              <w:t>OP3. Fortalecer la gobernanza forestal y de fauna silvestre</w:t>
            </w:r>
          </w:p>
        </w:tc>
      </w:tr>
      <w:tr w:rsidR="008A26D2" w:rsidRPr="008A26D2" w14:paraId="1DA62A63" w14:textId="77777777" w:rsidTr="00074D53">
        <w:trPr>
          <w:cantSplit/>
          <w:trHeight w:val="627"/>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4D40AF66" w14:textId="77777777" w:rsidR="00E457BC" w:rsidRPr="008A26D2" w:rsidRDefault="00E457BC" w:rsidP="00E457BC">
            <w:pPr>
              <w:tabs>
                <w:tab w:val="left" w:pos="3375"/>
              </w:tabs>
              <w:rPr>
                <w:rFonts w:ascii="Arial" w:eastAsia="Times New Roman" w:hAnsi="Arial" w:cs="Arial"/>
                <w:b/>
                <w:bCs/>
                <w:sz w:val="20"/>
                <w:szCs w:val="20"/>
              </w:rPr>
            </w:pPr>
            <w:r w:rsidRPr="008A26D2">
              <w:rPr>
                <w:rFonts w:ascii="Arial" w:eastAsia="Times New Roman" w:hAnsi="Arial" w:cs="Arial"/>
                <w:b/>
                <w:bCs/>
                <w:sz w:val="20"/>
                <w:szCs w:val="20"/>
              </w:rPr>
              <w:t>Lineamiento:</w:t>
            </w:r>
          </w:p>
        </w:tc>
        <w:tc>
          <w:tcPr>
            <w:tcW w:w="64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595C4A8" w14:textId="77777777" w:rsidR="00E457BC" w:rsidRPr="008A26D2" w:rsidRDefault="00E457BC" w:rsidP="00E457BC">
            <w:pPr>
              <w:tabs>
                <w:tab w:val="left" w:pos="3375"/>
              </w:tabs>
              <w:jc w:val="both"/>
              <w:rPr>
                <w:rFonts w:ascii="Arial" w:eastAsia="Times New Roman" w:hAnsi="Arial" w:cs="Arial"/>
                <w:sz w:val="20"/>
                <w:szCs w:val="20"/>
              </w:rPr>
            </w:pPr>
            <w:r w:rsidRPr="008A26D2">
              <w:rPr>
                <w:rFonts w:ascii="Arial" w:eastAsia="Times New Roman" w:hAnsi="Arial" w:cs="Arial"/>
                <w:sz w:val="20"/>
                <w:szCs w:val="20"/>
              </w:rPr>
              <w:t xml:space="preserve">L 3.1.  Reforzar los mecanismos de articulación entre las entidades que conforman el SINAFOR y con otros espacios de coordinación nacional y regional en materia forestal y de fauna silvestre </w:t>
            </w:r>
          </w:p>
        </w:tc>
      </w:tr>
      <w:tr w:rsidR="008A26D2" w:rsidRPr="008A26D2" w14:paraId="6CA2AD58" w14:textId="77777777" w:rsidTr="00074D53">
        <w:trPr>
          <w:cantSplit/>
          <w:trHeight w:val="609"/>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0AB4EB24" w14:textId="77777777" w:rsidR="00E457BC" w:rsidRPr="008A26D2" w:rsidRDefault="00E457BC" w:rsidP="00E457BC">
            <w:pPr>
              <w:tabs>
                <w:tab w:val="left" w:pos="3375"/>
              </w:tabs>
              <w:rPr>
                <w:rFonts w:ascii="Arial" w:eastAsia="Times New Roman" w:hAnsi="Arial" w:cs="Arial"/>
                <w:b/>
                <w:bCs/>
                <w:sz w:val="20"/>
                <w:szCs w:val="20"/>
              </w:rPr>
            </w:pPr>
            <w:r w:rsidRPr="008A26D2">
              <w:rPr>
                <w:rFonts w:ascii="Arial" w:eastAsia="Times New Roman" w:hAnsi="Arial" w:cs="Arial"/>
                <w:b/>
                <w:bCs/>
                <w:sz w:val="20"/>
                <w:szCs w:val="20"/>
              </w:rPr>
              <w:t>Nombre del servicio:</w:t>
            </w:r>
          </w:p>
        </w:tc>
        <w:tc>
          <w:tcPr>
            <w:tcW w:w="64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9AD6904" w14:textId="36E2858F" w:rsidR="00E457BC" w:rsidRPr="008A26D2" w:rsidRDefault="00E457BC" w:rsidP="00E457BC">
            <w:pPr>
              <w:tabs>
                <w:tab w:val="left" w:pos="3375"/>
              </w:tabs>
              <w:jc w:val="both"/>
              <w:rPr>
                <w:rFonts w:ascii="Arial" w:eastAsia="Times New Roman" w:hAnsi="Arial" w:cs="Arial"/>
                <w:sz w:val="20"/>
                <w:szCs w:val="20"/>
              </w:rPr>
            </w:pPr>
            <w:r w:rsidRPr="008A26D2">
              <w:rPr>
                <w:rFonts w:ascii="Arial" w:eastAsia="Times New Roman" w:hAnsi="Arial" w:cs="Arial"/>
                <w:sz w:val="20"/>
                <w:szCs w:val="20"/>
              </w:rPr>
              <w:t>S.3.1.1. Fortalecimiento de capacidades en el seguimiento, evaluación y gestión del conocimiento de intervenciones</w:t>
            </w:r>
            <w:r w:rsidR="00FF20CF" w:rsidRPr="008A26D2">
              <w:rPr>
                <w:rFonts w:ascii="Arial" w:eastAsia="Times New Roman" w:hAnsi="Arial" w:cs="Arial"/>
                <w:sz w:val="20"/>
                <w:szCs w:val="20"/>
              </w:rPr>
              <w:t xml:space="preserve"> </w:t>
            </w:r>
            <w:r w:rsidRPr="008A26D2">
              <w:rPr>
                <w:rFonts w:ascii="Arial" w:eastAsia="Times New Roman" w:hAnsi="Arial" w:cs="Arial"/>
                <w:sz w:val="20"/>
                <w:szCs w:val="20"/>
              </w:rPr>
              <w:t xml:space="preserve">de forma satisfactoria </w:t>
            </w:r>
            <w:r w:rsidR="00FF20CF" w:rsidRPr="008A26D2">
              <w:rPr>
                <w:rFonts w:ascii="Arial" w:eastAsia="Times New Roman" w:hAnsi="Arial" w:cs="Arial"/>
                <w:sz w:val="20"/>
                <w:szCs w:val="20"/>
              </w:rPr>
              <w:t xml:space="preserve">dirigido </w:t>
            </w:r>
            <w:r w:rsidRPr="008A26D2">
              <w:rPr>
                <w:rFonts w:ascii="Arial" w:eastAsia="Times New Roman" w:hAnsi="Arial" w:cs="Arial"/>
                <w:sz w:val="20"/>
                <w:szCs w:val="20"/>
              </w:rPr>
              <w:t xml:space="preserve">a servidores de las </w:t>
            </w:r>
            <w:r w:rsidR="00B43BEB" w:rsidRPr="008A26D2">
              <w:rPr>
                <w:rFonts w:ascii="Arial" w:eastAsia="Times New Roman" w:hAnsi="Arial" w:cs="Arial"/>
                <w:sz w:val="20"/>
                <w:szCs w:val="20"/>
              </w:rPr>
              <w:t>A</w:t>
            </w:r>
            <w:r w:rsidRPr="008A26D2">
              <w:rPr>
                <w:rFonts w:ascii="Arial" w:eastAsia="Times New Roman" w:hAnsi="Arial" w:cs="Arial"/>
                <w:sz w:val="20"/>
                <w:szCs w:val="20"/>
              </w:rPr>
              <w:t xml:space="preserve">utoridades </w:t>
            </w:r>
            <w:r w:rsidR="00B43BEB" w:rsidRPr="008A26D2">
              <w:rPr>
                <w:rFonts w:ascii="Arial" w:eastAsia="Times New Roman" w:hAnsi="Arial" w:cs="Arial"/>
                <w:sz w:val="20"/>
                <w:szCs w:val="20"/>
              </w:rPr>
              <w:t>R</w:t>
            </w:r>
            <w:r w:rsidRPr="008A26D2">
              <w:rPr>
                <w:rFonts w:ascii="Arial" w:eastAsia="Times New Roman" w:hAnsi="Arial" w:cs="Arial"/>
                <w:sz w:val="20"/>
                <w:szCs w:val="20"/>
              </w:rPr>
              <w:t xml:space="preserve">egionales </w:t>
            </w:r>
            <w:r w:rsidR="00B43BEB" w:rsidRPr="008A26D2">
              <w:rPr>
                <w:rFonts w:ascii="Arial" w:eastAsia="Times New Roman" w:hAnsi="Arial" w:cs="Arial"/>
                <w:sz w:val="20"/>
                <w:szCs w:val="20"/>
              </w:rPr>
              <w:t>F</w:t>
            </w:r>
            <w:r w:rsidRPr="008A26D2">
              <w:rPr>
                <w:rFonts w:ascii="Arial" w:eastAsia="Times New Roman" w:hAnsi="Arial" w:cs="Arial"/>
                <w:sz w:val="20"/>
                <w:szCs w:val="20"/>
              </w:rPr>
              <w:t xml:space="preserve">orestales y de </w:t>
            </w:r>
            <w:r w:rsidR="00B43BEB" w:rsidRPr="008A26D2">
              <w:rPr>
                <w:rFonts w:ascii="Arial" w:eastAsia="Times New Roman" w:hAnsi="Arial" w:cs="Arial"/>
                <w:sz w:val="20"/>
                <w:szCs w:val="20"/>
              </w:rPr>
              <w:t>F</w:t>
            </w:r>
            <w:r w:rsidRPr="008A26D2">
              <w:rPr>
                <w:rFonts w:ascii="Arial" w:eastAsia="Times New Roman" w:hAnsi="Arial" w:cs="Arial"/>
                <w:sz w:val="20"/>
                <w:szCs w:val="20"/>
              </w:rPr>
              <w:t xml:space="preserve">auna </w:t>
            </w:r>
            <w:r w:rsidR="00B43BEB" w:rsidRPr="008A26D2">
              <w:rPr>
                <w:rFonts w:ascii="Arial" w:eastAsia="Times New Roman" w:hAnsi="Arial" w:cs="Arial"/>
                <w:sz w:val="20"/>
                <w:szCs w:val="20"/>
              </w:rPr>
              <w:t>S</w:t>
            </w:r>
            <w:r w:rsidRPr="008A26D2">
              <w:rPr>
                <w:rFonts w:ascii="Arial" w:eastAsia="Times New Roman" w:hAnsi="Arial" w:cs="Arial"/>
                <w:sz w:val="20"/>
                <w:szCs w:val="20"/>
              </w:rPr>
              <w:t xml:space="preserve">ilvestre </w:t>
            </w:r>
          </w:p>
        </w:tc>
      </w:tr>
      <w:tr w:rsidR="008A26D2" w:rsidRPr="008A26D2" w14:paraId="24ECB5EA" w14:textId="77777777" w:rsidTr="00074D53">
        <w:trPr>
          <w:cantSplit/>
          <w:trHeight w:val="609"/>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37E10294" w14:textId="77777777" w:rsidR="00E457BC" w:rsidRPr="008A26D2" w:rsidRDefault="00E457BC" w:rsidP="00E457BC">
            <w:pPr>
              <w:tabs>
                <w:tab w:val="left" w:pos="3375"/>
              </w:tabs>
              <w:rPr>
                <w:rFonts w:ascii="Arial" w:eastAsia="Times New Roman" w:hAnsi="Arial" w:cs="Arial"/>
                <w:b/>
                <w:bCs/>
                <w:sz w:val="20"/>
                <w:szCs w:val="20"/>
              </w:rPr>
            </w:pPr>
            <w:r w:rsidRPr="008A26D2">
              <w:rPr>
                <w:rFonts w:ascii="Arial" w:eastAsia="Times New Roman" w:hAnsi="Arial" w:cs="Arial"/>
                <w:b/>
                <w:bCs/>
                <w:sz w:val="20"/>
                <w:szCs w:val="20"/>
              </w:rPr>
              <w:lastRenderedPageBreak/>
              <w:t>Tipo de servicio:</w:t>
            </w:r>
          </w:p>
        </w:tc>
        <w:tc>
          <w:tcPr>
            <w:tcW w:w="64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E2CBA1C" w14:textId="77777777" w:rsidR="00E457BC" w:rsidRPr="008A26D2" w:rsidRDefault="00E457BC" w:rsidP="00E457BC">
            <w:pPr>
              <w:tabs>
                <w:tab w:val="left" w:pos="3375"/>
              </w:tabs>
              <w:jc w:val="both"/>
              <w:rPr>
                <w:rFonts w:ascii="Arial" w:eastAsia="Times New Roman" w:hAnsi="Arial" w:cs="Arial"/>
                <w:sz w:val="20"/>
                <w:szCs w:val="20"/>
              </w:rPr>
            </w:pPr>
            <w:r w:rsidRPr="008A26D2">
              <w:rPr>
                <w:rFonts w:ascii="Arial" w:eastAsia="Times New Roman" w:hAnsi="Arial" w:cs="Arial"/>
                <w:sz w:val="20"/>
                <w:szCs w:val="20"/>
              </w:rPr>
              <w:t>Nuevo</w:t>
            </w:r>
          </w:p>
        </w:tc>
      </w:tr>
      <w:tr w:rsidR="008A26D2" w:rsidRPr="008A26D2" w14:paraId="1F8D1C17" w14:textId="77777777" w:rsidTr="00074D53">
        <w:trPr>
          <w:cantSplit/>
          <w:trHeight w:val="609"/>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096C239A" w14:textId="3C854FA1" w:rsidR="004207EF" w:rsidRPr="008A26D2" w:rsidRDefault="004207EF" w:rsidP="004207EF">
            <w:pPr>
              <w:tabs>
                <w:tab w:val="left" w:pos="3375"/>
              </w:tabs>
              <w:rPr>
                <w:rFonts w:ascii="Arial" w:eastAsia="Times New Roman" w:hAnsi="Arial" w:cs="Arial"/>
                <w:b/>
                <w:bCs/>
                <w:sz w:val="20"/>
                <w:szCs w:val="20"/>
              </w:rPr>
            </w:pPr>
            <w:r w:rsidRPr="008A26D2">
              <w:rPr>
                <w:rFonts w:ascii="Arial" w:hAnsi="Arial" w:cs="Arial"/>
                <w:b/>
                <w:sz w:val="20"/>
                <w:szCs w:val="20"/>
              </w:rPr>
              <w:t>Naturaleza del servicio:</w:t>
            </w:r>
          </w:p>
        </w:tc>
        <w:tc>
          <w:tcPr>
            <w:tcW w:w="64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49E7F7A" w14:textId="558A88E3" w:rsidR="004207EF" w:rsidRPr="008A26D2" w:rsidRDefault="00A32B05" w:rsidP="004207EF">
            <w:pPr>
              <w:tabs>
                <w:tab w:val="left" w:pos="3375"/>
              </w:tabs>
              <w:jc w:val="both"/>
              <w:rPr>
                <w:rFonts w:ascii="Arial" w:eastAsia="Times New Roman" w:hAnsi="Arial" w:cs="Arial"/>
                <w:sz w:val="20"/>
                <w:szCs w:val="20"/>
              </w:rPr>
            </w:pPr>
            <w:r w:rsidRPr="008A26D2">
              <w:rPr>
                <w:rFonts w:ascii="Arial" w:eastAsia="Arial Narrow" w:hAnsi="Arial" w:cs="Arial"/>
                <w:sz w:val="20"/>
                <w:szCs w:val="20"/>
              </w:rPr>
              <w:t>A</w:t>
            </w:r>
            <w:r w:rsidR="004207EF" w:rsidRPr="008A26D2">
              <w:rPr>
                <w:rFonts w:ascii="Arial" w:eastAsia="Arial Narrow" w:hAnsi="Arial" w:cs="Arial"/>
                <w:sz w:val="20"/>
                <w:szCs w:val="20"/>
              </w:rPr>
              <w:t>dministrativo</w:t>
            </w:r>
          </w:p>
        </w:tc>
      </w:tr>
      <w:tr w:rsidR="008A26D2" w:rsidRPr="008A26D2" w14:paraId="12F448C1" w14:textId="77777777" w:rsidTr="00074D53">
        <w:trPr>
          <w:cantSplit/>
          <w:trHeight w:val="609"/>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2AA34C0" w14:textId="54A26CB2" w:rsidR="004207EF" w:rsidRPr="008A26D2" w:rsidRDefault="004207EF" w:rsidP="004207EF">
            <w:pPr>
              <w:tabs>
                <w:tab w:val="left" w:pos="3375"/>
              </w:tabs>
              <w:rPr>
                <w:rFonts w:ascii="Arial" w:eastAsia="Times New Roman" w:hAnsi="Arial" w:cs="Arial"/>
                <w:b/>
                <w:bCs/>
                <w:sz w:val="20"/>
                <w:szCs w:val="20"/>
              </w:rPr>
            </w:pPr>
            <w:r w:rsidRPr="008A26D2">
              <w:rPr>
                <w:rFonts w:ascii="Arial" w:hAnsi="Arial" w:cs="Arial"/>
                <w:b/>
                <w:sz w:val="20"/>
                <w:szCs w:val="20"/>
              </w:rPr>
              <w:t>Entrega del servicio</w:t>
            </w:r>
          </w:p>
        </w:tc>
        <w:tc>
          <w:tcPr>
            <w:tcW w:w="64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6B6840A" w14:textId="5ABB4FC6" w:rsidR="004207EF" w:rsidRPr="008A26D2" w:rsidRDefault="004207EF" w:rsidP="004207EF">
            <w:pPr>
              <w:tabs>
                <w:tab w:val="left" w:pos="3375"/>
              </w:tabs>
              <w:jc w:val="both"/>
              <w:rPr>
                <w:rFonts w:ascii="Arial" w:eastAsia="Times New Roman" w:hAnsi="Arial" w:cs="Arial"/>
                <w:sz w:val="20"/>
                <w:szCs w:val="20"/>
              </w:rPr>
            </w:pPr>
            <w:r w:rsidRPr="008A26D2">
              <w:rPr>
                <w:rFonts w:ascii="Arial" w:eastAsia="Arial Narrow" w:hAnsi="Arial" w:cs="Arial"/>
                <w:sz w:val="20"/>
                <w:szCs w:val="20"/>
              </w:rPr>
              <w:t xml:space="preserve">Competencia exclusiva </w:t>
            </w:r>
          </w:p>
        </w:tc>
      </w:tr>
      <w:tr w:rsidR="008A26D2" w:rsidRPr="008A26D2" w14:paraId="59BE0FF2" w14:textId="77777777" w:rsidTr="00074D53">
        <w:trPr>
          <w:cantSplit/>
          <w:trHeight w:val="6882"/>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280BA182" w14:textId="77777777" w:rsidR="004207EF" w:rsidRPr="008A26D2" w:rsidRDefault="004207EF" w:rsidP="004207EF">
            <w:pPr>
              <w:tabs>
                <w:tab w:val="left" w:pos="3375"/>
              </w:tabs>
              <w:rPr>
                <w:rFonts w:ascii="Arial" w:eastAsia="Times New Roman" w:hAnsi="Arial" w:cs="Arial"/>
                <w:b/>
                <w:bCs/>
                <w:sz w:val="20"/>
                <w:szCs w:val="20"/>
              </w:rPr>
            </w:pPr>
            <w:r w:rsidRPr="008A26D2">
              <w:rPr>
                <w:rFonts w:ascii="Arial" w:eastAsia="Times New Roman" w:hAnsi="Arial" w:cs="Arial"/>
                <w:b/>
                <w:bCs/>
                <w:sz w:val="20"/>
                <w:szCs w:val="20"/>
              </w:rPr>
              <w:t>Descripción del servicio:</w:t>
            </w:r>
          </w:p>
        </w:tc>
        <w:tc>
          <w:tcPr>
            <w:tcW w:w="6452" w:type="dxa"/>
            <w:gridSpan w:val="3"/>
            <w:tcBorders>
              <w:top w:val="single" w:sz="4" w:space="0" w:color="auto"/>
              <w:left w:val="single" w:sz="4" w:space="0" w:color="auto"/>
              <w:bottom w:val="single" w:sz="4" w:space="0" w:color="auto"/>
              <w:right w:val="single" w:sz="4" w:space="0" w:color="auto"/>
            </w:tcBorders>
            <w:shd w:val="clear" w:color="auto" w:fill="auto"/>
          </w:tcPr>
          <w:p w14:paraId="613FC759" w14:textId="77777777" w:rsidR="004207EF" w:rsidRPr="008A26D2" w:rsidRDefault="004207EF" w:rsidP="004207EF">
            <w:pPr>
              <w:tabs>
                <w:tab w:val="left" w:pos="3375"/>
              </w:tabs>
              <w:jc w:val="both"/>
              <w:rPr>
                <w:rFonts w:ascii="Arial" w:eastAsia="Times New Roman" w:hAnsi="Arial" w:cs="Arial"/>
                <w:sz w:val="20"/>
                <w:szCs w:val="20"/>
              </w:rPr>
            </w:pPr>
            <w:r w:rsidRPr="008A26D2">
              <w:rPr>
                <w:rFonts w:ascii="Arial" w:eastAsia="Times New Roman" w:hAnsi="Arial" w:cs="Arial"/>
                <w:sz w:val="20"/>
                <w:szCs w:val="20"/>
              </w:rPr>
              <w:t>El servicio consiste en desarrollar capacitaciones, asistencia técnica y cursos sobre seguimiento, evaluación y gestión del conocimiento de intervenciones en materia forestal y de fauna silvestre. Estas actividades se desarrollarán teniendo en cuenta el nivel de satisfacción que muestren los beneficiarios a fin de mejorar continuamente su contenido y aplicación.</w:t>
            </w:r>
          </w:p>
          <w:p w14:paraId="66CF9A57" w14:textId="77777777" w:rsidR="004207EF" w:rsidRPr="008A26D2" w:rsidRDefault="004207EF" w:rsidP="004207EF">
            <w:pPr>
              <w:tabs>
                <w:tab w:val="left" w:pos="3375"/>
              </w:tabs>
              <w:jc w:val="both"/>
              <w:rPr>
                <w:rFonts w:ascii="Arial" w:eastAsia="Times New Roman" w:hAnsi="Arial" w:cs="Arial"/>
                <w:sz w:val="20"/>
                <w:szCs w:val="20"/>
              </w:rPr>
            </w:pPr>
            <w:r w:rsidRPr="008A26D2">
              <w:rPr>
                <w:rFonts w:ascii="Arial" w:eastAsia="Times New Roman" w:hAnsi="Arial" w:cs="Arial"/>
                <w:sz w:val="20"/>
                <w:szCs w:val="20"/>
              </w:rPr>
              <w:t xml:space="preserve">El servicio se orienta a: </w:t>
            </w:r>
          </w:p>
          <w:p w14:paraId="4560E2DB" w14:textId="32EF4646" w:rsidR="004207EF" w:rsidRPr="008A26D2" w:rsidRDefault="004207EF" w:rsidP="004207EF">
            <w:pPr>
              <w:pStyle w:val="Prrafodelista"/>
              <w:numPr>
                <w:ilvl w:val="0"/>
                <w:numId w:val="2"/>
              </w:numPr>
              <w:tabs>
                <w:tab w:val="left" w:pos="3375"/>
              </w:tabs>
              <w:ind w:left="353" w:hanging="283"/>
              <w:jc w:val="both"/>
              <w:rPr>
                <w:rFonts w:ascii="Arial" w:eastAsia="Times New Roman" w:hAnsi="Arial" w:cs="Arial"/>
                <w:sz w:val="20"/>
                <w:szCs w:val="20"/>
                <w:lang w:eastAsia="es-PE"/>
              </w:rPr>
            </w:pPr>
            <w:r w:rsidRPr="008A26D2">
              <w:rPr>
                <w:rFonts w:ascii="Arial" w:eastAsia="Times New Roman" w:hAnsi="Arial" w:cs="Arial"/>
                <w:sz w:val="20"/>
                <w:szCs w:val="20"/>
                <w:lang w:eastAsia="es-PE"/>
              </w:rPr>
              <w:t>Coordinar con los servidores de las Autoridades Regionales Forestales y de Fauna Silvestre para el desarrollo del fortalecimiento de capacidades.</w:t>
            </w:r>
          </w:p>
          <w:p w14:paraId="30EBD0F0" w14:textId="40310C69" w:rsidR="004207EF" w:rsidRPr="00846D49" w:rsidRDefault="004207EF" w:rsidP="004207EF">
            <w:pPr>
              <w:pStyle w:val="Prrafodelista"/>
              <w:numPr>
                <w:ilvl w:val="0"/>
                <w:numId w:val="2"/>
              </w:numPr>
              <w:tabs>
                <w:tab w:val="left" w:pos="3375"/>
              </w:tabs>
              <w:ind w:left="353" w:hanging="283"/>
              <w:jc w:val="both"/>
              <w:rPr>
                <w:rFonts w:ascii="Arial" w:eastAsia="Times New Roman" w:hAnsi="Arial" w:cs="Arial"/>
                <w:sz w:val="20"/>
                <w:szCs w:val="20"/>
                <w:lang w:eastAsia="es-PE"/>
              </w:rPr>
            </w:pPr>
            <w:r w:rsidRPr="008A26D2">
              <w:rPr>
                <w:rFonts w:ascii="Arial" w:eastAsia="Times New Roman" w:hAnsi="Arial" w:cs="Arial"/>
                <w:sz w:val="20"/>
                <w:szCs w:val="20"/>
                <w:lang w:eastAsia="es-PE"/>
              </w:rPr>
              <w:t xml:space="preserve">Desarrollar el fortalecimiento de capacidades mediante actividades orientadas a los </w:t>
            </w:r>
            <w:r w:rsidRPr="00846D49">
              <w:rPr>
                <w:rFonts w:ascii="Arial" w:eastAsia="Times New Roman" w:hAnsi="Arial" w:cs="Arial"/>
                <w:sz w:val="20"/>
                <w:szCs w:val="20"/>
                <w:lang w:eastAsia="es-PE"/>
              </w:rPr>
              <w:t>servidores de las Autoridades Regionales Forestales y de Fauna Silvestre de forma que cuenten con los conocimientos necesarios para implementar acciones de seguimiento a sus intervenciones.</w:t>
            </w:r>
          </w:p>
          <w:p w14:paraId="37F168DF" w14:textId="71CCF769" w:rsidR="000B3436" w:rsidRPr="00846D49" w:rsidRDefault="000B3436" w:rsidP="004207EF">
            <w:pPr>
              <w:tabs>
                <w:tab w:val="left" w:pos="3375"/>
              </w:tabs>
              <w:jc w:val="both"/>
              <w:rPr>
                <w:rFonts w:ascii="Arial" w:eastAsia="Times New Roman" w:hAnsi="Arial" w:cs="Arial"/>
                <w:sz w:val="20"/>
                <w:szCs w:val="20"/>
              </w:rPr>
            </w:pPr>
            <w:r w:rsidRPr="00846D49">
              <w:rPr>
                <w:rFonts w:ascii="Arial" w:eastAsia="Times New Roman" w:hAnsi="Arial" w:cs="Arial"/>
                <w:sz w:val="20"/>
                <w:szCs w:val="20"/>
              </w:rPr>
              <w:t xml:space="preserve">El Sistema Nacional de Gestión </w:t>
            </w:r>
            <w:r w:rsidR="0088419B" w:rsidRPr="00846D49">
              <w:rPr>
                <w:rFonts w:ascii="Arial" w:eastAsia="Times New Roman" w:hAnsi="Arial" w:cs="Arial"/>
                <w:sz w:val="20"/>
                <w:szCs w:val="20"/>
              </w:rPr>
              <w:t xml:space="preserve">Forestal y de Fauna Silvestre </w:t>
            </w:r>
            <w:r w:rsidRPr="00846D49">
              <w:rPr>
                <w:rFonts w:ascii="Arial" w:eastAsia="Times New Roman" w:hAnsi="Arial" w:cs="Arial"/>
                <w:sz w:val="20"/>
                <w:szCs w:val="20"/>
              </w:rPr>
              <w:t xml:space="preserve">(SINAFOR) involucra </w:t>
            </w:r>
            <w:r w:rsidR="0088419B" w:rsidRPr="00846D49">
              <w:rPr>
                <w:rFonts w:ascii="Arial" w:eastAsia="Times New Roman" w:hAnsi="Arial" w:cs="Arial"/>
                <w:sz w:val="20"/>
                <w:szCs w:val="20"/>
              </w:rPr>
              <w:t xml:space="preserve">17 </w:t>
            </w:r>
            <w:r w:rsidRPr="00846D49">
              <w:rPr>
                <w:rFonts w:ascii="Arial" w:eastAsia="Times New Roman" w:hAnsi="Arial" w:cs="Arial"/>
                <w:sz w:val="20"/>
                <w:szCs w:val="20"/>
              </w:rPr>
              <w:t>entidades</w:t>
            </w:r>
            <w:r w:rsidR="0088419B" w:rsidRPr="00846D49">
              <w:rPr>
                <w:rFonts w:ascii="Arial" w:eastAsia="Times New Roman" w:hAnsi="Arial" w:cs="Arial"/>
                <w:sz w:val="20"/>
                <w:szCs w:val="20"/>
              </w:rPr>
              <w:t>, entre los cuales están los gobiernos regionales,</w:t>
            </w:r>
            <w:r w:rsidRPr="00846D49">
              <w:rPr>
                <w:rFonts w:ascii="Arial" w:eastAsia="Times New Roman" w:hAnsi="Arial" w:cs="Arial"/>
                <w:sz w:val="20"/>
                <w:szCs w:val="20"/>
              </w:rPr>
              <w:t xml:space="preserve"> que ejecutan intervenciones en materia forestal y de fauna silvestre</w:t>
            </w:r>
            <w:r w:rsidR="0088419B" w:rsidRPr="00846D49">
              <w:rPr>
                <w:rFonts w:ascii="Arial" w:eastAsia="Times New Roman" w:hAnsi="Arial" w:cs="Arial"/>
                <w:sz w:val="20"/>
                <w:szCs w:val="20"/>
              </w:rPr>
              <w:t xml:space="preserve"> las cuales buscan producir un cambio en la población. Según la Política Nacional de Modernización las instituciones públicas carecen aún de procesos de seguimiento, evaluación y mejora </w:t>
            </w:r>
            <w:r w:rsidR="00DA2784" w:rsidRPr="00846D49">
              <w:rPr>
                <w:rFonts w:ascii="Arial" w:eastAsia="Times New Roman" w:hAnsi="Arial" w:cs="Arial"/>
                <w:sz w:val="20"/>
                <w:szCs w:val="20"/>
              </w:rPr>
              <w:t>continua</w:t>
            </w:r>
            <w:r w:rsidR="0088419B" w:rsidRPr="00846D49">
              <w:rPr>
                <w:rFonts w:ascii="Arial" w:eastAsia="Times New Roman" w:hAnsi="Arial" w:cs="Arial"/>
                <w:sz w:val="20"/>
                <w:szCs w:val="20"/>
              </w:rPr>
              <w:t xml:space="preserve"> orientada hacia resultados, por lo cual el servicio busca fortalecer estas capacidades a nivel territorial</w:t>
            </w:r>
            <w:r w:rsidR="004F7F68" w:rsidRPr="00846D49">
              <w:rPr>
                <w:rFonts w:ascii="Arial" w:eastAsia="Times New Roman" w:hAnsi="Arial" w:cs="Arial"/>
                <w:sz w:val="20"/>
                <w:szCs w:val="20"/>
              </w:rPr>
              <w:t xml:space="preserve"> de forma que refuerce la articulación con las entidades de nivel nacional.</w:t>
            </w:r>
            <w:r w:rsidRPr="00846D49">
              <w:rPr>
                <w:rFonts w:ascii="Arial" w:eastAsia="Times New Roman" w:hAnsi="Arial" w:cs="Arial"/>
                <w:sz w:val="20"/>
                <w:szCs w:val="20"/>
              </w:rPr>
              <w:t xml:space="preserve"> </w:t>
            </w:r>
          </w:p>
          <w:p w14:paraId="61BB57CF" w14:textId="6FB96F58" w:rsidR="004207EF" w:rsidRPr="008A26D2" w:rsidRDefault="004207EF" w:rsidP="004207EF">
            <w:pPr>
              <w:tabs>
                <w:tab w:val="left" w:pos="3375"/>
              </w:tabs>
              <w:jc w:val="both"/>
              <w:rPr>
                <w:rFonts w:ascii="Arial" w:eastAsia="Times New Roman" w:hAnsi="Arial" w:cs="Arial"/>
                <w:sz w:val="20"/>
                <w:szCs w:val="20"/>
              </w:rPr>
            </w:pPr>
            <w:r w:rsidRPr="008A26D2">
              <w:rPr>
                <w:rFonts w:ascii="Arial" w:eastAsia="Times New Roman" w:hAnsi="Arial" w:cs="Arial"/>
                <w:sz w:val="20"/>
                <w:szCs w:val="20"/>
              </w:rPr>
              <w:t>El Servicio Nacional Forestal y de Fauna Silvestre tiene aprobado un lineamiento para el seguimiento y evaluación de políticas, estrategias, planes, programas y proyectos en materia forestal y de fauna silvestre, el cual está enmarcado en las directivas del Centro Nacional de Planeamiento Estratégico – CEPLAN de la Presidencia del Concejo de Ministros.</w:t>
            </w:r>
          </w:p>
          <w:p w14:paraId="6B248B1F" w14:textId="67F00E8D" w:rsidR="004207EF" w:rsidRPr="008A26D2" w:rsidRDefault="004207EF" w:rsidP="004207EF">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Se toma como referencia las necesidades de capacitación de acuerdo al ámbito geográfico.</w:t>
            </w:r>
          </w:p>
          <w:p w14:paraId="7F6B18DA" w14:textId="77777777" w:rsidR="004207EF" w:rsidRPr="008A26D2" w:rsidRDefault="004207EF" w:rsidP="004207EF">
            <w:pPr>
              <w:pBdr>
                <w:top w:val="nil"/>
                <w:left w:val="nil"/>
                <w:bottom w:val="nil"/>
                <w:right w:val="nil"/>
                <w:between w:val="nil"/>
              </w:pBdr>
              <w:spacing w:after="0" w:line="240" w:lineRule="auto"/>
              <w:jc w:val="both"/>
              <w:rPr>
                <w:rFonts w:ascii="Arial" w:eastAsia="Arial Narrow" w:hAnsi="Arial" w:cs="Arial"/>
                <w:sz w:val="20"/>
                <w:szCs w:val="20"/>
              </w:rPr>
            </w:pPr>
          </w:p>
          <w:p w14:paraId="73FA05D1" w14:textId="77777777" w:rsidR="004207EF" w:rsidRPr="008A26D2" w:rsidRDefault="004207EF" w:rsidP="004207EF">
            <w:pPr>
              <w:pBdr>
                <w:top w:val="nil"/>
                <w:left w:val="nil"/>
                <w:bottom w:val="nil"/>
                <w:right w:val="nil"/>
                <w:between w:val="nil"/>
              </w:pBdr>
              <w:spacing w:after="0" w:line="240" w:lineRule="auto"/>
              <w:jc w:val="both"/>
              <w:rPr>
                <w:rFonts w:ascii="Arial" w:eastAsia="Times New Roman" w:hAnsi="Arial" w:cs="Arial"/>
                <w:sz w:val="20"/>
                <w:szCs w:val="20"/>
              </w:rPr>
            </w:pPr>
            <w:r w:rsidRPr="008A26D2">
              <w:rPr>
                <w:rFonts w:ascii="Arial" w:eastAsia="Arial Narrow" w:hAnsi="Arial" w:cs="Arial"/>
                <w:sz w:val="20"/>
                <w:szCs w:val="20"/>
              </w:rPr>
              <w:t>El servicio es nuevo y responde a los lineamientos de la Política Nacional de Modernización de la gestión pública al 2030.</w:t>
            </w:r>
          </w:p>
        </w:tc>
      </w:tr>
      <w:tr w:rsidR="008A26D2" w:rsidRPr="008A26D2" w14:paraId="447EE961" w14:textId="77777777" w:rsidTr="00074D53">
        <w:trPr>
          <w:cantSplit/>
          <w:trHeight w:val="453"/>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B769BD7" w14:textId="77777777" w:rsidR="004207EF" w:rsidRPr="008A26D2" w:rsidRDefault="004207EF" w:rsidP="004207EF">
            <w:pPr>
              <w:tabs>
                <w:tab w:val="left" w:pos="3375"/>
              </w:tabs>
              <w:rPr>
                <w:rFonts w:ascii="Arial" w:eastAsia="Times New Roman" w:hAnsi="Arial" w:cs="Arial"/>
                <w:b/>
                <w:bCs/>
                <w:sz w:val="20"/>
                <w:szCs w:val="20"/>
              </w:rPr>
            </w:pPr>
            <w:r w:rsidRPr="008A26D2">
              <w:rPr>
                <w:rFonts w:ascii="Arial" w:eastAsia="Times New Roman" w:hAnsi="Arial" w:cs="Arial"/>
                <w:b/>
                <w:bCs/>
                <w:sz w:val="20"/>
                <w:szCs w:val="20"/>
              </w:rPr>
              <w:t>Proveedor del servicio:</w:t>
            </w:r>
          </w:p>
        </w:tc>
        <w:tc>
          <w:tcPr>
            <w:tcW w:w="6452" w:type="dxa"/>
            <w:gridSpan w:val="3"/>
            <w:tcBorders>
              <w:top w:val="single" w:sz="4" w:space="0" w:color="auto"/>
              <w:left w:val="single" w:sz="4" w:space="0" w:color="auto"/>
              <w:bottom w:val="single" w:sz="4" w:space="0" w:color="auto"/>
              <w:right w:val="single" w:sz="4" w:space="0" w:color="auto"/>
            </w:tcBorders>
            <w:shd w:val="clear" w:color="auto" w:fill="auto"/>
            <w:noWrap/>
          </w:tcPr>
          <w:p w14:paraId="40457AA5" w14:textId="77777777" w:rsidR="004207EF" w:rsidRPr="008A26D2" w:rsidRDefault="004207EF" w:rsidP="004207EF">
            <w:pPr>
              <w:tabs>
                <w:tab w:val="left" w:pos="3375"/>
              </w:tabs>
              <w:jc w:val="both"/>
              <w:rPr>
                <w:rFonts w:ascii="Arial" w:eastAsia="Times New Roman" w:hAnsi="Arial" w:cs="Arial"/>
                <w:sz w:val="20"/>
                <w:szCs w:val="20"/>
              </w:rPr>
            </w:pPr>
            <w:r w:rsidRPr="008A26D2">
              <w:rPr>
                <w:rFonts w:ascii="Arial" w:eastAsia="Times New Roman" w:hAnsi="Arial" w:cs="Arial"/>
                <w:sz w:val="20"/>
                <w:szCs w:val="20"/>
              </w:rPr>
              <w:t>Servicio Nacional Forestal y de Fauna Silvestre - SERFOR</w:t>
            </w:r>
          </w:p>
        </w:tc>
      </w:tr>
      <w:tr w:rsidR="008A26D2" w:rsidRPr="008A26D2" w14:paraId="0E250895" w14:textId="77777777" w:rsidTr="00074D53">
        <w:trPr>
          <w:cantSplit/>
          <w:trHeight w:val="555"/>
          <w:jc w:val="center"/>
        </w:trPr>
        <w:tc>
          <w:tcPr>
            <w:tcW w:w="2268" w:type="dxa"/>
            <w:vMerge w:val="restart"/>
            <w:tcBorders>
              <w:top w:val="single" w:sz="4" w:space="0" w:color="auto"/>
              <w:left w:val="single" w:sz="4" w:space="0" w:color="auto"/>
              <w:right w:val="single" w:sz="4" w:space="0" w:color="auto"/>
            </w:tcBorders>
            <w:shd w:val="clear" w:color="auto" w:fill="auto"/>
            <w:vAlign w:val="center"/>
          </w:tcPr>
          <w:p w14:paraId="2B6E393A" w14:textId="77777777" w:rsidR="004207EF" w:rsidRPr="008A26D2" w:rsidRDefault="004207EF" w:rsidP="002469C9">
            <w:pPr>
              <w:spacing w:after="0" w:line="240" w:lineRule="auto"/>
              <w:rPr>
                <w:rFonts w:ascii="Arial" w:hAnsi="Arial" w:cs="Arial"/>
                <w:b/>
                <w:sz w:val="20"/>
                <w:szCs w:val="20"/>
              </w:rPr>
            </w:pPr>
            <w:r w:rsidRPr="008A26D2">
              <w:rPr>
                <w:rFonts w:ascii="Arial" w:hAnsi="Arial" w:cs="Arial"/>
                <w:b/>
                <w:sz w:val="20"/>
                <w:szCs w:val="20"/>
              </w:rPr>
              <w:t>Nivel (es) de gobierno que interviene</w:t>
            </w:r>
          </w:p>
          <w:p w14:paraId="6D22A804" w14:textId="3E962576" w:rsidR="004207EF" w:rsidRPr="008A26D2" w:rsidRDefault="004207EF" w:rsidP="004207EF">
            <w:pPr>
              <w:tabs>
                <w:tab w:val="left" w:pos="3375"/>
              </w:tabs>
              <w:rPr>
                <w:rFonts w:ascii="Arial" w:eastAsia="Times New Roman" w:hAnsi="Arial" w:cs="Arial"/>
                <w:b/>
                <w:bCs/>
                <w:sz w:val="20"/>
                <w:szCs w:val="20"/>
              </w:rPr>
            </w:pPr>
            <w:r w:rsidRPr="008A26D2">
              <w:rPr>
                <w:rFonts w:ascii="Arial" w:hAnsi="Arial" w:cs="Arial"/>
                <w:b/>
                <w:sz w:val="20"/>
                <w:szCs w:val="20"/>
              </w:rPr>
              <w:t>(n) en la provisión del servicio</w:t>
            </w:r>
          </w:p>
        </w:tc>
        <w:tc>
          <w:tcPr>
            <w:tcW w:w="2150" w:type="dxa"/>
            <w:tcBorders>
              <w:top w:val="single" w:sz="4" w:space="0" w:color="auto"/>
              <w:left w:val="single" w:sz="4" w:space="0" w:color="auto"/>
              <w:right w:val="single" w:sz="4" w:space="0" w:color="auto"/>
            </w:tcBorders>
            <w:shd w:val="clear" w:color="auto" w:fill="auto"/>
            <w:noWrap/>
            <w:vAlign w:val="center"/>
          </w:tcPr>
          <w:p w14:paraId="7237957F" w14:textId="035AC17D" w:rsidR="004207EF" w:rsidRPr="008A26D2" w:rsidRDefault="004207EF" w:rsidP="00324662">
            <w:pPr>
              <w:tabs>
                <w:tab w:val="left" w:pos="3375"/>
              </w:tabs>
              <w:jc w:val="center"/>
              <w:rPr>
                <w:rFonts w:ascii="Arial" w:eastAsia="Times New Roman" w:hAnsi="Arial" w:cs="Arial"/>
                <w:sz w:val="20"/>
                <w:szCs w:val="20"/>
              </w:rPr>
            </w:pPr>
            <w:r w:rsidRPr="008A26D2">
              <w:rPr>
                <w:rFonts w:ascii="Arial" w:eastAsia="Arial Narrow" w:hAnsi="Arial" w:cs="Arial"/>
                <w:sz w:val="20"/>
                <w:szCs w:val="20"/>
              </w:rPr>
              <w:t>Nacional</w:t>
            </w:r>
          </w:p>
        </w:tc>
        <w:tc>
          <w:tcPr>
            <w:tcW w:w="2151" w:type="dxa"/>
            <w:tcBorders>
              <w:top w:val="single" w:sz="4" w:space="0" w:color="auto"/>
              <w:left w:val="single" w:sz="4" w:space="0" w:color="auto"/>
              <w:right w:val="single" w:sz="4" w:space="0" w:color="auto"/>
            </w:tcBorders>
            <w:shd w:val="clear" w:color="auto" w:fill="auto"/>
            <w:vAlign w:val="center"/>
          </w:tcPr>
          <w:p w14:paraId="596F1735" w14:textId="4BBD8105" w:rsidR="004207EF" w:rsidRPr="008A26D2" w:rsidRDefault="004207EF" w:rsidP="00324662">
            <w:pPr>
              <w:tabs>
                <w:tab w:val="left" w:pos="3375"/>
              </w:tabs>
              <w:jc w:val="center"/>
              <w:rPr>
                <w:rFonts w:ascii="Arial" w:eastAsia="Times New Roman" w:hAnsi="Arial" w:cs="Arial"/>
                <w:sz w:val="20"/>
                <w:szCs w:val="20"/>
              </w:rPr>
            </w:pPr>
            <w:r w:rsidRPr="008A26D2">
              <w:rPr>
                <w:rFonts w:ascii="Arial" w:eastAsia="Arial Narrow" w:hAnsi="Arial" w:cs="Arial"/>
                <w:sz w:val="20"/>
                <w:szCs w:val="20"/>
              </w:rPr>
              <w:t>Regional</w:t>
            </w:r>
          </w:p>
        </w:tc>
        <w:tc>
          <w:tcPr>
            <w:tcW w:w="2151" w:type="dxa"/>
            <w:tcBorders>
              <w:top w:val="single" w:sz="4" w:space="0" w:color="auto"/>
              <w:left w:val="single" w:sz="4" w:space="0" w:color="auto"/>
              <w:right w:val="single" w:sz="4" w:space="0" w:color="auto"/>
            </w:tcBorders>
            <w:shd w:val="clear" w:color="auto" w:fill="auto"/>
            <w:vAlign w:val="center"/>
          </w:tcPr>
          <w:p w14:paraId="659487A7" w14:textId="400B87E4" w:rsidR="004207EF" w:rsidRPr="008A26D2" w:rsidRDefault="004207EF" w:rsidP="00324662">
            <w:pPr>
              <w:tabs>
                <w:tab w:val="left" w:pos="3375"/>
              </w:tabs>
              <w:jc w:val="center"/>
              <w:rPr>
                <w:rFonts w:ascii="Arial" w:eastAsia="Times New Roman" w:hAnsi="Arial" w:cs="Arial"/>
                <w:sz w:val="20"/>
                <w:szCs w:val="20"/>
              </w:rPr>
            </w:pPr>
            <w:r w:rsidRPr="008A26D2">
              <w:rPr>
                <w:rFonts w:ascii="Arial" w:eastAsia="Arial Narrow" w:hAnsi="Arial" w:cs="Arial"/>
                <w:sz w:val="20"/>
                <w:szCs w:val="20"/>
              </w:rPr>
              <w:t>Local</w:t>
            </w:r>
          </w:p>
        </w:tc>
      </w:tr>
      <w:tr w:rsidR="008A26D2" w:rsidRPr="008A26D2" w14:paraId="4B691689" w14:textId="77777777" w:rsidTr="00074D53">
        <w:trPr>
          <w:cantSplit/>
          <w:trHeight w:val="555"/>
          <w:jc w:val="center"/>
        </w:trPr>
        <w:tc>
          <w:tcPr>
            <w:tcW w:w="2268" w:type="dxa"/>
            <w:vMerge/>
            <w:tcBorders>
              <w:left w:val="single" w:sz="4" w:space="0" w:color="auto"/>
              <w:right w:val="single" w:sz="4" w:space="0" w:color="auto"/>
            </w:tcBorders>
            <w:shd w:val="clear" w:color="auto" w:fill="auto"/>
            <w:vAlign w:val="center"/>
          </w:tcPr>
          <w:p w14:paraId="2C54C774" w14:textId="77777777" w:rsidR="004207EF" w:rsidRPr="008A26D2" w:rsidRDefault="004207EF" w:rsidP="004207EF">
            <w:pPr>
              <w:spacing w:after="0" w:line="240" w:lineRule="auto"/>
              <w:rPr>
                <w:rFonts w:ascii="Arial" w:hAnsi="Arial" w:cs="Arial"/>
                <w:b/>
                <w:sz w:val="20"/>
                <w:szCs w:val="20"/>
              </w:rPr>
            </w:pPr>
          </w:p>
        </w:tc>
        <w:tc>
          <w:tcPr>
            <w:tcW w:w="2150" w:type="dxa"/>
            <w:tcBorders>
              <w:top w:val="single" w:sz="4" w:space="0" w:color="auto"/>
              <w:left w:val="single" w:sz="4" w:space="0" w:color="auto"/>
              <w:right w:val="single" w:sz="4" w:space="0" w:color="auto"/>
            </w:tcBorders>
            <w:shd w:val="clear" w:color="auto" w:fill="auto"/>
            <w:noWrap/>
          </w:tcPr>
          <w:p w14:paraId="4C49256C" w14:textId="5E204871" w:rsidR="004207EF" w:rsidRPr="008A26D2" w:rsidRDefault="00A32B05" w:rsidP="00324662">
            <w:pPr>
              <w:tabs>
                <w:tab w:val="left" w:pos="3375"/>
              </w:tabs>
              <w:jc w:val="center"/>
              <w:rPr>
                <w:rFonts w:ascii="Arial" w:eastAsia="Times New Roman" w:hAnsi="Arial" w:cs="Arial"/>
                <w:sz w:val="20"/>
                <w:szCs w:val="20"/>
              </w:rPr>
            </w:pPr>
            <w:r w:rsidRPr="008A26D2">
              <w:rPr>
                <w:rFonts w:ascii="Arial" w:eastAsia="Times New Roman" w:hAnsi="Arial" w:cs="Arial"/>
                <w:sz w:val="20"/>
                <w:szCs w:val="20"/>
              </w:rPr>
              <w:t>X</w:t>
            </w:r>
          </w:p>
        </w:tc>
        <w:tc>
          <w:tcPr>
            <w:tcW w:w="2151" w:type="dxa"/>
            <w:tcBorders>
              <w:top w:val="single" w:sz="4" w:space="0" w:color="auto"/>
              <w:left w:val="single" w:sz="4" w:space="0" w:color="auto"/>
              <w:right w:val="single" w:sz="4" w:space="0" w:color="auto"/>
            </w:tcBorders>
            <w:shd w:val="clear" w:color="auto" w:fill="auto"/>
          </w:tcPr>
          <w:p w14:paraId="2D2D8072" w14:textId="77777777" w:rsidR="004207EF" w:rsidRPr="008A26D2" w:rsidRDefault="004207EF" w:rsidP="00324662">
            <w:pPr>
              <w:tabs>
                <w:tab w:val="left" w:pos="3375"/>
              </w:tabs>
              <w:jc w:val="center"/>
              <w:rPr>
                <w:rFonts w:ascii="Arial" w:eastAsia="Times New Roman" w:hAnsi="Arial" w:cs="Arial"/>
                <w:sz w:val="20"/>
                <w:szCs w:val="20"/>
              </w:rPr>
            </w:pPr>
          </w:p>
        </w:tc>
        <w:tc>
          <w:tcPr>
            <w:tcW w:w="2151" w:type="dxa"/>
            <w:tcBorders>
              <w:top w:val="single" w:sz="4" w:space="0" w:color="auto"/>
              <w:left w:val="single" w:sz="4" w:space="0" w:color="auto"/>
              <w:right w:val="single" w:sz="4" w:space="0" w:color="auto"/>
            </w:tcBorders>
            <w:shd w:val="clear" w:color="auto" w:fill="auto"/>
          </w:tcPr>
          <w:p w14:paraId="4B746590" w14:textId="0EB18BB4" w:rsidR="004207EF" w:rsidRPr="008A26D2" w:rsidRDefault="004207EF" w:rsidP="00324662">
            <w:pPr>
              <w:tabs>
                <w:tab w:val="left" w:pos="3375"/>
              </w:tabs>
              <w:jc w:val="center"/>
              <w:rPr>
                <w:rFonts w:ascii="Arial" w:eastAsia="Times New Roman" w:hAnsi="Arial" w:cs="Arial"/>
                <w:sz w:val="20"/>
                <w:szCs w:val="20"/>
              </w:rPr>
            </w:pPr>
          </w:p>
        </w:tc>
      </w:tr>
      <w:tr w:rsidR="008A26D2" w:rsidRPr="008A26D2" w14:paraId="3253023E" w14:textId="77777777" w:rsidTr="00074D53">
        <w:trPr>
          <w:cantSplit/>
          <w:trHeight w:val="453"/>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3CBF51F" w14:textId="77777777" w:rsidR="004207EF" w:rsidRPr="008A26D2" w:rsidRDefault="004207EF" w:rsidP="004207EF">
            <w:pPr>
              <w:tabs>
                <w:tab w:val="left" w:pos="3375"/>
              </w:tabs>
              <w:rPr>
                <w:rFonts w:ascii="Arial" w:eastAsia="Times New Roman" w:hAnsi="Arial" w:cs="Arial"/>
                <w:b/>
                <w:bCs/>
                <w:sz w:val="20"/>
                <w:szCs w:val="20"/>
              </w:rPr>
            </w:pPr>
            <w:r w:rsidRPr="008A26D2">
              <w:rPr>
                <w:rFonts w:ascii="Arial" w:eastAsia="Times New Roman" w:hAnsi="Arial" w:cs="Arial"/>
                <w:b/>
                <w:bCs/>
                <w:sz w:val="20"/>
                <w:szCs w:val="20"/>
              </w:rPr>
              <w:t>Receptor del servicio:</w:t>
            </w:r>
          </w:p>
        </w:tc>
        <w:tc>
          <w:tcPr>
            <w:tcW w:w="6452" w:type="dxa"/>
            <w:gridSpan w:val="3"/>
            <w:tcBorders>
              <w:top w:val="single" w:sz="4" w:space="0" w:color="auto"/>
              <w:left w:val="single" w:sz="4" w:space="0" w:color="auto"/>
              <w:bottom w:val="single" w:sz="4" w:space="0" w:color="auto"/>
              <w:right w:val="single" w:sz="4" w:space="0" w:color="auto"/>
            </w:tcBorders>
            <w:shd w:val="clear" w:color="auto" w:fill="auto"/>
            <w:noWrap/>
          </w:tcPr>
          <w:p w14:paraId="528779A8" w14:textId="77777777" w:rsidR="004207EF" w:rsidRPr="008A26D2" w:rsidRDefault="004207EF" w:rsidP="004207EF">
            <w:pPr>
              <w:tabs>
                <w:tab w:val="left" w:pos="3375"/>
              </w:tabs>
              <w:jc w:val="both"/>
              <w:rPr>
                <w:rFonts w:ascii="Arial" w:eastAsia="Times New Roman" w:hAnsi="Arial" w:cs="Arial"/>
                <w:sz w:val="20"/>
                <w:szCs w:val="20"/>
              </w:rPr>
            </w:pPr>
            <w:r w:rsidRPr="008A26D2">
              <w:rPr>
                <w:rFonts w:ascii="Arial" w:eastAsia="Times New Roman" w:hAnsi="Arial" w:cs="Arial"/>
                <w:sz w:val="20"/>
                <w:szCs w:val="20"/>
              </w:rPr>
              <w:t xml:space="preserve">Autoridades Regionales Forestales y de Fauna Silvestre </w:t>
            </w:r>
          </w:p>
        </w:tc>
      </w:tr>
      <w:tr w:rsidR="008A26D2" w:rsidRPr="008A26D2" w14:paraId="4BB60031" w14:textId="77777777" w:rsidTr="00074D53">
        <w:trPr>
          <w:cantSplit/>
          <w:trHeight w:val="532"/>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3589C0B1" w14:textId="77777777" w:rsidR="004207EF" w:rsidRPr="008A26D2" w:rsidRDefault="004207EF" w:rsidP="004207EF">
            <w:pPr>
              <w:tabs>
                <w:tab w:val="left" w:pos="3375"/>
              </w:tabs>
              <w:rPr>
                <w:rFonts w:ascii="Arial" w:eastAsia="Times New Roman" w:hAnsi="Arial" w:cs="Arial"/>
                <w:b/>
                <w:bCs/>
                <w:sz w:val="20"/>
                <w:szCs w:val="20"/>
              </w:rPr>
            </w:pPr>
            <w:r w:rsidRPr="008A26D2">
              <w:rPr>
                <w:rFonts w:ascii="Arial" w:eastAsia="Times New Roman" w:hAnsi="Arial" w:cs="Arial"/>
                <w:b/>
                <w:bCs/>
                <w:sz w:val="20"/>
                <w:szCs w:val="20"/>
              </w:rPr>
              <w:lastRenderedPageBreak/>
              <w:t>Alcance del servicio:</w:t>
            </w:r>
          </w:p>
        </w:tc>
        <w:tc>
          <w:tcPr>
            <w:tcW w:w="6452" w:type="dxa"/>
            <w:gridSpan w:val="3"/>
            <w:tcBorders>
              <w:top w:val="single" w:sz="4" w:space="0" w:color="auto"/>
              <w:left w:val="single" w:sz="4" w:space="0" w:color="auto"/>
              <w:bottom w:val="single" w:sz="4" w:space="0" w:color="auto"/>
              <w:right w:val="single" w:sz="4" w:space="0" w:color="auto"/>
            </w:tcBorders>
            <w:shd w:val="clear" w:color="auto" w:fill="auto"/>
          </w:tcPr>
          <w:p w14:paraId="00B21AAD" w14:textId="77777777" w:rsidR="004207EF" w:rsidRPr="008A26D2" w:rsidRDefault="004207EF" w:rsidP="004207EF">
            <w:pPr>
              <w:tabs>
                <w:tab w:val="left" w:pos="3375"/>
              </w:tabs>
              <w:rPr>
                <w:rFonts w:ascii="Arial" w:eastAsia="Times New Roman" w:hAnsi="Arial" w:cs="Arial"/>
                <w:sz w:val="20"/>
                <w:szCs w:val="20"/>
              </w:rPr>
            </w:pPr>
            <w:r w:rsidRPr="008A26D2">
              <w:rPr>
                <w:rFonts w:ascii="Arial" w:eastAsia="Times New Roman" w:hAnsi="Arial" w:cs="Arial"/>
                <w:sz w:val="20"/>
                <w:szCs w:val="20"/>
              </w:rPr>
              <w:t>Nacional</w:t>
            </w:r>
          </w:p>
        </w:tc>
      </w:tr>
      <w:tr w:rsidR="008A26D2" w:rsidRPr="008A26D2" w14:paraId="71096A5D" w14:textId="77777777" w:rsidTr="00074D53">
        <w:trPr>
          <w:cantSplit/>
          <w:trHeight w:val="532"/>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20322B20" w14:textId="77777777" w:rsidR="004207EF" w:rsidRPr="008A26D2" w:rsidRDefault="004207EF" w:rsidP="004207EF">
            <w:pPr>
              <w:tabs>
                <w:tab w:val="left" w:pos="3375"/>
              </w:tabs>
              <w:rPr>
                <w:rFonts w:ascii="Arial" w:eastAsia="Times New Roman" w:hAnsi="Arial" w:cs="Arial"/>
                <w:b/>
                <w:bCs/>
                <w:sz w:val="20"/>
                <w:szCs w:val="20"/>
              </w:rPr>
            </w:pPr>
            <w:r w:rsidRPr="008A26D2">
              <w:rPr>
                <w:rFonts w:ascii="Arial" w:eastAsia="Times New Roman" w:hAnsi="Arial" w:cs="Arial"/>
                <w:b/>
                <w:bCs/>
                <w:sz w:val="20"/>
                <w:szCs w:val="20"/>
              </w:rPr>
              <w:t>Estándares de cumplimiento:</w:t>
            </w:r>
          </w:p>
        </w:tc>
        <w:tc>
          <w:tcPr>
            <w:tcW w:w="6452" w:type="dxa"/>
            <w:gridSpan w:val="3"/>
            <w:tcBorders>
              <w:top w:val="single" w:sz="4" w:space="0" w:color="auto"/>
              <w:left w:val="single" w:sz="4" w:space="0" w:color="auto"/>
              <w:bottom w:val="single" w:sz="4" w:space="0" w:color="auto"/>
              <w:right w:val="single" w:sz="4" w:space="0" w:color="auto"/>
            </w:tcBorders>
            <w:shd w:val="clear" w:color="auto" w:fill="auto"/>
          </w:tcPr>
          <w:p w14:paraId="3FAD28F7" w14:textId="77777777" w:rsidR="004207EF" w:rsidRPr="008A26D2" w:rsidRDefault="004207EF" w:rsidP="004207EF">
            <w:pPr>
              <w:tabs>
                <w:tab w:val="left" w:pos="3375"/>
              </w:tabs>
              <w:rPr>
                <w:rFonts w:ascii="Arial" w:eastAsia="Times New Roman" w:hAnsi="Arial" w:cs="Arial"/>
                <w:sz w:val="20"/>
                <w:szCs w:val="20"/>
              </w:rPr>
            </w:pPr>
            <w:r w:rsidRPr="008A26D2">
              <w:rPr>
                <w:rFonts w:ascii="Arial" w:eastAsia="Times New Roman" w:hAnsi="Arial" w:cs="Arial"/>
                <w:sz w:val="20"/>
                <w:szCs w:val="20"/>
              </w:rPr>
              <w:t>Percepción</w:t>
            </w:r>
          </w:p>
        </w:tc>
      </w:tr>
      <w:tr w:rsidR="008A26D2" w:rsidRPr="008A26D2" w14:paraId="4526142C" w14:textId="77777777" w:rsidTr="00074D53">
        <w:trPr>
          <w:cantSplit/>
          <w:trHeight w:val="628"/>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1425B70" w14:textId="77777777" w:rsidR="004207EF" w:rsidRPr="008A26D2" w:rsidRDefault="004207EF" w:rsidP="004207EF">
            <w:pPr>
              <w:tabs>
                <w:tab w:val="left" w:pos="3375"/>
              </w:tabs>
              <w:rPr>
                <w:rFonts w:ascii="Arial" w:eastAsia="Times New Roman" w:hAnsi="Arial" w:cs="Arial"/>
                <w:b/>
                <w:bCs/>
                <w:sz w:val="20"/>
                <w:szCs w:val="20"/>
              </w:rPr>
            </w:pPr>
            <w:r w:rsidRPr="008A26D2">
              <w:rPr>
                <w:rFonts w:ascii="Arial" w:eastAsia="Times New Roman" w:hAnsi="Arial" w:cs="Arial"/>
                <w:b/>
                <w:bCs/>
                <w:sz w:val="20"/>
                <w:szCs w:val="20"/>
              </w:rPr>
              <w:t>Descripción del estándar:</w:t>
            </w:r>
          </w:p>
        </w:tc>
        <w:tc>
          <w:tcPr>
            <w:tcW w:w="6452" w:type="dxa"/>
            <w:gridSpan w:val="3"/>
            <w:tcBorders>
              <w:top w:val="single" w:sz="4" w:space="0" w:color="auto"/>
              <w:left w:val="single" w:sz="4" w:space="0" w:color="auto"/>
              <w:bottom w:val="single" w:sz="4" w:space="0" w:color="auto"/>
              <w:right w:val="single" w:sz="4" w:space="0" w:color="auto"/>
            </w:tcBorders>
            <w:shd w:val="clear" w:color="auto" w:fill="auto"/>
          </w:tcPr>
          <w:p w14:paraId="39BA8FA9" w14:textId="77777777" w:rsidR="004207EF" w:rsidRPr="008A26D2" w:rsidRDefault="004207EF" w:rsidP="004207EF">
            <w:pPr>
              <w:pStyle w:val="pf0"/>
              <w:tabs>
                <w:tab w:val="left" w:pos="3375"/>
              </w:tabs>
              <w:spacing w:before="0" w:beforeAutospacing="0" w:after="160" w:afterAutospacing="0" w:line="259" w:lineRule="auto"/>
              <w:rPr>
                <w:rFonts w:ascii="Arial" w:hAnsi="Arial" w:cs="Arial"/>
                <w:sz w:val="20"/>
                <w:szCs w:val="20"/>
              </w:rPr>
            </w:pPr>
            <w:r w:rsidRPr="008A26D2">
              <w:rPr>
                <w:rFonts w:ascii="Arial" w:eastAsia="Arial Narrow" w:hAnsi="Arial" w:cs="Arial"/>
                <w:sz w:val="20"/>
                <w:szCs w:val="20"/>
              </w:rPr>
              <w:t>El estándar del servicio es de percepción debido a que éste satisface las expectativas de capacitación en el seguimiento, evaluación y gestión del conocimiento de las intervenciones en materia forestal y de fauna silvestre.</w:t>
            </w:r>
          </w:p>
        </w:tc>
      </w:tr>
      <w:tr w:rsidR="004207EF" w:rsidRPr="008A26D2" w14:paraId="47904C20" w14:textId="77777777" w:rsidTr="00074D53">
        <w:trPr>
          <w:cantSplit/>
          <w:trHeight w:val="532"/>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0E0A44A" w14:textId="5BE7BAC2" w:rsidR="004207EF" w:rsidRPr="008A26D2" w:rsidRDefault="004207EF" w:rsidP="004207EF">
            <w:pPr>
              <w:tabs>
                <w:tab w:val="left" w:pos="3375"/>
              </w:tabs>
              <w:rPr>
                <w:rFonts w:ascii="Arial" w:eastAsia="Times New Roman" w:hAnsi="Arial" w:cs="Arial"/>
                <w:b/>
                <w:bCs/>
                <w:sz w:val="20"/>
                <w:szCs w:val="20"/>
              </w:rPr>
            </w:pPr>
            <w:r w:rsidRPr="008A26D2">
              <w:rPr>
                <w:rFonts w:ascii="Arial" w:eastAsia="Times New Roman" w:hAnsi="Arial" w:cs="Arial"/>
                <w:b/>
                <w:bCs/>
                <w:sz w:val="20"/>
                <w:szCs w:val="20"/>
              </w:rPr>
              <w:t>Indicador</w:t>
            </w:r>
            <w:r w:rsidR="008516F0">
              <w:rPr>
                <w:rFonts w:ascii="Arial" w:eastAsia="Times New Roman" w:hAnsi="Arial" w:cs="Arial"/>
                <w:b/>
                <w:bCs/>
                <w:sz w:val="20"/>
                <w:szCs w:val="20"/>
              </w:rPr>
              <w:t xml:space="preserve"> de calidad</w:t>
            </w:r>
          </w:p>
        </w:tc>
        <w:tc>
          <w:tcPr>
            <w:tcW w:w="64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50B8F97" w14:textId="6623A782" w:rsidR="004207EF" w:rsidRPr="008A26D2" w:rsidRDefault="004207EF" w:rsidP="004207EF">
            <w:pPr>
              <w:tabs>
                <w:tab w:val="left" w:pos="3375"/>
              </w:tabs>
              <w:jc w:val="both"/>
              <w:rPr>
                <w:rFonts w:ascii="Arial" w:eastAsia="Times New Roman" w:hAnsi="Arial" w:cs="Arial"/>
                <w:strike/>
                <w:sz w:val="20"/>
                <w:szCs w:val="20"/>
              </w:rPr>
            </w:pPr>
            <w:r w:rsidRPr="008A26D2">
              <w:rPr>
                <w:rFonts w:ascii="Arial" w:eastAsia="Times New Roman" w:hAnsi="Arial" w:cs="Arial"/>
                <w:sz w:val="20"/>
                <w:szCs w:val="20"/>
              </w:rPr>
              <w:t xml:space="preserve">Porcentaje de servidores de las Autoridades Regionales Forestales y de Fauna Silvestre con alto grado de satisfacción </w:t>
            </w:r>
            <w:r w:rsidRPr="008A26D2">
              <w:rPr>
                <w:rFonts w:ascii="Arial" w:eastAsia="Arial Narrow" w:hAnsi="Arial" w:cs="Arial"/>
                <w:sz w:val="20"/>
                <w:szCs w:val="20"/>
              </w:rPr>
              <w:t xml:space="preserve">sobre las capacitaciones recibidas en </w:t>
            </w:r>
            <w:r w:rsidRPr="008A26D2">
              <w:rPr>
                <w:rFonts w:ascii="Arial" w:eastAsia="Times New Roman" w:hAnsi="Arial" w:cs="Arial"/>
                <w:sz w:val="20"/>
                <w:szCs w:val="20"/>
              </w:rPr>
              <w:t xml:space="preserve">seguimiento, evaluación y gestión del conocimiento de las intervenciones en materia forestal y de fauna silvestre </w:t>
            </w:r>
          </w:p>
        </w:tc>
      </w:tr>
      <w:bookmarkEnd w:id="9"/>
    </w:tbl>
    <w:p w14:paraId="26A832C2" w14:textId="66B73484" w:rsidR="00E457BC" w:rsidRPr="008A26D2" w:rsidRDefault="00E457BC">
      <w:pPr>
        <w:rPr>
          <w:rFonts w:ascii="Arial Narrow" w:eastAsia="Arial Narrow" w:hAnsi="Arial Narrow" w:cs="Arial Narrow"/>
          <w:b/>
        </w:rPr>
      </w:pPr>
    </w:p>
    <w:p w14:paraId="1D66918F" w14:textId="02EADA1E" w:rsidR="007209F9" w:rsidRPr="008A26D2" w:rsidRDefault="007209F9">
      <w:pPr>
        <w:rPr>
          <w:rFonts w:ascii="Arial Narrow" w:eastAsia="Arial Narrow" w:hAnsi="Arial Narrow" w:cs="Arial Narrow"/>
          <w:b/>
        </w:rPr>
      </w:pPr>
    </w:p>
    <w:p w14:paraId="42216D72" w14:textId="78394156" w:rsidR="0054612C" w:rsidRPr="008A26D2" w:rsidRDefault="0054612C" w:rsidP="0054612C">
      <w:pPr>
        <w:spacing w:after="0" w:line="240" w:lineRule="auto"/>
        <w:jc w:val="both"/>
        <w:rPr>
          <w:rFonts w:ascii="Arial" w:eastAsiaTheme="minorHAnsi" w:hAnsi="Arial" w:cs="Arial"/>
        </w:rPr>
      </w:pPr>
      <w:r w:rsidRPr="008A26D2">
        <w:rPr>
          <w:rFonts w:ascii="Arial" w:eastAsia="Arial Narrow" w:hAnsi="Arial" w:cs="Arial"/>
          <w:b/>
          <w:bCs/>
        </w:rPr>
        <w:t>S.3.2.1.</w:t>
      </w:r>
      <w:r w:rsidRPr="008A26D2">
        <w:rPr>
          <w:rFonts w:ascii="Arial" w:eastAsia="Arial Narrow" w:hAnsi="Arial" w:cs="Arial"/>
        </w:rPr>
        <w:t xml:space="preserve"> </w:t>
      </w:r>
      <w:r w:rsidR="00324662" w:rsidRPr="00324662">
        <w:rPr>
          <w:rFonts w:ascii="Arial" w:eastAsia="Arial Narrow" w:hAnsi="Arial" w:cs="Arial"/>
        </w:rPr>
        <w:t>Fortalecimiento de capacidades del manejo forestal comunitario como estrategia de adaptación y mitigación al cambio climático con pertinencia cultural dirigido a las comunidades nativas y comunidades campesinas</w:t>
      </w:r>
    </w:p>
    <w:p w14:paraId="28E05B75" w14:textId="2AE039AE" w:rsidR="0054612C" w:rsidRPr="008A26D2" w:rsidRDefault="0054612C">
      <w:pPr>
        <w:rPr>
          <w:rFonts w:ascii="Arial Narrow" w:eastAsia="Arial Narrow" w:hAnsi="Arial Narrow" w:cs="Arial Narrow"/>
          <w:b/>
        </w:rPr>
      </w:pPr>
    </w:p>
    <w:tbl>
      <w:tblPr>
        <w:tblW w:w="9001" w:type="dxa"/>
        <w:jc w:val="center"/>
        <w:tblCellMar>
          <w:left w:w="70" w:type="dxa"/>
          <w:right w:w="70" w:type="dxa"/>
        </w:tblCellMar>
        <w:tblLook w:val="04A0" w:firstRow="1" w:lastRow="0" w:firstColumn="1" w:lastColumn="0" w:noHBand="0" w:noVBand="1"/>
      </w:tblPr>
      <w:tblGrid>
        <w:gridCol w:w="2547"/>
        <w:gridCol w:w="2151"/>
        <w:gridCol w:w="2151"/>
        <w:gridCol w:w="2152"/>
      </w:tblGrid>
      <w:tr w:rsidR="008A26D2" w:rsidRPr="008A26D2" w14:paraId="0F41BBDD" w14:textId="77777777" w:rsidTr="0054612C">
        <w:trPr>
          <w:trHeight w:val="136"/>
          <w:jc w:val="center"/>
        </w:trPr>
        <w:tc>
          <w:tcPr>
            <w:tcW w:w="9001"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3AA1703" w14:textId="416A7FEA" w:rsidR="0054612C" w:rsidRPr="008A26D2" w:rsidRDefault="0054612C" w:rsidP="0054612C">
            <w:pPr>
              <w:spacing w:after="0" w:line="240" w:lineRule="auto"/>
              <w:jc w:val="center"/>
              <w:rPr>
                <w:rFonts w:ascii="Arial" w:eastAsia="Times New Roman" w:hAnsi="Arial" w:cs="Arial"/>
                <w:b/>
                <w:bCs/>
                <w:sz w:val="20"/>
                <w:szCs w:val="20"/>
              </w:rPr>
            </w:pPr>
            <w:r w:rsidRPr="008A26D2">
              <w:rPr>
                <w:rFonts w:ascii="Arial" w:eastAsia="Times New Roman" w:hAnsi="Arial" w:cs="Arial"/>
                <w:b/>
                <w:bCs/>
                <w:sz w:val="20"/>
                <w:szCs w:val="20"/>
              </w:rPr>
              <w:t xml:space="preserve">FICHA DEL SERVICIO </w:t>
            </w:r>
          </w:p>
        </w:tc>
      </w:tr>
      <w:tr w:rsidR="008A26D2" w:rsidRPr="008A26D2" w14:paraId="6C1CC92F" w14:textId="77777777" w:rsidTr="0054612C">
        <w:trPr>
          <w:trHeight w:val="549"/>
          <w:jc w:val="center"/>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tcPr>
          <w:p w14:paraId="67D0C4BB" w14:textId="77777777" w:rsidR="0054612C" w:rsidRPr="008A26D2" w:rsidRDefault="0054612C" w:rsidP="0054612C">
            <w:pPr>
              <w:tabs>
                <w:tab w:val="left" w:pos="3375"/>
              </w:tabs>
              <w:spacing w:after="0" w:line="240" w:lineRule="auto"/>
              <w:jc w:val="both"/>
              <w:rPr>
                <w:rFonts w:ascii="Arial" w:eastAsia="Arial Narrow" w:hAnsi="Arial" w:cs="Arial"/>
                <w:b/>
                <w:sz w:val="20"/>
                <w:szCs w:val="20"/>
              </w:rPr>
            </w:pPr>
            <w:r w:rsidRPr="008A26D2">
              <w:rPr>
                <w:rFonts w:ascii="Arial" w:eastAsia="Arial Narrow" w:hAnsi="Arial" w:cs="Arial"/>
                <w:b/>
                <w:sz w:val="20"/>
                <w:szCs w:val="20"/>
              </w:rPr>
              <w:t>Objetivo prioritario:</w:t>
            </w:r>
          </w:p>
        </w:tc>
        <w:tc>
          <w:tcPr>
            <w:tcW w:w="645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F1823A8" w14:textId="77777777" w:rsidR="0054612C" w:rsidRPr="008A26D2" w:rsidRDefault="0054612C" w:rsidP="0054612C">
            <w:pPr>
              <w:tabs>
                <w:tab w:val="left" w:pos="3375"/>
              </w:tabs>
              <w:spacing w:after="0" w:line="240" w:lineRule="auto"/>
              <w:jc w:val="both"/>
              <w:rPr>
                <w:rFonts w:ascii="Arial" w:eastAsia="Arial Narrow" w:hAnsi="Arial" w:cs="Arial"/>
                <w:sz w:val="20"/>
                <w:szCs w:val="20"/>
              </w:rPr>
            </w:pPr>
            <w:r w:rsidRPr="008A26D2">
              <w:rPr>
                <w:rFonts w:ascii="Arial" w:eastAsia="Arial Narrow" w:hAnsi="Arial" w:cs="Arial"/>
                <w:sz w:val="20"/>
                <w:szCs w:val="20"/>
              </w:rPr>
              <w:t>OP3. Fortalecer la gobernanza forestal y de fauna silvestre</w:t>
            </w:r>
          </w:p>
        </w:tc>
      </w:tr>
      <w:tr w:rsidR="008A26D2" w:rsidRPr="008A26D2" w14:paraId="4BE65772" w14:textId="77777777" w:rsidTr="0054612C">
        <w:trPr>
          <w:trHeight w:val="627"/>
          <w:jc w:val="center"/>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tcPr>
          <w:p w14:paraId="275EF228" w14:textId="77777777" w:rsidR="0054612C" w:rsidRPr="008A26D2" w:rsidRDefault="0054612C" w:rsidP="0054612C">
            <w:pPr>
              <w:tabs>
                <w:tab w:val="left" w:pos="3375"/>
              </w:tabs>
              <w:spacing w:after="0" w:line="240" w:lineRule="auto"/>
              <w:jc w:val="both"/>
              <w:rPr>
                <w:rFonts w:ascii="Arial" w:eastAsia="Arial Narrow" w:hAnsi="Arial" w:cs="Arial"/>
                <w:b/>
                <w:sz w:val="20"/>
                <w:szCs w:val="20"/>
              </w:rPr>
            </w:pPr>
            <w:r w:rsidRPr="008A26D2">
              <w:rPr>
                <w:rFonts w:ascii="Arial" w:eastAsia="Arial Narrow" w:hAnsi="Arial" w:cs="Arial"/>
                <w:b/>
                <w:sz w:val="20"/>
                <w:szCs w:val="20"/>
              </w:rPr>
              <w:t>Lineamiento:</w:t>
            </w:r>
          </w:p>
        </w:tc>
        <w:tc>
          <w:tcPr>
            <w:tcW w:w="645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07CB988" w14:textId="77777777" w:rsidR="0054612C" w:rsidRPr="008A26D2" w:rsidRDefault="0054612C" w:rsidP="0054612C">
            <w:pPr>
              <w:tabs>
                <w:tab w:val="left" w:pos="3375"/>
              </w:tabs>
              <w:spacing w:after="0" w:line="240" w:lineRule="auto"/>
              <w:jc w:val="both"/>
              <w:rPr>
                <w:rFonts w:ascii="Arial" w:eastAsia="Arial Narrow" w:hAnsi="Arial" w:cs="Arial"/>
                <w:sz w:val="20"/>
                <w:szCs w:val="20"/>
              </w:rPr>
            </w:pPr>
            <w:r w:rsidRPr="008A26D2">
              <w:rPr>
                <w:rFonts w:ascii="Arial" w:eastAsia="Arial Narrow" w:hAnsi="Arial" w:cs="Arial"/>
                <w:sz w:val="20"/>
                <w:szCs w:val="20"/>
              </w:rPr>
              <w:t>L.3.2. Desarrollar programas orientados a la mejora de la gestión y aprovechamiento sostenible de los recursos forestales y de fauna silvestre en pueblos indígenas u originarios (comunidades campesinas, comunidades nativas, entre otros)</w:t>
            </w:r>
          </w:p>
        </w:tc>
      </w:tr>
      <w:tr w:rsidR="008A26D2" w:rsidRPr="008A26D2" w14:paraId="341E1D6B" w14:textId="77777777" w:rsidTr="0054612C">
        <w:trPr>
          <w:trHeight w:val="609"/>
          <w:jc w:val="center"/>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tcPr>
          <w:p w14:paraId="5EB57D5D" w14:textId="77777777" w:rsidR="0054612C" w:rsidRPr="008A26D2" w:rsidRDefault="0054612C" w:rsidP="0054612C">
            <w:pPr>
              <w:tabs>
                <w:tab w:val="left" w:pos="3375"/>
              </w:tabs>
              <w:spacing w:after="0" w:line="240" w:lineRule="auto"/>
              <w:jc w:val="both"/>
              <w:rPr>
                <w:rFonts w:ascii="Arial" w:eastAsia="Arial Narrow" w:hAnsi="Arial" w:cs="Arial"/>
                <w:b/>
                <w:sz w:val="20"/>
                <w:szCs w:val="20"/>
              </w:rPr>
            </w:pPr>
            <w:r w:rsidRPr="008A26D2">
              <w:rPr>
                <w:rFonts w:ascii="Arial" w:eastAsia="Arial Narrow" w:hAnsi="Arial" w:cs="Arial"/>
                <w:b/>
                <w:sz w:val="20"/>
                <w:szCs w:val="20"/>
              </w:rPr>
              <w:t>Nombre del servicio:</w:t>
            </w:r>
          </w:p>
        </w:tc>
        <w:tc>
          <w:tcPr>
            <w:tcW w:w="645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F57BDEE" w14:textId="37E6B06A" w:rsidR="0054612C" w:rsidRPr="008A26D2" w:rsidRDefault="0054612C" w:rsidP="0054612C">
            <w:pPr>
              <w:tabs>
                <w:tab w:val="left" w:pos="3375"/>
              </w:tabs>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S.3.2.1. </w:t>
            </w:r>
            <w:r w:rsidR="00932163" w:rsidRPr="0020551C">
              <w:rPr>
                <w:rFonts w:ascii="Arial" w:eastAsia="Arial Narrow" w:hAnsi="Arial" w:cs="Arial"/>
                <w:sz w:val="20"/>
                <w:szCs w:val="20"/>
              </w:rPr>
              <w:t>Fortalecimiento de capacidades del manejo forestal comunitario como estrategia de adaptación y mitigación al cambio climático con pertinencia cultural dirigido a las comunidades nativas y comunidades campesinas</w:t>
            </w:r>
          </w:p>
        </w:tc>
      </w:tr>
      <w:tr w:rsidR="008A26D2" w:rsidRPr="008A26D2" w14:paraId="256CDB1F" w14:textId="77777777" w:rsidTr="0054612C">
        <w:trPr>
          <w:trHeight w:val="609"/>
          <w:jc w:val="center"/>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tcPr>
          <w:p w14:paraId="025B5011" w14:textId="77777777" w:rsidR="0054612C" w:rsidRPr="008A26D2" w:rsidRDefault="0054612C" w:rsidP="0054612C">
            <w:pPr>
              <w:tabs>
                <w:tab w:val="left" w:pos="3375"/>
              </w:tabs>
              <w:spacing w:after="0" w:line="240" w:lineRule="auto"/>
              <w:jc w:val="both"/>
              <w:rPr>
                <w:rFonts w:ascii="Arial" w:eastAsia="Arial Narrow" w:hAnsi="Arial" w:cs="Arial"/>
                <w:b/>
                <w:sz w:val="20"/>
                <w:szCs w:val="20"/>
              </w:rPr>
            </w:pPr>
            <w:r w:rsidRPr="008A26D2">
              <w:rPr>
                <w:rFonts w:ascii="Arial" w:eastAsia="Arial Narrow" w:hAnsi="Arial" w:cs="Arial"/>
                <w:b/>
                <w:sz w:val="20"/>
                <w:szCs w:val="20"/>
              </w:rPr>
              <w:t>Tipo de servicio</w:t>
            </w:r>
          </w:p>
        </w:tc>
        <w:tc>
          <w:tcPr>
            <w:tcW w:w="645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41B4684" w14:textId="77777777" w:rsidR="0054612C" w:rsidRPr="008A26D2" w:rsidRDefault="0054612C" w:rsidP="0054612C">
            <w:pPr>
              <w:tabs>
                <w:tab w:val="left" w:pos="3375"/>
              </w:tabs>
              <w:spacing w:after="0" w:line="240" w:lineRule="auto"/>
              <w:jc w:val="both"/>
              <w:rPr>
                <w:rFonts w:ascii="Arial" w:eastAsia="Arial Narrow" w:hAnsi="Arial" w:cs="Arial"/>
                <w:sz w:val="20"/>
                <w:szCs w:val="20"/>
              </w:rPr>
            </w:pPr>
            <w:r w:rsidRPr="008A26D2">
              <w:rPr>
                <w:rFonts w:ascii="Arial" w:eastAsia="Arial Narrow" w:hAnsi="Arial" w:cs="Arial"/>
                <w:sz w:val="20"/>
                <w:szCs w:val="20"/>
              </w:rPr>
              <w:t>Nuevo</w:t>
            </w:r>
          </w:p>
        </w:tc>
      </w:tr>
      <w:tr w:rsidR="008A26D2" w:rsidRPr="008A26D2" w14:paraId="0B8405FE" w14:textId="77777777" w:rsidTr="0054612C">
        <w:trPr>
          <w:trHeight w:val="609"/>
          <w:jc w:val="center"/>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tcPr>
          <w:p w14:paraId="3A4134B4" w14:textId="57546FC8" w:rsidR="004207EF" w:rsidRPr="008A26D2" w:rsidRDefault="004207EF" w:rsidP="004207EF">
            <w:pPr>
              <w:tabs>
                <w:tab w:val="left" w:pos="3375"/>
              </w:tabs>
              <w:spacing w:after="0" w:line="240" w:lineRule="auto"/>
              <w:jc w:val="both"/>
              <w:rPr>
                <w:rFonts w:ascii="Arial" w:eastAsia="Arial Narrow" w:hAnsi="Arial" w:cs="Arial"/>
                <w:b/>
                <w:sz w:val="20"/>
                <w:szCs w:val="20"/>
              </w:rPr>
            </w:pPr>
            <w:r w:rsidRPr="008A26D2">
              <w:rPr>
                <w:rFonts w:ascii="Arial" w:hAnsi="Arial" w:cs="Arial"/>
                <w:b/>
                <w:sz w:val="20"/>
                <w:szCs w:val="20"/>
              </w:rPr>
              <w:t>Naturaleza del servicio:</w:t>
            </w:r>
          </w:p>
        </w:tc>
        <w:tc>
          <w:tcPr>
            <w:tcW w:w="645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28FA398" w14:textId="30100232" w:rsidR="004207EF" w:rsidRPr="008A26D2" w:rsidRDefault="00A32B05" w:rsidP="004207EF">
            <w:pPr>
              <w:tabs>
                <w:tab w:val="left" w:pos="3375"/>
              </w:tabs>
              <w:spacing w:after="0" w:line="240" w:lineRule="auto"/>
              <w:jc w:val="both"/>
              <w:rPr>
                <w:rFonts w:ascii="Arial" w:eastAsia="Arial Narrow" w:hAnsi="Arial" w:cs="Arial"/>
                <w:sz w:val="20"/>
                <w:szCs w:val="20"/>
              </w:rPr>
            </w:pPr>
            <w:r w:rsidRPr="008A26D2">
              <w:rPr>
                <w:rFonts w:ascii="Arial" w:eastAsia="Arial Narrow" w:hAnsi="Arial" w:cs="Arial"/>
                <w:sz w:val="20"/>
                <w:szCs w:val="20"/>
              </w:rPr>
              <w:t>P</w:t>
            </w:r>
            <w:r w:rsidR="004207EF" w:rsidRPr="008A26D2">
              <w:rPr>
                <w:rFonts w:ascii="Arial" w:eastAsia="Arial Narrow" w:hAnsi="Arial" w:cs="Arial"/>
                <w:sz w:val="20"/>
                <w:szCs w:val="20"/>
              </w:rPr>
              <w:t>restacional</w:t>
            </w:r>
          </w:p>
        </w:tc>
      </w:tr>
      <w:tr w:rsidR="008A26D2" w:rsidRPr="008A26D2" w14:paraId="1C993092" w14:textId="77777777" w:rsidTr="0054612C">
        <w:trPr>
          <w:trHeight w:val="609"/>
          <w:jc w:val="center"/>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tcPr>
          <w:p w14:paraId="29A722AA" w14:textId="0F237346" w:rsidR="004207EF" w:rsidRPr="008A26D2" w:rsidRDefault="004207EF" w:rsidP="004207EF">
            <w:pPr>
              <w:tabs>
                <w:tab w:val="left" w:pos="3375"/>
              </w:tabs>
              <w:spacing w:after="0" w:line="240" w:lineRule="auto"/>
              <w:jc w:val="both"/>
              <w:rPr>
                <w:rFonts w:ascii="Arial" w:eastAsia="Arial Narrow" w:hAnsi="Arial" w:cs="Arial"/>
                <w:b/>
                <w:sz w:val="20"/>
                <w:szCs w:val="20"/>
              </w:rPr>
            </w:pPr>
            <w:r w:rsidRPr="008A26D2">
              <w:rPr>
                <w:rFonts w:ascii="Arial" w:hAnsi="Arial" w:cs="Arial"/>
                <w:b/>
                <w:sz w:val="20"/>
                <w:szCs w:val="20"/>
              </w:rPr>
              <w:t>Entrega del servicio</w:t>
            </w:r>
          </w:p>
        </w:tc>
        <w:tc>
          <w:tcPr>
            <w:tcW w:w="645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BE99F84" w14:textId="6F1FE622" w:rsidR="004207EF" w:rsidRPr="008A26D2" w:rsidRDefault="004207EF" w:rsidP="004207EF">
            <w:pPr>
              <w:tabs>
                <w:tab w:val="left" w:pos="3375"/>
              </w:tabs>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Competencia exclusiva </w:t>
            </w:r>
          </w:p>
        </w:tc>
      </w:tr>
      <w:tr w:rsidR="008A26D2" w:rsidRPr="008A26D2" w14:paraId="2C88A7B6" w14:textId="77777777" w:rsidTr="00B6766E">
        <w:trPr>
          <w:trHeight w:val="6554"/>
          <w:jc w:val="center"/>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tcPr>
          <w:p w14:paraId="5C1F0254" w14:textId="77777777" w:rsidR="004207EF" w:rsidRPr="008A26D2" w:rsidRDefault="004207EF" w:rsidP="004207EF">
            <w:pPr>
              <w:tabs>
                <w:tab w:val="left" w:pos="3375"/>
              </w:tabs>
              <w:spacing w:after="0" w:line="240" w:lineRule="auto"/>
              <w:jc w:val="both"/>
              <w:rPr>
                <w:rFonts w:ascii="Arial" w:eastAsia="Arial Narrow" w:hAnsi="Arial" w:cs="Arial"/>
                <w:b/>
                <w:sz w:val="20"/>
                <w:szCs w:val="20"/>
              </w:rPr>
            </w:pPr>
            <w:r w:rsidRPr="008A26D2">
              <w:rPr>
                <w:rFonts w:ascii="Arial" w:eastAsia="Arial Narrow" w:hAnsi="Arial" w:cs="Arial"/>
                <w:b/>
                <w:sz w:val="20"/>
                <w:szCs w:val="20"/>
              </w:rPr>
              <w:lastRenderedPageBreak/>
              <w:t>Descripción del servicio:</w:t>
            </w:r>
          </w:p>
        </w:tc>
        <w:tc>
          <w:tcPr>
            <w:tcW w:w="6454" w:type="dxa"/>
            <w:gridSpan w:val="3"/>
            <w:tcBorders>
              <w:top w:val="single" w:sz="4" w:space="0" w:color="auto"/>
              <w:left w:val="single" w:sz="4" w:space="0" w:color="auto"/>
              <w:bottom w:val="single" w:sz="4" w:space="0" w:color="auto"/>
              <w:right w:val="single" w:sz="4" w:space="0" w:color="auto"/>
            </w:tcBorders>
            <w:shd w:val="clear" w:color="auto" w:fill="auto"/>
          </w:tcPr>
          <w:p w14:paraId="2CA92573" w14:textId="5632C84B" w:rsidR="004207EF" w:rsidRPr="00846D49" w:rsidRDefault="004207EF" w:rsidP="004207EF">
            <w:pPr>
              <w:tabs>
                <w:tab w:val="left" w:pos="3375"/>
              </w:tabs>
              <w:spacing w:after="0" w:line="240" w:lineRule="auto"/>
              <w:jc w:val="both"/>
              <w:rPr>
                <w:rFonts w:ascii="Arial" w:eastAsia="Arial Narrow" w:hAnsi="Arial" w:cs="Arial"/>
                <w:sz w:val="20"/>
                <w:szCs w:val="20"/>
              </w:rPr>
            </w:pPr>
            <w:r w:rsidRPr="00846D49">
              <w:rPr>
                <w:rFonts w:ascii="Arial" w:eastAsia="Arial Narrow" w:hAnsi="Arial" w:cs="Arial"/>
                <w:sz w:val="20"/>
                <w:szCs w:val="20"/>
              </w:rPr>
              <w:t xml:space="preserve">El servicio consiste en el fortalecimiento de capacidades a las comunidades nativas y comunidades campesinas a través </w:t>
            </w:r>
            <w:r w:rsidR="000F1190" w:rsidRPr="00846D49">
              <w:rPr>
                <w:rFonts w:ascii="Arial" w:eastAsia="Arial Narrow" w:hAnsi="Arial" w:cs="Arial"/>
                <w:sz w:val="20"/>
                <w:szCs w:val="20"/>
              </w:rPr>
              <w:t>de</w:t>
            </w:r>
            <w:r w:rsidR="00C45EDD" w:rsidRPr="00846D49">
              <w:rPr>
                <w:rFonts w:ascii="Arial" w:eastAsia="Arial Narrow" w:hAnsi="Arial" w:cs="Arial"/>
                <w:sz w:val="20"/>
                <w:szCs w:val="20"/>
              </w:rPr>
              <w:t xml:space="preserve"> </w:t>
            </w:r>
            <w:r w:rsidRPr="00846D49">
              <w:rPr>
                <w:rFonts w:ascii="Arial" w:eastAsia="Arial Narrow" w:hAnsi="Arial" w:cs="Arial"/>
                <w:sz w:val="20"/>
                <w:szCs w:val="20"/>
              </w:rPr>
              <w:t xml:space="preserve">la asistencia técnica, pasantías, talleres, intercambio de experiencias, reuniones técnicas, entre otros, en la cual se brinde acompañamiento, facilitación, orientación y seguimiento a comunidades nativas y comunidades campesinas. Se brinda reconociendo los conocimientos ancestrales en el territorio en materia forestal y de fauna silvestre, y considerando las características culturales de las comunidades en todo el territorio. </w:t>
            </w:r>
          </w:p>
          <w:p w14:paraId="700E6F29" w14:textId="77777777" w:rsidR="004207EF" w:rsidRPr="00846D49" w:rsidRDefault="004207EF" w:rsidP="004207EF">
            <w:pPr>
              <w:tabs>
                <w:tab w:val="left" w:pos="3375"/>
              </w:tabs>
              <w:spacing w:after="0" w:line="240" w:lineRule="auto"/>
              <w:jc w:val="both"/>
              <w:rPr>
                <w:rFonts w:ascii="Arial" w:eastAsia="Arial Narrow" w:hAnsi="Arial" w:cs="Arial"/>
                <w:sz w:val="20"/>
                <w:szCs w:val="20"/>
              </w:rPr>
            </w:pPr>
          </w:p>
          <w:p w14:paraId="74CB758C" w14:textId="77777777" w:rsidR="004207EF" w:rsidRPr="00846D49" w:rsidRDefault="004207EF" w:rsidP="004207EF">
            <w:pPr>
              <w:tabs>
                <w:tab w:val="left" w:pos="3375"/>
              </w:tabs>
              <w:spacing w:after="0" w:line="240" w:lineRule="auto"/>
              <w:jc w:val="both"/>
              <w:rPr>
                <w:rFonts w:ascii="Arial" w:eastAsia="Arial Narrow" w:hAnsi="Arial" w:cs="Arial"/>
                <w:sz w:val="20"/>
                <w:szCs w:val="20"/>
              </w:rPr>
            </w:pPr>
            <w:r w:rsidRPr="00846D49">
              <w:rPr>
                <w:rFonts w:ascii="Arial" w:eastAsia="Arial Narrow" w:hAnsi="Arial" w:cs="Arial"/>
                <w:sz w:val="20"/>
                <w:szCs w:val="20"/>
              </w:rPr>
              <w:t>El manejo forestal comunitario tiene la finalidad de generar bienes y servicios ecosistémicos en beneficio de la población local, reduciendo riesgos ante los efectos del cambio climático y  la degradación de los ecosistemas, acorde a la legislación forestal y de fauna silvestre contribuyendo al cumplimiento de los compromisos y acuerdos internacionales, tales como: Iniciativa 20x20, Convención sobre Diversidad Biológica, Objetivos de Desarrollo Sostenible, Convención Marco de las Naciones Unidas sobre el Cambio Climático; en el actual contexto global del Decenio de la Restauración.</w:t>
            </w:r>
          </w:p>
          <w:p w14:paraId="3C696D3A" w14:textId="77777777" w:rsidR="004207EF" w:rsidRPr="00846D49" w:rsidRDefault="004207EF" w:rsidP="004207EF">
            <w:pPr>
              <w:tabs>
                <w:tab w:val="left" w:pos="3375"/>
              </w:tabs>
              <w:spacing w:after="0" w:line="240" w:lineRule="auto"/>
              <w:jc w:val="both"/>
              <w:rPr>
                <w:rFonts w:ascii="Arial" w:eastAsia="Arial Narrow" w:hAnsi="Arial" w:cs="Arial"/>
                <w:sz w:val="20"/>
                <w:szCs w:val="20"/>
              </w:rPr>
            </w:pPr>
          </w:p>
          <w:p w14:paraId="3ABBBEF5" w14:textId="0B4FF76B" w:rsidR="004207EF" w:rsidRPr="00846D49" w:rsidRDefault="004207EF" w:rsidP="004207EF">
            <w:pPr>
              <w:tabs>
                <w:tab w:val="left" w:pos="3375"/>
              </w:tabs>
              <w:spacing w:after="0" w:line="240" w:lineRule="auto"/>
              <w:jc w:val="both"/>
              <w:rPr>
                <w:rFonts w:ascii="Arial" w:eastAsia="Arial Narrow" w:hAnsi="Arial" w:cs="Arial"/>
                <w:sz w:val="20"/>
                <w:szCs w:val="20"/>
              </w:rPr>
            </w:pPr>
            <w:r w:rsidRPr="00846D49">
              <w:rPr>
                <w:rFonts w:ascii="Arial" w:eastAsia="Arial Narrow" w:hAnsi="Arial" w:cs="Arial"/>
                <w:sz w:val="20"/>
                <w:szCs w:val="20"/>
              </w:rPr>
              <w:t>El fortalecimiento de capacidades incluye entre otros los temas siguientes: Técnicas de conservación (Bosques andinos o relictos, especies nativas y amenazadas), manejo, aprovechamiento, transformación y comercialización de los recursos forestales y de fauna silvestre, entre otros.</w:t>
            </w:r>
          </w:p>
          <w:p w14:paraId="4F9989A8" w14:textId="77777777" w:rsidR="004207EF" w:rsidRPr="00846D49" w:rsidRDefault="004207EF" w:rsidP="004207EF">
            <w:pPr>
              <w:tabs>
                <w:tab w:val="left" w:pos="3375"/>
              </w:tabs>
              <w:spacing w:after="0" w:line="240" w:lineRule="auto"/>
              <w:jc w:val="both"/>
              <w:rPr>
                <w:rFonts w:ascii="Arial" w:eastAsia="Arial Narrow" w:hAnsi="Arial" w:cs="Arial"/>
                <w:sz w:val="20"/>
                <w:szCs w:val="20"/>
              </w:rPr>
            </w:pPr>
          </w:p>
          <w:p w14:paraId="628EFB9D" w14:textId="5A87E708" w:rsidR="004207EF" w:rsidRPr="00846D49" w:rsidRDefault="004207EF" w:rsidP="004207EF">
            <w:pPr>
              <w:tabs>
                <w:tab w:val="left" w:pos="3375"/>
              </w:tabs>
              <w:spacing w:after="0" w:line="240" w:lineRule="auto"/>
              <w:jc w:val="both"/>
              <w:rPr>
                <w:rFonts w:ascii="Arial" w:eastAsia="Arial Narrow" w:hAnsi="Arial" w:cs="Arial"/>
                <w:sz w:val="20"/>
                <w:szCs w:val="20"/>
              </w:rPr>
            </w:pPr>
            <w:r w:rsidRPr="00846D49">
              <w:rPr>
                <w:rFonts w:ascii="Arial" w:eastAsia="Arial Narrow" w:hAnsi="Arial" w:cs="Arial"/>
                <w:sz w:val="20"/>
                <w:szCs w:val="20"/>
              </w:rPr>
              <w:t>El servicio es nuevo y responde a la necesidad de fortalecer el manejo forestal comunitario como estrategia de adaptación y mitigación al cambio climático con pertinencia lingüística e intercultural</w:t>
            </w:r>
            <w:r w:rsidR="00AA4E0A" w:rsidRPr="00846D49">
              <w:rPr>
                <w:rFonts w:ascii="Arial" w:eastAsia="Arial Narrow" w:hAnsi="Arial" w:cs="Arial"/>
                <w:sz w:val="20"/>
                <w:szCs w:val="20"/>
              </w:rPr>
              <w:t xml:space="preserve">. Estas acciones serán conducidas por el SERFOR al haberse constituido la </w:t>
            </w:r>
            <w:r w:rsidR="00290D98" w:rsidRPr="00846D49">
              <w:rPr>
                <w:rFonts w:ascii="Arial" w:eastAsia="Arial Narrow" w:hAnsi="Arial" w:cs="Arial"/>
                <w:sz w:val="20"/>
                <w:szCs w:val="20"/>
              </w:rPr>
              <w:t>Unidad Funcional de Manejo Forestal Comunitario</w:t>
            </w:r>
            <w:r w:rsidR="00AA4E0A" w:rsidRPr="00846D49">
              <w:rPr>
                <w:rFonts w:ascii="Arial" w:eastAsia="Arial Narrow" w:hAnsi="Arial" w:cs="Arial"/>
                <w:sz w:val="20"/>
                <w:szCs w:val="20"/>
              </w:rPr>
              <w:t xml:space="preserve"> dentro de la entidad.</w:t>
            </w:r>
          </w:p>
          <w:p w14:paraId="5042C4E7" w14:textId="47E4D685" w:rsidR="00AA4E0A" w:rsidRPr="00846D49" w:rsidRDefault="00AA4E0A" w:rsidP="004207EF">
            <w:pPr>
              <w:tabs>
                <w:tab w:val="left" w:pos="3375"/>
              </w:tabs>
              <w:spacing w:after="0" w:line="240" w:lineRule="auto"/>
              <w:jc w:val="both"/>
              <w:rPr>
                <w:rFonts w:ascii="Arial" w:eastAsia="Arial Narrow" w:hAnsi="Arial" w:cs="Arial"/>
                <w:sz w:val="20"/>
                <w:szCs w:val="20"/>
              </w:rPr>
            </w:pPr>
          </w:p>
        </w:tc>
      </w:tr>
      <w:tr w:rsidR="008A26D2" w:rsidRPr="008A26D2" w14:paraId="71D53B70" w14:textId="77777777" w:rsidTr="0054612C">
        <w:trPr>
          <w:trHeight w:val="453"/>
          <w:jc w:val="center"/>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tcPr>
          <w:p w14:paraId="1196CA23" w14:textId="77777777" w:rsidR="004207EF" w:rsidRPr="008A26D2" w:rsidRDefault="004207EF" w:rsidP="004207EF">
            <w:pPr>
              <w:tabs>
                <w:tab w:val="left" w:pos="3375"/>
              </w:tabs>
              <w:spacing w:after="0" w:line="240" w:lineRule="auto"/>
              <w:jc w:val="both"/>
              <w:rPr>
                <w:rFonts w:ascii="Arial" w:eastAsia="Arial Narrow" w:hAnsi="Arial" w:cs="Arial"/>
                <w:b/>
                <w:sz w:val="20"/>
                <w:szCs w:val="20"/>
              </w:rPr>
            </w:pPr>
            <w:r w:rsidRPr="008A26D2">
              <w:rPr>
                <w:rFonts w:ascii="Arial" w:eastAsia="Arial Narrow" w:hAnsi="Arial" w:cs="Arial"/>
                <w:b/>
                <w:sz w:val="20"/>
                <w:szCs w:val="20"/>
              </w:rPr>
              <w:t>Proveedor del servicio:</w:t>
            </w:r>
          </w:p>
        </w:tc>
        <w:tc>
          <w:tcPr>
            <w:tcW w:w="6454" w:type="dxa"/>
            <w:gridSpan w:val="3"/>
            <w:tcBorders>
              <w:top w:val="single" w:sz="4" w:space="0" w:color="auto"/>
              <w:left w:val="single" w:sz="4" w:space="0" w:color="auto"/>
              <w:bottom w:val="single" w:sz="4" w:space="0" w:color="auto"/>
              <w:right w:val="single" w:sz="4" w:space="0" w:color="auto"/>
            </w:tcBorders>
            <w:shd w:val="clear" w:color="auto" w:fill="auto"/>
            <w:noWrap/>
          </w:tcPr>
          <w:p w14:paraId="60D54C19" w14:textId="77777777" w:rsidR="004207EF" w:rsidRPr="00846D49" w:rsidRDefault="004207EF" w:rsidP="004207EF">
            <w:pPr>
              <w:tabs>
                <w:tab w:val="left" w:pos="3375"/>
              </w:tabs>
              <w:spacing w:after="0" w:line="240" w:lineRule="auto"/>
              <w:jc w:val="both"/>
              <w:rPr>
                <w:rFonts w:ascii="Arial" w:eastAsia="Arial Narrow" w:hAnsi="Arial" w:cs="Arial"/>
                <w:sz w:val="20"/>
                <w:szCs w:val="20"/>
              </w:rPr>
            </w:pPr>
            <w:r w:rsidRPr="00846D49">
              <w:rPr>
                <w:rFonts w:ascii="Arial" w:eastAsia="Arial Narrow" w:hAnsi="Arial" w:cs="Arial"/>
                <w:sz w:val="20"/>
                <w:szCs w:val="20"/>
              </w:rPr>
              <w:t>Servicio Nacional Forestal y de Fauna Silvestre - SERFOR</w:t>
            </w:r>
          </w:p>
        </w:tc>
      </w:tr>
      <w:tr w:rsidR="008A26D2" w:rsidRPr="008A26D2" w14:paraId="4FA0BD38" w14:textId="77777777" w:rsidTr="00C23454">
        <w:trPr>
          <w:trHeight w:val="458"/>
          <w:jc w:val="center"/>
        </w:trPr>
        <w:tc>
          <w:tcPr>
            <w:tcW w:w="2547" w:type="dxa"/>
            <w:vMerge w:val="restart"/>
            <w:tcBorders>
              <w:top w:val="single" w:sz="4" w:space="0" w:color="auto"/>
              <w:left w:val="single" w:sz="4" w:space="0" w:color="auto"/>
              <w:right w:val="single" w:sz="4" w:space="0" w:color="auto"/>
            </w:tcBorders>
            <w:shd w:val="clear" w:color="auto" w:fill="auto"/>
            <w:vAlign w:val="center"/>
          </w:tcPr>
          <w:p w14:paraId="2CC53F96" w14:textId="77777777" w:rsidR="004207EF" w:rsidRPr="008A26D2" w:rsidRDefault="004207EF" w:rsidP="002469C9">
            <w:pPr>
              <w:spacing w:after="0" w:line="240" w:lineRule="auto"/>
              <w:rPr>
                <w:rFonts w:ascii="Arial" w:hAnsi="Arial" w:cs="Arial"/>
                <w:b/>
                <w:sz w:val="20"/>
                <w:szCs w:val="20"/>
              </w:rPr>
            </w:pPr>
            <w:r w:rsidRPr="008A26D2">
              <w:rPr>
                <w:rFonts w:ascii="Arial" w:hAnsi="Arial" w:cs="Arial"/>
                <w:b/>
                <w:sz w:val="20"/>
                <w:szCs w:val="20"/>
              </w:rPr>
              <w:t>Nivel (es) de gobierno que interviene</w:t>
            </w:r>
          </w:p>
          <w:p w14:paraId="6320057B" w14:textId="26252F9E" w:rsidR="004207EF" w:rsidRPr="008A26D2" w:rsidRDefault="004207EF" w:rsidP="004207EF">
            <w:pPr>
              <w:tabs>
                <w:tab w:val="left" w:pos="3375"/>
              </w:tabs>
              <w:spacing w:after="0" w:line="240" w:lineRule="auto"/>
              <w:jc w:val="both"/>
              <w:rPr>
                <w:rFonts w:ascii="Arial" w:eastAsia="Arial Narrow" w:hAnsi="Arial" w:cs="Arial"/>
                <w:b/>
                <w:sz w:val="20"/>
                <w:szCs w:val="20"/>
              </w:rPr>
            </w:pPr>
            <w:r w:rsidRPr="008A26D2">
              <w:rPr>
                <w:rFonts w:ascii="Arial" w:hAnsi="Arial" w:cs="Arial"/>
                <w:b/>
                <w:sz w:val="20"/>
                <w:szCs w:val="20"/>
              </w:rPr>
              <w:t>(n) en la provisión del servicio</w:t>
            </w:r>
          </w:p>
        </w:tc>
        <w:tc>
          <w:tcPr>
            <w:tcW w:w="2151" w:type="dxa"/>
            <w:tcBorders>
              <w:top w:val="single" w:sz="4" w:space="0" w:color="auto"/>
              <w:left w:val="single" w:sz="4" w:space="0" w:color="auto"/>
              <w:right w:val="single" w:sz="4" w:space="0" w:color="auto"/>
            </w:tcBorders>
            <w:shd w:val="clear" w:color="auto" w:fill="auto"/>
            <w:noWrap/>
            <w:vAlign w:val="center"/>
          </w:tcPr>
          <w:p w14:paraId="4B67000F" w14:textId="4518731D" w:rsidR="004207EF" w:rsidRPr="008A26D2" w:rsidRDefault="004207EF" w:rsidP="00324662">
            <w:pPr>
              <w:tabs>
                <w:tab w:val="left" w:pos="3375"/>
              </w:tabs>
              <w:spacing w:after="0" w:line="240" w:lineRule="auto"/>
              <w:jc w:val="center"/>
              <w:rPr>
                <w:rFonts w:ascii="Arial" w:eastAsia="Arial Narrow" w:hAnsi="Arial" w:cs="Arial"/>
                <w:sz w:val="20"/>
                <w:szCs w:val="20"/>
              </w:rPr>
            </w:pPr>
            <w:r w:rsidRPr="008A26D2">
              <w:rPr>
                <w:rFonts w:ascii="Arial" w:eastAsia="Arial Narrow" w:hAnsi="Arial" w:cs="Arial"/>
                <w:sz w:val="20"/>
                <w:szCs w:val="20"/>
              </w:rPr>
              <w:t>Nacional</w:t>
            </w:r>
          </w:p>
        </w:tc>
        <w:tc>
          <w:tcPr>
            <w:tcW w:w="2151" w:type="dxa"/>
            <w:tcBorders>
              <w:top w:val="single" w:sz="4" w:space="0" w:color="auto"/>
              <w:left w:val="single" w:sz="4" w:space="0" w:color="auto"/>
              <w:right w:val="single" w:sz="4" w:space="0" w:color="auto"/>
            </w:tcBorders>
            <w:shd w:val="clear" w:color="auto" w:fill="auto"/>
            <w:vAlign w:val="center"/>
          </w:tcPr>
          <w:p w14:paraId="497A12C5" w14:textId="5604E6DE" w:rsidR="004207EF" w:rsidRPr="008A26D2" w:rsidRDefault="004207EF" w:rsidP="00324662">
            <w:pPr>
              <w:tabs>
                <w:tab w:val="left" w:pos="3375"/>
              </w:tabs>
              <w:spacing w:after="0" w:line="240" w:lineRule="auto"/>
              <w:jc w:val="center"/>
              <w:rPr>
                <w:rFonts w:ascii="Arial" w:eastAsia="Arial Narrow" w:hAnsi="Arial" w:cs="Arial"/>
                <w:sz w:val="20"/>
                <w:szCs w:val="20"/>
              </w:rPr>
            </w:pPr>
            <w:r w:rsidRPr="008A26D2">
              <w:rPr>
                <w:rFonts w:ascii="Arial" w:eastAsia="Arial Narrow" w:hAnsi="Arial" w:cs="Arial"/>
                <w:sz w:val="20"/>
                <w:szCs w:val="20"/>
              </w:rPr>
              <w:t>Regional</w:t>
            </w:r>
          </w:p>
        </w:tc>
        <w:tc>
          <w:tcPr>
            <w:tcW w:w="2152" w:type="dxa"/>
            <w:tcBorders>
              <w:top w:val="single" w:sz="4" w:space="0" w:color="auto"/>
              <w:left w:val="single" w:sz="4" w:space="0" w:color="auto"/>
              <w:right w:val="single" w:sz="4" w:space="0" w:color="auto"/>
            </w:tcBorders>
            <w:shd w:val="clear" w:color="auto" w:fill="auto"/>
            <w:vAlign w:val="center"/>
          </w:tcPr>
          <w:p w14:paraId="5E7F2AFB" w14:textId="1519A97E" w:rsidR="004207EF" w:rsidRPr="00846D49" w:rsidRDefault="004207EF" w:rsidP="00324662">
            <w:pPr>
              <w:tabs>
                <w:tab w:val="left" w:pos="3375"/>
              </w:tabs>
              <w:spacing w:after="0" w:line="240" w:lineRule="auto"/>
              <w:jc w:val="center"/>
              <w:rPr>
                <w:rFonts w:ascii="Arial" w:eastAsia="Arial Narrow" w:hAnsi="Arial" w:cs="Arial"/>
                <w:sz w:val="20"/>
                <w:szCs w:val="20"/>
              </w:rPr>
            </w:pPr>
            <w:r w:rsidRPr="00846D49">
              <w:rPr>
                <w:rFonts w:ascii="Arial" w:eastAsia="Arial Narrow" w:hAnsi="Arial" w:cs="Arial"/>
                <w:sz w:val="20"/>
                <w:szCs w:val="20"/>
              </w:rPr>
              <w:t>Local</w:t>
            </w:r>
          </w:p>
        </w:tc>
      </w:tr>
      <w:tr w:rsidR="008A26D2" w:rsidRPr="008A26D2" w14:paraId="0540218A" w14:textId="77777777" w:rsidTr="00C77B1E">
        <w:trPr>
          <w:trHeight w:val="457"/>
          <w:jc w:val="center"/>
        </w:trPr>
        <w:tc>
          <w:tcPr>
            <w:tcW w:w="2547" w:type="dxa"/>
            <w:vMerge/>
            <w:tcBorders>
              <w:left w:val="single" w:sz="4" w:space="0" w:color="auto"/>
              <w:right w:val="single" w:sz="4" w:space="0" w:color="auto"/>
            </w:tcBorders>
            <w:shd w:val="clear" w:color="auto" w:fill="auto"/>
            <w:vAlign w:val="center"/>
          </w:tcPr>
          <w:p w14:paraId="66557208" w14:textId="77777777" w:rsidR="004207EF" w:rsidRPr="008A26D2" w:rsidRDefault="004207EF" w:rsidP="004207EF">
            <w:pPr>
              <w:spacing w:after="0" w:line="240" w:lineRule="auto"/>
              <w:rPr>
                <w:rFonts w:ascii="Arial" w:hAnsi="Arial" w:cs="Arial"/>
                <w:b/>
                <w:sz w:val="20"/>
                <w:szCs w:val="20"/>
              </w:rPr>
            </w:pPr>
          </w:p>
        </w:tc>
        <w:tc>
          <w:tcPr>
            <w:tcW w:w="2151" w:type="dxa"/>
            <w:tcBorders>
              <w:top w:val="single" w:sz="4" w:space="0" w:color="auto"/>
              <w:left w:val="single" w:sz="4" w:space="0" w:color="auto"/>
              <w:right w:val="single" w:sz="4" w:space="0" w:color="auto"/>
            </w:tcBorders>
            <w:shd w:val="clear" w:color="auto" w:fill="auto"/>
            <w:noWrap/>
          </w:tcPr>
          <w:p w14:paraId="3653DF03" w14:textId="310D4051" w:rsidR="004207EF" w:rsidRPr="008A26D2" w:rsidRDefault="00A32B05" w:rsidP="00324662">
            <w:pPr>
              <w:tabs>
                <w:tab w:val="left" w:pos="3375"/>
              </w:tabs>
              <w:spacing w:after="0" w:line="240" w:lineRule="auto"/>
              <w:jc w:val="center"/>
              <w:rPr>
                <w:rFonts w:ascii="Arial" w:eastAsia="Arial Narrow" w:hAnsi="Arial" w:cs="Arial"/>
                <w:sz w:val="20"/>
                <w:szCs w:val="20"/>
              </w:rPr>
            </w:pPr>
            <w:r w:rsidRPr="008A26D2">
              <w:rPr>
                <w:rFonts w:ascii="Arial" w:eastAsia="Arial Narrow" w:hAnsi="Arial" w:cs="Arial"/>
                <w:sz w:val="20"/>
                <w:szCs w:val="20"/>
              </w:rPr>
              <w:t>X</w:t>
            </w:r>
          </w:p>
        </w:tc>
        <w:tc>
          <w:tcPr>
            <w:tcW w:w="2151" w:type="dxa"/>
            <w:tcBorders>
              <w:top w:val="single" w:sz="4" w:space="0" w:color="auto"/>
              <w:left w:val="single" w:sz="4" w:space="0" w:color="auto"/>
              <w:right w:val="single" w:sz="4" w:space="0" w:color="auto"/>
            </w:tcBorders>
            <w:shd w:val="clear" w:color="auto" w:fill="auto"/>
          </w:tcPr>
          <w:p w14:paraId="4A9F589F" w14:textId="77777777" w:rsidR="004207EF" w:rsidRPr="008A26D2" w:rsidRDefault="004207EF" w:rsidP="00324662">
            <w:pPr>
              <w:tabs>
                <w:tab w:val="left" w:pos="3375"/>
              </w:tabs>
              <w:spacing w:after="0" w:line="240" w:lineRule="auto"/>
              <w:jc w:val="center"/>
              <w:rPr>
                <w:rFonts w:ascii="Arial" w:eastAsia="Arial Narrow" w:hAnsi="Arial" w:cs="Arial"/>
                <w:sz w:val="20"/>
                <w:szCs w:val="20"/>
              </w:rPr>
            </w:pPr>
          </w:p>
        </w:tc>
        <w:tc>
          <w:tcPr>
            <w:tcW w:w="2152" w:type="dxa"/>
            <w:tcBorders>
              <w:top w:val="single" w:sz="4" w:space="0" w:color="auto"/>
              <w:left w:val="single" w:sz="4" w:space="0" w:color="auto"/>
              <w:right w:val="single" w:sz="4" w:space="0" w:color="auto"/>
            </w:tcBorders>
            <w:shd w:val="clear" w:color="auto" w:fill="auto"/>
          </w:tcPr>
          <w:p w14:paraId="7704911E" w14:textId="7ECDC036" w:rsidR="004207EF" w:rsidRPr="008A26D2" w:rsidRDefault="004207EF" w:rsidP="00324662">
            <w:pPr>
              <w:tabs>
                <w:tab w:val="left" w:pos="3375"/>
              </w:tabs>
              <w:spacing w:after="0" w:line="240" w:lineRule="auto"/>
              <w:jc w:val="center"/>
              <w:rPr>
                <w:rFonts w:ascii="Arial" w:eastAsia="Arial Narrow" w:hAnsi="Arial" w:cs="Arial"/>
                <w:sz w:val="20"/>
                <w:szCs w:val="20"/>
              </w:rPr>
            </w:pPr>
          </w:p>
        </w:tc>
      </w:tr>
      <w:tr w:rsidR="008A26D2" w:rsidRPr="008A26D2" w14:paraId="6E25C5B8" w14:textId="77777777" w:rsidTr="0054612C">
        <w:trPr>
          <w:trHeight w:val="453"/>
          <w:jc w:val="center"/>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tcPr>
          <w:p w14:paraId="1C562828" w14:textId="77777777" w:rsidR="004207EF" w:rsidRPr="008A26D2" w:rsidRDefault="004207EF" w:rsidP="004207EF">
            <w:pPr>
              <w:tabs>
                <w:tab w:val="left" w:pos="3375"/>
              </w:tabs>
              <w:spacing w:after="0" w:line="240" w:lineRule="auto"/>
              <w:jc w:val="both"/>
              <w:rPr>
                <w:rFonts w:ascii="Arial" w:eastAsia="Arial Narrow" w:hAnsi="Arial" w:cs="Arial"/>
                <w:b/>
                <w:sz w:val="20"/>
                <w:szCs w:val="20"/>
              </w:rPr>
            </w:pPr>
            <w:r w:rsidRPr="008A26D2">
              <w:rPr>
                <w:rFonts w:ascii="Arial" w:eastAsia="Arial Narrow" w:hAnsi="Arial" w:cs="Arial"/>
                <w:b/>
                <w:sz w:val="20"/>
                <w:szCs w:val="20"/>
              </w:rPr>
              <w:t>Receptor del servicio:</w:t>
            </w:r>
          </w:p>
        </w:tc>
        <w:tc>
          <w:tcPr>
            <w:tcW w:w="6454" w:type="dxa"/>
            <w:gridSpan w:val="3"/>
            <w:tcBorders>
              <w:top w:val="single" w:sz="4" w:space="0" w:color="auto"/>
              <w:left w:val="single" w:sz="4" w:space="0" w:color="auto"/>
              <w:bottom w:val="single" w:sz="4" w:space="0" w:color="auto"/>
              <w:right w:val="single" w:sz="4" w:space="0" w:color="auto"/>
            </w:tcBorders>
            <w:shd w:val="clear" w:color="auto" w:fill="auto"/>
            <w:noWrap/>
          </w:tcPr>
          <w:p w14:paraId="304F52BC" w14:textId="77777777" w:rsidR="004207EF" w:rsidRPr="008A26D2" w:rsidRDefault="004207EF" w:rsidP="004207EF">
            <w:pPr>
              <w:tabs>
                <w:tab w:val="left" w:pos="3375"/>
              </w:tabs>
              <w:spacing w:after="0" w:line="240" w:lineRule="auto"/>
              <w:jc w:val="both"/>
              <w:rPr>
                <w:rFonts w:ascii="Arial" w:eastAsia="Arial Narrow" w:hAnsi="Arial" w:cs="Arial"/>
                <w:sz w:val="20"/>
                <w:szCs w:val="20"/>
              </w:rPr>
            </w:pPr>
            <w:r w:rsidRPr="008A26D2">
              <w:rPr>
                <w:rFonts w:ascii="Arial" w:eastAsia="Arial Narrow" w:hAnsi="Arial" w:cs="Arial"/>
                <w:sz w:val="20"/>
                <w:szCs w:val="20"/>
              </w:rPr>
              <w:t>Comunidades nativas y comunidades campesinas</w:t>
            </w:r>
          </w:p>
        </w:tc>
      </w:tr>
      <w:tr w:rsidR="008A26D2" w:rsidRPr="008A26D2" w14:paraId="6DF1F7F8" w14:textId="77777777" w:rsidTr="0054612C">
        <w:trPr>
          <w:trHeight w:val="532"/>
          <w:jc w:val="center"/>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tcPr>
          <w:p w14:paraId="3A1F125D" w14:textId="77777777" w:rsidR="004207EF" w:rsidRPr="008A26D2" w:rsidRDefault="004207EF" w:rsidP="004207EF">
            <w:pPr>
              <w:tabs>
                <w:tab w:val="left" w:pos="3375"/>
              </w:tabs>
              <w:spacing w:after="0" w:line="240" w:lineRule="auto"/>
              <w:jc w:val="both"/>
              <w:rPr>
                <w:rFonts w:ascii="Arial" w:eastAsia="Arial Narrow" w:hAnsi="Arial" w:cs="Arial"/>
                <w:b/>
                <w:sz w:val="20"/>
                <w:szCs w:val="20"/>
              </w:rPr>
            </w:pPr>
            <w:r w:rsidRPr="008A26D2">
              <w:rPr>
                <w:rFonts w:ascii="Arial" w:eastAsia="Arial Narrow" w:hAnsi="Arial" w:cs="Arial"/>
                <w:b/>
                <w:sz w:val="20"/>
                <w:szCs w:val="20"/>
              </w:rPr>
              <w:t>Alcance del servicio:</w:t>
            </w:r>
          </w:p>
        </w:tc>
        <w:tc>
          <w:tcPr>
            <w:tcW w:w="6454" w:type="dxa"/>
            <w:gridSpan w:val="3"/>
            <w:tcBorders>
              <w:top w:val="single" w:sz="4" w:space="0" w:color="auto"/>
              <w:left w:val="single" w:sz="4" w:space="0" w:color="auto"/>
              <w:bottom w:val="single" w:sz="4" w:space="0" w:color="auto"/>
              <w:right w:val="single" w:sz="4" w:space="0" w:color="auto"/>
            </w:tcBorders>
            <w:shd w:val="clear" w:color="auto" w:fill="auto"/>
          </w:tcPr>
          <w:p w14:paraId="551050A0" w14:textId="77777777" w:rsidR="004207EF" w:rsidRPr="008A26D2" w:rsidRDefault="004207EF" w:rsidP="004207EF">
            <w:pPr>
              <w:tabs>
                <w:tab w:val="left" w:pos="3375"/>
              </w:tabs>
              <w:spacing w:after="0" w:line="240" w:lineRule="auto"/>
              <w:jc w:val="both"/>
              <w:rPr>
                <w:rFonts w:ascii="Arial" w:eastAsia="Arial Narrow" w:hAnsi="Arial" w:cs="Arial"/>
                <w:sz w:val="20"/>
                <w:szCs w:val="20"/>
              </w:rPr>
            </w:pPr>
            <w:r w:rsidRPr="008A26D2">
              <w:rPr>
                <w:rFonts w:ascii="Arial" w:eastAsia="Arial Narrow" w:hAnsi="Arial" w:cs="Arial"/>
                <w:sz w:val="20"/>
                <w:szCs w:val="20"/>
              </w:rPr>
              <w:t>Nacional</w:t>
            </w:r>
          </w:p>
        </w:tc>
      </w:tr>
      <w:tr w:rsidR="008A26D2" w:rsidRPr="008A26D2" w14:paraId="5F2F2D82" w14:textId="77777777" w:rsidTr="0054612C">
        <w:trPr>
          <w:trHeight w:val="532"/>
          <w:jc w:val="center"/>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tcPr>
          <w:p w14:paraId="76C2C9DF" w14:textId="77777777" w:rsidR="004207EF" w:rsidRPr="008A26D2" w:rsidRDefault="004207EF" w:rsidP="004207EF">
            <w:pPr>
              <w:tabs>
                <w:tab w:val="left" w:pos="3375"/>
              </w:tabs>
              <w:spacing w:after="0" w:line="240" w:lineRule="auto"/>
              <w:jc w:val="both"/>
              <w:rPr>
                <w:rFonts w:ascii="Arial" w:eastAsia="Arial Narrow" w:hAnsi="Arial" w:cs="Arial"/>
                <w:b/>
                <w:sz w:val="20"/>
                <w:szCs w:val="20"/>
              </w:rPr>
            </w:pPr>
            <w:r w:rsidRPr="008A26D2">
              <w:rPr>
                <w:rFonts w:ascii="Arial" w:eastAsia="Arial Narrow" w:hAnsi="Arial" w:cs="Arial"/>
                <w:b/>
                <w:sz w:val="20"/>
                <w:szCs w:val="20"/>
              </w:rPr>
              <w:t>Estándares de cumplimiento:</w:t>
            </w:r>
          </w:p>
        </w:tc>
        <w:tc>
          <w:tcPr>
            <w:tcW w:w="6454" w:type="dxa"/>
            <w:gridSpan w:val="3"/>
            <w:tcBorders>
              <w:top w:val="single" w:sz="4" w:space="0" w:color="auto"/>
              <w:left w:val="single" w:sz="4" w:space="0" w:color="auto"/>
              <w:bottom w:val="single" w:sz="4" w:space="0" w:color="auto"/>
              <w:right w:val="single" w:sz="4" w:space="0" w:color="auto"/>
            </w:tcBorders>
            <w:shd w:val="clear" w:color="auto" w:fill="auto"/>
          </w:tcPr>
          <w:p w14:paraId="29C755B1" w14:textId="77777777" w:rsidR="004207EF" w:rsidRPr="008A26D2" w:rsidRDefault="004207EF" w:rsidP="004207EF">
            <w:pPr>
              <w:tabs>
                <w:tab w:val="left" w:pos="3375"/>
              </w:tabs>
              <w:spacing w:after="0" w:line="240" w:lineRule="auto"/>
              <w:jc w:val="both"/>
              <w:rPr>
                <w:rFonts w:ascii="Arial" w:eastAsia="Arial Narrow" w:hAnsi="Arial" w:cs="Arial"/>
                <w:sz w:val="20"/>
                <w:szCs w:val="20"/>
              </w:rPr>
            </w:pPr>
            <w:r w:rsidRPr="008A26D2">
              <w:rPr>
                <w:rFonts w:ascii="Arial" w:eastAsia="Arial Narrow" w:hAnsi="Arial" w:cs="Arial"/>
                <w:sz w:val="20"/>
                <w:szCs w:val="20"/>
              </w:rPr>
              <w:t>Pertinencia cultural</w:t>
            </w:r>
          </w:p>
        </w:tc>
      </w:tr>
      <w:tr w:rsidR="008A26D2" w:rsidRPr="008A26D2" w14:paraId="1D8F8C2E" w14:textId="77777777" w:rsidTr="0054612C">
        <w:trPr>
          <w:trHeight w:val="628"/>
          <w:jc w:val="center"/>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tcPr>
          <w:p w14:paraId="2FF1B5A2" w14:textId="77777777" w:rsidR="004207EF" w:rsidRPr="008A26D2" w:rsidRDefault="004207EF" w:rsidP="004207EF">
            <w:pPr>
              <w:tabs>
                <w:tab w:val="left" w:pos="3375"/>
              </w:tabs>
              <w:spacing w:after="0" w:line="240" w:lineRule="auto"/>
              <w:jc w:val="both"/>
              <w:rPr>
                <w:rFonts w:ascii="Arial" w:eastAsia="Arial Narrow" w:hAnsi="Arial" w:cs="Arial"/>
                <w:b/>
                <w:sz w:val="20"/>
                <w:szCs w:val="20"/>
              </w:rPr>
            </w:pPr>
            <w:r w:rsidRPr="008A26D2">
              <w:rPr>
                <w:rFonts w:ascii="Arial" w:eastAsia="Arial Narrow" w:hAnsi="Arial" w:cs="Arial"/>
                <w:b/>
                <w:sz w:val="20"/>
                <w:szCs w:val="20"/>
              </w:rPr>
              <w:t>Descripción del estándar:</w:t>
            </w:r>
          </w:p>
        </w:tc>
        <w:tc>
          <w:tcPr>
            <w:tcW w:w="6454" w:type="dxa"/>
            <w:gridSpan w:val="3"/>
            <w:tcBorders>
              <w:top w:val="single" w:sz="4" w:space="0" w:color="auto"/>
              <w:left w:val="single" w:sz="4" w:space="0" w:color="auto"/>
              <w:bottom w:val="single" w:sz="4" w:space="0" w:color="auto"/>
              <w:right w:val="single" w:sz="4" w:space="0" w:color="auto"/>
            </w:tcBorders>
            <w:shd w:val="clear" w:color="auto" w:fill="auto"/>
          </w:tcPr>
          <w:p w14:paraId="66D1E6C9" w14:textId="77777777" w:rsidR="004207EF" w:rsidRPr="008A26D2" w:rsidRDefault="004207EF" w:rsidP="004207EF">
            <w:pPr>
              <w:pStyle w:val="pf0"/>
              <w:tabs>
                <w:tab w:val="left" w:pos="3375"/>
              </w:tabs>
              <w:spacing w:before="0" w:beforeAutospacing="0" w:after="0" w:afterAutospacing="0"/>
              <w:jc w:val="both"/>
              <w:rPr>
                <w:rFonts w:ascii="Arial" w:eastAsia="Arial Narrow" w:hAnsi="Arial" w:cs="Arial"/>
                <w:sz w:val="20"/>
                <w:szCs w:val="20"/>
              </w:rPr>
            </w:pPr>
            <w:r w:rsidRPr="008A26D2">
              <w:rPr>
                <w:rFonts w:ascii="Arial" w:eastAsia="Arial Narrow" w:hAnsi="Arial" w:cs="Arial"/>
                <w:sz w:val="20"/>
                <w:szCs w:val="20"/>
              </w:rPr>
              <w:t>El estándar asegura que la entrega del servicio se realizara respetando las prácticas culturales, asimismo, el fortalecimiento de capacidades se brinda considerando las lenguas originarias. Siendo estos criterios los elementos centrales del proceso de fortalecimiento capacidades para lograr los objetivos e impacto necesarios y esperados en las comunidades nativas y comunidades campesinas.</w:t>
            </w:r>
          </w:p>
        </w:tc>
      </w:tr>
      <w:tr w:rsidR="004207EF" w:rsidRPr="008A26D2" w14:paraId="6CD4FC4B" w14:textId="77777777" w:rsidTr="0054612C">
        <w:trPr>
          <w:trHeight w:val="567"/>
          <w:jc w:val="center"/>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tcPr>
          <w:p w14:paraId="27018E6A" w14:textId="1611E5B8" w:rsidR="004207EF" w:rsidRPr="008A26D2" w:rsidRDefault="004207EF" w:rsidP="004207EF">
            <w:pPr>
              <w:tabs>
                <w:tab w:val="left" w:pos="3375"/>
              </w:tabs>
              <w:spacing w:after="0" w:line="240" w:lineRule="auto"/>
              <w:jc w:val="both"/>
              <w:rPr>
                <w:rFonts w:ascii="Arial" w:eastAsia="Arial Narrow" w:hAnsi="Arial" w:cs="Arial"/>
                <w:b/>
                <w:sz w:val="20"/>
                <w:szCs w:val="20"/>
              </w:rPr>
            </w:pPr>
            <w:r w:rsidRPr="008A26D2">
              <w:rPr>
                <w:rFonts w:ascii="Arial" w:eastAsia="Arial Narrow" w:hAnsi="Arial" w:cs="Arial"/>
                <w:b/>
                <w:sz w:val="20"/>
                <w:szCs w:val="20"/>
              </w:rPr>
              <w:t>Indicador de calidad</w:t>
            </w:r>
          </w:p>
        </w:tc>
        <w:tc>
          <w:tcPr>
            <w:tcW w:w="645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1C139D9" w14:textId="77777777" w:rsidR="004207EF" w:rsidRPr="008A26D2" w:rsidRDefault="004207EF" w:rsidP="004207EF">
            <w:pPr>
              <w:tabs>
                <w:tab w:val="left" w:pos="3375"/>
              </w:tabs>
              <w:spacing w:after="0" w:line="240" w:lineRule="auto"/>
              <w:jc w:val="both"/>
              <w:rPr>
                <w:rFonts w:ascii="Arial" w:eastAsia="Arial Narrow" w:hAnsi="Arial" w:cs="Arial"/>
                <w:sz w:val="20"/>
                <w:szCs w:val="20"/>
              </w:rPr>
            </w:pPr>
            <w:r w:rsidRPr="008A26D2">
              <w:rPr>
                <w:rFonts w:ascii="Arial" w:eastAsia="Arial Narrow" w:hAnsi="Arial" w:cs="Arial"/>
                <w:sz w:val="20"/>
                <w:szCs w:val="20"/>
              </w:rPr>
              <w:t>Porcentaje de comunidades nativas y comunidades campesinas que recibieron fortalecimiento de capacidades en manejo forestal comunitario con pertinencia cultural</w:t>
            </w:r>
          </w:p>
        </w:tc>
      </w:tr>
    </w:tbl>
    <w:p w14:paraId="7711959C" w14:textId="77777777" w:rsidR="0054612C" w:rsidRPr="008A26D2" w:rsidRDefault="0054612C">
      <w:pPr>
        <w:rPr>
          <w:rFonts w:ascii="Arial Narrow" w:eastAsia="Arial Narrow" w:hAnsi="Arial Narrow" w:cs="Arial Narrow"/>
          <w:b/>
        </w:rPr>
      </w:pPr>
    </w:p>
    <w:p w14:paraId="31B2256C" w14:textId="77777777" w:rsidR="00E457BC" w:rsidRPr="008A26D2" w:rsidRDefault="00E457BC">
      <w:pPr>
        <w:rPr>
          <w:rFonts w:ascii="Arial Narrow" w:eastAsia="Arial Narrow" w:hAnsi="Arial Narrow" w:cs="Arial Narrow"/>
          <w:b/>
        </w:rPr>
      </w:pPr>
      <w:bookmarkStart w:id="10" w:name="_Hlk136270896"/>
    </w:p>
    <w:p w14:paraId="70504F1D" w14:textId="630E3098" w:rsidR="00E457BC" w:rsidRPr="008A26D2" w:rsidRDefault="00E457BC" w:rsidP="00E457BC">
      <w:pPr>
        <w:jc w:val="both"/>
        <w:rPr>
          <w:rFonts w:ascii="Arial" w:eastAsia="Arial Narrow" w:hAnsi="Arial" w:cs="Arial"/>
          <w:b/>
        </w:rPr>
      </w:pPr>
      <w:r w:rsidRPr="008A26D2">
        <w:rPr>
          <w:rFonts w:ascii="Arial" w:eastAsia="Arial Narrow" w:hAnsi="Arial" w:cs="Arial"/>
          <w:b/>
          <w:bCs/>
        </w:rPr>
        <w:lastRenderedPageBreak/>
        <w:t>S3.2.2</w:t>
      </w:r>
      <w:r w:rsidRPr="008A26D2">
        <w:rPr>
          <w:rFonts w:ascii="Arial" w:eastAsia="Arial Narrow" w:hAnsi="Arial" w:cs="Arial"/>
        </w:rPr>
        <w:t xml:space="preserve"> </w:t>
      </w:r>
      <w:r w:rsidR="00324662" w:rsidRPr="00324662">
        <w:rPr>
          <w:rFonts w:ascii="Arial" w:eastAsia="Arial Narrow" w:hAnsi="Arial" w:cs="Arial"/>
        </w:rPr>
        <w:t>Otorgamiento de incentivos para la conservación de los ecosistemas de forma fiable dirigido a comunidades campesinas y nativas tituladas, pequeños productores y otros usuarios del bosque</w:t>
      </w:r>
    </w:p>
    <w:tbl>
      <w:tblPr>
        <w:tblW w:w="8789" w:type="dxa"/>
        <w:jc w:val="center"/>
        <w:tblLayout w:type="fixed"/>
        <w:tblLook w:val="0600" w:firstRow="0" w:lastRow="0" w:firstColumn="0" w:lastColumn="0" w:noHBand="1" w:noVBand="1"/>
      </w:tblPr>
      <w:tblGrid>
        <w:gridCol w:w="2658"/>
        <w:gridCol w:w="2043"/>
        <w:gridCol w:w="2044"/>
        <w:gridCol w:w="2044"/>
      </w:tblGrid>
      <w:tr w:rsidR="008A26D2" w:rsidRPr="008A26D2" w14:paraId="3BB5921B" w14:textId="77777777" w:rsidTr="00385338">
        <w:trPr>
          <w:trHeight w:val="300"/>
          <w:jc w:val="center"/>
        </w:trPr>
        <w:tc>
          <w:tcPr>
            <w:tcW w:w="8789"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center"/>
          </w:tcPr>
          <w:p w14:paraId="276729A6" w14:textId="37583B73" w:rsidR="00E457BC" w:rsidRPr="008A26D2" w:rsidRDefault="00E457BC" w:rsidP="0072651A">
            <w:pPr>
              <w:tabs>
                <w:tab w:val="left" w:pos="3375"/>
              </w:tabs>
              <w:jc w:val="center"/>
              <w:rPr>
                <w:rFonts w:ascii="Arial" w:hAnsi="Arial" w:cs="Arial"/>
                <w:sz w:val="20"/>
                <w:szCs w:val="20"/>
              </w:rPr>
            </w:pPr>
            <w:r w:rsidRPr="008A26D2">
              <w:rPr>
                <w:rFonts w:ascii="Arial" w:hAnsi="Arial" w:cs="Arial"/>
                <w:b/>
                <w:sz w:val="20"/>
                <w:szCs w:val="20"/>
              </w:rPr>
              <w:t xml:space="preserve">FICHA DEL SERVICIO </w:t>
            </w:r>
          </w:p>
        </w:tc>
      </w:tr>
      <w:tr w:rsidR="008A26D2" w:rsidRPr="008A26D2" w14:paraId="0EAEBC0B" w14:textId="77777777" w:rsidTr="00385338">
        <w:trPr>
          <w:trHeight w:val="300"/>
          <w:jc w:val="center"/>
        </w:trPr>
        <w:tc>
          <w:tcPr>
            <w:tcW w:w="26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FB2F69E" w14:textId="77777777" w:rsidR="00E457BC" w:rsidRPr="008A26D2" w:rsidRDefault="00E457BC" w:rsidP="0072651A">
            <w:pPr>
              <w:tabs>
                <w:tab w:val="left" w:pos="3375"/>
              </w:tabs>
              <w:rPr>
                <w:rFonts w:ascii="Arial" w:hAnsi="Arial" w:cs="Arial"/>
                <w:b/>
                <w:sz w:val="20"/>
                <w:szCs w:val="20"/>
              </w:rPr>
            </w:pPr>
            <w:r w:rsidRPr="008A26D2">
              <w:rPr>
                <w:rFonts w:ascii="Arial" w:hAnsi="Arial" w:cs="Arial"/>
                <w:b/>
                <w:sz w:val="20"/>
                <w:szCs w:val="20"/>
              </w:rPr>
              <w:t xml:space="preserve"> Objetivo prioritario:</w:t>
            </w:r>
          </w:p>
        </w:tc>
        <w:tc>
          <w:tcPr>
            <w:tcW w:w="613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FABD8F3" w14:textId="77777777" w:rsidR="00E457BC" w:rsidRPr="008A26D2" w:rsidRDefault="00E457BC" w:rsidP="0072651A">
            <w:pPr>
              <w:tabs>
                <w:tab w:val="left" w:pos="3375"/>
              </w:tabs>
              <w:ind w:left="128"/>
              <w:rPr>
                <w:rFonts w:ascii="Arial" w:hAnsi="Arial" w:cs="Arial"/>
                <w:sz w:val="20"/>
                <w:szCs w:val="20"/>
              </w:rPr>
            </w:pPr>
            <w:r w:rsidRPr="008A26D2">
              <w:rPr>
                <w:rFonts w:ascii="Arial" w:eastAsia="Arial Narrow" w:hAnsi="Arial" w:cs="Arial"/>
                <w:sz w:val="20"/>
                <w:szCs w:val="20"/>
              </w:rPr>
              <w:t>OP3 Fortalecer la gobernanza forestal y de fauna silvestre</w:t>
            </w:r>
          </w:p>
        </w:tc>
      </w:tr>
      <w:tr w:rsidR="008A26D2" w:rsidRPr="008A26D2" w14:paraId="13FC07FC" w14:textId="77777777" w:rsidTr="00385338">
        <w:trPr>
          <w:trHeight w:val="300"/>
          <w:jc w:val="center"/>
        </w:trPr>
        <w:tc>
          <w:tcPr>
            <w:tcW w:w="26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070BCB3" w14:textId="77777777" w:rsidR="00E457BC" w:rsidRPr="008A26D2" w:rsidRDefault="00E457BC" w:rsidP="0072651A">
            <w:pPr>
              <w:tabs>
                <w:tab w:val="left" w:pos="3375"/>
              </w:tabs>
              <w:rPr>
                <w:rFonts w:ascii="Arial" w:hAnsi="Arial" w:cs="Arial"/>
                <w:b/>
                <w:sz w:val="20"/>
                <w:szCs w:val="20"/>
              </w:rPr>
            </w:pPr>
            <w:r w:rsidRPr="008A26D2">
              <w:rPr>
                <w:rFonts w:ascii="Arial" w:hAnsi="Arial" w:cs="Arial"/>
                <w:b/>
                <w:sz w:val="20"/>
                <w:szCs w:val="20"/>
              </w:rPr>
              <w:t xml:space="preserve"> Lineamiento:</w:t>
            </w:r>
          </w:p>
        </w:tc>
        <w:tc>
          <w:tcPr>
            <w:tcW w:w="613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003FC89" w14:textId="77777777" w:rsidR="00E457BC" w:rsidRPr="008A26D2" w:rsidRDefault="00E457BC" w:rsidP="0072651A">
            <w:pPr>
              <w:tabs>
                <w:tab w:val="left" w:pos="3375"/>
              </w:tabs>
              <w:ind w:left="128"/>
              <w:rPr>
                <w:rFonts w:ascii="Arial" w:hAnsi="Arial" w:cs="Arial"/>
                <w:sz w:val="20"/>
                <w:szCs w:val="20"/>
              </w:rPr>
            </w:pPr>
            <w:r w:rsidRPr="008A26D2">
              <w:rPr>
                <w:rFonts w:ascii="Arial" w:eastAsia="Arial Narrow" w:hAnsi="Arial" w:cs="Arial"/>
                <w:sz w:val="20"/>
                <w:szCs w:val="20"/>
              </w:rPr>
              <w:t>L 3.2 Desarrollar programas orientados a la mejora de la gestión y aprovechamiento sostenible de los recursos forestales y de fauna silvestre en pueblos indígenas u originarios (comunidades campesinas, comunidades nativas, entre otros)</w:t>
            </w:r>
          </w:p>
        </w:tc>
      </w:tr>
      <w:tr w:rsidR="008A26D2" w:rsidRPr="008A26D2" w14:paraId="3C3D0705" w14:textId="77777777" w:rsidTr="00385338">
        <w:trPr>
          <w:trHeight w:val="300"/>
          <w:jc w:val="center"/>
        </w:trPr>
        <w:tc>
          <w:tcPr>
            <w:tcW w:w="26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6CB1DD2" w14:textId="77777777" w:rsidR="00E457BC" w:rsidRPr="008A26D2" w:rsidRDefault="00E457BC" w:rsidP="0072651A">
            <w:pPr>
              <w:tabs>
                <w:tab w:val="left" w:pos="3375"/>
              </w:tabs>
              <w:rPr>
                <w:rFonts w:ascii="Arial" w:hAnsi="Arial" w:cs="Arial"/>
                <w:b/>
                <w:sz w:val="20"/>
                <w:szCs w:val="20"/>
              </w:rPr>
            </w:pPr>
            <w:r w:rsidRPr="008A26D2">
              <w:rPr>
                <w:rFonts w:ascii="Arial" w:hAnsi="Arial" w:cs="Arial"/>
                <w:b/>
                <w:sz w:val="20"/>
                <w:szCs w:val="20"/>
              </w:rPr>
              <w:t xml:space="preserve"> Nombre del servicio:</w:t>
            </w:r>
          </w:p>
        </w:tc>
        <w:tc>
          <w:tcPr>
            <w:tcW w:w="613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943E1DE" w14:textId="12A85716" w:rsidR="00E457BC" w:rsidRPr="008A26D2" w:rsidRDefault="00E457BC" w:rsidP="0072651A">
            <w:pPr>
              <w:tabs>
                <w:tab w:val="left" w:pos="3375"/>
              </w:tabs>
              <w:ind w:left="128"/>
              <w:rPr>
                <w:rFonts w:ascii="Arial" w:hAnsi="Arial" w:cs="Arial"/>
                <w:sz w:val="20"/>
                <w:szCs w:val="20"/>
              </w:rPr>
            </w:pPr>
            <w:r w:rsidRPr="008A26D2">
              <w:rPr>
                <w:rFonts w:ascii="Arial" w:eastAsia="Arial Narrow" w:hAnsi="Arial" w:cs="Arial"/>
                <w:sz w:val="20"/>
                <w:szCs w:val="20"/>
              </w:rPr>
              <w:t xml:space="preserve">S3.2.2 Otorgamiento de incentivos para la conservación de los ecosistemas de forma fiable </w:t>
            </w:r>
            <w:r w:rsidR="00B6766E" w:rsidRPr="008A26D2">
              <w:rPr>
                <w:rFonts w:ascii="Arial" w:eastAsia="Arial Narrow" w:hAnsi="Arial" w:cs="Arial"/>
                <w:sz w:val="20"/>
                <w:szCs w:val="20"/>
              </w:rPr>
              <w:t xml:space="preserve">dirigido </w:t>
            </w:r>
            <w:r w:rsidRPr="008A26D2">
              <w:rPr>
                <w:rFonts w:ascii="Arial" w:eastAsia="Arial Narrow" w:hAnsi="Arial" w:cs="Arial"/>
                <w:sz w:val="20"/>
                <w:szCs w:val="20"/>
              </w:rPr>
              <w:t>a comunidades campesinas y nativas tituladas, pequeños productores y otros usuarios del bosque</w:t>
            </w:r>
          </w:p>
        </w:tc>
      </w:tr>
      <w:tr w:rsidR="008A26D2" w:rsidRPr="008A26D2" w14:paraId="4F1032D9" w14:textId="77777777" w:rsidTr="00385338">
        <w:trPr>
          <w:trHeight w:val="300"/>
          <w:jc w:val="center"/>
        </w:trPr>
        <w:tc>
          <w:tcPr>
            <w:tcW w:w="26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C4330F2" w14:textId="77777777" w:rsidR="00E457BC" w:rsidRPr="008A26D2" w:rsidRDefault="00E457BC" w:rsidP="0072651A">
            <w:pPr>
              <w:tabs>
                <w:tab w:val="left" w:pos="3375"/>
              </w:tabs>
              <w:rPr>
                <w:rFonts w:ascii="Arial" w:hAnsi="Arial" w:cs="Arial"/>
                <w:b/>
                <w:sz w:val="20"/>
                <w:szCs w:val="20"/>
              </w:rPr>
            </w:pPr>
            <w:r w:rsidRPr="008A26D2">
              <w:rPr>
                <w:rFonts w:ascii="Arial" w:hAnsi="Arial" w:cs="Arial"/>
                <w:b/>
                <w:sz w:val="20"/>
                <w:szCs w:val="20"/>
              </w:rPr>
              <w:t>Tipo de servicio:</w:t>
            </w:r>
          </w:p>
        </w:tc>
        <w:tc>
          <w:tcPr>
            <w:tcW w:w="613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8B97D7F" w14:textId="77777777" w:rsidR="00E457BC" w:rsidRPr="008A26D2" w:rsidRDefault="00E457BC" w:rsidP="0072651A">
            <w:pPr>
              <w:spacing w:after="0" w:line="240" w:lineRule="auto"/>
              <w:ind w:left="128"/>
              <w:jc w:val="both"/>
              <w:rPr>
                <w:rFonts w:ascii="Arial" w:eastAsia="Arial Narrow" w:hAnsi="Arial" w:cs="Arial"/>
                <w:sz w:val="20"/>
                <w:szCs w:val="20"/>
              </w:rPr>
            </w:pPr>
            <w:r w:rsidRPr="008A26D2">
              <w:rPr>
                <w:rFonts w:ascii="Arial" w:eastAsia="Arial Narrow" w:hAnsi="Arial" w:cs="Arial"/>
                <w:sz w:val="20"/>
                <w:szCs w:val="20"/>
              </w:rPr>
              <w:t>Mejorado</w:t>
            </w:r>
          </w:p>
        </w:tc>
      </w:tr>
      <w:tr w:rsidR="008A26D2" w:rsidRPr="008A26D2" w14:paraId="5642C37C" w14:textId="77777777" w:rsidTr="00385338">
        <w:trPr>
          <w:trHeight w:val="300"/>
          <w:jc w:val="center"/>
        </w:trPr>
        <w:tc>
          <w:tcPr>
            <w:tcW w:w="26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AD448AC" w14:textId="7AF1AD29" w:rsidR="00232D77" w:rsidRPr="008A26D2" w:rsidRDefault="00232D77" w:rsidP="00232D77">
            <w:pPr>
              <w:tabs>
                <w:tab w:val="left" w:pos="3375"/>
              </w:tabs>
              <w:rPr>
                <w:rFonts w:ascii="Arial" w:hAnsi="Arial" w:cs="Arial"/>
                <w:b/>
                <w:sz w:val="20"/>
                <w:szCs w:val="20"/>
              </w:rPr>
            </w:pPr>
            <w:r w:rsidRPr="008A26D2">
              <w:rPr>
                <w:rFonts w:ascii="Arial" w:hAnsi="Arial" w:cs="Arial"/>
                <w:b/>
                <w:sz w:val="20"/>
                <w:szCs w:val="20"/>
              </w:rPr>
              <w:t>Naturaleza del servicio:</w:t>
            </w:r>
          </w:p>
        </w:tc>
        <w:tc>
          <w:tcPr>
            <w:tcW w:w="613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CF4CBFE" w14:textId="5816094E" w:rsidR="00232D77" w:rsidRPr="008A26D2" w:rsidRDefault="00A32B05" w:rsidP="00232D77">
            <w:pPr>
              <w:spacing w:after="0" w:line="240" w:lineRule="auto"/>
              <w:ind w:left="128"/>
              <w:jc w:val="both"/>
              <w:rPr>
                <w:rFonts w:ascii="Arial" w:eastAsia="Arial Narrow" w:hAnsi="Arial" w:cs="Arial"/>
                <w:sz w:val="20"/>
                <w:szCs w:val="20"/>
              </w:rPr>
            </w:pPr>
            <w:r w:rsidRPr="008A26D2">
              <w:rPr>
                <w:rFonts w:ascii="Arial" w:eastAsia="Arial Narrow" w:hAnsi="Arial" w:cs="Arial"/>
                <w:sz w:val="20"/>
                <w:szCs w:val="20"/>
              </w:rPr>
              <w:t>P</w:t>
            </w:r>
            <w:r w:rsidR="00232D77" w:rsidRPr="008A26D2">
              <w:rPr>
                <w:rFonts w:ascii="Arial" w:eastAsia="Arial Narrow" w:hAnsi="Arial" w:cs="Arial"/>
                <w:sz w:val="20"/>
                <w:szCs w:val="20"/>
              </w:rPr>
              <w:t>restacional</w:t>
            </w:r>
          </w:p>
        </w:tc>
      </w:tr>
      <w:tr w:rsidR="008A26D2" w:rsidRPr="008A26D2" w14:paraId="2AF3E823" w14:textId="77777777" w:rsidTr="00385338">
        <w:trPr>
          <w:trHeight w:val="300"/>
          <w:jc w:val="center"/>
        </w:trPr>
        <w:tc>
          <w:tcPr>
            <w:tcW w:w="26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F97CCAC" w14:textId="4F282066" w:rsidR="00232D77" w:rsidRPr="008A26D2" w:rsidRDefault="00232D77" w:rsidP="00232D77">
            <w:pPr>
              <w:tabs>
                <w:tab w:val="left" w:pos="3375"/>
              </w:tabs>
              <w:rPr>
                <w:rFonts w:ascii="Arial" w:hAnsi="Arial" w:cs="Arial"/>
                <w:b/>
                <w:sz w:val="20"/>
                <w:szCs w:val="20"/>
              </w:rPr>
            </w:pPr>
            <w:r w:rsidRPr="008A26D2">
              <w:rPr>
                <w:rFonts w:ascii="Arial" w:hAnsi="Arial" w:cs="Arial"/>
                <w:b/>
                <w:sz w:val="20"/>
                <w:szCs w:val="20"/>
              </w:rPr>
              <w:t>Entrega del servicio</w:t>
            </w:r>
          </w:p>
        </w:tc>
        <w:tc>
          <w:tcPr>
            <w:tcW w:w="613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D93D233" w14:textId="0AEB6941" w:rsidR="00232D77" w:rsidRPr="008A26D2" w:rsidRDefault="00232D77" w:rsidP="00232D77">
            <w:pPr>
              <w:spacing w:after="0" w:line="240" w:lineRule="auto"/>
              <w:ind w:left="128"/>
              <w:jc w:val="both"/>
              <w:rPr>
                <w:rFonts w:ascii="Arial" w:eastAsia="Arial Narrow" w:hAnsi="Arial" w:cs="Arial"/>
                <w:sz w:val="20"/>
                <w:szCs w:val="20"/>
              </w:rPr>
            </w:pPr>
            <w:r w:rsidRPr="008A26D2">
              <w:rPr>
                <w:rFonts w:ascii="Arial" w:eastAsia="Arial Narrow" w:hAnsi="Arial" w:cs="Arial"/>
                <w:sz w:val="20"/>
                <w:szCs w:val="20"/>
              </w:rPr>
              <w:t xml:space="preserve">Competencia exclusiva </w:t>
            </w:r>
          </w:p>
        </w:tc>
      </w:tr>
      <w:tr w:rsidR="008A26D2" w:rsidRPr="008A26D2" w14:paraId="0001E6E8" w14:textId="77777777" w:rsidTr="00385338">
        <w:trPr>
          <w:trHeight w:val="300"/>
          <w:jc w:val="center"/>
        </w:trPr>
        <w:tc>
          <w:tcPr>
            <w:tcW w:w="26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B7B9423" w14:textId="77777777" w:rsidR="00232D77" w:rsidRPr="008A26D2" w:rsidRDefault="00232D77" w:rsidP="00232D77">
            <w:pPr>
              <w:tabs>
                <w:tab w:val="left" w:pos="3375"/>
              </w:tabs>
              <w:rPr>
                <w:rFonts w:ascii="Arial" w:hAnsi="Arial" w:cs="Arial"/>
                <w:b/>
                <w:sz w:val="20"/>
                <w:szCs w:val="20"/>
              </w:rPr>
            </w:pPr>
            <w:r w:rsidRPr="008A26D2">
              <w:rPr>
                <w:rFonts w:ascii="Arial" w:hAnsi="Arial" w:cs="Arial"/>
                <w:b/>
                <w:sz w:val="20"/>
                <w:szCs w:val="20"/>
              </w:rPr>
              <w:t xml:space="preserve"> Descripción del servicio</w:t>
            </w:r>
          </w:p>
        </w:tc>
        <w:tc>
          <w:tcPr>
            <w:tcW w:w="613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EEECC5F" w14:textId="77777777" w:rsidR="00232D77" w:rsidRPr="008A26D2" w:rsidRDefault="00232D77" w:rsidP="00232D77">
            <w:pPr>
              <w:spacing w:after="0" w:line="240" w:lineRule="auto"/>
              <w:ind w:left="128" w:right="126"/>
              <w:jc w:val="both"/>
              <w:rPr>
                <w:rFonts w:ascii="Arial" w:eastAsia="Times New Roman" w:hAnsi="Arial" w:cs="Arial"/>
                <w:sz w:val="20"/>
                <w:szCs w:val="20"/>
              </w:rPr>
            </w:pPr>
            <w:r w:rsidRPr="008A26D2">
              <w:rPr>
                <w:rFonts w:ascii="Arial" w:eastAsia="Times New Roman" w:hAnsi="Arial" w:cs="Arial"/>
                <w:sz w:val="20"/>
                <w:szCs w:val="20"/>
              </w:rPr>
              <w:t>El servicio consiste en la implementación de mecanismos de incentivos para la conservación de bosques como son las transferencias directas condicionadas para financiar Planes de Gestión de Incentivos, planes de negocios, entre otros; que tienen como objetivo compromisos de conservación de bosques a cambio de recibir los recursos que deben ser destinados al desarrollo de actividades productivas sostenibles que contribuyan a la puesta en valor de los bosques o reduzcan la presión sobre los mismos.</w:t>
            </w:r>
          </w:p>
          <w:p w14:paraId="7A232130" w14:textId="77777777" w:rsidR="00232D77" w:rsidRPr="008A26D2" w:rsidRDefault="00232D77" w:rsidP="00232D77">
            <w:pPr>
              <w:spacing w:after="0" w:line="240" w:lineRule="auto"/>
              <w:ind w:left="128" w:right="126"/>
              <w:jc w:val="both"/>
              <w:rPr>
                <w:rFonts w:ascii="Arial" w:eastAsia="Times New Roman" w:hAnsi="Arial" w:cs="Arial"/>
                <w:sz w:val="20"/>
                <w:szCs w:val="20"/>
              </w:rPr>
            </w:pPr>
          </w:p>
          <w:p w14:paraId="30BD35FC" w14:textId="77777777" w:rsidR="00232D77" w:rsidRPr="008A26D2" w:rsidRDefault="00232D77" w:rsidP="00232D77">
            <w:pPr>
              <w:tabs>
                <w:tab w:val="left" w:pos="3375"/>
              </w:tabs>
              <w:spacing w:after="0" w:line="240" w:lineRule="auto"/>
              <w:ind w:left="128" w:right="126"/>
              <w:jc w:val="both"/>
              <w:rPr>
                <w:rFonts w:ascii="Arial" w:eastAsia="Times New Roman" w:hAnsi="Arial" w:cs="Arial"/>
                <w:sz w:val="20"/>
                <w:szCs w:val="20"/>
              </w:rPr>
            </w:pPr>
            <w:r w:rsidRPr="008A26D2">
              <w:rPr>
                <w:rFonts w:ascii="Arial" w:eastAsia="Times New Roman" w:hAnsi="Arial" w:cs="Arial"/>
                <w:sz w:val="20"/>
                <w:szCs w:val="20"/>
              </w:rPr>
              <w:t>Para ello, se genera la suscripción de acuerdos de conservación con comunidades nativas tituladas, comunidades campesinas tituladas, pequeños productores y otros usuarios del bosque donde se establecen compromisos para la conservación de bosques.</w:t>
            </w:r>
          </w:p>
          <w:p w14:paraId="65CCCEA6" w14:textId="77777777" w:rsidR="00232D77" w:rsidRPr="008A26D2" w:rsidRDefault="00232D77" w:rsidP="00232D77">
            <w:pPr>
              <w:tabs>
                <w:tab w:val="left" w:pos="3375"/>
              </w:tabs>
              <w:spacing w:after="0" w:line="240" w:lineRule="auto"/>
              <w:ind w:left="128" w:right="126"/>
              <w:jc w:val="both"/>
              <w:rPr>
                <w:rFonts w:ascii="Arial" w:eastAsia="Times New Roman" w:hAnsi="Arial" w:cs="Arial"/>
                <w:sz w:val="20"/>
                <w:szCs w:val="20"/>
              </w:rPr>
            </w:pPr>
          </w:p>
          <w:p w14:paraId="7D20A8CB" w14:textId="6E90AD7E" w:rsidR="00232D77" w:rsidRPr="008A26D2" w:rsidRDefault="00232D77" w:rsidP="00232D77">
            <w:pPr>
              <w:tabs>
                <w:tab w:val="left" w:pos="3375"/>
              </w:tabs>
              <w:spacing w:after="0" w:line="240" w:lineRule="auto"/>
              <w:ind w:left="128" w:right="126"/>
              <w:jc w:val="both"/>
              <w:rPr>
                <w:rFonts w:ascii="Arial" w:eastAsia="Times New Roman" w:hAnsi="Arial" w:cs="Arial"/>
                <w:sz w:val="20"/>
                <w:szCs w:val="20"/>
              </w:rPr>
            </w:pPr>
            <w:r w:rsidRPr="008A26D2">
              <w:rPr>
                <w:rFonts w:ascii="Arial" w:eastAsia="Times New Roman" w:hAnsi="Arial" w:cs="Arial"/>
                <w:sz w:val="20"/>
                <w:szCs w:val="20"/>
              </w:rPr>
              <w:t xml:space="preserve">Actualmente, el </w:t>
            </w:r>
            <w:r w:rsidRPr="008A26D2">
              <w:rPr>
                <w:rFonts w:ascii="Arial" w:hAnsi="Arial" w:cs="Arial"/>
                <w:sz w:val="20"/>
                <w:szCs w:val="20"/>
              </w:rPr>
              <w:t>Programa Nacional de Conservación de Bosques para la Mitigación del Cambio Climático</w:t>
            </w:r>
            <w:r w:rsidRPr="008A26D2">
              <w:rPr>
                <w:rFonts w:ascii="Arial" w:eastAsia="Times New Roman" w:hAnsi="Arial" w:cs="Arial"/>
                <w:sz w:val="20"/>
                <w:szCs w:val="20"/>
              </w:rPr>
              <w:t xml:space="preserve"> (PNCBMCC) implementa las transferencias directas condicionadas que consisten en el otorgamiento de incentivos económicos a comunidades nativas y campesinas tituladas a razón de</w:t>
            </w:r>
            <w:r w:rsidR="00C50917" w:rsidRPr="008A26D2">
              <w:rPr>
                <w:rFonts w:ascii="Arial" w:eastAsia="Times New Roman" w:hAnsi="Arial" w:cs="Arial"/>
                <w:sz w:val="20"/>
                <w:szCs w:val="20"/>
              </w:rPr>
              <w:t xml:space="preserve"> hasta</w:t>
            </w:r>
            <w:r w:rsidRPr="008A26D2">
              <w:rPr>
                <w:rFonts w:ascii="Arial" w:eastAsia="Times New Roman" w:hAnsi="Arial" w:cs="Arial"/>
                <w:sz w:val="20"/>
                <w:szCs w:val="20"/>
              </w:rPr>
              <w:t xml:space="preserve"> S/. 10.00 (diez soles) por hectáreas conservada</w:t>
            </w:r>
            <w:r w:rsidR="00C50917" w:rsidRPr="008A26D2">
              <w:rPr>
                <w:rFonts w:ascii="Arial" w:eastAsia="Times New Roman" w:hAnsi="Arial" w:cs="Arial"/>
                <w:sz w:val="20"/>
                <w:szCs w:val="20"/>
              </w:rPr>
              <w:t xml:space="preserve"> por año convenio</w:t>
            </w:r>
            <w:r w:rsidRPr="008A26D2">
              <w:rPr>
                <w:rFonts w:ascii="Arial" w:eastAsia="Times New Roman" w:hAnsi="Arial" w:cs="Arial"/>
                <w:sz w:val="20"/>
                <w:szCs w:val="20"/>
              </w:rPr>
              <w:t xml:space="preserve">, que se encuentra condicionada a la conservación de los bosques y el uso de los recursos transferidos en las actividades acordadas por parte del PNCBMCC se realiza el seguimiento y verificación del cumplimiento de los acuerdos para la entrega del incentivo; en base a la </w:t>
            </w:r>
            <w:r w:rsidR="00C50917" w:rsidRPr="008A26D2">
              <w:rPr>
                <w:rFonts w:ascii="Arial" w:eastAsia="Times New Roman" w:hAnsi="Arial" w:cs="Arial"/>
                <w:sz w:val="20"/>
                <w:szCs w:val="20"/>
              </w:rPr>
              <w:t xml:space="preserve">Directiva </w:t>
            </w:r>
            <w:r w:rsidRPr="008A26D2">
              <w:rPr>
                <w:rFonts w:ascii="Arial" w:eastAsia="Times New Roman" w:hAnsi="Arial" w:cs="Arial"/>
                <w:sz w:val="20"/>
                <w:szCs w:val="20"/>
              </w:rPr>
              <w:t>N° 002-2020-MINAM/VMDERN/PNCB y sus actualizaciones respectivas.</w:t>
            </w:r>
          </w:p>
          <w:p w14:paraId="68F86290" w14:textId="77777777" w:rsidR="00232D77" w:rsidRPr="008A26D2" w:rsidRDefault="00232D77" w:rsidP="00232D77">
            <w:pPr>
              <w:tabs>
                <w:tab w:val="left" w:pos="3375"/>
              </w:tabs>
              <w:spacing w:after="0" w:line="240" w:lineRule="auto"/>
              <w:ind w:left="128" w:right="126"/>
              <w:rPr>
                <w:rFonts w:ascii="Arial" w:eastAsia="Times New Roman" w:hAnsi="Arial" w:cs="Arial"/>
                <w:sz w:val="20"/>
                <w:szCs w:val="20"/>
              </w:rPr>
            </w:pPr>
          </w:p>
          <w:p w14:paraId="1BEA2108" w14:textId="01174D56" w:rsidR="00232D77" w:rsidRPr="008A26D2" w:rsidRDefault="00232D77" w:rsidP="00232D77">
            <w:pPr>
              <w:tabs>
                <w:tab w:val="left" w:pos="3375"/>
              </w:tabs>
              <w:spacing w:after="0" w:line="240" w:lineRule="auto"/>
              <w:ind w:left="128" w:right="126"/>
              <w:jc w:val="both"/>
              <w:rPr>
                <w:rFonts w:ascii="Arial" w:hAnsi="Arial" w:cs="Arial"/>
                <w:sz w:val="20"/>
                <w:szCs w:val="20"/>
              </w:rPr>
            </w:pPr>
            <w:r w:rsidRPr="008A26D2">
              <w:rPr>
                <w:rFonts w:ascii="Arial" w:eastAsia="Times New Roman" w:hAnsi="Arial" w:cs="Arial"/>
                <w:sz w:val="20"/>
                <w:szCs w:val="20"/>
              </w:rPr>
              <w:t>El servicio es mejorado porque durante los años de implementación de las transferencias directas condicionadas se han ido mejorando diversos aspectos relacionados a los compromisos de conservación de bosques,</w:t>
            </w:r>
            <w:r w:rsidR="00357DAA" w:rsidRPr="008A26D2">
              <w:rPr>
                <w:rFonts w:ascii="Arial" w:eastAsia="Times New Roman" w:hAnsi="Arial" w:cs="Arial"/>
                <w:sz w:val="20"/>
                <w:szCs w:val="20"/>
              </w:rPr>
              <w:t xml:space="preserve"> en</w:t>
            </w:r>
            <w:r w:rsidRPr="008A26D2">
              <w:rPr>
                <w:rFonts w:ascii="Arial" w:eastAsia="Times New Roman" w:hAnsi="Arial" w:cs="Arial"/>
                <w:sz w:val="20"/>
                <w:szCs w:val="20"/>
              </w:rPr>
              <w:t xml:space="preserve"> los primeros años estos no eran por la totalidad del bosque; posteriormente a fin de lograr un impacto efectivo en la conservación del bosque; </w:t>
            </w:r>
            <w:r w:rsidR="00357DAA" w:rsidRPr="008A26D2">
              <w:rPr>
                <w:rFonts w:ascii="Arial" w:eastAsia="Times New Roman" w:hAnsi="Arial" w:cs="Arial"/>
                <w:sz w:val="20"/>
                <w:szCs w:val="20"/>
              </w:rPr>
              <w:t xml:space="preserve">se estableció que </w:t>
            </w:r>
            <w:r w:rsidRPr="008A26D2">
              <w:rPr>
                <w:rFonts w:ascii="Arial" w:eastAsia="Times New Roman" w:hAnsi="Arial" w:cs="Arial"/>
                <w:sz w:val="20"/>
                <w:szCs w:val="20"/>
              </w:rPr>
              <w:t xml:space="preserve">los compromisos de conservación se realizan sobre toda la superficie de bosque que presenta la comunidad y con </w:t>
            </w:r>
            <w:r w:rsidRPr="008A26D2">
              <w:rPr>
                <w:rFonts w:ascii="Arial" w:eastAsia="Times New Roman" w:hAnsi="Arial" w:cs="Arial"/>
                <w:sz w:val="20"/>
                <w:szCs w:val="20"/>
              </w:rPr>
              <w:lastRenderedPageBreak/>
              <w:t xml:space="preserve">compromisos anuales de reducción de deforestación. Así mismo, se fueron mejorando los procesos de entrega de incentivos, inicialmente estos se hacían en una sola armada posteriormente se mejoró el proceso para un mejor seguimiento en la implementación y estos se entregan en </w:t>
            </w:r>
            <w:r w:rsidR="00357DAA" w:rsidRPr="008A26D2">
              <w:rPr>
                <w:rFonts w:ascii="Arial" w:eastAsia="Times New Roman" w:hAnsi="Arial" w:cs="Arial"/>
                <w:sz w:val="20"/>
                <w:szCs w:val="20"/>
              </w:rPr>
              <w:t xml:space="preserve">una, </w:t>
            </w:r>
            <w:r w:rsidRPr="008A26D2">
              <w:rPr>
                <w:rFonts w:ascii="Arial" w:eastAsia="Times New Roman" w:hAnsi="Arial" w:cs="Arial"/>
                <w:sz w:val="20"/>
                <w:szCs w:val="20"/>
              </w:rPr>
              <w:t>dos</w:t>
            </w:r>
            <w:r w:rsidR="00357DAA" w:rsidRPr="008A26D2">
              <w:rPr>
                <w:rFonts w:ascii="Arial" w:eastAsia="Times New Roman" w:hAnsi="Arial" w:cs="Arial"/>
                <w:sz w:val="20"/>
                <w:szCs w:val="20"/>
              </w:rPr>
              <w:t xml:space="preserve"> o más</w:t>
            </w:r>
            <w:r w:rsidRPr="008A26D2">
              <w:rPr>
                <w:rFonts w:ascii="Arial" w:eastAsia="Times New Roman" w:hAnsi="Arial" w:cs="Arial"/>
                <w:sz w:val="20"/>
                <w:szCs w:val="20"/>
              </w:rPr>
              <w:t xml:space="preserve"> armadas durante el año convenio</w:t>
            </w:r>
            <w:r w:rsidR="00357DAA" w:rsidRPr="008A26D2">
              <w:rPr>
                <w:rFonts w:ascii="Arial" w:eastAsia="Times New Roman" w:hAnsi="Arial" w:cs="Arial"/>
                <w:sz w:val="20"/>
                <w:szCs w:val="20"/>
              </w:rPr>
              <w:t>, de acuerdo a los criterios técnicos establecidos</w:t>
            </w:r>
            <w:r w:rsidRPr="008A26D2">
              <w:rPr>
                <w:rFonts w:ascii="Arial" w:eastAsia="Times New Roman" w:hAnsi="Arial" w:cs="Arial"/>
                <w:sz w:val="20"/>
                <w:szCs w:val="20"/>
              </w:rPr>
              <w:t>.</w:t>
            </w:r>
          </w:p>
        </w:tc>
      </w:tr>
      <w:tr w:rsidR="008A26D2" w:rsidRPr="008A26D2" w14:paraId="6CA403E7" w14:textId="77777777" w:rsidTr="00385338">
        <w:trPr>
          <w:trHeight w:val="300"/>
          <w:jc w:val="center"/>
        </w:trPr>
        <w:tc>
          <w:tcPr>
            <w:tcW w:w="26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4041231" w14:textId="77777777" w:rsidR="00232D77" w:rsidRPr="008A26D2" w:rsidRDefault="00232D77" w:rsidP="00232D77">
            <w:pPr>
              <w:tabs>
                <w:tab w:val="left" w:pos="3375"/>
              </w:tabs>
              <w:rPr>
                <w:rFonts w:ascii="Arial" w:hAnsi="Arial" w:cs="Arial"/>
                <w:b/>
                <w:sz w:val="20"/>
                <w:szCs w:val="20"/>
              </w:rPr>
            </w:pPr>
            <w:r w:rsidRPr="008A26D2">
              <w:rPr>
                <w:rFonts w:ascii="Arial" w:hAnsi="Arial" w:cs="Arial"/>
                <w:b/>
                <w:sz w:val="20"/>
                <w:szCs w:val="20"/>
              </w:rPr>
              <w:lastRenderedPageBreak/>
              <w:t xml:space="preserve"> Proveedor del servicio</w:t>
            </w:r>
          </w:p>
        </w:tc>
        <w:tc>
          <w:tcPr>
            <w:tcW w:w="613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B3ADFAF" w14:textId="77777777" w:rsidR="00232D77" w:rsidRPr="008A26D2" w:rsidRDefault="00232D77" w:rsidP="00232D77">
            <w:pPr>
              <w:tabs>
                <w:tab w:val="left" w:pos="3375"/>
              </w:tabs>
              <w:ind w:left="128"/>
              <w:rPr>
                <w:rFonts w:ascii="Arial" w:hAnsi="Arial" w:cs="Arial"/>
                <w:sz w:val="20"/>
                <w:szCs w:val="20"/>
              </w:rPr>
            </w:pPr>
            <w:r w:rsidRPr="008A26D2">
              <w:rPr>
                <w:rFonts w:ascii="Arial" w:hAnsi="Arial" w:cs="Arial"/>
                <w:sz w:val="20"/>
                <w:szCs w:val="20"/>
              </w:rPr>
              <w:t>Programa Nacional de Conservación de Bosques para la Mitigación del Cambio Climático</w:t>
            </w:r>
            <w:r w:rsidRPr="008A26D2">
              <w:rPr>
                <w:rFonts w:ascii="Arial" w:eastAsia="Arial Narrow" w:hAnsi="Arial" w:cs="Arial"/>
                <w:sz w:val="20"/>
                <w:szCs w:val="20"/>
              </w:rPr>
              <w:t xml:space="preserve"> del Ministerio del Ambiente – MINAM</w:t>
            </w:r>
          </w:p>
        </w:tc>
      </w:tr>
      <w:tr w:rsidR="008A26D2" w:rsidRPr="008A26D2" w14:paraId="05CDDFD7" w14:textId="77777777" w:rsidTr="000C09A5">
        <w:trPr>
          <w:trHeight w:val="555"/>
          <w:jc w:val="center"/>
        </w:trPr>
        <w:tc>
          <w:tcPr>
            <w:tcW w:w="2658" w:type="dxa"/>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5C694413" w14:textId="77777777" w:rsidR="00232D77" w:rsidRPr="008A26D2" w:rsidRDefault="00232D77" w:rsidP="002469C9">
            <w:pPr>
              <w:spacing w:after="0" w:line="240" w:lineRule="auto"/>
              <w:rPr>
                <w:rFonts w:ascii="Arial" w:hAnsi="Arial" w:cs="Arial"/>
                <w:b/>
                <w:sz w:val="20"/>
                <w:szCs w:val="20"/>
              </w:rPr>
            </w:pPr>
            <w:r w:rsidRPr="008A26D2">
              <w:rPr>
                <w:rFonts w:ascii="Arial" w:hAnsi="Arial" w:cs="Arial"/>
                <w:b/>
                <w:sz w:val="20"/>
                <w:szCs w:val="20"/>
              </w:rPr>
              <w:t>Nivel (es) de gobierno que interviene</w:t>
            </w:r>
          </w:p>
          <w:p w14:paraId="5D161932" w14:textId="4D6576B3" w:rsidR="00232D77" w:rsidRPr="008A26D2" w:rsidRDefault="00232D77" w:rsidP="00232D77">
            <w:pPr>
              <w:tabs>
                <w:tab w:val="left" w:pos="3375"/>
              </w:tabs>
              <w:rPr>
                <w:rFonts w:ascii="Arial" w:hAnsi="Arial" w:cs="Arial"/>
                <w:b/>
                <w:sz w:val="20"/>
                <w:szCs w:val="20"/>
              </w:rPr>
            </w:pPr>
            <w:r w:rsidRPr="008A26D2">
              <w:rPr>
                <w:rFonts w:ascii="Arial" w:hAnsi="Arial" w:cs="Arial"/>
                <w:b/>
                <w:sz w:val="20"/>
                <w:szCs w:val="20"/>
              </w:rPr>
              <w:t>(n) en la provisión del servicio</w:t>
            </w:r>
          </w:p>
        </w:tc>
        <w:tc>
          <w:tcPr>
            <w:tcW w:w="2043"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592C8B1B" w14:textId="32E4B9E9" w:rsidR="00232D77" w:rsidRPr="008A26D2" w:rsidRDefault="00232D77" w:rsidP="00324662">
            <w:pPr>
              <w:tabs>
                <w:tab w:val="left" w:pos="3375"/>
              </w:tabs>
              <w:ind w:left="128"/>
              <w:jc w:val="center"/>
              <w:rPr>
                <w:rFonts w:ascii="Arial" w:hAnsi="Arial" w:cs="Arial"/>
                <w:sz w:val="20"/>
                <w:szCs w:val="20"/>
              </w:rPr>
            </w:pPr>
            <w:r w:rsidRPr="008A26D2">
              <w:rPr>
                <w:rFonts w:ascii="Arial" w:eastAsia="Arial Narrow" w:hAnsi="Arial" w:cs="Arial"/>
                <w:sz w:val="20"/>
                <w:szCs w:val="20"/>
              </w:rPr>
              <w:t>Nacional</w:t>
            </w:r>
          </w:p>
        </w:tc>
        <w:tc>
          <w:tcPr>
            <w:tcW w:w="2044" w:type="dxa"/>
            <w:tcBorders>
              <w:top w:val="single" w:sz="4" w:space="0" w:color="000000"/>
              <w:left w:val="single" w:sz="4" w:space="0" w:color="000000"/>
              <w:right w:val="single" w:sz="4" w:space="0" w:color="000000"/>
            </w:tcBorders>
            <w:shd w:val="clear" w:color="auto" w:fill="auto"/>
            <w:vAlign w:val="center"/>
          </w:tcPr>
          <w:p w14:paraId="1CE169AC" w14:textId="0BBCE34F" w:rsidR="00232D77" w:rsidRPr="008A26D2" w:rsidRDefault="00232D77" w:rsidP="00324662">
            <w:pPr>
              <w:tabs>
                <w:tab w:val="left" w:pos="3375"/>
              </w:tabs>
              <w:ind w:left="128"/>
              <w:jc w:val="center"/>
              <w:rPr>
                <w:rFonts w:ascii="Arial" w:hAnsi="Arial" w:cs="Arial"/>
                <w:sz w:val="20"/>
                <w:szCs w:val="20"/>
              </w:rPr>
            </w:pPr>
            <w:r w:rsidRPr="008A26D2">
              <w:rPr>
                <w:rFonts w:ascii="Arial" w:eastAsia="Arial Narrow" w:hAnsi="Arial" w:cs="Arial"/>
                <w:sz w:val="20"/>
                <w:szCs w:val="20"/>
              </w:rPr>
              <w:t>Regional</w:t>
            </w:r>
          </w:p>
        </w:tc>
        <w:tc>
          <w:tcPr>
            <w:tcW w:w="2044" w:type="dxa"/>
            <w:tcBorders>
              <w:top w:val="single" w:sz="4" w:space="0" w:color="000000"/>
              <w:left w:val="single" w:sz="4" w:space="0" w:color="000000"/>
              <w:right w:val="single" w:sz="4" w:space="0" w:color="000000"/>
            </w:tcBorders>
            <w:shd w:val="clear" w:color="auto" w:fill="auto"/>
            <w:vAlign w:val="center"/>
          </w:tcPr>
          <w:p w14:paraId="33D176F8" w14:textId="686901FF" w:rsidR="00232D77" w:rsidRPr="008A26D2" w:rsidRDefault="00232D77" w:rsidP="00324662">
            <w:pPr>
              <w:tabs>
                <w:tab w:val="left" w:pos="3375"/>
              </w:tabs>
              <w:ind w:left="128"/>
              <w:jc w:val="center"/>
              <w:rPr>
                <w:rFonts w:ascii="Arial" w:hAnsi="Arial" w:cs="Arial"/>
                <w:sz w:val="20"/>
                <w:szCs w:val="20"/>
              </w:rPr>
            </w:pPr>
            <w:r w:rsidRPr="008A26D2">
              <w:rPr>
                <w:rFonts w:ascii="Arial" w:eastAsia="Arial Narrow" w:hAnsi="Arial" w:cs="Arial"/>
                <w:sz w:val="20"/>
                <w:szCs w:val="20"/>
              </w:rPr>
              <w:t>Local</w:t>
            </w:r>
          </w:p>
        </w:tc>
      </w:tr>
      <w:tr w:rsidR="008A26D2" w:rsidRPr="008A26D2" w14:paraId="218427C0" w14:textId="77777777" w:rsidTr="000C09A5">
        <w:trPr>
          <w:trHeight w:val="555"/>
          <w:jc w:val="center"/>
        </w:trPr>
        <w:tc>
          <w:tcPr>
            <w:tcW w:w="2658" w:type="dxa"/>
            <w:vMerge/>
            <w:tcBorders>
              <w:left w:val="single" w:sz="4" w:space="0" w:color="000000"/>
              <w:right w:val="single" w:sz="4" w:space="0" w:color="000000"/>
            </w:tcBorders>
            <w:shd w:val="clear" w:color="auto" w:fill="auto"/>
            <w:tcMar>
              <w:top w:w="15" w:type="dxa"/>
              <w:left w:w="15" w:type="dxa"/>
              <w:bottom w:w="0" w:type="dxa"/>
              <w:right w:w="15" w:type="dxa"/>
            </w:tcMar>
            <w:vAlign w:val="center"/>
          </w:tcPr>
          <w:p w14:paraId="26F3DA44" w14:textId="77777777" w:rsidR="00232D77" w:rsidRPr="008A26D2" w:rsidRDefault="00232D77" w:rsidP="00232D77">
            <w:pPr>
              <w:spacing w:after="0" w:line="240" w:lineRule="auto"/>
              <w:rPr>
                <w:rFonts w:ascii="Arial" w:hAnsi="Arial" w:cs="Arial"/>
                <w:b/>
                <w:sz w:val="20"/>
                <w:szCs w:val="20"/>
              </w:rPr>
            </w:pPr>
          </w:p>
        </w:tc>
        <w:tc>
          <w:tcPr>
            <w:tcW w:w="2043"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5B452FD1" w14:textId="30A90616" w:rsidR="00232D77" w:rsidRPr="008A26D2" w:rsidRDefault="00A32B05" w:rsidP="00324662">
            <w:pPr>
              <w:tabs>
                <w:tab w:val="left" w:pos="3375"/>
              </w:tabs>
              <w:ind w:left="128"/>
              <w:jc w:val="center"/>
              <w:rPr>
                <w:rFonts w:ascii="Arial" w:hAnsi="Arial" w:cs="Arial"/>
                <w:sz w:val="20"/>
                <w:szCs w:val="20"/>
              </w:rPr>
            </w:pPr>
            <w:r w:rsidRPr="008A26D2">
              <w:rPr>
                <w:rFonts w:ascii="Arial" w:hAnsi="Arial" w:cs="Arial"/>
                <w:sz w:val="20"/>
                <w:szCs w:val="20"/>
              </w:rPr>
              <w:t>X</w:t>
            </w:r>
          </w:p>
        </w:tc>
        <w:tc>
          <w:tcPr>
            <w:tcW w:w="2044" w:type="dxa"/>
            <w:tcBorders>
              <w:top w:val="single" w:sz="4" w:space="0" w:color="000000"/>
              <w:left w:val="single" w:sz="4" w:space="0" w:color="000000"/>
              <w:right w:val="single" w:sz="4" w:space="0" w:color="000000"/>
            </w:tcBorders>
            <w:shd w:val="clear" w:color="auto" w:fill="auto"/>
            <w:vAlign w:val="center"/>
          </w:tcPr>
          <w:p w14:paraId="08483A6C" w14:textId="77777777" w:rsidR="00232D77" w:rsidRPr="008A26D2" w:rsidRDefault="00232D77" w:rsidP="00324662">
            <w:pPr>
              <w:tabs>
                <w:tab w:val="left" w:pos="3375"/>
              </w:tabs>
              <w:ind w:left="128"/>
              <w:jc w:val="center"/>
              <w:rPr>
                <w:rFonts w:ascii="Arial" w:hAnsi="Arial" w:cs="Arial"/>
                <w:sz w:val="20"/>
                <w:szCs w:val="20"/>
              </w:rPr>
            </w:pPr>
          </w:p>
        </w:tc>
        <w:tc>
          <w:tcPr>
            <w:tcW w:w="2044" w:type="dxa"/>
            <w:tcBorders>
              <w:top w:val="single" w:sz="4" w:space="0" w:color="000000"/>
              <w:left w:val="single" w:sz="4" w:space="0" w:color="000000"/>
              <w:right w:val="single" w:sz="4" w:space="0" w:color="000000"/>
            </w:tcBorders>
            <w:shd w:val="clear" w:color="auto" w:fill="auto"/>
            <w:vAlign w:val="center"/>
          </w:tcPr>
          <w:p w14:paraId="74093D5E" w14:textId="383819DE" w:rsidR="00232D77" w:rsidRPr="008A26D2" w:rsidRDefault="00232D77" w:rsidP="00324662">
            <w:pPr>
              <w:tabs>
                <w:tab w:val="left" w:pos="3375"/>
              </w:tabs>
              <w:ind w:left="128"/>
              <w:jc w:val="center"/>
              <w:rPr>
                <w:rFonts w:ascii="Arial" w:hAnsi="Arial" w:cs="Arial"/>
                <w:sz w:val="20"/>
                <w:szCs w:val="20"/>
              </w:rPr>
            </w:pPr>
          </w:p>
        </w:tc>
      </w:tr>
      <w:tr w:rsidR="008A26D2" w:rsidRPr="008A26D2" w14:paraId="69A3F988" w14:textId="77777777" w:rsidTr="00385338">
        <w:trPr>
          <w:trHeight w:val="300"/>
          <w:jc w:val="center"/>
        </w:trPr>
        <w:tc>
          <w:tcPr>
            <w:tcW w:w="26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B36B21F" w14:textId="77777777" w:rsidR="00232D77" w:rsidRPr="008A26D2" w:rsidRDefault="00232D77" w:rsidP="00232D77">
            <w:pPr>
              <w:tabs>
                <w:tab w:val="left" w:pos="3375"/>
              </w:tabs>
              <w:rPr>
                <w:rFonts w:ascii="Arial" w:hAnsi="Arial" w:cs="Arial"/>
                <w:b/>
                <w:sz w:val="20"/>
                <w:szCs w:val="20"/>
              </w:rPr>
            </w:pPr>
            <w:r w:rsidRPr="008A26D2">
              <w:rPr>
                <w:rFonts w:ascii="Arial" w:hAnsi="Arial" w:cs="Arial"/>
                <w:b/>
                <w:sz w:val="20"/>
                <w:szCs w:val="20"/>
              </w:rPr>
              <w:t xml:space="preserve"> Receptor del servicio</w:t>
            </w:r>
          </w:p>
        </w:tc>
        <w:tc>
          <w:tcPr>
            <w:tcW w:w="613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C5C3D2F" w14:textId="77777777" w:rsidR="00232D77" w:rsidRPr="008A26D2" w:rsidRDefault="00232D77" w:rsidP="00232D77">
            <w:pPr>
              <w:tabs>
                <w:tab w:val="left" w:pos="3375"/>
              </w:tabs>
              <w:ind w:left="128"/>
              <w:rPr>
                <w:rFonts w:ascii="Arial" w:hAnsi="Arial" w:cs="Arial"/>
                <w:sz w:val="20"/>
                <w:szCs w:val="20"/>
              </w:rPr>
            </w:pPr>
            <w:r w:rsidRPr="008A26D2">
              <w:rPr>
                <w:rFonts w:ascii="Arial" w:eastAsia="Arial Narrow" w:hAnsi="Arial" w:cs="Arial"/>
                <w:sz w:val="20"/>
                <w:szCs w:val="20"/>
              </w:rPr>
              <w:t>Comunidades nativas y campesinas tituladas, pequeños productores y otros usuarios del bosque</w:t>
            </w:r>
          </w:p>
        </w:tc>
      </w:tr>
      <w:tr w:rsidR="008A26D2" w:rsidRPr="008A26D2" w14:paraId="00091A06" w14:textId="77777777" w:rsidTr="00385338">
        <w:trPr>
          <w:trHeight w:val="211"/>
          <w:jc w:val="center"/>
        </w:trPr>
        <w:tc>
          <w:tcPr>
            <w:tcW w:w="26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2A8BEDB" w14:textId="77777777" w:rsidR="00232D77" w:rsidRPr="008A26D2" w:rsidRDefault="00232D77" w:rsidP="00232D77">
            <w:pPr>
              <w:tabs>
                <w:tab w:val="left" w:pos="3375"/>
              </w:tabs>
              <w:rPr>
                <w:rFonts w:ascii="Arial" w:hAnsi="Arial" w:cs="Arial"/>
                <w:b/>
                <w:sz w:val="20"/>
                <w:szCs w:val="20"/>
              </w:rPr>
            </w:pPr>
            <w:r w:rsidRPr="008A26D2">
              <w:rPr>
                <w:rFonts w:ascii="Arial" w:hAnsi="Arial" w:cs="Arial"/>
                <w:b/>
                <w:sz w:val="20"/>
                <w:szCs w:val="20"/>
              </w:rPr>
              <w:t xml:space="preserve"> Alcance del servicio </w:t>
            </w:r>
          </w:p>
        </w:tc>
        <w:tc>
          <w:tcPr>
            <w:tcW w:w="613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EAEB957" w14:textId="77777777" w:rsidR="00232D77" w:rsidRPr="008A26D2" w:rsidRDefault="00232D77" w:rsidP="00232D77">
            <w:pPr>
              <w:tabs>
                <w:tab w:val="left" w:pos="3375"/>
              </w:tabs>
              <w:ind w:left="128"/>
              <w:rPr>
                <w:rFonts w:ascii="Arial" w:hAnsi="Arial" w:cs="Arial"/>
                <w:sz w:val="20"/>
                <w:szCs w:val="20"/>
              </w:rPr>
            </w:pPr>
            <w:r w:rsidRPr="008A26D2">
              <w:rPr>
                <w:rFonts w:ascii="Arial" w:hAnsi="Arial" w:cs="Arial"/>
                <w:sz w:val="20"/>
                <w:szCs w:val="20"/>
              </w:rPr>
              <w:t>Nacional</w:t>
            </w:r>
          </w:p>
        </w:tc>
      </w:tr>
      <w:tr w:rsidR="008A26D2" w:rsidRPr="008A26D2" w14:paraId="34AC67DF" w14:textId="77777777" w:rsidTr="00385338">
        <w:trPr>
          <w:trHeight w:val="62"/>
          <w:jc w:val="center"/>
        </w:trPr>
        <w:tc>
          <w:tcPr>
            <w:tcW w:w="26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837FC5E" w14:textId="77777777" w:rsidR="00232D77" w:rsidRPr="008A26D2" w:rsidRDefault="00232D77" w:rsidP="00232D77">
            <w:pPr>
              <w:tabs>
                <w:tab w:val="left" w:pos="3375"/>
              </w:tabs>
              <w:rPr>
                <w:rFonts w:ascii="Arial" w:hAnsi="Arial" w:cs="Arial"/>
                <w:b/>
                <w:sz w:val="20"/>
                <w:szCs w:val="20"/>
              </w:rPr>
            </w:pPr>
            <w:r w:rsidRPr="008A26D2">
              <w:rPr>
                <w:rFonts w:ascii="Arial" w:hAnsi="Arial" w:cs="Arial"/>
                <w:b/>
                <w:sz w:val="20"/>
                <w:szCs w:val="20"/>
              </w:rPr>
              <w:t xml:space="preserve"> Estándar (es) de cumplimiento</w:t>
            </w:r>
          </w:p>
        </w:tc>
        <w:tc>
          <w:tcPr>
            <w:tcW w:w="613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16D99817" w14:textId="77777777" w:rsidR="00232D77" w:rsidRPr="008A26D2" w:rsidRDefault="00232D77" w:rsidP="00232D77">
            <w:pPr>
              <w:tabs>
                <w:tab w:val="left" w:pos="3375"/>
              </w:tabs>
              <w:ind w:left="128"/>
              <w:rPr>
                <w:rFonts w:ascii="Arial" w:hAnsi="Arial" w:cs="Arial"/>
                <w:sz w:val="20"/>
                <w:szCs w:val="20"/>
              </w:rPr>
            </w:pPr>
            <w:r w:rsidRPr="008A26D2">
              <w:rPr>
                <w:rFonts w:ascii="Arial" w:eastAsia="Arial Narrow" w:hAnsi="Arial" w:cs="Arial"/>
                <w:sz w:val="20"/>
                <w:szCs w:val="20"/>
              </w:rPr>
              <w:t>Fiabilidad</w:t>
            </w:r>
          </w:p>
        </w:tc>
      </w:tr>
      <w:tr w:rsidR="00846D49" w:rsidRPr="00846D49" w14:paraId="101E580B" w14:textId="77777777" w:rsidTr="00385338">
        <w:trPr>
          <w:trHeight w:val="300"/>
          <w:jc w:val="center"/>
        </w:trPr>
        <w:tc>
          <w:tcPr>
            <w:tcW w:w="26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519B4B8" w14:textId="77777777" w:rsidR="00232D77" w:rsidRPr="00846D49" w:rsidRDefault="00232D77" w:rsidP="00232D77">
            <w:pPr>
              <w:tabs>
                <w:tab w:val="left" w:pos="3375"/>
              </w:tabs>
              <w:rPr>
                <w:rFonts w:ascii="Arial" w:hAnsi="Arial" w:cs="Arial"/>
                <w:b/>
                <w:sz w:val="20"/>
                <w:szCs w:val="20"/>
              </w:rPr>
            </w:pPr>
            <w:r w:rsidRPr="00846D49">
              <w:rPr>
                <w:rFonts w:ascii="Arial" w:hAnsi="Arial" w:cs="Arial"/>
                <w:b/>
                <w:sz w:val="20"/>
                <w:szCs w:val="20"/>
              </w:rPr>
              <w:t xml:space="preserve"> Descripción del estándar</w:t>
            </w:r>
          </w:p>
        </w:tc>
        <w:tc>
          <w:tcPr>
            <w:tcW w:w="613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35" w:type="dxa"/>
              <w:bottom w:w="0" w:type="dxa"/>
              <w:right w:w="15" w:type="dxa"/>
            </w:tcMar>
            <w:vAlign w:val="center"/>
          </w:tcPr>
          <w:p w14:paraId="135A73EF" w14:textId="2269CD11" w:rsidR="00232D77" w:rsidRPr="00846D49" w:rsidRDefault="00232D77" w:rsidP="00324662">
            <w:pPr>
              <w:pBdr>
                <w:top w:val="nil"/>
                <w:left w:val="nil"/>
                <w:bottom w:val="nil"/>
                <w:right w:val="nil"/>
                <w:between w:val="nil"/>
              </w:pBdr>
              <w:spacing w:after="0" w:line="240" w:lineRule="auto"/>
              <w:jc w:val="both"/>
              <w:rPr>
                <w:rFonts w:ascii="Arial" w:hAnsi="Arial" w:cs="Arial"/>
                <w:strike/>
                <w:sz w:val="20"/>
                <w:szCs w:val="20"/>
              </w:rPr>
            </w:pPr>
            <w:r w:rsidRPr="00846D49">
              <w:rPr>
                <w:rFonts w:ascii="Arial" w:eastAsia="Arial Narrow" w:hAnsi="Arial" w:cs="Arial"/>
                <w:sz w:val="20"/>
                <w:szCs w:val="20"/>
              </w:rPr>
              <w:t xml:space="preserve">La fiabilidad está definida por el hecho de que el </w:t>
            </w:r>
            <w:r w:rsidRPr="00846D49">
              <w:rPr>
                <w:rFonts w:ascii="Arial" w:hAnsi="Arial" w:cs="Arial"/>
                <w:sz w:val="20"/>
                <w:szCs w:val="20"/>
              </w:rPr>
              <w:t>Programa Nacional de Conservación de Bosques para la Mitigación del Cambio Climático</w:t>
            </w:r>
            <w:r w:rsidRPr="00846D49">
              <w:rPr>
                <w:rFonts w:ascii="Arial" w:eastAsia="Arial Narrow" w:hAnsi="Arial" w:cs="Arial"/>
                <w:sz w:val="20"/>
                <w:szCs w:val="20"/>
              </w:rPr>
              <w:t xml:space="preserve"> (PNCBMCC) realizará la evaluación de los planes de gestión y/o de negocios, teniendo en cuenta los requisitos previstos en la </w:t>
            </w:r>
            <w:r w:rsidR="00357DAA" w:rsidRPr="00846D49">
              <w:rPr>
                <w:rFonts w:ascii="Arial" w:eastAsia="Times New Roman" w:hAnsi="Arial" w:cs="Arial"/>
                <w:sz w:val="20"/>
                <w:szCs w:val="20"/>
              </w:rPr>
              <w:t xml:space="preserve">Directiva </w:t>
            </w:r>
            <w:r w:rsidRPr="00846D49">
              <w:rPr>
                <w:rFonts w:ascii="Arial" w:eastAsia="Times New Roman" w:hAnsi="Arial" w:cs="Arial"/>
                <w:sz w:val="20"/>
                <w:szCs w:val="20"/>
              </w:rPr>
              <w:t>N° 002-2020-MINAM/VMDERN/PNCB</w:t>
            </w:r>
            <w:r w:rsidRPr="00846D49">
              <w:rPr>
                <w:rFonts w:ascii="Arial" w:eastAsia="Arial Narrow" w:hAnsi="Arial" w:cs="Arial"/>
                <w:sz w:val="20"/>
                <w:szCs w:val="20"/>
              </w:rPr>
              <w:t>, sus actualizaciones posteriores y demás instrumentos de gestión relacionados.</w:t>
            </w:r>
          </w:p>
        </w:tc>
      </w:tr>
      <w:tr w:rsidR="00232D77" w:rsidRPr="00846D49" w14:paraId="2EBD1EA7" w14:textId="77777777" w:rsidTr="00385338">
        <w:trPr>
          <w:trHeight w:val="491"/>
          <w:jc w:val="center"/>
        </w:trPr>
        <w:tc>
          <w:tcPr>
            <w:tcW w:w="26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72444A8" w14:textId="7363EC6C" w:rsidR="00232D77" w:rsidRPr="00846D49" w:rsidRDefault="00232D77" w:rsidP="00232D77">
            <w:pPr>
              <w:tabs>
                <w:tab w:val="left" w:pos="3375"/>
              </w:tabs>
              <w:rPr>
                <w:rFonts w:ascii="Arial" w:hAnsi="Arial" w:cs="Arial"/>
                <w:b/>
                <w:sz w:val="20"/>
                <w:szCs w:val="20"/>
              </w:rPr>
            </w:pPr>
            <w:r w:rsidRPr="00846D49">
              <w:rPr>
                <w:rFonts w:ascii="Arial" w:hAnsi="Arial" w:cs="Arial"/>
                <w:b/>
                <w:sz w:val="20"/>
                <w:szCs w:val="20"/>
              </w:rPr>
              <w:t>Indicador de calidad</w:t>
            </w:r>
          </w:p>
        </w:tc>
        <w:tc>
          <w:tcPr>
            <w:tcW w:w="613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456AD6BE" w14:textId="77777777" w:rsidR="00232D77" w:rsidRPr="00846D49" w:rsidRDefault="00232D77" w:rsidP="00232D77">
            <w:pPr>
              <w:tabs>
                <w:tab w:val="left" w:pos="3375"/>
              </w:tabs>
              <w:ind w:left="128"/>
              <w:jc w:val="both"/>
              <w:rPr>
                <w:rFonts w:ascii="Arial" w:hAnsi="Arial" w:cs="Arial"/>
                <w:sz w:val="20"/>
                <w:szCs w:val="20"/>
              </w:rPr>
            </w:pPr>
            <w:r w:rsidRPr="00846D49">
              <w:rPr>
                <w:rFonts w:ascii="Arial" w:hAnsi="Arial" w:cs="Arial"/>
                <w:sz w:val="20"/>
                <w:szCs w:val="20"/>
              </w:rPr>
              <w:t xml:space="preserve">Porcentaje de </w:t>
            </w:r>
            <w:r w:rsidRPr="00846D49">
              <w:rPr>
                <w:rFonts w:ascii="Arial" w:eastAsia="Arial Narrow" w:hAnsi="Arial" w:cs="Arial"/>
                <w:sz w:val="20"/>
                <w:szCs w:val="20"/>
              </w:rPr>
              <w:t>comunidades campesinas y nativas tituladas, pequeños productores y otros usuarios del bosque</w:t>
            </w:r>
            <w:r w:rsidRPr="00846D49">
              <w:rPr>
                <w:rFonts w:ascii="Arial" w:hAnsi="Arial" w:cs="Arial"/>
                <w:sz w:val="20"/>
                <w:szCs w:val="20"/>
              </w:rPr>
              <w:t xml:space="preserve"> que han cumplido con los acuerdos de conservación de bosques de forma fiable.</w:t>
            </w:r>
          </w:p>
        </w:tc>
      </w:tr>
    </w:tbl>
    <w:p w14:paraId="51151555" w14:textId="77777777" w:rsidR="00385338" w:rsidRPr="00846D49" w:rsidRDefault="00385338">
      <w:pPr>
        <w:rPr>
          <w:rFonts w:ascii="Arial Narrow" w:eastAsia="Arial Narrow" w:hAnsi="Arial Narrow" w:cs="Arial Narrow"/>
          <w:b/>
        </w:rPr>
      </w:pPr>
    </w:p>
    <w:bookmarkEnd w:id="10"/>
    <w:p w14:paraId="2758A1E7" w14:textId="77777777" w:rsidR="00385338" w:rsidRPr="00846D49" w:rsidRDefault="00385338">
      <w:pPr>
        <w:rPr>
          <w:rFonts w:ascii="Arial Narrow" w:eastAsia="Arial Narrow" w:hAnsi="Arial Narrow" w:cs="Arial Narrow"/>
          <w:b/>
        </w:rPr>
      </w:pPr>
    </w:p>
    <w:p w14:paraId="28D323C1" w14:textId="0AC2D2F5" w:rsidR="00385338" w:rsidRPr="00846D49" w:rsidRDefault="00385338" w:rsidP="00617590">
      <w:pPr>
        <w:jc w:val="both"/>
        <w:rPr>
          <w:rFonts w:ascii="Arial" w:eastAsia="Arial Narrow" w:hAnsi="Arial" w:cs="Arial"/>
          <w:b/>
        </w:rPr>
      </w:pPr>
      <w:r w:rsidRPr="00846D49">
        <w:rPr>
          <w:rFonts w:ascii="Arial" w:eastAsia="Arial Narrow" w:hAnsi="Arial" w:cs="Arial"/>
          <w:b/>
          <w:bCs/>
        </w:rPr>
        <w:t>S3.2.3</w:t>
      </w:r>
      <w:r w:rsidRPr="00846D49">
        <w:rPr>
          <w:rFonts w:ascii="Arial" w:eastAsia="Arial Narrow" w:hAnsi="Arial" w:cs="Arial"/>
        </w:rPr>
        <w:t xml:space="preserve"> Fortalecimiento de capacidades para la formulación e implementación de programas de capacitación de forma satisfactoria </w:t>
      </w:r>
      <w:r w:rsidR="00617590" w:rsidRPr="00846D49">
        <w:rPr>
          <w:rFonts w:ascii="Arial" w:eastAsia="Arial Narrow" w:hAnsi="Arial" w:cs="Arial"/>
        </w:rPr>
        <w:t xml:space="preserve">dirigido </w:t>
      </w:r>
      <w:r w:rsidRPr="00846D49">
        <w:rPr>
          <w:rFonts w:ascii="Arial" w:eastAsia="Arial Narrow" w:hAnsi="Arial" w:cs="Arial"/>
        </w:rPr>
        <w:t>a las Unidades Técnicas de Manejo Forestal Comunitario</w:t>
      </w:r>
      <w:r w:rsidRPr="00846D49">
        <w:rPr>
          <w:rFonts w:ascii="Arial" w:eastAsia="Arial Narrow" w:hAnsi="Arial" w:cs="Arial"/>
          <w:b/>
        </w:rPr>
        <w:t xml:space="preserve"> </w:t>
      </w:r>
    </w:p>
    <w:tbl>
      <w:tblPr>
        <w:tblW w:w="8736" w:type="dxa"/>
        <w:jc w:val="center"/>
        <w:tblLayout w:type="fixed"/>
        <w:tblLook w:val="0600" w:firstRow="0" w:lastRow="0" w:firstColumn="0" w:lastColumn="0" w:noHBand="1" w:noVBand="1"/>
      </w:tblPr>
      <w:tblGrid>
        <w:gridCol w:w="2830"/>
        <w:gridCol w:w="1968"/>
        <w:gridCol w:w="1969"/>
        <w:gridCol w:w="1969"/>
      </w:tblGrid>
      <w:tr w:rsidR="00846D49" w:rsidRPr="00846D49" w14:paraId="7A4D151F" w14:textId="77777777" w:rsidTr="0072651A">
        <w:trPr>
          <w:trHeight w:val="300"/>
          <w:jc w:val="center"/>
        </w:trPr>
        <w:tc>
          <w:tcPr>
            <w:tcW w:w="8736"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center"/>
          </w:tcPr>
          <w:p w14:paraId="339F1DF5" w14:textId="4932D534" w:rsidR="00385338" w:rsidRPr="00846D49" w:rsidRDefault="00385338" w:rsidP="0072651A">
            <w:pPr>
              <w:tabs>
                <w:tab w:val="left" w:pos="3375"/>
              </w:tabs>
              <w:jc w:val="center"/>
              <w:rPr>
                <w:rFonts w:ascii="Arial" w:hAnsi="Arial" w:cs="Arial"/>
                <w:sz w:val="20"/>
                <w:szCs w:val="20"/>
              </w:rPr>
            </w:pPr>
            <w:r w:rsidRPr="00846D49">
              <w:rPr>
                <w:rFonts w:ascii="Arial" w:hAnsi="Arial" w:cs="Arial"/>
                <w:b/>
                <w:sz w:val="20"/>
                <w:szCs w:val="20"/>
              </w:rPr>
              <w:t xml:space="preserve">FICHA DEL SERVICIO </w:t>
            </w:r>
          </w:p>
        </w:tc>
      </w:tr>
      <w:tr w:rsidR="00846D49" w:rsidRPr="00846D49" w14:paraId="13229FFE" w14:textId="77777777" w:rsidTr="0072651A">
        <w:trPr>
          <w:trHeight w:val="300"/>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A302D49" w14:textId="77777777" w:rsidR="00385338" w:rsidRPr="00846D49" w:rsidRDefault="00385338" w:rsidP="0072651A">
            <w:pPr>
              <w:tabs>
                <w:tab w:val="left" w:pos="3375"/>
              </w:tabs>
              <w:rPr>
                <w:rFonts w:ascii="Arial" w:hAnsi="Arial" w:cs="Arial"/>
                <w:b/>
                <w:sz w:val="20"/>
                <w:szCs w:val="20"/>
              </w:rPr>
            </w:pPr>
            <w:r w:rsidRPr="00846D49">
              <w:rPr>
                <w:rFonts w:ascii="Arial" w:hAnsi="Arial" w:cs="Arial"/>
                <w:b/>
                <w:sz w:val="20"/>
                <w:szCs w:val="20"/>
              </w:rPr>
              <w:t xml:space="preserve"> Objetivo prioritario:</w:t>
            </w:r>
          </w:p>
        </w:tc>
        <w:tc>
          <w:tcPr>
            <w:tcW w:w="590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546406F" w14:textId="77777777" w:rsidR="00385338" w:rsidRPr="00846D49" w:rsidRDefault="00385338" w:rsidP="0072651A">
            <w:pPr>
              <w:tabs>
                <w:tab w:val="left" w:pos="3375"/>
              </w:tabs>
              <w:ind w:left="128"/>
              <w:rPr>
                <w:rFonts w:ascii="Arial" w:hAnsi="Arial" w:cs="Arial"/>
                <w:sz w:val="20"/>
                <w:szCs w:val="20"/>
              </w:rPr>
            </w:pPr>
            <w:r w:rsidRPr="00846D49">
              <w:rPr>
                <w:rFonts w:ascii="Arial" w:eastAsia="Arial Narrow" w:hAnsi="Arial" w:cs="Arial"/>
                <w:sz w:val="20"/>
                <w:szCs w:val="20"/>
              </w:rPr>
              <w:t>OP3 Fortalecer la gobernanza forestal y de fauna silvestre</w:t>
            </w:r>
          </w:p>
        </w:tc>
      </w:tr>
      <w:tr w:rsidR="00846D49" w:rsidRPr="00846D49" w14:paraId="0F63EC2F" w14:textId="77777777" w:rsidTr="0072651A">
        <w:trPr>
          <w:trHeight w:val="300"/>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260998F" w14:textId="77777777" w:rsidR="00385338" w:rsidRPr="00846D49" w:rsidRDefault="00385338" w:rsidP="0072651A">
            <w:pPr>
              <w:tabs>
                <w:tab w:val="left" w:pos="3375"/>
              </w:tabs>
              <w:rPr>
                <w:rFonts w:ascii="Arial" w:hAnsi="Arial" w:cs="Arial"/>
                <w:b/>
                <w:sz w:val="20"/>
                <w:szCs w:val="20"/>
              </w:rPr>
            </w:pPr>
            <w:r w:rsidRPr="00846D49">
              <w:rPr>
                <w:rFonts w:ascii="Arial" w:hAnsi="Arial" w:cs="Arial"/>
                <w:b/>
                <w:sz w:val="20"/>
                <w:szCs w:val="20"/>
              </w:rPr>
              <w:t xml:space="preserve"> Lineamiento:</w:t>
            </w:r>
          </w:p>
        </w:tc>
        <w:tc>
          <w:tcPr>
            <w:tcW w:w="590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EEFC4F6" w14:textId="77777777" w:rsidR="00385338" w:rsidRPr="00846D49" w:rsidRDefault="00385338" w:rsidP="0072651A">
            <w:pPr>
              <w:tabs>
                <w:tab w:val="left" w:pos="3375"/>
              </w:tabs>
              <w:ind w:left="128"/>
              <w:rPr>
                <w:rFonts w:ascii="Arial" w:hAnsi="Arial" w:cs="Arial"/>
                <w:sz w:val="20"/>
                <w:szCs w:val="20"/>
              </w:rPr>
            </w:pPr>
            <w:r w:rsidRPr="00846D49">
              <w:rPr>
                <w:rFonts w:ascii="Arial" w:eastAsia="Arial Narrow" w:hAnsi="Arial" w:cs="Arial"/>
                <w:sz w:val="20"/>
                <w:szCs w:val="20"/>
              </w:rPr>
              <w:t>L 3.2 Desarrollar programas orientados a la mejora de la gestión y aprovechamiento sostenible de los recursos forestales y de fauna silvestre en pueblos indígenas u originarios (comunidades campesinas, comunidades nativas, entre otros)</w:t>
            </w:r>
          </w:p>
        </w:tc>
      </w:tr>
      <w:tr w:rsidR="00846D49" w:rsidRPr="00846D49" w14:paraId="36714E46" w14:textId="77777777" w:rsidTr="0072651A">
        <w:trPr>
          <w:trHeight w:val="300"/>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7688040" w14:textId="77777777" w:rsidR="00385338" w:rsidRPr="00846D49" w:rsidRDefault="00385338" w:rsidP="0072651A">
            <w:pPr>
              <w:tabs>
                <w:tab w:val="left" w:pos="3375"/>
              </w:tabs>
              <w:rPr>
                <w:rFonts w:ascii="Arial" w:hAnsi="Arial" w:cs="Arial"/>
                <w:b/>
                <w:sz w:val="20"/>
                <w:szCs w:val="20"/>
              </w:rPr>
            </w:pPr>
            <w:r w:rsidRPr="00846D49">
              <w:rPr>
                <w:rFonts w:ascii="Arial" w:hAnsi="Arial" w:cs="Arial"/>
                <w:b/>
                <w:sz w:val="20"/>
                <w:szCs w:val="20"/>
              </w:rPr>
              <w:t xml:space="preserve"> Nombre del servicio:</w:t>
            </w:r>
          </w:p>
        </w:tc>
        <w:tc>
          <w:tcPr>
            <w:tcW w:w="590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F0CBB11" w14:textId="2B78C00B" w:rsidR="00385338" w:rsidRPr="00846D49" w:rsidRDefault="00385338" w:rsidP="0072651A">
            <w:pPr>
              <w:tabs>
                <w:tab w:val="left" w:pos="3375"/>
              </w:tabs>
              <w:ind w:left="128"/>
              <w:rPr>
                <w:rFonts w:ascii="Arial" w:hAnsi="Arial" w:cs="Arial"/>
                <w:strike/>
                <w:sz w:val="20"/>
                <w:szCs w:val="20"/>
              </w:rPr>
            </w:pPr>
            <w:r w:rsidRPr="00846D49">
              <w:rPr>
                <w:rFonts w:ascii="Arial" w:eastAsia="Arial Narrow" w:hAnsi="Arial" w:cs="Arial"/>
                <w:sz w:val="20"/>
                <w:szCs w:val="20"/>
              </w:rPr>
              <w:t xml:space="preserve">S3.2.3 Fortalecimiento de capacidades para la formulación e implementación de programas de capacitación de forma satisfactoria </w:t>
            </w:r>
            <w:r w:rsidR="00617590" w:rsidRPr="00846D49">
              <w:rPr>
                <w:rFonts w:ascii="Arial" w:eastAsia="Arial Narrow" w:hAnsi="Arial" w:cs="Arial"/>
                <w:sz w:val="20"/>
                <w:szCs w:val="20"/>
              </w:rPr>
              <w:t xml:space="preserve">dirigido </w:t>
            </w:r>
            <w:r w:rsidRPr="00846D49">
              <w:rPr>
                <w:rFonts w:ascii="Arial" w:eastAsia="Arial Narrow" w:hAnsi="Arial" w:cs="Arial"/>
                <w:sz w:val="20"/>
                <w:szCs w:val="20"/>
              </w:rPr>
              <w:t>a las Unidades Técnicas de Manejo Forestal Comunitario</w:t>
            </w:r>
          </w:p>
        </w:tc>
      </w:tr>
      <w:tr w:rsidR="00846D49" w:rsidRPr="00846D49" w14:paraId="0A46D26F" w14:textId="77777777" w:rsidTr="0072651A">
        <w:trPr>
          <w:trHeight w:val="300"/>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3D497C4" w14:textId="77777777" w:rsidR="00385338" w:rsidRPr="00846D49" w:rsidRDefault="00385338" w:rsidP="0072651A">
            <w:pPr>
              <w:tabs>
                <w:tab w:val="left" w:pos="3375"/>
              </w:tabs>
              <w:rPr>
                <w:rFonts w:ascii="Arial" w:hAnsi="Arial" w:cs="Arial"/>
                <w:b/>
                <w:sz w:val="20"/>
                <w:szCs w:val="20"/>
              </w:rPr>
            </w:pPr>
            <w:r w:rsidRPr="00846D49">
              <w:rPr>
                <w:rFonts w:ascii="Arial" w:hAnsi="Arial" w:cs="Arial"/>
                <w:b/>
                <w:sz w:val="20"/>
                <w:szCs w:val="20"/>
              </w:rPr>
              <w:t>Tipo de servicio:</w:t>
            </w:r>
          </w:p>
        </w:tc>
        <w:tc>
          <w:tcPr>
            <w:tcW w:w="590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DCF06DA" w14:textId="77777777" w:rsidR="00385338" w:rsidRPr="00846D49" w:rsidRDefault="00385338" w:rsidP="0072651A">
            <w:pPr>
              <w:tabs>
                <w:tab w:val="left" w:pos="3375"/>
              </w:tabs>
              <w:ind w:left="128"/>
              <w:rPr>
                <w:rFonts w:ascii="Arial" w:eastAsia="Arial Narrow" w:hAnsi="Arial" w:cs="Arial"/>
                <w:sz w:val="20"/>
                <w:szCs w:val="20"/>
              </w:rPr>
            </w:pPr>
            <w:r w:rsidRPr="00846D49">
              <w:rPr>
                <w:rFonts w:ascii="Arial" w:eastAsia="Arial Narrow" w:hAnsi="Arial" w:cs="Arial"/>
                <w:sz w:val="20"/>
                <w:szCs w:val="20"/>
              </w:rPr>
              <w:t xml:space="preserve">Nuevo </w:t>
            </w:r>
          </w:p>
        </w:tc>
      </w:tr>
      <w:tr w:rsidR="00846D49" w:rsidRPr="00846D49" w14:paraId="4FBB82F5" w14:textId="77777777" w:rsidTr="0072651A">
        <w:trPr>
          <w:trHeight w:val="300"/>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E0B328B" w14:textId="43489603" w:rsidR="00232D77" w:rsidRPr="00846D49" w:rsidRDefault="00232D77" w:rsidP="00232D77">
            <w:pPr>
              <w:tabs>
                <w:tab w:val="left" w:pos="3375"/>
              </w:tabs>
              <w:rPr>
                <w:rFonts w:ascii="Arial" w:hAnsi="Arial" w:cs="Arial"/>
                <w:b/>
                <w:sz w:val="20"/>
                <w:szCs w:val="20"/>
              </w:rPr>
            </w:pPr>
            <w:r w:rsidRPr="00846D49">
              <w:rPr>
                <w:rFonts w:ascii="Arial" w:hAnsi="Arial" w:cs="Arial"/>
                <w:b/>
                <w:sz w:val="20"/>
                <w:szCs w:val="20"/>
              </w:rPr>
              <w:lastRenderedPageBreak/>
              <w:t>Naturaleza del servicio:</w:t>
            </w:r>
          </w:p>
        </w:tc>
        <w:tc>
          <w:tcPr>
            <w:tcW w:w="590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E9EDE1B" w14:textId="73076C90" w:rsidR="00232D77" w:rsidRPr="00846D49" w:rsidRDefault="00A32B05" w:rsidP="00232D77">
            <w:pPr>
              <w:tabs>
                <w:tab w:val="left" w:pos="3375"/>
              </w:tabs>
              <w:ind w:left="128"/>
              <w:rPr>
                <w:rFonts w:ascii="Arial" w:eastAsia="Arial Narrow" w:hAnsi="Arial" w:cs="Arial"/>
                <w:sz w:val="20"/>
                <w:szCs w:val="20"/>
              </w:rPr>
            </w:pPr>
            <w:r w:rsidRPr="00846D49">
              <w:rPr>
                <w:rFonts w:ascii="Arial" w:eastAsia="Arial Narrow" w:hAnsi="Arial" w:cs="Arial"/>
                <w:sz w:val="20"/>
                <w:szCs w:val="20"/>
              </w:rPr>
              <w:t>A</w:t>
            </w:r>
            <w:r w:rsidR="00232D77" w:rsidRPr="00846D49">
              <w:rPr>
                <w:rFonts w:ascii="Arial" w:eastAsia="Arial Narrow" w:hAnsi="Arial" w:cs="Arial"/>
                <w:sz w:val="20"/>
                <w:szCs w:val="20"/>
              </w:rPr>
              <w:t>dministrativo</w:t>
            </w:r>
          </w:p>
        </w:tc>
      </w:tr>
      <w:tr w:rsidR="00846D49" w:rsidRPr="00846D49" w14:paraId="644DE560" w14:textId="77777777" w:rsidTr="0072651A">
        <w:trPr>
          <w:trHeight w:val="300"/>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3A92F64" w14:textId="3C2E67F6" w:rsidR="00232D77" w:rsidRPr="00846D49" w:rsidRDefault="00232D77" w:rsidP="00232D77">
            <w:pPr>
              <w:tabs>
                <w:tab w:val="left" w:pos="3375"/>
              </w:tabs>
              <w:rPr>
                <w:rFonts w:ascii="Arial" w:hAnsi="Arial" w:cs="Arial"/>
                <w:b/>
                <w:sz w:val="20"/>
                <w:szCs w:val="20"/>
              </w:rPr>
            </w:pPr>
            <w:r w:rsidRPr="00846D49">
              <w:rPr>
                <w:rFonts w:ascii="Arial" w:hAnsi="Arial" w:cs="Arial"/>
                <w:b/>
                <w:sz w:val="20"/>
                <w:szCs w:val="20"/>
              </w:rPr>
              <w:t>Entrega del servicio</w:t>
            </w:r>
          </w:p>
        </w:tc>
        <w:tc>
          <w:tcPr>
            <w:tcW w:w="590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C8C0FFB" w14:textId="38E7DD29" w:rsidR="00232D77" w:rsidRPr="00846D49" w:rsidRDefault="00232D77" w:rsidP="00232D77">
            <w:pPr>
              <w:tabs>
                <w:tab w:val="left" w:pos="3375"/>
              </w:tabs>
              <w:ind w:left="128"/>
              <w:rPr>
                <w:rFonts w:ascii="Arial" w:eastAsia="Arial Narrow" w:hAnsi="Arial" w:cs="Arial"/>
                <w:sz w:val="20"/>
                <w:szCs w:val="20"/>
              </w:rPr>
            </w:pPr>
            <w:r w:rsidRPr="00846D49">
              <w:rPr>
                <w:rFonts w:ascii="Arial" w:eastAsia="Arial Narrow" w:hAnsi="Arial" w:cs="Arial"/>
                <w:sz w:val="20"/>
                <w:szCs w:val="20"/>
              </w:rPr>
              <w:t xml:space="preserve">Competencia exclusiva </w:t>
            </w:r>
          </w:p>
        </w:tc>
      </w:tr>
      <w:tr w:rsidR="00846D49" w:rsidRPr="00846D49" w14:paraId="494E2B3C" w14:textId="77777777" w:rsidTr="0072651A">
        <w:trPr>
          <w:trHeight w:val="300"/>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A039BE7" w14:textId="77777777" w:rsidR="00232D77" w:rsidRPr="00846D49" w:rsidRDefault="00232D77" w:rsidP="00232D77">
            <w:pPr>
              <w:tabs>
                <w:tab w:val="left" w:pos="3375"/>
              </w:tabs>
              <w:rPr>
                <w:rFonts w:ascii="Arial" w:hAnsi="Arial" w:cs="Arial"/>
                <w:b/>
                <w:sz w:val="20"/>
                <w:szCs w:val="20"/>
              </w:rPr>
            </w:pPr>
            <w:r w:rsidRPr="00846D49">
              <w:rPr>
                <w:rFonts w:ascii="Arial" w:hAnsi="Arial" w:cs="Arial"/>
                <w:b/>
                <w:sz w:val="20"/>
                <w:szCs w:val="20"/>
              </w:rPr>
              <w:t xml:space="preserve"> Descripción del servicio</w:t>
            </w:r>
          </w:p>
        </w:tc>
        <w:tc>
          <w:tcPr>
            <w:tcW w:w="590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780D3DE" w14:textId="3434819B" w:rsidR="00232D77" w:rsidRPr="00846D49" w:rsidRDefault="00232D77" w:rsidP="00232D77">
            <w:pPr>
              <w:pBdr>
                <w:top w:val="nil"/>
                <w:left w:val="nil"/>
                <w:bottom w:val="nil"/>
                <w:right w:val="nil"/>
                <w:between w:val="nil"/>
              </w:pBdr>
              <w:spacing w:after="0" w:line="240" w:lineRule="auto"/>
              <w:jc w:val="both"/>
              <w:rPr>
                <w:rFonts w:ascii="Arial" w:eastAsia="Arial Narrow" w:hAnsi="Arial" w:cs="Arial"/>
                <w:sz w:val="20"/>
                <w:szCs w:val="20"/>
              </w:rPr>
            </w:pPr>
            <w:r w:rsidRPr="00846D49">
              <w:rPr>
                <w:rFonts w:ascii="Arial" w:eastAsia="Arial Narrow" w:hAnsi="Arial" w:cs="Arial"/>
                <w:sz w:val="20"/>
                <w:szCs w:val="20"/>
              </w:rPr>
              <w:t xml:space="preserve">El servicio consiste en mejorar las capacidades de las Unidades Técnicas de Manejo Forestal Comunitario a través de talleres, charlas, cursos, asistencias técnicas, entre otros, para </w:t>
            </w:r>
            <w:r w:rsidR="0090194D" w:rsidRPr="00846D49">
              <w:rPr>
                <w:rFonts w:ascii="Arial" w:eastAsia="Arial Narrow" w:hAnsi="Arial" w:cs="Arial"/>
                <w:sz w:val="20"/>
                <w:szCs w:val="20"/>
              </w:rPr>
              <w:t xml:space="preserve">que dichas Unidades Técnicas puedan </w:t>
            </w:r>
            <w:r w:rsidRPr="00846D49">
              <w:rPr>
                <w:rFonts w:ascii="Arial" w:eastAsia="Arial Narrow" w:hAnsi="Arial" w:cs="Arial"/>
                <w:sz w:val="20"/>
                <w:szCs w:val="20"/>
              </w:rPr>
              <w:t>formular e implementar</w:t>
            </w:r>
            <w:r w:rsidR="0090194D" w:rsidRPr="00846D49">
              <w:rPr>
                <w:rFonts w:ascii="Arial" w:eastAsia="Arial Narrow" w:hAnsi="Arial" w:cs="Arial"/>
                <w:sz w:val="20"/>
                <w:szCs w:val="20"/>
              </w:rPr>
              <w:t xml:space="preserve"> </w:t>
            </w:r>
            <w:r w:rsidRPr="00846D49">
              <w:rPr>
                <w:rFonts w:ascii="Arial" w:eastAsia="Arial Narrow" w:hAnsi="Arial" w:cs="Arial"/>
                <w:sz w:val="20"/>
                <w:szCs w:val="20"/>
              </w:rPr>
              <w:t>programas de capacitación</w:t>
            </w:r>
            <w:r w:rsidR="0090194D" w:rsidRPr="00846D49">
              <w:rPr>
                <w:rFonts w:ascii="Arial" w:eastAsia="Arial Narrow" w:hAnsi="Arial" w:cs="Arial"/>
                <w:sz w:val="20"/>
                <w:szCs w:val="20"/>
              </w:rPr>
              <w:t xml:space="preserve"> dirigid</w:t>
            </w:r>
            <w:r w:rsidR="001E356E" w:rsidRPr="00846D49">
              <w:rPr>
                <w:rFonts w:ascii="Arial" w:eastAsia="Arial Narrow" w:hAnsi="Arial" w:cs="Arial"/>
                <w:sz w:val="20"/>
                <w:szCs w:val="20"/>
              </w:rPr>
              <w:t>o</w:t>
            </w:r>
            <w:r w:rsidR="004E063F" w:rsidRPr="00846D49">
              <w:rPr>
                <w:rFonts w:ascii="Arial" w:eastAsia="Arial Narrow" w:hAnsi="Arial" w:cs="Arial"/>
                <w:sz w:val="20"/>
                <w:szCs w:val="20"/>
              </w:rPr>
              <w:t>s</w:t>
            </w:r>
            <w:r w:rsidR="0090194D" w:rsidRPr="00846D49">
              <w:rPr>
                <w:rFonts w:ascii="Arial" w:eastAsia="Arial Narrow" w:hAnsi="Arial" w:cs="Arial"/>
                <w:sz w:val="20"/>
                <w:szCs w:val="20"/>
              </w:rPr>
              <w:t xml:space="preserve"> a las comunidades nativas</w:t>
            </w:r>
            <w:r w:rsidR="004E063F" w:rsidRPr="00846D49">
              <w:rPr>
                <w:rFonts w:ascii="Arial" w:eastAsia="Arial Narrow" w:hAnsi="Arial" w:cs="Arial"/>
                <w:sz w:val="20"/>
                <w:szCs w:val="20"/>
              </w:rPr>
              <w:t xml:space="preserve"> de su jurisdicción</w:t>
            </w:r>
            <w:r w:rsidRPr="00846D49">
              <w:rPr>
                <w:rFonts w:ascii="Arial" w:eastAsia="Arial Narrow" w:hAnsi="Arial" w:cs="Arial"/>
                <w:sz w:val="20"/>
                <w:szCs w:val="20"/>
              </w:rPr>
              <w:t>.</w:t>
            </w:r>
          </w:p>
          <w:p w14:paraId="044CDB85" w14:textId="77777777" w:rsidR="00232D77" w:rsidRPr="00846D49" w:rsidRDefault="00232D77" w:rsidP="00232D77">
            <w:pPr>
              <w:pBdr>
                <w:top w:val="nil"/>
                <w:left w:val="nil"/>
                <w:bottom w:val="nil"/>
                <w:right w:val="nil"/>
                <w:between w:val="nil"/>
              </w:pBdr>
              <w:spacing w:after="0" w:line="240" w:lineRule="auto"/>
              <w:jc w:val="both"/>
              <w:rPr>
                <w:rFonts w:ascii="Arial" w:eastAsia="Arial Narrow" w:hAnsi="Arial" w:cs="Arial"/>
                <w:sz w:val="20"/>
                <w:szCs w:val="20"/>
              </w:rPr>
            </w:pPr>
          </w:p>
          <w:p w14:paraId="138E3810" w14:textId="05433629" w:rsidR="00232D77" w:rsidRPr="00846D49" w:rsidRDefault="00BB60E6" w:rsidP="00232D77">
            <w:pPr>
              <w:pBdr>
                <w:top w:val="nil"/>
                <w:left w:val="nil"/>
                <w:bottom w:val="nil"/>
                <w:right w:val="nil"/>
                <w:between w:val="nil"/>
              </w:pBdr>
              <w:spacing w:after="0" w:line="240" w:lineRule="auto"/>
              <w:jc w:val="both"/>
              <w:rPr>
                <w:rFonts w:ascii="Arial" w:eastAsia="Arial Narrow" w:hAnsi="Arial" w:cs="Arial"/>
                <w:sz w:val="20"/>
                <w:szCs w:val="20"/>
              </w:rPr>
            </w:pPr>
            <w:r w:rsidRPr="00846D49">
              <w:rPr>
                <w:rFonts w:ascii="Arial" w:eastAsia="Arial Narrow" w:hAnsi="Arial" w:cs="Arial"/>
                <w:sz w:val="20"/>
                <w:szCs w:val="20"/>
              </w:rPr>
              <w:t>Un</w:t>
            </w:r>
            <w:r w:rsidR="00232D77" w:rsidRPr="00846D49">
              <w:rPr>
                <w:rFonts w:ascii="Arial" w:eastAsia="Arial Narrow" w:hAnsi="Arial" w:cs="Arial"/>
                <w:sz w:val="20"/>
                <w:szCs w:val="20"/>
              </w:rPr>
              <w:t xml:space="preserve"> programa de capacitación </w:t>
            </w:r>
            <w:r w:rsidRPr="00846D49">
              <w:rPr>
                <w:rFonts w:ascii="Arial" w:hAnsi="Arial" w:cs="Arial"/>
                <w:sz w:val="20"/>
                <w:szCs w:val="20"/>
                <w:shd w:val="clear" w:color="auto" w:fill="FFFFFF"/>
              </w:rPr>
              <w:t xml:space="preserve">es un proceso estructurado y organizado por medio del cual se suministra información y se proporcionan habilidades a los integrantes de las comunidades nativas. Pueden </w:t>
            </w:r>
            <w:r w:rsidR="00232D77" w:rsidRPr="00846D49">
              <w:rPr>
                <w:rFonts w:ascii="Arial" w:eastAsia="Arial Narrow" w:hAnsi="Arial" w:cs="Arial"/>
                <w:sz w:val="20"/>
                <w:szCs w:val="20"/>
              </w:rPr>
              <w:t>comprende</w:t>
            </w:r>
            <w:r w:rsidRPr="00846D49">
              <w:rPr>
                <w:rFonts w:ascii="Arial" w:eastAsia="Arial Narrow" w:hAnsi="Arial" w:cs="Arial"/>
                <w:sz w:val="20"/>
                <w:szCs w:val="20"/>
              </w:rPr>
              <w:t>r</w:t>
            </w:r>
            <w:r w:rsidR="00232D77" w:rsidRPr="00846D49">
              <w:rPr>
                <w:rFonts w:ascii="Arial" w:eastAsia="Arial Narrow" w:hAnsi="Arial" w:cs="Arial"/>
                <w:sz w:val="20"/>
                <w:szCs w:val="20"/>
              </w:rPr>
              <w:t xml:space="preserve"> temas de legislación y aprovechamiento sostenible de los recursos forestales y de fauna silvestre, trazabilidad, entre otros. </w:t>
            </w:r>
          </w:p>
          <w:p w14:paraId="520980DF" w14:textId="77777777" w:rsidR="00232D77" w:rsidRPr="00846D49" w:rsidRDefault="00232D77" w:rsidP="00232D77">
            <w:pPr>
              <w:pStyle w:val="Prrafodelista"/>
              <w:pBdr>
                <w:top w:val="nil"/>
                <w:left w:val="nil"/>
                <w:bottom w:val="nil"/>
                <w:right w:val="nil"/>
                <w:between w:val="nil"/>
              </w:pBdr>
              <w:spacing w:after="0" w:line="240" w:lineRule="auto"/>
              <w:jc w:val="both"/>
              <w:rPr>
                <w:rFonts w:ascii="Arial" w:eastAsia="Arial Narrow" w:hAnsi="Arial" w:cs="Arial"/>
                <w:sz w:val="20"/>
                <w:szCs w:val="20"/>
              </w:rPr>
            </w:pPr>
          </w:p>
          <w:p w14:paraId="51A1DAA7" w14:textId="77777777" w:rsidR="00232D77" w:rsidRPr="00846D49" w:rsidRDefault="00232D77" w:rsidP="0090194D">
            <w:pPr>
              <w:jc w:val="both"/>
              <w:rPr>
                <w:rFonts w:ascii="Arial" w:hAnsi="Arial" w:cs="Arial"/>
                <w:strike/>
                <w:sz w:val="20"/>
                <w:szCs w:val="20"/>
              </w:rPr>
            </w:pPr>
            <w:r w:rsidRPr="00846D49">
              <w:rPr>
                <w:rFonts w:ascii="Arial" w:eastAsia="Arial Narrow" w:hAnsi="Arial" w:cs="Arial"/>
                <w:sz w:val="20"/>
                <w:szCs w:val="20"/>
              </w:rPr>
              <w:t xml:space="preserve">El servicio es de tipo mejorado porque se aplicará nuevas herramientas metodológicas y tecnológicas para la entrega del servicio; además, se busca que el personal de las Unidades Técnicas de Manejo Forestal Comunitario cuente con capacidades fortalecida para realizar actividades de capacitación (fortalecimiento de capacidades y asistencia técnica) dirigida a las comunidades nativas de su ámbito. </w:t>
            </w:r>
          </w:p>
        </w:tc>
      </w:tr>
      <w:tr w:rsidR="00846D49" w:rsidRPr="00846D49" w14:paraId="5CAE8B0D" w14:textId="77777777" w:rsidTr="0072651A">
        <w:trPr>
          <w:trHeight w:val="300"/>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6DD6C38" w14:textId="77777777" w:rsidR="00232D77" w:rsidRPr="00846D49" w:rsidRDefault="00232D77" w:rsidP="00232D77">
            <w:pPr>
              <w:tabs>
                <w:tab w:val="left" w:pos="3375"/>
              </w:tabs>
              <w:rPr>
                <w:rFonts w:ascii="Arial" w:hAnsi="Arial" w:cs="Arial"/>
                <w:b/>
                <w:sz w:val="20"/>
                <w:szCs w:val="20"/>
              </w:rPr>
            </w:pPr>
            <w:r w:rsidRPr="00846D49">
              <w:rPr>
                <w:rFonts w:ascii="Arial" w:hAnsi="Arial" w:cs="Arial"/>
                <w:b/>
                <w:sz w:val="20"/>
                <w:szCs w:val="20"/>
              </w:rPr>
              <w:t xml:space="preserve"> Proveedor del servicio</w:t>
            </w:r>
          </w:p>
        </w:tc>
        <w:tc>
          <w:tcPr>
            <w:tcW w:w="590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78D8EDE" w14:textId="7CC854BA" w:rsidR="00232D77" w:rsidRPr="00846D49" w:rsidRDefault="00232D77" w:rsidP="00232D77">
            <w:pPr>
              <w:tabs>
                <w:tab w:val="left" w:pos="3375"/>
              </w:tabs>
              <w:ind w:left="128"/>
              <w:rPr>
                <w:rFonts w:ascii="Arial" w:hAnsi="Arial" w:cs="Arial"/>
                <w:sz w:val="20"/>
                <w:szCs w:val="20"/>
              </w:rPr>
            </w:pPr>
            <w:r w:rsidRPr="00846D49">
              <w:rPr>
                <w:rFonts w:ascii="Arial" w:eastAsia="Arial Narrow" w:hAnsi="Arial" w:cs="Arial"/>
                <w:sz w:val="20"/>
                <w:szCs w:val="20"/>
              </w:rPr>
              <w:t xml:space="preserve">Servicio Nacional Forestal y de Fauna Silvestre </w:t>
            </w:r>
            <w:r w:rsidR="00104E7B" w:rsidRPr="00846D49">
              <w:rPr>
                <w:rFonts w:ascii="Arial" w:eastAsia="Arial Narrow" w:hAnsi="Arial" w:cs="Arial"/>
                <w:sz w:val="20"/>
                <w:szCs w:val="20"/>
              </w:rPr>
              <w:t>–</w:t>
            </w:r>
            <w:r w:rsidRPr="00846D49">
              <w:rPr>
                <w:rFonts w:ascii="Arial" w:eastAsia="Arial Narrow" w:hAnsi="Arial" w:cs="Arial"/>
                <w:sz w:val="20"/>
                <w:szCs w:val="20"/>
              </w:rPr>
              <w:t xml:space="preserve"> SERFOR</w:t>
            </w:r>
          </w:p>
        </w:tc>
      </w:tr>
      <w:tr w:rsidR="00846D49" w:rsidRPr="00846D49" w14:paraId="58342634" w14:textId="77777777" w:rsidTr="00D95110">
        <w:trPr>
          <w:trHeight w:val="555"/>
          <w:jc w:val="center"/>
        </w:trPr>
        <w:tc>
          <w:tcPr>
            <w:tcW w:w="2830" w:type="dxa"/>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35E094C1" w14:textId="77777777" w:rsidR="00232D77" w:rsidRPr="00846D49" w:rsidRDefault="00232D77" w:rsidP="002469C9">
            <w:pPr>
              <w:spacing w:after="0" w:line="240" w:lineRule="auto"/>
              <w:rPr>
                <w:rFonts w:ascii="Arial" w:hAnsi="Arial" w:cs="Arial"/>
                <w:b/>
                <w:sz w:val="20"/>
                <w:szCs w:val="20"/>
              </w:rPr>
            </w:pPr>
            <w:r w:rsidRPr="00846D49">
              <w:rPr>
                <w:rFonts w:ascii="Arial" w:hAnsi="Arial" w:cs="Arial"/>
                <w:b/>
                <w:sz w:val="20"/>
                <w:szCs w:val="20"/>
              </w:rPr>
              <w:t>Nivel (es) de gobierno que interviene</w:t>
            </w:r>
          </w:p>
          <w:p w14:paraId="047304A2" w14:textId="03B78C6E" w:rsidR="00232D77" w:rsidRPr="00846D49" w:rsidRDefault="00232D77" w:rsidP="00232D77">
            <w:pPr>
              <w:tabs>
                <w:tab w:val="left" w:pos="3375"/>
              </w:tabs>
              <w:rPr>
                <w:rFonts w:ascii="Arial" w:hAnsi="Arial" w:cs="Arial"/>
                <w:b/>
                <w:sz w:val="20"/>
                <w:szCs w:val="20"/>
              </w:rPr>
            </w:pPr>
            <w:r w:rsidRPr="00846D49">
              <w:rPr>
                <w:rFonts w:ascii="Arial" w:hAnsi="Arial" w:cs="Arial"/>
                <w:b/>
                <w:sz w:val="20"/>
                <w:szCs w:val="20"/>
              </w:rPr>
              <w:t>(n) en la provisión del servicio</w:t>
            </w:r>
          </w:p>
        </w:tc>
        <w:tc>
          <w:tcPr>
            <w:tcW w:w="1968"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1CE15286" w14:textId="737DC261" w:rsidR="00232D77" w:rsidRPr="00846D49" w:rsidRDefault="00232D77" w:rsidP="00324662">
            <w:pPr>
              <w:tabs>
                <w:tab w:val="left" w:pos="3375"/>
              </w:tabs>
              <w:ind w:left="128"/>
              <w:jc w:val="center"/>
              <w:rPr>
                <w:rFonts w:ascii="Arial" w:eastAsia="Arial Narrow" w:hAnsi="Arial" w:cs="Arial"/>
                <w:sz w:val="20"/>
                <w:szCs w:val="20"/>
              </w:rPr>
            </w:pPr>
            <w:r w:rsidRPr="00846D49">
              <w:rPr>
                <w:rFonts w:ascii="Arial" w:eastAsia="Arial Narrow" w:hAnsi="Arial" w:cs="Arial"/>
                <w:sz w:val="20"/>
                <w:szCs w:val="20"/>
              </w:rPr>
              <w:t>Nacional</w:t>
            </w:r>
          </w:p>
        </w:tc>
        <w:tc>
          <w:tcPr>
            <w:tcW w:w="1969" w:type="dxa"/>
            <w:tcBorders>
              <w:top w:val="single" w:sz="4" w:space="0" w:color="000000"/>
              <w:left w:val="single" w:sz="4" w:space="0" w:color="000000"/>
              <w:right w:val="single" w:sz="4" w:space="0" w:color="000000"/>
            </w:tcBorders>
            <w:shd w:val="clear" w:color="auto" w:fill="auto"/>
            <w:vAlign w:val="center"/>
          </w:tcPr>
          <w:p w14:paraId="0B27A378" w14:textId="3A9703D1" w:rsidR="00232D77" w:rsidRPr="00846D49" w:rsidRDefault="00232D77" w:rsidP="00324662">
            <w:pPr>
              <w:tabs>
                <w:tab w:val="left" w:pos="3375"/>
              </w:tabs>
              <w:ind w:left="128"/>
              <w:jc w:val="center"/>
              <w:rPr>
                <w:rFonts w:ascii="Arial" w:eastAsia="Arial Narrow" w:hAnsi="Arial" w:cs="Arial"/>
                <w:sz w:val="20"/>
                <w:szCs w:val="20"/>
              </w:rPr>
            </w:pPr>
            <w:r w:rsidRPr="00846D49">
              <w:rPr>
                <w:rFonts w:ascii="Arial" w:eastAsia="Arial Narrow" w:hAnsi="Arial" w:cs="Arial"/>
                <w:sz w:val="20"/>
                <w:szCs w:val="20"/>
              </w:rPr>
              <w:t>Regional</w:t>
            </w:r>
          </w:p>
        </w:tc>
        <w:tc>
          <w:tcPr>
            <w:tcW w:w="1969" w:type="dxa"/>
            <w:tcBorders>
              <w:top w:val="single" w:sz="4" w:space="0" w:color="000000"/>
              <w:left w:val="single" w:sz="4" w:space="0" w:color="000000"/>
              <w:right w:val="single" w:sz="4" w:space="0" w:color="000000"/>
            </w:tcBorders>
            <w:shd w:val="clear" w:color="auto" w:fill="auto"/>
            <w:vAlign w:val="center"/>
          </w:tcPr>
          <w:p w14:paraId="4B8569AE" w14:textId="4E7A3713" w:rsidR="00232D77" w:rsidRPr="00846D49" w:rsidRDefault="00232D77" w:rsidP="00324662">
            <w:pPr>
              <w:tabs>
                <w:tab w:val="left" w:pos="3375"/>
              </w:tabs>
              <w:ind w:left="128"/>
              <w:jc w:val="center"/>
              <w:rPr>
                <w:rFonts w:ascii="Arial" w:eastAsia="Arial Narrow" w:hAnsi="Arial" w:cs="Arial"/>
                <w:sz w:val="20"/>
                <w:szCs w:val="20"/>
              </w:rPr>
            </w:pPr>
            <w:r w:rsidRPr="00846D49">
              <w:rPr>
                <w:rFonts w:ascii="Arial" w:eastAsia="Arial Narrow" w:hAnsi="Arial" w:cs="Arial"/>
                <w:sz w:val="20"/>
                <w:szCs w:val="20"/>
              </w:rPr>
              <w:t>Local</w:t>
            </w:r>
          </w:p>
        </w:tc>
      </w:tr>
      <w:tr w:rsidR="008A26D2" w:rsidRPr="008A26D2" w14:paraId="0D3752B1" w14:textId="77777777" w:rsidTr="00D95110">
        <w:trPr>
          <w:trHeight w:val="555"/>
          <w:jc w:val="center"/>
        </w:trPr>
        <w:tc>
          <w:tcPr>
            <w:tcW w:w="2830" w:type="dxa"/>
            <w:vMerge/>
            <w:tcBorders>
              <w:left w:val="single" w:sz="4" w:space="0" w:color="000000"/>
              <w:right w:val="single" w:sz="4" w:space="0" w:color="000000"/>
            </w:tcBorders>
            <w:shd w:val="clear" w:color="auto" w:fill="auto"/>
            <w:tcMar>
              <w:top w:w="15" w:type="dxa"/>
              <w:left w:w="15" w:type="dxa"/>
              <w:bottom w:w="0" w:type="dxa"/>
              <w:right w:w="15" w:type="dxa"/>
            </w:tcMar>
            <w:vAlign w:val="center"/>
          </w:tcPr>
          <w:p w14:paraId="540E2F61" w14:textId="77777777" w:rsidR="00232D77" w:rsidRPr="008A26D2" w:rsidRDefault="00232D77" w:rsidP="00232D77">
            <w:pPr>
              <w:spacing w:after="0" w:line="240" w:lineRule="auto"/>
              <w:rPr>
                <w:rFonts w:ascii="Arial" w:hAnsi="Arial" w:cs="Arial"/>
                <w:b/>
                <w:sz w:val="20"/>
                <w:szCs w:val="20"/>
              </w:rPr>
            </w:pPr>
          </w:p>
        </w:tc>
        <w:tc>
          <w:tcPr>
            <w:tcW w:w="1968"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622D18BC" w14:textId="0E27835B" w:rsidR="00232D77" w:rsidRPr="008A26D2" w:rsidRDefault="00A32B05" w:rsidP="00324662">
            <w:pPr>
              <w:tabs>
                <w:tab w:val="left" w:pos="3375"/>
              </w:tabs>
              <w:ind w:left="128"/>
              <w:jc w:val="center"/>
              <w:rPr>
                <w:rFonts w:ascii="Arial" w:eastAsia="Arial Narrow" w:hAnsi="Arial" w:cs="Arial"/>
                <w:sz w:val="20"/>
                <w:szCs w:val="20"/>
              </w:rPr>
            </w:pPr>
            <w:r w:rsidRPr="008A26D2">
              <w:rPr>
                <w:rFonts w:ascii="Arial" w:eastAsia="Arial Narrow" w:hAnsi="Arial" w:cs="Arial"/>
                <w:sz w:val="20"/>
                <w:szCs w:val="20"/>
              </w:rPr>
              <w:t>X</w:t>
            </w:r>
          </w:p>
        </w:tc>
        <w:tc>
          <w:tcPr>
            <w:tcW w:w="1969" w:type="dxa"/>
            <w:tcBorders>
              <w:top w:val="single" w:sz="4" w:space="0" w:color="000000"/>
              <w:left w:val="single" w:sz="4" w:space="0" w:color="000000"/>
              <w:right w:val="single" w:sz="4" w:space="0" w:color="000000"/>
            </w:tcBorders>
            <w:shd w:val="clear" w:color="auto" w:fill="auto"/>
            <w:vAlign w:val="center"/>
          </w:tcPr>
          <w:p w14:paraId="771AD343" w14:textId="77777777" w:rsidR="00232D77" w:rsidRPr="008A26D2" w:rsidRDefault="00232D77" w:rsidP="00324662">
            <w:pPr>
              <w:tabs>
                <w:tab w:val="left" w:pos="3375"/>
              </w:tabs>
              <w:ind w:left="128"/>
              <w:jc w:val="center"/>
              <w:rPr>
                <w:rFonts w:ascii="Arial" w:eastAsia="Arial Narrow" w:hAnsi="Arial" w:cs="Arial"/>
                <w:sz w:val="20"/>
                <w:szCs w:val="20"/>
              </w:rPr>
            </w:pPr>
          </w:p>
        </w:tc>
        <w:tc>
          <w:tcPr>
            <w:tcW w:w="1969" w:type="dxa"/>
            <w:tcBorders>
              <w:top w:val="single" w:sz="4" w:space="0" w:color="000000"/>
              <w:left w:val="single" w:sz="4" w:space="0" w:color="000000"/>
              <w:right w:val="single" w:sz="4" w:space="0" w:color="000000"/>
            </w:tcBorders>
            <w:shd w:val="clear" w:color="auto" w:fill="auto"/>
            <w:vAlign w:val="center"/>
          </w:tcPr>
          <w:p w14:paraId="3F3C73E8" w14:textId="237BDF2A" w:rsidR="00232D77" w:rsidRPr="008A26D2" w:rsidRDefault="00232D77" w:rsidP="00324662">
            <w:pPr>
              <w:tabs>
                <w:tab w:val="left" w:pos="3375"/>
              </w:tabs>
              <w:ind w:left="128"/>
              <w:jc w:val="center"/>
              <w:rPr>
                <w:rFonts w:ascii="Arial" w:eastAsia="Arial Narrow" w:hAnsi="Arial" w:cs="Arial"/>
                <w:sz w:val="20"/>
                <w:szCs w:val="20"/>
              </w:rPr>
            </w:pPr>
          </w:p>
        </w:tc>
      </w:tr>
      <w:tr w:rsidR="008A26D2" w:rsidRPr="008A26D2" w14:paraId="21C629EA" w14:textId="77777777" w:rsidTr="0072651A">
        <w:trPr>
          <w:trHeight w:val="300"/>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F19589A" w14:textId="77777777" w:rsidR="00232D77" w:rsidRPr="008A26D2" w:rsidRDefault="00232D77" w:rsidP="00232D77">
            <w:pPr>
              <w:tabs>
                <w:tab w:val="left" w:pos="3375"/>
              </w:tabs>
              <w:rPr>
                <w:rFonts w:ascii="Arial" w:hAnsi="Arial" w:cs="Arial"/>
                <w:b/>
                <w:sz w:val="20"/>
                <w:szCs w:val="20"/>
              </w:rPr>
            </w:pPr>
            <w:r w:rsidRPr="008A26D2">
              <w:rPr>
                <w:rFonts w:ascii="Arial" w:hAnsi="Arial" w:cs="Arial"/>
                <w:b/>
                <w:sz w:val="20"/>
                <w:szCs w:val="20"/>
              </w:rPr>
              <w:t xml:space="preserve"> Receptor del servicio</w:t>
            </w:r>
          </w:p>
        </w:tc>
        <w:tc>
          <w:tcPr>
            <w:tcW w:w="590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A68CE7A" w14:textId="77777777" w:rsidR="00232D77" w:rsidRPr="008A26D2" w:rsidRDefault="00232D77" w:rsidP="00232D77">
            <w:pPr>
              <w:tabs>
                <w:tab w:val="left" w:pos="3375"/>
              </w:tabs>
              <w:ind w:left="128"/>
              <w:rPr>
                <w:rFonts w:ascii="Arial" w:hAnsi="Arial" w:cs="Arial"/>
                <w:sz w:val="20"/>
                <w:szCs w:val="20"/>
              </w:rPr>
            </w:pPr>
            <w:r w:rsidRPr="008A26D2">
              <w:rPr>
                <w:rFonts w:ascii="Arial" w:eastAsia="Arial Narrow" w:hAnsi="Arial" w:cs="Arial"/>
                <w:sz w:val="20"/>
                <w:szCs w:val="20"/>
              </w:rPr>
              <w:t>Unidades Técnicas de Manejo Forestal Comunitario</w:t>
            </w:r>
          </w:p>
        </w:tc>
      </w:tr>
      <w:tr w:rsidR="008A26D2" w:rsidRPr="008A26D2" w14:paraId="1AEC8CEE" w14:textId="77777777" w:rsidTr="0072651A">
        <w:trPr>
          <w:trHeight w:val="211"/>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A42B8C5" w14:textId="77777777" w:rsidR="00232D77" w:rsidRPr="008A26D2" w:rsidRDefault="00232D77" w:rsidP="00232D77">
            <w:pPr>
              <w:tabs>
                <w:tab w:val="left" w:pos="3375"/>
              </w:tabs>
              <w:rPr>
                <w:rFonts w:ascii="Arial" w:hAnsi="Arial" w:cs="Arial"/>
                <w:b/>
                <w:sz w:val="20"/>
                <w:szCs w:val="20"/>
              </w:rPr>
            </w:pPr>
            <w:r w:rsidRPr="008A26D2">
              <w:rPr>
                <w:rFonts w:ascii="Arial" w:hAnsi="Arial" w:cs="Arial"/>
                <w:b/>
                <w:sz w:val="20"/>
                <w:szCs w:val="20"/>
              </w:rPr>
              <w:t xml:space="preserve"> Alcance del servicio </w:t>
            </w:r>
          </w:p>
        </w:tc>
        <w:tc>
          <w:tcPr>
            <w:tcW w:w="590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CB73155" w14:textId="77777777" w:rsidR="00232D77" w:rsidRPr="008A26D2" w:rsidRDefault="00232D77" w:rsidP="00232D77">
            <w:pPr>
              <w:tabs>
                <w:tab w:val="left" w:pos="3375"/>
              </w:tabs>
              <w:ind w:left="128"/>
              <w:rPr>
                <w:rFonts w:ascii="Arial" w:hAnsi="Arial" w:cs="Arial"/>
                <w:sz w:val="20"/>
                <w:szCs w:val="20"/>
              </w:rPr>
            </w:pPr>
            <w:r w:rsidRPr="008A26D2">
              <w:rPr>
                <w:rFonts w:ascii="Arial" w:eastAsia="Arial Narrow" w:hAnsi="Arial" w:cs="Arial"/>
                <w:sz w:val="20"/>
                <w:szCs w:val="20"/>
              </w:rPr>
              <w:t>Nacional</w:t>
            </w:r>
          </w:p>
        </w:tc>
      </w:tr>
      <w:tr w:rsidR="008A26D2" w:rsidRPr="008A26D2" w14:paraId="5F95A79B" w14:textId="77777777" w:rsidTr="0072651A">
        <w:trPr>
          <w:trHeight w:val="62"/>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FE75475" w14:textId="77777777" w:rsidR="00232D77" w:rsidRPr="008A26D2" w:rsidRDefault="00232D77" w:rsidP="00232D77">
            <w:pPr>
              <w:tabs>
                <w:tab w:val="left" w:pos="3375"/>
              </w:tabs>
              <w:rPr>
                <w:rFonts w:ascii="Arial" w:hAnsi="Arial" w:cs="Arial"/>
                <w:b/>
                <w:sz w:val="20"/>
                <w:szCs w:val="20"/>
              </w:rPr>
            </w:pPr>
            <w:r w:rsidRPr="008A26D2">
              <w:rPr>
                <w:rFonts w:ascii="Arial" w:hAnsi="Arial" w:cs="Arial"/>
                <w:b/>
                <w:sz w:val="20"/>
                <w:szCs w:val="20"/>
              </w:rPr>
              <w:t xml:space="preserve"> Estándar (es) de cumplimiento</w:t>
            </w:r>
          </w:p>
        </w:tc>
        <w:tc>
          <w:tcPr>
            <w:tcW w:w="590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68A01013" w14:textId="77777777" w:rsidR="00232D77" w:rsidRPr="008A26D2" w:rsidRDefault="00232D77" w:rsidP="00232D77">
            <w:pPr>
              <w:tabs>
                <w:tab w:val="left" w:pos="3375"/>
              </w:tabs>
              <w:ind w:left="128"/>
              <w:rPr>
                <w:rFonts w:ascii="Arial" w:hAnsi="Arial" w:cs="Arial"/>
                <w:sz w:val="20"/>
                <w:szCs w:val="20"/>
              </w:rPr>
            </w:pPr>
            <w:r w:rsidRPr="008A26D2">
              <w:rPr>
                <w:rFonts w:ascii="Arial" w:eastAsia="Arial Narrow" w:hAnsi="Arial" w:cs="Arial"/>
                <w:sz w:val="20"/>
                <w:szCs w:val="20"/>
              </w:rPr>
              <w:t>Percepción</w:t>
            </w:r>
          </w:p>
        </w:tc>
      </w:tr>
      <w:tr w:rsidR="008A26D2" w:rsidRPr="008A26D2" w14:paraId="14DC675D" w14:textId="77777777" w:rsidTr="0072651A">
        <w:trPr>
          <w:trHeight w:val="300"/>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B4BC512" w14:textId="77777777" w:rsidR="00232D77" w:rsidRPr="008A26D2" w:rsidRDefault="00232D77" w:rsidP="00232D77">
            <w:pPr>
              <w:tabs>
                <w:tab w:val="left" w:pos="3375"/>
              </w:tabs>
              <w:rPr>
                <w:rFonts w:ascii="Arial" w:hAnsi="Arial" w:cs="Arial"/>
                <w:b/>
                <w:sz w:val="20"/>
                <w:szCs w:val="20"/>
              </w:rPr>
            </w:pPr>
            <w:r w:rsidRPr="008A26D2">
              <w:rPr>
                <w:rFonts w:ascii="Arial" w:hAnsi="Arial" w:cs="Arial"/>
                <w:b/>
                <w:sz w:val="20"/>
                <w:szCs w:val="20"/>
              </w:rPr>
              <w:t xml:space="preserve"> Descripción del estándar</w:t>
            </w:r>
          </w:p>
        </w:tc>
        <w:tc>
          <w:tcPr>
            <w:tcW w:w="590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35" w:type="dxa"/>
              <w:bottom w:w="0" w:type="dxa"/>
              <w:right w:w="15" w:type="dxa"/>
            </w:tcMar>
            <w:vAlign w:val="center"/>
          </w:tcPr>
          <w:p w14:paraId="74D3FC42" w14:textId="77777777" w:rsidR="00232D77" w:rsidRPr="008A26D2" w:rsidRDefault="00232D77" w:rsidP="00232D77">
            <w:pPr>
              <w:pBdr>
                <w:top w:val="nil"/>
                <w:left w:val="nil"/>
                <w:bottom w:val="nil"/>
                <w:right w:val="nil"/>
                <w:between w:val="nil"/>
              </w:pBdr>
              <w:spacing w:after="0" w:line="240" w:lineRule="auto"/>
              <w:jc w:val="both"/>
              <w:rPr>
                <w:rFonts w:ascii="Arial" w:eastAsia="Times New Roman" w:hAnsi="Arial" w:cs="Arial"/>
                <w:sz w:val="20"/>
                <w:szCs w:val="20"/>
                <w:lang w:val="es-ES"/>
              </w:rPr>
            </w:pPr>
            <w:r w:rsidRPr="008A26D2">
              <w:rPr>
                <w:rFonts w:ascii="Arial" w:eastAsia="Times New Roman" w:hAnsi="Arial" w:cs="Arial"/>
                <w:sz w:val="20"/>
                <w:szCs w:val="20"/>
                <w:lang w:val="es-ES"/>
              </w:rPr>
              <w:t xml:space="preserve">El estándar del servicio es de percepción debido a que éste satisface las expectativas de capacitación en </w:t>
            </w:r>
            <w:r w:rsidRPr="008A26D2">
              <w:rPr>
                <w:rFonts w:ascii="Arial" w:eastAsia="Arial Narrow" w:hAnsi="Arial" w:cs="Arial"/>
                <w:sz w:val="20"/>
                <w:szCs w:val="20"/>
              </w:rPr>
              <w:t>aspectos técnicos y administrativos</w:t>
            </w:r>
            <w:r w:rsidRPr="008A26D2">
              <w:rPr>
                <w:rFonts w:ascii="Arial" w:eastAsia="Times New Roman" w:hAnsi="Arial" w:cs="Arial"/>
                <w:sz w:val="20"/>
                <w:szCs w:val="20"/>
                <w:lang w:val="es-ES"/>
              </w:rPr>
              <w:t xml:space="preserve"> de las </w:t>
            </w:r>
            <w:r w:rsidRPr="008A26D2">
              <w:rPr>
                <w:rFonts w:ascii="Arial" w:eastAsia="Arial Narrow" w:hAnsi="Arial" w:cs="Arial"/>
                <w:sz w:val="20"/>
                <w:szCs w:val="20"/>
              </w:rPr>
              <w:t>Unidades Técnicas de Manejo Forestal Comunitario</w:t>
            </w:r>
            <w:r w:rsidRPr="008A26D2">
              <w:rPr>
                <w:rFonts w:ascii="Arial" w:eastAsia="Times New Roman" w:hAnsi="Arial" w:cs="Arial"/>
                <w:sz w:val="20"/>
                <w:szCs w:val="20"/>
                <w:lang w:val="es-ES"/>
              </w:rPr>
              <w:t>.</w:t>
            </w:r>
          </w:p>
          <w:p w14:paraId="03815D13" w14:textId="77777777" w:rsidR="00232D77" w:rsidRPr="008A26D2" w:rsidRDefault="00232D77" w:rsidP="00232D77">
            <w:pPr>
              <w:pBdr>
                <w:top w:val="nil"/>
                <w:left w:val="nil"/>
                <w:bottom w:val="nil"/>
                <w:right w:val="nil"/>
                <w:between w:val="nil"/>
              </w:pBdr>
              <w:spacing w:after="0" w:line="240" w:lineRule="auto"/>
              <w:jc w:val="both"/>
              <w:rPr>
                <w:rFonts w:ascii="Arial" w:hAnsi="Arial" w:cs="Arial"/>
                <w:strike/>
                <w:sz w:val="20"/>
                <w:szCs w:val="20"/>
              </w:rPr>
            </w:pPr>
          </w:p>
        </w:tc>
      </w:tr>
      <w:tr w:rsidR="00232D77" w:rsidRPr="008A26D2" w14:paraId="63ACDF28" w14:textId="77777777" w:rsidTr="0072651A">
        <w:trPr>
          <w:trHeight w:val="491"/>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6761CDF" w14:textId="7A41C406" w:rsidR="00232D77" w:rsidRPr="008A26D2" w:rsidRDefault="00232D77" w:rsidP="00232D77">
            <w:pPr>
              <w:tabs>
                <w:tab w:val="left" w:pos="3375"/>
              </w:tabs>
              <w:rPr>
                <w:rFonts w:ascii="Arial" w:hAnsi="Arial" w:cs="Arial"/>
                <w:b/>
                <w:sz w:val="20"/>
                <w:szCs w:val="20"/>
              </w:rPr>
            </w:pPr>
            <w:r w:rsidRPr="008A26D2">
              <w:rPr>
                <w:rFonts w:ascii="Arial" w:hAnsi="Arial" w:cs="Arial"/>
                <w:b/>
                <w:sz w:val="20"/>
                <w:szCs w:val="20"/>
              </w:rPr>
              <w:t>Indicador de calidad</w:t>
            </w:r>
          </w:p>
        </w:tc>
        <w:tc>
          <w:tcPr>
            <w:tcW w:w="590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5C3E78CB" w14:textId="51671868" w:rsidR="00232D77" w:rsidRPr="008A26D2" w:rsidRDefault="00232D77" w:rsidP="00232D77">
            <w:pPr>
              <w:pBdr>
                <w:top w:val="nil"/>
                <w:left w:val="nil"/>
                <w:bottom w:val="nil"/>
                <w:right w:val="nil"/>
                <w:between w:val="nil"/>
              </w:pBdr>
              <w:spacing w:after="0" w:line="240" w:lineRule="auto"/>
              <w:jc w:val="both"/>
              <w:rPr>
                <w:rFonts w:ascii="Arial" w:hAnsi="Arial" w:cs="Arial"/>
                <w:strike/>
                <w:sz w:val="20"/>
                <w:szCs w:val="20"/>
              </w:rPr>
            </w:pPr>
            <w:r w:rsidRPr="008A26D2">
              <w:rPr>
                <w:rFonts w:ascii="Arial" w:eastAsia="Times New Roman" w:hAnsi="Arial" w:cs="Arial"/>
                <w:sz w:val="20"/>
                <w:szCs w:val="20"/>
              </w:rPr>
              <w:t xml:space="preserve">Porcentaje del personal de las </w:t>
            </w:r>
            <w:r w:rsidRPr="008A26D2">
              <w:rPr>
                <w:rFonts w:ascii="Arial" w:eastAsia="Arial Narrow" w:hAnsi="Arial" w:cs="Arial"/>
                <w:sz w:val="20"/>
                <w:szCs w:val="20"/>
              </w:rPr>
              <w:t>Unidades Técnicas de Manejo Forestal Comunitario con alto grado de satisfacción sobre las capacitaciones recibidas en formulación e implementación de programas de capacitación</w:t>
            </w:r>
          </w:p>
        </w:tc>
      </w:tr>
    </w:tbl>
    <w:p w14:paraId="1A795BD2" w14:textId="77777777" w:rsidR="00385338" w:rsidRPr="008A26D2" w:rsidRDefault="00385338">
      <w:pPr>
        <w:rPr>
          <w:rFonts w:ascii="Arial Narrow" w:eastAsia="Arial Narrow" w:hAnsi="Arial Narrow" w:cs="Arial Narrow"/>
          <w:b/>
        </w:rPr>
      </w:pPr>
    </w:p>
    <w:p w14:paraId="50A1B0C5" w14:textId="77777777" w:rsidR="00385338" w:rsidRDefault="00385338">
      <w:pPr>
        <w:rPr>
          <w:rFonts w:ascii="Arial Narrow" w:eastAsia="Arial Narrow" w:hAnsi="Arial Narrow" w:cs="Arial Narrow"/>
          <w:b/>
        </w:rPr>
      </w:pPr>
    </w:p>
    <w:p w14:paraId="68603941" w14:textId="60961826" w:rsidR="00385338" w:rsidRPr="008A26D2" w:rsidRDefault="00385338" w:rsidP="00385338">
      <w:pPr>
        <w:pBdr>
          <w:top w:val="nil"/>
          <w:left w:val="nil"/>
          <w:bottom w:val="nil"/>
          <w:right w:val="nil"/>
          <w:between w:val="nil"/>
        </w:pBdr>
        <w:spacing w:after="0" w:line="240" w:lineRule="auto"/>
        <w:jc w:val="both"/>
        <w:rPr>
          <w:rFonts w:ascii="Arial" w:eastAsia="Arial Narrow" w:hAnsi="Arial" w:cs="Arial"/>
        </w:rPr>
      </w:pPr>
      <w:r w:rsidRPr="008A26D2">
        <w:rPr>
          <w:rFonts w:ascii="Arial" w:eastAsia="Arial Narrow" w:hAnsi="Arial" w:cs="Arial"/>
          <w:b/>
          <w:bCs/>
        </w:rPr>
        <w:t>S3.2.4</w:t>
      </w:r>
      <w:r w:rsidRPr="008A26D2">
        <w:rPr>
          <w:rFonts w:ascii="Arial" w:eastAsia="Arial Narrow" w:hAnsi="Arial" w:cs="Arial"/>
        </w:rPr>
        <w:t xml:space="preserve"> </w:t>
      </w:r>
      <w:r w:rsidR="007C3249" w:rsidRPr="007C3249">
        <w:rPr>
          <w:rFonts w:ascii="Arial" w:eastAsia="Arial Narrow" w:hAnsi="Arial" w:cs="Arial"/>
        </w:rPr>
        <w:t>Vigilancia de las reservas indígenas y territoriales de manera permanente para la protección de los pueblos indígenas en situación de aislamiento y situación de contacto inicial (PIACI) de la amazonia peruana</w:t>
      </w:r>
    </w:p>
    <w:p w14:paraId="55DC9C15" w14:textId="77777777" w:rsidR="00385338" w:rsidRPr="008A26D2" w:rsidRDefault="00385338" w:rsidP="00385338">
      <w:pPr>
        <w:pBdr>
          <w:top w:val="nil"/>
          <w:left w:val="nil"/>
          <w:bottom w:val="nil"/>
          <w:right w:val="nil"/>
          <w:between w:val="nil"/>
        </w:pBdr>
        <w:spacing w:after="0" w:line="240" w:lineRule="auto"/>
        <w:jc w:val="both"/>
        <w:rPr>
          <w:rFonts w:ascii="Arial Narrow" w:eastAsia="Arial Narrow" w:hAnsi="Arial Narrow" w:cs="Arial"/>
          <w:sz w:val="20"/>
          <w:szCs w:val="20"/>
        </w:rPr>
      </w:pPr>
    </w:p>
    <w:tbl>
      <w:tblPr>
        <w:tblW w:w="8435" w:type="dxa"/>
        <w:jc w:val="center"/>
        <w:tblLayout w:type="fixed"/>
        <w:tblLook w:val="0600" w:firstRow="0" w:lastRow="0" w:firstColumn="0" w:lastColumn="0" w:noHBand="1" w:noVBand="1"/>
      </w:tblPr>
      <w:tblGrid>
        <w:gridCol w:w="2835"/>
        <w:gridCol w:w="1866"/>
        <w:gridCol w:w="1867"/>
        <w:gridCol w:w="1867"/>
      </w:tblGrid>
      <w:tr w:rsidR="008A26D2" w:rsidRPr="008A26D2" w14:paraId="2E32EB45" w14:textId="77777777" w:rsidTr="0072651A">
        <w:trPr>
          <w:trHeight w:val="300"/>
          <w:jc w:val="center"/>
        </w:trPr>
        <w:tc>
          <w:tcPr>
            <w:tcW w:w="8435"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center"/>
          </w:tcPr>
          <w:p w14:paraId="1462D285" w14:textId="003E59F2" w:rsidR="00385338" w:rsidRPr="008A26D2" w:rsidRDefault="00385338" w:rsidP="0072651A">
            <w:pPr>
              <w:jc w:val="center"/>
              <w:rPr>
                <w:rFonts w:ascii="Arial" w:hAnsi="Arial" w:cs="Arial"/>
                <w:sz w:val="20"/>
                <w:szCs w:val="20"/>
              </w:rPr>
            </w:pPr>
            <w:r w:rsidRPr="008A26D2">
              <w:rPr>
                <w:rFonts w:ascii="Arial" w:hAnsi="Arial" w:cs="Arial"/>
                <w:b/>
                <w:sz w:val="20"/>
                <w:szCs w:val="20"/>
              </w:rPr>
              <w:t xml:space="preserve">FICHA DEL SERVICIO </w:t>
            </w:r>
          </w:p>
        </w:tc>
      </w:tr>
      <w:tr w:rsidR="008A26D2" w:rsidRPr="008A26D2" w14:paraId="0C6BD7AF" w14:textId="77777777" w:rsidTr="0072651A">
        <w:trPr>
          <w:trHeight w:val="300"/>
          <w:jc w:val="center"/>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27888D2" w14:textId="77777777" w:rsidR="00385338" w:rsidRPr="008A26D2" w:rsidRDefault="00385338"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Objetivo prioritario:</w:t>
            </w:r>
          </w:p>
        </w:tc>
        <w:tc>
          <w:tcPr>
            <w:tcW w:w="5600"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9D5BB66" w14:textId="217145C2" w:rsidR="00385338" w:rsidRPr="008A26D2" w:rsidRDefault="00385338" w:rsidP="0072651A">
            <w:pPr>
              <w:pBdr>
                <w:top w:val="nil"/>
                <w:left w:val="nil"/>
                <w:bottom w:val="nil"/>
                <w:right w:val="nil"/>
                <w:between w:val="nil"/>
              </w:pBdr>
              <w:spacing w:after="0" w:line="240" w:lineRule="auto"/>
              <w:jc w:val="both"/>
              <w:rPr>
                <w:rFonts w:ascii="Arial" w:hAnsi="Arial" w:cs="Arial"/>
                <w:sz w:val="20"/>
                <w:szCs w:val="20"/>
              </w:rPr>
            </w:pPr>
            <w:r w:rsidRPr="008A26D2">
              <w:rPr>
                <w:rFonts w:ascii="Arial" w:eastAsia="Arial Narrow" w:hAnsi="Arial" w:cs="Arial"/>
                <w:sz w:val="20"/>
                <w:szCs w:val="20"/>
              </w:rPr>
              <w:t>OP3 Fortalecer la gobernanza forestal y de fauna silvestre</w:t>
            </w:r>
            <w:r w:rsidRPr="008A26D2">
              <w:rPr>
                <w:rFonts w:ascii="Arial" w:hAnsi="Arial" w:cs="Arial"/>
                <w:sz w:val="20"/>
                <w:szCs w:val="20"/>
              </w:rPr>
              <w:t xml:space="preserve">  </w:t>
            </w:r>
          </w:p>
          <w:p w14:paraId="47831FE8" w14:textId="3266810B" w:rsidR="00385338" w:rsidRPr="008A26D2" w:rsidRDefault="00385338" w:rsidP="0072651A">
            <w:pPr>
              <w:pBdr>
                <w:top w:val="nil"/>
                <w:left w:val="nil"/>
                <w:bottom w:val="nil"/>
                <w:right w:val="nil"/>
                <w:between w:val="nil"/>
              </w:pBdr>
              <w:spacing w:after="0" w:line="240" w:lineRule="auto"/>
              <w:jc w:val="both"/>
              <w:rPr>
                <w:rFonts w:ascii="Arial" w:hAnsi="Arial" w:cs="Arial"/>
                <w:sz w:val="20"/>
                <w:szCs w:val="20"/>
              </w:rPr>
            </w:pPr>
          </w:p>
        </w:tc>
      </w:tr>
      <w:tr w:rsidR="008A26D2" w:rsidRPr="008A26D2" w14:paraId="564B347E" w14:textId="77777777" w:rsidTr="0072651A">
        <w:trPr>
          <w:trHeight w:val="300"/>
          <w:jc w:val="center"/>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03E043B" w14:textId="77777777" w:rsidR="00385338" w:rsidRPr="008A26D2" w:rsidRDefault="00385338"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lastRenderedPageBreak/>
              <w:t xml:space="preserve"> Lineamiento:</w:t>
            </w:r>
          </w:p>
        </w:tc>
        <w:tc>
          <w:tcPr>
            <w:tcW w:w="5600"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63512FE" w14:textId="77777777" w:rsidR="00385338" w:rsidRPr="008A26D2" w:rsidRDefault="00385338" w:rsidP="0072651A">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L3.2 Desarrollar programas orientados a la mejora de la gestión y aprovechamiento sostenible de los recursos forestales y de fauna silvestre en pueblos indígenas u originarios (comunidades campesinas, comunidades nativas, entre otros)</w:t>
            </w:r>
          </w:p>
          <w:p w14:paraId="04309184" w14:textId="118DF740" w:rsidR="00385338" w:rsidRPr="008A26D2" w:rsidRDefault="00385338" w:rsidP="0072651A">
            <w:pPr>
              <w:pBdr>
                <w:top w:val="nil"/>
                <w:left w:val="nil"/>
                <w:bottom w:val="nil"/>
                <w:right w:val="nil"/>
                <w:between w:val="nil"/>
              </w:pBdr>
              <w:spacing w:after="0" w:line="240" w:lineRule="auto"/>
              <w:jc w:val="both"/>
              <w:rPr>
                <w:rFonts w:ascii="Arial" w:eastAsia="Arial Narrow" w:hAnsi="Arial" w:cs="Arial"/>
                <w:sz w:val="20"/>
                <w:szCs w:val="20"/>
              </w:rPr>
            </w:pPr>
          </w:p>
        </w:tc>
      </w:tr>
      <w:tr w:rsidR="008A26D2" w:rsidRPr="008A26D2" w14:paraId="10DC04EA" w14:textId="77777777" w:rsidTr="0072651A">
        <w:trPr>
          <w:trHeight w:val="300"/>
          <w:jc w:val="center"/>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E29A0D0" w14:textId="77777777" w:rsidR="00385338" w:rsidRPr="008A26D2" w:rsidRDefault="00385338" w:rsidP="0072651A">
            <w:pPr>
              <w:pBdr>
                <w:top w:val="nil"/>
                <w:left w:val="nil"/>
                <w:bottom w:val="nil"/>
                <w:right w:val="nil"/>
                <w:between w:val="nil"/>
              </w:pBdr>
              <w:spacing w:after="0" w:line="240" w:lineRule="auto"/>
              <w:rPr>
                <w:rFonts w:ascii="Arial" w:eastAsia="Arial Narrow" w:hAnsi="Arial" w:cs="Arial"/>
                <w:b/>
                <w:bCs/>
                <w:sz w:val="20"/>
                <w:szCs w:val="20"/>
              </w:rPr>
            </w:pPr>
            <w:r w:rsidRPr="008A26D2">
              <w:rPr>
                <w:rFonts w:ascii="Arial" w:eastAsia="Arial Narrow" w:hAnsi="Arial" w:cs="Arial"/>
                <w:sz w:val="20"/>
                <w:szCs w:val="20"/>
              </w:rPr>
              <w:t xml:space="preserve"> </w:t>
            </w:r>
            <w:r w:rsidRPr="008A26D2">
              <w:rPr>
                <w:rFonts w:ascii="Arial" w:eastAsia="Arial Narrow" w:hAnsi="Arial" w:cs="Arial"/>
                <w:b/>
                <w:bCs/>
                <w:sz w:val="20"/>
                <w:szCs w:val="20"/>
              </w:rPr>
              <w:t>Nombre del servicio:</w:t>
            </w:r>
          </w:p>
        </w:tc>
        <w:tc>
          <w:tcPr>
            <w:tcW w:w="5600"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AE36665" w14:textId="4012330D" w:rsidR="00385338" w:rsidRPr="008A26D2" w:rsidRDefault="00385338" w:rsidP="0098797D">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S3.2.4 </w:t>
            </w:r>
            <w:r w:rsidR="008516F0" w:rsidRPr="008A26D2">
              <w:rPr>
                <w:rFonts w:ascii="Arial" w:eastAsia="Times New Roman" w:hAnsi="Arial" w:cs="Arial"/>
                <w:sz w:val="20"/>
                <w:szCs w:val="20"/>
              </w:rPr>
              <w:t>Vigilancia de las reservas indígenas y territoriales de manera permanente para la protección de los pueblos indígenas en situación de aislamiento y situación de contacto inicial (PIACI) de la amazonia peruana</w:t>
            </w:r>
          </w:p>
        </w:tc>
      </w:tr>
      <w:tr w:rsidR="008A26D2" w:rsidRPr="008A26D2" w14:paraId="2970310D" w14:textId="77777777" w:rsidTr="0072651A">
        <w:trPr>
          <w:trHeight w:val="300"/>
          <w:jc w:val="center"/>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3B53EC7" w14:textId="77777777" w:rsidR="00385338" w:rsidRPr="008A26D2" w:rsidRDefault="00385338" w:rsidP="0072651A">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Tipo de servicio: </w:t>
            </w:r>
          </w:p>
        </w:tc>
        <w:tc>
          <w:tcPr>
            <w:tcW w:w="5600"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B3633DB" w14:textId="77777777" w:rsidR="00385338" w:rsidRPr="008A26D2" w:rsidRDefault="00385338" w:rsidP="0072651A">
            <w:pPr>
              <w:pBdr>
                <w:top w:val="nil"/>
                <w:left w:val="nil"/>
                <w:bottom w:val="nil"/>
                <w:right w:val="nil"/>
                <w:between w:val="nil"/>
              </w:pBdr>
              <w:spacing w:after="0" w:line="240" w:lineRule="auto"/>
              <w:jc w:val="both"/>
              <w:rPr>
                <w:rFonts w:ascii="Arial" w:hAnsi="Arial" w:cs="Arial"/>
                <w:sz w:val="20"/>
                <w:szCs w:val="20"/>
              </w:rPr>
            </w:pPr>
            <w:r w:rsidRPr="008A26D2">
              <w:rPr>
                <w:rFonts w:ascii="Arial" w:hAnsi="Arial" w:cs="Arial"/>
                <w:sz w:val="20"/>
                <w:szCs w:val="20"/>
              </w:rPr>
              <w:t xml:space="preserve"> Mejorado</w:t>
            </w:r>
          </w:p>
        </w:tc>
      </w:tr>
      <w:tr w:rsidR="008A26D2" w:rsidRPr="008A26D2" w14:paraId="42391147" w14:textId="77777777" w:rsidTr="0072651A">
        <w:trPr>
          <w:trHeight w:val="300"/>
          <w:jc w:val="center"/>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814F814" w14:textId="03D52D44" w:rsidR="006D6131" w:rsidRPr="008A26D2" w:rsidRDefault="006D6131" w:rsidP="006D6131">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Naturaleza del servicio:</w:t>
            </w:r>
          </w:p>
        </w:tc>
        <w:tc>
          <w:tcPr>
            <w:tcW w:w="5600"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77DDAA0" w14:textId="72911D43" w:rsidR="006D6131" w:rsidRPr="008A26D2" w:rsidRDefault="00A32B05" w:rsidP="006D6131">
            <w:pPr>
              <w:pBdr>
                <w:top w:val="nil"/>
                <w:left w:val="nil"/>
                <w:bottom w:val="nil"/>
                <w:right w:val="nil"/>
                <w:between w:val="nil"/>
              </w:pBdr>
              <w:spacing w:after="0" w:line="240" w:lineRule="auto"/>
              <w:jc w:val="both"/>
              <w:rPr>
                <w:rFonts w:ascii="Arial" w:hAnsi="Arial" w:cs="Arial"/>
                <w:sz w:val="20"/>
                <w:szCs w:val="20"/>
              </w:rPr>
            </w:pPr>
            <w:r w:rsidRPr="008A26D2">
              <w:rPr>
                <w:rFonts w:ascii="Arial" w:eastAsia="Arial Narrow" w:hAnsi="Arial" w:cs="Arial"/>
                <w:sz w:val="20"/>
                <w:szCs w:val="20"/>
              </w:rPr>
              <w:t>P</w:t>
            </w:r>
            <w:r w:rsidR="006D6131" w:rsidRPr="008A26D2">
              <w:rPr>
                <w:rFonts w:ascii="Arial" w:eastAsia="Arial Narrow" w:hAnsi="Arial" w:cs="Arial"/>
                <w:sz w:val="20"/>
                <w:szCs w:val="20"/>
              </w:rPr>
              <w:t>restacional</w:t>
            </w:r>
          </w:p>
        </w:tc>
      </w:tr>
      <w:tr w:rsidR="008A26D2" w:rsidRPr="008A26D2" w14:paraId="1DCD705E" w14:textId="77777777" w:rsidTr="0072651A">
        <w:trPr>
          <w:trHeight w:val="300"/>
          <w:jc w:val="center"/>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ED24268" w14:textId="517C6C5F" w:rsidR="006D6131" w:rsidRPr="008A26D2" w:rsidRDefault="006D6131" w:rsidP="006D6131">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Entrega del servicio</w:t>
            </w:r>
          </w:p>
        </w:tc>
        <w:tc>
          <w:tcPr>
            <w:tcW w:w="5600"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34A8B43" w14:textId="33EE963E" w:rsidR="006D6131" w:rsidRPr="008A26D2" w:rsidRDefault="006D6131" w:rsidP="006D6131">
            <w:pPr>
              <w:pBdr>
                <w:top w:val="nil"/>
                <w:left w:val="nil"/>
                <w:bottom w:val="nil"/>
                <w:right w:val="nil"/>
                <w:between w:val="nil"/>
              </w:pBdr>
              <w:spacing w:after="0" w:line="240" w:lineRule="auto"/>
              <w:jc w:val="both"/>
              <w:rPr>
                <w:rFonts w:ascii="Arial" w:hAnsi="Arial" w:cs="Arial"/>
                <w:sz w:val="20"/>
                <w:szCs w:val="20"/>
              </w:rPr>
            </w:pPr>
            <w:r w:rsidRPr="008A26D2">
              <w:rPr>
                <w:rFonts w:ascii="Arial" w:eastAsia="Arial Narrow" w:hAnsi="Arial" w:cs="Arial"/>
                <w:sz w:val="20"/>
                <w:szCs w:val="20"/>
              </w:rPr>
              <w:t>Competencia exclusiva</w:t>
            </w:r>
          </w:p>
        </w:tc>
      </w:tr>
      <w:tr w:rsidR="008A26D2" w:rsidRPr="008A26D2" w14:paraId="2F60D11F" w14:textId="77777777" w:rsidTr="0072651A">
        <w:trPr>
          <w:trHeight w:val="300"/>
          <w:jc w:val="center"/>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016870E" w14:textId="77777777" w:rsidR="006D6131" w:rsidRPr="008A26D2" w:rsidRDefault="006D6131" w:rsidP="006D6131">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Descripción del servicio</w:t>
            </w:r>
          </w:p>
        </w:tc>
        <w:tc>
          <w:tcPr>
            <w:tcW w:w="5600"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B47FAEE" w14:textId="7BC9AB87" w:rsidR="006D6131" w:rsidRPr="008A26D2" w:rsidRDefault="006D6131" w:rsidP="006D6131">
            <w:pPr>
              <w:pStyle w:val="Textocomentario"/>
              <w:jc w:val="both"/>
              <w:rPr>
                <w:rFonts w:ascii="Arial" w:hAnsi="Arial" w:cs="Arial"/>
              </w:rPr>
            </w:pPr>
            <w:r w:rsidRPr="008A26D2">
              <w:rPr>
                <w:rFonts w:ascii="Arial" w:hAnsi="Arial" w:cs="Arial"/>
              </w:rPr>
              <w:t xml:space="preserve">El servicio consiste en la vigilancia permanente de las reservas indígenas y territoriales, a partir de acciones de identificación de zonas vulnerables, la planificación y el desarrollo de patrullajes continuos en ámbitos con presencia de </w:t>
            </w:r>
            <w:r w:rsidR="004E7D4B">
              <w:rPr>
                <w:rFonts w:ascii="Arial" w:hAnsi="Arial" w:cs="Arial"/>
              </w:rPr>
              <w:t>P</w:t>
            </w:r>
            <w:r w:rsidRPr="008A26D2">
              <w:rPr>
                <w:rFonts w:ascii="Arial" w:hAnsi="Arial" w:cs="Arial"/>
              </w:rPr>
              <w:t xml:space="preserve">ueblos </w:t>
            </w:r>
            <w:r w:rsidR="004E7D4B">
              <w:rPr>
                <w:rFonts w:ascii="Arial" w:hAnsi="Arial" w:cs="Arial"/>
              </w:rPr>
              <w:t>I</w:t>
            </w:r>
            <w:r w:rsidRPr="008A26D2">
              <w:rPr>
                <w:rFonts w:ascii="Arial" w:hAnsi="Arial" w:cs="Arial"/>
              </w:rPr>
              <w:t xml:space="preserve">ndígenas en </w:t>
            </w:r>
            <w:r w:rsidR="004E7D4B">
              <w:rPr>
                <w:rFonts w:ascii="Arial" w:hAnsi="Arial" w:cs="Arial"/>
              </w:rPr>
              <w:t>S</w:t>
            </w:r>
            <w:r w:rsidRPr="008A26D2">
              <w:rPr>
                <w:rFonts w:ascii="Arial" w:hAnsi="Arial" w:cs="Arial"/>
              </w:rPr>
              <w:t xml:space="preserve">ituación de </w:t>
            </w:r>
            <w:r w:rsidR="004E7D4B">
              <w:rPr>
                <w:rFonts w:ascii="Arial" w:hAnsi="Arial" w:cs="Arial"/>
              </w:rPr>
              <w:t>A</w:t>
            </w:r>
            <w:r w:rsidRPr="008A26D2">
              <w:rPr>
                <w:rFonts w:ascii="Arial" w:hAnsi="Arial" w:cs="Arial"/>
              </w:rPr>
              <w:t xml:space="preserve">islamiento </w:t>
            </w:r>
            <w:r w:rsidR="004E7D4B">
              <w:rPr>
                <w:rFonts w:ascii="Arial" w:hAnsi="Arial" w:cs="Arial"/>
              </w:rPr>
              <w:t xml:space="preserve">- </w:t>
            </w:r>
            <w:r w:rsidRPr="008A26D2">
              <w:rPr>
                <w:rFonts w:ascii="Arial" w:hAnsi="Arial" w:cs="Arial"/>
              </w:rPr>
              <w:t xml:space="preserve">PIA y la implementación de </w:t>
            </w:r>
            <w:r w:rsidR="004E7D4B">
              <w:rPr>
                <w:rFonts w:ascii="Arial" w:hAnsi="Arial" w:cs="Arial"/>
              </w:rPr>
              <w:t>P</w:t>
            </w:r>
            <w:r w:rsidRPr="008A26D2">
              <w:rPr>
                <w:rFonts w:ascii="Arial" w:hAnsi="Arial" w:cs="Arial"/>
              </w:rPr>
              <w:t xml:space="preserve">uestos de </w:t>
            </w:r>
            <w:r w:rsidR="004E7D4B">
              <w:rPr>
                <w:rFonts w:ascii="Arial" w:hAnsi="Arial" w:cs="Arial"/>
              </w:rPr>
              <w:t>C</w:t>
            </w:r>
            <w:r w:rsidRPr="008A26D2">
              <w:rPr>
                <w:rFonts w:ascii="Arial" w:hAnsi="Arial" w:cs="Arial"/>
              </w:rPr>
              <w:t xml:space="preserve">ontrol y </w:t>
            </w:r>
            <w:r w:rsidR="004E7D4B">
              <w:rPr>
                <w:rFonts w:ascii="Arial" w:hAnsi="Arial" w:cs="Arial"/>
              </w:rPr>
              <w:t>V</w:t>
            </w:r>
            <w:r w:rsidRPr="008A26D2">
              <w:rPr>
                <w:rFonts w:ascii="Arial" w:hAnsi="Arial" w:cs="Arial"/>
              </w:rPr>
              <w:t xml:space="preserve">igilancia </w:t>
            </w:r>
            <w:r w:rsidR="004E7D4B">
              <w:rPr>
                <w:rFonts w:ascii="Arial" w:hAnsi="Arial" w:cs="Arial"/>
              </w:rPr>
              <w:t xml:space="preserve">- </w:t>
            </w:r>
            <w:r w:rsidRPr="008A26D2">
              <w:rPr>
                <w:rFonts w:ascii="Arial" w:hAnsi="Arial" w:cs="Arial"/>
              </w:rPr>
              <w:t>PCV permanente en zonas estratégicas de acceso a las reservas indígenas y territoriales con el fin de gestionar la intangibilidad del territorio.</w:t>
            </w:r>
          </w:p>
          <w:p w14:paraId="637243F1" w14:textId="77777777" w:rsidR="006D6131" w:rsidRPr="008A26D2" w:rsidRDefault="006D6131" w:rsidP="006D6131">
            <w:pPr>
              <w:jc w:val="both"/>
              <w:rPr>
                <w:rFonts w:ascii="Arial" w:hAnsi="Arial" w:cs="Arial"/>
                <w:sz w:val="20"/>
                <w:szCs w:val="20"/>
              </w:rPr>
            </w:pPr>
            <w:r w:rsidRPr="008A26D2">
              <w:rPr>
                <w:rFonts w:ascii="Arial" w:hAnsi="Arial" w:cs="Arial"/>
                <w:sz w:val="20"/>
                <w:szCs w:val="20"/>
              </w:rPr>
              <w:t xml:space="preserve">La vigilancia de las reservas indígenas y territoriales coadyuva a la protección de los ecosistemas forestales y otros ecosistemas de vegetación silvestre, evitando de esta forma el ingreso de extractores ilegales. Asimismo, limita actividades extractivas de toda índole que pongan en riesgo el entorno y los pueblos </w:t>
            </w:r>
            <w:r w:rsidRPr="008A26D2">
              <w:rPr>
                <w:rFonts w:ascii="Arial" w:eastAsia="Arial Narrow" w:hAnsi="Arial" w:cs="Arial"/>
                <w:sz w:val="20"/>
                <w:szCs w:val="20"/>
              </w:rPr>
              <w:t>indígenas en situación de aislamiento o contacto inicial.</w:t>
            </w:r>
          </w:p>
          <w:p w14:paraId="1EB26C61" w14:textId="77777777" w:rsidR="00C41C0D" w:rsidRPr="008A26D2" w:rsidRDefault="00C41C0D" w:rsidP="00C41C0D">
            <w:pPr>
              <w:jc w:val="both"/>
              <w:rPr>
                <w:rFonts w:ascii="Arial" w:hAnsi="Arial" w:cs="Arial"/>
                <w:sz w:val="20"/>
                <w:szCs w:val="20"/>
              </w:rPr>
            </w:pPr>
            <w:r w:rsidRPr="008A26D2">
              <w:rPr>
                <w:rFonts w:ascii="Arial" w:hAnsi="Arial" w:cs="Arial"/>
                <w:sz w:val="20"/>
                <w:szCs w:val="20"/>
              </w:rPr>
              <w:t>Los patrullajes se programarán en un plan de trabajo anual, de tal forma que el servicio sea provisto de manera sostenida, realizando al menos 35 patrullajes al mes, tomando en cuenta criterios tales como: zona de acceso a reservas Indígenas y territoriales con presencia de población PIA o presencia de actividades ilegales.</w:t>
            </w:r>
          </w:p>
          <w:p w14:paraId="31A55955" w14:textId="4A2C9DBD" w:rsidR="006D6131" w:rsidRPr="008A26D2" w:rsidRDefault="00C41C0D" w:rsidP="006D6131">
            <w:pPr>
              <w:jc w:val="both"/>
              <w:rPr>
                <w:rFonts w:ascii="Arial" w:eastAsia="Arial Narrow" w:hAnsi="Arial" w:cs="Arial"/>
                <w:sz w:val="20"/>
                <w:szCs w:val="20"/>
              </w:rPr>
            </w:pPr>
            <w:r w:rsidRPr="008A26D2">
              <w:rPr>
                <w:rFonts w:ascii="Arial" w:hAnsi="Arial" w:cs="Arial"/>
                <w:sz w:val="20"/>
                <w:szCs w:val="20"/>
              </w:rPr>
              <w:t>El servicio es mejorado de forma permanente mediante la gestión con aliados cooperantes, lo cual permite equipar el sistema de control y vigilancia con tecnología tal como: equipos GPS, cámaras fotográficas, teléfonos satelitales, entre otros. Así como también, asegurar la contratación de personal a cargo de las acciones de control y vigilancia, su capacitación permanente e incrementar el número de puestos de control y vigilancia de forma gradual según se categoricen nuevas reservas indígenas y/o cierre de brechas en los frentes de acceso a las reservas indígenas.</w:t>
            </w:r>
          </w:p>
        </w:tc>
      </w:tr>
      <w:tr w:rsidR="008A26D2" w:rsidRPr="008A26D2" w14:paraId="510E5E36" w14:textId="77777777" w:rsidTr="0072651A">
        <w:trPr>
          <w:trHeight w:val="300"/>
          <w:jc w:val="center"/>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043516D" w14:textId="77777777" w:rsidR="006D6131" w:rsidRPr="008A26D2" w:rsidRDefault="006D6131" w:rsidP="006D6131">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Proveedor del servicio</w:t>
            </w:r>
          </w:p>
        </w:tc>
        <w:tc>
          <w:tcPr>
            <w:tcW w:w="5600"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197A129" w14:textId="77777777" w:rsidR="006D6131" w:rsidRPr="008A26D2" w:rsidRDefault="006D6131" w:rsidP="006D6131">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hAnsi="Arial" w:cs="Arial"/>
                <w:sz w:val="20"/>
                <w:szCs w:val="20"/>
              </w:rPr>
              <w:t>Ministerio de Cultura</w:t>
            </w:r>
          </w:p>
        </w:tc>
      </w:tr>
      <w:tr w:rsidR="008A26D2" w:rsidRPr="008A26D2" w14:paraId="25436D38" w14:textId="77777777" w:rsidTr="004864D2">
        <w:trPr>
          <w:trHeight w:val="458"/>
          <w:jc w:val="center"/>
        </w:trPr>
        <w:tc>
          <w:tcPr>
            <w:tcW w:w="2835" w:type="dxa"/>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06F57225" w14:textId="77777777" w:rsidR="006D6131" w:rsidRPr="008A26D2" w:rsidRDefault="006D6131" w:rsidP="002469C9">
            <w:pPr>
              <w:spacing w:after="0" w:line="240" w:lineRule="auto"/>
              <w:rPr>
                <w:rFonts w:ascii="Arial" w:hAnsi="Arial" w:cs="Arial"/>
                <w:b/>
                <w:sz w:val="20"/>
                <w:szCs w:val="20"/>
              </w:rPr>
            </w:pPr>
            <w:r w:rsidRPr="008A26D2">
              <w:rPr>
                <w:rFonts w:ascii="Arial" w:hAnsi="Arial" w:cs="Arial"/>
                <w:b/>
                <w:sz w:val="20"/>
                <w:szCs w:val="20"/>
              </w:rPr>
              <w:t>Nivel (es) de gobierno que interviene</w:t>
            </w:r>
          </w:p>
          <w:p w14:paraId="05A91511" w14:textId="11289763" w:rsidR="006D6131" w:rsidRPr="008A26D2" w:rsidRDefault="006D6131" w:rsidP="006D6131">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(n) en la provisión del servicio</w:t>
            </w:r>
          </w:p>
        </w:tc>
        <w:tc>
          <w:tcPr>
            <w:tcW w:w="1866"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7858C228" w14:textId="482A8415" w:rsidR="006D6131" w:rsidRPr="008A26D2" w:rsidRDefault="006D6131" w:rsidP="00C41C0D">
            <w:pPr>
              <w:pBdr>
                <w:top w:val="nil"/>
                <w:left w:val="nil"/>
                <w:bottom w:val="nil"/>
                <w:right w:val="nil"/>
                <w:between w:val="nil"/>
              </w:pBdr>
              <w:spacing w:after="0" w:line="240" w:lineRule="auto"/>
              <w:jc w:val="center"/>
              <w:rPr>
                <w:rFonts w:ascii="Arial" w:hAnsi="Arial" w:cs="Arial"/>
                <w:sz w:val="20"/>
                <w:szCs w:val="20"/>
              </w:rPr>
            </w:pPr>
            <w:r w:rsidRPr="008A26D2">
              <w:rPr>
                <w:rFonts w:ascii="Arial" w:eastAsia="Arial Narrow" w:hAnsi="Arial" w:cs="Arial"/>
                <w:sz w:val="20"/>
                <w:szCs w:val="20"/>
              </w:rPr>
              <w:t>Nacional</w:t>
            </w:r>
          </w:p>
        </w:tc>
        <w:tc>
          <w:tcPr>
            <w:tcW w:w="1867" w:type="dxa"/>
            <w:tcBorders>
              <w:top w:val="single" w:sz="4" w:space="0" w:color="000000"/>
              <w:left w:val="single" w:sz="4" w:space="0" w:color="000000"/>
              <w:right w:val="single" w:sz="4" w:space="0" w:color="000000"/>
            </w:tcBorders>
            <w:shd w:val="clear" w:color="auto" w:fill="auto"/>
            <w:vAlign w:val="center"/>
          </w:tcPr>
          <w:p w14:paraId="001D69E7" w14:textId="2219F079" w:rsidR="006D6131" w:rsidRPr="008A26D2" w:rsidRDefault="006D6131" w:rsidP="00C41C0D">
            <w:pPr>
              <w:pBdr>
                <w:top w:val="nil"/>
                <w:left w:val="nil"/>
                <w:bottom w:val="nil"/>
                <w:right w:val="nil"/>
                <w:between w:val="nil"/>
              </w:pBdr>
              <w:spacing w:after="0" w:line="240" w:lineRule="auto"/>
              <w:jc w:val="center"/>
              <w:rPr>
                <w:rFonts w:ascii="Arial" w:hAnsi="Arial" w:cs="Arial"/>
                <w:sz w:val="20"/>
                <w:szCs w:val="20"/>
              </w:rPr>
            </w:pPr>
            <w:r w:rsidRPr="008A26D2">
              <w:rPr>
                <w:rFonts w:ascii="Arial" w:eastAsia="Arial Narrow" w:hAnsi="Arial" w:cs="Arial"/>
                <w:sz w:val="20"/>
                <w:szCs w:val="20"/>
              </w:rPr>
              <w:t>Regional</w:t>
            </w:r>
          </w:p>
        </w:tc>
        <w:tc>
          <w:tcPr>
            <w:tcW w:w="1867" w:type="dxa"/>
            <w:tcBorders>
              <w:top w:val="single" w:sz="4" w:space="0" w:color="000000"/>
              <w:left w:val="single" w:sz="4" w:space="0" w:color="000000"/>
              <w:right w:val="single" w:sz="4" w:space="0" w:color="000000"/>
            </w:tcBorders>
            <w:shd w:val="clear" w:color="auto" w:fill="auto"/>
            <w:vAlign w:val="center"/>
          </w:tcPr>
          <w:p w14:paraId="4299E718" w14:textId="582B1970" w:rsidR="006D6131" w:rsidRPr="008A26D2" w:rsidRDefault="006D6131" w:rsidP="00C41C0D">
            <w:pPr>
              <w:pBdr>
                <w:top w:val="nil"/>
                <w:left w:val="nil"/>
                <w:bottom w:val="nil"/>
                <w:right w:val="nil"/>
                <w:between w:val="nil"/>
              </w:pBdr>
              <w:spacing w:after="0" w:line="240" w:lineRule="auto"/>
              <w:jc w:val="center"/>
              <w:rPr>
                <w:rFonts w:ascii="Arial" w:hAnsi="Arial" w:cs="Arial"/>
                <w:sz w:val="20"/>
                <w:szCs w:val="20"/>
              </w:rPr>
            </w:pPr>
            <w:r w:rsidRPr="008A26D2">
              <w:rPr>
                <w:rFonts w:ascii="Arial" w:eastAsia="Arial Narrow" w:hAnsi="Arial" w:cs="Arial"/>
                <w:sz w:val="20"/>
                <w:szCs w:val="20"/>
              </w:rPr>
              <w:t>Local</w:t>
            </w:r>
          </w:p>
        </w:tc>
      </w:tr>
      <w:tr w:rsidR="008A26D2" w:rsidRPr="008A26D2" w14:paraId="188BFE32" w14:textId="77777777" w:rsidTr="004864D2">
        <w:trPr>
          <w:trHeight w:val="457"/>
          <w:jc w:val="center"/>
        </w:trPr>
        <w:tc>
          <w:tcPr>
            <w:tcW w:w="2835" w:type="dxa"/>
            <w:vMerge/>
            <w:tcBorders>
              <w:left w:val="single" w:sz="4" w:space="0" w:color="000000"/>
              <w:right w:val="single" w:sz="4" w:space="0" w:color="000000"/>
            </w:tcBorders>
            <w:shd w:val="clear" w:color="auto" w:fill="auto"/>
            <w:tcMar>
              <w:top w:w="15" w:type="dxa"/>
              <w:left w:w="15" w:type="dxa"/>
              <w:bottom w:w="0" w:type="dxa"/>
              <w:right w:w="15" w:type="dxa"/>
            </w:tcMar>
            <w:vAlign w:val="center"/>
          </w:tcPr>
          <w:p w14:paraId="4539B7EA" w14:textId="77777777" w:rsidR="006D6131" w:rsidRPr="008A26D2" w:rsidRDefault="006D6131" w:rsidP="006D6131">
            <w:pPr>
              <w:spacing w:after="0" w:line="240" w:lineRule="auto"/>
              <w:rPr>
                <w:rFonts w:ascii="Arial" w:hAnsi="Arial" w:cs="Arial"/>
                <w:b/>
                <w:sz w:val="20"/>
                <w:szCs w:val="20"/>
              </w:rPr>
            </w:pPr>
          </w:p>
        </w:tc>
        <w:tc>
          <w:tcPr>
            <w:tcW w:w="1866"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52E1F3AB" w14:textId="0F9BD1E3" w:rsidR="006D6131" w:rsidRPr="008A26D2" w:rsidRDefault="00C41C0D" w:rsidP="00C41C0D">
            <w:pPr>
              <w:pBdr>
                <w:top w:val="nil"/>
                <w:left w:val="nil"/>
                <w:bottom w:val="nil"/>
                <w:right w:val="nil"/>
                <w:between w:val="nil"/>
              </w:pBdr>
              <w:spacing w:after="0" w:line="240" w:lineRule="auto"/>
              <w:jc w:val="center"/>
              <w:rPr>
                <w:rFonts w:ascii="Arial" w:hAnsi="Arial" w:cs="Arial"/>
                <w:sz w:val="20"/>
                <w:szCs w:val="20"/>
              </w:rPr>
            </w:pPr>
            <w:r w:rsidRPr="008A26D2">
              <w:rPr>
                <w:rFonts w:ascii="Arial" w:hAnsi="Arial" w:cs="Arial"/>
                <w:sz w:val="20"/>
                <w:szCs w:val="20"/>
              </w:rPr>
              <w:t>X</w:t>
            </w:r>
          </w:p>
        </w:tc>
        <w:tc>
          <w:tcPr>
            <w:tcW w:w="1867" w:type="dxa"/>
            <w:tcBorders>
              <w:top w:val="single" w:sz="4" w:space="0" w:color="000000"/>
              <w:left w:val="single" w:sz="4" w:space="0" w:color="000000"/>
              <w:right w:val="single" w:sz="4" w:space="0" w:color="000000"/>
            </w:tcBorders>
            <w:shd w:val="clear" w:color="auto" w:fill="auto"/>
            <w:vAlign w:val="center"/>
          </w:tcPr>
          <w:p w14:paraId="414DB8A5" w14:textId="77777777" w:rsidR="006D6131" w:rsidRPr="008A26D2" w:rsidRDefault="006D6131" w:rsidP="00C41C0D">
            <w:pPr>
              <w:pBdr>
                <w:top w:val="nil"/>
                <w:left w:val="nil"/>
                <w:bottom w:val="nil"/>
                <w:right w:val="nil"/>
                <w:between w:val="nil"/>
              </w:pBdr>
              <w:spacing w:after="0" w:line="240" w:lineRule="auto"/>
              <w:jc w:val="center"/>
              <w:rPr>
                <w:rFonts w:ascii="Arial" w:hAnsi="Arial" w:cs="Arial"/>
                <w:sz w:val="20"/>
                <w:szCs w:val="20"/>
              </w:rPr>
            </w:pPr>
          </w:p>
        </w:tc>
        <w:tc>
          <w:tcPr>
            <w:tcW w:w="1867" w:type="dxa"/>
            <w:tcBorders>
              <w:top w:val="single" w:sz="4" w:space="0" w:color="000000"/>
              <w:left w:val="single" w:sz="4" w:space="0" w:color="000000"/>
              <w:right w:val="single" w:sz="4" w:space="0" w:color="000000"/>
            </w:tcBorders>
            <w:shd w:val="clear" w:color="auto" w:fill="auto"/>
            <w:vAlign w:val="center"/>
          </w:tcPr>
          <w:p w14:paraId="52516B3E" w14:textId="0F3DDA07" w:rsidR="006D6131" w:rsidRPr="008A26D2" w:rsidRDefault="006D6131" w:rsidP="00C41C0D">
            <w:pPr>
              <w:pBdr>
                <w:top w:val="nil"/>
                <w:left w:val="nil"/>
                <w:bottom w:val="nil"/>
                <w:right w:val="nil"/>
                <w:between w:val="nil"/>
              </w:pBdr>
              <w:spacing w:after="0" w:line="240" w:lineRule="auto"/>
              <w:jc w:val="center"/>
              <w:rPr>
                <w:rFonts w:ascii="Arial" w:hAnsi="Arial" w:cs="Arial"/>
                <w:sz w:val="20"/>
                <w:szCs w:val="20"/>
              </w:rPr>
            </w:pPr>
          </w:p>
        </w:tc>
      </w:tr>
      <w:tr w:rsidR="008A26D2" w:rsidRPr="008A26D2" w14:paraId="74A11661" w14:textId="77777777" w:rsidTr="0072651A">
        <w:trPr>
          <w:trHeight w:val="300"/>
          <w:jc w:val="center"/>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F411FED" w14:textId="77777777" w:rsidR="006D6131" w:rsidRPr="008A26D2" w:rsidRDefault="006D6131" w:rsidP="006D6131">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Receptor del servicio</w:t>
            </w:r>
          </w:p>
        </w:tc>
        <w:tc>
          <w:tcPr>
            <w:tcW w:w="5600"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072868F" w14:textId="77777777" w:rsidR="006D6131" w:rsidRPr="008A26D2" w:rsidRDefault="006D6131" w:rsidP="006D6131">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hAnsi="Arial" w:cs="Arial"/>
                <w:sz w:val="20"/>
                <w:szCs w:val="20"/>
              </w:rPr>
              <w:t xml:space="preserve">Pueblos indígenas en situación de aislamiento y situación de contacto inicial (PIACI) </w:t>
            </w:r>
          </w:p>
        </w:tc>
      </w:tr>
      <w:tr w:rsidR="008A26D2" w:rsidRPr="008A26D2" w14:paraId="6211D466" w14:textId="77777777" w:rsidTr="0072651A">
        <w:trPr>
          <w:trHeight w:val="211"/>
          <w:jc w:val="center"/>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2E47FF2" w14:textId="77777777" w:rsidR="006D6131" w:rsidRPr="008A26D2" w:rsidRDefault="006D6131" w:rsidP="006D6131">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Alcance del servicio </w:t>
            </w:r>
          </w:p>
        </w:tc>
        <w:tc>
          <w:tcPr>
            <w:tcW w:w="5600"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30D58BA" w14:textId="77777777" w:rsidR="006D6131" w:rsidRPr="008A26D2" w:rsidRDefault="006D6131" w:rsidP="006D6131">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hAnsi="Arial" w:cs="Arial"/>
                <w:sz w:val="20"/>
                <w:szCs w:val="20"/>
              </w:rPr>
              <w:t>Nacional</w:t>
            </w:r>
          </w:p>
        </w:tc>
      </w:tr>
      <w:tr w:rsidR="008A26D2" w:rsidRPr="008A26D2" w14:paraId="196DDD20" w14:textId="77777777" w:rsidTr="0072651A">
        <w:trPr>
          <w:trHeight w:val="62"/>
          <w:jc w:val="center"/>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10E3E92" w14:textId="77777777" w:rsidR="006D6131" w:rsidRPr="008A26D2" w:rsidRDefault="006D6131" w:rsidP="006D6131">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lastRenderedPageBreak/>
              <w:t xml:space="preserve"> Estándar (es) de cumplimiento</w:t>
            </w:r>
          </w:p>
        </w:tc>
        <w:tc>
          <w:tcPr>
            <w:tcW w:w="5600"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7A8347FE" w14:textId="77777777" w:rsidR="006D6131" w:rsidRPr="008A26D2" w:rsidRDefault="006D6131" w:rsidP="006D6131">
            <w:pPr>
              <w:pBdr>
                <w:top w:val="nil"/>
                <w:left w:val="nil"/>
                <w:bottom w:val="nil"/>
                <w:right w:val="nil"/>
                <w:between w:val="nil"/>
              </w:pBdr>
              <w:spacing w:after="0" w:line="240" w:lineRule="auto"/>
              <w:rPr>
                <w:rFonts w:ascii="Arial" w:hAnsi="Arial" w:cs="Arial"/>
                <w:sz w:val="20"/>
                <w:szCs w:val="20"/>
              </w:rPr>
            </w:pPr>
            <w:r w:rsidRPr="008A26D2">
              <w:rPr>
                <w:rFonts w:ascii="Arial" w:hAnsi="Arial" w:cs="Arial"/>
                <w:sz w:val="20"/>
                <w:szCs w:val="20"/>
              </w:rPr>
              <w:t>Continuidad</w:t>
            </w:r>
          </w:p>
        </w:tc>
      </w:tr>
      <w:tr w:rsidR="008A26D2" w:rsidRPr="008A26D2" w14:paraId="7D2D2355" w14:textId="77777777" w:rsidTr="0072651A">
        <w:trPr>
          <w:trHeight w:val="300"/>
          <w:jc w:val="center"/>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6C8E639" w14:textId="77777777" w:rsidR="006D6131" w:rsidRPr="008A26D2" w:rsidRDefault="006D6131" w:rsidP="006D6131">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 xml:space="preserve"> Descripción del estándar</w:t>
            </w:r>
          </w:p>
        </w:tc>
        <w:tc>
          <w:tcPr>
            <w:tcW w:w="5600"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35" w:type="dxa"/>
              <w:bottom w:w="0" w:type="dxa"/>
              <w:right w:w="15" w:type="dxa"/>
            </w:tcMar>
          </w:tcPr>
          <w:p w14:paraId="0434EB22" w14:textId="207CBF9D" w:rsidR="006D6131" w:rsidRPr="008A26D2" w:rsidRDefault="00C41C0D" w:rsidP="006D6131">
            <w:pPr>
              <w:pBdr>
                <w:top w:val="nil"/>
                <w:left w:val="nil"/>
                <w:bottom w:val="nil"/>
                <w:right w:val="nil"/>
                <w:between w:val="nil"/>
              </w:pBdr>
              <w:spacing w:after="0" w:line="240" w:lineRule="auto"/>
              <w:jc w:val="both"/>
              <w:rPr>
                <w:rFonts w:ascii="Arial" w:hAnsi="Arial" w:cs="Arial"/>
                <w:sz w:val="20"/>
                <w:szCs w:val="20"/>
              </w:rPr>
            </w:pPr>
            <w:r w:rsidRPr="008A26D2">
              <w:rPr>
                <w:rFonts w:ascii="Arial" w:hAnsi="Arial" w:cs="Arial"/>
                <w:sz w:val="20"/>
                <w:szCs w:val="20"/>
              </w:rPr>
              <w:t>El estándar de continuidad garantiza que el servicio de vigilancia se realice en forma permanente realizando al menos 35 patrullajes al mes,</w:t>
            </w:r>
            <w:r w:rsidRPr="008A26D2">
              <w:rPr>
                <w:rFonts w:ascii="Arial" w:eastAsia="Arial Narrow" w:hAnsi="Arial" w:cs="Arial"/>
                <w:sz w:val="20"/>
                <w:szCs w:val="20"/>
              </w:rPr>
              <w:t xml:space="preserve"> de acuerdo al plan de trabajo anual elaborado</w:t>
            </w:r>
            <w:r w:rsidRPr="008A26D2">
              <w:rPr>
                <w:rFonts w:ascii="Arial" w:hAnsi="Arial" w:cs="Arial"/>
                <w:sz w:val="20"/>
                <w:szCs w:val="20"/>
              </w:rPr>
              <w:t>, a fin de evitar y manejar contingencias que vulneren la vida, el territorio y el acceso a recursos indispensables para el bienestar de los pueblos indígenas en situación de aislamiento y situación de contacto inicial.</w:t>
            </w:r>
          </w:p>
        </w:tc>
      </w:tr>
      <w:tr w:rsidR="008A26D2" w:rsidRPr="008A26D2" w14:paraId="68A844CE" w14:textId="77777777" w:rsidTr="0072651A">
        <w:trPr>
          <w:trHeight w:val="491"/>
          <w:jc w:val="center"/>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7B1659F" w14:textId="7D3BC676" w:rsidR="006D6131" w:rsidRPr="008A26D2" w:rsidRDefault="006D6131" w:rsidP="006D6131">
            <w:pPr>
              <w:pBdr>
                <w:top w:val="nil"/>
                <w:left w:val="nil"/>
                <w:bottom w:val="nil"/>
                <w:right w:val="nil"/>
                <w:between w:val="nil"/>
              </w:pBdr>
              <w:spacing w:after="0" w:line="240" w:lineRule="auto"/>
              <w:rPr>
                <w:rFonts w:ascii="Arial" w:hAnsi="Arial" w:cs="Arial"/>
                <w:b/>
                <w:sz w:val="20"/>
                <w:szCs w:val="20"/>
              </w:rPr>
            </w:pPr>
            <w:r w:rsidRPr="008A26D2">
              <w:rPr>
                <w:rFonts w:ascii="Arial" w:hAnsi="Arial" w:cs="Arial"/>
                <w:b/>
                <w:sz w:val="20"/>
                <w:szCs w:val="20"/>
              </w:rPr>
              <w:t>Indicador de calidad</w:t>
            </w:r>
          </w:p>
        </w:tc>
        <w:tc>
          <w:tcPr>
            <w:tcW w:w="5600"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4771D36" w14:textId="77777777" w:rsidR="006D6131" w:rsidRPr="008A26D2" w:rsidRDefault="006D6131" w:rsidP="006D6131">
            <w:pPr>
              <w:jc w:val="both"/>
              <w:rPr>
                <w:rFonts w:ascii="Arial" w:hAnsi="Arial" w:cs="Arial"/>
                <w:strike/>
                <w:sz w:val="20"/>
                <w:szCs w:val="20"/>
              </w:rPr>
            </w:pPr>
            <w:r w:rsidRPr="008A26D2">
              <w:rPr>
                <w:rFonts w:ascii="Arial" w:hAnsi="Arial" w:cs="Arial"/>
                <w:sz w:val="20"/>
                <w:szCs w:val="20"/>
              </w:rPr>
              <w:t>Número de patrullajes realizadas de forma continua en los territorios con presencia de pueblos indígenas en situación de aislamiento y situación de contacto inicial (PIACI)</w:t>
            </w:r>
          </w:p>
        </w:tc>
      </w:tr>
    </w:tbl>
    <w:p w14:paraId="36529DCD" w14:textId="77777777" w:rsidR="007C3249" w:rsidRDefault="007C3249" w:rsidP="00385338">
      <w:pPr>
        <w:pBdr>
          <w:top w:val="nil"/>
          <w:left w:val="nil"/>
          <w:bottom w:val="nil"/>
          <w:right w:val="nil"/>
          <w:between w:val="nil"/>
        </w:pBdr>
        <w:spacing w:after="0" w:line="240" w:lineRule="auto"/>
        <w:jc w:val="both"/>
        <w:rPr>
          <w:rFonts w:ascii="Arial Narrow" w:eastAsia="Arial Narrow" w:hAnsi="Arial Narrow" w:cs="Arial Narrow"/>
          <w:b/>
        </w:rPr>
      </w:pPr>
    </w:p>
    <w:p w14:paraId="0B681715" w14:textId="0BB8EBA0" w:rsidR="00E457BC" w:rsidRDefault="00E457BC" w:rsidP="00385338">
      <w:pPr>
        <w:pBdr>
          <w:top w:val="nil"/>
          <w:left w:val="nil"/>
          <w:bottom w:val="nil"/>
          <w:right w:val="nil"/>
          <w:between w:val="nil"/>
        </w:pBdr>
        <w:spacing w:after="0" w:line="240" w:lineRule="auto"/>
        <w:jc w:val="both"/>
        <w:rPr>
          <w:rFonts w:ascii="Arial Narrow" w:eastAsia="Arial Narrow" w:hAnsi="Arial Narrow" w:cs="Arial Narrow"/>
          <w:b/>
        </w:rPr>
      </w:pPr>
    </w:p>
    <w:p w14:paraId="1B570C91" w14:textId="77777777" w:rsidR="007C3249" w:rsidRPr="008A26D2" w:rsidRDefault="007C3249" w:rsidP="00385338">
      <w:pPr>
        <w:pBdr>
          <w:top w:val="nil"/>
          <w:left w:val="nil"/>
          <w:bottom w:val="nil"/>
          <w:right w:val="nil"/>
          <w:between w:val="nil"/>
        </w:pBdr>
        <w:spacing w:after="0" w:line="240" w:lineRule="auto"/>
        <w:jc w:val="both"/>
        <w:rPr>
          <w:rFonts w:ascii="Arial Narrow" w:eastAsia="Arial Narrow" w:hAnsi="Arial Narrow" w:cs="Arial Narrow"/>
          <w:b/>
        </w:rPr>
      </w:pPr>
    </w:p>
    <w:p w14:paraId="20C6D177" w14:textId="43812E7D" w:rsidR="00603F80" w:rsidRPr="008A26D2" w:rsidRDefault="00603F80" w:rsidP="00603F80">
      <w:pPr>
        <w:jc w:val="both"/>
        <w:rPr>
          <w:rFonts w:ascii="Arial" w:eastAsia="Arial Narrow" w:hAnsi="Arial" w:cs="Arial"/>
        </w:rPr>
      </w:pPr>
      <w:r w:rsidRPr="008A26D2">
        <w:rPr>
          <w:rFonts w:ascii="Arial" w:eastAsia="Arial Narrow" w:hAnsi="Arial" w:cs="Arial"/>
          <w:b/>
          <w:bCs/>
        </w:rPr>
        <w:t>S3.2.</w:t>
      </w:r>
      <w:r w:rsidR="0054612C" w:rsidRPr="008A26D2">
        <w:rPr>
          <w:rFonts w:ascii="Arial" w:eastAsia="Arial Narrow" w:hAnsi="Arial" w:cs="Arial"/>
          <w:b/>
          <w:bCs/>
        </w:rPr>
        <w:t>5</w:t>
      </w:r>
      <w:r w:rsidRPr="008A26D2">
        <w:rPr>
          <w:rFonts w:ascii="Arial" w:eastAsia="Arial Narrow" w:hAnsi="Arial" w:cs="Arial"/>
        </w:rPr>
        <w:t xml:space="preserve"> Fortalecimiento de capacidades para la creación de Unidades Técnicas de Manejo Forestal Comunitario de forma satisfactoria dirigido a las Autoridades Regionales Forestales y de Fauna Silvestre</w:t>
      </w:r>
    </w:p>
    <w:tbl>
      <w:tblPr>
        <w:tblW w:w="8736" w:type="dxa"/>
        <w:jc w:val="center"/>
        <w:tblLayout w:type="fixed"/>
        <w:tblLook w:val="0600" w:firstRow="0" w:lastRow="0" w:firstColumn="0" w:lastColumn="0" w:noHBand="1" w:noVBand="1"/>
      </w:tblPr>
      <w:tblGrid>
        <w:gridCol w:w="2830"/>
        <w:gridCol w:w="1968"/>
        <w:gridCol w:w="1969"/>
        <w:gridCol w:w="1969"/>
      </w:tblGrid>
      <w:tr w:rsidR="008A26D2" w:rsidRPr="008A26D2" w14:paraId="094039E6" w14:textId="77777777" w:rsidTr="0072651A">
        <w:trPr>
          <w:trHeight w:val="300"/>
          <w:jc w:val="center"/>
        </w:trPr>
        <w:tc>
          <w:tcPr>
            <w:tcW w:w="8736"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center"/>
          </w:tcPr>
          <w:p w14:paraId="29ED220E" w14:textId="3BE28717" w:rsidR="00603F80" w:rsidRPr="008A26D2" w:rsidRDefault="00603F80" w:rsidP="0072651A">
            <w:pPr>
              <w:tabs>
                <w:tab w:val="left" w:pos="3375"/>
              </w:tabs>
              <w:jc w:val="center"/>
              <w:rPr>
                <w:rFonts w:ascii="Arial" w:hAnsi="Arial" w:cs="Arial"/>
                <w:sz w:val="20"/>
                <w:szCs w:val="20"/>
              </w:rPr>
            </w:pPr>
            <w:r w:rsidRPr="008A26D2">
              <w:rPr>
                <w:rFonts w:ascii="Arial" w:hAnsi="Arial" w:cs="Arial"/>
                <w:b/>
                <w:sz w:val="20"/>
                <w:szCs w:val="20"/>
              </w:rPr>
              <w:t xml:space="preserve">FICHA DEL SERVICIO </w:t>
            </w:r>
          </w:p>
        </w:tc>
      </w:tr>
      <w:tr w:rsidR="008A26D2" w:rsidRPr="008A26D2" w14:paraId="7E2750CC" w14:textId="77777777" w:rsidTr="0072651A">
        <w:trPr>
          <w:trHeight w:val="300"/>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FF9D29D" w14:textId="77777777" w:rsidR="00603F80" w:rsidRPr="008A26D2" w:rsidRDefault="00603F80" w:rsidP="0072651A">
            <w:pPr>
              <w:tabs>
                <w:tab w:val="left" w:pos="3375"/>
              </w:tabs>
              <w:rPr>
                <w:rFonts w:ascii="Arial" w:hAnsi="Arial" w:cs="Arial"/>
                <w:b/>
                <w:sz w:val="20"/>
                <w:szCs w:val="20"/>
              </w:rPr>
            </w:pPr>
            <w:r w:rsidRPr="008A26D2">
              <w:rPr>
                <w:rFonts w:ascii="Arial" w:hAnsi="Arial" w:cs="Arial"/>
                <w:b/>
                <w:sz w:val="20"/>
                <w:szCs w:val="20"/>
              </w:rPr>
              <w:t xml:space="preserve"> Objetivo prioritario:</w:t>
            </w:r>
          </w:p>
        </w:tc>
        <w:tc>
          <w:tcPr>
            <w:tcW w:w="590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E11DBBB" w14:textId="77777777" w:rsidR="00603F80" w:rsidRPr="008A26D2" w:rsidRDefault="00603F80" w:rsidP="0072651A">
            <w:pPr>
              <w:tabs>
                <w:tab w:val="left" w:pos="3375"/>
              </w:tabs>
              <w:ind w:left="128"/>
              <w:rPr>
                <w:rFonts w:ascii="Arial" w:hAnsi="Arial" w:cs="Arial"/>
                <w:sz w:val="20"/>
                <w:szCs w:val="20"/>
              </w:rPr>
            </w:pPr>
            <w:r w:rsidRPr="008A26D2">
              <w:rPr>
                <w:rFonts w:ascii="Arial" w:eastAsia="Arial Narrow" w:hAnsi="Arial" w:cs="Arial"/>
                <w:sz w:val="20"/>
                <w:szCs w:val="20"/>
              </w:rPr>
              <w:t>OP3 Fortalecer la gobernanza forestal y de fauna silvestre</w:t>
            </w:r>
          </w:p>
        </w:tc>
      </w:tr>
      <w:tr w:rsidR="008A26D2" w:rsidRPr="008A26D2" w14:paraId="0977841B" w14:textId="77777777" w:rsidTr="0072651A">
        <w:trPr>
          <w:trHeight w:val="300"/>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553A755" w14:textId="77777777" w:rsidR="00603F80" w:rsidRPr="008A26D2" w:rsidRDefault="00603F80" w:rsidP="0072651A">
            <w:pPr>
              <w:tabs>
                <w:tab w:val="left" w:pos="3375"/>
              </w:tabs>
              <w:rPr>
                <w:rFonts w:ascii="Arial" w:hAnsi="Arial" w:cs="Arial"/>
                <w:b/>
                <w:sz w:val="20"/>
                <w:szCs w:val="20"/>
              </w:rPr>
            </w:pPr>
            <w:r w:rsidRPr="008A26D2">
              <w:rPr>
                <w:rFonts w:ascii="Arial" w:hAnsi="Arial" w:cs="Arial"/>
                <w:b/>
                <w:sz w:val="20"/>
                <w:szCs w:val="20"/>
              </w:rPr>
              <w:t xml:space="preserve"> Lineamiento:</w:t>
            </w:r>
          </w:p>
        </w:tc>
        <w:tc>
          <w:tcPr>
            <w:tcW w:w="590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5474038" w14:textId="77777777" w:rsidR="00603F80" w:rsidRPr="008A26D2" w:rsidRDefault="00603F80" w:rsidP="0072651A">
            <w:pPr>
              <w:tabs>
                <w:tab w:val="left" w:pos="3375"/>
              </w:tabs>
              <w:ind w:left="128"/>
              <w:rPr>
                <w:rFonts w:ascii="Arial" w:hAnsi="Arial" w:cs="Arial"/>
                <w:sz w:val="20"/>
                <w:szCs w:val="20"/>
              </w:rPr>
            </w:pPr>
            <w:r w:rsidRPr="008A26D2">
              <w:rPr>
                <w:rFonts w:ascii="Arial" w:eastAsia="Arial Narrow" w:hAnsi="Arial" w:cs="Arial"/>
                <w:sz w:val="20"/>
                <w:szCs w:val="20"/>
              </w:rPr>
              <w:t>L 3.2 Desarrollar programas orientados a la mejora de la gestión y aprovechamiento sostenible de los recursos forestales y de fauna silvestre en pueblos indígenas u originarios (comunidades campesinas, comunidades nativas, entre otros)</w:t>
            </w:r>
          </w:p>
        </w:tc>
      </w:tr>
      <w:tr w:rsidR="008A26D2" w:rsidRPr="008A26D2" w14:paraId="19612A8A" w14:textId="77777777" w:rsidTr="0072651A">
        <w:trPr>
          <w:trHeight w:val="300"/>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913B887" w14:textId="77777777" w:rsidR="00603F80" w:rsidRPr="00D9334E" w:rsidRDefault="00603F80" w:rsidP="0072651A">
            <w:pPr>
              <w:tabs>
                <w:tab w:val="left" w:pos="3375"/>
              </w:tabs>
              <w:rPr>
                <w:rFonts w:ascii="Arial" w:hAnsi="Arial" w:cs="Arial"/>
                <w:b/>
                <w:sz w:val="20"/>
                <w:szCs w:val="20"/>
              </w:rPr>
            </w:pPr>
            <w:r w:rsidRPr="00D9334E">
              <w:rPr>
                <w:rFonts w:ascii="Arial" w:hAnsi="Arial" w:cs="Arial"/>
                <w:b/>
                <w:sz w:val="20"/>
                <w:szCs w:val="20"/>
              </w:rPr>
              <w:t xml:space="preserve"> Nombre del servicio:</w:t>
            </w:r>
          </w:p>
        </w:tc>
        <w:tc>
          <w:tcPr>
            <w:tcW w:w="590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49B0024" w14:textId="49BB323A" w:rsidR="00603F80" w:rsidRPr="00D9334E" w:rsidRDefault="00603F80" w:rsidP="0072651A">
            <w:pPr>
              <w:tabs>
                <w:tab w:val="left" w:pos="3375"/>
              </w:tabs>
              <w:ind w:left="128"/>
              <w:rPr>
                <w:rFonts w:ascii="Arial" w:hAnsi="Arial" w:cs="Arial"/>
                <w:sz w:val="20"/>
                <w:szCs w:val="20"/>
              </w:rPr>
            </w:pPr>
            <w:r w:rsidRPr="00D9334E">
              <w:rPr>
                <w:rFonts w:ascii="Arial" w:eastAsia="Arial Narrow" w:hAnsi="Arial" w:cs="Arial"/>
                <w:sz w:val="20"/>
                <w:szCs w:val="20"/>
              </w:rPr>
              <w:t>S3.2.</w:t>
            </w:r>
            <w:r w:rsidR="0054612C" w:rsidRPr="00D9334E">
              <w:rPr>
                <w:rFonts w:ascii="Arial" w:eastAsia="Arial Narrow" w:hAnsi="Arial" w:cs="Arial"/>
                <w:sz w:val="20"/>
                <w:szCs w:val="20"/>
              </w:rPr>
              <w:t>5</w:t>
            </w:r>
            <w:r w:rsidRPr="00D9334E">
              <w:rPr>
                <w:rFonts w:ascii="Arial" w:eastAsia="Arial Narrow" w:hAnsi="Arial" w:cs="Arial"/>
                <w:sz w:val="20"/>
                <w:szCs w:val="20"/>
              </w:rPr>
              <w:t xml:space="preserve"> Fortalecimiento de capacidades para la creación de Unidades Técnicas de Manejo Forestal Comunitario de forma satisfactoria dirigido a las Autoridades Regionales Forestales y de Fauna Silvestre </w:t>
            </w:r>
          </w:p>
        </w:tc>
      </w:tr>
      <w:tr w:rsidR="008A26D2" w:rsidRPr="008A26D2" w14:paraId="2CD6D70A" w14:textId="77777777" w:rsidTr="0072651A">
        <w:trPr>
          <w:trHeight w:val="300"/>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FA9B238" w14:textId="77777777" w:rsidR="00603F80" w:rsidRPr="008A26D2" w:rsidRDefault="00603F80" w:rsidP="0072651A">
            <w:pPr>
              <w:tabs>
                <w:tab w:val="left" w:pos="3375"/>
              </w:tabs>
              <w:rPr>
                <w:rFonts w:ascii="Arial" w:hAnsi="Arial" w:cs="Arial"/>
                <w:b/>
                <w:sz w:val="20"/>
                <w:szCs w:val="20"/>
              </w:rPr>
            </w:pPr>
            <w:r w:rsidRPr="008A26D2">
              <w:rPr>
                <w:rFonts w:ascii="Arial" w:hAnsi="Arial" w:cs="Arial"/>
                <w:b/>
                <w:sz w:val="20"/>
                <w:szCs w:val="20"/>
              </w:rPr>
              <w:t>Tipo de servicio:</w:t>
            </w:r>
          </w:p>
        </w:tc>
        <w:tc>
          <w:tcPr>
            <w:tcW w:w="590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C26F01F" w14:textId="77777777" w:rsidR="00603F80" w:rsidRPr="008A26D2" w:rsidRDefault="00603F80" w:rsidP="0072651A">
            <w:pPr>
              <w:tabs>
                <w:tab w:val="left" w:pos="3375"/>
              </w:tabs>
              <w:ind w:left="128"/>
              <w:rPr>
                <w:rFonts w:ascii="Arial" w:eastAsia="Arial Narrow" w:hAnsi="Arial" w:cs="Arial"/>
                <w:sz w:val="20"/>
                <w:szCs w:val="20"/>
              </w:rPr>
            </w:pPr>
            <w:r w:rsidRPr="008A26D2">
              <w:rPr>
                <w:rFonts w:ascii="Arial" w:eastAsia="Arial Narrow" w:hAnsi="Arial" w:cs="Arial"/>
                <w:sz w:val="20"/>
                <w:szCs w:val="20"/>
              </w:rPr>
              <w:t xml:space="preserve">Nuevo </w:t>
            </w:r>
          </w:p>
        </w:tc>
      </w:tr>
      <w:tr w:rsidR="008A26D2" w:rsidRPr="008A26D2" w14:paraId="32E01235" w14:textId="77777777" w:rsidTr="0072651A">
        <w:trPr>
          <w:trHeight w:val="300"/>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0D3745C" w14:textId="44912802" w:rsidR="006D6131" w:rsidRPr="008A26D2" w:rsidRDefault="006D6131" w:rsidP="006D6131">
            <w:pPr>
              <w:tabs>
                <w:tab w:val="left" w:pos="3375"/>
              </w:tabs>
              <w:rPr>
                <w:rFonts w:ascii="Arial" w:hAnsi="Arial" w:cs="Arial"/>
                <w:b/>
                <w:sz w:val="20"/>
                <w:szCs w:val="20"/>
              </w:rPr>
            </w:pPr>
            <w:r w:rsidRPr="008A26D2">
              <w:rPr>
                <w:rFonts w:ascii="Arial" w:hAnsi="Arial" w:cs="Arial"/>
                <w:b/>
                <w:sz w:val="20"/>
                <w:szCs w:val="20"/>
              </w:rPr>
              <w:t>Naturaleza del servicio:</w:t>
            </w:r>
          </w:p>
        </w:tc>
        <w:tc>
          <w:tcPr>
            <w:tcW w:w="590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B23AE3C" w14:textId="101BF0F5" w:rsidR="006D6131" w:rsidRPr="008A26D2" w:rsidRDefault="00A32B05" w:rsidP="006D6131">
            <w:pPr>
              <w:tabs>
                <w:tab w:val="left" w:pos="3375"/>
              </w:tabs>
              <w:ind w:left="128"/>
              <w:rPr>
                <w:rFonts w:ascii="Arial" w:eastAsia="Arial Narrow" w:hAnsi="Arial" w:cs="Arial"/>
                <w:sz w:val="20"/>
                <w:szCs w:val="20"/>
              </w:rPr>
            </w:pPr>
            <w:r w:rsidRPr="008A26D2">
              <w:rPr>
                <w:rFonts w:ascii="Arial" w:eastAsia="Arial Narrow" w:hAnsi="Arial" w:cs="Arial"/>
                <w:sz w:val="20"/>
                <w:szCs w:val="20"/>
              </w:rPr>
              <w:t>A</w:t>
            </w:r>
            <w:r w:rsidR="006D6131" w:rsidRPr="008A26D2">
              <w:rPr>
                <w:rFonts w:ascii="Arial" w:eastAsia="Arial Narrow" w:hAnsi="Arial" w:cs="Arial"/>
                <w:sz w:val="20"/>
                <w:szCs w:val="20"/>
              </w:rPr>
              <w:t>dministrativo</w:t>
            </w:r>
          </w:p>
        </w:tc>
      </w:tr>
      <w:tr w:rsidR="008A26D2" w:rsidRPr="008A26D2" w14:paraId="0AF93456" w14:textId="77777777" w:rsidTr="0072651A">
        <w:trPr>
          <w:trHeight w:val="300"/>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1235385" w14:textId="39FF8E81" w:rsidR="006D6131" w:rsidRPr="008A26D2" w:rsidRDefault="006D6131" w:rsidP="006D6131">
            <w:pPr>
              <w:tabs>
                <w:tab w:val="left" w:pos="3375"/>
              </w:tabs>
              <w:rPr>
                <w:rFonts w:ascii="Arial" w:hAnsi="Arial" w:cs="Arial"/>
                <w:b/>
                <w:sz w:val="20"/>
                <w:szCs w:val="20"/>
              </w:rPr>
            </w:pPr>
            <w:r w:rsidRPr="008A26D2">
              <w:rPr>
                <w:rFonts w:ascii="Arial" w:hAnsi="Arial" w:cs="Arial"/>
                <w:b/>
                <w:sz w:val="20"/>
                <w:szCs w:val="20"/>
              </w:rPr>
              <w:t>Entrega del servicio</w:t>
            </w:r>
          </w:p>
        </w:tc>
        <w:tc>
          <w:tcPr>
            <w:tcW w:w="590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347F7C5" w14:textId="079A55F9" w:rsidR="006D6131" w:rsidRPr="008A26D2" w:rsidRDefault="006D6131" w:rsidP="006D6131">
            <w:pPr>
              <w:tabs>
                <w:tab w:val="left" w:pos="3375"/>
              </w:tabs>
              <w:ind w:left="128"/>
              <w:rPr>
                <w:rFonts w:ascii="Arial" w:eastAsia="Arial Narrow" w:hAnsi="Arial" w:cs="Arial"/>
                <w:sz w:val="20"/>
                <w:szCs w:val="20"/>
              </w:rPr>
            </w:pPr>
            <w:r w:rsidRPr="008A26D2">
              <w:rPr>
                <w:rFonts w:ascii="Arial" w:eastAsia="Arial Narrow" w:hAnsi="Arial" w:cs="Arial"/>
                <w:sz w:val="20"/>
                <w:szCs w:val="20"/>
              </w:rPr>
              <w:t xml:space="preserve">Competencia exclusiva </w:t>
            </w:r>
          </w:p>
        </w:tc>
      </w:tr>
      <w:tr w:rsidR="008A26D2" w:rsidRPr="008A26D2" w14:paraId="04414619" w14:textId="77777777" w:rsidTr="0072651A">
        <w:trPr>
          <w:trHeight w:val="300"/>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9046530" w14:textId="77777777" w:rsidR="006D6131" w:rsidRPr="008A26D2" w:rsidRDefault="006D6131" w:rsidP="006D6131">
            <w:pPr>
              <w:tabs>
                <w:tab w:val="left" w:pos="3375"/>
              </w:tabs>
              <w:rPr>
                <w:rFonts w:ascii="Arial" w:hAnsi="Arial" w:cs="Arial"/>
                <w:b/>
                <w:sz w:val="20"/>
                <w:szCs w:val="20"/>
              </w:rPr>
            </w:pPr>
            <w:r w:rsidRPr="008A26D2">
              <w:rPr>
                <w:rFonts w:ascii="Arial" w:hAnsi="Arial" w:cs="Arial"/>
                <w:b/>
                <w:sz w:val="20"/>
                <w:szCs w:val="20"/>
              </w:rPr>
              <w:t xml:space="preserve"> Descripción del servicio</w:t>
            </w:r>
          </w:p>
        </w:tc>
        <w:tc>
          <w:tcPr>
            <w:tcW w:w="590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8AAB203" w14:textId="78853EBE" w:rsidR="006D6131" w:rsidRDefault="006D6131" w:rsidP="006D6131">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El presente servicio consiste en mejorar las capacidades de Autoridades Regionales Forestales y de Fauna Silvestre a través de talleres, cursos, asistencias técnicas, entre otros, para la creación de unidades técnicas de manejo forestal comunitario. Se toma como referencia las necesidades de capacitación de acuerdo al ámbito geográfico, teniendo en cuenta los enfoques de género, intergeneracional e intercultural. </w:t>
            </w:r>
          </w:p>
          <w:p w14:paraId="7015BFCB" w14:textId="77777777" w:rsidR="007D59F9" w:rsidRPr="008A26D2" w:rsidRDefault="007D59F9" w:rsidP="006D6131">
            <w:pPr>
              <w:pBdr>
                <w:top w:val="nil"/>
                <w:left w:val="nil"/>
                <w:bottom w:val="nil"/>
                <w:right w:val="nil"/>
                <w:between w:val="nil"/>
              </w:pBdr>
              <w:spacing w:after="0" w:line="240" w:lineRule="auto"/>
              <w:jc w:val="both"/>
              <w:rPr>
                <w:rFonts w:ascii="Arial" w:eastAsia="Arial Narrow" w:hAnsi="Arial" w:cs="Arial"/>
                <w:sz w:val="20"/>
                <w:szCs w:val="20"/>
              </w:rPr>
            </w:pPr>
          </w:p>
          <w:p w14:paraId="577BF32E" w14:textId="77777777" w:rsidR="006D6131" w:rsidRPr="008A26D2" w:rsidRDefault="006D6131" w:rsidP="006D6131">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La gestión de los recursos forestales y de fauna silvestre a nivel regional requiere la creación de las Unidades Técnicas de Manejo Forestal Comunitario para atender las demandas de capacitación y asistencia técnica de las comunidades nativas.</w:t>
            </w:r>
          </w:p>
          <w:p w14:paraId="492D2099" w14:textId="77777777" w:rsidR="006D6131" w:rsidRPr="008A26D2" w:rsidRDefault="006D6131" w:rsidP="006D6131">
            <w:pPr>
              <w:pBdr>
                <w:top w:val="nil"/>
                <w:left w:val="nil"/>
                <w:bottom w:val="nil"/>
                <w:right w:val="nil"/>
                <w:between w:val="nil"/>
              </w:pBdr>
              <w:spacing w:after="0" w:line="240" w:lineRule="auto"/>
              <w:jc w:val="both"/>
              <w:rPr>
                <w:rFonts w:ascii="Arial" w:eastAsia="Arial Narrow" w:hAnsi="Arial" w:cs="Arial"/>
                <w:sz w:val="20"/>
                <w:szCs w:val="20"/>
              </w:rPr>
            </w:pPr>
          </w:p>
          <w:p w14:paraId="63487535" w14:textId="77777777" w:rsidR="006D6131" w:rsidRPr="008A26D2" w:rsidRDefault="006D6131" w:rsidP="006D6131">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El fortalecimiento de capacidades comprende brindar alcances sobre temas de legislación, competencias regionales, pertinencia cultural, entre otros. </w:t>
            </w:r>
          </w:p>
          <w:p w14:paraId="6DC5541C" w14:textId="77777777" w:rsidR="006D6131" w:rsidRPr="008A26D2" w:rsidRDefault="006D6131" w:rsidP="006D6131">
            <w:pPr>
              <w:pStyle w:val="Prrafodelista"/>
              <w:pBdr>
                <w:top w:val="nil"/>
                <w:left w:val="nil"/>
                <w:bottom w:val="nil"/>
                <w:right w:val="nil"/>
                <w:between w:val="nil"/>
              </w:pBdr>
              <w:spacing w:after="0" w:line="240" w:lineRule="auto"/>
              <w:jc w:val="both"/>
              <w:rPr>
                <w:rFonts w:ascii="Arial" w:eastAsia="Arial Narrow" w:hAnsi="Arial" w:cs="Arial"/>
                <w:sz w:val="20"/>
                <w:szCs w:val="20"/>
              </w:rPr>
            </w:pPr>
          </w:p>
          <w:p w14:paraId="4638988D" w14:textId="77777777" w:rsidR="006D6131" w:rsidRPr="008A26D2" w:rsidRDefault="006D6131" w:rsidP="006D6131">
            <w:pPr>
              <w:rPr>
                <w:rFonts w:ascii="Arial" w:hAnsi="Arial" w:cs="Arial"/>
                <w:sz w:val="20"/>
                <w:szCs w:val="20"/>
              </w:rPr>
            </w:pPr>
            <w:r w:rsidRPr="008A26D2">
              <w:rPr>
                <w:rFonts w:ascii="Arial" w:eastAsia="Arial Narrow" w:hAnsi="Arial" w:cs="Arial"/>
                <w:sz w:val="20"/>
                <w:szCs w:val="20"/>
              </w:rPr>
              <w:t xml:space="preserve">El servicio es nuevo y responde a la necesidad de atender las demandas de capacitación y asistencia técnica que tiene los </w:t>
            </w:r>
            <w:r w:rsidRPr="008A26D2">
              <w:rPr>
                <w:rFonts w:ascii="Arial" w:eastAsia="Arial Narrow" w:hAnsi="Arial" w:cs="Arial"/>
                <w:sz w:val="20"/>
                <w:szCs w:val="20"/>
              </w:rPr>
              <w:lastRenderedPageBreak/>
              <w:t xml:space="preserve">pueblos indígenas y que deben ser atendidos por las Autoridades Regionales Forestales y de Fauna Silvestre. </w:t>
            </w:r>
          </w:p>
        </w:tc>
      </w:tr>
      <w:tr w:rsidR="008A26D2" w:rsidRPr="008A26D2" w14:paraId="773F4E6A" w14:textId="77777777" w:rsidTr="0072651A">
        <w:trPr>
          <w:trHeight w:val="300"/>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72ADDA2" w14:textId="77777777" w:rsidR="006D6131" w:rsidRPr="008A26D2" w:rsidRDefault="006D6131" w:rsidP="006D6131">
            <w:pPr>
              <w:tabs>
                <w:tab w:val="left" w:pos="3375"/>
              </w:tabs>
              <w:rPr>
                <w:rFonts w:ascii="Arial" w:hAnsi="Arial" w:cs="Arial"/>
                <w:b/>
                <w:sz w:val="20"/>
                <w:szCs w:val="20"/>
              </w:rPr>
            </w:pPr>
            <w:r w:rsidRPr="008A26D2">
              <w:rPr>
                <w:rFonts w:ascii="Arial" w:hAnsi="Arial" w:cs="Arial"/>
                <w:b/>
                <w:sz w:val="20"/>
                <w:szCs w:val="20"/>
              </w:rPr>
              <w:lastRenderedPageBreak/>
              <w:t xml:space="preserve"> Proveedor del servicio</w:t>
            </w:r>
          </w:p>
        </w:tc>
        <w:tc>
          <w:tcPr>
            <w:tcW w:w="590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28584AB" w14:textId="5C672882" w:rsidR="006D6131" w:rsidRPr="008A26D2" w:rsidRDefault="006D6131" w:rsidP="006D6131">
            <w:pPr>
              <w:tabs>
                <w:tab w:val="left" w:pos="3375"/>
              </w:tabs>
              <w:ind w:left="128"/>
              <w:rPr>
                <w:rFonts w:ascii="Arial" w:hAnsi="Arial" w:cs="Arial"/>
                <w:sz w:val="20"/>
                <w:szCs w:val="20"/>
              </w:rPr>
            </w:pPr>
            <w:r w:rsidRPr="008A26D2">
              <w:rPr>
                <w:rFonts w:ascii="Arial" w:eastAsia="Arial Narrow" w:hAnsi="Arial" w:cs="Arial"/>
                <w:sz w:val="20"/>
                <w:szCs w:val="20"/>
              </w:rPr>
              <w:t>Servicio Nacional Forestal y de Fauna Silvestre - SERFOR</w:t>
            </w:r>
          </w:p>
        </w:tc>
      </w:tr>
      <w:tr w:rsidR="008A26D2" w:rsidRPr="008A26D2" w14:paraId="7AA2F7BD" w14:textId="77777777" w:rsidTr="005076C2">
        <w:trPr>
          <w:trHeight w:val="555"/>
          <w:jc w:val="center"/>
        </w:trPr>
        <w:tc>
          <w:tcPr>
            <w:tcW w:w="2830" w:type="dxa"/>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47D93A75" w14:textId="77777777" w:rsidR="006D6131" w:rsidRPr="008A26D2" w:rsidRDefault="006D6131" w:rsidP="002469C9">
            <w:pPr>
              <w:spacing w:after="0" w:line="240" w:lineRule="auto"/>
              <w:rPr>
                <w:rFonts w:ascii="Arial" w:hAnsi="Arial" w:cs="Arial"/>
                <w:b/>
                <w:sz w:val="20"/>
                <w:szCs w:val="20"/>
              </w:rPr>
            </w:pPr>
            <w:r w:rsidRPr="008A26D2">
              <w:rPr>
                <w:rFonts w:ascii="Arial" w:hAnsi="Arial" w:cs="Arial"/>
                <w:b/>
                <w:sz w:val="20"/>
                <w:szCs w:val="20"/>
              </w:rPr>
              <w:t>Nivel (es) de gobierno que interviene</w:t>
            </w:r>
          </w:p>
          <w:p w14:paraId="66CB7382" w14:textId="73A479BC" w:rsidR="006D6131" w:rsidRPr="008A26D2" w:rsidRDefault="006D6131" w:rsidP="006D6131">
            <w:pPr>
              <w:tabs>
                <w:tab w:val="left" w:pos="3375"/>
              </w:tabs>
              <w:rPr>
                <w:rFonts w:ascii="Arial" w:hAnsi="Arial" w:cs="Arial"/>
                <w:b/>
                <w:sz w:val="20"/>
                <w:szCs w:val="20"/>
              </w:rPr>
            </w:pPr>
            <w:r w:rsidRPr="008A26D2">
              <w:rPr>
                <w:rFonts w:ascii="Arial" w:hAnsi="Arial" w:cs="Arial"/>
                <w:b/>
                <w:sz w:val="20"/>
                <w:szCs w:val="20"/>
              </w:rPr>
              <w:t>(n) en la provisión del servicio</w:t>
            </w:r>
          </w:p>
        </w:tc>
        <w:tc>
          <w:tcPr>
            <w:tcW w:w="1968"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744D74D6" w14:textId="0BCD71D3" w:rsidR="006D6131" w:rsidRPr="008A26D2" w:rsidRDefault="006D6131" w:rsidP="007C3249">
            <w:pPr>
              <w:tabs>
                <w:tab w:val="left" w:pos="3375"/>
              </w:tabs>
              <w:ind w:left="128"/>
              <w:jc w:val="center"/>
              <w:rPr>
                <w:rFonts w:ascii="Arial" w:eastAsia="Arial Narrow" w:hAnsi="Arial" w:cs="Arial"/>
                <w:sz w:val="20"/>
                <w:szCs w:val="20"/>
              </w:rPr>
            </w:pPr>
            <w:r w:rsidRPr="008A26D2">
              <w:rPr>
                <w:rFonts w:ascii="Arial" w:eastAsia="Arial Narrow" w:hAnsi="Arial" w:cs="Arial"/>
                <w:sz w:val="20"/>
                <w:szCs w:val="20"/>
              </w:rPr>
              <w:t>Nacional</w:t>
            </w:r>
          </w:p>
        </w:tc>
        <w:tc>
          <w:tcPr>
            <w:tcW w:w="1969" w:type="dxa"/>
            <w:tcBorders>
              <w:top w:val="single" w:sz="4" w:space="0" w:color="000000"/>
              <w:left w:val="single" w:sz="4" w:space="0" w:color="000000"/>
              <w:right w:val="single" w:sz="4" w:space="0" w:color="000000"/>
            </w:tcBorders>
            <w:shd w:val="clear" w:color="auto" w:fill="auto"/>
            <w:vAlign w:val="center"/>
          </w:tcPr>
          <w:p w14:paraId="5A88265C" w14:textId="639461D3" w:rsidR="006D6131" w:rsidRPr="008A26D2" w:rsidRDefault="006D6131" w:rsidP="007C3249">
            <w:pPr>
              <w:tabs>
                <w:tab w:val="left" w:pos="3375"/>
              </w:tabs>
              <w:ind w:left="128"/>
              <w:jc w:val="center"/>
              <w:rPr>
                <w:rFonts w:ascii="Arial" w:eastAsia="Arial Narrow" w:hAnsi="Arial" w:cs="Arial"/>
                <w:sz w:val="20"/>
                <w:szCs w:val="20"/>
              </w:rPr>
            </w:pPr>
            <w:r w:rsidRPr="008A26D2">
              <w:rPr>
                <w:rFonts w:ascii="Arial" w:eastAsia="Arial Narrow" w:hAnsi="Arial" w:cs="Arial"/>
                <w:sz w:val="20"/>
                <w:szCs w:val="20"/>
              </w:rPr>
              <w:t>Regional</w:t>
            </w:r>
          </w:p>
        </w:tc>
        <w:tc>
          <w:tcPr>
            <w:tcW w:w="1969" w:type="dxa"/>
            <w:tcBorders>
              <w:top w:val="single" w:sz="4" w:space="0" w:color="000000"/>
              <w:left w:val="single" w:sz="4" w:space="0" w:color="000000"/>
              <w:right w:val="single" w:sz="4" w:space="0" w:color="000000"/>
            </w:tcBorders>
            <w:shd w:val="clear" w:color="auto" w:fill="auto"/>
            <w:vAlign w:val="center"/>
          </w:tcPr>
          <w:p w14:paraId="261B268F" w14:textId="4E79C201" w:rsidR="006D6131" w:rsidRPr="008A26D2" w:rsidRDefault="006D6131" w:rsidP="007C3249">
            <w:pPr>
              <w:tabs>
                <w:tab w:val="left" w:pos="3375"/>
              </w:tabs>
              <w:ind w:left="128"/>
              <w:jc w:val="center"/>
              <w:rPr>
                <w:rFonts w:ascii="Arial" w:eastAsia="Arial Narrow" w:hAnsi="Arial" w:cs="Arial"/>
                <w:sz w:val="20"/>
                <w:szCs w:val="20"/>
              </w:rPr>
            </w:pPr>
            <w:r w:rsidRPr="008A26D2">
              <w:rPr>
                <w:rFonts w:ascii="Arial" w:eastAsia="Arial Narrow" w:hAnsi="Arial" w:cs="Arial"/>
                <w:sz w:val="20"/>
                <w:szCs w:val="20"/>
              </w:rPr>
              <w:t>Local</w:t>
            </w:r>
          </w:p>
        </w:tc>
      </w:tr>
      <w:tr w:rsidR="008A26D2" w:rsidRPr="008A26D2" w14:paraId="4A35D8B5" w14:textId="77777777" w:rsidTr="005076C2">
        <w:trPr>
          <w:trHeight w:val="555"/>
          <w:jc w:val="center"/>
        </w:trPr>
        <w:tc>
          <w:tcPr>
            <w:tcW w:w="2830" w:type="dxa"/>
            <w:vMerge/>
            <w:tcBorders>
              <w:left w:val="single" w:sz="4" w:space="0" w:color="000000"/>
              <w:right w:val="single" w:sz="4" w:space="0" w:color="000000"/>
            </w:tcBorders>
            <w:shd w:val="clear" w:color="auto" w:fill="auto"/>
            <w:tcMar>
              <w:top w:w="15" w:type="dxa"/>
              <w:left w:w="15" w:type="dxa"/>
              <w:bottom w:w="0" w:type="dxa"/>
              <w:right w:w="15" w:type="dxa"/>
            </w:tcMar>
            <w:vAlign w:val="center"/>
          </w:tcPr>
          <w:p w14:paraId="78CDED79" w14:textId="77777777" w:rsidR="006D6131" w:rsidRPr="008A26D2" w:rsidRDefault="006D6131" w:rsidP="006D6131">
            <w:pPr>
              <w:spacing w:after="0" w:line="240" w:lineRule="auto"/>
              <w:rPr>
                <w:rFonts w:ascii="Arial" w:hAnsi="Arial" w:cs="Arial"/>
                <w:b/>
                <w:sz w:val="20"/>
                <w:szCs w:val="20"/>
              </w:rPr>
            </w:pPr>
          </w:p>
        </w:tc>
        <w:tc>
          <w:tcPr>
            <w:tcW w:w="1968"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6982F828" w14:textId="394F5F1F" w:rsidR="006D6131" w:rsidRPr="008A26D2" w:rsidRDefault="00B62C32" w:rsidP="007C3249">
            <w:pPr>
              <w:tabs>
                <w:tab w:val="left" w:pos="3375"/>
              </w:tabs>
              <w:ind w:left="128"/>
              <w:jc w:val="center"/>
              <w:rPr>
                <w:rFonts w:ascii="Arial" w:eastAsia="Arial Narrow" w:hAnsi="Arial" w:cs="Arial"/>
                <w:sz w:val="20"/>
                <w:szCs w:val="20"/>
              </w:rPr>
            </w:pPr>
            <w:r w:rsidRPr="008A26D2">
              <w:rPr>
                <w:rFonts w:ascii="Arial" w:eastAsia="Arial Narrow" w:hAnsi="Arial" w:cs="Arial"/>
                <w:sz w:val="20"/>
                <w:szCs w:val="20"/>
              </w:rPr>
              <w:t>X</w:t>
            </w:r>
          </w:p>
        </w:tc>
        <w:tc>
          <w:tcPr>
            <w:tcW w:w="1969" w:type="dxa"/>
            <w:tcBorders>
              <w:top w:val="single" w:sz="4" w:space="0" w:color="000000"/>
              <w:left w:val="single" w:sz="4" w:space="0" w:color="000000"/>
              <w:right w:val="single" w:sz="4" w:space="0" w:color="000000"/>
            </w:tcBorders>
            <w:shd w:val="clear" w:color="auto" w:fill="auto"/>
            <w:vAlign w:val="center"/>
          </w:tcPr>
          <w:p w14:paraId="60770E44" w14:textId="77777777" w:rsidR="006D6131" w:rsidRPr="008A26D2" w:rsidRDefault="006D6131" w:rsidP="007C3249">
            <w:pPr>
              <w:tabs>
                <w:tab w:val="left" w:pos="3375"/>
              </w:tabs>
              <w:ind w:left="128"/>
              <w:jc w:val="center"/>
              <w:rPr>
                <w:rFonts w:ascii="Arial" w:eastAsia="Arial Narrow" w:hAnsi="Arial" w:cs="Arial"/>
                <w:sz w:val="20"/>
                <w:szCs w:val="20"/>
              </w:rPr>
            </w:pPr>
          </w:p>
        </w:tc>
        <w:tc>
          <w:tcPr>
            <w:tcW w:w="1969" w:type="dxa"/>
            <w:tcBorders>
              <w:top w:val="single" w:sz="4" w:space="0" w:color="000000"/>
              <w:left w:val="single" w:sz="4" w:space="0" w:color="000000"/>
              <w:right w:val="single" w:sz="4" w:space="0" w:color="000000"/>
            </w:tcBorders>
            <w:shd w:val="clear" w:color="auto" w:fill="auto"/>
            <w:vAlign w:val="center"/>
          </w:tcPr>
          <w:p w14:paraId="0F1C42A8" w14:textId="3EA20ABE" w:rsidR="006D6131" w:rsidRPr="008A26D2" w:rsidRDefault="006D6131" w:rsidP="007C3249">
            <w:pPr>
              <w:tabs>
                <w:tab w:val="left" w:pos="3375"/>
              </w:tabs>
              <w:ind w:left="128"/>
              <w:jc w:val="center"/>
              <w:rPr>
                <w:rFonts w:ascii="Arial" w:eastAsia="Arial Narrow" w:hAnsi="Arial" w:cs="Arial"/>
                <w:sz w:val="20"/>
                <w:szCs w:val="20"/>
              </w:rPr>
            </w:pPr>
          </w:p>
        </w:tc>
      </w:tr>
      <w:tr w:rsidR="008A26D2" w:rsidRPr="008A26D2" w14:paraId="75978BE8" w14:textId="77777777" w:rsidTr="0072651A">
        <w:trPr>
          <w:trHeight w:val="300"/>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2B01E7C" w14:textId="77777777" w:rsidR="006D6131" w:rsidRPr="008A26D2" w:rsidRDefault="006D6131" w:rsidP="006D6131">
            <w:pPr>
              <w:tabs>
                <w:tab w:val="left" w:pos="3375"/>
              </w:tabs>
              <w:rPr>
                <w:rFonts w:ascii="Arial" w:hAnsi="Arial" w:cs="Arial"/>
                <w:b/>
                <w:sz w:val="20"/>
                <w:szCs w:val="20"/>
              </w:rPr>
            </w:pPr>
            <w:r w:rsidRPr="008A26D2">
              <w:rPr>
                <w:rFonts w:ascii="Arial" w:hAnsi="Arial" w:cs="Arial"/>
                <w:b/>
                <w:sz w:val="20"/>
                <w:szCs w:val="20"/>
              </w:rPr>
              <w:t xml:space="preserve"> Receptor del servicio</w:t>
            </w:r>
          </w:p>
        </w:tc>
        <w:tc>
          <w:tcPr>
            <w:tcW w:w="590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98E5D21" w14:textId="77777777" w:rsidR="006D6131" w:rsidRPr="008A26D2" w:rsidRDefault="006D6131" w:rsidP="006D6131">
            <w:pPr>
              <w:tabs>
                <w:tab w:val="left" w:pos="3375"/>
              </w:tabs>
              <w:ind w:left="128"/>
              <w:rPr>
                <w:rFonts w:ascii="Arial" w:hAnsi="Arial" w:cs="Arial"/>
                <w:sz w:val="20"/>
                <w:szCs w:val="20"/>
              </w:rPr>
            </w:pPr>
            <w:r w:rsidRPr="008A26D2">
              <w:rPr>
                <w:rFonts w:ascii="Arial" w:eastAsia="Arial Narrow" w:hAnsi="Arial" w:cs="Arial"/>
                <w:sz w:val="20"/>
                <w:szCs w:val="20"/>
              </w:rPr>
              <w:t>Autoridades Regionales Forestales y de Fauna Silvestre</w:t>
            </w:r>
          </w:p>
        </w:tc>
      </w:tr>
      <w:tr w:rsidR="008A26D2" w:rsidRPr="008A26D2" w14:paraId="20AE5B7C" w14:textId="77777777" w:rsidTr="0072651A">
        <w:trPr>
          <w:trHeight w:val="211"/>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1DF4A14" w14:textId="77777777" w:rsidR="006D6131" w:rsidRPr="008A26D2" w:rsidRDefault="006D6131" w:rsidP="006D6131">
            <w:pPr>
              <w:tabs>
                <w:tab w:val="left" w:pos="3375"/>
              </w:tabs>
              <w:rPr>
                <w:rFonts w:ascii="Arial" w:hAnsi="Arial" w:cs="Arial"/>
                <w:b/>
                <w:sz w:val="20"/>
                <w:szCs w:val="20"/>
              </w:rPr>
            </w:pPr>
            <w:r w:rsidRPr="008A26D2">
              <w:rPr>
                <w:rFonts w:ascii="Arial" w:hAnsi="Arial" w:cs="Arial"/>
                <w:b/>
                <w:sz w:val="20"/>
                <w:szCs w:val="20"/>
              </w:rPr>
              <w:t xml:space="preserve"> Alcance del servicio </w:t>
            </w:r>
          </w:p>
        </w:tc>
        <w:tc>
          <w:tcPr>
            <w:tcW w:w="590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E29B269" w14:textId="77777777" w:rsidR="006D6131" w:rsidRPr="008A26D2" w:rsidRDefault="006D6131" w:rsidP="006D6131">
            <w:pPr>
              <w:tabs>
                <w:tab w:val="left" w:pos="3375"/>
              </w:tabs>
              <w:ind w:left="128"/>
              <w:rPr>
                <w:rFonts w:ascii="Arial" w:hAnsi="Arial" w:cs="Arial"/>
                <w:sz w:val="20"/>
                <w:szCs w:val="20"/>
              </w:rPr>
            </w:pPr>
            <w:r w:rsidRPr="008A26D2">
              <w:rPr>
                <w:rFonts w:ascii="Arial" w:eastAsia="Arial Narrow" w:hAnsi="Arial" w:cs="Arial"/>
                <w:sz w:val="20"/>
                <w:szCs w:val="20"/>
              </w:rPr>
              <w:t>Nacional</w:t>
            </w:r>
          </w:p>
        </w:tc>
      </w:tr>
      <w:tr w:rsidR="008A26D2" w:rsidRPr="008A26D2" w14:paraId="3F3929B8" w14:textId="77777777" w:rsidTr="0072651A">
        <w:trPr>
          <w:trHeight w:val="62"/>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BF868E8" w14:textId="77777777" w:rsidR="006D6131" w:rsidRPr="008A26D2" w:rsidRDefault="006D6131" w:rsidP="006D6131">
            <w:pPr>
              <w:tabs>
                <w:tab w:val="left" w:pos="3375"/>
              </w:tabs>
              <w:rPr>
                <w:rFonts w:ascii="Arial" w:hAnsi="Arial" w:cs="Arial"/>
                <w:b/>
                <w:sz w:val="20"/>
                <w:szCs w:val="20"/>
              </w:rPr>
            </w:pPr>
            <w:r w:rsidRPr="008A26D2">
              <w:rPr>
                <w:rFonts w:ascii="Arial" w:hAnsi="Arial" w:cs="Arial"/>
                <w:b/>
                <w:sz w:val="20"/>
                <w:szCs w:val="20"/>
              </w:rPr>
              <w:t xml:space="preserve"> Estándar (es) de cumplimiento</w:t>
            </w:r>
          </w:p>
        </w:tc>
        <w:tc>
          <w:tcPr>
            <w:tcW w:w="590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63DD6359" w14:textId="77777777" w:rsidR="006D6131" w:rsidRPr="008A26D2" w:rsidRDefault="006D6131" w:rsidP="006D6131">
            <w:pPr>
              <w:tabs>
                <w:tab w:val="left" w:pos="3375"/>
              </w:tabs>
              <w:ind w:left="128"/>
              <w:rPr>
                <w:rFonts w:ascii="Arial" w:hAnsi="Arial" w:cs="Arial"/>
                <w:sz w:val="20"/>
                <w:szCs w:val="20"/>
              </w:rPr>
            </w:pPr>
            <w:r w:rsidRPr="008A26D2">
              <w:rPr>
                <w:rFonts w:ascii="Arial" w:eastAsia="Arial Narrow" w:hAnsi="Arial" w:cs="Arial"/>
                <w:sz w:val="20"/>
                <w:szCs w:val="20"/>
              </w:rPr>
              <w:t>Percepción</w:t>
            </w:r>
          </w:p>
        </w:tc>
      </w:tr>
      <w:tr w:rsidR="008A26D2" w:rsidRPr="008A26D2" w14:paraId="024C065C" w14:textId="77777777" w:rsidTr="0072651A">
        <w:trPr>
          <w:trHeight w:val="300"/>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F025043" w14:textId="77777777" w:rsidR="006D6131" w:rsidRPr="008A26D2" w:rsidRDefault="006D6131" w:rsidP="006D6131">
            <w:pPr>
              <w:tabs>
                <w:tab w:val="left" w:pos="3375"/>
              </w:tabs>
              <w:rPr>
                <w:rFonts w:ascii="Arial" w:hAnsi="Arial" w:cs="Arial"/>
                <w:b/>
                <w:sz w:val="20"/>
                <w:szCs w:val="20"/>
              </w:rPr>
            </w:pPr>
            <w:r w:rsidRPr="008A26D2">
              <w:rPr>
                <w:rFonts w:ascii="Arial" w:hAnsi="Arial" w:cs="Arial"/>
                <w:b/>
                <w:sz w:val="20"/>
                <w:szCs w:val="20"/>
              </w:rPr>
              <w:t xml:space="preserve"> Descripción del estándar</w:t>
            </w:r>
          </w:p>
        </w:tc>
        <w:tc>
          <w:tcPr>
            <w:tcW w:w="590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35" w:type="dxa"/>
              <w:bottom w:w="0" w:type="dxa"/>
              <w:right w:w="15" w:type="dxa"/>
            </w:tcMar>
            <w:vAlign w:val="center"/>
          </w:tcPr>
          <w:p w14:paraId="66CDDAB4" w14:textId="0DBFFBF8" w:rsidR="006D6131" w:rsidRPr="008A26D2" w:rsidRDefault="006D6131" w:rsidP="006D6131">
            <w:pPr>
              <w:pBdr>
                <w:top w:val="nil"/>
                <w:left w:val="nil"/>
                <w:bottom w:val="nil"/>
                <w:right w:val="nil"/>
                <w:between w:val="nil"/>
              </w:pBdr>
              <w:spacing w:after="0" w:line="240" w:lineRule="auto"/>
              <w:jc w:val="both"/>
              <w:rPr>
                <w:rFonts w:ascii="Arial" w:hAnsi="Arial" w:cs="Arial"/>
                <w:strike/>
                <w:sz w:val="20"/>
                <w:szCs w:val="20"/>
              </w:rPr>
            </w:pPr>
            <w:r w:rsidRPr="008A26D2">
              <w:rPr>
                <w:rFonts w:ascii="Arial" w:eastAsia="Times New Roman" w:hAnsi="Arial" w:cs="Arial"/>
                <w:sz w:val="20"/>
                <w:szCs w:val="20"/>
                <w:lang w:val="es-ES"/>
              </w:rPr>
              <w:t xml:space="preserve">El estándar es de percepción debido a que éste satisface las expectativas de capacitación en </w:t>
            </w:r>
            <w:r w:rsidRPr="008A26D2">
              <w:rPr>
                <w:rFonts w:ascii="Arial" w:eastAsia="Arial Narrow" w:hAnsi="Arial" w:cs="Arial"/>
                <w:sz w:val="20"/>
                <w:szCs w:val="20"/>
              </w:rPr>
              <w:t>aspectos técnicos y administrativos</w:t>
            </w:r>
            <w:r w:rsidRPr="008A26D2">
              <w:rPr>
                <w:rFonts w:ascii="Arial" w:eastAsia="Times New Roman" w:hAnsi="Arial" w:cs="Arial"/>
                <w:sz w:val="20"/>
                <w:szCs w:val="20"/>
                <w:lang w:val="es-ES"/>
              </w:rPr>
              <w:t xml:space="preserve"> de los servidores de las Autoridades Regionales Forestales y de Fauna Silvestre para la creación de </w:t>
            </w:r>
            <w:r w:rsidRPr="008A26D2">
              <w:rPr>
                <w:rFonts w:ascii="Arial" w:eastAsia="Arial Narrow" w:hAnsi="Arial" w:cs="Arial"/>
                <w:sz w:val="20"/>
                <w:szCs w:val="20"/>
              </w:rPr>
              <w:t>Unidades Técnicas de Manejo Forestal Comunitario</w:t>
            </w:r>
            <w:r w:rsidRPr="008A26D2">
              <w:rPr>
                <w:rFonts w:ascii="Arial" w:eastAsia="Times New Roman" w:hAnsi="Arial" w:cs="Arial"/>
                <w:sz w:val="20"/>
                <w:szCs w:val="20"/>
                <w:lang w:val="es-ES"/>
              </w:rPr>
              <w:t>.</w:t>
            </w:r>
          </w:p>
        </w:tc>
      </w:tr>
      <w:tr w:rsidR="006D6131" w:rsidRPr="008A26D2" w14:paraId="4A3E67B3" w14:textId="77777777" w:rsidTr="0072651A">
        <w:trPr>
          <w:trHeight w:val="491"/>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99C982B" w14:textId="1EBC99A6" w:rsidR="006D6131" w:rsidRPr="008A26D2" w:rsidRDefault="006D6131" w:rsidP="006D6131">
            <w:pPr>
              <w:tabs>
                <w:tab w:val="left" w:pos="3375"/>
              </w:tabs>
              <w:rPr>
                <w:rFonts w:ascii="Arial" w:hAnsi="Arial" w:cs="Arial"/>
                <w:b/>
                <w:sz w:val="20"/>
                <w:szCs w:val="20"/>
              </w:rPr>
            </w:pPr>
            <w:r w:rsidRPr="008A26D2">
              <w:rPr>
                <w:rFonts w:ascii="Arial" w:hAnsi="Arial" w:cs="Arial"/>
                <w:b/>
                <w:sz w:val="20"/>
                <w:szCs w:val="20"/>
              </w:rPr>
              <w:t>Indicador de calidad</w:t>
            </w:r>
          </w:p>
        </w:tc>
        <w:tc>
          <w:tcPr>
            <w:tcW w:w="5906"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AD937CD" w14:textId="59A447E2" w:rsidR="006D6131" w:rsidRPr="008A26D2" w:rsidRDefault="006D6131" w:rsidP="006D6131">
            <w:pPr>
              <w:pBdr>
                <w:top w:val="nil"/>
                <w:left w:val="nil"/>
                <w:bottom w:val="nil"/>
                <w:right w:val="nil"/>
                <w:between w:val="nil"/>
              </w:pBdr>
              <w:spacing w:after="0" w:line="240" w:lineRule="auto"/>
              <w:jc w:val="both"/>
              <w:rPr>
                <w:rFonts w:ascii="Arial" w:hAnsi="Arial" w:cs="Arial"/>
                <w:sz w:val="20"/>
                <w:szCs w:val="20"/>
              </w:rPr>
            </w:pPr>
            <w:r w:rsidRPr="008A26D2">
              <w:rPr>
                <w:rFonts w:ascii="Arial" w:eastAsia="Arial Narrow" w:hAnsi="Arial" w:cs="Arial"/>
                <w:sz w:val="20"/>
                <w:szCs w:val="20"/>
              </w:rPr>
              <w:t xml:space="preserve"> </w:t>
            </w:r>
            <w:r w:rsidRPr="008A26D2">
              <w:rPr>
                <w:rFonts w:ascii="Arial" w:eastAsia="Times New Roman" w:hAnsi="Arial" w:cs="Arial"/>
                <w:sz w:val="20"/>
                <w:szCs w:val="20"/>
              </w:rPr>
              <w:t xml:space="preserve">Porcentaje de servidores de las </w:t>
            </w:r>
            <w:r w:rsidRPr="008A26D2">
              <w:rPr>
                <w:rFonts w:ascii="Arial" w:eastAsia="Arial Narrow" w:hAnsi="Arial" w:cs="Arial"/>
                <w:sz w:val="20"/>
                <w:szCs w:val="20"/>
              </w:rPr>
              <w:t>Autoridades Regionales Forestales y de Fauna Silvestre con alto grado de satisfacción sobre las capacitaciones recibidas para la creación de Unidades Técnicas de Manejo Forestal Comunitario.</w:t>
            </w:r>
          </w:p>
        </w:tc>
      </w:tr>
    </w:tbl>
    <w:p w14:paraId="7D4543B6" w14:textId="5196BBC2" w:rsidR="00603F80" w:rsidRPr="008A26D2" w:rsidRDefault="00603F80">
      <w:pPr>
        <w:rPr>
          <w:rFonts w:ascii="Arial Narrow" w:eastAsia="Arial Narrow" w:hAnsi="Arial Narrow" w:cs="Arial Narrow"/>
          <w:b/>
        </w:rPr>
      </w:pPr>
    </w:p>
    <w:p w14:paraId="74C2EF3C" w14:textId="0C7F8802" w:rsidR="0054612C" w:rsidRPr="008A26D2" w:rsidRDefault="0054612C" w:rsidP="0054612C">
      <w:pPr>
        <w:jc w:val="both"/>
        <w:rPr>
          <w:rFonts w:ascii="Arial" w:eastAsia="Arial Narrow" w:hAnsi="Arial" w:cs="Arial"/>
        </w:rPr>
      </w:pPr>
      <w:r w:rsidRPr="008A26D2">
        <w:rPr>
          <w:rFonts w:ascii="Arial" w:eastAsia="Arial Narrow" w:hAnsi="Arial" w:cs="Arial"/>
          <w:b/>
          <w:bCs/>
        </w:rPr>
        <w:t>S.3.2.6.</w:t>
      </w:r>
      <w:r w:rsidRPr="008A26D2">
        <w:rPr>
          <w:rFonts w:ascii="Arial" w:eastAsia="Arial Narrow" w:hAnsi="Arial" w:cs="Arial"/>
        </w:rPr>
        <w:t xml:space="preserve"> Fortalecimiento de capacidades en la gestión comunitaria de los recursos forestales y fauna silvestre con pertinencia cultural a pueblos indígenas u originarios</w:t>
      </w:r>
    </w:p>
    <w:tbl>
      <w:tblPr>
        <w:tblW w:w="8347" w:type="dxa"/>
        <w:jc w:val="center"/>
        <w:tblCellMar>
          <w:left w:w="70" w:type="dxa"/>
          <w:right w:w="70" w:type="dxa"/>
        </w:tblCellMar>
        <w:tblLook w:val="04A0" w:firstRow="1" w:lastRow="0" w:firstColumn="1" w:lastColumn="0" w:noHBand="0" w:noVBand="1"/>
      </w:tblPr>
      <w:tblGrid>
        <w:gridCol w:w="1767"/>
        <w:gridCol w:w="2193"/>
        <w:gridCol w:w="2193"/>
        <w:gridCol w:w="2194"/>
      </w:tblGrid>
      <w:tr w:rsidR="008A26D2" w:rsidRPr="008A26D2" w14:paraId="14D6A5F7" w14:textId="77777777" w:rsidTr="0072651A">
        <w:trPr>
          <w:trHeight w:val="141"/>
          <w:jc w:val="center"/>
        </w:trPr>
        <w:tc>
          <w:tcPr>
            <w:tcW w:w="8347"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FB81A53" w14:textId="25751A8A" w:rsidR="0054612C" w:rsidRPr="008A26D2" w:rsidRDefault="0054612C" w:rsidP="0072651A">
            <w:pPr>
              <w:jc w:val="center"/>
              <w:rPr>
                <w:rFonts w:ascii="Arial" w:eastAsia="Times New Roman" w:hAnsi="Arial" w:cs="Arial"/>
                <w:b/>
                <w:bCs/>
                <w:sz w:val="20"/>
                <w:szCs w:val="20"/>
              </w:rPr>
            </w:pPr>
            <w:r w:rsidRPr="008A26D2">
              <w:rPr>
                <w:rFonts w:ascii="Arial" w:eastAsia="Times New Roman" w:hAnsi="Arial" w:cs="Arial"/>
                <w:b/>
                <w:bCs/>
                <w:sz w:val="20"/>
                <w:szCs w:val="20"/>
                <w:shd w:val="clear" w:color="auto" w:fill="D9D9D9" w:themeFill="background1" w:themeFillShade="D9"/>
              </w:rPr>
              <w:t xml:space="preserve">FICHA DEL SERVICIO </w:t>
            </w:r>
          </w:p>
        </w:tc>
      </w:tr>
      <w:tr w:rsidR="008A26D2" w:rsidRPr="008A26D2" w14:paraId="11F33BF3" w14:textId="77777777" w:rsidTr="0072651A">
        <w:trPr>
          <w:trHeight w:val="549"/>
          <w:jc w:val="center"/>
        </w:trPr>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09A9B6F9" w14:textId="77777777" w:rsidR="0054612C" w:rsidRPr="008A26D2" w:rsidRDefault="0054612C" w:rsidP="0072651A">
            <w:pPr>
              <w:tabs>
                <w:tab w:val="left" w:pos="3375"/>
              </w:tabs>
              <w:rPr>
                <w:rFonts w:ascii="Arial" w:eastAsia="Arial Narrow" w:hAnsi="Arial" w:cs="Arial"/>
                <w:b/>
                <w:sz w:val="20"/>
                <w:szCs w:val="20"/>
              </w:rPr>
            </w:pPr>
            <w:r w:rsidRPr="008A26D2">
              <w:rPr>
                <w:rFonts w:ascii="Arial" w:eastAsia="Arial Narrow" w:hAnsi="Arial" w:cs="Arial"/>
                <w:b/>
                <w:sz w:val="20"/>
                <w:szCs w:val="20"/>
              </w:rPr>
              <w:t>Objetivo prioritario:</w:t>
            </w:r>
          </w:p>
        </w:tc>
        <w:tc>
          <w:tcPr>
            <w:tcW w:w="658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EDD1173" w14:textId="77777777" w:rsidR="0054612C" w:rsidRPr="008A26D2" w:rsidRDefault="0054612C" w:rsidP="0072651A">
            <w:pPr>
              <w:tabs>
                <w:tab w:val="left" w:pos="3375"/>
              </w:tabs>
              <w:jc w:val="both"/>
              <w:rPr>
                <w:rFonts w:ascii="Arial" w:eastAsia="Arial Narrow" w:hAnsi="Arial" w:cs="Arial"/>
                <w:sz w:val="20"/>
                <w:szCs w:val="20"/>
              </w:rPr>
            </w:pPr>
            <w:r w:rsidRPr="008A26D2">
              <w:rPr>
                <w:rFonts w:ascii="Arial" w:eastAsia="Arial Narrow" w:hAnsi="Arial" w:cs="Arial"/>
                <w:sz w:val="20"/>
                <w:szCs w:val="20"/>
              </w:rPr>
              <w:t xml:space="preserve">OP3. Fortalecer la gobernanza forestal y de fauna silvestre. </w:t>
            </w:r>
          </w:p>
        </w:tc>
      </w:tr>
      <w:tr w:rsidR="008A26D2" w:rsidRPr="008A26D2" w14:paraId="66AB16A3" w14:textId="77777777" w:rsidTr="0072651A">
        <w:trPr>
          <w:trHeight w:val="627"/>
          <w:jc w:val="center"/>
        </w:trPr>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3B4FA495" w14:textId="77777777" w:rsidR="0054612C" w:rsidRPr="008A26D2" w:rsidRDefault="0054612C" w:rsidP="0072651A">
            <w:pPr>
              <w:tabs>
                <w:tab w:val="left" w:pos="3375"/>
              </w:tabs>
              <w:rPr>
                <w:rFonts w:ascii="Arial" w:eastAsia="Arial Narrow" w:hAnsi="Arial" w:cs="Arial"/>
                <w:b/>
                <w:sz w:val="20"/>
                <w:szCs w:val="20"/>
              </w:rPr>
            </w:pPr>
            <w:r w:rsidRPr="008A26D2">
              <w:rPr>
                <w:rFonts w:ascii="Arial" w:eastAsia="Arial Narrow" w:hAnsi="Arial" w:cs="Arial"/>
                <w:b/>
                <w:sz w:val="20"/>
                <w:szCs w:val="20"/>
              </w:rPr>
              <w:t>Lineamiento:</w:t>
            </w:r>
          </w:p>
        </w:tc>
        <w:tc>
          <w:tcPr>
            <w:tcW w:w="658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969B0A8" w14:textId="77777777" w:rsidR="0054612C" w:rsidRPr="008A26D2" w:rsidRDefault="0054612C" w:rsidP="0072651A">
            <w:pPr>
              <w:tabs>
                <w:tab w:val="left" w:pos="3375"/>
              </w:tabs>
              <w:jc w:val="both"/>
              <w:rPr>
                <w:rFonts w:ascii="Arial" w:eastAsia="Arial Narrow" w:hAnsi="Arial" w:cs="Arial"/>
                <w:sz w:val="20"/>
                <w:szCs w:val="20"/>
              </w:rPr>
            </w:pPr>
            <w:r w:rsidRPr="008A26D2">
              <w:rPr>
                <w:rFonts w:ascii="Arial" w:eastAsia="Arial Narrow" w:hAnsi="Arial" w:cs="Arial"/>
                <w:sz w:val="20"/>
                <w:szCs w:val="20"/>
              </w:rPr>
              <w:t>L.3.2. Desarrollar programas orientados a la mejora de la gestión y aprovechamiento sostenible de los recursos forestales y fauna silvestre en pueblos indígenas u originarios (comunidades nativas, comunidades campesinas, entre otros)</w:t>
            </w:r>
          </w:p>
        </w:tc>
      </w:tr>
      <w:tr w:rsidR="008A26D2" w:rsidRPr="008A26D2" w14:paraId="3ADA85D2" w14:textId="77777777" w:rsidTr="0072651A">
        <w:trPr>
          <w:trHeight w:val="609"/>
          <w:jc w:val="center"/>
        </w:trPr>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4C9063ED" w14:textId="77777777" w:rsidR="0054612C" w:rsidRPr="008A26D2" w:rsidRDefault="0054612C" w:rsidP="0072651A">
            <w:pPr>
              <w:tabs>
                <w:tab w:val="left" w:pos="3375"/>
              </w:tabs>
              <w:rPr>
                <w:rFonts w:ascii="Arial" w:eastAsia="Arial Narrow" w:hAnsi="Arial" w:cs="Arial"/>
                <w:b/>
                <w:sz w:val="20"/>
                <w:szCs w:val="20"/>
              </w:rPr>
            </w:pPr>
            <w:r w:rsidRPr="008A26D2">
              <w:rPr>
                <w:rFonts w:ascii="Arial" w:eastAsia="Arial Narrow" w:hAnsi="Arial" w:cs="Arial"/>
                <w:b/>
                <w:sz w:val="20"/>
                <w:szCs w:val="20"/>
              </w:rPr>
              <w:t>Nombre del servicio:</w:t>
            </w:r>
          </w:p>
        </w:tc>
        <w:tc>
          <w:tcPr>
            <w:tcW w:w="658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A564679" w14:textId="77777777" w:rsidR="0054612C" w:rsidRPr="008A26D2" w:rsidRDefault="0054612C" w:rsidP="0072651A">
            <w:pPr>
              <w:spacing w:after="0" w:line="240" w:lineRule="auto"/>
              <w:jc w:val="both"/>
              <w:rPr>
                <w:rFonts w:ascii="Arial" w:hAnsi="Arial" w:cs="Arial"/>
                <w:sz w:val="20"/>
                <w:szCs w:val="20"/>
              </w:rPr>
            </w:pPr>
            <w:r w:rsidRPr="008A26D2">
              <w:rPr>
                <w:rFonts w:ascii="Arial" w:eastAsia="Arial Narrow" w:hAnsi="Arial" w:cs="Arial"/>
                <w:sz w:val="20"/>
                <w:szCs w:val="20"/>
              </w:rPr>
              <w:t>S.3.2.6. Fortalecimiento de capacidades en la gestión comunitaria de los recursos forestales y fauna silvestre con pertinencia cultural a pueblos indígenas u originarios</w:t>
            </w:r>
          </w:p>
        </w:tc>
      </w:tr>
      <w:tr w:rsidR="008A26D2" w:rsidRPr="008A26D2" w14:paraId="33B9D87F" w14:textId="77777777" w:rsidTr="0072651A">
        <w:trPr>
          <w:trHeight w:val="357"/>
          <w:jc w:val="center"/>
        </w:trPr>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6C4C9869" w14:textId="77777777" w:rsidR="0054612C" w:rsidRPr="008A26D2" w:rsidRDefault="0054612C" w:rsidP="0072651A">
            <w:pPr>
              <w:tabs>
                <w:tab w:val="left" w:pos="3375"/>
              </w:tabs>
              <w:rPr>
                <w:rFonts w:ascii="Arial" w:eastAsia="Arial Narrow" w:hAnsi="Arial" w:cs="Arial"/>
                <w:b/>
                <w:sz w:val="20"/>
                <w:szCs w:val="20"/>
              </w:rPr>
            </w:pPr>
            <w:r w:rsidRPr="008A26D2">
              <w:rPr>
                <w:rFonts w:ascii="Arial" w:eastAsia="Arial Narrow" w:hAnsi="Arial" w:cs="Arial"/>
                <w:b/>
                <w:sz w:val="20"/>
                <w:szCs w:val="20"/>
              </w:rPr>
              <w:t>Tipo de servicio:</w:t>
            </w:r>
          </w:p>
        </w:tc>
        <w:tc>
          <w:tcPr>
            <w:tcW w:w="6580" w:type="dxa"/>
            <w:gridSpan w:val="3"/>
            <w:tcBorders>
              <w:top w:val="single" w:sz="4" w:space="0" w:color="auto"/>
              <w:left w:val="single" w:sz="4" w:space="0" w:color="auto"/>
              <w:bottom w:val="single" w:sz="4" w:space="0" w:color="auto"/>
              <w:right w:val="single" w:sz="4" w:space="0" w:color="auto"/>
            </w:tcBorders>
            <w:shd w:val="clear" w:color="auto" w:fill="auto"/>
          </w:tcPr>
          <w:p w14:paraId="517FED27" w14:textId="77777777" w:rsidR="0054612C" w:rsidRPr="008A26D2" w:rsidRDefault="0054612C" w:rsidP="0072651A">
            <w:pPr>
              <w:tabs>
                <w:tab w:val="left" w:pos="3375"/>
              </w:tabs>
              <w:jc w:val="both"/>
              <w:rPr>
                <w:rFonts w:ascii="Arial" w:eastAsia="Arial Narrow" w:hAnsi="Arial" w:cs="Arial"/>
                <w:sz w:val="20"/>
                <w:szCs w:val="20"/>
              </w:rPr>
            </w:pPr>
            <w:r w:rsidRPr="008A26D2">
              <w:rPr>
                <w:rFonts w:ascii="Arial" w:eastAsia="Arial Narrow" w:hAnsi="Arial" w:cs="Arial"/>
                <w:sz w:val="20"/>
                <w:szCs w:val="20"/>
              </w:rPr>
              <w:t>Nuevo</w:t>
            </w:r>
          </w:p>
        </w:tc>
      </w:tr>
      <w:tr w:rsidR="008A26D2" w:rsidRPr="008A26D2" w14:paraId="1A48021A" w14:textId="77777777" w:rsidTr="00F21F0D">
        <w:trPr>
          <w:trHeight w:val="357"/>
          <w:jc w:val="center"/>
        </w:trPr>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4D414783" w14:textId="7BCC626A" w:rsidR="006D6131" w:rsidRPr="008A26D2" w:rsidRDefault="006D6131" w:rsidP="006D6131">
            <w:pPr>
              <w:tabs>
                <w:tab w:val="left" w:pos="3375"/>
              </w:tabs>
              <w:rPr>
                <w:rFonts w:ascii="Arial" w:eastAsia="Arial Narrow" w:hAnsi="Arial" w:cs="Arial"/>
                <w:b/>
                <w:sz w:val="20"/>
                <w:szCs w:val="20"/>
              </w:rPr>
            </w:pPr>
            <w:r w:rsidRPr="008A26D2">
              <w:rPr>
                <w:rFonts w:ascii="Arial" w:hAnsi="Arial" w:cs="Arial"/>
                <w:b/>
                <w:sz w:val="20"/>
                <w:szCs w:val="20"/>
              </w:rPr>
              <w:t>Naturaleza del servicio:</w:t>
            </w:r>
          </w:p>
        </w:tc>
        <w:tc>
          <w:tcPr>
            <w:tcW w:w="658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C6142AE" w14:textId="4D7BBC7E" w:rsidR="006D6131" w:rsidRPr="008A26D2" w:rsidRDefault="00B62C32" w:rsidP="006D6131">
            <w:pPr>
              <w:tabs>
                <w:tab w:val="left" w:pos="3375"/>
              </w:tabs>
              <w:jc w:val="both"/>
              <w:rPr>
                <w:rFonts w:ascii="Arial" w:eastAsia="Arial Narrow" w:hAnsi="Arial" w:cs="Arial"/>
                <w:sz w:val="20"/>
                <w:szCs w:val="20"/>
              </w:rPr>
            </w:pPr>
            <w:r w:rsidRPr="008A26D2">
              <w:rPr>
                <w:rFonts w:ascii="Arial" w:eastAsia="Arial Narrow" w:hAnsi="Arial" w:cs="Arial"/>
                <w:sz w:val="20"/>
                <w:szCs w:val="20"/>
              </w:rPr>
              <w:t>P</w:t>
            </w:r>
            <w:r w:rsidR="006D6131" w:rsidRPr="008A26D2">
              <w:rPr>
                <w:rFonts w:ascii="Arial" w:eastAsia="Arial Narrow" w:hAnsi="Arial" w:cs="Arial"/>
                <w:sz w:val="20"/>
                <w:szCs w:val="20"/>
              </w:rPr>
              <w:t>restacional</w:t>
            </w:r>
          </w:p>
        </w:tc>
      </w:tr>
      <w:tr w:rsidR="008A26D2" w:rsidRPr="008A26D2" w14:paraId="38EF7C8E" w14:textId="77777777" w:rsidTr="00F21F0D">
        <w:trPr>
          <w:trHeight w:val="357"/>
          <w:jc w:val="center"/>
        </w:trPr>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53F79AEA" w14:textId="730DEEFC" w:rsidR="006D6131" w:rsidRPr="008A26D2" w:rsidRDefault="006D6131" w:rsidP="006D6131">
            <w:pPr>
              <w:tabs>
                <w:tab w:val="left" w:pos="3375"/>
              </w:tabs>
              <w:rPr>
                <w:rFonts w:ascii="Arial" w:eastAsia="Arial Narrow" w:hAnsi="Arial" w:cs="Arial"/>
                <w:b/>
                <w:sz w:val="20"/>
                <w:szCs w:val="20"/>
              </w:rPr>
            </w:pPr>
            <w:r w:rsidRPr="008A26D2">
              <w:rPr>
                <w:rFonts w:ascii="Arial" w:hAnsi="Arial" w:cs="Arial"/>
                <w:b/>
                <w:sz w:val="20"/>
                <w:szCs w:val="20"/>
              </w:rPr>
              <w:t>Entrega del servicio</w:t>
            </w:r>
          </w:p>
        </w:tc>
        <w:tc>
          <w:tcPr>
            <w:tcW w:w="658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CFEE04B" w14:textId="7CEAA207" w:rsidR="006D6131" w:rsidRPr="008A26D2" w:rsidRDefault="006D6131" w:rsidP="006D6131">
            <w:pPr>
              <w:tabs>
                <w:tab w:val="left" w:pos="3375"/>
              </w:tabs>
              <w:jc w:val="both"/>
              <w:rPr>
                <w:rFonts w:ascii="Arial" w:eastAsia="Arial Narrow" w:hAnsi="Arial" w:cs="Arial"/>
                <w:sz w:val="20"/>
                <w:szCs w:val="20"/>
              </w:rPr>
            </w:pPr>
            <w:r w:rsidRPr="008A26D2">
              <w:rPr>
                <w:rFonts w:ascii="Arial" w:eastAsia="Arial Narrow" w:hAnsi="Arial" w:cs="Arial"/>
                <w:sz w:val="20"/>
                <w:szCs w:val="20"/>
              </w:rPr>
              <w:t xml:space="preserve">Competencia exclusiva </w:t>
            </w:r>
          </w:p>
        </w:tc>
      </w:tr>
      <w:tr w:rsidR="008A26D2" w:rsidRPr="008A26D2" w14:paraId="0E79E01A" w14:textId="77777777" w:rsidTr="0072651A">
        <w:trPr>
          <w:trHeight w:val="1033"/>
          <w:jc w:val="center"/>
        </w:trPr>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7BB3461E" w14:textId="77777777" w:rsidR="006D6131" w:rsidRPr="008A26D2" w:rsidRDefault="006D6131" w:rsidP="006D6131">
            <w:pPr>
              <w:tabs>
                <w:tab w:val="left" w:pos="3375"/>
              </w:tabs>
              <w:rPr>
                <w:rFonts w:ascii="Arial" w:eastAsia="Arial Narrow" w:hAnsi="Arial" w:cs="Arial"/>
                <w:b/>
                <w:sz w:val="20"/>
                <w:szCs w:val="20"/>
              </w:rPr>
            </w:pPr>
            <w:r w:rsidRPr="008A26D2">
              <w:rPr>
                <w:rFonts w:ascii="Arial" w:eastAsia="Arial Narrow" w:hAnsi="Arial" w:cs="Arial"/>
                <w:b/>
                <w:sz w:val="20"/>
                <w:szCs w:val="20"/>
              </w:rPr>
              <w:t>Descripción del servicio:</w:t>
            </w:r>
          </w:p>
        </w:tc>
        <w:tc>
          <w:tcPr>
            <w:tcW w:w="6580" w:type="dxa"/>
            <w:gridSpan w:val="3"/>
            <w:tcBorders>
              <w:top w:val="single" w:sz="4" w:space="0" w:color="auto"/>
              <w:left w:val="single" w:sz="4" w:space="0" w:color="auto"/>
              <w:bottom w:val="single" w:sz="4" w:space="0" w:color="auto"/>
              <w:right w:val="single" w:sz="4" w:space="0" w:color="auto"/>
            </w:tcBorders>
            <w:shd w:val="clear" w:color="auto" w:fill="auto"/>
          </w:tcPr>
          <w:p w14:paraId="2795DFC4" w14:textId="77777777" w:rsidR="006D6131" w:rsidRPr="00846D49" w:rsidRDefault="006D6131" w:rsidP="006D6131">
            <w:pPr>
              <w:tabs>
                <w:tab w:val="left" w:pos="3375"/>
              </w:tabs>
              <w:spacing w:after="0" w:line="240" w:lineRule="auto"/>
              <w:jc w:val="both"/>
              <w:rPr>
                <w:rFonts w:ascii="Arial" w:eastAsia="Arial Narrow" w:hAnsi="Arial" w:cs="Arial"/>
                <w:sz w:val="20"/>
                <w:szCs w:val="20"/>
              </w:rPr>
            </w:pPr>
            <w:r w:rsidRPr="00846D49">
              <w:rPr>
                <w:rFonts w:ascii="Arial" w:eastAsia="Arial Narrow" w:hAnsi="Arial" w:cs="Arial"/>
                <w:sz w:val="20"/>
                <w:szCs w:val="20"/>
              </w:rPr>
              <w:t xml:space="preserve">El servicio consiste en el fortalecimiento de capacidades en la gestión comunitaria de los recursos  forestales y fauna silvestre, mediante talleres, charlas, cursos, asistencias técnicas, pasantías, entre otras, considerando contenidos con enfoques interculturales y lingüísticos, asimismo, aspectos técnicos, sociales y normativos orientados a recuperar y fortalecer los principios comunitarios de reciprocidad, colectividad, solidaridad y ayuda mutua en la gestión forestal y de fauna silvestre. </w:t>
            </w:r>
          </w:p>
          <w:p w14:paraId="3BB62736" w14:textId="77777777" w:rsidR="006D6131" w:rsidRPr="00846D49" w:rsidRDefault="006D6131" w:rsidP="006D6131">
            <w:pPr>
              <w:tabs>
                <w:tab w:val="left" w:pos="3375"/>
              </w:tabs>
              <w:spacing w:after="0" w:line="240" w:lineRule="auto"/>
              <w:jc w:val="both"/>
              <w:rPr>
                <w:rFonts w:ascii="Arial" w:eastAsia="Arial Narrow" w:hAnsi="Arial" w:cs="Arial"/>
                <w:sz w:val="20"/>
                <w:szCs w:val="20"/>
              </w:rPr>
            </w:pPr>
          </w:p>
          <w:p w14:paraId="560B279F" w14:textId="77777777" w:rsidR="006D6131" w:rsidRPr="00846D49" w:rsidRDefault="006D6131" w:rsidP="006D6131">
            <w:pPr>
              <w:tabs>
                <w:tab w:val="left" w:pos="3375"/>
              </w:tabs>
              <w:spacing w:after="0" w:line="240" w:lineRule="auto"/>
              <w:jc w:val="both"/>
              <w:rPr>
                <w:rFonts w:ascii="Arial" w:eastAsia="Arial Narrow" w:hAnsi="Arial" w:cs="Arial"/>
                <w:sz w:val="20"/>
                <w:szCs w:val="20"/>
              </w:rPr>
            </w:pPr>
            <w:r w:rsidRPr="00846D49">
              <w:rPr>
                <w:rFonts w:ascii="Arial" w:eastAsia="Arial Narrow" w:hAnsi="Arial" w:cs="Arial"/>
                <w:sz w:val="20"/>
                <w:szCs w:val="20"/>
              </w:rPr>
              <w:lastRenderedPageBreak/>
              <w:t>Los pueblos indígenas u originarios gestionan los recursos forestales y de fauna silvestre a nivel comunitario por décadas, basado en conocimientos ancestrales y cosmovisión, contribuyendo a la conservación y aprovechamiento sostenible de los recursos naturales y poniendo en calor las prácticas culturales, implementando acciones de fortalecimiento de capacidades entre sus miembros con la participación de las entidades públicas de nivel regional y local, fomentar procesos de aprendizaje interinstitucional y promover la innovación en las intervenciones públicas. En la gestión comunitaria se integra las formas de organización, las prácticas sociales y las técnicas de manejo que utilizan las comunidades como una forma de fortalecer y poner el valor el manejo tradicional de los recursos forestales.</w:t>
            </w:r>
          </w:p>
          <w:p w14:paraId="04FBD2E9" w14:textId="77777777" w:rsidR="006D6131" w:rsidRPr="00846D49" w:rsidRDefault="006D6131" w:rsidP="006D6131">
            <w:pPr>
              <w:tabs>
                <w:tab w:val="left" w:pos="3375"/>
              </w:tabs>
              <w:spacing w:after="0" w:line="240" w:lineRule="auto"/>
              <w:jc w:val="both"/>
              <w:rPr>
                <w:rFonts w:ascii="Arial" w:eastAsia="Arial Narrow" w:hAnsi="Arial" w:cs="Arial"/>
                <w:sz w:val="20"/>
                <w:szCs w:val="20"/>
              </w:rPr>
            </w:pPr>
          </w:p>
          <w:p w14:paraId="4BD6E772" w14:textId="1EECDF95" w:rsidR="006D6131" w:rsidRPr="00846D49" w:rsidRDefault="006D6131" w:rsidP="006D6131">
            <w:pPr>
              <w:tabs>
                <w:tab w:val="left" w:pos="3375"/>
              </w:tabs>
              <w:spacing w:after="0" w:line="240" w:lineRule="auto"/>
              <w:jc w:val="both"/>
              <w:rPr>
                <w:rFonts w:ascii="Arial" w:eastAsia="Arial Narrow" w:hAnsi="Arial" w:cs="Arial"/>
                <w:sz w:val="20"/>
                <w:szCs w:val="20"/>
              </w:rPr>
            </w:pPr>
            <w:r w:rsidRPr="00846D49">
              <w:rPr>
                <w:rFonts w:ascii="Arial" w:eastAsia="Arial Narrow" w:hAnsi="Arial" w:cs="Arial"/>
                <w:sz w:val="20"/>
                <w:szCs w:val="20"/>
              </w:rPr>
              <w:t>El servicio es nuevo y responde a la necesidad de fortalecer las gestiones comunitarias de los recursos forestales y fauna silvestre existentes en territorios de pueblos indígenas u originarios con pertinencia lingüística e intercultural.</w:t>
            </w:r>
            <w:r w:rsidR="00290D98" w:rsidRPr="00846D49">
              <w:rPr>
                <w:rFonts w:ascii="Arial" w:eastAsia="Arial Narrow" w:hAnsi="Arial" w:cs="Arial"/>
                <w:sz w:val="20"/>
                <w:szCs w:val="20"/>
              </w:rPr>
              <w:t xml:space="preserve"> Estas acciones serán conducidas por el SERFOR al haberse constituido la Unidad Funcional de Manejo Forestal Comunitario dentro de la entidad</w:t>
            </w:r>
          </w:p>
        </w:tc>
      </w:tr>
      <w:tr w:rsidR="008A26D2" w:rsidRPr="008A26D2" w14:paraId="41E4B6C3" w14:textId="77777777" w:rsidTr="0072651A">
        <w:trPr>
          <w:trHeight w:val="453"/>
          <w:jc w:val="center"/>
        </w:trPr>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7496F732" w14:textId="77777777" w:rsidR="006D6131" w:rsidRPr="008A26D2" w:rsidRDefault="006D6131" w:rsidP="006D6131">
            <w:pPr>
              <w:tabs>
                <w:tab w:val="left" w:pos="3375"/>
              </w:tabs>
              <w:rPr>
                <w:rFonts w:ascii="Arial" w:eastAsia="Arial Narrow" w:hAnsi="Arial" w:cs="Arial"/>
                <w:b/>
                <w:sz w:val="20"/>
                <w:szCs w:val="20"/>
              </w:rPr>
            </w:pPr>
            <w:r w:rsidRPr="008A26D2">
              <w:rPr>
                <w:rFonts w:ascii="Arial" w:eastAsia="Arial Narrow" w:hAnsi="Arial" w:cs="Arial"/>
                <w:b/>
                <w:sz w:val="20"/>
                <w:szCs w:val="20"/>
              </w:rPr>
              <w:lastRenderedPageBreak/>
              <w:t>Proveedor del servicio:</w:t>
            </w:r>
          </w:p>
        </w:tc>
        <w:tc>
          <w:tcPr>
            <w:tcW w:w="6580" w:type="dxa"/>
            <w:gridSpan w:val="3"/>
            <w:tcBorders>
              <w:top w:val="single" w:sz="4" w:space="0" w:color="auto"/>
              <w:left w:val="single" w:sz="4" w:space="0" w:color="auto"/>
              <w:bottom w:val="single" w:sz="4" w:space="0" w:color="auto"/>
              <w:right w:val="single" w:sz="4" w:space="0" w:color="auto"/>
            </w:tcBorders>
            <w:shd w:val="clear" w:color="auto" w:fill="auto"/>
            <w:noWrap/>
          </w:tcPr>
          <w:p w14:paraId="5E962A61" w14:textId="77777777" w:rsidR="006D6131" w:rsidRPr="00846D49" w:rsidRDefault="006D6131" w:rsidP="006D6131">
            <w:pPr>
              <w:tabs>
                <w:tab w:val="left" w:pos="3375"/>
              </w:tabs>
              <w:jc w:val="both"/>
              <w:rPr>
                <w:rFonts w:ascii="Arial" w:eastAsia="Arial Narrow" w:hAnsi="Arial" w:cs="Arial"/>
                <w:sz w:val="20"/>
                <w:szCs w:val="20"/>
              </w:rPr>
            </w:pPr>
            <w:r w:rsidRPr="00846D49">
              <w:rPr>
                <w:rFonts w:ascii="Arial" w:eastAsia="Arial Narrow" w:hAnsi="Arial" w:cs="Arial"/>
                <w:sz w:val="20"/>
                <w:szCs w:val="20"/>
              </w:rPr>
              <w:t>Servicio Nacional Forestal y de Fauna Silvestre – SERFOR</w:t>
            </w:r>
          </w:p>
        </w:tc>
      </w:tr>
      <w:tr w:rsidR="008A26D2" w:rsidRPr="008A26D2" w14:paraId="48F9BFDF" w14:textId="77777777" w:rsidTr="007C1909">
        <w:trPr>
          <w:trHeight w:val="795"/>
          <w:jc w:val="center"/>
        </w:trPr>
        <w:tc>
          <w:tcPr>
            <w:tcW w:w="1767" w:type="dxa"/>
            <w:vMerge w:val="restart"/>
            <w:tcBorders>
              <w:top w:val="single" w:sz="4" w:space="0" w:color="auto"/>
              <w:left w:val="single" w:sz="4" w:space="0" w:color="auto"/>
              <w:right w:val="single" w:sz="4" w:space="0" w:color="auto"/>
            </w:tcBorders>
            <w:shd w:val="clear" w:color="auto" w:fill="auto"/>
            <w:vAlign w:val="center"/>
          </w:tcPr>
          <w:p w14:paraId="788FDA2C" w14:textId="77777777" w:rsidR="006D6131" w:rsidRPr="008A26D2" w:rsidRDefault="006D6131" w:rsidP="002469C9">
            <w:pPr>
              <w:spacing w:after="0" w:line="240" w:lineRule="auto"/>
              <w:rPr>
                <w:rFonts w:ascii="Arial" w:hAnsi="Arial" w:cs="Arial"/>
                <w:b/>
                <w:sz w:val="20"/>
                <w:szCs w:val="20"/>
              </w:rPr>
            </w:pPr>
            <w:r w:rsidRPr="008A26D2">
              <w:rPr>
                <w:rFonts w:ascii="Arial" w:hAnsi="Arial" w:cs="Arial"/>
                <w:b/>
                <w:sz w:val="20"/>
                <w:szCs w:val="20"/>
              </w:rPr>
              <w:t>Nivel (es) de gobierno que interviene</w:t>
            </w:r>
          </w:p>
          <w:p w14:paraId="6AD25231" w14:textId="41B1C76A" w:rsidR="006D6131" w:rsidRPr="008A26D2" w:rsidRDefault="006D6131" w:rsidP="006D6131">
            <w:pPr>
              <w:tabs>
                <w:tab w:val="left" w:pos="3375"/>
              </w:tabs>
              <w:rPr>
                <w:rFonts w:ascii="Arial" w:eastAsia="Arial Narrow" w:hAnsi="Arial" w:cs="Arial"/>
                <w:b/>
                <w:sz w:val="20"/>
                <w:szCs w:val="20"/>
              </w:rPr>
            </w:pPr>
            <w:r w:rsidRPr="008A26D2">
              <w:rPr>
                <w:rFonts w:ascii="Arial" w:hAnsi="Arial" w:cs="Arial"/>
                <w:b/>
                <w:sz w:val="20"/>
                <w:szCs w:val="20"/>
              </w:rPr>
              <w:t>(n) en la provisión del servicio</w:t>
            </w:r>
          </w:p>
        </w:tc>
        <w:tc>
          <w:tcPr>
            <w:tcW w:w="2193" w:type="dxa"/>
            <w:tcBorders>
              <w:top w:val="single" w:sz="4" w:space="0" w:color="auto"/>
              <w:left w:val="single" w:sz="4" w:space="0" w:color="auto"/>
              <w:right w:val="single" w:sz="4" w:space="0" w:color="auto"/>
            </w:tcBorders>
            <w:shd w:val="clear" w:color="auto" w:fill="auto"/>
            <w:noWrap/>
            <w:vAlign w:val="center"/>
          </w:tcPr>
          <w:p w14:paraId="1899121A" w14:textId="1940426D" w:rsidR="006D6131" w:rsidRPr="008A26D2" w:rsidRDefault="006D6131" w:rsidP="00D5249D">
            <w:pPr>
              <w:tabs>
                <w:tab w:val="left" w:pos="3375"/>
              </w:tabs>
              <w:jc w:val="center"/>
              <w:rPr>
                <w:rFonts w:ascii="Arial" w:eastAsia="Arial Narrow" w:hAnsi="Arial" w:cs="Arial"/>
                <w:sz w:val="20"/>
                <w:szCs w:val="20"/>
              </w:rPr>
            </w:pPr>
            <w:r w:rsidRPr="008A26D2">
              <w:rPr>
                <w:rFonts w:ascii="Arial" w:eastAsia="Arial Narrow" w:hAnsi="Arial" w:cs="Arial"/>
                <w:sz w:val="20"/>
                <w:szCs w:val="20"/>
              </w:rPr>
              <w:t>Nacional</w:t>
            </w:r>
          </w:p>
        </w:tc>
        <w:tc>
          <w:tcPr>
            <w:tcW w:w="2193" w:type="dxa"/>
            <w:tcBorders>
              <w:top w:val="single" w:sz="4" w:space="0" w:color="auto"/>
              <w:left w:val="single" w:sz="4" w:space="0" w:color="auto"/>
              <w:right w:val="single" w:sz="4" w:space="0" w:color="auto"/>
            </w:tcBorders>
            <w:shd w:val="clear" w:color="auto" w:fill="auto"/>
            <w:vAlign w:val="center"/>
          </w:tcPr>
          <w:p w14:paraId="435823E5" w14:textId="51410E63" w:rsidR="006D6131" w:rsidRPr="00846D49" w:rsidRDefault="006D6131" w:rsidP="00D5249D">
            <w:pPr>
              <w:tabs>
                <w:tab w:val="left" w:pos="3375"/>
              </w:tabs>
              <w:jc w:val="center"/>
              <w:rPr>
                <w:rFonts w:ascii="Arial" w:eastAsia="Arial Narrow" w:hAnsi="Arial" w:cs="Arial"/>
                <w:sz w:val="20"/>
                <w:szCs w:val="20"/>
              </w:rPr>
            </w:pPr>
            <w:r w:rsidRPr="00846D49">
              <w:rPr>
                <w:rFonts w:ascii="Arial" w:eastAsia="Arial Narrow" w:hAnsi="Arial" w:cs="Arial"/>
                <w:sz w:val="20"/>
                <w:szCs w:val="20"/>
              </w:rPr>
              <w:t>Regional</w:t>
            </w:r>
          </w:p>
        </w:tc>
        <w:tc>
          <w:tcPr>
            <w:tcW w:w="2194" w:type="dxa"/>
            <w:tcBorders>
              <w:top w:val="single" w:sz="4" w:space="0" w:color="auto"/>
              <w:left w:val="single" w:sz="4" w:space="0" w:color="auto"/>
              <w:right w:val="single" w:sz="4" w:space="0" w:color="auto"/>
            </w:tcBorders>
            <w:shd w:val="clear" w:color="auto" w:fill="auto"/>
            <w:vAlign w:val="center"/>
          </w:tcPr>
          <w:p w14:paraId="21A819FD" w14:textId="47D1CE0C" w:rsidR="006D6131" w:rsidRPr="008A26D2" w:rsidRDefault="006D6131" w:rsidP="00D5249D">
            <w:pPr>
              <w:tabs>
                <w:tab w:val="left" w:pos="3375"/>
              </w:tabs>
              <w:jc w:val="center"/>
              <w:rPr>
                <w:rFonts w:ascii="Arial" w:eastAsia="Arial Narrow" w:hAnsi="Arial" w:cs="Arial"/>
                <w:sz w:val="20"/>
                <w:szCs w:val="20"/>
              </w:rPr>
            </w:pPr>
            <w:r w:rsidRPr="008A26D2">
              <w:rPr>
                <w:rFonts w:ascii="Arial" w:eastAsia="Arial Narrow" w:hAnsi="Arial" w:cs="Arial"/>
                <w:sz w:val="20"/>
                <w:szCs w:val="20"/>
              </w:rPr>
              <w:t>Local</w:t>
            </w:r>
          </w:p>
        </w:tc>
      </w:tr>
      <w:tr w:rsidR="008A26D2" w:rsidRPr="008A26D2" w14:paraId="2B2151C3" w14:textId="77777777" w:rsidTr="00DD587C">
        <w:trPr>
          <w:trHeight w:val="795"/>
          <w:jc w:val="center"/>
        </w:trPr>
        <w:tc>
          <w:tcPr>
            <w:tcW w:w="1767" w:type="dxa"/>
            <w:vMerge/>
            <w:tcBorders>
              <w:left w:val="single" w:sz="4" w:space="0" w:color="auto"/>
              <w:right w:val="single" w:sz="4" w:space="0" w:color="auto"/>
            </w:tcBorders>
            <w:shd w:val="clear" w:color="auto" w:fill="auto"/>
            <w:vAlign w:val="center"/>
          </w:tcPr>
          <w:p w14:paraId="39759321" w14:textId="77777777" w:rsidR="006D6131" w:rsidRPr="008A26D2" w:rsidRDefault="006D6131" w:rsidP="006D6131">
            <w:pPr>
              <w:spacing w:after="0" w:line="240" w:lineRule="auto"/>
              <w:rPr>
                <w:rFonts w:ascii="Arial" w:hAnsi="Arial" w:cs="Arial"/>
                <w:b/>
                <w:sz w:val="20"/>
                <w:szCs w:val="20"/>
              </w:rPr>
            </w:pPr>
          </w:p>
        </w:tc>
        <w:tc>
          <w:tcPr>
            <w:tcW w:w="2193" w:type="dxa"/>
            <w:tcBorders>
              <w:top w:val="single" w:sz="4" w:space="0" w:color="auto"/>
              <w:left w:val="single" w:sz="4" w:space="0" w:color="auto"/>
              <w:right w:val="single" w:sz="4" w:space="0" w:color="auto"/>
            </w:tcBorders>
            <w:shd w:val="clear" w:color="auto" w:fill="auto"/>
            <w:noWrap/>
          </w:tcPr>
          <w:p w14:paraId="7F3D530F" w14:textId="03521728" w:rsidR="006D6131" w:rsidRPr="008A26D2" w:rsidRDefault="00B62C32" w:rsidP="00D5249D">
            <w:pPr>
              <w:tabs>
                <w:tab w:val="left" w:pos="3375"/>
              </w:tabs>
              <w:jc w:val="center"/>
              <w:rPr>
                <w:rFonts w:ascii="Arial" w:eastAsia="Arial Narrow" w:hAnsi="Arial" w:cs="Arial"/>
                <w:sz w:val="20"/>
                <w:szCs w:val="20"/>
              </w:rPr>
            </w:pPr>
            <w:r w:rsidRPr="008A26D2">
              <w:rPr>
                <w:rFonts w:ascii="Arial" w:eastAsia="Arial Narrow" w:hAnsi="Arial" w:cs="Arial"/>
                <w:sz w:val="20"/>
                <w:szCs w:val="20"/>
              </w:rPr>
              <w:t>X</w:t>
            </w:r>
          </w:p>
        </w:tc>
        <w:tc>
          <w:tcPr>
            <w:tcW w:w="2193" w:type="dxa"/>
            <w:tcBorders>
              <w:top w:val="single" w:sz="4" w:space="0" w:color="auto"/>
              <w:left w:val="single" w:sz="4" w:space="0" w:color="auto"/>
              <w:right w:val="single" w:sz="4" w:space="0" w:color="auto"/>
            </w:tcBorders>
            <w:shd w:val="clear" w:color="auto" w:fill="auto"/>
          </w:tcPr>
          <w:p w14:paraId="6EA86899" w14:textId="77777777" w:rsidR="006D6131" w:rsidRPr="008A26D2" w:rsidRDefault="006D6131" w:rsidP="00D5249D">
            <w:pPr>
              <w:tabs>
                <w:tab w:val="left" w:pos="3375"/>
              </w:tabs>
              <w:jc w:val="center"/>
              <w:rPr>
                <w:rFonts w:ascii="Arial" w:eastAsia="Arial Narrow" w:hAnsi="Arial" w:cs="Arial"/>
                <w:sz w:val="20"/>
                <w:szCs w:val="20"/>
              </w:rPr>
            </w:pPr>
          </w:p>
        </w:tc>
        <w:tc>
          <w:tcPr>
            <w:tcW w:w="2194" w:type="dxa"/>
            <w:tcBorders>
              <w:top w:val="single" w:sz="4" w:space="0" w:color="auto"/>
              <w:left w:val="single" w:sz="4" w:space="0" w:color="auto"/>
              <w:right w:val="single" w:sz="4" w:space="0" w:color="auto"/>
            </w:tcBorders>
            <w:shd w:val="clear" w:color="auto" w:fill="auto"/>
          </w:tcPr>
          <w:p w14:paraId="6E9A28EF" w14:textId="4C414693" w:rsidR="006D6131" w:rsidRPr="008A26D2" w:rsidRDefault="006D6131" w:rsidP="00D5249D">
            <w:pPr>
              <w:tabs>
                <w:tab w:val="left" w:pos="3375"/>
              </w:tabs>
              <w:jc w:val="center"/>
              <w:rPr>
                <w:rFonts w:ascii="Arial" w:eastAsia="Arial Narrow" w:hAnsi="Arial" w:cs="Arial"/>
                <w:sz w:val="20"/>
                <w:szCs w:val="20"/>
              </w:rPr>
            </w:pPr>
          </w:p>
        </w:tc>
      </w:tr>
      <w:tr w:rsidR="008A26D2" w:rsidRPr="008A26D2" w14:paraId="4A7204EB" w14:textId="77777777" w:rsidTr="0072651A">
        <w:trPr>
          <w:trHeight w:val="453"/>
          <w:jc w:val="center"/>
        </w:trPr>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7E44236A" w14:textId="77777777" w:rsidR="006D6131" w:rsidRPr="008A26D2" w:rsidRDefault="006D6131" w:rsidP="006D6131">
            <w:pPr>
              <w:tabs>
                <w:tab w:val="left" w:pos="3375"/>
              </w:tabs>
              <w:rPr>
                <w:rFonts w:ascii="Arial" w:eastAsia="Arial Narrow" w:hAnsi="Arial" w:cs="Arial"/>
                <w:b/>
                <w:sz w:val="20"/>
                <w:szCs w:val="20"/>
              </w:rPr>
            </w:pPr>
            <w:r w:rsidRPr="008A26D2">
              <w:rPr>
                <w:rFonts w:ascii="Arial" w:eastAsia="Arial Narrow" w:hAnsi="Arial" w:cs="Arial"/>
                <w:b/>
                <w:sz w:val="20"/>
                <w:szCs w:val="20"/>
              </w:rPr>
              <w:t>Receptor del servicio:</w:t>
            </w:r>
          </w:p>
        </w:tc>
        <w:tc>
          <w:tcPr>
            <w:tcW w:w="6580" w:type="dxa"/>
            <w:gridSpan w:val="3"/>
            <w:tcBorders>
              <w:top w:val="single" w:sz="4" w:space="0" w:color="auto"/>
              <w:left w:val="single" w:sz="4" w:space="0" w:color="auto"/>
              <w:bottom w:val="single" w:sz="4" w:space="0" w:color="auto"/>
              <w:right w:val="single" w:sz="4" w:space="0" w:color="auto"/>
            </w:tcBorders>
            <w:shd w:val="clear" w:color="auto" w:fill="auto"/>
            <w:noWrap/>
          </w:tcPr>
          <w:p w14:paraId="170F8BC7" w14:textId="77777777" w:rsidR="006D6131" w:rsidRPr="008A26D2" w:rsidRDefault="006D6131" w:rsidP="006D6131">
            <w:pPr>
              <w:tabs>
                <w:tab w:val="left" w:pos="3375"/>
              </w:tabs>
              <w:jc w:val="both"/>
              <w:rPr>
                <w:rFonts w:ascii="Arial" w:eastAsia="Arial Narrow" w:hAnsi="Arial" w:cs="Arial"/>
                <w:sz w:val="20"/>
                <w:szCs w:val="20"/>
              </w:rPr>
            </w:pPr>
            <w:r w:rsidRPr="008A26D2">
              <w:rPr>
                <w:rFonts w:ascii="Arial" w:eastAsia="Arial Narrow" w:hAnsi="Arial" w:cs="Arial"/>
                <w:sz w:val="20"/>
                <w:szCs w:val="20"/>
              </w:rPr>
              <w:t>Pueblos indígenas u originarios</w:t>
            </w:r>
          </w:p>
        </w:tc>
      </w:tr>
      <w:tr w:rsidR="008A26D2" w:rsidRPr="008A26D2" w14:paraId="0F18DBDB" w14:textId="77777777" w:rsidTr="0072651A">
        <w:trPr>
          <w:trHeight w:val="532"/>
          <w:jc w:val="center"/>
        </w:trPr>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13338AFC" w14:textId="77777777" w:rsidR="006D6131" w:rsidRPr="008A26D2" w:rsidRDefault="006D6131" w:rsidP="006D6131">
            <w:pPr>
              <w:tabs>
                <w:tab w:val="left" w:pos="3375"/>
              </w:tabs>
              <w:rPr>
                <w:rFonts w:ascii="Arial" w:eastAsia="Arial Narrow" w:hAnsi="Arial" w:cs="Arial"/>
                <w:b/>
                <w:sz w:val="20"/>
                <w:szCs w:val="20"/>
              </w:rPr>
            </w:pPr>
            <w:r w:rsidRPr="008A26D2">
              <w:rPr>
                <w:rFonts w:ascii="Arial" w:eastAsia="Arial Narrow" w:hAnsi="Arial" w:cs="Arial"/>
                <w:b/>
                <w:sz w:val="20"/>
                <w:szCs w:val="20"/>
              </w:rPr>
              <w:t>Alcance del servicio:</w:t>
            </w:r>
          </w:p>
        </w:tc>
        <w:tc>
          <w:tcPr>
            <w:tcW w:w="6580" w:type="dxa"/>
            <w:gridSpan w:val="3"/>
            <w:tcBorders>
              <w:top w:val="single" w:sz="4" w:space="0" w:color="auto"/>
              <w:left w:val="single" w:sz="4" w:space="0" w:color="auto"/>
              <w:bottom w:val="single" w:sz="4" w:space="0" w:color="auto"/>
              <w:right w:val="single" w:sz="4" w:space="0" w:color="auto"/>
            </w:tcBorders>
            <w:shd w:val="clear" w:color="auto" w:fill="auto"/>
          </w:tcPr>
          <w:p w14:paraId="3B679055" w14:textId="77777777" w:rsidR="006D6131" w:rsidRPr="008A26D2" w:rsidRDefault="006D6131" w:rsidP="006D6131">
            <w:pPr>
              <w:tabs>
                <w:tab w:val="left" w:pos="3375"/>
              </w:tabs>
              <w:rPr>
                <w:rFonts w:ascii="Arial" w:eastAsia="Arial Narrow" w:hAnsi="Arial" w:cs="Arial"/>
                <w:sz w:val="20"/>
                <w:szCs w:val="20"/>
              </w:rPr>
            </w:pPr>
            <w:r w:rsidRPr="008A26D2">
              <w:rPr>
                <w:rFonts w:ascii="Arial" w:eastAsia="Arial Narrow" w:hAnsi="Arial" w:cs="Arial"/>
                <w:sz w:val="20"/>
                <w:szCs w:val="20"/>
              </w:rPr>
              <w:t>Nacional</w:t>
            </w:r>
          </w:p>
        </w:tc>
      </w:tr>
      <w:tr w:rsidR="008A26D2" w:rsidRPr="008A26D2" w14:paraId="01580FCC" w14:textId="77777777" w:rsidTr="0072651A">
        <w:trPr>
          <w:trHeight w:val="532"/>
          <w:jc w:val="center"/>
        </w:trPr>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47B72545" w14:textId="77777777" w:rsidR="006D6131" w:rsidRPr="008A26D2" w:rsidRDefault="006D6131" w:rsidP="006D6131">
            <w:pPr>
              <w:tabs>
                <w:tab w:val="left" w:pos="3375"/>
              </w:tabs>
              <w:rPr>
                <w:rFonts w:ascii="Arial" w:eastAsia="Arial Narrow" w:hAnsi="Arial" w:cs="Arial"/>
                <w:b/>
                <w:sz w:val="20"/>
                <w:szCs w:val="20"/>
              </w:rPr>
            </w:pPr>
            <w:r w:rsidRPr="008A26D2">
              <w:rPr>
                <w:rFonts w:ascii="Arial" w:eastAsia="Arial Narrow" w:hAnsi="Arial" w:cs="Arial"/>
                <w:b/>
                <w:sz w:val="20"/>
                <w:szCs w:val="20"/>
              </w:rPr>
              <w:t>Estándares de cumplimiento:</w:t>
            </w:r>
          </w:p>
        </w:tc>
        <w:tc>
          <w:tcPr>
            <w:tcW w:w="6580" w:type="dxa"/>
            <w:gridSpan w:val="3"/>
            <w:tcBorders>
              <w:top w:val="single" w:sz="4" w:space="0" w:color="auto"/>
              <w:left w:val="single" w:sz="4" w:space="0" w:color="auto"/>
              <w:bottom w:val="single" w:sz="4" w:space="0" w:color="auto"/>
              <w:right w:val="single" w:sz="4" w:space="0" w:color="auto"/>
            </w:tcBorders>
            <w:shd w:val="clear" w:color="auto" w:fill="auto"/>
          </w:tcPr>
          <w:p w14:paraId="581D9132" w14:textId="77777777" w:rsidR="006D6131" w:rsidRPr="008A26D2" w:rsidRDefault="006D6131" w:rsidP="006D6131">
            <w:pPr>
              <w:tabs>
                <w:tab w:val="left" w:pos="3375"/>
              </w:tabs>
              <w:rPr>
                <w:rFonts w:ascii="Arial" w:eastAsia="Arial Narrow" w:hAnsi="Arial" w:cs="Arial"/>
                <w:sz w:val="20"/>
                <w:szCs w:val="20"/>
              </w:rPr>
            </w:pPr>
            <w:r w:rsidRPr="008A26D2">
              <w:rPr>
                <w:rFonts w:ascii="Arial" w:eastAsia="Arial Narrow" w:hAnsi="Arial" w:cs="Arial"/>
                <w:sz w:val="20"/>
                <w:szCs w:val="20"/>
              </w:rPr>
              <w:t>Pertinencia cultural</w:t>
            </w:r>
          </w:p>
        </w:tc>
      </w:tr>
      <w:tr w:rsidR="008A26D2" w:rsidRPr="008A26D2" w14:paraId="278E4552" w14:textId="77777777" w:rsidTr="0072651A">
        <w:trPr>
          <w:trHeight w:val="628"/>
          <w:jc w:val="center"/>
        </w:trPr>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2A62B66A" w14:textId="77777777" w:rsidR="006D6131" w:rsidRPr="008A26D2" w:rsidRDefault="006D6131" w:rsidP="006D6131">
            <w:pPr>
              <w:tabs>
                <w:tab w:val="left" w:pos="3375"/>
              </w:tabs>
              <w:rPr>
                <w:rFonts w:ascii="Arial" w:eastAsia="Arial Narrow" w:hAnsi="Arial" w:cs="Arial"/>
                <w:b/>
                <w:sz w:val="20"/>
                <w:szCs w:val="20"/>
              </w:rPr>
            </w:pPr>
            <w:r w:rsidRPr="008A26D2">
              <w:rPr>
                <w:rFonts w:ascii="Arial" w:eastAsia="Arial Narrow" w:hAnsi="Arial" w:cs="Arial"/>
                <w:b/>
                <w:sz w:val="20"/>
                <w:szCs w:val="20"/>
              </w:rPr>
              <w:t>Descripción del estándar:</w:t>
            </w:r>
          </w:p>
        </w:tc>
        <w:tc>
          <w:tcPr>
            <w:tcW w:w="6580" w:type="dxa"/>
            <w:gridSpan w:val="3"/>
            <w:tcBorders>
              <w:top w:val="single" w:sz="4" w:space="0" w:color="auto"/>
              <w:left w:val="single" w:sz="4" w:space="0" w:color="auto"/>
              <w:bottom w:val="single" w:sz="4" w:space="0" w:color="auto"/>
              <w:right w:val="single" w:sz="4" w:space="0" w:color="auto"/>
            </w:tcBorders>
            <w:shd w:val="clear" w:color="auto" w:fill="auto"/>
          </w:tcPr>
          <w:p w14:paraId="27FCC7EB" w14:textId="77777777" w:rsidR="006D6131" w:rsidRPr="008A26D2" w:rsidRDefault="006D6131" w:rsidP="006D6131">
            <w:pPr>
              <w:pStyle w:val="pf0"/>
              <w:tabs>
                <w:tab w:val="left" w:pos="3375"/>
              </w:tabs>
              <w:spacing w:before="0" w:beforeAutospacing="0" w:after="160" w:afterAutospacing="0" w:line="259" w:lineRule="auto"/>
              <w:jc w:val="both"/>
              <w:rPr>
                <w:rFonts w:ascii="Arial" w:eastAsia="Arial Narrow" w:hAnsi="Arial" w:cs="Arial"/>
                <w:sz w:val="20"/>
                <w:szCs w:val="20"/>
              </w:rPr>
            </w:pPr>
            <w:r w:rsidRPr="008A26D2">
              <w:rPr>
                <w:rFonts w:ascii="Arial" w:eastAsia="Arial Narrow" w:hAnsi="Arial" w:cs="Arial"/>
                <w:sz w:val="20"/>
                <w:szCs w:val="20"/>
              </w:rPr>
              <w:t>El estándar asegura que la entrega del servicio se realizara respetando las prácticas culturales, asimismo, el fortalecimiento de capacidades se brinda considerando las lenguas originarias y enfoque intercultural. Siendo estos criterios los elementos centrales del proceso de fortalecimiento capacidades para lograr los objetivos e impacto necesarios y esperados en los pueblos indígenas u originarios</w:t>
            </w:r>
          </w:p>
        </w:tc>
      </w:tr>
      <w:tr w:rsidR="006D6131" w:rsidRPr="008A26D2" w14:paraId="2CEF82B6" w14:textId="77777777" w:rsidTr="0072651A">
        <w:trPr>
          <w:trHeight w:val="567"/>
          <w:jc w:val="center"/>
        </w:trPr>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18062CCD" w14:textId="2F859FCD" w:rsidR="006D6131" w:rsidRPr="008A26D2" w:rsidRDefault="006D6131" w:rsidP="006D6131">
            <w:pPr>
              <w:tabs>
                <w:tab w:val="left" w:pos="3375"/>
              </w:tabs>
              <w:rPr>
                <w:rFonts w:ascii="Arial" w:eastAsia="Arial Narrow" w:hAnsi="Arial" w:cs="Arial"/>
                <w:b/>
                <w:sz w:val="20"/>
                <w:szCs w:val="20"/>
              </w:rPr>
            </w:pPr>
            <w:r w:rsidRPr="008A26D2">
              <w:rPr>
                <w:rFonts w:ascii="Arial" w:eastAsia="Arial Narrow" w:hAnsi="Arial" w:cs="Arial"/>
                <w:b/>
                <w:sz w:val="20"/>
                <w:szCs w:val="20"/>
              </w:rPr>
              <w:t>Indicador de calidad</w:t>
            </w:r>
          </w:p>
        </w:tc>
        <w:tc>
          <w:tcPr>
            <w:tcW w:w="658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FF173AD" w14:textId="77777777" w:rsidR="006D6131" w:rsidRPr="008A26D2" w:rsidRDefault="006D6131" w:rsidP="006D6131">
            <w:pPr>
              <w:tabs>
                <w:tab w:val="left" w:pos="3375"/>
              </w:tabs>
              <w:jc w:val="both"/>
              <w:rPr>
                <w:rFonts w:ascii="Arial" w:eastAsia="Arial Narrow" w:hAnsi="Arial" w:cs="Arial"/>
                <w:sz w:val="20"/>
                <w:szCs w:val="20"/>
              </w:rPr>
            </w:pPr>
            <w:r w:rsidRPr="008A26D2">
              <w:rPr>
                <w:rFonts w:ascii="Arial" w:eastAsia="Arial Narrow" w:hAnsi="Arial" w:cs="Arial"/>
                <w:sz w:val="20"/>
                <w:szCs w:val="20"/>
              </w:rPr>
              <w:t>Porcentaje de pueblos indígenas u originarios que recibieron fortalecimiento de capacidades en gestión comunitaria de los recursos forestales y fauna silvestre con pertinencia cultural</w:t>
            </w:r>
          </w:p>
        </w:tc>
      </w:tr>
    </w:tbl>
    <w:p w14:paraId="40EA3F2D" w14:textId="5376B247" w:rsidR="0054612C" w:rsidRPr="008A26D2" w:rsidRDefault="0054612C">
      <w:pPr>
        <w:rPr>
          <w:rFonts w:ascii="Arial Narrow" w:eastAsia="Arial Narrow" w:hAnsi="Arial Narrow" w:cs="Arial Narrow"/>
          <w:b/>
        </w:rPr>
      </w:pPr>
    </w:p>
    <w:p w14:paraId="0BA235F2" w14:textId="210824CC" w:rsidR="00905027" w:rsidRPr="008A26D2" w:rsidRDefault="000501F3">
      <w:pPr>
        <w:rPr>
          <w:rFonts w:ascii="Arial" w:eastAsia="Arial Narrow" w:hAnsi="Arial" w:cs="Arial"/>
          <w:b/>
        </w:rPr>
      </w:pPr>
      <w:r w:rsidRPr="008A26D2">
        <w:rPr>
          <w:rFonts w:ascii="Arial" w:eastAsia="Arial Narrow" w:hAnsi="Arial" w:cs="Arial"/>
          <w:b/>
          <w:bCs/>
        </w:rPr>
        <w:t>3.2.7</w:t>
      </w:r>
      <w:r w:rsidRPr="008A26D2">
        <w:rPr>
          <w:rFonts w:ascii="Arial" w:eastAsia="Arial Narrow" w:hAnsi="Arial" w:cs="Arial"/>
        </w:rPr>
        <w:t xml:space="preserve"> </w:t>
      </w:r>
      <w:r w:rsidR="00D5249D" w:rsidRPr="00D5249D">
        <w:rPr>
          <w:rFonts w:ascii="Arial" w:eastAsia="Arial Narrow" w:hAnsi="Arial" w:cs="Arial"/>
        </w:rPr>
        <w:t>Otorgamiento de contratos de administración en Áreas Naturales Protegidas del Sistema Nacional de Áreas Naturales Protegidas de forma oportuna para actores estratégicos vinculados a la conservación de la diversidad biológica.</w:t>
      </w:r>
    </w:p>
    <w:tbl>
      <w:tblPr>
        <w:tblW w:w="8647" w:type="dxa"/>
        <w:jc w:val="center"/>
        <w:tblLayout w:type="fixed"/>
        <w:tblLook w:val="0600" w:firstRow="0" w:lastRow="0" w:firstColumn="0" w:lastColumn="0" w:noHBand="1" w:noVBand="1"/>
      </w:tblPr>
      <w:tblGrid>
        <w:gridCol w:w="2693"/>
        <w:gridCol w:w="1984"/>
        <w:gridCol w:w="1985"/>
        <w:gridCol w:w="1985"/>
      </w:tblGrid>
      <w:tr w:rsidR="008A26D2" w:rsidRPr="008A26D2" w14:paraId="251BD6B7" w14:textId="77777777" w:rsidTr="0080067C">
        <w:trPr>
          <w:trHeight w:val="300"/>
          <w:jc w:val="center"/>
        </w:trPr>
        <w:tc>
          <w:tcPr>
            <w:tcW w:w="8647"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center"/>
          </w:tcPr>
          <w:p w14:paraId="14F56477" w14:textId="66CFE3EB" w:rsidR="000501F3" w:rsidRPr="008A26D2" w:rsidRDefault="000501F3" w:rsidP="009C5D49">
            <w:pPr>
              <w:tabs>
                <w:tab w:val="left" w:pos="3375"/>
              </w:tabs>
              <w:jc w:val="center"/>
              <w:rPr>
                <w:rFonts w:ascii="Arial" w:hAnsi="Arial" w:cs="Arial"/>
                <w:sz w:val="20"/>
                <w:szCs w:val="20"/>
              </w:rPr>
            </w:pPr>
            <w:r w:rsidRPr="008A26D2">
              <w:rPr>
                <w:rFonts w:ascii="Arial" w:hAnsi="Arial" w:cs="Arial"/>
                <w:b/>
                <w:sz w:val="20"/>
                <w:szCs w:val="20"/>
              </w:rPr>
              <w:t xml:space="preserve">FICHA DEL SERVICIO </w:t>
            </w:r>
          </w:p>
        </w:tc>
      </w:tr>
      <w:tr w:rsidR="008A26D2" w:rsidRPr="008A26D2" w14:paraId="317BE2EA" w14:textId="77777777" w:rsidTr="0080067C">
        <w:trPr>
          <w:trHeight w:val="300"/>
          <w:jc w:val="center"/>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808E7C6" w14:textId="77777777" w:rsidR="000501F3" w:rsidRPr="008A26D2" w:rsidRDefault="000501F3" w:rsidP="009C5D49">
            <w:pPr>
              <w:tabs>
                <w:tab w:val="left" w:pos="3375"/>
              </w:tabs>
              <w:rPr>
                <w:rFonts w:ascii="Arial" w:hAnsi="Arial" w:cs="Arial"/>
                <w:b/>
                <w:sz w:val="20"/>
                <w:szCs w:val="20"/>
              </w:rPr>
            </w:pPr>
            <w:r w:rsidRPr="008A26D2">
              <w:rPr>
                <w:rFonts w:ascii="Arial" w:hAnsi="Arial" w:cs="Arial"/>
                <w:b/>
                <w:sz w:val="20"/>
                <w:szCs w:val="20"/>
              </w:rPr>
              <w:t xml:space="preserve"> Objetivo prioritario:</w:t>
            </w:r>
          </w:p>
        </w:tc>
        <w:tc>
          <w:tcPr>
            <w:tcW w:w="5954"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8B060BC" w14:textId="77777777" w:rsidR="000501F3" w:rsidRPr="008A26D2" w:rsidRDefault="000501F3" w:rsidP="009C5D49">
            <w:pPr>
              <w:tabs>
                <w:tab w:val="left" w:pos="3375"/>
              </w:tabs>
              <w:ind w:left="128"/>
              <w:rPr>
                <w:rFonts w:ascii="Arial" w:hAnsi="Arial" w:cs="Arial"/>
                <w:sz w:val="20"/>
                <w:szCs w:val="20"/>
              </w:rPr>
            </w:pPr>
            <w:r w:rsidRPr="008A26D2">
              <w:rPr>
                <w:rFonts w:ascii="Arial" w:eastAsia="Arial Narrow" w:hAnsi="Arial" w:cs="Arial"/>
                <w:sz w:val="20"/>
                <w:szCs w:val="20"/>
              </w:rPr>
              <w:t>OP3 Fortalecer la gobernanza forestal y de fauna silvestre.</w:t>
            </w:r>
          </w:p>
        </w:tc>
      </w:tr>
      <w:tr w:rsidR="008A26D2" w:rsidRPr="008A26D2" w14:paraId="5E6B99B7" w14:textId="77777777" w:rsidTr="0080067C">
        <w:trPr>
          <w:trHeight w:val="300"/>
          <w:jc w:val="center"/>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8BD03F2" w14:textId="77777777" w:rsidR="000501F3" w:rsidRPr="008A26D2" w:rsidRDefault="000501F3" w:rsidP="009C5D49">
            <w:pPr>
              <w:tabs>
                <w:tab w:val="left" w:pos="3375"/>
              </w:tabs>
              <w:rPr>
                <w:rFonts w:ascii="Arial" w:hAnsi="Arial" w:cs="Arial"/>
                <w:b/>
                <w:sz w:val="20"/>
                <w:szCs w:val="20"/>
              </w:rPr>
            </w:pPr>
            <w:r w:rsidRPr="008A26D2">
              <w:rPr>
                <w:rFonts w:ascii="Arial" w:hAnsi="Arial" w:cs="Arial"/>
                <w:b/>
                <w:sz w:val="20"/>
                <w:szCs w:val="20"/>
              </w:rPr>
              <w:lastRenderedPageBreak/>
              <w:t xml:space="preserve"> Lineamiento:</w:t>
            </w:r>
          </w:p>
        </w:tc>
        <w:tc>
          <w:tcPr>
            <w:tcW w:w="5954"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64D4C0F" w14:textId="065D0C79" w:rsidR="000501F3" w:rsidRPr="008A26D2" w:rsidRDefault="000501F3" w:rsidP="009C5D49">
            <w:pPr>
              <w:tabs>
                <w:tab w:val="left" w:pos="3375"/>
              </w:tabs>
              <w:ind w:left="128"/>
              <w:rPr>
                <w:rFonts w:ascii="Arial" w:hAnsi="Arial" w:cs="Arial"/>
                <w:sz w:val="20"/>
                <w:szCs w:val="20"/>
              </w:rPr>
            </w:pPr>
            <w:r w:rsidRPr="008A26D2">
              <w:rPr>
                <w:rFonts w:ascii="Arial" w:eastAsia="Arial Narrow" w:hAnsi="Arial" w:cs="Arial"/>
                <w:sz w:val="20"/>
                <w:szCs w:val="20"/>
              </w:rPr>
              <w:t>L3.2 Desarrollar programas orientados a la mejora de la gestión y aprovechamiento sostenible de los recursos forestales y de fauna silvestre en pueblos indígenas u originarios (comunidades campesinas, comunidades nativas, entre otros)</w:t>
            </w:r>
          </w:p>
        </w:tc>
      </w:tr>
      <w:tr w:rsidR="008A26D2" w:rsidRPr="008A26D2" w14:paraId="7A344B6D" w14:textId="77777777" w:rsidTr="0080067C">
        <w:trPr>
          <w:trHeight w:val="300"/>
          <w:jc w:val="center"/>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0F4D925" w14:textId="77777777" w:rsidR="000501F3" w:rsidRPr="008A26D2" w:rsidRDefault="000501F3" w:rsidP="009C5D49">
            <w:pPr>
              <w:tabs>
                <w:tab w:val="left" w:pos="3375"/>
              </w:tabs>
              <w:rPr>
                <w:rFonts w:ascii="Arial" w:hAnsi="Arial" w:cs="Arial"/>
                <w:b/>
                <w:sz w:val="20"/>
                <w:szCs w:val="20"/>
              </w:rPr>
            </w:pPr>
            <w:r w:rsidRPr="008A26D2">
              <w:rPr>
                <w:rFonts w:ascii="Arial" w:hAnsi="Arial" w:cs="Arial"/>
                <w:b/>
                <w:sz w:val="20"/>
                <w:szCs w:val="20"/>
              </w:rPr>
              <w:t xml:space="preserve"> Nombre del servicio:</w:t>
            </w:r>
          </w:p>
        </w:tc>
        <w:tc>
          <w:tcPr>
            <w:tcW w:w="5954"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C3B4E36" w14:textId="512423A1" w:rsidR="000501F3" w:rsidRPr="008A26D2" w:rsidRDefault="000501F3" w:rsidP="009C5D49">
            <w:pPr>
              <w:tabs>
                <w:tab w:val="left" w:pos="3375"/>
              </w:tabs>
              <w:ind w:left="128"/>
              <w:rPr>
                <w:rFonts w:ascii="Arial" w:eastAsia="Arial Narrow" w:hAnsi="Arial" w:cs="Arial"/>
                <w:sz w:val="20"/>
                <w:szCs w:val="20"/>
              </w:rPr>
            </w:pPr>
            <w:r w:rsidRPr="008A26D2">
              <w:rPr>
                <w:rFonts w:ascii="Arial" w:eastAsia="Arial Narrow" w:hAnsi="Arial" w:cs="Arial"/>
                <w:sz w:val="20"/>
                <w:szCs w:val="20"/>
              </w:rPr>
              <w:t xml:space="preserve">3.2.7 Otorgamiento de contratos de administración en Áreas Naturales Protegidas del </w:t>
            </w:r>
            <w:r w:rsidR="008C6415" w:rsidRPr="008A26D2">
              <w:rPr>
                <w:rFonts w:ascii="Arial" w:eastAsia="Arial Narrow" w:hAnsi="Arial" w:cs="Arial"/>
                <w:sz w:val="20"/>
                <w:szCs w:val="20"/>
              </w:rPr>
              <w:t>Sistema Nacional de Áreas Naturales Protegidas</w:t>
            </w:r>
            <w:r w:rsidRPr="008A26D2">
              <w:rPr>
                <w:rFonts w:ascii="Arial" w:eastAsia="Arial Narrow" w:hAnsi="Arial" w:cs="Arial"/>
                <w:sz w:val="20"/>
                <w:szCs w:val="20"/>
              </w:rPr>
              <w:t xml:space="preserve"> de forma oportuna para actores estratégicos vinculados a la conservación de la diversidad biológica.</w:t>
            </w:r>
          </w:p>
        </w:tc>
      </w:tr>
      <w:tr w:rsidR="008A26D2" w:rsidRPr="008A26D2" w14:paraId="21448381" w14:textId="77777777" w:rsidTr="0080067C">
        <w:trPr>
          <w:trHeight w:val="300"/>
          <w:jc w:val="center"/>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33E7E52" w14:textId="77777777" w:rsidR="000501F3" w:rsidRPr="008A26D2" w:rsidRDefault="000501F3" w:rsidP="009C5D49">
            <w:pPr>
              <w:tabs>
                <w:tab w:val="left" w:pos="3375"/>
              </w:tabs>
              <w:rPr>
                <w:rFonts w:ascii="Arial" w:hAnsi="Arial" w:cs="Arial"/>
                <w:b/>
                <w:sz w:val="20"/>
                <w:szCs w:val="20"/>
              </w:rPr>
            </w:pPr>
            <w:r w:rsidRPr="008A26D2">
              <w:rPr>
                <w:rFonts w:ascii="Arial" w:hAnsi="Arial" w:cs="Arial"/>
                <w:b/>
                <w:sz w:val="20"/>
                <w:szCs w:val="20"/>
              </w:rPr>
              <w:t>Tipo de servicio:</w:t>
            </w:r>
          </w:p>
        </w:tc>
        <w:tc>
          <w:tcPr>
            <w:tcW w:w="5954"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F80F504" w14:textId="77777777" w:rsidR="000501F3" w:rsidRPr="008A26D2" w:rsidRDefault="000501F3" w:rsidP="009C5D49">
            <w:pPr>
              <w:tabs>
                <w:tab w:val="left" w:pos="3375"/>
              </w:tabs>
              <w:ind w:left="128"/>
              <w:rPr>
                <w:rFonts w:ascii="Arial" w:eastAsia="Arial Narrow" w:hAnsi="Arial" w:cs="Arial"/>
                <w:sz w:val="20"/>
                <w:szCs w:val="20"/>
              </w:rPr>
            </w:pPr>
            <w:r w:rsidRPr="008A26D2">
              <w:rPr>
                <w:rFonts w:ascii="Arial" w:eastAsia="Arial Narrow" w:hAnsi="Arial" w:cs="Arial"/>
                <w:sz w:val="20"/>
                <w:szCs w:val="20"/>
              </w:rPr>
              <w:t>Mejorado</w:t>
            </w:r>
          </w:p>
        </w:tc>
      </w:tr>
      <w:tr w:rsidR="008A26D2" w:rsidRPr="008A26D2" w14:paraId="1BC71301" w14:textId="77777777" w:rsidTr="0080067C">
        <w:trPr>
          <w:trHeight w:val="300"/>
          <w:jc w:val="center"/>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EDBE3C6" w14:textId="2013D8B5" w:rsidR="006D6131" w:rsidRPr="008A26D2" w:rsidRDefault="006D6131" w:rsidP="006D6131">
            <w:pPr>
              <w:tabs>
                <w:tab w:val="left" w:pos="3375"/>
              </w:tabs>
              <w:rPr>
                <w:rFonts w:ascii="Arial" w:hAnsi="Arial" w:cs="Arial"/>
                <w:b/>
                <w:sz w:val="20"/>
                <w:szCs w:val="20"/>
              </w:rPr>
            </w:pPr>
            <w:r w:rsidRPr="008A26D2">
              <w:rPr>
                <w:rFonts w:ascii="Arial" w:hAnsi="Arial" w:cs="Arial"/>
                <w:b/>
                <w:sz w:val="20"/>
                <w:szCs w:val="20"/>
              </w:rPr>
              <w:t>Naturaleza del servicio:</w:t>
            </w:r>
          </w:p>
        </w:tc>
        <w:tc>
          <w:tcPr>
            <w:tcW w:w="5954"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4BE18B7" w14:textId="682D4E0D" w:rsidR="006D6131" w:rsidRPr="008A26D2" w:rsidRDefault="00B62C32" w:rsidP="006D6131">
            <w:pPr>
              <w:tabs>
                <w:tab w:val="left" w:pos="3375"/>
              </w:tabs>
              <w:ind w:left="128"/>
              <w:rPr>
                <w:rFonts w:ascii="Arial" w:eastAsia="Arial Narrow" w:hAnsi="Arial" w:cs="Arial"/>
                <w:sz w:val="20"/>
                <w:szCs w:val="20"/>
              </w:rPr>
            </w:pPr>
            <w:r w:rsidRPr="008A26D2">
              <w:rPr>
                <w:rFonts w:ascii="Arial" w:eastAsia="Arial Narrow" w:hAnsi="Arial" w:cs="Arial"/>
                <w:sz w:val="20"/>
                <w:szCs w:val="20"/>
              </w:rPr>
              <w:t>N</w:t>
            </w:r>
            <w:r w:rsidR="006D6131" w:rsidRPr="008A26D2">
              <w:rPr>
                <w:rFonts w:ascii="Arial" w:eastAsia="Arial Narrow" w:hAnsi="Arial" w:cs="Arial"/>
                <w:sz w:val="20"/>
                <w:szCs w:val="20"/>
              </w:rPr>
              <w:t xml:space="preserve">o prestacional </w:t>
            </w:r>
          </w:p>
        </w:tc>
      </w:tr>
      <w:tr w:rsidR="008A26D2" w:rsidRPr="008A26D2" w14:paraId="686359F9" w14:textId="77777777" w:rsidTr="0080067C">
        <w:trPr>
          <w:trHeight w:val="300"/>
          <w:jc w:val="center"/>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A28D5A8" w14:textId="62AF084A" w:rsidR="006D6131" w:rsidRPr="008A26D2" w:rsidRDefault="006D6131" w:rsidP="006D6131">
            <w:pPr>
              <w:tabs>
                <w:tab w:val="left" w:pos="3375"/>
              </w:tabs>
              <w:rPr>
                <w:rFonts w:ascii="Arial" w:hAnsi="Arial" w:cs="Arial"/>
                <w:b/>
                <w:sz w:val="20"/>
                <w:szCs w:val="20"/>
              </w:rPr>
            </w:pPr>
            <w:r w:rsidRPr="008A26D2">
              <w:rPr>
                <w:rFonts w:ascii="Arial" w:hAnsi="Arial" w:cs="Arial"/>
                <w:b/>
                <w:sz w:val="20"/>
                <w:szCs w:val="20"/>
              </w:rPr>
              <w:t>Entrega del servicio</w:t>
            </w:r>
          </w:p>
        </w:tc>
        <w:tc>
          <w:tcPr>
            <w:tcW w:w="5954"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B996FD1" w14:textId="3DE76DEA" w:rsidR="006D6131" w:rsidRPr="008A26D2" w:rsidRDefault="006D6131" w:rsidP="006D6131">
            <w:pPr>
              <w:tabs>
                <w:tab w:val="left" w:pos="3375"/>
              </w:tabs>
              <w:ind w:left="128"/>
              <w:rPr>
                <w:rFonts w:ascii="Arial" w:eastAsia="Arial Narrow" w:hAnsi="Arial" w:cs="Arial"/>
                <w:sz w:val="20"/>
                <w:szCs w:val="20"/>
              </w:rPr>
            </w:pPr>
            <w:r w:rsidRPr="008A26D2">
              <w:rPr>
                <w:rFonts w:ascii="Arial" w:eastAsia="Arial Narrow" w:hAnsi="Arial" w:cs="Arial"/>
                <w:sz w:val="20"/>
                <w:szCs w:val="20"/>
              </w:rPr>
              <w:t>Competencia exclusiva</w:t>
            </w:r>
          </w:p>
        </w:tc>
      </w:tr>
      <w:tr w:rsidR="00846D49" w:rsidRPr="00846D49" w14:paraId="38C737DC" w14:textId="77777777" w:rsidTr="0080067C">
        <w:trPr>
          <w:trHeight w:val="1246"/>
          <w:jc w:val="center"/>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C75B8AA" w14:textId="77777777" w:rsidR="006D6131" w:rsidRPr="00846D49" w:rsidRDefault="006D6131" w:rsidP="006D6131">
            <w:pPr>
              <w:tabs>
                <w:tab w:val="left" w:pos="3375"/>
              </w:tabs>
              <w:rPr>
                <w:rFonts w:ascii="Arial" w:hAnsi="Arial" w:cs="Arial"/>
                <w:b/>
                <w:sz w:val="20"/>
                <w:szCs w:val="20"/>
              </w:rPr>
            </w:pPr>
            <w:r w:rsidRPr="00846D49">
              <w:rPr>
                <w:rFonts w:ascii="Arial" w:hAnsi="Arial" w:cs="Arial"/>
                <w:b/>
                <w:sz w:val="20"/>
                <w:szCs w:val="20"/>
              </w:rPr>
              <w:t xml:space="preserve"> Descripción del servicio</w:t>
            </w:r>
          </w:p>
        </w:tc>
        <w:tc>
          <w:tcPr>
            <w:tcW w:w="5954"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B3A3291" w14:textId="510A460E" w:rsidR="006D6131" w:rsidRPr="00846D49" w:rsidRDefault="006D6131" w:rsidP="006D6131">
            <w:pPr>
              <w:pBdr>
                <w:top w:val="nil"/>
                <w:left w:val="nil"/>
                <w:bottom w:val="nil"/>
                <w:right w:val="nil"/>
                <w:between w:val="nil"/>
              </w:pBdr>
              <w:spacing w:after="0" w:line="240" w:lineRule="auto"/>
              <w:jc w:val="both"/>
              <w:rPr>
                <w:rFonts w:ascii="Arial" w:eastAsia="Arial Narrow" w:hAnsi="Arial" w:cs="Arial"/>
                <w:sz w:val="20"/>
                <w:szCs w:val="20"/>
              </w:rPr>
            </w:pPr>
            <w:r w:rsidRPr="00846D49">
              <w:rPr>
                <w:rFonts w:ascii="Arial" w:eastAsia="Arial Narrow" w:hAnsi="Arial" w:cs="Arial"/>
                <w:sz w:val="20"/>
                <w:szCs w:val="20"/>
              </w:rPr>
              <w:t xml:space="preserve">El presente servicio consiste en la atención de las solicitudes que presentan actores estratégicos para acceder a contratos de administración en Áreas Naturales Protegidas del Sistema Nacional de Áreas Naturales Protegidas </w:t>
            </w:r>
            <w:r w:rsidR="004E7D4B" w:rsidRPr="00846D49">
              <w:rPr>
                <w:rFonts w:ascii="Arial" w:eastAsia="Arial Narrow" w:hAnsi="Arial" w:cs="Arial"/>
                <w:sz w:val="20"/>
                <w:szCs w:val="20"/>
              </w:rPr>
              <w:t xml:space="preserve">- </w:t>
            </w:r>
            <w:r w:rsidRPr="00846D49">
              <w:rPr>
                <w:rFonts w:ascii="Arial" w:eastAsia="Arial Narrow" w:hAnsi="Arial" w:cs="Arial"/>
                <w:sz w:val="20"/>
                <w:szCs w:val="20"/>
              </w:rPr>
              <w:t xml:space="preserve">SINANPE. </w:t>
            </w:r>
          </w:p>
          <w:p w14:paraId="72B2B239" w14:textId="77777777" w:rsidR="006D6131" w:rsidRPr="00846D49" w:rsidRDefault="006D6131" w:rsidP="006D6131">
            <w:pPr>
              <w:pBdr>
                <w:top w:val="nil"/>
                <w:left w:val="nil"/>
                <w:bottom w:val="nil"/>
                <w:right w:val="nil"/>
                <w:between w:val="nil"/>
              </w:pBdr>
              <w:spacing w:after="0" w:line="240" w:lineRule="auto"/>
              <w:jc w:val="both"/>
              <w:rPr>
                <w:rFonts w:ascii="Arial" w:eastAsia="Arial Narrow" w:hAnsi="Arial" w:cs="Arial"/>
                <w:sz w:val="20"/>
                <w:szCs w:val="20"/>
              </w:rPr>
            </w:pPr>
          </w:p>
          <w:p w14:paraId="4C6C34D6" w14:textId="331D4B8C" w:rsidR="006D6131" w:rsidRPr="00846D49" w:rsidRDefault="006D6131" w:rsidP="00D5249D">
            <w:pPr>
              <w:tabs>
                <w:tab w:val="left" w:pos="3375"/>
              </w:tabs>
              <w:ind w:left="2"/>
              <w:jc w:val="both"/>
              <w:rPr>
                <w:rFonts w:ascii="Arial" w:eastAsia="Arial Narrow" w:hAnsi="Arial" w:cs="Arial"/>
                <w:sz w:val="20"/>
                <w:szCs w:val="20"/>
              </w:rPr>
            </w:pPr>
            <w:r w:rsidRPr="00846D49">
              <w:rPr>
                <w:rFonts w:ascii="Arial" w:eastAsia="Arial Narrow" w:hAnsi="Arial" w:cs="Arial"/>
                <w:sz w:val="20"/>
                <w:szCs w:val="20"/>
              </w:rPr>
              <w:t xml:space="preserve">El contrato de administración es un mecanismo de gestión participativa en el cual el Estado a través del </w:t>
            </w:r>
            <w:r w:rsidR="00880D35" w:rsidRPr="00846D49">
              <w:rPr>
                <w:rFonts w:ascii="Arial" w:eastAsia="Arial Narrow" w:hAnsi="Arial" w:cs="Arial"/>
                <w:sz w:val="20"/>
                <w:szCs w:val="20"/>
              </w:rPr>
              <w:t xml:space="preserve">Servicio Nacional de Áreas Naturales Protegidas por el Estado </w:t>
            </w:r>
            <w:r w:rsidR="004E7D4B" w:rsidRPr="00846D49">
              <w:rPr>
                <w:rFonts w:ascii="Arial" w:eastAsia="Arial Narrow" w:hAnsi="Arial" w:cs="Arial"/>
                <w:sz w:val="20"/>
                <w:szCs w:val="20"/>
              </w:rPr>
              <w:t xml:space="preserve">- </w:t>
            </w:r>
            <w:r w:rsidRPr="00846D49">
              <w:rPr>
                <w:rFonts w:ascii="Arial" w:eastAsia="Arial Narrow" w:hAnsi="Arial" w:cs="Arial"/>
                <w:sz w:val="20"/>
                <w:szCs w:val="20"/>
              </w:rPr>
              <w:t>SERNANP, encarga a una persona jurídica sin fines de lucro de derecho privado, de manera individual o asociada, denominada Ejecutor, implementar las acciones de manejo y administración requeridas para lograr los resultados específicos priorizados en el Plan Maestro (</w:t>
            </w:r>
            <w:r w:rsidR="00D5249D" w:rsidRPr="00846D49">
              <w:rPr>
                <w:rFonts w:ascii="Arial" w:eastAsia="Arial Narrow" w:hAnsi="Arial" w:cs="Arial"/>
                <w:sz w:val="20"/>
                <w:szCs w:val="20"/>
              </w:rPr>
              <w:t>Resolución Presidencial N°</w:t>
            </w:r>
            <w:r w:rsidRPr="00846D49">
              <w:rPr>
                <w:rFonts w:ascii="Arial" w:eastAsia="Arial Narrow" w:hAnsi="Arial" w:cs="Arial"/>
                <w:sz w:val="20"/>
                <w:szCs w:val="20"/>
              </w:rPr>
              <w:t xml:space="preserve"> 147-2018-SERNANP)</w:t>
            </w:r>
          </w:p>
          <w:p w14:paraId="6E33C098" w14:textId="30F0A11E" w:rsidR="006D6131" w:rsidRPr="00846D49" w:rsidRDefault="006D6131" w:rsidP="00D5249D">
            <w:pPr>
              <w:tabs>
                <w:tab w:val="left" w:pos="3375"/>
              </w:tabs>
              <w:ind w:left="2"/>
              <w:jc w:val="both"/>
              <w:rPr>
                <w:rFonts w:ascii="Arial" w:eastAsia="Arial Narrow" w:hAnsi="Arial" w:cs="Arial"/>
                <w:sz w:val="20"/>
                <w:szCs w:val="20"/>
              </w:rPr>
            </w:pPr>
            <w:r w:rsidRPr="00846D49">
              <w:rPr>
                <w:rFonts w:ascii="Arial" w:eastAsia="Arial Narrow" w:hAnsi="Arial" w:cs="Arial"/>
                <w:sz w:val="20"/>
                <w:szCs w:val="20"/>
              </w:rPr>
              <w:t>La finalidad es coadyuvar en la gestión participativa de las Áreas Naturales Protegidas, asimismo, permiten mejorar la gestión sostenible de los recursos forestales y de fauna silvestre, incluyendo sus servicios ecosistémicos, brindando beneficios a las poblaciones asentadas dentro de las Áreas Naturales Protegidas, especialmente pueblos indígenas u originarias entre otros.</w:t>
            </w:r>
          </w:p>
          <w:p w14:paraId="527072AA" w14:textId="4D2D71F1" w:rsidR="006D6131" w:rsidRPr="00846D49" w:rsidRDefault="006D6131" w:rsidP="00D5249D">
            <w:pPr>
              <w:pBdr>
                <w:top w:val="nil"/>
                <w:left w:val="nil"/>
                <w:bottom w:val="nil"/>
                <w:right w:val="nil"/>
                <w:between w:val="nil"/>
              </w:pBdr>
              <w:spacing w:after="0" w:line="240" w:lineRule="auto"/>
              <w:jc w:val="both"/>
              <w:rPr>
                <w:rFonts w:ascii="Arial" w:eastAsia="Arial Narrow" w:hAnsi="Arial" w:cs="Arial"/>
                <w:sz w:val="20"/>
                <w:szCs w:val="20"/>
              </w:rPr>
            </w:pPr>
            <w:r w:rsidRPr="00846D49">
              <w:rPr>
                <w:rFonts w:ascii="Arial" w:eastAsia="Arial Narrow" w:hAnsi="Arial" w:cs="Arial"/>
                <w:sz w:val="20"/>
                <w:szCs w:val="20"/>
              </w:rPr>
              <w:t xml:space="preserve">La atención de las solicitudes hasta la emisión de la resolución que aprueba el otorgamiento del contrato de administración debe realizarse </w:t>
            </w:r>
            <w:r w:rsidR="00D80CFE" w:rsidRPr="00846D49">
              <w:rPr>
                <w:rFonts w:ascii="Arial" w:eastAsia="Arial Narrow" w:hAnsi="Arial" w:cs="Arial"/>
                <w:sz w:val="20"/>
                <w:szCs w:val="20"/>
              </w:rPr>
              <w:t>en el plazo de 268 días calendario, conforme la</w:t>
            </w:r>
            <w:r w:rsidRPr="00846D49">
              <w:rPr>
                <w:rFonts w:ascii="Arial" w:eastAsia="Arial Narrow" w:hAnsi="Arial" w:cs="Arial"/>
                <w:sz w:val="20"/>
                <w:szCs w:val="20"/>
              </w:rPr>
              <w:t xml:space="preserve"> Resolución Presidencial N°147-2018-SERNANP. </w:t>
            </w:r>
          </w:p>
          <w:p w14:paraId="3EEBCFE1" w14:textId="77777777" w:rsidR="006D6131" w:rsidRPr="00846D49" w:rsidRDefault="006D6131" w:rsidP="00D5249D">
            <w:pPr>
              <w:pBdr>
                <w:top w:val="nil"/>
                <w:left w:val="nil"/>
                <w:bottom w:val="nil"/>
                <w:right w:val="nil"/>
                <w:between w:val="nil"/>
              </w:pBdr>
              <w:spacing w:after="0" w:line="240" w:lineRule="auto"/>
              <w:jc w:val="both"/>
              <w:rPr>
                <w:rFonts w:ascii="Arial" w:eastAsia="Arial Narrow" w:hAnsi="Arial" w:cs="Arial"/>
                <w:sz w:val="20"/>
                <w:szCs w:val="20"/>
              </w:rPr>
            </w:pPr>
          </w:p>
          <w:p w14:paraId="7792C8B2" w14:textId="77777777" w:rsidR="006D6131" w:rsidRPr="00846D49" w:rsidRDefault="006D6131" w:rsidP="00D5249D">
            <w:pPr>
              <w:pBdr>
                <w:top w:val="nil"/>
                <w:left w:val="nil"/>
                <w:bottom w:val="nil"/>
                <w:right w:val="nil"/>
                <w:between w:val="nil"/>
              </w:pBdr>
              <w:spacing w:after="0" w:line="240" w:lineRule="auto"/>
              <w:jc w:val="both"/>
              <w:rPr>
                <w:rFonts w:ascii="Arial" w:eastAsia="Arial Narrow" w:hAnsi="Arial" w:cs="Arial"/>
                <w:sz w:val="20"/>
                <w:szCs w:val="20"/>
              </w:rPr>
            </w:pPr>
            <w:r w:rsidRPr="00846D49">
              <w:rPr>
                <w:rFonts w:ascii="Arial" w:eastAsia="Arial Narrow" w:hAnsi="Arial" w:cs="Arial"/>
                <w:sz w:val="20"/>
                <w:szCs w:val="20"/>
              </w:rPr>
              <w:t>Las modalidades de otorgamiento se presentan a solicitud de parte y por concurso público de méritos.</w:t>
            </w:r>
          </w:p>
          <w:p w14:paraId="552A4C53" w14:textId="77777777" w:rsidR="006D6131" w:rsidRPr="00846D49" w:rsidRDefault="006D6131" w:rsidP="006D6131">
            <w:pPr>
              <w:pBdr>
                <w:top w:val="nil"/>
                <w:left w:val="nil"/>
                <w:bottom w:val="nil"/>
                <w:right w:val="nil"/>
                <w:between w:val="nil"/>
              </w:pBdr>
              <w:spacing w:after="0" w:line="240" w:lineRule="auto"/>
              <w:jc w:val="both"/>
              <w:rPr>
                <w:rFonts w:ascii="Arial" w:eastAsia="Arial Narrow" w:hAnsi="Arial" w:cs="Arial"/>
                <w:sz w:val="20"/>
                <w:szCs w:val="20"/>
              </w:rPr>
            </w:pPr>
          </w:p>
          <w:p w14:paraId="52BEE923" w14:textId="77777777" w:rsidR="006D6131" w:rsidRPr="00846D49" w:rsidRDefault="006D6131" w:rsidP="006D6131">
            <w:pPr>
              <w:pBdr>
                <w:top w:val="nil"/>
                <w:left w:val="nil"/>
                <w:bottom w:val="nil"/>
                <w:right w:val="nil"/>
                <w:between w:val="nil"/>
              </w:pBdr>
              <w:spacing w:after="0" w:line="240" w:lineRule="auto"/>
              <w:jc w:val="both"/>
              <w:rPr>
                <w:rFonts w:ascii="Arial" w:eastAsia="Arial Narrow" w:hAnsi="Arial" w:cs="Arial"/>
                <w:sz w:val="20"/>
                <w:szCs w:val="20"/>
              </w:rPr>
            </w:pPr>
            <w:r w:rsidRPr="00846D49">
              <w:rPr>
                <w:rFonts w:ascii="Arial" w:eastAsia="Arial Narrow" w:hAnsi="Arial" w:cs="Arial"/>
                <w:sz w:val="20"/>
                <w:szCs w:val="20"/>
              </w:rPr>
              <w:t>La atención de la solicitud de parte, tiene las siguientes etapas:</w:t>
            </w:r>
          </w:p>
          <w:p w14:paraId="0102CD85" w14:textId="77777777" w:rsidR="006D6131" w:rsidRPr="00846D49" w:rsidRDefault="006D6131" w:rsidP="006D6131">
            <w:pPr>
              <w:pStyle w:val="Prrafodelista"/>
              <w:numPr>
                <w:ilvl w:val="0"/>
                <w:numId w:val="5"/>
              </w:numPr>
              <w:pBdr>
                <w:top w:val="nil"/>
                <w:left w:val="nil"/>
                <w:bottom w:val="nil"/>
                <w:right w:val="nil"/>
                <w:between w:val="nil"/>
              </w:pBdr>
              <w:spacing w:after="0" w:line="240" w:lineRule="auto"/>
              <w:jc w:val="both"/>
              <w:rPr>
                <w:rFonts w:ascii="Arial" w:eastAsia="Arial Narrow" w:hAnsi="Arial" w:cs="Arial"/>
                <w:sz w:val="20"/>
                <w:szCs w:val="20"/>
              </w:rPr>
            </w:pPr>
            <w:r w:rsidRPr="00846D49">
              <w:rPr>
                <w:rFonts w:ascii="Arial" w:eastAsia="Arial Narrow" w:hAnsi="Arial" w:cs="Arial"/>
                <w:sz w:val="20"/>
                <w:szCs w:val="20"/>
              </w:rPr>
              <w:t>Evaluación de requisitos de la solicitud</w:t>
            </w:r>
          </w:p>
          <w:p w14:paraId="639306B6" w14:textId="2BFC1677" w:rsidR="006D6131" w:rsidRPr="00846D49" w:rsidRDefault="006D6131" w:rsidP="006D6131">
            <w:pPr>
              <w:pStyle w:val="Prrafodelista"/>
              <w:numPr>
                <w:ilvl w:val="0"/>
                <w:numId w:val="5"/>
              </w:numPr>
              <w:pBdr>
                <w:top w:val="nil"/>
                <w:left w:val="nil"/>
                <w:bottom w:val="nil"/>
                <w:right w:val="nil"/>
                <w:between w:val="nil"/>
              </w:pBdr>
              <w:spacing w:after="0" w:line="240" w:lineRule="auto"/>
              <w:ind w:right="201"/>
              <w:jc w:val="both"/>
              <w:rPr>
                <w:rFonts w:ascii="Arial" w:eastAsia="Arial Narrow" w:hAnsi="Arial" w:cs="Arial"/>
                <w:sz w:val="20"/>
                <w:szCs w:val="20"/>
              </w:rPr>
            </w:pPr>
            <w:r w:rsidRPr="00846D49">
              <w:rPr>
                <w:rFonts w:ascii="Arial" w:eastAsia="Arial Narrow" w:hAnsi="Arial" w:cs="Arial"/>
                <w:sz w:val="20"/>
                <w:szCs w:val="20"/>
              </w:rPr>
              <w:t>Emisión de la resolución para inicio de otorgamiento de contratos de administración a solicitud de parte</w:t>
            </w:r>
          </w:p>
          <w:p w14:paraId="1A755215" w14:textId="77777777" w:rsidR="006D6131" w:rsidRPr="00846D49" w:rsidRDefault="006D6131" w:rsidP="006D6131">
            <w:pPr>
              <w:pStyle w:val="Prrafodelista"/>
              <w:numPr>
                <w:ilvl w:val="0"/>
                <w:numId w:val="5"/>
              </w:numPr>
              <w:pBdr>
                <w:top w:val="nil"/>
                <w:left w:val="nil"/>
                <w:bottom w:val="nil"/>
                <w:right w:val="nil"/>
                <w:between w:val="nil"/>
              </w:pBdr>
              <w:spacing w:after="0" w:line="240" w:lineRule="auto"/>
              <w:ind w:right="201"/>
              <w:jc w:val="both"/>
              <w:rPr>
                <w:rFonts w:ascii="Arial" w:eastAsia="Arial Narrow" w:hAnsi="Arial" w:cs="Arial"/>
                <w:sz w:val="20"/>
                <w:szCs w:val="20"/>
              </w:rPr>
            </w:pPr>
            <w:r w:rsidRPr="00846D49">
              <w:rPr>
                <w:rFonts w:ascii="Arial" w:eastAsia="Arial Narrow" w:hAnsi="Arial" w:cs="Arial"/>
                <w:sz w:val="20"/>
                <w:szCs w:val="20"/>
              </w:rPr>
              <w:t>Emisión de la resolución para conformar la comisión Ad-Hoc que conducirá el proceso</w:t>
            </w:r>
          </w:p>
          <w:p w14:paraId="21DAA607" w14:textId="77777777" w:rsidR="006D6131" w:rsidRPr="00846D49" w:rsidRDefault="006D6131" w:rsidP="006D6131">
            <w:pPr>
              <w:pStyle w:val="Prrafodelista"/>
              <w:numPr>
                <w:ilvl w:val="0"/>
                <w:numId w:val="5"/>
              </w:numPr>
              <w:pBdr>
                <w:top w:val="nil"/>
                <w:left w:val="nil"/>
                <w:bottom w:val="nil"/>
                <w:right w:val="nil"/>
                <w:between w:val="nil"/>
              </w:pBdr>
              <w:spacing w:after="0" w:line="240" w:lineRule="auto"/>
              <w:jc w:val="both"/>
              <w:rPr>
                <w:rFonts w:ascii="Arial" w:eastAsia="Arial Narrow" w:hAnsi="Arial" w:cs="Arial"/>
                <w:sz w:val="20"/>
                <w:szCs w:val="20"/>
              </w:rPr>
            </w:pPr>
            <w:r w:rsidRPr="00846D49">
              <w:rPr>
                <w:rFonts w:ascii="Arial" w:hAnsi="Arial" w:cs="Arial"/>
                <w:sz w:val="20"/>
                <w:szCs w:val="20"/>
              </w:rPr>
              <w:t>Notificación de los Términos de Referencia al</w:t>
            </w:r>
          </w:p>
          <w:p w14:paraId="5C202F6F" w14:textId="77777777" w:rsidR="006D6131" w:rsidRPr="00846D49" w:rsidRDefault="006D6131" w:rsidP="006D6131">
            <w:pPr>
              <w:pStyle w:val="Prrafodelista"/>
              <w:numPr>
                <w:ilvl w:val="0"/>
                <w:numId w:val="5"/>
              </w:numPr>
              <w:pBdr>
                <w:top w:val="nil"/>
                <w:left w:val="nil"/>
                <w:bottom w:val="nil"/>
                <w:right w:val="nil"/>
                <w:between w:val="nil"/>
              </w:pBdr>
              <w:spacing w:after="0" w:line="240" w:lineRule="auto"/>
              <w:jc w:val="both"/>
              <w:rPr>
                <w:rFonts w:ascii="Arial" w:eastAsia="Arial Narrow" w:hAnsi="Arial" w:cs="Arial"/>
                <w:sz w:val="20"/>
                <w:szCs w:val="20"/>
              </w:rPr>
            </w:pPr>
            <w:r w:rsidRPr="00846D49">
              <w:rPr>
                <w:rFonts w:ascii="Arial" w:hAnsi="Arial" w:cs="Arial"/>
                <w:sz w:val="20"/>
                <w:szCs w:val="20"/>
              </w:rPr>
              <w:t>Solicitante</w:t>
            </w:r>
          </w:p>
          <w:p w14:paraId="59C8ADCF" w14:textId="77777777" w:rsidR="006D6131" w:rsidRPr="00846D49" w:rsidRDefault="006D6131" w:rsidP="006D6131">
            <w:pPr>
              <w:pStyle w:val="Prrafodelista"/>
              <w:numPr>
                <w:ilvl w:val="0"/>
                <w:numId w:val="5"/>
              </w:numPr>
              <w:pBdr>
                <w:top w:val="nil"/>
                <w:left w:val="nil"/>
                <w:bottom w:val="nil"/>
                <w:right w:val="nil"/>
                <w:between w:val="nil"/>
              </w:pBdr>
              <w:spacing w:after="0" w:line="240" w:lineRule="auto"/>
              <w:jc w:val="both"/>
              <w:rPr>
                <w:rFonts w:ascii="Arial" w:eastAsia="Arial Narrow" w:hAnsi="Arial" w:cs="Arial"/>
                <w:sz w:val="20"/>
                <w:szCs w:val="20"/>
              </w:rPr>
            </w:pPr>
            <w:r w:rsidRPr="00846D49">
              <w:rPr>
                <w:rFonts w:ascii="Arial" w:hAnsi="Arial" w:cs="Arial"/>
                <w:sz w:val="20"/>
                <w:szCs w:val="20"/>
              </w:rPr>
              <w:t>Presentación del Expediente por parte del solicitante</w:t>
            </w:r>
          </w:p>
          <w:p w14:paraId="02C0BB0A" w14:textId="77777777" w:rsidR="006D6131" w:rsidRPr="00846D49" w:rsidRDefault="006D6131" w:rsidP="006D6131">
            <w:pPr>
              <w:pStyle w:val="Prrafodelista"/>
              <w:numPr>
                <w:ilvl w:val="0"/>
                <w:numId w:val="5"/>
              </w:numPr>
              <w:pBdr>
                <w:top w:val="nil"/>
                <w:left w:val="nil"/>
                <w:bottom w:val="nil"/>
                <w:right w:val="nil"/>
                <w:between w:val="nil"/>
              </w:pBdr>
              <w:spacing w:after="0" w:line="240" w:lineRule="auto"/>
              <w:jc w:val="both"/>
              <w:rPr>
                <w:rFonts w:ascii="Arial" w:eastAsia="Arial Narrow" w:hAnsi="Arial" w:cs="Arial"/>
                <w:sz w:val="20"/>
                <w:szCs w:val="20"/>
              </w:rPr>
            </w:pPr>
            <w:r w:rsidRPr="00846D49">
              <w:rPr>
                <w:rFonts w:ascii="Arial" w:hAnsi="Arial" w:cs="Arial"/>
                <w:sz w:val="20"/>
                <w:szCs w:val="20"/>
              </w:rPr>
              <w:t>Evaluación de Expedientes por parte de la Comisión</w:t>
            </w:r>
          </w:p>
          <w:p w14:paraId="36D42422" w14:textId="77777777" w:rsidR="006D6131" w:rsidRPr="00846D49" w:rsidRDefault="006D6131" w:rsidP="006D6131">
            <w:pPr>
              <w:pStyle w:val="Prrafodelista"/>
              <w:numPr>
                <w:ilvl w:val="0"/>
                <w:numId w:val="5"/>
              </w:numPr>
              <w:pBdr>
                <w:top w:val="nil"/>
                <w:left w:val="nil"/>
                <w:bottom w:val="nil"/>
                <w:right w:val="nil"/>
                <w:between w:val="nil"/>
              </w:pBdr>
              <w:spacing w:after="0" w:line="240" w:lineRule="auto"/>
              <w:jc w:val="both"/>
              <w:rPr>
                <w:rFonts w:ascii="Arial" w:eastAsia="Arial Narrow" w:hAnsi="Arial" w:cs="Arial"/>
                <w:sz w:val="20"/>
                <w:szCs w:val="20"/>
              </w:rPr>
            </w:pPr>
            <w:r w:rsidRPr="00846D49">
              <w:rPr>
                <w:rFonts w:ascii="Arial" w:hAnsi="Arial" w:cs="Arial"/>
                <w:sz w:val="20"/>
                <w:szCs w:val="20"/>
              </w:rPr>
              <w:t xml:space="preserve">Ad-Hoc </w:t>
            </w:r>
          </w:p>
          <w:p w14:paraId="037AFA5C" w14:textId="77777777" w:rsidR="006D6131" w:rsidRPr="00846D49" w:rsidRDefault="006D6131" w:rsidP="006D6131">
            <w:pPr>
              <w:pStyle w:val="Prrafodelista"/>
              <w:numPr>
                <w:ilvl w:val="0"/>
                <w:numId w:val="5"/>
              </w:numPr>
              <w:pBdr>
                <w:top w:val="nil"/>
                <w:left w:val="nil"/>
                <w:bottom w:val="nil"/>
                <w:right w:val="nil"/>
                <w:between w:val="nil"/>
              </w:pBdr>
              <w:spacing w:after="0" w:line="240" w:lineRule="auto"/>
              <w:jc w:val="both"/>
              <w:rPr>
                <w:rFonts w:ascii="Arial" w:eastAsia="Arial Narrow" w:hAnsi="Arial" w:cs="Arial"/>
                <w:sz w:val="20"/>
                <w:szCs w:val="20"/>
              </w:rPr>
            </w:pPr>
            <w:r w:rsidRPr="00846D49">
              <w:rPr>
                <w:rFonts w:ascii="Arial" w:hAnsi="Arial" w:cs="Arial"/>
                <w:sz w:val="20"/>
                <w:szCs w:val="20"/>
              </w:rPr>
              <w:t>Publicación de la Resolución Directoral que adjudica</w:t>
            </w:r>
          </w:p>
          <w:p w14:paraId="1FE342E9" w14:textId="77777777" w:rsidR="006D6131" w:rsidRPr="00846D49" w:rsidRDefault="006D6131" w:rsidP="006D6131">
            <w:pPr>
              <w:pStyle w:val="Prrafodelista"/>
              <w:numPr>
                <w:ilvl w:val="0"/>
                <w:numId w:val="5"/>
              </w:numPr>
              <w:pBdr>
                <w:top w:val="nil"/>
                <w:left w:val="nil"/>
                <w:bottom w:val="nil"/>
                <w:right w:val="nil"/>
                <w:between w:val="nil"/>
              </w:pBdr>
              <w:spacing w:after="0" w:line="240" w:lineRule="auto"/>
              <w:jc w:val="both"/>
              <w:rPr>
                <w:rFonts w:ascii="Arial" w:eastAsia="Arial Narrow" w:hAnsi="Arial" w:cs="Arial"/>
                <w:sz w:val="20"/>
                <w:szCs w:val="20"/>
              </w:rPr>
            </w:pPr>
            <w:r w:rsidRPr="00846D49">
              <w:rPr>
                <w:rFonts w:ascii="Arial" w:hAnsi="Arial" w:cs="Arial"/>
                <w:sz w:val="20"/>
                <w:szCs w:val="20"/>
              </w:rPr>
              <w:t>la Buena Pro o declara en desierto el proceso (El</w:t>
            </w:r>
          </w:p>
          <w:p w14:paraId="6C8AB3EB" w14:textId="77777777" w:rsidR="006D6131" w:rsidRPr="00846D49" w:rsidRDefault="006D6131" w:rsidP="006D6131">
            <w:pPr>
              <w:pStyle w:val="Prrafodelista"/>
              <w:pBdr>
                <w:top w:val="nil"/>
                <w:left w:val="nil"/>
                <w:bottom w:val="nil"/>
                <w:right w:val="nil"/>
                <w:between w:val="nil"/>
              </w:pBdr>
              <w:spacing w:after="0" w:line="240" w:lineRule="auto"/>
              <w:jc w:val="both"/>
              <w:rPr>
                <w:rFonts w:ascii="Arial" w:hAnsi="Arial" w:cs="Arial"/>
                <w:sz w:val="20"/>
                <w:szCs w:val="20"/>
              </w:rPr>
            </w:pPr>
            <w:r w:rsidRPr="00846D49">
              <w:rPr>
                <w:rFonts w:ascii="Arial" w:hAnsi="Arial" w:cs="Arial"/>
                <w:sz w:val="20"/>
                <w:szCs w:val="20"/>
              </w:rPr>
              <w:t>Peruano y diario local)</w:t>
            </w:r>
          </w:p>
          <w:p w14:paraId="20251EF5" w14:textId="77777777" w:rsidR="006D6131" w:rsidRPr="00846D49" w:rsidRDefault="006D6131" w:rsidP="006D6131">
            <w:pPr>
              <w:pStyle w:val="Prrafodelista"/>
              <w:numPr>
                <w:ilvl w:val="0"/>
                <w:numId w:val="5"/>
              </w:numPr>
              <w:pBdr>
                <w:top w:val="nil"/>
                <w:left w:val="nil"/>
                <w:bottom w:val="nil"/>
                <w:right w:val="nil"/>
                <w:between w:val="nil"/>
              </w:pBdr>
              <w:spacing w:after="0" w:line="240" w:lineRule="auto"/>
              <w:jc w:val="both"/>
              <w:rPr>
                <w:rFonts w:ascii="Arial" w:hAnsi="Arial" w:cs="Arial"/>
                <w:sz w:val="20"/>
                <w:szCs w:val="20"/>
              </w:rPr>
            </w:pPr>
            <w:r w:rsidRPr="00846D49">
              <w:rPr>
                <w:rFonts w:ascii="Arial" w:hAnsi="Arial" w:cs="Arial"/>
                <w:sz w:val="20"/>
                <w:szCs w:val="20"/>
              </w:rPr>
              <w:t>Suscripción del contrato</w:t>
            </w:r>
          </w:p>
          <w:p w14:paraId="4B2155B9" w14:textId="77777777" w:rsidR="006D6131" w:rsidRPr="00846D49" w:rsidRDefault="006D6131" w:rsidP="006D6131">
            <w:pPr>
              <w:pStyle w:val="Prrafodelista"/>
              <w:pBdr>
                <w:top w:val="nil"/>
                <w:left w:val="nil"/>
                <w:bottom w:val="nil"/>
                <w:right w:val="nil"/>
                <w:between w:val="nil"/>
              </w:pBdr>
              <w:spacing w:after="0" w:line="240" w:lineRule="auto"/>
              <w:jc w:val="both"/>
              <w:rPr>
                <w:rFonts w:ascii="Arial" w:hAnsi="Arial" w:cs="Arial"/>
                <w:sz w:val="20"/>
                <w:szCs w:val="20"/>
              </w:rPr>
            </w:pPr>
          </w:p>
          <w:p w14:paraId="58E2874D" w14:textId="77777777" w:rsidR="006D6131" w:rsidRPr="00846D49" w:rsidRDefault="006D6131" w:rsidP="006D6131">
            <w:pPr>
              <w:pBdr>
                <w:top w:val="nil"/>
                <w:left w:val="nil"/>
                <w:bottom w:val="nil"/>
                <w:right w:val="nil"/>
                <w:between w:val="nil"/>
              </w:pBdr>
              <w:spacing w:after="0" w:line="240" w:lineRule="auto"/>
              <w:jc w:val="both"/>
              <w:rPr>
                <w:rFonts w:ascii="Arial" w:eastAsia="Arial Narrow" w:hAnsi="Arial" w:cs="Arial"/>
                <w:sz w:val="20"/>
                <w:szCs w:val="20"/>
              </w:rPr>
            </w:pPr>
            <w:r w:rsidRPr="00846D49">
              <w:rPr>
                <w:rFonts w:ascii="Arial" w:eastAsia="Arial Narrow" w:hAnsi="Arial" w:cs="Arial"/>
                <w:sz w:val="20"/>
                <w:szCs w:val="20"/>
              </w:rPr>
              <w:t>La atención para concurso público de méritos, tiene las siguientes etapas:</w:t>
            </w:r>
          </w:p>
          <w:p w14:paraId="056D80CC" w14:textId="77777777" w:rsidR="006D6131" w:rsidRPr="00846D49" w:rsidRDefault="006D6131" w:rsidP="006D6131">
            <w:pPr>
              <w:pStyle w:val="Prrafodelista"/>
              <w:numPr>
                <w:ilvl w:val="0"/>
                <w:numId w:val="5"/>
              </w:numPr>
              <w:pBdr>
                <w:top w:val="nil"/>
                <w:left w:val="nil"/>
                <w:bottom w:val="nil"/>
                <w:right w:val="nil"/>
                <w:between w:val="nil"/>
              </w:pBdr>
              <w:spacing w:after="0" w:line="240" w:lineRule="auto"/>
              <w:jc w:val="both"/>
              <w:rPr>
                <w:rFonts w:ascii="Arial" w:eastAsia="Arial Narrow" w:hAnsi="Arial" w:cs="Arial"/>
                <w:sz w:val="20"/>
                <w:szCs w:val="20"/>
              </w:rPr>
            </w:pPr>
            <w:r w:rsidRPr="00846D49">
              <w:rPr>
                <w:rFonts w:ascii="Arial" w:eastAsia="Arial Narrow" w:hAnsi="Arial" w:cs="Arial"/>
                <w:sz w:val="20"/>
                <w:szCs w:val="20"/>
              </w:rPr>
              <w:t>Informe sustento del procedimiento de concurso de méritos.</w:t>
            </w:r>
          </w:p>
          <w:p w14:paraId="54F2D432" w14:textId="3DBDDECF" w:rsidR="006D6131" w:rsidRPr="00846D49" w:rsidRDefault="006D6131" w:rsidP="006D6131">
            <w:pPr>
              <w:pStyle w:val="Prrafodelista"/>
              <w:numPr>
                <w:ilvl w:val="0"/>
                <w:numId w:val="5"/>
              </w:numPr>
              <w:pBdr>
                <w:top w:val="nil"/>
                <w:left w:val="nil"/>
                <w:bottom w:val="nil"/>
                <w:right w:val="nil"/>
                <w:between w:val="nil"/>
              </w:pBdr>
              <w:spacing w:after="0" w:line="240" w:lineRule="auto"/>
              <w:ind w:right="201"/>
              <w:jc w:val="both"/>
              <w:rPr>
                <w:rFonts w:ascii="Arial" w:eastAsia="Arial Narrow" w:hAnsi="Arial" w:cs="Arial"/>
                <w:sz w:val="20"/>
                <w:szCs w:val="20"/>
              </w:rPr>
            </w:pPr>
            <w:r w:rsidRPr="00846D49">
              <w:rPr>
                <w:rFonts w:ascii="Arial" w:eastAsia="Arial Narrow" w:hAnsi="Arial" w:cs="Arial"/>
                <w:sz w:val="20"/>
                <w:szCs w:val="20"/>
              </w:rPr>
              <w:t>Emisión de la resolución para conformación de la comisión Ad-Hoc e inicio de otorgamiento de contrato de administración por concurso de méritos</w:t>
            </w:r>
          </w:p>
          <w:p w14:paraId="02C363F3" w14:textId="77777777" w:rsidR="006D6131" w:rsidRPr="00846D49" w:rsidRDefault="006D6131" w:rsidP="006D6131">
            <w:pPr>
              <w:pStyle w:val="Prrafodelista"/>
              <w:numPr>
                <w:ilvl w:val="0"/>
                <w:numId w:val="5"/>
              </w:numPr>
              <w:pBdr>
                <w:top w:val="nil"/>
                <w:left w:val="nil"/>
                <w:bottom w:val="nil"/>
                <w:right w:val="nil"/>
                <w:between w:val="nil"/>
              </w:pBdr>
              <w:spacing w:after="0" w:line="240" w:lineRule="auto"/>
              <w:ind w:right="201"/>
              <w:jc w:val="both"/>
              <w:rPr>
                <w:rFonts w:ascii="Arial" w:eastAsia="Arial Narrow" w:hAnsi="Arial" w:cs="Arial"/>
                <w:sz w:val="20"/>
                <w:szCs w:val="20"/>
              </w:rPr>
            </w:pPr>
            <w:r w:rsidRPr="00846D49">
              <w:rPr>
                <w:rFonts w:ascii="Arial" w:eastAsia="Arial Narrow" w:hAnsi="Arial" w:cs="Arial"/>
                <w:sz w:val="20"/>
                <w:szCs w:val="20"/>
              </w:rPr>
              <w:t>Emisión de la resolución que aprueba las bases del concurso de méritos</w:t>
            </w:r>
          </w:p>
          <w:p w14:paraId="1CDE1654" w14:textId="77777777" w:rsidR="006D6131" w:rsidRPr="00846D49" w:rsidRDefault="006D6131" w:rsidP="006D6131">
            <w:pPr>
              <w:pStyle w:val="Prrafodelista"/>
              <w:numPr>
                <w:ilvl w:val="0"/>
                <w:numId w:val="5"/>
              </w:numPr>
              <w:pBdr>
                <w:top w:val="nil"/>
                <w:left w:val="nil"/>
                <w:bottom w:val="nil"/>
                <w:right w:val="nil"/>
                <w:between w:val="nil"/>
              </w:pBdr>
              <w:spacing w:after="0" w:line="240" w:lineRule="auto"/>
              <w:ind w:right="201"/>
              <w:jc w:val="both"/>
              <w:rPr>
                <w:rFonts w:ascii="Arial" w:eastAsia="Arial Narrow" w:hAnsi="Arial" w:cs="Arial"/>
                <w:sz w:val="20"/>
                <w:szCs w:val="20"/>
              </w:rPr>
            </w:pPr>
            <w:r w:rsidRPr="00846D49">
              <w:rPr>
                <w:rFonts w:ascii="Arial" w:eastAsia="Arial" w:hAnsi="Arial" w:cs="Arial"/>
                <w:sz w:val="20"/>
                <w:szCs w:val="20"/>
              </w:rPr>
              <w:t>Publicación del Resumen de la convocatoria y las Bases del Concurso de Méritos (El Peruano y diario local)</w:t>
            </w:r>
          </w:p>
          <w:p w14:paraId="0F0B5F13" w14:textId="77777777" w:rsidR="006D6131" w:rsidRPr="00846D49" w:rsidRDefault="006D6131" w:rsidP="006D6131">
            <w:pPr>
              <w:pStyle w:val="Prrafodelista"/>
              <w:numPr>
                <w:ilvl w:val="0"/>
                <w:numId w:val="5"/>
              </w:numPr>
              <w:pBdr>
                <w:top w:val="nil"/>
                <w:left w:val="nil"/>
                <w:bottom w:val="nil"/>
                <w:right w:val="nil"/>
                <w:between w:val="nil"/>
              </w:pBdr>
              <w:spacing w:after="0" w:line="240" w:lineRule="auto"/>
              <w:ind w:right="201"/>
              <w:jc w:val="both"/>
              <w:rPr>
                <w:rFonts w:ascii="Arial" w:eastAsia="Arial Narrow" w:hAnsi="Arial" w:cs="Arial"/>
                <w:sz w:val="20"/>
                <w:szCs w:val="20"/>
              </w:rPr>
            </w:pPr>
            <w:r w:rsidRPr="00846D49">
              <w:rPr>
                <w:rFonts w:ascii="Arial" w:eastAsia="Arial" w:hAnsi="Arial" w:cs="Arial"/>
                <w:sz w:val="20"/>
                <w:szCs w:val="20"/>
              </w:rPr>
              <w:t>Presentación de expedientes</w:t>
            </w:r>
          </w:p>
          <w:p w14:paraId="424B1C1E" w14:textId="77777777" w:rsidR="006D6131" w:rsidRPr="00846D49" w:rsidRDefault="006D6131" w:rsidP="006D6131">
            <w:pPr>
              <w:pStyle w:val="Prrafodelista"/>
              <w:numPr>
                <w:ilvl w:val="0"/>
                <w:numId w:val="5"/>
              </w:numPr>
              <w:pBdr>
                <w:top w:val="nil"/>
                <w:left w:val="nil"/>
                <w:bottom w:val="nil"/>
                <w:right w:val="nil"/>
                <w:between w:val="nil"/>
              </w:pBdr>
              <w:spacing w:after="0" w:line="240" w:lineRule="auto"/>
              <w:ind w:right="201"/>
              <w:jc w:val="both"/>
              <w:rPr>
                <w:rFonts w:ascii="Arial" w:eastAsia="Arial Narrow" w:hAnsi="Arial" w:cs="Arial"/>
                <w:sz w:val="20"/>
                <w:szCs w:val="20"/>
              </w:rPr>
            </w:pPr>
            <w:r w:rsidRPr="00846D49">
              <w:rPr>
                <w:rFonts w:ascii="Arial" w:eastAsia="Arial" w:hAnsi="Arial" w:cs="Arial"/>
                <w:sz w:val="20"/>
                <w:szCs w:val="20"/>
              </w:rPr>
              <w:t>Evaluación de Expedientes por parte de la Comisión Ad</w:t>
            </w:r>
            <w:sdt>
              <w:sdtPr>
                <w:rPr>
                  <w:rFonts w:ascii="Arial" w:hAnsi="Arial" w:cs="Arial"/>
                  <w:sz w:val="20"/>
                  <w:szCs w:val="20"/>
                </w:rPr>
                <w:tag w:val="goog_rdk_13"/>
                <w:id w:val="-180199733"/>
              </w:sdtPr>
              <w:sdtContent>
                <w:r w:rsidRPr="00846D49">
                  <w:rPr>
                    <w:rFonts w:ascii="Arial" w:eastAsia="Arial" w:hAnsi="Arial" w:cs="Arial"/>
                    <w:sz w:val="20"/>
                    <w:szCs w:val="20"/>
                  </w:rPr>
                  <w:t>-</w:t>
                </w:r>
              </w:sdtContent>
            </w:sdt>
            <w:r w:rsidRPr="00846D49">
              <w:rPr>
                <w:rFonts w:ascii="Arial" w:eastAsia="Arial" w:hAnsi="Arial" w:cs="Arial"/>
                <w:sz w:val="20"/>
                <w:szCs w:val="20"/>
              </w:rPr>
              <w:t>Hoc</w:t>
            </w:r>
          </w:p>
          <w:p w14:paraId="568277EC" w14:textId="5E2CAB89" w:rsidR="006D6131" w:rsidRPr="00846D49" w:rsidRDefault="006D6131" w:rsidP="006D6131">
            <w:pPr>
              <w:pStyle w:val="Prrafodelista"/>
              <w:numPr>
                <w:ilvl w:val="0"/>
                <w:numId w:val="5"/>
              </w:numPr>
              <w:pBdr>
                <w:top w:val="nil"/>
                <w:left w:val="nil"/>
                <w:bottom w:val="nil"/>
                <w:right w:val="nil"/>
                <w:between w:val="nil"/>
              </w:pBdr>
              <w:spacing w:after="0" w:line="240" w:lineRule="auto"/>
              <w:ind w:right="201"/>
              <w:jc w:val="both"/>
              <w:rPr>
                <w:rFonts w:ascii="Arial" w:eastAsia="Arial Narrow" w:hAnsi="Arial" w:cs="Arial"/>
                <w:sz w:val="20"/>
                <w:szCs w:val="20"/>
              </w:rPr>
            </w:pPr>
            <w:r w:rsidRPr="00846D49">
              <w:rPr>
                <w:rFonts w:ascii="Arial" w:eastAsia="Arial" w:hAnsi="Arial" w:cs="Arial"/>
                <w:sz w:val="20"/>
                <w:szCs w:val="20"/>
              </w:rPr>
              <w:t>Publicación de Resolución Directoral que adjudica la Buena Pro (El Peruano y diario local)</w:t>
            </w:r>
          </w:p>
          <w:p w14:paraId="663F8E72" w14:textId="77777777" w:rsidR="006D6131" w:rsidRPr="00846D49" w:rsidRDefault="006D6131" w:rsidP="006D6131">
            <w:pPr>
              <w:pStyle w:val="Prrafodelista"/>
              <w:numPr>
                <w:ilvl w:val="0"/>
                <w:numId w:val="5"/>
              </w:numPr>
              <w:pBdr>
                <w:top w:val="nil"/>
                <w:left w:val="nil"/>
                <w:bottom w:val="nil"/>
                <w:right w:val="nil"/>
                <w:between w:val="nil"/>
              </w:pBdr>
              <w:spacing w:after="0" w:line="240" w:lineRule="auto"/>
              <w:ind w:right="201"/>
              <w:jc w:val="both"/>
              <w:rPr>
                <w:rFonts w:ascii="Arial" w:eastAsia="Arial Narrow" w:hAnsi="Arial" w:cs="Arial"/>
                <w:sz w:val="20"/>
                <w:szCs w:val="20"/>
              </w:rPr>
            </w:pPr>
            <w:r w:rsidRPr="00846D49">
              <w:rPr>
                <w:rFonts w:ascii="Arial" w:eastAsia="Arial" w:hAnsi="Arial" w:cs="Arial"/>
                <w:sz w:val="20"/>
                <w:szCs w:val="20"/>
              </w:rPr>
              <w:t>Suscripción del contrato de administración</w:t>
            </w:r>
          </w:p>
          <w:p w14:paraId="2F4892F7" w14:textId="77777777" w:rsidR="006D6131" w:rsidRPr="00846D49" w:rsidRDefault="006D6131" w:rsidP="006D6131">
            <w:pPr>
              <w:tabs>
                <w:tab w:val="left" w:pos="3375"/>
              </w:tabs>
              <w:ind w:left="128"/>
              <w:rPr>
                <w:rFonts w:ascii="Arial" w:hAnsi="Arial" w:cs="Arial"/>
                <w:sz w:val="20"/>
                <w:szCs w:val="20"/>
              </w:rPr>
            </w:pPr>
          </w:p>
          <w:p w14:paraId="0E3AE89F" w14:textId="1C11AF39" w:rsidR="006D6131" w:rsidRPr="00846D49" w:rsidRDefault="006D6131" w:rsidP="006D6131">
            <w:pPr>
              <w:pBdr>
                <w:top w:val="nil"/>
                <w:left w:val="nil"/>
                <w:bottom w:val="nil"/>
                <w:right w:val="nil"/>
                <w:between w:val="nil"/>
              </w:pBdr>
              <w:spacing w:after="0" w:line="240" w:lineRule="auto"/>
              <w:jc w:val="both"/>
              <w:rPr>
                <w:rFonts w:ascii="Arial" w:eastAsia="Arial Narrow" w:hAnsi="Arial" w:cs="Arial"/>
                <w:sz w:val="20"/>
                <w:szCs w:val="20"/>
              </w:rPr>
            </w:pPr>
            <w:r w:rsidRPr="00846D49">
              <w:rPr>
                <w:rFonts w:ascii="Arial" w:eastAsia="Arial Narrow" w:hAnsi="Arial" w:cs="Arial"/>
                <w:sz w:val="20"/>
                <w:szCs w:val="20"/>
              </w:rPr>
              <w:t xml:space="preserve">Para el caso de las Reservas Comunales este mecanismo se encuentra en marco de un régimen especial, en el cual los encargados de su administración (Ejecutor), está conformado por los mismos beneficiarios ubicados al interior del Áreas Naturales Protegidas y se da por un tiempo indefinido, de acuerdo a la Resolución de Intendencia N°019-2005-INRENA-IANP </w:t>
            </w:r>
          </w:p>
          <w:p w14:paraId="04FADBE7" w14:textId="77777777" w:rsidR="006D6131" w:rsidRPr="00846D49" w:rsidRDefault="006D6131" w:rsidP="006D6131">
            <w:pPr>
              <w:pBdr>
                <w:top w:val="nil"/>
                <w:left w:val="nil"/>
                <w:bottom w:val="nil"/>
                <w:right w:val="nil"/>
                <w:between w:val="nil"/>
              </w:pBdr>
              <w:spacing w:after="0" w:line="240" w:lineRule="auto"/>
              <w:jc w:val="both"/>
              <w:rPr>
                <w:rFonts w:ascii="Arial" w:hAnsi="Arial" w:cs="Arial"/>
                <w:sz w:val="20"/>
                <w:szCs w:val="20"/>
              </w:rPr>
            </w:pPr>
          </w:p>
          <w:p w14:paraId="26D2F2FA" w14:textId="77777777" w:rsidR="006D6131" w:rsidRPr="00846D49" w:rsidRDefault="006D6131" w:rsidP="006D6131">
            <w:pPr>
              <w:pBdr>
                <w:top w:val="nil"/>
                <w:left w:val="nil"/>
                <w:bottom w:val="nil"/>
                <w:right w:val="nil"/>
                <w:between w:val="nil"/>
              </w:pBdr>
              <w:spacing w:after="0" w:line="240" w:lineRule="auto"/>
              <w:jc w:val="both"/>
              <w:rPr>
                <w:rFonts w:ascii="Arial" w:hAnsi="Arial" w:cs="Arial"/>
                <w:sz w:val="20"/>
                <w:szCs w:val="20"/>
              </w:rPr>
            </w:pPr>
            <w:r w:rsidRPr="00846D49">
              <w:rPr>
                <w:rFonts w:ascii="Arial" w:hAnsi="Arial" w:cs="Arial"/>
                <w:sz w:val="20"/>
                <w:szCs w:val="20"/>
              </w:rPr>
              <w:t>-Son considerados beneficiarios para la administración de una Reserva Comunal las comunidades campesinas o nativas pertenecientes a los pueblos indígenas o la población local organizada, que cumplan con los criterios de vecindad, uso tradicional de los recursos naturales y conservación de la diversidad biológica.</w:t>
            </w:r>
          </w:p>
          <w:p w14:paraId="05C0344B" w14:textId="77777777" w:rsidR="006D6131" w:rsidRPr="00846D49" w:rsidRDefault="006D6131" w:rsidP="006D6131">
            <w:pPr>
              <w:pBdr>
                <w:top w:val="nil"/>
                <w:left w:val="nil"/>
                <w:bottom w:val="nil"/>
                <w:right w:val="nil"/>
                <w:between w:val="nil"/>
              </w:pBdr>
              <w:spacing w:after="0" w:line="240" w:lineRule="auto"/>
              <w:jc w:val="both"/>
              <w:rPr>
                <w:rFonts w:ascii="Arial" w:eastAsia="Arial Narrow" w:hAnsi="Arial" w:cs="Arial"/>
                <w:sz w:val="20"/>
                <w:szCs w:val="20"/>
              </w:rPr>
            </w:pPr>
            <w:r w:rsidRPr="00846D49">
              <w:rPr>
                <w:rFonts w:ascii="Arial" w:hAnsi="Arial" w:cs="Arial"/>
                <w:sz w:val="20"/>
                <w:szCs w:val="20"/>
              </w:rPr>
              <w:t>-Los procedimientos de otorgamiento se enmarcan de acuerdo al régimen especial consignado en la RI N°</w:t>
            </w:r>
            <w:r w:rsidRPr="00846D49">
              <w:rPr>
                <w:rFonts w:ascii="Arial" w:eastAsia="Arial Narrow" w:hAnsi="Arial" w:cs="Arial"/>
                <w:sz w:val="20"/>
                <w:szCs w:val="20"/>
              </w:rPr>
              <w:t xml:space="preserve">019-2005-INRENA-IANP </w:t>
            </w:r>
          </w:p>
          <w:p w14:paraId="39A2E20F" w14:textId="77777777" w:rsidR="006D6131" w:rsidRPr="00846D49" w:rsidRDefault="006D6131" w:rsidP="006D6131">
            <w:pPr>
              <w:tabs>
                <w:tab w:val="left" w:pos="3375"/>
              </w:tabs>
              <w:rPr>
                <w:rFonts w:ascii="Arial" w:hAnsi="Arial" w:cs="Arial"/>
                <w:sz w:val="20"/>
                <w:szCs w:val="20"/>
              </w:rPr>
            </w:pPr>
          </w:p>
        </w:tc>
      </w:tr>
      <w:tr w:rsidR="00846D49" w:rsidRPr="00846D49" w14:paraId="1950286B" w14:textId="77777777" w:rsidTr="0080067C">
        <w:trPr>
          <w:trHeight w:val="300"/>
          <w:jc w:val="center"/>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DB6C7AA" w14:textId="77777777" w:rsidR="006D6131" w:rsidRPr="00846D49" w:rsidRDefault="006D6131" w:rsidP="006D6131">
            <w:pPr>
              <w:tabs>
                <w:tab w:val="left" w:pos="3375"/>
              </w:tabs>
              <w:rPr>
                <w:rFonts w:ascii="Arial" w:hAnsi="Arial" w:cs="Arial"/>
                <w:b/>
                <w:sz w:val="20"/>
                <w:szCs w:val="20"/>
              </w:rPr>
            </w:pPr>
            <w:r w:rsidRPr="00846D49">
              <w:rPr>
                <w:rFonts w:ascii="Arial" w:hAnsi="Arial" w:cs="Arial"/>
                <w:b/>
                <w:sz w:val="20"/>
                <w:szCs w:val="20"/>
              </w:rPr>
              <w:lastRenderedPageBreak/>
              <w:t xml:space="preserve"> Proveedor del servicio</w:t>
            </w:r>
          </w:p>
        </w:tc>
        <w:tc>
          <w:tcPr>
            <w:tcW w:w="5954"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816AF4E" w14:textId="77777777" w:rsidR="006D6131" w:rsidRPr="00846D49" w:rsidRDefault="006D6131" w:rsidP="006D6131">
            <w:pPr>
              <w:tabs>
                <w:tab w:val="left" w:pos="3375"/>
              </w:tabs>
              <w:ind w:left="128"/>
              <w:rPr>
                <w:rFonts w:ascii="Arial" w:hAnsi="Arial" w:cs="Arial"/>
                <w:sz w:val="20"/>
                <w:szCs w:val="20"/>
                <w:lang w:val="pt-BR"/>
              </w:rPr>
            </w:pPr>
            <w:r w:rsidRPr="00846D49">
              <w:rPr>
                <w:rFonts w:ascii="Arial" w:eastAsia="Arial Narrow" w:hAnsi="Arial" w:cs="Arial"/>
                <w:sz w:val="20"/>
                <w:szCs w:val="20"/>
                <w:lang w:val="pt-BR"/>
              </w:rPr>
              <w:t>Servicio Nacional de Áreas Naturales Protegidas - SERNANP</w:t>
            </w:r>
          </w:p>
        </w:tc>
      </w:tr>
      <w:tr w:rsidR="00846D49" w:rsidRPr="00846D49" w14:paraId="28295400" w14:textId="77777777" w:rsidTr="00B57308">
        <w:trPr>
          <w:trHeight w:val="555"/>
          <w:jc w:val="center"/>
        </w:trPr>
        <w:tc>
          <w:tcPr>
            <w:tcW w:w="2693" w:type="dxa"/>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7F47BF74" w14:textId="77777777" w:rsidR="006D6131" w:rsidRPr="00846D49" w:rsidRDefault="006D6131" w:rsidP="002469C9">
            <w:pPr>
              <w:spacing w:after="0" w:line="240" w:lineRule="auto"/>
              <w:rPr>
                <w:rFonts w:ascii="Arial" w:hAnsi="Arial" w:cs="Arial"/>
                <w:b/>
                <w:sz w:val="20"/>
                <w:szCs w:val="20"/>
              </w:rPr>
            </w:pPr>
            <w:r w:rsidRPr="00846D49">
              <w:rPr>
                <w:rFonts w:ascii="Arial" w:hAnsi="Arial" w:cs="Arial"/>
                <w:b/>
                <w:sz w:val="20"/>
                <w:szCs w:val="20"/>
              </w:rPr>
              <w:t>Nivel (es) de gobierno que interviene</w:t>
            </w:r>
          </w:p>
          <w:p w14:paraId="56C4B4B9" w14:textId="7E88CC28" w:rsidR="006D6131" w:rsidRPr="00846D49" w:rsidRDefault="006D6131" w:rsidP="006D6131">
            <w:pPr>
              <w:tabs>
                <w:tab w:val="left" w:pos="3375"/>
              </w:tabs>
              <w:rPr>
                <w:rFonts w:ascii="Arial" w:hAnsi="Arial" w:cs="Arial"/>
                <w:b/>
                <w:sz w:val="20"/>
                <w:szCs w:val="20"/>
              </w:rPr>
            </w:pPr>
            <w:r w:rsidRPr="00846D49">
              <w:rPr>
                <w:rFonts w:ascii="Arial" w:hAnsi="Arial" w:cs="Arial"/>
                <w:b/>
                <w:sz w:val="20"/>
                <w:szCs w:val="20"/>
              </w:rPr>
              <w:t>(n) en la provisión del servicio</w:t>
            </w:r>
          </w:p>
        </w:tc>
        <w:tc>
          <w:tcPr>
            <w:tcW w:w="1984"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3DE26A2F" w14:textId="52D0DD7E" w:rsidR="006D6131" w:rsidRPr="00846D49" w:rsidRDefault="006D6131" w:rsidP="00D5249D">
            <w:pPr>
              <w:tabs>
                <w:tab w:val="left" w:pos="3375"/>
              </w:tabs>
              <w:ind w:left="128"/>
              <w:jc w:val="center"/>
              <w:rPr>
                <w:rFonts w:ascii="Arial" w:eastAsia="Arial Narrow" w:hAnsi="Arial" w:cs="Arial"/>
                <w:sz w:val="20"/>
                <w:szCs w:val="20"/>
                <w:lang w:val="pt-BR"/>
              </w:rPr>
            </w:pPr>
            <w:r w:rsidRPr="00846D49">
              <w:rPr>
                <w:rFonts w:ascii="Arial" w:eastAsia="Arial Narrow" w:hAnsi="Arial" w:cs="Arial"/>
                <w:sz w:val="20"/>
                <w:szCs w:val="20"/>
              </w:rPr>
              <w:t>Nacional</w:t>
            </w:r>
          </w:p>
        </w:tc>
        <w:tc>
          <w:tcPr>
            <w:tcW w:w="1985" w:type="dxa"/>
            <w:tcBorders>
              <w:top w:val="single" w:sz="4" w:space="0" w:color="000000"/>
              <w:left w:val="single" w:sz="4" w:space="0" w:color="000000"/>
              <w:right w:val="single" w:sz="4" w:space="0" w:color="000000"/>
            </w:tcBorders>
            <w:shd w:val="clear" w:color="auto" w:fill="auto"/>
            <w:vAlign w:val="center"/>
          </w:tcPr>
          <w:p w14:paraId="32106B69" w14:textId="31CE1759" w:rsidR="006D6131" w:rsidRPr="00846D49" w:rsidRDefault="006D6131" w:rsidP="00D5249D">
            <w:pPr>
              <w:tabs>
                <w:tab w:val="left" w:pos="3375"/>
              </w:tabs>
              <w:ind w:left="128"/>
              <w:jc w:val="center"/>
              <w:rPr>
                <w:rFonts w:ascii="Arial" w:eastAsia="Arial Narrow" w:hAnsi="Arial" w:cs="Arial"/>
                <w:sz w:val="20"/>
                <w:szCs w:val="20"/>
                <w:lang w:val="pt-BR"/>
              </w:rPr>
            </w:pPr>
            <w:r w:rsidRPr="00846D49">
              <w:rPr>
                <w:rFonts w:ascii="Arial" w:eastAsia="Arial Narrow" w:hAnsi="Arial" w:cs="Arial"/>
                <w:sz w:val="20"/>
                <w:szCs w:val="20"/>
              </w:rPr>
              <w:t>Regional</w:t>
            </w:r>
          </w:p>
        </w:tc>
        <w:tc>
          <w:tcPr>
            <w:tcW w:w="1985" w:type="dxa"/>
            <w:tcBorders>
              <w:top w:val="single" w:sz="4" w:space="0" w:color="000000"/>
              <w:left w:val="single" w:sz="4" w:space="0" w:color="000000"/>
              <w:right w:val="single" w:sz="4" w:space="0" w:color="000000"/>
            </w:tcBorders>
            <w:shd w:val="clear" w:color="auto" w:fill="auto"/>
            <w:vAlign w:val="center"/>
          </w:tcPr>
          <w:p w14:paraId="53561325" w14:textId="4A626C60" w:rsidR="006D6131" w:rsidRPr="00846D49" w:rsidRDefault="006D6131" w:rsidP="00D5249D">
            <w:pPr>
              <w:tabs>
                <w:tab w:val="left" w:pos="3375"/>
              </w:tabs>
              <w:ind w:left="128"/>
              <w:jc w:val="center"/>
              <w:rPr>
                <w:rFonts w:ascii="Arial" w:eastAsia="Arial Narrow" w:hAnsi="Arial" w:cs="Arial"/>
                <w:sz w:val="20"/>
                <w:szCs w:val="20"/>
                <w:lang w:val="pt-BR"/>
              </w:rPr>
            </w:pPr>
            <w:r w:rsidRPr="00846D49">
              <w:rPr>
                <w:rFonts w:ascii="Arial" w:eastAsia="Arial Narrow" w:hAnsi="Arial" w:cs="Arial"/>
                <w:sz w:val="20"/>
                <w:szCs w:val="20"/>
              </w:rPr>
              <w:t>Local</w:t>
            </w:r>
          </w:p>
        </w:tc>
      </w:tr>
      <w:tr w:rsidR="00846D49" w:rsidRPr="00846D49" w14:paraId="1E555BA8" w14:textId="77777777" w:rsidTr="00B57308">
        <w:trPr>
          <w:trHeight w:val="555"/>
          <w:jc w:val="center"/>
        </w:trPr>
        <w:tc>
          <w:tcPr>
            <w:tcW w:w="2693" w:type="dxa"/>
            <w:vMerge/>
            <w:tcBorders>
              <w:left w:val="single" w:sz="4" w:space="0" w:color="000000"/>
              <w:right w:val="single" w:sz="4" w:space="0" w:color="000000"/>
            </w:tcBorders>
            <w:shd w:val="clear" w:color="auto" w:fill="auto"/>
            <w:tcMar>
              <w:top w:w="15" w:type="dxa"/>
              <w:left w:w="15" w:type="dxa"/>
              <w:bottom w:w="0" w:type="dxa"/>
              <w:right w:w="15" w:type="dxa"/>
            </w:tcMar>
            <w:vAlign w:val="center"/>
          </w:tcPr>
          <w:p w14:paraId="5CE08247" w14:textId="77777777" w:rsidR="006D6131" w:rsidRPr="00846D49" w:rsidRDefault="006D6131" w:rsidP="006D6131">
            <w:pPr>
              <w:spacing w:after="0" w:line="240" w:lineRule="auto"/>
              <w:rPr>
                <w:rFonts w:ascii="Arial" w:hAnsi="Arial" w:cs="Arial"/>
                <w:b/>
                <w:sz w:val="20"/>
                <w:szCs w:val="20"/>
              </w:rPr>
            </w:pPr>
          </w:p>
        </w:tc>
        <w:tc>
          <w:tcPr>
            <w:tcW w:w="1984"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22453CA5" w14:textId="37219236" w:rsidR="006D6131" w:rsidRPr="00846D49" w:rsidRDefault="00B62C32" w:rsidP="00D5249D">
            <w:pPr>
              <w:tabs>
                <w:tab w:val="left" w:pos="3375"/>
              </w:tabs>
              <w:ind w:left="128"/>
              <w:jc w:val="center"/>
              <w:rPr>
                <w:rFonts w:ascii="Arial" w:eastAsia="Arial Narrow" w:hAnsi="Arial" w:cs="Arial"/>
                <w:sz w:val="20"/>
                <w:szCs w:val="20"/>
                <w:lang w:val="pt-BR"/>
              </w:rPr>
            </w:pPr>
            <w:r w:rsidRPr="00846D49">
              <w:rPr>
                <w:rFonts w:ascii="Arial" w:eastAsia="Arial Narrow" w:hAnsi="Arial" w:cs="Arial"/>
                <w:sz w:val="20"/>
                <w:szCs w:val="20"/>
                <w:lang w:val="pt-BR"/>
              </w:rPr>
              <w:t>X</w:t>
            </w:r>
          </w:p>
        </w:tc>
        <w:tc>
          <w:tcPr>
            <w:tcW w:w="1985" w:type="dxa"/>
            <w:tcBorders>
              <w:top w:val="single" w:sz="4" w:space="0" w:color="000000"/>
              <w:left w:val="single" w:sz="4" w:space="0" w:color="000000"/>
              <w:right w:val="single" w:sz="4" w:space="0" w:color="000000"/>
            </w:tcBorders>
            <w:shd w:val="clear" w:color="auto" w:fill="auto"/>
            <w:vAlign w:val="center"/>
          </w:tcPr>
          <w:p w14:paraId="55343CA3" w14:textId="77777777" w:rsidR="006D6131" w:rsidRPr="00846D49" w:rsidRDefault="006D6131" w:rsidP="00D5249D">
            <w:pPr>
              <w:tabs>
                <w:tab w:val="left" w:pos="3375"/>
              </w:tabs>
              <w:ind w:left="128"/>
              <w:jc w:val="center"/>
              <w:rPr>
                <w:rFonts w:ascii="Arial" w:eastAsia="Arial Narrow" w:hAnsi="Arial" w:cs="Arial"/>
                <w:sz w:val="20"/>
                <w:szCs w:val="20"/>
                <w:lang w:val="pt-BR"/>
              </w:rPr>
            </w:pPr>
          </w:p>
        </w:tc>
        <w:tc>
          <w:tcPr>
            <w:tcW w:w="1985" w:type="dxa"/>
            <w:tcBorders>
              <w:top w:val="single" w:sz="4" w:space="0" w:color="000000"/>
              <w:left w:val="single" w:sz="4" w:space="0" w:color="000000"/>
              <w:right w:val="single" w:sz="4" w:space="0" w:color="000000"/>
            </w:tcBorders>
            <w:shd w:val="clear" w:color="auto" w:fill="auto"/>
            <w:vAlign w:val="center"/>
          </w:tcPr>
          <w:p w14:paraId="2BF2D801" w14:textId="44559516" w:rsidR="006D6131" w:rsidRPr="00846D49" w:rsidRDefault="006D6131" w:rsidP="00D5249D">
            <w:pPr>
              <w:tabs>
                <w:tab w:val="left" w:pos="3375"/>
              </w:tabs>
              <w:ind w:left="128"/>
              <w:jc w:val="center"/>
              <w:rPr>
                <w:rFonts w:ascii="Arial" w:eastAsia="Arial Narrow" w:hAnsi="Arial" w:cs="Arial"/>
                <w:sz w:val="20"/>
                <w:szCs w:val="20"/>
                <w:lang w:val="pt-BR"/>
              </w:rPr>
            </w:pPr>
          </w:p>
        </w:tc>
      </w:tr>
      <w:tr w:rsidR="00846D49" w:rsidRPr="00846D49" w14:paraId="709D5DC8" w14:textId="77777777" w:rsidTr="0080067C">
        <w:trPr>
          <w:trHeight w:val="300"/>
          <w:jc w:val="center"/>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32B45B2" w14:textId="77777777" w:rsidR="006D6131" w:rsidRPr="00846D49" w:rsidRDefault="006D6131" w:rsidP="006D6131">
            <w:pPr>
              <w:tabs>
                <w:tab w:val="left" w:pos="3375"/>
              </w:tabs>
              <w:rPr>
                <w:rFonts w:ascii="Arial" w:hAnsi="Arial" w:cs="Arial"/>
                <w:b/>
                <w:sz w:val="20"/>
                <w:szCs w:val="20"/>
              </w:rPr>
            </w:pPr>
            <w:r w:rsidRPr="00846D49">
              <w:rPr>
                <w:rFonts w:ascii="Arial" w:hAnsi="Arial" w:cs="Arial"/>
                <w:b/>
                <w:sz w:val="20"/>
                <w:szCs w:val="20"/>
                <w:lang w:val="pt-BR"/>
              </w:rPr>
              <w:t xml:space="preserve"> </w:t>
            </w:r>
            <w:r w:rsidRPr="00846D49">
              <w:rPr>
                <w:rFonts w:ascii="Arial" w:hAnsi="Arial" w:cs="Arial"/>
                <w:b/>
                <w:sz w:val="20"/>
                <w:szCs w:val="20"/>
              </w:rPr>
              <w:t>Receptor del servicio</w:t>
            </w:r>
          </w:p>
        </w:tc>
        <w:tc>
          <w:tcPr>
            <w:tcW w:w="5954"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E1D99AE" w14:textId="77777777" w:rsidR="006D6131" w:rsidRPr="00846D49" w:rsidRDefault="006D6131" w:rsidP="006D6131">
            <w:pPr>
              <w:tabs>
                <w:tab w:val="left" w:pos="3375"/>
              </w:tabs>
              <w:ind w:left="128"/>
              <w:rPr>
                <w:rFonts w:ascii="Arial" w:hAnsi="Arial" w:cs="Arial"/>
                <w:sz w:val="20"/>
                <w:szCs w:val="20"/>
              </w:rPr>
            </w:pPr>
            <w:r w:rsidRPr="00846D49">
              <w:rPr>
                <w:rFonts w:ascii="Arial" w:eastAsia="Arial Narrow" w:hAnsi="Arial" w:cs="Arial"/>
                <w:sz w:val="20"/>
                <w:szCs w:val="20"/>
              </w:rPr>
              <w:t>Actores estratégicos</w:t>
            </w:r>
            <w:r w:rsidRPr="00846D49">
              <w:rPr>
                <w:rStyle w:val="Refdenotaalpie"/>
                <w:rFonts w:ascii="Arial" w:eastAsia="Arial Narrow" w:hAnsi="Arial" w:cs="Arial"/>
                <w:sz w:val="20"/>
                <w:szCs w:val="20"/>
              </w:rPr>
              <w:footnoteReference w:id="2"/>
            </w:r>
            <w:r w:rsidRPr="00846D49">
              <w:rPr>
                <w:rFonts w:ascii="Arial" w:eastAsia="Arial Narrow" w:hAnsi="Arial" w:cs="Arial"/>
                <w:sz w:val="20"/>
                <w:szCs w:val="20"/>
              </w:rPr>
              <w:t xml:space="preserve"> </w:t>
            </w:r>
            <w:r w:rsidRPr="00846D49">
              <w:rPr>
                <w:rFonts w:ascii="Arial" w:hAnsi="Arial" w:cs="Arial"/>
                <w:sz w:val="20"/>
                <w:szCs w:val="20"/>
                <w:shd w:val="clear" w:color="auto" w:fill="FFFFFF"/>
              </w:rPr>
              <w:t>vinculados a la conservación de la diversidad biológica</w:t>
            </w:r>
            <w:r w:rsidRPr="00846D49" w:rsidDel="0098424E">
              <w:rPr>
                <w:rFonts w:ascii="Arial" w:hAnsi="Arial" w:cs="Arial"/>
                <w:sz w:val="20"/>
                <w:szCs w:val="20"/>
                <w:shd w:val="clear" w:color="auto" w:fill="FFFFFF"/>
              </w:rPr>
              <w:t xml:space="preserve"> </w:t>
            </w:r>
          </w:p>
        </w:tc>
      </w:tr>
      <w:tr w:rsidR="00846D49" w:rsidRPr="00846D49" w14:paraId="27500B75" w14:textId="77777777" w:rsidTr="0080067C">
        <w:trPr>
          <w:trHeight w:val="211"/>
          <w:jc w:val="center"/>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023BCFD" w14:textId="77777777" w:rsidR="006D6131" w:rsidRPr="00846D49" w:rsidRDefault="006D6131" w:rsidP="006D6131">
            <w:pPr>
              <w:tabs>
                <w:tab w:val="left" w:pos="3375"/>
              </w:tabs>
              <w:rPr>
                <w:rFonts w:ascii="Arial" w:hAnsi="Arial" w:cs="Arial"/>
                <w:b/>
                <w:sz w:val="20"/>
                <w:szCs w:val="20"/>
              </w:rPr>
            </w:pPr>
            <w:r w:rsidRPr="00846D49">
              <w:rPr>
                <w:rFonts w:ascii="Arial" w:hAnsi="Arial" w:cs="Arial"/>
                <w:b/>
                <w:sz w:val="20"/>
                <w:szCs w:val="20"/>
              </w:rPr>
              <w:t xml:space="preserve"> Alcance del servicio </w:t>
            </w:r>
          </w:p>
        </w:tc>
        <w:tc>
          <w:tcPr>
            <w:tcW w:w="5954"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6160F26" w14:textId="77777777" w:rsidR="006D6131" w:rsidRPr="00846D49" w:rsidRDefault="006D6131" w:rsidP="006D6131">
            <w:pPr>
              <w:tabs>
                <w:tab w:val="left" w:pos="3375"/>
              </w:tabs>
              <w:ind w:left="128"/>
              <w:rPr>
                <w:rFonts w:ascii="Arial" w:hAnsi="Arial" w:cs="Arial"/>
                <w:sz w:val="20"/>
                <w:szCs w:val="20"/>
              </w:rPr>
            </w:pPr>
            <w:r w:rsidRPr="00846D49">
              <w:rPr>
                <w:rFonts w:ascii="Arial" w:hAnsi="Arial" w:cs="Arial"/>
                <w:sz w:val="20"/>
                <w:szCs w:val="20"/>
              </w:rPr>
              <w:t>Nacional</w:t>
            </w:r>
          </w:p>
        </w:tc>
      </w:tr>
      <w:tr w:rsidR="00846D49" w:rsidRPr="00846D49" w14:paraId="6BA6AF7E" w14:textId="77777777" w:rsidTr="0080067C">
        <w:trPr>
          <w:trHeight w:val="62"/>
          <w:jc w:val="center"/>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4D45B80" w14:textId="77777777" w:rsidR="006D6131" w:rsidRPr="00846D49" w:rsidRDefault="006D6131" w:rsidP="006D6131">
            <w:pPr>
              <w:tabs>
                <w:tab w:val="left" w:pos="3375"/>
              </w:tabs>
              <w:rPr>
                <w:rFonts w:ascii="Arial" w:hAnsi="Arial" w:cs="Arial"/>
                <w:b/>
                <w:sz w:val="20"/>
                <w:szCs w:val="20"/>
              </w:rPr>
            </w:pPr>
            <w:r w:rsidRPr="00846D49">
              <w:rPr>
                <w:rFonts w:ascii="Arial" w:hAnsi="Arial" w:cs="Arial"/>
                <w:b/>
                <w:sz w:val="20"/>
                <w:szCs w:val="20"/>
              </w:rPr>
              <w:t xml:space="preserve"> Estándar (es) de cumplimiento</w:t>
            </w:r>
          </w:p>
        </w:tc>
        <w:tc>
          <w:tcPr>
            <w:tcW w:w="5954"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21C708BB" w14:textId="0FAEE6B7" w:rsidR="006D6131" w:rsidRPr="00846D49" w:rsidRDefault="006D6131" w:rsidP="006D6131">
            <w:pPr>
              <w:tabs>
                <w:tab w:val="left" w:pos="3375"/>
              </w:tabs>
              <w:ind w:left="128"/>
              <w:rPr>
                <w:rFonts w:ascii="Arial" w:hAnsi="Arial" w:cs="Arial"/>
                <w:sz w:val="20"/>
                <w:szCs w:val="20"/>
              </w:rPr>
            </w:pPr>
            <w:r w:rsidRPr="00846D49">
              <w:rPr>
                <w:rFonts w:ascii="Arial" w:eastAsia="Arial Narrow" w:hAnsi="Arial" w:cs="Arial"/>
                <w:sz w:val="20"/>
                <w:szCs w:val="20"/>
              </w:rPr>
              <w:t>Oportunidad</w:t>
            </w:r>
          </w:p>
        </w:tc>
      </w:tr>
      <w:tr w:rsidR="00846D49" w:rsidRPr="00846D49" w14:paraId="00241097" w14:textId="77777777" w:rsidTr="0080067C">
        <w:trPr>
          <w:trHeight w:val="300"/>
          <w:jc w:val="center"/>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4A77280" w14:textId="77777777" w:rsidR="006D6131" w:rsidRPr="00846D49" w:rsidRDefault="006D6131" w:rsidP="006D6131">
            <w:pPr>
              <w:tabs>
                <w:tab w:val="left" w:pos="3375"/>
              </w:tabs>
              <w:rPr>
                <w:rFonts w:ascii="Arial" w:hAnsi="Arial" w:cs="Arial"/>
                <w:b/>
                <w:sz w:val="20"/>
                <w:szCs w:val="20"/>
              </w:rPr>
            </w:pPr>
            <w:r w:rsidRPr="00846D49">
              <w:rPr>
                <w:rFonts w:ascii="Arial" w:hAnsi="Arial" w:cs="Arial"/>
                <w:b/>
                <w:sz w:val="20"/>
                <w:szCs w:val="20"/>
              </w:rPr>
              <w:t xml:space="preserve"> Descripción del estándar</w:t>
            </w:r>
          </w:p>
        </w:tc>
        <w:tc>
          <w:tcPr>
            <w:tcW w:w="5954"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35" w:type="dxa"/>
              <w:bottom w:w="0" w:type="dxa"/>
              <w:right w:w="15" w:type="dxa"/>
            </w:tcMar>
            <w:vAlign w:val="center"/>
          </w:tcPr>
          <w:p w14:paraId="56E090E9" w14:textId="00EE037D" w:rsidR="006D6131" w:rsidRPr="00846D49" w:rsidRDefault="006D6131" w:rsidP="006D6131">
            <w:pPr>
              <w:tabs>
                <w:tab w:val="left" w:pos="3375"/>
              </w:tabs>
              <w:ind w:left="2"/>
              <w:rPr>
                <w:rFonts w:ascii="Arial" w:eastAsia="Arial Narrow" w:hAnsi="Arial" w:cs="Arial"/>
                <w:sz w:val="20"/>
                <w:szCs w:val="20"/>
              </w:rPr>
            </w:pPr>
            <w:r w:rsidRPr="00846D49">
              <w:rPr>
                <w:rFonts w:ascii="Arial" w:eastAsia="Times New Roman" w:hAnsi="Arial" w:cs="Arial"/>
                <w:sz w:val="20"/>
                <w:szCs w:val="20"/>
              </w:rPr>
              <w:t xml:space="preserve">El estándar del servicio es de oportunidad, por cuanto atiende solicitudes presentadas por los </w:t>
            </w:r>
            <w:r w:rsidRPr="00846D49">
              <w:rPr>
                <w:rFonts w:ascii="Arial" w:eastAsia="Arial Narrow" w:hAnsi="Arial" w:cs="Arial"/>
                <w:sz w:val="20"/>
                <w:szCs w:val="20"/>
              </w:rPr>
              <w:t xml:space="preserve">actores estratégicos </w:t>
            </w:r>
            <w:r w:rsidRPr="00846D49">
              <w:rPr>
                <w:rFonts w:ascii="Arial" w:hAnsi="Arial" w:cs="Arial"/>
                <w:sz w:val="20"/>
                <w:szCs w:val="20"/>
                <w:shd w:val="clear" w:color="auto" w:fill="FFFFFF"/>
              </w:rPr>
              <w:t>vinculados a la conservación de la diversidad biológica</w:t>
            </w:r>
            <w:r w:rsidR="00D80CFE" w:rsidRPr="00846D49">
              <w:rPr>
                <w:rFonts w:ascii="Arial" w:hAnsi="Arial" w:cs="Arial"/>
                <w:sz w:val="20"/>
                <w:szCs w:val="20"/>
                <w:shd w:val="clear" w:color="auto" w:fill="FFFFFF"/>
              </w:rPr>
              <w:t xml:space="preserve"> en el plazo de 268 </w:t>
            </w:r>
            <w:r w:rsidR="00D80CFE" w:rsidRPr="00846D49">
              <w:rPr>
                <w:rFonts w:ascii="Arial" w:hAnsi="Arial" w:cs="Arial"/>
                <w:sz w:val="20"/>
                <w:szCs w:val="20"/>
                <w:shd w:val="clear" w:color="auto" w:fill="FFFFFF"/>
              </w:rPr>
              <w:lastRenderedPageBreak/>
              <w:t>días calendario</w:t>
            </w:r>
            <w:r w:rsidR="00D80CFE" w:rsidRPr="00846D49">
              <w:rPr>
                <w:rFonts w:ascii="Arial" w:eastAsia="Times New Roman" w:hAnsi="Arial" w:cs="Arial"/>
                <w:sz w:val="20"/>
                <w:szCs w:val="20"/>
              </w:rPr>
              <w:t>, conforme</w:t>
            </w:r>
            <w:r w:rsidRPr="00846D49">
              <w:rPr>
                <w:rFonts w:ascii="Arial" w:eastAsia="Times New Roman" w:hAnsi="Arial" w:cs="Arial"/>
                <w:sz w:val="20"/>
                <w:szCs w:val="20"/>
              </w:rPr>
              <w:t xml:space="preserve"> los plazos establecidos en la normativa vigente. </w:t>
            </w:r>
          </w:p>
        </w:tc>
      </w:tr>
      <w:tr w:rsidR="006D6131" w:rsidRPr="00846D49" w14:paraId="0D9645DB" w14:textId="77777777" w:rsidTr="0080067C">
        <w:trPr>
          <w:trHeight w:val="491"/>
          <w:jc w:val="center"/>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29D3173" w14:textId="0BFFBB4F" w:rsidR="006D6131" w:rsidRPr="00846D49" w:rsidRDefault="006D6131" w:rsidP="006D6131">
            <w:pPr>
              <w:tabs>
                <w:tab w:val="left" w:pos="3375"/>
              </w:tabs>
              <w:rPr>
                <w:rFonts w:ascii="Arial" w:hAnsi="Arial" w:cs="Arial"/>
                <w:b/>
                <w:sz w:val="20"/>
                <w:szCs w:val="20"/>
              </w:rPr>
            </w:pPr>
            <w:r w:rsidRPr="00846D49">
              <w:rPr>
                <w:rFonts w:ascii="Arial" w:hAnsi="Arial" w:cs="Arial"/>
                <w:b/>
                <w:sz w:val="20"/>
                <w:szCs w:val="20"/>
              </w:rPr>
              <w:lastRenderedPageBreak/>
              <w:t>Indicador de calidad</w:t>
            </w:r>
          </w:p>
        </w:tc>
        <w:tc>
          <w:tcPr>
            <w:tcW w:w="5954"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637EABEB" w14:textId="0E33D331" w:rsidR="006D6131" w:rsidRPr="00846D49" w:rsidRDefault="006D6131" w:rsidP="006D6131">
            <w:pPr>
              <w:tabs>
                <w:tab w:val="left" w:pos="3375"/>
              </w:tabs>
              <w:ind w:left="128"/>
              <w:rPr>
                <w:rFonts w:ascii="Arial" w:hAnsi="Arial" w:cs="Arial"/>
                <w:sz w:val="20"/>
                <w:szCs w:val="20"/>
              </w:rPr>
            </w:pPr>
            <w:r w:rsidRPr="00846D49">
              <w:rPr>
                <w:rFonts w:ascii="Arial" w:eastAsia="Arial Narrow" w:hAnsi="Arial" w:cs="Arial"/>
                <w:sz w:val="20"/>
                <w:szCs w:val="20"/>
              </w:rPr>
              <w:t xml:space="preserve">Porcentaje de contratos de administración otorgados oportunamente a actores estratégicos </w:t>
            </w:r>
            <w:r w:rsidRPr="00846D49">
              <w:rPr>
                <w:rFonts w:ascii="Arial" w:hAnsi="Arial" w:cs="Arial"/>
                <w:sz w:val="20"/>
                <w:szCs w:val="20"/>
                <w:shd w:val="clear" w:color="auto" w:fill="FFFFFF"/>
              </w:rPr>
              <w:t>vinculados a la conservación de la diversidad biológica</w:t>
            </w:r>
          </w:p>
        </w:tc>
      </w:tr>
    </w:tbl>
    <w:p w14:paraId="49B7383D" w14:textId="77777777" w:rsidR="000501F3" w:rsidRPr="00846D49" w:rsidRDefault="000501F3">
      <w:pPr>
        <w:rPr>
          <w:rFonts w:ascii="Arial Narrow" w:eastAsia="Arial Narrow" w:hAnsi="Arial Narrow" w:cs="Arial Narrow"/>
          <w:b/>
        </w:rPr>
      </w:pPr>
    </w:p>
    <w:p w14:paraId="521A2B9C" w14:textId="1521AFB7" w:rsidR="00986D96" w:rsidRPr="00846D49" w:rsidRDefault="00986D96" w:rsidP="00986D96">
      <w:pPr>
        <w:jc w:val="both"/>
        <w:rPr>
          <w:rFonts w:ascii="Arial" w:eastAsia="Times New Roman" w:hAnsi="Arial" w:cs="Arial"/>
        </w:rPr>
      </w:pPr>
      <w:r w:rsidRPr="00846D49">
        <w:rPr>
          <w:rFonts w:ascii="Arial" w:eastAsia="Times New Roman" w:hAnsi="Arial" w:cs="Arial"/>
          <w:b/>
          <w:bCs/>
        </w:rPr>
        <w:t>S3.3.1.</w:t>
      </w:r>
      <w:r w:rsidRPr="00846D49">
        <w:rPr>
          <w:rFonts w:ascii="Arial" w:eastAsia="Times New Roman" w:hAnsi="Arial" w:cs="Arial"/>
        </w:rPr>
        <w:t xml:space="preserve"> Sistematización de la información forestal y de fauna silvestre de forma oportuna para las Autoridades Regionales Forestales y de Fauna Silvestre</w:t>
      </w:r>
    </w:p>
    <w:tbl>
      <w:tblPr>
        <w:tblW w:w="8665" w:type="dxa"/>
        <w:jc w:val="center"/>
        <w:tblLayout w:type="fixed"/>
        <w:tblLook w:val="0600" w:firstRow="0" w:lastRow="0" w:firstColumn="0" w:lastColumn="0" w:noHBand="1" w:noVBand="1"/>
      </w:tblPr>
      <w:tblGrid>
        <w:gridCol w:w="2830"/>
        <w:gridCol w:w="1945"/>
        <w:gridCol w:w="1945"/>
        <w:gridCol w:w="1945"/>
      </w:tblGrid>
      <w:tr w:rsidR="00846D49" w:rsidRPr="00846D49" w14:paraId="38666346" w14:textId="77777777" w:rsidTr="007502D1">
        <w:trPr>
          <w:trHeight w:val="300"/>
          <w:jc w:val="center"/>
        </w:trPr>
        <w:tc>
          <w:tcPr>
            <w:tcW w:w="8665" w:type="dxa"/>
            <w:gridSpan w:val="4"/>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vAlign w:val="center"/>
          </w:tcPr>
          <w:p w14:paraId="5107EEF1" w14:textId="77777777" w:rsidR="00986D96" w:rsidRPr="00846D49" w:rsidRDefault="00986D96" w:rsidP="007502D1">
            <w:pPr>
              <w:tabs>
                <w:tab w:val="left" w:pos="3375"/>
              </w:tabs>
              <w:jc w:val="center"/>
              <w:rPr>
                <w:rFonts w:ascii="Arial" w:eastAsia="Times New Roman" w:hAnsi="Arial" w:cs="Arial"/>
                <w:sz w:val="20"/>
                <w:szCs w:val="20"/>
              </w:rPr>
            </w:pPr>
            <w:r w:rsidRPr="00846D49">
              <w:rPr>
                <w:rFonts w:ascii="Arial" w:eastAsia="Times New Roman" w:hAnsi="Arial" w:cs="Arial"/>
                <w:b/>
                <w:sz w:val="20"/>
                <w:szCs w:val="20"/>
              </w:rPr>
              <w:t>FICHA DEL SERVICIO</w:t>
            </w:r>
          </w:p>
        </w:tc>
      </w:tr>
      <w:tr w:rsidR="00846D49" w:rsidRPr="00846D49" w14:paraId="11D1332F" w14:textId="77777777" w:rsidTr="007502D1">
        <w:trPr>
          <w:trHeight w:val="300"/>
          <w:jc w:val="center"/>
        </w:trPr>
        <w:tc>
          <w:tcPr>
            <w:tcW w:w="283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4AFB5875" w14:textId="77777777" w:rsidR="00986D96" w:rsidRPr="00846D49" w:rsidRDefault="00986D96" w:rsidP="007502D1">
            <w:pPr>
              <w:tabs>
                <w:tab w:val="left" w:pos="3375"/>
              </w:tabs>
              <w:jc w:val="both"/>
              <w:rPr>
                <w:rFonts w:ascii="Arial" w:eastAsia="Times New Roman" w:hAnsi="Arial" w:cs="Arial"/>
                <w:b/>
                <w:sz w:val="20"/>
                <w:szCs w:val="20"/>
              </w:rPr>
            </w:pPr>
            <w:r w:rsidRPr="00846D49">
              <w:rPr>
                <w:rFonts w:ascii="Arial" w:eastAsia="Times New Roman" w:hAnsi="Arial" w:cs="Arial"/>
                <w:b/>
                <w:sz w:val="20"/>
                <w:szCs w:val="20"/>
              </w:rPr>
              <w:t xml:space="preserve"> Objetivo prioritario:</w:t>
            </w:r>
          </w:p>
        </w:tc>
        <w:tc>
          <w:tcPr>
            <w:tcW w:w="5835"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277D6D27" w14:textId="77777777" w:rsidR="00986D96" w:rsidRPr="00846D49" w:rsidRDefault="00986D96" w:rsidP="007502D1">
            <w:pPr>
              <w:tabs>
                <w:tab w:val="left" w:pos="3375"/>
              </w:tabs>
              <w:ind w:left="128"/>
              <w:jc w:val="both"/>
              <w:rPr>
                <w:rFonts w:ascii="Arial" w:eastAsia="Times New Roman" w:hAnsi="Arial" w:cs="Arial"/>
                <w:sz w:val="20"/>
                <w:szCs w:val="20"/>
              </w:rPr>
            </w:pPr>
            <w:r w:rsidRPr="00846D49">
              <w:rPr>
                <w:rFonts w:ascii="Arial" w:eastAsia="Times New Roman" w:hAnsi="Arial" w:cs="Arial"/>
                <w:sz w:val="20"/>
                <w:szCs w:val="20"/>
              </w:rPr>
              <w:t>OP3 Fortalecer la gobernanza forestal y de fauna silvestre</w:t>
            </w:r>
          </w:p>
        </w:tc>
      </w:tr>
      <w:tr w:rsidR="00846D49" w:rsidRPr="00846D49" w14:paraId="03B7A22A" w14:textId="77777777" w:rsidTr="007502D1">
        <w:trPr>
          <w:trHeight w:val="300"/>
          <w:jc w:val="center"/>
        </w:trPr>
        <w:tc>
          <w:tcPr>
            <w:tcW w:w="283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21A54687" w14:textId="77777777" w:rsidR="00986D96" w:rsidRPr="00846D49" w:rsidRDefault="00986D96" w:rsidP="007502D1">
            <w:pPr>
              <w:tabs>
                <w:tab w:val="left" w:pos="3375"/>
              </w:tabs>
              <w:jc w:val="both"/>
              <w:rPr>
                <w:rFonts w:ascii="Arial" w:eastAsia="Times New Roman" w:hAnsi="Arial" w:cs="Arial"/>
                <w:b/>
                <w:sz w:val="20"/>
                <w:szCs w:val="20"/>
              </w:rPr>
            </w:pPr>
            <w:r w:rsidRPr="00846D49">
              <w:rPr>
                <w:rFonts w:ascii="Arial" w:eastAsia="Times New Roman" w:hAnsi="Arial" w:cs="Arial"/>
                <w:b/>
                <w:sz w:val="20"/>
                <w:szCs w:val="20"/>
              </w:rPr>
              <w:t xml:space="preserve"> Lineamiento:</w:t>
            </w:r>
          </w:p>
        </w:tc>
        <w:tc>
          <w:tcPr>
            <w:tcW w:w="5835"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5C8F6236" w14:textId="77777777" w:rsidR="00986D96" w:rsidRPr="00846D49" w:rsidRDefault="00986D96" w:rsidP="007502D1">
            <w:pPr>
              <w:tabs>
                <w:tab w:val="left" w:pos="3375"/>
              </w:tabs>
              <w:ind w:left="128"/>
              <w:jc w:val="both"/>
              <w:rPr>
                <w:rFonts w:ascii="Arial" w:eastAsia="Times New Roman" w:hAnsi="Arial" w:cs="Arial"/>
                <w:sz w:val="20"/>
                <w:szCs w:val="20"/>
              </w:rPr>
            </w:pPr>
            <w:r w:rsidRPr="00846D49">
              <w:rPr>
                <w:rFonts w:ascii="Arial" w:eastAsia="Times New Roman" w:hAnsi="Arial" w:cs="Arial"/>
                <w:sz w:val="20"/>
                <w:szCs w:val="20"/>
              </w:rPr>
              <w:t>L3.3 Gestionar la información y el conocimiento en materia forestal y de fauna silvestre producido por los actores forestales y de fauna silvestre</w:t>
            </w:r>
          </w:p>
        </w:tc>
      </w:tr>
      <w:tr w:rsidR="00846D49" w:rsidRPr="00846D49" w14:paraId="22784A53" w14:textId="77777777" w:rsidTr="007502D1">
        <w:trPr>
          <w:trHeight w:val="300"/>
          <w:jc w:val="center"/>
        </w:trPr>
        <w:tc>
          <w:tcPr>
            <w:tcW w:w="283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36D4D1FE" w14:textId="77777777" w:rsidR="00986D96" w:rsidRPr="00846D49" w:rsidRDefault="00986D96" w:rsidP="007502D1">
            <w:pPr>
              <w:tabs>
                <w:tab w:val="left" w:pos="3375"/>
              </w:tabs>
              <w:jc w:val="both"/>
              <w:rPr>
                <w:rFonts w:ascii="Arial" w:eastAsia="Times New Roman" w:hAnsi="Arial" w:cs="Arial"/>
                <w:b/>
                <w:sz w:val="20"/>
                <w:szCs w:val="20"/>
              </w:rPr>
            </w:pPr>
            <w:r w:rsidRPr="00846D49">
              <w:rPr>
                <w:rFonts w:ascii="Arial" w:eastAsia="Times New Roman" w:hAnsi="Arial" w:cs="Arial"/>
                <w:b/>
                <w:sz w:val="20"/>
                <w:szCs w:val="20"/>
              </w:rPr>
              <w:t xml:space="preserve"> Nombre del servicio:</w:t>
            </w:r>
          </w:p>
        </w:tc>
        <w:tc>
          <w:tcPr>
            <w:tcW w:w="5835"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1D88C19C" w14:textId="42F17105" w:rsidR="00986D96" w:rsidRPr="00846D49" w:rsidRDefault="00986D96" w:rsidP="007502D1">
            <w:pPr>
              <w:tabs>
                <w:tab w:val="left" w:pos="3375"/>
              </w:tabs>
              <w:ind w:left="128"/>
              <w:jc w:val="both"/>
              <w:rPr>
                <w:rFonts w:ascii="Arial" w:eastAsia="Times New Roman" w:hAnsi="Arial" w:cs="Arial"/>
                <w:sz w:val="20"/>
                <w:szCs w:val="20"/>
              </w:rPr>
            </w:pPr>
            <w:r w:rsidRPr="00846D49">
              <w:rPr>
                <w:rFonts w:ascii="Arial" w:eastAsia="Times New Roman" w:hAnsi="Arial" w:cs="Arial"/>
                <w:sz w:val="20"/>
                <w:szCs w:val="20"/>
              </w:rPr>
              <w:t>S3.3.1 Sistematización de la información forestal y de fauna silvestre de forma oportuna para las Autoridades Regionales Forestales y de Fauna Silvestre</w:t>
            </w:r>
          </w:p>
        </w:tc>
      </w:tr>
      <w:tr w:rsidR="00846D49" w:rsidRPr="00846D49" w14:paraId="0767258D" w14:textId="77777777" w:rsidTr="007502D1">
        <w:trPr>
          <w:trHeight w:val="300"/>
          <w:jc w:val="center"/>
        </w:trPr>
        <w:tc>
          <w:tcPr>
            <w:tcW w:w="283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7BC82505" w14:textId="77777777" w:rsidR="00986D96" w:rsidRPr="00846D49" w:rsidRDefault="00986D96" w:rsidP="007502D1">
            <w:pPr>
              <w:tabs>
                <w:tab w:val="left" w:pos="3375"/>
              </w:tabs>
              <w:jc w:val="both"/>
              <w:rPr>
                <w:rFonts w:ascii="Arial" w:eastAsia="Times New Roman" w:hAnsi="Arial" w:cs="Arial"/>
                <w:b/>
                <w:sz w:val="20"/>
                <w:szCs w:val="20"/>
              </w:rPr>
            </w:pPr>
            <w:r w:rsidRPr="00846D49">
              <w:rPr>
                <w:rFonts w:ascii="Arial" w:eastAsia="Times New Roman" w:hAnsi="Arial" w:cs="Arial"/>
                <w:b/>
                <w:sz w:val="20"/>
                <w:szCs w:val="20"/>
              </w:rPr>
              <w:t>Tipo de servicio:</w:t>
            </w:r>
          </w:p>
        </w:tc>
        <w:tc>
          <w:tcPr>
            <w:tcW w:w="5835"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48412CF9" w14:textId="77777777" w:rsidR="00986D96" w:rsidRPr="00846D49" w:rsidRDefault="00986D96" w:rsidP="007502D1">
            <w:pPr>
              <w:tabs>
                <w:tab w:val="left" w:pos="3375"/>
              </w:tabs>
              <w:ind w:left="128"/>
              <w:jc w:val="both"/>
              <w:rPr>
                <w:rFonts w:ascii="Arial" w:eastAsia="Times New Roman" w:hAnsi="Arial" w:cs="Arial"/>
                <w:sz w:val="20"/>
                <w:szCs w:val="20"/>
              </w:rPr>
            </w:pPr>
            <w:r w:rsidRPr="00846D49">
              <w:rPr>
                <w:rFonts w:ascii="Arial" w:eastAsia="Times New Roman" w:hAnsi="Arial" w:cs="Arial"/>
                <w:sz w:val="20"/>
                <w:szCs w:val="20"/>
              </w:rPr>
              <w:t>Mejorado</w:t>
            </w:r>
          </w:p>
        </w:tc>
      </w:tr>
      <w:tr w:rsidR="00846D49" w:rsidRPr="00846D49" w14:paraId="10C5390F" w14:textId="77777777" w:rsidTr="007502D1">
        <w:trPr>
          <w:trHeight w:val="300"/>
          <w:jc w:val="center"/>
        </w:trPr>
        <w:tc>
          <w:tcPr>
            <w:tcW w:w="283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1B184494" w14:textId="77777777" w:rsidR="00986D96" w:rsidRPr="00846D49" w:rsidRDefault="00986D96" w:rsidP="007502D1">
            <w:pPr>
              <w:tabs>
                <w:tab w:val="left" w:pos="3375"/>
              </w:tabs>
              <w:jc w:val="both"/>
              <w:rPr>
                <w:rFonts w:ascii="Arial" w:eastAsia="Times New Roman" w:hAnsi="Arial" w:cs="Arial"/>
                <w:b/>
                <w:sz w:val="20"/>
                <w:szCs w:val="20"/>
              </w:rPr>
            </w:pPr>
            <w:r w:rsidRPr="00846D49">
              <w:rPr>
                <w:rFonts w:ascii="Arial" w:eastAsia="Times New Roman" w:hAnsi="Arial" w:cs="Arial"/>
                <w:b/>
                <w:sz w:val="20"/>
                <w:szCs w:val="20"/>
              </w:rPr>
              <w:t>Naturaleza del servicio:</w:t>
            </w:r>
          </w:p>
        </w:tc>
        <w:tc>
          <w:tcPr>
            <w:tcW w:w="5835"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0D0B97A4" w14:textId="77777777" w:rsidR="00986D96" w:rsidRPr="00846D49" w:rsidRDefault="00986D96" w:rsidP="007502D1">
            <w:pPr>
              <w:tabs>
                <w:tab w:val="left" w:pos="3375"/>
              </w:tabs>
              <w:ind w:left="128"/>
              <w:jc w:val="both"/>
              <w:rPr>
                <w:rFonts w:ascii="Arial" w:eastAsia="Times New Roman" w:hAnsi="Arial" w:cs="Arial"/>
                <w:sz w:val="20"/>
                <w:szCs w:val="20"/>
              </w:rPr>
            </w:pPr>
            <w:r w:rsidRPr="00846D49">
              <w:rPr>
                <w:rFonts w:ascii="Arial" w:eastAsia="Times New Roman" w:hAnsi="Arial" w:cs="Arial"/>
                <w:sz w:val="20"/>
                <w:szCs w:val="20"/>
              </w:rPr>
              <w:t>Prestacional</w:t>
            </w:r>
          </w:p>
        </w:tc>
      </w:tr>
      <w:tr w:rsidR="00846D49" w:rsidRPr="00846D49" w14:paraId="5AB0041F" w14:textId="77777777" w:rsidTr="007502D1">
        <w:trPr>
          <w:trHeight w:val="300"/>
          <w:jc w:val="center"/>
        </w:trPr>
        <w:tc>
          <w:tcPr>
            <w:tcW w:w="283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792ABD0D" w14:textId="77777777" w:rsidR="00986D96" w:rsidRPr="00846D49" w:rsidRDefault="00986D96" w:rsidP="007502D1">
            <w:pPr>
              <w:tabs>
                <w:tab w:val="left" w:pos="3375"/>
              </w:tabs>
              <w:jc w:val="both"/>
              <w:rPr>
                <w:rFonts w:ascii="Arial" w:eastAsia="Times New Roman" w:hAnsi="Arial" w:cs="Arial"/>
                <w:b/>
                <w:sz w:val="20"/>
                <w:szCs w:val="20"/>
              </w:rPr>
            </w:pPr>
            <w:r w:rsidRPr="00846D49">
              <w:rPr>
                <w:rFonts w:ascii="Arial" w:eastAsia="Times New Roman" w:hAnsi="Arial" w:cs="Arial"/>
                <w:b/>
                <w:sz w:val="20"/>
                <w:szCs w:val="20"/>
              </w:rPr>
              <w:t>Entrega del servicio</w:t>
            </w:r>
          </w:p>
        </w:tc>
        <w:tc>
          <w:tcPr>
            <w:tcW w:w="5835"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77A39C4C" w14:textId="77777777" w:rsidR="00986D96" w:rsidRPr="00846D49" w:rsidRDefault="00986D96" w:rsidP="007502D1">
            <w:pPr>
              <w:tabs>
                <w:tab w:val="left" w:pos="3375"/>
              </w:tabs>
              <w:ind w:left="128"/>
              <w:jc w:val="both"/>
              <w:rPr>
                <w:rFonts w:ascii="Arial" w:eastAsia="Times New Roman" w:hAnsi="Arial" w:cs="Arial"/>
                <w:sz w:val="20"/>
                <w:szCs w:val="20"/>
              </w:rPr>
            </w:pPr>
            <w:r w:rsidRPr="00846D49">
              <w:rPr>
                <w:rFonts w:ascii="Arial" w:eastAsia="Times New Roman" w:hAnsi="Arial" w:cs="Arial"/>
                <w:sz w:val="20"/>
                <w:szCs w:val="20"/>
              </w:rPr>
              <w:t xml:space="preserve">Competencia exclusiva </w:t>
            </w:r>
          </w:p>
        </w:tc>
      </w:tr>
      <w:tr w:rsidR="00846D49" w:rsidRPr="00846D49" w14:paraId="17D5D8E0" w14:textId="77777777" w:rsidTr="007502D1">
        <w:trPr>
          <w:trHeight w:val="300"/>
          <w:jc w:val="center"/>
        </w:trPr>
        <w:tc>
          <w:tcPr>
            <w:tcW w:w="283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2D9B047C" w14:textId="77777777" w:rsidR="00986D96" w:rsidRPr="00846D49" w:rsidRDefault="00986D96" w:rsidP="007502D1">
            <w:pPr>
              <w:tabs>
                <w:tab w:val="left" w:pos="3375"/>
              </w:tabs>
              <w:jc w:val="both"/>
              <w:rPr>
                <w:rFonts w:ascii="Arial" w:eastAsia="Times New Roman" w:hAnsi="Arial" w:cs="Arial"/>
                <w:b/>
                <w:sz w:val="20"/>
                <w:szCs w:val="20"/>
              </w:rPr>
            </w:pPr>
            <w:r w:rsidRPr="00846D49">
              <w:rPr>
                <w:rFonts w:ascii="Arial" w:eastAsia="Times New Roman" w:hAnsi="Arial" w:cs="Arial"/>
                <w:b/>
                <w:sz w:val="20"/>
                <w:szCs w:val="20"/>
              </w:rPr>
              <w:t xml:space="preserve"> Descripción del servicio</w:t>
            </w:r>
          </w:p>
        </w:tc>
        <w:tc>
          <w:tcPr>
            <w:tcW w:w="5835"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2F07E01D" w14:textId="77777777" w:rsidR="00986D96" w:rsidRPr="00846D49" w:rsidRDefault="00986D96" w:rsidP="007502D1">
            <w:pPr>
              <w:spacing w:after="0" w:line="240" w:lineRule="auto"/>
              <w:jc w:val="both"/>
              <w:rPr>
                <w:rFonts w:ascii="Arial" w:eastAsia="Times New Roman" w:hAnsi="Arial" w:cs="Arial"/>
                <w:sz w:val="20"/>
                <w:szCs w:val="20"/>
              </w:rPr>
            </w:pPr>
            <w:r w:rsidRPr="00846D49">
              <w:rPr>
                <w:rFonts w:ascii="Arial" w:eastAsia="Times New Roman" w:hAnsi="Arial" w:cs="Arial"/>
                <w:sz w:val="20"/>
                <w:szCs w:val="20"/>
              </w:rPr>
              <w:t xml:space="preserve">El presente servicio consiste en sistematizar la información forestal y de fauna silvestre para ponerla a disposición de los usuarios forestales y de fauna silvestre. </w:t>
            </w:r>
          </w:p>
          <w:p w14:paraId="5C2D94EC" w14:textId="77777777" w:rsidR="00986D96" w:rsidRPr="00846D49" w:rsidRDefault="00986D96" w:rsidP="007502D1">
            <w:pPr>
              <w:spacing w:after="0" w:line="240" w:lineRule="auto"/>
              <w:jc w:val="both"/>
              <w:rPr>
                <w:rFonts w:ascii="Arial" w:eastAsia="Times New Roman" w:hAnsi="Arial" w:cs="Arial"/>
                <w:sz w:val="20"/>
                <w:szCs w:val="20"/>
              </w:rPr>
            </w:pPr>
          </w:p>
          <w:p w14:paraId="5BB6FA26" w14:textId="4986C306" w:rsidR="00986D96" w:rsidRPr="00846D49" w:rsidRDefault="00986D96" w:rsidP="007502D1">
            <w:pPr>
              <w:spacing w:after="0" w:line="240" w:lineRule="auto"/>
              <w:jc w:val="both"/>
              <w:rPr>
                <w:rFonts w:ascii="Arial" w:eastAsia="Times New Roman" w:hAnsi="Arial" w:cs="Arial"/>
                <w:sz w:val="20"/>
                <w:szCs w:val="20"/>
              </w:rPr>
            </w:pPr>
            <w:r w:rsidRPr="00846D49">
              <w:rPr>
                <w:rFonts w:ascii="Arial" w:eastAsia="Times New Roman" w:hAnsi="Arial" w:cs="Arial"/>
                <w:sz w:val="20"/>
                <w:szCs w:val="20"/>
              </w:rPr>
              <w:t xml:space="preserve">La sistematización consiste en validar, consistenciar, estandarizar y consolidar a nivel nacional la información generada por las Autoridades Regionales Forestales y de Fauna Silvestre. </w:t>
            </w:r>
            <w:r w:rsidR="007323E9" w:rsidRPr="00846D49">
              <w:rPr>
                <w:rFonts w:ascii="Arial" w:eastAsia="Times New Roman" w:hAnsi="Arial" w:cs="Arial"/>
                <w:sz w:val="20"/>
                <w:szCs w:val="20"/>
              </w:rPr>
              <w:t>Una vez sistematizada, e</w:t>
            </w:r>
            <w:r w:rsidRPr="00846D49">
              <w:rPr>
                <w:rFonts w:ascii="Arial" w:eastAsia="Times New Roman" w:hAnsi="Arial" w:cs="Arial"/>
                <w:sz w:val="20"/>
                <w:szCs w:val="20"/>
              </w:rPr>
              <w:t>sta información será puesta a disposición a través de la constante actualización de los módulos y componentes del Sistema Nacional de Información Forestal y de Fauna Silvestre – SNIFFS. La información contendrá temáticas como: títulos habilitantes otorgados, áreas de títulos habilitantes vigentes, relación de infractores, exportación, entre otros</w:t>
            </w:r>
            <w:r w:rsidR="002F5DAC" w:rsidRPr="00846D49">
              <w:rPr>
                <w:rFonts w:ascii="Arial" w:eastAsia="Times New Roman" w:hAnsi="Arial" w:cs="Arial"/>
                <w:sz w:val="20"/>
                <w:szCs w:val="20"/>
              </w:rPr>
              <w:t>. La sistematización de la información debe realizarse en</w:t>
            </w:r>
            <w:r w:rsidR="002F5DAC" w:rsidRPr="00846D49">
              <w:rPr>
                <w:rFonts w:ascii="Arial" w:eastAsia="Arial Narrow" w:hAnsi="Arial" w:cs="Arial"/>
                <w:sz w:val="20"/>
                <w:szCs w:val="20"/>
              </w:rPr>
              <w:t xml:space="preserve"> un plazo </w:t>
            </w:r>
            <w:r w:rsidR="00A41107" w:rsidRPr="00846D49">
              <w:rPr>
                <w:rFonts w:ascii="Arial" w:eastAsia="Arial Narrow" w:hAnsi="Arial" w:cs="Arial"/>
                <w:sz w:val="20"/>
                <w:szCs w:val="20"/>
              </w:rPr>
              <w:t>máximo de</w:t>
            </w:r>
            <w:r w:rsidR="002F5DAC" w:rsidRPr="00846D49">
              <w:rPr>
                <w:rFonts w:ascii="Arial" w:eastAsia="Arial Narrow" w:hAnsi="Arial" w:cs="Arial"/>
                <w:sz w:val="20"/>
                <w:szCs w:val="20"/>
              </w:rPr>
              <w:t xml:space="preserve"> 30 días </w:t>
            </w:r>
            <w:r w:rsidR="00D96DC1" w:rsidRPr="00846D49">
              <w:rPr>
                <w:rFonts w:ascii="Arial" w:eastAsia="Arial Narrow" w:hAnsi="Arial" w:cs="Arial"/>
                <w:sz w:val="20"/>
                <w:szCs w:val="20"/>
              </w:rPr>
              <w:t xml:space="preserve">calendario </w:t>
            </w:r>
            <w:r w:rsidR="002F5DAC" w:rsidRPr="00846D49">
              <w:rPr>
                <w:rFonts w:ascii="Arial" w:eastAsia="Arial Narrow" w:hAnsi="Arial" w:cs="Arial"/>
                <w:sz w:val="20"/>
                <w:szCs w:val="20"/>
              </w:rPr>
              <w:t>luego de su recepción</w:t>
            </w:r>
            <w:r w:rsidRPr="00846D49">
              <w:rPr>
                <w:rFonts w:ascii="Arial" w:eastAsia="Times New Roman" w:hAnsi="Arial" w:cs="Arial"/>
                <w:sz w:val="20"/>
                <w:szCs w:val="20"/>
              </w:rPr>
              <w:t xml:space="preserve">. </w:t>
            </w:r>
          </w:p>
          <w:p w14:paraId="15A76A89" w14:textId="77777777" w:rsidR="00986D96" w:rsidRPr="00846D49" w:rsidRDefault="00986D96" w:rsidP="007502D1">
            <w:pPr>
              <w:spacing w:after="0" w:line="240" w:lineRule="auto"/>
              <w:jc w:val="both"/>
              <w:rPr>
                <w:rFonts w:ascii="Arial" w:eastAsia="Times New Roman" w:hAnsi="Arial" w:cs="Arial"/>
                <w:sz w:val="20"/>
                <w:szCs w:val="20"/>
              </w:rPr>
            </w:pPr>
          </w:p>
          <w:p w14:paraId="52AEBE5E" w14:textId="1600DFD5" w:rsidR="00986D96" w:rsidRPr="00846D49" w:rsidRDefault="00986D96" w:rsidP="007502D1">
            <w:pPr>
              <w:spacing w:after="0" w:line="240" w:lineRule="auto"/>
              <w:jc w:val="both"/>
              <w:rPr>
                <w:rFonts w:ascii="Arial" w:eastAsia="Times New Roman" w:hAnsi="Arial" w:cs="Arial"/>
                <w:sz w:val="20"/>
                <w:szCs w:val="20"/>
              </w:rPr>
            </w:pPr>
            <w:r w:rsidRPr="00846D49">
              <w:rPr>
                <w:rFonts w:ascii="Arial" w:eastAsia="Times New Roman" w:hAnsi="Arial" w:cs="Arial"/>
                <w:sz w:val="20"/>
                <w:szCs w:val="20"/>
              </w:rPr>
              <w:t xml:space="preserve">Las Autoridades Regionales Forestales y de Fauna Silvestre actualmente carecen de plataformas que faciliten la difusión de su información dirigida a </w:t>
            </w:r>
            <w:r w:rsidR="00A41107" w:rsidRPr="00846D49">
              <w:rPr>
                <w:rFonts w:ascii="Arial" w:eastAsia="Times New Roman" w:hAnsi="Arial" w:cs="Arial"/>
                <w:sz w:val="20"/>
                <w:szCs w:val="20"/>
              </w:rPr>
              <w:t xml:space="preserve">la </w:t>
            </w:r>
            <w:r w:rsidRPr="00846D49">
              <w:rPr>
                <w:rFonts w:ascii="Arial" w:eastAsia="Times New Roman" w:hAnsi="Arial" w:cs="Arial"/>
                <w:sz w:val="20"/>
                <w:szCs w:val="20"/>
              </w:rPr>
              <w:t xml:space="preserve">población local o nacional. El servicio permite </w:t>
            </w:r>
            <w:r w:rsidR="00A41107" w:rsidRPr="00846D49">
              <w:rPr>
                <w:rFonts w:ascii="Arial" w:eastAsia="Times New Roman" w:hAnsi="Arial" w:cs="Arial"/>
                <w:sz w:val="20"/>
                <w:szCs w:val="20"/>
              </w:rPr>
              <w:t>facilitar a todas las Autoridades Regionales Forestales y de Fauna Silvestre la difusión de su información en</w:t>
            </w:r>
            <w:r w:rsidRPr="00846D49">
              <w:rPr>
                <w:rFonts w:ascii="Arial" w:eastAsia="Times New Roman" w:hAnsi="Arial" w:cs="Arial"/>
                <w:sz w:val="20"/>
                <w:szCs w:val="20"/>
              </w:rPr>
              <w:t xml:space="preserve"> una plataforma única. Cabe mencionar que, el SNIFFS dispone de la información nacional y de cada </w:t>
            </w:r>
            <w:r w:rsidR="00C83FF2" w:rsidRPr="00846D49">
              <w:rPr>
                <w:rFonts w:ascii="Arial" w:eastAsia="Times New Roman" w:hAnsi="Arial" w:cs="Arial"/>
                <w:sz w:val="20"/>
                <w:szCs w:val="20"/>
              </w:rPr>
              <w:t>A</w:t>
            </w:r>
            <w:r w:rsidRPr="00846D49">
              <w:rPr>
                <w:rFonts w:ascii="Arial" w:eastAsia="Times New Roman" w:hAnsi="Arial" w:cs="Arial"/>
                <w:sz w:val="20"/>
                <w:szCs w:val="20"/>
              </w:rPr>
              <w:t xml:space="preserve">utoridad </w:t>
            </w:r>
            <w:r w:rsidR="00C83FF2" w:rsidRPr="00846D49">
              <w:rPr>
                <w:rFonts w:ascii="Arial" w:eastAsia="Times New Roman" w:hAnsi="Arial" w:cs="Arial"/>
                <w:sz w:val="20"/>
                <w:szCs w:val="20"/>
              </w:rPr>
              <w:t>R</w:t>
            </w:r>
            <w:r w:rsidRPr="00846D49">
              <w:rPr>
                <w:rFonts w:ascii="Arial" w:eastAsia="Times New Roman" w:hAnsi="Arial" w:cs="Arial"/>
                <w:sz w:val="20"/>
                <w:szCs w:val="20"/>
              </w:rPr>
              <w:t xml:space="preserve">egional </w:t>
            </w:r>
            <w:r w:rsidR="00C83FF2" w:rsidRPr="00846D49">
              <w:rPr>
                <w:rFonts w:ascii="Arial" w:eastAsia="Times New Roman" w:hAnsi="Arial" w:cs="Arial"/>
                <w:sz w:val="20"/>
                <w:szCs w:val="20"/>
              </w:rPr>
              <w:t>F</w:t>
            </w:r>
            <w:r w:rsidRPr="00846D49">
              <w:rPr>
                <w:rFonts w:ascii="Arial" w:eastAsia="Times New Roman" w:hAnsi="Arial" w:cs="Arial"/>
                <w:sz w:val="20"/>
                <w:szCs w:val="20"/>
              </w:rPr>
              <w:t xml:space="preserve">orestal y de </w:t>
            </w:r>
            <w:r w:rsidR="00C83FF2" w:rsidRPr="00846D49">
              <w:rPr>
                <w:rFonts w:ascii="Arial" w:eastAsia="Times New Roman" w:hAnsi="Arial" w:cs="Arial"/>
                <w:sz w:val="20"/>
                <w:szCs w:val="20"/>
              </w:rPr>
              <w:t>F</w:t>
            </w:r>
            <w:r w:rsidRPr="00846D49">
              <w:rPr>
                <w:rFonts w:ascii="Arial" w:eastAsia="Times New Roman" w:hAnsi="Arial" w:cs="Arial"/>
                <w:sz w:val="20"/>
                <w:szCs w:val="20"/>
              </w:rPr>
              <w:t xml:space="preserve">auna </w:t>
            </w:r>
            <w:r w:rsidR="00C83FF2" w:rsidRPr="00846D49">
              <w:rPr>
                <w:rFonts w:ascii="Arial" w:eastAsia="Times New Roman" w:hAnsi="Arial" w:cs="Arial"/>
                <w:sz w:val="20"/>
                <w:szCs w:val="20"/>
              </w:rPr>
              <w:t>S</w:t>
            </w:r>
            <w:r w:rsidRPr="00846D49">
              <w:rPr>
                <w:rFonts w:ascii="Arial" w:eastAsia="Times New Roman" w:hAnsi="Arial" w:cs="Arial"/>
                <w:sz w:val="20"/>
                <w:szCs w:val="20"/>
              </w:rPr>
              <w:t xml:space="preserve">ilvestre mediante el enlace: </w:t>
            </w:r>
            <w:hyperlink r:id="rId10" w:history="1">
              <w:r w:rsidRPr="00846D49">
                <w:rPr>
                  <w:rStyle w:val="Hipervnculo"/>
                  <w:rFonts w:ascii="Arial" w:eastAsia="Times New Roman" w:hAnsi="Arial" w:cs="Arial"/>
                  <w:color w:val="auto"/>
                  <w:sz w:val="20"/>
                  <w:szCs w:val="20"/>
                </w:rPr>
                <w:t>https://sniffs.serfor.gob.pe/inicio/</w:t>
              </w:r>
            </w:hyperlink>
            <w:r w:rsidRPr="00846D49">
              <w:rPr>
                <w:rFonts w:ascii="Arial" w:eastAsia="Times New Roman" w:hAnsi="Arial" w:cs="Arial"/>
                <w:sz w:val="20"/>
                <w:szCs w:val="20"/>
              </w:rPr>
              <w:t>.</w:t>
            </w:r>
          </w:p>
          <w:p w14:paraId="14CA099F" w14:textId="77777777" w:rsidR="00986D96" w:rsidRPr="00846D49" w:rsidRDefault="00986D96" w:rsidP="007502D1">
            <w:pPr>
              <w:spacing w:after="0" w:line="240" w:lineRule="auto"/>
              <w:jc w:val="both"/>
              <w:rPr>
                <w:rFonts w:ascii="Arial" w:eastAsia="Times New Roman" w:hAnsi="Arial" w:cs="Arial"/>
                <w:sz w:val="20"/>
                <w:szCs w:val="20"/>
              </w:rPr>
            </w:pPr>
          </w:p>
          <w:p w14:paraId="25DFDAB3" w14:textId="6DA424EA" w:rsidR="00986D96" w:rsidRPr="00846D49" w:rsidRDefault="00986D96" w:rsidP="007502D1">
            <w:pPr>
              <w:jc w:val="both"/>
              <w:rPr>
                <w:rFonts w:ascii="Arial" w:eastAsia="Times New Roman" w:hAnsi="Arial" w:cs="Arial"/>
                <w:sz w:val="20"/>
                <w:szCs w:val="20"/>
              </w:rPr>
            </w:pPr>
            <w:r w:rsidRPr="00846D49">
              <w:rPr>
                <w:rFonts w:ascii="Arial" w:eastAsia="Times New Roman" w:hAnsi="Arial" w:cs="Arial"/>
                <w:sz w:val="20"/>
                <w:szCs w:val="20"/>
              </w:rPr>
              <w:t>El servicio es de tipo mejorado porque aplicará nuevas herramientas tecnológicas para la entrega del servicio; además, se busca incorporar nuevas temáticas de información para incrementar la sistematización para cada Autoridad Regional Forestal y de Fauna Silvestre.</w:t>
            </w:r>
          </w:p>
        </w:tc>
      </w:tr>
      <w:tr w:rsidR="00846D49" w:rsidRPr="00846D49" w14:paraId="7498F5B7" w14:textId="77777777" w:rsidTr="007502D1">
        <w:trPr>
          <w:trHeight w:val="300"/>
          <w:jc w:val="center"/>
        </w:trPr>
        <w:tc>
          <w:tcPr>
            <w:tcW w:w="283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01EDC6AC" w14:textId="77777777" w:rsidR="00986D96" w:rsidRPr="00846D49" w:rsidRDefault="00986D96" w:rsidP="007502D1">
            <w:pPr>
              <w:tabs>
                <w:tab w:val="left" w:pos="3375"/>
              </w:tabs>
              <w:jc w:val="both"/>
              <w:rPr>
                <w:rFonts w:ascii="Arial" w:eastAsia="Times New Roman" w:hAnsi="Arial" w:cs="Arial"/>
                <w:b/>
                <w:sz w:val="20"/>
                <w:szCs w:val="20"/>
              </w:rPr>
            </w:pPr>
            <w:r w:rsidRPr="00846D49">
              <w:rPr>
                <w:rFonts w:ascii="Arial" w:eastAsia="Times New Roman" w:hAnsi="Arial" w:cs="Arial"/>
                <w:b/>
                <w:sz w:val="20"/>
                <w:szCs w:val="20"/>
              </w:rPr>
              <w:lastRenderedPageBreak/>
              <w:t xml:space="preserve"> Proveedor del servicio</w:t>
            </w:r>
          </w:p>
        </w:tc>
        <w:tc>
          <w:tcPr>
            <w:tcW w:w="5835"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19EB57EE" w14:textId="77777777" w:rsidR="00986D96" w:rsidRPr="00846D49" w:rsidRDefault="00986D96" w:rsidP="007502D1">
            <w:pPr>
              <w:tabs>
                <w:tab w:val="left" w:pos="3375"/>
              </w:tabs>
              <w:ind w:left="128"/>
              <w:jc w:val="both"/>
              <w:rPr>
                <w:rFonts w:ascii="Arial" w:eastAsia="Times New Roman" w:hAnsi="Arial" w:cs="Arial"/>
                <w:sz w:val="20"/>
                <w:szCs w:val="20"/>
              </w:rPr>
            </w:pPr>
            <w:r w:rsidRPr="00846D49">
              <w:rPr>
                <w:rFonts w:ascii="Arial" w:eastAsia="Times New Roman" w:hAnsi="Arial" w:cs="Arial"/>
                <w:sz w:val="20"/>
                <w:szCs w:val="20"/>
              </w:rPr>
              <w:t>Servicio Nacional Forestal y de Fauna Silvestre - SERFOR</w:t>
            </w:r>
          </w:p>
        </w:tc>
      </w:tr>
      <w:tr w:rsidR="00846D49" w:rsidRPr="00846D49" w14:paraId="211DFC0F" w14:textId="77777777" w:rsidTr="007502D1">
        <w:trPr>
          <w:trHeight w:val="555"/>
          <w:jc w:val="center"/>
        </w:trPr>
        <w:tc>
          <w:tcPr>
            <w:tcW w:w="2830" w:type="dxa"/>
            <w:vMerge w:val="restart"/>
            <w:tcBorders>
              <w:top w:val="single" w:sz="4" w:space="0" w:color="000000"/>
              <w:left w:val="single" w:sz="4" w:space="0" w:color="000000"/>
              <w:right w:val="single" w:sz="4" w:space="0" w:color="000000"/>
            </w:tcBorders>
            <w:tcMar>
              <w:top w:w="15" w:type="dxa"/>
              <w:left w:w="15" w:type="dxa"/>
              <w:bottom w:w="0" w:type="dxa"/>
              <w:right w:w="15" w:type="dxa"/>
            </w:tcMar>
            <w:vAlign w:val="center"/>
          </w:tcPr>
          <w:p w14:paraId="2B175D6D" w14:textId="77777777" w:rsidR="00986D96" w:rsidRPr="00846D49" w:rsidRDefault="00986D96" w:rsidP="007502D1">
            <w:pPr>
              <w:spacing w:after="0" w:line="240" w:lineRule="auto"/>
              <w:rPr>
                <w:rFonts w:ascii="Arial" w:eastAsia="Times New Roman" w:hAnsi="Arial" w:cs="Arial"/>
                <w:b/>
                <w:sz w:val="20"/>
                <w:szCs w:val="20"/>
              </w:rPr>
            </w:pPr>
            <w:r w:rsidRPr="00846D49">
              <w:rPr>
                <w:rFonts w:ascii="Arial" w:eastAsia="Times New Roman" w:hAnsi="Arial" w:cs="Arial"/>
                <w:b/>
                <w:sz w:val="20"/>
                <w:szCs w:val="20"/>
              </w:rPr>
              <w:t>Nivel (es) de gobierno que interviene</w:t>
            </w:r>
          </w:p>
          <w:p w14:paraId="3A67E076" w14:textId="77777777" w:rsidR="00986D96" w:rsidRPr="00846D49" w:rsidRDefault="00986D96" w:rsidP="007502D1">
            <w:pPr>
              <w:tabs>
                <w:tab w:val="left" w:pos="3375"/>
              </w:tabs>
              <w:jc w:val="both"/>
              <w:rPr>
                <w:rFonts w:ascii="Arial" w:eastAsia="Times New Roman" w:hAnsi="Arial" w:cs="Arial"/>
                <w:b/>
                <w:sz w:val="20"/>
                <w:szCs w:val="20"/>
              </w:rPr>
            </w:pPr>
            <w:r w:rsidRPr="00846D49">
              <w:rPr>
                <w:rFonts w:ascii="Arial" w:eastAsia="Times New Roman" w:hAnsi="Arial" w:cs="Arial"/>
                <w:b/>
                <w:sz w:val="20"/>
                <w:szCs w:val="20"/>
              </w:rPr>
              <w:t>(n) en la provisión del servicio</w:t>
            </w:r>
          </w:p>
        </w:tc>
        <w:tc>
          <w:tcPr>
            <w:tcW w:w="1945" w:type="dxa"/>
            <w:tcBorders>
              <w:top w:val="single" w:sz="4" w:space="0" w:color="000000"/>
              <w:left w:val="single" w:sz="4" w:space="0" w:color="000000"/>
              <w:right w:val="single" w:sz="4" w:space="0" w:color="000000"/>
            </w:tcBorders>
            <w:tcMar>
              <w:top w:w="15" w:type="dxa"/>
              <w:left w:w="15" w:type="dxa"/>
              <w:bottom w:w="0" w:type="dxa"/>
              <w:right w:w="15" w:type="dxa"/>
            </w:tcMar>
            <w:vAlign w:val="center"/>
          </w:tcPr>
          <w:p w14:paraId="3E1ADBBE" w14:textId="77777777" w:rsidR="00986D96" w:rsidRPr="00846D49" w:rsidRDefault="00986D96" w:rsidP="007502D1">
            <w:pPr>
              <w:tabs>
                <w:tab w:val="left" w:pos="3375"/>
              </w:tabs>
              <w:ind w:left="128"/>
              <w:jc w:val="center"/>
              <w:rPr>
                <w:rFonts w:ascii="Arial" w:eastAsia="Times New Roman" w:hAnsi="Arial" w:cs="Arial"/>
                <w:sz w:val="20"/>
                <w:szCs w:val="20"/>
              </w:rPr>
            </w:pPr>
            <w:r w:rsidRPr="00846D49">
              <w:rPr>
                <w:rFonts w:ascii="Arial" w:eastAsia="Times New Roman" w:hAnsi="Arial" w:cs="Arial"/>
                <w:sz w:val="20"/>
                <w:szCs w:val="20"/>
              </w:rPr>
              <w:t>Nacional</w:t>
            </w:r>
          </w:p>
        </w:tc>
        <w:tc>
          <w:tcPr>
            <w:tcW w:w="1945" w:type="dxa"/>
            <w:tcBorders>
              <w:top w:val="single" w:sz="4" w:space="0" w:color="000000"/>
              <w:left w:val="single" w:sz="4" w:space="0" w:color="000000"/>
              <w:right w:val="single" w:sz="4" w:space="0" w:color="000000"/>
            </w:tcBorders>
            <w:vAlign w:val="center"/>
          </w:tcPr>
          <w:p w14:paraId="276CEFCD" w14:textId="77777777" w:rsidR="00986D96" w:rsidRPr="00846D49" w:rsidRDefault="00986D96" w:rsidP="007502D1">
            <w:pPr>
              <w:tabs>
                <w:tab w:val="left" w:pos="3375"/>
              </w:tabs>
              <w:ind w:left="128"/>
              <w:jc w:val="center"/>
              <w:rPr>
                <w:rFonts w:ascii="Arial" w:eastAsia="Times New Roman" w:hAnsi="Arial" w:cs="Arial"/>
                <w:sz w:val="20"/>
                <w:szCs w:val="20"/>
              </w:rPr>
            </w:pPr>
            <w:r w:rsidRPr="00846D49">
              <w:rPr>
                <w:rFonts w:ascii="Arial" w:eastAsia="Times New Roman" w:hAnsi="Arial" w:cs="Arial"/>
                <w:sz w:val="20"/>
                <w:szCs w:val="20"/>
              </w:rPr>
              <w:t>Regional</w:t>
            </w:r>
          </w:p>
        </w:tc>
        <w:tc>
          <w:tcPr>
            <w:tcW w:w="1945" w:type="dxa"/>
            <w:tcBorders>
              <w:top w:val="single" w:sz="4" w:space="0" w:color="000000"/>
              <w:left w:val="single" w:sz="4" w:space="0" w:color="000000"/>
              <w:right w:val="single" w:sz="4" w:space="0" w:color="000000"/>
            </w:tcBorders>
            <w:vAlign w:val="center"/>
          </w:tcPr>
          <w:p w14:paraId="193854E8" w14:textId="77777777" w:rsidR="00986D96" w:rsidRPr="00846D49" w:rsidRDefault="00986D96" w:rsidP="007502D1">
            <w:pPr>
              <w:tabs>
                <w:tab w:val="left" w:pos="3375"/>
              </w:tabs>
              <w:ind w:left="128"/>
              <w:jc w:val="center"/>
              <w:rPr>
                <w:rFonts w:ascii="Arial" w:eastAsia="Times New Roman" w:hAnsi="Arial" w:cs="Arial"/>
                <w:sz w:val="20"/>
                <w:szCs w:val="20"/>
              </w:rPr>
            </w:pPr>
            <w:r w:rsidRPr="00846D49">
              <w:rPr>
                <w:rFonts w:ascii="Arial" w:eastAsia="Times New Roman" w:hAnsi="Arial" w:cs="Arial"/>
                <w:sz w:val="20"/>
                <w:szCs w:val="20"/>
              </w:rPr>
              <w:t>Local</w:t>
            </w:r>
          </w:p>
        </w:tc>
      </w:tr>
      <w:tr w:rsidR="00846D49" w:rsidRPr="00846D49" w14:paraId="0C758B3C" w14:textId="77777777" w:rsidTr="007502D1">
        <w:trPr>
          <w:trHeight w:val="555"/>
          <w:jc w:val="center"/>
        </w:trPr>
        <w:tc>
          <w:tcPr>
            <w:tcW w:w="2830" w:type="dxa"/>
            <w:vMerge/>
            <w:tcBorders>
              <w:left w:val="single" w:sz="4" w:space="0" w:color="000000"/>
              <w:right w:val="single" w:sz="4" w:space="0" w:color="000000"/>
            </w:tcBorders>
            <w:tcMar>
              <w:top w:w="15" w:type="dxa"/>
              <w:left w:w="15" w:type="dxa"/>
              <w:bottom w:w="0" w:type="dxa"/>
              <w:right w:w="15" w:type="dxa"/>
            </w:tcMar>
            <w:vAlign w:val="center"/>
          </w:tcPr>
          <w:p w14:paraId="165B92A2" w14:textId="77777777" w:rsidR="00986D96" w:rsidRPr="00846D49" w:rsidRDefault="00986D96" w:rsidP="007502D1">
            <w:pPr>
              <w:spacing w:after="0" w:line="240" w:lineRule="auto"/>
              <w:rPr>
                <w:rFonts w:ascii="Arial" w:eastAsia="Times New Roman" w:hAnsi="Arial" w:cs="Arial"/>
                <w:b/>
                <w:sz w:val="20"/>
                <w:szCs w:val="20"/>
              </w:rPr>
            </w:pPr>
          </w:p>
        </w:tc>
        <w:tc>
          <w:tcPr>
            <w:tcW w:w="1945" w:type="dxa"/>
            <w:tcBorders>
              <w:top w:val="single" w:sz="4" w:space="0" w:color="000000"/>
              <w:left w:val="single" w:sz="4" w:space="0" w:color="000000"/>
              <w:right w:val="single" w:sz="4" w:space="0" w:color="000000"/>
            </w:tcBorders>
            <w:tcMar>
              <w:top w:w="15" w:type="dxa"/>
              <w:left w:w="15" w:type="dxa"/>
              <w:bottom w:w="0" w:type="dxa"/>
              <w:right w:w="15" w:type="dxa"/>
            </w:tcMar>
            <w:vAlign w:val="center"/>
          </w:tcPr>
          <w:p w14:paraId="521519C2" w14:textId="77777777" w:rsidR="00986D96" w:rsidRPr="00846D49" w:rsidRDefault="00986D96" w:rsidP="007502D1">
            <w:pPr>
              <w:tabs>
                <w:tab w:val="left" w:pos="3375"/>
              </w:tabs>
              <w:ind w:left="128"/>
              <w:jc w:val="center"/>
              <w:rPr>
                <w:rFonts w:ascii="Arial" w:eastAsia="Times New Roman" w:hAnsi="Arial" w:cs="Arial"/>
                <w:sz w:val="20"/>
                <w:szCs w:val="20"/>
              </w:rPr>
            </w:pPr>
            <w:r w:rsidRPr="00846D49">
              <w:rPr>
                <w:rFonts w:ascii="Arial" w:eastAsia="Times New Roman" w:hAnsi="Arial" w:cs="Arial"/>
                <w:sz w:val="20"/>
                <w:szCs w:val="20"/>
              </w:rPr>
              <w:t>X</w:t>
            </w:r>
          </w:p>
        </w:tc>
        <w:tc>
          <w:tcPr>
            <w:tcW w:w="1945" w:type="dxa"/>
            <w:tcBorders>
              <w:top w:val="single" w:sz="4" w:space="0" w:color="000000"/>
              <w:left w:val="single" w:sz="4" w:space="0" w:color="000000"/>
              <w:right w:val="single" w:sz="4" w:space="0" w:color="000000"/>
            </w:tcBorders>
            <w:vAlign w:val="center"/>
          </w:tcPr>
          <w:p w14:paraId="0E89F734" w14:textId="77777777" w:rsidR="00986D96" w:rsidRPr="00846D49" w:rsidRDefault="00986D96" w:rsidP="007502D1">
            <w:pPr>
              <w:tabs>
                <w:tab w:val="left" w:pos="3375"/>
              </w:tabs>
              <w:ind w:left="128"/>
              <w:jc w:val="center"/>
              <w:rPr>
                <w:rFonts w:ascii="Arial" w:eastAsia="Times New Roman" w:hAnsi="Arial" w:cs="Arial"/>
                <w:sz w:val="20"/>
                <w:szCs w:val="20"/>
              </w:rPr>
            </w:pPr>
          </w:p>
        </w:tc>
        <w:tc>
          <w:tcPr>
            <w:tcW w:w="1945" w:type="dxa"/>
            <w:tcBorders>
              <w:top w:val="single" w:sz="4" w:space="0" w:color="000000"/>
              <w:left w:val="single" w:sz="4" w:space="0" w:color="000000"/>
              <w:right w:val="single" w:sz="4" w:space="0" w:color="000000"/>
            </w:tcBorders>
            <w:vAlign w:val="center"/>
          </w:tcPr>
          <w:p w14:paraId="5DDD438E" w14:textId="77777777" w:rsidR="00986D96" w:rsidRPr="00846D49" w:rsidRDefault="00986D96" w:rsidP="007502D1">
            <w:pPr>
              <w:tabs>
                <w:tab w:val="left" w:pos="3375"/>
              </w:tabs>
              <w:ind w:left="128"/>
              <w:jc w:val="center"/>
              <w:rPr>
                <w:rFonts w:ascii="Arial" w:eastAsia="Times New Roman" w:hAnsi="Arial" w:cs="Arial"/>
                <w:sz w:val="20"/>
                <w:szCs w:val="20"/>
              </w:rPr>
            </w:pPr>
          </w:p>
        </w:tc>
      </w:tr>
      <w:tr w:rsidR="00846D49" w:rsidRPr="00846D49" w14:paraId="7437609F" w14:textId="77777777" w:rsidTr="007502D1">
        <w:trPr>
          <w:trHeight w:val="300"/>
          <w:jc w:val="center"/>
        </w:trPr>
        <w:tc>
          <w:tcPr>
            <w:tcW w:w="283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146B3ED0" w14:textId="77777777" w:rsidR="00986D96" w:rsidRPr="00846D49" w:rsidRDefault="00986D96" w:rsidP="007502D1">
            <w:pPr>
              <w:tabs>
                <w:tab w:val="left" w:pos="3375"/>
              </w:tabs>
              <w:jc w:val="both"/>
              <w:rPr>
                <w:rFonts w:ascii="Arial" w:eastAsia="Times New Roman" w:hAnsi="Arial" w:cs="Arial"/>
                <w:b/>
                <w:sz w:val="20"/>
                <w:szCs w:val="20"/>
              </w:rPr>
            </w:pPr>
            <w:r w:rsidRPr="00846D49">
              <w:rPr>
                <w:rFonts w:ascii="Arial" w:eastAsia="Times New Roman" w:hAnsi="Arial" w:cs="Arial"/>
                <w:b/>
                <w:sz w:val="20"/>
                <w:szCs w:val="20"/>
              </w:rPr>
              <w:t xml:space="preserve"> Receptor del servicio</w:t>
            </w:r>
          </w:p>
        </w:tc>
        <w:tc>
          <w:tcPr>
            <w:tcW w:w="5835"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71556602" w14:textId="3D8282FD" w:rsidR="00986D96" w:rsidRPr="00846D49" w:rsidRDefault="00986D96" w:rsidP="007502D1">
            <w:pPr>
              <w:tabs>
                <w:tab w:val="left" w:pos="3375"/>
              </w:tabs>
              <w:ind w:left="128"/>
              <w:jc w:val="both"/>
              <w:rPr>
                <w:rFonts w:ascii="Arial" w:eastAsia="Times New Roman" w:hAnsi="Arial" w:cs="Arial"/>
                <w:sz w:val="20"/>
                <w:szCs w:val="20"/>
              </w:rPr>
            </w:pPr>
            <w:r w:rsidRPr="00846D49">
              <w:rPr>
                <w:rFonts w:ascii="Arial" w:eastAsia="Times New Roman" w:hAnsi="Arial" w:cs="Arial"/>
                <w:sz w:val="20"/>
                <w:szCs w:val="20"/>
              </w:rPr>
              <w:t>Autoridades Regionales Forestales y de Fauna Silvestre</w:t>
            </w:r>
          </w:p>
        </w:tc>
      </w:tr>
      <w:tr w:rsidR="00846D49" w:rsidRPr="00846D49" w14:paraId="5D670B6B" w14:textId="77777777" w:rsidTr="007502D1">
        <w:trPr>
          <w:trHeight w:val="211"/>
          <w:jc w:val="center"/>
        </w:trPr>
        <w:tc>
          <w:tcPr>
            <w:tcW w:w="283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0B82A462" w14:textId="77777777" w:rsidR="00986D96" w:rsidRPr="00846D49" w:rsidRDefault="00986D96" w:rsidP="007502D1">
            <w:pPr>
              <w:tabs>
                <w:tab w:val="left" w:pos="3375"/>
              </w:tabs>
              <w:jc w:val="both"/>
              <w:rPr>
                <w:rFonts w:ascii="Arial" w:eastAsia="Times New Roman" w:hAnsi="Arial" w:cs="Arial"/>
                <w:b/>
                <w:sz w:val="20"/>
                <w:szCs w:val="20"/>
              </w:rPr>
            </w:pPr>
            <w:r w:rsidRPr="00846D49">
              <w:rPr>
                <w:rFonts w:ascii="Arial" w:eastAsia="Times New Roman" w:hAnsi="Arial" w:cs="Arial"/>
                <w:b/>
                <w:sz w:val="20"/>
                <w:szCs w:val="20"/>
              </w:rPr>
              <w:t xml:space="preserve"> Alcance del servicio </w:t>
            </w:r>
          </w:p>
        </w:tc>
        <w:tc>
          <w:tcPr>
            <w:tcW w:w="5835"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2DE8F761" w14:textId="77777777" w:rsidR="00986D96" w:rsidRPr="00846D49" w:rsidRDefault="00986D96" w:rsidP="007502D1">
            <w:pPr>
              <w:tabs>
                <w:tab w:val="left" w:pos="3375"/>
              </w:tabs>
              <w:ind w:left="128"/>
              <w:jc w:val="both"/>
              <w:rPr>
                <w:rFonts w:ascii="Arial" w:eastAsia="Times New Roman" w:hAnsi="Arial" w:cs="Arial"/>
                <w:sz w:val="20"/>
                <w:szCs w:val="20"/>
              </w:rPr>
            </w:pPr>
            <w:r w:rsidRPr="00846D49">
              <w:rPr>
                <w:rFonts w:ascii="Arial" w:eastAsia="Times New Roman" w:hAnsi="Arial" w:cs="Arial"/>
                <w:sz w:val="20"/>
                <w:szCs w:val="20"/>
              </w:rPr>
              <w:t>Nacional</w:t>
            </w:r>
          </w:p>
        </w:tc>
      </w:tr>
      <w:tr w:rsidR="00846D49" w:rsidRPr="00846D49" w14:paraId="3DF26F81" w14:textId="77777777" w:rsidTr="007502D1">
        <w:trPr>
          <w:trHeight w:val="62"/>
          <w:jc w:val="center"/>
        </w:trPr>
        <w:tc>
          <w:tcPr>
            <w:tcW w:w="283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552DF723" w14:textId="77777777" w:rsidR="00986D96" w:rsidRPr="00846D49" w:rsidRDefault="00986D96" w:rsidP="007502D1">
            <w:pPr>
              <w:tabs>
                <w:tab w:val="left" w:pos="3375"/>
              </w:tabs>
              <w:jc w:val="both"/>
              <w:rPr>
                <w:rFonts w:ascii="Arial" w:eastAsia="Times New Roman" w:hAnsi="Arial" w:cs="Arial"/>
                <w:b/>
                <w:sz w:val="20"/>
                <w:szCs w:val="20"/>
              </w:rPr>
            </w:pPr>
            <w:r w:rsidRPr="00846D49">
              <w:rPr>
                <w:rFonts w:ascii="Arial" w:eastAsia="Times New Roman" w:hAnsi="Arial" w:cs="Arial"/>
                <w:b/>
                <w:sz w:val="20"/>
                <w:szCs w:val="20"/>
              </w:rPr>
              <w:t xml:space="preserve"> Estándar (es) de cumplimiento</w:t>
            </w:r>
          </w:p>
        </w:tc>
        <w:tc>
          <w:tcPr>
            <w:tcW w:w="5835"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5F6EEFCD" w14:textId="77777777" w:rsidR="00986D96" w:rsidRPr="00846D49" w:rsidRDefault="00986D96" w:rsidP="007502D1">
            <w:pPr>
              <w:tabs>
                <w:tab w:val="left" w:pos="3375"/>
              </w:tabs>
              <w:ind w:left="128"/>
              <w:jc w:val="both"/>
              <w:rPr>
                <w:rFonts w:ascii="Arial" w:eastAsia="Times New Roman" w:hAnsi="Arial" w:cs="Arial"/>
                <w:sz w:val="20"/>
                <w:szCs w:val="20"/>
              </w:rPr>
            </w:pPr>
            <w:r w:rsidRPr="00846D49">
              <w:rPr>
                <w:rFonts w:ascii="Arial" w:eastAsia="Times New Roman" w:hAnsi="Arial" w:cs="Arial"/>
                <w:sz w:val="20"/>
                <w:szCs w:val="20"/>
              </w:rPr>
              <w:t>Oportunidad</w:t>
            </w:r>
          </w:p>
        </w:tc>
      </w:tr>
      <w:tr w:rsidR="00846D49" w:rsidRPr="00846D49" w14:paraId="6C8A51BD" w14:textId="77777777" w:rsidTr="007502D1">
        <w:trPr>
          <w:trHeight w:val="300"/>
          <w:jc w:val="center"/>
        </w:trPr>
        <w:tc>
          <w:tcPr>
            <w:tcW w:w="283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18AC6E26" w14:textId="77777777" w:rsidR="00986D96" w:rsidRPr="00846D49" w:rsidRDefault="00986D96" w:rsidP="007502D1">
            <w:pPr>
              <w:tabs>
                <w:tab w:val="left" w:pos="3375"/>
              </w:tabs>
              <w:jc w:val="both"/>
              <w:rPr>
                <w:rFonts w:ascii="Arial" w:eastAsia="Times New Roman" w:hAnsi="Arial" w:cs="Arial"/>
                <w:b/>
                <w:sz w:val="20"/>
                <w:szCs w:val="20"/>
              </w:rPr>
            </w:pPr>
            <w:r w:rsidRPr="00846D49">
              <w:rPr>
                <w:rFonts w:ascii="Arial" w:eastAsia="Times New Roman" w:hAnsi="Arial" w:cs="Arial"/>
                <w:b/>
                <w:sz w:val="20"/>
                <w:szCs w:val="20"/>
              </w:rPr>
              <w:t xml:space="preserve"> Descripción del estándar</w:t>
            </w:r>
          </w:p>
        </w:tc>
        <w:tc>
          <w:tcPr>
            <w:tcW w:w="5835" w:type="dxa"/>
            <w:gridSpan w:val="3"/>
            <w:tcBorders>
              <w:top w:val="single" w:sz="4" w:space="0" w:color="000000"/>
              <w:left w:val="single" w:sz="4" w:space="0" w:color="000000"/>
              <w:bottom w:val="single" w:sz="4" w:space="0" w:color="000000"/>
              <w:right w:val="single" w:sz="4" w:space="0" w:color="000000"/>
            </w:tcBorders>
            <w:tcMar>
              <w:top w:w="15" w:type="dxa"/>
              <w:left w:w="135" w:type="dxa"/>
              <w:bottom w:w="0" w:type="dxa"/>
              <w:right w:w="15" w:type="dxa"/>
            </w:tcMar>
            <w:vAlign w:val="center"/>
          </w:tcPr>
          <w:p w14:paraId="2A0A69D1" w14:textId="58637B5C" w:rsidR="00986D96" w:rsidRPr="00846D49" w:rsidRDefault="00986D96" w:rsidP="007502D1">
            <w:pPr>
              <w:tabs>
                <w:tab w:val="left" w:pos="3375"/>
              </w:tabs>
              <w:spacing w:after="0" w:line="240" w:lineRule="auto"/>
              <w:jc w:val="both"/>
              <w:rPr>
                <w:rFonts w:ascii="Arial" w:eastAsia="Arial Narrow" w:hAnsi="Arial" w:cs="Arial"/>
                <w:sz w:val="20"/>
                <w:szCs w:val="20"/>
              </w:rPr>
            </w:pPr>
            <w:r w:rsidRPr="00846D49">
              <w:rPr>
                <w:rFonts w:ascii="Arial" w:eastAsia="Arial Narrow" w:hAnsi="Arial" w:cs="Arial"/>
                <w:sz w:val="20"/>
                <w:szCs w:val="20"/>
              </w:rPr>
              <w:t xml:space="preserve">El estándar del servicio es de oportunidad, por cuanto la sistematización de la información dispone de un plazo máximo </w:t>
            </w:r>
            <w:r w:rsidR="00A41107" w:rsidRPr="00846D49">
              <w:rPr>
                <w:rFonts w:ascii="Arial" w:eastAsia="Arial Narrow" w:hAnsi="Arial" w:cs="Arial"/>
                <w:sz w:val="20"/>
                <w:szCs w:val="20"/>
              </w:rPr>
              <w:t>de</w:t>
            </w:r>
            <w:r w:rsidRPr="00846D49">
              <w:rPr>
                <w:rFonts w:ascii="Arial" w:eastAsia="Arial Narrow" w:hAnsi="Arial" w:cs="Arial"/>
                <w:sz w:val="20"/>
                <w:szCs w:val="20"/>
              </w:rPr>
              <w:t xml:space="preserve"> 30 días</w:t>
            </w:r>
            <w:r w:rsidR="00D96DC1" w:rsidRPr="00846D49">
              <w:rPr>
                <w:rFonts w:ascii="Arial" w:eastAsia="Arial Narrow" w:hAnsi="Arial" w:cs="Arial"/>
                <w:sz w:val="20"/>
                <w:szCs w:val="20"/>
              </w:rPr>
              <w:t xml:space="preserve"> calendario</w:t>
            </w:r>
            <w:r w:rsidRPr="00846D49">
              <w:rPr>
                <w:rFonts w:ascii="Arial" w:eastAsia="Arial Narrow" w:hAnsi="Arial" w:cs="Arial"/>
                <w:sz w:val="20"/>
                <w:szCs w:val="20"/>
              </w:rPr>
              <w:t xml:space="preserve"> luego de su recepción.</w:t>
            </w:r>
          </w:p>
        </w:tc>
      </w:tr>
      <w:tr w:rsidR="00986D96" w:rsidRPr="0031597A" w14:paraId="7068E1EF" w14:textId="77777777" w:rsidTr="007502D1">
        <w:trPr>
          <w:trHeight w:val="491"/>
          <w:jc w:val="center"/>
        </w:trPr>
        <w:tc>
          <w:tcPr>
            <w:tcW w:w="283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116E9F32" w14:textId="77777777" w:rsidR="00986D96" w:rsidRPr="0031597A" w:rsidRDefault="00986D96" w:rsidP="007502D1">
            <w:pPr>
              <w:tabs>
                <w:tab w:val="left" w:pos="3375"/>
              </w:tabs>
              <w:jc w:val="both"/>
              <w:rPr>
                <w:rFonts w:ascii="Arial" w:eastAsia="Times New Roman" w:hAnsi="Arial" w:cs="Arial"/>
                <w:b/>
                <w:sz w:val="20"/>
                <w:szCs w:val="20"/>
              </w:rPr>
            </w:pPr>
            <w:r w:rsidRPr="0031597A">
              <w:rPr>
                <w:rFonts w:ascii="Arial" w:eastAsia="Times New Roman" w:hAnsi="Arial" w:cs="Arial"/>
                <w:b/>
                <w:sz w:val="20"/>
                <w:szCs w:val="20"/>
              </w:rPr>
              <w:t>Indicador de calidad</w:t>
            </w:r>
          </w:p>
        </w:tc>
        <w:tc>
          <w:tcPr>
            <w:tcW w:w="5835" w:type="dxa"/>
            <w:gridSpan w:val="3"/>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5BDE0B6B" w14:textId="5705A67F" w:rsidR="00986D96" w:rsidRPr="00F92F6D" w:rsidRDefault="00986D96" w:rsidP="007502D1">
            <w:pPr>
              <w:tabs>
                <w:tab w:val="left" w:pos="3375"/>
              </w:tabs>
              <w:ind w:left="128"/>
              <w:jc w:val="both"/>
              <w:rPr>
                <w:rFonts w:ascii="Arial" w:eastAsia="Times New Roman" w:hAnsi="Arial" w:cs="Arial"/>
                <w:color w:val="000000" w:themeColor="text1"/>
                <w:sz w:val="20"/>
                <w:szCs w:val="20"/>
              </w:rPr>
            </w:pPr>
            <w:r w:rsidRPr="00F92F6D">
              <w:rPr>
                <w:rFonts w:ascii="Arial" w:eastAsia="Times New Roman" w:hAnsi="Arial" w:cs="Arial"/>
                <w:color w:val="000000" w:themeColor="text1"/>
                <w:sz w:val="20"/>
                <w:szCs w:val="20"/>
              </w:rPr>
              <w:t xml:space="preserve">Porcentaje de Autoridades Regionales Forestales y de Fauna Silvestre que reciben </w:t>
            </w:r>
            <w:r w:rsidR="00D279DF" w:rsidRPr="00F92F6D">
              <w:rPr>
                <w:rFonts w:ascii="Arial" w:eastAsia="Times New Roman" w:hAnsi="Arial" w:cs="Arial"/>
                <w:color w:val="000000" w:themeColor="text1"/>
                <w:sz w:val="20"/>
                <w:szCs w:val="20"/>
              </w:rPr>
              <w:t>la</w:t>
            </w:r>
            <w:r w:rsidRPr="00F92F6D">
              <w:rPr>
                <w:rFonts w:ascii="Arial" w:eastAsia="Times New Roman" w:hAnsi="Arial" w:cs="Arial"/>
                <w:color w:val="000000" w:themeColor="text1"/>
                <w:sz w:val="20"/>
                <w:szCs w:val="20"/>
              </w:rPr>
              <w:t xml:space="preserve"> </w:t>
            </w:r>
            <w:r w:rsidR="00D279DF" w:rsidRPr="00F92F6D">
              <w:rPr>
                <w:rFonts w:ascii="Arial" w:eastAsia="Times New Roman" w:hAnsi="Arial" w:cs="Arial"/>
                <w:color w:val="000000" w:themeColor="text1"/>
                <w:sz w:val="20"/>
                <w:szCs w:val="20"/>
              </w:rPr>
              <w:t xml:space="preserve">información forestal y de fauna silvestre </w:t>
            </w:r>
            <w:r w:rsidRPr="00F92F6D">
              <w:rPr>
                <w:rFonts w:ascii="Arial" w:eastAsia="Times New Roman" w:hAnsi="Arial" w:cs="Arial"/>
                <w:color w:val="000000" w:themeColor="text1"/>
                <w:sz w:val="20"/>
                <w:szCs w:val="20"/>
              </w:rPr>
              <w:t>sistematiza</w:t>
            </w:r>
            <w:r w:rsidR="00D279DF" w:rsidRPr="00F92F6D">
              <w:rPr>
                <w:rFonts w:ascii="Arial" w:eastAsia="Times New Roman" w:hAnsi="Arial" w:cs="Arial"/>
                <w:color w:val="000000" w:themeColor="text1"/>
                <w:sz w:val="20"/>
                <w:szCs w:val="20"/>
              </w:rPr>
              <w:t>da</w:t>
            </w:r>
            <w:r w:rsidRPr="00F92F6D">
              <w:rPr>
                <w:rFonts w:ascii="Arial" w:eastAsia="Times New Roman" w:hAnsi="Arial" w:cs="Arial"/>
                <w:color w:val="000000" w:themeColor="text1"/>
                <w:sz w:val="20"/>
                <w:szCs w:val="20"/>
              </w:rPr>
              <w:t xml:space="preserve"> en el SNIFFS de forma oportuna.</w:t>
            </w:r>
          </w:p>
        </w:tc>
      </w:tr>
    </w:tbl>
    <w:p w14:paraId="02B07468" w14:textId="77777777" w:rsidR="00986D96" w:rsidRPr="0031597A" w:rsidRDefault="00986D96" w:rsidP="00986D96">
      <w:pPr>
        <w:rPr>
          <w:rFonts w:ascii="Arial Narrow" w:eastAsia="Times New Roman" w:hAnsi="Arial Narrow" w:cs="Arial Narrow"/>
          <w:b/>
        </w:rPr>
      </w:pPr>
    </w:p>
    <w:p w14:paraId="46211C4E" w14:textId="3186F2A0" w:rsidR="00E457BC" w:rsidRPr="008A26D2" w:rsidRDefault="00385338" w:rsidP="00385338">
      <w:pPr>
        <w:jc w:val="both"/>
        <w:rPr>
          <w:rFonts w:ascii="Arial" w:eastAsia="Arial Narrow" w:hAnsi="Arial" w:cs="Arial"/>
        </w:rPr>
      </w:pPr>
      <w:r w:rsidRPr="008A26D2">
        <w:rPr>
          <w:rFonts w:ascii="Arial" w:eastAsia="Arial Narrow" w:hAnsi="Arial" w:cs="Arial"/>
          <w:b/>
          <w:bCs/>
        </w:rPr>
        <w:t>S3.3.2</w:t>
      </w:r>
      <w:r w:rsidRPr="008A26D2">
        <w:rPr>
          <w:rFonts w:ascii="Arial" w:eastAsia="Arial Narrow" w:hAnsi="Arial" w:cs="Arial"/>
        </w:rPr>
        <w:t xml:space="preserve"> Difusión de información sobre supervisión, fiscalización y capacitación de forma accesible para las entidades públicas, privadas y sociedad civil.</w:t>
      </w:r>
    </w:p>
    <w:tbl>
      <w:tblPr>
        <w:tblW w:w="8396" w:type="dxa"/>
        <w:jc w:val="center"/>
        <w:tblLayout w:type="fixed"/>
        <w:tblLook w:val="0600" w:firstRow="0" w:lastRow="0" w:firstColumn="0" w:lastColumn="0" w:noHBand="1" w:noVBand="1"/>
      </w:tblPr>
      <w:tblGrid>
        <w:gridCol w:w="1733"/>
        <w:gridCol w:w="2221"/>
        <w:gridCol w:w="2221"/>
        <w:gridCol w:w="2221"/>
      </w:tblGrid>
      <w:tr w:rsidR="008A26D2" w:rsidRPr="008A26D2" w14:paraId="6DAD0717" w14:textId="77777777" w:rsidTr="0072651A">
        <w:trPr>
          <w:trHeight w:val="397"/>
          <w:jc w:val="center"/>
        </w:trPr>
        <w:tc>
          <w:tcPr>
            <w:tcW w:w="8396"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center"/>
          </w:tcPr>
          <w:p w14:paraId="1320D58C" w14:textId="315420F5" w:rsidR="00385338" w:rsidRPr="008A26D2" w:rsidRDefault="00385338" w:rsidP="0072651A">
            <w:pPr>
              <w:tabs>
                <w:tab w:val="left" w:pos="3375"/>
              </w:tabs>
              <w:spacing w:after="0"/>
              <w:jc w:val="center"/>
              <w:rPr>
                <w:rFonts w:ascii="Arial" w:hAnsi="Arial" w:cs="Arial"/>
                <w:sz w:val="20"/>
                <w:szCs w:val="20"/>
              </w:rPr>
            </w:pPr>
            <w:r w:rsidRPr="008A26D2">
              <w:rPr>
                <w:rFonts w:ascii="Arial" w:hAnsi="Arial" w:cs="Arial"/>
                <w:b/>
                <w:sz w:val="20"/>
                <w:szCs w:val="20"/>
              </w:rPr>
              <w:t xml:space="preserve">FICHA DEL SERVICIO </w:t>
            </w:r>
          </w:p>
        </w:tc>
      </w:tr>
      <w:tr w:rsidR="008A26D2" w:rsidRPr="008A26D2" w14:paraId="6FA141F9" w14:textId="77777777" w:rsidTr="0072651A">
        <w:trPr>
          <w:trHeight w:val="397"/>
          <w:jc w:val="center"/>
        </w:trPr>
        <w:tc>
          <w:tcPr>
            <w:tcW w:w="17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1F5F624" w14:textId="77777777" w:rsidR="00385338" w:rsidRPr="008A26D2" w:rsidRDefault="00385338" w:rsidP="0072651A">
            <w:pPr>
              <w:tabs>
                <w:tab w:val="left" w:pos="3375"/>
              </w:tabs>
              <w:spacing w:after="0"/>
              <w:rPr>
                <w:rFonts w:ascii="Arial" w:hAnsi="Arial" w:cs="Arial"/>
                <w:b/>
                <w:sz w:val="20"/>
                <w:szCs w:val="20"/>
              </w:rPr>
            </w:pPr>
            <w:r w:rsidRPr="008A26D2">
              <w:rPr>
                <w:rFonts w:ascii="Arial" w:hAnsi="Arial" w:cs="Arial"/>
                <w:b/>
                <w:sz w:val="20"/>
                <w:szCs w:val="20"/>
              </w:rPr>
              <w:t xml:space="preserve"> Objetivo prioritario:</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3F0956C" w14:textId="77777777" w:rsidR="00385338" w:rsidRPr="008A26D2" w:rsidRDefault="00385338" w:rsidP="0072651A">
            <w:pPr>
              <w:tabs>
                <w:tab w:val="left" w:pos="3375"/>
              </w:tabs>
              <w:spacing w:after="0"/>
              <w:ind w:left="94"/>
              <w:jc w:val="both"/>
              <w:rPr>
                <w:rFonts w:ascii="Arial" w:hAnsi="Arial" w:cs="Arial"/>
                <w:sz w:val="20"/>
                <w:szCs w:val="20"/>
              </w:rPr>
            </w:pPr>
            <w:r w:rsidRPr="008A26D2">
              <w:rPr>
                <w:rFonts w:ascii="Arial" w:eastAsia="Arial Narrow" w:hAnsi="Arial" w:cs="Arial"/>
                <w:sz w:val="20"/>
                <w:szCs w:val="20"/>
              </w:rPr>
              <w:t>OP3 Fortalecer la gobernanza forestal y de fauna silvestre</w:t>
            </w:r>
          </w:p>
        </w:tc>
      </w:tr>
      <w:tr w:rsidR="008A26D2" w:rsidRPr="008A26D2" w14:paraId="77828A4D" w14:textId="77777777" w:rsidTr="0072651A">
        <w:trPr>
          <w:trHeight w:val="567"/>
          <w:jc w:val="center"/>
        </w:trPr>
        <w:tc>
          <w:tcPr>
            <w:tcW w:w="17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86CE379" w14:textId="77777777" w:rsidR="00385338" w:rsidRPr="008A26D2" w:rsidRDefault="00385338" w:rsidP="0072651A">
            <w:pPr>
              <w:tabs>
                <w:tab w:val="left" w:pos="3375"/>
              </w:tabs>
              <w:spacing w:after="0"/>
              <w:rPr>
                <w:rFonts w:ascii="Arial" w:hAnsi="Arial" w:cs="Arial"/>
                <w:b/>
                <w:sz w:val="20"/>
                <w:szCs w:val="20"/>
              </w:rPr>
            </w:pPr>
            <w:r w:rsidRPr="008A26D2">
              <w:rPr>
                <w:rFonts w:ascii="Arial" w:hAnsi="Arial" w:cs="Arial"/>
                <w:b/>
                <w:sz w:val="20"/>
                <w:szCs w:val="20"/>
              </w:rPr>
              <w:t xml:space="preserve"> Lineamiento:</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45F4FBB" w14:textId="77777777" w:rsidR="00385338" w:rsidRPr="008A26D2" w:rsidRDefault="00385338" w:rsidP="0072651A">
            <w:pPr>
              <w:tabs>
                <w:tab w:val="left" w:pos="3375"/>
              </w:tabs>
              <w:spacing w:after="0"/>
              <w:ind w:left="128" w:firstLine="3"/>
              <w:jc w:val="both"/>
              <w:rPr>
                <w:rFonts w:ascii="Arial" w:hAnsi="Arial" w:cs="Arial"/>
                <w:sz w:val="20"/>
                <w:szCs w:val="20"/>
              </w:rPr>
            </w:pPr>
            <w:r w:rsidRPr="008A26D2">
              <w:rPr>
                <w:rFonts w:ascii="Arial" w:eastAsia="Arial Narrow" w:hAnsi="Arial" w:cs="Arial"/>
                <w:sz w:val="20"/>
                <w:szCs w:val="20"/>
              </w:rPr>
              <w:t>L 3.3 Gestionar la información y el conocimiento en materia forestal y de fauna silvestre producido por los actores forestales y de fauna silvestre</w:t>
            </w:r>
          </w:p>
        </w:tc>
      </w:tr>
      <w:tr w:rsidR="008A26D2" w:rsidRPr="008A26D2" w14:paraId="7AEA426C" w14:textId="77777777" w:rsidTr="0072651A">
        <w:trPr>
          <w:trHeight w:val="567"/>
          <w:jc w:val="center"/>
        </w:trPr>
        <w:tc>
          <w:tcPr>
            <w:tcW w:w="17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600B637" w14:textId="77777777" w:rsidR="00385338" w:rsidRPr="008A26D2" w:rsidRDefault="00385338" w:rsidP="0072651A">
            <w:pPr>
              <w:tabs>
                <w:tab w:val="left" w:pos="3375"/>
              </w:tabs>
              <w:spacing w:after="0"/>
              <w:rPr>
                <w:rFonts w:ascii="Arial" w:hAnsi="Arial" w:cs="Arial"/>
                <w:b/>
                <w:sz w:val="20"/>
                <w:szCs w:val="20"/>
              </w:rPr>
            </w:pPr>
            <w:r w:rsidRPr="008A26D2">
              <w:rPr>
                <w:rFonts w:ascii="Arial" w:hAnsi="Arial" w:cs="Arial"/>
                <w:b/>
                <w:sz w:val="20"/>
                <w:szCs w:val="20"/>
              </w:rPr>
              <w:t xml:space="preserve"> Nombre del servicio:</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45B3AC4" w14:textId="60DEA06F" w:rsidR="00385338" w:rsidRPr="008A26D2" w:rsidRDefault="00385338" w:rsidP="0072651A">
            <w:pPr>
              <w:tabs>
                <w:tab w:val="left" w:pos="3375"/>
              </w:tabs>
              <w:spacing w:after="0"/>
              <w:ind w:left="128" w:firstLine="3"/>
              <w:jc w:val="both"/>
              <w:rPr>
                <w:rFonts w:ascii="Arial" w:hAnsi="Arial" w:cs="Arial"/>
                <w:sz w:val="20"/>
                <w:szCs w:val="20"/>
              </w:rPr>
            </w:pPr>
            <w:r w:rsidRPr="008A26D2">
              <w:rPr>
                <w:rFonts w:ascii="Arial" w:eastAsia="Arial Narrow" w:hAnsi="Arial" w:cs="Arial"/>
                <w:sz w:val="20"/>
                <w:szCs w:val="20"/>
              </w:rPr>
              <w:t xml:space="preserve">S3.3.2 </w:t>
            </w:r>
            <w:r w:rsidR="00932163" w:rsidRPr="0020551C">
              <w:rPr>
                <w:rFonts w:ascii="Arial" w:eastAsia="Arial Narrow" w:hAnsi="Arial" w:cs="Arial"/>
                <w:sz w:val="20"/>
                <w:szCs w:val="20"/>
              </w:rPr>
              <w:t>Difusión de información sobre supervisión, fiscalización y capacitación de forma accesible para las entidades públicas, privadas y sociedad civil.</w:t>
            </w:r>
          </w:p>
        </w:tc>
      </w:tr>
      <w:tr w:rsidR="008A26D2" w:rsidRPr="008A26D2" w14:paraId="2A2D235F" w14:textId="77777777" w:rsidTr="0072651A">
        <w:trPr>
          <w:trHeight w:val="340"/>
          <w:jc w:val="center"/>
        </w:trPr>
        <w:tc>
          <w:tcPr>
            <w:tcW w:w="17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803258B" w14:textId="77777777" w:rsidR="00385338" w:rsidRPr="008A26D2" w:rsidRDefault="00385338" w:rsidP="0072651A">
            <w:pPr>
              <w:tabs>
                <w:tab w:val="left" w:pos="3375"/>
              </w:tabs>
              <w:spacing w:after="0"/>
              <w:rPr>
                <w:rFonts w:ascii="Arial" w:hAnsi="Arial" w:cs="Arial"/>
                <w:b/>
                <w:sz w:val="20"/>
                <w:szCs w:val="20"/>
              </w:rPr>
            </w:pPr>
            <w:r w:rsidRPr="008A26D2">
              <w:rPr>
                <w:rFonts w:ascii="Arial" w:hAnsi="Arial" w:cs="Arial"/>
                <w:b/>
                <w:sz w:val="20"/>
                <w:szCs w:val="20"/>
              </w:rPr>
              <w:t>Tipo de servicio:</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BC40628" w14:textId="77777777" w:rsidR="00385338" w:rsidRPr="008A26D2" w:rsidRDefault="00385338" w:rsidP="0072651A">
            <w:pPr>
              <w:tabs>
                <w:tab w:val="left" w:pos="3375"/>
              </w:tabs>
              <w:spacing w:after="0"/>
              <w:ind w:left="128" w:firstLine="3"/>
              <w:jc w:val="both"/>
              <w:rPr>
                <w:rFonts w:ascii="Arial" w:eastAsia="Arial Narrow" w:hAnsi="Arial" w:cs="Arial"/>
                <w:sz w:val="20"/>
                <w:szCs w:val="20"/>
              </w:rPr>
            </w:pPr>
            <w:r w:rsidRPr="008A26D2">
              <w:rPr>
                <w:rFonts w:ascii="Arial" w:eastAsia="Arial Narrow" w:hAnsi="Arial" w:cs="Arial"/>
                <w:sz w:val="20"/>
                <w:szCs w:val="20"/>
              </w:rPr>
              <w:t>Mejorado</w:t>
            </w:r>
          </w:p>
        </w:tc>
      </w:tr>
      <w:tr w:rsidR="008A26D2" w:rsidRPr="008A26D2" w14:paraId="3878624F" w14:textId="77777777" w:rsidTr="0072651A">
        <w:trPr>
          <w:trHeight w:val="340"/>
          <w:jc w:val="center"/>
        </w:trPr>
        <w:tc>
          <w:tcPr>
            <w:tcW w:w="17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277913A" w14:textId="57453F85" w:rsidR="00933983" w:rsidRPr="008A26D2" w:rsidRDefault="00933983" w:rsidP="00933983">
            <w:pPr>
              <w:tabs>
                <w:tab w:val="left" w:pos="3375"/>
              </w:tabs>
              <w:spacing w:after="0"/>
              <w:rPr>
                <w:rFonts w:ascii="Arial" w:hAnsi="Arial" w:cs="Arial"/>
                <w:b/>
                <w:sz w:val="20"/>
                <w:szCs w:val="20"/>
              </w:rPr>
            </w:pPr>
            <w:r w:rsidRPr="008A26D2">
              <w:rPr>
                <w:rFonts w:ascii="Arial" w:hAnsi="Arial" w:cs="Arial"/>
                <w:b/>
                <w:sz w:val="20"/>
                <w:szCs w:val="20"/>
              </w:rPr>
              <w:t>Naturaleza del servicio:</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00B318B" w14:textId="33373FFB" w:rsidR="00933983" w:rsidRPr="008A26D2" w:rsidRDefault="00B62C32" w:rsidP="00933983">
            <w:pPr>
              <w:tabs>
                <w:tab w:val="left" w:pos="3375"/>
              </w:tabs>
              <w:spacing w:after="0"/>
              <w:ind w:left="128" w:firstLine="3"/>
              <w:jc w:val="both"/>
              <w:rPr>
                <w:rFonts w:ascii="Arial" w:eastAsia="Arial Narrow" w:hAnsi="Arial" w:cs="Arial"/>
                <w:sz w:val="20"/>
                <w:szCs w:val="20"/>
              </w:rPr>
            </w:pPr>
            <w:r w:rsidRPr="008A26D2">
              <w:rPr>
                <w:rFonts w:ascii="Arial" w:eastAsia="Arial Narrow" w:hAnsi="Arial" w:cs="Arial"/>
                <w:sz w:val="20"/>
                <w:szCs w:val="20"/>
              </w:rPr>
              <w:t>Prestacional</w:t>
            </w:r>
          </w:p>
        </w:tc>
      </w:tr>
      <w:tr w:rsidR="008A26D2" w:rsidRPr="008A26D2" w14:paraId="2A4DE02B" w14:textId="77777777" w:rsidTr="0072651A">
        <w:trPr>
          <w:trHeight w:val="340"/>
          <w:jc w:val="center"/>
        </w:trPr>
        <w:tc>
          <w:tcPr>
            <w:tcW w:w="17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F861481" w14:textId="7BD754D1" w:rsidR="00933983" w:rsidRPr="008A26D2" w:rsidRDefault="00933983" w:rsidP="00933983">
            <w:pPr>
              <w:tabs>
                <w:tab w:val="left" w:pos="3375"/>
              </w:tabs>
              <w:spacing w:after="0"/>
              <w:rPr>
                <w:rFonts w:ascii="Arial" w:hAnsi="Arial" w:cs="Arial"/>
                <w:b/>
                <w:sz w:val="20"/>
                <w:szCs w:val="20"/>
              </w:rPr>
            </w:pPr>
            <w:r w:rsidRPr="008A26D2">
              <w:rPr>
                <w:rFonts w:ascii="Arial" w:hAnsi="Arial" w:cs="Arial"/>
                <w:b/>
                <w:sz w:val="20"/>
                <w:szCs w:val="20"/>
              </w:rPr>
              <w:t>Entrega del servicio</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5CD9159" w14:textId="3E6E723B" w:rsidR="00933983" w:rsidRPr="008A26D2" w:rsidRDefault="00933983" w:rsidP="00933983">
            <w:pPr>
              <w:tabs>
                <w:tab w:val="left" w:pos="3375"/>
              </w:tabs>
              <w:spacing w:after="0"/>
              <w:ind w:left="128" w:firstLine="3"/>
              <w:jc w:val="both"/>
              <w:rPr>
                <w:rFonts w:ascii="Arial" w:eastAsia="Arial Narrow" w:hAnsi="Arial" w:cs="Arial"/>
                <w:sz w:val="20"/>
                <w:szCs w:val="20"/>
              </w:rPr>
            </w:pPr>
            <w:r w:rsidRPr="008A26D2">
              <w:rPr>
                <w:rFonts w:ascii="Arial" w:eastAsia="Arial Narrow" w:hAnsi="Arial" w:cs="Arial"/>
                <w:sz w:val="20"/>
                <w:szCs w:val="20"/>
              </w:rPr>
              <w:t xml:space="preserve">Competencia exclusiva </w:t>
            </w:r>
          </w:p>
        </w:tc>
      </w:tr>
      <w:tr w:rsidR="008A26D2" w:rsidRPr="008A26D2" w14:paraId="05A3A554" w14:textId="77777777" w:rsidTr="00BF7C1F">
        <w:trPr>
          <w:trHeight w:val="5100"/>
          <w:jc w:val="center"/>
        </w:trPr>
        <w:tc>
          <w:tcPr>
            <w:tcW w:w="17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0B2AA49" w14:textId="77777777" w:rsidR="00933983" w:rsidRPr="008A26D2" w:rsidRDefault="00933983" w:rsidP="00933983">
            <w:pPr>
              <w:tabs>
                <w:tab w:val="left" w:pos="3375"/>
              </w:tabs>
              <w:spacing w:after="0"/>
              <w:rPr>
                <w:rFonts w:ascii="Arial" w:hAnsi="Arial" w:cs="Arial"/>
                <w:b/>
                <w:sz w:val="20"/>
                <w:szCs w:val="20"/>
              </w:rPr>
            </w:pPr>
            <w:r w:rsidRPr="008A26D2">
              <w:rPr>
                <w:rFonts w:ascii="Arial" w:hAnsi="Arial" w:cs="Arial"/>
                <w:b/>
                <w:sz w:val="20"/>
                <w:szCs w:val="20"/>
              </w:rPr>
              <w:lastRenderedPageBreak/>
              <w:t>Descripción del servicio</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13B83E5" w14:textId="5BBD5BB3" w:rsidR="00933983" w:rsidRPr="008A26D2" w:rsidRDefault="00933983" w:rsidP="00933983">
            <w:pPr>
              <w:tabs>
                <w:tab w:val="left" w:pos="3375"/>
              </w:tabs>
              <w:spacing w:after="0"/>
              <w:ind w:left="128" w:firstLine="3"/>
              <w:jc w:val="both"/>
              <w:rPr>
                <w:rFonts w:ascii="Arial" w:eastAsia="Arial Narrow" w:hAnsi="Arial" w:cs="Arial"/>
                <w:sz w:val="20"/>
                <w:szCs w:val="20"/>
              </w:rPr>
            </w:pPr>
            <w:r w:rsidRPr="008A26D2">
              <w:rPr>
                <w:rFonts w:ascii="Arial" w:eastAsia="Arial Narrow" w:hAnsi="Arial" w:cs="Arial"/>
                <w:sz w:val="20"/>
                <w:szCs w:val="20"/>
              </w:rPr>
              <w:t xml:space="preserve">El servicio pone a disposición información y conocimiento a los diferentes actores forestales y de fauna silvestre, a partir del levantamiento de información en tiempo real </w:t>
            </w:r>
            <w:r w:rsidRPr="008A26D2">
              <w:rPr>
                <w:rFonts w:ascii="Arial" w:eastAsia="Arial Narrow" w:hAnsi="Arial" w:cs="Arial"/>
                <w:i/>
                <w:sz w:val="20"/>
                <w:szCs w:val="20"/>
              </w:rPr>
              <w:t>in situ</w:t>
            </w:r>
            <w:r w:rsidRPr="008A26D2">
              <w:rPr>
                <w:rFonts w:ascii="Arial" w:eastAsia="Arial Narrow" w:hAnsi="Arial" w:cs="Arial"/>
                <w:sz w:val="20"/>
                <w:szCs w:val="20"/>
              </w:rPr>
              <w:t xml:space="preserve">, respecto de los procesos misionales de supervisión y fiscalización, procedimiento sancionador y capacitación del </w:t>
            </w:r>
            <w:r w:rsidR="004E7D4B" w:rsidRPr="008A26D2">
              <w:rPr>
                <w:rFonts w:ascii="Arial" w:eastAsia="Arial Narrow" w:hAnsi="Arial" w:cs="Arial"/>
                <w:sz w:val="20"/>
                <w:szCs w:val="20"/>
              </w:rPr>
              <w:t>Organismo de Supervisión de los Recursos Forestales y de Fauna Silvestre - OSINFOR</w:t>
            </w:r>
            <w:r w:rsidRPr="008A26D2">
              <w:rPr>
                <w:rFonts w:ascii="Arial" w:eastAsia="Arial Narrow" w:hAnsi="Arial" w:cs="Arial"/>
                <w:sz w:val="20"/>
                <w:szCs w:val="20"/>
              </w:rPr>
              <w:t xml:space="preserve">. La información generada se encuentra sistematizada en el Sistema de Información Gerencial del OSINFOR </w:t>
            </w:r>
            <w:r w:rsidR="004E7D4B">
              <w:rPr>
                <w:rFonts w:ascii="Arial" w:eastAsia="Arial Narrow" w:hAnsi="Arial" w:cs="Arial"/>
                <w:sz w:val="20"/>
                <w:szCs w:val="20"/>
              </w:rPr>
              <w:t xml:space="preserve">- </w:t>
            </w:r>
            <w:r w:rsidRPr="008A26D2">
              <w:rPr>
                <w:rFonts w:ascii="Arial" w:eastAsia="Arial Narrow" w:hAnsi="Arial" w:cs="Arial"/>
                <w:sz w:val="20"/>
                <w:szCs w:val="20"/>
              </w:rPr>
              <w:t xml:space="preserve">SIGOSFC y está disponible en las plataformas tecnológicas del OSINFOR, para el público en general, dentro de ellas las entidades públicas, privadas y sociedad civil vinculada al sector forestal y de fauna silvestre. </w:t>
            </w:r>
          </w:p>
          <w:p w14:paraId="633FA5B5" w14:textId="77777777" w:rsidR="00933983" w:rsidRPr="008A26D2" w:rsidRDefault="00933983" w:rsidP="00933983">
            <w:pPr>
              <w:tabs>
                <w:tab w:val="left" w:pos="3375"/>
              </w:tabs>
              <w:spacing w:after="0"/>
              <w:ind w:left="128" w:firstLine="3"/>
              <w:jc w:val="both"/>
              <w:rPr>
                <w:rFonts w:ascii="Arial" w:eastAsia="Arial Narrow" w:hAnsi="Arial" w:cs="Arial"/>
                <w:sz w:val="20"/>
                <w:szCs w:val="20"/>
              </w:rPr>
            </w:pPr>
            <w:r w:rsidRPr="008A26D2">
              <w:rPr>
                <w:rFonts w:ascii="Arial" w:eastAsia="Arial Narrow" w:hAnsi="Arial" w:cs="Arial"/>
                <w:sz w:val="20"/>
                <w:szCs w:val="20"/>
              </w:rPr>
              <w:t>El servicio propuesto presenta la mejora en la inclusión de nuevos módulos, dentro de los cuales se destaca el Reporte de Trazabilidad de los Títulos Habilitantes. Por otro lado, se incorporan nuevas funcionalidades, tal es el caso del acceso a informes y resoluciones vinculadas a los procesos de supervisión y fiscalización, del procedimiento sancionador, así como del proceso de capacitaciones, de ser el caso.</w:t>
            </w:r>
          </w:p>
          <w:p w14:paraId="1BC4EF78" w14:textId="77777777" w:rsidR="00933983" w:rsidRPr="008A26D2" w:rsidRDefault="00933983" w:rsidP="00933983">
            <w:pPr>
              <w:tabs>
                <w:tab w:val="left" w:pos="3375"/>
              </w:tabs>
              <w:spacing w:after="0"/>
              <w:ind w:left="128" w:firstLine="3"/>
              <w:jc w:val="both"/>
              <w:rPr>
                <w:rFonts w:ascii="Arial" w:eastAsia="Arial Narrow" w:hAnsi="Arial" w:cs="Arial"/>
                <w:sz w:val="20"/>
                <w:szCs w:val="20"/>
              </w:rPr>
            </w:pPr>
          </w:p>
          <w:p w14:paraId="6D237DF2" w14:textId="05A3B396" w:rsidR="00933983" w:rsidRPr="008A26D2" w:rsidRDefault="00933983" w:rsidP="00933983">
            <w:pPr>
              <w:tabs>
                <w:tab w:val="left" w:pos="3375"/>
              </w:tabs>
              <w:spacing w:after="0"/>
              <w:ind w:left="128" w:firstLine="3"/>
              <w:jc w:val="both"/>
              <w:rPr>
                <w:rFonts w:ascii="Arial" w:hAnsi="Arial" w:cs="Arial"/>
                <w:sz w:val="20"/>
                <w:szCs w:val="20"/>
              </w:rPr>
            </w:pPr>
            <w:r w:rsidRPr="008A26D2">
              <w:rPr>
                <w:rFonts w:ascii="Arial" w:eastAsia="Arial Narrow" w:hAnsi="Arial" w:cs="Arial"/>
                <w:sz w:val="20"/>
                <w:szCs w:val="20"/>
              </w:rPr>
              <w:t>Esto permitirá reducir la brecha de información en el ámbito forestal, la cual hoy en día es significativa. Para tal fin, se pone a disposición la información en las diversas plataformas del OSINFOR, la misma que servirá para la toma de decisiones de los diferentes actores de la actividad forestal y de fauna silvestre.</w:t>
            </w:r>
          </w:p>
        </w:tc>
      </w:tr>
      <w:tr w:rsidR="008A26D2" w:rsidRPr="008A26D2" w14:paraId="009EE225" w14:textId="77777777" w:rsidTr="0072651A">
        <w:trPr>
          <w:trHeight w:val="567"/>
          <w:jc w:val="center"/>
        </w:trPr>
        <w:tc>
          <w:tcPr>
            <w:tcW w:w="17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20A3718" w14:textId="77777777" w:rsidR="00933983" w:rsidRPr="008A26D2" w:rsidRDefault="00933983" w:rsidP="00933983">
            <w:pPr>
              <w:tabs>
                <w:tab w:val="left" w:pos="3375"/>
              </w:tabs>
              <w:spacing w:after="0"/>
              <w:rPr>
                <w:rFonts w:ascii="Arial" w:hAnsi="Arial" w:cs="Arial"/>
                <w:b/>
                <w:sz w:val="20"/>
                <w:szCs w:val="20"/>
              </w:rPr>
            </w:pPr>
            <w:r w:rsidRPr="008A26D2">
              <w:rPr>
                <w:rFonts w:ascii="Arial" w:hAnsi="Arial" w:cs="Arial"/>
                <w:b/>
                <w:sz w:val="20"/>
                <w:szCs w:val="20"/>
              </w:rPr>
              <w:t>Proveedor del servicio</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CF07AAC" w14:textId="77777777" w:rsidR="00933983" w:rsidRPr="008A26D2" w:rsidRDefault="00933983" w:rsidP="00933983">
            <w:pPr>
              <w:tabs>
                <w:tab w:val="left" w:pos="3375"/>
              </w:tabs>
              <w:spacing w:after="0"/>
              <w:ind w:left="128" w:firstLine="3"/>
              <w:jc w:val="both"/>
              <w:rPr>
                <w:rFonts w:ascii="Arial" w:hAnsi="Arial" w:cs="Arial"/>
                <w:sz w:val="20"/>
                <w:szCs w:val="20"/>
              </w:rPr>
            </w:pPr>
            <w:r w:rsidRPr="008A26D2">
              <w:rPr>
                <w:rFonts w:ascii="Arial" w:eastAsia="Arial Narrow" w:hAnsi="Arial" w:cs="Arial"/>
                <w:sz w:val="20"/>
                <w:szCs w:val="20"/>
              </w:rPr>
              <w:t>Organismo de Supervisión de los Recursos Forestales y de Fauna Silvestre - OSINFOR</w:t>
            </w:r>
          </w:p>
        </w:tc>
      </w:tr>
      <w:tr w:rsidR="008A26D2" w:rsidRPr="008A26D2" w14:paraId="1ABCCE3B" w14:textId="77777777" w:rsidTr="00CF3D62">
        <w:trPr>
          <w:trHeight w:val="720"/>
          <w:jc w:val="center"/>
        </w:trPr>
        <w:tc>
          <w:tcPr>
            <w:tcW w:w="1733" w:type="dxa"/>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7826CD3A" w14:textId="77777777" w:rsidR="00933983" w:rsidRPr="008A26D2" w:rsidRDefault="00933983" w:rsidP="002469C9">
            <w:pPr>
              <w:spacing w:after="0" w:line="240" w:lineRule="auto"/>
              <w:rPr>
                <w:rFonts w:ascii="Arial" w:hAnsi="Arial" w:cs="Arial"/>
                <w:b/>
                <w:sz w:val="20"/>
                <w:szCs w:val="20"/>
              </w:rPr>
            </w:pPr>
            <w:r w:rsidRPr="008A26D2">
              <w:rPr>
                <w:rFonts w:ascii="Arial" w:hAnsi="Arial" w:cs="Arial"/>
                <w:b/>
                <w:sz w:val="20"/>
                <w:szCs w:val="20"/>
              </w:rPr>
              <w:t>Nivel (es) de gobierno que interviene</w:t>
            </w:r>
          </w:p>
          <w:p w14:paraId="1A8BDC18" w14:textId="039C1B97" w:rsidR="00933983" w:rsidRPr="008A26D2" w:rsidRDefault="00933983" w:rsidP="00933983">
            <w:pPr>
              <w:tabs>
                <w:tab w:val="left" w:pos="3375"/>
              </w:tabs>
              <w:spacing w:after="0"/>
              <w:rPr>
                <w:rFonts w:ascii="Arial" w:hAnsi="Arial" w:cs="Arial"/>
                <w:b/>
                <w:sz w:val="20"/>
                <w:szCs w:val="20"/>
              </w:rPr>
            </w:pPr>
            <w:r w:rsidRPr="008A26D2">
              <w:rPr>
                <w:rFonts w:ascii="Arial" w:hAnsi="Arial" w:cs="Arial"/>
                <w:b/>
                <w:sz w:val="20"/>
                <w:szCs w:val="20"/>
              </w:rPr>
              <w:t>(n) en la provisión del servicio</w:t>
            </w:r>
          </w:p>
        </w:tc>
        <w:tc>
          <w:tcPr>
            <w:tcW w:w="2221"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4EF5305A" w14:textId="4370844B" w:rsidR="00933983" w:rsidRPr="008A26D2" w:rsidRDefault="00933983" w:rsidP="00D5249D">
            <w:pPr>
              <w:tabs>
                <w:tab w:val="left" w:pos="3375"/>
              </w:tabs>
              <w:spacing w:after="0"/>
              <w:ind w:left="128" w:firstLine="3"/>
              <w:jc w:val="center"/>
              <w:rPr>
                <w:rFonts w:ascii="Arial" w:eastAsia="Arial Narrow" w:hAnsi="Arial" w:cs="Arial"/>
                <w:sz w:val="20"/>
                <w:szCs w:val="20"/>
              </w:rPr>
            </w:pPr>
            <w:r w:rsidRPr="008A26D2">
              <w:rPr>
                <w:rFonts w:ascii="Arial" w:eastAsia="Arial Narrow" w:hAnsi="Arial" w:cs="Arial"/>
                <w:sz w:val="20"/>
                <w:szCs w:val="20"/>
              </w:rPr>
              <w:t>Nacional</w:t>
            </w:r>
          </w:p>
        </w:tc>
        <w:tc>
          <w:tcPr>
            <w:tcW w:w="2221" w:type="dxa"/>
            <w:tcBorders>
              <w:top w:val="single" w:sz="4" w:space="0" w:color="000000"/>
              <w:left w:val="single" w:sz="4" w:space="0" w:color="000000"/>
              <w:right w:val="single" w:sz="4" w:space="0" w:color="000000"/>
            </w:tcBorders>
            <w:shd w:val="clear" w:color="auto" w:fill="auto"/>
            <w:vAlign w:val="center"/>
          </w:tcPr>
          <w:p w14:paraId="2F4CD1ED" w14:textId="4E8FF7FA" w:rsidR="00933983" w:rsidRPr="008A26D2" w:rsidRDefault="00933983" w:rsidP="00D5249D">
            <w:pPr>
              <w:tabs>
                <w:tab w:val="left" w:pos="3375"/>
              </w:tabs>
              <w:spacing w:after="0"/>
              <w:ind w:left="128" w:firstLine="3"/>
              <w:jc w:val="center"/>
              <w:rPr>
                <w:rFonts w:ascii="Arial" w:eastAsia="Arial Narrow" w:hAnsi="Arial" w:cs="Arial"/>
                <w:sz w:val="20"/>
                <w:szCs w:val="20"/>
              </w:rPr>
            </w:pPr>
            <w:r w:rsidRPr="008A26D2">
              <w:rPr>
                <w:rFonts w:ascii="Arial" w:eastAsia="Arial Narrow" w:hAnsi="Arial" w:cs="Arial"/>
                <w:sz w:val="20"/>
                <w:szCs w:val="20"/>
              </w:rPr>
              <w:t>Regional</w:t>
            </w:r>
          </w:p>
        </w:tc>
        <w:tc>
          <w:tcPr>
            <w:tcW w:w="2221" w:type="dxa"/>
            <w:tcBorders>
              <w:top w:val="single" w:sz="4" w:space="0" w:color="000000"/>
              <w:left w:val="single" w:sz="4" w:space="0" w:color="000000"/>
              <w:right w:val="single" w:sz="4" w:space="0" w:color="000000"/>
            </w:tcBorders>
            <w:shd w:val="clear" w:color="auto" w:fill="auto"/>
            <w:vAlign w:val="center"/>
          </w:tcPr>
          <w:p w14:paraId="02874709" w14:textId="04291DA5" w:rsidR="00933983" w:rsidRPr="008A26D2" w:rsidRDefault="00933983" w:rsidP="00D5249D">
            <w:pPr>
              <w:tabs>
                <w:tab w:val="left" w:pos="3375"/>
              </w:tabs>
              <w:spacing w:after="0"/>
              <w:ind w:left="128" w:firstLine="3"/>
              <w:jc w:val="center"/>
              <w:rPr>
                <w:rFonts w:ascii="Arial" w:eastAsia="Arial Narrow" w:hAnsi="Arial" w:cs="Arial"/>
                <w:sz w:val="20"/>
                <w:szCs w:val="20"/>
              </w:rPr>
            </w:pPr>
            <w:r w:rsidRPr="008A26D2">
              <w:rPr>
                <w:rFonts w:ascii="Arial" w:eastAsia="Arial Narrow" w:hAnsi="Arial" w:cs="Arial"/>
                <w:sz w:val="20"/>
                <w:szCs w:val="20"/>
              </w:rPr>
              <w:t>Local</w:t>
            </w:r>
          </w:p>
        </w:tc>
      </w:tr>
      <w:tr w:rsidR="008A26D2" w:rsidRPr="008A26D2" w14:paraId="216523B3" w14:textId="77777777" w:rsidTr="00CF3D62">
        <w:trPr>
          <w:trHeight w:val="720"/>
          <w:jc w:val="center"/>
        </w:trPr>
        <w:tc>
          <w:tcPr>
            <w:tcW w:w="1733" w:type="dxa"/>
            <w:vMerge/>
            <w:tcBorders>
              <w:left w:val="single" w:sz="4" w:space="0" w:color="000000"/>
              <w:right w:val="single" w:sz="4" w:space="0" w:color="000000"/>
            </w:tcBorders>
            <w:shd w:val="clear" w:color="auto" w:fill="auto"/>
            <w:tcMar>
              <w:top w:w="15" w:type="dxa"/>
              <w:left w:w="15" w:type="dxa"/>
              <w:bottom w:w="0" w:type="dxa"/>
              <w:right w:w="15" w:type="dxa"/>
            </w:tcMar>
            <w:vAlign w:val="center"/>
          </w:tcPr>
          <w:p w14:paraId="4B09495B" w14:textId="77777777" w:rsidR="00933983" w:rsidRPr="008A26D2" w:rsidRDefault="00933983" w:rsidP="00933983">
            <w:pPr>
              <w:spacing w:after="0" w:line="240" w:lineRule="auto"/>
              <w:rPr>
                <w:rFonts w:ascii="Arial" w:hAnsi="Arial" w:cs="Arial"/>
                <w:b/>
                <w:sz w:val="20"/>
                <w:szCs w:val="20"/>
              </w:rPr>
            </w:pPr>
          </w:p>
        </w:tc>
        <w:tc>
          <w:tcPr>
            <w:tcW w:w="2221"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3697898E" w14:textId="10BDBA2B" w:rsidR="00933983" w:rsidRPr="008A26D2" w:rsidRDefault="00B62C32" w:rsidP="00D5249D">
            <w:pPr>
              <w:tabs>
                <w:tab w:val="left" w:pos="3375"/>
              </w:tabs>
              <w:spacing w:after="0"/>
              <w:ind w:left="128" w:firstLine="3"/>
              <w:jc w:val="center"/>
              <w:rPr>
                <w:rFonts w:ascii="Arial" w:eastAsia="Arial Narrow" w:hAnsi="Arial" w:cs="Arial"/>
                <w:sz w:val="20"/>
                <w:szCs w:val="20"/>
              </w:rPr>
            </w:pPr>
            <w:r w:rsidRPr="008A26D2">
              <w:rPr>
                <w:rFonts w:ascii="Arial" w:eastAsia="Arial Narrow" w:hAnsi="Arial" w:cs="Arial"/>
                <w:sz w:val="20"/>
                <w:szCs w:val="20"/>
              </w:rPr>
              <w:t>X</w:t>
            </w:r>
          </w:p>
        </w:tc>
        <w:tc>
          <w:tcPr>
            <w:tcW w:w="2221" w:type="dxa"/>
            <w:tcBorders>
              <w:top w:val="single" w:sz="4" w:space="0" w:color="000000"/>
              <w:left w:val="single" w:sz="4" w:space="0" w:color="000000"/>
              <w:right w:val="single" w:sz="4" w:space="0" w:color="000000"/>
            </w:tcBorders>
            <w:shd w:val="clear" w:color="auto" w:fill="auto"/>
            <w:vAlign w:val="center"/>
          </w:tcPr>
          <w:p w14:paraId="6E84D3FD" w14:textId="77777777" w:rsidR="00933983" w:rsidRPr="008A26D2" w:rsidRDefault="00933983" w:rsidP="00D5249D">
            <w:pPr>
              <w:tabs>
                <w:tab w:val="left" w:pos="3375"/>
              </w:tabs>
              <w:spacing w:after="0"/>
              <w:ind w:left="128" w:firstLine="3"/>
              <w:jc w:val="center"/>
              <w:rPr>
                <w:rFonts w:ascii="Arial" w:eastAsia="Arial Narrow" w:hAnsi="Arial" w:cs="Arial"/>
                <w:sz w:val="20"/>
                <w:szCs w:val="20"/>
              </w:rPr>
            </w:pPr>
          </w:p>
        </w:tc>
        <w:tc>
          <w:tcPr>
            <w:tcW w:w="2221" w:type="dxa"/>
            <w:tcBorders>
              <w:top w:val="single" w:sz="4" w:space="0" w:color="000000"/>
              <w:left w:val="single" w:sz="4" w:space="0" w:color="000000"/>
              <w:right w:val="single" w:sz="4" w:space="0" w:color="000000"/>
            </w:tcBorders>
            <w:shd w:val="clear" w:color="auto" w:fill="auto"/>
            <w:vAlign w:val="center"/>
          </w:tcPr>
          <w:p w14:paraId="3E5015E7" w14:textId="08D03540" w:rsidR="00933983" w:rsidRPr="008A26D2" w:rsidRDefault="00933983" w:rsidP="00D5249D">
            <w:pPr>
              <w:tabs>
                <w:tab w:val="left" w:pos="3375"/>
              </w:tabs>
              <w:spacing w:after="0"/>
              <w:ind w:left="128" w:firstLine="3"/>
              <w:jc w:val="center"/>
              <w:rPr>
                <w:rFonts w:ascii="Arial" w:eastAsia="Arial Narrow" w:hAnsi="Arial" w:cs="Arial"/>
                <w:sz w:val="20"/>
                <w:szCs w:val="20"/>
              </w:rPr>
            </w:pPr>
          </w:p>
        </w:tc>
      </w:tr>
      <w:tr w:rsidR="008A26D2" w:rsidRPr="008A26D2" w14:paraId="5C9E2EE3" w14:textId="77777777" w:rsidTr="0072651A">
        <w:trPr>
          <w:trHeight w:val="397"/>
          <w:jc w:val="center"/>
        </w:trPr>
        <w:tc>
          <w:tcPr>
            <w:tcW w:w="17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A5647C2" w14:textId="77777777" w:rsidR="00933983" w:rsidRPr="008A26D2" w:rsidRDefault="00933983" w:rsidP="00933983">
            <w:pPr>
              <w:tabs>
                <w:tab w:val="left" w:pos="3375"/>
              </w:tabs>
              <w:spacing w:after="0"/>
              <w:rPr>
                <w:rFonts w:ascii="Arial" w:hAnsi="Arial" w:cs="Arial"/>
                <w:b/>
                <w:sz w:val="20"/>
                <w:szCs w:val="20"/>
              </w:rPr>
            </w:pPr>
            <w:r w:rsidRPr="008A26D2">
              <w:rPr>
                <w:rFonts w:ascii="Arial" w:hAnsi="Arial" w:cs="Arial"/>
                <w:b/>
                <w:sz w:val="20"/>
                <w:szCs w:val="20"/>
              </w:rPr>
              <w:t>Receptor del servicio</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B0BBEAA" w14:textId="77777777" w:rsidR="00933983" w:rsidRPr="008A26D2" w:rsidRDefault="00933983" w:rsidP="00933983">
            <w:pPr>
              <w:tabs>
                <w:tab w:val="left" w:pos="3375"/>
              </w:tabs>
              <w:spacing w:after="0"/>
              <w:ind w:left="128" w:firstLine="3"/>
              <w:jc w:val="both"/>
              <w:rPr>
                <w:rFonts w:ascii="Arial" w:hAnsi="Arial" w:cs="Arial"/>
                <w:sz w:val="20"/>
                <w:szCs w:val="20"/>
              </w:rPr>
            </w:pPr>
            <w:r w:rsidRPr="008A26D2">
              <w:rPr>
                <w:rFonts w:ascii="Arial" w:eastAsia="Arial Narrow" w:hAnsi="Arial" w:cs="Arial"/>
                <w:sz w:val="20"/>
                <w:szCs w:val="20"/>
              </w:rPr>
              <w:t>Entidades públicas, privadas y sociedad civil</w:t>
            </w:r>
          </w:p>
        </w:tc>
      </w:tr>
      <w:tr w:rsidR="008A26D2" w:rsidRPr="008A26D2" w14:paraId="0874F004" w14:textId="77777777" w:rsidTr="0072651A">
        <w:trPr>
          <w:trHeight w:val="397"/>
          <w:jc w:val="center"/>
        </w:trPr>
        <w:tc>
          <w:tcPr>
            <w:tcW w:w="17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B799DF8" w14:textId="77777777" w:rsidR="00933983" w:rsidRPr="008A26D2" w:rsidRDefault="00933983" w:rsidP="00933983">
            <w:pPr>
              <w:tabs>
                <w:tab w:val="left" w:pos="3375"/>
              </w:tabs>
              <w:spacing w:after="0"/>
              <w:rPr>
                <w:rFonts w:ascii="Arial" w:hAnsi="Arial" w:cs="Arial"/>
                <w:b/>
                <w:sz w:val="20"/>
                <w:szCs w:val="20"/>
              </w:rPr>
            </w:pPr>
            <w:r w:rsidRPr="008A26D2">
              <w:rPr>
                <w:rFonts w:ascii="Arial" w:hAnsi="Arial" w:cs="Arial"/>
                <w:b/>
                <w:sz w:val="20"/>
                <w:szCs w:val="20"/>
              </w:rPr>
              <w:t xml:space="preserve">Alcance del servicio </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3AE1553" w14:textId="77777777" w:rsidR="00933983" w:rsidRPr="008A26D2" w:rsidRDefault="00933983" w:rsidP="00933983">
            <w:pPr>
              <w:tabs>
                <w:tab w:val="left" w:pos="3375"/>
              </w:tabs>
              <w:spacing w:after="0"/>
              <w:ind w:left="128" w:firstLine="3"/>
              <w:jc w:val="both"/>
              <w:rPr>
                <w:rFonts w:ascii="Arial" w:hAnsi="Arial" w:cs="Arial"/>
                <w:sz w:val="20"/>
                <w:szCs w:val="20"/>
              </w:rPr>
            </w:pPr>
            <w:r w:rsidRPr="008A26D2">
              <w:rPr>
                <w:rFonts w:ascii="Arial" w:eastAsia="Arial Narrow" w:hAnsi="Arial" w:cs="Arial"/>
                <w:sz w:val="20"/>
                <w:szCs w:val="20"/>
              </w:rPr>
              <w:t>Nacional</w:t>
            </w:r>
          </w:p>
        </w:tc>
      </w:tr>
      <w:tr w:rsidR="008A26D2" w:rsidRPr="008A26D2" w14:paraId="4C5F4025" w14:textId="77777777" w:rsidTr="0072651A">
        <w:trPr>
          <w:trHeight w:val="624"/>
          <w:jc w:val="center"/>
        </w:trPr>
        <w:tc>
          <w:tcPr>
            <w:tcW w:w="17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9287B49" w14:textId="77777777" w:rsidR="00933983" w:rsidRPr="008A26D2" w:rsidRDefault="00933983" w:rsidP="00933983">
            <w:pPr>
              <w:tabs>
                <w:tab w:val="left" w:pos="3375"/>
              </w:tabs>
              <w:spacing w:after="0"/>
              <w:rPr>
                <w:rFonts w:ascii="Arial" w:hAnsi="Arial" w:cs="Arial"/>
                <w:b/>
                <w:sz w:val="20"/>
                <w:szCs w:val="20"/>
              </w:rPr>
            </w:pPr>
            <w:r w:rsidRPr="008A26D2">
              <w:rPr>
                <w:rFonts w:ascii="Arial" w:hAnsi="Arial" w:cs="Arial"/>
                <w:b/>
                <w:sz w:val="20"/>
                <w:szCs w:val="20"/>
              </w:rPr>
              <w:t>Estándar (es) de cumplimiento</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10E4AFA" w14:textId="77777777" w:rsidR="00933983" w:rsidRPr="008A26D2" w:rsidRDefault="00933983" w:rsidP="00933983">
            <w:pPr>
              <w:tabs>
                <w:tab w:val="left" w:pos="3375"/>
              </w:tabs>
              <w:spacing w:after="0"/>
              <w:ind w:left="128" w:firstLine="3"/>
              <w:rPr>
                <w:rFonts w:ascii="Arial" w:hAnsi="Arial" w:cs="Arial"/>
                <w:sz w:val="20"/>
                <w:szCs w:val="20"/>
              </w:rPr>
            </w:pPr>
            <w:r w:rsidRPr="008A26D2">
              <w:rPr>
                <w:rFonts w:ascii="Arial" w:eastAsia="Arial Narrow" w:hAnsi="Arial" w:cs="Arial"/>
                <w:sz w:val="20"/>
                <w:szCs w:val="20"/>
              </w:rPr>
              <w:t>Accesibilidad</w:t>
            </w:r>
          </w:p>
        </w:tc>
      </w:tr>
      <w:tr w:rsidR="008A26D2" w:rsidRPr="008A26D2" w14:paraId="75782808" w14:textId="77777777" w:rsidTr="0072651A">
        <w:trPr>
          <w:trHeight w:val="1119"/>
          <w:jc w:val="center"/>
        </w:trPr>
        <w:tc>
          <w:tcPr>
            <w:tcW w:w="17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D2CB7DC" w14:textId="77777777" w:rsidR="00933983" w:rsidRPr="008A26D2" w:rsidRDefault="00933983" w:rsidP="00933983">
            <w:pPr>
              <w:tabs>
                <w:tab w:val="left" w:pos="3375"/>
              </w:tabs>
              <w:spacing w:after="0"/>
              <w:rPr>
                <w:rFonts w:ascii="Arial" w:hAnsi="Arial" w:cs="Arial"/>
                <w:b/>
                <w:sz w:val="20"/>
                <w:szCs w:val="20"/>
              </w:rPr>
            </w:pPr>
            <w:r w:rsidRPr="008A26D2">
              <w:rPr>
                <w:rFonts w:ascii="Arial" w:hAnsi="Arial" w:cs="Arial"/>
                <w:b/>
                <w:sz w:val="20"/>
                <w:szCs w:val="20"/>
              </w:rPr>
              <w:t>Descripción del estándar</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35" w:type="dxa"/>
              <w:bottom w:w="0" w:type="dxa"/>
              <w:right w:w="15" w:type="dxa"/>
            </w:tcMar>
            <w:vAlign w:val="center"/>
          </w:tcPr>
          <w:p w14:paraId="37966CC2" w14:textId="7C4D268C" w:rsidR="00933983" w:rsidRPr="008A26D2" w:rsidRDefault="00933983" w:rsidP="00933983">
            <w:pPr>
              <w:tabs>
                <w:tab w:val="left" w:pos="3375"/>
              </w:tabs>
              <w:spacing w:after="0"/>
              <w:ind w:firstLine="3"/>
              <w:jc w:val="both"/>
              <w:rPr>
                <w:rFonts w:ascii="Arial" w:eastAsia="Arial Narrow" w:hAnsi="Arial" w:cs="Arial"/>
                <w:sz w:val="20"/>
                <w:szCs w:val="20"/>
              </w:rPr>
            </w:pPr>
            <w:r w:rsidRPr="008A26D2">
              <w:rPr>
                <w:rFonts w:ascii="Arial" w:eastAsia="Arial Narrow" w:hAnsi="Arial" w:cs="Arial"/>
                <w:sz w:val="20"/>
                <w:szCs w:val="20"/>
              </w:rPr>
              <w:t>El estándar busca articular la información con las diversas plataformas con las que cuenta el OSINFOR, lo cual facilita el acceso llegando a la mayor cantidad de entidades públicas, privadas y sociedad civil.</w:t>
            </w:r>
          </w:p>
          <w:p w14:paraId="20D70F71" w14:textId="77777777" w:rsidR="00933983" w:rsidRPr="008A26D2" w:rsidRDefault="00933983" w:rsidP="00933983">
            <w:pPr>
              <w:tabs>
                <w:tab w:val="left" w:pos="3375"/>
              </w:tabs>
              <w:spacing w:after="0"/>
              <w:ind w:firstLine="3"/>
              <w:jc w:val="both"/>
              <w:rPr>
                <w:rFonts w:ascii="Arial" w:eastAsia="Arial Narrow" w:hAnsi="Arial" w:cs="Arial"/>
                <w:strike/>
                <w:sz w:val="20"/>
                <w:szCs w:val="20"/>
              </w:rPr>
            </w:pPr>
          </w:p>
        </w:tc>
      </w:tr>
      <w:tr w:rsidR="00933983" w:rsidRPr="008A26D2" w14:paraId="33406131" w14:textId="77777777" w:rsidTr="0072651A">
        <w:trPr>
          <w:trHeight w:val="624"/>
          <w:jc w:val="center"/>
        </w:trPr>
        <w:tc>
          <w:tcPr>
            <w:tcW w:w="17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DA4ADC6" w14:textId="1609CCE7" w:rsidR="00933983" w:rsidRPr="008A26D2" w:rsidRDefault="00933983" w:rsidP="00933983">
            <w:pPr>
              <w:tabs>
                <w:tab w:val="left" w:pos="3375"/>
              </w:tabs>
              <w:spacing w:after="0"/>
              <w:rPr>
                <w:rFonts w:ascii="Arial" w:hAnsi="Arial" w:cs="Arial"/>
                <w:b/>
                <w:sz w:val="20"/>
                <w:szCs w:val="20"/>
              </w:rPr>
            </w:pPr>
            <w:r w:rsidRPr="008A26D2">
              <w:rPr>
                <w:rFonts w:ascii="Arial" w:hAnsi="Arial" w:cs="Arial"/>
                <w:b/>
                <w:sz w:val="20"/>
                <w:szCs w:val="20"/>
              </w:rPr>
              <w:t>Indicador de calidad</w:t>
            </w: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1AB49F0" w14:textId="77777777" w:rsidR="00933983" w:rsidRPr="008A26D2" w:rsidRDefault="00933983" w:rsidP="00933983">
            <w:pPr>
              <w:tabs>
                <w:tab w:val="left" w:pos="3375"/>
              </w:tabs>
              <w:spacing w:after="0"/>
              <w:ind w:left="91" w:firstLine="3"/>
              <w:jc w:val="both"/>
              <w:rPr>
                <w:rFonts w:ascii="Arial" w:hAnsi="Arial" w:cs="Arial"/>
                <w:sz w:val="20"/>
                <w:szCs w:val="20"/>
              </w:rPr>
            </w:pPr>
            <w:r w:rsidRPr="008A26D2">
              <w:rPr>
                <w:rFonts w:ascii="Arial" w:hAnsi="Arial" w:cs="Arial"/>
                <w:sz w:val="20"/>
                <w:szCs w:val="20"/>
              </w:rPr>
              <w:t>Número de usuarios que acceden a los servicios de las plataformas de información del OSINFOR</w:t>
            </w:r>
          </w:p>
        </w:tc>
      </w:tr>
    </w:tbl>
    <w:p w14:paraId="2116BAF8" w14:textId="77777777" w:rsidR="00385338" w:rsidRPr="008A26D2" w:rsidRDefault="00385338">
      <w:pPr>
        <w:rPr>
          <w:rFonts w:ascii="Arial Narrow" w:eastAsia="Arial Narrow" w:hAnsi="Arial Narrow" w:cs="Arial Narrow"/>
          <w:b/>
        </w:rPr>
      </w:pPr>
    </w:p>
    <w:p w14:paraId="7C3618C0" w14:textId="630FEAEF" w:rsidR="00E457BC" w:rsidRDefault="00E457BC">
      <w:pPr>
        <w:rPr>
          <w:rFonts w:ascii="Arial Narrow" w:eastAsia="Arial Narrow" w:hAnsi="Arial Narrow" w:cs="Arial Narrow"/>
          <w:b/>
        </w:rPr>
      </w:pPr>
    </w:p>
    <w:p w14:paraId="40B6D4E9" w14:textId="77777777" w:rsidR="00D5249D" w:rsidRDefault="00D5249D">
      <w:pPr>
        <w:rPr>
          <w:rFonts w:ascii="Arial Narrow" w:eastAsia="Arial Narrow" w:hAnsi="Arial Narrow" w:cs="Arial Narrow"/>
          <w:b/>
        </w:rPr>
      </w:pPr>
    </w:p>
    <w:p w14:paraId="61AF1814" w14:textId="77777777" w:rsidR="00D5249D" w:rsidRDefault="00D5249D">
      <w:pPr>
        <w:rPr>
          <w:rFonts w:ascii="Arial Narrow" w:eastAsia="Arial Narrow" w:hAnsi="Arial Narrow" w:cs="Arial Narrow"/>
          <w:b/>
        </w:rPr>
      </w:pPr>
    </w:p>
    <w:p w14:paraId="11A4BEB6" w14:textId="77777777" w:rsidR="00D5249D" w:rsidRDefault="00D5249D">
      <w:pPr>
        <w:rPr>
          <w:rFonts w:ascii="Arial Narrow" w:eastAsia="Arial Narrow" w:hAnsi="Arial Narrow" w:cs="Arial Narrow"/>
          <w:b/>
        </w:rPr>
      </w:pPr>
    </w:p>
    <w:p w14:paraId="60AD9998" w14:textId="77777777" w:rsidR="00D5249D" w:rsidRDefault="00D5249D">
      <w:pPr>
        <w:rPr>
          <w:rFonts w:ascii="Arial Narrow" w:eastAsia="Arial Narrow" w:hAnsi="Arial Narrow" w:cs="Arial Narrow"/>
          <w:b/>
        </w:rPr>
      </w:pPr>
    </w:p>
    <w:p w14:paraId="6E92AEC7" w14:textId="77777777" w:rsidR="00D5249D" w:rsidRPr="008A26D2" w:rsidRDefault="00D5249D">
      <w:pPr>
        <w:rPr>
          <w:rFonts w:ascii="Arial Narrow" w:eastAsia="Arial Narrow" w:hAnsi="Arial Narrow" w:cs="Arial Narrow"/>
          <w:b/>
        </w:rPr>
      </w:pPr>
    </w:p>
    <w:p w14:paraId="6137081C" w14:textId="36B43B1F" w:rsidR="00285453" w:rsidRPr="008A26D2" w:rsidRDefault="00285453" w:rsidP="00285453">
      <w:pPr>
        <w:jc w:val="both"/>
        <w:rPr>
          <w:rFonts w:ascii="Arial" w:eastAsia="Arial Narrow" w:hAnsi="Arial" w:cs="Arial"/>
        </w:rPr>
      </w:pPr>
      <w:r w:rsidRPr="008A26D2">
        <w:rPr>
          <w:rFonts w:ascii="Arial" w:eastAsia="Arial Narrow" w:hAnsi="Arial" w:cs="Arial"/>
          <w:b/>
          <w:bCs/>
        </w:rPr>
        <w:t>S3.3.3</w:t>
      </w:r>
      <w:r w:rsidRPr="0025059A">
        <w:rPr>
          <w:rFonts w:ascii="Arial" w:eastAsia="Arial Narrow" w:hAnsi="Arial" w:cs="Arial"/>
        </w:rPr>
        <w:t xml:space="preserve"> </w:t>
      </w:r>
      <w:r w:rsidR="0025059A" w:rsidRPr="0025059A">
        <w:rPr>
          <w:rFonts w:ascii="Arial" w:eastAsia="Arial Narrow" w:hAnsi="Arial" w:cs="Arial"/>
        </w:rPr>
        <w:t>Asistencia técnica para la generación de información sobre las potencialidades y limitaciones del territorio de forma fiable dirigida a los gobiernos regionales</w:t>
      </w:r>
    </w:p>
    <w:tbl>
      <w:tblPr>
        <w:tblW w:w="8488" w:type="dxa"/>
        <w:jc w:val="center"/>
        <w:tblLayout w:type="fixed"/>
        <w:tblLook w:val="0600" w:firstRow="0" w:lastRow="0" w:firstColumn="0" w:lastColumn="0" w:noHBand="1" w:noVBand="1"/>
      </w:tblPr>
      <w:tblGrid>
        <w:gridCol w:w="2088"/>
        <w:gridCol w:w="2133"/>
        <w:gridCol w:w="2133"/>
        <w:gridCol w:w="2134"/>
      </w:tblGrid>
      <w:tr w:rsidR="008A26D2" w:rsidRPr="008A26D2" w14:paraId="2AADD2CB" w14:textId="77777777" w:rsidTr="0072651A">
        <w:trPr>
          <w:trHeight w:val="300"/>
          <w:jc w:val="center"/>
        </w:trPr>
        <w:tc>
          <w:tcPr>
            <w:tcW w:w="8488"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center"/>
          </w:tcPr>
          <w:p w14:paraId="57DF402D" w14:textId="40B35D0D" w:rsidR="00285453" w:rsidRPr="008A26D2" w:rsidRDefault="00285453" w:rsidP="0072651A">
            <w:pPr>
              <w:tabs>
                <w:tab w:val="left" w:pos="3375"/>
              </w:tabs>
              <w:jc w:val="center"/>
              <w:rPr>
                <w:rFonts w:ascii="Arial" w:hAnsi="Arial" w:cs="Arial"/>
                <w:b/>
                <w:sz w:val="20"/>
                <w:szCs w:val="20"/>
              </w:rPr>
            </w:pPr>
            <w:r w:rsidRPr="008A26D2">
              <w:rPr>
                <w:rFonts w:ascii="Arial" w:hAnsi="Arial" w:cs="Arial"/>
                <w:b/>
                <w:sz w:val="20"/>
                <w:szCs w:val="20"/>
              </w:rPr>
              <w:t xml:space="preserve">FICHA DEL SERVICIO </w:t>
            </w:r>
          </w:p>
        </w:tc>
      </w:tr>
      <w:tr w:rsidR="008A26D2" w:rsidRPr="008A26D2" w14:paraId="7E9165EF" w14:textId="77777777" w:rsidTr="0072651A">
        <w:trPr>
          <w:trHeight w:val="300"/>
          <w:jc w:val="center"/>
        </w:trPr>
        <w:tc>
          <w:tcPr>
            <w:tcW w:w="20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97C846B" w14:textId="77777777" w:rsidR="00285453" w:rsidRPr="008A26D2" w:rsidRDefault="00285453" w:rsidP="0072651A">
            <w:pPr>
              <w:tabs>
                <w:tab w:val="left" w:pos="3375"/>
              </w:tabs>
              <w:rPr>
                <w:rFonts w:ascii="Arial" w:hAnsi="Arial" w:cs="Arial"/>
                <w:b/>
                <w:sz w:val="20"/>
                <w:szCs w:val="20"/>
              </w:rPr>
            </w:pPr>
            <w:r w:rsidRPr="008A26D2">
              <w:rPr>
                <w:rFonts w:ascii="Arial" w:hAnsi="Arial" w:cs="Arial"/>
                <w:b/>
                <w:sz w:val="20"/>
                <w:szCs w:val="20"/>
              </w:rPr>
              <w:t xml:space="preserve"> Objetivo prioritario:</w:t>
            </w:r>
          </w:p>
        </w:tc>
        <w:tc>
          <w:tcPr>
            <w:tcW w:w="6400"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8F0F26E" w14:textId="77777777" w:rsidR="00285453" w:rsidRPr="008A26D2" w:rsidRDefault="00285453" w:rsidP="0072651A">
            <w:pPr>
              <w:tabs>
                <w:tab w:val="left" w:pos="3375"/>
              </w:tabs>
              <w:ind w:left="128"/>
              <w:rPr>
                <w:rFonts w:ascii="Arial" w:hAnsi="Arial" w:cs="Arial"/>
                <w:sz w:val="20"/>
                <w:szCs w:val="20"/>
              </w:rPr>
            </w:pPr>
            <w:r w:rsidRPr="008A26D2">
              <w:rPr>
                <w:rFonts w:ascii="Arial" w:eastAsia="Arial Narrow" w:hAnsi="Arial" w:cs="Arial"/>
                <w:sz w:val="20"/>
                <w:szCs w:val="20"/>
              </w:rPr>
              <w:t>OP3 Fortalecer la gobernanza forestal y de fauna silvestre</w:t>
            </w:r>
          </w:p>
        </w:tc>
      </w:tr>
      <w:tr w:rsidR="008A26D2" w:rsidRPr="008A26D2" w14:paraId="0990F9B0" w14:textId="77777777" w:rsidTr="0072651A">
        <w:trPr>
          <w:trHeight w:val="300"/>
          <w:jc w:val="center"/>
        </w:trPr>
        <w:tc>
          <w:tcPr>
            <w:tcW w:w="20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B008B52" w14:textId="77777777" w:rsidR="00285453" w:rsidRPr="008A26D2" w:rsidRDefault="00285453" w:rsidP="0072651A">
            <w:pPr>
              <w:tabs>
                <w:tab w:val="left" w:pos="3375"/>
              </w:tabs>
              <w:rPr>
                <w:rFonts w:ascii="Arial" w:hAnsi="Arial" w:cs="Arial"/>
                <w:b/>
                <w:sz w:val="20"/>
                <w:szCs w:val="20"/>
              </w:rPr>
            </w:pPr>
            <w:r w:rsidRPr="008A26D2">
              <w:rPr>
                <w:rFonts w:ascii="Arial" w:hAnsi="Arial" w:cs="Arial"/>
                <w:b/>
                <w:sz w:val="20"/>
                <w:szCs w:val="20"/>
              </w:rPr>
              <w:t xml:space="preserve"> Lineamiento:</w:t>
            </w:r>
          </w:p>
        </w:tc>
        <w:tc>
          <w:tcPr>
            <w:tcW w:w="6400"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EED8841" w14:textId="77777777" w:rsidR="00285453" w:rsidRPr="008A26D2" w:rsidRDefault="00285453" w:rsidP="0072651A">
            <w:pPr>
              <w:tabs>
                <w:tab w:val="left" w:pos="3375"/>
              </w:tabs>
              <w:ind w:left="128"/>
              <w:rPr>
                <w:rFonts w:ascii="Arial" w:hAnsi="Arial" w:cs="Arial"/>
                <w:sz w:val="20"/>
                <w:szCs w:val="20"/>
              </w:rPr>
            </w:pPr>
            <w:r w:rsidRPr="008A26D2">
              <w:rPr>
                <w:rFonts w:ascii="Arial" w:eastAsia="Arial Narrow" w:hAnsi="Arial" w:cs="Arial"/>
                <w:sz w:val="20"/>
                <w:szCs w:val="20"/>
              </w:rPr>
              <w:t>L 3.3 Gestionar la información y el conocimiento en materia forestal y de fauna silvestre producido por los actores forestales y de fauna silvestre</w:t>
            </w:r>
          </w:p>
        </w:tc>
      </w:tr>
      <w:tr w:rsidR="008A26D2" w:rsidRPr="008A26D2" w14:paraId="4C3CB941" w14:textId="77777777" w:rsidTr="0072651A">
        <w:trPr>
          <w:trHeight w:val="720"/>
          <w:jc w:val="center"/>
        </w:trPr>
        <w:tc>
          <w:tcPr>
            <w:tcW w:w="20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9C780C6" w14:textId="77777777" w:rsidR="00285453" w:rsidRPr="008A26D2" w:rsidRDefault="00285453" w:rsidP="0072651A">
            <w:pPr>
              <w:tabs>
                <w:tab w:val="left" w:pos="3375"/>
              </w:tabs>
              <w:rPr>
                <w:rFonts w:ascii="Arial" w:hAnsi="Arial" w:cs="Arial"/>
                <w:b/>
                <w:sz w:val="20"/>
                <w:szCs w:val="20"/>
              </w:rPr>
            </w:pPr>
            <w:r w:rsidRPr="008A26D2">
              <w:rPr>
                <w:rFonts w:ascii="Arial" w:hAnsi="Arial" w:cs="Arial"/>
                <w:b/>
                <w:sz w:val="20"/>
                <w:szCs w:val="20"/>
              </w:rPr>
              <w:t xml:space="preserve"> Nombre del servicio:</w:t>
            </w:r>
          </w:p>
        </w:tc>
        <w:tc>
          <w:tcPr>
            <w:tcW w:w="6400"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5A3E960" w14:textId="0D99564B" w:rsidR="00285453" w:rsidRPr="008A26D2" w:rsidRDefault="00285453" w:rsidP="0072651A">
            <w:pPr>
              <w:tabs>
                <w:tab w:val="left" w:pos="3375"/>
              </w:tabs>
              <w:ind w:left="128"/>
              <w:jc w:val="both"/>
              <w:rPr>
                <w:rFonts w:ascii="Arial" w:eastAsia="Arial Narrow" w:hAnsi="Arial" w:cs="Arial"/>
                <w:sz w:val="20"/>
                <w:szCs w:val="20"/>
              </w:rPr>
            </w:pPr>
            <w:r w:rsidRPr="008A26D2">
              <w:rPr>
                <w:rFonts w:ascii="Arial" w:eastAsia="Arial Narrow" w:hAnsi="Arial" w:cs="Arial"/>
                <w:sz w:val="20"/>
                <w:szCs w:val="20"/>
              </w:rPr>
              <w:t xml:space="preserve">S3.3.3 </w:t>
            </w:r>
            <w:r w:rsidR="00932163" w:rsidRPr="0020551C">
              <w:rPr>
                <w:rFonts w:ascii="Arial" w:eastAsia="Arial Narrow" w:hAnsi="Arial" w:cs="Arial"/>
                <w:sz w:val="20"/>
                <w:szCs w:val="20"/>
              </w:rPr>
              <w:t>Asistencia técnica para la generación de información sobre las potencialidades y limitaciones del territorio de forma fiable dirigida a los gobiernos regionales</w:t>
            </w:r>
          </w:p>
        </w:tc>
      </w:tr>
      <w:tr w:rsidR="008A26D2" w:rsidRPr="008A26D2" w14:paraId="0C906EAF" w14:textId="77777777" w:rsidTr="0072651A">
        <w:trPr>
          <w:trHeight w:val="300"/>
          <w:jc w:val="center"/>
        </w:trPr>
        <w:tc>
          <w:tcPr>
            <w:tcW w:w="20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09BC0FD" w14:textId="77777777" w:rsidR="00285453" w:rsidRPr="008A26D2" w:rsidRDefault="00285453" w:rsidP="0072651A">
            <w:pPr>
              <w:tabs>
                <w:tab w:val="left" w:pos="3375"/>
              </w:tabs>
              <w:rPr>
                <w:rFonts w:ascii="Arial" w:hAnsi="Arial" w:cs="Arial"/>
                <w:b/>
                <w:sz w:val="20"/>
                <w:szCs w:val="20"/>
              </w:rPr>
            </w:pPr>
            <w:r w:rsidRPr="008A26D2">
              <w:rPr>
                <w:rFonts w:ascii="Arial" w:hAnsi="Arial" w:cs="Arial"/>
                <w:b/>
                <w:sz w:val="20"/>
                <w:szCs w:val="20"/>
              </w:rPr>
              <w:t>Tipo de servicio:</w:t>
            </w:r>
          </w:p>
        </w:tc>
        <w:tc>
          <w:tcPr>
            <w:tcW w:w="6400"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247839A" w14:textId="77777777" w:rsidR="00285453" w:rsidRPr="008A26D2" w:rsidRDefault="00285453" w:rsidP="0072651A">
            <w:pPr>
              <w:tabs>
                <w:tab w:val="left" w:pos="3375"/>
              </w:tabs>
              <w:ind w:left="128"/>
              <w:rPr>
                <w:rFonts w:ascii="Arial" w:eastAsia="Arial Narrow" w:hAnsi="Arial" w:cs="Arial"/>
                <w:strike/>
                <w:sz w:val="20"/>
                <w:szCs w:val="20"/>
              </w:rPr>
            </w:pPr>
            <w:r w:rsidRPr="008A26D2">
              <w:rPr>
                <w:rFonts w:ascii="Arial" w:eastAsia="Arial Narrow" w:hAnsi="Arial" w:cs="Arial"/>
                <w:sz w:val="20"/>
                <w:szCs w:val="20"/>
              </w:rPr>
              <w:t xml:space="preserve">Nuevo </w:t>
            </w:r>
          </w:p>
        </w:tc>
      </w:tr>
      <w:tr w:rsidR="008A26D2" w:rsidRPr="008A26D2" w14:paraId="3D8B0234" w14:textId="77777777" w:rsidTr="0072651A">
        <w:trPr>
          <w:trHeight w:val="300"/>
          <w:jc w:val="center"/>
        </w:trPr>
        <w:tc>
          <w:tcPr>
            <w:tcW w:w="20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98A97A1" w14:textId="5D0CCDF9" w:rsidR="008B1087" w:rsidRPr="008A26D2" w:rsidRDefault="008B1087" w:rsidP="008B1087">
            <w:pPr>
              <w:tabs>
                <w:tab w:val="left" w:pos="3375"/>
              </w:tabs>
              <w:rPr>
                <w:rFonts w:ascii="Arial" w:hAnsi="Arial" w:cs="Arial"/>
                <w:b/>
                <w:sz w:val="20"/>
                <w:szCs w:val="20"/>
              </w:rPr>
            </w:pPr>
            <w:r w:rsidRPr="008A26D2">
              <w:rPr>
                <w:rFonts w:ascii="Arial" w:hAnsi="Arial" w:cs="Arial"/>
                <w:b/>
                <w:sz w:val="20"/>
                <w:szCs w:val="20"/>
              </w:rPr>
              <w:t>Naturaleza del servicio:</w:t>
            </w:r>
          </w:p>
        </w:tc>
        <w:tc>
          <w:tcPr>
            <w:tcW w:w="6400"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4E7D960" w14:textId="36386785" w:rsidR="008B1087" w:rsidRPr="008A26D2" w:rsidRDefault="00B62C32" w:rsidP="008B1087">
            <w:pPr>
              <w:tabs>
                <w:tab w:val="left" w:pos="3375"/>
              </w:tabs>
              <w:ind w:left="128"/>
              <w:rPr>
                <w:rFonts w:ascii="Arial" w:eastAsia="Arial Narrow" w:hAnsi="Arial" w:cs="Arial"/>
                <w:sz w:val="20"/>
                <w:szCs w:val="20"/>
              </w:rPr>
            </w:pPr>
            <w:r w:rsidRPr="008A26D2">
              <w:rPr>
                <w:rFonts w:ascii="Arial" w:eastAsia="Arial Narrow" w:hAnsi="Arial" w:cs="Arial"/>
                <w:sz w:val="20"/>
                <w:szCs w:val="20"/>
              </w:rPr>
              <w:t>A</w:t>
            </w:r>
            <w:r w:rsidR="008B1087" w:rsidRPr="008A26D2">
              <w:rPr>
                <w:rFonts w:ascii="Arial" w:eastAsia="Arial Narrow" w:hAnsi="Arial" w:cs="Arial"/>
                <w:sz w:val="20"/>
                <w:szCs w:val="20"/>
              </w:rPr>
              <w:t>dministrativo</w:t>
            </w:r>
          </w:p>
        </w:tc>
      </w:tr>
      <w:tr w:rsidR="008A26D2" w:rsidRPr="008A26D2" w14:paraId="3C15E828" w14:textId="77777777" w:rsidTr="0072651A">
        <w:trPr>
          <w:trHeight w:val="300"/>
          <w:jc w:val="center"/>
        </w:trPr>
        <w:tc>
          <w:tcPr>
            <w:tcW w:w="20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713EC21" w14:textId="684BDA3B" w:rsidR="008B1087" w:rsidRPr="008A26D2" w:rsidRDefault="008B1087" w:rsidP="008B1087">
            <w:pPr>
              <w:tabs>
                <w:tab w:val="left" w:pos="3375"/>
              </w:tabs>
              <w:rPr>
                <w:rFonts w:ascii="Arial" w:hAnsi="Arial" w:cs="Arial"/>
                <w:b/>
                <w:sz w:val="20"/>
                <w:szCs w:val="20"/>
              </w:rPr>
            </w:pPr>
            <w:r w:rsidRPr="008A26D2">
              <w:rPr>
                <w:rFonts w:ascii="Arial" w:hAnsi="Arial" w:cs="Arial"/>
                <w:b/>
                <w:sz w:val="20"/>
                <w:szCs w:val="20"/>
              </w:rPr>
              <w:t>Entrega del servicio</w:t>
            </w:r>
          </w:p>
        </w:tc>
        <w:tc>
          <w:tcPr>
            <w:tcW w:w="6400"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2568415" w14:textId="1CAE6433" w:rsidR="008B1087" w:rsidRPr="008A26D2" w:rsidRDefault="008B1087" w:rsidP="008B1087">
            <w:pPr>
              <w:tabs>
                <w:tab w:val="left" w:pos="3375"/>
              </w:tabs>
              <w:ind w:left="128"/>
              <w:rPr>
                <w:rFonts w:ascii="Arial" w:eastAsia="Arial Narrow" w:hAnsi="Arial" w:cs="Arial"/>
                <w:sz w:val="20"/>
                <w:szCs w:val="20"/>
              </w:rPr>
            </w:pPr>
            <w:r w:rsidRPr="008A26D2">
              <w:rPr>
                <w:rFonts w:ascii="Arial" w:eastAsia="Arial Narrow" w:hAnsi="Arial" w:cs="Arial"/>
                <w:sz w:val="20"/>
                <w:szCs w:val="20"/>
              </w:rPr>
              <w:t>Competencia exclusiva</w:t>
            </w:r>
          </w:p>
        </w:tc>
      </w:tr>
      <w:tr w:rsidR="008A26D2" w:rsidRPr="008A26D2" w14:paraId="5D448B84" w14:textId="77777777" w:rsidTr="0072651A">
        <w:trPr>
          <w:trHeight w:val="300"/>
          <w:jc w:val="center"/>
        </w:trPr>
        <w:tc>
          <w:tcPr>
            <w:tcW w:w="20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BF2EAD9" w14:textId="77777777" w:rsidR="008B1087" w:rsidRPr="008A26D2" w:rsidRDefault="008B1087" w:rsidP="008B1087">
            <w:pPr>
              <w:tabs>
                <w:tab w:val="left" w:pos="3375"/>
              </w:tabs>
              <w:rPr>
                <w:rFonts w:ascii="Arial" w:hAnsi="Arial" w:cs="Arial"/>
                <w:b/>
                <w:sz w:val="20"/>
                <w:szCs w:val="20"/>
              </w:rPr>
            </w:pPr>
            <w:r w:rsidRPr="008A26D2">
              <w:rPr>
                <w:rFonts w:ascii="Arial" w:hAnsi="Arial" w:cs="Arial"/>
                <w:b/>
                <w:sz w:val="20"/>
                <w:szCs w:val="20"/>
              </w:rPr>
              <w:t xml:space="preserve"> Descripción del servicio</w:t>
            </w:r>
          </w:p>
        </w:tc>
        <w:tc>
          <w:tcPr>
            <w:tcW w:w="6400"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12844F0" w14:textId="77777777" w:rsidR="008B1087" w:rsidRPr="008A26D2" w:rsidRDefault="008B1087" w:rsidP="008B1087">
            <w:pPr>
              <w:tabs>
                <w:tab w:val="left" w:pos="3375"/>
              </w:tabs>
              <w:ind w:left="128"/>
              <w:jc w:val="both"/>
              <w:rPr>
                <w:rFonts w:ascii="Arial" w:eastAsia="Arial Narrow" w:hAnsi="Arial" w:cs="Arial"/>
                <w:sz w:val="20"/>
                <w:szCs w:val="20"/>
              </w:rPr>
            </w:pPr>
            <w:r w:rsidRPr="008A26D2">
              <w:rPr>
                <w:rFonts w:ascii="Arial" w:eastAsia="Arial Narrow" w:hAnsi="Arial" w:cs="Arial"/>
                <w:sz w:val="20"/>
                <w:szCs w:val="20"/>
              </w:rPr>
              <w:t>El servicio consiste en fortalecer las capacidades de los equipos técnicos de los gobiernos regionales involucrados en el proceso de Ordenamiento Territorial, a través del cual se genera información temática especializada de los componentes del territorio (potencialidades y limitaciones) con la finalidad de orientar la adecuada gestión de los ecosistemas, el uso sostenible de los recursos naturales, aportando a la gestión del territorio para el ordenamiento territorial. Dicha capacitación y asistencia técnica se brinda a través de talleres, charlas, eventos y reuniones técnicas, entre otros.</w:t>
            </w:r>
          </w:p>
          <w:p w14:paraId="10E98C09" w14:textId="77777777" w:rsidR="008B1087" w:rsidRPr="008A26D2" w:rsidRDefault="008B1087" w:rsidP="008B1087">
            <w:pPr>
              <w:tabs>
                <w:tab w:val="left" w:pos="3375"/>
              </w:tabs>
              <w:ind w:left="128"/>
              <w:jc w:val="both"/>
              <w:rPr>
                <w:rFonts w:ascii="Arial" w:eastAsia="Arial Narrow" w:hAnsi="Arial" w:cs="Arial"/>
                <w:sz w:val="20"/>
                <w:szCs w:val="20"/>
              </w:rPr>
            </w:pPr>
            <w:r w:rsidRPr="008A26D2">
              <w:rPr>
                <w:rFonts w:ascii="Arial" w:eastAsia="Arial Narrow" w:hAnsi="Arial" w:cs="Arial"/>
                <w:sz w:val="20"/>
                <w:szCs w:val="20"/>
              </w:rPr>
              <w:t>Se entiende por capacitación al proceso que busca la mejora del desempeño de las personas, a través del desarrollo de competencias o conocimientos (Resolución de Presidencia Ejecutiva Nº 141-2016-SERVIR-PE Normas para la gestión del proceso de capacitación en las entidades públicas).</w:t>
            </w:r>
          </w:p>
          <w:p w14:paraId="6AADF328" w14:textId="77777777" w:rsidR="008B1087" w:rsidRPr="008A26D2" w:rsidRDefault="008B1087" w:rsidP="008B1087">
            <w:pPr>
              <w:tabs>
                <w:tab w:val="left" w:pos="3375"/>
              </w:tabs>
              <w:ind w:left="128"/>
              <w:jc w:val="both"/>
              <w:rPr>
                <w:rFonts w:ascii="Arial" w:eastAsia="Arial Narrow" w:hAnsi="Arial" w:cs="Arial"/>
                <w:sz w:val="20"/>
                <w:szCs w:val="20"/>
              </w:rPr>
            </w:pPr>
            <w:r w:rsidRPr="008A26D2">
              <w:rPr>
                <w:rFonts w:ascii="Arial" w:eastAsia="Arial Narrow" w:hAnsi="Arial" w:cs="Arial"/>
                <w:sz w:val="20"/>
                <w:szCs w:val="20"/>
              </w:rPr>
              <w:t>La generación de la información temática se realiza en el marco de la formulación de la Zonificación Ecológica y Económica, la cual según los componentes del territorio, involucra el desarrollo de estudios simultáneos y procesos interdisciplinarios, especialmente entre aquellas disciplinas que se encuentran íntimamente relacionadas, en ese sentido, el presente servicio, requiere la articulación con las instituciones públicas generadoras de información temática, así como la correspondiente opinión técnica, lo cual le confiere fiabilidad a la información generada.</w:t>
            </w:r>
          </w:p>
          <w:p w14:paraId="2E564715" w14:textId="77777777" w:rsidR="008B1087" w:rsidRPr="008A26D2" w:rsidRDefault="008B1087" w:rsidP="008B1087">
            <w:pPr>
              <w:tabs>
                <w:tab w:val="left" w:pos="3375"/>
              </w:tabs>
              <w:ind w:left="128"/>
              <w:jc w:val="both"/>
              <w:rPr>
                <w:rFonts w:ascii="Arial" w:eastAsia="Arial Narrow" w:hAnsi="Arial" w:cs="Arial"/>
                <w:sz w:val="20"/>
                <w:szCs w:val="20"/>
              </w:rPr>
            </w:pPr>
            <w:r w:rsidRPr="008A26D2">
              <w:rPr>
                <w:rFonts w:ascii="Arial" w:eastAsia="Arial Narrow" w:hAnsi="Arial" w:cs="Arial"/>
                <w:sz w:val="20"/>
                <w:szCs w:val="20"/>
              </w:rPr>
              <w:t>De este modo, a través de las orientaciones técnicas se identifican las potencialidades y limitaciones del territorio que se expresan a través de las zonas ecológicas y económicas, las cuáles describen las diversas alternativas de uso sostenible que posee un territorio según su aptitud de uso predominante.</w:t>
            </w:r>
          </w:p>
          <w:p w14:paraId="3EF1CCA4" w14:textId="77777777" w:rsidR="008B1087" w:rsidRPr="008A26D2" w:rsidRDefault="008B1087" w:rsidP="008B1087">
            <w:pPr>
              <w:tabs>
                <w:tab w:val="left" w:pos="3375"/>
              </w:tabs>
              <w:ind w:left="128"/>
              <w:jc w:val="both"/>
              <w:rPr>
                <w:rFonts w:ascii="Arial" w:eastAsia="Arial Narrow" w:hAnsi="Arial" w:cs="Arial"/>
                <w:sz w:val="20"/>
                <w:szCs w:val="20"/>
              </w:rPr>
            </w:pPr>
            <w:r w:rsidRPr="008A26D2">
              <w:rPr>
                <w:rFonts w:ascii="Arial" w:eastAsia="Arial Narrow" w:hAnsi="Arial" w:cs="Arial"/>
                <w:sz w:val="20"/>
                <w:szCs w:val="20"/>
              </w:rPr>
              <w:t xml:space="preserve">La información de la Zonificación Ecológica y Económica desde sus estudios temáticos y categorías de uso contribuye en las unidades integradas del territorio para determinar la propuesta de Zonificación </w:t>
            </w:r>
            <w:r w:rsidRPr="008A26D2">
              <w:rPr>
                <w:rFonts w:ascii="Arial" w:eastAsia="Arial Narrow" w:hAnsi="Arial" w:cs="Arial"/>
                <w:sz w:val="20"/>
                <w:szCs w:val="20"/>
              </w:rPr>
              <w:lastRenderedPageBreak/>
              <w:t>Forestal, en tanto, se constituye en un proceso técnico que se realiza en el marco del enfoque ecosistémico y siguiendo la normativa sobre la Zonificación Ecológica y Económica, en lo que corresponda.</w:t>
            </w:r>
          </w:p>
        </w:tc>
      </w:tr>
      <w:tr w:rsidR="008A26D2" w:rsidRPr="008A26D2" w14:paraId="5769485E" w14:textId="77777777" w:rsidTr="0072651A">
        <w:trPr>
          <w:trHeight w:val="300"/>
          <w:jc w:val="center"/>
        </w:trPr>
        <w:tc>
          <w:tcPr>
            <w:tcW w:w="20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9A91BEC" w14:textId="77777777" w:rsidR="008B1087" w:rsidRPr="008A26D2" w:rsidRDefault="008B1087" w:rsidP="008B1087">
            <w:pPr>
              <w:tabs>
                <w:tab w:val="left" w:pos="3375"/>
              </w:tabs>
              <w:rPr>
                <w:rFonts w:ascii="Arial" w:hAnsi="Arial" w:cs="Arial"/>
                <w:b/>
                <w:sz w:val="20"/>
                <w:szCs w:val="20"/>
              </w:rPr>
            </w:pPr>
            <w:r w:rsidRPr="008A26D2">
              <w:rPr>
                <w:rFonts w:ascii="Arial" w:hAnsi="Arial" w:cs="Arial"/>
                <w:b/>
                <w:sz w:val="20"/>
                <w:szCs w:val="20"/>
              </w:rPr>
              <w:lastRenderedPageBreak/>
              <w:t xml:space="preserve"> Proveedor del servicio</w:t>
            </w:r>
          </w:p>
        </w:tc>
        <w:tc>
          <w:tcPr>
            <w:tcW w:w="6400"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7A105D3" w14:textId="77777777" w:rsidR="008B1087" w:rsidRPr="008A26D2" w:rsidRDefault="008B1087" w:rsidP="008B1087">
            <w:pPr>
              <w:tabs>
                <w:tab w:val="left" w:pos="3375"/>
              </w:tabs>
              <w:ind w:left="128"/>
              <w:rPr>
                <w:rFonts w:ascii="Arial" w:hAnsi="Arial" w:cs="Arial"/>
                <w:sz w:val="20"/>
                <w:szCs w:val="20"/>
              </w:rPr>
            </w:pPr>
            <w:r w:rsidRPr="008A26D2">
              <w:rPr>
                <w:rFonts w:ascii="Arial" w:eastAsia="Arial Narrow" w:hAnsi="Arial" w:cs="Arial"/>
                <w:sz w:val="20"/>
                <w:szCs w:val="20"/>
              </w:rPr>
              <w:t>Ministerio del Ambiente – MINAM</w:t>
            </w:r>
          </w:p>
        </w:tc>
      </w:tr>
      <w:tr w:rsidR="008A26D2" w:rsidRPr="008A26D2" w14:paraId="4C914FDB" w14:textId="77777777" w:rsidTr="000B00F0">
        <w:trPr>
          <w:trHeight w:val="675"/>
          <w:jc w:val="center"/>
        </w:trPr>
        <w:tc>
          <w:tcPr>
            <w:tcW w:w="2088" w:type="dxa"/>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6A1828D8" w14:textId="77777777" w:rsidR="008B1087" w:rsidRPr="008A26D2" w:rsidRDefault="008B1087" w:rsidP="002469C9">
            <w:pPr>
              <w:spacing w:after="0" w:line="240" w:lineRule="auto"/>
              <w:rPr>
                <w:rFonts w:ascii="Arial" w:hAnsi="Arial" w:cs="Arial"/>
                <w:b/>
                <w:sz w:val="20"/>
                <w:szCs w:val="20"/>
              </w:rPr>
            </w:pPr>
            <w:r w:rsidRPr="008A26D2">
              <w:rPr>
                <w:rFonts w:ascii="Arial" w:hAnsi="Arial" w:cs="Arial"/>
                <w:b/>
                <w:sz w:val="20"/>
                <w:szCs w:val="20"/>
              </w:rPr>
              <w:t>Nivel (es) de gobierno que interviene</w:t>
            </w:r>
          </w:p>
          <w:p w14:paraId="231EF364" w14:textId="3BE3CFE5" w:rsidR="008B1087" w:rsidRPr="008A26D2" w:rsidRDefault="008B1087" w:rsidP="008B1087">
            <w:pPr>
              <w:tabs>
                <w:tab w:val="left" w:pos="3375"/>
              </w:tabs>
              <w:rPr>
                <w:rFonts w:ascii="Arial" w:hAnsi="Arial" w:cs="Arial"/>
                <w:b/>
                <w:sz w:val="20"/>
                <w:szCs w:val="20"/>
              </w:rPr>
            </w:pPr>
            <w:r w:rsidRPr="008A26D2">
              <w:rPr>
                <w:rFonts w:ascii="Arial" w:hAnsi="Arial" w:cs="Arial"/>
                <w:b/>
                <w:sz w:val="20"/>
                <w:szCs w:val="20"/>
              </w:rPr>
              <w:t>(n) en la provisión del servicio</w:t>
            </w:r>
          </w:p>
        </w:tc>
        <w:tc>
          <w:tcPr>
            <w:tcW w:w="2133"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5DEB2367" w14:textId="08B71737" w:rsidR="008B1087" w:rsidRPr="008A26D2" w:rsidRDefault="008B1087" w:rsidP="0025059A">
            <w:pPr>
              <w:tabs>
                <w:tab w:val="left" w:pos="3375"/>
              </w:tabs>
              <w:ind w:left="128"/>
              <w:jc w:val="center"/>
              <w:rPr>
                <w:rFonts w:ascii="Arial" w:eastAsia="Arial Narrow" w:hAnsi="Arial" w:cs="Arial"/>
                <w:sz w:val="20"/>
                <w:szCs w:val="20"/>
              </w:rPr>
            </w:pPr>
            <w:r w:rsidRPr="008A26D2">
              <w:rPr>
                <w:rFonts w:ascii="Arial" w:eastAsia="Arial Narrow" w:hAnsi="Arial" w:cs="Arial"/>
                <w:sz w:val="20"/>
                <w:szCs w:val="20"/>
              </w:rPr>
              <w:t>Nacional</w:t>
            </w:r>
          </w:p>
        </w:tc>
        <w:tc>
          <w:tcPr>
            <w:tcW w:w="2133" w:type="dxa"/>
            <w:tcBorders>
              <w:top w:val="single" w:sz="4" w:space="0" w:color="000000"/>
              <w:left w:val="single" w:sz="4" w:space="0" w:color="000000"/>
              <w:right w:val="single" w:sz="4" w:space="0" w:color="000000"/>
            </w:tcBorders>
            <w:shd w:val="clear" w:color="auto" w:fill="auto"/>
            <w:vAlign w:val="center"/>
          </w:tcPr>
          <w:p w14:paraId="20BA0907" w14:textId="73026076" w:rsidR="008B1087" w:rsidRPr="008A26D2" w:rsidRDefault="008B1087" w:rsidP="0025059A">
            <w:pPr>
              <w:tabs>
                <w:tab w:val="left" w:pos="3375"/>
              </w:tabs>
              <w:ind w:left="128"/>
              <w:jc w:val="center"/>
              <w:rPr>
                <w:rFonts w:ascii="Arial" w:eastAsia="Arial Narrow" w:hAnsi="Arial" w:cs="Arial"/>
                <w:sz w:val="20"/>
                <w:szCs w:val="20"/>
              </w:rPr>
            </w:pPr>
            <w:r w:rsidRPr="008A26D2">
              <w:rPr>
                <w:rFonts w:ascii="Arial" w:eastAsia="Arial Narrow" w:hAnsi="Arial" w:cs="Arial"/>
                <w:sz w:val="20"/>
                <w:szCs w:val="20"/>
              </w:rPr>
              <w:t>Regional</w:t>
            </w:r>
          </w:p>
        </w:tc>
        <w:tc>
          <w:tcPr>
            <w:tcW w:w="2134" w:type="dxa"/>
            <w:tcBorders>
              <w:top w:val="single" w:sz="4" w:space="0" w:color="000000"/>
              <w:left w:val="single" w:sz="4" w:space="0" w:color="000000"/>
              <w:right w:val="single" w:sz="4" w:space="0" w:color="000000"/>
            </w:tcBorders>
            <w:shd w:val="clear" w:color="auto" w:fill="auto"/>
            <w:vAlign w:val="center"/>
          </w:tcPr>
          <w:p w14:paraId="756C088F" w14:textId="3D3B73A5" w:rsidR="008B1087" w:rsidRPr="008A26D2" w:rsidRDefault="008B1087" w:rsidP="0025059A">
            <w:pPr>
              <w:tabs>
                <w:tab w:val="left" w:pos="3375"/>
              </w:tabs>
              <w:ind w:left="128"/>
              <w:jc w:val="center"/>
              <w:rPr>
                <w:rFonts w:ascii="Arial" w:eastAsia="Arial Narrow" w:hAnsi="Arial" w:cs="Arial"/>
                <w:sz w:val="20"/>
                <w:szCs w:val="20"/>
              </w:rPr>
            </w:pPr>
            <w:r w:rsidRPr="008A26D2">
              <w:rPr>
                <w:rFonts w:ascii="Arial" w:eastAsia="Arial Narrow" w:hAnsi="Arial" w:cs="Arial"/>
                <w:sz w:val="20"/>
                <w:szCs w:val="20"/>
              </w:rPr>
              <w:t>Local</w:t>
            </w:r>
          </w:p>
        </w:tc>
      </w:tr>
      <w:tr w:rsidR="008A26D2" w:rsidRPr="008A26D2" w14:paraId="68246B32" w14:textId="77777777" w:rsidTr="000B00F0">
        <w:trPr>
          <w:trHeight w:val="675"/>
          <w:jc w:val="center"/>
        </w:trPr>
        <w:tc>
          <w:tcPr>
            <w:tcW w:w="2088" w:type="dxa"/>
            <w:vMerge/>
            <w:tcBorders>
              <w:left w:val="single" w:sz="4" w:space="0" w:color="000000"/>
              <w:right w:val="single" w:sz="4" w:space="0" w:color="000000"/>
            </w:tcBorders>
            <w:shd w:val="clear" w:color="auto" w:fill="auto"/>
            <w:tcMar>
              <w:top w:w="15" w:type="dxa"/>
              <w:left w:w="15" w:type="dxa"/>
              <w:bottom w:w="0" w:type="dxa"/>
              <w:right w:w="15" w:type="dxa"/>
            </w:tcMar>
            <w:vAlign w:val="center"/>
          </w:tcPr>
          <w:p w14:paraId="0D30ACDD" w14:textId="77777777" w:rsidR="008B1087" w:rsidRPr="008A26D2" w:rsidRDefault="008B1087" w:rsidP="008B1087">
            <w:pPr>
              <w:spacing w:after="0" w:line="240" w:lineRule="auto"/>
              <w:rPr>
                <w:rFonts w:ascii="Arial" w:hAnsi="Arial" w:cs="Arial"/>
                <w:b/>
                <w:sz w:val="20"/>
                <w:szCs w:val="20"/>
              </w:rPr>
            </w:pPr>
          </w:p>
        </w:tc>
        <w:tc>
          <w:tcPr>
            <w:tcW w:w="2133"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2744D157" w14:textId="53368E3D" w:rsidR="008B1087" w:rsidRPr="008A26D2" w:rsidRDefault="00B62C32" w:rsidP="0025059A">
            <w:pPr>
              <w:tabs>
                <w:tab w:val="left" w:pos="3375"/>
              </w:tabs>
              <w:ind w:left="128"/>
              <w:jc w:val="center"/>
              <w:rPr>
                <w:rFonts w:ascii="Arial" w:eastAsia="Arial Narrow" w:hAnsi="Arial" w:cs="Arial"/>
                <w:sz w:val="20"/>
                <w:szCs w:val="20"/>
              </w:rPr>
            </w:pPr>
            <w:r w:rsidRPr="008A26D2">
              <w:rPr>
                <w:rFonts w:ascii="Arial" w:eastAsia="Arial Narrow" w:hAnsi="Arial" w:cs="Arial"/>
                <w:sz w:val="20"/>
                <w:szCs w:val="20"/>
              </w:rPr>
              <w:t>X</w:t>
            </w:r>
          </w:p>
        </w:tc>
        <w:tc>
          <w:tcPr>
            <w:tcW w:w="2133" w:type="dxa"/>
            <w:tcBorders>
              <w:top w:val="single" w:sz="4" w:space="0" w:color="000000"/>
              <w:left w:val="single" w:sz="4" w:space="0" w:color="000000"/>
              <w:right w:val="single" w:sz="4" w:space="0" w:color="000000"/>
            </w:tcBorders>
            <w:shd w:val="clear" w:color="auto" w:fill="auto"/>
            <w:vAlign w:val="center"/>
          </w:tcPr>
          <w:p w14:paraId="161FAE2B" w14:textId="77777777" w:rsidR="008B1087" w:rsidRPr="008A26D2" w:rsidRDefault="008B1087" w:rsidP="0025059A">
            <w:pPr>
              <w:tabs>
                <w:tab w:val="left" w:pos="3375"/>
              </w:tabs>
              <w:ind w:left="128"/>
              <w:jc w:val="center"/>
              <w:rPr>
                <w:rFonts w:ascii="Arial" w:eastAsia="Arial Narrow" w:hAnsi="Arial" w:cs="Arial"/>
                <w:sz w:val="20"/>
                <w:szCs w:val="20"/>
              </w:rPr>
            </w:pPr>
          </w:p>
        </w:tc>
        <w:tc>
          <w:tcPr>
            <w:tcW w:w="2134" w:type="dxa"/>
            <w:tcBorders>
              <w:top w:val="single" w:sz="4" w:space="0" w:color="000000"/>
              <w:left w:val="single" w:sz="4" w:space="0" w:color="000000"/>
              <w:right w:val="single" w:sz="4" w:space="0" w:color="000000"/>
            </w:tcBorders>
            <w:shd w:val="clear" w:color="auto" w:fill="auto"/>
            <w:vAlign w:val="center"/>
          </w:tcPr>
          <w:p w14:paraId="1F645BDA" w14:textId="157AE8E2" w:rsidR="008B1087" w:rsidRPr="008A26D2" w:rsidRDefault="008B1087" w:rsidP="0025059A">
            <w:pPr>
              <w:tabs>
                <w:tab w:val="left" w:pos="3375"/>
              </w:tabs>
              <w:ind w:left="128"/>
              <w:jc w:val="center"/>
              <w:rPr>
                <w:rFonts w:ascii="Arial" w:eastAsia="Arial Narrow" w:hAnsi="Arial" w:cs="Arial"/>
                <w:sz w:val="20"/>
                <w:szCs w:val="20"/>
              </w:rPr>
            </w:pPr>
          </w:p>
        </w:tc>
      </w:tr>
      <w:tr w:rsidR="008A26D2" w:rsidRPr="008A26D2" w14:paraId="1607682C" w14:textId="77777777" w:rsidTr="0072651A">
        <w:trPr>
          <w:trHeight w:val="300"/>
          <w:jc w:val="center"/>
        </w:trPr>
        <w:tc>
          <w:tcPr>
            <w:tcW w:w="20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D0A1A62" w14:textId="77777777" w:rsidR="008B1087" w:rsidRPr="008A26D2" w:rsidRDefault="008B1087" w:rsidP="008B1087">
            <w:pPr>
              <w:tabs>
                <w:tab w:val="left" w:pos="3375"/>
              </w:tabs>
              <w:rPr>
                <w:rFonts w:ascii="Arial" w:hAnsi="Arial" w:cs="Arial"/>
                <w:b/>
                <w:sz w:val="20"/>
                <w:szCs w:val="20"/>
              </w:rPr>
            </w:pPr>
            <w:r w:rsidRPr="008A26D2">
              <w:rPr>
                <w:rFonts w:ascii="Arial" w:hAnsi="Arial" w:cs="Arial"/>
                <w:b/>
                <w:sz w:val="20"/>
                <w:szCs w:val="20"/>
              </w:rPr>
              <w:t xml:space="preserve"> Receptor del servicio</w:t>
            </w:r>
          </w:p>
        </w:tc>
        <w:tc>
          <w:tcPr>
            <w:tcW w:w="6400"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7A31273" w14:textId="77777777" w:rsidR="008B1087" w:rsidRPr="008A26D2" w:rsidRDefault="008B1087" w:rsidP="008B1087">
            <w:pPr>
              <w:tabs>
                <w:tab w:val="left" w:pos="3375"/>
              </w:tabs>
              <w:ind w:left="128"/>
              <w:rPr>
                <w:rFonts w:ascii="Arial" w:hAnsi="Arial" w:cs="Arial"/>
                <w:sz w:val="20"/>
                <w:szCs w:val="20"/>
              </w:rPr>
            </w:pPr>
            <w:r w:rsidRPr="008A26D2">
              <w:rPr>
                <w:rFonts w:ascii="Arial" w:eastAsia="Arial Narrow" w:hAnsi="Arial" w:cs="Arial"/>
                <w:sz w:val="20"/>
                <w:szCs w:val="20"/>
              </w:rPr>
              <w:t>Gobiernos regionales</w:t>
            </w:r>
          </w:p>
        </w:tc>
      </w:tr>
      <w:tr w:rsidR="008A26D2" w:rsidRPr="008A26D2" w14:paraId="27A8F3A4" w14:textId="77777777" w:rsidTr="0072651A">
        <w:trPr>
          <w:trHeight w:val="211"/>
          <w:jc w:val="center"/>
        </w:trPr>
        <w:tc>
          <w:tcPr>
            <w:tcW w:w="20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53421C6" w14:textId="77777777" w:rsidR="008B1087" w:rsidRPr="008A26D2" w:rsidRDefault="008B1087" w:rsidP="008B1087">
            <w:pPr>
              <w:tabs>
                <w:tab w:val="left" w:pos="3375"/>
              </w:tabs>
              <w:rPr>
                <w:rFonts w:ascii="Arial" w:hAnsi="Arial" w:cs="Arial"/>
                <w:b/>
                <w:sz w:val="20"/>
                <w:szCs w:val="20"/>
              </w:rPr>
            </w:pPr>
            <w:r w:rsidRPr="008A26D2">
              <w:rPr>
                <w:rFonts w:ascii="Arial" w:hAnsi="Arial" w:cs="Arial"/>
                <w:b/>
                <w:sz w:val="20"/>
                <w:szCs w:val="20"/>
              </w:rPr>
              <w:t xml:space="preserve"> Alcance del servicio </w:t>
            </w:r>
          </w:p>
        </w:tc>
        <w:tc>
          <w:tcPr>
            <w:tcW w:w="6400"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C006ED7" w14:textId="77777777" w:rsidR="008B1087" w:rsidRPr="008A26D2" w:rsidRDefault="008B1087" w:rsidP="008B1087">
            <w:pPr>
              <w:tabs>
                <w:tab w:val="left" w:pos="3375"/>
              </w:tabs>
              <w:ind w:left="128"/>
              <w:rPr>
                <w:rFonts w:ascii="Arial" w:hAnsi="Arial" w:cs="Arial"/>
                <w:sz w:val="20"/>
                <w:szCs w:val="20"/>
              </w:rPr>
            </w:pPr>
            <w:r w:rsidRPr="008A26D2">
              <w:rPr>
                <w:rFonts w:ascii="Arial" w:hAnsi="Arial" w:cs="Arial"/>
                <w:sz w:val="20"/>
                <w:szCs w:val="20"/>
              </w:rPr>
              <w:t>Nacional.</w:t>
            </w:r>
          </w:p>
        </w:tc>
      </w:tr>
      <w:tr w:rsidR="008A26D2" w:rsidRPr="008A26D2" w14:paraId="115C8C61" w14:textId="77777777" w:rsidTr="0072651A">
        <w:trPr>
          <w:trHeight w:val="500"/>
          <w:jc w:val="center"/>
        </w:trPr>
        <w:tc>
          <w:tcPr>
            <w:tcW w:w="20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797A3A3" w14:textId="77777777" w:rsidR="008B1087" w:rsidRPr="008A26D2" w:rsidRDefault="008B1087" w:rsidP="008B1087">
            <w:pPr>
              <w:tabs>
                <w:tab w:val="left" w:pos="3375"/>
              </w:tabs>
              <w:rPr>
                <w:rFonts w:ascii="Arial" w:hAnsi="Arial" w:cs="Arial"/>
                <w:b/>
                <w:sz w:val="20"/>
                <w:szCs w:val="20"/>
              </w:rPr>
            </w:pPr>
            <w:r w:rsidRPr="008A26D2">
              <w:rPr>
                <w:rFonts w:ascii="Arial" w:hAnsi="Arial" w:cs="Arial"/>
                <w:b/>
                <w:sz w:val="20"/>
                <w:szCs w:val="20"/>
              </w:rPr>
              <w:t xml:space="preserve"> Estándar (es) de cumplimiento</w:t>
            </w:r>
          </w:p>
        </w:tc>
        <w:tc>
          <w:tcPr>
            <w:tcW w:w="6400"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tcPr>
          <w:p w14:paraId="2F6D5B83" w14:textId="77777777" w:rsidR="008B1087" w:rsidRPr="008A26D2" w:rsidRDefault="008B1087" w:rsidP="008B1087">
            <w:pPr>
              <w:tabs>
                <w:tab w:val="left" w:pos="3375"/>
              </w:tabs>
              <w:spacing w:after="0" w:line="240" w:lineRule="auto"/>
              <w:ind w:left="130"/>
              <w:rPr>
                <w:rFonts w:ascii="Arial" w:eastAsia="Arial Narrow" w:hAnsi="Arial" w:cs="Arial"/>
                <w:sz w:val="20"/>
                <w:szCs w:val="20"/>
              </w:rPr>
            </w:pPr>
            <w:r w:rsidRPr="008A26D2">
              <w:rPr>
                <w:rFonts w:ascii="Arial" w:eastAsia="Arial Narrow" w:hAnsi="Arial" w:cs="Arial"/>
                <w:sz w:val="20"/>
                <w:szCs w:val="20"/>
              </w:rPr>
              <w:t>Fiabilidad</w:t>
            </w:r>
          </w:p>
        </w:tc>
      </w:tr>
      <w:tr w:rsidR="008A26D2" w:rsidRPr="008A26D2" w14:paraId="0F8C0506" w14:textId="77777777" w:rsidTr="0072651A">
        <w:trPr>
          <w:trHeight w:val="300"/>
          <w:jc w:val="center"/>
        </w:trPr>
        <w:tc>
          <w:tcPr>
            <w:tcW w:w="20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6822C46" w14:textId="77777777" w:rsidR="008B1087" w:rsidRPr="008A26D2" w:rsidRDefault="008B1087" w:rsidP="008B1087">
            <w:pPr>
              <w:tabs>
                <w:tab w:val="left" w:pos="3375"/>
              </w:tabs>
              <w:rPr>
                <w:rFonts w:ascii="Arial" w:hAnsi="Arial" w:cs="Arial"/>
                <w:b/>
                <w:sz w:val="20"/>
                <w:szCs w:val="20"/>
              </w:rPr>
            </w:pPr>
            <w:r w:rsidRPr="008A26D2">
              <w:rPr>
                <w:rFonts w:ascii="Arial" w:hAnsi="Arial" w:cs="Arial"/>
                <w:b/>
                <w:sz w:val="20"/>
                <w:szCs w:val="20"/>
              </w:rPr>
              <w:t xml:space="preserve"> Descripción del estándar</w:t>
            </w:r>
          </w:p>
        </w:tc>
        <w:tc>
          <w:tcPr>
            <w:tcW w:w="6400"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35" w:type="dxa"/>
              <w:bottom w:w="0" w:type="dxa"/>
              <w:right w:w="15" w:type="dxa"/>
            </w:tcMar>
            <w:vAlign w:val="center"/>
          </w:tcPr>
          <w:p w14:paraId="6AE93465" w14:textId="5C53A6C5" w:rsidR="008B1087" w:rsidRPr="008A26D2" w:rsidRDefault="008B1087" w:rsidP="008B1087">
            <w:pPr>
              <w:pBdr>
                <w:top w:val="nil"/>
                <w:left w:val="nil"/>
                <w:bottom w:val="nil"/>
                <w:right w:val="nil"/>
                <w:between w:val="nil"/>
              </w:pBdr>
              <w:spacing w:after="0" w:line="240" w:lineRule="auto"/>
              <w:jc w:val="both"/>
              <w:rPr>
                <w:rFonts w:ascii="Arial" w:eastAsia="Times New Roman" w:hAnsi="Arial" w:cs="Arial"/>
                <w:sz w:val="20"/>
                <w:szCs w:val="20"/>
                <w:lang w:val="es-ES"/>
              </w:rPr>
            </w:pPr>
            <w:r w:rsidRPr="008A26D2">
              <w:rPr>
                <w:rFonts w:ascii="Arial" w:eastAsia="Times New Roman" w:hAnsi="Arial" w:cs="Arial"/>
                <w:sz w:val="20"/>
                <w:szCs w:val="20"/>
                <w:lang w:val="es-ES"/>
              </w:rPr>
              <w:t xml:space="preserve">El estándar busca que la asistencia técnica se brinde conforme la </w:t>
            </w:r>
            <w:r w:rsidRPr="008A26D2">
              <w:rPr>
                <w:rFonts w:ascii="Arial" w:eastAsia="Arial Narrow" w:hAnsi="Arial" w:cs="Arial"/>
                <w:sz w:val="20"/>
                <w:szCs w:val="20"/>
              </w:rPr>
              <w:t xml:space="preserve">norma para la gestión del proceso de capacitación en las entidades públicas aprobado por Resolución de Presidencia Ejecutiva Nº 141-2016-SERVIR-PE. Asimismo, se toma en cuenta </w:t>
            </w:r>
            <w:r w:rsidRPr="008A26D2">
              <w:rPr>
                <w:rFonts w:ascii="Arial" w:eastAsia="Times New Roman" w:hAnsi="Arial" w:cs="Arial"/>
                <w:sz w:val="20"/>
                <w:szCs w:val="20"/>
                <w:lang w:val="es-ES"/>
              </w:rPr>
              <w:t xml:space="preserve">la Ficha técnica de </w:t>
            </w:r>
            <w:r w:rsidRPr="008A26D2">
              <w:rPr>
                <w:rFonts w:ascii="Arial" w:eastAsia="Arial Narrow" w:hAnsi="Arial" w:cs="Arial"/>
                <w:sz w:val="20"/>
                <w:szCs w:val="20"/>
              </w:rPr>
              <w:t>Zonificación Ecológica y Económica</w:t>
            </w:r>
            <w:r w:rsidRPr="008A26D2">
              <w:rPr>
                <w:rFonts w:ascii="Arial" w:eastAsia="Times New Roman" w:hAnsi="Arial" w:cs="Arial"/>
                <w:sz w:val="20"/>
                <w:szCs w:val="20"/>
                <w:lang w:val="es-ES"/>
              </w:rPr>
              <w:t xml:space="preserve"> (Seguimiento y Monitoreo a los procesos de ordenamiento Territorial conforme el Memorandum Múltiple N° 050-2013-DVMDERN/MINAM) lo que permite evitar errores en la entrega del servicio.</w:t>
            </w:r>
          </w:p>
        </w:tc>
      </w:tr>
      <w:tr w:rsidR="008B1087" w:rsidRPr="008A26D2" w14:paraId="7E2444C8" w14:textId="77777777" w:rsidTr="0072651A">
        <w:trPr>
          <w:trHeight w:val="491"/>
          <w:jc w:val="center"/>
        </w:trPr>
        <w:tc>
          <w:tcPr>
            <w:tcW w:w="20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9A97440" w14:textId="214444CA" w:rsidR="008B1087" w:rsidRPr="008A26D2" w:rsidRDefault="008B1087" w:rsidP="008B1087">
            <w:pPr>
              <w:tabs>
                <w:tab w:val="left" w:pos="3375"/>
              </w:tabs>
              <w:rPr>
                <w:rFonts w:ascii="Arial" w:hAnsi="Arial" w:cs="Arial"/>
                <w:b/>
                <w:sz w:val="20"/>
                <w:szCs w:val="20"/>
              </w:rPr>
            </w:pPr>
            <w:r w:rsidRPr="008A26D2">
              <w:rPr>
                <w:rFonts w:ascii="Arial" w:hAnsi="Arial" w:cs="Arial"/>
                <w:b/>
                <w:sz w:val="20"/>
                <w:szCs w:val="20"/>
              </w:rPr>
              <w:t>Indicador de calidad</w:t>
            </w:r>
          </w:p>
        </w:tc>
        <w:tc>
          <w:tcPr>
            <w:tcW w:w="6400"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4DD7026" w14:textId="77777777" w:rsidR="008B1087" w:rsidRPr="008A26D2" w:rsidRDefault="008B1087" w:rsidP="008B1087">
            <w:pPr>
              <w:tabs>
                <w:tab w:val="left" w:pos="3375"/>
              </w:tabs>
              <w:ind w:left="128"/>
              <w:rPr>
                <w:rFonts w:ascii="Arial" w:hAnsi="Arial" w:cs="Arial"/>
                <w:sz w:val="20"/>
                <w:szCs w:val="20"/>
              </w:rPr>
            </w:pPr>
            <w:r w:rsidRPr="008A26D2">
              <w:rPr>
                <w:rFonts w:ascii="Arial" w:hAnsi="Arial" w:cs="Arial"/>
                <w:sz w:val="20"/>
                <w:szCs w:val="20"/>
              </w:rPr>
              <w:t>Porcentaje de gobiernos regionales que han recibido asistencia técnica para la generación de información sobre las potencialidades y limitaciones del territorio de forma fiable.</w:t>
            </w:r>
          </w:p>
        </w:tc>
      </w:tr>
    </w:tbl>
    <w:p w14:paraId="05D54DA2" w14:textId="52F24A6D" w:rsidR="00285453" w:rsidRPr="008A26D2" w:rsidRDefault="00285453">
      <w:pPr>
        <w:rPr>
          <w:rFonts w:ascii="Arial Narrow" w:eastAsia="Arial Narrow" w:hAnsi="Arial Narrow" w:cs="Arial Narrow"/>
          <w:b/>
        </w:rPr>
      </w:pPr>
    </w:p>
    <w:p w14:paraId="341E1F26" w14:textId="58E30BD7" w:rsidR="00285453" w:rsidRPr="008A26D2" w:rsidRDefault="00285453">
      <w:pPr>
        <w:rPr>
          <w:rFonts w:ascii="Arial Narrow" w:eastAsia="Arial Narrow" w:hAnsi="Arial Narrow" w:cs="Arial Narrow"/>
          <w:b/>
        </w:rPr>
      </w:pPr>
    </w:p>
    <w:p w14:paraId="0A42D199" w14:textId="15E54A9A" w:rsidR="00E457BC" w:rsidRPr="008A26D2" w:rsidRDefault="00385338" w:rsidP="00603F80">
      <w:pPr>
        <w:jc w:val="both"/>
        <w:rPr>
          <w:rFonts w:ascii="Arial" w:eastAsia="Arial Narrow" w:hAnsi="Arial" w:cs="Arial"/>
        </w:rPr>
      </w:pPr>
      <w:r w:rsidRPr="00D04BDA">
        <w:rPr>
          <w:rFonts w:ascii="Arial" w:eastAsia="Arial Narrow" w:hAnsi="Arial" w:cs="Arial"/>
          <w:b/>
          <w:bCs/>
        </w:rPr>
        <w:t>S.3.3.4.</w:t>
      </w:r>
      <w:r w:rsidRPr="00D04BDA">
        <w:rPr>
          <w:rFonts w:ascii="Arial" w:eastAsia="Arial Narrow" w:hAnsi="Arial" w:cs="Arial"/>
        </w:rPr>
        <w:t xml:space="preserve">  Asistencia técnica para la formulación e implementación de </w:t>
      </w:r>
      <w:r w:rsidR="00905027" w:rsidRPr="00D04BDA">
        <w:rPr>
          <w:rFonts w:ascii="Arial" w:eastAsia="Arial Narrow" w:hAnsi="Arial" w:cs="Arial"/>
        </w:rPr>
        <w:t>p</w:t>
      </w:r>
      <w:r w:rsidRPr="00D04BDA">
        <w:rPr>
          <w:rFonts w:ascii="Arial" w:eastAsia="Arial Narrow" w:hAnsi="Arial" w:cs="Arial"/>
        </w:rPr>
        <w:t xml:space="preserve">lanes de mejora continua e innovación publica de forma pertinente </w:t>
      </w:r>
      <w:r w:rsidR="0059748B" w:rsidRPr="00D04BDA">
        <w:rPr>
          <w:rFonts w:ascii="Arial" w:eastAsia="Arial Narrow" w:hAnsi="Arial" w:cs="Arial"/>
        </w:rPr>
        <w:t xml:space="preserve">dirigida </w:t>
      </w:r>
      <w:r w:rsidRPr="00D04BDA">
        <w:rPr>
          <w:rFonts w:ascii="Arial" w:eastAsia="Arial Narrow" w:hAnsi="Arial" w:cs="Arial"/>
        </w:rPr>
        <w:t>a las Autoridades Regionales Forestales y de Fauna Silvestre</w:t>
      </w:r>
    </w:p>
    <w:tbl>
      <w:tblPr>
        <w:tblW w:w="8347" w:type="dxa"/>
        <w:jc w:val="center"/>
        <w:tblCellMar>
          <w:left w:w="70" w:type="dxa"/>
          <w:right w:w="70" w:type="dxa"/>
        </w:tblCellMar>
        <w:tblLook w:val="04A0" w:firstRow="1" w:lastRow="0" w:firstColumn="1" w:lastColumn="0" w:noHBand="0" w:noVBand="1"/>
      </w:tblPr>
      <w:tblGrid>
        <w:gridCol w:w="1767"/>
        <w:gridCol w:w="2193"/>
        <w:gridCol w:w="2193"/>
        <w:gridCol w:w="2194"/>
      </w:tblGrid>
      <w:tr w:rsidR="008A26D2" w:rsidRPr="008A26D2" w14:paraId="5D6F79C3" w14:textId="77777777" w:rsidTr="00385338">
        <w:trPr>
          <w:trHeight w:val="141"/>
          <w:jc w:val="center"/>
        </w:trPr>
        <w:tc>
          <w:tcPr>
            <w:tcW w:w="8347"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AB50437" w14:textId="015A5B12" w:rsidR="00385338" w:rsidRPr="008A26D2" w:rsidRDefault="00385338" w:rsidP="0072651A">
            <w:pPr>
              <w:jc w:val="center"/>
              <w:rPr>
                <w:rFonts w:ascii="Arial" w:eastAsia="Times New Roman" w:hAnsi="Arial" w:cs="Arial"/>
                <w:b/>
                <w:bCs/>
                <w:sz w:val="20"/>
                <w:szCs w:val="20"/>
              </w:rPr>
            </w:pPr>
            <w:r w:rsidRPr="008A26D2">
              <w:rPr>
                <w:rFonts w:ascii="Arial" w:eastAsia="Times New Roman" w:hAnsi="Arial" w:cs="Arial"/>
                <w:b/>
                <w:bCs/>
                <w:sz w:val="20"/>
                <w:szCs w:val="20"/>
                <w:shd w:val="clear" w:color="auto" w:fill="D9D9D9" w:themeFill="background1" w:themeFillShade="D9"/>
              </w:rPr>
              <w:t xml:space="preserve">FICHA DEL SERVICIO  </w:t>
            </w:r>
          </w:p>
        </w:tc>
      </w:tr>
      <w:tr w:rsidR="008A26D2" w:rsidRPr="008A26D2" w14:paraId="49D585D6" w14:textId="77777777" w:rsidTr="00385338">
        <w:trPr>
          <w:trHeight w:val="549"/>
          <w:jc w:val="center"/>
        </w:trPr>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189F0822" w14:textId="77777777" w:rsidR="00385338" w:rsidRPr="008A26D2" w:rsidRDefault="00385338" w:rsidP="0072651A">
            <w:pPr>
              <w:tabs>
                <w:tab w:val="left" w:pos="3375"/>
              </w:tabs>
              <w:rPr>
                <w:rFonts w:ascii="Arial" w:eastAsia="Arial Narrow" w:hAnsi="Arial" w:cs="Arial"/>
                <w:b/>
                <w:sz w:val="20"/>
                <w:szCs w:val="20"/>
              </w:rPr>
            </w:pPr>
            <w:r w:rsidRPr="008A26D2">
              <w:rPr>
                <w:rFonts w:ascii="Arial" w:eastAsia="Arial Narrow" w:hAnsi="Arial" w:cs="Arial"/>
                <w:b/>
                <w:sz w:val="20"/>
                <w:szCs w:val="20"/>
              </w:rPr>
              <w:t>Objetivo prioritario:</w:t>
            </w:r>
          </w:p>
        </w:tc>
        <w:tc>
          <w:tcPr>
            <w:tcW w:w="658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807AF1C" w14:textId="77777777" w:rsidR="00385338" w:rsidRPr="00D04BDA" w:rsidRDefault="00385338" w:rsidP="0072651A">
            <w:pPr>
              <w:tabs>
                <w:tab w:val="left" w:pos="3375"/>
              </w:tabs>
              <w:jc w:val="both"/>
              <w:rPr>
                <w:rFonts w:ascii="Arial" w:eastAsia="Arial Narrow" w:hAnsi="Arial" w:cs="Arial"/>
                <w:sz w:val="20"/>
                <w:szCs w:val="20"/>
              </w:rPr>
            </w:pPr>
            <w:r w:rsidRPr="00D04BDA">
              <w:rPr>
                <w:rFonts w:ascii="Arial" w:eastAsia="Arial Narrow" w:hAnsi="Arial" w:cs="Arial"/>
                <w:sz w:val="20"/>
                <w:szCs w:val="20"/>
              </w:rPr>
              <w:t xml:space="preserve">OP3. Fortalecer la gobernanza forestal y de fauna silvestre. </w:t>
            </w:r>
          </w:p>
        </w:tc>
      </w:tr>
      <w:tr w:rsidR="008A26D2" w:rsidRPr="008A26D2" w14:paraId="0AE36A88" w14:textId="77777777" w:rsidTr="00385338">
        <w:trPr>
          <w:trHeight w:val="627"/>
          <w:jc w:val="center"/>
        </w:trPr>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1F7C3338" w14:textId="77777777" w:rsidR="00385338" w:rsidRPr="008A26D2" w:rsidRDefault="00385338" w:rsidP="0072651A">
            <w:pPr>
              <w:tabs>
                <w:tab w:val="left" w:pos="3375"/>
              </w:tabs>
              <w:rPr>
                <w:rFonts w:ascii="Arial" w:eastAsia="Arial Narrow" w:hAnsi="Arial" w:cs="Arial"/>
                <w:b/>
                <w:sz w:val="20"/>
                <w:szCs w:val="20"/>
              </w:rPr>
            </w:pPr>
            <w:r w:rsidRPr="008A26D2">
              <w:rPr>
                <w:rFonts w:ascii="Arial" w:eastAsia="Arial Narrow" w:hAnsi="Arial" w:cs="Arial"/>
                <w:b/>
                <w:sz w:val="20"/>
                <w:szCs w:val="20"/>
              </w:rPr>
              <w:t>Lineamiento:</w:t>
            </w:r>
          </w:p>
        </w:tc>
        <w:tc>
          <w:tcPr>
            <w:tcW w:w="658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AC5A1F7" w14:textId="77777777" w:rsidR="00385338" w:rsidRPr="00D04BDA" w:rsidRDefault="00385338" w:rsidP="0072651A">
            <w:pPr>
              <w:tabs>
                <w:tab w:val="left" w:pos="3375"/>
              </w:tabs>
              <w:jc w:val="both"/>
              <w:rPr>
                <w:rFonts w:ascii="Arial" w:eastAsia="Arial Narrow" w:hAnsi="Arial" w:cs="Arial"/>
                <w:sz w:val="20"/>
                <w:szCs w:val="20"/>
              </w:rPr>
            </w:pPr>
            <w:r w:rsidRPr="00D04BDA">
              <w:rPr>
                <w:rFonts w:ascii="Arial" w:eastAsia="Arial Narrow" w:hAnsi="Arial" w:cs="Arial"/>
                <w:sz w:val="20"/>
                <w:szCs w:val="20"/>
              </w:rPr>
              <w:t>L.3.3.  Gestionar la información y el conocimiento en materia forestal y de fauna silvestre producido por los actores forestales y de fauna silvestre</w:t>
            </w:r>
          </w:p>
        </w:tc>
      </w:tr>
      <w:tr w:rsidR="008A26D2" w:rsidRPr="008A26D2" w14:paraId="6834CBA4" w14:textId="77777777" w:rsidTr="00385338">
        <w:trPr>
          <w:trHeight w:val="609"/>
          <w:jc w:val="center"/>
        </w:trPr>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517AA92A" w14:textId="77777777" w:rsidR="00385338" w:rsidRPr="00D04BDA" w:rsidRDefault="00385338" w:rsidP="0072651A">
            <w:pPr>
              <w:tabs>
                <w:tab w:val="left" w:pos="3375"/>
              </w:tabs>
              <w:rPr>
                <w:rFonts w:ascii="Arial" w:eastAsia="Arial Narrow" w:hAnsi="Arial" w:cs="Arial"/>
                <w:b/>
                <w:sz w:val="20"/>
                <w:szCs w:val="20"/>
              </w:rPr>
            </w:pPr>
            <w:r w:rsidRPr="00D04BDA">
              <w:rPr>
                <w:rFonts w:ascii="Arial" w:eastAsia="Arial Narrow" w:hAnsi="Arial" w:cs="Arial"/>
                <w:b/>
                <w:sz w:val="20"/>
                <w:szCs w:val="20"/>
              </w:rPr>
              <w:t>Nombre del servicio:</w:t>
            </w:r>
          </w:p>
        </w:tc>
        <w:tc>
          <w:tcPr>
            <w:tcW w:w="658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9B88E37" w14:textId="18EE7E23" w:rsidR="00385338" w:rsidRPr="00D04BDA" w:rsidRDefault="00385338" w:rsidP="0072651A">
            <w:pPr>
              <w:tabs>
                <w:tab w:val="left" w:pos="3375"/>
              </w:tabs>
              <w:jc w:val="both"/>
              <w:rPr>
                <w:rFonts w:ascii="Arial" w:eastAsia="Arial Narrow" w:hAnsi="Arial" w:cs="Arial"/>
                <w:sz w:val="20"/>
                <w:szCs w:val="20"/>
              </w:rPr>
            </w:pPr>
            <w:r w:rsidRPr="00D04BDA">
              <w:rPr>
                <w:rFonts w:ascii="Arial" w:eastAsia="Arial Narrow" w:hAnsi="Arial" w:cs="Arial"/>
                <w:sz w:val="20"/>
                <w:szCs w:val="20"/>
              </w:rPr>
              <w:t xml:space="preserve">S.3.3.4.  Asistencia técnica para la formulación e implementación de </w:t>
            </w:r>
            <w:r w:rsidR="0059748B" w:rsidRPr="00D04BDA">
              <w:rPr>
                <w:rFonts w:ascii="Arial" w:eastAsia="Arial Narrow" w:hAnsi="Arial" w:cs="Arial"/>
                <w:sz w:val="20"/>
                <w:szCs w:val="20"/>
              </w:rPr>
              <w:t>p</w:t>
            </w:r>
            <w:r w:rsidRPr="00D04BDA">
              <w:rPr>
                <w:rFonts w:ascii="Arial" w:eastAsia="Arial Narrow" w:hAnsi="Arial" w:cs="Arial"/>
                <w:sz w:val="20"/>
                <w:szCs w:val="20"/>
              </w:rPr>
              <w:t>lanes de mejora continua e innovación p</w:t>
            </w:r>
            <w:r w:rsidR="00033956" w:rsidRPr="00D04BDA">
              <w:rPr>
                <w:rFonts w:ascii="Arial" w:eastAsia="Arial Narrow" w:hAnsi="Arial" w:cs="Arial"/>
                <w:sz w:val="20"/>
                <w:szCs w:val="20"/>
              </w:rPr>
              <w:t>ú</w:t>
            </w:r>
            <w:r w:rsidRPr="00D04BDA">
              <w:rPr>
                <w:rFonts w:ascii="Arial" w:eastAsia="Arial Narrow" w:hAnsi="Arial" w:cs="Arial"/>
                <w:sz w:val="20"/>
                <w:szCs w:val="20"/>
              </w:rPr>
              <w:t xml:space="preserve">blica de forma pertinente </w:t>
            </w:r>
            <w:r w:rsidR="0059748B" w:rsidRPr="00D04BDA">
              <w:rPr>
                <w:rFonts w:ascii="Arial" w:eastAsia="Arial Narrow" w:hAnsi="Arial" w:cs="Arial"/>
                <w:sz w:val="20"/>
                <w:szCs w:val="20"/>
              </w:rPr>
              <w:t xml:space="preserve">dirigida </w:t>
            </w:r>
            <w:r w:rsidRPr="00D04BDA">
              <w:rPr>
                <w:rFonts w:ascii="Arial" w:eastAsia="Arial Narrow" w:hAnsi="Arial" w:cs="Arial"/>
                <w:sz w:val="20"/>
                <w:szCs w:val="20"/>
              </w:rPr>
              <w:t>a las Autoridades Regionales Forestales y de Fauna Silvestre</w:t>
            </w:r>
          </w:p>
        </w:tc>
      </w:tr>
      <w:tr w:rsidR="008A26D2" w:rsidRPr="008A26D2" w14:paraId="43BB6167" w14:textId="77777777" w:rsidTr="00385338">
        <w:trPr>
          <w:trHeight w:val="357"/>
          <w:jc w:val="center"/>
        </w:trPr>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4C752F7D" w14:textId="77777777" w:rsidR="00385338" w:rsidRPr="008A26D2" w:rsidRDefault="00385338" w:rsidP="0072651A">
            <w:pPr>
              <w:tabs>
                <w:tab w:val="left" w:pos="3375"/>
              </w:tabs>
              <w:rPr>
                <w:rFonts w:ascii="Arial" w:eastAsia="Arial Narrow" w:hAnsi="Arial" w:cs="Arial"/>
                <w:b/>
                <w:sz w:val="20"/>
                <w:szCs w:val="20"/>
              </w:rPr>
            </w:pPr>
            <w:r w:rsidRPr="008A26D2">
              <w:rPr>
                <w:rFonts w:ascii="Arial" w:eastAsia="Arial Narrow" w:hAnsi="Arial" w:cs="Arial"/>
                <w:b/>
                <w:sz w:val="20"/>
                <w:szCs w:val="20"/>
              </w:rPr>
              <w:t>Tipo de servicio:</w:t>
            </w:r>
          </w:p>
        </w:tc>
        <w:tc>
          <w:tcPr>
            <w:tcW w:w="6580" w:type="dxa"/>
            <w:gridSpan w:val="3"/>
            <w:tcBorders>
              <w:top w:val="single" w:sz="4" w:space="0" w:color="auto"/>
              <w:left w:val="single" w:sz="4" w:space="0" w:color="auto"/>
              <w:bottom w:val="single" w:sz="4" w:space="0" w:color="auto"/>
              <w:right w:val="single" w:sz="4" w:space="0" w:color="auto"/>
            </w:tcBorders>
            <w:shd w:val="clear" w:color="auto" w:fill="auto"/>
          </w:tcPr>
          <w:p w14:paraId="46ABB13E" w14:textId="77777777" w:rsidR="00385338" w:rsidRPr="008A26D2" w:rsidRDefault="00385338" w:rsidP="0072651A">
            <w:pPr>
              <w:tabs>
                <w:tab w:val="left" w:pos="3375"/>
              </w:tabs>
              <w:jc w:val="both"/>
              <w:rPr>
                <w:rFonts w:ascii="Arial" w:eastAsia="Arial Narrow" w:hAnsi="Arial" w:cs="Arial"/>
                <w:sz w:val="20"/>
                <w:szCs w:val="20"/>
              </w:rPr>
            </w:pPr>
            <w:r w:rsidRPr="008A26D2">
              <w:rPr>
                <w:rFonts w:ascii="Arial" w:eastAsia="Arial Narrow" w:hAnsi="Arial" w:cs="Arial"/>
                <w:sz w:val="20"/>
                <w:szCs w:val="20"/>
              </w:rPr>
              <w:t>Nuevo</w:t>
            </w:r>
          </w:p>
        </w:tc>
      </w:tr>
      <w:tr w:rsidR="008A26D2" w:rsidRPr="008A26D2" w14:paraId="3850D959" w14:textId="77777777" w:rsidTr="00893056">
        <w:trPr>
          <w:trHeight w:val="357"/>
          <w:jc w:val="center"/>
        </w:trPr>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14FB7B59" w14:textId="4C27EB92" w:rsidR="008B1087" w:rsidRPr="008A26D2" w:rsidRDefault="008B1087" w:rsidP="008B1087">
            <w:pPr>
              <w:tabs>
                <w:tab w:val="left" w:pos="3375"/>
              </w:tabs>
              <w:rPr>
                <w:rFonts w:ascii="Arial" w:eastAsia="Arial Narrow" w:hAnsi="Arial" w:cs="Arial"/>
                <w:b/>
                <w:sz w:val="20"/>
                <w:szCs w:val="20"/>
              </w:rPr>
            </w:pPr>
            <w:r w:rsidRPr="008A26D2">
              <w:rPr>
                <w:rFonts w:ascii="Arial" w:hAnsi="Arial" w:cs="Arial"/>
                <w:b/>
                <w:sz w:val="20"/>
                <w:szCs w:val="20"/>
              </w:rPr>
              <w:t>Naturaleza del servicio:</w:t>
            </w:r>
          </w:p>
        </w:tc>
        <w:tc>
          <w:tcPr>
            <w:tcW w:w="658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EB7B2BE" w14:textId="78737884" w:rsidR="008B1087" w:rsidRPr="008A26D2" w:rsidRDefault="00B62C32" w:rsidP="008B1087">
            <w:pPr>
              <w:tabs>
                <w:tab w:val="left" w:pos="3375"/>
              </w:tabs>
              <w:jc w:val="both"/>
              <w:rPr>
                <w:rFonts w:ascii="Arial" w:eastAsia="Arial Narrow" w:hAnsi="Arial" w:cs="Arial"/>
                <w:sz w:val="20"/>
                <w:szCs w:val="20"/>
              </w:rPr>
            </w:pPr>
            <w:r w:rsidRPr="008A26D2">
              <w:rPr>
                <w:rFonts w:ascii="Arial" w:eastAsia="Arial Narrow" w:hAnsi="Arial" w:cs="Arial"/>
                <w:sz w:val="20"/>
                <w:szCs w:val="20"/>
              </w:rPr>
              <w:t>A</w:t>
            </w:r>
            <w:r w:rsidR="008B1087" w:rsidRPr="008A26D2">
              <w:rPr>
                <w:rFonts w:ascii="Arial" w:eastAsia="Arial Narrow" w:hAnsi="Arial" w:cs="Arial"/>
                <w:sz w:val="20"/>
                <w:szCs w:val="20"/>
              </w:rPr>
              <w:t>dministrativo</w:t>
            </w:r>
          </w:p>
        </w:tc>
      </w:tr>
      <w:tr w:rsidR="008A26D2" w:rsidRPr="008A26D2" w14:paraId="7F85D67D" w14:textId="77777777" w:rsidTr="00893056">
        <w:trPr>
          <w:trHeight w:val="357"/>
          <w:jc w:val="center"/>
        </w:trPr>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278ACB4C" w14:textId="3A8318C7" w:rsidR="008B1087" w:rsidRPr="008A26D2" w:rsidRDefault="008B1087" w:rsidP="008B1087">
            <w:pPr>
              <w:tabs>
                <w:tab w:val="left" w:pos="3375"/>
              </w:tabs>
              <w:rPr>
                <w:rFonts w:ascii="Arial" w:eastAsia="Arial Narrow" w:hAnsi="Arial" w:cs="Arial"/>
                <w:b/>
                <w:sz w:val="20"/>
                <w:szCs w:val="20"/>
              </w:rPr>
            </w:pPr>
            <w:r w:rsidRPr="008A26D2">
              <w:rPr>
                <w:rFonts w:ascii="Arial" w:hAnsi="Arial" w:cs="Arial"/>
                <w:b/>
                <w:sz w:val="20"/>
                <w:szCs w:val="20"/>
              </w:rPr>
              <w:t>Entrega del servicio</w:t>
            </w:r>
          </w:p>
        </w:tc>
        <w:tc>
          <w:tcPr>
            <w:tcW w:w="658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2A5D916" w14:textId="648214E9" w:rsidR="008B1087" w:rsidRPr="008A26D2" w:rsidRDefault="008B1087" w:rsidP="008B1087">
            <w:pPr>
              <w:tabs>
                <w:tab w:val="left" w:pos="3375"/>
              </w:tabs>
              <w:jc w:val="both"/>
              <w:rPr>
                <w:rFonts w:ascii="Arial" w:eastAsia="Arial Narrow" w:hAnsi="Arial" w:cs="Arial"/>
                <w:sz w:val="20"/>
                <w:szCs w:val="20"/>
              </w:rPr>
            </w:pPr>
            <w:r w:rsidRPr="008A26D2">
              <w:rPr>
                <w:rFonts w:ascii="Arial" w:eastAsia="Arial Narrow" w:hAnsi="Arial" w:cs="Arial"/>
                <w:sz w:val="20"/>
                <w:szCs w:val="20"/>
              </w:rPr>
              <w:t xml:space="preserve">Competencia exclusiva </w:t>
            </w:r>
          </w:p>
        </w:tc>
      </w:tr>
      <w:tr w:rsidR="008A26D2" w:rsidRPr="008A26D2" w14:paraId="65451507" w14:textId="77777777" w:rsidTr="00385338">
        <w:trPr>
          <w:trHeight w:val="1033"/>
          <w:jc w:val="center"/>
        </w:trPr>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06948A02" w14:textId="77777777" w:rsidR="008B1087" w:rsidRPr="008A26D2" w:rsidRDefault="008B1087" w:rsidP="008B1087">
            <w:pPr>
              <w:tabs>
                <w:tab w:val="left" w:pos="3375"/>
              </w:tabs>
              <w:rPr>
                <w:rFonts w:ascii="Arial" w:eastAsia="Arial Narrow" w:hAnsi="Arial" w:cs="Arial"/>
                <w:b/>
                <w:sz w:val="20"/>
                <w:szCs w:val="20"/>
              </w:rPr>
            </w:pPr>
            <w:r w:rsidRPr="008A26D2">
              <w:rPr>
                <w:rFonts w:ascii="Arial" w:eastAsia="Arial Narrow" w:hAnsi="Arial" w:cs="Arial"/>
                <w:b/>
                <w:sz w:val="20"/>
                <w:szCs w:val="20"/>
              </w:rPr>
              <w:lastRenderedPageBreak/>
              <w:t>Descripción del servicio:</w:t>
            </w:r>
          </w:p>
        </w:tc>
        <w:tc>
          <w:tcPr>
            <w:tcW w:w="6580" w:type="dxa"/>
            <w:gridSpan w:val="3"/>
            <w:tcBorders>
              <w:top w:val="single" w:sz="4" w:space="0" w:color="auto"/>
              <w:left w:val="single" w:sz="4" w:space="0" w:color="auto"/>
              <w:bottom w:val="single" w:sz="4" w:space="0" w:color="auto"/>
              <w:right w:val="single" w:sz="4" w:space="0" w:color="auto"/>
            </w:tcBorders>
            <w:shd w:val="clear" w:color="auto" w:fill="auto"/>
          </w:tcPr>
          <w:p w14:paraId="4C7C4AC4" w14:textId="77777777" w:rsidR="00E6409D" w:rsidRPr="00846D49" w:rsidRDefault="008B1087" w:rsidP="008B1087">
            <w:pPr>
              <w:tabs>
                <w:tab w:val="left" w:pos="3375"/>
              </w:tabs>
              <w:jc w:val="both"/>
              <w:rPr>
                <w:rFonts w:ascii="Arial" w:eastAsia="Arial Narrow" w:hAnsi="Arial" w:cs="Arial"/>
                <w:sz w:val="20"/>
                <w:szCs w:val="20"/>
              </w:rPr>
            </w:pPr>
            <w:r w:rsidRPr="008A26D2">
              <w:rPr>
                <w:rFonts w:ascii="Arial" w:eastAsia="Arial Narrow" w:hAnsi="Arial" w:cs="Arial"/>
                <w:sz w:val="20"/>
                <w:szCs w:val="20"/>
              </w:rPr>
              <w:t>El servicio consiste en la realización de sesiones de intercambio de conocimiento</w:t>
            </w:r>
            <w:r w:rsidRPr="008A26D2">
              <w:rPr>
                <w:rStyle w:val="Refdenotaalpie"/>
                <w:rFonts w:ascii="Arial" w:eastAsia="Arial Narrow" w:hAnsi="Arial" w:cs="Arial"/>
                <w:sz w:val="20"/>
                <w:szCs w:val="20"/>
              </w:rPr>
              <w:footnoteReference w:id="3"/>
            </w:r>
            <w:r w:rsidRPr="008A26D2">
              <w:rPr>
                <w:rFonts w:ascii="Arial" w:eastAsia="Arial Narrow" w:hAnsi="Arial" w:cs="Arial"/>
                <w:sz w:val="20"/>
                <w:szCs w:val="20"/>
              </w:rPr>
              <w:t xml:space="preserve"> entre los servidores de las Autoridades Forestales y de Fauna Silvestre, especialistas de diversas instituciones públicas y privadas quienes identifican problemas públicos en la gestión sostenible </w:t>
            </w:r>
            <w:r w:rsidRPr="00846D49">
              <w:rPr>
                <w:rFonts w:ascii="Arial" w:eastAsia="Arial Narrow" w:hAnsi="Arial" w:cs="Arial"/>
                <w:sz w:val="20"/>
                <w:szCs w:val="20"/>
              </w:rPr>
              <w:t>forestal y de fauna silvestre y organizan una planificación concertada y colaborativa que responda a las características territoriales, culturales, sociales y ambientales de cada territorio o departamento.</w:t>
            </w:r>
          </w:p>
          <w:p w14:paraId="0463BDF0" w14:textId="782ACADA" w:rsidR="00E6409D" w:rsidRPr="00846D49" w:rsidRDefault="00E6409D" w:rsidP="00E6409D">
            <w:pPr>
              <w:tabs>
                <w:tab w:val="left" w:pos="3375"/>
              </w:tabs>
              <w:jc w:val="both"/>
              <w:rPr>
                <w:rFonts w:ascii="Arial" w:eastAsia="Arial Narrow" w:hAnsi="Arial" w:cs="Arial"/>
                <w:sz w:val="20"/>
                <w:szCs w:val="20"/>
              </w:rPr>
            </w:pPr>
            <w:r w:rsidRPr="00846D49">
              <w:rPr>
                <w:rFonts w:ascii="Arial" w:eastAsia="Arial Narrow" w:hAnsi="Arial" w:cs="Arial"/>
                <w:sz w:val="20"/>
                <w:szCs w:val="20"/>
              </w:rPr>
              <w:t xml:space="preserve">La gestión de la información y el conocimiento implica la formulación y ejecución de </w:t>
            </w:r>
            <w:r w:rsidR="00AE3622" w:rsidRPr="00846D49">
              <w:rPr>
                <w:rFonts w:ascii="Arial" w:eastAsia="Arial Narrow" w:hAnsi="Arial" w:cs="Arial"/>
                <w:sz w:val="20"/>
                <w:szCs w:val="20"/>
              </w:rPr>
              <w:t xml:space="preserve">los </w:t>
            </w:r>
            <w:r w:rsidRPr="00846D49">
              <w:rPr>
                <w:rFonts w:ascii="Arial" w:eastAsia="Arial Narrow" w:hAnsi="Arial" w:cs="Arial"/>
                <w:sz w:val="20"/>
                <w:szCs w:val="20"/>
              </w:rPr>
              <w:t>planes de mejora debido a que contribuirá</w:t>
            </w:r>
            <w:r w:rsidR="00AE3622" w:rsidRPr="00846D49">
              <w:rPr>
                <w:rFonts w:ascii="Arial" w:eastAsia="Arial Narrow" w:hAnsi="Arial" w:cs="Arial"/>
                <w:sz w:val="20"/>
                <w:szCs w:val="20"/>
              </w:rPr>
              <w:t>n</w:t>
            </w:r>
            <w:r w:rsidRPr="00846D49">
              <w:rPr>
                <w:rFonts w:ascii="Arial" w:eastAsia="Arial Narrow" w:hAnsi="Arial" w:cs="Arial"/>
                <w:sz w:val="20"/>
                <w:szCs w:val="20"/>
              </w:rPr>
              <w:t xml:space="preserve"> a producir e incorporar conocimiento útil para la gestión de la entidad, propiciando predictibilidad en las decisiones</w:t>
            </w:r>
            <w:r w:rsidR="00AE3622" w:rsidRPr="00846D49">
              <w:rPr>
                <w:rFonts w:ascii="Arial" w:eastAsia="Arial Narrow" w:hAnsi="Arial" w:cs="Arial"/>
                <w:sz w:val="20"/>
                <w:szCs w:val="20"/>
              </w:rPr>
              <w:t>,</w:t>
            </w:r>
            <w:r w:rsidRPr="00846D49">
              <w:rPr>
                <w:rFonts w:ascii="Arial" w:eastAsia="Arial Narrow" w:hAnsi="Arial" w:cs="Arial"/>
                <w:sz w:val="20"/>
                <w:szCs w:val="20"/>
              </w:rPr>
              <w:t xml:space="preserve"> corregir acciones e implementar lecciones aprendidas.</w:t>
            </w:r>
          </w:p>
          <w:p w14:paraId="03176825" w14:textId="4595412F" w:rsidR="00E6409D" w:rsidRPr="00846D49" w:rsidRDefault="00E6409D" w:rsidP="00E6409D">
            <w:pPr>
              <w:tabs>
                <w:tab w:val="left" w:pos="3375"/>
              </w:tabs>
              <w:jc w:val="both"/>
              <w:rPr>
                <w:rFonts w:ascii="Arial" w:eastAsia="Arial Narrow" w:hAnsi="Arial" w:cs="Arial"/>
                <w:sz w:val="20"/>
                <w:szCs w:val="20"/>
              </w:rPr>
            </w:pPr>
            <w:r w:rsidRPr="00846D49">
              <w:rPr>
                <w:rFonts w:ascii="Arial" w:eastAsia="Arial Narrow" w:hAnsi="Arial" w:cs="Arial"/>
                <w:sz w:val="20"/>
                <w:szCs w:val="20"/>
              </w:rPr>
              <w:t xml:space="preserve">Se implementa mediante la identificación y documentación del conocimiento orientado a mejorar la gestión interna y la toma de decisiones de la entidad y facilitar su trazabilidad, así como </w:t>
            </w:r>
            <w:r w:rsidR="00AE3622" w:rsidRPr="00846D49">
              <w:rPr>
                <w:rFonts w:ascii="Arial" w:eastAsia="Arial Narrow" w:hAnsi="Arial" w:cs="Arial"/>
                <w:sz w:val="20"/>
                <w:szCs w:val="20"/>
              </w:rPr>
              <w:t xml:space="preserve">aquellas </w:t>
            </w:r>
            <w:r w:rsidRPr="00846D49">
              <w:rPr>
                <w:rFonts w:ascii="Arial" w:eastAsia="Arial Narrow" w:hAnsi="Arial" w:cs="Arial"/>
                <w:sz w:val="20"/>
                <w:szCs w:val="20"/>
              </w:rPr>
              <w:t xml:space="preserve">vinculadas a </w:t>
            </w:r>
            <w:r w:rsidR="00AE3622" w:rsidRPr="00846D49">
              <w:rPr>
                <w:rFonts w:ascii="Arial" w:eastAsia="Arial Narrow" w:hAnsi="Arial" w:cs="Arial"/>
                <w:sz w:val="20"/>
                <w:szCs w:val="20"/>
              </w:rPr>
              <w:t>la</w:t>
            </w:r>
            <w:r w:rsidRPr="00846D49">
              <w:rPr>
                <w:rFonts w:ascii="Arial" w:eastAsia="Arial Narrow" w:hAnsi="Arial" w:cs="Arial"/>
                <w:sz w:val="20"/>
                <w:szCs w:val="20"/>
              </w:rPr>
              <w:t xml:space="preserve"> difusión y promoción de espacios de intercambio entre servidores o entre entidades públicas para su asimilación y utilización.</w:t>
            </w:r>
          </w:p>
          <w:p w14:paraId="0B7F1D30" w14:textId="4A28321D" w:rsidR="008B1087" w:rsidRPr="008A26D2" w:rsidRDefault="008B1087" w:rsidP="00E6409D">
            <w:pPr>
              <w:tabs>
                <w:tab w:val="left" w:pos="3375"/>
              </w:tabs>
              <w:jc w:val="both"/>
              <w:rPr>
                <w:rFonts w:ascii="Arial" w:eastAsia="Arial Narrow" w:hAnsi="Arial" w:cs="Arial"/>
                <w:sz w:val="20"/>
                <w:szCs w:val="20"/>
              </w:rPr>
            </w:pPr>
            <w:r w:rsidRPr="00846D49">
              <w:rPr>
                <w:rFonts w:ascii="Arial" w:eastAsia="Arial Narrow" w:hAnsi="Arial" w:cs="Arial"/>
                <w:sz w:val="20"/>
                <w:szCs w:val="20"/>
              </w:rPr>
              <w:t>En ese sentido, se incorpora</w:t>
            </w:r>
            <w:r w:rsidR="00E6409D" w:rsidRPr="00846D49">
              <w:rPr>
                <w:rFonts w:ascii="Arial" w:eastAsia="Arial Narrow" w:hAnsi="Arial" w:cs="Arial"/>
                <w:sz w:val="20"/>
                <w:szCs w:val="20"/>
              </w:rPr>
              <w:t>n</w:t>
            </w:r>
            <w:r w:rsidRPr="00846D49">
              <w:rPr>
                <w:rFonts w:ascii="Arial" w:eastAsia="Arial Narrow" w:hAnsi="Arial" w:cs="Arial"/>
                <w:sz w:val="20"/>
                <w:szCs w:val="20"/>
              </w:rPr>
              <w:t xml:space="preserve"> los conocimientos tácitos y explícitos de los especialistas </w:t>
            </w:r>
            <w:r w:rsidR="00E6409D" w:rsidRPr="00846D49">
              <w:rPr>
                <w:rFonts w:ascii="Arial" w:eastAsia="Arial Narrow" w:hAnsi="Arial" w:cs="Arial"/>
                <w:sz w:val="20"/>
                <w:szCs w:val="20"/>
              </w:rPr>
              <w:t>siste</w:t>
            </w:r>
            <w:r w:rsidR="00E6409D">
              <w:rPr>
                <w:rFonts w:ascii="Arial" w:eastAsia="Arial Narrow" w:hAnsi="Arial" w:cs="Arial"/>
                <w:sz w:val="20"/>
                <w:szCs w:val="20"/>
              </w:rPr>
              <w:t>matizados</w:t>
            </w:r>
            <w:r w:rsidRPr="008A26D2">
              <w:rPr>
                <w:rFonts w:ascii="Arial" w:eastAsia="Arial Narrow" w:hAnsi="Arial" w:cs="Arial"/>
                <w:sz w:val="20"/>
                <w:szCs w:val="20"/>
              </w:rPr>
              <w:t xml:space="preserve"> bajo una ruta operativa que posibilita la implementación de mejoras basada en la evidencia y un ciclo de aprendizaje institucional para la generación de conocimiento enmarcadas dentro de la Política Nacional de Modernización de la Gestión Pública</w:t>
            </w:r>
            <w:r w:rsidR="00E6409D">
              <w:rPr>
                <w:rFonts w:ascii="Arial" w:eastAsia="Arial Narrow" w:hAnsi="Arial" w:cs="Arial"/>
                <w:sz w:val="20"/>
                <w:szCs w:val="20"/>
              </w:rPr>
              <w:t xml:space="preserve"> </w:t>
            </w:r>
            <w:r w:rsidRPr="008A26D2">
              <w:rPr>
                <w:rFonts w:ascii="Arial" w:eastAsia="Arial Narrow" w:hAnsi="Arial" w:cs="Arial"/>
                <w:sz w:val="20"/>
                <w:szCs w:val="20"/>
              </w:rPr>
              <w:t xml:space="preserve">al 2030.  </w:t>
            </w:r>
          </w:p>
          <w:p w14:paraId="268F5F3B" w14:textId="70E5B14C" w:rsidR="00CA2F4A" w:rsidRPr="00E6409D" w:rsidRDefault="008B1087" w:rsidP="008B1087">
            <w:pPr>
              <w:tabs>
                <w:tab w:val="left" w:pos="3375"/>
              </w:tabs>
              <w:jc w:val="both"/>
              <w:rPr>
                <w:rFonts w:ascii="Arial" w:eastAsia="Arial Narrow" w:hAnsi="Arial" w:cs="Arial"/>
                <w:strike/>
                <w:sz w:val="20"/>
                <w:szCs w:val="20"/>
              </w:rPr>
            </w:pPr>
            <w:r w:rsidRPr="008A26D2">
              <w:rPr>
                <w:rFonts w:ascii="Arial" w:eastAsia="Arial Narrow" w:hAnsi="Arial" w:cs="Arial"/>
                <w:sz w:val="20"/>
                <w:szCs w:val="20"/>
              </w:rPr>
              <w:t>El servicio es nuevo y responde a la necesidad de articulación y desarrollo de la mejora continua en el Estado</w:t>
            </w:r>
            <w:r w:rsidRPr="008A26D2">
              <w:rPr>
                <w:rStyle w:val="Refdenotaalpie"/>
                <w:rFonts w:ascii="Arial" w:eastAsia="Arial Narrow" w:hAnsi="Arial" w:cs="Arial"/>
                <w:sz w:val="20"/>
                <w:szCs w:val="20"/>
              </w:rPr>
              <w:footnoteReference w:id="4"/>
            </w:r>
            <w:r w:rsidRPr="008A26D2">
              <w:rPr>
                <w:rFonts w:ascii="Arial" w:eastAsia="Arial Narrow" w:hAnsi="Arial" w:cs="Arial"/>
                <w:sz w:val="20"/>
                <w:szCs w:val="20"/>
              </w:rPr>
              <w:t xml:space="preserve">, a partir de la implementación de la gestión del conocimiento en las entidades públicas del nivel subnacional, que busca desarrollar e implementar procesos de generación y difusión del conocimiento para mejorar la capacidad de respuesta de las entidades públicas frente a los problemas públicos identificados, a través de comunidades de práctica entre los servidores públicos, entidades públicas, privadas y academia y fomentar procesos de aprendizaje interinstitucional y promover la innovación en las intervenciones pública y la articulación intersectorial y de multinivel. </w:t>
            </w:r>
          </w:p>
        </w:tc>
      </w:tr>
      <w:tr w:rsidR="008A26D2" w:rsidRPr="008A26D2" w14:paraId="5FC14C6A" w14:textId="77777777" w:rsidTr="00385338">
        <w:trPr>
          <w:trHeight w:val="453"/>
          <w:jc w:val="center"/>
        </w:trPr>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26448908" w14:textId="77777777" w:rsidR="008B1087" w:rsidRPr="008A26D2" w:rsidRDefault="008B1087" w:rsidP="008B1087">
            <w:pPr>
              <w:tabs>
                <w:tab w:val="left" w:pos="3375"/>
              </w:tabs>
              <w:rPr>
                <w:rFonts w:ascii="Arial" w:eastAsia="Arial Narrow" w:hAnsi="Arial" w:cs="Arial"/>
                <w:b/>
                <w:sz w:val="20"/>
                <w:szCs w:val="20"/>
              </w:rPr>
            </w:pPr>
            <w:r w:rsidRPr="008A26D2">
              <w:rPr>
                <w:rFonts w:ascii="Arial" w:eastAsia="Arial Narrow" w:hAnsi="Arial" w:cs="Arial"/>
                <w:b/>
                <w:sz w:val="20"/>
                <w:szCs w:val="20"/>
              </w:rPr>
              <w:t>Proveedor del servicio:</w:t>
            </w:r>
          </w:p>
        </w:tc>
        <w:tc>
          <w:tcPr>
            <w:tcW w:w="6580" w:type="dxa"/>
            <w:gridSpan w:val="3"/>
            <w:tcBorders>
              <w:top w:val="single" w:sz="4" w:space="0" w:color="auto"/>
              <w:left w:val="single" w:sz="4" w:space="0" w:color="auto"/>
              <w:bottom w:val="single" w:sz="4" w:space="0" w:color="auto"/>
              <w:right w:val="single" w:sz="4" w:space="0" w:color="auto"/>
            </w:tcBorders>
            <w:shd w:val="clear" w:color="auto" w:fill="auto"/>
            <w:noWrap/>
          </w:tcPr>
          <w:p w14:paraId="2E49C96E" w14:textId="77777777" w:rsidR="008B1087" w:rsidRPr="008A26D2" w:rsidRDefault="008B1087" w:rsidP="008B1087">
            <w:pPr>
              <w:tabs>
                <w:tab w:val="left" w:pos="3375"/>
              </w:tabs>
              <w:jc w:val="both"/>
              <w:rPr>
                <w:rFonts w:ascii="Arial" w:eastAsia="Arial Narrow" w:hAnsi="Arial" w:cs="Arial"/>
                <w:sz w:val="20"/>
                <w:szCs w:val="20"/>
              </w:rPr>
            </w:pPr>
            <w:r w:rsidRPr="008A26D2">
              <w:rPr>
                <w:rFonts w:ascii="Arial" w:eastAsia="Arial Narrow" w:hAnsi="Arial" w:cs="Arial"/>
                <w:sz w:val="20"/>
                <w:szCs w:val="20"/>
              </w:rPr>
              <w:t>Servicio Nacional Forestal y de Fauna Silvestre – SERFOR</w:t>
            </w:r>
          </w:p>
        </w:tc>
      </w:tr>
      <w:tr w:rsidR="008A26D2" w:rsidRPr="008A26D2" w14:paraId="37A1DE21" w14:textId="77777777" w:rsidTr="007B3010">
        <w:trPr>
          <w:trHeight w:val="795"/>
          <w:jc w:val="center"/>
        </w:trPr>
        <w:tc>
          <w:tcPr>
            <w:tcW w:w="1767" w:type="dxa"/>
            <w:vMerge w:val="restart"/>
            <w:tcBorders>
              <w:top w:val="single" w:sz="4" w:space="0" w:color="auto"/>
              <w:left w:val="single" w:sz="4" w:space="0" w:color="auto"/>
              <w:right w:val="single" w:sz="4" w:space="0" w:color="auto"/>
            </w:tcBorders>
            <w:shd w:val="clear" w:color="auto" w:fill="auto"/>
            <w:vAlign w:val="center"/>
          </w:tcPr>
          <w:p w14:paraId="7A3C2940" w14:textId="77777777" w:rsidR="008B1087" w:rsidRPr="008A26D2" w:rsidRDefault="008B1087" w:rsidP="002469C9">
            <w:pPr>
              <w:spacing w:after="0" w:line="240" w:lineRule="auto"/>
              <w:rPr>
                <w:rFonts w:ascii="Arial" w:hAnsi="Arial" w:cs="Arial"/>
                <w:b/>
                <w:sz w:val="20"/>
                <w:szCs w:val="20"/>
              </w:rPr>
            </w:pPr>
            <w:r w:rsidRPr="008A26D2">
              <w:rPr>
                <w:rFonts w:ascii="Arial" w:hAnsi="Arial" w:cs="Arial"/>
                <w:b/>
                <w:sz w:val="20"/>
                <w:szCs w:val="20"/>
              </w:rPr>
              <w:t>Nivel (es) de gobierno que interviene</w:t>
            </w:r>
          </w:p>
          <w:p w14:paraId="299BB979" w14:textId="71078464" w:rsidR="008B1087" w:rsidRPr="008A26D2" w:rsidRDefault="008B1087" w:rsidP="008B1087">
            <w:pPr>
              <w:tabs>
                <w:tab w:val="left" w:pos="3375"/>
              </w:tabs>
              <w:rPr>
                <w:rFonts w:ascii="Arial" w:eastAsia="Arial Narrow" w:hAnsi="Arial" w:cs="Arial"/>
                <w:b/>
                <w:sz w:val="20"/>
                <w:szCs w:val="20"/>
              </w:rPr>
            </w:pPr>
            <w:r w:rsidRPr="008A26D2">
              <w:rPr>
                <w:rFonts w:ascii="Arial" w:hAnsi="Arial" w:cs="Arial"/>
                <w:b/>
                <w:sz w:val="20"/>
                <w:szCs w:val="20"/>
              </w:rPr>
              <w:t>(n) en la provisión del servicio</w:t>
            </w:r>
          </w:p>
        </w:tc>
        <w:tc>
          <w:tcPr>
            <w:tcW w:w="2193" w:type="dxa"/>
            <w:tcBorders>
              <w:top w:val="single" w:sz="4" w:space="0" w:color="auto"/>
              <w:left w:val="single" w:sz="4" w:space="0" w:color="auto"/>
              <w:right w:val="single" w:sz="4" w:space="0" w:color="auto"/>
            </w:tcBorders>
            <w:shd w:val="clear" w:color="auto" w:fill="auto"/>
            <w:noWrap/>
            <w:vAlign w:val="center"/>
          </w:tcPr>
          <w:p w14:paraId="2D365E8F" w14:textId="173F412B" w:rsidR="008B1087" w:rsidRPr="008A26D2" w:rsidRDefault="008B1087" w:rsidP="0025059A">
            <w:pPr>
              <w:tabs>
                <w:tab w:val="left" w:pos="3375"/>
              </w:tabs>
              <w:jc w:val="center"/>
              <w:rPr>
                <w:rFonts w:ascii="Arial" w:eastAsia="Arial Narrow" w:hAnsi="Arial" w:cs="Arial"/>
                <w:sz w:val="20"/>
                <w:szCs w:val="20"/>
              </w:rPr>
            </w:pPr>
            <w:r w:rsidRPr="008A26D2">
              <w:rPr>
                <w:rFonts w:ascii="Arial" w:eastAsia="Arial Narrow" w:hAnsi="Arial" w:cs="Arial"/>
                <w:sz w:val="20"/>
                <w:szCs w:val="20"/>
              </w:rPr>
              <w:t>Nacional</w:t>
            </w:r>
          </w:p>
        </w:tc>
        <w:tc>
          <w:tcPr>
            <w:tcW w:w="2193" w:type="dxa"/>
            <w:tcBorders>
              <w:top w:val="single" w:sz="4" w:space="0" w:color="auto"/>
              <w:left w:val="single" w:sz="4" w:space="0" w:color="auto"/>
              <w:right w:val="single" w:sz="4" w:space="0" w:color="auto"/>
            </w:tcBorders>
            <w:shd w:val="clear" w:color="auto" w:fill="auto"/>
            <w:vAlign w:val="center"/>
          </w:tcPr>
          <w:p w14:paraId="19D664CD" w14:textId="70B3CB29" w:rsidR="008B1087" w:rsidRPr="008A26D2" w:rsidRDefault="008B1087" w:rsidP="0025059A">
            <w:pPr>
              <w:tabs>
                <w:tab w:val="left" w:pos="3375"/>
              </w:tabs>
              <w:jc w:val="center"/>
              <w:rPr>
                <w:rFonts w:ascii="Arial" w:eastAsia="Arial Narrow" w:hAnsi="Arial" w:cs="Arial"/>
                <w:sz w:val="20"/>
                <w:szCs w:val="20"/>
              </w:rPr>
            </w:pPr>
            <w:r w:rsidRPr="008A26D2">
              <w:rPr>
                <w:rFonts w:ascii="Arial" w:eastAsia="Arial Narrow" w:hAnsi="Arial" w:cs="Arial"/>
                <w:sz w:val="20"/>
                <w:szCs w:val="20"/>
              </w:rPr>
              <w:t>Regional</w:t>
            </w:r>
          </w:p>
        </w:tc>
        <w:tc>
          <w:tcPr>
            <w:tcW w:w="2194" w:type="dxa"/>
            <w:tcBorders>
              <w:top w:val="single" w:sz="4" w:space="0" w:color="auto"/>
              <w:left w:val="single" w:sz="4" w:space="0" w:color="auto"/>
              <w:right w:val="single" w:sz="4" w:space="0" w:color="auto"/>
            </w:tcBorders>
            <w:shd w:val="clear" w:color="auto" w:fill="auto"/>
            <w:vAlign w:val="center"/>
          </w:tcPr>
          <w:p w14:paraId="56272ACD" w14:textId="3C85DB1B" w:rsidR="008B1087" w:rsidRPr="008A26D2" w:rsidRDefault="008B1087" w:rsidP="0025059A">
            <w:pPr>
              <w:tabs>
                <w:tab w:val="left" w:pos="3375"/>
              </w:tabs>
              <w:jc w:val="center"/>
              <w:rPr>
                <w:rFonts w:ascii="Arial" w:eastAsia="Arial Narrow" w:hAnsi="Arial" w:cs="Arial"/>
                <w:sz w:val="20"/>
                <w:szCs w:val="20"/>
              </w:rPr>
            </w:pPr>
            <w:r w:rsidRPr="008A26D2">
              <w:rPr>
                <w:rFonts w:ascii="Arial" w:eastAsia="Arial Narrow" w:hAnsi="Arial" w:cs="Arial"/>
                <w:sz w:val="20"/>
                <w:szCs w:val="20"/>
              </w:rPr>
              <w:t>Local</w:t>
            </w:r>
          </w:p>
        </w:tc>
      </w:tr>
      <w:tr w:rsidR="008A26D2" w:rsidRPr="008A26D2" w14:paraId="02A33287" w14:textId="77777777" w:rsidTr="00116BDC">
        <w:trPr>
          <w:trHeight w:val="795"/>
          <w:jc w:val="center"/>
        </w:trPr>
        <w:tc>
          <w:tcPr>
            <w:tcW w:w="1767" w:type="dxa"/>
            <w:vMerge/>
            <w:tcBorders>
              <w:left w:val="single" w:sz="4" w:space="0" w:color="auto"/>
              <w:right w:val="single" w:sz="4" w:space="0" w:color="auto"/>
            </w:tcBorders>
            <w:shd w:val="clear" w:color="auto" w:fill="auto"/>
            <w:vAlign w:val="center"/>
          </w:tcPr>
          <w:p w14:paraId="0B3D5377" w14:textId="77777777" w:rsidR="008B1087" w:rsidRPr="008A26D2" w:rsidRDefault="008B1087" w:rsidP="008B1087">
            <w:pPr>
              <w:spacing w:after="0" w:line="240" w:lineRule="auto"/>
              <w:rPr>
                <w:rFonts w:ascii="Arial" w:hAnsi="Arial" w:cs="Arial"/>
                <w:b/>
                <w:sz w:val="20"/>
                <w:szCs w:val="20"/>
              </w:rPr>
            </w:pPr>
          </w:p>
        </w:tc>
        <w:tc>
          <w:tcPr>
            <w:tcW w:w="2193" w:type="dxa"/>
            <w:tcBorders>
              <w:top w:val="single" w:sz="4" w:space="0" w:color="auto"/>
              <w:left w:val="single" w:sz="4" w:space="0" w:color="auto"/>
              <w:right w:val="single" w:sz="4" w:space="0" w:color="auto"/>
            </w:tcBorders>
            <w:shd w:val="clear" w:color="auto" w:fill="auto"/>
            <w:noWrap/>
          </w:tcPr>
          <w:p w14:paraId="108A4E55" w14:textId="306084D7" w:rsidR="008B1087" w:rsidRPr="008A26D2" w:rsidRDefault="00B62C32" w:rsidP="0025059A">
            <w:pPr>
              <w:tabs>
                <w:tab w:val="left" w:pos="3375"/>
              </w:tabs>
              <w:jc w:val="center"/>
              <w:rPr>
                <w:rFonts w:ascii="Arial" w:eastAsia="Arial Narrow" w:hAnsi="Arial" w:cs="Arial"/>
                <w:sz w:val="20"/>
                <w:szCs w:val="20"/>
              </w:rPr>
            </w:pPr>
            <w:r w:rsidRPr="008A26D2">
              <w:rPr>
                <w:rFonts w:ascii="Arial" w:eastAsia="Arial Narrow" w:hAnsi="Arial" w:cs="Arial"/>
                <w:sz w:val="20"/>
                <w:szCs w:val="20"/>
              </w:rPr>
              <w:t>X</w:t>
            </w:r>
          </w:p>
        </w:tc>
        <w:tc>
          <w:tcPr>
            <w:tcW w:w="2193" w:type="dxa"/>
            <w:tcBorders>
              <w:top w:val="single" w:sz="4" w:space="0" w:color="auto"/>
              <w:left w:val="single" w:sz="4" w:space="0" w:color="auto"/>
              <w:right w:val="single" w:sz="4" w:space="0" w:color="auto"/>
            </w:tcBorders>
            <w:shd w:val="clear" w:color="auto" w:fill="auto"/>
          </w:tcPr>
          <w:p w14:paraId="24EBC6E2" w14:textId="77777777" w:rsidR="008B1087" w:rsidRPr="008A26D2" w:rsidRDefault="008B1087" w:rsidP="0025059A">
            <w:pPr>
              <w:tabs>
                <w:tab w:val="left" w:pos="3375"/>
              </w:tabs>
              <w:jc w:val="center"/>
              <w:rPr>
                <w:rFonts w:ascii="Arial" w:eastAsia="Arial Narrow" w:hAnsi="Arial" w:cs="Arial"/>
                <w:sz w:val="20"/>
                <w:szCs w:val="20"/>
              </w:rPr>
            </w:pPr>
          </w:p>
        </w:tc>
        <w:tc>
          <w:tcPr>
            <w:tcW w:w="2194" w:type="dxa"/>
            <w:tcBorders>
              <w:top w:val="single" w:sz="4" w:space="0" w:color="auto"/>
              <w:left w:val="single" w:sz="4" w:space="0" w:color="auto"/>
              <w:right w:val="single" w:sz="4" w:space="0" w:color="auto"/>
            </w:tcBorders>
            <w:shd w:val="clear" w:color="auto" w:fill="auto"/>
          </w:tcPr>
          <w:p w14:paraId="4AB7A78A" w14:textId="167E90EB" w:rsidR="008B1087" w:rsidRPr="008A26D2" w:rsidRDefault="008B1087" w:rsidP="0025059A">
            <w:pPr>
              <w:tabs>
                <w:tab w:val="left" w:pos="3375"/>
              </w:tabs>
              <w:jc w:val="center"/>
              <w:rPr>
                <w:rFonts w:ascii="Arial" w:eastAsia="Arial Narrow" w:hAnsi="Arial" w:cs="Arial"/>
                <w:sz w:val="20"/>
                <w:szCs w:val="20"/>
              </w:rPr>
            </w:pPr>
          </w:p>
        </w:tc>
      </w:tr>
      <w:tr w:rsidR="008A26D2" w:rsidRPr="008A26D2" w14:paraId="3D9F02AC" w14:textId="77777777" w:rsidTr="00385338">
        <w:trPr>
          <w:trHeight w:val="453"/>
          <w:jc w:val="center"/>
        </w:trPr>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159D54FA" w14:textId="77777777" w:rsidR="008B1087" w:rsidRPr="008A26D2" w:rsidRDefault="008B1087" w:rsidP="008B1087">
            <w:pPr>
              <w:tabs>
                <w:tab w:val="left" w:pos="3375"/>
              </w:tabs>
              <w:rPr>
                <w:rFonts w:ascii="Arial" w:eastAsia="Arial Narrow" w:hAnsi="Arial" w:cs="Arial"/>
                <w:b/>
                <w:sz w:val="20"/>
                <w:szCs w:val="20"/>
              </w:rPr>
            </w:pPr>
            <w:r w:rsidRPr="008A26D2">
              <w:rPr>
                <w:rFonts w:ascii="Arial" w:eastAsia="Arial Narrow" w:hAnsi="Arial" w:cs="Arial"/>
                <w:b/>
                <w:sz w:val="20"/>
                <w:szCs w:val="20"/>
              </w:rPr>
              <w:t>Receptor del servicio:</w:t>
            </w:r>
          </w:p>
        </w:tc>
        <w:tc>
          <w:tcPr>
            <w:tcW w:w="6580" w:type="dxa"/>
            <w:gridSpan w:val="3"/>
            <w:tcBorders>
              <w:top w:val="single" w:sz="4" w:space="0" w:color="auto"/>
              <w:left w:val="single" w:sz="4" w:space="0" w:color="auto"/>
              <w:bottom w:val="single" w:sz="4" w:space="0" w:color="auto"/>
              <w:right w:val="single" w:sz="4" w:space="0" w:color="auto"/>
            </w:tcBorders>
            <w:shd w:val="clear" w:color="auto" w:fill="auto"/>
            <w:noWrap/>
          </w:tcPr>
          <w:p w14:paraId="4FD1C5D3" w14:textId="77777777" w:rsidR="008B1087" w:rsidRPr="008A26D2" w:rsidRDefault="008B1087" w:rsidP="008B1087">
            <w:pPr>
              <w:tabs>
                <w:tab w:val="left" w:pos="3375"/>
              </w:tabs>
              <w:jc w:val="both"/>
              <w:rPr>
                <w:rFonts w:ascii="Arial" w:eastAsia="Arial Narrow" w:hAnsi="Arial" w:cs="Arial"/>
                <w:sz w:val="20"/>
                <w:szCs w:val="20"/>
              </w:rPr>
            </w:pPr>
            <w:r w:rsidRPr="008A26D2">
              <w:rPr>
                <w:rFonts w:ascii="Arial" w:eastAsia="Arial Narrow" w:hAnsi="Arial" w:cs="Arial"/>
                <w:sz w:val="20"/>
                <w:szCs w:val="20"/>
              </w:rPr>
              <w:t xml:space="preserve">Autoridades Regionales Forestales y de Fauna Silvestre  </w:t>
            </w:r>
          </w:p>
        </w:tc>
      </w:tr>
      <w:tr w:rsidR="008A26D2" w:rsidRPr="008A26D2" w14:paraId="586C589C" w14:textId="77777777" w:rsidTr="00385338">
        <w:trPr>
          <w:trHeight w:val="532"/>
          <w:jc w:val="center"/>
        </w:trPr>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18366437" w14:textId="77777777" w:rsidR="008B1087" w:rsidRPr="008A26D2" w:rsidRDefault="008B1087" w:rsidP="008B1087">
            <w:pPr>
              <w:tabs>
                <w:tab w:val="left" w:pos="3375"/>
              </w:tabs>
              <w:rPr>
                <w:rFonts w:ascii="Arial" w:eastAsia="Arial Narrow" w:hAnsi="Arial" w:cs="Arial"/>
                <w:b/>
                <w:sz w:val="20"/>
                <w:szCs w:val="20"/>
              </w:rPr>
            </w:pPr>
            <w:r w:rsidRPr="008A26D2">
              <w:rPr>
                <w:rFonts w:ascii="Arial" w:eastAsia="Arial Narrow" w:hAnsi="Arial" w:cs="Arial"/>
                <w:b/>
                <w:sz w:val="20"/>
                <w:szCs w:val="20"/>
              </w:rPr>
              <w:t>Alcance del servicio:</w:t>
            </w:r>
          </w:p>
        </w:tc>
        <w:tc>
          <w:tcPr>
            <w:tcW w:w="6580" w:type="dxa"/>
            <w:gridSpan w:val="3"/>
            <w:tcBorders>
              <w:top w:val="single" w:sz="4" w:space="0" w:color="auto"/>
              <w:left w:val="single" w:sz="4" w:space="0" w:color="auto"/>
              <w:bottom w:val="single" w:sz="4" w:space="0" w:color="auto"/>
              <w:right w:val="single" w:sz="4" w:space="0" w:color="auto"/>
            </w:tcBorders>
            <w:shd w:val="clear" w:color="auto" w:fill="auto"/>
          </w:tcPr>
          <w:p w14:paraId="79AF62C0" w14:textId="77777777" w:rsidR="008B1087" w:rsidRPr="008A26D2" w:rsidRDefault="008B1087" w:rsidP="008B1087">
            <w:pPr>
              <w:tabs>
                <w:tab w:val="left" w:pos="3375"/>
              </w:tabs>
              <w:rPr>
                <w:rFonts w:ascii="Arial" w:eastAsia="Arial Narrow" w:hAnsi="Arial" w:cs="Arial"/>
                <w:sz w:val="20"/>
                <w:szCs w:val="20"/>
              </w:rPr>
            </w:pPr>
            <w:r w:rsidRPr="008A26D2">
              <w:rPr>
                <w:rFonts w:ascii="Arial" w:eastAsia="Arial Narrow" w:hAnsi="Arial" w:cs="Arial"/>
                <w:sz w:val="20"/>
                <w:szCs w:val="20"/>
              </w:rPr>
              <w:t>Nacional</w:t>
            </w:r>
          </w:p>
        </w:tc>
      </w:tr>
      <w:tr w:rsidR="008A26D2" w:rsidRPr="008A26D2" w14:paraId="6C6D7162" w14:textId="77777777" w:rsidTr="00385338">
        <w:trPr>
          <w:trHeight w:val="532"/>
          <w:jc w:val="center"/>
        </w:trPr>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4F903210" w14:textId="77777777" w:rsidR="008B1087" w:rsidRPr="008A26D2" w:rsidRDefault="008B1087" w:rsidP="008B1087">
            <w:pPr>
              <w:tabs>
                <w:tab w:val="left" w:pos="3375"/>
              </w:tabs>
              <w:rPr>
                <w:rFonts w:ascii="Arial" w:eastAsia="Arial Narrow" w:hAnsi="Arial" w:cs="Arial"/>
                <w:b/>
                <w:sz w:val="20"/>
                <w:szCs w:val="20"/>
              </w:rPr>
            </w:pPr>
            <w:r w:rsidRPr="008A26D2">
              <w:rPr>
                <w:rFonts w:ascii="Arial" w:eastAsia="Arial Narrow" w:hAnsi="Arial" w:cs="Arial"/>
                <w:b/>
                <w:sz w:val="20"/>
                <w:szCs w:val="20"/>
              </w:rPr>
              <w:lastRenderedPageBreak/>
              <w:t>Estándares de cumplimiento:</w:t>
            </w:r>
          </w:p>
        </w:tc>
        <w:tc>
          <w:tcPr>
            <w:tcW w:w="6580" w:type="dxa"/>
            <w:gridSpan w:val="3"/>
            <w:tcBorders>
              <w:top w:val="single" w:sz="4" w:space="0" w:color="auto"/>
              <w:left w:val="single" w:sz="4" w:space="0" w:color="auto"/>
              <w:bottom w:val="single" w:sz="4" w:space="0" w:color="auto"/>
              <w:right w:val="single" w:sz="4" w:space="0" w:color="auto"/>
            </w:tcBorders>
            <w:shd w:val="clear" w:color="auto" w:fill="auto"/>
          </w:tcPr>
          <w:p w14:paraId="69DD5E09" w14:textId="77777777" w:rsidR="008B1087" w:rsidRPr="008A26D2" w:rsidRDefault="008B1087" w:rsidP="008B1087">
            <w:pPr>
              <w:tabs>
                <w:tab w:val="left" w:pos="3375"/>
              </w:tabs>
              <w:rPr>
                <w:rFonts w:ascii="Arial" w:eastAsia="Arial Narrow" w:hAnsi="Arial" w:cs="Arial"/>
                <w:sz w:val="20"/>
                <w:szCs w:val="20"/>
              </w:rPr>
            </w:pPr>
            <w:r w:rsidRPr="008A26D2">
              <w:rPr>
                <w:rFonts w:ascii="Arial" w:eastAsia="Arial Narrow" w:hAnsi="Arial" w:cs="Arial"/>
                <w:sz w:val="20"/>
                <w:szCs w:val="20"/>
              </w:rPr>
              <w:t xml:space="preserve">Pertinencia </w:t>
            </w:r>
          </w:p>
        </w:tc>
      </w:tr>
      <w:tr w:rsidR="008A26D2" w:rsidRPr="008A26D2" w14:paraId="509D1A96" w14:textId="77777777" w:rsidTr="00385338">
        <w:trPr>
          <w:trHeight w:val="628"/>
          <w:jc w:val="center"/>
        </w:trPr>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3DA3AEF1" w14:textId="77777777" w:rsidR="008B1087" w:rsidRPr="008A26D2" w:rsidRDefault="008B1087" w:rsidP="008B1087">
            <w:pPr>
              <w:tabs>
                <w:tab w:val="left" w:pos="3375"/>
              </w:tabs>
              <w:rPr>
                <w:rFonts w:ascii="Arial" w:eastAsia="Arial Narrow" w:hAnsi="Arial" w:cs="Arial"/>
                <w:b/>
                <w:sz w:val="20"/>
                <w:szCs w:val="20"/>
              </w:rPr>
            </w:pPr>
            <w:r w:rsidRPr="008A26D2">
              <w:rPr>
                <w:rFonts w:ascii="Arial" w:eastAsia="Arial Narrow" w:hAnsi="Arial" w:cs="Arial"/>
                <w:b/>
                <w:sz w:val="20"/>
                <w:szCs w:val="20"/>
              </w:rPr>
              <w:t>Descripción del estándar:</w:t>
            </w:r>
          </w:p>
        </w:tc>
        <w:tc>
          <w:tcPr>
            <w:tcW w:w="6580" w:type="dxa"/>
            <w:gridSpan w:val="3"/>
            <w:tcBorders>
              <w:top w:val="single" w:sz="4" w:space="0" w:color="auto"/>
              <w:left w:val="single" w:sz="4" w:space="0" w:color="auto"/>
              <w:bottom w:val="single" w:sz="4" w:space="0" w:color="auto"/>
              <w:right w:val="single" w:sz="4" w:space="0" w:color="auto"/>
            </w:tcBorders>
            <w:shd w:val="clear" w:color="auto" w:fill="auto"/>
          </w:tcPr>
          <w:p w14:paraId="4B7B3495" w14:textId="5DE92F65" w:rsidR="008B1087" w:rsidRPr="008A26D2" w:rsidRDefault="008B1087" w:rsidP="008B1087">
            <w:pPr>
              <w:pStyle w:val="pf0"/>
              <w:tabs>
                <w:tab w:val="left" w:pos="3375"/>
              </w:tabs>
              <w:spacing w:before="0" w:beforeAutospacing="0" w:after="160" w:afterAutospacing="0" w:line="259" w:lineRule="auto"/>
              <w:jc w:val="both"/>
              <w:rPr>
                <w:rFonts w:ascii="Arial" w:eastAsia="Arial Narrow" w:hAnsi="Arial" w:cs="Arial"/>
                <w:sz w:val="20"/>
                <w:szCs w:val="20"/>
              </w:rPr>
            </w:pPr>
            <w:r w:rsidRPr="008A26D2">
              <w:rPr>
                <w:rFonts w:ascii="Arial" w:eastAsia="Arial Narrow" w:hAnsi="Arial" w:cs="Arial"/>
                <w:sz w:val="20"/>
                <w:szCs w:val="20"/>
              </w:rPr>
              <w:t>El estándar consiste en la incorporación de criterios territoriales, culturales, sociales y ambientales en la entrega de la asistencia técnica para la formulación e implementación de planes de mejora continua e innovación pública.</w:t>
            </w:r>
          </w:p>
        </w:tc>
      </w:tr>
      <w:tr w:rsidR="008B1087" w:rsidRPr="008A26D2" w14:paraId="09F85CC4" w14:textId="77777777" w:rsidTr="00385338">
        <w:trPr>
          <w:trHeight w:val="567"/>
          <w:jc w:val="center"/>
        </w:trPr>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3611B9E5" w14:textId="3CBF938F" w:rsidR="008B1087" w:rsidRPr="008A26D2" w:rsidRDefault="008B1087" w:rsidP="008B1087">
            <w:pPr>
              <w:tabs>
                <w:tab w:val="left" w:pos="3375"/>
              </w:tabs>
              <w:rPr>
                <w:rFonts w:ascii="Arial" w:eastAsia="Arial Narrow" w:hAnsi="Arial" w:cs="Arial"/>
                <w:b/>
                <w:sz w:val="20"/>
                <w:szCs w:val="20"/>
              </w:rPr>
            </w:pPr>
            <w:r w:rsidRPr="008A26D2">
              <w:rPr>
                <w:rFonts w:ascii="Arial" w:eastAsia="Arial Narrow" w:hAnsi="Arial" w:cs="Arial"/>
                <w:b/>
                <w:sz w:val="20"/>
                <w:szCs w:val="20"/>
              </w:rPr>
              <w:t>Indicador de calidad</w:t>
            </w:r>
          </w:p>
        </w:tc>
        <w:tc>
          <w:tcPr>
            <w:tcW w:w="658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1155204" w14:textId="37CDF19E" w:rsidR="008B1087" w:rsidRPr="008A26D2" w:rsidRDefault="008B1087" w:rsidP="008B1087">
            <w:pPr>
              <w:tabs>
                <w:tab w:val="left" w:pos="3375"/>
              </w:tabs>
              <w:jc w:val="both"/>
              <w:rPr>
                <w:rFonts w:ascii="Arial" w:eastAsia="Arial Narrow" w:hAnsi="Arial" w:cs="Arial"/>
                <w:sz w:val="20"/>
                <w:szCs w:val="20"/>
              </w:rPr>
            </w:pPr>
            <w:r w:rsidRPr="008A26D2">
              <w:rPr>
                <w:rFonts w:ascii="Arial" w:eastAsia="Arial Narrow" w:hAnsi="Arial" w:cs="Arial"/>
                <w:sz w:val="20"/>
                <w:szCs w:val="20"/>
              </w:rPr>
              <w:t>Porcentaje de Autoridades Regionales Forestales y de Fauna Silvestre que recibieron asistencia técnica de forma pertinente en la formulación e implementación de planes de mejora continua e innovación publica</w:t>
            </w:r>
          </w:p>
        </w:tc>
      </w:tr>
    </w:tbl>
    <w:p w14:paraId="66A1C8A4" w14:textId="77777777" w:rsidR="00385338" w:rsidRPr="008A26D2" w:rsidRDefault="00385338"/>
    <w:p w14:paraId="7D112146" w14:textId="3E2845F8" w:rsidR="00603F80" w:rsidRPr="008A26D2" w:rsidRDefault="00603F80" w:rsidP="00603F80">
      <w:pPr>
        <w:tabs>
          <w:tab w:val="left" w:pos="3375"/>
        </w:tabs>
        <w:ind w:left="128"/>
        <w:jc w:val="both"/>
        <w:rPr>
          <w:rFonts w:ascii="Arial" w:eastAsia="Arial Narrow" w:hAnsi="Arial" w:cs="Arial"/>
        </w:rPr>
      </w:pPr>
      <w:r w:rsidRPr="00D9334E">
        <w:rPr>
          <w:rFonts w:ascii="Arial" w:eastAsia="Arial Narrow" w:hAnsi="Arial" w:cs="Arial"/>
          <w:b/>
          <w:bCs/>
        </w:rPr>
        <w:t>S3.3.5</w:t>
      </w:r>
      <w:r w:rsidRPr="00D9334E">
        <w:rPr>
          <w:rFonts w:ascii="Arial" w:eastAsia="Arial Narrow" w:hAnsi="Arial" w:cs="Arial"/>
        </w:rPr>
        <w:t xml:space="preserve"> </w:t>
      </w:r>
      <w:r w:rsidR="0025059A" w:rsidRPr="00D9334E">
        <w:rPr>
          <w:rFonts w:ascii="Arial" w:eastAsia="Arial Narrow" w:hAnsi="Arial" w:cs="Arial"/>
        </w:rPr>
        <w:t>Difusión de conocimientos y tecnologías integradas sobre la conservación y uso sostenible de ecosistemas forestales y de fauna silvestre amazónicos de forma satisfactoria para decisores de políticas públicas</w:t>
      </w:r>
      <w:r w:rsidRPr="00D9334E">
        <w:rPr>
          <w:rFonts w:ascii="Arial" w:eastAsia="Arial Narrow" w:hAnsi="Arial" w:cs="Arial"/>
        </w:rPr>
        <w:t>.</w:t>
      </w:r>
    </w:p>
    <w:tbl>
      <w:tblPr>
        <w:tblW w:w="8647" w:type="dxa"/>
        <w:jc w:val="center"/>
        <w:tblLayout w:type="fixed"/>
        <w:tblLook w:val="0600" w:firstRow="0" w:lastRow="0" w:firstColumn="0" w:lastColumn="0" w:noHBand="1" w:noVBand="1"/>
      </w:tblPr>
      <w:tblGrid>
        <w:gridCol w:w="2340"/>
        <w:gridCol w:w="2102"/>
        <w:gridCol w:w="2102"/>
        <w:gridCol w:w="2103"/>
      </w:tblGrid>
      <w:tr w:rsidR="008A26D2" w:rsidRPr="008A26D2" w14:paraId="223E267C" w14:textId="77777777" w:rsidTr="00603F80">
        <w:trPr>
          <w:trHeight w:val="300"/>
          <w:jc w:val="center"/>
        </w:trPr>
        <w:tc>
          <w:tcPr>
            <w:tcW w:w="8647" w:type="dxa"/>
            <w:gridSpan w:val="4"/>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vAlign w:val="center"/>
          </w:tcPr>
          <w:p w14:paraId="1C4871B0" w14:textId="4F7908DA" w:rsidR="00603F80" w:rsidRPr="008A26D2" w:rsidRDefault="00603F80" w:rsidP="00C550B2">
            <w:pPr>
              <w:tabs>
                <w:tab w:val="left" w:pos="3375"/>
              </w:tabs>
              <w:jc w:val="center"/>
              <w:rPr>
                <w:rFonts w:ascii="Arial" w:eastAsia="Arial Narrow" w:hAnsi="Arial" w:cs="Arial"/>
                <w:sz w:val="20"/>
                <w:szCs w:val="20"/>
              </w:rPr>
            </w:pPr>
            <w:r w:rsidRPr="008A26D2">
              <w:rPr>
                <w:rFonts w:ascii="Arial" w:eastAsia="Arial Narrow" w:hAnsi="Arial" w:cs="Arial"/>
                <w:b/>
                <w:sz w:val="20"/>
                <w:szCs w:val="20"/>
              </w:rPr>
              <w:t>FICHA DEL SERVICIO</w:t>
            </w:r>
          </w:p>
        </w:tc>
      </w:tr>
      <w:tr w:rsidR="008A26D2" w:rsidRPr="008A26D2" w14:paraId="453A0E18" w14:textId="77777777" w:rsidTr="00603F80">
        <w:trPr>
          <w:trHeight w:val="300"/>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55729B4" w14:textId="77777777" w:rsidR="00603F80" w:rsidRPr="008A26D2" w:rsidRDefault="00603F80" w:rsidP="0080067C">
            <w:pPr>
              <w:tabs>
                <w:tab w:val="left" w:pos="3375"/>
              </w:tabs>
              <w:jc w:val="both"/>
              <w:rPr>
                <w:rFonts w:ascii="Arial" w:eastAsia="Arial Narrow" w:hAnsi="Arial" w:cs="Arial"/>
                <w:b/>
                <w:sz w:val="20"/>
                <w:szCs w:val="20"/>
              </w:rPr>
            </w:pPr>
            <w:r w:rsidRPr="008A26D2">
              <w:rPr>
                <w:rFonts w:ascii="Arial" w:eastAsia="Arial Narrow" w:hAnsi="Arial" w:cs="Arial"/>
                <w:b/>
                <w:sz w:val="20"/>
                <w:szCs w:val="20"/>
              </w:rPr>
              <w:t xml:space="preserve"> Objetivo prioritario:</w:t>
            </w:r>
          </w:p>
        </w:tc>
        <w:tc>
          <w:tcPr>
            <w:tcW w:w="630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BE7C33F" w14:textId="77777777" w:rsidR="00603F80" w:rsidRPr="008A26D2" w:rsidRDefault="00603F80" w:rsidP="0080067C">
            <w:pPr>
              <w:tabs>
                <w:tab w:val="left" w:pos="3375"/>
              </w:tabs>
              <w:ind w:left="128"/>
              <w:jc w:val="both"/>
              <w:rPr>
                <w:rFonts w:ascii="Arial" w:eastAsia="Arial Narrow" w:hAnsi="Arial" w:cs="Arial"/>
                <w:sz w:val="20"/>
                <w:szCs w:val="20"/>
              </w:rPr>
            </w:pPr>
            <w:r w:rsidRPr="008A26D2">
              <w:rPr>
                <w:rFonts w:ascii="Arial" w:eastAsia="Arial Narrow" w:hAnsi="Arial" w:cs="Arial"/>
                <w:sz w:val="20"/>
                <w:szCs w:val="20"/>
              </w:rPr>
              <w:t>OP3 Fortalecer la gobernanza forestal y de fauna silvestre</w:t>
            </w:r>
          </w:p>
        </w:tc>
      </w:tr>
      <w:tr w:rsidR="008A26D2" w:rsidRPr="008A26D2" w14:paraId="3EDD1F1C" w14:textId="77777777" w:rsidTr="00603F80">
        <w:trPr>
          <w:trHeight w:val="300"/>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F3B9020" w14:textId="77777777" w:rsidR="00603F80" w:rsidRPr="008A26D2" w:rsidRDefault="00603F80" w:rsidP="0080067C">
            <w:pPr>
              <w:tabs>
                <w:tab w:val="left" w:pos="3375"/>
              </w:tabs>
              <w:jc w:val="both"/>
              <w:rPr>
                <w:rFonts w:ascii="Arial" w:eastAsia="Arial Narrow" w:hAnsi="Arial" w:cs="Arial"/>
                <w:b/>
                <w:sz w:val="20"/>
                <w:szCs w:val="20"/>
              </w:rPr>
            </w:pPr>
            <w:r w:rsidRPr="008A26D2">
              <w:rPr>
                <w:rFonts w:ascii="Arial" w:eastAsia="Arial Narrow" w:hAnsi="Arial" w:cs="Arial"/>
                <w:b/>
                <w:sz w:val="20"/>
                <w:szCs w:val="20"/>
              </w:rPr>
              <w:t xml:space="preserve"> Lineamiento:</w:t>
            </w:r>
          </w:p>
        </w:tc>
        <w:tc>
          <w:tcPr>
            <w:tcW w:w="630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B14FA90" w14:textId="77777777" w:rsidR="00603F80" w:rsidRPr="008A26D2" w:rsidRDefault="00603F80" w:rsidP="0080067C">
            <w:pPr>
              <w:tabs>
                <w:tab w:val="left" w:pos="3375"/>
              </w:tabs>
              <w:ind w:left="128"/>
              <w:jc w:val="both"/>
              <w:rPr>
                <w:rFonts w:ascii="Arial" w:eastAsia="Arial Narrow" w:hAnsi="Arial" w:cs="Arial"/>
                <w:sz w:val="20"/>
                <w:szCs w:val="20"/>
              </w:rPr>
            </w:pPr>
            <w:r w:rsidRPr="008A26D2">
              <w:rPr>
                <w:rFonts w:ascii="Arial" w:eastAsia="Arial Narrow" w:hAnsi="Arial" w:cs="Arial"/>
                <w:sz w:val="20"/>
                <w:szCs w:val="20"/>
              </w:rPr>
              <w:t>L3.3 Gestionar la información y el conocimiento en materia forestal y de fauna silvestre producido por los actores forestales y de fauna silvestre</w:t>
            </w:r>
          </w:p>
        </w:tc>
      </w:tr>
      <w:tr w:rsidR="008A26D2" w:rsidRPr="008A26D2" w14:paraId="4D125DCF" w14:textId="77777777" w:rsidTr="00603F80">
        <w:trPr>
          <w:trHeight w:val="300"/>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3FF42DF" w14:textId="77777777" w:rsidR="00603F80" w:rsidRPr="008A26D2" w:rsidRDefault="00603F80" w:rsidP="0080067C">
            <w:pPr>
              <w:tabs>
                <w:tab w:val="left" w:pos="3375"/>
              </w:tabs>
              <w:jc w:val="both"/>
              <w:rPr>
                <w:rFonts w:ascii="Arial" w:eastAsia="Arial Narrow" w:hAnsi="Arial" w:cs="Arial"/>
                <w:b/>
                <w:sz w:val="20"/>
                <w:szCs w:val="20"/>
              </w:rPr>
            </w:pPr>
            <w:r w:rsidRPr="008A26D2">
              <w:rPr>
                <w:rFonts w:ascii="Arial" w:eastAsia="Arial Narrow" w:hAnsi="Arial" w:cs="Arial"/>
                <w:b/>
                <w:sz w:val="20"/>
                <w:szCs w:val="20"/>
              </w:rPr>
              <w:t xml:space="preserve"> Nombre del servicio:</w:t>
            </w:r>
          </w:p>
        </w:tc>
        <w:tc>
          <w:tcPr>
            <w:tcW w:w="630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04CCAF0" w14:textId="46DFD277" w:rsidR="00603F80" w:rsidRPr="008A26D2" w:rsidRDefault="00603F80" w:rsidP="0080067C">
            <w:pPr>
              <w:tabs>
                <w:tab w:val="left" w:pos="3375"/>
              </w:tabs>
              <w:ind w:left="128"/>
              <w:jc w:val="both"/>
              <w:rPr>
                <w:rFonts w:ascii="Arial" w:eastAsia="Arial Narrow" w:hAnsi="Arial" w:cs="Arial"/>
                <w:sz w:val="20"/>
                <w:szCs w:val="20"/>
              </w:rPr>
            </w:pPr>
            <w:r w:rsidRPr="008A26D2">
              <w:rPr>
                <w:rFonts w:ascii="Arial" w:eastAsia="Arial Narrow" w:hAnsi="Arial" w:cs="Arial"/>
                <w:sz w:val="20"/>
                <w:szCs w:val="20"/>
              </w:rPr>
              <w:t>S3.3.5 Difusión de conocimientos y tecnologías integradas sobre la conservación y uso sostenible de ecosistemas forestales y de fauna silvestre amazónicos de forma satisfactoria para decisores de políticas públicas.</w:t>
            </w:r>
          </w:p>
        </w:tc>
      </w:tr>
      <w:tr w:rsidR="008A26D2" w:rsidRPr="008A26D2" w14:paraId="29EE6A4D" w14:textId="77777777" w:rsidTr="00603F80">
        <w:trPr>
          <w:trHeight w:val="407"/>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4A5BB85" w14:textId="77777777" w:rsidR="00603F80" w:rsidRPr="008A26D2" w:rsidRDefault="00603F80" w:rsidP="0080067C">
            <w:pPr>
              <w:tabs>
                <w:tab w:val="left" w:pos="3375"/>
              </w:tabs>
              <w:jc w:val="both"/>
              <w:rPr>
                <w:rFonts w:ascii="Arial" w:eastAsia="Arial Narrow" w:hAnsi="Arial" w:cs="Arial"/>
                <w:b/>
                <w:sz w:val="20"/>
                <w:szCs w:val="20"/>
              </w:rPr>
            </w:pPr>
            <w:r w:rsidRPr="008A26D2">
              <w:rPr>
                <w:rFonts w:ascii="Arial" w:eastAsia="Arial Narrow" w:hAnsi="Arial" w:cs="Arial"/>
                <w:b/>
                <w:sz w:val="20"/>
                <w:szCs w:val="20"/>
              </w:rPr>
              <w:t>Tipo de servicio:</w:t>
            </w:r>
          </w:p>
        </w:tc>
        <w:tc>
          <w:tcPr>
            <w:tcW w:w="630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517B7AD" w14:textId="77777777" w:rsidR="00603F80" w:rsidRPr="008A26D2" w:rsidRDefault="00603F80" w:rsidP="0080067C">
            <w:pPr>
              <w:tabs>
                <w:tab w:val="left" w:pos="3375"/>
              </w:tabs>
              <w:ind w:left="128"/>
              <w:jc w:val="both"/>
              <w:rPr>
                <w:rFonts w:ascii="Arial" w:eastAsia="Arial Narrow" w:hAnsi="Arial" w:cs="Arial"/>
                <w:sz w:val="20"/>
                <w:szCs w:val="20"/>
              </w:rPr>
            </w:pPr>
            <w:r w:rsidRPr="008A26D2">
              <w:rPr>
                <w:rFonts w:ascii="Arial" w:eastAsia="Arial Narrow" w:hAnsi="Arial" w:cs="Arial"/>
                <w:sz w:val="20"/>
                <w:szCs w:val="20"/>
              </w:rPr>
              <w:t>Mejorado</w:t>
            </w:r>
          </w:p>
        </w:tc>
      </w:tr>
      <w:tr w:rsidR="008A26D2" w:rsidRPr="008A26D2" w14:paraId="4BB8BA4A" w14:textId="77777777" w:rsidTr="00603F80">
        <w:trPr>
          <w:trHeight w:val="407"/>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3A5AE6E" w14:textId="77CB7620" w:rsidR="008B1087" w:rsidRPr="008A26D2" w:rsidRDefault="008B1087" w:rsidP="008B1087">
            <w:pPr>
              <w:tabs>
                <w:tab w:val="left" w:pos="3375"/>
              </w:tabs>
              <w:jc w:val="both"/>
              <w:rPr>
                <w:rFonts w:ascii="Arial" w:eastAsia="Arial Narrow" w:hAnsi="Arial" w:cs="Arial"/>
                <w:b/>
                <w:sz w:val="20"/>
                <w:szCs w:val="20"/>
              </w:rPr>
            </w:pPr>
            <w:r w:rsidRPr="008A26D2">
              <w:rPr>
                <w:rFonts w:ascii="Arial" w:hAnsi="Arial" w:cs="Arial"/>
                <w:b/>
                <w:sz w:val="20"/>
                <w:szCs w:val="20"/>
              </w:rPr>
              <w:t>Naturaleza del servicio:</w:t>
            </w:r>
          </w:p>
        </w:tc>
        <w:tc>
          <w:tcPr>
            <w:tcW w:w="630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6216F55" w14:textId="6432A594" w:rsidR="008B1087" w:rsidRPr="008A26D2" w:rsidRDefault="00B13293" w:rsidP="008B1087">
            <w:pPr>
              <w:tabs>
                <w:tab w:val="left" w:pos="3375"/>
              </w:tabs>
              <w:ind w:left="128"/>
              <w:jc w:val="both"/>
              <w:rPr>
                <w:rFonts w:ascii="Arial" w:eastAsia="Arial Narrow" w:hAnsi="Arial" w:cs="Arial"/>
                <w:sz w:val="20"/>
                <w:szCs w:val="20"/>
              </w:rPr>
            </w:pPr>
            <w:r w:rsidRPr="008A26D2">
              <w:rPr>
                <w:rFonts w:ascii="Arial" w:eastAsia="Arial Narrow" w:hAnsi="Arial" w:cs="Arial"/>
                <w:sz w:val="20"/>
                <w:szCs w:val="20"/>
              </w:rPr>
              <w:t>A</w:t>
            </w:r>
            <w:r w:rsidR="008B1087" w:rsidRPr="008A26D2">
              <w:rPr>
                <w:rFonts w:ascii="Arial" w:eastAsia="Arial Narrow" w:hAnsi="Arial" w:cs="Arial"/>
                <w:sz w:val="20"/>
                <w:szCs w:val="20"/>
              </w:rPr>
              <w:t>dministrativo</w:t>
            </w:r>
          </w:p>
        </w:tc>
      </w:tr>
      <w:tr w:rsidR="008A26D2" w:rsidRPr="008A26D2" w14:paraId="2C86465D" w14:textId="77777777" w:rsidTr="00603F80">
        <w:trPr>
          <w:trHeight w:val="407"/>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0162778" w14:textId="63DC792D" w:rsidR="008B1087" w:rsidRPr="008A26D2" w:rsidRDefault="008B1087" w:rsidP="008B1087">
            <w:pPr>
              <w:tabs>
                <w:tab w:val="left" w:pos="3375"/>
              </w:tabs>
              <w:jc w:val="both"/>
              <w:rPr>
                <w:rFonts w:ascii="Arial" w:eastAsia="Arial Narrow" w:hAnsi="Arial" w:cs="Arial"/>
                <w:b/>
                <w:sz w:val="20"/>
                <w:szCs w:val="20"/>
              </w:rPr>
            </w:pPr>
            <w:r w:rsidRPr="008A26D2">
              <w:rPr>
                <w:rFonts w:ascii="Arial" w:hAnsi="Arial" w:cs="Arial"/>
                <w:b/>
                <w:sz w:val="20"/>
                <w:szCs w:val="20"/>
              </w:rPr>
              <w:t>Entrega del servicio</w:t>
            </w:r>
          </w:p>
        </w:tc>
        <w:tc>
          <w:tcPr>
            <w:tcW w:w="630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CF4F5CC" w14:textId="2C5DCB03" w:rsidR="008B1087" w:rsidRPr="008A26D2" w:rsidRDefault="008B1087" w:rsidP="008B1087">
            <w:pPr>
              <w:tabs>
                <w:tab w:val="left" w:pos="3375"/>
              </w:tabs>
              <w:ind w:left="128"/>
              <w:jc w:val="both"/>
              <w:rPr>
                <w:rFonts w:ascii="Arial" w:eastAsia="Arial Narrow" w:hAnsi="Arial" w:cs="Arial"/>
                <w:sz w:val="20"/>
                <w:szCs w:val="20"/>
              </w:rPr>
            </w:pPr>
            <w:r w:rsidRPr="008A26D2">
              <w:rPr>
                <w:rFonts w:ascii="Arial" w:eastAsia="Arial Narrow" w:hAnsi="Arial" w:cs="Arial"/>
                <w:sz w:val="20"/>
                <w:szCs w:val="20"/>
              </w:rPr>
              <w:t xml:space="preserve">Competencia exclusiva </w:t>
            </w:r>
          </w:p>
        </w:tc>
      </w:tr>
      <w:tr w:rsidR="00846D49" w:rsidRPr="00846D49" w14:paraId="4BEE839A" w14:textId="77777777" w:rsidTr="00603F80">
        <w:trPr>
          <w:trHeight w:val="300"/>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A70C897" w14:textId="77777777" w:rsidR="008B1087" w:rsidRPr="00846D49" w:rsidRDefault="008B1087" w:rsidP="008B1087">
            <w:pPr>
              <w:tabs>
                <w:tab w:val="left" w:pos="3375"/>
              </w:tabs>
              <w:jc w:val="both"/>
              <w:rPr>
                <w:rFonts w:ascii="Arial" w:eastAsia="Arial Narrow" w:hAnsi="Arial" w:cs="Arial"/>
                <w:b/>
                <w:sz w:val="20"/>
                <w:szCs w:val="20"/>
              </w:rPr>
            </w:pPr>
            <w:r w:rsidRPr="00846D49">
              <w:rPr>
                <w:rFonts w:ascii="Arial" w:eastAsia="Arial Narrow" w:hAnsi="Arial" w:cs="Arial"/>
                <w:b/>
                <w:sz w:val="20"/>
                <w:szCs w:val="20"/>
              </w:rPr>
              <w:t xml:space="preserve"> Descripción del servicio</w:t>
            </w:r>
          </w:p>
        </w:tc>
        <w:tc>
          <w:tcPr>
            <w:tcW w:w="630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3CC20AD" w14:textId="77777777" w:rsidR="008B1087" w:rsidRPr="00846D49" w:rsidRDefault="008B1087" w:rsidP="008B1087">
            <w:pPr>
              <w:tabs>
                <w:tab w:val="left" w:pos="3375"/>
              </w:tabs>
              <w:ind w:left="128"/>
              <w:jc w:val="both"/>
              <w:rPr>
                <w:rFonts w:ascii="Arial" w:eastAsia="Arial Narrow" w:hAnsi="Arial" w:cs="Arial"/>
                <w:sz w:val="20"/>
                <w:szCs w:val="20"/>
              </w:rPr>
            </w:pPr>
            <w:r w:rsidRPr="00846D49">
              <w:rPr>
                <w:rFonts w:ascii="Arial" w:eastAsia="Arial Narrow" w:hAnsi="Arial" w:cs="Arial"/>
                <w:sz w:val="20"/>
                <w:szCs w:val="20"/>
              </w:rPr>
              <w:t>El servicio consiste en realizar la difusión a través de un boletín digital de síntesis de información a partir de los resultados publicados de investigación, en un lenguaje de fácil comprensión y distribuido por correo electrónico.</w:t>
            </w:r>
          </w:p>
          <w:p w14:paraId="190E3BD5" w14:textId="36DC40B7" w:rsidR="008B1087" w:rsidRPr="00846D49" w:rsidRDefault="008B1087" w:rsidP="008B1087">
            <w:pPr>
              <w:tabs>
                <w:tab w:val="left" w:pos="3375"/>
              </w:tabs>
              <w:ind w:left="128"/>
              <w:jc w:val="both"/>
              <w:rPr>
                <w:rFonts w:ascii="Arial" w:eastAsia="Arial Narrow" w:hAnsi="Arial" w:cs="Arial"/>
                <w:sz w:val="20"/>
                <w:szCs w:val="20"/>
              </w:rPr>
            </w:pPr>
            <w:r w:rsidRPr="00846D49">
              <w:rPr>
                <w:rFonts w:ascii="Arial" w:eastAsia="Arial Narrow" w:hAnsi="Arial" w:cs="Arial"/>
                <w:sz w:val="20"/>
                <w:szCs w:val="20"/>
              </w:rPr>
              <w:t>El servicio está enfocado en los decisores de política públicas de desarrollo socio productivo y ambiental (gobernadores, alcaldes, funcionarios de alto nivel, asesores, entre otros) quienes recibirán los boletines en materia forestal y de fauna silvestre. Asimismo, ciudadanos interesados en la temática. Con el presente servicio se busca que los decisores de políticas de desarrollo socioproductivo y ambiental cuenten con información para la adecuada gestión de los recursos naturales, asegurando la sostenibilidad de los mismos.</w:t>
            </w:r>
          </w:p>
          <w:p w14:paraId="521A0995" w14:textId="77777777" w:rsidR="008B1087" w:rsidRPr="00846D49" w:rsidRDefault="008B1087" w:rsidP="008B1087">
            <w:pPr>
              <w:tabs>
                <w:tab w:val="left" w:pos="3375"/>
              </w:tabs>
              <w:ind w:left="128"/>
              <w:jc w:val="both"/>
              <w:rPr>
                <w:rFonts w:ascii="Arial" w:eastAsia="Arial Narrow" w:hAnsi="Arial" w:cs="Arial"/>
                <w:sz w:val="20"/>
                <w:szCs w:val="20"/>
              </w:rPr>
            </w:pPr>
            <w:r w:rsidRPr="00846D49">
              <w:rPr>
                <w:rFonts w:ascii="Arial" w:eastAsia="Arial Narrow" w:hAnsi="Arial" w:cs="Arial"/>
                <w:sz w:val="20"/>
                <w:szCs w:val="20"/>
              </w:rPr>
              <w:t>El servicio es de tipo mejorado porque implica el uso de tecnologías para la difusión y seguimiento a los usuarios.</w:t>
            </w:r>
          </w:p>
        </w:tc>
      </w:tr>
      <w:tr w:rsidR="00846D49" w:rsidRPr="00846D49" w14:paraId="5A3CC775" w14:textId="77777777" w:rsidTr="00603F80">
        <w:trPr>
          <w:trHeight w:val="300"/>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83B890F" w14:textId="77777777" w:rsidR="008B1087" w:rsidRPr="00846D49" w:rsidRDefault="008B1087" w:rsidP="008B1087">
            <w:pPr>
              <w:tabs>
                <w:tab w:val="left" w:pos="3375"/>
              </w:tabs>
              <w:jc w:val="both"/>
              <w:rPr>
                <w:rFonts w:ascii="Arial" w:eastAsia="Arial Narrow" w:hAnsi="Arial" w:cs="Arial"/>
                <w:b/>
                <w:sz w:val="20"/>
                <w:szCs w:val="20"/>
              </w:rPr>
            </w:pPr>
            <w:r w:rsidRPr="00846D49">
              <w:rPr>
                <w:rFonts w:ascii="Arial" w:eastAsia="Arial Narrow" w:hAnsi="Arial" w:cs="Arial"/>
                <w:b/>
                <w:sz w:val="20"/>
                <w:szCs w:val="20"/>
              </w:rPr>
              <w:t xml:space="preserve"> Proveedor del servicio</w:t>
            </w:r>
          </w:p>
        </w:tc>
        <w:tc>
          <w:tcPr>
            <w:tcW w:w="630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F05BD52" w14:textId="77777777" w:rsidR="008B1087" w:rsidRPr="00846D49" w:rsidRDefault="008B1087" w:rsidP="008B1087">
            <w:pPr>
              <w:tabs>
                <w:tab w:val="left" w:pos="3375"/>
              </w:tabs>
              <w:ind w:left="128"/>
              <w:jc w:val="both"/>
              <w:rPr>
                <w:rFonts w:ascii="Arial" w:eastAsia="Arial Narrow" w:hAnsi="Arial" w:cs="Arial"/>
                <w:sz w:val="20"/>
                <w:szCs w:val="20"/>
              </w:rPr>
            </w:pPr>
            <w:r w:rsidRPr="00846D49">
              <w:rPr>
                <w:rFonts w:ascii="Arial" w:eastAsia="Arial Narrow" w:hAnsi="Arial" w:cs="Arial"/>
                <w:sz w:val="20"/>
                <w:szCs w:val="20"/>
              </w:rPr>
              <w:t>Instituto de Investigaciones de la Amazonía Peruana - IIAP</w:t>
            </w:r>
          </w:p>
        </w:tc>
      </w:tr>
      <w:tr w:rsidR="00846D49" w:rsidRPr="00846D49" w14:paraId="50EA0F0A" w14:textId="77777777" w:rsidTr="001F4033">
        <w:trPr>
          <w:trHeight w:val="555"/>
          <w:jc w:val="center"/>
        </w:trPr>
        <w:tc>
          <w:tcPr>
            <w:tcW w:w="2340" w:type="dxa"/>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6577F36F" w14:textId="77777777" w:rsidR="008B1087" w:rsidRPr="00846D49" w:rsidRDefault="008B1087" w:rsidP="002469C9">
            <w:pPr>
              <w:spacing w:after="0" w:line="240" w:lineRule="auto"/>
              <w:rPr>
                <w:rFonts w:ascii="Arial" w:hAnsi="Arial" w:cs="Arial"/>
                <w:b/>
                <w:sz w:val="20"/>
                <w:szCs w:val="20"/>
              </w:rPr>
            </w:pPr>
            <w:r w:rsidRPr="00846D49">
              <w:rPr>
                <w:rFonts w:ascii="Arial" w:hAnsi="Arial" w:cs="Arial"/>
                <w:b/>
                <w:sz w:val="20"/>
                <w:szCs w:val="20"/>
              </w:rPr>
              <w:t>Nivel (es) de gobierno que interviene</w:t>
            </w:r>
          </w:p>
          <w:p w14:paraId="47344B16" w14:textId="45C2D179" w:rsidR="008B1087" w:rsidRPr="00846D49" w:rsidRDefault="008B1087" w:rsidP="008B1087">
            <w:pPr>
              <w:tabs>
                <w:tab w:val="left" w:pos="3375"/>
              </w:tabs>
              <w:jc w:val="both"/>
              <w:rPr>
                <w:rFonts w:ascii="Arial" w:eastAsia="Arial Narrow" w:hAnsi="Arial" w:cs="Arial"/>
                <w:b/>
                <w:sz w:val="20"/>
                <w:szCs w:val="20"/>
              </w:rPr>
            </w:pPr>
            <w:r w:rsidRPr="00846D49">
              <w:rPr>
                <w:rFonts w:ascii="Arial" w:hAnsi="Arial" w:cs="Arial"/>
                <w:b/>
                <w:sz w:val="20"/>
                <w:szCs w:val="20"/>
              </w:rPr>
              <w:lastRenderedPageBreak/>
              <w:t>(n) en la provisión del servicio</w:t>
            </w:r>
          </w:p>
        </w:tc>
        <w:tc>
          <w:tcPr>
            <w:tcW w:w="2102"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0330FC9E" w14:textId="394C9AEC" w:rsidR="008B1087" w:rsidRPr="00846D49" w:rsidRDefault="008B1087" w:rsidP="0025059A">
            <w:pPr>
              <w:tabs>
                <w:tab w:val="left" w:pos="3375"/>
              </w:tabs>
              <w:ind w:left="128"/>
              <w:jc w:val="center"/>
              <w:rPr>
                <w:rFonts w:ascii="Arial" w:eastAsia="Arial Narrow" w:hAnsi="Arial" w:cs="Arial"/>
                <w:sz w:val="20"/>
                <w:szCs w:val="20"/>
              </w:rPr>
            </w:pPr>
            <w:r w:rsidRPr="00846D49">
              <w:rPr>
                <w:rFonts w:ascii="Arial" w:eastAsia="Arial Narrow" w:hAnsi="Arial" w:cs="Arial"/>
                <w:sz w:val="20"/>
                <w:szCs w:val="20"/>
              </w:rPr>
              <w:lastRenderedPageBreak/>
              <w:t>Nacional</w:t>
            </w:r>
          </w:p>
        </w:tc>
        <w:tc>
          <w:tcPr>
            <w:tcW w:w="2102" w:type="dxa"/>
            <w:tcBorders>
              <w:top w:val="single" w:sz="4" w:space="0" w:color="000000"/>
              <w:left w:val="single" w:sz="4" w:space="0" w:color="000000"/>
              <w:right w:val="single" w:sz="4" w:space="0" w:color="000000"/>
            </w:tcBorders>
            <w:shd w:val="clear" w:color="auto" w:fill="auto"/>
            <w:vAlign w:val="center"/>
          </w:tcPr>
          <w:p w14:paraId="0957FD10" w14:textId="4AE02BD2" w:rsidR="008B1087" w:rsidRPr="00846D49" w:rsidRDefault="008B1087" w:rsidP="0025059A">
            <w:pPr>
              <w:tabs>
                <w:tab w:val="left" w:pos="3375"/>
              </w:tabs>
              <w:ind w:left="128"/>
              <w:jc w:val="center"/>
              <w:rPr>
                <w:rFonts w:ascii="Arial" w:eastAsia="Arial Narrow" w:hAnsi="Arial" w:cs="Arial"/>
                <w:sz w:val="20"/>
                <w:szCs w:val="20"/>
              </w:rPr>
            </w:pPr>
            <w:r w:rsidRPr="00846D49">
              <w:rPr>
                <w:rFonts w:ascii="Arial" w:eastAsia="Arial Narrow" w:hAnsi="Arial" w:cs="Arial"/>
                <w:sz w:val="20"/>
                <w:szCs w:val="20"/>
              </w:rPr>
              <w:t>Regional</w:t>
            </w:r>
          </w:p>
        </w:tc>
        <w:tc>
          <w:tcPr>
            <w:tcW w:w="2103" w:type="dxa"/>
            <w:tcBorders>
              <w:top w:val="single" w:sz="4" w:space="0" w:color="000000"/>
              <w:left w:val="single" w:sz="4" w:space="0" w:color="000000"/>
              <w:right w:val="single" w:sz="4" w:space="0" w:color="000000"/>
            </w:tcBorders>
            <w:shd w:val="clear" w:color="auto" w:fill="auto"/>
            <w:vAlign w:val="center"/>
          </w:tcPr>
          <w:p w14:paraId="3C31788A" w14:textId="14FDFA33" w:rsidR="008B1087" w:rsidRPr="00846D49" w:rsidRDefault="008B1087" w:rsidP="0025059A">
            <w:pPr>
              <w:tabs>
                <w:tab w:val="left" w:pos="3375"/>
              </w:tabs>
              <w:ind w:left="128"/>
              <w:jc w:val="center"/>
              <w:rPr>
                <w:rFonts w:ascii="Arial" w:eastAsia="Arial Narrow" w:hAnsi="Arial" w:cs="Arial"/>
                <w:sz w:val="20"/>
                <w:szCs w:val="20"/>
              </w:rPr>
            </w:pPr>
            <w:r w:rsidRPr="00846D49">
              <w:rPr>
                <w:rFonts w:ascii="Arial" w:eastAsia="Arial Narrow" w:hAnsi="Arial" w:cs="Arial"/>
                <w:sz w:val="20"/>
                <w:szCs w:val="20"/>
              </w:rPr>
              <w:t>Local</w:t>
            </w:r>
          </w:p>
        </w:tc>
      </w:tr>
      <w:tr w:rsidR="00846D49" w:rsidRPr="00846D49" w14:paraId="6C44089B" w14:textId="77777777" w:rsidTr="001F4033">
        <w:trPr>
          <w:trHeight w:val="555"/>
          <w:jc w:val="center"/>
        </w:trPr>
        <w:tc>
          <w:tcPr>
            <w:tcW w:w="2340" w:type="dxa"/>
            <w:vMerge/>
            <w:tcBorders>
              <w:left w:val="single" w:sz="4" w:space="0" w:color="000000"/>
              <w:right w:val="single" w:sz="4" w:space="0" w:color="000000"/>
            </w:tcBorders>
            <w:shd w:val="clear" w:color="auto" w:fill="auto"/>
            <w:tcMar>
              <w:top w:w="15" w:type="dxa"/>
              <w:left w:w="15" w:type="dxa"/>
              <w:bottom w:w="0" w:type="dxa"/>
              <w:right w:w="15" w:type="dxa"/>
            </w:tcMar>
            <w:vAlign w:val="center"/>
          </w:tcPr>
          <w:p w14:paraId="1ABECDA9" w14:textId="77777777" w:rsidR="008B1087" w:rsidRPr="00846D49" w:rsidRDefault="008B1087" w:rsidP="008B1087">
            <w:pPr>
              <w:spacing w:after="0" w:line="240" w:lineRule="auto"/>
              <w:rPr>
                <w:rFonts w:ascii="Arial" w:hAnsi="Arial" w:cs="Arial"/>
                <w:b/>
                <w:sz w:val="20"/>
                <w:szCs w:val="20"/>
              </w:rPr>
            </w:pPr>
          </w:p>
        </w:tc>
        <w:tc>
          <w:tcPr>
            <w:tcW w:w="2102"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3D56C0B1" w14:textId="01A9F1AC" w:rsidR="008B1087" w:rsidRPr="00846D49" w:rsidRDefault="00B13293" w:rsidP="0025059A">
            <w:pPr>
              <w:tabs>
                <w:tab w:val="left" w:pos="3375"/>
              </w:tabs>
              <w:ind w:left="128"/>
              <w:jc w:val="center"/>
              <w:rPr>
                <w:rFonts w:ascii="Arial" w:eastAsia="Arial Narrow" w:hAnsi="Arial" w:cs="Arial"/>
                <w:sz w:val="20"/>
                <w:szCs w:val="20"/>
              </w:rPr>
            </w:pPr>
            <w:r w:rsidRPr="00846D49">
              <w:rPr>
                <w:rFonts w:ascii="Arial" w:eastAsia="Arial Narrow" w:hAnsi="Arial" w:cs="Arial"/>
                <w:sz w:val="20"/>
                <w:szCs w:val="20"/>
              </w:rPr>
              <w:t>X</w:t>
            </w:r>
          </w:p>
        </w:tc>
        <w:tc>
          <w:tcPr>
            <w:tcW w:w="2102" w:type="dxa"/>
            <w:tcBorders>
              <w:top w:val="single" w:sz="4" w:space="0" w:color="000000"/>
              <w:left w:val="single" w:sz="4" w:space="0" w:color="000000"/>
              <w:right w:val="single" w:sz="4" w:space="0" w:color="000000"/>
            </w:tcBorders>
            <w:shd w:val="clear" w:color="auto" w:fill="auto"/>
            <w:vAlign w:val="center"/>
          </w:tcPr>
          <w:p w14:paraId="442B0EAE" w14:textId="77777777" w:rsidR="008B1087" w:rsidRPr="00846D49" w:rsidRDefault="008B1087" w:rsidP="0025059A">
            <w:pPr>
              <w:tabs>
                <w:tab w:val="left" w:pos="3375"/>
              </w:tabs>
              <w:ind w:left="128"/>
              <w:jc w:val="center"/>
              <w:rPr>
                <w:rFonts w:ascii="Arial" w:eastAsia="Arial Narrow" w:hAnsi="Arial" w:cs="Arial"/>
                <w:sz w:val="20"/>
                <w:szCs w:val="20"/>
              </w:rPr>
            </w:pPr>
          </w:p>
        </w:tc>
        <w:tc>
          <w:tcPr>
            <w:tcW w:w="2103" w:type="dxa"/>
            <w:tcBorders>
              <w:top w:val="single" w:sz="4" w:space="0" w:color="000000"/>
              <w:left w:val="single" w:sz="4" w:space="0" w:color="000000"/>
              <w:right w:val="single" w:sz="4" w:space="0" w:color="000000"/>
            </w:tcBorders>
            <w:shd w:val="clear" w:color="auto" w:fill="auto"/>
            <w:vAlign w:val="center"/>
          </w:tcPr>
          <w:p w14:paraId="24E47AB4" w14:textId="284D6CE1" w:rsidR="008B1087" w:rsidRPr="00846D49" w:rsidRDefault="008B1087" w:rsidP="0025059A">
            <w:pPr>
              <w:tabs>
                <w:tab w:val="left" w:pos="3375"/>
              </w:tabs>
              <w:ind w:left="128"/>
              <w:jc w:val="center"/>
              <w:rPr>
                <w:rFonts w:ascii="Arial" w:eastAsia="Arial Narrow" w:hAnsi="Arial" w:cs="Arial"/>
                <w:sz w:val="20"/>
                <w:szCs w:val="20"/>
              </w:rPr>
            </w:pPr>
          </w:p>
        </w:tc>
      </w:tr>
      <w:tr w:rsidR="00846D49" w:rsidRPr="00846D49" w14:paraId="6A5C64C0" w14:textId="77777777" w:rsidTr="00603F80">
        <w:trPr>
          <w:trHeight w:val="300"/>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8BCB715" w14:textId="77777777" w:rsidR="008B1087" w:rsidRPr="00846D49" w:rsidRDefault="008B1087" w:rsidP="008B1087">
            <w:pPr>
              <w:tabs>
                <w:tab w:val="left" w:pos="3375"/>
              </w:tabs>
              <w:jc w:val="both"/>
              <w:rPr>
                <w:rFonts w:ascii="Arial" w:eastAsia="Arial Narrow" w:hAnsi="Arial" w:cs="Arial"/>
                <w:b/>
                <w:sz w:val="20"/>
                <w:szCs w:val="20"/>
              </w:rPr>
            </w:pPr>
            <w:r w:rsidRPr="00846D49">
              <w:rPr>
                <w:rFonts w:ascii="Arial" w:eastAsia="Arial Narrow" w:hAnsi="Arial" w:cs="Arial"/>
                <w:b/>
                <w:sz w:val="20"/>
                <w:szCs w:val="20"/>
              </w:rPr>
              <w:t xml:space="preserve"> Receptor del servicio</w:t>
            </w:r>
          </w:p>
        </w:tc>
        <w:tc>
          <w:tcPr>
            <w:tcW w:w="630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AC889D4" w14:textId="77777777" w:rsidR="008B1087" w:rsidRPr="00846D49" w:rsidRDefault="008B1087" w:rsidP="008B1087">
            <w:pPr>
              <w:tabs>
                <w:tab w:val="left" w:pos="3375"/>
              </w:tabs>
              <w:ind w:left="128"/>
              <w:jc w:val="both"/>
              <w:rPr>
                <w:rFonts w:ascii="Arial" w:eastAsia="Arial Narrow" w:hAnsi="Arial" w:cs="Arial"/>
                <w:sz w:val="20"/>
                <w:szCs w:val="20"/>
              </w:rPr>
            </w:pPr>
            <w:r w:rsidRPr="00846D49">
              <w:rPr>
                <w:rFonts w:ascii="Arial" w:eastAsia="Arial Narrow" w:hAnsi="Arial" w:cs="Arial"/>
                <w:sz w:val="20"/>
                <w:szCs w:val="20"/>
              </w:rPr>
              <w:t xml:space="preserve">Autoridades decisoras de políticas públicas </w:t>
            </w:r>
          </w:p>
        </w:tc>
      </w:tr>
      <w:tr w:rsidR="00846D49" w:rsidRPr="00846D49" w14:paraId="51130963" w14:textId="77777777" w:rsidTr="00603F80">
        <w:trPr>
          <w:trHeight w:val="211"/>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59218AD" w14:textId="77777777" w:rsidR="008B1087" w:rsidRPr="00846D49" w:rsidRDefault="008B1087" w:rsidP="008B1087">
            <w:pPr>
              <w:tabs>
                <w:tab w:val="left" w:pos="3375"/>
              </w:tabs>
              <w:jc w:val="both"/>
              <w:rPr>
                <w:rFonts w:ascii="Arial" w:eastAsia="Arial Narrow" w:hAnsi="Arial" w:cs="Arial"/>
                <w:b/>
                <w:sz w:val="20"/>
                <w:szCs w:val="20"/>
              </w:rPr>
            </w:pPr>
            <w:r w:rsidRPr="00846D49">
              <w:rPr>
                <w:rFonts w:ascii="Arial" w:eastAsia="Arial Narrow" w:hAnsi="Arial" w:cs="Arial"/>
                <w:b/>
                <w:sz w:val="20"/>
                <w:szCs w:val="20"/>
              </w:rPr>
              <w:t xml:space="preserve"> Alcance del servicio </w:t>
            </w:r>
          </w:p>
        </w:tc>
        <w:tc>
          <w:tcPr>
            <w:tcW w:w="630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0C99984" w14:textId="6097B19B" w:rsidR="008B1087" w:rsidRPr="00846D49" w:rsidRDefault="008B1087" w:rsidP="008B1087">
            <w:pPr>
              <w:tabs>
                <w:tab w:val="left" w:pos="3375"/>
              </w:tabs>
              <w:ind w:left="128"/>
              <w:jc w:val="both"/>
              <w:rPr>
                <w:rFonts w:ascii="Arial" w:eastAsia="Arial Narrow" w:hAnsi="Arial" w:cs="Arial"/>
                <w:sz w:val="20"/>
                <w:szCs w:val="20"/>
              </w:rPr>
            </w:pPr>
            <w:r w:rsidRPr="00846D49">
              <w:rPr>
                <w:rFonts w:ascii="Arial" w:eastAsia="Arial Narrow" w:hAnsi="Arial" w:cs="Arial"/>
                <w:sz w:val="20"/>
                <w:szCs w:val="20"/>
              </w:rPr>
              <w:t>Nivel departamental: Amazonas, San Martín, Loreto, Ucayali, Madre de Dios y Huánuco.</w:t>
            </w:r>
          </w:p>
        </w:tc>
      </w:tr>
      <w:tr w:rsidR="00846D49" w:rsidRPr="00846D49" w14:paraId="4EBED6E7" w14:textId="77777777" w:rsidTr="00603F80">
        <w:trPr>
          <w:trHeight w:val="62"/>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25BE9CA" w14:textId="77777777" w:rsidR="008B1087" w:rsidRPr="00846D49" w:rsidRDefault="008B1087" w:rsidP="008B1087">
            <w:pPr>
              <w:tabs>
                <w:tab w:val="left" w:pos="3375"/>
              </w:tabs>
              <w:jc w:val="both"/>
              <w:rPr>
                <w:rFonts w:ascii="Arial" w:eastAsia="Arial Narrow" w:hAnsi="Arial" w:cs="Arial"/>
                <w:b/>
                <w:sz w:val="20"/>
                <w:szCs w:val="20"/>
              </w:rPr>
            </w:pPr>
            <w:r w:rsidRPr="00846D49">
              <w:rPr>
                <w:rFonts w:ascii="Arial" w:eastAsia="Arial Narrow" w:hAnsi="Arial" w:cs="Arial"/>
                <w:b/>
                <w:sz w:val="20"/>
                <w:szCs w:val="20"/>
              </w:rPr>
              <w:t xml:space="preserve"> Estándar (es) de cumplimiento</w:t>
            </w:r>
          </w:p>
        </w:tc>
        <w:tc>
          <w:tcPr>
            <w:tcW w:w="630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7B24D2FB" w14:textId="77777777" w:rsidR="008B1087" w:rsidRPr="00846D49" w:rsidRDefault="008B1087" w:rsidP="008B1087">
            <w:pPr>
              <w:tabs>
                <w:tab w:val="left" w:pos="3375"/>
              </w:tabs>
              <w:ind w:left="128"/>
              <w:jc w:val="both"/>
              <w:rPr>
                <w:rFonts w:ascii="Arial" w:eastAsia="Arial Narrow" w:hAnsi="Arial" w:cs="Arial"/>
                <w:sz w:val="20"/>
                <w:szCs w:val="20"/>
              </w:rPr>
            </w:pPr>
            <w:r w:rsidRPr="00846D49">
              <w:rPr>
                <w:rFonts w:ascii="Arial" w:eastAsia="Arial Narrow" w:hAnsi="Arial" w:cs="Arial"/>
                <w:sz w:val="20"/>
                <w:szCs w:val="20"/>
              </w:rPr>
              <w:t xml:space="preserve">Percepción </w:t>
            </w:r>
          </w:p>
        </w:tc>
      </w:tr>
      <w:tr w:rsidR="00846D49" w:rsidRPr="00846D49" w14:paraId="77F795D0" w14:textId="77777777" w:rsidTr="00603F80">
        <w:trPr>
          <w:trHeight w:val="300"/>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A472F2B" w14:textId="77777777" w:rsidR="008B1087" w:rsidRPr="00846D49" w:rsidRDefault="008B1087" w:rsidP="008B1087">
            <w:pPr>
              <w:tabs>
                <w:tab w:val="left" w:pos="3375"/>
              </w:tabs>
              <w:jc w:val="both"/>
              <w:rPr>
                <w:rFonts w:ascii="Arial" w:eastAsia="Arial Narrow" w:hAnsi="Arial" w:cs="Arial"/>
                <w:b/>
                <w:sz w:val="20"/>
                <w:szCs w:val="20"/>
              </w:rPr>
            </w:pPr>
            <w:r w:rsidRPr="00846D49">
              <w:rPr>
                <w:rFonts w:ascii="Arial" w:eastAsia="Arial Narrow" w:hAnsi="Arial" w:cs="Arial"/>
                <w:b/>
                <w:sz w:val="20"/>
                <w:szCs w:val="20"/>
              </w:rPr>
              <w:t xml:space="preserve"> Descripción del estándar</w:t>
            </w:r>
          </w:p>
        </w:tc>
        <w:tc>
          <w:tcPr>
            <w:tcW w:w="630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35" w:type="dxa"/>
              <w:bottom w:w="0" w:type="dxa"/>
              <w:right w:w="15" w:type="dxa"/>
            </w:tcMar>
            <w:vAlign w:val="center"/>
          </w:tcPr>
          <w:p w14:paraId="67E93087" w14:textId="727A4D04" w:rsidR="008B1087" w:rsidRPr="00846D49" w:rsidRDefault="008B1087" w:rsidP="008B1087">
            <w:pPr>
              <w:tabs>
                <w:tab w:val="left" w:pos="3375"/>
              </w:tabs>
              <w:ind w:firstLine="2"/>
              <w:jc w:val="both"/>
              <w:rPr>
                <w:rFonts w:ascii="Arial" w:eastAsia="Arial Narrow" w:hAnsi="Arial" w:cs="Arial"/>
                <w:sz w:val="20"/>
                <w:szCs w:val="20"/>
              </w:rPr>
            </w:pPr>
            <w:bookmarkStart w:id="11" w:name="_heading=h.gjdgxs" w:colFirst="0" w:colLast="0"/>
            <w:bookmarkEnd w:id="11"/>
            <w:r w:rsidRPr="00846D49">
              <w:rPr>
                <w:rFonts w:ascii="Arial" w:eastAsia="Arial Narrow" w:hAnsi="Arial" w:cs="Arial"/>
                <w:sz w:val="20"/>
                <w:szCs w:val="20"/>
              </w:rPr>
              <w:t xml:space="preserve">El estándar es de percepción porque responde al nivel de satisfacción de los decisores de políticas públicas sobre los conocimientos y tecnologías integradas dadas a conocer (difundidas) para la conservación y uso sostenible de ecosistemas forestales y de fauna silvestre amazónicos en un lenguaje de fácil comprensión. </w:t>
            </w:r>
          </w:p>
        </w:tc>
      </w:tr>
      <w:tr w:rsidR="008B1087" w:rsidRPr="00846D49" w14:paraId="157831EB" w14:textId="77777777" w:rsidTr="00603F80">
        <w:trPr>
          <w:trHeight w:val="491"/>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03B468B" w14:textId="139EF697" w:rsidR="008B1087" w:rsidRPr="00846D49" w:rsidRDefault="008B1087" w:rsidP="008B1087">
            <w:pPr>
              <w:tabs>
                <w:tab w:val="left" w:pos="3375"/>
              </w:tabs>
              <w:jc w:val="both"/>
              <w:rPr>
                <w:rFonts w:ascii="Arial" w:eastAsia="Arial Narrow" w:hAnsi="Arial" w:cs="Arial"/>
                <w:b/>
                <w:sz w:val="20"/>
                <w:szCs w:val="20"/>
              </w:rPr>
            </w:pPr>
            <w:r w:rsidRPr="00846D49">
              <w:rPr>
                <w:rFonts w:ascii="Arial" w:eastAsia="Arial Narrow" w:hAnsi="Arial" w:cs="Arial"/>
                <w:b/>
                <w:sz w:val="20"/>
                <w:szCs w:val="20"/>
              </w:rPr>
              <w:t>Indicador de calidad</w:t>
            </w:r>
          </w:p>
        </w:tc>
        <w:tc>
          <w:tcPr>
            <w:tcW w:w="630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2D0E379C" w14:textId="23A7E465" w:rsidR="008B1087" w:rsidRPr="00846D49" w:rsidRDefault="008B1087" w:rsidP="008B1087">
            <w:pPr>
              <w:tabs>
                <w:tab w:val="left" w:pos="3375"/>
              </w:tabs>
              <w:jc w:val="both"/>
              <w:rPr>
                <w:rFonts w:ascii="Arial" w:eastAsia="Arial Narrow" w:hAnsi="Arial" w:cs="Arial"/>
                <w:sz w:val="20"/>
                <w:szCs w:val="20"/>
              </w:rPr>
            </w:pPr>
            <w:r w:rsidRPr="00846D49">
              <w:rPr>
                <w:rFonts w:ascii="Arial" w:eastAsia="Arial Narrow" w:hAnsi="Arial" w:cs="Arial"/>
                <w:sz w:val="20"/>
                <w:szCs w:val="20"/>
              </w:rPr>
              <w:t xml:space="preserve">Porcentaje de autoridades decisoras de políticas públicas de regiones amazónicas que valoran positivamente la información científica recibida en materia forestal y de fauna silvestre </w:t>
            </w:r>
          </w:p>
        </w:tc>
      </w:tr>
    </w:tbl>
    <w:p w14:paraId="698F6B12" w14:textId="77777777" w:rsidR="00603F80" w:rsidRPr="00846D49" w:rsidRDefault="00603F80">
      <w:pPr>
        <w:rPr>
          <w:rFonts w:ascii="Arial Narrow" w:eastAsia="Arial Narrow" w:hAnsi="Arial Narrow" w:cs="Arial Narrow"/>
          <w:b/>
        </w:rPr>
      </w:pPr>
    </w:p>
    <w:p w14:paraId="1489B187" w14:textId="131CCDA6" w:rsidR="00E457BC" w:rsidRPr="00846D49" w:rsidRDefault="00E457BC">
      <w:pPr>
        <w:rPr>
          <w:rFonts w:ascii="Arial Narrow" w:eastAsia="Arial Narrow" w:hAnsi="Arial Narrow" w:cs="Arial Narrow"/>
          <w:b/>
        </w:rPr>
      </w:pPr>
    </w:p>
    <w:p w14:paraId="530A0D3B" w14:textId="34D2DBDD" w:rsidR="00603F80" w:rsidRPr="00846D49" w:rsidRDefault="00603F80" w:rsidP="00603F80">
      <w:pPr>
        <w:jc w:val="both"/>
        <w:rPr>
          <w:rFonts w:ascii="Arial" w:eastAsia="Arial Narrow" w:hAnsi="Arial" w:cs="Arial"/>
        </w:rPr>
      </w:pPr>
      <w:r w:rsidRPr="00846D49">
        <w:rPr>
          <w:rFonts w:ascii="Arial" w:eastAsia="Arial Narrow" w:hAnsi="Arial" w:cs="Arial"/>
          <w:b/>
          <w:bCs/>
        </w:rPr>
        <w:t>S.3.3.</w:t>
      </w:r>
      <w:r w:rsidR="00F517A6" w:rsidRPr="00846D49">
        <w:rPr>
          <w:rFonts w:ascii="Arial" w:eastAsia="Arial Narrow" w:hAnsi="Arial" w:cs="Arial"/>
          <w:b/>
          <w:bCs/>
        </w:rPr>
        <w:t>6</w:t>
      </w:r>
      <w:r w:rsidRPr="00846D49">
        <w:rPr>
          <w:rFonts w:ascii="Arial" w:eastAsia="Arial Narrow" w:hAnsi="Arial" w:cs="Arial"/>
          <w:b/>
          <w:bCs/>
        </w:rPr>
        <w:t>.</w:t>
      </w:r>
      <w:r w:rsidRPr="00846D49">
        <w:rPr>
          <w:rFonts w:ascii="Arial" w:eastAsia="Arial Narrow" w:hAnsi="Arial" w:cs="Arial"/>
        </w:rPr>
        <w:t xml:space="preserve"> Asistencia técnica para la sistematización del conocimiento tradicional de pueblos indígenas con pertinencia cultural </w:t>
      </w:r>
      <w:r w:rsidR="00D83582" w:rsidRPr="00846D49">
        <w:rPr>
          <w:rFonts w:ascii="Arial" w:eastAsia="Arial Narrow" w:hAnsi="Arial" w:cs="Arial"/>
        </w:rPr>
        <w:t xml:space="preserve">dirigido </w:t>
      </w:r>
      <w:r w:rsidRPr="00846D49">
        <w:rPr>
          <w:rFonts w:ascii="Arial" w:eastAsia="Arial Narrow" w:hAnsi="Arial" w:cs="Arial"/>
        </w:rPr>
        <w:t>a las Autoridades Regionales Forestales y de Fauna Silvestre</w:t>
      </w:r>
    </w:p>
    <w:tbl>
      <w:tblPr>
        <w:tblW w:w="8722" w:type="dxa"/>
        <w:jc w:val="center"/>
        <w:tblCellMar>
          <w:left w:w="70" w:type="dxa"/>
          <w:right w:w="70" w:type="dxa"/>
        </w:tblCellMar>
        <w:tblLook w:val="04A0" w:firstRow="1" w:lastRow="0" w:firstColumn="1" w:lastColumn="0" w:noHBand="0" w:noVBand="1"/>
      </w:tblPr>
      <w:tblGrid>
        <w:gridCol w:w="2268"/>
        <w:gridCol w:w="2151"/>
        <w:gridCol w:w="2151"/>
        <w:gridCol w:w="2152"/>
      </w:tblGrid>
      <w:tr w:rsidR="00846D49" w:rsidRPr="00846D49" w14:paraId="79A0DDA7" w14:textId="77777777" w:rsidTr="00603F80">
        <w:trPr>
          <w:trHeight w:val="136"/>
          <w:jc w:val="center"/>
        </w:trPr>
        <w:tc>
          <w:tcPr>
            <w:tcW w:w="872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D574FE5" w14:textId="12F0126F" w:rsidR="00603F80" w:rsidRPr="00846D49" w:rsidRDefault="00603F80" w:rsidP="00603F80">
            <w:pPr>
              <w:spacing w:after="0" w:line="240" w:lineRule="auto"/>
              <w:jc w:val="center"/>
              <w:rPr>
                <w:rFonts w:ascii="Arial" w:eastAsia="Times New Roman" w:hAnsi="Arial" w:cs="Arial"/>
                <w:b/>
                <w:bCs/>
                <w:sz w:val="20"/>
                <w:szCs w:val="20"/>
              </w:rPr>
            </w:pPr>
            <w:r w:rsidRPr="00846D49">
              <w:rPr>
                <w:rFonts w:ascii="Arial" w:eastAsia="Times New Roman" w:hAnsi="Arial" w:cs="Arial"/>
                <w:b/>
                <w:bCs/>
                <w:sz w:val="20"/>
                <w:szCs w:val="20"/>
              </w:rPr>
              <w:t xml:space="preserve">FICHA DEL SERVICIO </w:t>
            </w:r>
          </w:p>
        </w:tc>
      </w:tr>
      <w:tr w:rsidR="00846D49" w:rsidRPr="00846D49" w14:paraId="33E5209D" w14:textId="77777777" w:rsidTr="00603F80">
        <w:trPr>
          <w:trHeight w:val="549"/>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2B644B3A" w14:textId="77777777" w:rsidR="00603F80" w:rsidRPr="00846D49" w:rsidRDefault="00603F80" w:rsidP="00603F80">
            <w:pPr>
              <w:tabs>
                <w:tab w:val="left" w:pos="3375"/>
              </w:tabs>
              <w:spacing w:after="0" w:line="240" w:lineRule="auto"/>
              <w:jc w:val="both"/>
              <w:rPr>
                <w:rFonts w:ascii="Arial" w:eastAsia="Arial Narrow" w:hAnsi="Arial" w:cs="Arial"/>
                <w:b/>
                <w:sz w:val="20"/>
                <w:szCs w:val="20"/>
              </w:rPr>
            </w:pPr>
            <w:r w:rsidRPr="00846D49">
              <w:rPr>
                <w:rFonts w:ascii="Arial" w:eastAsia="Arial Narrow" w:hAnsi="Arial" w:cs="Arial"/>
                <w:b/>
                <w:sz w:val="20"/>
                <w:szCs w:val="20"/>
              </w:rPr>
              <w:t>Objetivo prioritario:</w:t>
            </w:r>
          </w:p>
        </w:tc>
        <w:tc>
          <w:tcPr>
            <w:tcW w:w="645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1A6B7C7" w14:textId="77777777" w:rsidR="00603F80" w:rsidRPr="00846D49" w:rsidRDefault="00603F80" w:rsidP="00603F80">
            <w:pPr>
              <w:tabs>
                <w:tab w:val="left" w:pos="3375"/>
              </w:tabs>
              <w:spacing w:after="0" w:line="240" w:lineRule="auto"/>
              <w:jc w:val="both"/>
              <w:rPr>
                <w:rFonts w:ascii="Arial" w:eastAsia="Arial Narrow" w:hAnsi="Arial" w:cs="Arial"/>
                <w:sz w:val="20"/>
                <w:szCs w:val="20"/>
              </w:rPr>
            </w:pPr>
            <w:r w:rsidRPr="00846D49">
              <w:rPr>
                <w:rFonts w:ascii="Arial" w:eastAsia="Arial Narrow" w:hAnsi="Arial" w:cs="Arial"/>
                <w:sz w:val="20"/>
                <w:szCs w:val="20"/>
              </w:rPr>
              <w:t>OP3. Fortalecer la gobernanza forestal y de fauna silvestre</w:t>
            </w:r>
          </w:p>
        </w:tc>
      </w:tr>
      <w:tr w:rsidR="00846D49" w:rsidRPr="00846D49" w14:paraId="1A504DC7" w14:textId="77777777" w:rsidTr="00603F80">
        <w:trPr>
          <w:trHeight w:val="627"/>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8210046" w14:textId="77777777" w:rsidR="00603F80" w:rsidRPr="00846D49" w:rsidRDefault="00603F80" w:rsidP="00603F80">
            <w:pPr>
              <w:tabs>
                <w:tab w:val="left" w:pos="3375"/>
              </w:tabs>
              <w:spacing w:after="0" w:line="240" w:lineRule="auto"/>
              <w:jc w:val="both"/>
              <w:rPr>
                <w:rFonts w:ascii="Arial" w:eastAsia="Arial Narrow" w:hAnsi="Arial" w:cs="Arial"/>
                <w:b/>
                <w:sz w:val="20"/>
                <w:szCs w:val="20"/>
              </w:rPr>
            </w:pPr>
            <w:r w:rsidRPr="00846D49">
              <w:rPr>
                <w:rFonts w:ascii="Arial" w:eastAsia="Arial Narrow" w:hAnsi="Arial" w:cs="Arial"/>
                <w:b/>
                <w:sz w:val="20"/>
                <w:szCs w:val="20"/>
              </w:rPr>
              <w:t>Lineamiento:</w:t>
            </w:r>
          </w:p>
        </w:tc>
        <w:tc>
          <w:tcPr>
            <w:tcW w:w="645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5146415" w14:textId="77777777" w:rsidR="00603F80" w:rsidRPr="00846D49" w:rsidRDefault="00603F80" w:rsidP="00603F80">
            <w:pPr>
              <w:tabs>
                <w:tab w:val="left" w:pos="3375"/>
              </w:tabs>
              <w:spacing w:after="0" w:line="240" w:lineRule="auto"/>
              <w:jc w:val="both"/>
              <w:rPr>
                <w:rFonts w:ascii="Arial" w:eastAsia="Arial Narrow" w:hAnsi="Arial" w:cs="Arial"/>
                <w:sz w:val="20"/>
                <w:szCs w:val="20"/>
              </w:rPr>
            </w:pPr>
            <w:r w:rsidRPr="00846D49">
              <w:rPr>
                <w:rFonts w:ascii="Arial" w:eastAsia="Arial Narrow" w:hAnsi="Arial" w:cs="Arial"/>
                <w:sz w:val="20"/>
                <w:szCs w:val="20"/>
              </w:rPr>
              <w:t>L.3.3.  Gestionar la información y el conocimiento en materia forestal y de fauna silvestre producido por los actores forestales y de fauna silvestre</w:t>
            </w:r>
          </w:p>
        </w:tc>
      </w:tr>
      <w:tr w:rsidR="00846D49" w:rsidRPr="00846D49" w14:paraId="0C34CD8A" w14:textId="77777777" w:rsidTr="00603F80">
        <w:trPr>
          <w:trHeight w:val="609"/>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5C47E19" w14:textId="77777777" w:rsidR="00603F80" w:rsidRPr="00846D49" w:rsidRDefault="00603F80" w:rsidP="00603F80">
            <w:pPr>
              <w:tabs>
                <w:tab w:val="left" w:pos="3375"/>
              </w:tabs>
              <w:spacing w:after="0" w:line="240" w:lineRule="auto"/>
              <w:jc w:val="both"/>
              <w:rPr>
                <w:rFonts w:ascii="Arial" w:eastAsia="Arial Narrow" w:hAnsi="Arial" w:cs="Arial"/>
                <w:b/>
                <w:sz w:val="20"/>
                <w:szCs w:val="20"/>
              </w:rPr>
            </w:pPr>
            <w:r w:rsidRPr="00846D49">
              <w:rPr>
                <w:rFonts w:ascii="Arial" w:eastAsia="Arial Narrow" w:hAnsi="Arial" w:cs="Arial"/>
                <w:b/>
                <w:sz w:val="20"/>
                <w:szCs w:val="20"/>
              </w:rPr>
              <w:t>Nombre del servicio:</w:t>
            </w:r>
          </w:p>
        </w:tc>
        <w:tc>
          <w:tcPr>
            <w:tcW w:w="645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E263E67" w14:textId="15C40015" w:rsidR="00603F80" w:rsidRPr="00846D49" w:rsidRDefault="00603F80" w:rsidP="00603F80">
            <w:pPr>
              <w:tabs>
                <w:tab w:val="left" w:pos="3375"/>
              </w:tabs>
              <w:spacing w:after="0" w:line="240" w:lineRule="auto"/>
              <w:jc w:val="both"/>
              <w:rPr>
                <w:rFonts w:ascii="Arial" w:eastAsia="Arial Narrow" w:hAnsi="Arial" w:cs="Arial"/>
                <w:sz w:val="20"/>
                <w:szCs w:val="20"/>
              </w:rPr>
            </w:pPr>
            <w:r w:rsidRPr="00846D49">
              <w:rPr>
                <w:rFonts w:ascii="Arial" w:eastAsia="Arial Narrow" w:hAnsi="Arial" w:cs="Arial"/>
                <w:sz w:val="20"/>
                <w:szCs w:val="20"/>
              </w:rPr>
              <w:t>S.3.3.</w:t>
            </w:r>
            <w:r w:rsidR="00F517A6" w:rsidRPr="00846D49">
              <w:rPr>
                <w:rFonts w:ascii="Arial" w:eastAsia="Arial Narrow" w:hAnsi="Arial" w:cs="Arial"/>
                <w:sz w:val="20"/>
                <w:szCs w:val="20"/>
              </w:rPr>
              <w:t>6</w:t>
            </w:r>
            <w:r w:rsidRPr="00846D49">
              <w:rPr>
                <w:rFonts w:ascii="Arial" w:eastAsia="Arial Narrow" w:hAnsi="Arial" w:cs="Arial"/>
                <w:sz w:val="20"/>
                <w:szCs w:val="20"/>
              </w:rPr>
              <w:t xml:space="preserve">.    </w:t>
            </w:r>
            <w:r w:rsidR="006A0836" w:rsidRPr="00846D49">
              <w:rPr>
                <w:rFonts w:ascii="Arial" w:eastAsia="Arial Narrow" w:hAnsi="Arial" w:cs="Arial"/>
                <w:sz w:val="20"/>
                <w:szCs w:val="20"/>
              </w:rPr>
              <w:t>Asistencia técnica para la sistematización del conocimiento tradicional de pueblos indígenas con pertinencia cultural dirigido a las Autoridades Regionales Forestales y de Fauna Silvestre</w:t>
            </w:r>
          </w:p>
        </w:tc>
      </w:tr>
      <w:tr w:rsidR="00846D49" w:rsidRPr="00846D49" w14:paraId="74ABA339" w14:textId="77777777" w:rsidTr="00603F80">
        <w:trPr>
          <w:trHeight w:val="609"/>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0BDCB9F" w14:textId="77777777" w:rsidR="00603F80" w:rsidRPr="00846D49" w:rsidRDefault="00603F80" w:rsidP="00603F80">
            <w:pPr>
              <w:tabs>
                <w:tab w:val="left" w:pos="3375"/>
              </w:tabs>
              <w:spacing w:after="0" w:line="240" w:lineRule="auto"/>
              <w:jc w:val="both"/>
              <w:rPr>
                <w:rFonts w:ascii="Arial" w:eastAsia="Arial Narrow" w:hAnsi="Arial" w:cs="Arial"/>
                <w:b/>
                <w:sz w:val="20"/>
                <w:szCs w:val="20"/>
              </w:rPr>
            </w:pPr>
            <w:r w:rsidRPr="00846D49">
              <w:rPr>
                <w:rFonts w:ascii="Arial" w:eastAsia="Arial Narrow" w:hAnsi="Arial" w:cs="Arial"/>
                <w:b/>
                <w:sz w:val="20"/>
                <w:szCs w:val="20"/>
              </w:rPr>
              <w:t>Tipo de servicio</w:t>
            </w:r>
          </w:p>
        </w:tc>
        <w:tc>
          <w:tcPr>
            <w:tcW w:w="645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C397E35" w14:textId="77777777" w:rsidR="00603F80" w:rsidRPr="00846D49" w:rsidRDefault="00603F80" w:rsidP="00603F80">
            <w:pPr>
              <w:tabs>
                <w:tab w:val="left" w:pos="3375"/>
              </w:tabs>
              <w:spacing w:after="0" w:line="240" w:lineRule="auto"/>
              <w:jc w:val="both"/>
              <w:rPr>
                <w:rFonts w:ascii="Arial" w:eastAsia="Arial Narrow" w:hAnsi="Arial" w:cs="Arial"/>
                <w:sz w:val="20"/>
                <w:szCs w:val="20"/>
              </w:rPr>
            </w:pPr>
            <w:r w:rsidRPr="00846D49">
              <w:rPr>
                <w:rFonts w:ascii="Arial" w:eastAsia="Arial Narrow" w:hAnsi="Arial" w:cs="Arial"/>
                <w:sz w:val="20"/>
                <w:szCs w:val="20"/>
              </w:rPr>
              <w:t>Nuevo</w:t>
            </w:r>
          </w:p>
        </w:tc>
      </w:tr>
      <w:tr w:rsidR="00846D49" w:rsidRPr="00846D49" w14:paraId="37B9DF33" w14:textId="77777777" w:rsidTr="00603F80">
        <w:trPr>
          <w:trHeight w:val="609"/>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4735CFD6" w14:textId="4ACF9410" w:rsidR="008B1087" w:rsidRPr="00846D49" w:rsidRDefault="008B1087" w:rsidP="008B1087">
            <w:pPr>
              <w:tabs>
                <w:tab w:val="left" w:pos="3375"/>
              </w:tabs>
              <w:spacing w:after="0" w:line="240" w:lineRule="auto"/>
              <w:jc w:val="both"/>
              <w:rPr>
                <w:rFonts w:ascii="Arial" w:eastAsia="Arial Narrow" w:hAnsi="Arial" w:cs="Arial"/>
                <w:b/>
                <w:sz w:val="20"/>
                <w:szCs w:val="20"/>
              </w:rPr>
            </w:pPr>
            <w:r w:rsidRPr="00846D49">
              <w:rPr>
                <w:rFonts w:ascii="Arial" w:hAnsi="Arial" w:cs="Arial"/>
                <w:b/>
                <w:sz w:val="20"/>
                <w:szCs w:val="20"/>
              </w:rPr>
              <w:t>Naturaleza del servicio:</w:t>
            </w:r>
          </w:p>
        </w:tc>
        <w:tc>
          <w:tcPr>
            <w:tcW w:w="645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6731357" w14:textId="22CCC02D" w:rsidR="008B1087" w:rsidRPr="00846D49" w:rsidRDefault="00B13293" w:rsidP="008B1087">
            <w:pPr>
              <w:tabs>
                <w:tab w:val="left" w:pos="3375"/>
              </w:tabs>
              <w:spacing w:after="0" w:line="240" w:lineRule="auto"/>
              <w:jc w:val="both"/>
              <w:rPr>
                <w:rFonts w:ascii="Arial" w:eastAsia="Arial Narrow" w:hAnsi="Arial" w:cs="Arial"/>
                <w:sz w:val="20"/>
                <w:szCs w:val="20"/>
              </w:rPr>
            </w:pPr>
            <w:r w:rsidRPr="00846D49">
              <w:rPr>
                <w:rFonts w:ascii="Arial" w:eastAsia="Arial Narrow" w:hAnsi="Arial" w:cs="Arial"/>
                <w:sz w:val="20"/>
                <w:szCs w:val="20"/>
              </w:rPr>
              <w:t>A</w:t>
            </w:r>
            <w:r w:rsidR="008B1087" w:rsidRPr="00846D49">
              <w:rPr>
                <w:rFonts w:ascii="Arial" w:eastAsia="Arial Narrow" w:hAnsi="Arial" w:cs="Arial"/>
                <w:sz w:val="20"/>
                <w:szCs w:val="20"/>
              </w:rPr>
              <w:t>dministrativo</w:t>
            </w:r>
          </w:p>
        </w:tc>
      </w:tr>
      <w:tr w:rsidR="00846D49" w:rsidRPr="00846D49" w14:paraId="25F2A23E" w14:textId="77777777" w:rsidTr="00603F80">
        <w:trPr>
          <w:trHeight w:val="609"/>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4A5AA7DA" w14:textId="1F00900C" w:rsidR="008B1087" w:rsidRPr="00846D49" w:rsidRDefault="008B1087" w:rsidP="008B1087">
            <w:pPr>
              <w:tabs>
                <w:tab w:val="left" w:pos="3375"/>
              </w:tabs>
              <w:spacing w:after="0" w:line="240" w:lineRule="auto"/>
              <w:jc w:val="both"/>
              <w:rPr>
                <w:rFonts w:ascii="Arial" w:eastAsia="Arial Narrow" w:hAnsi="Arial" w:cs="Arial"/>
                <w:b/>
                <w:sz w:val="20"/>
                <w:szCs w:val="20"/>
              </w:rPr>
            </w:pPr>
            <w:r w:rsidRPr="00846D49">
              <w:rPr>
                <w:rFonts w:ascii="Arial" w:hAnsi="Arial" w:cs="Arial"/>
                <w:b/>
                <w:sz w:val="20"/>
                <w:szCs w:val="20"/>
              </w:rPr>
              <w:t>Entrega del servicio</w:t>
            </w:r>
          </w:p>
        </w:tc>
        <w:tc>
          <w:tcPr>
            <w:tcW w:w="645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2E63E59" w14:textId="17FAE55F" w:rsidR="008B1087" w:rsidRPr="00846D49" w:rsidRDefault="008B1087" w:rsidP="008B1087">
            <w:pPr>
              <w:tabs>
                <w:tab w:val="left" w:pos="3375"/>
              </w:tabs>
              <w:spacing w:after="0" w:line="240" w:lineRule="auto"/>
              <w:jc w:val="both"/>
              <w:rPr>
                <w:rFonts w:ascii="Arial" w:eastAsia="Arial Narrow" w:hAnsi="Arial" w:cs="Arial"/>
                <w:sz w:val="20"/>
                <w:szCs w:val="20"/>
              </w:rPr>
            </w:pPr>
            <w:r w:rsidRPr="00846D49">
              <w:rPr>
                <w:rFonts w:ascii="Arial" w:eastAsia="Arial Narrow" w:hAnsi="Arial" w:cs="Arial"/>
                <w:sz w:val="20"/>
                <w:szCs w:val="20"/>
              </w:rPr>
              <w:t xml:space="preserve">Competencia exclusiva </w:t>
            </w:r>
          </w:p>
        </w:tc>
      </w:tr>
      <w:tr w:rsidR="00846D49" w:rsidRPr="00846D49" w14:paraId="0C679C8E" w14:textId="77777777" w:rsidTr="00603F80">
        <w:trPr>
          <w:trHeight w:val="1033"/>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7A1B82A" w14:textId="77777777" w:rsidR="008B1087" w:rsidRPr="00846D49" w:rsidRDefault="008B1087" w:rsidP="008B1087">
            <w:pPr>
              <w:tabs>
                <w:tab w:val="left" w:pos="3375"/>
              </w:tabs>
              <w:spacing w:after="0" w:line="240" w:lineRule="auto"/>
              <w:jc w:val="both"/>
              <w:rPr>
                <w:rFonts w:ascii="Arial" w:eastAsia="Arial Narrow" w:hAnsi="Arial" w:cs="Arial"/>
                <w:b/>
                <w:sz w:val="20"/>
                <w:szCs w:val="20"/>
              </w:rPr>
            </w:pPr>
            <w:r w:rsidRPr="00846D49">
              <w:rPr>
                <w:rFonts w:ascii="Arial" w:eastAsia="Arial Narrow" w:hAnsi="Arial" w:cs="Arial"/>
                <w:b/>
                <w:sz w:val="20"/>
                <w:szCs w:val="20"/>
              </w:rPr>
              <w:t>Descripción del servicio:</w:t>
            </w:r>
          </w:p>
        </w:tc>
        <w:tc>
          <w:tcPr>
            <w:tcW w:w="6454" w:type="dxa"/>
            <w:gridSpan w:val="3"/>
            <w:tcBorders>
              <w:top w:val="single" w:sz="4" w:space="0" w:color="auto"/>
              <w:left w:val="single" w:sz="4" w:space="0" w:color="auto"/>
              <w:bottom w:val="single" w:sz="4" w:space="0" w:color="auto"/>
              <w:right w:val="single" w:sz="4" w:space="0" w:color="auto"/>
            </w:tcBorders>
            <w:shd w:val="clear" w:color="auto" w:fill="auto"/>
          </w:tcPr>
          <w:p w14:paraId="12232A35" w14:textId="77777777" w:rsidR="008B1087" w:rsidRPr="00846D49" w:rsidRDefault="008B1087" w:rsidP="008B1087">
            <w:pPr>
              <w:tabs>
                <w:tab w:val="left" w:pos="3375"/>
              </w:tabs>
              <w:spacing w:after="0" w:line="240" w:lineRule="auto"/>
              <w:jc w:val="both"/>
              <w:rPr>
                <w:rFonts w:ascii="Arial" w:eastAsia="Arial Narrow" w:hAnsi="Arial" w:cs="Arial"/>
                <w:sz w:val="20"/>
                <w:szCs w:val="20"/>
              </w:rPr>
            </w:pPr>
            <w:r w:rsidRPr="00846D49">
              <w:rPr>
                <w:rFonts w:ascii="Arial" w:eastAsia="Arial Narrow" w:hAnsi="Arial" w:cs="Arial"/>
                <w:sz w:val="20"/>
                <w:szCs w:val="20"/>
              </w:rPr>
              <w:t>El servicio consiste en la realización de sesiones de intercambio de conocimiento</w:t>
            </w:r>
            <w:r w:rsidRPr="00846D49">
              <w:rPr>
                <w:rStyle w:val="Refdenotaalpie"/>
                <w:rFonts w:ascii="Arial" w:eastAsia="Arial Narrow" w:hAnsi="Arial" w:cs="Arial"/>
                <w:sz w:val="20"/>
                <w:szCs w:val="20"/>
              </w:rPr>
              <w:footnoteReference w:id="5"/>
            </w:r>
            <w:r w:rsidRPr="00846D49">
              <w:rPr>
                <w:rFonts w:ascii="Arial" w:eastAsia="Arial Narrow" w:hAnsi="Arial" w:cs="Arial"/>
                <w:sz w:val="20"/>
                <w:szCs w:val="20"/>
              </w:rPr>
              <w:t xml:space="preserve"> entre los servidores de las Autoridades Forestales y de Fauna Silvestre, especialistas de diversas instituciones públicas y privadas y organizaciones indígenas quienes identifican conocimientos tradicionales en materia forestal y de fauna silvestre y organizan una planificación concertada y colaborativa para la sistematización y que responda a las características y especificidades culturales de los pueblos indígenas. </w:t>
            </w:r>
          </w:p>
          <w:p w14:paraId="07C3849B" w14:textId="77777777" w:rsidR="0025059A" w:rsidRPr="00846D49" w:rsidRDefault="0025059A" w:rsidP="008B1087">
            <w:pPr>
              <w:tabs>
                <w:tab w:val="left" w:pos="3375"/>
              </w:tabs>
              <w:spacing w:after="0" w:line="240" w:lineRule="auto"/>
              <w:jc w:val="both"/>
              <w:rPr>
                <w:rFonts w:ascii="Arial" w:eastAsia="Arial Narrow" w:hAnsi="Arial" w:cs="Arial"/>
                <w:sz w:val="20"/>
                <w:szCs w:val="20"/>
              </w:rPr>
            </w:pPr>
          </w:p>
          <w:p w14:paraId="6A16EBF9" w14:textId="629FEC4C" w:rsidR="008B1087" w:rsidRPr="00846D49" w:rsidRDefault="008B1087" w:rsidP="00441791">
            <w:pPr>
              <w:tabs>
                <w:tab w:val="left" w:pos="3375"/>
              </w:tabs>
              <w:spacing w:after="0" w:line="240" w:lineRule="auto"/>
              <w:jc w:val="both"/>
              <w:rPr>
                <w:rFonts w:ascii="Arial" w:eastAsia="Arial Narrow" w:hAnsi="Arial" w:cs="Arial"/>
                <w:sz w:val="20"/>
                <w:szCs w:val="20"/>
              </w:rPr>
            </w:pPr>
            <w:r w:rsidRPr="00846D49">
              <w:rPr>
                <w:rFonts w:ascii="Arial" w:eastAsia="Arial Narrow" w:hAnsi="Arial" w:cs="Arial"/>
                <w:sz w:val="20"/>
                <w:szCs w:val="20"/>
              </w:rPr>
              <w:lastRenderedPageBreak/>
              <w:t>El servicio es nuevo y responde a la necesidad de fortalecer los mecanismos de articulación entre el Servicio Nacional Forestal y de Fauna Silvestre y los pueblos indígenas</w:t>
            </w:r>
            <w:r w:rsidR="005F796A" w:rsidRPr="00846D49">
              <w:rPr>
                <w:rFonts w:ascii="Arial" w:eastAsia="Arial Narrow" w:hAnsi="Arial" w:cs="Arial"/>
                <w:sz w:val="20"/>
                <w:szCs w:val="20"/>
              </w:rPr>
              <w:t xml:space="preserve">, al haberse constituido la Unidad </w:t>
            </w:r>
            <w:r w:rsidR="00441791" w:rsidRPr="00846D49">
              <w:rPr>
                <w:rFonts w:ascii="Arial" w:eastAsia="Arial Narrow" w:hAnsi="Arial" w:cs="Arial"/>
                <w:sz w:val="20"/>
                <w:szCs w:val="20"/>
              </w:rPr>
              <w:t>Funcional</w:t>
            </w:r>
            <w:r w:rsidR="005F796A" w:rsidRPr="00846D49">
              <w:rPr>
                <w:rFonts w:ascii="Arial" w:eastAsia="Arial Narrow" w:hAnsi="Arial" w:cs="Arial"/>
                <w:sz w:val="20"/>
                <w:szCs w:val="20"/>
              </w:rPr>
              <w:t xml:space="preserve"> de Manejo </w:t>
            </w:r>
            <w:r w:rsidR="00441791" w:rsidRPr="00846D49">
              <w:rPr>
                <w:rFonts w:ascii="Arial" w:eastAsia="Arial Narrow" w:hAnsi="Arial" w:cs="Arial"/>
                <w:sz w:val="20"/>
                <w:szCs w:val="20"/>
              </w:rPr>
              <w:t xml:space="preserve">Forestal </w:t>
            </w:r>
            <w:r w:rsidR="005F796A" w:rsidRPr="00846D49">
              <w:rPr>
                <w:rFonts w:ascii="Arial" w:eastAsia="Arial Narrow" w:hAnsi="Arial" w:cs="Arial"/>
                <w:sz w:val="20"/>
                <w:szCs w:val="20"/>
              </w:rPr>
              <w:t>Comunitario dentro de la entidad</w:t>
            </w:r>
            <w:r w:rsidR="00441791" w:rsidRPr="00846D49">
              <w:rPr>
                <w:rFonts w:ascii="Arial" w:eastAsia="Arial Narrow" w:hAnsi="Arial" w:cs="Arial"/>
                <w:sz w:val="20"/>
                <w:szCs w:val="20"/>
              </w:rPr>
              <w:t>, teniendo entre sus funciones el promover la participación de las comunidades nativas y comunidades campesinas en la institucionalidad forestal y de fauna silvestre. Esto permite</w:t>
            </w:r>
            <w:r w:rsidR="005F796A" w:rsidRPr="00846D49">
              <w:rPr>
                <w:rFonts w:ascii="Arial" w:eastAsia="Arial Narrow" w:hAnsi="Arial" w:cs="Arial"/>
                <w:sz w:val="20"/>
                <w:szCs w:val="20"/>
              </w:rPr>
              <w:t xml:space="preserve"> impulsar</w:t>
            </w:r>
            <w:r w:rsidRPr="00846D49">
              <w:rPr>
                <w:rFonts w:ascii="Arial" w:eastAsia="Arial Narrow" w:hAnsi="Arial" w:cs="Arial"/>
                <w:sz w:val="20"/>
                <w:szCs w:val="20"/>
              </w:rPr>
              <w:t xml:space="preserve"> la gobernanza forestal y de fauna silvestre</w:t>
            </w:r>
            <w:r w:rsidR="00441791" w:rsidRPr="00846D49">
              <w:rPr>
                <w:rFonts w:ascii="Arial" w:eastAsia="Arial Narrow" w:hAnsi="Arial" w:cs="Arial"/>
                <w:sz w:val="20"/>
                <w:szCs w:val="20"/>
              </w:rPr>
              <w:t>,</w:t>
            </w:r>
            <w:r w:rsidRPr="00846D49">
              <w:rPr>
                <w:rFonts w:ascii="Arial" w:eastAsia="Arial Narrow" w:hAnsi="Arial" w:cs="Arial"/>
                <w:sz w:val="20"/>
                <w:szCs w:val="20"/>
              </w:rPr>
              <w:t xml:space="preserve"> reconoc</w:t>
            </w:r>
            <w:r w:rsidR="005F796A" w:rsidRPr="00846D49">
              <w:rPr>
                <w:rFonts w:ascii="Arial" w:eastAsia="Arial Narrow" w:hAnsi="Arial" w:cs="Arial"/>
                <w:sz w:val="20"/>
                <w:szCs w:val="20"/>
              </w:rPr>
              <w:t>iendo,</w:t>
            </w:r>
            <w:r w:rsidRPr="00846D49">
              <w:rPr>
                <w:rFonts w:ascii="Arial" w:eastAsia="Arial Narrow" w:hAnsi="Arial" w:cs="Arial"/>
                <w:sz w:val="20"/>
                <w:szCs w:val="20"/>
              </w:rPr>
              <w:t xml:space="preserve"> respeta</w:t>
            </w:r>
            <w:r w:rsidR="005F796A" w:rsidRPr="00846D49">
              <w:rPr>
                <w:rFonts w:ascii="Arial" w:eastAsia="Arial Narrow" w:hAnsi="Arial" w:cs="Arial"/>
                <w:sz w:val="20"/>
                <w:szCs w:val="20"/>
              </w:rPr>
              <w:t>ndo</w:t>
            </w:r>
            <w:r w:rsidRPr="00846D49">
              <w:rPr>
                <w:rFonts w:ascii="Arial" w:eastAsia="Arial Narrow" w:hAnsi="Arial" w:cs="Arial"/>
                <w:sz w:val="20"/>
                <w:szCs w:val="20"/>
              </w:rPr>
              <w:t xml:space="preserve"> y valora</w:t>
            </w:r>
            <w:r w:rsidR="005F796A" w:rsidRPr="00846D49">
              <w:rPr>
                <w:rFonts w:ascii="Arial" w:eastAsia="Arial Narrow" w:hAnsi="Arial" w:cs="Arial"/>
                <w:sz w:val="20"/>
                <w:szCs w:val="20"/>
              </w:rPr>
              <w:t>ndo</w:t>
            </w:r>
            <w:r w:rsidRPr="00846D49">
              <w:rPr>
                <w:rFonts w:ascii="Arial" w:eastAsia="Arial Narrow" w:hAnsi="Arial" w:cs="Arial"/>
                <w:sz w:val="20"/>
                <w:szCs w:val="20"/>
              </w:rPr>
              <w:t xml:space="preserve"> la presencia e interacción de las diversas culturas, dentro de su cosmovisión, así como la posibilidad de generar expresiones culturales compartidas, adquiridas por medio del diálogo y de una actitud de respeto mutuo y los conocimientos tradicionales en el manejo y uso de los recursos forestales y de fauna silvestre y de la biodiversidad, tal como, señala la Ley Forestal y de Fauna Silvestre N° 29763.</w:t>
            </w:r>
          </w:p>
        </w:tc>
      </w:tr>
      <w:tr w:rsidR="00846D49" w:rsidRPr="00846D49" w14:paraId="00B6CE59" w14:textId="77777777" w:rsidTr="00603F80">
        <w:trPr>
          <w:trHeight w:val="453"/>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DEDB90A" w14:textId="77777777" w:rsidR="008B1087" w:rsidRPr="00846D49" w:rsidRDefault="008B1087" w:rsidP="008B1087">
            <w:pPr>
              <w:tabs>
                <w:tab w:val="left" w:pos="3375"/>
              </w:tabs>
              <w:spacing w:after="0" w:line="240" w:lineRule="auto"/>
              <w:jc w:val="both"/>
              <w:rPr>
                <w:rFonts w:ascii="Arial" w:eastAsia="Arial Narrow" w:hAnsi="Arial" w:cs="Arial"/>
                <w:b/>
                <w:sz w:val="20"/>
                <w:szCs w:val="20"/>
              </w:rPr>
            </w:pPr>
            <w:r w:rsidRPr="00846D49">
              <w:rPr>
                <w:rFonts w:ascii="Arial" w:eastAsia="Arial Narrow" w:hAnsi="Arial" w:cs="Arial"/>
                <w:b/>
                <w:sz w:val="20"/>
                <w:szCs w:val="20"/>
              </w:rPr>
              <w:lastRenderedPageBreak/>
              <w:t>Proveedor del servicio:</w:t>
            </w:r>
          </w:p>
        </w:tc>
        <w:tc>
          <w:tcPr>
            <w:tcW w:w="6454" w:type="dxa"/>
            <w:gridSpan w:val="3"/>
            <w:tcBorders>
              <w:top w:val="single" w:sz="4" w:space="0" w:color="auto"/>
              <w:left w:val="single" w:sz="4" w:space="0" w:color="auto"/>
              <w:bottom w:val="single" w:sz="4" w:space="0" w:color="auto"/>
              <w:right w:val="single" w:sz="4" w:space="0" w:color="auto"/>
            </w:tcBorders>
            <w:shd w:val="clear" w:color="auto" w:fill="auto"/>
            <w:noWrap/>
          </w:tcPr>
          <w:p w14:paraId="23E0C373" w14:textId="77777777" w:rsidR="008B1087" w:rsidRPr="00846D49" w:rsidRDefault="008B1087" w:rsidP="008B1087">
            <w:pPr>
              <w:tabs>
                <w:tab w:val="left" w:pos="3375"/>
              </w:tabs>
              <w:spacing w:after="0" w:line="240" w:lineRule="auto"/>
              <w:jc w:val="both"/>
              <w:rPr>
                <w:rFonts w:ascii="Arial" w:eastAsia="Arial Narrow" w:hAnsi="Arial" w:cs="Arial"/>
                <w:sz w:val="20"/>
                <w:szCs w:val="20"/>
              </w:rPr>
            </w:pPr>
            <w:r w:rsidRPr="00846D49">
              <w:rPr>
                <w:rFonts w:ascii="Arial" w:eastAsia="Arial Narrow" w:hAnsi="Arial" w:cs="Arial"/>
                <w:sz w:val="20"/>
                <w:szCs w:val="20"/>
              </w:rPr>
              <w:t>Servicio Nacional Forestal y de Fauna Silvestre - SERFOR</w:t>
            </w:r>
          </w:p>
        </w:tc>
      </w:tr>
      <w:tr w:rsidR="00846D49" w:rsidRPr="00846D49" w14:paraId="342EA149" w14:textId="77777777" w:rsidTr="00BF31A6">
        <w:trPr>
          <w:trHeight w:val="458"/>
          <w:jc w:val="center"/>
        </w:trPr>
        <w:tc>
          <w:tcPr>
            <w:tcW w:w="2268" w:type="dxa"/>
            <w:vMerge w:val="restart"/>
            <w:tcBorders>
              <w:top w:val="single" w:sz="4" w:space="0" w:color="auto"/>
              <w:left w:val="single" w:sz="4" w:space="0" w:color="auto"/>
              <w:right w:val="single" w:sz="4" w:space="0" w:color="auto"/>
            </w:tcBorders>
            <w:shd w:val="clear" w:color="auto" w:fill="auto"/>
            <w:vAlign w:val="center"/>
          </w:tcPr>
          <w:p w14:paraId="58920B41" w14:textId="77777777" w:rsidR="008B1087" w:rsidRPr="00846D49" w:rsidRDefault="008B1087" w:rsidP="002469C9">
            <w:pPr>
              <w:spacing w:after="0" w:line="240" w:lineRule="auto"/>
              <w:rPr>
                <w:rFonts w:ascii="Arial" w:hAnsi="Arial" w:cs="Arial"/>
                <w:b/>
                <w:sz w:val="20"/>
                <w:szCs w:val="20"/>
              </w:rPr>
            </w:pPr>
            <w:r w:rsidRPr="00846D49">
              <w:rPr>
                <w:rFonts w:ascii="Arial" w:hAnsi="Arial" w:cs="Arial"/>
                <w:b/>
                <w:sz w:val="20"/>
                <w:szCs w:val="20"/>
              </w:rPr>
              <w:t>Nivel (es) de gobierno que interviene</w:t>
            </w:r>
          </w:p>
          <w:p w14:paraId="31E34061" w14:textId="75C69374" w:rsidR="008B1087" w:rsidRPr="00846D49" w:rsidRDefault="008B1087" w:rsidP="008B1087">
            <w:pPr>
              <w:tabs>
                <w:tab w:val="left" w:pos="3375"/>
              </w:tabs>
              <w:spacing w:after="0" w:line="240" w:lineRule="auto"/>
              <w:jc w:val="both"/>
              <w:rPr>
                <w:rFonts w:ascii="Arial" w:eastAsia="Arial Narrow" w:hAnsi="Arial" w:cs="Arial"/>
                <w:b/>
                <w:sz w:val="20"/>
                <w:szCs w:val="20"/>
              </w:rPr>
            </w:pPr>
            <w:r w:rsidRPr="00846D49">
              <w:rPr>
                <w:rFonts w:ascii="Arial" w:hAnsi="Arial" w:cs="Arial"/>
                <w:b/>
                <w:sz w:val="20"/>
                <w:szCs w:val="20"/>
              </w:rPr>
              <w:t>(n) en la provisión del servicio</w:t>
            </w:r>
          </w:p>
        </w:tc>
        <w:tc>
          <w:tcPr>
            <w:tcW w:w="2151" w:type="dxa"/>
            <w:tcBorders>
              <w:top w:val="single" w:sz="4" w:space="0" w:color="auto"/>
              <w:left w:val="single" w:sz="4" w:space="0" w:color="auto"/>
              <w:right w:val="single" w:sz="4" w:space="0" w:color="auto"/>
            </w:tcBorders>
            <w:shd w:val="clear" w:color="auto" w:fill="auto"/>
            <w:noWrap/>
            <w:vAlign w:val="center"/>
          </w:tcPr>
          <w:p w14:paraId="7CFBD9EB" w14:textId="6ED301AF" w:rsidR="008B1087" w:rsidRPr="00846D49" w:rsidRDefault="008B1087" w:rsidP="0025059A">
            <w:pPr>
              <w:tabs>
                <w:tab w:val="left" w:pos="3375"/>
              </w:tabs>
              <w:spacing w:after="0" w:line="240" w:lineRule="auto"/>
              <w:jc w:val="center"/>
              <w:rPr>
                <w:rFonts w:ascii="Arial" w:eastAsia="Arial Narrow" w:hAnsi="Arial" w:cs="Arial"/>
                <w:sz w:val="20"/>
                <w:szCs w:val="20"/>
              </w:rPr>
            </w:pPr>
            <w:r w:rsidRPr="00846D49">
              <w:rPr>
                <w:rFonts w:ascii="Arial" w:eastAsia="Arial Narrow" w:hAnsi="Arial" w:cs="Arial"/>
                <w:sz w:val="20"/>
                <w:szCs w:val="20"/>
              </w:rPr>
              <w:t>Nacional</w:t>
            </w:r>
          </w:p>
        </w:tc>
        <w:tc>
          <w:tcPr>
            <w:tcW w:w="2151" w:type="dxa"/>
            <w:tcBorders>
              <w:top w:val="single" w:sz="4" w:space="0" w:color="auto"/>
              <w:left w:val="single" w:sz="4" w:space="0" w:color="auto"/>
              <w:right w:val="single" w:sz="4" w:space="0" w:color="auto"/>
            </w:tcBorders>
            <w:shd w:val="clear" w:color="auto" w:fill="auto"/>
            <w:vAlign w:val="center"/>
          </w:tcPr>
          <w:p w14:paraId="64E3F904" w14:textId="2FF47FED" w:rsidR="008B1087" w:rsidRPr="00846D49" w:rsidRDefault="008B1087" w:rsidP="0025059A">
            <w:pPr>
              <w:tabs>
                <w:tab w:val="left" w:pos="3375"/>
              </w:tabs>
              <w:spacing w:after="0" w:line="240" w:lineRule="auto"/>
              <w:jc w:val="center"/>
              <w:rPr>
                <w:rFonts w:ascii="Arial" w:eastAsia="Arial Narrow" w:hAnsi="Arial" w:cs="Arial"/>
                <w:sz w:val="20"/>
                <w:szCs w:val="20"/>
              </w:rPr>
            </w:pPr>
            <w:r w:rsidRPr="00846D49">
              <w:rPr>
                <w:rFonts w:ascii="Arial" w:eastAsia="Arial Narrow" w:hAnsi="Arial" w:cs="Arial"/>
                <w:sz w:val="20"/>
                <w:szCs w:val="20"/>
              </w:rPr>
              <w:t>Regional</w:t>
            </w:r>
          </w:p>
        </w:tc>
        <w:tc>
          <w:tcPr>
            <w:tcW w:w="2152" w:type="dxa"/>
            <w:tcBorders>
              <w:top w:val="single" w:sz="4" w:space="0" w:color="auto"/>
              <w:left w:val="single" w:sz="4" w:space="0" w:color="auto"/>
              <w:right w:val="single" w:sz="4" w:space="0" w:color="auto"/>
            </w:tcBorders>
            <w:shd w:val="clear" w:color="auto" w:fill="auto"/>
            <w:vAlign w:val="center"/>
          </w:tcPr>
          <w:p w14:paraId="76299463" w14:textId="51DC698F" w:rsidR="008B1087" w:rsidRPr="00846D49" w:rsidRDefault="008B1087" w:rsidP="0025059A">
            <w:pPr>
              <w:tabs>
                <w:tab w:val="left" w:pos="3375"/>
              </w:tabs>
              <w:spacing w:after="0" w:line="240" w:lineRule="auto"/>
              <w:jc w:val="center"/>
              <w:rPr>
                <w:rFonts w:ascii="Arial" w:eastAsia="Arial Narrow" w:hAnsi="Arial" w:cs="Arial"/>
                <w:sz w:val="20"/>
                <w:szCs w:val="20"/>
              </w:rPr>
            </w:pPr>
            <w:r w:rsidRPr="00846D49">
              <w:rPr>
                <w:rFonts w:ascii="Arial" w:eastAsia="Arial Narrow" w:hAnsi="Arial" w:cs="Arial"/>
                <w:sz w:val="20"/>
                <w:szCs w:val="20"/>
              </w:rPr>
              <w:t>Local</w:t>
            </w:r>
          </w:p>
        </w:tc>
      </w:tr>
      <w:tr w:rsidR="00846D49" w:rsidRPr="00846D49" w14:paraId="68F7B2F3" w14:textId="77777777" w:rsidTr="00E12075">
        <w:trPr>
          <w:trHeight w:val="457"/>
          <w:jc w:val="center"/>
        </w:trPr>
        <w:tc>
          <w:tcPr>
            <w:tcW w:w="2268" w:type="dxa"/>
            <w:vMerge/>
            <w:tcBorders>
              <w:left w:val="single" w:sz="4" w:space="0" w:color="auto"/>
              <w:right w:val="single" w:sz="4" w:space="0" w:color="auto"/>
            </w:tcBorders>
            <w:shd w:val="clear" w:color="auto" w:fill="auto"/>
            <w:vAlign w:val="center"/>
          </w:tcPr>
          <w:p w14:paraId="174E8DF9" w14:textId="77777777" w:rsidR="008B1087" w:rsidRPr="00846D49" w:rsidRDefault="008B1087" w:rsidP="008B1087">
            <w:pPr>
              <w:spacing w:after="0" w:line="240" w:lineRule="auto"/>
              <w:rPr>
                <w:rFonts w:ascii="Arial" w:hAnsi="Arial" w:cs="Arial"/>
                <w:b/>
                <w:sz w:val="20"/>
                <w:szCs w:val="20"/>
              </w:rPr>
            </w:pPr>
          </w:p>
        </w:tc>
        <w:tc>
          <w:tcPr>
            <w:tcW w:w="2151" w:type="dxa"/>
            <w:tcBorders>
              <w:top w:val="single" w:sz="4" w:space="0" w:color="auto"/>
              <w:left w:val="single" w:sz="4" w:space="0" w:color="auto"/>
              <w:right w:val="single" w:sz="4" w:space="0" w:color="auto"/>
            </w:tcBorders>
            <w:shd w:val="clear" w:color="auto" w:fill="auto"/>
            <w:noWrap/>
          </w:tcPr>
          <w:p w14:paraId="06962F1C" w14:textId="659C5969" w:rsidR="008B1087" w:rsidRPr="00846D49" w:rsidRDefault="00B13293" w:rsidP="0025059A">
            <w:pPr>
              <w:tabs>
                <w:tab w:val="left" w:pos="3375"/>
              </w:tabs>
              <w:spacing w:after="0" w:line="240" w:lineRule="auto"/>
              <w:jc w:val="center"/>
              <w:rPr>
                <w:rFonts w:ascii="Arial" w:eastAsia="Arial Narrow" w:hAnsi="Arial" w:cs="Arial"/>
                <w:sz w:val="20"/>
                <w:szCs w:val="20"/>
              </w:rPr>
            </w:pPr>
            <w:r w:rsidRPr="00846D49">
              <w:rPr>
                <w:rFonts w:ascii="Arial" w:eastAsia="Arial Narrow" w:hAnsi="Arial" w:cs="Arial"/>
                <w:sz w:val="20"/>
                <w:szCs w:val="20"/>
              </w:rPr>
              <w:t>X</w:t>
            </w:r>
          </w:p>
        </w:tc>
        <w:tc>
          <w:tcPr>
            <w:tcW w:w="2151" w:type="dxa"/>
            <w:tcBorders>
              <w:top w:val="single" w:sz="4" w:space="0" w:color="auto"/>
              <w:left w:val="single" w:sz="4" w:space="0" w:color="auto"/>
              <w:right w:val="single" w:sz="4" w:space="0" w:color="auto"/>
            </w:tcBorders>
            <w:shd w:val="clear" w:color="auto" w:fill="auto"/>
          </w:tcPr>
          <w:p w14:paraId="4A99E7B7" w14:textId="77777777" w:rsidR="008B1087" w:rsidRPr="00846D49" w:rsidRDefault="008B1087" w:rsidP="0025059A">
            <w:pPr>
              <w:tabs>
                <w:tab w:val="left" w:pos="3375"/>
              </w:tabs>
              <w:spacing w:after="0" w:line="240" w:lineRule="auto"/>
              <w:jc w:val="center"/>
              <w:rPr>
                <w:rFonts w:ascii="Arial" w:eastAsia="Arial Narrow" w:hAnsi="Arial" w:cs="Arial"/>
                <w:sz w:val="20"/>
                <w:szCs w:val="20"/>
              </w:rPr>
            </w:pPr>
          </w:p>
        </w:tc>
        <w:tc>
          <w:tcPr>
            <w:tcW w:w="2152" w:type="dxa"/>
            <w:tcBorders>
              <w:top w:val="single" w:sz="4" w:space="0" w:color="auto"/>
              <w:left w:val="single" w:sz="4" w:space="0" w:color="auto"/>
              <w:right w:val="single" w:sz="4" w:space="0" w:color="auto"/>
            </w:tcBorders>
            <w:shd w:val="clear" w:color="auto" w:fill="auto"/>
          </w:tcPr>
          <w:p w14:paraId="3BA94CE5" w14:textId="63A330DB" w:rsidR="008B1087" w:rsidRPr="00846D49" w:rsidRDefault="008B1087" w:rsidP="0025059A">
            <w:pPr>
              <w:tabs>
                <w:tab w:val="left" w:pos="3375"/>
              </w:tabs>
              <w:spacing w:after="0" w:line="240" w:lineRule="auto"/>
              <w:jc w:val="center"/>
              <w:rPr>
                <w:rFonts w:ascii="Arial" w:eastAsia="Arial Narrow" w:hAnsi="Arial" w:cs="Arial"/>
                <w:sz w:val="20"/>
                <w:szCs w:val="20"/>
              </w:rPr>
            </w:pPr>
          </w:p>
        </w:tc>
      </w:tr>
      <w:tr w:rsidR="00846D49" w:rsidRPr="00846D49" w14:paraId="7C66C444" w14:textId="77777777" w:rsidTr="00603F80">
        <w:trPr>
          <w:trHeight w:val="453"/>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0016EF52" w14:textId="77777777" w:rsidR="008B1087" w:rsidRPr="00846D49" w:rsidRDefault="008B1087" w:rsidP="008B1087">
            <w:pPr>
              <w:tabs>
                <w:tab w:val="left" w:pos="3375"/>
              </w:tabs>
              <w:spacing w:after="0" w:line="240" w:lineRule="auto"/>
              <w:jc w:val="both"/>
              <w:rPr>
                <w:rFonts w:ascii="Arial" w:eastAsia="Arial Narrow" w:hAnsi="Arial" w:cs="Arial"/>
                <w:b/>
                <w:sz w:val="20"/>
                <w:szCs w:val="20"/>
              </w:rPr>
            </w:pPr>
            <w:r w:rsidRPr="00846D49">
              <w:rPr>
                <w:rFonts w:ascii="Arial" w:eastAsia="Arial Narrow" w:hAnsi="Arial" w:cs="Arial"/>
                <w:b/>
                <w:sz w:val="20"/>
                <w:szCs w:val="20"/>
              </w:rPr>
              <w:t>Receptor del servicio:</w:t>
            </w:r>
          </w:p>
        </w:tc>
        <w:tc>
          <w:tcPr>
            <w:tcW w:w="6454" w:type="dxa"/>
            <w:gridSpan w:val="3"/>
            <w:tcBorders>
              <w:top w:val="single" w:sz="4" w:space="0" w:color="auto"/>
              <w:left w:val="single" w:sz="4" w:space="0" w:color="auto"/>
              <w:bottom w:val="single" w:sz="4" w:space="0" w:color="auto"/>
              <w:right w:val="single" w:sz="4" w:space="0" w:color="auto"/>
            </w:tcBorders>
            <w:shd w:val="clear" w:color="auto" w:fill="auto"/>
            <w:noWrap/>
          </w:tcPr>
          <w:p w14:paraId="0AE7DF1B" w14:textId="77777777" w:rsidR="008B1087" w:rsidRPr="00846D49" w:rsidRDefault="008B1087" w:rsidP="008B1087">
            <w:pPr>
              <w:tabs>
                <w:tab w:val="left" w:pos="3375"/>
              </w:tabs>
              <w:spacing w:after="0" w:line="240" w:lineRule="auto"/>
              <w:jc w:val="both"/>
              <w:rPr>
                <w:rFonts w:ascii="Arial" w:eastAsia="Arial Narrow" w:hAnsi="Arial" w:cs="Arial"/>
                <w:sz w:val="20"/>
                <w:szCs w:val="20"/>
              </w:rPr>
            </w:pPr>
            <w:r w:rsidRPr="00846D49">
              <w:rPr>
                <w:rFonts w:ascii="Arial" w:eastAsia="Arial Narrow" w:hAnsi="Arial" w:cs="Arial"/>
                <w:sz w:val="20"/>
                <w:szCs w:val="20"/>
              </w:rPr>
              <w:t>Autoridades Regionales Forestales y de Fauna Silvestre</w:t>
            </w:r>
          </w:p>
        </w:tc>
      </w:tr>
      <w:tr w:rsidR="00846D49" w:rsidRPr="00846D49" w14:paraId="634CCD69" w14:textId="77777777" w:rsidTr="00603F80">
        <w:trPr>
          <w:trHeight w:val="532"/>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0D8453EE" w14:textId="77777777" w:rsidR="008B1087" w:rsidRPr="00846D49" w:rsidRDefault="008B1087" w:rsidP="008B1087">
            <w:pPr>
              <w:tabs>
                <w:tab w:val="left" w:pos="3375"/>
              </w:tabs>
              <w:spacing w:after="0" w:line="240" w:lineRule="auto"/>
              <w:jc w:val="both"/>
              <w:rPr>
                <w:rFonts w:ascii="Arial" w:eastAsia="Arial Narrow" w:hAnsi="Arial" w:cs="Arial"/>
                <w:b/>
                <w:sz w:val="20"/>
                <w:szCs w:val="20"/>
              </w:rPr>
            </w:pPr>
            <w:r w:rsidRPr="00846D49">
              <w:rPr>
                <w:rFonts w:ascii="Arial" w:eastAsia="Arial Narrow" w:hAnsi="Arial" w:cs="Arial"/>
                <w:b/>
                <w:sz w:val="20"/>
                <w:szCs w:val="20"/>
              </w:rPr>
              <w:t>Alcance del servicio:</w:t>
            </w:r>
          </w:p>
        </w:tc>
        <w:tc>
          <w:tcPr>
            <w:tcW w:w="6454" w:type="dxa"/>
            <w:gridSpan w:val="3"/>
            <w:tcBorders>
              <w:top w:val="single" w:sz="4" w:space="0" w:color="auto"/>
              <w:left w:val="single" w:sz="4" w:space="0" w:color="auto"/>
              <w:bottom w:val="single" w:sz="4" w:space="0" w:color="auto"/>
              <w:right w:val="single" w:sz="4" w:space="0" w:color="auto"/>
            </w:tcBorders>
            <w:shd w:val="clear" w:color="auto" w:fill="auto"/>
          </w:tcPr>
          <w:p w14:paraId="28947B59" w14:textId="77777777" w:rsidR="008B1087" w:rsidRPr="00846D49" w:rsidRDefault="008B1087" w:rsidP="008B1087">
            <w:pPr>
              <w:tabs>
                <w:tab w:val="left" w:pos="3375"/>
              </w:tabs>
              <w:spacing w:after="0" w:line="240" w:lineRule="auto"/>
              <w:jc w:val="both"/>
              <w:rPr>
                <w:rFonts w:ascii="Arial" w:eastAsia="Arial Narrow" w:hAnsi="Arial" w:cs="Arial"/>
                <w:sz w:val="20"/>
                <w:szCs w:val="20"/>
              </w:rPr>
            </w:pPr>
            <w:r w:rsidRPr="00846D49">
              <w:rPr>
                <w:rFonts w:ascii="Arial" w:eastAsia="Arial Narrow" w:hAnsi="Arial" w:cs="Arial"/>
                <w:sz w:val="20"/>
                <w:szCs w:val="20"/>
              </w:rPr>
              <w:t>Nacional</w:t>
            </w:r>
          </w:p>
        </w:tc>
      </w:tr>
      <w:tr w:rsidR="00846D49" w:rsidRPr="00846D49" w14:paraId="48A5B767" w14:textId="77777777" w:rsidTr="00603F80">
        <w:trPr>
          <w:trHeight w:val="532"/>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4712B4F" w14:textId="77777777" w:rsidR="008B1087" w:rsidRPr="00846D49" w:rsidRDefault="008B1087" w:rsidP="008B1087">
            <w:pPr>
              <w:tabs>
                <w:tab w:val="left" w:pos="3375"/>
              </w:tabs>
              <w:spacing w:after="0" w:line="240" w:lineRule="auto"/>
              <w:jc w:val="both"/>
              <w:rPr>
                <w:rFonts w:ascii="Arial" w:eastAsia="Arial Narrow" w:hAnsi="Arial" w:cs="Arial"/>
                <w:b/>
                <w:sz w:val="20"/>
                <w:szCs w:val="20"/>
              </w:rPr>
            </w:pPr>
            <w:r w:rsidRPr="00846D49">
              <w:rPr>
                <w:rFonts w:ascii="Arial" w:eastAsia="Arial Narrow" w:hAnsi="Arial" w:cs="Arial"/>
                <w:b/>
                <w:sz w:val="20"/>
                <w:szCs w:val="20"/>
              </w:rPr>
              <w:t>Estándares de cumplimiento:</w:t>
            </w:r>
          </w:p>
        </w:tc>
        <w:tc>
          <w:tcPr>
            <w:tcW w:w="6454" w:type="dxa"/>
            <w:gridSpan w:val="3"/>
            <w:tcBorders>
              <w:top w:val="single" w:sz="4" w:space="0" w:color="auto"/>
              <w:left w:val="single" w:sz="4" w:space="0" w:color="auto"/>
              <w:bottom w:val="single" w:sz="4" w:space="0" w:color="auto"/>
              <w:right w:val="single" w:sz="4" w:space="0" w:color="auto"/>
            </w:tcBorders>
            <w:shd w:val="clear" w:color="auto" w:fill="auto"/>
          </w:tcPr>
          <w:p w14:paraId="54973A55" w14:textId="77777777" w:rsidR="008B1087" w:rsidRPr="00846D49" w:rsidRDefault="008B1087" w:rsidP="008B1087">
            <w:pPr>
              <w:tabs>
                <w:tab w:val="left" w:pos="3375"/>
              </w:tabs>
              <w:spacing w:after="0" w:line="240" w:lineRule="auto"/>
              <w:jc w:val="both"/>
              <w:rPr>
                <w:rFonts w:ascii="Arial" w:eastAsia="Arial Narrow" w:hAnsi="Arial" w:cs="Arial"/>
                <w:sz w:val="20"/>
                <w:szCs w:val="20"/>
              </w:rPr>
            </w:pPr>
            <w:r w:rsidRPr="00846D49">
              <w:rPr>
                <w:rFonts w:ascii="Arial" w:eastAsia="Arial Narrow" w:hAnsi="Arial" w:cs="Arial"/>
                <w:sz w:val="20"/>
                <w:szCs w:val="20"/>
              </w:rPr>
              <w:t>Pertinencia cultural</w:t>
            </w:r>
          </w:p>
        </w:tc>
      </w:tr>
      <w:tr w:rsidR="00846D49" w:rsidRPr="00846D49" w14:paraId="634EAEEF" w14:textId="77777777" w:rsidTr="0025059A">
        <w:trPr>
          <w:trHeight w:val="1004"/>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879D32C" w14:textId="77777777" w:rsidR="008B1087" w:rsidRPr="00846D49" w:rsidRDefault="008B1087" w:rsidP="008B1087">
            <w:pPr>
              <w:tabs>
                <w:tab w:val="left" w:pos="3375"/>
              </w:tabs>
              <w:spacing w:after="0" w:line="240" w:lineRule="auto"/>
              <w:jc w:val="both"/>
              <w:rPr>
                <w:rFonts w:ascii="Arial" w:eastAsia="Arial Narrow" w:hAnsi="Arial" w:cs="Arial"/>
                <w:b/>
                <w:sz w:val="20"/>
                <w:szCs w:val="20"/>
              </w:rPr>
            </w:pPr>
            <w:r w:rsidRPr="00846D49">
              <w:rPr>
                <w:rFonts w:ascii="Arial" w:eastAsia="Arial Narrow" w:hAnsi="Arial" w:cs="Arial"/>
                <w:b/>
                <w:sz w:val="20"/>
                <w:szCs w:val="20"/>
              </w:rPr>
              <w:t>Descripción del estándar:</w:t>
            </w:r>
          </w:p>
        </w:tc>
        <w:tc>
          <w:tcPr>
            <w:tcW w:w="6454" w:type="dxa"/>
            <w:gridSpan w:val="3"/>
            <w:tcBorders>
              <w:top w:val="single" w:sz="4" w:space="0" w:color="auto"/>
              <w:left w:val="single" w:sz="4" w:space="0" w:color="auto"/>
              <w:bottom w:val="single" w:sz="4" w:space="0" w:color="auto"/>
              <w:right w:val="single" w:sz="4" w:space="0" w:color="auto"/>
            </w:tcBorders>
            <w:shd w:val="clear" w:color="auto" w:fill="auto"/>
          </w:tcPr>
          <w:p w14:paraId="14A6EFEA" w14:textId="77777777" w:rsidR="008B1087" w:rsidRPr="00846D49" w:rsidRDefault="008B1087" w:rsidP="008B1087">
            <w:pPr>
              <w:pStyle w:val="pf0"/>
              <w:tabs>
                <w:tab w:val="left" w:pos="3375"/>
              </w:tabs>
              <w:spacing w:before="0" w:beforeAutospacing="0" w:after="0" w:afterAutospacing="0"/>
              <w:jc w:val="both"/>
              <w:rPr>
                <w:rFonts w:ascii="Arial" w:eastAsia="Arial Narrow" w:hAnsi="Arial" w:cs="Arial"/>
                <w:sz w:val="20"/>
                <w:szCs w:val="20"/>
              </w:rPr>
            </w:pPr>
            <w:r w:rsidRPr="00846D49">
              <w:rPr>
                <w:rFonts w:ascii="Arial" w:eastAsia="Arial Narrow" w:hAnsi="Arial" w:cs="Arial"/>
                <w:sz w:val="20"/>
                <w:szCs w:val="20"/>
              </w:rPr>
              <w:t>El estándar consiste en la incorporación de criterios territoriales, culturales, sociales y ambientales en la entrega de la asistencia técnica para la sistematización del conocimiento tradicional de pueblos indígenas</w:t>
            </w:r>
          </w:p>
        </w:tc>
      </w:tr>
      <w:tr w:rsidR="008B1087" w:rsidRPr="00846D49" w14:paraId="6091207C" w14:textId="77777777" w:rsidTr="00603F80">
        <w:trPr>
          <w:trHeight w:val="567"/>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C99F93D" w14:textId="1D4F492F" w:rsidR="008B1087" w:rsidRPr="00846D49" w:rsidRDefault="008B1087" w:rsidP="008B1087">
            <w:pPr>
              <w:tabs>
                <w:tab w:val="left" w:pos="3375"/>
              </w:tabs>
              <w:spacing w:after="0" w:line="240" w:lineRule="auto"/>
              <w:jc w:val="both"/>
              <w:rPr>
                <w:rFonts w:ascii="Arial" w:eastAsia="Arial Narrow" w:hAnsi="Arial" w:cs="Arial"/>
                <w:b/>
                <w:sz w:val="20"/>
                <w:szCs w:val="20"/>
              </w:rPr>
            </w:pPr>
            <w:r w:rsidRPr="00846D49">
              <w:rPr>
                <w:rFonts w:ascii="Arial" w:eastAsia="Arial Narrow" w:hAnsi="Arial" w:cs="Arial"/>
                <w:b/>
                <w:sz w:val="20"/>
                <w:szCs w:val="20"/>
              </w:rPr>
              <w:t>Indicador</w:t>
            </w:r>
            <w:r w:rsidR="00497B40" w:rsidRPr="00846D49">
              <w:rPr>
                <w:rFonts w:ascii="Arial" w:eastAsia="Arial Narrow" w:hAnsi="Arial" w:cs="Arial"/>
                <w:b/>
                <w:sz w:val="20"/>
                <w:szCs w:val="20"/>
              </w:rPr>
              <w:t xml:space="preserve"> de calidad</w:t>
            </w:r>
          </w:p>
        </w:tc>
        <w:tc>
          <w:tcPr>
            <w:tcW w:w="645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9FB8103" w14:textId="37A0022A" w:rsidR="008B1087" w:rsidRPr="00846D49" w:rsidRDefault="008B1087" w:rsidP="008B1087">
            <w:pPr>
              <w:tabs>
                <w:tab w:val="left" w:pos="3375"/>
              </w:tabs>
              <w:spacing w:after="0" w:line="240" w:lineRule="auto"/>
              <w:jc w:val="both"/>
              <w:rPr>
                <w:rFonts w:ascii="Arial" w:eastAsia="Arial Narrow" w:hAnsi="Arial" w:cs="Arial"/>
                <w:sz w:val="20"/>
                <w:szCs w:val="20"/>
              </w:rPr>
            </w:pPr>
            <w:r w:rsidRPr="00846D49">
              <w:rPr>
                <w:rFonts w:ascii="Arial" w:eastAsia="Arial Narrow" w:hAnsi="Arial" w:cs="Arial"/>
                <w:sz w:val="20"/>
                <w:szCs w:val="20"/>
              </w:rPr>
              <w:t>Porcentaje de Autoridades Regionales Forestales y de Fauna Silvestre que recibieron asistencia técnica de forma pertinente para la sistematización del conocimiento tradicional de pueblos indígenas</w:t>
            </w:r>
          </w:p>
        </w:tc>
      </w:tr>
    </w:tbl>
    <w:p w14:paraId="0B89BB53" w14:textId="7F957D23" w:rsidR="00603F80" w:rsidRPr="00846D49" w:rsidRDefault="00603F80">
      <w:pPr>
        <w:rPr>
          <w:rFonts w:ascii="Arial Narrow" w:eastAsia="Arial Narrow" w:hAnsi="Arial Narrow" w:cs="Arial Narrow"/>
          <w:b/>
        </w:rPr>
      </w:pPr>
    </w:p>
    <w:p w14:paraId="24EE9DF4" w14:textId="54D2BC82" w:rsidR="00603F80" w:rsidRPr="00846D49" w:rsidRDefault="00603F80">
      <w:pPr>
        <w:rPr>
          <w:rFonts w:ascii="Arial Narrow" w:eastAsia="Arial Narrow" w:hAnsi="Arial Narrow" w:cs="Arial Narrow"/>
          <w:b/>
        </w:rPr>
      </w:pPr>
    </w:p>
    <w:p w14:paraId="3396BC7E" w14:textId="56197DF7" w:rsidR="00603F80" w:rsidRPr="00846D49" w:rsidRDefault="00603F80" w:rsidP="00603F80">
      <w:pPr>
        <w:jc w:val="both"/>
        <w:rPr>
          <w:rFonts w:ascii="Arial" w:eastAsia="Arial Narrow" w:hAnsi="Arial" w:cs="Arial"/>
        </w:rPr>
      </w:pPr>
      <w:r w:rsidRPr="00846D49">
        <w:rPr>
          <w:rFonts w:ascii="Arial" w:eastAsia="Arial Narrow" w:hAnsi="Arial" w:cs="Arial"/>
          <w:b/>
          <w:bCs/>
        </w:rPr>
        <w:t>S3.4.1</w:t>
      </w:r>
      <w:r w:rsidRPr="00846D49">
        <w:rPr>
          <w:rFonts w:ascii="Arial" w:eastAsia="Arial Narrow" w:hAnsi="Arial" w:cs="Arial"/>
        </w:rPr>
        <w:t xml:space="preserve"> </w:t>
      </w:r>
      <w:r w:rsidR="0025059A" w:rsidRPr="00846D49">
        <w:rPr>
          <w:rFonts w:ascii="Arial" w:eastAsia="Arial Narrow" w:hAnsi="Arial" w:cs="Arial"/>
        </w:rPr>
        <w:t>Fortalecimiento de capacidades en aspectos técnicos y administrativos de forma satisfactoria para consolidar la institucionalidad de las Autoridades Regionales Forestales y de Fauna silvestre</w:t>
      </w:r>
    </w:p>
    <w:tbl>
      <w:tblPr>
        <w:tblW w:w="8789" w:type="dxa"/>
        <w:jc w:val="center"/>
        <w:tblLayout w:type="fixed"/>
        <w:tblLook w:val="0600" w:firstRow="0" w:lastRow="0" w:firstColumn="0" w:lastColumn="0" w:noHBand="1" w:noVBand="1"/>
      </w:tblPr>
      <w:tblGrid>
        <w:gridCol w:w="2482"/>
        <w:gridCol w:w="2102"/>
        <w:gridCol w:w="2102"/>
        <w:gridCol w:w="2103"/>
      </w:tblGrid>
      <w:tr w:rsidR="00846D49" w:rsidRPr="00846D49" w14:paraId="794D3CC3" w14:textId="77777777" w:rsidTr="00517301">
        <w:trPr>
          <w:trHeight w:val="300"/>
          <w:jc w:val="center"/>
        </w:trPr>
        <w:tc>
          <w:tcPr>
            <w:tcW w:w="8789"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center"/>
          </w:tcPr>
          <w:p w14:paraId="43C50B3F" w14:textId="620277C1" w:rsidR="00603F80" w:rsidRPr="00846D49" w:rsidRDefault="00603F80" w:rsidP="00D87323">
            <w:pPr>
              <w:tabs>
                <w:tab w:val="left" w:pos="3375"/>
              </w:tabs>
              <w:jc w:val="center"/>
              <w:rPr>
                <w:rFonts w:ascii="Arial" w:hAnsi="Arial" w:cs="Arial"/>
                <w:sz w:val="20"/>
                <w:szCs w:val="20"/>
              </w:rPr>
            </w:pPr>
            <w:r w:rsidRPr="00846D49">
              <w:rPr>
                <w:rFonts w:ascii="Arial" w:hAnsi="Arial" w:cs="Arial"/>
                <w:sz w:val="20"/>
                <w:szCs w:val="20"/>
              </w:rPr>
              <w:br w:type="page"/>
            </w:r>
            <w:r w:rsidRPr="00846D49">
              <w:rPr>
                <w:rFonts w:ascii="Arial" w:hAnsi="Arial" w:cs="Arial"/>
                <w:b/>
                <w:sz w:val="20"/>
                <w:szCs w:val="20"/>
              </w:rPr>
              <w:t>FICHA DEL SERVICIO</w:t>
            </w:r>
          </w:p>
        </w:tc>
      </w:tr>
      <w:tr w:rsidR="00846D49" w:rsidRPr="00846D49" w14:paraId="5807A906" w14:textId="77777777" w:rsidTr="00517301">
        <w:trPr>
          <w:trHeight w:val="300"/>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320EC9E" w14:textId="77777777" w:rsidR="00603F80" w:rsidRPr="00846D49" w:rsidRDefault="00603F80" w:rsidP="0080067C">
            <w:pPr>
              <w:tabs>
                <w:tab w:val="left" w:pos="3375"/>
              </w:tabs>
              <w:jc w:val="both"/>
              <w:rPr>
                <w:rFonts w:ascii="Arial" w:hAnsi="Arial" w:cs="Arial"/>
                <w:b/>
                <w:sz w:val="20"/>
                <w:szCs w:val="20"/>
              </w:rPr>
            </w:pPr>
            <w:r w:rsidRPr="00846D49">
              <w:rPr>
                <w:rFonts w:ascii="Arial" w:hAnsi="Arial" w:cs="Arial"/>
                <w:b/>
                <w:sz w:val="20"/>
                <w:szCs w:val="20"/>
              </w:rPr>
              <w:t xml:space="preserve"> Objetivo prioritario:</w:t>
            </w:r>
          </w:p>
        </w:tc>
        <w:tc>
          <w:tcPr>
            <w:tcW w:w="630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12232E7" w14:textId="77777777" w:rsidR="00603F80" w:rsidRPr="00846D49" w:rsidRDefault="00603F80" w:rsidP="0080067C">
            <w:pPr>
              <w:tabs>
                <w:tab w:val="left" w:pos="3375"/>
              </w:tabs>
              <w:ind w:left="128"/>
              <w:jc w:val="both"/>
              <w:rPr>
                <w:rFonts w:ascii="Arial" w:hAnsi="Arial" w:cs="Arial"/>
                <w:sz w:val="20"/>
                <w:szCs w:val="20"/>
              </w:rPr>
            </w:pPr>
            <w:r w:rsidRPr="00846D49">
              <w:rPr>
                <w:rFonts w:ascii="Arial" w:eastAsia="Arial Narrow" w:hAnsi="Arial" w:cs="Arial"/>
                <w:sz w:val="20"/>
                <w:szCs w:val="20"/>
              </w:rPr>
              <w:t>OP3 Fortalecer la gobernanza forestal y de fauna silvestre</w:t>
            </w:r>
          </w:p>
        </w:tc>
      </w:tr>
      <w:tr w:rsidR="00846D49" w:rsidRPr="00846D49" w14:paraId="2F83580F" w14:textId="77777777" w:rsidTr="00517301">
        <w:trPr>
          <w:trHeight w:val="300"/>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8EC349B" w14:textId="77777777" w:rsidR="00603F80" w:rsidRPr="00846D49" w:rsidRDefault="00603F80" w:rsidP="0080067C">
            <w:pPr>
              <w:tabs>
                <w:tab w:val="left" w:pos="3375"/>
              </w:tabs>
              <w:jc w:val="both"/>
              <w:rPr>
                <w:rFonts w:ascii="Arial" w:hAnsi="Arial" w:cs="Arial"/>
                <w:b/>
                <w:sz w:val="20"/>
                <w:szCs w:val="20"/>
              </w:rPr>
            </w:pPr>
            <w:r w:rsidRPr="00846D49">
              <w:rPr>
                <w:rFonts w:ascii="Arial" w:hAnsi="Arial" w:cs="Arial"/>
                <w:b/>
                <w:sz w:val="20"/>
                <w:szCs w:val="20"/>
              </w:rPr>
              <w:t xml:space="preserve"> Lineamiento:</w:t>
            </w:r>
          </w:p>
        </w:tc>
        <w:tc>
          <w:tcPr>
            <w:tcW w:w="630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8AAE796" w14:textId="567B3483" w:rsidR="00603F80" w:rsidRPr="00846D49" w:rsidRDefault="00603F80" w:rsidP="0080067C">
            <w:pPr>
              <w:tabs>
                <w:tab w:val="left" w:pos="3375"/>
              </w:tabs>
              <w:ind w:left="128"/>
              <w:jc w:val="both"/>
              <w:rPr>
                <w:rFonts w:ascii="Arial" w:hAnsi="Arial" w:cs="Arial"/>
                <w:sz w:val="20"/>
                <w:szCs w:val="20"/>
              </w:rPr>
            </w:pPr>
            <w:r w:rsidRPr="00846D49">
              <w:rPr>
                <w:rFonts w:ascii="Arial" w:eastAsia="Arial Narrow" w:hAnsi="Arial" w:cs="Arial"/>
                <w:sz w:val="20"/>
                <w:szCs w:val="20"/>
              </w:rPr>
              <w:t>L3.4 Desarrollar programas orientados a consolidar la institucionalidad y articulación en los tres niveles de gobierno en el ámbito forestal y de fauna silvestre.</w:t>
            </w:r>
          </w:p>
        </w:tc>
      </w:tr>
      <w:tr w:rsidR="00846D49" w:rsidRPr="00846D49" w14:paraId="3CA6432C" w14:textId="77777777" w:rsidTr="00517301">
        <w:trPr>
          <w:trHeight w:val="300"/>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CD606DF" w14:textId="77777777" w:rsidR="00603F80" w:rsidRPr="00846D49" w:rsidRDefault="00603F80" w:rsidP="0080067C">
            <w:pPr>
              <w:tabs>
                <w:tab w:val="left" w:pos="3375"/>
              </w:tabs>
              <w:jc w:val="both"/>
              <w:rPr>
                <w:rFonts w:ascii="Arial" w:hAnsi="Arial" w:cs="Arial"/>
                <w:b/>
                <w:sz w:val="20"/>
                <w:szCs w:val="20"/>
              </w:rPr>
            </w:pPr>
            <w:r w:rsidRPr="00846D49">
              <w:rPr>
                <w:rFonts w:ascii="Arial" w:hAnsi="Arial" w:cs="Arial"/>
                <w:b/>
                <w:sz w:val="20"/>
                <w:szCs w:val="20"/>
              </w:rPr>
              <w:t xml:space="preserve"> Nombre del servicio:</w:t>
            </w:r>
          </w:p>
        </w:tc>
        <w:tc>
          <w:tcPr>
            <w:tcW w:w="630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9D28789" w14:textId="77777777" w:rsidR="00603F80" w:rsidRPr="00846D49" w:rsidRDefault="00603F80" w:rsidP="0080067C">
            <w:pPr>
              <w:tabs>
                <w:tab w:val="left" w:pos="3375"/>
              </w:tabs>
              <w:ind w:left="128"/>
              <w:jc w:val="both"/>
              <w:rPr>
                <w:rFonts w:ascii="Arial" w:hAnsi="Arial" w:cs="Arial"/>
                <w:strike/>
                <w:sz w:val="20"/>
                <w:szCs w:val="20"/>
              </w:rPr>
            </w:pPr>
            <w:r w:rsidRPr="00846D49">
              <w:rPr>
                <w:rFonts w:ascii="Arial" w:eastAsia="Arial Narrow" w:hAnsi="Arial" w:cs="Arial"/>
                <w:sz w:val="20"/>
                <w:szCs w:val="20"/>
              </w:rPr>
              <w:t>S3.4.1 Fortalecimiento de capacidades en aspectos técnicos y administrativos de forma satisfactoria para consolidar la institucionalidad de las Autoridades Regionales Forestales y de Fauna silvestre</w:t>
            </w:r>
          </w:p>
        </w:tc>
      </w:tr>
      <w:tr w:rsidR="00846D49" w:rsidRPr="00846D49" w14:paraId="3F01FA84" w14:textId="77777777" w:rsidTr="00517301">
        <w:trPr>
          <w:trHeight w:val="300"/>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16BD5DC" w14:textId="77777777" w:rsidR="00603F80" w:rsidRPr="00846D49" w:rsidRDefault="00603F80" w:rsidP="0080067C">
            <w:pPr>
              <w:tabs>
                <w:tab w:val="left" w:pos="3375"/>
              </w:tabs>
              <w:jc w:val="both"/>
              <w:rPr>
                <w:rFonts w:ascii="Arial" w:hAnsi="Arial" w:cs="Arial"/>
                <w:b/>
                <w:sz w:val="20"/>
                <w:szCs w:val="20"/>
              </w:rPr>
            </w:pPr>
            <w:r w:rsidRPr="00846D49">
              <w:rPr>
                <w:rFonts w:ascii="Arial" w:hAnsi="Arial" w:cs="Arial"/>
                <w:b/>
                <w:sz w:val="20"/>
                <w:szCs w:val="20"/>
              </w:rPr>
              <w:t>Tipo de servicio:</w:t>
            </w:r>
          </w:p>
        </w:tc>
        <w:tc>
          <w:tcPr>
            <w:tcW w:w="630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0F841D3" w14:textId="77777777" w:rsidR="00603F80" w:rsidRPr="00846D49" w:rsidRDefault="00603F80" w:rsidP="0080067C">
            <w:pPr>
              <w:tabs>
                <w:tab w:val="left" w:pos="3375"/>
              </w:tabs>
              <w:ind w:left="128"/>
              <w:jc w:val="both"/>
              <w:rPr>
                <w:rFonts w:ascii="Arial" w:eastAsia="Arial Narrow" w:hAnsi="Arial" w:cs="Arial"/>
                <w:sz w:val="20"/>
                <w:szCs w:val="20"/>
              </w:rPr>
            </w:pPr>
            <w:r w:rsidRPr="00846D49">
              <w:rPr>
                <w:rFonts w:ascii="Arial" w:eastAsia="Arial Narrow" w:hAnsi="Arial" w:cs="Arial"/>
                <w:sz w:val="20"/>
                <w:szCs w:val="20"/>
              </w:rPr>
              <w:t>Mejorado</w:t>
            </w:r>
          </w:p>
        </w:tc>
      </w:tr>
      <w:tr w:rsidR="00846D49" w:rsidRPr="00846D49" w14:paraId="528CA2BD" w14:textId="77777777" w:rsidTr="00517301">
        <w:trPr>
          <w:trHeight w:val="300"/>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5FF5A7C" w14:textId="79966BEE" w:rsidR="00216F36" w:rsidRPr="00846D49" w:rsidRDefault="00216F36" w:rsidP="00216F36">
            <w:pPr>
              <w:tabs>
                <w:tab w:val="left" w:pos="3375"/>
              </w:tabs>
              <w:jc w:val="both"/>
              <w:rPr>
                <w:rFonts w:ascii="Arial" w:hAnsi="Arial" w:cs="Arial"/>
                <w:b/>
                <w:sz w:val="20"/>
                <w:szCs w:val="20"/>
              </w:rPr>
            </w:pPr>
            <w:r w:rsidRPr="00846D49">
              <w:rPr>
                <w:rFonts w:ascii="Arial" w:hAnsi="Arial" w:cs="Arial"/>
                <w:b/>
                <w:sz w:val="20"/>
                <w:szCs w:val="20"/>
              </w:rPr>
              <w:t>Naturaleza del servicio:</w:t>
            </w:r>
          </w:p>
        </w:tc>
        <w:tc>
          <w:tcPr>
            <w:tcW w:w="630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03F2C20" w14:textId="0EB67659" w:rsidR="00216F36" w:rsidRPr="00846D49" w:rsidRDefault="00B13293" w:rsidP="00216F36">
            <w:pPr>
              <w:tabs>
                <w:tab w:val="left" w:pos="3375"/>
              </w:tabs>
              <w:ind w:left="128"/>
              <w:jc w:val="both"/>
              <w:rPr>
                <w:rFonts w:ascii="Arial" w:eastAsia="Arial Narrow" w:hAnsi="Arial" w:cs="Arial"/>
                <w:sz w:val="20"/>
                <w:szCs w:val="20"/>
              </w:rPr>
            </w:pPr>
            <w:r w:rsidRPr="00846D49">
              <w:rPr>
                <w:rFonts w:ascii="Arial" w:eastAsia="Arial Narrow" w:hAnsi="Arial" w:cs="Arial"/>
                <w:sz w:val="20"/>
                <w:szCs w:val="20"/>
              </w:rPr>
              <w:t>A</w:t>
            </w:r>
            <w:r w:rsidR="00216F36" w:rsidRPr="00846D49">
              <w:rPr>
                <w:rFonts w:ascii="Arial" w:eastAsia="Arial Narrow" w:hAnsi="Arial" w:cs="Arial"/>
                <w:sz w:val="20"/>
                <w:szCs w:val="20"/>
              </w:rPr>
              <w:t>dministrativo</w:t>
            </w:r>
          </w:p>
        </w:tc>
      </w:tr>
      <w:tr w:rsidR="00846D49" w:rsidRPr="00846D49" w14:paraId="4C42EC46" w14:textId="77777777" w:rsidTr="00517301">
        <w:trPr>
          <w:trHeight w:val="300"/>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2DCFECC" w14:textId="0B4651D2" w:rsidR="00216F36" w:rsidRPr="00846D49" w:rsidRDefault="00216F36" w:rsidP="00216F36">
            <w:pPr>
              <w:tabs>
                <w:tab w:val="left" w:pos="3375"/>
              </w:tabs>
              <w:jc w:val="both"/>
              <w:rPr>
                <w:rFonts w:ascii="Arial" w:hAnsi="Arial" w:cs="Arial"/>
                <w:b/>
                <w:sz w:val="20"/>
                <w:szCs w:val="20"/>
              </w:rPr>
            </w:pPr>
            <w:r w:rsidRPr="00846D49">
              <w:rPr>
                <w:rFonts w:ascii="Arial" w:hAnsi="Arial" w:cs="Arial"/>
                <w:b/>
                <w:sz w:val="20"/>
                <w:szCs w:val="20"/>
              </w:rPr>
              <w:lastRenderedPageBreak/>
              <w:t>Entrega del servicio</w:t>
            </w:r>
          </w:p>
        </w:tc>
        <w:tc>
          <w:tcPr>
            <w:tcW w:w="630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3277867" w14:textId="514EC810" w:rsidR="00216F36" w:rsidRPr="00846D49" w:rsidRDefault="00216F36" w:rsidP="00216F36">
            <w:pPr>
              <w:tabs>
                <w:tab w:val="left" w:pos="3375"/>
              </w:tabs>
              <w:ind w:left="128"/>
              <w:jc w:val="both"/>
              <w:rPr>
                <w:rFonts w:ascii="Arial" w:eastAsia="Arial Narrow" w:hAnsi="Arial" w:cs="Arial"/>
                <w:sz w:val="20"/>
                <w:szCs w:val="20"/>
              </w:rPr>
            </w:pPr>
            <w:r w:rsidRPr="00846D49">
              <w:rPr>
                <w:rFonts w:ascii="Arial" w:eastAsia="Arial Narrow" w:hAnsi="Arial" w:cs="Arial"/>
                <w:sz w:val="20"/>
                <w:szCs w:val="20"/>
              </w:rPr>
              <w:t xml:space="preserve">Competencia exclusiva </w:t>
            </w:r>
          </w:p>
        </w:tc>
      </w:tr>
      <w:tr w:rsidR="00846D49" w:rsidRPr="00846D49" w14:paraId="10C3689D" w14:textId="77777777" w:rsidTr="00517301">
        <w:trPr>
          <w:trHeight w:val="300"/>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9F48301" w14:textId="77777777" w:rsidR="00216F36" w:rsidRPr="00846D49" w:rsidRDefault="00216F36" w:rsidP="00216F36">
            <w:pPr>
              <w:tabs>
                <w:tab w:val="left" w:pos="3375"/>
              </w:tabs>
              <w:jc w:val="both"/>
              <w:rPr>
                <w:rFonts w:ascii="Arial" w:hAnsi="Arial" w:cs="Arial"/>
                <w:b/>
                <w:sz w:val="20"/>
                <w:szCs w:val="20"/>
              </w:rPr>
            </w:pPr>
            <w:r w:rsidRPr="00846D49">
              <w:rPr>
                <w:rFonts w:ascii="Arial" w:hAnsi="Arial" w:cs="Arial"/>
                <w:b/>
                <w:sz w:val="20"/>
                <w:szCs w:val="20"/>
              </w:rPr>
              <w:t xml:space="preserve"> Descripción del servicio</w:t>
            </w:r>
          </w:p>
        </w:tc>
        <w:tc>
          <w:tcPr>
            <w:tcW w:w="630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4528A2A" w14:textId="77777777" w:rsidR="00216F36" w:rsidRPr="00846D49" w:rsidRDefault="00216F36" w:rsidP="00216F36">
            <w:pPr>
              <w:tabs>
                <w:tab w:val="left" w:pos="3375"/>
              </w:tabs>
              <w:ind w:left="128"/>
              <w:jc w:val="both"/>
              <w:rPr>
                <w:rFonts w:ascii="Arial" w:eastAsia="Arial Narrow" w:hAnsi="Arial" w:cs="Arial"/>
                <w:sz w:val="20"/>
                <w:szCs w:val="20"/>
              </w:rPr>
            </w:pPr>
            <w:r w:rsidRPr="00846D49">
              <w:rPr>
                <w:rFonts w:ascii="Arial" w:eastAsia="Arial Narrow" w:hAnsi="Arial" w:cs="Arial"/>
                <w:sz w:val="20"/>
                <w:szCs w:val="20"/>
              </w:rPr>
              <w:t>El servicio consiste en que, a través del desarrollo de programas de fortalecimiento de capacidades basados en la formación continua que involucra el desarrollo de cursos, talleres, curso-taller, asistencia técnica, entre otros, dirigido a los servidores de las Autoridades Regionales Forestales y de Fauna Silvestre (Administraciones Técnicas Forestales y de Fauna Silvestre y Gobiernos Regionales con funciones transferidas), mejoren su desempeño técnico y administrativo que permita posicionarlos como autoridad regional forestal y de fauna silvestre en sus ámbitos.</w:t>
            </w:r>
          </w:p>
          <w:p w14:paraId="2D8B4E11" w14:textId="39B9DD90" w:rsidR="00216F36" w:rsidRPr="00846D49" w:rsidRDefault="00216F36" w:rsidP="00216F36">
            <w:pPr>
              <w:tabs>
                <w:tab w:val="left" w:pos="3375"/>
              </w:tabs>
              <w:ind w:left="128"/>
              <w:jc w:val="both"/>
              <w:rPr>
                <w:rFonts w:ascii="Arial" w:eastAsia="Arial Narrow" w:hAnsi="Arial" w:cs="Arial"/>
                <w:sz w:val="20"/>
                <w:szCs w:val="20"/>
              </w:rPr>
            </w:pPr>
            <w:r w:rsidRPr="00846D49">
              <w:rPr>
                <w:rFonts w:ascii="Arial" w:eastAsia="Arial Narrow" w:hAnsi="Arial" w:cs="Arial"/>
                <w:sz w:val="20"/>
                <w:szCs w:val="20"/>
              </w:rPr>
              <w:t xml:space="preserve">El programa involucra, entre otros, las siguientes acciones: </w:t>
            </w:r>
          </w:p>
          <w:p w14:paraId="543EAFBA" w14:textId="77777777" w:rsidR="00216F36" w:rsidRPr="00846D49" w:rsidRDefault="00216F36" w:rsidP="00216F36">
            <w:pPr>
              <w:pStyle w:val="Prrafodelista"/>
              <w:numPr>
                <w:ilvl w:val="0"/>
                <w:numId w:val="15"/>
              </w:numPr>
              <w:tabs>
                <w:tab w:val="left" w:pos="3375"/>
              </w:tabs>
              <w:ind w:left="479" w:hanging="223"/>
              <w:jc w:val="both"/>
              <w:rPr>
                <w:rFonts w:ascii="Arial" w:eastAsia="Arial Narrow" w:hAnsi="Arial" w:cs="Arial"/>
                <w:sz w:val="20"/>
                <w:szCs w:val="20"/>
              </w:rPr>
            </w:pPr>
            <w:r w:rsidRPr="00846D49">
              <w:rPr>
                <w:rFonts w:ascii="Arial" w:eastAsia="Arial Narrow" w:hAnsi="Arial" w:cs="Arial"/>
                <w:sz w:val="20"/>
                <w:szCs w:val="20"/>
              </w:rPr>
              <w:t>Cursos de legislación forestal y de fauna silvestre</w:t>
            </w:r>
          </w:p>
          <w:p w14:paraId="03E84C57" w14:textId="77777777" w:rsidR="00216F36" w:rsidRPr="00846D49" w:rsidRDefault="00216F36" w:rsidP="00216F36">
            <w:pPr>
              <w:pStyle w:val="Prrafodelista"/>
              <w:numPr>
                <w:ilvl w:val="0"/>
                <w:numId w:val="15"/>
              </w:numPr>
              <w:tabs>
                <w:tab w:val="left" w:pos="3375"/>
              </w:tabs>
              <w:ind w:left="479" w:hanging="223"/>
              <w:jc w:val="both"/>
              <w:rPr>
                <w:rFonts w:ascii="Arial" w:eastAsia="Arial Narrow" w:hAnsi="Arial" w:cs="Arial"/>
                <w:sz w:val="20"/>
                <w:szCs w:val="20"/>
              </w:rPr>
            </w:pPr>
            <w:r w:rsidRPr="00846D49">
              <w:rPr>
                <w:rFonts w:ascii="Arial" w:eastAsia="Arial Narrow" w:hAnsi="Arial" w:cs="Arial"/>
                <w:sz w:val="20"/>
                <w:szCs w:val="20"/>
              </w:rPr>
              <w:t xml:space="preserve">Cursos de procedimiento administrativo sancionador </w:t>
            </w:r>
          </w:p>
          <w:p w14:paraId="01C549F3" w14:textId="77777777" w:rsidR="00216F36" w:rsidRPr="00846D49" w:rsidRDefault="00216F36" w:rsidP="00216F36">
            <w:pPr>
              <w:pStyle w:val="Prrafodelista"/>
              <w:numPr>
                <w:ilvl w:val="0"/>
                <w:numId w:val="15"/>
              </w:numPr>
              <w:tabs>
                <w:tab w:val="left" w:pos="3375"/>
              </w:tabs>
              <w:ind w:left="479" w:hanging="223"/>
              <w:jc w:val="both"/>
              <w:rPr>
                <w:rFonts w:ascii="Arial" w:eastAsia="Arial Narrow" w:hAnsi="Arial" w:cs="Arial"/>
                <w:sz w:val="20"/>
                <w:szCs w:val="20"/>
              </w:rPr>
            </w:pPr>
            <w:r w:rsidRPr="00846D49">
              <w:rPr>
                <w:rFonts w:ascii="Arial" w:eastAsia="Arial Narrow" w:hAnsi="Arial" w:cs="Arial"/>
                <w:sz w:val="20"/>
                <w:szCs w:val="20"/>
              </w:rPr>
              <w:t>Cursos de Delitos ambientales</w:t>
            </w:r>
          </w:p>
          <w:p w14:paraId="08B2A66E" w14:textId="77777777" w:rsidR="00216F36" w:rsidRPr="00846D49" w:rsidRDefault="00216F36" w:rsidP="00216F36">
            <w:pPr>
              <w:pStyle w:val="Prrafodelista"/>
              <w:numPr>
                <w:ilvl w:val="0"/>
                <w:numId w:val="15"/>
              </w:numPr>
              <w:tabs>
                <w:tab w:val="left" w:pos="3375"/>
              </w:tabs>
              <w:ind w:left="479" w:hanging="223"/>
              <w:jc w:val="both"/>
              <w:rPr>
                <w:rFonts w:ascii="Arial" w:eastAsia="Arial Narrow" w:hAnsi="Arial" w:cs="Arial"/>
                <w:sz w:val="20"/>
                <w:szCs w:val="20"/>
              </w:rPr>
            </w:pPr>
            <w:r w:rsidRPr="00846D49">
              <w:rPr>
                <w:rFonts w:ascii="Arial" w:eastAsia="Arial Narrow" w:hAnsi="Arial" w:cs="Arial"/>
                <w:sz w:val="20"/>
                <w:szCs w:val="20"/>
              </w:rPr>
              <w:t>Cursos de ética en la Gestión Forestal y de Fauna Silvestre.</w:t>
            </w:r>
          </w:p>
          <w:p w14:paraId="48A77173" w14:textId="77777777" w:rsidR="00216F36" w:rsidRPr="00846D49" w:rsidRDefault="00216F36" w:rsidP="00216F36">
            <w:pPr>
              <w:pStyle w:val="Prrafodelista"/>
              <w:numPr>
                <w:ilvl w:val="0"/>
                <w:numId w:val="15"/>
              </w:numPr>
              <w:tabs>
                <w:tab w:val="left" w:pos="3375"/>
              </w:tabs>
              <w:ind w:left="479" w:hanging="223"/>
              <w:jc w:val="both"/>
              <w:rPr>
                <w:rFonts w:ascii="Arial" w:eastAsia="Arial Narrow" w:hAnsi="Arial" w:cs="Arial"/>
                <w:sz w:val="20"/>
                <w:szCs w:val="20"/>
              </w:rPr>
            </w:pPr>
            <w:r w:rsidRPr="00846D49">
              <w:rPr>
                <w:rFonts w:ascii="Arial" w:eastAsia="Arial Narrow" w:hAnsi="Arial" w:cs="Arial"/>
                <w:sz w:val="20"/>
                <w:szCs w:val="20"/>
              </w:rPr>
              <w:t>Cursos de especialización en manejo forestal y de fauna silvestre.</w:t>
            </w:r>
          </w:p>
          <w:p w14:paraId="5AB82F0B" w14:textId="77777777" w:rsidR="00216F36" w:rsidRPr="00846D49" w:rsidRDefault="00216F36" w:rsidP="00216F36">
            <w:pPr>
              <w:pStyle w:val="Prrafodelista"/>
              <w:numPr>
                <w:ilvl w:val="0"/>
                <w:numId w:val="15"/>
              </w:numPr>
              <w:tabs>
                <w:tab w:val="left" w:pos="3375"/>
              </w:tabs>
              <w:ind w:left="479" w:hanging="223"/>
              <w:jc w:val="both"/>
              <w:rPr>
                <w:rFonts w:ascii="Arial" w:hAnsi="Arial" w:cs="Arial"/>
                <w:sz w:val="20"/>
                <w:szCs w:val="20"/>
              </w:rPr>
            </w:pPr>
            <w:r w:rsidRPr="00846D49">
              <w:rPr>
                <w:rFonts w:ascii="Arial" w:eastAsia="Arial Narrow" w:hAnsi="Arial" w:cs="Arial"/>
                <w:sz w:val="20"/>
                <w:szCs w:val="20"/>
              </w:rPr>
              <w:t>Cursos de incendios forestales.</w:t>
            </w:r>
          </w:p>
          <w:p w14:paraId="66F1A797" w14:textId="77777777" w:rsidR="00216F36" w:rsidRPr="00846D49" w:rsidRDefault="00216F36" w:rsidP="00216F36">
            <w:pPr>
              <w:pStyle w:val="Prrafodelista"/>
              <w:numPr>
                <w:ilvl w:val="0"/>
                <w:numId w:val="15"/>
              </w:numPr>
              <w:tabs>
                <w:tab w:val="left" w:pos="3375"/>
              </w:tabs>
              <w:ind w:left="479" w:hanging="223"/>
              <w:jc w:val="both"/>
              <w:rPr>
                <w:rFonts w:ascii="Arial" w:hAnsi="Arial" w:cs="Arial"/>
                <w:sz w:val="20"/>
                <w:szCs w:val="20"/>
              </w:rPr>
            </w:pPr>
            <w:r w:rsidRPr="00846D49">
              <w:rPr>
                <w:rFonts w:ascii="Arial" w:eastAsia="Arial Narrow" w:hAnsi="Arial" w:cs="Arial"/>
                <w:sz w:val="20"/>
                <w:szCs w:val="20"/>
              </w:rPr>
              <w:t>Talleres relacionados con los libros de operaciones para centros de transformación primaria y títulos habilitantes.</w:t>
            </w:r>
          </w:p>
          <w:p w14:paraId="5FB72997" w14:textId="77777777" w:rsidR="00216F36" w:rsidRPr="00846D49" w:rsidRDefault="00216F36" w:rsidP="00216F36">
            <w:pPr>
              <w:tabs>
                <w:tab w:val="left" w:pos="3375"/>
              </w:tabs>
              <w:ind w:left="256"/>
              <w:jc w:val="both"/>
              <w:rPr>
                <w:rFonts w:ascii="Arial" w:hAnsi="Arial" w:cs="Arial"/>
                <w:sz w:val="20"/>
                <w:szCs w:val="20"/>
              </w:rPr>
            </w:pPr>
            <w:r w:rsidRPr="00846D49">
              <w:rPr>
                <w:rFonts w:ascii="Arial" w:eastAsia="Arial Narrow" w:hAnsi="Arial" w:cs="Arial"/>
                <w:sz w:val="20"/>
                <w:szCs w:val="20"/>
              </w:rPr>
              <w:t>El servicio es de tipo mejorado porque se aplicará nuevas herramientas metodológicas y tecnológicas (plataforma virtual) para la entrega del servicio; además, se busca llegar a todas las autoridades regionales forestales y de fauna silvestre, considerando el enfoque de género, intercultural e intergeneracional.</w:t>
            </w:r>
          </w:p>
        </w:tc>
      </w:tr>
      <w:tr w:rsidR="008A26D2" w:rsidRPr="008A26D2" w14:paraId="0CF07236" w14:textId="77777777" w:rsidTr="00517301">
        <w:trPr>
          <w:trHeight w:val="300"/>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39111F2" w14:textId="77777777" w:rsidR="00216F36" w:rsidRPr="008A26D2" w:rsidRDefault="00216F36" w:rsidP="00216F36">
            <w:pPr>
              <w:tabs>
                <w:tab w:val="left" w:pos="3375"/>
              </w:tabs>
              <w:jc w:val="both"/>
              <w:rPr>
                <w:rFonts w:ascii="Arial" w:hAnsi="Arial" w:cs="Arial"/>
                <w:b/>
                <w:sz w:val="20"/>
                <w:szCs w:val="20"/>
              </w:rPr>
            </w:pPr>
            <w:r w:rsidRPr="008A26D2">
              <w:rPr>
                <w:rFonts w:ascii="Arial" w:hAnsi="Arial" w:cs="Arial"/>
                <w:b/>
                <w:sz w:val="20"/>
                <w:szCs w:val="20"/>
              </w:rPr>
              <w:t xml:space="preserve"> Proveedor del servicio</w:t>
            </w:r>
          </w:p>
        </w:tc>
        <w:tc>
          <w:tcPr>
            <w:tcW w:w="630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F6A529E" w14:textId="77777777" w:rsidR="00216F36" w:rsidRPr="008A26D2" w:rsidRDefault="00216F36" w:rsidP="00216F36">
            <w:pPr>
              <w:tabs>
                <w:tab w:val="left" w:pos="3375"/>
              </w:tabs>
              <w:ind w:left="128"/>
              <w:jc w:val="both"/>
              <w:rPr>
                <w:rFonts w:ascii="Arial" w:hAnsi="Arial" w:cs="Arial"/>
                <w:sz w:val="20"/>
                <w:szCs w:val="20"/>
              </w:rPr>
            </w:pPr>
            <w:r w:rsidRPr="008A26D2">
              <w:rPr>
                <w:rFonts w:ascii="Arial" w:eastAsia="Arial Narrow" w:hAnsi="Arial" w:cs="Arial"/>
                <w:sz w:val="20"/>
                <w:szCs w:val="20"/>
              </w:rPr>
              <w:t>Servicio Nacional Forestal y de Fauna Silvestre - SERFOR</w:t>
            </w:r>
          </w:p>
        </w:tc>
      </w:tr>
      <w:tr w:rsidR="008A26D2" w:rsidRPr="008A26D2" w14:paraId="111DB101" w14:textId="77777777" w:rsidTr="00126A0F">
        <w:trPr>
          <w:trHeight w:val="555"/>
          <w:jc w:val="center"/>
        </w:trPr>
        <w:tc>
          <w:tcPr>
            <w:tcW w:w="2482" w:type="dxa"/>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0CD159EB" w14:textId="77777777" w:rsidR="00216F36" w:rsidRPr="008A26D2" w:rsidRDefault="00216F36" w:rsidP="002469C9">
            <w:pPr>
              <w:spacing w:after="0" w:line="240" w:lineRule="auto"/>
              <w:rPr>
                <w:rFonts w:ascii="Arial" w:hAnsi="Arial" w:cs="Arial"/>
                <w:b/>
                <w:sz w:val="20"/>
                <w:szCs w:val="20"/>
              </w:rPr>
            </w:pPr>
            <w:r w:rsidRPr="008A26D2">
              <w:rPr>
                <w:rFonts w:ascii="Arial" w:hAnsi="Arial" w:cs="Arial"/>
                <w:b/>
                <w:sz w:val="20"/>
                <w:szCs w:val="20"/>
              </w:rPr>
              <w:t>Nivel (es) de gobierno que interviene</w:t>
            </w:r>
          </w:p>
          <w:p w14:paraId="10CA194C" w14:textId="5673367B" w:rsidR="00216F36" w:rsidRPr="008A26D2" w:rsidRDefault="00216F36" w:rsidP="00216F36">
            <w:pPr>
              <w:tabs>
                <w:tab w:val="left" w:pos="3375"/>
              </w:tabs>
              <w:jc w:val="both"/>
              <w:rPr>
                <w:rFonts w:ascii="Arial" w:hAnsi="Arial" w:cs="Arial"/>
                <w:b/>
                <w:sz w:val="20"/>
                <w:szCs w:val="20"/>
              </w:rPr>
            </w:pPr>
            <w:r w:rsidRPr="008A26D2">
              <w:rPr>
                <w:rFonts w:ascii="Arial" w:hAnsi="Arial" w:cs="Arial"/>
                <w:b/>
                <w:sz w:val="20"/>
                <w:szCs w:val="20"/>
              </w:rPr>
              <w:t>(n) en la provisión del servicio</w:t>
            </w:r>
          </w:p>
        </w:tc>
        <w:tc>
          <w:tcPr>
            <w:tcW w:w="2102"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60EA25AF" w14:textId="2242049A" w:rsidR="00216F36" w:rsidRPr="008A26D2" w:rsidRDefault="00216F36" w:rsidP="0025059A">
            <w:pPr>
              <w:tabs>
                <w:tab w:val="left" w:pos="3375"/>
              </w:tabs>
              <w:ind w:left="128"/>
              <w:jc w:val="center"/>
              <w:rPr>
                <w:rFonts w:ascii="Arial" w:eastAsia="Arial Narrow" w:hAnsi="Arial" w:cs="Arial"/>
                <w:sz w:val="20"/>
                <w:szCs w:val="20"/>
              </w:rPr>
            </w:pPr>
            <w:r w:rsidRPr="008A26D2">
              <w:rPr>
                <w:rFonts w:ascii="Arial" w:eastAsia="Arial Narrow" w:hAnsi="Arial" w:cs="Arial"/>
                <w:sz w:val="20"/>
                <w:szCs w:val="20"/>
              </w:rPr>
              <w:t>Nacional</w:t>
            </w:r>
          </w:p>
        </w:tc>
        <w:tc>
          <w:tcPr>
            <w:tcW w:w="2102" w:type="dxa"/>
            <w:tcBorders>
              <w:top w:val="single" w:sz="4" w:space="0" w:color="000000"/>
              <w:left w:val="single" w:sz="4" w:space="0" w:color="000000"/>
              <w:right w:val="single" w:sz="4" w:space="0" w:color="000000"/>
            </w:tcBorders>
            <w:shd w:val="clear" w:color="auto" w:fill="auto"/>
            <w:vAlign w:val="center"/>
          </w:tcPr>
          <w:p w14:paraId="11B4914E" w14:textId="59B739D9" w:rsidR="00216F36" w:rsidRPr="008A26D2" w:rsidRDefault="00216F36" w:rsidP="0025059A">
            <w:pPr>
              <w:tabs>
                <w:tab w:val="left" w:pos="3375"/>
              </w:tabs>
              <w:ind w:left="128"/>
              <w:jc w:val="center"/>
              <w:rPr>
                <w:rFonts w:ascii="Arial" w:eastAsia="Arial Narrow" w:hAnsi="Arial" w:cs="Arial"/>
                <w:sz w:val="20"/>
                <w:szCs w:val="20"/>
              </w:rPr>
            </w:pPr>
            <w:r w:rsidRPr="008A26D2">
              <w:rPr>
                <w:rFonts w:ascii="Arial" w:eastAsia="Arial Narrow" w:hAnsi="Arial" w:cs="Arial"/>
                <w:sz w:val="20"/>
                <w:szCs w:val="20"/>
              </w:rPr>
              <w:t>Regional</w:t>
            </w:r>
          </w:p>
        </w:tc>
        <w:tc>
          <w:tcPr>
            <w:tcW w:w="2103" w:type="dxa"/>
            <w:tcBorders>
              <w:top w:val="single" w:sz="4" w:space="0" w:color="000000"/>
              <w:left w:val="single" w:sz="4" w:space="0" w:color="000000"/>
              <w:right w:val="single" w:sz="4" w:space="0" w:color="000000"/>
            </w:tcBorders>
            <w:shd w:val="clear" w:color="auto" w:fill="auto"/>
            <w:vAlign w:val="center"/>
          </w:tcPr>
          <w:p w14:paraId="3439311B" w14:textId="6533129F" w:rsidR="00216F36" w:rsidRPr="008A26D2" w:rsidRDefault="00216F36" w:rsidP="0025059A">
            <w:pPr>
              <w:tabs>
                <w:tab w:val="left" w:pos="3375"/>
              </w:tabs>
              <w:ind w:left="128"/>
              <w:jc w:val="center"/>
              <w:rPr>
                <w:rFonts w:ascii="Arial" w:eastAsia="Arial Narrow" w:hAnsi="Arial" w:cs="Arial"/>
                <w:sz w:val="20"/>
                <w:szCs w:val="20"/>
              </w:rPr>
            </w:pPr>
            <w:r w:rsidRPr="008A26D2">
              <w:rPr>
                <w:rFonts w:ascii="Arial" w:eastAsia="Arial Narrow" w:hAnsi="Arial" w:cs="Arial"/>
                <w:sz w:val="20"/>
                <w:szCs w:val="20"/>
              </w:rPr>
              <w:t>Local</w:t>
            </w:r>
          </w:p>
        </w:tc>
      </w:tr>
      <w:tr w:rsidR="008A26D2" w:rsidRPr="008A26D2" w14:paraId="77771A97" w14:textId="77777777" w:rsidTr="00126A0F">
        <w:trPr>
          <w:trHeight w:val="555"/>
          <w:jc w:val="center"/>
        </w:trPr>
        <w:tc>
          <w:tcPr>
            <w:tcW w:w="2482" w:type="dxa"/>
            <w:vMerge/>
            <w:tcBorders>
              <w:left w:val="single" w:sz="4" w:space="0" w:color="000000"/>
              <w:right w:val="single" w:sz="4" w:space="0" w:color="000000"/>
            </w:tcBorders>
            <w:shd w:val="clear" w:color="auto" w:fill="auto"/>
            <w:tcMar>
              <w:top w:w="15" w:type="dxa"/>
              <w:left w:w="15" w:type="dxa"/>
              <w:bottom w:w="0" w:type="dxa"/>
              <w:right w:w="15" w:type="dxa"/>
            </w:tcMar>
            <w:vAlign w:val="center"/>
          </w:tcPr>
          <w:p w14:paraId="598550D2" w14:textId="77777777" w:rsidR="00216F36" w:rsidRPr="008A26D2" w:rsidRDefault="00216F36" w:rsidP="00216F36">
            <w:pPr>
              <w:spacing w:after="0" w:line="240" w:lineRule="auto"/>
              <w:rPr>
                <w:rFonts w:ascii="Arial" w:hAnsi="Arial" w:cs="Arial"/>
                <w:b/>
                <w:sz w:val="20"/>
                <w:szCs w:val="20"/>
              </w:rPr>
            </w:pPr>
          </w:p>
        </w:tc>
        <w:tc>
          <w:tcPr>
            <w:tcW w:w="2102"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4EB2C531" w14:textId="6212B040" w:rsidR="00216F36" w:rsidRPr="008A26D2" w:rsidRDefault="00B13293" w:rsidP="0025059A">
            <w:pPr>
              <w:tabs>
                <w:tab w:val="left" w:pos="3375"/>
              </w:tabs>
              <w:ind w:left="128"/>
              <w:jc w:val="center"/>
              <w:rPr>
                <w:rFonts w:ascii="Arial" w:eastAsia="Arial Narrow" w:hAnsi="Arial" w:cs="Arial"/>
                <w:sz w:val="20"/>
                <w:szCs w:val="20"/>
              </w:rPr>
            </w:pPr>
            <w:r w:rsidRPr="008A26D2">
              <w:rPr>
                <w:rFonts w:ascii="Arial" w:eastAsia="Arial Narrow" w:hAnsi="Arial" w:cs="Arial"/>
                <w:sz w:val="20"/>
                <w:szCs w:val="20"/>
              </w:rPr>
              <w:t>X</w:t>
            </w:r>
          </w:p>
        </w:tc>
        <w:tc>
          <w:tcPr>
            <w:tcW w:w="2102" w:type="dxa"/>
            <w:tcBorders>
              <w:top w:val="single" w:sz="4" w:space="0" w:color="000000"/>
              <w:left w:val="single" w:sz="4" w:space="0" w:color="000000"/>
              <w:right w:val="single" w:sz="4" w:space="0" w:color="000000"/>
            </w:tcBorders>
            <w:shd w:val="clear" w:color="auto" w:fill="auto"/>
            <w:vAlign w:val="center"/>
          </w:tcPr>
          <w:p w14:paraId="3B43BFDE" w14:textId="77777777" w:rsidR="00216F36" w:rsidRPr="008A26D2" w:rsidRDefault="00216F36" w:rsidP="0025059A">
            <w:pPr>
              <w:tabs>
                <w:tab w:val="left" w:pos="3375"/>
              </w:tabs>
              <w:ind w:left="128"/>
              <w:jc w:val="center"/>
              <w:rPr>
                <w:rFonts w:ascii="Arial" w:eastAsia="Arial Narrow" w:hAnsi="Arial" w:cs="Arial"/>
                <w:sz w:val="20"/>
                <w:szCs w:val="20"/>
              </w:rPr>
            </w:pPr>
          </w:p>
        </w:tc>
        <w:tc>
          <w:tcPr>
            <w:tcW w:w="2103" w:type="dxa"/>
            <w:tcBorders>
              <w:top w:val="single" w:sz="4" w:space="0" w:color="000000"/>
              <w:left w:val="single" w:sz="4" w:space="0" w:color="000000"/>
              <w:right w:val="single" w:sz="4" w:space="0" w:color="000000"/>
            </w:tcBorders>
            <w:shd w:val="clear" w:color="auto" w:fill="auto"/>
            <w:vAlign w:val="center"/>
          </w:tcPr>
          <w:p w14:paraId="6A7A78BF" w14:textId="15DCB259" w:rsidR="00216F36" w:rsidRPr="008A26D2" w:rsidRDefault="00216F36" w:rsidP="0025059A">
            <w:pPr>
              <w:tabs>
                <w:tab w:val="left" w:pos="3375"/>
              </w:tabs>
              <w:ind w:left="128"/>
              <w:jc w:val="center"/>
              <w:rPr>
                <w:rFonts w:ascii="Arial" w:eastAsia="Arial Narrow" w:hAnsi="Arial" w:cs="Arial"/>
                <w:sz w:val="20"/>
                <w:szCs w:val="20"/>
              </w:rPr>
            </w:pPr>
          </w:p>
        </w:tc>
      </w:tr>
      <w:tr w:rsidR="008A26D2" w:rsidRPr="008A26D2" w14:paraId="52C75315" w14:textId="77777777" w:rsidTr="00517301">
        <w:trPr>
          <w:trHeight w:val="300"/>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F5A29ED" w14:textId="77777777" w:rsidR="00216F36" w:rsidRPr="008A26D2" w:rsidRDefault="00216F36" w:rsidP="00216F36">
            <w:pPr>
              <w:tabs>
                <w:tab w:val="left" w:pos="3375"/>
              </w:tabs>
              <w:jc w:val="both"/>
              <w:rPr>
                <w:rFonts w:ascii="Arial" w:hAnsi="Arial" w:cs="Arial"/>
                <w:b/>
                <w:sz w:val="20"/>
                <w:szCs w:val="20"/>
              </w:rPr>
            </w:pPr>
            <w:r w:rsidRPr="008A26D2">
              <w:rPr>
                <w:rFonts w:ascii="Arial" w:hAnsi="Arial" w:cs="Arial"/>
                <w:b/>
                <w:sz w:val="20"/>
                <w:szCs w:val="20"/>
              </w:rPr>
              <w:t xml:space="preserve"> Receptor del servicio</w:t>
            </w:r>
          </w:p>
        </w:tc>
        <w:tc>
          <w:tcPr>
            <w:tcW w:w="630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1075EA9" w14:textId="77777777" w:rsidR="00216F36" w:rsidRPr="008A26D2" w:rsidRDefault="00216F36" w:rsidP="00216F36">
            <w:pPr>
              <w:tabs>
                <w:tab w:val="left" w:pos="3375"/>
              </w:tabs>
              <w:ind w:left="128"/>
              <w:jc w:val="both"/>
              <w:rPr>
                <w:rFonts w:ascii="Arial" w:hAnsi="Arial" w:cs="Arial"/>
                <w:sz w:val="20"/>
                <w:szCs w:val="20"/>
              </w:rPr>
            </w:pPr>
            <w:r w:rsidRPr="008A26D2">
              <w:rPr>
                <w:rFonts w:ascii="Arial" w:eastAsia="Arial Narrow" w:hAnsi="Arial" w:cs="Arial"/>
                <w:sz w:val="20"/>
                <w:szCs w:val="20"/>
              </w:rPr>
              <w:t>Autoridades Regionales Forestales y de Fauna silvestre</w:t>
            </w:r>
          </w:p>
        </w:tc>
      </w:tr>
      <w:tr w:rsidR="008A26D2" w:rsidRPr="008A26D2" w14:paraId="10F41B5F" w14:textId="77777777" w:rsidTr="00517301">
        <w:trPr>
          <w:trHeight w:val="211"/>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3CB36BA" w14:textId="77777777" w:rsidR="00216F36" w:rsidRPr="008A26D2" w:rsidRDefault="00216F36" w:rsidP="00216F36">
            <w:pPr>
              <w:tabs>
                <w:tab w:val="left" w:pos="3375"/>
              </w:tabs>
              <w:jc w:val="both"/>
              <w:rPr>
                <w:rFonts w:ascii="Arial" w:hAnsi="Arial" w:cs="Arial"/>
                <w:b/>
                <w:sz w:val="20"/>
                <w:szCs w:val="20"/>
              </w:rPr>
            </w:pPr>
            <w:r w:rsidRPr="008A26D2">
              <w:rPr>
                <w:rFonts w:ascii="Arial" w:hAnsi="Arial" w:cs="Arial"/>
                <w:b/>
                <w:sz w:val="20"/>
                <w:szCs w:val="20"/>
              </w:rPr>
              <w:t xml:space="preserve"> Alcance del servicio </w:t>
            </w:r>
          </w:p>
        </w:tc>
        <w:tc>
          <w:tcPr>
            <w:tcW w:w="630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5FF5F33" w14:textId="77777777" w:rsidR="00216F36" w:rsidRPr="008A26D2" w:rsidRDefault="00216F36" w:rsidP="00216F36">
            <w:pPr>
              <w:tabs>
                <w:tab w:val="left" w:pos="3375"/>
              </w:tabs>
              <w:ind w:left="128"/>
              <w:jc w:val="both"/>
              <w:rPr>
                <w:rFonts w:ascii="Arial" w:hAnsi="Arial" w:cs="Arial"/>
                <w:sz w:val="20"/>
                <w:szCs w:val="20"/>
              </w:rPr>
            </w:pPr>
            <w:r w:rsidRPr="008A26D2">
              <w:rPr>
                <w:rFonts w:ascii="Arial" w:eastAsia="Arial Narrow" w:hAnsi="Arial" w:cs="Arial"/>
                <w:sz w:val="20"/>
                <w:szCs w:val="20"/>
              </w:rPr>
              <w:t>Nacional</w:t>
            </w:r>
          </w:p>
        </w:tc>
      </w:tr>
      <w:tr w:rsidR="008A26D2" w:rsidRPr="008A26D2" w14:paraId="4CED68CC" w14:textId="77777777" w:rsidTr="00517301">
        <w:trPr>
          <w:trHeight w:val="62"/>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FCAB7F1" w14:textId="77777777" w:rsidR="00216F36" w:rsidRPr="008A26D2" w:rsidRDefault="00216F36" w:rsidP="00216F36">
            <w:pPr>
              <w:tabs>
                <w:tab w:val="left" w:pos="3375"/>
              </w:tabs>
              <w:jc w:val="both"/>
              <w:rPr>
                <w:rFonts w:ascii="Arial" w:hAnsi="Arial" w:cs="Arial"/>
                <w:b/>
                <w:sz w:val="20"/>
                <w:szCs w:val="20"/>
              </w:rPr>
            </w:pPr>
            <w:r w:rsidRPr="008A26D2">
              <w:rPr>
                <w:rFonts w:ascii="Arial" w:hAnsi="Arial" w:cs="Arial"/>
                <w:b/>
                <w:sz w:val="20"/>
                <w:szCs w:val="20"/>
              </w:rPr>
              <w:t xml:space="preserve"> Estándar (es) de cumplimiento</w:t>
            </w:r>
          </w:p>
        </w:tc>
        <w:tc>
          <w:tcPr>
            <w:tcW w:w="630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1EFF8DBE" w14:textId="77777777" w:rsidR="00216F36" w:rsidRPr="008A26D2" w:rsidRDefault="00216F36" w:rsidP="00216F36">
            <w:pPr>
              <w:tabs>
                <w:tab w:val="left" w:pos="3375"/>
              </w:tabs>
              <w:ind w:left="128"/>
              <w:jc w:val="both"/>
              <w:rPr>
                <w:rFonts w:ascii="Arial" w:hAnsi="Arial" w:cs="Arial"/>
                <w:sz w:val="20"/>
                <w:szCs w:val="20"/>
              </w:rPr>
            </w:pPr>
            <w:r w:rsidRPr="008A26D2">
              <w:rPr>
                <w:rFonts w:ascii="Arial" w:eastAsia="Arial Narrow" w:hAnsi="Arial" w:cs="Arial"/>
                <w:sz w:val="20"/>
                <w:szCs w:val="20"/>
              </w:rPr>
              <w:t xml:space="preserve">Percepción </w:t>
            </w:r>
          </w:p>
        </w:tc>
      </w:tr>
      <w:tr w:rsidR="008A26D2" w:rsidRPr="008A26D2" w14:paraId="059FB070" w14:textId="77777777" w:rsidTr="00517301">
        <w:trPr>
          <w:trHeight w:val="300"/>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ADA2B7B" w14:textId="77777777" w:rsidR="00216F36" w:rsidRPr="008A26D2" w:rsidRDefault="00216F36" w:rsidP="00216F36">
            <w:pPr>
              <w:tabs>
                <w:tab w:val="left" w:pos="3375"/>
              </w:tabs>
              <w:jc w:val="both"/>
              <w:rPr>
                <w:rFonts w:ascii="Arial" w:hAnsi="Arial" w:cs="Arial"/>
                <w:b/>
                <w:sz w:val="20"/>
                <w:szCs w:val="20"/>
              </w:rPr>
            </w:pPr>
            <w:r w:rsidRPr="008A26D2">
              <w:rPr>
                <w:rFonts w:ascii="Arial" w:hAnsi="Arial" w:cs="Arial"/>
                <w:b/>
                <w:sz w:val="20"/>
                <w:szCs w:val="20"/>
              </w:rPr>
              <w:t xml:space="preserve"> Descripción del estándar</w:t>
            </w:r>
          </w:p>
        </w:tc>
        <w:tc>
          <w:tcPr>
            <w:tcW w:w="630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35" w:type="dxa"/>
              <w:bottom w:w="0" w:type="dxa"/>
              <w:right w:w="15" w:type="dxa"/>
            </w:tcMar>
            <w:vAlign w:val="center"/>
          </w:tcPr>
          <w:p w14:paraId="07BA0007" w14:textId="07BD30F0" w:rsidR="00216F36" w:rsidRPr="008A26D2" w:rsidRDefault="00216F36" w:rsidP="00216F36">
            <w:pPr>
              <w:pBdr>
                <w:top w:val="nil"/>
                <w:left w:val="nil"/>
                <w:bottom w:val="nil"/>
                <w:right w:val="nil"/>
                <w:between w:val="nil"/>
              </w:pBdr>
              <w:spacing w:after="0" w:line="240" w:lineRule="auto"/>
              <w:jc w:val="both"/>
              <w:rPr>
                <w:rFonts w:ascii="Arial" w:hAnsi="Arial" w:cs="Arial"/>
                <w:strike/>
                <w:sz w:val="20"/>
                <w:szCs w:val="20"/>
              </w:rPr>
            </w:pPr>
            <w:r w:rsidRPr="008A26D2">
              <w:rPr>
                <w:rFonts w:ascii="Arial" w:eastAsia="Times New Roman" w:hAnsi="Arial" w:cs="Arial"/>
                <w:sz w:val="20"/>
                <w:szCs w:val="20"/>
                <w:lang w:val="es-ES"/>
              </w:rPr>
              <w:t xml:space="preserve">El estándar del servicio es de percepción debido a que éste satisface las expectativas de capacitación en </w:t>
            </w:r>
            <w:r w:rsidRPr="008A26D2">
              <w:rPr>
                <w:rFonts w:ascii="Arial" w:eastAsia="Arial Narrow" w:hAnsi="Arial" w:cs="Arial"/>
                <w:sz w:val="20"/>
                <w:szCs w:val="20"/>
              </w:rPr>
              <w:t>aspectos técnicos y administrativos</w:t>
            </w:r>
            <w:r w:rsidRPr="008A26D2">
              <w:rPr>
                <w:rFonts w:ascii="Arial" w:eastAsia="Times New Roman" w:hAnsi="Arial" w:cs="Arial"/>
                <w:sz w:val="20"/>
                <w:szCs w:val="20"/>
                <w:lang w:val="es-ES"/>
              </w:rPr>
              <w:t xml:space="preserve"> de los servidores de las Autoridades Regionales Forestales y de Fauna Silvestre.</w:t>
            </w:r>
          </w:p>
        </w:tc>
      </w:tr>
      <w:tr w:rsidR="00216F36" w:rsidRPr="008A26D2" w14:paraId="16731908" w14:textId="77777777" w:rsidTr="00517301">
        <w:trPr>
          <w:trHeight w:val="491"/>
          <w:jc w:val="center"/>
        </w:trPr>
        <w:tc>
          <w:tcPr>
            <w:tcW w:w="24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A406C63" w14:textId="50E2E3E7" w:rsidR="00216F36" w:rsidRPr="008A26D2" w:rsidRDefault="00216F36" w:rsidP="00216F36">
            <w:pPr>
              <w:tabs>
                <w:tab w:val="left" w:pos="3375"/>
              </w:tabs>
              <w:jc w:val="both"/>
              <w:rPr>
                <w:rFonts w:ascii="Arial" w:hAnsi="Arial" w:cs="Arial"/>
                <w:b/>
                <w:sz w:val="20"/>
                <w:szCs w:val="20"/>
              </w:rPr>
            </w:pPr>
            <w:r w:rsidRPr="008A26D2">
              <w:rPr>
                <w:rFonts w:ascii="Arial" w:hAnsi="Arial" w:cs="Arial"/>
                <w:b/>
                <w:sz w:val="20"/>
                <w:szCs w:val="20"/>
              </w:rPr>
              <w:t>Indicador de calidad</w:t>
            </w:r>
          </w:p>
        </w:tc>
        <w:tc>
          <w:tcPr>
            <w:tcW w:w="630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126DB987" w14:textId="000B2B9A" w:rsidR="00216F36" w:rsidRPr="008A26D2" w:rsidRDefault="00216F36" w:rsidP="00216F36">
            <w:pPr>
              <w:pBdr>
                <w:top w:val="nil"/>
                <w:left w:val="nil"/>
                <w:bottom w:val="nil"/>
                <w:right w:val="nil"/>
                <w:between w:val="nil"/>
              </w:pBdr>
              <w:spacing w:after="0" w:line="240" w:lineRule="auto"/>
              <w:jc w:val="both"/>
              <w:rPr>
                <w:rFonts w:ascii="Arial" w:hAnsi="Arial" w:cs="Arial"/>
                <w:strike/>
                <w:sz w:val="20"/>
                <w:szCs w:val="20"/>
              </w:rPr>
            </w:pPr>
            <w:r w:rsidRPr="008A26D2">
              <w:rPr>
                <w:rFonts w:ascii="Arial" w:eastAsia="Times New Roman" w:hAnsi="Arial" w:cs="Arial"/>
                <w:sz w:val="20"/>
                <w:szCs w:val="20"/>
              </w:rPr>
              <w:t xml:space="preserve">Porcentaje de servidores de las </w:t>
            </w:r>
            <w:r w:rsidRPr="008A26D2">
              <w:rPr>
                <w:rFonts w:ascii="Arial" w:eastAsia="Arial Narrow" w:hAnsi="Arial" w:cs="Arial"/>
                <w:sz w:val="20"/>
                <w:szCs w:val="20"/>
              </w:rPr>
              <w:t>Autoridades Regionales Forestales y de Fauna Silvestre con alto grado de satisfacción sobre las capacitaciones recibidas en aspectos técnicos y administrativos</w:t>
            </w:r>
          </w:p>
        </w:tc>
      </w:tr>
    </w:tbl>
    <w:p w14:paraId="65090C53" w14:textId="748EB8D0" w:rsidR="00603F80" w:rsidRPr="008A26D2" w:rsidRDefault="00603F80">
      <w:pPr>
        <w:rPr>
          <w:rFonts w:ascii="Arial Narrow" w:eastAsia="Arial Narrow" w:hAnsi="Arial Narrow" w:cs="Arial Narrow"/>
          <w:b/>
        </w:rPr>
      </w:pPr>
    </w:p>
    <w:p w14:paraId="2254F96D" w14:textId="692157E3" w:rsidR="0054612C" w:rsidRDefault="0054612C">
      <w:pPr>
        <w:rPr>
          <w:rFonts w:ascii="Arial Narrow" w:eastAsia="Arial Narrow" w:hAnsi="Arial Narrow" w:cs="Arial Narrow"/>
          <w:b/>
        </w:rPr>
      </w:pPr>
    </w:p>
    <w:p w14:paraId="10D49BDB" w14:textId="77777777" w:rsidR="00846D49" w:rsidRDefault="00846D49">
      <w:pPr>
        <w:rPr>
          <w:rFonts w:ascii="Arial Narrow" w:eastAsia="Arial Narrow" w:hAnsi="Arial Narrow" w:cs="Arial Narrow"/>
          <w:b/>
        </w:rPr>
      </w:pPr>
    </w:p>
    <w:p w14:paraId="10785A83" w14:textId="77777777" w:rsidR="00846D49" w:rsidRDefault="00846D49">
      <w:pPr>
        <w:rPr>
          <w:rFonts w:ascii="Arial Narrow" w:eastAsia="Arial Narrow" w:hAnsi="Arial Narrow" w:cs="Arial Narrow"/>
          <w:b/>
        </w:rPr>
      </w:pPr>
    </w:p>
    <w:p w14:paraId="3173E7D0" w14:textId="77777777" w:rsidR="00846D49" w:rsidRPr="008A26D2" w:rsidRDefault="00846D49">
      <w:pPr>
        <w:rPr>
          <w:rFonts w:ascii="Arial Narrow" w:eastAsia="Arial Narrow" w:hAnsi="Arial Narrow" w:cs="Arial Narrow"/>
          <w:b/>
        </w:rPr>
      </w:pPr>
    </w:p>
    <w:p w14:paraId="3FA600B9" w14:textId="09808E4D" w:rsidR="0054612C" w:rsidRPr="008A26D2" w:rsidRDefault="0054612C">
      <w:pPr>
        <w:rPr>
          <w:rFonts w:ascii="Arial" w:eastAsia="Arial Narrow" w:hAnsi="Arial" w:cs="Arial"/>
        </w:rPr>
      </w:pPr>
      <w:r w:rsidRPr="008A26D2">
        <w:rPr>
          <w:rFonts w:ascii="Arial" w:eastAsia="Arial Narrow" w:hAnsi="Arial" w:cs="Arial"/>
          <w:b/>
          <w:bCs/>
        </w:rPr>
        <w:lastRenderedPageBreak/>
        <w:t>S.3.4.2.</w:t>
      </w:r>
      <w:r w:rsidRPr="008A26D2">
        <w:rPr>
          <w:rFonts w:ascii="Arial" w:eastAsia="Arial Narrow" w:hAnsi="Arial" w:cs="Arial"/>
        </w:rPr>
        <w:t xml:space="preserve">  Asistencia técnica en gobernanza forestal y de fauna silvestre con pertinencia cultural </w:t>
      </w:r>
      <w:r w:rsidR="00517301" w:rsidRPr="008A26D2">
        <w:rPr>
          <w:rFonts w:ascii="Arial" w:eastAsia="Arial Narrow" w:hAnsi="Arial" w:cs="Arial"/>
        </w:rPr>
        <w:t>para</w:t>
      </w:r>
      <w:r w:rsidRPr="008A26D2">
        <w:rPr>
          <w:rFonts w:ascii="Arial" w:eastAsia="Arial Narrow" w:hAnsi="Arial" w:cs="Arial"/>
        </w:rPr>
        <w:t xml:space="preserve"> pueblos indígenas u originarios</w:t>
      </w:r>
    </w:p>
    <w:tbl>
      <w:tblPr>
        <w:tblW w:w="8347" w:type="dxa"/>
        <w:jc w:val="center"/>
        <w:tblCellMar>
          <w:left w:w="70" w:type="dxa"/>
          <w:right w:w="70" w:type="dxa"/>
        </w:tblCellMar>
        <w:tblLook w:val="04A0" w:firstRow="1" w:lastRow="0" w:firstColumn="1" w:lastColumn="0" w:noHBand="0" w:noVBand="1"/>
      </w:tblPr>
      <w:tblGrid>
        <w:gridCol w:w="1980"/>
        <w:gridCol w:w="1980"/>
        <w:gridCol w:w="2193"/>
        <w:gridCol w:w="2194"/>
      </w:tblGrid>
      <w:tr w:rsidR="008A26D2" w:rsidRPr="008A26D2" w14:paraId="3E824BC5" w14:textId="77777777" w:rsidTr="0072651A">
        <w:trPr>
          <w:trHeight w:val="141"/>
          <w:jc w:val="center"/>
        </w:trPr>
        <w:tc>
          <w:tcPr>
            <w:tcW w:w="8347"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00442C6" w14:textId="30C8E235" w:rsidR="0054612C" w:rsidRPr="008A26D2" w:rsidRDefault="0054612C" w:rsidP="0072651A">
            <w:pPr>
              <w:jc w:val="center"/>
              <w:rPr>
                <w:rFonts w:ascii="Arial" w:eastAsia="Times New Roman" w:hAnsi="Arial" w:cs="Arial"/>
                <w:b/>
                <w:bCs/>
                <w:sz w:val="20"/>
                <w:szCs w:val="20"/>
              </w:rPr>
            </w:pPr>
            <w:r w:rsidRPr="008A26D2">
              <w:rPr>
                <w:rFonts w:ascii="Arial" w:eastAsia="Times New Roman" w:hAnsi="Arial" w:cs="Arial"/>
                <w:b/>
                <w:bCs/>
                <w:sz w:val="20"/>
                <w:szCs w:val="20"/>
                <w:shd w:val="clear" w:color="auto" w:fill="D9D9D9" w:themeFill="background1" w:themeFillShade="D9"/>
              </w:rPr>
              <w:t xml:space="preserve">FICHA DEL SERVICIO </w:t>
            </w:r>
          </w:p>
        </w:tc>
      </w:tr>
      <w:tr w:rsidR="008A26D2" w:rsidRPr="008A26D2" w14:paraId="1F1CFDCE" w14:textId="77777777" w:rsidTr="00DC5551">
        <w:trPr>
          <w:trHeight w:val="549"/>
          <w:jc w:val="center"/>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27A193FE" w14:textId="77777777" w:rsidR="0054612C" w:rsidRPr="008A26D2" w:rsidRDefault="0054612C" w:rsidP="0072651A">
            <w:pPr>
              <w:tabs>
                <w:tab w:val="left" w:pos="3375"/>
              </w:tabs>
              <w:rPr>
                <w:rFonts w:ascii="Arial" w:eastAsia="Arial Narrow" w:hAnsi="Arial" w:cs="Arial"/>
                <w:b/>
                <w:sz w:val="20"/>
                <w:szCs w:val="20"/>
              </w:rPr>
            </w:pPr>
            <w:r w:rsidRPr="008A26D2">
              <w:rPr>
                <w:rFonts w:ascii="Arial" w:eastAsia="Arial Narrow" w:hAnsi="Arial" w:cs="Arial"/>
                <w:b/>
                <w:sz w:val="20"/>
                <w:szCs w:val="20"/>
              </w:rPr>
              <w:t>Objetivo prioritario:</w:t>
            </w:r>
          </w:p>
        </w:tc>
        <w:tc>
          <w:tcPr>
            <w:tcW w:w="636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CB74D4A" w14:textId="4D4A1381" w:rsidR="0054612C" w:rsidRPr="008A26D2" w:rsidRDefault="0054612C" w:rsidP="0072651A">
            <w:pPr>
              <w:tabs>
                <w:tab w:val="left" w:pos="3375"/>
              </w:tabs>
              <w:jc w:val="both"/>
              <w:rPr>
                <w:rFonts w:ascii="Arial" w:eastAsia="Arial Narrow" w:hAnsi="Arial" w:cs="Arial"/>
                <w:sz w:val="20"/>
                <w:szCs w:val="20"/>
              </w:rPr>
            </w:pPr>
            <w:r w:rsidRPr="008A26D2">
              <w:rPr>
                <w:rFonts w:ascii="Arial" w:eastAsia="Arial Narrow" w:hAnsi="Arial" w:cs="Arial"/>
                <w:sz w:val="20"/>
                <w:szCs w:val="20"/>
              </w:rPr>
              <w:t xml:space="preserve">OP3. Fortalecer la gobernanza forestal y de fauna silvestre. </w:t>
            </w:r>
          </w:p>
        </w:tc>
      </w:tr>
      <w:tr w:rsidR="008A26D2" w:rsidRPr="008A26D2" w14:paraId="39FBB472" w14:textId="77777777" w:rsidTr="00DC5551">
        <w:trPr>
          <w:trHeight w:val="627"/>
          <w:jc w:val="center"/>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36418D4C" w14:textId="77777777" w:rsidR="0054612C" w:rsidRPr="008A26D2" w:rsidRDefault="0054612C" w:rsidP="0072651A">
            <w:pPr>
              <w:tabs>
                <w:tab w:val="left" w:pos="3375"/>
              </w:tabs>
              <w:rPr>
                <w:rFonts w:ascii="Arial" w:eastAsia="Arial Narrow" w:hAnsi="Arial" w:cs="Arial"/>
                <w:b/>
                <w:sz w:val="20"/>
                <w:szCs w:val="20"/>
              </w:rPr>
            </w:pPr>
            <w:r w:rsidRPr="008A26D2">
              <w:rPr>
                <w:rFonts w:ascii="Arial" w:eastAsia="Arial Narrow" w:hAnsi="Arial" w:cs="Arial"/>
                <w:b/>
                <w:sz w:val="20"/>
                <w:szCs w:val="20"/>
              </w:rPr>
              <w:t>Lineamiento:</w:t>
            </w:r>
          </w:p>
        </w:tc>
        <w:tc>
          <w:tcPr>
            <w:tcW w:w="636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BD65EB3" w14:textId="77777777" w:rsidR="0054612C" w:rsidRPr="008A26D2" w:rsidRDefault="0054612C" w:rsidP="0072651A">
            <w:pPr>
              <w:tabs>
                <w:tab w:val="left" w:pos="3375"/>
              </w:tabs>
              <w:jc w:val="both"/>
              <w:rPr>
                <w:rFonts w:ascii="Arial" w:eastAsia="Arial Narrow" w:hAnsi="Arial" w:cs="Arial"/>
                <w:sz w:val="20"/>
                <w:szCs w:val="20"/>
              </w:rPr>
            </w:pPr>
            <w:r w:rsidRPr="008A26D2">
              <w:rPr>
                <w:rFonts w:ascii="Arial" w:eastAsia="Arial Narrow" w:hAnsi="Arial" w:cs="Arial"/>
                <w:sz w:val="20"/>
                <w:szCs w:val="20"/>
              </w:rPr>
              <w:t>L.3.4.  Desarrollar programas orientados a consolidar la institucionalidad y la articulación en los tres niveles de gobierno en el ámbito forestal y de fauna silvestre</w:t>
            </w:r>
          </w:p>
        </w:tc>
      </w:tr>
      <w:tr w:rsidR="008A26D2" w:rsidRPr="008A26D2" w14:paraId="2EC8979D" w14:textId="77777777" w:rsidTr="00DC5551">
        <w:trPr>
          <w:trHeight w:val="609"/>
          <w:jc w:val="center"/>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084654D5" w14:textId="77777777" w:rsidR="0054612C" w:rsidRPr="008A26D2" w:rsidRDefault="0054612C" w:rsidP="0072651A">
            <w:pPr>
              <w:tabs>
                <w:tab w:val="left" w:pos="3375"/>
              </w:tabs>
              <w:rPr>
                <w:rFonts w:ascii="Arial" w:eastAsia="Arial Narrow" w:hAnsi="Arial" w:cs="Arial"/>
                <w:b/>
                <w:sz w:val="20"/>
                <w:szCs w:val="20"/>
              </w:rPr>
            </w:pPr>
            <w:r w:rsidRPr="008A26D2">
              <w:rPr>
                <w:rFonts w:ascii="Arial" w:eastAsia="Arial Narrow" w:hAnsi="Arial" w:cs="Arial"/>
                <w:b/>
                <w:sz w:val="20"/>
                <w:szCs w:val="20"/>
              </w:rPr>
              <w:t>Nombre del servicio:</w:t>
            </w:r>
          </w:p>
        </w:tc>
        <w:tc>
          <w:tcPr>
            <w:tcW w:w="636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D311393" w14:textId="0A36E0C1" w:rsidR="0054612C" w:rsidRPr="008A26D2" w:rsidRDefault="0054612C" w:rsidP="0072651A">
            <w:pPr>
              <w:tabs>
                <w:tab w:val="left" w:pos="3375"/>
              </w:tabs>
              <w:jc w:val="both"/>
              <w:rPr>
                <w:rFonts w:ascii="Arial" w:eastAsia="Arial Narrow" w:hAnsi="Arial" w:cs="Arial"/>
                <w:sz w:val="20"/>
                <w:szCs w:val="20"/>
              </w:rPr>
            </w:pPr>
            <w:r w:rsidRPr="008A26D2">
              <w:rPr>
                <w:rFonts w:ascii="Arial" w:eastAsia="Arial Narrow" w:hAnsi="Arial" w:cs="Arial"/>
                <w:sz w:val="20"/>
                <w:szCs w:val="20"/>
              </w:rPr>
              <w:t xml:space="preserve">S.3.4.2.  Asistencia técnica en gobernanza forestal y de fauna silvestre con pertinencia cultural </w:t>
            </w:r>
            <w:r w:rsidR="00517301" w:rsidRPr="008A26D2">
              <w:rPr>
                <w:rFonts w:ascii="Arial" w:eastAsia="Arial Narrow" w:hAnsi="Arial" w:cs="Arial"/>
                <w:sz w:val="20"/>
                <w:szCs w:val="20"/>
              </w:rPr>
              <w:t>para</w:t>
            </w:r>
            <w:r w:rsidRPr="008A26D2">
              <w:rPr>
                <w:rFonts w:ascii="Arial" w:eastAsia="Arial Narrow" w:hAnsi="Arial" w:cs="Arial"/>
                <w:sz w:val="20"/>
                <w:szCs w:val="20"/>
              </w:rPr>
              <w:t xml:space="preserve"> pueblos indígenas u originarios</w:t>
            </w:r>
          </w:p>
        </w:tc>
      </w:tr>
      <w:tr w:rsidR="008A26D2" w:rsidRPr="008A26D2" w14:paraId="332C4137" w14:textId="77777777" w:rsidTr="00DC5551">
        <w:trPr>
          <w:trHeight w:val="357"/>
          <w:jc w:val="center"/>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06D3820" w14:textId="77777777" w:rsidR="0054612C" w:rsidRPr="008A26D2" w:rsidRDefault="0054612C" w:rsidP="0072651A">
            <w:pPr>
              <w:tabs>
                <w:tab w:val="left" w:pos="3375"/>
              </w:tabs>
              <w:rPr>
                <w:rFonts w:ascii="Arial" w:eastAsia="Arial Narrow" w:hAnsi="Arial" w:cs="Arial"/>
                <w:b/>
                <w:sz w:val="20"/>
                <w:szCs w:val="20"/>
              </w:rPr>
            </w:pPr>
            <w:r w:rsidRPr="008A26D2">
              <w:rPr>
                <w:rFonts w:ascii="Arial" w:eastAsia="Arial Narrow" w:hAnsi="Arial" w:cs="Arial"/>
                <w:b/>
                <w:sz w:val="20"/>
                <w:szCs w:val="20"/>
              </w:rPr>
              <w:t>Tipo de servicio:</w:t>
            </w:r>
          </w:p>
        </w:tc>
        <w:tc>
          <w:tcPr>
            <w:tcW w:w="6367" w:type="dxa"/>
            <w:gridSpan w:val="3"/>
            <w:tcBorders>
              <w:top w:val="single" w:sz="4" w:space="0" w:color="auto"/>
              <w:left w:val="single" w:sz="4" w:space="0" w:color="auto"/>
              <w:bottom w:val="single" w:sz="4" w:space="0" w:color="auto"/>
              <w:right w:val="single" w:sz="4" w:space="0" w:color="auto"/>
            </w:tcBorders>
            <w:shd w:val="clear" w:color="auto" w:fill="auto"/>
          </w:tcPr>
          <w:p w14:paraId="590F1883" w14:textId="77777777" w:rsidR="0054612C" w:rsidRPr="008A26D2" w:rsidRDefault="0054612C" w:rsidP="0072651A">
            <w:pPr>
              <w:tabs>
                <w:tab w:val="left" w:pos="3375"/>
              </w:tabs>
              <w:jc w:val="both"/>
              <w:rPr>
                <w:rFonts w:ascii="Arial" w:eastAsia="Arial Narrow" w:hAnsi="Arial" w:cs="Arial"/>
                <w:sz w:val="20"/>
                <w:szCs w:val="20"/>
              </w:rPr>
            </w:pPr>
            <w:r w:rsidRPr="008A26D2">
              <w:rPr>
                <w:rFonts w:ascii="Arial" w:eastAsia="Arial Narrow" w:hAnsi="Arial" w:cs="Arial"/>
                <w:sz w:val="20"/>
                <w:szCs w:val="20"/>
              </w:rPr>
              <w:t>Nuevo</w:t>
            </w:r>
          </w:p>
        </w:tc>
      </w:tr>
      <w:tr w:rsidR="008A26D2" w:rsidRPr="008A26D2" w14:paraId="63158625" w14:textId="77777777" w:rsidTr="00DC5551">
        <w:trPr>
          <w:trHeight w:val="357"/>
          <w:jc w:val="center"/>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407388A4" w14:textId="497431AB" w:rsidR="00C03553" w:rsidRPr="008A26D2" w:rsidRDefault="00C03553" w:rsidP="00C03553">
            <w:pPr>
              <w:tabs>
                <w:tab w:val="left" w:pos="3375"/>
              </w:tabs>
              <w:rPr>
                <w:rFonts w:ascii="Arial" w:eastAsia="Arial Narrow" w:hAnsi="Arial" w:cs="Arial"/>
                <w:b/>
                <w:sz w:val="20"/>
                <w:szCs w:val="20"/>
              </w:rPr>
            </w:pPr>
            <w:r w:rsidRPr="008A26D2">
              <w:rPr>
                <w:rFonts w:ascii="Arial" w:hAnsi="Arial" w:cs="Arial"/>
                <w:b/>
                <w:sz w:val="20"/>
                <w:szCs w:val="20"/>
              </w:rPr>
              <w:t>Naturaleza del servicio:</w:t>
            </w:r>
          </w:p>
        </w:tc>
        <w:tc>
          <w:tcPr>
            <w:tcW w:w="636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B4DCF46" w14:textId="6A95DDD3" w:rsidR="00C03553" w:rsidRPr="008A26D2" w:rsidRDefault="00B13293" w:rsidP="00C03553">
            <w:pPr>
              <w:tabs>
                <w:tab w:val="left" w:pos="3375"/>
              </w:tabs>
              <w:jc w:val="both"/>
              <w:rPr>
                <w:rFonts w:ascii="Arial" w:eastAsia="Arial Narrow" w:hAnsi="Arial" w:cs="Arial"/>
                <w:sz w:val="20"/>
                <w:szCs w:val="20"/>
              </w:rPr>
            </w:pPr>
            <w:r w:rsidRPr="008A26D2">
              <w:rPr>
                <w:rFonts w:ascii="Arial" w:eastAsia="Arial Narrow" w:hAnsi="Arial" w:cs="Arial"/>
                <w:sz w:val="20"/>
                <w:szCs w:val="20"/>
              </w:rPr>
              <w:t>P</w:t>
            </w:r>
            <w:r w:rsidR="00C03553" w:rsidRPr="008A26D2">
              <w:rPr>
                <w:rFonts w:ascii="Arial" w:eastAsia="Arial Narrow" w:hAnsi="Arial" w:cs="Arial"/>
                <w:sz w:val="20"/>
                <w:szCs w:val="20"/>
              </w:rPr>
              <w:t>restacional</w:t>
            </w:r>
          </w:p>
        </w:tc>
      </w:tr>
      <w:tr w:rsidR="008A26D2" w:rsidRPr="008A26D2" w14:paraId="507878CC" w14:textId="77777777" w:rsidTr="00DC5551">
        <w:trPr>
          <w:trHeight w:val="357"/>
          <w:jc w:val="center"/>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7004C543" w14:textId="3207975A" w:rsidR="00C03553" w:rsidRPr="008A26D2" w:rsidRDefault="00C03553" w:rsidP="00C03553">
            <w:pPr>
              <w:tabs>
                <w:tab w:val="left" w:pos="3375"/>
              </w:tabs>
              <w:rPr>
                <w:rFonts w:ascii="Arial" w:eastAsia="Arial Narrow" w:hAnsi="Arial" w:cs="Arial"/>
                <w:b/>
                <w:sz w:val="20"/>
                <w:szCs w:val="20"/>
              </w:rPr>
            </w:pPr>
            <w:r w:rsidRPr="008A26D2">
              <w:rPr>
                <w:rFonts w:ascii="Arial" w:hAnsi="Arial" w:cs="Arial"/>
                <w:b/>
                <w:sz w:val="20"/>
                <w:szCs w:val="20"/>
              </w:rPr>
              <w:t>Entrega del servicio</w:t>
            </w:r>
          </w:p>
        </w:tc>
        <w:tc>
          <w:tcPr>
            <w:tcW w:w="636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2109032" w14:textId="3889C60E" w:rsidR="00C03553" w:rsidRPr="008A26D2" w:rsidRDefault="00C03553" w:rsidP="00C03553">
            <w:pPr>
              <w:tabs>
                <w:tab w:val="left" w:pos="3375"/>
              </w:tabs>
              <w:jc w:val="both"/>
              <w:rPr>
                <w:rFonts w:ascii="Arial" w:eastAsia="Arial Narrow" w:hAnsi="Arial" w:cs="Arial"/>
                <w:sz w:val="20"/>
                <w:szCs w:val="20"/>
              </w:rPr>
            </w:pPr>
            <w:r w:rsidRPr="008A26D2">
              <w:rPr>
                <w:rFonts w:ascii="Arial" w:eastAsia="Arial Narrow" w:hAnsi="Arial" w:cs="Arial"/>
                <w:sz w:val="20"/>
                <w:szCs w:val="20"/>
              </w:rPr>
              <w:t xml:space="preserve">Competencia exclusiva </w:t>
            </w:r>
          </w:p>
        </w:tc>
      </w:tr>
      <w:tr w:rsidR="008A26D2" w:rsidRPr="008A26D2" w14:paraId="78B3A147" w14:textId="77777777" w:rsidTr="00DC5551">
        <w:trPr>
          <w:trHeight w:val="6519"/>
          <w:jc w:val="center"/>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43CEBCD6" w14:textId="77777777" w:rsidR="00C03553" w:rsidRPr="008A26D2" w:rsidRDefault="00C03553" w:rsidP="00C03553">
            <w:pPr>
              <w:tabs>
                <w:tab w:val="left" w:pos="3375"/>
              </w:tabs>
              <w:rPr>
                <w:rFonts w:ascii="Arial" w:eastAsia="Arial Narrow" w:hAnsi="Arial" w:cs="Arial"/>
                <w:b/>
                <w:sz w:val="20"/>
                <w:szCs w:val="20"/>
              </w:rPr>
            </w:pPr>
            <w:r w:rsidRPr="008A26D2">
              <w:rPr>
                <w:rFonts w:ascii="Arial" w:eastAsia="Arial Narrow" w:hAnsi="Arial" w:cs="Arial"/>
                <w:b/>
                <w:sz w:val="20"/>
                <w:szCs w:val="20"/>
              </w:rPr>
              <w:t>Descripción del servicio:</w:t>
            </w:r>
          </w:p>
        </w:tc>
        <w:tc>
          <w:tcPr>
            <w:tcW w:w="6367" w:type="dxa"/>
            <w:gridSpan w:val="3"/>
            <w:tcBorders>
              <w:top w:val="single" w:sz="4" w:space="0" w:color="auto"/>
              <w:left w:val="single" w:sz="4" w:space="0" w:color="auto"/>
              <w:bottom w:val="single" w:sz="4" w:space="0" w:color="auto"/>
              <w:right w:val="single" w:sz="4" w:space="0" w:color="auto"/>
            </w:tcBorders>
            <w:shd w:val="clear" w:color="auto" w:fill="auto"/>
          </w:tcPr>
          <w:p w14:paraId="6D2F401F" w14:textId="77777777" w:rsidR="00C03553" w:rsidRPr="00846D49" w:rsidRDefault="00C03553" w:rsidP="00C03553">
            <w:pPr>
              <w:tabs>
                <w:tab w:val="left" w:pos="3375"/>
              </w:tabs>
              <w:spacing w:after="0" w:line="240" w:lineRule="auto"/>
              <w:jc w:val="both"/>
              <w:rPr>
                <w:rFonts w:ascii="Arial" w:eastAsia="Arial Narrow" w:hAnsi="Arial" w:cs="Arial"/>
                <w:sz w:val="20"/>
                <w:szCs w:val="20"/>
              </w:rPr>
            </w:pPr>
            <w:r w:rsidRPr="00846D49">
              <w:rPr>
                <w:rFonts w:ascii="Arial" w:eastAsia="Arial Narrow" w:hAnsi="Arial" w:cs="Arial"/>
                <w:sz w:val="20"/>
                <w:szCs w:val="20"/>
              </w:rPr>
              <w:t>El servicio consiste en brindar asistencia técnica en gobernanza forestal y de fauna silvestre, mediante diferentes eventos (intercambios de experiencia, acompañamiento, talleres, pasantías, entre otros) y el uso de herramientas e instrumentos metodológicos de capacitaciones con enfoque intercultural e intergeneracional, teniendo en cuenta las diferencias culturales y los niveles de desarrollo económico, productivo y tecnológico de los participantes, contando para ello con materiales bilingües elaborados especialmente de acuerdo a las características socio culturales en cada región. La asistencia técnica incluye entre otros los temas siguientes: La participación, la organización, entre otros.</w:t>
            </w:r>
          </w:p>
          <w:p w14:paraId="48BBD20F" w14:textId="77777777" w:rsidR="00C03553" w:rsidRPr="00846D49" w:rsidRDefault="00C03553" w:rsidP="00C03553">
            <w:pPr>
              <w:tabs>
                <w:tab w:val="left" w:pos="3375"/>
              </w:tabs>
              <w:spacing w:after="0" w:line="240" w:lineRule="auto"/>
              <w:jc w:val="both"/>
              <w:rPr>
                <w:rFonts w:ascii="Arial" w:eastAsia="Arial Narrow" w:hAnsi="Arial" w:cs="Arial"/>
                <w:sz w:val="20"/>
                <w:szCs w:val="20"/>
              </w:rPr>
            </w:pPr>
          </w:p>
          <w:p w14:paraId="68765965" w14:textId="5EAF2438" w:rsidR="00C03553" w:rsidRPr="00846D49" w:rsidRDefault="00C03553" w:rsidP="00C03553">
            <w:pPr>
              <w:tabs>
                <w:tab w:val="left" w:pos="3375"/>
              </w:tabs>
              <w:spacing w:after="0" w:line="240" w:lineRule="auto"/>
              <w:jc w:val="both"/>
              <w:rPr>
                <w:rFonts w:ascii="Arial" w:eastAsia="Arial Narrow" w:hAnsi="Arial" w:cs="Arial"/>
                <w:sz w:val="20"/>
                <w:szCs w:val="20"/>
              </w:rPr>
            </w:pPr>
            <w:r w:rsidRPr="00846D49">
              <w:rPr>
                <w:rFonts w:ascii="Arial" w:eastAsia="Arial Narrow" w:hAnsi="Arial" w:cs="Arial"/>
                <w:sz w:val="20"/>
                <w:szCs w:val="20"/>
              </w:rPr>
              <w:t>El proceso de asistencia técnica permitirá promover y fortalecer los programas orientados a consolidar la institucionalidad y la articulación a nivel nacional, regional y local, asimismo, la implementación de la normatividad en gobernanza forestal en el territorio establecida en el Reglamento para la Gestión Forestal y de Fauna Silvestre en Comunidades Nativas y Comunidades Campesinas, aprobado mediante Decreto Supremo Nº</w:t>
            </w:r>
            <w:r w:rsidR="005009FA" w:rsidRPr="00846D49">
              <w:rPr>
                <w:rFonts w:ascii="Arial" w:eastAsia="Arial Narrow" w:hAnsi="Arial" w:cs="Arial"/>
                <w:sz w:val="20"/>
                <w:szCs w:val="20"/>
              </w:rPr>
              <w:t xml:space="preserve"> </w:t>
            </w:r>
            <w:r w:rsidRPr="00846D49">
              <w:rPr>
                <w:rFonts w:ascii="Arial" w:eastAsia="Arial Narrow" w:hAnsi="Arial" w:cs="Arial"/>
                <w:sz w:val="20"/>
                <w:szCs w:val="20"/>
              </w:rPr>
              <w:t xml:space="preserve">021-2015-MINAGRI, que incluye mecanismos organizativos locales, tales como los Comités de Gestión Forestal y de Fauna Silvestre </w:t>
            </w:r>
            <w:r w:rsidR="005009FA" w:rsidRPr="00846D49">
              <w:rPr>
                <w:rFonts w:ascii="Arial" w:eastAsia="Arial Narrow" w:hAnsi="Arial" w:cs="Arial"/>
                <w:sz w:val="20"/>
                <w:szCs w:val="20"/>
              </w:rPr>
              <w:t xml:space="preserve">- </w:t>
            </w:r>
            <w:r w:rsidRPr="00846D49">
              <w:rPr>
                <w:rFonts w:ascii="Arial" w:eastAsia="Arial Narrow" w:hAnsi="Arial" w:cs="Arial"/>
                <w:sz w:val="20"/>
                <w:szCs w:val="20"/>
              </w:rPr>
              <w:t xml:space="preserve">CGFFS, las Unidades Técnicas de Manejo Forestal Comunitario </w:t>
            </w:r>
            <w:r w:rsidR="005009FA" w:rsidRPr="00846D49">
              <w:rPr>
                <w:rFonts w:ascii="Arial" w:eastAsia="Arial Narrow" w:hAnsi="Arial" w:cs="Arial"/>
                <w:sz w:val="20"/>
                <w:szCs w:val="20"/>
              </w:rPr>
              <w:t xml:space="preserve">- </w:t>
            </w:r>
            <w:r w:rsidRPr="00846D49">
              <w:rPr>
                <w:rFonts w:ascii="Arial" w:eastAsia="Arial Narrow" w:hAnsi="Arial" w:cs="Arial"/>
                <w:sz w:val="20"/>
                <w:szCs w:val="20"/>
              </w:rPr>
              <w:t xml:space="preserve">UTMFC y  los Comités de Vigilancia y Control Forestal Comunitario </w:t>
            </w:r>
            <w:r w:rsidR="005009FA" w:rsidRPr="00846D49">
              <w:rPr>
                <w:rFonts w:ascii="Arial" w:eastAsia="Arial Narrow" w:hAnsi="Arial" w:cs="Arial"/>
                <w:sz w:val="20"/>
                <w:szCs w:val="20"/>
              </w:rPr>
              <w:t xml:space="preserve">- </w:t>
            </w:r>
            <w:r w:rsidRPr="00846D49">
              <w:rPr>
                <w:rFonts w:ascii="Arial" w:eastAsia="Arial Narrow" w:hAnsi="Arial" w:cs="Arial"/>
                <w:sz w:val="20"/>
                <w:szCs w:val="20"/>
              </w:rPr>
              <w:t>CVCFC.</w:t>
            </w:r>
          </w:p>
          <w:p w14:paraId="1F5070A1" w14:textId="77777777" w:rsidR="00C03553" w:rsidRPr="00846D49" w:rsidRDefault="00C03553" w:rsidP="00C03553">
            <w:pPr>
              <w:tabs>
                <w:tab w:val="left" w:pos="3375"/>
              </w:tabs>
              <w:spacing w:after="0" w:line="240" w:lineRule="auto"/>
              <w:jc w:val="both"/>
              <w:rPr>
                <w:rFonts w:ascii="Arial" w:eastAsia="Arial Narrow" w:hAnsi="Arial" w:cs="Arial"/>
                <w:sz w:val="20"/>
                <w:szCs w:val="20"/>
              </w:rPr>
            </w:pPr>
          </w:p>
          <w:p w14:paraId="6BFD8A68" w14:textId="4FBB1002" w:rsidR="00C03553" w:rsidRPr="00846D49" w:rsidRDefault="00C03553" w:rsidP="00C03553">
            <w:pPr>
              <w:tabs>
                <w:tab w:val="left" w:pos="3375"/>
              </w:tabs>
              <w:spacing w:after="0" w:line="240" w:lineRule="auto"/>
              <w:jc w:val="both"/>
              <w:rPr>
                <w:rFonts w:ascii="Arial" w:eastAsia="Arial Narrow" w:hAnsi="Arial" w:cs="Arial"/>
                <w:sz w:val="20"/>
                <w:szCs w:val="20"/>
              </w:rPr>
            </w:pPr>
            <w:r w:rsidRPr="00846D49">
              <w:rPr>
                <w:rFonts w:ascii="Arial" w:eastAsia="Arial Narrow" w:hAnsi="Arial" w:cs="Arial"/>
                <w:sz w:val="20"/>
                <w:szCs w:val="20"/>
              </w:rPr>
              <w:t xml:space="preserve">El servicio es nuevo y responde a la necesidad de impulsar con un neto interés de mejorar la gobernanza forestal con un sustancial aporte del Estado con enfoque intercultural y el protagonismo de las comunidades nativas y campesinas para lograr una buena gestión de los recursos forestales y de fauna silvestre. </w:t>
            </w:r>
            <w:r w:rsidR="00290D98" w:rsidRPr="00846D49">
              <w:rPr>
                <w:rFonts w:ascii="Arial" w:eastAsia="Arial Narrow" w:hAnsi="Arial" w:cs="Arial"/>
                <w:sz w:val="20"/>
                <w:szCs w:val="20"/>
              </w:rPr>
              <w:t>Estas acciones serán conducidas por el SERFOR al haberse constituido la Unidad Funcional de Manejo Forestal Comunitario dentro de la entidad</w:t>
            </w:r>
          </w:p>
        </w:tc>
      </w:tr>
      <w:tr w:rsidR="008A26D2" w:rsidRPr="008A26D2" w14:paraId="26D0A5F5" w14:textId="77777777" w:rsidTr="00DC5551">
        <w:trPr>
          <w:trHeight w:val="453"/>
          <w:jc w:val="center"/>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1E3F1768" w14:textId="77777777" w:rsidR="00C03553" w:rsidRPr="008A26D2" w:rsidRDefault="00C03553" w:rsidP="00C03553">
            <w:pPr>
              <w:tabs>
                <w:tab w:val="left" w:pos="3375"/>
              </w:tabs>
              <w:rPr>
                <w:rFonts w:ascii="Arial" w:eastAsia="Arial Narrow" w:hAnsi="Arial" w:cs="Arial"/>
                <w:b/>
                <w:sz w:val="20"/>
                <w:szCs w:val="20"/>
              </w:rPr>
            </w:pPr>
            <w:r w:rsidRPr="008A26D2">
              <w:rPr>
                <w:rFonts w:ascii="Arial" w:eastAsia="Arial Narrow" w:hAnsi="Arial" w:cs="Arial"/>
                <w:b/>
                <w:sz w:val="20"/>
                <w:szCs w:val="20"/>
              </w:rPr>
              <w:t>Proveedor del servicio:</w:t>
            </w:r>
          </w:p>
        </w:tc>
        <w:tc>
          <w:tcPr>
            <w:tcW w:w="6367" w:type="dxa"/>
            <w:gridSpan w:val="3"/>
            <w:tcBorders>
              <w:top w:val="single" w:sz="4" w:space="0" w:color="auto"/>
              <w:left w:val="single" w:sz="4" w:space="0" w:color="auto"/>
              <w:bottom w:val="single" w:sz="4" w:space="0" w:color="auto"/>
              <w:right w:val="single" w:sz="4" w:space="0" w:color="auto"/>
            </w:tcBorders>
            <w:shd w:val="clear" w:color="auto" w:fill="auto"/>
            <w:noWrap/>
          </w:tcPr>
          <w:p w14:paraId="7571B8EF" w14:textId="77777777" w:rsidR="00C03553" w:rsidRPr="00846D49" w:rsidRDefault="00C03553" w:rsidP="00C03553">
            <w:pPr>
              <w:tabs>
                <w:tab w:val="left" w:pos="3375"/>
              </w:tabs>
              <w:spacing w:after="0" w:line="240" w:lineRule="auto"/>
              <w:jc w:val="both"/>
              <w:rPr>
                <w:rFonts w:ascii="Arial" w:eastAsia="Arial Narrow" w:hAnsi="Arial" w:cs="Arial"/>
                <w:sz w:val="20"/>
                <w:szCs w:val="20"/>
              </w:rPr>
            </w:pPr>
            <w:r w:rsidRPr="00846D49">
              <w:rPr>
                <w:rFonts w:ascii="Arial" w:eastAsia="Arial Narrow" w:hAnsi="Arial" w:cs="Arial"/>
                <w:sz w:val="20"/>
                <w:szCs w:val="20"/>
              </w:rPr>
              <w:t>Servicio Nacional Forestal y de Fauna Silvestre – SERFOR</w:t>
            </w:r>
          </w:p>
        </w:tc>
      </w:tr>
      <w:tr w:rsidR="008A26D2" w:rsidRPr="008A26D2" w14:paraId="50D9B963" w14:textId="77777777" w:rsidTr="00DC5551">
        <w:trPr>
          <w:trHeight w:val="571"/>
          <w:jc w:val="center"/>
        </w:trPr>
        <w:tc>
          <w:tcPr>
            <w:tcW w:w="1980" w:type="dxa"/>
            <w:vMerge w:val="restart"/>
            <w:tcBorders>
              <w:top w:val="single" w:sz="4" w:space="0" w:color="auto"/>
              <w:left w:val="single" w:sz="4" w:space="0" w:color="auto"/>
              <w:right w:val="single" w:sz="4" w:space="0" w:color="auto"/>
            </w:tcBorders>
            <w:shd w:val="clear" w:color="auto" w:fill="auto"/>
            <w:vAlign w:val="center"/>
          </w:tcPr>
          <w:p w14:paraId="4D7D00DD" w14:textId="77777777" w:rsidR="00C03553" w:rsidRPr="008A26D2" w:rsidRDefault="00C03553" w:rsidP="002469C9">
            <w:pPr>
              <w:spacing w:after="0" w:line="240" w:lineRule="auto"/>
              <w:rPr>
                <w:rFonts w:ascii="Arial" w:hAnsi="Arial" w:cs="Arial"/>
                <w:b/>
                <w:sz w:val="20"/>
                <w:szCs w:val="20"/>
              </w:rPr>
            </w:pPr>
            <w:r w:rsidRPr="008A26D2">
              <w:rPr>
                <w:rFonts w:ascii="Arial" w:hAnsi="Arial" w:cs="Arial"/>
                <w:b/>
                <w:sz w:val="20"/>
                <w:szCs w:val="20"/>
              </w:rPr>
              <w:t>Nivel (es) de gobierno que interviene</w:t>
            </w:r>
          </w:p>
          <w:p w14:paraId="4E0085E4" w14:textId="4F96EF48" w:rsidR="00C03553" w:rsidRPr="008A26D2" w:rsidRDefault="00C03553" w:rsidP="00C03553">
            <w:pPr>
              <w:tabs>
                <w:tab w:val="left" w:pos="3375"/>
              </w:tabs>
              <w:rPr>
                <w:rFonts w:ascii="Arial" w:eastAsia="Arial Narrow" w:hAnsi="Arial" w:cs="Arial"/>
                <w:b/>
                <w:sz w:val="20"/>
                <w:szCs w:val="20"/>
              </w:rPr>
            </w:pPr>
            <w:r w:rsidRPr="008A26D2">
              <w:rPr>
                <w:rFonts w:ascii="Arial" w:hAnsi="Arial" w:cs="Arial"/>
                <w:b/>
                <w:sz w:val="20"/>
                <w:szCs w:val="20"/>
              </w:rPr>
              <w:t>(n) en la provisión del servicio</w:t>
            </w:r>
          </w:p>
        </w:tc>
        <w:tc>
          <w:tcPr>
            <w:tcW w:w="1980" w:type="dxa"/>
            <w:tcBorders>
              <w:top w:val="single" w:sz="4" w:space="0" w:color="auto"/>
              <w:left w:val="single" w:sz="4" w:space="0" w:color="auto"/>
              <w:right w:val="single" w:sz="4" w:space="0" w:color="auto"/>
            </w:tcBorders>
            <w:shd w:val="clear" w:color="auto" w:fill="auto"/>
            <w:noWrap/>
            <w:vAlign w:val="center"/>
          </w:tcPr>
          <w:p w14:paraId="5F54D401" w14:textId="671A2151" w:rsidR="00C03553" w:rsidRPr="008A26D2" w:rsidRDefault="00C03553" w:rsidP="0025059A">
            <w:pPr>
              <w:tabs>
                <w:tab w:val="left" w:pos="3375"/>
              </w:tabs>
              <w:spacing w:after="0" w:line="240" w:lineRule="auto"/>
              <w:jc w:val="center"/>
              <w:rPr>
                <w:rFonts w:ascii="Arial" w:eastAsia="Arial Narrow" w:hAnsi="Arial" w:cs="Arial"/>
                <w:sz w:val="20"/>
                <w:szCs w:val="20"/>
              </w:rPr>
            </w:pPr>
            <w:r w:rsidRPr="008A26D2">
              <w:rPr>
                <w:rFonts w:ascii="Arial" w:eastAsia="Arial Narrow" w:hAnsi="Arial" w:cs="Arial"/>
                <w:sz w:val="20"/>
                <w:szCs w:val="20"/>
              </w:rPr>
              <w:t>Nacional</w:t>
            </w:r>
          </w:p>
        </w:tc>
        <w:tc>
          <w:tcPr>
            <w:tcW w:w="2193" w:type="dxa"/>
            <w:tcBorders>
              <w:top w:val="single" w:sz="4" w:space="0" w:color="auto"/>
              <w:left w:val="single" w:sz="4" w:space="0" w:color="auto"/>
              <w:right w:val="single" w:sz="4" w:space="0" w:color="auto"/>
            </w:tcBorders>
            <w:shd w:val="clear" w:color="auto" w:fill="auto"/>
            <w:vAlign w:val="center"/>
          </w:tcPr>
          <w:p w14:paraId="545617FC" w14:textId="707D1B01" w:rsidR="00C03553" w:rsidRPr="008A26D2" w:rsidRDefault="00C03553" w:rsidP="0025059A">
            <w:pPr>
              <w:tabs>
                <w:tab w:val="left" w:pos="3375"/>
              </w:tabs>
              <w:spacing w:after="0" w:line="240" w:lineRule="auto"/>
              <w:jc w:val="center"/>
              <w:rPr>
                <w:rFonts w:ascii="Arial" w:eastAsia="Arial Narrow" w:hAnsi="Arial" w:cs="Arial"/>
                <w:sz w:val="20"/>
                <w:szCs w:val="20"/>
              </w:rPr>
            </w:pPr>
            <w:r w:rsidRPr="008A26D2">
              <w:rPr>
                <w:rFonts w:ascii="Arial" w:eastAsia="Arial Narrow" w:hAnsi="Arial" w:cs="Arial"/>
                <w:sz w:val="20"/>
                <w:szCs w:val="20"/>
              </w:rPr>
              <w:t>Regional</w:t>
            </w:r>
          </w:p>
        </w:tc>
        <w:tc>
          <w:tcPr>
            <w:tcW w:w="2194" w:type="dxa"/>
            <w:tcBorders>
              <w:top w:val="single" w:sz="4" w:space="0" w:color="auto"/>
              <w:left w:val="single" w:sz="4" w:space="0" w:color="auto"/>
              <w:right w:val="single" w:sz="4" w:space="0" w:color="auto"/>
            </w:tcBorders>
            <w:shd w:val="clear" w:color="auto" w:fill="auto"/>
            <w:vAlign w:val="center"/>
          </w:tcPr>
          <w:p w14:paraId="051D51DA" w14:textId="0A81FBDD" w:rsidR="00C03553" w:rsidRPr="00846D49" w:rsidRDefault="00C03553" w:rsidP="0025059A">
            <w:pPr>
              <w:tabs>
                <w:tab w:val="left" w:pos="3375"/>
              </w:tabs>
              <w:spacing w:after="0" w:line="240" w:lineRule="auto"/>
              <w:jc w:val="center"/>
              <w:rPr>
                <w:rFonts w:ascii="Arial" w:eastAsia="Arial Narrow" w:hAnsi="Arial" w:cs="Arial"/>
                <w:sz w:val="20"/>
                <w:szCs w:val="20"/>
              </w:rPr>
            </w:pPr>
            <w:r w:rsidRPr="00846D49">
              <w:rPr>
                <w:rFonts w:ascii="Arial" w:eastAsia="Arial Narrow" w:hAnsi="Arial" w:cs="Arial"/>
                <w:sz w:val="20"/>
                <w:szCs w:val="20"/>
              </w:rPr>
              <w:t>Local</w:t>
            </w:r>
          </w:p>
        </w:tc>
      </w:tr>
      <w:tr w:rsidR="008A26D2" w:rsidRPr="008A26D2" w14:paraId="0200BC1A" w14:textId="77777777" w:rsidTr="00DC5551">
        <w:trPr>
          <w:trHeight w:val="795"/>
          <w:jc w:val="center"/>
        </w:trPr>
        <w:tc>
          <w:tcPr>
            <w:tcW w:w="1980" w:type="dxa"/>
            <w:vMerge/>
            <w:tcBorders>
              <w:left w:val="single" w:sz="4" w:space="0" w:color="auto"/>
              <w:right w:val="single" w:sz="4" w:space="0" w:color="auto"/>
            </w:tcBorders>
            <w:shd w:val="clear" w:color="auto" w:fill="auto"/>
            <w:vAlign w:val="center"/>
          </w:tcPr>
          <w:p w14:paraId="125FA1B4" w14:textId="77777777" w:rsidR="00C03553" w:rsidRPr="008A26D2" w:rsidRDefault="00C03553" w:rsidP="00C03553">
            <w:pPr>
              <w:spacing w:after="0" w:line="240" w:lineRule="auto"/>
              <w:rPr>
                <w:rFonts w:ascii="Arial" w:hAnsi="Arial" w:cs="Arial"/>
                <w:b/>
                <w:sz w:val="20"/>
                <w:szCs w:val="20"/>
              </w:rPr>
            </w:pPr>
          </w:p>
        </w:tc>
        <w:tc>
          <w:tcPr>
            <w:tcW w:w="1980" w:type="dxa"/>
            <w:tcBorders>
              <w:top w:val="single" w:sz="4" w:space="0" w:color="auto"/>
              <w:left w:val="single" w:sz="4" w:space="0" w:color="auto"/>
              <w:right w:val="single" w:sz="4" w:space="0" w:color="auto"/>
            </w:tcBorders>
            <w:shd w:val="clear" w:color="auto" w:fill="auto"/>
            <w:noWrap/>
          </w:tcPr>
          <w:p w14:paraId="33FCF638" w14:textId="3BC66796" w:rsidR="00C03553" w:rsidRPr="008A26D2" w:rsidRDefault="00B13293" w:rsidP="0025059A">
            <w:pPr>
              <w:tabs>
                <w:tab w:val="left" w:pos="3375"/>
              </w:tabs>
              <w:spacing w:after="0" w:line="240" w:lineRule="auto"/>
              <w:jc w:val="center"/>
              <w:rPr>
                <w:rFonts w:ascii="Arial" w:eastAsia="Arial Narrow" w:hAnsi="Arial" w:cs="Arial"/>
                <w:sz w:val="20"/>
                <w:szCs w:val="20"/>
              </w:rPr>
            </w:pPr>
            <w:r w:rsidRPr="008A26D2">
              <w:rPr>
                <w:rFonts w:ascii="Arial" w:eastAsia="Arial Narrow" w:hAnsi="Arial" w:cs="Arial"/>
                <w:sz w:val="20"/>
                <w:szCs w:val="20"/>
              </w:rPr>
              <w:t>X</w:t>
            </w:r>
          </w:p>
        </w:tc>
        <w:tc>
          <w:tcPr>
            <w:tcW w:w="2193" w:type="dxa"/>
            <w:tcBorders>
              <w:top w:val="single" w:sz="4" w:space="0" w:color="auto"/>
              <w:left w:val="single" w:sz="4" w:space="0" w:color="auto"/>
              <w:right w:val="single" w:sz="4" w:space="0" w:color="auto"/>
            </w:tcBorders>
            <w:shd w:val="clear" w:color="auto" w:fill="auto"/>
          </w:tcPr>
          <w:p w14:paraId="0A7E931F" w14:textId="77777777" w:rsidR="00C03553" w:rsidRPr="008A26D2" w:rsidRDefault="00C03553" w:rsidP="0025059A">
            <w:pPr>
              <w:tabs>
                <w:tab w:val="left" w:pos="3375"/>
              </w:tabs>
              <w:spacing w:after="0" w:line="240" w:lineRule="auto"/>
              <w:jc w:val="center"/>
              <w:rPr>
                <w:rFonts w:ascii="Arial" w:eastAsia="Arial Narrow" w:hAnsi="Arial" w:cs="Arial"/>
                <w:sz w:val="20"/>
                <w:szCs w:val="20"/>
              </w:rPr>
            </w:pPr>
          </w:p>
        </w:tc>
        <w:tc>
          <w:tcPr>
            <w:tcW w:w="2194" w:type="dxa"/>
            <w:tcBorders>
              <w:top w:val="single" w:sz="4" w:space="0" w:color="auto"/>
              <w:left w:val="single" w:sz="4" w:space="0" w:color="auto"/>
              <w:right w:val="single" w:sz="4" w:space="0" w:color="auto"/>
            </w:tcBorders>
            <w:shd w:val="clear" w:color="auto" w:fill="auto"/>
          </w:tcPr>
          <w:p w14:paraId="79CB296A" w14:textId="64949AA1" w:rsidR="00C03553" w:rsidRPr="008A26D2" w:rsidRDefault="00C03553" w:rsidP="0025059A">
            <w:pPr>
              <w:tabs>
                <w:tab w:val="left" w:pos="3375"/>
              </w:tabs>
              <w:spacing w:after="0" w:line="240" w:lineRule="auto"/>
              <w:jc w:val="center"/>
              <w:rPr>
                <w:rFonts w:ascii="Arial" w:eastAsia="Arial Narrow" w:hAnsi="Arial" w:cs="Arial"/>
                <w:sz w:val="20"/>
                <w:szCs w:val="20"/>
              </w:rPr>
            </w:pPr>
          </w:p>
        </w:tc>
      </w:tr>
      <w:tr w:rsidR="008A26D2" w:rsidRPr="008A26D2" w14:paraId="1666FC35" w14:textId="77777777" w:rsidTr="00DC5551">
        <w:trPr>
          <w:trHeight w:val="453"/>
          <w:jc w:val="center"/>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2D7B68AB" w14:textId="77777777" w:rsidR="00C03553" w:rsidRPr="008A26D2" w:rsidRDefault="00C03553" w:rsidP="00C03553">
            <w:pPr>
              <w:tabs>
                <w:tab w:val="left" w:pos="3375"/>
              </w:tabs>
              <w:rPr>
                <w:rFonts w:ascii="Arial" w:eastAsia="Arial Narrow" w:hAnsi="Arial" w:cs="Arial"/>
                <w:b/>
                <w:sz w:val="20"/>
                <w:szCs w:val="20"/>
              </w:rPr>
            </w:pPr>
            <w:r w:rsidRPr="008A26D2">
              <w:rPr>
                <w:rFonts w:ascii="Arial" w:eastAsia="Arial Narrow" w:hAnsi="Arial" w:cs="Arial"/>
                <w:b/>
                <w:sz w:val="20"/>
                <w:szCs w:val="20"/>
              </w:rPr>
              <w:t>Receptor del servicio:</w:t>
            </w:r>
          </w:p>
        </w:tc>
        <w:tc>
          <w:tcPr>
            <w:tcW w:w="6367" w:type="dxa"/>
            <w:gridSpan w:val="3"/>
            <w:tcBorders>
              <w:top w:val="single" w:sz="4" w:space="0" w:color="auto"/>
              <w:left w:val="single" w:sz="4" w:space="0" w:color="auto"/>
              <w:bottom w:val="single" w:sz="4" w:space="0" w:color="auto"/>
              <w:right w:val="single" w:sz="4" w:space="0" w:color="auto"/>
            </w:tcBorders>
            <w:shd w:val="clear" w:color="auto" w:fill="auto"/>
            <w:noWrap/>
          </w:tcPr>
          <w:p w14:paraId="726B3897" w14:textId="77777777" w:rsidR="00C03553" w:rsidRPr="008A26D2" w:rsidRDefault="00C03553" w:rsidP="00C03553">
            <w:pPr>
              <w:tabs>
                <w:tab w:val="left" w:pos="3375"/>
              </w:tabs>
              <w:jc w:val="both"/>
              <w:rPr>
                <w:rFonts w:ascii="Arial" w:eastAsia="Arial Narrow" w:hAnsi="Arial" w:cs="Arial"/>
                <w:sz w:val="20"/>
                <w:szCs w:val="20"/>
              </w:rPr>
            </w:pPr>
            <w:r w:rsidRPr="008A26D2">
              <w:rPr>
                <w:rFonts w:ascii="Arial" w:eastAsia="Arial Narrow" w:hAnsi="Arial" w:cs="Arial"/>
                <w:sz w:val="20"/>
                <w:szCs w:val="20"/>
              </w:rPr>
              <w:t>Pueblos indígenas u originarios</w:t>
            </w:r>
          </w:p>
        </w:tc>
      </w:tr>
      <w:tr w:rsidR="008A26D2" w:rsidRPr="008A26D2" w14:paraId="2CEC634D" w14:textId="77777777" w:rsidTr="00DC5551">
        <w:trPr>
          <w:trHeight w:val="532"/>
          <w:jc w:val="center"/>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07E640C5" w14:textId="77777777" w:rsidR="00C03553" w:rsidRPr="008A26D2" w:rsidRDefault="00C03553" w:rsidP="00C03553">
            <w:pPr>
              <w:tabs>
                <w:tab w:val="left" w:pos="3375"/>
              </w:tabs>
              <w:rPr>
                <w:rFonts w:ascii="Arial" w:eastAsia="Arial Narrow" w:hAnsi="Arial" w:cs="Arial"/>
                <w:b/>
                <w:sz w:val="20"/>
                <w:szCs w:val="20"/>
              </w:rPr>
            </w:pPr>
            <w:r w:rsidRPr="008A26D2">
              <w:rPr>
                <w:rFonts w:ascii="Arial" w:eastAsia="Arial Narrow" w:hAnsi="Arial" w:cs="Arial"/>
                <w:b/>
                <w:sz w:val="20"/>
                <w:szCs w:val="20"/>
              </w:rPr>
              <w:t>Alcance del servicio:</w:t>
            </w:r>
          </w:p>
        </w:tc>
        <w:tc>
          <w:tcPr>
            <w:tcW w:w="6367" w:type="dxa"/>
            <w:gridSpan w:val="3"/>
            <w:tcBorders>
              <w:top w:val="single" w:sz="4" w:space="0" w:color="auto"/>
              <w:left w:val="single" w:sz="4" w:space="0" w:color="auto"/>
              <w:bottom w:val="single" w:sz="4" w:space="0" w:color="auto"/>
              <w:right w:val="single" w:sz="4" w:space="0" w:color="auto"/>
            </w:tcBorders>
            <w:shd w:val="clear" w:color="auto" w:fill="auto"/>
          </w:tcPr>
          <w:p w14:paraId="274F6BEE" w14:textId="77777777" w:rsidR="00C03553" w:rsidRPr="008A26D2" w:rsidRDefault="00C03553" w:rsidP="00C03553">
            <w:pPr>
              <w:tabs>
                <w:tab w:val="left" w:pos="3375"/>
              </w:tabs>
              <w:rPr>
                <w:rFonts w:ascii="Arial" w:eastAsia="Arial Narrow" w:hAnsi="Arial" w:cs="Arial"/>
                <w:sz w:val="20"/>
                <w:szCs w:val="20"/>
              </w:rPr>
            </w:pPr>
            <w:r w:rsidRPr="008A26D2">
              <w:rPr>
                <w:rFonts w:ascii="Arial" w:eastAsia="Arial Narrow" w:hAnsi="Arial" w:cs="Arial"/>
                <w:sz w:val="20"/>
                <w:szCs w:val="20"/>
              </w:rPr>
              <w:t>Nacional</w:t>
            </w:r>
          </w:p>
        </w:tc>
      </w:tr>
      <w:tr w:rsidR="008A26D2" w:rsidRPr="008A26D2" w14:paraId="58D6541A" w14:textId="77777777" w:rsidTr="00DC5551">
        <w:trPr>
          <w:trHeight w:val="532"/>
          <w:jc w:val="center"/>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03AA52A6" w14:textId="77777777" w:rsidR="00C03553" w:rsidRPr="008A26D2" w:rsidRDefault="00C03553" w:rsidP="00C03553">
            <w:pPr>
              <w:tabs>
                <w:tab w:val="left" w:pos="3375"/>
              </w:tabs>
              <w:rPr>
                <w:rFonts w:ascii="Arial" w:eastAsia="Arial Narrow" w:hAnsi="Arial" w:cs="Arial"/>
                <w:b/>
                <w:sz w:val="20"/>
                <w:szCs w:val="20"/>
              </w:rPr>
            </w:pPr>
            <w:r w:rsidRPr="008A26D2">
              <w:rPr>
                <w:rFonts w:ascii="Arial" w:eastAsia="Arial Narrow" w:hAnsi="Arial" w:cs="Arial"/>
                <w:b/>
                <w:sz w:val="20"/>
                <w:szCs w:val="20"/>
              </w:rPr>
              <w:t>Estándares de cumplimiento:</w:t>
            </w:r>
          </w:p>
        </w:tc>
        <w:tc>
          <w:tcPr>
            <w:tcW w:w="6367" w:type="dxa"/>
            <w:gridSpan w:val="3"/>
            <w:tcBorders>
              <w:top w:val="single" w:sz="4" w:space="0" w:color="auto"/>
              <w:left w:val="single" w:sz="4" w:space="0" w:color="auto"/>
              <w:bottom w:val="single" w:sz="4" w:space="0" w:color="auto"/>
              <w:right w:val="single" w:sz="4" w:space="0" w:color="auto"/>
            </w:tcBorders>
            <w:shd w:val="clear" w:color="auto" w:fill="auto"/>
          </w:tcPr>
          <w:p w14:paraId="38315D55" w14:textId="77777777" w:rsidR="00C03553" w:rsidRPr="008A26D2" w:rsidRDefault="00C03553" w:rsidP="00C03553">
            <w:pPr>
              <w:tabs>
                <w:tab w:val="left" w:pos="3375"/>
              </w:tabs>
              <w:rPr>
                <w:rFonts w:ascii="Arial" w:eastAsia="Arial Narrow" w:hAnsi="Arial" w:cs="Arial"/>
                <w:sz w:val="20"/>
                <w:szCs w:val="20"/>
              </w:rPr>
            </w:pPr>
            <w:r w:rsidRPr="008A26D2">
              <w:rPr>
                <w:rFonts w:ascii="Arial" w:eastAsia="Arial Narrow" w:hAnsi="Arial" w:cs="Arial"/>
                <w:sz w:val="20"/>
                <w:szCs w:val="20"/>
              </w:rPr>
              <w:t>Pertinencia cultural</w:t>
            </w:r>
          </w:p>
        </w:tc>
      </w:tr>
      <w:tr w:rsidR="008A26D2" w:rsidRPr="008A26D2" w14:paraId="12984AC5" w14:textId="77777777" w:rsidTr="00DC5551">
        <w:trPr>
          <w:trHeight w:val="628"/>
          <w:jc w:val="center"/>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31655B90" w14:textId="77777777" w:rsidR="00C03553" w:rsidRPr="008A26D2" w:rsidRDefault="00C03553" w:rsidP="00C03553">
            <w:pPr>
              <w:tabs>
                <w:tab w:val="left" w:pos="3375"/>
              </w:tabs>
              <w:rPr>
                <w:rFonts w:ascii="Arial" w:eastAsia="Arial Narrow" w:hAnsi="Arial" w:cs="Arial"/>
                <w:b/>
                <w:sz w:val="20"/>
                <w:szCs w:val="20"/>
              </w:rPr>
            </w:pPr>
            <w:r w:rsidRPr="008A26D2">
              <w:rPr>
                <w:rFonts w:ascii="Arial" w:eastAsia="Arial Narrow" w:hAnsi="Arial" w:cs="Arial"/>
                <w:b/>
                <w:sz w:val="20"/>
                <w:szCs w:val="20"/>
              </w:rPr>
              <w:t>Descripción del estándar:</w:t>
            </w:r>
          </w:p>
        </w:tc>
        <w:tc>
          <w:tcPr>
            <w:tcW w:w="6367" w:type="dxa"/>
            <w:gridSpan w:val="3"/>
            <w:tcBorders>
              <w:top w:val="single" w:sz="4" w:space="0" w:color="auto"/>
              <w:left w:val="single" w:sz="4" w:space="0" w:color="auto"/>
              <w:bottom w:val="single" w:sz="4" w:space="0" w:color="auto"/>
              <w:right w:val="single" w:sz="4" w:space="0" w:color="auto"/>
            </w:tcBorders>
            <w:shd w:val="clear" w:color="auto" w:fill="auto"/>
          </w:tcPr>
          <w:p w14:paraId="18766F4B" w14:textId="77777777" w:rsidR="00C03553" w:rsidRPr="008A26D2" w:rsidRDefault="00C03553" w:rsidP="00C03553">
            <w:pPr>
              <w:pStyle w:val="pf0"/>
              <w:tabs>
                <w:tab w:val="left" w:pos="3375"/>
              </w:tabs>
              <w:spacing w:before="0" w:beforeAutospacing="0" w:after="160" w:afterAutospacing="0" w:line="259" w:lineRule="auto"/>
              <w:jc w:val="both"/>
              <w:rPr>
                <w:rFonts w:ascii="Arial" w:eastAsia="Arial Narrow" w:hAnsi="Arial" w:cs="Arial"/>
                <w:sz w:val="20"/>
                <w:szCs w:val="20"/>
              </w:rPr>
            </w:pPr>
            <w:r w:rsidRPr="008A26D2">
              <w:rPr>
                <w:rFonts w:ascii="Arial" w:eastAsia="Arial Narrow" w:hAnsi="Arial" w:cs="Arial"/>
                <w:sz w:val="20"/>
                <w:szCs w:val="20"/>
              </w:rPr>
              <w:t>El estándar asegura que la entrega del servicio se realizara respetando las prácticas culturales, asimismo, las asistencias técnicas se brindan considerando el enfoque cultural y las lenguas originarias. Siendo estos criterios los elementos centrales del proceso de asistencia técnica para lograr los objetivos e impacto necesarios y esperados en los Pueblos indígenas u originarios.</w:t>
            </w:r>
          </w:p>
        </w:tc>
      </w:tr>
      <w:tr w:rsidR="00C03553" w:rsidRPr="008A26D2" w14:paraId="5B8F8959" w14:textId="77777777" w:rsidTr="00DC5551">
        <w:trPr>
          <w:trHeight w:val="567"/>
          <w:jc w:val="center"/>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777915B8" w14:textId="15A49948" w:rsidR="00C03553" w:rsidRPr="008A26D2" w:rsidRDefault="00C03553" w:rsidP="00C03553">
            <w:pPr>
              <w:tabs>
                <w:tab w:val="left" w:pos="3375"/>
              </w:tabs>
              <w:rPr>
                <w:rFonts w:ascii="Arial" w:eastAsia="Arial Narrow" w:hAnsi="Arial" w:cs="Arial"/>
                <w:b/>
                <w:sz w:val="20"/>
                <w:szCs w:val="20"/>
              </w:rPr>
            </w:pPr>
            <w:r w:rsidRPr="008A26D2">
              <w:rPr>
                <w:rFonts w:ascii="Arial" w:eastAsia="Arial Narrow" w:hAnsi="Arial" w:cs="Arial"/>
                <w:b/>
                <w:sz w:val="20"/>
                <w:szCs w:val="20"/>
              </w:rPr>
              <w:t>Indicador de calidad</w:t>
            </w:r>
          </w:p>
        </w:tc>
        <w:tc>
          <w:tcPr>
            <w:tcW w:w="636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B432FD9" w14:textId="77777777" w:rsidR="00C03553" w:rsidRPr="008A26D2" w:rsidRDefault="00C03553" w:rsidP="00C03553">
            <w:pPr>
              <w:tabs>
                <w:tab w:val="left" w:pos="3375"/>
              </w:tabs>
              <w:jc w:val="both"/>
              <w:rPr>
                <w:rFonts w:ascii="Arial" w:eastAsia="Arial Narrow" w:hAnsi="Arial" w:cs="Arial"/>
                <w:sz w:val="20"/>
                <w:szCs w:val="20"/>
              </w:rPr>
            </w:pPr>
            <w:r w:rsidRPr="008A26D2">
              <w:rPr>
                <w:rFonts w:ascii="Arial" w:eastAsia="Arial Narrow" w:hAnsi="Arial" w:cs="Arial"/>
                <w:sz w:val="20"/>
                <w:szCs w:val="20"/>
              </w:rPr>
              <w:t>Porcentaje de pueblos indígenas u originarios que reciben asistencia técnica en gobernanza forestal y de fauna silvestre con pertinencia cultural.</w:t>
            </w:r>
          </w:p>
        </w:tc>
      </w:tr>
    </w:tbl>
    <w:p w14:paraId="00C161C3" w14:textId="77777777" w:rsidR="0054612C" w:rsidRPr="008A26D2" w:rsidRDefault="0054612C">
      <w:pPr>
        <w:rPr>
          <w:rFonts w:ascii="Arial Narrow" w:eastAsia="Arial Narrow" w:hAnsi="Arial Narrow" w:cs="Arial Narrow"/>
          <w:b/>
        </w:rPr>
      </w:pPr>
    </w:p>
    <w:p w14:paraId="5D014DDB" w14:textId="14B6C75C" w:rsidR="00603F80" w:rsidRPr="008A26D2" w:rsidRDefault="00603F80" w:rsidP="00603F80">
      <w:pPr>
        <w:jc w:val="both"/>
        <w:rPr>
          <w:rFonts w:ascii="Arial" w:eastAsia="Arial Narrow" w:hAnsi="Arial" w:cs="Arial"/>
        </w:rPr>
      </w:pPr>
      <w:r w:rsidRPr="008A26D2">
        <w:rPr>
          <w:rFonts w:ascii="Arial" w:eastAsia="Arial Narrow" w:hAnsi="Arial" w:cs="Arial"/>
          <w:b/>
          <w:bCs/>
        </w:rPr>
        <w:t xml:space="preserve">S3.5.1 </w:t>
      </w:r>
      <w:r w:rsidRPr="008A26D2">
        <w:rPr>
          <w:rFonts w:ascii="Arial" w:eastAsia="Arial Narrow" w:hAnsi="Arial" w:cs="Arial"/>
        </w:rPr>
        <w:t xml:space="preserve">Sensibilización sobre la conservación y aprovechamiento sostenible de los recursos forestales y de fauna silvestre con pertinencia cultural </w:t>
      </w:r>
      <w:r w:rsidR="00F96C68" w:rsidRPr="008A26D2">
        <w:rPr>
          <w:rFonts w:ascii="Arial" w:eastAsia="Arial Narrow" w:hAnsi="Arial" w:cs="Arial"/>
        </w:rPr>
        <w:t xml:space="preserve">dirigido </w:t>
      </w:r>
      <w:r w:rsidRPr="008A26D2">
        <w:rPr>
          <w:rFonts w:ascii="Arial" w:eastAsia="Arial Narrow" w:hAnsi="Arial" w:cs="Arial"/>
        </w:rPr>
        <w:t>a la población en general</w:t>
      </w:r>
    </w:p>
    <w:tbl>
      <w:tblPr>
        <w:tblW w:w="8926" w:type="dxa"/>
        <w:jc w:val="center"/>
        <w:tblLayout w:type="fixed"/>
        <w:tblLook w:val="0600" w:firstRow="0" w:lastRow="0" w:firstColumn="0" w:lastColumn="0" w:noHBand="1" w:noVBand="1"/>
      </w:tblPr>
      <w:tblGrid>
        <w:gridCol w:w="2405"/>
        <w:gridCol w:w="2457"/>
        <w:gridCol w:w="2032"/>
        <w:gridCol w:w="2032"/>
      </w:tblGrid>
      <w:tr w:rsidR="008A26D2" w:rsidRPr="008A26D2" w14:paraId="7C06DFC6" w14:textId="77777777" w:rsidTr="00517301">
        <w:trPr>
          <w:trHeight w:val="300"/>
          <w:jc w:val="center"/>
        </w:trPr>
        <w:tc>
          <w:tcPr>
            <w:tcW w:w="8926"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center"/>
          </w:tcPr>
          <w:p w14:paraId="59BB2853" w14:textId="472103AD" w:rsidR="00603F80" w:rsidRPr="008A26D2" w:rsidRDefault="00603F80" w:rsidP="00FA2C29">
            <w:pPr>
              <w:tabs>
                <w:tab w:val="left" w:pos="3375"/>
              </w:tabs>
              <w:jc w:val="center"/>
              <w:rPr>
                <w:rFonts w:ascii="Arial" w:hAnsi="Arial" w:cs="Arial"/>
                <w:sz w:val="20"/>
                <w:szCs w:val="20"/>
              </w:rPr>
            </w:pPr>
            <w:r w:rsidRPr="008A26D2">
              <w:rPr>
                <w:rFonts w:ascii="Arial" w:hAnsi="Arial" w:cs="Arial"/>
                <w:b/>
                <w:sz w:val="20"/>
                <w:szCs w:val="20"/>
              </w:rPr>
              <w:t>FICHA DEL SERVICIO</w:t>
            </w:r>
          </w:p>
        </w:tc>
      </w:tr>
      <w:tr w:rsidR="008A26D2" w:rsidRPr="008A26D2" w14:paraId="71972A9C" w14:textId="77777777" w:rsidTr="00DC5551">
        <w:trPr>
          <w:trHeight w:val="300"/>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EC3B727" w14:textId="77777777" w:rsidR="00603F80" w:rsidRPr="008A26D2" w:rsidRDefault="00603F80" w:rsidP="0080067C">
            <w:pPr>
              <w:tabs>
                <w:tab w:val="left" w:pos="3375"/>
              </w:tabs>
              <w:jc w:val="both"/>
              <w:rPr>
                <w:rFonts w:ascii="Arial" w:hAnsi="Arial" w:cs="Arial"/>
                <w:b/>
                <w:sz w:val="20"/>
                <w:szCs w:val="20"/>
              </w:rPr>
            </w:pPr>
            <w:r w:rsidRPr="008A26D2">
              <w:rPr>
                <w:rFonts w:ascii="Arial" w:hAnsi="Arial" w:cs="Arial"/>
                <w:b/>
                <w:sz w:val="20"/>
                <w:szCs w:val="20"/>
              </w:rPr>
              <w:t xml:space="preserve"> Objetivo prioritario:</w:t>
            </w:r>
          </w:p>
        </w:tc>
        <w:tc>
          <w:tcPr>
            <w:tcW w:w="652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5560F56" w14:textId="77777777" w:rsidR="00603F80" w:rsidRPr="008A26D2" w:rsidRDefault="00603F80" w:rsidP="0080067C">
            <w:pPr>
              <w:tabs>
                <w:tab w:val="left" w:pos="3375"/>
              </w:tabs>
              <w:ind w:left="128"/>
              <w:jc w:val="both"/>
              <w:rPr>
                <w:rFonts w:ascii="Arial" w:hAnsi="Arial" w:cs="Arial"/>
                <w:sz w:val="20"/>
                <w:szCs w:val="20"/>
              </w:rPr>
            </w:pPr>
            <w:r w:rsidRPr="008A26D2">
              <w:rPr>
                <w:rFonts w:ascii="Arial" w:eastAsia="Arial Narrow" w:hAnsi="Arial" w:cs="Arial"/>
                <w:sz w:val="20"/>
                <w:szCs w:val="20"/>
              </w:rPr>
              <w:t>OP3 Fortalecer la gobernanza forestal y de fauna silvestre</w:t>
            </w:r>
          </w:p>
        </w:tc>
      </w:tr>
      <w:tr w:rsidR="008A26D2" w:rsidRPr="008A26D2" w14:paraId="58409514" w14:textId="77777777" w:rsidTr="00DC5551">
        <w:trPr>
          <w:trHeight w:val="714"/>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F4A90BE" w14:textId="77777777" w:rsidR="00603F80" w:rsidRPr="008A26D2" w:rsidRDefault="00603F80" w:rsidP="0080067C">
            <w:pPr>
              <w:tabs>
                <w:tab w:val="left" w:pos="3375"/>
              </w:tabs>
              <w:jc w:val="both"/>
              <w:rPr>
                <w:rFonts w:ascii="Arial" w:hAnsi="Arial" w:cs="Arial"/>
                <w:b/>
                <w:sz w:val="20"/>
                <w:szCs w:val="20"/>
              </w:rPr>
            </w:pPr>
            <w:r w:rsidRPr="008A26D2">
              <w:rPr>
                <w:rFonts w:ascii="Arial" w:hAnsi="Arial" w:cs="Arial"/>
                <w:b/>
                <w:sz w:val="20"/>
                <w:szCs w:val="20"/>
              </w:rPr>
              <w:t xml:space="preserve"> Lineamiento:</w:t>
            </w:r>
          </w:p>
        </w:tc>
        <w:tc>
          <w:tcPr>
            <w:tcW w:w="652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A9F9C6A" w14:textId="77777777" w:rsidR="00603F80" w:rsidRPr="008A26D2" w:rsidRDefault="00603F80" w:rsidP="0080067C">
            <w:pPr>
              <w:tabs>
                <w:tab w:val="left" w:pos="3375"/>
              </w:tabs>
              <w:ind w:left="128"/>
              <w:jc w:val="both"/>
              <w:rPr>
                <w:rFonts w:ascii="Arial" w:hAnsi="Arial" w:cs="Arial"/>
                <w:sz w:val="20"/>
                <w:szCs w:val="20"/>
              </w:rPr>
            </w:pPr>
            <w:r w:rsidRPr="008A26D2">
              <w:rPr>
                <w:rFonts w:ascii="Arial" w:eastAsia="Arial Narrow" w:hAnsi="Arial" w:cs="Arial"/>
                <w:sz w:val="20"/>
                <w:szCs w:val="20"/>
              </w:rPr>
              <w:t>L3.5 Sensibilizar sobre el valor e importancia de los bienes y servicios que brindan los ecosistemas forestales, otros ecosistemas de vegetación silvestre y de la fauna silvestre a la población</w:t>
            </w:r>
          </w:p>
        </w:tc>
      </w:tr>
      <w:tr w:rsidR="008A26D2" w:rsidRPr="008A26D2" w14:paraId="3F46D664" w14:textId="77777777" w:rsidTr="00DC5551">
        <w:trPr>
          <w:trHeight w:val="300"/>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0A402CC" w14:textId="77777777" w:rsidR="00603F80" w:rsidRPr="008A26D2" w:rsidRDefault="00603F80" w:rsidP="0080067C">
            <w:pPr>
              <w:tabs>
                <w:tab w:val="left" w:pos="3375"/>
              </w:tabs>
              <w:jc w:val="both"/>
              <w:rPr>
                <w:rFonts w:ascii="Arial" w:hAnsi="Arial" w:cs="Arial"/>
                <w:b/>
                <w:sz w:val="20"/>
                <w:szCs w:val="20"/>
              </w:rPr>
            </w:pPr>
            <w:r w:rsidRPr="008A26D2">
              <w:rPr>
                <w:rFonts w:ascii="Arial" w:hAnsi="Arial" w:cs="Arial"/>
                <w:b/>
                <w:sz w:val="20"/>
                <w:szCs w:val="20"/>
              </w:rPr>
              <w:t xml:space="preserve"> Nombre del servicio:</w:t>
            </w:r>
          </w:p>
        </w:tc>
        <w:tc>
          <w:tcPr>
            <w:tcW w:w="652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F0C207A" w14:textId="45F33D1D" w:rsidR="00603F80" w:rsidRPr="008A26D2" w:rsidRDefault="00603F80" w:rsidP="0080067C">
            <w:pPr>
              <w:tabs>
                <w:tab w:val="left" w:pos="3375"/>
              </w:tabs>
              <w:ind w:left="128"/>
              <w:jc w:val="both"/>
              <w:rPr>
                <w:rFonts w:ascii="Arial" w:hAnsi="Arial" w:cs="Arial"/>
                <w:strike/>
                <w:sz w:val="20"/>
                <w:szCs w:val="20"/>
              </w:rPr>
            </w:pPr>
            <w:r w:rsidRPr="008A26D2">
              <w:rPr>
                <w:rFonts w:ascii="Arial" w:eastAsia="Arial Narrow" w:hAnsi="Arial" w:cs="Arial"/>
                <w:sz w:val="20"/>
                <w:szCs w:val="20"/>
              </w:rPr>
              <w:t xml:space="preserve">S3.5.1 Sensibilización sobre la conservación y aprovechamiento sostenible de los recursos forestales y de fauna silvestre con pertinencia cultural </w:t>
            </w:r>
            <w:r w:rsidR="001B0DA0" w:rsidRPr="008A26D2">
              <w:rPr>
                <w:rFonts w:ascii="Arial" w:eastAsia="Arial Narrow" w:hAnsi="Arial" w:cs="Arial"/>
                <w:sz w:val="20"/>
                <w:szCs w:val="20"/>
              </w:rPr>
              <w:t xml:space="preserve">dirigido </w:t>
            </w:r>
            <w:r w:rsidRPr="008A26D2">
              <w:rPr>
                <w:rFonts w:ascii="Arial" w:eastAsia="Arial Narrow" w:hAnsi="Arial" w:cs="Arial"/>
                <w:sz w:val="20"/>
                <w:szCs w:val="20"/>
              </w:rPr>
              <w:t>a la población en general</w:t>
            </w:r>
          </w:p>
        </w:tc>
      </w:tr>
      <w:tr w:rsidR="008A26D2" w:rsidRPr="008A26D2" w14:paraId="36CD0F0A" w14:textId="77777777" w:rsidTr="00DC5551">
        <w:trPr>
          <w:trHeight w:val="300"/>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B9B8DBA" w14:textId="77777777" w:rsidR="00603F80" w:rsidRPr="008A26D2" w:rsidRDefault="00603F80" w:rsidP="0080067C">
            <w:pPr>
              <w:tabs>
                <w:tab w:val="left" w:pos="3375"/>
              </w:tabs>
              <w:jc w:val="both"/>
              <w:rPr>
                <w:rFonts w:ascii="Arial" w:hAnsi="Arial" w:cs="Arial"/>
                <w:b/>
                <w:sz w:val="20"/>
                <w:szCs w:val="20"/>
              </w:rPr>
            </w:pPr>
            <w:r w:rsidRPr="008A26D2">
              <w:rPr>
                <w:rFonts w:ascii="Arial" w:hAnsi="Arial" w:cs="Arial"/>
                <w:b/>
                <w:sz w:val="20"/>
                <w:szCs w:val="20"/>
              </w:rPr>
              <w:t>Tipo de servicio:</w:t>
            </w:r>
          </w:p>
        </w:tc>
        <w:tc>
          <w:tcPr>
            <w:tcW w:w="652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998D26A" w14:textId="77777777" w:rsidR="00603F80" w:rsidRPr="008A26D2" w:rsidRDefault="00603F80" w:rsidP="0080067C">
            <w:pPr>
              <w:tabs>
                <w:tab w:val="left" w:pos="3375"/>
              </w:tabs>
              <w:ind w:left="128"/>
              <w:jc w:val="both"/>
              <w:rPr>
                <w:rFonts w:ascii="Arial" w:eastAsia="Arial Narrow" w:hAnsi="Arial" w:cs="Arial"/>
                <w:sz w:val="20"/>
                <w:szCs w:val="20"/>
              </w:rPr>
            </w:pPr>
            <w:r w:rsidRPr="008A26D2">
              <w:rPr>
                <w:rFonts w:ascii="Arial" w:eastAsia="Arial Narrow" w:hAnsi="Arial" w:cs="Arial"/>
                <w:sz w:val="20"/>
                <w:szCs w:val="20"/>
              </w:rPr>
              <w:t>Mejorado</w:t>
            </w:r>
          </w:p>
        </w:tc>
      </w:tr>
      <w:tr w:rsidR="008A26D2" w:rsidRPr="008A26D2" w14:paraId="5A57DB2E" w14:textId="77777777" w:rsidTr="00DC5551">
        <w:trPr>
          <w:trHeight w:val="300"/>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D63A2D7" w14:textId="07C5168D" w:rsidR="00C03553" w:rsidRPr="008A26D2" w:rsidRDefault="00C03553" w:rsidP="00C03553">
            <w:pPr>
              <w:tabs>
                <w:tab w:val="left" w:pos="3375"/>
              </w:tabs>
              <w:jc w:val="both"/>
              <w:rPr>
                <w:rFonts w:ascii="Arial" w:hAnsi="Arial" w:cs="Arial"/>
                <w:b/>
                <w:sz w:val="20"/>
                <w:szCs w:val="20"/>
              </w:rPr>
            </w:pPr>
            <w:r w:rsidRPr="008A26D2">
              <w:rPr>
                <w:rFonts w:ascii="Arial" w:hAnsi="Arial" w:cs="Arial"/>
                <w:b/>
                <w:sz w:val="20"/>
                <w:szCs w:val="20"/>
              </w:rPr>
              <w:t>Naturaleza del servicio:</w:t>
            </w:r>
          </w:p>
        </w:tc>
        <w:tc>
          <w:tcPr>
            <w:tcW w:w="652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26AE821" w14:textId="10F4857D" w:rsidR="00C03553" w:rsidRPr="008A26D2" w:rsidRDefault="00B13293" w:rsidP="00C03553">
            <w:pPr>
              <w:tabs>
                <w:tab w:val="left" w:pos="3375"/>
              </w:tabs>
              <w:ind w:left="128"/>
              <w:jc w:val="both"/>
              <w:rPr>
                <w:rFonts w:ascii="Arial" w:eastAsia="Arial Narrow" w:hAnsi="Arial" w:cs="Arial"/>
                <w:sz w:val="20"/>
                <w:szCs w:val="20"/>
              </w:rPr>
            </w:pPr>
            <w:r w:rsidRPr="008A26D2">
              <w:rPr>
                <w:rFonts w:ascii="Arial" w:eastAsia="Arial Narrow" w:hAnsi="Arial" w:cs="Arial"/>
                <w:sz w:val="20"/>
                <w:szCs w:val="20"/>
              </w:rPr>
              <w:t>P</w:t>
            </w:r>
            <w:r w:rsidR="00C03553" w:rsidRPr="008A26D2">
              <w:rPr>
                <w:rFonts w:ascii="Arial" w:eastAsia="Arial Narrow" w:hAnsi="Arial" w:cs="Arial"/>
                <w:sz w:val="20"/>
                <w:szCs w:val="20"/>
              </w:rPr>
              <w:t>restacional</w:t>
            </w:r>
          </w:p>
        </w:tc>
      </w:tr>
      <w:tr w:rsidR="008A26D2" w:rsidRPr="008A26D2" w14:paraId="2A3A6797" w14:textId="77777777" w:rsidTr="00DC5551">
        <w:trPr>
          <w:trHeight w:val="300"/>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34D454D" w14:textId="7EB2880B" w:rsidR="00C03553" w:rsidRPr="008A26D2" w:rsidRDefault="00C03553" w:rsidP="00C03553">
            <w:pPr>
              <w:tabs>
                <w:tab w:val="left" w:pos="3375"/>
              </w:tabs>
              <w:jc w:val="both"/>
              <w:rPr>
                <w:rFonts w:ascii="Arial" w:hAnsi="Arial" w:cs="Arial"/>
                <w:b/>
                <w:sz w:val="20"/>
                <w:szCs w:val="20"/>
              </w:rPr>
            </w:pPr>
            <w:r w:rsidRPr="008A26D2">
              <w:rPr>
                <w:rFonts w:ascii="Arial" w:hAnsi="Arial" w:cs="Arial"/>
                <w:b/>
                <w:sz w:val="20"/>
                <w:szCs w:val="20"/>
              </w:rPr>
              <w:t>Entrega del servicio</w:t>
            </w:r>
          </w:p>
        </w:tc>
        <w:tc>
          <w:tcPr>
            <w:tcW w:w="652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6684C0D" w14:textId="7FFBA744" w:rsidR="00C03553" w:rsidRPr="008A26D2" w:rsidRDefault="00C03553" w:rsidP="00C03553">
            <w:pPr>
              <w:tabs>
                <w:tab w:val="left" w:pos="3375"/>
              </w:tabs>
              <w:ind w:left="128"/>
              <w:jc w:val="both"/>
              <w:rPr>
                <w:rFonts w:ascii="Arial" w:eastAsia="Arial Narrow" w:hAnsi="Arial" w:cs="Arial"/>
                <w:sz w:val="20"/>
                <w:szCs w:val="20"/>
              </w:rPr>
            </w:pPr>
            <w:r w:rsidRPr="008A26D2">
              <w:rPr>
                <w:rFonts w:ascii="Arial" w:eastAsia="Arial Narrow" w:hAnsi="Arial" w:cs="Arial"/>
                <w:sz w:val="20"/>
                <w:szCs w:val="20"/>
              </w:rPr>
              <w:t xml:space="preserve">Competencia exclusiva </w:t>
            </w:r>
          </w:p>
        </w:tc>
      </w:tr>
      <w:tr w:rsidR="008A26D2" w:rsidRPr="008A26D2" w14:paraId="2BC8C309" w14:textId="77777777" w:rsidTr="00DC5551">
        <w:trPr>
          <w:trHeight w:val="300"/>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3C6C700" w14:textId="77777777" w:rsidR="00C03553" w:rsidRPr="008A26D2" w:rsidRDefault="00C03553" w:rsidP="00C03553">
            <w:pPr>
              <w:tabs>
                <w:tab w:val="left" w:pos="3375"/>
              </w:tabs>
              <w:jc w:val="both"/>
              <w:rPr>
                <w:rFonts w:ascii="Arial" w:hAnsi="Arial" w:cs="Arial"/>
                <w:b/>
                <w:sz w:val="20"/>
                <w:szCs w:val="20"/>
              </w:rPr>
            </w:pPr>
            <w:r w:rsidRPr="008A26D2">
              <w:rPr>
                <w:rFonts w:ascii="Arial" w:hAnsi="Arial" w:cs="Arial"/>
                <w:b/>
                <w:sz w:val="20"/>
                <w:szCs w:val="20"/>
              </w:rPr>
              <w:t xml:space="preserve"> Descripción del servicio</w:t>
            </w:r>
          </w:p>
        </w:tc>
        <w:tc>
          <w:tcPr>
            <w:tcW w:w="652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BCD3912" w14:textId="761336E0" w:rsidR="00C03553" w:rsidRPr="008A26D2" w:rsidRDefault="00C03553" w:rsidP="00C03553">
            <w:pPr>
              <w:tabs>
                <w:tab w:val="left" w:pos="3375"/>
              </w:tabs>
              <w:ind w:left="128"/>
              <w:jc w:val="both"/>
              <w:rPr>
                <w:rFonts w:ascii="Arial" w:eastAsia="Arial Narrow" w:hAnsi="Arial" w:cs="Arial"/>
                <w:sz w:val="20"/>
                <w:szCs w:val="20"/>
              </w:rPr>
            </w:pPr>
            <w:r w:rsidRPr="008A26D2">
              <w:rPr>
                <w:rFonts w:ascii="Arial" w:eastAsia="Arial Narrow" w:hAnsi="Arial" w:cs="Arial"/>
                <w:sz w:val="20"/>
                <w:szCs w:val="20"/>
              </w:rPr>
              <w:t>El servicio consiste en la realización de eventos de sensibilización que incluyen diversas acciones tales como: charlas, videoconferencias, campañas, foros, desfiles, comunidades de aprendizaje, entre otros, que tienen como objetivo sensibilizar a la población en general acerca de la conservación y aprovechamiento sostenible de los recursos forestales y de la fauna silvestre en el Perú. Se complementará con spots radiales, uso de redes sociales, grupos de interaprendizaje, merchandising, entre otros. Para ello, se tomará en cuenta las características culturales de las personas en el territorio, además del lenguaje y sus prácticas sociales.</w:t>
            </w:r>
          </w:p>
          <w:p w14:paraId="7B133AEE" w14:textId="735077D7" w:rsidR="00C03553" w:rsidRPr="008A26D2" w:rsidRDefault="00C03553" w:rsidP="00C03553">
            <w:pPr>
              <w:tabs>
                <w:tab w:val="left" w:pos="3375"/>
              </w:tabs>
              <w:ind w:left="128"/>
              <w:jc w:val="both"/>
              <w:rPr>
                <w:rFonts w:ascii="Arial" w:hAnsi="Arial" w:cs="Arial"/>
                <w:sz w:val="20"/>
                <w:szCs w:val="20"/>
              </w:rPr>
            </w:pPr>
            <w:r w:rsidRPr="008A26D2">
              <w:rPr>
                <w:rFonts w:ascii="Arial" w:eastAsia="Arial Narrow" w:hAnsi="Arial" w:cs="Arial"/>
                <w:sz w:val="20"/>
                <w:szCs w:val="20"/>
              </w:rPr>
              <w:lastRenderedPageBreak/>
              <w:t>El servicio es de tipo mejorado porque se hará uso de nuevas herramientas tecnológicas, incluyendo redes sociales y comunidades virtuales de aprendizaje, para la entrega del servicio; además, se busca llegar a la mayor cantidad de personas a nivel nacional, teniendo el enfoque intercultural e intergeneracional.</w:t>
            </w:r>
          </w:p>
        </w:tc>
      </w:tr>
      <w:tr w:rsidR="008A26D2" w:rsidRPr="008A26D2" w14:paraId="14F25C29" w14:textId="77777777" w:rsidTr="00DC5551">
        <w:trPr>
          <w:trHeight w:val="300"/>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FEEEC70" w14:textId="77777777" w:rsidR="00C03553" w:rsidRPr="008A26D2" w:rsidRDefault="00C03553" w:rsidP="00C03553">
            <w:pPr>
              <w:tabs>
                <w:tab w:val="left" w:pos="3375"/>
              </w:tabs>
              <w:jc w:val="both"/>
              <w:rPr>
                <w:rFonts w:ascii="Arial" w:hAnsi="Arial" w:cs="Arial"/>
                <w:b/>
                <w:sz w:val="20"/>
                <w:szCs w:val="20"/>
              </w:rPr>
            </w:pPr>
            <w:r w:rsidRPr="008A26D2">
              <w:rPr>
                <w:rFonts w:ascii="Arial" w:hAnsi="Arial" w:cs="Arial"/>
                <w:b/>
                <w:sz w:val="20"/>
                <w:szCs w:val="20"/>
              </w:rPr>
              <w:lastRenderedPageBreak/>
              <w:t>Proveedor del servicio</w:t>
            </w:r>
          </w:p>
        </w:tc>
        <w:tc>
          <w:tcPr>
            <w:tcW w:w="652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BF1590F" w14:textId="77777777" w:rsidR="00C03553" w:rsidRPr="008A26D2" w:rsidRDefault="00C03553" w:rsidP="00C03553">
            <w:pPr>
              <w:tabs>
                <w:tab w:val="left" w:pos="3375"/>
              </w:tabs>
              <w:ind w:left="128"/>
              <w:jc w:val="both"/>
              <w:rPr>
                <w:rFonts w:ascii="Arial" w:hAnsi="Arial" w:cs="Arial"/>
                <w:strike/>
                <w:sz w:val="20"/>
                <w:szCs w:val="20"/>
              </w:rPr>
            </w:pPr>
            <w:r w:rsidRPr="008A26D2">
              <w:rPr>
                <w:rFonts w:ascii="Arial" w:eastAsia="Arial Narrow" w:hAnsi="Arial" w:cs="Arial"/>
                <w:sz w:val="20"/>
                <w:szCs w:val="20"/>
              </w:rPr>
              <w:t>Servicio Nacional Forestal y de Fauna Silvestre - SERFOR</w:t>
            </w:r>
          </w:p>
        </w:tc>
      </w:tr>
      <w:tr w:rsidR="008A26D2" w:rsidRPr="008A26D2" w14:paraId="3D4C3E79" w14:textId="77777777" w:rsidTr="00DC5551">
        <w:trPr>
          <w:trHeight w:val="555"/>
          <w:jc w:val="center"/>
        </w:trPr>
        <w:tc>
          <w:tcPr>
            <w:tcW w:w="2405" w:type="dxa"/>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1FE7B84D" w14:textId="77777777" w:rsidR="00C03553" w:rsidRPr="008A26D2" w:rsidRDefault="00C03553" w:rsidP="002469C9">
            <w:pPr>
              <w:spacing w:after="0" w:line="240" w:lineRule="auto"/>
              <w:rPr>
                <w:rFonts w:ascii="Arial" w:hAnsi="Arial" w:cs="Arial"/>
                <w:b/>
                <w:sz w:val="20"/>
                <w:szCs w:val="20"/>
              </w:rPr>
            </w:pPr>
            <w:r w:rsidRPr="008A26D2">
              <w:rPr>
                <w:rFonts w:ascii="Arial" w:hAnsi="Arial" w:cs="Arial"/>
                <w:b/>
                <w:sz w:val="20"/>
                <w:szCs w:val="20"/>
              </w:rPr>
              <w:t>Nivel (es) de gobierno que interviene</w:t>
            </w:r>
          </w:p>
          <w:p w14:paraId="15FFA1A9" w14:textId="17961CF2" w:rsidR="00C03553" w:rsidRPr="008A26D2" w:rsidRDefault="00C03553" w:rsidP="00C03553">
            <w:pPr>
              <w:tabs>
                <w:tab w:val="left" w:pos="3375"/>
              </w:tabs>
              <w:jc w:val="both"/>
              <w:rPr>
                <w:rFonts w:ascii="Arial" w:hAnsi="Arial" w:cs="Arial"/>
                <w:b/>
                <w:sz w:val="20"/>
                <w:szCs w:val="20"/>
              </w:rPr>
            </w:pPr>
            <w:r w:rsidRPr="008A26D2">
              <w:rPr>
                <w:rFonts w:ascii="Arial" w:hAnsi="Arial" w:cs="Arial"/>
                <w:b/>
                <w:sz w:val="20"/>
                <w:szCs w:val="20"/>
              </w:rPr>
              <w:t>(n) en la provisión del servicio</w:t>
            </w:r>
          </w:p>
        </w:tc>
        <w:tc>
          <w:tcPr>
            <w:tcW w:w="2457"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3FC3FFFC" w14:textId="36AA68A5" w:rsidR="00C03553" w:rsidRPr="008A26D2" w:rsidRDefault="00C03553" w:rsidP="0025059A">
            <w:pPr>
              <w:tabs>
                <w:tab w:val="left" w:pos="3375"/>
              </w:tabs>
              <w:ind w:left="128"/>
              <w:jc w:val="center"/>
              <w:rPr>
                <w:rFonts w:ascii="Arial" w:eastAsia="Arial Narrow" w:hAnsi="Arial" w:cs="Arial"/>
                <w:sz w:val="20"/>
                <w:szCs w:val="20"/>
              </w:rPr>
            </w:pPr>
            <w:r w:rsidRPr="008A26D2">
              <w:rPr>
                <w:rFonts w:ascii="Arial" w:eastAsia="Arial Narrow" w:hAnsi="Arial" w:cs="Arial"/>
                <w:sz w:val="20"/>
                <w:szCs w:val="20"/>
              </w:rPr>
              <w:t>Nacional</w:t>
            </w:r>
          </w:p>
        </w:tc>
        <w:tc>
          <w:tcPr>
            <w:tcW w:w="2032" w:type="dxa"/>
            <w:tcBorders>
              <w:top w:val="single" w:sz="4" w:space="0" w:color="000000"/>
              <w:left w:val="single" w:sz="4" w:space="0" w:color="000000"/>
              <w:right w:val="single" w:sz="4" w:space="0" w:color="000000"/>
            </w:tcBorders>
            <w:shd w:val="clear" w:color="auto" w:fill="auto"/>
            <w:vAlign w:val="center"/>
          </w:tcPr>
          <w:p w14:paraId="5D403718" w14:textId="427D6140" w:rsidR="00C03553" w:rsidRPr="008A26D2" w:rsidRDefault="00C03553" w:rsidP="0025059A">
            <w:pPr>
              <w:tabs>
                <w:tab w:val="left" w:pos="3375"/>
              </w:tabs>
              <w:ind w:left="128"/>
              <w:jc w:val="center"/>
              <w:rPr>
                <w:rFonts w:ascii="Arial" w:eastAsia="Arial Narrow" w:hAnsi="Arial" w:cs="Arial"/>
                <w:sz w:val="20"/>
                <w:szCs w:val="20"/>
              </w:rPr>
            </w:pPr>
            <w:r w:rsidRPr="008A26D2">
              <w:rPr>
                <w:rFonts w:ascii="Arial" w:eastAsia="Arial Narrow" w:hAnsi="Arial" w:cs="Arial"/>
                <w:sz w:val="20"/>
                <w:szCs w:val="20"/>
              </w:rPr>
              <w:t>Regional</w:t>
            </w:r>
          </w:p>
        </w:tc>
        <w:tc>
          <w:tcPr>
            <w:tcW w:w="2032" w:type="dxa"/>
            <w:tcBorders>
              <w:top w:val="single" w:sz="4" w:space="0" w:color="000000"/>
              <w:left w:val="single" w:sz="4" w:space="0" w:color="000000"/>
              <w:right w:val="single" w:sz="4" w:space="0" w:color="000000"/>
            </w:tcBorders>
            <w:shd w:val="clear" w:color="auto" w:fill="auto"/>
            <w:vAlign w:val="center"/>
          </w:tcPr>
          <w:p w14:paraId="0AE99029" w14:textId="5F08AFE3" w:rsidR="00C03553" w:rsidRPr="008A26D2" w:rsidRDefault="00C03553" w:rsidP="0025059A">
            <w:pPr>
              <w:tabs>
                <w:tab w:val="left" w:pos="3375"/>
              </w:tabs>
              <w:ind w:left="128"/>
              <w:jc w:val="center"/>
              <w:rPr>
                <w:rFonts w:ascii="Arial" w:eastAsia="Arial Narrow" w:hAnsi="Arial" w:cs="Arial"/>
                <w:sz w:val="20"/>
                <w:szCs w:val="20"/>
              </w:rPr>
            </w:pPr>
            <w:r w:rsidRPr="008A26D2">
              <w:rPr>
                <w:rFonts w:ascii="Arial" w:eastAsia="Arial Narrow" w:hAnsi="Arial" w:cs="Arial"/>
                <w:sz w:val="20"/>
                <w:szCs w:val="20"/>
              </w:rPr>
              <w:t>Local</w:t>
            </w:r>
          </w:p>
        </w:tc>
      </w:tr>
      <w:tr w:rsidR="008A26D2" w:rsidRPr="008A26D2" w14:paraId="3BC318EB" w14:textId="77777777" w:rsidTr="00DC5551">
        <w:trPr>
          <w:trHeight w:val="555"/>
          <w:jc w:val="center"/>
        </w:trPr>
        <w:tc>
          <w:tcPr>
            <w:tcW w:w="2405" w:type="dxa"/>
            <w:vMerge/>
            <w:tcBorders>
              <w:left w:val="single" w:sz="4" w:space="0" w:color="000000"/>
              <w:right w:val="single" w:sz="4" w:space="0" w:color="000000"/>
            </w:tcBorders>
            <w:shd w:val="clear" w:color="auto" w:fill="auto"/>
            <w:tcMar>
              <w:top w:w="15" w:type="dxa"/>
              <w:left w:w="15" w:type="dxa"/>
              <w:bottom w:w="0" w:type="dxa"/>
              <w:right w:w="15" w:type="dxa"/>
            </w:tcMar>
            <w:vAlign w:val="center"/>
          </w:tcPr>
          <w:p w14:paraId="5D4D8A98" w14:textId="77777777" w:rsidR="00C03553" w:rsidRPr="008A26D2" w:rsidRDefault="00C03553" w:rsidP="00C03553">
            <w:pPr>
              <w:spacing w:after="0" w:line="240" w:lineRule="auto"/>
              <w:rPr>
                <w:rFonts w:ascii="Arial" w:hAnsi="Arial" w:cs="Arial"/>
                <w:b/>
                <w:sz w:val="20"/>
                <w:szCs w:val="20"/>
              </w:rPr>
            </w:pPr>
          </w:p>
        </w:tc>
        <w:tc>
          <w:tcPr>
            <w:tcW w:w="2457" w:type="dxa"/>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tcPr>
          <w:p w14:paraId="6D7A505F" w14:textId="49A6BC1B" w:rsidR="00C03553" w:rsidRPr="008A26D2" w:rsidRDefault="00B13293" w:rsidP="0025059A">
            <w:pPr>
              <w:tabs>
                <w:tab w:val="left" w:pos="3375"/>
              </w:tabs>
              <w:ind w:left="128"/>
              <w:jc w:val="center"/>
              <w:rPr>
                <w:rFonts w:ascii="Arial" w:eastAsia="Arial Narrow" w:hAnsi="Arial" w:cs="Arial"/>
                <w:sz w:val="20"/>
                <w:szCs w:val="20"/>
              </w:rPr>
            </w:pPr>
            <w:r w:rsidRPr="008A26D2">
              <w:rPr>
                <w:rFonts w:ascii="Arial" w:eastAsia="Arial Narrow" w:hAnsi="Arial" w:cs="Arial"/>
                <w:sz w:val="20"/>
                <w:szCs w:val="20"/>
              </w:rPr>
              <w:t>X</w:t>
            </w:r>
          </w:p>
        </w:tc>
        <w:tc>
          <w:tcPr>
            <w:tcW w:w="2032" w:type="dxa"/>
            <w:tcBorders>
              <w:top w:val="single" w:sz="4" w:space="0" w:color="000000"/>
              <w:left w:val="single" w:sz="4" w:space="0" w:color="000000"/>
              <w:right w:val="single" w:sz="4" w:space="0" w:color="000000"/>
            </w:tcBorders>
            <w:shd w:val="clear" w:color="auto" w:fill="auto"/>
            <w:vAlign w:val="center"/>
          </w:tcPr>
          <w:p w14:paraId="086A3EA2" w14:textId="77777777" w:rsidR="00C03553" w:rsidRPr="008A26D2" w:rsidRDefault="00C03553" w:rsidP="0025059A">
            <w:pPr>
              <w:tabs>
                <w:tab w:val="left" w:pos="3375"/>
              </w:tabs>
              <w:ind w:left="128"/>
              <w:jc w:val="center"/>
              <w:rPr>
                <w:rFonts w:ascii="Arial" w:eastAsia="Arial Narrow" w:hAnsi="Arial" w:cs="Arial"/>
                <w:sz w:val="20"/>
                <w:szCs w:val="20"/>
              </w:rPr>
            </w:pPr>
          </w:p>
        </w:tc>
        <w:tc>
          <w:tcPr>
            <w:tcW w:w="2032" w:type="dxa"/>
            <w:tcBorders>
              <w:top w:val="single" w:sz="4" w:space="0" w:color="000000"/>
              <w:left w:val="single" w:sz="4" w:space="0" w:color="000000"/>
              <w:right w:val="single" w:sz="4" w:space="0" w:color="000000"/>
            </w:tcBorders>
            <w:shd w:val="clear" w:color="auto" w:fill="auto"/>
            <w:vAlign w:val="center"/>
          </w:tcPr>
          <w:p w14:paraId="02CADE69" w14:textId="218E5C5E" w:rsidR="00C03553" w:rsidRPr="008A26D2" w:rsidRDefault="00C03553" w:rsidP="0025059A">
            <w:pPr>
              <w:tabs>
                <w:tab w:val="left" w:pos="3375"/>
              </w:tabs>
              <w:ind w:left="128"/>
              <w:jc w:val="center"/>
              <w:rPr>
                <w:rFonts w:ascii="Arial" w:eastAsia="Arial Narrow" w:hAnsi="Arial" w:cs="Arial"/>
                <w:sz w:val="20"/>
                <w:szCs w:val="20"/>
              </w:rPr>
            </w:pPr>
          </w:p>
        </w:tc>
      </w:tr>
      <w:tr w:rsidR="008A26D2" w:rsidRPr="008A26D2" w14:paraId="65ED61F9" w14:textId="77777777" w:rsidTr="00DC5551">
        <w:trPr>
          <w:trHeight w:val="300"/>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0C63DDA" w14:textId="77777777" w:rsidR="00C03553" w:rsidRPr="008A26D2" w:rsidRDefault="00C03553" w:rsidP="00C03553">
            <w:pPr>
              <w:tabs>
                <w:tab w:val="left" w:pos="3375"/>
              </w:tabs>
              <w:jc w:val="both"/>
              <w:rPr>
                <w:rFonts w:ascii="Arial" w:hAnsi="Arial" w:cs="Arial"/>
                <w:b/>
                <w:sz w:val="20"/>
                <w:szCs w:val="20"/>
              </w:rPr>
            </w:pPr>
            <w:r w:rsidRPr="008A26D2">
              <w:rPr>
                <w:rFonts w:ascii="Arial" w:hAnsi="Arial" w:cs="Arial"/>
                <w:b/>
                <w:sz w:val="20"/>
                <w:szCs w:val="20"/>
              </w:rPr>
              <w:t xml:space="preserve"> Receptor del servicio</w:t>
            </w:r>
          </w:p>
        </w:tc>
        <w:tc>
          <w:tcPr>
            <w:tcW w:w="652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03FAD6F" w14:textId="77777777" w:rsidR="00C03553" w:rsidRPr="008A26D2" w:rsidRDefault="00C03553" w:rsidP="00C03553">
            <w:pPr>
              <w:tabs>
                <w:tab w:val="left" w:pos="3375"/>
              </w:tabs>
              <w:ind w:left="128"/>
              <w:jc w:val="both"/>
              <w:rPr>
                <w:rFonts w:ascii="Arial" w:hAnsi="Arial" w:cs="Arial"/>
                <w:sz w:val="20"/>
                <w:szCs w:val="20"/>
              </w:rPr>
            </w:pPr>
            <w:r w:rsidRPr="008A26D2">
              <w:rPr>
                <w:rFonts w:ascii="Arial" w:eastAsia="Arial Narrow" w:hAnsi="Arial" w:cs="Arial"/>
                <w:sz w:val="20"/>
                <w:szCs w:val="20"/>
              </w:rPr>
              <w:t>Población en general</w:t>
            </w:r>
          </w:p>
        </w:tc>
      </w:tr>
      <w:tr w:rsidR="008A26D2" w:rsidRPr="008A26D2" w14:paraId="1BF04819" w14:textId="77777777" w:rsidTr="00DC5551">
        <w:trPr>
          <w:trHeight w:val="211"/>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ED487D0" w14:textId="77777777" w:rsidR="00C03553" w:rsidRPr="008A26D2" w:rsidRDefault="00C03553" w:rsidP="00C03553">
            <w:pPr>
              <w:tabs>
                <w:tab w:val="left" w:pos="3375"/>
              </w:tabs>
              <w:jc w:val="both"/>
              <w:rPr>
                <w:rFonts w:ascii="Arial" w:hAnsi="Arial" w:cs="Arial"/>
                <w:b/>
                <w:sz w:val="20"/>
                <w:szCs w:val="20"/>
              </w:rPr>
            </w:pPr>
            <w:r w:rsidRPr="008A26D2">
              <w:rPr>
                <w:rFonts w:ascii="Arial" w:hAnsi="Arial" w:cs="Arial"/>
                <w:b/>
                <w:sz w:val="20"/>
                <w:szCs w:val="20"/>
              </w:rPr>
              <w:t xml:space="preserve"> Alcance del servicio </w:t>
            </w:r>
          </w:p>
        </w:tc>
        <w:tc>
          <w:tcPr>
            <w:tcW w:w="652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A6B2828" w14:textId="77777777" w:rsidR="00C03553" w:rsidRPr="008A26D2" w:rsidRDefault="00C03553" w:rsidP="00C03553">
            <w:pPr>
              <w:tabs>
                <w:tab w:val="left" w:pos="3375"/>
              </w:tabs>
              <w:ind w:left="128"/>
              <w:jc w:val="both"/>
              <w:rPr>
                <w:rFonts w:ascii="Arial" w:hAnsi="Arial" w:cs="Arial"/>
                <w:sz w:val="20"/>
                <w:szCs w:val="20"/>
              </w:rPr>
            </w:pPr>
            <w:r w:rsidRPr="008A26D2">
              <w:rPr>
                <w:rFonts w:ascii="Arial" w:eastAsia="Arial Narrow" w:hAnsi="Arial" w:cs="Arial"/>
                <w:sz w:val="20"/>
                <w:szCs w:val="20"/>
              </w:rPr>
              <w:t>Nacional</w:t>
            </w:r>
          </w:p>
        </w:tc>
      </w:tr>
      <w:tr w:rsidR="008A26D2" w:rsidRPr="008A26D2" w14:paraId="62E0D3D5" w14:textId="77777777" w:rsidTr="00DC5551">
        <w:trPr>
          <w:trHeight w:val="487"/>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C0A9815" w14:textId="77777777" w:rsidR="00C03553" w:rsidRPr="008A26D2" w:rsidRDefault="00C03553" w:rsidP="00C03553">
            <w:pPr>
              <w:tabs>
                <w:tab w:val="left" w:pos="3375"/>
              </w:tabs>
              <w:jc w:val="both"/>
              <w:rPr>
                <w:rFonts w:ascii="Arial" w:hAnsi="Arial" w:cs="Arial"/>
                <w:b/>
                <w:sz w:val="20"/>
                <w:szCs w:val="20"/>
              </w:rPr>
            </w:pPr>
            <w:r w:rsidRPr="008A26D2">
              <w:rPr>
                <w:rFonts w:ascii="Arial" w:hAnsi="Arial" w:cs="Arial"/>
                <w:b/>
                <w:sz w:val="20"/>
                <w:szCs w:val="20"/>
              </w:rPr>
              <w:t xml:space="preserve"> Estándar (es) de cumplimiento</w:t>
            </w:r>
          </w:p>
        </w:tc>
        <w:tc>
          <w:tcPr>
            <w:tcW w:w="652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6D7955E3" w14:textId="77777777" w:rsidR="00C03553" w:rsidRPr="008A26D2" w:rsidRDefault="00C03553" w:rsidP="00C03553">
            <w:pPr>
              <w:tabs>
                <w:tab w:val="left" w:pos="3375"/>
              </w:tabs>
              <w:ind w:left="128"/>
              <w:jc w:val="both"/>
              <w:rPr>
                <w:rFonts w:ascii="Arial" w:hAnsi="Arial" w:cs="Arial"/>
                <w:sz w:val="20"/>
                <w:szCs w:val="20"/>
              </w:rPr>
            </w:pPr>
            <w:r w:rsidRPr="008A26D2">
              <w:rPr>
                <w:rFonts w:ascii="Arial" w:eastAsia="Arial Narrow" w:hAnsi="Arial" w:cs="Arial"/>
                <w:sz w:val="20"/>
                <w:szCs w:val="20"/>
              </w:rPr>
              <w:t xml:space="preserve">Pertinencia cultural </w:t>
            </w:r>
          </w:p>
        </w:tc>
      </w:tr>
      <w:tr w:rsidR="008A26D2" w:rsidRPr="008A26D2" w14:paraId="25442993" w14:textId="77777777" w:rsidTr="00DC5551">
        <w:trPr>
          <w:trHeight w:val="664"/>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62B81A5" w14:textId="77777777" w:rsidR="00C03553" w:rsidRPr="008A26D2" w:rsidRDefault="00C03553" w:rsidP="00C03553">
            <w:pPr>
              <w:tabs>
                <w:tab w:val="left" w:pos="3375"/>
              </w:tabs>
              <w:jc w:val="both"/>
              <w:rPr>
                <w:rFonts w:ascii="Arial" w:hAnsi="Arial" w:cs="Arial"/>
                <w:b/>
                <w:sz w:val="20"/>
                <w:szCs w:val="20"/>
              </w:rPr>
            </w:pPr>
            <w:r w:rsidRPr="008A26D2">
              <w:rPr>
                <w:rFonts w:ascii="Arial" w:hAnsi="Arial" w:cs="Arial"/>
                <w:b/>
                <w:sz w:val="20"/>
                <w:szCs w:val="20"/>
              </w:rPr>
              <w:t xml:space="preserve"> Descripción del estándar</w:t>
            </w:r>
          </w:p>
        </w:tc>
        <w:tc>
          <w:tcPr>
            <w:tcW w:w="652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35" w:type="dxa"/>
              <w:bottom w:w="0" w:type="dxa"/>
              <w:right w:w="15" w:type="dxa"/>
            </w:tcMar>
            <w:vAlign w:val="center"/>
          </w:tcPr>
          <w:p w14:paraId="2E198D08" w14:textId="72965F85" w:rsidR="00C03553" w:rsidRPr="008A26D2" w:rsidRDefault="00C03553" w:rsidP="00C03553">
            <w:pPr>
              <w:pBdr>
                <w:top w:val="nil"/>
                <w:left w:val="nil"/>
                <w:bottom w:val="nil"/>
                <w:right w:val="nil"/>
                <w:between w:val="nil"/>
              </w:pBdr>
              <w:spacing w:after="0" w:line="240" w:lineRule="auto"/>
              <w:jc w:val="both"/>
              <w:rPr>
                <w:rFonts w:ascii="Arial" w:hAnsi="Arial" w:cs="Arial"/>
                <w:strike/>
                <w:sz w:val="20"/>
                <w:szCs w:val="20"/>
              </w:rPr>
            </w:pPr>
            <w:r w:rsidRPr="008A26D2">
              <w:rPr>
                <w:rFonts w:ascii="Arial" w:eastAsia="Arial Narrow" w:hAnsi="Arial" w:cs="Arial"/>
                <w:sz w:val="20"/>
                <w:szCs w:val="20"/>
              </w:rPr>
              <w:t>El estándar permite que el servicio se entregue de acuerdo a las características culturales de las personas en el territorio, teniendo en cuenta el lenguaje y las practicas sociales.</w:t>
            </w:r>
          </w:p>
        </w:tc>
      </w:tr>
      <w:tr w:rsidR="00C03553" w:rsidRPr="008A26D2" w14:paraId="7F570416" w14:textId="77777777" w:rsidTr="00DC5551">
        <w:trPr>
          <w:trHeight w:val="267"/>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2FBB2AF" w14:textId="09AC2E05" w:rsidR="00C03553" w:rsidRPr="008A26D2" w:rsidRDefault="00C03553" w:rsidP="00C03553">
            <w:pPr>
              <w:tabs>
                <w:tab w:val="left" w:pos="3375"/>
              </w:tabs>
              <w:jc w:val="both"/>
              <w:rPr>
                <w:rFonts w:ascii="Arial" w:hAnsi="Arial" w:cs="Arial"/>
                <w:b/>
                <w:sz w:val="20"/>
                <w:szCs w:val="20"/>
              </w:rPr>
            </w:pPr>
            <w:r w:rsidRPr="008A26D2">
              <w:rPr>
                <w:rFonts w:ascii="Arial" w:hAnsi="Arial" w:cs="Arial"/>
                <w:b/>
                <w:sz w:val="20"/>
                <w:szCs w:val="20"/>
              </w:rPr>
              <w:t>Indicador de calidad</w:t>
            </w:r>
          </w:p>
        </w:tc>
        <w:tc>
          <w:tcPr>
            <w:tcW w:w="6521"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D02CBF3" w14:textId="77777777" w:rsidR="00C03553" w:rsidRPr="008A26D2" w:rsidRDefault="00C03553" w:rsidP="00C03553">
            <w:pPr>
              <w:tabs>
                <w:tab w:val="left" w:pos="3375"/>
              </w:tabs>
              <w:ind w:left="128"/>
              <w:jc w:val="both"/>
              <w:rPr>
                <w:rFonts w:ascii="Arial" w:hAnsi="Arial" w:cs="Arial"/>
                <w:strike/>
                <w:sz w:val="20"/>
                <w:szCs w:val="20"/>
              </w:rPr>
            </w:pPr>
            <w:r w:rsidRPr="008A26D2">
              <w:rPr>
                <w:rFonts w:ascii="Arial" w:eastAsia="Arial Narrow" w:hAnsi="Arial" w:cs="Arial"/>
                <w:sz w:val="20"/>
                <w:szCs w:val="20"/>
              </w:rPr>
              <w:t>Porcentaje de regiones donde se realizan eventos de sensibilización a la población con enfoque cultural sobre la conservación y aprovechamiento sostenible de los recursos forestales y de la fauna silvestre</w:t>
            </w:r>
          </w:p>
        </w:tc>
      </w:tr>
    </w:tbl>
    <w:p w14:paraId="01406E58" w14:textId="77777777" w:rsidR="00237AFB" w:rsidRPr="008A26D2" w:rsidRDefault="00237AFB" w:rsidP="004C072E">
      <w:pPr>
        <w:pStyle w:val="Ttulo1"/>
        <w:numPr>
          <w:ilvl w:val="0"/>
          <w:numId w:val="7"/>
        </w:numPr>
        <w:ind w:left="426" w:hanging="426"/>
        <w:rPr>
          <w:rFonts w:ascii="Arial" w:hAnsi="Arial" w:cs="Arial"/>
          <w:b/>
          <w:color w:val="auto"/>
          <w:sz w:val="22"/>
          <w:szCs w:val="22"/>
        </w:rPr>
      </w:pPr>
      <w:bookmarkStart w:id="12" w:name="_Toc110337495"/>
      <w:r w:rsidRPr="008A26D2">
        <w:rPr>
          <w:rFonts w:ascii="Arial" w:hAnsi="Arial" w:cs="Arial"/>
          <w:b/>
          <w:color w:val="auto"/>
          <w:sz w:val="22"/>
          <w:szCs w:val="22"/>
        </w:rPr>
        <w:t>Identificación de las políticas relacionadas</w:t>
      </w:r>
      <w:bookmarkEnd w:id="12"/>
    </w:p>
    <w:p w14:paraId="1FD5D061" w14:textId="77777777" w:rsidR="00237AFB" w:rsidRPr="008A26D2" w:rsidRDefault="00237AFB" w:rsidP="00237AFB">
      <w:pPr>
        <w:pBdr>
          <w:top w:val="nil"/>
          <w:left w:val="nil"/>
          <w:bottom w:val="nil"/>
          <w:right w:val="nil"/>
          <w:between w:val="nil"/>
        </w:pBdr>
        <w:spacing w:after="0"/>
        <w:ind w:left="567"/>
        <w:jc w:val="both"/>
        <w:rPr>
          <w:rFonts w:ascii="Arial" w:hAnsi="Arial" w:cs="Arial"/>
        </w:rPr>
      </w:pPr>
    </w:p>
    <w:p w14:paraId="68A7EBBC" w14:textId="1314A49A" w:rsidR="00237AFB" w:rsidRPr="008A26D2" w:rsidRDefault="00237AFB" w:rsidP="00237AFB">
      <w:pPr>
        <w:spacing w:line="276" w:lineRule="auto"/>
        <w:ind w:left="360"/>
        <w:jc w:val="both"/>
        <w:rPr>
          <w:rFonts w:ascii="Arial" w:hAnsi="Arial" w:cs="Arial"/>
        </w:rPr>
      </w:pPr>
      <w:bookmarkStart w:id="13" w:name="_Toc102992421"/>
      <w:bookmarkEnd w:id="13"/>
      <w:r w:rsidRPr="008A26D2">
        <w:rPr>
          <w:rFonts w:ascii="Arial" w:hAnsi="Arial" w:cs="Arial"/>
        </w:rPr>
        <w:t>Para lograr resultados de manera más efectiva</w:t>
      </w:r>
      <w:r w:rsidR="002168D6" w:rsidRPr="008A26D2">
        <w:rPr>
          <w:rFonts w:ascii="Arial" w:hAnsi="Arial" w:cs="Arial"/>
        </w:rPr>
        <w:t>,</w:t>
      </w:r>
      <w:r w:rsidRPr="008A26D2">
        <w:rPr>
          <w:rFonts w:ascii="Arial" w:hAnsi="Arial" w:cs="Arial"/>
        </w:rPr>
        <w:t xml:space="preserve"> la Política Nacional Forestal y de Fauna Silvestre debe estar alineado con las prioridades nacionales y con otras políticas nacionales, asegurando la coherencia de la planificación estratégica en el Estado. De esa forma, se evita duplicidad de esfuerzos, gasto innecesario de recursos y desatención de otras áreas prioritarias para alcanzar mejores resultados en la población.</w:t>
      </w:r>
    </w:p>
    <w:p w14:paraId="0D0B701E" w14:textId="77777777" w:rsidR="00237AFB" w:rsidRPr="008A26D2" w:rsidRDefault="00237AFB" w:rsidP="00237AFB">
      <w:pPr>
        <w:spacing w:line="276" w:lineRule="auto"/>
        <w:ind w:left="360"/>
        <w:jc w:val="both"/>
        <w:rPr>
          <w:rFonts w:ascii="Arial" w:hAnsi="Arial" w:cs="Arial"/>
        </w:rPr>
      </w:pPr>
      <w:r w:rsidRPr="008A26D2">
        <w:rPr>
          <w:rFonts w:ascii="Arial" w:hAnsi="Arial" w:cs="Arial"/>
        </w:rPr>
        <w:t xml:space="preserve">Por ese motivo, se realiza un análisis a dos niveles: </w:t>
      </w:r>
    </w:p>
    <w:p w14:paraId="5EC76BA5" w14:textId="23797089" w:rsidR="00D91A43" w:rsidRPr="008A26D2" w:rsidRDefault="00237AFB" w:rsidP="004C072E">
      <w:pPr>
        <w:pStyle w:val="Prrafodelista"/>
        <w:numPr>
          <w:ilvl w:val="0"/>
          <w:numId w:val="9"/>
        </w:numPr>
        <w:spacing w:line="276" w:lineRule="auto"/>
        <w:jc w:val="both"/>
        <w:rPr>
          <w:rFonts w:ascii="Arial" w:hAnsi="Arial" w:cs="Arial"/>
        </w:rPr>
      </w:pPr>
      <w:r w:rsidRPr="008A26D2">
        <w:rPr>
          <w:rFonts w:ascii="Arial" w:hAnsi="Arial" w:cs="Arial"/>
          <w:b/>
          <w:bCs/>
        </w:rPr>
        <w:t>Nivel vertical.</w:t>
      </w:r>
      <w:r w:rsidRPr="008A26D2">
        <w:rPr>
          <w:rFonts w:ascii="Arial" w:hAnsi="Arial" w:cs="Arial"/>
        </w:rPr>
        <w:t xml:space="preserve"> En este análisis se busca alinear los objetivos prioritarios de la Política Nacional Forestal y de Fauna Silvestre con las prioridades nacionales de largo plazo expresados en</w:t>
      </w:r>
      <w:r w:rsidR="00D91A43" w:rsidRPr="008A26D2">
        <w:rPr>
          <w:rFonts w:ascii="Arial" w:hAnsi="Arial" w:cs="Arial"/>
        </w:rPr>
        <w:t>:</w:t>
      </w:r>
    </w:p>
    <w:p w14:paraId="0CCF3BEA" w14:textId="77777777" w:rsidR="00AB1B19" w:rsidRPr="008A26D2" w:rsidRDefault="00D91A43" w:rsidP="004C072E">
      <w:pPr>
        <w:pStyle w:val="Prrafodelista"/>
        <w:numPr>
          <w:ilvl w:val="0"/>
          <w:numId w:val="10"/>
        </w:numPr>
        <w:ind w:left="993" w:hanging="284"/>
        <w:jc w:val="both"/>
        <w:rPr>
          <w:rFonts w:ascii="Arial" w:eastAsia="Droid Sans Fallback" w:hAnsi="Arial" w:cs="Arial"/>
          <w:kern w:val="3"/>
          <w:lang w:eastAsia="zh-CN" w:bidi="hi-IN"/>
        </w:rPr>
      </w:pPr>
      <w:r w:rsidRPr="008A26D2">
        <w:rPr>
          <w:rFonts w:ascii="Arial" w:hAnsi="Arial" w:cs="Arial"/>
        </w:rPr>
        <w:t>L</w:t>
      </w:r>
      <w:r w:rsidR="00237AFB" w:rsidRPr="008A26D2">
        <w:rPr>
          <w:rFonts w:ascii="Arial" w:hAnsi="Arial" w:cs="Arial"/>
        </w:rPr>
        <w:t xml:space="preserve">as Políticas de Estado del Acuerdo Nacional, las cuales están agrupadas en “ejes temáticos” y </w:t>
      </w:r>
      <w:r w:rsidRPr="008A26D2">
        <w:rPr>
          <w:rFonts w:ascii="Arial" w:hAnsi="Arial" w:cs="Arial"/>
        </w:rPr>
        <w:t xml:space="preserve">lineamientos generales que orientan el accionar del Estado en el largo plazo. Para la Política Nacional Forestal y de Fauna Silvestre se ha tomado en cuenta </w:t>
      </w:r>
      <w:r w:rsidRPr="008A26D2">
        <w:rPr>
          <w:rFonts w:ascii="Arial" w:eastAsia="Droid Sans Fallback" w:hAnsi="Arial" w:cs="Arial"/>
          <w:kern w:val="3"/>
          <w:lang w:eastAsia="zh-CN" w:bidi="hi-IN"/>
        </w:rPr>
        <w:t xml:space="preserve">las políticas de estado establecidas en los siguientes ejes temáticos:  </w:t>
      </w:r>
    </w:p>
    <w:p w14:paraId="038CAC40" w14:textId="77777777" w:rsidR="00AB1B19" w:rsidRPr="008A26D2" w:rsidRDefault="00D91A43" w:rsidP="004C072E">
      <w:pPr>
        <w:pStyle w:val="Prrafodelista"/>
        <w:numPr>
          <w:ilvl w:val="1"/>
          <w:numId w:val="10"/>
        </w:numPr>
        <w:ind w:left="1276" w:hanging="283"/>
        <w:jc w:val="both"/>
        <w:rPr>
          <w:rFonts w:ascii="Arial" w:eastAsia="Droid Sans Fallback" w:hAnsi="Arial" w:cs="Arial"/>
          <w:kern w:val="3"/>
          <w:lang w:eastAsia="zh-CN" w:bidi="hi-IN"/>
        </w:rPr>
      </w:pPr>
      <w:r w:rsidRPr="008A26D2">
        <w:rPr>
          <w:rFonts w:ascii="Arial" w:eastAsia="Droid Sans Fallback" w:hAnsi="Arial" w:cs="Arial"/>
          <w:kern w:val="3"/>
          <w:lang w:eastAsia="zh-CN" w:bidi="hi-IN"/>
        </w:rPr>
        <w:t xml:space="preserve">Eje 2: Equidad y justicia social; </w:t>
      </w:r>
    </w:p>
    <w:p w14:paraId="37063DC4" w14:textId="77777777" w:rsidR="00AB1B19" w:rsidRPr="008A26D2" w:rsidRDefault="00D91A43" w:rsidP="004C072E">
      <w:pPr>
        <w:pStyle w:val="Prrafodelista"/>
        <w:numPr>
          <w:ilvl w:val="1"/>
          <w:numId w:val="10"/>
        </w:numPr>
        <w:ind w:left="1276" w:hanging="283"/>
        <w:jc w:val="both"/>
        <w:rPr>
          <w:rFonts w:ascii="Arial" w:eastAsia="Droid Sans Fallback" w:hAnsi="Arial" w:cs="Arial"/>
          <w:kern w:val="3"/>
          <w:lang w:eastAsia="zh-CN" w:bidi="hi-IN"/>
        </w:rPr>
      </w:pPr>
      <w:r w:rsidRPr="008A26D2">
        <w:rPr>
          <w:rFonts w:ascii="Arial" w:eastAsia="Droid Sans Fallback" w:hAnsi="Arial" w:cs="Arial"/>
          <w:kern w:val="3"/>
          <w:lang w:eastAsia="zh-CN" w:bidi="hi-IN"/>
        </w:rPr>
        <w:t xml:space="preserve">Eje 3: Competitividad del país; </w:t>
      </w:r>
    </w:p>
    <w:p w14:paraId="0BFE7D62" w14:textId="77777777" w:rsidR="00AB1B19" w:rsidRPr="008A26D2" w:rsidRDefault="00D91A43" w:rsidP="004C072E">
      <w:pPr>
        <w:pStyle w:val="Prrafodelista"/>
        <w:numPr>
          <w:ilvl w:val="1"/>
          <w:numId w:val="10"/>
        </w:numPr>
        <w:ind w:left="1276" w:hanging="283"/>
        <w:jc w:val="both"/>
        <w:rPr>
          <w:rFonts w:ascii="Arial" w:eastAsia="Droid Sans Fallback" w:hAnsi="Arial" w:cs="Arial"/>
          <w:kern w:val="3"/>
          <w:lang w:eastAsia="zh-CN" w:bidi="hi-IN"/>
        </w:rPr>
      </w:pPr>
      <w:r w:rsidRPr="008A26D2">
        <w:rPr>
          <w:rFonts w:ascii="Arial" w:eastAsia="Droid Sans Fallback" w:hAnsi="Arial" w:cs="Arial"/>
          <w:kern w:val="3"/>
          <w:lang w:eastAsia="zh-CN" w:bidi="hi-IN"/>
        </w:rPr>
        <w:t xml:space="preserve">Eje 4: Estado Eficiente, Transparente y Descentralizado. </w:t>
      </w:r>
    </w:p>
    <w:p w14:paraId="3ADD8B6E" w14:textId="77777777" w:rsidR="00D91A43" w:rsidRPr="008A26D2" w:rsidRDefault="00D91A43" w:rsidP="00D91A43">
      <w:pPr>
        <w:pStyle w:val="Prrafodelista"/>
        <w:spacing w:line="276" w:lineRule="auto"/>
        <w:ind w:left="993" w:hanging="284"/>
        <w:jc w:val="both"/>
        <w:rPr>
          <w:rFonts w:ascii="Arial" w:hAnsi="Arial" w:cs="Arial"/>
        </w:rPr>
      </w:pPr>
    </w:p>
    <w:p w14:paraId="0F9B831A" w14:textId="3DCC316D" w:rsidR="00AB1B19" w:rsidRPr="008A26D2" w:rsidRDefault="00D91A43" w:rsidP="004C072E">
      <w:pPr>
        <w:pStyle w:val="Prrafodelista"/>
        <w:numPr>
          <w:ilvl w:val="0"/>
          <w:numId w:val="10"/>
        </w:numPr>
        <w:ind w:left="993" w:hanging="284"/>
        <w:jc w:val="both"/>
        <w:rPr>
          <w:rFonts w:ascii="Arial" w:eastAsia="Droid Sans Fallback" w:hAnsi="Arial" w:cs="Arial"/>
          <w:kern w:val="3"/>
          <w:lang w:eastAsia="zh-CN" w:bidi="hi-IN"/>
        </w:rPr>
      </w:pPr>
      <w:r w:rsidRPr="008A26D2">
        <w:rPr>
          <w:rFonts w:ascii="Arial" w:hAnsi="Arial" w:cs="Arial"/>
        </w:rPr>
        <w:lastRenderedPageBreak/>
        <w:t>E</w:t>
      </w:r>
      <w:r w:rsidR="00237AFB" w:rsidRPr="008A26D2">
        <w:rPr>
          <w:rFonts w:ascii="Arial" w:hAnsi="Arial" w:cs="Arial"/>
        </w:rPr>
        <w:t xml:space="preserve">l Plan Estratégico de Desarrollo Nacional </w:t>
      </w:r>
      <w:r w:rsidRPr="008A26D2">
        <w:rPr>
          <w:rFonts w:ascii="Arial" w:hAnsi="Arial" w:cs="Arial"/>
        </w:rPr>
        <w:t>al 2050</w:t>
      </w:r>
      <w:r w:rsidR="00566937" w:rsidRPr="008A26D2">
        <w:rPr>
          <w:rStyle w:val="Refdenotaalpie"/>
          <w:rFonts w:ascii="Arial" w:hAnsi="Arial" w:cs="Arial"/>
        </w:rPr>
        <w:footnoteReference w:id="6"/>
      </w:r>
      <w:r w:rsidRPr="008A26D2">
        <w:rPr>
          <w:rFonts w:ascii="Arial" w:hAnsi="Arial" w:cs="Arial"/>
        </w:rPr>
        <w:t xml:space="preserve"> el cual </w:t>
      </w:r>
      <w:r w:rsidRPr="008A26D2">
        <w:rPr>
          <w:rFonts w:ascii="Arial" w:eastAsia="Droid Sans Fallback" w:hAnsi="Arial" w:cs="Arial"/>
          <w:kern w:val="3"/>
          <w:lang w:eastAsia="zh-CN" w:bidi="hi-IN"/>
        </w:rPr>
        <w:t>considera los problemas estructurales del país, los desafíos futuros y plantea una oportunidad de cambio</w:t>
      </w:r>
      <w:r w:rsidR="00AB1B19" w:rsidRPr="008A26D2">
        <w:rPr>
          <w:rFonts w:ascii="Arial" w:hAnsi="Arial" w:cs="Arial"/>
        </w:rPr>
        <w:t xml:space="preserve">. </w:t>
      </w:r>
      <w:r w:rsidR="00AB1B19" w:rsidRPr="008A26D2">
        <w:rPr>
          <w:rFonts w:ascii="Arial" w:eastAsia="Droid Sans Fallback" w:hAnsi="Arial" w:cs="Arial"/>
          <w:kern w:val="3"/>
          <w:lang w:eastAsia="zh-CN" w:bidi="hi-IN"/>
        </w:rPr>
        <w:t xml:space="preserve">La </w:t>
      </w:r>
      <w:r w:rsidR="00AB1B19" w:rsidRPr="008A26D2">
        <w:rPr>
          <w:rFonts w:ascii="Arial" w:hAnsi="Arial" w:cs="Arial"/>
        </w:rPr>
        <w:t>Política Nacional Forestal y de Fauna Silvestre está vinculada con los siguientes objetivos nacionales:</w:t>
      </w:r>
    </w:p>
    <w:p w14:paraId="3D4B5C48" w14:textId="77777777" w:rsidR="00AB1B19" w:rsidRPr="008A26D2" w:rsidRDefault="00AB1B19" w:rsidP="00AB1B19">
      <w:pPr>
        <w:pStyle w:val="Prrafodelista"/>
        <w:rPr>
          <w:rFonts w:ascii="Arial" w:eastAsia="Droid Sans Fallback" w:hAnsi="Arial" w:cs="Arial"/>
          <w:kern w:val="3"/>
          <w:lang w:eastAsia="zh-CN" w:bidi="hi-IN"/>
        </w:rPr>
      </w:pPr>
    </w:p>
    <w:p w14:paraId="431015B4" w14:textId="5F7E2BB5" w:rsidR="00AB1B19" w:rsidRPr="008A26D2" w:rsidRDefault="00AB1B19" w:rsidP="004C072E">
      <w:pPr>
        <w:pStyle w:val="Prrafodelista"/>
        <w:numPr>
          <w:ilvl w:val="1"/>
          <w:numId w:val="10"/>
        </w:numPr>
        <w:ind w:left="1276" w:hanging="283"/>
        <w:jc w:val="both"/>
        <w:rPr>
          <w:rFonts w:ascii="Arial" w:hAnsi="Arial" w:cs="Arial"/>
        </w:rPr>
      </w:pPr>
      <w:r w:rsidRPr="008A26D2">
        <w:rPr>
          <w:rFonts w:ascii="Arial" w:hAnsi="Arial" w:cs="Arial"/>
        </w:rPr>
        <w:t>ON2</w:t>
      </w:r>
      <w:r w:rsidR="00450E55" w:rsidRPr="008A26D2">
        <w:rPr>
          <w:rFonts w:ascii="Arial" w:hAnsi="Arial" w:cs="Arial"/>
        </w:rPr>
        <w:t>:</w:t>
      </w:r>
      <w:r w:rsidRPr="008A26D2">
        <w:rPr>
          <w:rFonts w:ascii="Arial" w:hAnsi="Arial" w:cs="Arial"/>
        </w:rPr>
        <w:t xml:space="preserve"> Gestionar el territorio de manera sostenible a fin de prevenir y reducir los riesgos y amenazas que afectan a las personas y sus medios de vida, con el uso intensivo del conocimiento y las comunicaciones, reconociendo la diversidad geográfica y cultural, en un contexto de cambio climático. </w:t>
      </w:r>
    </w:p>
    <w:p w14:paraId="388DCC60" w14:textId="1E36DC55" w:rsidR="00AB1B19" w:rsidRPr="008A26D2" w:rsidRDefault="00AB1B19" w:rsidP="004C072E">
      <w:pPr>
        <w:pStyle w:val="Prrafodelista"/>
        <w:numPr>
          <w:ilvl w:val="1"/>
          <w:numId w:val="10"/>
        </w:numPr>
        <w:ind w:left="1276" w:hanging="283"/>
        <w:jc w:val="both"/>
        <w:rPr>
          <w:rFonts w:ascii="Arial" w:hAnsi="Arial" w:cs="Arial"/>
        </w:rPr>
      </w:pPr>
      <w:r w:rsidRPr="008A26D2">
        <w:rPr>
          <w:rFonts w:ascii="Arial" w:hAnsi="Arial" w:cs="Arial"/>
        </w:rPr>
        <w:t>ON3</w:t>
      </w:r>
      <w:r w:rsidR="00450E55" w:rsidRPr="008A26D2">
        <w:rPr>
          <w:rFonts w:ascii="Arial" w:hAnsi="Arial" w:cs="Arial"/>
        </w:rPr>
        <w:t>:</w:t>
      </w:r>
      <w:r w:rsidRPr="008A26D2">
        <w:rPr>
          <w:rFonts w:ascii="Arial" w:hAnsi="Arial" w:cs="Arial"/>
        </w:rPr>
        <w:t xml:space="preserve"> Elevar los niveles de competitividad y productividad con empleo decente y en base al aprovechamiento sostenible de los recursos, el capital humano, el uso intensivo de la ciencia y tecnología, y la transformación digital del país </w:t>
      </w:r>
    </w:p>
    <w:p w14:paraId="00BD26FD" w14:textId="16EFC6D0" w:rsidR="00AB1B19" w:rsidRPr="008A26D2" w:rsidRDefault="00AB1B19" w:rsidP="004C072E">
      <w:pPr>
        <w:pStyle w:val="Prrafodelista"/>
        <w:numPr>
          <w:ilvl w:val="1"/>
          <w:numId w:val="10"/>
        </w:numPr>
        <w:ind w:left="1276" w:hanging="283"/>
        <w:jc w:val="both"/>
        <w:rPr>
          <w:rFonts w:ascii="Arial" w:hAnsi="Arial" w:cs="Arial"/>
        </w:rPr>
      </w:pPr>
      <w:r w:rsidRPr="008A26D2">
        <w:rPr>
          <w:rFonts w:ascii="Arial" w:hAnsi="Arial" w:cs="Arial"/>
        </w:rPr>
        <w:t>ON4</w:t>
      </w:r>
      <w:r w:rsidR="00450E55" w:rsidRPr="008A26D2">
        <w:rPr>
          <w:rFonts w:ascii="Arial" w:hAnsi="Arial" w:cs="Arial"/>
        </w:rPr>
        <w:t>:</w:t>
      </w:r>
      <w:r w:rsidRPr="008A26D2">
        <w:rPr>
          <w:rFonts w:ascii="Arial" w:hAnsi="Arial" w:cs="Arial"/>
        </w:rPr>
        <w:t xml:space="preserve"> Garantizar una sociedad justa, democrática, pacífica y un Estado efectivo al servicio de las personas, en base al diálogo, la concertación nacional y el fortalecimiento de las instituciones. </w:t>
      </w:r>
    </w:p>
    <w:p w14:paraId="35D1B929" w14:textId="43D565C3" w:rsidR="00D91A43" w:rsidRPr="008A26D2" w:rsidRDefault="00D91A43" w:rsidP="00AB1B19">
      <w:pPr>
        <w:pStyle w:val="Prrafodelista"/>
        <w:ind w:left="993"/>
        <w:jc w:val="both"/>
        <w:rPr>
          <w:rFonts w:ascii="Arial" w:hAnsi="Arial" w:cs="Arial"/>
        </w:rPr>
      </w:pPr>
    </w:p>
    <w:p w14:paraId="0AD8DE68" w14:textId="3BBACED2" w:rsidR="00237AFB" w:rsidRPr="008A26D2" w:rsidRDefault="00AB1B19" w:rsidP="004C072E">
      <w:pPr>
        <w:pStyle w:val="Prrafodelista"/>
        <w:numPr>
          <w:ilvl w:val="0"/>
          <w:numId w:val="10"/>
        </w:numPr>
        <w:ind w:left="993" w:hanging="284"/>
        <w:jc w:val="both"/>
        <w:rPr>
          <w:rFonts w:ascii="Arial" w:hAnsi="Arial" w:cs="Arial"/>
        </w:rPr>
      </w:pPr>
      <w:r w:rsidRPr="008A26D2">
        <w:rPr>
          <w:rFonts w:ascii="Arial" w:hAnsi="Arial" w:cs="Arial"/>
        </w:rPr>
        <w:t>L</w:t>
      </w:r>
      <w:r w:rsidR="00237AFB" w:rsidRPr="008A26D2">
        <w:rPr>
          <w:rFonts w:ascii="Arial" w:hAnsi="Arial" w:cs="Arial"/>
        </w:rPr>
        <w:t>a Política General de Gobierno</w:t>
      </w:r>
      <w:r w:rsidR="00237AFB" w:rsidRPr="008A26D2">
        <w:rPr>
          <w:rStyle w:val="Refdenotaalpie"/>
          <w:rFonts w:ascii="Arial" w:hAnsi="Arial" w:cs="Arial"/>
        </w:rPr>
        <w:footnoteReference w:id="7"/>
      </w:r>
      <w:r w:rsidR="00237AFB" w:rsidRPr="008A26D2">
        <w:rPr>
          <w:rFonts w:ascii="Arial" w:hAnsi="Arial" w:cs="Arial"/>
        </w:rPr>
        <w:t>, el mismo que contiene ejes estratégicos, lineamientos y líneas de intervención</w:t>
      </w:r>
      <w:r w:rsidR="00566937" w:rsidRPr="008A26D2">
        <w:rPr>
          <w:rFonts w:ascii="Arial" w:hAnsi="Arial" w:cs="Arial"/>
        </w:rPr>
        <w:t xml:space="preserve"> priorizadas que se desarrollan a través de políticas nacionales en el periodo de gobierno</w:t>
      </w:r>
      <w:r w:rsidR="00237AFB" w:rsidRPr="008A26D2">
        <w:rPr>
          <w:rFonts w:ascii="Arial" w:hAnsi="Arial" w:cs="Arial"/>
        </w:rPr>
        <w:t xml:space="preserve">. </w:t>
      </w:r>
      <w:r w:rsidR="00566937" w:rsidRPr="008A26D2">
        <w:rPr>
          <w:rFonts w:ascii="Arial" w:eastAsia="Droid Sans Fallback" w:hAnsi="Arial" w:cs="Arial"/>
          <w:kern w:val="3"/>
          <w:lang w:eastAsia="zh-CN" w:bidi="hi-IN"/>
        </w:rPr>
        <w:t xml:space="preserve">La </w:t>
      </w:r>
      <w:r w:rsidR="00566937" w:rsidRPr="008A26D2">
        <w:rPr>
          <w:rFonts w:ascii="Arial" w:hAnsi="Arial" w:cs="Arial"/>
        </w:rPr>
        <w:t>Política Nacional Forestal y de Fauna Silvestre está vinculada con los siguientes ejes temáticos:</w:t>
      </w:r>
    </w:p>
    <w:p w14:paraId="22DBDDB2" w14:textId="2511F5C0" w:rsidR="006A06CB" w:rsidRPr="008A26D2" w:rsidRDefault="006A06CB" w:rsidP="004C072E">
      <w:pPr>
        <w:pStyle w:val="Prrafodelista"/>
        <w:numPr>
          <w:ilvl w:val="1"/>
          <w:numId w:val="10"/>
        </w:numPr>
        <w:ind w:left="1276" w:hanging="283"/>
        <w:jc w:val="both"/>
        <w:rPr>
          <w:rFonts w:ascii="Arial" w:hAnsi="Arial" w:cs="Arial"/>
        </w:rPr>
      </w:pPr>
      <w:r w:rsidRPr="008A26D2">
        <w:rPr>
          <w:rFonts w:ascii="Arial" w:hAnsi="Arial" w:cs="Arial"/>
        </w:rPr>
        <w:t>Eje 2: Concertación y diálogo nacional</w:t>
      </w:r>
    </w:p>
    <w:p w14:paraId="089D22A9" w14:textId="3E5375D2" w:rsidR="00566937" w:rsidRPr="008A26D2" w:rsidRDefault="00566937" w:rsidP="004C072E">
      <w:pPr>
        <w:pStyle w:val="Prrafodelista"/>
        <w:numPr>
          <w:ilvl w:val="1"/>
          <w:numId w:val="10"/>
        </w:numPr>
        <w:ind w:left="1276" w:hanging="283"/>
        <w:jc w:val="both"/>
        <w:rPr>
          <w:rFonts w:ascii="Arial" w:hAnsi="Arial" w:cs="Arial"/>
        </w:rPr>
      </w:pPr>
      <w:r w:rsidRPr="008A26D2">
        <w:rPr>
          <w:rFonts w:ascii="Arial" w:hAnsi="Arial" w:cs="Arial"/>
        </w:rPr>
        <w:t xml:space="preserve">Eje </w:t>
      </w:r>
      <w:r w:rsidR="00E043DB" w:rsidRPr="008A26D2">
        <w:rPr>
          <w:rFonts w:ascii="Arial" w:hAnsi="Arial" w:cs="Arial"/>
        </w:rPr>
        <w:t>3</w:t>
      </w:r>
      <w:r w:rsidRPr="008A26D2">
        <w:rPr>
          <w:rFonts w:ascii="Arial" w:hAnsi="Arial" w:cs="Arial"/>
        </w:rPr>
        <w:t xml:space="preserve">: </w:t>
      </w:r>
      <w:r w:rsidR="00E043DB" w:rsidRPr="008A26D2">
        <w:rPr>
          <w:rFonts w:ascii="Arial" w:hAnsi="Arial" w:cs="Arial"/>
        </w:rPr>
        <w:t>Protección social para el desarrollo</w:t>
      </w:r>
    </w:p>
    <w:p w14:paraId="0638A4F1" w14:textId="1F5DAAAE" w:rsidR="00566937" w:rsidRPr="008A26D2" w:rsidRDefault="00566937" w:rsidP="004C072E">
      <w:pPr>
        <w:pStyle w:val="Prrafodelista"/>
        <w:numPr>
          <w:ilvl w:val="1"/>
          <w:numId w:val="10"/>
        </w:numPr>
        <w:ind w:left="1276" w:hanging="283"/>
        <w:jc w:val="both"/>
        <w:rPr>
          <w:rFonts w:ascii="Arial" w:hAnsi="Arial" w:cs="Arial"/>
        </w:rPr>
      </w:pPr>
      <w:r w:rsidRPr="008A26D2">
        <w:rPr>
          <w:rFonts w:ascii="Arial" w:hAnsi="Arial" w:cs="Arial"/>
        </w:rPr>
        <w:t xml:space="preserve">Eje </w:t>
      </w:r>
      <w:r w:rsidR="00E043DB" w:rsidRPr="008A26D2">
        <w:rPr>
          <w:rFonts w:ascii="Arial" w:hAnsi="Arial" w:cs="Arial"/>
        </w:rPr>
        <w:t>4</w:t>
      </w:r>
      <w:r w:rsidRPr="008A26D2">
        <w:rPr>
          <w:rFonts w:ascii="Arial" w:hAnsi="Arial" w:cs="Arial"/>
        </w:rPr>
        <w:t xml:space="preserve">: </w:t>
      </w:r>
      <w:r w:rsidR="00E043DB" w:rsidRPr="008A26D2">
        <w:rPr>
          <w:rFonts w:ascii="Arial" w:hAnsi="Arial" w:cs="Arial"/>
        </w:rPr>
        <w:t>Reactivación económica</w:t>
      </w:r>
    </w:p>
    <w:p w14:paraId="5CCB2B82" w14:textId="2C74545B" w:rsidR="00566937" w:rsidRPr="008A26D2" w:rsidRDefault="00E15E42" w:rsidP="002168D6">
      <w:pPr>
        <w:ind w:left="720" w:hanging="11"/>
        <w:jc w:val="both"/>
        <w:rPr>
          <w:rFonts w:ascii="Arial" w:hAnsi="Arial" w:cs="Arial"/>
        </w:rPr>
      </w:pPr>
      <w:r w:rsidRPr="008A26D2">
        <w:rPr>
          <w:rFonts w:ascii="Arial" w:hAnsi="Arial" w:cs="Arial"/>
        </w:rPr>
        <w:t xml:space="preserve">En el Anexo N° </w:t>
      </w:r>
      <w:r w:rsidR="00090599" w:rsidRPr="008A26D2">
        <w:rPr>
          <w:rFonts w:ascii="Arial" w:hAnsi="Arial" w:cs="Arial"/>
        </w:rPr>
        <w:t>3</w:t>
      </w:r>
      <w:r w:rsidRPr="008A26D2">
        <w:rPr>
          <w:rFonts w:ascii="Arial" w:hAnsi="Arial" w:cs="Arial"/>
        </w:rPr>
        <w:t xml:space="preserve"> se presenta la matriz del alineamiento vertical.</w:t>
      </w:r>
    </w:p>
    <w:p w14:paraId="3CD8F567" w14:textId="3EC2389D" w:rsidR="00237AFB" w:rsidRPr="008A26D2" w:rsidRDefault="00237AFB" w:rsidP="004C072E">
      <w:pPr>
        <w:pStyle w:val="Prrafodelista"/>
        <w:numPr>
          <w:ilvl w:val="0"/>
          <w:numId w:val="9"/>
        </w:numPr>
        <w:spacing w:line="276" w:lineRule="auto"/>
        <w:ind w:left="709" w:hanging="425"/>
        <w:jc w:val="both"/>
        <w:rPr>
          <w:rFonts w:ascii="Arial" w:hAnsi="Arial" w:cs="Arial"/>
        </w:rPr>
      </w:pPr>
      <w:r w:rsidRPr="008A26D2">
        <w:rPr>
          <w:rFonts w:ascii="Arial" w:hAnsi="Arial" w:cs="Arial"/>
          <w:b/>
          <w:bCs/>
        </w:rPr>
        <w:t>Nivel horizontal</w:t>
      </w:r>
      <w:r w:rsidRPr="008A26D2">
        <w:rPr>
          <w:rFonts w:ascii="Arial" w:hAnsi="Arial" w:cs="Arial"/>
        </w:rPr>
        <w:t xml:space="preserve">. En este análisis se busca articular los lineamientos de la Política Nacional Forestal y de Fauna Silvestre con los lineamientos de otras políticas nacionales vigentes vinculadas directa o indirectamente con las actividades forestales y de fauna silvestre en el país. </w:t>
      </w:r>
      <w:r w:rsidR="00E15E42" w:rsidRPr="008A26D2">
        <w:rPr>
          <w:rFonts w:ascii="Arial" w:hAnsi="Arial" w:cs="Arial"/>
        </w:rPr>
        <w:t>Al respecto, la Política Nacional Forestal y de Fauna Silvestre se encuentra alineada a las siguientes políticas:</w:t>
      </w:r>
    </w:p>
    <w:p w14:paraId="5958CD20" w14:textId="6D4E35B3" w:rsidR="00E15E42" w:rsidRPr="008A26D2" w:rsidRDefault="00E15E42" w:rsidP="004C072E">
      <w:pPr>
        <w:pStyle w:val="Prrafodelista"/>
        <w:numPr>
          <w:ilvl w:val="0"/>
          <w:numId w:val="11"/>
        </w:numPr>
        <w:spacing w:line="276" w:lineRule="auto"/>
        <w:jc w:val="both"/>
        <w:rPr>
          <w:rFonts w:ascii="Arial" w:hAnsi="Arial" w:cs="Arial"/>
        </w:rPr>
      </w:pPr>
      <w:r w:rsidRPr="008A26D2">
        <w:rPr>
          <w:rFonts w:ascii="Arial" w:eastAsia="Times New Roman" w:hAnsi="Arial" w:cs="Arial"/>
        </w:rPr>
        <w:t>Política Nacional Multisectorial de Salud al 2030</w:t>
      </w:r>
    </w:p>
    <w:p w14:paraId="55596F16" w14:textId="77777777" w:rsidR="00E15E42" w:rsidRPr="008A26D2" w:rsidRDefault="00E15E42" w:rsidP="004C072E">
      <w:pPr>
        <w:pStyle w:val="Prrafodelista"/>
        <w:numPr>
          <w:ilvl w:val="0"/>
          <w:numId w:val="11"/>
        </w:numPr>
        <w:spacing w:after="0" w:line="240" w:lineRule="auto"/>
        <w:rPr>
          <w:rFonts w:ascii="Arial" w:eastAsia="Times New Roman" w:hAnsi="Arial" w:cs="Arial"/>
        </w:rPr>
      </w:pPr>
      <w:r w:rsidRPr="008A26D2">
        <w:rPr>
          <w:rFonts w:ascii="Arial" w:hAnsi="Arial" w:cs="Arial"/>
        </w:rPr>
        <w:t>Política Nacional de Ambiente al 2030</w:t>
      </w:r>
    </w:p>
    <w:p w14:paraId="6C6F0132" w14:textId="6BC70090" w:rsidR="00E15E42" w:rsidRPr="008A26D2" w:rsidRDefault="00E15E42" w:rsidP="004C072E">
      <w:pPr>
        <w:pStyle w:val="Prrafodelista"/>
        <w:numPr>
          <w:ilvl w:val="0"/>
          <w:numId w:val="11"/>
        </w:numPr>
        <w:spacing w:line="276" w:lineRule="auto"/>
        <w:jc w:val="both"/>
        <w:rPr>
          <w:rFonts w:ascii="Arial" w:hAnsi="Arial" w:cs="Arial"/>
        </w:rPr>
      </w:pPr>
      <w:r w:rsidRPr="008A26D2">
        <w:rPr>
          <w:rFonts w:ascii="Arial" w:eastAsia="Times New Roman" w:hAnsi="Arial" w:cs="Arial"/>
        </w:rPr>
        <w:t>Política Nacional Agraria al 2030</w:t>
      </w:r>
    </w:p>
    <w:p w14:paraId="4C6D866E" w14:textId="20CAF604" w:rsidR="00E15E42" w:rsidRPr="008A26D2" w:rsidRDefault="00E15E42" w:rsidP="004C072E">
      <w:pPr>
        <w:pStyle w:val="Prrafodelista"/>
        <w:numPr>
          <w:ilvl w:val="0"/>
          <w:numId w:val="11"/>
        </w:numPr>
        <w:spacing w:line="276" w:lineRule="auto"/>
        <w:jc w:val="both"/>
        <w:rPr>
          <w:rFonts w:ascii="Arial" w:hAnsi="Arial" w:cs="Arial"/>
        </w:rPr>
      </w:pPr>
      <w:r w:rsidRPr="008A26D2">
        <w:rPr>
          <w:rFonts w:ascii="Arial" w:eastAsia="Times New Roman" w:hAnsi="Arial" w:cs="Arial"/>
        </w:rPr>
        <w:t>Política Nacional de Cultura al 2030</w:t>
      </w:r>
    </w:p>
    <w:p w14:paraId="12298975" w14:textId="5FE18917" w:rsidR="00E15E42" w:rsidRPr="008A26D2" w:rsidRDefault="00E15E42" w:rsidP="004C072E">
      <w:pPr>
        <w:pStyle w:val="Prrafodelista"/>
        <w:numPr>
          <w:ilvl w:val="0"/>
          <w:numId w:val="11"/>
        </w:numPr>
        <w:spacing w:line="276" w:lineRule="auto"/>
        <w:jc w:val="both"/>
        <w:rPr>
          <w:rFonts w:ascii="Arial" w:hAnsi="Arial" w:cs="Arial"/>
        </w:rPr>
      </w:pPr>
      <w:r w:rsidRPr="008A26D2">
        <w:rPr>
          <w:rFonts w:ascii="Arial" w:eastAsia="Times New Roman" w:hAnsi="Arial" w:cs="Arial"/>
        </w:rPr>
        <w:t>Política Nacional para el Desarrollo de la Ciencia, Tecnología e Innovación Tecnológica</w:t>
      </w:r>
    </w:p>
    <w:p w14:paraId="6A552892" w14:textId="2CF8F1A5" w:rsidR="00E15E42" w:rsidRPr="008A26D2" w:rsidRDefault="00E15E42" w:rsidP="004C072E">
      <w:pPr>
        <w:pStyle w:val="Prrafodelista"/>
        <w:numPr>
          <w:ilvl w:val="0"/>
          <w:numId w:val="11"/>
        </w:numPr>
        <w:spacing w:line="276" w:lineRule="auto"/>
        <w:jc w:val="both"/>
        <w:rPr>
          <w:rFonts w:ascii="Arial" w:hAnsi="Arial" w:cs="Arial"/>
        </w:rPr>
      </w:pPr>
      <w:r w:rsidRPr="008A26D2">
        <w:rPr>
          <w:rFonts w:ascii="Arial" w:hAnsi="Arial" w:cs="Arial"/>
        </w:rPr>
        <w:t>Política Nacional de Competitividad y Productividad</w:t>
      </w:r>
    </w:p>
    <w:p w14:paraId="655B231A" w14:textId="7439D14B" w:rsidR="00E15E42" w:rsidRPr="008A26D2" w:rsidRDefault="00E15E42" w:rsidP="004C072E">
      <w:pPr>
        <w:pStyle w:val="Prrafodelista"/>
        <w:numPr>
          <w:ilvl w:val="0"/>
          <w:numId w:val="11"/>
        </w:numPr>
        <w:spacing w:line="276" w:lineRule="auto"/>
        <w:jc w:val="both"/>
        <w:rPr>
          <w:rFonts w:ascii="Arial" w:hAnsi="Arial" w:cs="Arial"/>
        </w:rPr>
      </w:pPr>
      <w:r w:rsidRPr="008A26D2">
        <w:rPr>
          <w:rFonts w:ascii="Arial" w:eastAsia="Times New Roman" w:hAnsi="Arial" w:cs="Arial"/>
        </w:rPr>
        <w:t>Política Nacional en Comercio Exterior – PENX</w:t>
      </w:r>
    </w:p>
    <w:p w14:paraId="691F182A" w14:textId="68EEEF14" w:rsidR="00E15E42" w:rsidRPr="008A26D2" w:rsidRDefault="00E15E42" w:rsidP="004C072E">
      <w:pPr>
        <w:pStyle w:val="Prrafodelista"/>
        <w:numPr>
          <w:ilvl w:val="0"/>
          <w:numId w:val="11"/>
        </w:numPr>
        <w:spacing w:line="276" w:lineRule="auto"/>
        <w:jc w:val="both"/>
        <w:rPr>
          <w:rFonts w:ascii="Arial" w:hAnsi="Arial" w:cs="Arial"/>
        </w:rPr>
      </w:pPr>
      <w:r w:rsidRPr="008A26D2">
        <w:rPr>
          <w:rFonts w:ascii="Arial" w:eastAsia="Times New Roman" w:hAnsi="Arial" w:cs="Arial"/>
        </w:rPr>
        <w:t>Política Nacional de Transversalización del Enfoque Intercultural</w:t>
      </w:r>
    </w:p>
    <w:p w14:paraId="512B33BB" w14:textId="3E2C80EE" w:rsidR="00E15E42" w:rsidRPr="008A26D2" w:rsidRDefault="00E15E42" w:rsidP="00E21821">
      <w:pPr>
        <w:ind w:left="720" w:hanging="436"/>
        <w:jc w:val="both"/>
        <w:rPr>
          <w:rFonts w:ascii="Arial" w:hAnsi="Arial" w:cs="Arial"/>
        </w:rPr>
      </w:pPr>
      <w:r w:rsidRPr="008A26D2">
        <w:rPr>
          <w:rFonts w:ascii="Arial" w:hAnsi="Arial" w:cs="Arial"/>
        </w:rPr>
        <w:t xml:space="preserve">En el Anexo N° </w:t>
      </w:r>
      <w:r w:rsidR="00090599" w:rsidRPr="008A26D2">
        <w:rPr>
          <w:rFonts w:ascii="Arial" w:hAnsi="Arial" w:cs="Arial"/>
        </w:rPr>
        <w:t>4</w:t>
      </w:r>
      <w:r w:rsidRPr="008A26D2">
        <w:rPr>
          <w:rFonts w:ascii="Arial" w:hAnsi="Arial" w:cs="Arial"/>
        </w:rPr>
        <w:t xml:space="preserve"> se presenta la matriz del alineamiento horizontal.</w:t>
      </w:r>
    </w:p>
    <w:p w14:paraId="48AF3D11" w14:textId="77777777" w:rsidR="00237AFB" w:rsidRPr="008A26D2" w:rsidRDefault="00237AFB" w:rsidP="00237AFB">
      <w:pPr>
        <w:rPr>
          <w:rFonts w:ascii="Arial" w:hAnsi="Arial" w:cs="Arial"/>
        </w:rPr>
      </w:pPr>
    </w:p>
    <w:p w14:paraId="6A4B3E0B" w14:textId="77667293" w:rsidR="00090599" w:rsidRPr="008A26D2" w:rsidRDefault="00090599">
      <w:r w:rsidRPr="008A26D2">
        <w:br w:type="page"/>
      </w:r>
    </w:p>
    <w:p w14:paraId="284C0967" w14:textId="77777777" w:rsidR="002A3BBD" w:rsidRPr="008A26D2" w:rsidRDefault="002A3BBD" w:rsidP="002A3BBD">
      <w:pPr>
        <w:jc w:val="center"/>
        <w:rPr>
          <w:rFonts w:ascii="Arial" w:hAnsi="Arial" w:cs="Arial"/>
          <w:b/>
          <w:bCs/>
        </w:rPr>
      </w:pPr>
      <w:r w:rsidRPr="008A26D2">
        <w:rPr>
          <w:rFonts w:ascii="Arial" w:hAnsi="Arial" w:cs="Arial"/>
          <w:b/>
          <w:bCs/>
        </w:rPr>
        <w:lastRenderedPageBreak/>
        <w:t>ANEXO N° 1</w:t>
      </w:r>
    </w:p>
    <w:p w14:paraId="7074C637" w14:textId="08117D1A" w:rsidR="00090599" w:rsidRPr="008A26D2" w:rsidRDefault="002A3BBD" w:rsidP="002A3BBD">
      <w:pPr>
        <w:jc w:val="center"/>
        <w:rPr>
          <w:rFonts w:ascii="Arial" w:hAnsi="Arial" w:cs="Arial"/>
          <w:b/>
          <w:bCs/>
        </w:rPr>
      </w:pPr>
      <w:r w:rsidRPr="008A26D2">
        <w:rPr>
          <w:rFonts w:ascii="Arial" w:hAnsi="Arial" w:cs="Arial"/>
          <w:b/>
          <w:bCs/>
        </w:rPr>
        <w:t>Fichas Técnicas de indicadores de servicios</w:t>
      </w:r>
    </w:p>
    <w:tbl>
      <w:tblPr>
        <w:tblW w:w="8789"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6"/>
        <w:gridCol w:w="993"/>
        <w:gridCol w:w="850"/>
        <w:gridCol w:w="977"/>
        <w:gridCol w:w="709"/>
        <w:gridCol w:w="299"/>
        <w:gridCol w:w="992"/>
        <w:gridCol w:w="835"/>
        <w:gridCol w:w="426"/>
        <w:gridCol w:w="283"/>
        <w:gridCol w:w="851"/>
        <w:gridCol w:w="708"/>
      </w:tblGrid>
      <w:tr w:rsidR="008A26D2" w:rsidRPr="008A26D2" w14:paraId="5AE8FD6C" w14:textId="77777777" w:rsidTr="0072651A">
        <w:trPr>
          <w:trHeight w:val="251"/>
        </w:trPr>
        <w:tc>
          <w:tcPr>
            <w:tcW w:w="8789" w:type="dxa"/>
            <w:gridSpan w:val="12"/>
            <w:shd w:val="clear" w:color="auto" w:fill="D9D9D9" w:themeFill="background1" w:themeFillShade="D9"/>
            <w:tcMar>
              <w:top w:w="10" w:type="dxa"/>
              <w:left w:w="10" w:type="dxa"/>
              <w:bottom w:w="0" w:type="dxa"/>
              <w:right w:w="10" w:type="dxa"/>
            </w:tcMar>
            <w:vAlign w:val="center"/>
          </w:tcPr>
          <w:p w14:paraId="2C5BDAE3" w14:textId="77777777" w:rsidR="00A90E9C" w:rsidRPr="008A26D2" w:rsidRDefault="00A90E9C" w:rsidP="0072651A">
            <w:pPr>
              <w:jc w:val="center"/>
              <w:rPr>
                <w:rFonts w:ascii="Arial" w:hAnsi="Arial" w:cs="Arial"/>
                <w:sz w:val="20"/>
                <w:szCs w:val="20"/>
              </w:rPr>
            </w:pPr>
            <w:r w:rsidRPr="008A26D2">
              <w:rPr>
                <w:rFonts w:ascii="Arial" w:hAnsi="Arial" w:cs="Arial"/>
                <w:sz w:val="20"/>
                <w:szCs w:val="20"/>
              </w:rPr>
              <w:br w:type="page"/>
            </w:r>
            <w:r w:rsidRPr="008A26D2">
              <w:rPr>
                <w:rFonts w:ascii="Arial" w:hAnsi="Arial" w:cs="Arial"/>
                <w:b/>
                <w:sz w:val="20"/>
                <w:szCs w:val="20"/>
              </w:rPr>
              <w:t>FICHA TÉCNICA DE INDICADOR DE SERVICIO 1.1.1</w:t>
            </w:r>
          </w:p>
        </w:tc>
      </w:tr>
      <w:tr w:rsidR="008A26D2" w:rsidRPr="008A26D2" w14:paraId="0AA28A08" w14:textId="77777777" w:rsidTr="0072651A">
        <w:trPr>
          <w:trHeight w:val="409"/>
        </w:trPr>
        <w:tc>
          <w:tcPr>
            <w:tcW w:w="2709" w:type="dxa"/>
            <w:gridSpan w:val="3"/>
            <w:shd w:val="clear" w:color="auto" w:fill="FFFFFF"/>
            <w:tcMar>
              <w:top w:w="10" w:type="dxa"/>
              <w:left w:w="93" w:type="dxa"/>
              <w:bottom w:w="0" w:type="dxa"/>
              <w:right w:w="10" w:type="dxa"/>
            </w:tcMar>
            <w:vAlign w:val="center"/>
          </w:tcPr>
          <w:p w14:paraId="374EF299" w14:textId="77777777" w:rsidR="00A90E9C" w:rsidRPr="008A26D2" w:rsidRDefault="00A90E9C" w:rsidP="0072651A">
            <w:pPr>
              <w:rPr>
                <w:rFonts w:ascii="Arial" w:hAnsi="Arial" w:cs="Arial"/>
                <w:sz w:val="20"/>
                <w:szCs w:val="20"/>
              </w:rPr>
            </w:pPr>
            <w:r w:rsidRPr="008A26D2">
              <w:rPr>
                <w:rFonts w:ascii="Arial" w:hAnsi="Arial" w:cs="Arial"/>
                <w:b/>
                <w:sz w:val="20"/>
                <w:szCs w:val="20"/>
              </w:rPr>
              <w:t>Objetivo prioritario:</w:t>
            </w:r>
          </w:p>
        </w:tc>
        <w:tc>
          <w:tcPr>
            <w:tcW w:w="6080" w:type="dxa"/>
            <w:gridSpan w:val="9"/>
            <w:shd w:val="clear" w:color="auto" w:fill="FFFFFF"/>
            <w:tcMar>
              <w:top w:w="51" w:type="dxa"/>
              <w:left w:w="227" w:type="dxa"/>
              <w:bottom w:w="51" w:type="dxa"/>
              <w:right w:w="227" w:type="dxa"/>
            </w:tcMar>
            <w:vAlign w:val="center"/>
          </w:tcPr>
          <w:p w14:paraId="6ABDB3AB" w14:textId="77777777" w:rsidR="00A90E9C" w:rsidRPr="008A26D2" w:rsidRDefault="00A90E9C" w:rsidP="0072651A">
            <w:pPr>
              <w:pBdr>
                <w:top w:val="nil"/>
                <w:left w:val="nil"/>
                <w:bottom w:val="nil"/>
                <w:right w:val="nil"/>
                <w:between w:val="nil"/>
              </w:pBdr>
              <w:spacing w:after="0" w:line="240" w:lineRule="auto"/>
              <w:ind w:left="-102"/>
              <w:jc w:val="both"/>
              <w:rPr>
                <w:rFonts w:ascii="Arial" w:hAnsi="Arial" w:cs="Arial"/>
                <w:sz w:val="20"/>
                <w:szCs w:val="20"/>
              </w:rPr>
            </w:pPr>
            <w:r w:rsidRPr="008A26D2">
              <w:rPr>
                <w:rFonts w:ascii="Arial" w:eastAsia="Arial Narrow" w:hAnsi="Arial" w:cs="Arial"/>
                <w:sz w:val="20"/>
                <w:szCs w:val="20"/>
              </w:rPr>
              <w:t>OP1 Mejorar las condiciones para la sostenibilidad de los ecosistemas forestales, otros ecosistemas de vegetación silvestre y de la fauna silvestre</w:t>
            </w:r>
          </w:p>
        </w:tc>
      </w:tr>
      <w:tr w:rsidR="008A26D2" w:rsidRPr="008A26D2" w14:paraId="61EDD8F0" w14:textId="77777777" w:rsidTr="0072651A">
        <w:trPr>
          <w:trHeight w:val="436"/>
        </w:trPr>
        <w:tc>
          <w:tcPr>
            <w:tcW w:w="2709" w:type="dxa"/>
            <w:gridSpan w:val="3"/>
            <w:shd w:val="clear" w:color="auto" w:fill="auto"/>
            <w:tcMar>
              <w:top w:w="10" w:type="dxa"/>
              <w:left w:w="93" w:type="dxa"/>
              <w:bottom w:w="0" w:type="dxa"/>
              <w:right w:w="10" w:type="dxa"/>
            </w:tcMar>
            <w:vAlign w:val="center"/>
          </w:tcPr>
          <w:p w14:paraId="1895FF65" w14:textId="77777777" w:rsidR="00A90E9C" w:rsidRPr="008A26D2" w:rsidRDefault="00A90E9C" w:rsidP="0072651A">
            <w:pPr>
              <w:rPr>
                <w:rFonts w:ascii="Arial" w:hAnsi="Arial" w:cs="Arial"/>
                <w:sz w:val="20"/>
                <w:szCs w:val="20"/>
              </w:rPr>
            </w:pPr>
            <w:r w:rsidRPr="008A26D2">
              <w:rPr>
                <w:rFonts w:ascii="Arial" w:hAnsi="Arial" w:cs="Arial"/>
                <w:b/>
                <w:sz w:val="20"/>
                <w:szCs w:val="20"/>
              </w:rPr>
              <w:t>Lineamiento de la política:</w:t>
            </w:r>
          </w:p>
        </w:tc>
        <w:tc>
          <w:tcPr>
            <w:tcW w:w="6080" w:type="dxa"/>
            <w:gridSpan w:val="9"/>
            <w:shd w:val="clear" w:color="auto" w:fill="auto"/>
            <w:tcMar>
              <w:top w:w="51" w:type="dxa"/>
              <w:left w:w="227" w:type="dxa"/>
              <w:bottom w:w="51" w:type="dxa"/>
              <w:right w:w="227" w:type="dxa"/>
            </w:tcMar>
            <w:vAlign w:val="center"/>
          </w:tcPr>
          <w:p w14:paraId="4D7378CB" w14:textId="77777777" w:rsidR="00A90E9C" w:rsidRPr="008A26D2" w:rsidRDefault="00A90E9C" w:rsidP="0072651A">
            <w:pPr>
              <w:pBdr>
                <w:top w:val="nil"/>
                <w:left w:val="nil"/>
                <w:bottom w:val="nil"/>
                <w:right w:val="nil"/>
                <w:between w:val="nil"/>
              </w:pBdr>
              <w:spacing w:after="0" w:line="240" w:lineRule="auto"/>
              <w:ind w:left="-102"/>
              <w:jc w:val="both"/>
              <w:rPr>
                <w:rFonts w:ascii="Arial" w:eastAsia="Arial Narrow" w:hAnsi="Arial" w:cs="Arial"/>
                <w:sz w:val="20"/>
                <w:szCs w:val="20"/>
              </w:rPr>
            </w:pPr>
            <w:r w:rsidRPr="008A26D2">
              <w:rPr>
                <w:rFonts w:ascii="Arial" w:eastAsia="Arial Narrow" w:hAnsi="Arial" w:cs="Arial"/>
                <w:sz w:val="20"/>
                <w:szCs w:val="20"/>
              </w:rPr>
              <w:t>L1.1 Fortalecer la protección y recuperación de ecosistemas forestales y otros ecosistemas de vegetación silvestre, así como las especies de fauna silvestre y sus hábitats coadyuvando a la mitigación del cambio climático</w:t>
            </w:r>
          </w:p>
        </w:tc>
      </w:tr>
      <w:tr w:rsidR="008A26D2" w:rsidRPr="008A26D2" w14:paraId="73165308" w14:textId="77777777" w:rsidTr="0072651A">
        <w:trPr>
          <w:trHeight w:val="404"/>
        </w:trPr>
        <w:tc>
          <w:tcPr>
            <w:tcW w:w="2709" w:type="dxa"/>
            <w:gridSpan w:val="3"/>
            <w:shd w:val="clear" w:color="auto" w:fill="auto"/>
            <w:tcMar>
              <w:top w:w="10" w:type="dxa"/>
              <w:left w:w="93" w:type="dxa"/>
              <w:bottom w:w="0" w:type="dxa"/>
              <w:right w:w="10" w:type="dxa"/>
            </w:tcMar>
            <w:vAlign w:val="center"/>
          </w:tcPr>
          <w:p w14:paraId="7CA85D2E" w14:textId="77777777" w:rsidR="00A90E9C" w:rsidRPr="008A26D2" w:rsidRDefault="00A90E9C" w:rsidP="0072651A">
            <w:pPr>
              <w:rPr>
                <w:rFonts w:ascii="Arial" w:hAnsi="Arial" w:cs="Arial"/>
                <w:sz w:val="20"/>
                <w:szCs w:val="20"/>
              </w:rPr>
            </w:pPr>
            <w:r w:rsidRPr="008A26D2">
              <w:rPr>
                <w:rFonts w:ascii="Arial" w:hAnsi="Arial" w:cs="Arial"/>
                <w:b/>
                <w:sz w:val="20"/>
                <w:szCs w:val="20"/>
              </w:rPr>
              <w:t>Nombre del servicio:</w:t>
            </w:r>
          </w:p>
        </w:tc>
        <w:tc>
          <w:tcPr>
            <w:tcW w:w="6080" w:type="dxa"/>
            <w:gridSpan w:val="9"/>
            <w:shd w:val="clear" w:color="auto" w:fill="auto"/>
            <w:tcMar>
              <w:top w:w="51" w:type="dxa"/>
              <w:left w:w="227" w:type="dxa"/>
              <w:bottom w:w="51" w:type="dxa"/>
              <w:right w:w="227" w:type="dxa"/>
            </w:tcMar>
            <w:vAlign w:val="center"/>
          </w:tcPr>
          <w:p w14:paraId="620BA06D" w14:textId="77777777" w:rsidR="00A90E9C" w:rsidRPr="008A26D2" w:rsidRDefault="00A90E9C" w:rsidP="0072651A">
            <w:pPr>
              <w:spacing w:after="0" w:line="240" w:lineRule="auto"/>
              <w:ind w:left="-102"/>
              <w:jc w:val="both"/>
              <w:rPr>
                <w:rFonts w:ascii="Arial" w:eastAsia="Arial Narrow" w:hAnsi="Arial" w:cs="Arial"/>
                <w:sz w:val="20"/>
                <w:szCs w:val="20"/>
              </w:rPr>
            </w:pPr>
            <w:r w:rsidRPr="008A26D2">
              <w:rPr>
                <w:rFonts w:ascii="Arial" w:eastAsia="Arial Narrow" w:hAnsi="Arial" w:cs="Arial"/>
                <w:sz w:val="20"/>
                <w:szCs w:val="20"/>
              </w:rPr>
              <w:t>S1.1.1 Reconocimiento de hábitats críticos, ecosistemas frágiles y</w:t>
            </w:r>
            <w:r w:rsidRPr="008A26D2">
              <w:rPr>
                <w:rFonts w:ascii="Arial" w:hAnsi="Arial" w:cs="Arial"/>
                <w:sz w:val="20"/>
                <w:szCs w:val="20"/>
              </w:rPr>
              <w:t xml:space="preserve"> zonas prioritarias para la conservación de los recursos genéticos de flora y fauna silvestre</w:t>
            </w:r>
            <w:r w:rsidRPr="008A26D2">
              <w:rPr>
                <w:rFonts w:ascii="Arial" w:eastAsia="Arial Narrow" w:hAnsi="Arial" w:cs="Arial"/>
                <w:sz w:val="20"/>
                <w:szCs w:val="20"/>
              </w:rPr>
              <w:t xml:space="preserve"> de forma fiable para las entidades con competencias en materia forestal y de fauna silvestre.</w:t>
            </w:r>
          </w:p>
        </w:tc>
      </w:tr>
      <w:tr w:rsidR="008A26D2" w:rsidRPr="008A26D2" w14:paraId="50366EA1" w14:textId="77777777" w:rsidTr="0072651A">
        <w:trPr>
          <w:trHeight w:val="577"/>
        </w:trPr>
        <w:tc>
          <w:tcPr>
            <w:tcW w:w="2709" w:type="dxa"/>
            <w:gridSpan w:val="3"/>
            <w:shd w:val="clear" w:color="auto" w:fill="auto"/>
            <w:tcMar>
              <w:top w:w="10" w:type="dxa"/>
              <w:left w:w="93" w:type="dxa"/>
              <w:bottom w:w="0" w:type="dxa"/>
              <w:right w:w="10" w:type="dxa"/>
            </w:tcMar>
            <w:vAlign w:val="center"/>
          </w:tcPr>
          <w:p w14:paraId="3A7C4727" w14:textId="77777777" w:rsidR="00A90E9C" w:rsidRPr="008A26D2" w:rsidRDefault="00A90E9C" w:rsidP="0072651A">
            <w:pPr>
              <w:rPr>
                <w:rFonts w:ascii="Arial" w:hAnsi="Arial" w:cs="Arial"/>
                <w:sz w:val="20"/>
                <w:szCs w:val="20"/>
              </w:rPr>
            </w:pPr>
            <w:r w:rsidRPr="008A26D2">
              <w:rPr>
                <w:rFonts w:ascii="Arial" w:hAnsi="Arial" w:cs="Arial"/>
                <w:b/>
                <w:sz w:val="20"/>
                <w:szCs w:val="20"/>
              </w:rPr>
              <w:t>Nombre del indicador:</w:t>
            </w:r>
          </w:p>
        </w:tc>
        <w:tc>
          <w:tcPr>
            <w:tcW w:w="6080" w:type="dxa"/>
            <w:gridSpan w:val="9"/>
            <w:shd w:val="clear" w:color="auto" w:fill="auto"/>
            <w:tcMar>
              <w:top w:w="51" w:type="dxa"/>
              <w:left w:w="227" w:type="dxa"/>
              <w:bottom w:w="51" w:type="dxa"/>
              <w:right w:w="227" w:type="dxa"/>
            </w:tcMar>
            <w:vAlign w:val="center"/>
          </w:tcPr>
          <w:p w14:paraId="4CC276B6" w14:textId="77777777" w:rsidR="00A90E9C" w:rsidRPr="008A26D2" w:rsidRDefault="00A90E9C" w:rsidP="0072651A">
            <w:pPr>
              <w:pBdr>
                <w:top w:val="nil"/>
                <w:left w:val="nil"/>
                <w:bottom w:val="nil"/>
                <w:right w:val="nil"/>
                <w:between w:val="nil"/>
              </w:pBdr>
              <w:spacing w:after="0" w:line="240" w:lineRule="auto"/>
              <w:ind w:left="-102"/>
              <w:jc w:val="both"/>
              <w:rPr>
                <w:rFonts w:ascii="Arial" w:hAnsi="Arial" w:cs="Arial"/>
                <w:sz w:val="20"/>
                <w:szCs w:val="20"/>
              </w:rPr>
            </w:pPr>
            <w:r w:rsidRPr="008A26D2">
              <w:rPr>
                <w:rFonts w:ascii="Arial" w:eastAsia="Arial Narrow" w:hAnsi="Arial" w:cs="Arial"/>
                <w:sz w:val="20"/>
                <w:szCs w:val="20"/>
              </w:rPr>
              <w:t>Porcentaje de expedientes técnicos sobre reconocimiento de hábitats críticos, ecosistemas frágiles o</w:t>
            </w:r>
            <w:r w:rsidRPr="008A26D2">
              <w:rPr>
                <w:rFonts w:ascii="Arial" w:hAnsi="Arial" w:cs="Arial"/>
                <w:sz w:val="20"/>
                <w:szCs w:val="20"/>
              </w:rPr>
              <w:t xml:space="preserve"> zonas prioritarias para la conservación de los recursos genéticos de flora y fauna silvestre</w:t>
            </w:r>
            <w:r w:rsidRPr="008A26D2">
              <w:rPr>
                <w:rFonts w:ascii="Arial" w:eastAsia="Arial Narrow" w:hAnsi="Arial" w:cs="Arial"/>
                <w:sz w:val="20"/>
                <w:szCs w:val="20"/>
              </w:rPr>
              <w:t xml:space="preserve"> aprobados de forma fiable.</w:t>
            </w:r>
          </w:p>
          <w:p w14:paraId="5B511243" w14:textId="77777777" w:rsidR="00A90E9C" w:rsidRPr="008A26D2" w:rsidRDefault="00A90E9C" w:rsidP="0072651A">
            <w:pPr>
              <w:pBdr>
                <w:top w:val="nil"/>
                <w:left w:val="nil"/>
                <w:bottom w:val="nil"/>
                <w:right w:val="nil"/>
                <w:between w:val="nil"/>
              </w:pBdr>
              <w:spacing w:after="0" w:line="240" w:lineRule="auto"/>
              <w:ind w:left="-102"/>
              <w:jc w:val="both"/>
              <w:rPr>
                <w:rFonts w:ascii="Arial" w:eastAsia="Arial Narrow" w:hAnsi="Arial" w:cs="Arial"/>
                <w:sz w:val="20"/>
                <w:szCs w:val="20"/>
              </w:rPr>
            </w:pPr>
          </w:p>
        </w:tc>
      </w:tr>
      <w:tr w:rsidR="008A26D2" w:rsidRPr="008A26D2" w14:paraId="790533B6" w14:textId="77777777" w:rsidTr="0072651A">
        <w:trPr>
          <w:trHeight w:val="577"/>
        </w:trPr>
        <w:tc>
          <w:tcPr>
            <w:tcW w:w="2709" w:type="dxa"/>
            <w:gridSpan w:val="3"/>
            <w:shd w:val="clear" w:color="auto" w:fill="auto"/>
            <w:tcMar>
              <w:top w:w="10" w:type="dxa"/>
              <w:left w:w="93" w:type="dxa"/>
              <w:bottom w:w="0" w:type="dxa"/>
              <w:right w:w="10" w:type="dxa"/>
            </w:tcMar>
            <w:vAlign w:val="center"/>
          </w:tcPr>
          <w:p w14:paraId="533EEB9B" w14:textId="77777777" w:rsidR="00A90E9C" w:rsidRPr="008A26D2" w:rsidRDefault="00A90E9C" w:rsidP="0072651A">
            <w:pPr>
              <w:rPr>
                <w:rFonts w:ascii="Arial" w:hAnsi="Arial" w:cs="Arial"/>
                <w:sz w:val="20"/>
                <w:szCs w:val="20"/>
              </w:rPr>
            </w:pPr>
            <w:r w:rsidRPr="008A26D2">
              <w:rPr>
                <w:rFonts w:ascii="Arial" w:hAnsi="Arial" w:cs="Arial"/>
                <w:b/>
                <w:sz w:val="20"/>
                <w:szCs w:val="20"/>
              </w:rPr>
              <w:t>Justificación:</w:t>
            </w:r>
          </w:p>
        </w:tc>
        <w:tc>
          <w:tcPr>
            <w:tcW w:w="6080" w:type="dxa"/>
            <w:gridSpan w:val="9"/>
            <w:shd w:val="clear" w:color="auto" w:fill="auto"/>
            <w:tcMar>
              <w:top w:w="51" w:type="dxa"/>
              <w:left w:w="227" w:type="dxa"/>
              <w:bottom w:w="51" w:type="dxa"/>
              <w:right w:w="227" w:type="dxa"/>
            </w:tcMar>
            <w:vAlign w:val="center"/>
          </w:tcPr>
          <w:p w14:paraId="2FE18056" w14:textId="1C8AFA20" w:rsidR="00A90E9C" w:rsidRPr="008A26D2" w:rsidRDefault="00A90E9C" w:rsidP="00C630B2">
            <w:pPr>
              <w:pBdr>
                <w:top w:val="nil"/>
                <w:left w:val="nil"/>
                <w:bottom w:val="nil"/>
                <w:right w:val="nil"/>
                <w:between w:val="nil"/>
              </w:pBdr>
              <w:spacing w:after="0" w:line="240" w:lineRule="auto"/>
              <w:ind w:left="-102"/>
              <w:jc w:val="both"/>
              <w:rPr>
                <w:rFonts w:ascii="Arial" w:eastAsia="Arial Narrow" w:hAnsi="Arial" w:cs="Arial"/>
                <w:sz w:val="20"/>
                <w:szCs w:val="20"/>
              </w:rPr>
            </w:pPr>
            <w:r w:rsidRPr="008A26D2">
              <w:rPr>
                <w:rFonts w:ascii="Arial" w:eastAsia="Arial Narrow" w:hAnsi="Arial" w:cs="Arial"/>
                <w:sz w:val="20"/>
                <w:szCs w:val="20"/>
              </w:rPr>
              <w:t>La medición del indicador permitirá evidenciar el número de expedientes técnicos que dan lugar a la Resolución de Dirección Ejecutiva de reconocimiento de hábitats críticos, ecosistemas frágiles o</w:t>
            </w:r>
            <w:r w:rsidRPr="008A26D2">
              <w:rPr>
                <w:rFonts w:ascii="Arial" w:hAnsi="Arial" w:cs="Arial"/>
                <w:sz w:val="20"/>
                <w:szCs w:val="20"/>
              </w:rPr>
              <w:t xml:space="preserve"> zonas prioritarias</w:t>
            </w:r>
            <w:r w:rsidRPr="008A26D2">
              <w:rPr>
                <w:rFonts w:ascii="Arial" w:eastAsia="Arial Narrow" w:hAnsi="Arial" w:cs="Arial"/>
                <w:sz w:val="20"/>
                <w:szCs w:val="20"/>
              </w:rPr>
              <w:t>, es decir que cumplen con los requisitos y/o criterios para ser oficializadas por el Servicio Nacional Forestal y de Fauna Silvestre mediante Resolución de Dirección Ejecutiva</w:t>
            </w:r>
            <w:r w:rsidR="00C630B2" w:rsidRPr="008A26D2">
              <w:rPr>
                <w:rFonts w:ascii="Arial" w:eastAsia="Arial Narrow" w:hAnsi="Arial" w:cs="Arial"/>
                <w:sz w:val="20"/>
                <w:szCs w:val="20"/>
              </w:rPr>
              <w:t>, a fin de plantear mejoras al servicio en base a la información</w:t>
            </w:r>
            <w:r w:rsidR="00415AD2" w:rsidRPr="008A26D2">
              <w:rPr>
                <w:rFonts w:ascii="Arial" w:eastAsia="Arial Narrow" w:hAnsi="Arial" w:cs="Arial"/>
                <w:sz w:val="20"/>
                <w:szCs w:val="20"/>
              </w:rPr>
              <w:t xml:space="preserve"> </w:t>
            </w:r>
            <w:r w:rsidR="00C630B2" w:rsidRPr="008A26D2">
              <w:rPr>
                <w:rFonts w:ascii="Arial" w:eastAsia="Arial Narrow" w:hAnsi="Arial" w:cs="Arial"/>
                <w:sz w:val="20"/>
                <w:szCs w:val="20"/>
              </w:rPr>
              <w:t>proporcionada por el indicador.</w:t>
            </w:r>
          </w:p>
        </w:tc>
      </w:tr>
      <w:tr w:rsidR="008A26D2" w:rsidRPr="008A26D2" w14:paraId="030E8B8A" w14:textId="77777777" w:rsidTr="0072651A">
        <w:trPr>
          <w:trHeight w:val="352"/>
        </w:trPr>
        <w:tc>
          <w:tcPr>
            <w:tcW w:w="2709" w:type="dxa"/>
            <w:gridSpan w:val="3"/>
            <w:shd w:val="clear" w:color="auto" w:fill="auto"/>
            <w:tcMar>
              <w:top w:w="10" w:type="dxa"/>
              <w:left w:w="93" w:type="dxa"/>
              <w:bottom w:w="0" w:type="dxa"/>
              <w:right w:w="10" w:type="dxa"/>
            </w:tcMar>
            <w:vAlign w:val="center"/>
          </w:tcPr>
          <w:p w14:paraId="579DD077" w14:textId="77777777" w:rsidR="00A90E9C" w:rsidRPr="008A26D2" w:rsidRDefault="00A90E9C" w:rsidP="0072651A">
            <w:pPr>
              <w:rPr>
                <w:rFonts w:ascii="Arial" w:hAnsi="Arial" w:cs="Arial"/>
                <w:sz w:val="20"/>
                <w:szCs w:val="20"/>
              </w:rPr>
            </w:pPr>
            <w:r w:rsidRPr="008A26D2">
              <w:rPr>
                <w:rFonts w:ascii="Arial" w:hAnsi="Arial" w:cs="Arial"/>
                <w:b/>
                <w:sz w:val="20"/>
                <w:szCs w:val="20"/>
              </w:rPr>
              <w:t>Responsable del indicador:</w:t>
            </w:r>
          </w:p>
        </w:tc>
        <w:tc>
          <w:tcPr>
            <w:tcW w:w="6080" w:type="dxa"/>
            <w:gridSpan w:val="9"/>
            <w:shd w:val="clear" w:color="auto" w:fill="auto"/>
            <w:tcMar>
              <w:top w:w="51" w:type="dxa"/>
              <w:left w:w="227" w:type="dxa"/>
              <w:bottom w:w="51" w:type="dxa"/>
              <w:right w:w="227" w:type="dxa"/>
            </w:tcMar>
            <w:vAlign w:val="center"/>
          </w:tcPr>
          <w:p w14:paraId="5C534F1A" w14:textId="77777777" w:rsidR="00A90E9C" w:rsidRPr="008A26D2" w:rsidRDefault="00A90E9C" w:rsidP="0072651A">
            <w:pPr>
              <w:spacing w:after="0" w:line="240" w:lineRule="auto"/>
              <w:ind w:left="-98"/>
              <w:jc w:val="both"/>
              <w:rPr>
                <w:rFonts w:ascii="Arial" w:eastAsia="Arial Narrow" w:hAnsi="Arial" w:cs="Arial"/>
                <w:sz w:val="20"/>
                <w:szCs w:val="20"/>
              </w:rPr>
            </w:pPr>
            <w:r w:rsidRPr="008A26D2">
              <w:rPr>
                <w:rFonts w:ascii="Arial" w:eastAsia="Arial Narrow" w:hAnsi="Arial" w:cs="Arial"/>
                <w:sz w:val="20"/>
                <w:szCs w:val="20"/>
              </w:rPr>
              <w:t>Dirección General de Gestión Sostenible del Patrimonio Forestal y de Fauna Silvestre del Servicio Nacional Forestal y de Fauna Silvestre - SERFOR</w:t>
            </w:r>
          </w:p>
        </w:tc>
      </w:tr>
      <w:tr w:rsidR="008A26D2" w:rsidRPr="008A26D2" w14:paraId="245F2A5D" w14:textId="77777777" w:rsidTr="0072651A">
        <w:trPr>
          <w:trHeight w:val="720"/>
        </w:trPr>
        <w:tc>
          <w:tcPr>
            <w:tcW w:w="2709" w:type="dxa"/>
            <w:gridSpan w:val="3"/>
            <w:shd w:val="clear" w:color="auto" w:fill="auto"/>
            <w:tcMar>
              <w:top w:w="10" w:type="dxa"/>
              <w:left w:w="93" w:type="dxa"/>
              <w:bottom w:w="0" w:type="dxa"/>
              <w:right w:w="10" w:type="dxa"/>
            </w:tcMar>
            <w:vAlign w:val="center"/>
          </w:tcPr>
          <w:p w14:paraId="600BE09B" w14:textId="77777777" w:rsidR="00A90E9C" w:rsidRPr="008A26D2" w:rsidRDefault="00A90E9C" w:rsidP="0072651A">
            <w:pPr>
              <w:rPr>
                <w:rFonts w:ascii="Arial" w:hAnsi="Arial" w:cs="Arial"/>
                <w:sz w:val="20"/>
                <w:szCs w:val="20"/>
              </w:rPr>
            </w:pPr>
            <w:r w:rsidRPr="008A26D2">
              <w:rPr>
                <w:rFonts w:ascii="Arial" w:hAnsi="Arial" w:cs="Arial"/>
                <w:b/>
                <w:sz w:val="20"/>
                <w:szCs w:val="20"/>
              </w:rPr>
              <w:t>Limitaciones para la medición del indicador:</w:t>
            </w:r>
          </w:p>
        </w:tc>
        <w:tc>
          <w:tcPr>
            <w:tcW w:w="6080" w:type="dxa"/>
            <w:gridSpan w:val="9"/>
            <w:shd w:val="clear" w:color="auto" w:fill="auto"/>
            <w:tcMar>
              <w:top w:w="51" w:type="dxa"/>
              <w:left w:w="227" w:type="dxa"/>
              <w:bottom w:w="51" w:type="dxa"/>
              <w:right w:w="227" w:type="dxa"/>
            </w:tcMar>
            <w:vAlign w:val="center"/>
          </w:tcPr>
          <w:p w14:paraId="42B49259" w14:textId="77777777" w:rsidR="00A90E9C" w:rsidRPr="008A26D2" w:rsidRDefault="00A90E9C" w:rsidP="0072651A">
            <w:pPr>
              <w:spacing w:after="0" w:line="240" w:lineRule="auto"/>
              <w:ind w:left="-98"/>
              <w:rPr>
                <w:rFonts w:ascii="Arial" w:eastAsia="Arial Narrow" w:hAnsi="Arial" w:cs="Arial"/>
                <w:sz w:val="20"/>
                <w:szCs w:val="20"/>
              </w:rPr>
            </w:pPr>
            <w:r w:rsidRPr="008A26D2">
              <w:rPr>
                <w:rFonts w:ascii="Arial" w:eastAsia="Arial Narrow" w:hAnsi="Arial" w:cs="Arial"/>
                <w:sz w:val="20"/>
                <w:szCs w:val="20"/>
              </w:rPr>
              <w:t>No se cuenta con limitaciones</w:t>
            </w:r>
          </w:p>
        </w:tc>
      </w:tr>
      <w:tr w:rsidR="008A26D2" w:rsidRPr="008A26D2" w14:paraId="583B7502" w14:textId="77777777" w:rsidTr="0072651A">
        <w:trPr>
          <w:trHeight w:val="231"/>
        </w:trPr>
        <w:tc>
          <w:tcPr>
            <w:tcW w:w="2709" w:type="dxa"/>
            <w:gridSpan w:val="3"/>
            <w:shd w:val="clear" w:color="auto" w:fill="auto"/>
            <w:tcMar>
              <w:top w:w="10" w:type="dxa"/>
              <w:left w:w="93" w:type="dxa"/>
              <w:bottom w:w="0" w:type="dxa"/>
              <w:right w:w="10" w:type="dxa"/>
            </w:tcMar>
            <w:vAlign w:val="center"/>
          </w:tcPr>
          <w:p w14:paraId="71E8F6F1" w14:textId="77777777" w:rsidR="00A90E9C" w:rsidRPr="008A26D2" w:rsidRDefault="00A90E9C" w:rsidP="0072651A">
            <w:pPr>
              <w:rPr>
                <w:rFonts w:ascii="Arial" w:hAnsi="Arial" w:cs="Arial"/>
                <w:sz w:val="20"/>
                <w:szCs w:val="20"/>
              </w:rPr>
            </w:pPr>
            <w:r w:rsidRPr="008A26D2">
              <w:rPr>
                <w:rFonts w:ascii="Arial" w:hAnsi="Arial" w:cs="Arial"/>
                <w:b/>
                <w:sz w:val="20"/>
                <w:szCs w:val="20"/>
              </w:rPr>
              <w:t xml:space="preserve">Método de cálculo: </w:t>
            </w:r>
          </w:p>
        </w:tc>
        <w:tc>
          <w:tcPr>
            <w:tcW w:w="6080" w:type="dxa"/>
            <w:gridSpan w:val="9"/>
            <w:shd w:val="clear" w:color="auto" w:fill="auto"/>
            <w:tcMar>
              <w:top w:w="51" w:type="dxa"/>
              <w:left w:w="227" w:type="dxa"/>
              <w:bottom w:w="51" w:type="dxa"/>
              <w:right w:w="227" w:type="dxa"/>
            </w:tcMar>
            <w:vAlign w:val="center"/>
          </w:tcPr>
          <w:p w14:paraId="11566E7E" w14:textId="77777777" w:rsidR="00A90E9C" w:rsidRPr="008A26D2" w:rsidRDefault="00A90E9C" w:rsidP="0072651A">
            <w:pPr>
              <w:rPr>
                <w:rFonts w:ascii="Arial" w:eastAsia="Arial Narrow" w:hAnsi="Arial" w:cs="Arial"/>
                <w:b/>
                <w:sz w:val="20"/>
                <w:szCs w:val="20"/>
              </w:rPr>
            </w:pPr>
            <w:r w:rsidRPr="008A26D2">
              <w:rPr>
                <w:rFonts w:ascii="Arial" w:eastAsia="Arial Narrow" w:hAnsi="Arial" w:cs="Arial"/>
                <w:b/>
                <w:sz w:val="20"/>
                <w:szCs w:val="20"/>
              </w:rPr>
              <w:t>1. Fórmula:</w:t>
            </w:r>
          </w:p>
          <w:p w14:paraId="3BD9A3D4" w14:textId="1BEF56DB" w:rsidR="00A90E9C" w:rsidRPr="008A26D2" w:rsidRDefault="00433522" w:rsidP="0072651A">
            <w:pPr>
              <w:rPr>
                <w:rFonts w:ascii="Arial" w:eastAsia="Arial Unicode MS" w:hAnsi="Arial" w:cs="Arial"/>
                <w:sz w:val="20"/>
                <w:szCs w:val="20"/>
              </w:rPr>
            </w:pPr>
            <w:r w:rsidRPr="008A26D2">
              <w:rPr>
                <w:rFonts w:ascii="Arial" w:eastAsia="Arial Unicode MS" w:hAnsi="Arial" w:cs="Arial"/>
                <w:sz w:val="20"/>
                <w:szCs w:val="20"/>
              </w:rPr>
              <w:t>(</w:t>
            </w:r>
            <w:r w:rsidR="00A90E9C" w:rsidRPr="008A26D2">
              <w:rPr>
                <w:rFonts w:ascii="Arial" w:eastAsia="Arial Unicode MS" w:hAnsi="Arial" w:cs="Arial"/>
                <w:sz w:val="20"/>
                <w:szCs w:val="20"/>
              </w:rPr>
              <w:t>A/B</w:t>
            </w:r>
            <w:r w:rsidRPr="008A26D2">
              <w:rPr>
                <w:rFonts w:ascii="Arial" w:eastAsia="Arial Unicode MS" w:hAnsi="Arial" w:cs="Arial"/>
                <w:sz w:val="20"/>
                <w:szCs w:val="20"/>
              </w:rPr>
              <w:t>)</w:t>
            </w:r>
            <w:r w:rsidR="00A90E9C" w:rsidRPr="008A26D2">
              <w:rPr>
                <w:rFonts w:ascii="Arial" w:eastAsia="Arial Unicode MS" w:hAnsi="Arial" w:cs="Arial"/>
                <w:sz w:val="20"/>
                <w:szCs w:val="20"/>
              </w:rPr>
              <w:t>*100</w:t>
            </w:r>
          </w:p>
          <w:p w14:paraId="276EBD81" w14:textId="77777777" w:rsidR="00A90E9C" w:rsidRPr="008A26D2" w:rsidRDefault="00A90E9C" w:rsidP="0072651A">
            <w:pPr>
              <w:jc w:val="both"/>
              <w:rPr>
                <w:rFonts w:ascii="Arial" w:eastAsia="Arial Unicode MS" w:hAnsi="Arial" w:cs="Arial"/>
                <w:sz w:val="20"/>
                <w:szCs w:val="20"/>
              </w:rPr>
            </w:pPr>
            <w:r w:rsidRPr="008A26D2">
              <w:rPr>
                <w:rFonts w:ascii="Arial" w:eastAsia="Arial Unicode MS" w:hAnsi="Arial" w:cs="Arial"/>
                <w:sz w:val="20"/>
                <w:szCs w:val="20"/>
              </w:rPr>
              <w:t>Donde:</w:t>
            </w:r>
          </w:p>
          <w:p w14:paraId="5E68CE43" w14:textId="77777777" w:rsidR="00A90E9C" w:rsidRPr="008A26D2" w:rsidRDefault="00A90E9C" w:rsidP="0072651A">
            <w:pPr>
              <w:ind w:left="323" w:hanging="323"/>
              <w:jc w:val="both"/>
              <w:rPr>
                <w:rFonts w:ascii="Arial" w:hAnsi="Arial" w:cs="Arial"/>
                <w:sz w:val="20"/>
                <w:szCs w:val="20"/>
              </w:rPr>
            </w:pPr>
            <w:r w:rsidRPr="008A26D2">
              <w:rPr>
                <w:rFonts w:ascii="Arial" w:eastAsia="Arial Unicode MS" w:hAnsi="Arial" w:cs="Arial"/>
                <w:sz w:val="20"/>
                <w:szCs w:val="20"/>
              </w:rPr>
              <w:t xml:space="preserve">A= Número de </w:t>
            </w:r>
            <w:r w:rsidRPr="008A26D2">
              <w:rPr>
                <w:rFonts w:ascii="Arial" w:eastAsia="Arial Narrow" w:hAnsi="Arial" w:cs="Arial"/>
                <w:sz w:val="20"/>
                <w:szCs w:val="20"/>
              </w:rPr>
              <w:t>expedientes técnicos sobre reconocimiento de hábitats críticos, ecosistemas frágiles o</w:t>
            </w:r>
            <w:r w:rsidRPr="008A26D2">
              <w:rPr>
                <w:rFonts w:ascii="Arial" w:hAnsi="Arial" w:cs="Arial"/>
                <w:sz w:val="20"/>
                <w:szCs w:val="20"/>
              </w:rPr>
              <w:t xml:space="preserve"> zonas prioritarias para la conservación de los recursos genéticos de flora y fauna silvestre</w:t>
            </w:r>
            <w:r w:rsidRPr="008A26D2">
              <w:rPr>
                <w:rFonts w:ascii="Arial" w:eastAsia="Arial Narrow" w:hAnsi="Arial" w:cs="Arial"/>
                <w:sz w:val="20"/>
                <w:szCs w:val="20"/>
              </w:rPr>
              <w:t xml:space="preserve"> aprobados de forma fiable</w:t>
            </w:r>
          </w:p>
          <w:p w14:paraId="75BDB65B" w14:textId="49107A20" w:rsidR="00A90E9C" w:rsidRPr="008A26D2" w:rsidRDefault="00A90E9C" w:rsidP="0072651A">
            <w:pPr>
              <w:ind w:left="323" w:hanging="323"/>
              <w:jc w:val="both"/>
              <w:rPr>
                <w:rFonts w:ascii="Arial" w:hAnsi="Arial" w:cs="Arial"/>
                <w:sz w:val="20"/>
                <w:szCs w:val="20"/>
              </w:rPr>
            </w:pPr>
            <w:r w:rsidRPr="008A26D2">
              <w:rPr>
                <w:rFonts w:ascii="Arial" w:hAnsi="Arial" w:cs="Arial"/>
                <w:sz w:val="20"/>
                <w:szCs w:val="20"/>
              </w:rPr>
              <w:t xml:space="preserve">B= Total de expedientes iniciados </w:t>
            </w:r>
            <w:r w:rsidR="00F272DD">
              <w:rPr>
                <w:rFonts w:ascii="Arial" w:eastAsia="Arial Narrow" w:hAnsi="Arial" w:cs="Arial"/>
                <w:sz w:val="20"/>
                <w:szCs w:val="20"/>
              </w:rPr>
              <w:t>para su reconocimiento como</w:t>
            </w:r>
            <w:r w:rsidRPr="008A26D2">
              <w:rPr>
                <w:rFonts w:ascii="Arial" w:eastAsia="Arial Narrow" w:hAnsi="Arial" w:cs="Arial"/>
                <w:sz w:val="20"/>
                <w:szCs w:val="20"/>
              </w:rPr>
              <w:t xml:space="preserve"> hábitats críticos, ecosistemas frágiles o</w:t>
            </w:r>
            <w:r w:rsidRPr="008A26D2">
              <w:rPr>
                <w:rFonts w:ascii="Arial" w:hAnsi="Arial" w:cs="Arial"/>
                <w:sz w:val="20"/>
                <w:szCs w:val="20"/>
              </w:rPr>
              <w:t xml:space="preserve"> zonas prioritarias para la conservación de los recursos genéticos de flora y fauna silvestre</w:t>
            </w:r>
            <w:r w:rsidRPr="008A26D2">
              <w:rPr>
                <w:rFonts w:ascii="Arial" w:eastAsia="Arial Narrow" w:hAnsi="Arial" w:cs="Arial"/>
                <w:sz w:val="20"/>
                <w:szCs w:val="20"/>
              </w:rPr>
              <w:t xml:space="preserve"> </w:t>
            </w:r>
          </w:p>
          <w:p w14:paraId="0A09AEFB" w14:textId="77777777" w:rsidR="00A90E9C" w:rsidRPr="008A26D2" w:rsidRDefault="00A90E9C" w:rsidP="0072651A">
            <w:pPr>
              <w:rPr>
                <w:rFonts w:ascii="Arial" w:eastAsia="Arial Narrow" w:hAnsi="Arial" w:cs="Arial"/>
                <w:sz w:val="20"/>
                <w:szCs w:val="20"/>
              </w:rPr>
            </w:pPr>
            <w:r w:rsidRPr="008A26D2">
              <w:rPr>
                <w:rFonts w:ascii="Arial" w:eastAsia="Arial Narrow" w:hAnsi="Arial" w:cs="Arial"/>
                <w:b/>
                <w:sz w:val="20"/>
                <w:szCs w:val="20"/>
              </w:rPr>
              <w:t>2. Especificaciones técnicas:</w:t>
            </w:r>
          </w:p>
          <w:p w14:paraId="308A98A5" w14:textId="48206478" w:rsidR="00A90E9C" w:rsidRDefault="00D97BD5" w:rsidP="0072651A">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La variable A </w:t>
            </w:r>
            <w:r>
              <w:rPr>
                <w:rFonts w:ascii="Arial" w:eastAsia="Arial Narrow" w:hAnsi="Arial" w:cs="Arial"/>
                <w:sz w:val="20"/>
                <w:szCs w:val="20"/>
              </w:rPr>
              <w:t xml:space="preserve">se determina </w:t>
            </w:r>
            <w:r w:rsidR="00F272DD">
              <w:rPr>
                <w:rFonts w:ascii="Arial" w:eastAsia="Arial Narrow" w:hAnsi="Arial" w:cs="Arial"/>
                <w:sz w:val="20"/>
                <w:szCs w:val="20"/>
              </w:rPr>
              <w:t>sumando los</w:t>
            </w:r>
            <w:r w:rsidR="00A90E9C" w:rsidRPr="008A26D2">
              <w:rPr>
                <w:rFonts w:ascii="Arial" w:eastAsia="Arial Narrow" w:hAnsi="Arial" w:cs="Arial"/>
                <w:sz w:val="20"/>
                <w:szCs w:val="20"/>
              </w:rPr>
              <w:t xml:space="preserve"> expediente</w:t>
            </w:r>
            <w:r w:rsidR="00F272DD">
              <w:rPr>
                <w:rFonts w:ascii="Arial" w:eastAsia="Arial Narrow" w:hAnsi="Arial" w:cs="Arial"/>
                <w:sz w:val="20"/>
                <w:szCs w:val="20"/>
              </w:rPr>
              <w:t>s</w:t>
            </w:r>
            <w:r w:rsidR="00A90E9C" w:rsidRPr="008A26D2">
              <w:rPr>
                <w:rFonts w:ascii="Arial" w:eastAsia="Arial Narrow" w:hAnsi="Arial" w:cs="Arial"/>
                <w:sz w:val="20"/>
                <w:szCs w:val="20"/>
              </w:rPr>
              <w:t xml:space="preserve"> </w:t>
            </w:r>
            <w:r w:rsidR="003C2210" w:rsidRPr="003C2210">
              <w:rPr>
                <w:rFonts w:ascii="Arial" w:eastAsia="Arial Narrow" w:hAnsi="Arial" w:cs="Arial"/>
                <w:sz w:val="20"/>
                <w:szCs w:val="20"/>
              </w:rPr>
              <w:t>técnico</w:t>
            </w:r>
            <w:r w:rsidR="00F272DD">
              <w:rPr>
                <w:rFonts w:ascii="Arial" w:eastAsia="Arial Narrow" w:hAnsi="Arial" w:cs="Arial"/>
                <w:sz w:val="20"/>
                <w:szCs w:val="20"/>
              </w:rPr>
              <w:t>s</w:t>
            </w:r>
            <w:r w:rsidR="003C2210" w:rsidRPr="003C2210">
              <w:rPr>
                <w:rFonts w:ascii="Arial" w:eastAsia="Arial Narrow" w:hAnsi="Arial" w:cs="Arial"/>
                <w:sz w:val="20"/>
                <w:szCs w:val="20"/>
              </w:rPr>
              <w:t xml:space="preserve"> sobre reconocimiento de hábitats críticos, ecosistemas frágiles o zonas prioritarias para la conservación de los recursos </w:t>
            </w:r>
            <w:r w:rsidR="003C2210" w:rsidRPr="003C2210">
              <w:rPr>
                <w:rFonts w:ascii="Arial" w:eastAsia="Arial Narrow" w:hAnsi="Arial" w:cs="Arial"/>
                <w:sz w:val="20"/>
                <w:szCs w:val="20"/>
              </w:rPr>
              <w:lastRenderedPageBreak/>
              <w:t xml:space="preserve">genéticos de flora y fauna silvestre </w:t>
            </w:r>
            <w:r w:rsidR="00A90E9C" w:rsidRPr="008A26D2">
              <w:rPr>
                <w:rFonts w:ascii="Arial" w:eastAsia="Arial Narrow" w:hAnsi="Arial" w:cs="Arial"/>
                <w:sz w:val="20"/>
                <w:szCs w:val="20"/>
              </w:rPr>
              <w:t>aprobado</w:t>
            </w:r>
            <w:r w:rsidR="00F272DD">
              <w:rPr>
                <w:rFonts w:ascii="Arial" w:eastAsia="Arial Narrow" w:hAnsi="Arial" w:cs="Arial"/>
                <w:sz w:val="20"/>
                <w:szCs w:val="20"/>
              </w:rPr>
              <w:t>s</w:t>
            </w:r>
            <w:r w:rsidR="00A90E9C" w:rsidRPr="008A26D2">
              <w:rPr>
                <w:rFonts w:ascii="Arial" w:eastAsia="Arial Narrow" w:hAnsi="Arial" w:cs="Arial"/>
                <w:sz w:val="20"/>
                <w:szCs w:val="20"/>
              </w:rPr>
              <w:t xml:space="preserve"> de forma fiable</w:t>
            </w:r>
            <w:r w:rsidR="00F272DD">
              <w:rPr>
                <w:rFonts w:ascii="Arial" w:eastAsia="Arial Narrow" w:hAnsi="Arial" w:cs="Arial"/>
                <w:sz w:val="20"/>
                <w:szCs w:val="20"/>
              </w:rPr>
              <w:t>, es decir,</w:t>
            </w:r>
            <w:r w:rsidR="00A90E9C" w:rsidRPr="008A26D2">
              <w:rPr>
                <w:rFonts w:ascii="Arial" w:eastAsia="Arial Narrow" w:hAnsi="Arial" w:cs="Arial"/>
                <w:sz w:val="20"/>
                <w:szCs w:val="20"/>
              </w:rPr>
              <w:t xml:space="preserve"> </w:t>
            </w:r>
            <w:r w:rsidR="00F272DD">
              <w:rPr>
                <w:rFonts w:ascii="Arial" w:eastAsia="Arial Narrow" w:hAnsi="Arial" w:cs="Arial"/>
                <w:sz w:val="20"/>
                <w:szCs w:val="20"/>
              </w:rPr>
              <w:t xml:space="preserve">que han </w:t>
            </w:r>
            <w:r w:rsidR="00A90E9C" w:rsidRPr="008A26D2">
              <w:rPr>
                <w:rFonts w:ascii="Arial" w:eastAsia="Arial Narrow" w:hAnsi="Arial" w:cs="Arial"/>
                <w:sz w:val="20"/>
                <w:szCs w:val="20"/>
              </w:rPr>
              <w:t>cumpli</w:t>
            </w:r>
            <w:r w:rsidR="00F272DD">
              <w:rPr>
                <w:rFonts w:ascii="Arial" w:eastAsia="Arial Narrow" w:hAnsi="Arial" w:cs="Arial"/>
                <w:sz w:val="20"/>
                <w:szCs w:val="20"/>
              </w:rPr>
              <w:t>do</w:t>
            </w:r>
            <w:r w:rsidR="00A90E9C" w:rsidRPr="008A26D2">
              <w:rPr>
                <w:rFonts w:ascii="Arial" w:eastAsia="Arial Narrow" w:hAnsi="Arial" w:cs="Arial"/>
                <w:sz w:val="20"/>
                <w:szCs w:val="20"/>
              </w:rPr>
              <w:t xml:space="preserve"> con los requisitos establecidos en la Resolución de Dirección Ejecutiva N° 261-2019-MIDAGRI-SERFOR-DE; N° 287-2018-MIDAGRI-SERFOR-DE y el Decreto Supremo N° 019-2021-MINAM, según sea el caso.</w:t>
            </w:r>
          </w:p>
          <w:p w14:paraId="07E83435" w14:textId="77777777" w:rsidR="00F272DD" w:rsidRDefault="00F272DD" w:rsidP="0072651A">
            <w:pPr>
              <w:spacing w:after="0" w:line="240" w:lineRule="auto"/>
              <w:jc w:val="both"/>
              <w:rPr>
                <w:rFonts w:ascii="Arial" w:eastAsia="Arial Narrow" w:hAnsi="Arial" w:cs="Arial"/>
                <w:sz w:val="20"/>
                <w:szCs w:val="20"/>
              </w:rPr>
            </w:pPr>
          </w:p>
          <w:p w14:paraId="04746605" w14:textId="61BAB087" w:rsidR="00BF2B73" w:rsidRPr="008A26D2" w:rsidRDefault="00D97BD5" w:rsidP="0072651A">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La variable </w:t>
            </w:r>
            <w:r>
              <w:rPr>
                <w:rFonts w:ascii="Arial" w:eastAsia="Arial Narrow" w:hAnsi="Arial" w:cs="Arial"/>
                <w:sz w:val="20"/>
                <w:szCs w:val="20"/>
              </w:rPr>
              <w:t>B se determina a partir del total de</w:t>
            </w:r>
            <w:r w:rsidR="00E46CD8">
              <w:rPr>
                <w:rFonts w:ascii="Arial" w:eastAsia="Arial Narrow" w:hAnsi="Arial" w:cs="Arial"/>
                <w:sz w:val="20"/>
                <w:szCs w:val="20"/>
              </w:rPr>
              <w:t xml:space="preserve"> expedientes </w:t>
            </w:r>
            <w:r w:rsidR="00E46CD8" w:rsidRPr="00E46CD8">
              <w:rPr>
                <w:rFonts w:ascii="Arial" w:eastAsia="Arial Narrow" w:hAnsi="Arial" w:cs="Arial"/>
                <w:sz w:val="20"/>
                <w:szCs w:val="20"/>
              </w:rPr>
              <w:t xml:space="preserve">técnicos </w:t>
            </w:r>
            <w:r w:rsidR="007C3EBB">
              <w:rPr>
                <w:rFonts w:ascii="Arial" w:eastAsia="Arial Narrow" w:hAnsi="Arial" w:cs="Arial"/>
                <w:sz w:val="20"/>
                <w:szCs w:val="20"/>
              </w:rPr>
              <w:t>que han iniciado el proceso para ser</w:t>
            </w:r>
            <w:r w:rsidR="00E46CD8" w:rsidRPr="00E46CD8">
              <w:rPr>
                <w:rFonts w:ascii="Arial" w:eastAsia="Arial Narrow" w:hAnsi="Arial" w:cs="Arial"/>
                <w:sz w:val="20"/>
                <w:szCs w:val="20"/>
              </w:rPr>
              <w:t xml:space="preserve"> reconoci</w:t>
            </w:r>
            <w:r w:rsidR="007C3EBB">
              <w:rPr>
                <w:rFonts w:ascii="Arial" w:eastAsia="Arial Narrow" w:hAnsi="Arial" w:cs="Arial"/>
                <w:sz w:val="20"/>
                <w:szCs w:val="20"/>
              </w:rPr>
              <w:t>dos</w:t>
            </w:r>
            <w:r w:rsidR="00E46CD8" w:rsidRPr="00E46CD8">
              <w:rPr>
                <w:rFonts w:ascii="Arial" w:eastAsia="Arial Narrow" w:hAnsi="Arial" w:cs="Arial"/>
                <w:sz w:val="20"/>
                <w:szCs w:val="20"/>
              </w:rPr>
              <w:t xml:space="preserve"> </w:t>
            </w:r>
            <w:r w:rsidR="007C3EBB">
              <w:rPr>
                <w:rFonts w:ascii="Arial" w:eastAsia="Arial Narrow" w:hAnsi="Arial" w:cs="Arial"/>
                <w:sz w:val="20"/>
                <w:szCs w:val="20"/>
              </w:rPr>
              <w:t>como</w:t>
            </w:r>
            <w:r w:rsidR="00E46CD8" w:rsidRPr="00E46CD8">
              <w:rPr>
                <w:rFonts w:ascii="Arial" w:eastAsia="Arial Narrow" w:hAnsi="Arial" w:cs="Arial"/>
                <w:sz w:val="20"/>
                <w:szCs w:val="20"/>
              </w:rPr>
              <w:t xml:space="preserve"> hábitats críticos, ecosistemas frágiles o zonas prioritarias para la conservación de los recursos genéticos de flora y fauna silvestre</w:t>
            </w:r>
            <w:r w:rsidR="00796F78">
              <w:rPr>
                <w:rFonts w:ascii="Arial" w:eastAsia="Arial Narrow" w:hAnsi="Arial" w:cs="Arial"/>
                <w:sz w:val="20"/>
                <w:szCs w:val="20"/>
              </w:rPr>
              <w:t>.</w:t>
            </w:r>
          </w:p>
          <w:p w14:paraId="500EB407" w14:textId="77777777" w:rsidR="00A90E9C" w:rsidRPr="008A26D2" w:rsidRDefault="00A90E9C" w:rsidP="0072651A">
            <w:pPr>
              <w:spacing w:after="0" w:line="240" w:lineRule="auto"/>
              <w:jc w:val="both"/>
              <w:rPr>
                <w:rFonts w:ascii="Arial" w:eastAsia="Arial Narrow" w:hAnsi="Arial" w:cs="Arial"/>
                <w:sz w:val="20"/>
                <w:szCs w:val="20"/>
              </w:rPr>
            </w:pPr>
          </w:p>
          <w:p w14:paraId="5F1D5253" w14:textId="453977A9" w:rsidR="00A90E9C" w:rsidRPr="008A26D2" w:rsidRDefault="00A90E9C" w:rsidP="0072651A">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Los ecosistemas frágiles, </w:t>
            </w:r>
            <w:r w:rsidR="00FB664F" w:rsidRPr="008A26D2">
              <w:rPr>
                <w:rFonts w:ascii="Arial" w:eastAsia="Arial Narrow" w:hAnsi="Arial" w:cs="Arial"/>
                <w:sz w:val="20"/>
                <w:szCs w:val="20"/>
              </w:rPr>
              <w:t xml:space="preserve">son áreas </w:t>
            </w:r>
            <w:r w:rsidR="00DA4742" w:rsidRPr="008A26D2">
              <w:rPr>
                <w:rFonts w:ascii="Arial" w:eastAsia="Arial Narrow" w:hAnsi="Arial" w:cs="Arial"/>
                <w:sz w:val="20"/>
                <w:szCs w:val="20"/>
              </w:rPr>
              <w:t>que,</w:t>
            </w:r>
            <w:r w:rsidR="00FB664F" w:rsidRPr="008A26D2">
              <w:rPr>
                <w:rFonts w:ascii="Arial" w:eastAsia="Arial Narrow" w:hAnsi="Arial" w:cs="Arial"/>
                <w:sz w:val="20"/>
                <w:szCs w:val="20"/>
              </w:rPr>
              <w:t xml:space="preserve"> </w:t>
            </w:r>
            <w:r w:rsidRPr="008A26D2">
              <w:rPr>
                <w:rFonts w:ascii="Arial" w:eastAsia="Arial Narrow" w:hAnsi="Arial" w:cs="Arial"/>
                <w:sz w:val="20"/>
                <w:szCs w:val="20"/>
              </w:rPr>
              <w:t xml:space="preserve">por su baja resiliencia o capacidad de retorno a sus condiciones originales, resultan inestables ante eventos de naturaleza antropogénica y constituyen áreas prioritarias para la conservación de la biodiversidad en las que se restringen o limitan los usos extractivos. </w:t>
            </w:r>
          </w:p>
          <w:p w14:paraId="02EC1592" w14:textId="77777777" w:rsidR="00A90E9C" w:rsidRPr="008A26D2" w:rsidRDefault="00A90E9C" w:rsidP="0072651A">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Los hábitats críticos son áreas específicas dentro del rango normal de distribución de una especie o población de una especie con condiciones particulares que son esenciales para su sobrevivencia, y que requieren manejo y protección especial; que incluye tanto aspectos ecológicos como biofísicos tales como cobertura vegetal y otras condiciones naturales, disponibilidad de recursos alimenticios o para anidación, entre otros. </w:t>
            </w:r>
          </w:p>
          <w:p w14:paraId="3604263B" w14:textId="77777777" w:rsidR="00A90E9C" w:rsidRPr="008A26D2" w:rsidRDefault="00A90E9C" w:rsidP="0072651A">
            <w:pPr>
              <w:spacing w:after="0" w:line="240" w:lineRule="auto"/>
              <w:jc w:val="both"/>
              <w:rPr>
                <w:rFonts w:ascii="Arial" w:eastAsia="Arial Narrow" w:hAnsi="Arial" w:cs="Arial"/>
                <w:sz w:val="20"/>
                <w:szCs w:val="20"/>
              </w:rPr>
            </w:pPr>
            <w:r w:rsidRPr="008A26D2">
              <w:rPr>
                <w:rFonts w:ascii="Arial" w:hAnsi="Arial" w:cs="Arial"/>
                <w:sz w:val="20"/>
                <w:szCs w:val="20"/>
              </w:rPr>
              <w:t xml:space="preserve">Las zonas prioritarias para la conservación de los recursos genéticos de flora y fauna silvestre son áreas de interés nacional sobre la base de los Reglamentos para la Gestión Forestal y para la Gestión de Fauna Silvestre, así como el Reglamento de Acceso a los Recursos Genéticos y sus Derivados. </w:t>
            </w:r>
            <w:r w:rsidRPr="008A26D2">
              <w:rPr>
                <w:rFonts w:ascii="Arial" w:eastAsiaTheme="minorHAnsi" w:hAnsi="Arial" w:cs="Arial"/>
                <w:sz w:val="20"/>
                <w:szCs w:val="20"/>
                <w:lang w:eastAsia="en-US"/>
                <w14:ligatures w14:val="standardContextual"/>
              </w:rPr>
              <w:t>La identificación de dichas zonas permitirá promover la puesta en valor y utilización sostenible de los recursos genéticos y sus derivados contenidos en las especies de interés para el acceso a los recursos genéticos en especial aquellos que estén en riesgo, se consideren especies prioritarias o sean especies centro de origen o diversidad genética.</w:t>
            </w:r>
          </w:p>
        </w:tc>
      </w:tr>
      <w:tr w:rsidR="008A26D2" w:rsidRPr="008A26D2" w14:paraId="27EB12CD" w14:textId="77777777" w:rsidTr="00FB664F">
        <w:trPr>
          <w:trHeight w:val="686"/>
        </w:trPr>
        <w:tc>
          <w:tcPr>
            <w:tcW w:w="2709" w:type="dxa"/>
            <w:gridSpan w:val="3"/>
            <w:shd w:val="clear" w:color="auto" w:fill="auto"/>
            <w:tcMar>
              <w:top w:w="10" w:type="dxa"/>
              <w:left w:w="93" w:type="dxa"/>
              <w:bottom w:w="0" w:type="dxa"/>
              <w:right w:w="10" w:type="dxa"/>
            </w:tcMar>
            <w:vAlign w:val="center"/>
          </w:tcPr>
          <w:p w14:paraId="7C04BAD2" w14:textId="77777777" w:rsidR="00A90E9C" w:rsidRPr="008A26D2" w:rsidRDefault="00A90E9C" w:rsidP="0072651A">
            <w:pPr>
              <w:rPr>
                <w:rFonts w:ascii="Arial" w:hAnsi="Arial" w:cs="Arial"/>
                <w:sz w:val="20"/>
                <w:szCs w:val="20"/>
              </w:rPr>
            </w:pPr>
            <w:r w:rsidRPr="008A26D2">
              <w:rPr>
                <w:rFonts w:ascii="Arial" w:hAnsi="Arial" w:cs="Arial"/>
                <w:b/>
                <w:sz w:val="20"/>
                <w:szCs w:val="20"/>
              </w:rPr>
              <w:lastRenderedPageBreak/>
              <w:t>Sentido esperado del indicador:</w:t>
            </w:r>
          </w:p>
        </w:tc>
        <w:tc>
          <w:tcPr>
            <w:tcW w:w="1686" w:type="dxa"/>
            <w:gridSpan w:val="2"/>
            <w:shd w:val="clear" w:color="auto" w:fill="auto"/>
            <w:tcMar>
              <w:top w:w="10" w:type="dxa"/>
              <w:left w:w="283" w:type="dxa"/>
              <w:bottom w:w="0" w:type="dxa"/>
              <w:right w:w="283" w:type="dxa"/>
            </w:tcMar>
            <w:vAlign w:val="center"/>
          </w:tcPr>
          <w:p w14:paraId="5C7FF61C" w14:textId="77777777" w:rsidR="00A90E9C" w:rsidRPr="008A26D2" w:rsidRDefault="00A90E9C" w:rsidP="0072651A">
            <w:pPr>
              <w:rPr>
                <w:rFonts w:ascii="Arial" w:hAnsi="Arial" w:cs="Arial"/>
                <w:sz w:val="20"/>
                <w:szCs w:val="20"/>
              </w:rPr>
            </w:pPr>
            <w:r w:rsidRPr="008A26D2">
              <w:rPr>
                <w:rFonts w:ascii="Arial" w:eastAsia="Arial Narrow" w:hAnsi="Arial" w:cs="Arial"/>
                <w:sz w:val="20"/>
                <w:szCs w:val="20"/>
              </w:rPr>
              <w:t>Ascendente</w:t>
            </w:r>
          </w:p>
        </w:tc>
        <w:tc>
          <w:tcPr>
            <w:tcW w:w="2552" w:type="dxa"/>
            <w:gridSpan w:val="4"/>
            <w:shd w:val="clear" w:color="auto" w:fill="auto"/>
            <w:tcMar>
              <w:top w:w="15" w:type="dxa"/>
              <w:left w:w="15" w:type="dxa"/>
              <w:bottom w:w="0" w:type="dxa"/>
              <w:right w:w="15" w:type="dxa"/>
            </w:tcMar>
            <w:vAlign w:val="center"/>
          </w:tcPr>
          <w:p w14:paraId="341178B3" w14:textId="77777777" w:rsidR="00A90E9C" w:rsidRPr="008A26D2" w:rsidRDefault="00A90E9C" w:rsidP="0072651A">
            <w:pPr>
              <w:rPr>
                <w:rFonts w:ascii="Arial" w:hAnsi="Arial" w:cs="Arial"/>
                <w:sz w:val="20"/>
                <w:szCs w:val="20"/>
              </w:rPr>
            </w:pPr>
            <w:r w:rsidRPr="008A26D2">
              <w:rPr>
                <w:rFonts w:ascii="Arial" w:hAnsi="Arial" w:cs="Arial"/>
                <w:b/>
                <w:sz w:val="20"/>
                <w:szCs w:val="20"/>
              </w:rPr>
              <w:t>Tipo de indicador de servicio:</w:t>
            </w:r>
          </w:p>
        </w:tc>
        <w:tc>
          <w:tcPr>
            <w:tcW w:w="1842" w:type="dxa"/>
            <w:gridSpan w:val="3"/>
            <w:shd w:val="clear" w:color="auto" w:fill="auto"/>
            <w:tcMar>
              <w:top w:w="15" w:type="dxa"/>
              <w:left w:w="15" w:type="dxa"/>
              <w:bottom w:w="0" w:type="dxa"/>
              <w:right w:w="15" w:type="dxa"/>
            </w:tcMar>
            <w:vAlign w:val="center"/>
          </w:tcPr>
          <w:p w14:paraId="1D502D6B" w14:textId="77777777" w:rsidR="00A90E9C" w:rsidRPr="008A26D2" w:rsidRDefault="00A90E9C" w:rsidP="0072651A">
            <w:pPr>
              <w:rPr>
                <w:rFonts w:ascii="Arial" w:hAnsi="Arial" w:cs="Arial"/>
                <w:sz w:val="20"/>
                <w:szCs w:val="20"/>
              </w:rPr>
            </w:pPr>
            <w:r w:rsidRPr="008A26D2">
              <w:rPr>
                <w:rFonts w:ascii="Arial" w:eastAsia="Arial Narrow" w:hAnsi="Arial" w:cs="Arial"/>
                <w:sz w:val="20"/>
                <w:szCs w:val="20"/>
              </w:rPr>
              <w:t>Calidad – Fiabilidad</w:t>
            </w:r>
          </w:p>
        </w:tc>
      </w:tr>
      <w:tr w:rsidR="008A26D2" w:rsidRPr="008A26D2" w14:paraId="1B1AFF33" w14:textId="77777777" w:rsidTr="0072651A">
        <w:trPr>
          <w:trHeight w:val="13"/>
        </w:trPr>
        <w:tc>
          <w:tcPr>
            <w:tcW w:w="2709" w:type="dxa"/>
            <w:gridSpan w:val="3"/>
            <w:shd w:val="clear" w:color="auto" w:fill="auto"/>
            <w:tcMar>
              <w:top w:w="10" w:type="dxa"/>
              <w:left w:w="93" w:type="dxa"/>
              <w:bottom w:w="0" w:type="dxa"/>
              <w:right w:w="10" w:type="dxa"/>
            </w:tcMar>
            <w:vAlign w:val="center"/>
          </w:tcPr>
          <w:p w14:paraId="003D0D68" w14:textId="77777777" w:rsidR="00A90E9C" w:rsidRPr="008A26D2" w:rsidRDefault="00A90E9C" w:rsidP="0072651A">
            <w:pPr>
              <w:jc w:val="both"/>
              <w:rPr>
                <w:rFonts w:ascii="Arial" w:hAnsi="Arial" w:cs="Arial"/>
                <w:sz w:val="20"/>
                <w:szCs w:val="20"/>
              </w:rPr>
            </w:pPr>
            <w:r w:rsidRPr="008A26D2">
              <w:rPr>
                <w:rFonts w:ascii="Arial" w:hAnsi="Arial" w:cs="Arial"/>
                <w:b/>
                <w:sz w:val="20"/>
                <w:szCs w:val="20"/>
              </w:rPr>
              <w:t>Fuente y base de datos:</w:t>
            </w:r>
          </w:p>
        </w:tc>
        <w:tc>
          <w:tcPr>
            <w:tcW w:w="6080" w:type="dxa"/>
            <w:gridSpan w:val="9"/>
            <w:shd w:val="clear" w:color="auto" w:fill="auto"/>
            <w:tcMar>
              <w:top w:w="51" w:type="dxa"/>
              <w:left w:w="227" w:type="dxa"/>
              <w:bottom w:w="51" w:type="dxa"/>
              <w:right w:w="227" w:type="dxa"/>
            </w:tcMar>
            <w:vAlign w:val="center"/>
          </w:tcPr>
          <w:p w14:paraId="4137F478" w14:textId="7965A23F" w:rsidR="00A90E9C" w:rsidRPr="008A26D2" w:rsidRDefault="00A90E9C" w:rsidP="0072651A">
            <w:pPr>
              <w:jc w:val="both"/>
              <w:rPr>
                <w:rFonts w:ascii="Arial" w:eastAsia="Arial Narrow" w:hAnsi="Arial" w:cs="Arial"/>
                <w:sz w:val="20"/>
                <w:szCs w:val="20"/>
              </w:rPr>
            </w:pPr>
            <w:r w:rsidRPr="008A26D2">
              <w:rPr>
                <w:rFonts w:ascii="Arial" w:eastAsia="Arial Narrow" w:hAnsi="Arial" w:cs="Arial"/>
                <w:sz w:val="20"/>
                <w:szCs w:val="20"/>
              </w:rPr>
              <w:t>Fuente:  Dirección General de Gestión Sostenible del Patrimonio Forestal y de Fauna Silvestre</w:t>
            </w:r>
            <w:r w:rsidR="005B450B">
              <w:rPr>
                <w:rFonts w:ascii="Arial" w:eastAsia="Arial Narrow" w:hAnsi="Arial" w:cs="Arial"/>
                <w:sz w:val="20"/>
                <w:szCs w:val="20"/>
              </w:rPr>
              <w:t>,</w:t>
            </w:r>
            <w:r w:rsidRPr="008A26D2">
              <w:rPr>
                <w:rFonts w:ascii="Arial" w:eastAsia="Arial Narrow" w:hAnsi="Arial" w:cs="Arial"/>
                <w:sz w:val="20"/>
                <w:szCs w:val="20"/>
              </w:rPr>
              <w:t xml:space="preserve"> y la Dirección General de Información y Ordenamiento Forestal y de Fauna Silvestre del </w:t>
            </w:r>
            <w:r w:rsidR="00FB664F" w:rsidRPr="008A26D2">
              <w:rPr>
                <w:rFonts w:ascii="Arial" w:eastAsia="Arial Narrow" w:hAnsi="Arial" w:cs="Arial"/>
                <w:sz w:val="20"/>
                <w:szCs w:val="20"/>
              </w:rPr>
              <w:t>SERFOR</w:t>
            </w:r>
            <w:r w:rsidRPr="008A26D2">
              <w:rPr>
                <w:rFonts w:ascii="Arial" w:eastAsia="Arial Narrow" w:hAnsi="Arial" w:cs="Arial"/>
                <w:sz w:val="20"/>
                <w:szCs w:val="20"/>
              </w:rPr>
              <w:t>.</w:t>
            </w:r>
          </w:p>
          <w:p w14:paraId="1AAA8773" w14:textId="0CCE271B" w:rsidR="00A90E9C" w:rsidRPr="008A26D2" w:rsidRDefault="00A90E9C" w:rsidP="0072651A">
            <w:pPr>
              <w:jc w:val="both"/>
              <w:rPr>
                <w:rFonts w:ascii="Arial" w:eastAsia="Arial Narrow" w:hAnsi="Arial" w:cs="Arial"/>
                <w:sz w:val="20"/>
                <w:szCs w:val="20"/>
              </w:rPr>
            </w:pPr>
            <w:r w:rsidRPr="008A26D2">
              <w:rPr>
                <w:rFonts w:ascii="Arial" w:eastAsia="Arial Narrow" w:hAnsi="Arial" w:cs="Arial"/>
                <w:sz w:val="20"/>
                <w:szCs w:val="20"/>
              </w:rPr>
              <w:t>Base de datos: Reporte del catastro forestal de la Dirección de Catastro, Zonificación y Ordenamiento Forestal del SERFOR; Reporte de</w:t>
            </w:r>
            <w:r w:rsidR="002046B9">
              <w:rPr>
                <w:rFonts w:ascii="Arial" w:eastAsia="Arial Narrow" w:hAnsi="Arial" w:cs="Arial"/>
                <w:sz w:val="20"/>
                <w:szCs w:val="20"/>
              </w:rPr>
              <w:t xml:space="preserve"> hábitats críticos y </w:t>
            </w:r>
            <w:r w:rsidR="002046B9" w:rsidRPr="008A26D2">
              <w:rPr>
                <w:rFonts w:ascii="Arial" w:hAnsi="Arial" w:cs="Arial"/>
                <w:sz w:val="20"/>
                <w:szCs w:val="20"/>
              </w:rPr>
              <w:t>zonas prioritarias para la conservación de los recursos genéticos de flora y fauna silvestre</w:t>
            </w:r>
            <w:r w:rsidR="002046B9">
              <w:rPr>
                <w:rFonts w:ascii="Arial" w:hAnsi="Arial" w:cs="Arial"/>
                <w:sz w:val="20"/>
                <w:szCs w:val="20"/>
              </w:rPr>
              <w:t xml:space="preserve"> generado por</w:t>
            </w:r>
            <w:r w:rsidRPr="008A26D2">
              <w:rPr>
                <w:rFonts w:ascii="Arial" w:eastAsia="Arial Narrow" w:hAnsi="Arial" w:cs="Arial"/>
                <w:sz w:val="20"/>
                <w:szCs w:val="20"/>
              </w:rPr>
              <w:t xml:space="preserve"> </w:t>
            </w:r>
            <w:r w:rsidR="00DA4742" w:rsidRPr="008A26D2">
              <w:rPr>
                <w:rFonts w:ascii="Arial" w:eastAsia="Arial Narrow" w:hAnsi="Arial" w:cs="Arial"/>
                <w:sz w:val="20"/>
                <w:szCs w:val="20"/>
              </w:rPr>
              <w:t>la</w:t>
            </w:r>
            <w:r w:rsidRPr="008A26D2">
              <w:rPr>
                <w:rFonts w:ascii="Arial" w:eastAsia="Arial Narrow" w:hAnsi="Arial" w:cs="Arial"/>
                <w:sz w:val="20"/>
                <w:szCs w:val="20"/>
              </w:rPr>
              <w:t xml:space="preserve"> </w:t>
            </w:r>
            <w:r w:rsidR="00DA4742" w:rsidRPr="008A26D2">
              <w:rPr>
                <w:rFonts w:ascii="Arial" w:eastAsia="Arial Narrow" w:hAnsi="Arial" w:cs="Arial"/>
                <w:sz w:val="20"/>
                <w:szCs w:val="20"/>
              </w:rPr>
              <w:t xml:space="preserve">Dirección de Gestión Sostenible del Patrimonio Forestal y la Dirección de Gestión Sostenible del Patrimonio de Fauna Silvestre </w:t>
            </w:r>
            <w:r w:rsidRPr="008A26D2">
              <w:rPr>
                <w:rFonts w:ascii="Arial" w:eastAsia="Arial Narrow" w:hAnsi="Arial" w:cs="Arial"/>
                <w:sz w:val="20"/>
                <w:szCs w:val="20"/>
              </w:rPr>
              <w:t>del SERFOR</w:t>
            </w:r>
          </w:p>
        </w:tc>
      </w:tr>
      <w:tr w:rsidR="008A26D2" w:rsidRPr="008A26D2" w14:paraId="1A769454" w14:textId="77777777" w:rsidTr="0072651A">
        <w:trPr>
          <w:trHeight w:val="436"/>
        </w:trPr>
        <w:tc>
          <w:tcPr>
            <w:tcW w:w="2709" w:type="dxa"/>
            <w:gridSpan w:val="3"/>
            <w:shd w:val="clear" w:color="auto" w:fill="auto"/>
            <w:tcMar>
              <w:top w:w="10" w:type="dxa"/>
              <w:left w:w="93" w:type="dxa"/>
              <w:bottom w:w="0" w:type="dxa"/>
              <w:right w:w="10" w:type="dxa"/>
            </w:tcMar>
            <w:vAlign w:val="center"/>
          </w:tcPr>
          <w:p w14:paraId="75BD18BF" w14:textId="77777777" w:rsidR="00A90E9C" w:rsidRPr="008A26D2" w:rsidRDefault="00A90E9C" w:rsidP="0072651A">
            <w:pPr>
              <w:rPr>
                <w:rFonts w:ascii="Arial" w:hAnsi="Arial" w:cs="Arial"/>
                <w:sz w:val="20"/>
                <w:szCs w:val="20"/>
              </w:rPr>
            </w:pPr>
            <w:r w:rsidRPr="008A26D2">
              <w:rPr>
                <w:rFonts w:ascii="Arial" w:hAnsi="Arial" w:cs="Arial"/>
                <w:b/>
                <w:sz w:val="20"/>
                <w:szCs w:val="20"/>
              </w:rPr>
              <w:t>Supuestos:</w:t>
            </w:r>
          </w:p>
        </w:tc>
        <w:tc>
          <w:tcPr>
            <w:tcW w:w="6080" w:type="dxa"/>
            <w:gridSpan w:val="9"/>
            <w:shd w:val="clear" w:color="auto" w:fill="auto"/>
            <w:tcMar>
              <w:top w:w="51" w:type="dxa"/>
              <w:left w:w="227" w:type="dxa"/>
              <w:bottom w:w="51" w:type="dxa"/>
              <w:right w:w="227" w:type="dxa"/>
            </w:tcMar>
            <w:vAlign w:val="center"/>
          </w:tcPr>
          <w:p w14:paraId="726B53B1" w14:textId="0794E7B2" w:rsidR="00A90E9C" w:rsidRPr="008A26D2" w:rsidRDefault="00A90E9C" w:rsidP="0072651A">
            <w:pPr>
              <w:jc w:val="both"/>
              <w:rPr>
                <w:rFonts w:ascii="Arial" w:eastAsia="Arial Narrow" w:hAnsi="Arial" w:cs="Arial"/>
                <w:sz w:val="20"/>
                <w:szCs w:val="20"/>
              </w:rPr>
            </w:pPr>
            <w:r w:rsidRPr="008A26D2">
              <w:rPr>
                <w:rFonts w:ascii="Arial" w:eastAsia="Arial Narrow" w:hAnsi="Arial" w:cs="Arial"/>
                <w:sz w:val="20"/>
                <w:szCs w:val="20"/>
              </w:rPr>
              <w:t xml:space="preserve">Existe interés por parte de los </w:t>
            </w:r>
            <w:r w:rsidR="00616F44" w:rsidRPr="008A26D2">
              <w:rPr>
                <w:rFonts w:ascii="Arial" w:eastAsia="Arial Narrow" w:hAnsi="Arial" w:cs="Arial"/>
                <w:sz w:val="20"/>
                <w:szCs w:val="20"/>
              </w:rPr>
              <w:t>g</w:t>
            </w:r>
            <w:r w:rsidRPr="008A26D2">
              <w:rPr>
                <w:rFonts w:ascii="Arial" w:eastAsia="Arial Narrow" w:hAnsi="Arial" w:cs="Arial"/>
                <w:sz w:val="20"/>
                <w:szCs w:val="20"/>
              </w:rPr>
              <w:t xml:space="preserve">obiernos </w:t>
            </w:r>
            <w:r w:rsidR="00616F44" w:rsidRPr="008A26D2">
              <w:rPr>
                <w:rFonts w:ascii="Arial" w:eastAsia="Arial Narrow" w:hAnsi="Arial" w:cs="Arial"/>
                <w:sz w:val="20"/>
                <w:szCs w:val="20"/>
              </w:rPr>
              <w:t>r</w:t>
            </w:r>
            <w:r w:rsidRPr="008A26D2">
              <w:rPr>
                <w:rFonts w:ascii="Arial" w:eastAsia="Arial Narrow" w:hAnsi="Arial" w:cs="Arial"/>
                <w:sz w:val="20"/>
                <w:szCs w:val="20"/>
              </w:rPr>
              <w:t>egionales para identificar ecosistemas frágiles</w:t>
            </w:r>
            <w:r w:rsidR="00616F44" w:rsidRPr="008A26D2">
              <w:rPr>
                <w:rFonts w:ascii="Arial" w:eastAsia="Arial Narrow" w:hAnsi="Arial" w:cs="Arial"/>
                <w:sz w:val="20"/>
                <w:szCs w:val="20"/>
              </w:rPr>
              <w:t>,</w:t>
            </w:r>
            <w:r w:rsidRPr="008A26D2">
              <w:rPr>
                <w:rFonts w:ascii="Arial" w:eastAsia="Arial Narrow" w:hAnsi="Arial" w:cs="Arial"/>
                <w:sz w:val="20"/>
                <w:szCs w:val="20"/>
              </w:rPr>
              <w:t xml:space="preserve"> hábitats críticos y</w:t>
            </w:r>
            <w:r w:rsidRPr="008A26D2">
              <w:rPr>
                <w:rFonts w:ascii="Arial" w:hAnsi="Arial" w:cs="Arial"/>
                <w:sz w:val="20"/>
                <w:szCs w:val="20"/>
              </w:rPr>
              <w:t xml:space="preserve"> zonas prioritarias para la conservación de los recursos genéticos de flora y fauna silvestre </w:t>
            </w:r>
            <w:r w:rsidRPr="008A26D2">
              <w:rPr>
                <w:rFonts w:ascii="Arial" w:eastAsia="Arial Narrow" w:hAnsi="Arial" w:cs="Arial"/>
                <w:sz w:val="20"/>
                <w:szCs w:val="20"/>
              </w:rPr>
              <w:t>en sus ámbitos</w:t>
            </w:r>
          </w:p>
        </w:tc>
      </w:tr>
      <w:tr w:rsidR="008A26D2" w:rsidRPr="008A26D2" w14:paraId="53D8804F" w14:textId="77777777" w:rsidTr="0072651A">
        <w:trPr>
          <w:trHeight w:val="556"/>
        </w:trPr>
        <w:tc>
          <w:tcPr>
            <w:tcW w:w="866" w:type="dxa"/>
            <w:shd w:val="clear" w:color="auto" w:fill="auto"/>
            <w:tcMar>
              <w:top w:w="10" w:type="dxa"/>
              <w:left w:w="10" w:type="dxa"/>
              <w:bottom w:w="0" w:type="dxa"/>
              <w:right w:w="10" w:type="dxa"/>
            </w:tcMar>
            <w:vAlign w:val="center"/>
          </w:tcPr>
          <w:p w14:paraId="52252B10" w14:textId="77777777" w:rsidR="00A90E9C" w:rsidRPr="008A26D2" w:rsidRDefault="00A90E9C" w:rsidP="0072651A">
            <w:pPr>
              <w:rPr>
                <w:rFonts w:ascii="Arial" w:hAnsi="Arial" w:cs="Arial"/>
                <w:sz w:val="20"/>
                <w:szCs w:val="20"/>
              </w:rPr>
            </w:pPr>
            <w:r w:rsidRPr="008A26D2">
              <w:rPr>
                <w:rFonts w:ascii="Arial" w:hAnsi="Arial" w:cs="Arial"/>
                <w:b/>
                <w:sz w:val="20"/>
                <w:szCs w:val="20"/>
              </w:rPr>
              <w:lastRenderedPageBreak/>
              <w:t> </w:t>
            </w:r>
          </w:p>
        </w:tc>
        <w:tc>
          <w:tcPr>
            <w:tcW w:w="993" w:type="dxa"/>
            <w:shd w:val="clear" w:color="auto" w:fill="auto"/>
            <w:tcMar>
              <w:top w:w="10" w:type="dxa"/>
              <w:left w:w="10" w:type="dxa"/>
              <w:bottom w:w="0" w:type="dxa"/>
              <w:right w:w="10" w:type="dxa"/>
            </w:tcMar>
            <w:vAlign w:val="center"/>
          </w:tcPr>
          <w:p w14:paraId="76F1E8C4" w14:textId="77777777" w:rsidR="00A90E9C" w:rsidRPr="008A26D2" w:rsidRDefault="00A90E9C" w:rsidP="0072651A">
            <w:pPr>
              <w:jc w:val="center"/>
              <w:rPr>
                <w:rFonts w:ascii="Arial" w:hAnsi="Arial" w:cs="Arial"/>
                <w:sz w:val="20"/>
                <w:szCs w:val="20"/>
              </w:rPr>
            </w:pPr>
            <w:r w:rsidRPr="008A26D2">
              <w:rPr>
                <w:rFonts w:ascii="Arial" w:hAnsi="Arial" w:cs="Arial"/>
                <w:b/>
                <w:sz w:val="20"/>
                <w:szCs w:val="20"/>
              </w:rPr>
              <w:t>Línea de base</w:t>
            </w:r>
          </w:p>
        </w:tc>
        <w:tc>
          <w:tcPr>
            <w:tcW w:w="6930" w:type="dxa"/>
            <w:gridSpan w:val="10"/>
            <w:shd w:val="clear" w:color="auto" w:fill="auto"/>
            <w:tcMar>
              <w:top w:w="10" w:type="dxa"/>
              <w:left w:w="10" w:type="dxa"/>
              <w:bottom w:w="0" w:type="dxa"/>
              <w:right w:w="10" w:type="dxa"/>
            </w:tcMar>
            <w:vAlign w:val="center"/>
          </w:tcPr>
          <w:p w14:paraId="397B8CE2" w14:textId="77777777" w:rsidR="00A90E9C" w:rsidRPr="008A26D2" w:rsidRDefault="00A90E9C" w:rsidP="0072651A">
            <w:pPr>
              <w:jc w:val="center"/>
              <w:rPr>
                <w:rFonts w:ascii="Arial" w:hAnsi="Arial" w:cs="Arial"/>
                <w:sz w:val="20"/>
                <w:szCs w:val="20"/>
              </w:rPr>
            </w:pPr>
            <w:r w:rsidRPr="008A26D2">
              <w:rPr>
                <w:rFonts w:ascii="Arial" w:hAnsi="Arial" w:cs="Arial"/>
                <w:b/>
                <w:sz w:val="20"/>
                <w:szCs w:val="20"/>
              </w:rPr>
              <w:t xml:space="preserve">Logros esperados </w:t>
            </w:r>
          </w:p>
        </w:tc>
      </w:tr>
      <w:tr w:rsidR="008A26D2" w:rsidRPr="008A26D2" w14:paraId="00534F23" w14:textId="77777777" w:rsidTr="0072651A">
        <w:trPr>
          <w:trHeight w:val="217"/>
        </w:trPr>
        <w:tc>
          <w:tcPr>
            <w:tcW w:w="866" w:type="dxa"/>
            <w:shd w:val="clear" w:color="auto" w:fill="auto"/>
            <w:tcMar>
              <w:top w:w="10" w:type="dxa"/>
              <w:left w:w="10" w:type="dxa"/>
              <w:bottom w:w="0" w:type="dxa"/>
              <w:right w:w="10" w:type="dxa"/>
            </w:tcMar>
            <w:vAlign w:val="center"/>
          </w:tcPr>
          <w:p w14:paraId="33BF381B" w14:textId="77777777" w:rsidR="00A90E9C" w:rsidRPr="008A26D2" w:rsidRDefault="00A90E9C" w:rsidP="0072651A">
            <w:pPr>
              <w:jc w:val="center"/>
              <w:rPr>
                <w:rFonts w:ascii="Arial" w:hAnsi="Arial" w:cs="Arial"/>
                <w:sz w:val="20"/>
                <w:szCs w:val="20"/>
              </w:rPr>
            </w:pPr>
            <w:r w:rsidRPr="008A26D2">
              <w:rPr>
                <w:rFonts w:ascii="Arial" w:hAnsi="Arial" w:cs="Arial"/>
                <w:b/>
                <w:sz w:val="20"/>
                <w:szCs w:val="20"/>
              </w:rPr>
              <w:t>Año</w:t>
            </w:r>
          </w:p>
        </w:tc>
        <w:tc>
          <w:tcPr>
            <w:tcW w:w="993" w:type="dxa"/>
            <w:shd w:val="clear" w:color="auto" w:fill="auto"/>
            <w:tcMar>
              <w:top w:w="10" w:type="dxa"/>
              <w:left w:w="10" w:type="dxa"/>
              <w:bottom w:w="0" w:type="dxa"/>
              <w:right w:w="10" w:type="dxa"/>
            </w:tcMar>
            <w:vAlign w:val="center"/>
          </w:tcPr>
          <w:p w14:paraId="49D842BE" w14:textId="77777777" w:rsidR="00A90E9C" w:rsidRPr="008A26D2" w:rsidRDefault="00A90E9C" w:rsidP="0072651A">
            <w:pPr>
              <w:jc w:val="center"/>
              <w:rPr>
                <w:rFonts w:ascii="Arial" w:hAnsi="Arial" w:cs="Arial"/>
                <w:b/>
                <w:sz w:val="20"/>
                <w:szCs w:val="20"/>
              </w:rPr>
            </w:pPr>
            <w:r w:rsidRPr="008A26D2">
              <w:rPr>
                <w:rFonts w:ascii="Arial" w:hAnsi="Arial" w:cs="Arial"/>
                <w:b/>
                <w:sz w:val="20"/>
                <w:szCs w:val="20"/>
              </w:rPr>
              <w:t>2022</w:t>
            </w:r>
          </w:p>
        </w:tc>
        <w:tc>
          <w:tcPr>
            <w:tcW w:w="850" w:type="dxa"/>
            <w:shd w:val="clear" w:color="auto" w:fill="auto"/>
            <w:tcMar>
              <w:top w:w="10" w:type="dxa"/>
              <w:left w:w="10" w:type="dxa"/>
              <w:bottom w:w="0" w:type="dxa"/>
              <w:right w:w="10" w:type="dxa"/>
            </w:tcMar>
            <w:vAlign w:val="center"/>
          </w:tcPr>
          <w:p w14:paraId="08855230" w14:textId="77777777" w:rsidR="00A90E9C" w:rsidRPr="008A26D2" w:rsidRDefault="00A90E9C" w:rsidP="0072651A">
            <w:pPr>
              <w:jc w:val="center"/>
              <w:rPr>
                <w:rFonts w:ascii="Arial" w:hAnsi="Arial" w:cs="Arial"/>
                <w:b/>
                <w:sz w:val="20"/>
                <w:szCs w:val="20"/>
              </w:rPr>
            </w:pPr>
            <w:r w:rsidRPr="008A26D2">
              <w:rPr>
                <w:rFonts w:ascii="Arial" w:hAnsi="Arial" w:cs="Arial"/>
                <w:b/>
                <w:sz w:val="20"/>
                <w:szCs w:val="20"/>
              </w:rPr>
              <w:t>2023</w:t>
            </w:r>
          </w:p>
        </w:tc>
        <w:tc>
          <w:tcPr>
            <w:tcW w:w="977" w:type="dxa"/>
            <w:shd w:val="clear" w:color="auto" w:fill="auto"/>
            <w:vAlign w:val="center"/>
          </w:tcPr>
          <w:p w14:paraId="7DAEA2C5" w14:textId="77777777" w:rsidR="00A90E9C" w:rsidRPr="008A26D2" w:rsidRDefault="00A90E9C" w:rsidP="0072651A">
            <w:pPr>
              <w:jc w:val="center"/>
              <w:rPr>
                <w:rFonts w:ascii="Arial" w:hAnsi="Arial" w:cs="Arial"/>
                <w:b/>
                <w:sz w:val="20"/>
                <w:szCs w:val="20"/>
              </w:rPr>
            </w:pPr>
            <w:r w:rsidRPr="008A26D2">
              <w:rPr>
                <w:rFonts w:ascii="Arial" w:hAnsi="Arial" w:cs="Arial"/>
                <w:b/>
                <w:sz w:val="20"/>
                <w:szCs w:val="20"/>
              </w:rPr>
              <w:t>2024</w:t>
            </w:r>
          </w:p>
        </w:tc>
        <w:tc>
          <w:tcPr>
            <w:tcW w:w="1008" w:type="dxa"/>
            <w:gridSpan w:val="2"/>
            <w:shd w:val="clear" w:color="auto" w:fill="auto"/>
            <w:vAlign w:val="center"/>
          </w:tcPr>
          <w:p w14:paraId="2FA76DA2" w14:textId="77777777" w:rsidR="00A90E9C" w:rsidRPr="008A26D2" w:rsidRDefault="00A90E9C" w:rsidP="0072651A">
            <w:pPr>
              <w:jc w:val="center"/>
              <w:rPr>
                <w:rFonts w:ascii="Arial" w:hAnsi="Arial" w:cs="Arial"/>
                <w:b/>
                <w:sz w:val="20"/>
                <w:szCs w:val="20"/>
              </w:rPr>
            </w:pPr>
            <w:r w:rsidRPr="008A26D2">
              <w:rPr>
                <w:rFonts w:ascii="Arial" w:hAnsi="Arial" w:cs="Arial"/>
                <w:b/>
                <w:sz w:val="20"/>
                <w:szCs w:val="20"/>
              </w:rPr>
              <w:t>2025</w:t>
            </w:r>
          </w:p>
        </w:tc>
        <w:tc>
          <w:tcPr>
            <w:tcW w:w="992" w:type="dxa"/>
            <w:shd w:val="clear" w:color="auto" w:fill="auto"/>
            <w:vAlign w:val="center"/>
          </w:tcPr>
          <w:p w14:paraId="4525A250" w14:textId="77777777" w:rsidR="00A90E9C" w:rsidRPr="008A26D2" w:rsidRDefault="00A90E9C" w:rsidP="0072651A">
            <w:pPr>
              <w:jc w:val="center"/>
              <w:rPr>
                <w:rFonts w:ascii="Arial" w:hAnsi="Arial" w:cs="Arial"/>
                <w:b/>
                <w:sz w:val="20"/>
                <w:szCs w:val="20"/>
              </w:rPr>
            </w:pPr>
            <w:r w:rsidRPr="008A26D2">
              <w:rPr>
                <w:rFonts w:ascii="Arial" w:hAnsi="Arial" w:cs="Arial"/>
                <w:b/>
                <w:sz w:val="20"/>
                <w:szCs w:val="20"/>
              </w:rPr>
              <w:t>2026</w:t>
            </w:r>
          </w:p>
        </w:tc>
        <w:tc>
          <w:tcPr>
            <w:tcW w:w="835" w:type="dxa"/>
            <w:shd w:val="clear" w:color="auto" w:fill="auto"/>
            <w:vAlign w:val="center"/>
          </w:tcPr>
          <w:p w14:paraId="4FD0B552" w14:textId="77777777" w:rsidR="00A90E9C" w:rsidRPr="008A26D2" w:rsidRDefault="00A90E9C" w:rsidP="0072651A">
            <w:pPr>
              <w:jc w:val="center"/>
              <w:rPr>
                <w:rFonts w:ascii="Arial" w:hAnsi="Arial" w:cs="Arial"/>
                <w:b/>
                <w:sz w:val="20"/>
                <w:szCs w:val="20"/>
              </w:rPr>
            </w:pPr>
            <w:r w:rsidRPr="008A26D2">
              <w:rPr>
                <w:rFonts w:ascii="Arial" w:hAnsi="Arial" w:cs="Arial"/>
                <w:b/>
                <w:sz w:val="20"/>
                <w:szCs w:val="20"/>
              </w:rPr>
              <w:t>2027</w:t>
            </w:r>
          </w:p>
        </w:tc>
        <w:tc>
          <w:tcPr>
            <w:tcW w:w="709" w:type="dxa"/>
            <w:gridSpan w:val="2"/>
            <w:shd w:val="clear" w:color="auto" w:fill="auto"/>
            <w:vAlign w:val="center"/>
          </w:tcPr>
          <w:p w14:paraId="14C8F7F6" w14:textId="77777777" w:rsidR="00A90E9C" w:rsidRPr="008A26D2" w:rsidRDefault="00A90E9C" w:rsidP="0072651A">
            <w:pPr>
              <w:jc w:val="center"/>
              <w:rPr>
                <w:rFonts w:ascii="Arial" w:hAnsi="Arial" w:cs="Arial"/>
                <w:b/>
                <w:sz w:val="20"/>
                <w:szCs w:val="20"/>
              </w:rPr>
            </w:pPr>
            <w:r w:rsidRPr="008A26D2">
              <w:rPr>
                <w:rFonts w:ascii="Arial" w:hAnsi="Arial" w:cs="Arial"/>
                <w:b/>
                <w:sz w:val="20"/>
                <w:szCs w:val="20"/>
              </w:rPr>
              <w:t>2028</w:t>
            </w:r>
          </w:p>
        </w:tc>
        <w:tc>
          <w:tcPr>
            <w:tcW w:w="851" w:type="dxa"/>
            <w:shd w:val="clear" w:color="auto" w:fill="auto"/>
            <w:vAlign w:val="center"/>
          </w:tcPr>
          <w:p w14:paraId="7CDD64CA" w14:textId="77777777" w:rsidR="00A90E9C" w:rsidRPr="008A26D2" w:rsidRDefault="00A90E9C" w:rsidP="0072651A">
            <w:pPr>
              <w:jc w:val="center"/>
              <w:rPr>
                <w:rFonts w:ascii="Arial" w:hAnsi="Arial" w:cs="Arial"/>
                <w:b/>
                <w:sz w:val="20"/>
                <w:szCs w:val="20"/>
              </w:rPr>
            </w:pPr>
            <w:r w:rsidRPr="008A26D2">
              <w:rPr>
                <w:rFonts w:ascii="Arial" w:hAnsi="Arial" w:cs="Arial"/>
                <w:b/>
                <w:sz w:val="20"/>
                <w:szCs w:val="20"/>
              </w:rPr>
              <w:t>2029</w:t>
            </w:r>
          </w:p>
        </w:tc>
        <w:tc>
          <w:tcPr>
            <w:tcW w:w="708" w:type="dxa"/>
            <w:shd w:val="clear" w:color="auto" w:fill="auto"/>
            <w:tcMar>
              <w:top w:w="10" w:type="dxa"/>
              <w:left w:w="10" w:type="dxa"/>
              <w:bottom w:w="0" w:type="dxa"/>
              <w:right w:w="10" w:type="dxa"/>
            </w:tcMar>
            <w:vAlign w:val="center"/>
          </w:tcPr>
          <w:p w14:paraId="5470A413" w14:textId="77777777" w:rsidR="00A90E9C" w:rsidRPr="008A26D2" w:rsidRDefault="00A90E9C" w:rsidP="0072651A">
            <w:pPr>
              <w:jc w:val="center"/>
              <w:rPr>
                <w:rFonts w:ascii="Arial" w:hAnsi="Arial" w:cs="Arial"/>
                <w:b/>
                <w:sz w:val="20"/>
                <w:szCs w:val="20"/>
              </w:rPr>
            </w:pPr>
            <w:r w:rsidRPr="008A26D2">
              <w:rPr>
                <w:rFonts w:ascii="Arial" w:hAnsi="Arial" w:cs="Arial"/>
                <w:b/>
                <w:sz w:val="20"/>
                <w:szCs w:val="20"/>
              </w:rPr>
              <w:t>2030</w:t>
            </w:r>
          </w:p>
        </w:tc>
      </w:tr>
      <w:tr w:rsidR="008A26D2" w:rsidRPr="008A26D2" w14:paraId="09FE940D" w14:textId="77777777" w:rsidTr="0072651A">
        <w:trPr>
          <w:trHeight w:val="217"/>
        </w:trPr>
        <w:tc>
          <w:tcPr>
            <w:tcW w:w="866" w:type="dxa"/>
            <w:shd w:val="clear" w:color="auto" w:fill="auto"/>
            <w:tcMar>
              <w:top w:w="10" w:type="dxa"/>
              <w:left w:w="10" w:type="dxa"/>
              <w:bottom w:w="0" w:type="dxa"/>
              <w:right w:w="10" w:type="dxa"/>
            </w:tcMar>
            <w:vAlign w:val="center"/>
          </w:tcPr>
          <w:p w14:paraId="170FAA37" w14:textId="77777777" w:rsidR="00A90E9C" w:rsidRPr="008A26D2" w:rsidRDefault="00A90E9C" w:rsidP="0072651A">
            <w:pPr>
              <w:jc w:val="center"/>
              <w:rPr>
                <w:rFonts w:ascii="Arial" w:hAnsi="Arial" w:cs="Arial"/>
                <w:b/>
                <w:sz w:val="20"/>
                <w:szCs w:val="20"/>
              </w:rPr>
            </w:pPr>
            <w:r w:rsidRPr="008A26D2">
              <w:rPr>
                <w:rFonts w:ascii="Arial" w:hAnsi="Arial" w:cs="Arial"/>
                <w:b/>
                <w:sz w:val="20"/>
                <w:szCs w:val="20"/>
              </w:rPr>
              <w:t>Valor</w:t>
            </w:r>
          </w:p>
        </w:tc>
        <w:tc>
          <w:tcPr>
            <w:tcW w:w="993" w:type="dxa"/>
            <w:shd w:val="clear" w:color="auto" w:fill="auto"/>
            <w:tcMar>
              <w:top w:w="10" w:type="dxa"/>
              <w:left w:w="10" w:type="dxa"/>
              <w:bottom w:w="0" w:type="dxa"/>
              <w:right w:w="10" w:type="dxa"/>
            </w:tcMar>
            <w:vAlign w:val="center"/>
          </w:tcPr>
          <w:p w14:paraId="4F01B1CF" w14:textId="77777777" w:rsidR="00A90E9C" w:rsidRPr="008A26D2" w:rsidRDefault="00A90E9C" w:rsidP="0072651A">
            <w:pPr>
              <w:jc w:val="center"/>
              <w:rPr>
                <w:rFonts w:ascii="Arial" w:hAnsi="Arial" w:cs="Arial"/>
                <w:bCs/>
                <w:sz w:val="20"/>
                <w:szCs w:val="20"/>
              </w:rPr>
            </w:pPr>
            <w:r w:rsidRPr="008A26D2">
              <w:rPr>
                <w:rFonts w:ascii="Arial" w:hAnsi="Arial" w:cs="Arial"/>
                <w:bCs/>
                <w:sz w:val="20"/>
                <w:szCs w:val="20"/>
              </w:rPr>
              <w:t>50%</w:t>
            </w:r>
          </w:p>
        </w:tc>
        <w:tc>
          <w:tcPr>
            <w:tcW w:w="850" w:type="dxa"/>
            <w:shd w:val="clear" w:color="auto" w:fill="auto"/>
            <w:tcMar>
              <w:top w:w="10" w:type="dxa"/>
              <w:left w:w="10" w:type="dxa"/>
              <w:bottom w:w="0" w:type="dxa"/>
              <w:right w:w="10" w:type="dxa"/>
            </w:tcMar>
            <w:vAlign w:val="center"/>
          </w:tcPr>
          <w:p w14:paraId="0F0F3264" w14:textId="77777777" w:rsidR="00A90E9C" w:rsidRPr="008A26D2" w:rsidRDefault="00A90E9C" w:rsidP="0072651A">
            <w:pPr>
              <w:jc w:val="center"/>
              <w:rPr>
                <w:rFonts w:ascii="Arial" w:hAnsi="Arial" w:cs="Arial"/>
                <w:bCs/>
                <w:sz w:val="20"/>
                <w:szCs w:val="20"/>
              </w:rPr>
            </w:pPr>
            <w:r w:rsidRPr="008A26D2">
              <w:rPr>
                <w:rFonts w:ascii="Arial" w:hAnsi="Arial" w:cs="Arial"/>
                <w:bCs/>
                <w:sz w:val="20"/>
                <w:szCs w:val="20"/>
              </w:rPr>
              <w:t>50%</w:t>
            </w:r>
          </w:p>
        </w:tc>
        <w:tc>
          <w:tcPr>
            <w:tcW w:w="977" w:type="dxa"/>
            <w:shd w:val="clear" w:color="auto" w:fill="auto"/>
            <w:vAlign w:val="center"/>
          </w:tcPr>
          <w:p w14:paraId="550CEA5D" w14:textId="77777777" w:rsidR="00A90E9C" w:rsidRPr="008A26D2" w:rsidRDefault="00A90E9C" w:rsidP="0072651A">
            <w:pPr>
              <w:jc w:val="center"/>
              <w:rPr>
                <w:rFonts w:ascii="Arial" w:hAnsi="Arial" w:cs="Arial"/>
                <w:bCs/>
                <w:sz w:val="20"/>
                <w:szCs w:val="20"/>
              </w:rPr>
            </w:pPr>
            <w:r w:rsidRPr="008A26D2">
              <w:rPr>
                <w:rFonts w:ascii="Arial" w:hAnsi="Arial" w:cs="Arial"/>
                <w:bCs/>
                <w:sz w:val="20"/>
                <w:szCs w:val="20"/>
              </w:rPr>
              <w:t>75%</w:t>
            </w:r>
          </w:p>
        </w:tc>
        <w:tc>
          <w:tcPr>
            <w:tcW w:w="1008" w:type="dxa"/>
            <w:gridSpan w:val="2"/>
            <w:shd w:val="clear" w:color="auto" w:fill="auto"/>
            <w:vAlign w:val="center"/>
          </w:tcPr>
          <w:p w14:paraId="6B87C8ED" w14:textId="77777777" w:rsidR="00A90E9C" w:rsidRPr="008A26D2" w:rsidRDefault="00A90E9C" w:rsidP="0072651A">
            <w:pPr>
              <w:jc w:val="center"/>
              <w:rPr>
                <w:rFonts w:ascii="Arial" w:hAnsi="Arial" w:cs="Arial"/>
                <w:bCs/>
                <w:sz w:val="20"/>
                <w:szCs w:val="20"/>
              </w:rPr>
            </w:pPr>
            <w:r w:rsidRPr="008A26D2">
              <w:rPr>
                <w:rFonts w:ascii="Arial" w:hAnsi="Arial" w:cs="Arial"/>
                <w:bCs/>
                <w:sz w:val="20"/>
                <w:szCs w:val="20"/>
              </w:rPr>
              <w:t>80%</w:t>
            </w:r>
          </w:p>
        </w:tc>
        <w:tc>
          <w:tcPr>
            <w:tcW w:w="992" w:type="dxa"/>
            <w:shd w:val="clear" w:color="auto" w:fill="auto"/>
            <w:vAlign w:val="center"/>
          </w:tcPr>
          <w:p w14:paraId="53340F74" w14:textId="77777777" w:rsidR="00A90E9C" w:rsidRPr="008A26D2" w:rsidRDefault="00A90E9C" w:rsidP="0072651A">
            <w:pPr>
              <w:jc w:val="center"/>
              <w:rPr>
                <w:rFonts w:ascii="Arial" w:hAnsi="Arial" w:cs="Arial"/>
                <w:bCs/>
                <w:sz w:val="20"/>
                <w:szCs w:val="20"/>
              </w:rPr>
            </w:pPr>
            <w:r w:rsidRPr="008A26D2">
              <w:rPr>
                <w:rFonts w:ascii="Arial" w:hAnsi="Arial" w:cs="Arial"/>
                <w:bCs/>
                <w:sz w:val="20"/>
                <w:szCs w:val="20"/>
              </w:rPr>
              <w:t>80%</w:t>
            </w:r>
          </w:p>
        </w:tc>
        <w:tc>
          <w:tcPr>
            <w:tcW w:w="835" w:type="dxa"/>
            <w:shd w:val="clear" w:color="auto" w:fill="auto"/>
            <w:vAlign w:val="center"/>
          </w:tcPr>
          <w:p w14:paraId="0F41A997" w14:textId="77777777" w:rsidR="00A90E9C" w:rsidRPr="008A26D2" w:rsidRDefault="00A90E9C" w:rsidP="0072651A">
            <w:pPr>
              <w:jc w:val="center"/>
              <w:rPr>
                <w:rFonts w:ascii="Arial" w:hAnsi="Arial" w:cs="Arial"/>
                <w:bCs/>
                <w:sz w:val="20"/>
                <w:szCs w:val="20"/>
              </w:rPr>
            </w:pPr>
            <w:r w:rsidRPr="008A26D2">
              <w:rPr>
                <w:rFonts w:ascii="Arial" w:hAnsi="Arial" w:cs="Arial"/>
                <w:bCs/>
                <w:sz w:val="20"/>
                <w:szCs w:val="20"/>
              </w:rPr>
              <w:t>90%</w:t>
            </w:r>
          </w:p>
        </w:tc>
        <w:tc>
          <w:tcPr>
            <w:tcW w:w="709" w:type="dxa"/>
            <w:gridSpan w:val="2"/>
            <w:shd w:val="clear" w:color="auto" w:fill="auto"/>
            <w:vAlign w:val="center"/>
          </w:tcPr>
          <w:p w14:paraId="6513AE2A" w14:textId="77777777" w:rsidR="00A90E9C" w:rsidRPr="008A26D2" w:rsidRDefault="00A90E9C" w:rsidP="0072651A">
            <w:pPr>
              <w:jc w:val="center"/>
              <w:rPr>
                <w:rFonts w:ascii="Arial" w:hAnsi="Arial" w:cs="Arial"/>
                <w:bCs/>
                <w:sz w:val="20"/>
                <w:szCs w:val="20"/>
              </w:rPr>
            </w:pPr>
            <w:r w:rsidRPr="008A26D2">
              <w:rPr>
                <w:rFonts w:ascii="Arial" w:hAnsi="Arial" w:cs="Arial"/>
                <w:bCs/>
                <w:sz w:val="20"/>
                <w:szCs w:val="20"/>
              </w:rPr>
              <w:t>90%</w:t>
            </w:r>
          </w:p>
        </w:tc>
        <w:tc>
          <w:tcPr>
            <w:tcW w:w="851" w:type="dxa"/>
            <w:shd w:val="clear" w:color="auto" w:fill="auto"/>
            <w:vAlign w:val="center"/>
          </w:tcPr>
          <w:p w14:paraId="3F0D76D2" w14:textId="77777777" w:rsidR="00A90E9C" w:rsidRPr="008A26D2" w:rsidRDefault="00A90E9C" w:rsidP="0072651A">
            <w:pPr>
              <w:jc w:val="center"/>
              <w:rPr>
                <w:rFonts w:ascii="Arial" w:hAnsi="Arial" w:cs="Arial"/>
                <w:bCs/>
                <w:sz w:val="20"/>
                <w:szCs w:val="20"/>
              </w:rPr>
            </w:pPr>
            <w:r w:rsidRPr="008A26D2">
              <w:rPr>
                <w:rFonts w:ascii="Arial" w:hAnsi="Arial" w:cs="Arial"/>
                <w:bCs/>
                <w:sz w:val="20"/>
                <w:szCs w:val="20"/>
              </w:rPr>
              <w:t>90%</w:t>
            </w:r>
          </w:p>
        </w:tc>
        <w:tc>
          <w:tcPr>
            <w:tcW w:w="708" w:type="dxa"/>
            <w:shd w:val="clear" w:color="auto" w:fill="auto"/>
            <w:tcMar>
              <w:top w:w="10" w:type="dxa"/>
              <w:left w:w="10" w:type="dxa"/>
              <w:bottom w:w="0" w:type="dxa"/>
              <w:right w:w="10" w:type="dxa"/>
            </w:tcMar>
            <w:vAlign w:val="center"/>
          </w:tcPr>
          <w:p w14:paraId="02942FE8" w14:textId="77777777" w:rsidR="00A90E9C" w:rsidRPr="008A26D2" w:rsidRDefault="00A90E9C" w:rsidP="0072651A">
            <w:pPr>
              <w:jc w:val="center"/>
              <w:rPr>
                <w:rFonts w:ascii="Arial" w:hAnsi="Arial" w:cs="Arial"/>
                <w:bCs/>
                <w:sz w:val="20"/>
                <w:szCs w:val="20"/>
              </w:rPr>
            </w:pPr>
            <w:r w:rsidRPr="008A26D2">
              <w:rPr>
                <w:rFonts w:ascii="Arial" w:hAnsi="Arial" w:cs="Arial"/>
                <w:bCs/>
                <w:sz w:val="20"/>
                <w:szCs w:val="20"/>
              </w:rPr>
              <w:t>90%</w:t>
            </w:r>
          </w:p>
        </w:tc>
      </w:tr>
    </w:tbl>
    <w:p w14:paraId="0682761E" w14:textId="77777777" w:rsidR="00A90E9C" w:rsidRPr="008A26D2" w:rsidRDefault="00A90E9C" w:rsidP="00A90E9C"/>
    <w:p w14:paraId="2F741D39" w14:textId="77777777" w:rsidR="00616F44" w:rsidRPr="008A26D2" w:rsidRDefault="00616F44" w:rsidP="00A90E9C"/>
    <w:tbl>
      <w:tblPr>
        <w:tblW w:w="8789"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
        <w:gridCol w:w="709"/>
        <w:gridCol w:w="850"/>
        <w:gridCol w:w="18"/>
        <w:gridCol w:w="1116"/>
        <w:gridCol w:w="567"/>
        <w:gridCol w:w="284"/>
        <w:gridCol w:w="1134"/>
        <w:gridCol w:w="992"/>
        <w:gridCol w:w="284"/>
        <w:gridCol w:w="567"/>
        <w:gridCol w:w="708"/>
        <w:gridCol w:w="709"/>
      </w:tblGrid>
      <w:tr w:rsidR="008A26D2" w:rsidRPr="008A26D2" w14:paraId="02C8260C" w14:textId="77777777" w:rsidTr="0072651A">
        <w:trPr>
          <w:trHeight w:val="251"/>
        </w:trPr>
        <w:tc>
          <w:tcPr>
            <w:tcW w:w="8789" w:type="dxa"/>
            <w:gridSpan w:val="13"/>
            <w:shd w:val="clear" w:color="auto" w:fill="D9D9D9" w:themeFill="background1" w:themeFillShade="D9"/>
            <w:tcMar>
              <w:top w:w="10" w:type="dxa"/>
              <w:left w:w="10" w:type="dxa"/>
              <w:bottom w:w="0" w:type="dxa"/>
              <w:right w:w="10" w:type="dxa"/>
            </w:tcMar>
            <w:vAlign w:val="center"/>
          </w:tcPr>
          <w:p w14:paraId="76DC76D8" w14:textId="19E433B7" w:rsidR="00A90E9C" w:rsidRPr="008A26D2" w:rsidRDefault="00A90E9C" w:rsidP="0072651A">
            <w:pPr>
              <w:jc w:val="center"/>
              <w:rPr>
                <w:rFonts w:ascii="Arial" w:hAnsi="Arial" w:cs="Arial"/>
                <w:sz w:val="20"/>
                <w:szCs w:val="20"/>
              </w:rPr>
            </w:pPr>
            <w:r w:rsidRPr="008A26D2">
              <w:rPr>
                <w:rFonts w:ascii="Arial" w:hAnsi="Arial" w:cs="Arial"/>
                <w:sz w:val="20"/>
                <w:szCs w:val="20"/>
              </w:rPr>
              <w:br w:type="page"/>
            </w:r>
            <w:r w:rsidRPr="008A26D2">
              <w:rPr>
                <w:rFonts w:ascii="Arial" w:hAnsi="Arial" w:cs="Arial"/>
                <w:b/>
                <w:sz w:val="20"/>
                <w:szCs w:val="20"/>
              </w:rPr>
              <w:t>FICHA TÉCNICA DE INDICADOR DE SERVICIO 1.1.</w:t>
            </w:r>
            <w:r w:rsidR="00DA4742" w:rsidRPr="008A26D2">
              <w:rPr>
                <w:rFonts w:ascii="Arial" w:hAnsi="Arial" w:cs="Arial"/>
                <w:b/>
                <w:sz w:val="20"/>
                <w:szCs w:val="20"/>
              </w:rPr>
              <w:t>2</w:t>
            </w:r>
          </w:p>
        </w:tc>
      </w:tr>
      <w:tr w:rsidR="008A26D2" w:rsidRPr="008A26D2" w14:paraId="6F80AE9D" w14:textId="77777777" w:rsidTr="0072651A">
        <w:trPr>
          <w:trHeight w:val="409"/>
        </w:trPr>
        <w:tc>
          <w:tcPr>
            <w:tcW w:w="2428" w:type="dxa"/>
            <w:gridSpan w:val="4"/>
            <w:shd w:val="clear" w:color="auto" w:fill="FFFFFF"/>
            <w:tcMar>
              <w:top w:w="10" w:type="dxa"/>
              <w:left w:w="93" w:type="dxa"/>
              <w:bottom w:w="0" w:type="dxa"/>
              <w:right w:w="10" w:type="dxa"/>
            </w:tcMar>
            <w:vAlign w:val="center"/>
          </w:tcPr>
          <w:p w14:paraId="53684B49" w14:textId="77777777" w:rsidR="00A90E9C" w:rsidRPr="008A26D2" w:rsidRDefault="00A90E9C" w:rsidP="0072651A">
            <w:pPr>
              <w:rPr>
                <w:rFonts w:ascii="Arial" w:hAnsi="Arial" w:cs="Arial"/>
                <w:sz w:val="20"/>
                <w:szCs w:val="20"/>
              </w:rPr>
            </w:pPr>
            <w:r w:rsidRPr="008A26D2">
              <w:rPr>
                <w:rFonts w:ascii="Arial" w:hAnsi="Arial" w:cs="Arial"/>
                <w:b/>
                <w:sz w:val="20"/>
                <w:szCs w:val="20"/>
              </w:rPr>
              <w:t>Objetivo prioritario:</w:t>
            </w:r>
          </w:p>
        </w:tc>
        <w:tc>
          <w:tcPr>
            <w:tcW w:w="6361" w:type="dxa"/>
            <w:gridSpan w:val="9"/>
            <w:shd w:val="clear" w:color="auto" w:fill="FFFFFF"/>
            <w:tcMar>
              <w:top w:w="51" w:type="dxa"/>
              <w:left w:w="227" w:type="dxa"/>
              <w:bottom w:w="51" w:type="dxa"/>
              <w:right w:w="227" w:type="dxa"/>
            </w:tcMar>
            <w:vAlign w:val="center"/>
          </w:tcPr>
          <w:p w14:paraId="631D20D0" w14:textId="77777777" w:rsidR="00A90E9C" w:rsidRPr="008A26D2" w:rsidRDefault="00A90E9C" w:rsidP="0072651A">
            <w:pPr>
              <w:pBdr>
                <w:top w:val="nil"/>
                <w:left w:val="nil"/>
                <w:bottom w:val="nil"/>
                <w:right w:val="nil"/>
                <w:between w:val="nil"/>
              </w:pBdr>
              <w:spacing w:after="0" w:line="240" w:lineRule="auto"/>
              <w:jc w:val="both"/>
              <w:rPr>
                <w:rFonts w:ascii="Arial" w:hAnsi="Arial" w:cs="Arial"/>
                <w:sz w:val="20"/>
                <w:szCs w:val="20"/>
              </w:rPr>
            </w:pPr>
            <w:r w:rsidRPr="008A26D2">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r>
      <w:tr w:rsidR="008A26D2" w:rsidRPr="008A26D2" w14:paraId="427B576C" w14:textId="77777777" w:rsidTr="0072651A">
        <w:trPr>
          <w:trHeight w:val="436"/>
        </w:trPr>
        <w:tc>
          <w:tcPr>
            <w:tcW w:w="2428" w:type="dxa"/>
            <w:gridSpan w:val="4"/>
            <w:shd w:val="clear" w:color="auto" w:fill="auto"/>
            <w:tcMar>
              <w:top w:w="10" w:type="dxa"/>
              <w:left w:w="93" w:type="dxa"/>
              <w:bottom w:w="0" w:type="dxa"/>
              <w:right w:w="10" w:type="dxa"/>
            </w:tcMar>
            <w:vAlign w:val="center"/>
          </w:tcPr>
          <w:p w14:paraId="36B7C22F" w14:textId="77777777" w:rsidR="00A90E9C" w:rsidRPr="008A26D2" w:rsidRDefault="00A90E9C" w:rsidP="0072651A">
            <w:pPr>
              <w:rPr>
                <w:rFonts w:ascii="Arial" w:hAnsi="Arial" w:cs="Arial"/>
                <w:sz w:val="20"/>
                <w:szCs w:val="20"/>
              </w:rPr>
            </w:pPr>
            <w:r w:rsidRPr="008A26D2">
              <w:rPr>
                <w:rFonts w:ascii="Arial" w:hAnsi="Arial" w:cs="Arial"/>
                <w:b/>
                <w:sz w:val="20"/>
                <w:szCs w:val="20"/>
              </w:rPr>
              <w:t>Lineamiento de la política:</w:t>
            </w:r>
          </w:p>
        </w:tc>
        <w:tc>
          <w:tcPr>
            <w:tcW w:w="6361" w:type="dxa"/>
            <w:gridSpan w:val="9"/>
            <w:shd w:val="clear" w:color="auto" w:fill="auto"/>
            <w:tcMar>
              <w:top w:w="51" w:type="dxa"/>
              <w:left w:w="227" w:type="dxa"/>
              <w:bottom w:w="51" w:type="dxa"/>
              <w:right w:w="227" w:type="dxa"/>
            </w:tcMar>
            <w:vAlign w:val="center"/>
          </w:tcPr>
          <w:p w14:paraId="42A1565F" w14:textId="77777777" w:rsidR="00A90E9C" w:rsidRPr="008A26D2" w:rsidRDefault="00A90E9C" w:rsidP="0072651A">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L1.1 Fortalecer la protección y recuperación de ecosistemas forestales y otros ecosistemas de vegetación silvestre, así como las especies de fauna silvestre y sus hábitats</w:t>
            </w:r>
          </w:p>
        </w:tc>
      </w:tr>
      <w:tr w:rsidR="008A26D2" w:rsidRPr="008A26D2" w14:paraId="3DF6E061" w14:textId="77777777" w:rsidTr="0072651A">
        <w:trPr>
          <w:trHeight w:val="404"/>
        </w:trPr>
        <w:tc>
          <w:tcPr>
            <w:tcW w:w="2428" w:type="dxa"/>
            <w:gridSpan w:val="4"/>
            <w:shd w:val="clear" w:color="auto" w:fill="auto"/>
            <w:tcMar>
              <w:top w:w="10" w:type="dxa"/>
              <w:left w:w="93" w:type="dxa"/>
              <w:bottom w:w="0" w:type="dxa"/>
              <w:right w:w="10" w:type="dxa"/>
            </w:tcMar>
            <w:vAlign w:val="center"/>
          </w:tcPr>
          <w:p w14:paraId="10D5AD11" w14:textId="77777777" w:rsidR="00A90E9C" w:rsidRPr="008A26D2" w:rsidRDefault="00A90E9C" w:rsidP="0072651A">
            <w:pPr>
              <w:rPr>
                <w:rFonts w:ascii="Arial" w:hAnsi="Arial" w:cs="Arial"/>
                <w:sz w:val="20"/>
                <w:szCs w:val="20"/>
              </w:rPr>
            </w:pPr>
            <w:r w:rsidRPr="008A26D2">
              <w:rPr>
                <w:rFonts w:ascii="Arial" w:hAnsi="Arial" w:cs="Arial"/>
                <w:b/>
                <w:sz w:val="20"/>
                <w:szCs w:val="20"/>
              </w:rPr>
              <w:t>Nombre del servicio:</w:t>
            </w:r>
          </w:p>
        </w:tc>
        <w:tc>
          <w:tcPr>
            <w:tcW w:w="6361" w:type="dxa"/>
            <w:gridSpan w:val="9"/>
            <w:shd w:val="clear" w:color="auto" w:fill="auto"/>
            <w:tcMar>
              <w:top w:w="51" w:type="dxa"/>
              <w:left w:w="227" w:type="dxa"/>
              <w:bottom w:w="51" w:type="dxa"/>
              <w:right w:w="227" w:type="dxa"/>
            </w:tcMar>
            <w:vAlign w:val="center"/>
          </w:tcPr>
          <w:p w14:paraId="705D2F0D" w14:textId="3029F423" w:rsidR="00A90E9C" w:rsidRPr="008A26D2" w:rsidRDefault="00A90E9C" w:rsidP="0072651A">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S1.1.</w:t>
            </w:r>
            <w:r w:rsidR="00DA4742" w:rsidRPr="008A26D2">
              <w:rPr>
                <w:rFonts w:ascii="Arial" w:eastAsia="Arial Narrow" w:hAnsi="Arial" w:cs="Arial"/>
                <w:sz w:val="20"/>
                <w:szCs w:val="20"/>
              </w:rPr>
              <w:t>2</w:t>
            </w:r>
            <w:r w:rsidRPr="008A26D2">
              <w:rPr>
                <w:rFonts w:ascii="Arial" w:eastAsia="Arial Narrow" w:hAnsi="Arial" w:cs="Arial"/>
                <w:sz w:val="20"/>
                <w:szCs w:val="20"/>
              </w:rPr>
              <w:t xml:space="preserve"> </w:t>
            </w:r>
            <w:r w:rsidR="00B55C33" w:rsidRPr="008A26D2">
              <w:rPr>
                <w:rFonts w:ascii="Arial" w:eastAsia="Arial Narrow" w:hAnsi="Arial" w:cs="Arial"/>
                <w:sz w:val="20"/>
                <w:szCs w:val="20"/>
              </w:rPr>
              <w:t>Vigilancia y monitoreo de las enfermedades que afectan a la fauna silvestre y de agentes zoonóticos potenciales de forma continua en beneficio de la población</w:t>
            </w:r>
          </w:p>
          <w:p w14:paraId="41E309AC" w14:textId="77777777" w:rsidR="00A90E9C" w:rsidRPr="008A26D2" w:rsidRDefault="00A90E9C" w:rsidP="0072651A">
            <w:pPr>
              <w:pBdr>
                <w:top w:val="nil"/>
                <w:left w:val="nil"/>
                <w:bottom w:val="nil"/>
                <w:right w:val="nil"/>
                <w:between w:val="nil"/>
              </w:pBdr>
              <w:spacing w:after="0" w:line="240" w:lineRule="auto"/>
              <w:jc w:val="both"/>
              <w:rPr>
                <w:rFonts w:ascii="Arial" w:eastAsia="Arial Narrow" w:hAnsi="Arial" w:cs="Arial"/>
                <w:strike/>
                <w:sz w:val="20"/>
                <w:szCs w:val="20"/>
              </w:rPr>
            </w:pPr>
          </w:p>
        </w:tc>
      </w:tr>
      <w:tr w:rsidR="008A26D2" w:rsidRPr="008A26D2" w14:paraId="7CE4E0D6" w14:textId="77777777" w:rsidTr="0072651A">
        <w:trPr>
          <w:trHeight w:val="577"/>
        </w:trPr>
        <w:tc>
          <w:tcPr>
            <w:tcW w:w="2428" w:type="dxa"/>
            <w:gridSpan w:val="4"/>
            <w:shd w:val="clear" w:color="auto" w:fill="auto"/>
            <w:tcMar>
              <w:top w:w="10" w:type="dxa"/>
              <w:left w:w="93" w:type="dxa"/>
              <w:bottom w:w="0" w:type="dxa"/>
              <w:right w:w="10" w:type="dxa"/>
            </w:tcMar>
            <w:vAlign w:val="center"/>
          </w:tcPr>
          <w:p w14:paraId="430ABB5C" w14:textId="77777777" w:rsidR="00A90E9C" w:rsidRPr="008A26D2" w:rsidRDefault="00A90E9C" w:rsidP="0072651A">
            <w:pPr>
              <w:rPr>
                <w:rFonts w:ascii="Arial" w:hAnsi="Arial" w:cs="Arial"/>
                <w:sz w:val="20"/>
                <w:szCs w:val="20"/>
              </w:rPr>
            </w:pPr>
            <w:r w:rsidRPr="008A26D2">
              <w:rPr>
                <w:rFonts w:ascii="Arial" w:hAnsi="Arial" w:cs="Arial"/>
                <w:b/>
                <w:sz w:val="20"/>
                <w:szCs w:val="20"/>
              </w:rPr>
              <w:t>Nombre del indicador:</w:t>
            </w:r>
          </w:p>
        </w:tc>
        <w:tc>
          <w:tcPr>
            <w:tcW w:w="6361" w:type="dxa"/>
            <w:gridSpan w:val="9"/>
            <w:shd w:val="clear" w:color="auto" w:fill="auto"/>
            <w:tcMar>
              <w:top w:w="51" w:type="dxa"/>
              <w:left w:w="227" w:type="dxa"/>
              <w:bottom w:w="51" w:type="dxa"/>
              <w:right w:w="227" w:type="dxa"/>
            </w:tcMar>
            <w:vAlign w:val="bottom"/>
          </w:tcPr>
          <w:p w14:paraId="0DC29543" w14:textId="77777777" w:rsidR="00A90E9C" w:rsidRPr="008A26D2" w:rsidRDefault="00A90E9C" w:rsidP="007C3EBB">
            <w:pPr>
              <w:jc w:val="both"/>
              <w:rPr>
                <w:rFonts w:ascii="Arial" w:eastAsia="Arial Narrow" w:hAnsi="Arial" w:cs="Arial"/>
                <w:strike/>
                <w:sz w:val="20"/>
                <w:szCs w:val="20"/>
              </w:rPr>
            </w:pPr>
            <w:r w:rsidRPr="008A26D2">
              <w:rPr>
                <w:rFonts w:ascii="Arial" w:eastAsia="Arial Narrow" w:hAnsi="Arial" w:cs="Arial"/>
                <w:sz w:val="20"/>
                <w:szCs w:val="20"/>
              </w:rPr>
              <w:t>Número de salidas de campo para detectar brotes de enfermedades y de agentes zoonóticos potenciales de forma continua.</w:t>
            </w:r>
          </w:p>
        </w:tc>
      </w:tr>
      <w:tr w:rsidR="008A26D2" w:rsidRPr="008A26D2" w14:paraId="600B331A" w14:textId="77777777" w:rsidTr="0072651A">
        <w:trPr>
          <w:trHeight w:val="577"/>
        </w:trPr>
        <w:tc>
          <w:tcPr>
            <w:tcW w:w="2428" w:type="dxa"/>
            <w:gridSpan w:val="4"/>
            <w:shd w:val="clear" w:color="auto" w:fill="auto"/>
            <w:tcMar>
              <w:top w:w="10" w:type="dxa"/>
              <w:left w:w="93" w:type="dxa"/>
              <w:bottom w:w="0" w:type="dxa"/>
              <w:right w:w="10" w:type="dxa"/>
            </w:tcMar>
            <w:vAlign w:val="center"/>
          </w:tcPr>
          <w:p w14:paraId="7392661A" w14:textId="77777777" w:rsidR="00A90E9C" w:rsidRPr="008A26D2" w:rsidRDefault="00A90E9C" w:rsidP="0072651A">
            <w:pPr>
              <w:rPr>
                <w:rFonts w:ascii="Arial" w:hAnsi="Arial" w:cs="Arial"/>
                <w:sz w:val="20"/>
                <w:szCs w:val="20"/>
              </w:rPr>
            </w:pPr>
            <w:r w:rsidRPr="008A26D2">
              <w:rPr>
                <w:rFonts w:ascii="Arial" w:hAnsi="Arial" w:cs="Arial"/>
                <w:b/>
                <w:sz w:val="20"/>
                <w:szCs w:val="20"/>
              </w:rPr>
              <w:t>Justificación:</w:t>
            </w:r>
          </w:p>
        </w:tc>
        <w:tc>
          <w:tcPr>
            <w:tcW w:w="6361" w:type="dxa"/>
            <w:gridSpan w:val="9"/>
            <w:shd w:val="clear" w:color="auto" w:fill="auto"/>
            <w:tcMar>
              <w:top w:w="51" w:type="dxa"/>
              <w:left w:w="227" w:type="dxa"/>
              <w:bottom w:w="51" w:type="dxa"/>
              <w:right w:w="227" w:type="dxa"/>
            </w:tcMar>
            <w:vAlign w:val="center"/>
          </w:tcPr>
          <w:p w14:paraId="5263F718" w14:textId="581D81BB" w:rsidR="00A90E9C" w:rsidRPr="008A26D2" w:rsidRDefault="00616F44" w:rsidP="00616F44">
            <w:pPr>
              <w:jc w:val="both"/>
              <w:rPr>
                <w:rFonts w:ascii="Arial" w:eastAsia="Arial Narrow" w:hAnsi="Arial" w:cs="Arial"/>
                <w:strike/>
                <w:sz w:val="20"/>
                <w:szCs w:val="20"/>
              </w:rPr>
            </w:pPr>
            <w:r w:rsidRPr="008A26D2">
              <w:rPr>
                <w:rFonts w:ascii="Arial" w:eastAsia="Arial Narrow" w:hAnsi="Arial" w:cs="Arial"/>
                <w:sz w:val="20"/>
                <w:szCs w:val="20"/>
              </w:rPr>
              <w:t xml:space="preserve">El indicador permite medir la cantidad de </w:t>
            </w:r>
            <w:r w:rsidR="00A90E9C" w:rsidRPr="008A26D2">
              <w:rPr>
                <w:rFonts w:ascii="Arial" w:eastAsia="Arial Narrow" w:hAnsi="Arial" w:cs="Arial"/>
                <w:sz w:val="20"/>
                <w:szCs w:val="20"/>
              </w:rPr>
              <w:t xml:space="preserve">salidas de campo </w:t>
            </w:r>
            <w:r w:rsidRPr="008A26D2">
              <w:rPr>
                <w:rFonts w:ascii="Arial" w:eastAsia="Arial Narrow" w:hAnsi="Arial" w:cs="Arial"/>
                <w:sz w:val="20"/>
                <w:szCs w:val="20"/>
              </w:rPr>
              <w:t>para</w:t>
            </w:r>
            <w:r w:rsidR="00A90E9C" w:rsidRPr="008A26D2">
              <w:rPr>
                <w:rFonts w:ascii="Arial" w:eastAsia="Arial Narrow" w:hAnsi="Arial" w:cs="Arial"/>
                <w:sz w:val="20"/>
                <w:szCs w:val="20"/>
              </w:rPr>
              <w:t xml:space="preserve"> detectar brotes de enfermedades en la fauna silvestre, así como de agentes zoonóticos potenciales. Estas salidas se realizarán en el transcurso del año, como parte de las acciones de vigilancia y </w:t>
            </w:r>
            <w:r w:rsidRPr="008A26D2">
              <w:rPr>
                <w:rFonts w:ascii="Arial" w:eastAsia="Arial Narrow" w:hAnsi="Arial" w:cs="Arial"/>
                <w:sz w:val="20"/>
                <w:szCs w:val="20"/>
              </w:rPr>
              <w:t>monitoreo</w:t>
            </w:r>
            <w:r w:rsidR="00A90E9C" w:rsidRPr="008A26D2">
              <w:rPr>
                <w:rFonts w:ascii="Arial" w:eastAsia="Arial Narrow" w:hAnsi="Arial" w:cs="Arial"/>
                <w:sz w:val="20"/>
                <w:szCs w:val="20"/>
              </w:rPr>
              <w:t>.</w:t>
            </w:r>
          </w:p>
        </w:tc>
      </w:tr>
      <w:tr w:rsidR="008A26D2" w:rsidRPr="008A26D2" w14:paraId="26E90666" w14:textId="77777777" w:rsidTr="0072651A">
        <w:trPr>
          <w:trHeight w:val="352"/>
        </w:trPr>
        <w:tc>
          <w:tcPr>
            <w:tcW w:w="2428" w:type="dxa"/>
            <w:gridSpan w:val="4"/>
            <w:shd w:val="clear" w:color="auto" w:fill="auto"/>
            <w:tcMar>
              <w:top w:w="10" w:type="dxa"/>
              <w:left w:w="93" w:type="dxa"/>
              <w:bottom w:w="0" w:type="dxa"/>
              <w:right w:w="10" w:type="dxa"/>
            </w:tcMar>
            <w:vAlign w:val="center"/>
          </w:tcPr>
          <w:p w14:paraId="28B44F0D" w14:textId="77777777" w:rsidR="00A90E9C" w:rsidRPr="008A26D2" w:rsidRDefault="00A90E9C" w:rsidP="0072651A">
            <w:pPr>
              <w:rPr>
                <w:rFonts w:ascii="Arial" w:hAnsi="Arial" w:cs="Arial"/>
                <w:sz w:val="20"/>
                <w:szCs w:val="20"/>
              </w:rPr>
            </w:pPr>
            <w:r w:rsidRPr="008A26D2">
              <w:rPr>
                <w:rFonts w:ascii="Arial" w:hAnsi="Arial" w:cs="Arial"/>
                <w:b/>
                <w:sz w:val="20"/>
                <w:szCs w:val="20"/>
              </w:rPr>
              <w:t>Responsable del indicador:</w:t>
            </w:r>
          </w:p>
        </w:tc>
        <w:tc>
          <w:tcPr>
            <w:tcW w:w="6361" w:type="dxa"/>
            <w:gridSpan w:val="9"/>
            <w:shd w:val="clear" w:color="auto" w:fill="auto"/>
            <w:tcMar>
              <w:top w:w="51" w:type="dxa"/>
              <w:left w:w="227" w:type="dxa"/>
              <w:bottom w:w="51" w:type="dxa"/>
              <w:right w:w="227" w:type="dxa"/>
            </w:tcMar>
            <w:vAlign w:val="center"/>
          </w:tcPr>
          <w:p w14:paraId="28498110" w14:textId="012CE0C9" w:rsidR="00A90E9C" w:rsidRPr="008A26D2" w:rsidRDefault="00616F44" w:rsidP="0072651A">
            <w:pPr>
              <w:rPr>
                <w:rFonts w:ascii="Arial" w:eastAsia="Arial Narrow" w:hAnsi="Arial" w:cs="Arial"/>
                <w:sz w:val="20"/>
                <w:szCs w:val="20"/>
              </w:rPr>
            </w:pPr>
            <w:r w:rsidRPr="008A26D2">
              <w:rPr>
                <w:rFonts w:ascii="Arial" w:eastAsia="Arial Narrow" w:hAnsi="Arial" w:cs="Arial"/>
                <w:sz w:val="20"/>
                <w:szCs w:val="20"/>
              </w:rPr>
              <w:t>Dirección de Gestión Sostenible del Patrimonio de Fauna Silvestre</w:t>
            </w:r>
            <w:r w:rsidR="00A90E9C" w:rsidRPr="008A26D2">
              <w:rPr>
                <w:rFonts w:ascii="Arial" w:eastAsia="Arial Narrow" w:hAnsi="Arial" w:cs="Arial"/>
                <w:sz w:val="20"/>
                <w:szCs w:val="20"/>
              </w:rPr>
              <w:t xml:space="preserve"> del Servicio Nacional Forestal y de Fauna Silvestre </w:t>
            </w:r>
            <w:r w:rsidRPr="008A26D2">
              <w:rPr>
                <w:rFonts w:ascii="Arial" w:eastAsia="Arial Narrow" w:hAnsi="Arial" w:cs="Arial"/>
                <w:sz w:val="20"/>
                <w:szCs w:val="20"/>
              </w:rPr>
              <w:t xml:space="preserve">- </w:t>
            </w:r>
            <w:r w:rsidR="00A90E9C" w:rsidRPr="008A26D2">
              <w:rPr>
                <w:rFonts w:ascii="Arial" w:eastAsia="Arial Narrow" w:hAnsi="Arial" w:cs="Arial"/>
                <w:sz w:val="20"/>
                <w:szCs w:val="20"/>
              </w:rPr>
              <w:t>SERFOR</w:t>
            </w:r>
          </w:p>
        </w:tc>
      </w:tr>
      <w:tr w:rsidR="008A26D2" w:rsidRPr="008A26D2" w14:paraId="553936A4" w14:textId="77777777" w:rsidTr="0072651A">
        <w:trPr>
          <w:trHeight w:val="674"/>
        </w:trPr>
        <w:tc>
          <w:tcPr>
            <w:tcW w:w="2428" w:type="dxa"/>
            <w:gridSpan w:val="4"/>
            <w:shd w:val="clear" w:color="auto" w:fill="auto"/>
            <w:tcMar>
              <w:top w:w="10" w:type="dxa"/>
              <w:left w:w="93" w:type="dxa"/>
              <w:bottom w:w="0" w:type="dxa"/>
              <w:right w:w="10" w:type="dxa"/>
            </w:tcMar>
            <w:vAlign w:val="center"/>
          </w:tcPr>
          <w:p w14:paraId="54A74AC0" w14:textId="77777777" w:rsidR="00A90E9C" w:rsidRPr="008A26D2" w:rsidRDefault="00A90E9C" w:rsidP="0072651A">
            <w:pPr>
              <w:rPr>
                <w:rFonts w:ascii="Arial" w:hAnsi="Arial" w:cs="Arial"/>
                <w:sz w:val="20"/>
                <w:szCs w:val="20"/>
              </w:rPr>
            </w:pPr>
            <w:r w:rsidRPr="008A26D2">
              <w:rPr>
                <w:rFonts w:ascii="Arial" w:hAnsi="Arial" w:cs="Arial"/>
                <w:b/>
                <w:sz w:val="20"/>
                <w:szCs w:val="20"/>
              </w:rPr>
              <w:t>Limitaciones para la medición del indicador:</w:t>
            </w:r>
          </w:p>
        </w:tc>
        <w:tc>
          <w:tcPr>
            <w:tcW w:w="6361" w:type="dxa"/>
            <w:gridSpan w:val="9"/>
            <w:shd w:val="clear" w:color="auto" w:fill="auto"/>
            <w:tcMar>
              <w:top w:w="51" w:type="dxa"/>
              <w:left w:w="227" w:type="dxa"/>
              <w:bottom w:w="51" w:type="dxa"/>
              <w:right w:w="227" w:type="dxa"/>
            </w:tcMar>
            <w:vAlign w:val="center"/>
          </w:tcPr>
          <w:p w14:paraId="30EB7D78" w14:textId="6AD86605" w:rsidR="00A90E9C" w:rsidRPr="008A26D2" w:rsidRDefault="00A90E9C" w:rsidP="0072651A">
            <w:pPr>
              <w:rPr>
                <w:rFonts w:ascii="Arial" w:hAnsi="Arial" w:cs="Arial"/>
                <w:sz w:val="20"/>
                <w:szCs w:val="20"/>
              </w:rPr>
            </w:pPr>
            <w:r w:rsidRPr="008A26D2">
              <w:rPr>
                <w:rFonts w:ascii="Arial" w:hAnsi="Arial" w:cs="Arial"/>
                <w:sz w:val="20"/>
                <w:szCs w:val="20"/>
              </w:rPr>
              <w:t xml:space="preserve">No </w:t>
            </w:r>
            <w:r w:rsidR="0080067C" w:rsidRPr="008A26D2">
              <w:rPr>
                <w:rFonts w:ascii="Arial" w:hAnsi="Arial" w:cs="Arial"/>
                <w:sz w:val="20"/>
                <w:szCs w:val="20"/>
              </w:rPr>
              <w:t>presenta limitaciones</w:t>
            </w:r>
          </w:p>
        </w:tc>
      </w:tr>
      <w:tr w:rsidR="008A26D2" w:rsidRPr="008A26D2" w14:paraId="7E9F47F7" w14:textId="77777777" w:rsidTr="0072651A">
        <w:trPr>
          <w:trHeight w:val="231"/>
        </w:trPr>
        <w:tc>
          <w:tcPr>
            <w:tcW w:w="2428" w:type="dxa"/>
            <w:gridSpan w:val="4"/>
            <w:shd w:val="clear" w:color="auto" w:fill="auto"/>
            <w:tcMar>
              <w:top w:w="10" w:type="dxa"/>
              <w:left w:w="93" w:type="dxa"/>
              <w:bottom w:w="0" w:type="dxa"/>
              <w:right w:w="10" w:type="dxa"/>
            </w:tcMar>
            <w:vAlign w:val="center"/>
          </w:tcPr>
          <w:p w14:paraId="0EF20773" w14:textId="77777777" w:rsidR="00A90E9C" w:rsidRPr="008A26D2" w:rsidRDefault="00A90E9C" w:rsidP="0072651A">
            <w:pPr>
              <w:rPr>
                <w:rFonts w:ascii="Arial" w:hAnsi="Arial" w:cs="Arial"/>
                <w:sz w:val="20"/>
                <w:szCs w:val="20"/>
              </w:rPr>
            </w:pPr>
            <w:r w:rsidRPr="008A26D2">
              <w:rPr>
                <w:rFonts w:ascii="Arial" w:hAnsi="Arial" w:cs="Arial"/>
                <w:b/>
                <w:sz w:val="20"/>
                <w:szCs w:val="20"/>
              </w:rPr>
              <w:t xml:space="preserve">Método de cálculo: </w:t>
            </w:r>
          </w:p>
        </w:tc>
        <w:tc>
          <w:tcPr>
            <w:tcW w:w="6361" w:type="dxa"/>
            <w:gridSpan w:val="9"/>
            <w:shd w:val="clear" w:color="auto" w:fill="auto"/>
            <w:tcMar>
              <w:top w:w="51" w:type="dxa"/>
              <w:left w:w="227" w:type="dxa"/>
              <w:bottom w:w="51" w:type="dxa"/>
              <w:right w:w="227" w:type="dxa"/>
            </w:tcMar>
            <w:vAlign w:val="center"/>
          </w:tcPr>
          <w:p w14:paraId="76148065" w14:textId="77777777" w:rsidR="00A90E9C" w:rsidRPr="008A26D2" w:rsidRDefault="00A90E9C" w:rsidP="0072651A">
            <w:pPr>
              <w:rPr>
                <w:rFonts w:ascii="Arial" w:eastAsia="Arial Narrow" w:hAnsi="Arial" w:cs="Arial"/>
                <w:b/>
                <w:sz w:val="20"/>
                <w:szCs w:val="20"/>
              </w:rPr>
            </w:pPr>
            <w:r w:rsidRPr="008A26D2">
              <w:rPr>
                <w:rFonts w:ascii="Arial" w:eastAsia="Arial Narrow" w:hAnsi="Arial" w:cs="Arial"/>
                <w:b/>
                <w:sz w:val="20"/>
                <w:szCs w:val="20"/>
              </w:rPr>
              <w:t>1. Fórmula:</w:t>
            </w:r>
          </w:p>
          <w:p w14:paraId="0B8E96AF" w14:textId="77777777" w:rsidR="00A90E9C" w:rsidRPr="008A26D2" w:rsidRDefault="00A90E9C" w:rsidP="0072651A">
            <w:pPr>
              <w:spacing w:after="0" w:line="240" w:lineRule="auto"/>
              <w:rPr>
                <w:rFonts w:ascii="Arial" w:eastAsia="Arial Narrow" w:hAnsi="Arial" w:cs="Arial"/>
                <w:sz w:val="20"/>
                <w:szCs w:val="20"/>
              </w:rPr>
            </w:pPr>
            <w:r w:rsidRPr="008A26D2">
              <w:rPr>
                <w:rFonts w:ascii="Arial" w:eastAsia="Arial Narrow" w:hAnsi="Arial" w:cs="Arial"/>
                <w:sz w:val="20"/>
                <w:szCs w:val="20"/>
              </w:rPr>
              <w:t xml:space="preserve">NSC </w:t>
            </w:r>
          </w:p>
          <w:p w14:paraId="7C53B331" w14:textId="77777777" w:rsidR="002C6C4E" w:rsidRPr="008A26D2" w:rsidRDefault="002C6C4E" w:rsidP="0072651A">
            <w:pPr>
              <w:spacing w:after="0" w:line="240" w:lineRule="auto"/>
              <w:rPr>
                <w:rFonts w:ascii="Arial" w:eastAsia="Arial Narrow" w:hAnsi="Arial" w:cs="Arial"/>
                <w:sz w:val="20"/>
                <w:szCs w:val="20"/>
              </w:rPr>
            </w:pPr>
          </w:p>
          <w:p w14:paraId="783771F1" w14:textId="38E67643" w:rsidR="00A90E9C" w:rsidRPr="008A26D2" w:rsidRDefault="00616F44" w:rsidP="0072651A">
            <w:pPr>
              <w:spacing w:after="0" w:line="240" w:lineRule="auto"/>
              <w:rPr>
                <w:rFonts w:ascii="Arial" w:eastAsia="Arial Narrow" w:hAnsi="Arial" w:cs="Arial"/>
                <w:sz w:val="20"/>
                <w:szCs w:val="20"/>
              </w:rPr>
            </w:pPr>
            <w:r w:rsidRPr="008A26D2">
              <w:rPr>
                <w:rFonts w:ascii="Arial" w:eastAsia="Arial Narrow" w:hAnsi="Arial" w:cs="Arial"/>
                <w:sz w:val="20"/>
                <w:szCs w:val="20"/>
              </w:rPr>
              <w:t>Donde:</w:t>
            </w:r>
          </w:p>
          <w:p w14:paraId="12318780" w14:textId="77777777" w:rsidR="00616F44" w:rsidRPr="008A26D2" w:rsidRDefault="00616F44" w:rsidP="0072651A">
            <w:pPr>
              <w:spacing w:after="0" w:line="240" w:lineRule="auto"/>
              <w:rPr>
                <w:rFonts w:ascii="Arial" w:eastAsia="Arial Narrow" w:hAnsi="Arial" w:cs="Arial"/>
                <w:sz w:val="20"/>
                <w:szCs w:val="20"/>
              </w:rPr>
            </w:pPr>
          </w:p>
          <w:p w14:paraId="021B1780" w14:textId="77777777" w:rsidR="00A90E9C" w:rsidRPr="008A26D2" w:rsidRDefault="00A90E9C" w:rsidP="0072651A">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NSC = Número de salidas de campo para detectar brotes de enfermedades y de agentes zoonóticos potenciales de forma continua.</w:t>
            </w:r>
          </w:p>
          <w:p w14:paraId="020E0D42" w14:textId="77777777" w:rsidR="00A90E9C" w:rsidRPr="008A26D2" w:rsidRDefault="00A90E9C" w:rsidP="0072651A">
            <w:pPr>
              <w:rPr>
                <w:rFonts w:ascii="Arial" w:eastAsia="Arial Narrow" w:hAnsi="Arial" w:cs="Arial"/>
                <w:sz w:val="20"/>
                <w:szCs w:val="20"/>
              </w:rPr>
            </w:pPr>
            <w:r w:rsidRPr="008A26D2">
              <w:rPr>
                <w:rFonts w:ascii="Arial" w:eastAsia="Arial Narrow" w:hAnsi="Arial" w:cs="Arial"/>
                <w:sz w:val="20"/>
                <w:szCs w:val="20"/>
              </w:rPr>
              <w:br/>
            </w:r>
            <w:r w:rsidRPr="008A26D2">
              <w:rPr>
                <w:rFonts w:ascii="Arial" w:eastAsia="Arial Narrow" w:hAnsi="Arial" w:cs="Arial"/>
                <w:b/>
                <w:sz w:val="20"/>
                <w:szCs w:val="20"/>
              </w:rPr>
              <w:t>2. Especificaciones técnicas:</w:t>
            </w:r>
          </w:p>
          <w:p w14:paraId="701F400A" w14:textId="66290779" w:rsidR="00A90E9C" w:rsidRPr="008A26D2" w:rsidRDefault="00EB0231" w:rsidP="0072651A">
            <w:pPr>
              <w:jc w:val="both"/>
              <w:rPr>
                <w:rFonts w:ascii="Arial" w:hAnsi="Arial" w:cs="Arial"/>
                <w:sz w:val="20"/>
                <w:szCs w:val="20"/>
                <w:shd w:val="clear" w:color="auto" w:fill="FFFFFF"/>
              </w:rPr>
            </w:pPr>
            <w:bookmarkStart w:id="14" w:name="_Hlk137414784"/>
            <w:r w:rsidRPr="008A26D2">
              <w:rPr>
                <w:rFonts w:ascii="Arial" w:eastAsia="Arial Narrow" w:hAnsi="Arial" w:cs="Arial"/>
                <w:sz w:val="20"/>
                <w:szCs w:val="20"/>
              </w:rPr>
              <w:t xml:space="preserve">La variable </w:t>
            </w:r>
            <w:r>
              <w:rPr>
                <w:rFonts w:ascii="Arial" w:eastAsia="Arial Narrow" w:hAnsi="Arial" w:cs="Arial"/>
                <w:sz w:val="20"/>
                <w:szCs w:val="20"/>
              </w:rPr>
              <w:t>NSC se determina a partir de l</w:t>
            </w:r>
            <w:r w:rsidR="00A90E9C" w:rsidRPr="008A26D2">
              <w:rPr>
                <w:rFonts w:ascii="Arial" w:hAnsi="Arial" w:cs="Arial"/>
                <w:sz w:val="20"/>
                <w:szCs w:val="20"/>
                <w:shd w:val="clear" w:color="auto" w:fill="FFFFFF"/>
              </w:rPr>
              <w:t xml:space="preserve">as salidas de campo </w:t>
            </w:r>
            <w:bookmarkEnd w:id="14"/>
            <w:r>
              <w:rPr>
                <w:rFonts w:ascii="Arial" w:hAnsi="Arial" w:cs="Arial"/>
                <w:sz w:val="20"/>
                <w:szCs w:val="20"/>
                <w:shd w:val="clear" w:color="auto" w:fill="FFFFFF"/>
              </w:rPr>
              <w:t>que se</w:t>
            </w:r>
            <w:r w:rsidR="00A90E9C" w:rsidRPr="008A26D2">
              <w:rPr>
                <w:rFonts w:ascii="Arial" w:hAnsi="Arial" w:cs="Arial"/>
                <w:sz w:val="20"/>
                <w:szCs w:val="20"/>
                <w:shd w:val="clear" w:color="auto" w:fill="FFFFFF"/>
              </w:rPr>
              <w:t xml:space="preserve"> realizan en la misma o mayor </w:t>
            </w:r>
            <w:r w:rsidR="0000621B" w:rsidRPr="008A26D2">
              <w:rPr>
                <w:rFonts w:ascii="Arial" w:hAnsi="Arial" w:cs="Arial"/>
                <w:sz w:val="20"/>
                <w:szCs w:val="20"/>
                <w:shd w:val="clear" w:color="auto" w:fill="FFFFFF"/>
              </w:rPr>
              <w:t xml:space="preserve">frecuencia </w:t>
            </w:r>
            <w:r w:rsidR="00A90E9C" w:rsidRPr="008A26D2">
              <w:rPr>
                <w:rFonts w:ascii="Arial" w:hAnsi="Arial" w:cs="Arial"/>
                <w:sz w:val="20"/>
                <w:szCs w:val="20"/>
                <w:shd w:val="clear" w:color="auto" w:fill="FFFFFF"/>
              </w:rPr>
              <w:t>a la realizada el año anterior</w:t>
            </w:r>
            <w:r w:rsidR="001E42EA" w:rsidRPr="008A26D2">
              <w:rPr>
                <w:rFonts w:ascii="Arial" w:hAnsi="Arial" w:cs="Arial"/>
                <w:sz w:val="20"/>
                <w:szCs w:val="20"/>
                <w:shd w:val="clear" w:color="auto" w:fill="FFFFFF"/>
              </w:rPr>
              <w:t>, los cuales son programados de acuerdo al plan de trabajo anual elaborado</w:t>
            </w:r>
            <w:r w:rsidR="00A90E9C" w:rsidRPr="008A26D2">
              <w:rPr>
                <w:rFonts w:ascii="Arial" w:hAnsi="Arial" w:cs="Arial"/>
                <w:sz w:val="20"/>
                <w:szCs w:val="20"/>
                <w:shd w:val="clear" w:color="auto" w:fill="FFFFFF"/>
              </w:rPr>
              <w:t>.</w:t>
            </w:r>
          </w:p>
          <w:p w14:paraId="151B59E8" w14:textId="77777777" w:rsidR="002469C9" w:rsidRPr="008A26D2" w:rsidRDefault="00B60B2B" w:rsidP="0072651A">
            <w:pPr>
              <w:jc w:val="both"/>
              <w:rPr>
                <w:rFonts w:ascii="Arial" w:eastAsia="Arial Narrow" w:hAnsi="Arial" w:cs="Arial"/>
                <w:sz w:val="20"/>
                <w:szCs w:val="20"/>
              </w:rPr>
            </w:pPr>
            <w:r w:rsidRPr="008A26D2">
              <w:rPr>
                <w:rFonts w:ascii="Arial" w:hAnsi="Arial" w:cs="Arial"/>
                <w:sz w:val="20"/>
                <w:szCs w:val="20"/>
                <w:shd w:val="clear" w:color="auto" w:fill="FFFFFF"/>
              </w:rPr>
              <w:lastRenderedPageBreak/>
              <w:t>Para e</w:t>
            </w:r>
            <w:r w:rsidR="006C5B79" w:rsidRPr="008A26D2">
              <w:rPr>
                <w:rFonts w:ascii="Arial" w:hAnsi="Arial" w:cs="Arial"/>
                <w:sz w:val="20"/>
                <w:szCs w:val="20"/>
                <w:shd w:val="clear" w:color="auto" w:fill="FFFFFF"/>
              </w:rPr>
              <w:t>l primer año se considera</w:t>
            </w:r>
            <w:r w:rsidRPr="008A26D2">
              <w:rPr>
                <w:rFonts w:ascii="Arial" w:hAnsi="Arial" w:cs="Arial"/>
                <w:sz w:val="20"/>
                <w:szCs w:val="20"/>
                <w:shd w:val="clear" w:color="auto" w:fill="FFFFFF"/>
              </w:rPr>
              <w:t xml:space="preserve"> realizar</w:t>
            </w:r>
            <w:r w:rsidR="006C5B79" w:rsidRPr="008A26D2">
              <w:rPr>
                <w:rFonts w:ascii="Arial" w:hAnsi="Arial" w:cs="Arial"/>
                <w:sz w:val="20"/>
                <w:szCs w:val="20"/>
                <w:shd w:val="clear" w:color="auto" w:fill="FFFFFF"/>
              </w:rPr>
              <w:t xml:space="preserve"> al</w:t>
            </w:r>
            <w:r w:rsidR="002469C9" w:rsidRPr="008A26D2">
              <w:rPr>
                <w:rFonts w:ascii="Arial" w:hAnsi="Arial" w:cs="Arial"/>
                <w:sz w:val="20"/>
                <w:szCs w:val="20"/>
                <w:shd w:val="clear" w:color="auto" w:fill="FFFFFF"/>
              </w:rPr>
              <w:t xml:space="preserve"> </w:t>
            </w:r>
            <w:r w:rsidR="006C5B79" w:rsidRPr="008A26D2">
              <w:rPr>
                <w:rFonts w:ascii="Arial" w:hAnsi="Arial" w:cs="Arial"/>
                <w:sz w:val="20"/>
                <w:szCs w:val="20"/>
                <w:shd w:val="clear" w:color="auto" w:fill="FFFFFF"/>
              </w:rPr>
              <w:t>menos 1 salida</w:t>
            </w:r>
            <w:r w:rsidRPr="008A26D2">
              <w:rPr>
                <w:rFonts w:ascii="Arial" w:hAnsi="Arial" w:cs="Arial"/>
                <w:sz w:val="20"/>
                <w:szCs w:val="20"/>
                <w:shd w:val="clear" w:color="auto" w:fill="FFFFFF"/>
              </w:rPr>
              <w:t xml:space="preserve"> de campo al </w:t>
            </w:r>
            <w:r w:rsidR="00023D11" w:rsidRPr="008A26D2">
              <w:rPr>
                <w:rFonts w:ascii="Arial" w:hAnsi="Arial" w:cs="Arial"/>
                <w:sz w:val="20"/>
                <w:szCs w:val="20"/>
                <w:shd w:val="clear" w:color="auto" w:fill="FFFFFF"/>
              </w:rPr>
              <w:t>segundo</w:t>
            </w:r>
            <w:r w:rsidRPr="008A26D2">
              <w:rPr>
                <w:rFonts w:ascii="Arial" w:hAnsi="Arial" w:cs="Arial"/>
                <w:sz w:val="20"/>
                <w:szCs w:val="20"/>
                <w:shd w:val="clear" w:color="auto" w:fill="FFFFFF"/>
              </w:rPr>
              <w:t xml:space="preserve"> trimestre</w:t>
            </w:r>
            <w:r w:rsidR="006C5B79" w:rsidRPr="008A26D2">
              <w:rPr>
                <w:rFonts w:ascii="Arial" w:hAnsi="Arial" w:cs="Arial"/>
                <w:sz w:val="20"/>
                <w:szCs w:val="20"/>
                <w:shd w:val="clear" w:color="auto" w:fill="FFFFFF"/>
              </w:rPr>
              <w:t>; los siguientes años se incrementará la</w:t>
            </w:r>
            <w:r w:rsidRPr="008A26D2">
              <w:rPr>
                <w:rFonts w:ascii="Arial" w:hAnsi="Arial" w:cs="Arial"/>
                <w:sz w:val="20"/>
                <w:szCs w:val="20"/>
                <w:shd w:val="clear" w:color="auto" w:fill="FFFFFF"/>
              </w:rPr>
              <w:t xml:space="preserve"> frecuencia de salidas</w:t>
            </w:r>
            <w:r w:rsidR="006C5B79" w:rsidRPr="008A26D2">
              <w:rPr>
                <w:rFonts w:ascii="Arial" w:hAnsi="Arial" w:cs="Arial"/>
                <w:sz w:val="20"/>
                <w:szCs w:val="20"/>
                <w:shd w:val="clear" w:color="auto" w:fill="FFFFFF"/>
              </w:rPr>
              <w:t xml:space="preserve"> </w:t>
            </w:r>
            <w:r w:rsidRPr="008A26D2">
              <w:rPr>
                <w:rFonts w:ascii="Arial" w:hAnsi="Arial" w:cs="Arial"/>
                <w:sz w:val="20"/>
                <w:szCs w:val="20"/>
                <w:shd w:val="clear" w:color="auto" w:fill="FFFFFF"/>
              </w:rPr>
              <w:t xml:space="preserve">proyectándose a realizar 2 salidas de campo por trimestre </w:t>
            </w:r>
            <w:r w:rsidR="000D1E0E" w:rsidRPr="008A26D2">
              <w:rPr>
                <w:rFonts w:ascii="Arial" w:hAnsi="Arial" w:cs="Arial"/>
                <w:sz w:val="20"/>
                <w:szCs w:val="20"/>
                <w:shd w:val="clear" w:color="auto" w:fill="FFFFFF"/>
              </w:rPr>
              <w:t>en el año</w:t>
            </w:r>
            <w:r w:rsidRPr="008A26D2">
              <w:rPr>
                <w:rFonts w:ascii="Arial" w:hAnsi="Arial" w:cs="Arial"/>
                <w:sz w:val="20"/>
                <w:szCs w:val="20"/>
                <w:shd w:val="clear" w:color="auto" w:fill="FFFFFF"/>
              </w:rPr>
              <w:t xml:space="preserve"> 2030, para tener 8 reportes </w:t>
            </w:r>
            <w:r w:rsidR="000D1E0E" w:rsidRPr="008A26D2">
              <w:rPr>
                <w:rFonts w:ascii="Arial" w:hAnsi="Arial" w:cs="Arial"/>
                <w:sz w:val="20"/>
                <w:szCs w:val="20"/>
                <w:shd w:val="clear" w:color="auto" w:fill="FFFFFF"/>
              </w:rPr>
              <w:t>al año</w:t>
            </w:r>
            <w:r w:rsidRPr="008A26D2">
              <w:rPr>
                <w:rFonts w:ascii="Arial" w:hAnsi="Arial" w:cs="Arial"/>
                <w:sz w:val="20"/>
                <w:szCs w:val="20"/>
                <w:shd w:val="clear" w:color="auto" w:fill="FFFFFF"/>
              </w:rPr>
              <w:t xml:space="preserve">. </w:t>
            </w:r>
            <w:r w:rsidR="000D1E0E" w:rsidRPr="008A26D2">
              <w:rPr>
                <w:rFonts w:ascii="Arial" w:eastAsia="Arial Narrow" w:hAnsi="Arial" w:cs="Arial"/>
                <w:sz w:val="20"/>
                <w:szCs w:val="20"/>
              </w:rPr>
              <w:t>Estas salidas permitirán</w:t>
            </w:r>
            <w:r w:rsidRPr="008A26D2">
              <w:rPr>
                <w:rFonts w:ascii="Arial" w:eastAsia="Arial Narrow" w:hAnsi="Arial" w:cs="Arial"/>
                <w:sz w:val="20"/>
                <w:szCs w:val="20"/>
              </w:rPr>
              <w:t xml:space="preserve"> un</w:t>
            </w:r>
            <w:r w:rsidR="000D1E0E" w:rsidRPr="008A26D2">
              <w:rPr>
                <w:rFonts w:ascii="Arial" w:eastAsia="Arial Narrow" w:hAnsi="Arial" w:cs="Arial"/>
                <w:sz w:val="20"/>
                <w:szCs w:val="20"/>
              </w:rPr>
              <w:t>a</w:t>
            </w:r>
            <w:r w:rsidRPr="008A26D2">
              <w:rPr>
                <w:rFonts w:ascii="Arial" w:eastAsia="Arial Narrow" w:hAnsi="Arial" w:cs="Arial"/>
                <w:sz w:val="20"/>
                <w:szCs w:val="20"/>
              </w:rPr>
              <w:t xml:space="preserve"> continu</w:t>
            </w:r>
            <w:r w:rsidR="000D1E0E" w:rsidRPr="008A26D2">
              <w:rPr>
                <w:rFonts w:ascii="Arial" w:eastAsia="Arial Narrow" w:hAnsi="Arial" w:cs="Arial"/>
                <w:sz w:val="20"/>
                <w:szCs w:val="20"/>
              </w:rPr>
              <w:t>a vigilancia y</w:t>
            </w:r>
            <w:r w:rsidRPr="008A26D2">
              <w:rPr>
                <w:rFonts w:ascii="Arial" w:eastAsia="Arial Narrow" w:hAnsi="Arial" w:cs="Arial"/>
                <w:sz w:val="20"/>
                <w:szCs w:val="20"/>
              </w:rPr>
              <w:t xml:space="preserve"> monitoreo de las principales enfermedades de fauna silvestre y de los agentes zoonóticos.</w:t>
            </w:r>
          </w:p>
          <w:p w14:paraId="79E8C022" w14:textId="18614633" w:rsidR="00A90E9C" w:rsidRPr="008A26D2" w:rsidRDefault="00A90E9C" w:rsidP="0072651A">
            <w:pPr>
              <w:jc w:val="both"/>
              <w:rPr>
                <w:rFonts w:ascii="Arial" w:eastAsia="Arial Narrow" w:hAnsi="Arial" w:cs="Arial"/>
                <w:sz w:val="20"/>
                <w:szCs w:val="20"/>
              </w:rPr>
            </w:pPr>
            <w:r w:rsidRPr="008A26D2">
              <w:rPr>
                <w:rFonts w:ascii="Arial" w:eastAsia="Arial Narrow" w:hAnsi="Arial" w:cs="Arial"/>
                <w:sz w:val="20"/>
                <w:szCs w:val="20"/>
              </w:rPr>
              <w:t>Las salidas de campo generan reportes de cada enfermedad de fauna silvestre o agente zoonótico registrado y priorizado a nivel nacional, conforme a los aspectos técnicos-metodológicos aprobados.</w:t>
            </w:r>
          </w:p>
          <w:p w14:paraId="711FDCE6" w14:textId="77777777" w:rsidR="00A90E9C" w:rsidRPr="008A26D2" w:rsidRDefault="00A90E9C" w:rsidP="002C6C4E">
            <w:pPr>
              <w:pBdr>
                <w:top w:val="nil"/>
                <w:left w:val="nil"/>
                <w:bottom w:val="nil"/>
                <w:right w:val="nil"/>
                <w:between w:val="nil"/>
              </w:pBdr>
              <w:spacing w:after="0" w:line="240" w:lineRule="auto"/>
              <w:ind w:left="41" w:hanging="41"/>
              <w:jc w:val="both"/>
              <w:rPr>
                <w:rFonts w:ascii="Arial" w:eastAsia="Arial Narrow" w:hAnsi="Arial" w:cs="Arial"/>
                <w:sz w:val="20"/>
                <w:szCs w:val="20"/>
              </w:rPr>
            </w:pPr>
            <w:r w:rsidRPr="007C3EBB">
              <w:rPr>
                <w:rFonts w:ascii="Arial" w:eastAsia="Arial Narrow" w:hAnsi="Arial" w:cs="Arial"/>
                <w:i/>
                <w:iCs/>
                <w:sz w:val="20"/>
                <w:szCs w:val="20"/>
              </w:rPr>
              <w:t>Vigilancia</w:t>
            </w:r>
            <w:r w:rsidRPr="008A26D2">
              <w:rPr>
                <w:rFonts w:ascii="Arial" w:eastAsia="Arial Narrow" w:hAnsi="Arial" w:cs="Arial"/>
                <w:sz w:val="20"/>
                <w:szCs w:val="20"/>
              </w:rPr>
              <w:t>: Está referida al seguimiento y registro de brotes de enfermedades y de agentes zoonóticos potenciales a nivel nacional.</w:t>
            </w:r>
          </w:p>
          <w:p w14:paraId="6E6A49D4" w14:textId="77777777" w:rsidR="00A90E9C" w:rsidRPr="008A26D2" w:rsidRDefault="00A90E9C" w:rsidP="002C6C4E">
            <w:pPr>
              <w:jc w:val="both"/>
              <w:rPr>
                <w:rFonts w:ascii="Arial" w:eastAsia="Arial Narrow" w:hAnsi="Arial" w:cs="Arial"/>
                <w:sz w:val="20"/>
                <w:szCs w:val="20"/>
              </w:rPr>
            </w:pPr>
            <w:r w:rsidRPr="007C3EBB">
              <w:rPr>
                <w:rFonts w:ascii="Arial" w:eastAsia="Arial Narrow" w:hAnsi="Arial" w:cs="Arial"/>
                <w:i/>
                <w:iCs/>
                <w:sz w:val="20"/>
                <w:szCs w:val="20"/>
              </w:rPr>
              <w:t>Monitoreo</w:t>
            </w:r>
            <w:r w:rsidRPr="008A26D2">
              <w:rPr>
                <w:rFonts w:ascii="Arial" w:eastAsia="Arial Narrow" w:hAnsi="Arial" w:cs="Arial"/>
                <w:sz w:val="20"/>
                <w:szCs w:val="20"/>
              </w:rPr>
              <w:t>: Está referido al registro de ocurrencias regular en fauna silvestre, a fin de detectar cualquier patrón atípico de forma temprana.</w:t>
            </w:r>
          </w:p>
        </w:tc>
      </w:tr>
      <w:tr w:rsidR="008A26D2" w:rsidRPr="008A26D2" w14:paraId="49561B3A" w14:textId="77777777" w:rsidTr="002C6C4E">
        <w:trPr>
          <w:trHeight w:val="686"/>
        </w:trPr>
        <w:tc>
          <w:tcPr>
            <w:tcW w:w="2428" w:type="dxa"/>
            <w:gridSpan w:val="4"/>
            <w:shd w:val="clear" w:color="auto" w:fill="auto"/>
            <w:tcMar>
              <w:top w:w="10" w:type="dxa"/>
              <w:left w:w="93" w:type="dxa"/>
              <w:bottom w:w="0" w:type="dxa"/>
              <w:right w:w="10" w:type="dxa"/>
            </w:tcMar>
            <w:vAlign w:val="center"/>
          </w:tcPr>
          <w:p w14:paraId="3F98DBF8" w14:textId="77777777" w:rsidR="00A90E9C" w:rsidRPr="008A26D2" w:rsidRDefault="00A90E9C" w:rsidP="0072651A">
            <w:pPr>
              <w:rPr>
                <w:rFonts w:ascii="Arial" w:hAnsi="Arial" w:cs="Arial"/>
                <w:sz w:val="20"/>
                <w:szCs w:val="20"/>
              </w:rPr>
            </w:pPr>
            <w:r w:rsidRPr="008A26D2">
              <w:rPr>
                <w:rFonts w:ascii="Arial" w:hAnsi="Arial" w:cs="Arial"/>
                <w:b/>
                <w:sz w:val="20"/>
                <w:szCs w:val="20"/>
              </w:rPr>
              <w:lastRenderedPageBreak/>
              <w:t>Sentido esperado del indicador:</w:t>
            </w:r>
          </w:p>
        </w:tc>
        <w:tc>
          <w:tcPr>
            <w:tcW w:w="1683" w:type="dxa"/>
            <w:gridSpan w:val="2"/>
            <w:shd w:val="clear" w:color="auto" w:fill="auto"/>
            <w:tcMar>
              <w:top w:w="10" w:type="dxa"/>
              <w:left w:w="283" w:type="dxa"/>
              <w:bottom w:w="0" w:type="dxa"/>
              <w:right w:w="283" w:type="dxa"/>
            </w:tcMar>
            <w:vAlign w:val="center"/>
          </w:tcPr>
          <w:p w14:paraId="663BA211" w14:textId="77777777" w:rsidR="00A90E9C" w:rsidRPr="008A26D2" w:rsidRDefault="00A90E9C" w:rsidP="0072651A">
            <w:pPr>
              <w:rPr>
                <w:rFonts w:ascii="Arial" w:hAnsi="Arial" w:cs="Arial"/>
                <w:sz w:val="20"/>
                <w:szCs w:val="20"/>
              </w:rPr>
            </w:pPr>
            <w:r w:rsidRPr="008A26D2">
              <w:rPr>
                <w:rFonts w:ascii="Arial" w:eastAsia="Arial Narrow" w:hAnsi="Arial" w:cs="Arial"/>
                <w:sz w:val="20"/>
                <w:szCs w:val="20"/>
              </w:rPr>
              <w:t>Ascendente</w:t>
            </w:r>
          </w:p>
        </w:tc>
        <w:tc>
          <w:tcPr>
            <w:tcW w:w="2694" w:type="dxa"/>
            <w:gridSpan w:val="4"/>
            <w:shd w:val="clear" w:color="auto" w:fill="auto"/>
            <w:tcMar>
              <w:top w:w="15" w:type="dxa"/>
              <w:left w:w="15" w:type="dxa"/>
              <w:bottom w:w="0" w:type="dxa"/>
              <w:right w:w="15" w:type="dxa"/>
            </w:tcMar>
            <w:vAlign w:val="center"/>
          </w:tcPr>
          <w:p w14:paraId="18C55260" w14:textId="77777777" w:rsidR="00A90E9C" w:rsidRPr="008A26D2" w:rsidRDefault="00A90E9C" w:rsidP="0072651A">
            <w:pPr>
              <w:rPr>
                <w:rFonts w:ascii="Arial" w:hAnsi="Arial" w:cs="Arial"/>
                <w:sz w:val="20"/>
                <w:szCs w:val="20"/>
              </w:rPr>
            </w:pPr>
            <w:r w:rsidRPr="008A26D2">
              <w:rPr>
                <w:rFonts w:ascii="Arial" w:hAnsi="Arial" w:cs="Arial"/>
                <w:b/>
                <w:sz w:val="20"/>
                <w:szCs w:val="20"/>
              </w:rPr>
              <w:t>Tipo de indicador de servicio:</w:t>
            </w:r>
          </w:p>
        </w:tc>
        <w:tc>
          <w:tcPr>
            <w:tcW w:w="1984" w:type="dxa"/>
            <w:gridSpan w:val="3"/>
            <w:shd w:val="clear" w:color="auto" w:fill="auto"/>
            <w:tcMar>
              <w:top w:w="15" w:type="dxa"/>
              <w:left w:w="15" w:type="dxa"/>
              <w:bottom w:w="0" w:type="dxa"/>
              <w:right w:w="15" w:type="dxa"/>
            </w:tcMar>
            <w:vAlign w:val="center"/>
          </w:tcPr>
          <w:p w14:paraId="64F5EB70" w14:textId="77777777" w:rsidR="00A90E9C" w:rsidRPr="008A26D2" w:rsidRDefault="00A90E9C" w:rsidP="0072651A">
            <w:pPr>
              <w:rPr>
                <w:rFonts w:ascii="Arial" w:hAnsi="Arial" w:cs="Arial"/>
                <w:sz w:val="20"/>
                <w:szCs w:val="20"/>
              </w:rPr>
            </w:pPr>
            <w:r w:rsidRPr="008A26D2">
              <w:rPr>
                <w:rFonts w:ascii="Arial" w:eastAsia="Arial Narrow" w:hAnsi="Arial" w:cs="Arial"/>
                <w:sz w:val="20"/>
                <w:szCs w:val="20"/>
              </w:rPr>
              <w:t>Calidad - Continuidad</w:t>
            </w:r>
          </w:p>
        </w:tc>
      </w:tr>
      <w:tr w:rsidR="008A26D2" w:rsidRPr="008A26D2" w14:paraId="779130C8" w14:textId="77777777" w:rsidTr="0072651A">
        <w:trPr>
          <w:trHeight w:val="13"/>
        </w:trPr>
        <w:tc>
          <w:tcPr>
            <w:tcW w:w="2428" w:type="dxa"/>
            <w:gridSpan w:val="4"/>
            <w:shd w:val="clear" w:color="auto" w:fill="auto"/>
            <w:tcMar>
              <w:top w:w="10" w:type="dxa"/>
              <w:left w:w="93" w:type="dxa"/>
              <w:bottom w:w="0" w:type="dxa"/>
              <w:right w:w="10" w:type="dxa"/>
            </w:tcMar>
            <w:vAlign w:val="center"/>
          </w:tcPr>
          <w:p w14:paraId="075F5D5C" w14:textId="77777777" w:rsidR="00A90E9C" w:rsidRPr="008A26D2" w:rsidRDefault="00A90E9C" w:rsidP="0072651A">
            <w:pPr>
              <w:rPr>
                <w:rFonts w:ascii="Arial" w:hAnsi="Arial" w:cs="Arial"/>
                <w:sz w:val="20"/>
                <w:szCs w:val="20"/>
              </w:rPr>
            </w:pPr>
            <w:r w:rsidRPr="008A26D2">
              <w:rPr>
                <w:rFonts w:ascii="Arial" w:hAnsi="Arial" w:cs="Arial"/>
                <w:b/>
                <w:sz w:val="20"/>
                <w:szCs w:val="20"/>
              </w:rPr>
              <w:t>Fuente y base de datos:</w:t>
            </w:r>
          </w:p>
        </w:tc>
        <w:tc>
          <w:tcPr>
            <w:tcW w:w="6361" w:type="dxa"/>
            <w:gridSpan w:val="9"/>
            <w:shd w:val="clear" w:color="auto" w:fill="auto"/>
            <w:tcMar>
              <w:top w:w="51" w:type="dxa"/>
              <w:left w:w="227" w:type="dxa"/>
              <w:bottom w:w="51" w:type="dxa"/>
              <w:right w:w="227" w:type="dxa"/>
            </w:tcMar>
            <w:vAlign w:val="center"/>
          </w:tcPr>
          <w:p w14:paraId="708D4B5D" w14:textId="789ADBC7" w:rsidR="00A90E9C" w:rsidRPr="008A26D2" w:rsidRDefault="00A90E9C" w:rsidP="0072651A">
            <w:pPr>
              <w:rPr>
                <w:rFonts w:ascii="Arial" w:eastAsia="Arial Narrow" w:hAnsi="Arial" w:cs="Arial"/>
                <w:sz w:val="20"/>
                <w:szCs w:val="20"/>
              </w:rPr>
            </w:pPr>
            <w:r w:rsidRPr="008A26D2">
              <w:rPr>
                <w:rFonts w:ascii="Arial" w:eastAsia="Arial Narrow" w:hAnsi="Arial" w:cs="Arial"/>
                <w:sz w:val="20"/>
                <w:szCs w:val="20"/>
              </w:rPr>
              <w:t xml:space="preserve">Fuente: Dirección General de Gestión Sostenible del Patrimonio Forestal y de Fauna Silvestre </w:t>
            </w:r>
            <w:r w:rsidR="000501F3" w:rsidRPr="008A26D2">
              <w:rPr>
                <w:rFonts w:ascii="Arial" w:eastAsia="Arial Narrow" w:hAnsi="Arial" w:cs="Arial"/>
                <w:sz w:val="20"/>
                <w:szCs w:val="20"/>
              </w:rPr>
              <w:t>del Servicio Nacional Forestal y de Fauna Silvestre</w:t>
            </w:r>
            <w:r w:rsidR="009840B5">
              <w:rPr>
                <w:rFonts w:ascii="Arial" w:eastAsia="Arial Narrow" w:hAnsi="Arial" w:cs="Arial"/>
                <w:sz w:val="20"/>
                <w:szCs w:val="20"/>
              </w:rPr>
              <w:t xml:space="preserve"> - SERFOR.</w:t>
            </w:r>
            <w:r w:rsidRPr="008A26D2">
              <w:rPr>
                <w:rFonts w:ascii="Arial" w:eastAsia="Arial Narrow" w:hAnsi="Arial" w:cs="Arial"/>
                <w:sz w:val="20"/>
                <w:szCs w:val="20"/>
              </w:rPr>
              <w:br/>
              <w:t>Base de datos</w:t>
            </w:r>
            <w:r w:rsidR="009840B5">
              <w:rPr>
                <w:rFonts w:ascii="Arial" w:eastAsia="Arial Narrow" w:hAnsi="Arial" w:cs="Arial"/>
                <w:sz w:val="20"/>
                <w:szCs w:val="20"/>
              </w:rPr>
              <w:t xml:space="preserve">: Reportes </w:t>
            </w:r>
            <w:r w:rsidRPr="008A26D2">
              <w:rPr>
                <w:rFonts w:ascii="Arial" w:eastAsia="Arial Narrow" w:hAnsi="Arial" w:cs="Arial"/>
                <w:sz w:val="20"/>
                <w:szCs w:val="20"/>
              </w:rPr>
              <w:t>de la Unidad Operativa Funcional de Monitoreo y Vigilancia de enfermedades de fauna silvestre y de agentes zoonóticos.</w:t>
            </w:r>
          </w:p>
        </w:tc>
      </w:tr>
      <w:tr w:rsidR="008A26D2" w:rsidRPr="008A26D2" w14:paraId="6CB09D2B" w14:textId="77777777" w:rsidTr="0072651A">
        <w:trPr>
          <w:trHeight w:val="436"/>
        </w:trPr>
        <w:tc>
          <w:tcPr>
            <w:tcW w:w="2428" w:type="dxa"/>
            <w:gridSpan w:val="4"/>
            <w:shd w:val="clear" w:color="auto" w:fill="auto"/>
            <w:tcMar>
              <w:top w:w="10" w:type="dxa"/>
              <w:left w:w="93" w:type="dxa"/>
              <w:bottom w:w="0" w:type="dxa"/>
              <w:right w:w="10" w:type="dxa"/>
            </w:tcMar>
            <w:vAlign w:val="center"/>
          </w:tcPr>
          <w:p w14:paraId="18096E8E" w14:textId="77777777" w:rsidR="00A90E9C" w:rsidRPr="008A26D2" w:rsidRDefault="00A90E9C" w:rsidP="0072651A">
            <w:pPr>
              <w:rPr>
                <w:rFonts w:ascii="Arial" w:hAnsi="Arial" w:cs="Arial"/>
                <w:sz w:val="20"/>
                <w:szCs w:val="20"/>
              </w:rPr>
            </w:pPr>
            <w:r w:rsidRPr="008A26D2">
              <w:rPr>
                <w:rFonts w:ascii="Arial" w:hAnsi="Arial" w:cs="Arial"/>
                <w:b/>
                <w:sz w:val="20"/>
                <w:szCs w:val="20"/>
              </w:rPr>
              <w:t>Supuestos:</w:t>
            </w:r>
          </w:p>
        </w:tc>
        <w:tc>
          <w:tcPr>
            <w:tcW w:w="6361" w:type="dxa"/>
            <w:gridSpan w:val="9"/>
            <w:shd w:val="clear" w:color="auto" w:fill="auto"/>
            <w:tcMar>
              <w:top w:w="51" w:type="dxa"/>
              <w:left w:w="227" w:type="dxa"/>
              <w:bottom w:w="51" w:type="dxa"/>
              <w:right w:w="227" w:type="dxa"/>
            </w:tcMar>
            <w:vAlign w:val="center"/>
          </w:tcPr>
          <w:p w14:paraId="3CE307D7" w14:textId="6F284A5E" w:rsidR="00A90E9C" w:rsidRPr="008A26D2" w:rsidRDefault="002C6C4E" w:rsidP="0072651A">
            <w:pPr>
              <w:rPr>
                <w:rFonts w:ascii="Arial" w:eastAsia="Arial Narrow" w:hAnsi="Arial" w:cs="Arial"/>
                <w:sz w:val="20"/>
                <w:szCs w:val="20"/>
              </w:rPr>
            </w:pPr>
            <w:r w:rsidRPr="008A26D2">
              <w:rPr>
                <w:rFonts w:ascii="Arial" w:eastAsia="Arial Narrow" w:hAnsi="Arial" w:cs="Arial"/>
                <w:sz w:val="20"/>
                <w:szCs w:val="20"/>
              </w:rPr>
              <w:t>Se</w:t>
            </w:r>
            <w:r w:rsidR="00A90E9C" w:rsidRPr="008A26D2">
              <w:rPr>
                <w:rFonts w:ascii="Arial" w:eastAsia="Arial Narrow" w:hAnsi="Arial" w:cs="Arial"/>
                <w:sz w:val="20"/>
                <w:szCs w:val="20"/>
              </w:rPr>
              <w:t xml:space="preserve"> cuenta con los equipos y el financiamiento adecuado.</w:t>
            </w:r>
          </w:p>
        </w:tc>
      </w:tr>
      <w:tr w:rsidR="008A26D2" w:rsidRPr="008A26D2" w14:paraId="3512BE44" w14:textId="77777777" w:rsidTr="0072651A">
        <w:trPr>
          <w:trHeight w:val="556"/>
        </w:trPr>
        <w:tc>
          <w:tcPr>
            <w:tcW w:w="851" w:type="dxa"/>
            <w:shd w:val="clear" w:color="auto" w:fill="auto"/>
            <w:tcMar>
              <w:top w:w="10" w:type="dxa"/>
              <w:left w:w="10" w:type="dxa"/>
              <w:bottom w:w="0" w:type="dxa"/>
              <w:right w:w="10" w:type="dxa"/>
            </w:tcMar>
            <w:vAlign w:val="center"/>
          </w:tcPr>
          <w:p w14:paraId="4E8A6133" w14:textId="77777777" w:rsidR="00A90E9C" w:rsidRPr="008A26D2" w:rsidRDefault="00A90E9C" w:rsidP="0072651A">
            <w:pPr>
              <w:rPr>
                <w:rFonts w:ascii="Arial" w:hAnsi="Arial" w:cs="Arial"/>
                <w:sz w:val="20"/>
                <w:szCs w:val="20"/>
              </w:rPr>
            </w:pPr>
            <w:r w:rsidRPr="008A26D2">
              <w:rPr>
                <w:rFonts w:ascii="Arial" w:hAnsi="Arial" w:cs="Arial"/>
                <w:b/>
                <w:sz w:val="20"/>
                <w:szCs w:val="20"/>
              </w:rPr>
              <w:t> </w:t>
            </w:r>
          </w:p>
        </w:tc>
        <w:tc>
          <w:tcPr>
            <w:tcW w:w="709" w:type="dxa"/>
            <w:shd w:val="clear" w:color="auto" w:fill="auto"/>
            <w:tcMar>
              <w:top w:w="10" w:type="dxa"/>
              <w:left w:w="10" w:type="dxa"/>
              <w:bottom w:w="0" w:type="dxa"/>
              <w:right w:w="10" w:type="dxa"/>
            </w:tcMar>
            <w:vAlign w:val="center"/>
          </w:tcPr>
          <w:p w14:paraId="2DBFAEA1" w14:textId="77777777" w:rsidR="00A90E9C" w:rsidRPr="008A26D2" w:rsidRDefault="00A90E9C" w:rsidP="0072651A">
            <w:pPr>
              <w:jc w:val="center"/>
              <w:rPr>
                <w:rFonts w:ascii="Arial" w:hAnsi="Arial" w:cs="Arial"/>
                <w:sz w:val="20"/>
                <w:szCs w:val="20"/>
              </w:rPr>
            </w:pPr>
            <w:r w:rsidRPr="008A26D2">
              <w:rPr>
                <w:rFonts w:ascii="Arial" w:hAnsi="Arial" w:cs="Arial"/>
                <w:b/>
                <w:sz w:val="20"/>
                <w:szCs w:val="20"/>
              </w:rPr>
              <w:t>Línea de base</w:t>
            </w:r>
          </w:p>
        </w:tc>
        <w:tc>
          <w:tcPr>
            <w:tcW w:w="7229" w:type="dxa"/>
            <w:gridSpan w:val="11"/>
            <w:shd w:val="clear" w:color="auto" w:fill="auto"/>
            <w:tcMar>
              <w:top w:w="10" w:type="dxa"/>
              <w:left w:w="10" w:type="dxa"/>
              <w:bottom w:w="0" w:type="dxa"/>
              <w:right w:w="10" w:type="dxa"/>
            </w:tcMar>
            <w:vAlign w:val="center"/>
          </w:tcPr>
          <w:p w14:paraId="2D9B2CCF" w14:textId="77777777" w:rsidR="00A90E9C" w:rsidRPr="008A26D2" w:rsidRDefault="00A90E9C" w:rsidP="0072651A">
            <w:pPr>
              <w:jc w:val="center"/>
              <w:rPr>
                <w:rFonts w:ascii="Arial" w:hAnsi="Arial" w:cs="Arial"/>
                <w:sz w:val="20"/>
                <w:szCs w:val="20"/>
              </w:rPr>
            </w:pPr>
            <w:r w:rsidRPr="008A26D2">
              <w:rPr>
                <w:rFonts w:ascii="Arial" w:hAnsi="Arial" w:cs="Arial"/>
                <w:b/>
                <w:sz w:val="20"/>
                <w:szCs w:val="20"/>
              </w:rPr>
              <w:t xml:space="preserve">Logros esperados </w:t>
            </w:r>
          </w:p>
        </w:tc>
      </w:tr>
      <w:tr w:rsidR="008A26D2" w:rsidRPr="008A26D2" w14:paraId="712C25DA" w14:textId="77777777" w:rsidTr="002C6C4E">
        <w:trPr>
          <w:trHeight w:val="217"/>
        </w:trPr>
        <w:tc>
          <w:tcPr>
            <w:tcW w:w="851" w:type="dxa"/>
            <w:shd w:val="clear" w:color="auto" w:fill="auto"/>
            <w:tcMar>
              <w:top w:w="10" w:type="dxa"/>
              <w:left w:w="10" w:type="dxa"/>
              <w:bottom w:w="0" w:type="dxa"/>
              <w:right w:w="10" w:type="dxa"/>
            </w:tcMar>
            <w:vAlign w:val="center"/>
          </w:tcPr>
          <w:p w14:paraId="2B1A11F8" w14:textId="77777777" w:rsidR="00A90E9C" w:rsidRPr="008A26D2" w:rsidRDefault="00A90E9C" w:rsidP="0072651A">
            <w:pPr>
              <w:jc w:val="center"/>
              <w:rPr>
                <w:rFonts w:ascii="Arial" w:hAnsi="Arial" w:cs="Arial"/>
                <w:sz w:val="20"/>
                <w:szCs w:val="20"/>
              </w:rPr>
            </w:pPr>
            <w:r w:rsidRPr="008A26D2">
              <w:rPr>
                <w:rFonts w:ascii="Arial" w:hAnsi="Arial" w:cs="Arial"/>
                <w:b/>
                <w:sz w:val="20"/>
                <w:szCs w:val="20"/>
              </w:rPr>
              <w:t>Año</w:t>
            </w:r>
          </w:p>
        </w:tc>
        <w:tc>
          <w:tcPr>
            <w:tcW w:w="709" w:type="dxa"/>
            <w:shd w:val="clear" w:color="auto" w:fill="auto"/>
            <w:tcMar>
              <w:top w:w="10" w:type="dxa"/>
              <w:left w:w="10" w:type="dxa"/>
              <w:bottom w:w="0" w:type="dxa"/>
              <w:right w:w="10" w:type="dxa"/>
            </w:tcMar>
            <w:vAlign w:val="center"/>
          </w:tcPr>
          <w:p w14:paraId="223013B6" w14:textId="1A53FB8F" w:rsidR="00A90E9C" w:rsidRPr="008A26D2" w:rsidRDefault="00607B73" w:rsidP="0072651A">
            <w:pPr>
              <w:jc w:val="center"/>
              <w:rPr>
                <w:rFonts w:ascii="Arial" w:hAnsi="Arial" w:cs="Arial"/>
                <w:b/>
                <w:sz w:val="20"/>
                <w:szCs w:val="20"/>
              </w:rPr>
            </w:pPr>
            <w:r w:rsidRPr="008A26D2">
              <w:rPr>
                <w:rFonts w:ascii="Arial" w:hAnsi="Arial" w:cs="Arial"/>
                <w:b/>
                <w:sz w:val="20"/>
                <w:szCs w:val="20"/>
              </w:rPr>
              <w:t>2022</w:t>
            </w:r>
          </w:p>
        </w:tc>
        <w:tc>
          <w:tcPr>
            <w:tcW w:w="850" w:type="dxa"/>
            <w:shd w:val="clear" w:color="auto" w:fill="auto"/>
            <w:tcMar>
              <w:top w:w="10" w:type="dxa"/>
              <w:left w:w="10" w:type="dxa"/>
              <w:bottom w:w="0" w:type="dxa"/>
              <w:right w:w="10" w:type="dxa"/>
            </w:tcMar>
            <w:vAlign w:val="center"/>
          </w:tcPr>
          <w:p w14:paraId="297104EF" w14:textId="77777777" w:rsidR="00A90E9C" w:rsidRPr="008A26D2" w:rsidRDefault="00A90E9C" w:rsidP="0072651A">
            <w:pPr>
              <w:jc w:val="center"/>
              <w:rPr>
                <w:rFonts w:ascii="Arial" w:hAnsi="Arial" w:cs="Arial"/>
                <w:b/>
                <w:sz w:val="20"/>
                <w:szCs w:val="20"/>
              </w:rPr>
            </w:pPr>
            <w:r w:rsidRPr="008A26D2">
              <w:rPr>
                <w:rFonts w:ascii="Arial" w:hAnsi="Arial" w:cs="Arial"/>
                <w:b/>
                <w:sz w:val="20"/>
                <w:szCs w:val="20"/>
              </w:rPr>
              <w:t>2023</w:t>
            </w:r>
          </w:p>
        </w:tc>
        <w:tc>
          <w:tcPr>
            <w:tcW w:w="1134" w:type="dxa"/>
            <w:gridSpan w:val="2"/>
            <w:shd w:val="clear" w:color="auto" w:fill="auto"/>
            <w:vAlign w:val="center"/>
          </w:tcPr>
          <w:p w14:paraId="6FD71A2A" w14:textId="77777777" w:rsidR="00A90E9C" w:rsidRPr="008A26D2" w:rsidRDefault="00A90E9C" w:rsidP="0072651A">
            <w:pPr>
              <w:jc w:val="center"/>
              <w:rPr>
                <w:rFonts w:ascii="Arial" w:hAnsi="Arial" w:cs="Arial"/>
                <w:b/>
                <w:sz w:val="20"/>
                <w:szCs w:val="20"/>
              </w:rPr>
            </w:pPr>
            <w:r w:rsidRPr="008A26D2">
              <w:rPr>
                <w:rFonts w:ascii="Arial" w:hAnsi="Arial" w:cs="Arial"/>
                <w:b/>
                <w:sz w:val="20"/>
                <w:szCs w:val="20"/>
              </w:rPr>
              <w:t>2024</w:t>
            </w:r>
          </w:p>
        </w:tc>
        <w:tc>
          <w:tcPr>
            <w:tcW w:w="851" w:type="dxa"/>
            <w:gridSpan w:val="2"/>
            <w:shd w:val="clear" w:color="auto" w:fill="auto"/>
            <w:vAlign w:val="center"/>
          </w:tcPr>
          <w:p w14:paraId="2A13B931" w14:textId="77777777" w:rsidR="00A90E9C" w:rsidRPr="008A26D2" w:rsidRDefault="00A90E9C" w:rsidP="0072651A">
            <w:pPr>
              <w:jc w:val="center"/>
              <w:rPr>
                <w:rFonts w:ascii="Arial" w:hAnsi="Arial" w:cs="Arial"/>
                <w:b/>
                <w:sz w:val="20"/>
                <w:szCs w:val="20"/>
              </w:rPr>
            </w:pPr>
            <w:r w:rsidRPr="008A26D2">
              <w:rPr>
                <w:rFonts w:ascii="Arial" w:hAnsi="Arial" w:cs="Arial"/>
                <w:b/>
                <w:sz w:val="20"/>
                <w:szCs w:val="20"/>
              </w:rPr>
              <w:t>2025</w:t>
            </w:r>
          </w:p>
        </w:tc>
        <w:tc>
          <w:tcPr>
            <w:tcW w:w="1134" w:type="dxa"/>
            <w:shd w:val="clear" w:color="auto" w:fill="auto"/>
            <w:vAlign w:val="center"/>
          </w:tcPr>
          <w:p w14:paraId="51B4510F" w14:textId="77777777" w:rsidR="00A90E9C" w:rsidRPr="008A26D2" w:rsidRDefault="00A90E9C" w:rsidP="0072651A">
            <w:pPr>
              <w:jc w:val="center"/>
              <w:rPr>
                <w:rFonts w:ascii="Arial" w:hAnsi="Arial" w:cs="Arial"/>
                <w:b/>
                <w:sz w:val="20"/>
                <w:szCs w:val="20"/>
              </w:rPr>
            </w:pPr>
            <w:r w:rsidRPr="008A26D2">
              <w:rPr>
                <w:rFonts w:ascii="Arial" w:hAnsi="Arial" w:cs="Arial"/>
                <w:b/>
                <w:sz w:val="20"/>
                <w:szCs w:val="20"/>
              </w:rPr>
              <w:t>2026</w:t>
            </w:r>
          </w:p>
        </w:tc>
        <w:tc>
          <w:tcPr>
            <w:tcW w:w="992" w:type="dxa"/>
            <w:shd w:val="clear" w:color="auto" w:fill="auto"/>
            <w:vAlign w:val="center"/>
          </w:tcPr>
          <w:p w14:paraId="0D969880" w14:textId="77777777" w:rsidR="00A90E9C" w:rsidRPr="008A26D2" w:rsidRDefault="00A90E9C" w:rsidP="0072651A">
            <w:pPr>
              <w:jc w:val="center"/>
              <w:rPr>
                <w:rFonts w:ascii="Arial" w:hAnsi="Arial" w:cs="Arial"/>
                <w:b/>
                <w:sz w:val="20"/>
                <w:szCs w:val="20"/>
              </w:rPr>
            </w:pPr>
            <w:r w:rsidRPr="008A26D2">
              <w:rPr>
                <w:rFonts w:ascii="Arial" w:hAnsi="Arial" w:cs="Arial"/>
                <w:b/>
                <w:sz w:val="20"/>
                <w:szCs w:val="20"/>
              </w:rPr>
              <w:t>2027</w:t>
            </w:r>
          </w:p>
        </w:tc>
        <w:tc>
          <w:tcPr>
            <w:tcW w:w="851" w:type="dxa"/>
            <w:gridSpan w:val="2"/>
            <w:shd w:val="clear" w:color="auto" w:fill="auto"/>
            <w:vAlign w:val="center"/>
          </w:tcPr>
          <w:p w14:paraId="65651720" w14:textId="77777777" w:rsidR="00A90E9C" w:rsidRPr="008A26D2" w:rsidRDefault="00A90E9C" w:rsidP="0072651A">
            <w:pPr>
              <w:jc w:val="center"/>
              <w:rPr>
                <w:rFonts w:ascii="Arial" w:hAnsi="Arial" w:cs="Arial"/>
                <w:b/>
                <w:sz w:val="20"/>
                <w:szCs w:val="20"/>
              </w:rPr>
            </w:pPr>
            <w:r w:rsidRPr="008A26D2">
              <w:rPr>
                <w:rFonts w:ascii="Arial" w:hAnsi="Arial" w:cs="Arial"/>
                <w:b/>
                <w:sz w:val="20"/>
                <w:szCs w:val="20"/>
              </w:rPr>
              <w:t>2028</w:t>
            </w:r>
          </w:p>
        </w:tc>
        <w:tc>
          <w:tcPr>
            <w:tcW w:w="708" w:type="dxa"/>
            <w:shd w:val="clear" w:color="auto" w:fill="auto"/>
            <w:vAlign w:val="center"/>
          </w:tcPr>
          <w:p w14:paraId="72352267" w14:textId="77777777" w:rsidR="00A90E9C" w:rsidRPr="008A26D2" w:rsidRDefault="00A90E9C" w:rsidP="0072651A">
            <w:pPr>
              <w:jc w:val="center"/>
              <w:rPr>
                <w:rFonts w:ascii="Arial" w:hAnsi="Arial" w:cs="Arial"/>
                <w:b/>
                <w:sz w:val="20"/>
                <w:szCs w:val="20"/>
              </w:rPr>
            </w:pPr>
            <w:r w:rsidRPr="008A26D2">
              <w:rPr>
                <w:rFonts w:ascii="Arial" w:hAnsi="Arial" w:cs="Arial"/>
                <w:b/>
                <w:sz w:val="20"/>
                <w:szCs w:val="20"/>
              </w:rPr>
              <w:t>2029</w:t>
            </w:r>
          </w:p>
        </w:tc>
        <w:tc>
          <w:tcPr>
            <w:tcW w:w="709" w:type="dxa"/>
            <w:shd w:val="clear" w:color="auto" w:fill="auto"/>
            <w:tcMar>
              <w:top w:w="10" w:type="dxa"/>
              <w:left w:w="10" w:type="dxa"/>
              <w:bottom w:w="0" w:type="dxa"/>
              <w:right w:w="10" w:type="dxa"/>
            </w:tcMar>
            <w:vAlign w:val="center"/>
          </w:tcPr>
          <w:p w14:paraId="7B75CC50" w14:textId="77777777" w:rsidR="00A90E9C" w:rsidRPr="008A26D2" w:rsidRDefault="00A90E9C" w:rsidP="0072651A">
            <w:pPr>
              <w:jc w:val="center"/>
              <w:rPr>
                <w:rFonts w:ascii="Arial" w:hAnsi="Arial" w:cs="Arial"/>
                <w:b/>
                <w:sz w:val="20"/>
                <w:szCs w:val="20"/>
              </w:rPr>
            </w:pPr>
            <w:r w:rsidRPr="008A26D2">
              <w:rPr>
                <w:rFonts w:ascii="Arial" w:hAnsi="Arial" w:cs="Arial"/>
                <w:b/>
                <w:sz w:val="20"/>
                <w:szCs w:val="20"/>
              </w:rPr>
              <w:t>2030</w:t>
            </w:r>
          </w:p>
        </w:tc>
      </w:tr>
      <w:tr w:rsidR="008A26D2" w:rsidRPr="008A26D2" w14:paraId="3CB5476A" w14:textId="77777777" w:rsidTr="002C6C4E">
        <w:trPr>
          <w:trHeight w:val="81"/>
        </w:trPr>
        <w:tc>
          <w:tcPr>
            <w:tcW w:w="851" w:type="dxa"/>
            <w:shd w:val="clear" w:color="auto" w:fill="auto"/>
            <w:tcMar>
              <w:top w:w="10" w:type="dxa"/>
              <w:left w:w="10" w:type="dxa"/>
              <w:bottom w:w="0" w:type="dxa"/>
              <w:right w:w="10" w:type="dxa"/>
            </w:tcMar>
            <w:vAlign w:val="center"/>
          </w:tcPr>
          <w:p w14:paraId="45B501B9" w14:textId="77777777" w:rsidR="00A90E9C" w:rsidRPr="008A26D2" w:rsidRDefault="00A90E9C" w:rsidP="0072651A">
            <w:pPr>
              <w:jc w:val="center"/>
              <w:rPr>
                <w:rFonts w:ascii="Arial" w:hAnsi="Arial" w:cs="Arial"/>
                <w:b/>
                <w:sz w:val="20"/>
                <w:szCs w:val="20"/>
              </w:rPr>
            </w:pPr>
            <w:r w:rsidRPr="008A26D2">
              <w:rPr>
                <w:rFonts w:ascii="Arial" w:hAnsi="Arial" w:cs="Arial"/>
                <w:b/>
                <w:sz w:val="20"/>
                <w:szCs w:val="20"/>
              </w:rPr>
              <w:t>Valor</w:t>
            </w:r>
          </w:p>
        </w:tc>
        <w:tc>
          <w:tcPr>
            <w:tcW w:w="709" w:type="dxa"/>
            <w:shd w:val="clear" w:color="auto" w:fill="auto"/>
            <w:tcMar>
              <w:top w:w="10" w:type="dxa"/>
              <w:left w:w="10" w:type="dxa"/>
              <w:bottom w:w="0" w:type="dxa"/>
              <w:right w:w="10" w:type="dxa"/>
            </w:tcMar>
            <w:vAlign w:val="center"/>
          </w:tcPr>
          <w:p w14:paraId="4C0FF4D7" w14:textId="3C6A241B" w:rsidR="00A90E9C" w:rsidRPr="008A26D2" w:rsidRDefault="00607B73" w:rsidP="0072651A">
            <w:pPr>
              <w:jc w:val="center"/>
              <w:rPr>
                <w:rFonts w:ascii="Arial" w:hAnsi="Arial" w:cs="Arial"/>
                <w:sz w:val="20"/>
                <w:szCs w:val="20"/>
              </w:rPr>
            </w:pPr>
            <w:r w:rsidRPr="008A26D2">
              <w:rPr>
                <w:rFonts w:ascii="Arial" w:hAnsi="Arial" w:cs="Arial"/>
                <w:sz w:val="20"/>
                <w:szCs w:val="20"/>
              </w:rPr>
              <w:t>1</w:t>
            </w:r>
          </w:p>
        </w:tc>
        <w:tc>
          <w:tcPr>
            <w:tcW w:w="850" w:type="dxa"/>
            <w:shd w:val="clear" w:color="auto" w:fill="auto"/>
            <w:tcMar>
              <w:top w:w="10" w:type="dxa"/>
              <w:left w:w="10" w:type="dxa"/>
              <w:bottom w:w="0" w:type="dxa"/>
              <w:right w:w="10" w:type="dxa"/>
            </w:tcMar>
            <w:vAlign w:val="center"/>
          </w:tcPr>
          <w:p w14:paraId="1B30C5C2" w14:textId="77777777" w:rsidR="00A90E9C" w:rsidRPr="008A26D2" w:rsidRDefault="00A90E9C" w:rsidP="0072651A">
            <w:pPr>
              <w:jc w:val="center"/>
              <w:rPr>
                <w:rFonts w:ascii="Arial" w:hAnsi="Arial" w:cs="Arial"/>
                <w:sz w:val="20"/>
                <w:szCs w:val="20"/>
              </w:rPr>
            </w:pPr>
            <w:r w:rsidRPr="008A26D2">
              <w:rPr>
                <w:rFonts w:ascii="Arial" w:hAnsi="Arial" w:cs="Arial"/>
                <w:sz w:val="20"/>
                <w:szCs w:val="20"/>
              </w:rPr>
              <w:t>1</w:t>
            </w:r>
          </w:p>
        </w:tc>
        <w:tc>
          <w:tcPr>
            <w:tcW w:w="1134" w:type="dxa"/>
            <w:gridSpan w:val="2"/>
            <w:shd w:val="clear" w:color="auto" w:fill="auto"/>
            <w:vAlign w:val="center"/>
          </w:tcPr>
          <w:p w14:paraId="391F5B4D" w14:textId="77777777" w:rsidR="00A90E9C" w:rsidRPr="008A26D2" w:rsidRDefault="00A90E9C" w:rsidP="0072651A">
            <w:pPr>
              <w:jc w:val="center"/>
              <w:rPr>
                <w:rFonts w:ascii="Arial" w:hAnsi="Arial" w:cs="Arial"/>
                <w:sz w:val="20"/>
                <w:szCs w:val="20"/>
              </w:rPr>
            </w:pPr>
            <w:r w:rsidRPr="008A26D2">
              <w:rPr>
                <w:rFonts w:ascii="Arial" w:hAnsi="Arial" w:cs="Arial"/>
                <w:sz w:val="20"/>
                <w:szCs w:val="20"/>
              </w:rPr>
              <w:t>2</w:t>
            </w:r>
          </w:p>
        </w:tc>
        <w:tc>
          <w:tcPr>
            <w:tcW w:w="851" w:type="dxa"/>
            <w:gridSpan w:val="2"/>
            <w:shd w:val="clear" w:color="auto" w:fill="auto"/>
            <w:vAlign w:val="center"/>
          </w:tcPr>
          <w:p w14:paraId="02FE58D1" w14:textId="77777777" w:rsidR="00A90E9C" w:rsidRPr="008A26D2" w:rsidRDefault="00A90E9C" w:rsidP="0072651A">
            <w:pPr>
              <w:jc w:val="center"/>
              <w:rPr>
                <w:rFonts w:ascii="Arial" w:hAnsi="Arial" w:cs="Arial"/>
                <w:sz w:val="20"/>
                <w:szCs w:val="20"/>
              </w:rPr>
            </w:pPr>
            <w:r w:rsidRPr="008A26D2">
              <w:rPr>
                <w:rFonts w:ascii="Arial" w:hAnsi="Arial" w:cs="Arial"/>
                <w:sz w:val="20"/>
                <w:szCs w:val="20"/>
              </w:rPr>
              <w:t>3</w:t>
            </w:r>
          </w:p>
        </w:tc>
        <w:tc>
          <w:tcPr>
            <w:tcW w:w="1134" w:type="dxa"/>
            <w:shd w:val="clear" w:color="auto" w:fill="auto"/>
            <w:vAlign w:val="center"/>
          </w:tcPr>
          <w:p w14:paraId="72A1F41C" w14:textId="77777777" w:rsidR="00A90E9C" w:rsidRPr="008A26D2" w:rsidRDefault="00A90E9C" w:rsidP="0072651A">
            <w:pPr>
              <w:jc w:val="center"/>
              <w:rPr>
                <w:rFonts w:ascii="Arial" w:hAnsi="Arial" w:cs="Arial"/>
                <w:sz w:val="20"/>
                <w:szCs w:val="20"/>
              </w:rPr>
            </w:pPr>
            <w:r w:rsidRPr="008A26D2">
              <w:rPr>
                <w:rFonts w:ascii="Arial" w:hAnsi="Arial" w:cs="Arial"/>
                <w:sz w:val="20"/>
                <w:szCs w:val="20"/>
              </w:rPr>
              <w:t>4</w:t>
            </w:r>
          </w:p>
        </w:tc>
        <w:tc>
          <w:tcPr>
            <w:tcW w:w="992" w:type="dxa"/>
            <w:shd w:val="clear" w:color="auto" w:fill="auto"/>
            <w:vAlign w:val="center"/>
          </w:tcPr>
          <w:p w14:paraId="4A1EBA21" w14:textId="77777777" w:rsidR="00A90E9C" w:rsidRPr="008A26D2" w:rsidRDefault="00A90E9C" w:rsidP="0072651A">
            <w:pPr>
              <w:jc w:val="center"/>
              <w:rPr>
                <w:rFonts w:ascii="Arial" w:hAnsi="Arial" w:cs="Arial"/>
                <w:sz w:val="20"/>
                <w:szCs w:val="20"/>
              </w:rPr>
            </w:pPr>
            <w:r w:rsidRPr="008A26D2">
              <w:rPr>
                <w:rFonts w:ascii="Arial" w:hAnsi="Arial" w:cs="Arial"/>
                <w:sz w:val="20"/>
                <w:szCs w:val="20"/>
              </w:rPr>
              <w:t>5</w:t>
            </w:r>
          </w:p>
        </w:tc>
        <w:tc>
          <w:tcPr>
            <w:tcW w:w="851" w:type="dxa"/>
            <w:gridSpan w:val="2"/>
            <w:shd w:val="clear" w:color="auto" w:fill="auto"/>
            <w:vAlign w:val="center"/>
          </w:tcPr>
          <w:p w14:paraId="17D75A62" w14:textId="77777777" w:rsidR="00A90E9C" w:rsidRPr="008A26D2" w:rsidRDefault="00A90E9C" w:rsidP="0072651A">
            <w:pPr>
              <w:jc w:val="center"/>
              <w:rPr>
                <w:rFonts w:ascii="Arial" w:hAnsi="Arial" w:cs="Arial"/>
                <w:sz w:val="20"/>
                <w:szCs w:val="20"/>
              </w:rPr>
            </w:pPr>
            <w:r w:rsidRPr="008A26D2">
              <w:rPr>
                <w:rFonts w:ascii="Arial" w:hAnsi="Arial" w:cs="Arial"/>
                <w:sz w:val="20"/>
                <w:szCs w:val="20"/>
              </w:rPr>
              <w:t>6</w:t>
            </w:r>
          </w:p>
        </w:tc>
        <w:tc>
          <w:tcPr>
            <w:tcW w:w="708" w:type="dxa"/>
            <w:shd w:val="clear" w:color="auto" w:fill="auto"/>
            <w:vAlign w:val="center"/>
          </w:tcPr>
          <w:p w14:paraId="3BB325A3" w14:textId="77777777" w:rsidR="00A90E9C" w:rsidRPr="008A26D2" w:rsidRDefault="00A90E9C" w:rsidP="0072651A">
            <w:pPr>
              <w:jc w:val="center"/>
              <w:rPr>
                <w:rFonts w:ascii="Arial" w:hAnsi="Arial" w:cs="Arial"/>
                <w:sz w:val="20"/>
                <w:szCs w:val="20"/>
              </w:rPr>
            </w:pPr>
            <w:r w:rsidRPr="008A26D2">
              <w:rPr>
                <w:rFonts w:ascii="Arial" w:hAnsi="Arial" w:cs="Arial"/>
                <w:sz w:val="20"/>
                <w:szCs w:val="20"/>
              </w:rPr>
              <w:t>7</w:t>
            </w:r>
          </w:p>
        </w:tc>
        <w:tc>
          <w:tcPr>
            <w:tcW w:w="709" w:type="dxa"/>
            <w:shd w:val="clear" w:color="auto" w:fill="auto"/>
            <w:tcMar>
              <w:top w:w="10" w:type="dxa"/>
              <w:left w:w="10" w:type="dxa"/>
              <w:bottom w:w="0" w:type="dxa"/>
              <w:right w:w="10" w:type="dxa"/>
            </w:tcMar>
            <w:vAlign w:val="center"/>
          </w:tcPr>
          <w:p w14:paraId="62B7B55B" w14:textId="77777777" w:rsidR="00A90E9C" w:rsidRPr="008A26D2" w:rsidRDefault="00A90E9C" w:rsidP="0072651A">
            <w:pPr>
              <w:jc w:val="center"/>
              <w:rPr>
                <w:rFonts w:ascii="Arial" w:hAnsi="Arial" w:cs="Arial"/>
                <w:sz w:val="20"/>
                <w:szCs w:val="20"/>
              </w:rPr>
            </w:pPr>
            <w:r w:rsidRPr="008A26D2">
              <w:rPr>
                <w:rFonts w:ascii="Arial" w:hAnsi="Arial" w:cs="Arial"/>
                <w:sz w:val="20"/>
                <w:szCs w:val="20"/>
              </w:rPr>
              <w:t>8</w:t>
            </w:r>
          </w:p>
        </w:tc>
      </w:tr>
    </w:tbl>
    <w:p w14:paraId="118181CE" w14:textId="77777777" w:rsidR="00A90E9C" w:rsidRPr="008A26D2" w:rsidRDefault="00A90E9C" w:rsidP="00A90E9C"/>
    <w:tbl>
      <w:tblPr>
        <w:tblW w:w="87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
        <w:gridCol w:w="714"/>
        <w:gridCol w:w="709"/>
        <w:gridCol w:w="30"/>
        <w:gridCol w:w="828"/>
        <w:gridCol w:w="850"/>
        <w:gridCol w:w="851"/>
        <w:gridCol w:w="850"/>
        <w:gridCol w:w="992"/>
        <w:gridCol w:w="1134"/>
        <w:gridCol w:w="851"/>
      </w:tblGrid>
      <w:tr w:rsidR="008A26D2" w:rsidRPr="008A26D2" w14:paraId="0D80EAD9" w14:textId="77777777" w:rsidTr="00CD62FB">
        <w:trPr>
          <w:trHeight w:val="251"/>
        </w:trPr>
        <w:tc>
          <w:tcPr>
            <w:tcW w:w="8789" w:type="dxa"/>
            <w:gridSpan w:val="11"/>
            <w:shd w:val="clear" w:color="auto" w:fill="D9D9D9" w:themeFill="background1" w:themeFillShade="D9"/>
            <w:tcMar>
              <w:top w:w="10" w:type="dxa"/>
              <w:left w:w="10" w:type="dxa"/>
              <w:bottom w:w="0" w:type="dxa"/>
              <w:right w:w="10" w:type="dxa"/>
            </w:tcMar>
            <w:vAlign w:val="center"/>
          </w:tcPr>
          <w:p w14:paraId="305D7C93" w14:textId="65CA0E9C" w:rsidR="00A90E9C" w:rsidRPr="008A26D2" w:rsidRDefault="00A90E9C" w:rsidP="00B96B8A">
            <w:pPr>
              <w:jc w:val="center"/>
              <w:rPr>
                <w:rFonts w:ascii="Arial" w:hAnsi="Arial" w:cs="Arial"/>
                <w:sz w:val="20"/>
                <w:szCs w:val="20"/>
              </w:rPr>
            </w:pPr>
            <w:r w:rsidRPr="008A26D2">
              <w:rPr>
                <w:rFonts w:ascii="Arial" w:hAnsi="Arial" w:cs="Arial"/>
                <w:sz w:val="20"/>
                <w:szCs w:val="20"/>
              </w:rPr>
              <w:br w:type="page"/>
            </w:r>
            <w:r w:rsidRPr="008A26D2">
              <w:rPr>
                <w:rFonts w:ascii="Arial" w:hAnsi="Arial" w:cs="Arial"/>
                <w:b/>
                <w:sz w:val="20"/>
                <w:szCs w:val="20"/>
              </w:rPr>
              <w:t>FICHA TÉCNICA DE INDICADOR DE SERVICIO 1.1.</w:t>
            </w:r>
            <w:r w:rsidR="00DA4742" w:rsidRPr="008A26D2">
              <w:rPr>
                <w:rFonts w:ascii="Arial" w:hAnsi="Arial" w:cs="Arial"/>
                <w:b/>
                <w:sz w:val="20"/>
                <w:szCs w:val="20"/>
              </w:rPr>
              <w:t>3</w:t>
            </w:r>
          </w:p>
        </w:tc>
      </w:tr>
      <w:tr w:rsidR="008A26D2" w:rsidRPr="008A26D2" w14:paraId="5B9A4752" w14:textId="77777777" w:rsidTr="00CD62FB">
        <w:trPr>
          <w:trHeight w:val="409"/>
        </w:trPr>
        <w:tc>
          <w:tcPr>
            <w:tcW w:w="2433" w:type="dxa"/>
            <w:gridSpan w:val="4"/>
            <w:shd w:val="clear" w:color="auto" w:fill="FFFFFF"/>
            <w:tcMar>
              <w:top w:w="10" w:type="dxa"/>
              <w:left w:w="93" w:type="dxa"/>
              <w:bottom w:w="0" w:type="dxa"/>
              <w:right w:w="10" w:type="dxa"/>
            </w:tcMar>
            <w:vAlign w:val="center"/>
          </w:tcPr>
          <w:p w14:paraId="25BE3956" w14:textId="77777777" w:rsidR="00A90E9C" w:rsidRPr="008A26D2" w:rsidRDefault="00A90E9C" w:rsidP="0080067C">
            <w:pPr>
              <w:spacing w:after="0" w:line="240" w:lineRule="auto"/>
              <w:jc w:val="both"/>
              <w:rPr>
                <w:rFonts w:ascii="Arial" w:hAnsi="Arial" w:cs="Arial"/>
                <w:sz w:val="20"/>
                <w:szCs w:val="20"/>
              </w:rPr>
            </w:pPr>
            <w:r w:rsidRPr="008A26D2">
              <w:rPr>
                <w:rFonts w:ascii="Arial" w:hAnsi="Arial" w:cs="Arial"/>
                <w:b/>
                <w:sz w:val="20"/>
                <w:szCs w:val="20"/>
              </w:rPr>
              <w:t>Objetivo prioritario:</w:t>
            </w:r>
          </w:p>
        </w:tc>
        <w:tc>
          <w:tcPr>
            <w:tcW w:w="6356" w:type="dxa"/>
            <w:gridSpan w:val="7"/>
            <w:shd w:val="clear" w:color="auto" w:fill="FFFFFF"/>
            <w:tcMar>
              <w:top w:w="51" w:type="dxa"/>
              <w:left w:w="227" w:type="dxa"/>
              <w:bottom w:w="51" w:type="dxa"/>
              <w:right w:w="227" w:type="dxa"/>
            </w:tcMar>
            <w:vAlign w:val="center"/>
          </w:tcPr>
          <w:p w14:paraId="0DAA5C0E" w14:textId="77777777" w:rsidR="00A90E9C" w:rsidRPr="008A26D2" w:rsidRDefault="00A90E9C" w:rsidP="0080067C">
            <w:pPr>
              <w:spacing w:after="0" w:line="240" w:lineRule="auto"/>
              <w:jc w:val="both"/>
              <w:rPr>
                <w:rFonts w:ascii="Arial" w:hAnsi="Arial" w:cs="Arial"/>
                <w:sz w:val="20"/>
                <w:szCs w:val="20"/>
              </w:rPr>
            </w:pPr>
            <w:r w:rsidRPr="008A26D2">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r>
      <w:tr w:rsidR="008A26D2" w:rsidRPr="008A26D2" w14:paraId="04CA8E5D" w14:textId="77777777" w:rsidTr="00CD62FB">
        <w:trPr>
          <w:trHeight w:val="436"/>
        </w:trPr>
        <w:tc>
          <w:tcPr>
            <w:tcW w:w="2433" w:type="dxa"/>
            <w:gridSpan w:val="4"/>
            <w:shd w:val="clear" w:color="auto" w:fill="auto"/>
            <w:tcMar>
              <w:top w:w="10" w:type="dxa"/>
              <w:left w:w="93" w:type="dxa"/>
              <w:bottom w:w="0" w:type="dxa"/>
              <w:right w:w="10" w:type="dxa"/>
            </w:tcMar>
            <w:vAlign w:val="center"/>
          </w:tcPr>
          <w:p w14:paraId="48AF0482" w14:textId="77777777" w:rsidR="00A90E9C" w:rsidRPr="008A26D2" w:rsidRDefault="00A90E9C" w:rsidP="0080067C">
            <w:pPr>
              <w:spacing w:after="0" w:line="240" w:lineRule="auto"/>
              <w:jc w:val="both"/>
              <w:rPr>
                <w:rFonts w:ascii="Arial" w:hAnsi="Arial" w:cs="Arial"/>
                <w:sz w:val="20"/>
                <w:szCs w:val="20"/>
              </w:rPr>
            </w:pPr>
            <w:r w:rsidRPr="008A26D2">
              <w:rPr>
                <w:rFonts w:ascii="Arial" w:hAnsi="Arial" w:cs="Arial"/>
                <w:b/>
                <w:sz w:val="20"/>
                <w:szCs w:val="20"/>
              </w:rPr>
              <w:t>Lineamiento de la política:</w:t>
            </w:r>
          </w:p>
        </w:tc>
        <w:tc>
          <w:tcPr>
            <w:tcW w:w="6356" w:type="dxa"/>
            <w:gridSpan w:val="7"/>
            <w:shd w:val="clear" w:color="auto" w:fill="auto"/>
            <w:tcMar>
              <w:top w:w="51" w:type="dxa"/>
              <w:left w:w="227" w:type="dxa"/>
              <w:bottom w:w="51" w:type="dxa"/>
              <w:right w:w="227" w:type="dxa"/>
            </w:tcMar>
            <w:vAlign w:val="center"/>
          </w:tcPr>
          <w:p w14:paraId="7D4CC265" w14:textId="77777777" w:rsidR="00A90E9C" w:rsidRPr="008A26D2" w:rsidRDefault="00A90E9C" w:rsidP="0080067C">
            <w:pPr>
              <w:spacing w:after="0" w:line="240" w:lineRule="auto"/>
              <w:jc w:val="both"/>
              <w:rPr>
                <w:rFonts w:ascii="Arial" w:hAnsi="Arial" w:cs="Arial"/>
                <w:sz w:val="20"/>
                <w:szCs w:val="20"/>
              </w:rPr>
            </w:pPr>
            <w:r w:rsidRPr="008A26D2">
              <w:rPr>
                <w:rFonts w:ascii="Arial" w:eastAsia="Arial Narrow" w:hAnsi="Arial" w:cs="Arial"/>
                <w:sz w:val="20"/>
                <w:szCs w:val="20"/>
              </w:rPr>
              <w:t>Fortalecer la protección y recuperación de ecosistemas forestales y otros ecosistemas de vegetación silvestre, así como las especies de fauna silvestre y sus hábitats coadyuvando a la mitigación del cambio climático.</w:t>
            </w:r>
          </w:p>
        </w:tc>
      </w:tr>
      <w:tr w:rsidR="008A26D2" w:rsidRPr="008A26D2" w14:paraId="33E5D6A1" w14:textId="77777777" w:rsidTr="00CD62FB">
        <w:trPr>
          <w:trHeight w:val="404"/>
        </w:trPr>
        <w:tc>
          <w:tcPr>
            <w:tcW w:w="2433" w:type="dxa"/>
            <w:gridSpan w:val="4"/>
            <w:shd w:val="clear" w:color="auto" w:fill="auto"/>
            <w:tcMar>
              <w:top w:w="10" w:type="dxa"/>
              <w:left w:w="93" w:type="dxa"/>
              <w:bottom w:w="0" w:type="dxa"/>
              <w:right w:w="10" w:type="dxa"/>
            </w:tcMar>
            <w:vAlign w:val="center"/>
          </w:tcPr>
          <w:p w14:paraId="69C42806" w14:textId="77777777" w:rsidR="00A90E9C" w:rsidRPr="008A26D2" w:rsidRDefault="00A90E9C" w:rsidP="0080067C">
            <w:pPr>
              <w:spacing w:after="0" w:line="240" w:lineRule="auto"/>
              <w:jc w:val="both"/>
              <w:rPr>
                <w:rFonts w:ascii="Arial" w:hAnsi="Arial" w:cs="Arial"/>
                <w:sz w:val="20"/>
                <w:szCs w:val="20"/>
              </w:rPr>
            </w:pPr>
            <w:r w:rsidRPr="008A26D2">
              <w:rPr>
                <w:rFonts w:ascii="Arial" w:hAnsi="Arial" w:cs="Arial"/>
                <w:b/>
                <w:sz w:val="20"/>
                <w:szCs w:val="20"/>
              </w:rPr>
              <w:t>Nombre del servicio:</w:t>
            </w:r>
          </w:p>
        </w:tc>
        <w:tc>
          <w:tcPr>
            <w:tcW w:w="6356" w:type="dxa"/>
            <w:gridSpan w:val="7"/>
            <w:shd w:val="clear" w:color="auto" w:fill="auto"/>
            <w:tcMar>
              <w:top w:w="51" w:type="dxa"/>
              <w:left w:w="227" w:type="dxa"/>
              <w:bottom w:w="51" w:type="dxa"/>
              <w:right w:w="227" w:type="dxa"/>
            </w:tcMar>
            <w:vAlign w:val="center"/>
          </w:tcPr>
          <w:p w14:paraId="25406EC2" w14:textId="1F39833E" w:rsidR="00A90E9C" w:rsidRPr="008A26D2" w:rsidRDefault="00A90E9C" w:rsidP="0080067C">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S1.1.</w:t>
            </w:r>
            <w:r w:rsidR="00DA4742" w:rsidRPr="008A26D2">
              <w:rPr>
                <w:rFonts w:ascii="Arial" w:eastAsia="Arial Narrow" w:hAnsi="Arial" w:cs="Arial"/>
                <w:sz w:val="20"/>
                <w:szCs w:val="20"/>
              </w:rPr>
              <w:t>3</w:t>
            </w:r>
            <w:r w:rsidRPr="008A26D2">
              <w:rPr>
                <w:rFonts w:ascii="Arial" w:eastAsia="Arial Narrow" w:hAnsi="Arial" w:cs="Arial"/>
                <w:sz w:val="20"/>
                <w:szCs w:val="20"/>
              </w:rPr>
              <w:t xml:space="preserve"> </w:t>
            </w:r>
            <w:r w:rsidR="00B55C33" w:rsidRPr="008A26D2">
              <w:rPr>
                <w:rFonts w:ascii="Arial" w:eastAsia="Arial Narrow" w:hAnsi="Arial" w:cs="Arial"/>
                <w:sz w:val="20"/>
                <w:szCs w:val="20"/>
              </w:rPr>
              <w:t>Asistencia técnica en gestión de riesgos ante incendios forestales de forma pertinente a los gobiernos regionales</w:t>
            </w:r>
          </w:p>
        </w:tc>
      </w:tr>
      <w:tr w:rsidR="008A26D2" w:rsidRPr="008A26D2" w14:paraId="7DAD6C43" w14:textId="77777777" w:rsidTr="00CD62FB">
        <w:trPr>
          <w:trHeight w:val="577"/>
        </w:trPr>
        <w:tc>
          <w:tcPr>
            <w:tcW w:w="2433" w:type="dxa"/>
            <w:gridSpan w:val="4"/>
            <w:shd w:val="clear" w:color="auto" w:fill="auto"/>
            <w:tcMar>
              <w:top w:w="10" w:type="dxa"/>
              <w:left w:w="93" w:type="dxa"/>
              <w:bottom w:w="0" w:type="dxa"/>
              <w:right w:w="10" w:type="dxa"/>
            </w:tcMar>
            <w:vAlign w:val="center"/>
          </w:tcPr>
          <w:p w14:paraId="1367A347" w14:textId="77777777" w:rsidR="00A90E9C" w:rsidRPr="008A26D2" w:rsidRDefault="00A90E9C" w:rsidP="0080067C">
            <w:pPr>
              <w:spacing w:after="0" w:line="240" w:lineRule="auto"/>
              <w:jc w:val="both"/>
              <w:rPr>
                <w:rFonts w:ascii="Arial" w:hAnsi="Arial" w:cs="Arial"/>
                <w:sz w:val="20"/>
                <w:szCs w:val="20"/>
              </w:rPr>
            </w:pPr>
            <w:r w:rsidRPr="008A26D2">
              <w:rPr>
                <w:rFonts w:ascii="Arial" w:hAnsi="Arial" w:cs="Arial"/>
                <w:b/>
                <w:sz w:val="20"/>
                <w:szCs w:val="20"/>
              </w:rPr>
              <w:t>Nombre del indicador:</w:t>
            </w:r>
          </w:p>
        </w:tc>
        <w:tc>
          <w:tcPr>
            <w:tcW w:w="6356" w:type="dxa"/>
            <w:gridSpan w:val="7"/>
            <w:shd w:val="clear" w:color="auto" w:fill="auto"/>
            <w:tcMar>
              <w:top w:w="51" w:type="dxa"/>
              <w:left w:w="227" w:type="dxa"/>
              <w:bottom w:w="51" w:type="dxa"/>
              <w:right w:w="227" w:type="dxa"/>
            </w:tcMar>
            <w:vAlign w:val="bottom"/>
          </w:tcPr>
          <w:p w14:paraId="09EF8488" w14:textId="5A122630" w:rsidR="00A90E9C" w:rsidRPr="008A26D2" w:rsidRDefault="00A90E9C" w:rsidP="0080067C">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Porcentaje de </w:t>
            </w:r>
            <w:r w:rsidR="00CD62FB" w:rsidRPr="008A26D2">
              <w:rPr>
                <w:rFonts w:ascii="Arial" w:eastAsia="Arial Narrow" w:hAnsi="Arial" w:cs="Arial"/>
                <w:sz w:val="20"/>
                <w:szCs w:val="20"/>
              </w:rPr>
              <w:t>g</w:t>
            </w:r>
            <w:r w:rsidRPr="008A26D2">
              <w:rPr>
                <w:rFonts w:ascii="Arial" w:eastAsia="Arial Narrow" w:hAnsi="Arial" w:cs="Arial"/>
                <w:sz w:val="20"/>
                <w:szCs w:val="20"/>
              </w:rPr>
              <w:t>obiernos regionales que recibieron asistencia técnica de forma pertinente.</w:t>
            </w:r>
          </w:p>
          <w:p w14:paraId="44BC0F8D" w14:textId="77777777" w:rsidR="00A90E9C" w:rsidRPr="008A26D2" w:rsidRDefault="00A90E9C" w:rsidP="0080067C">
            <w:pPr>
              <w:spacing w:after="0" w:line="240" w:lineRule="auto"/>
              <w:jc w:val="both"/>
              <w:rPr>
                <w:rFonts w:ascii="Arial" w:eastAsia="Arial Narrow" w:hAnsi="Arial" w:cs="Arial"/>
                <w:sz w:val="20"/>
                <w:szCs w:val="20"/>
              </w:rPr>
            </w:pPr>
          </w:p>
        </w:tc>
      </w:tr>
      <w:tr w:rsidR="008A26D2" w:rsidRPr="008A26D2" w14:paraId="315A30BB" w14:textId="77777777" w:rsidTr="00CD62FB">
        <w:trPr>
          <w:trHeight w:val="577"/>
        </w:trPr>
        <w:tc>
          <w:tcPr>
            <w:tcW w:w="2433" w:type="dxa"/>
            <w:gridSpan w:val="4"/>
            <w:shd w:val="clear" w:color="auto" w:fill="auto"/>
            <w:tcMar>
              <w:top w:w="10" w:type="dxa"/>
              <w:left w:w="93" w:type="dxa"/>
              <w:bottom w:w="0" w:type="dxa"/>
              <w:right w:w="10" w:type="dxa"/>
            </w:tcMar>
            <w:vAlign w:val="center"/>
          </w:tcPr>
          <w:p w14:paraId="011F3098" w14:textId="77777777" w:rsidR="00A90E9C" w:rsidRPr="008A26D2" w:rsidRDefault="00A90E9C" w:rsidP="0080067C">
            <w:pPr>
              <w:spacing w:after="0" w:line="240" w:lineRule="auto"/>
              <w:jc w:val="both"/>
              <w:rPr>
                <w:rFonts w:ascii="Arial" w:hAnsi="Arial" w:cs="Arial"/>
                <w:sz w:val="20"/>
                <w:szCs w:val="20"/>
              </w:rPr>
            </w:pPr>
            <w:r w:rsidRPr="008A26D2">
              <w:rPr>
                <w:rFonts w:ascii="Arial" w:hAnsi="Arial" w:cs="Arial"/>
                <w:b/>
                <w:sz w:val="20"/>
                <w:szCs w:val="20"/>
              </w:rPr>
              <w:lastRenderedPageBreak/>
              <w:t>Justificación:</w:t>
            </w:r>
          </w:p>
        </w:tc>
        <w:tc>
          <w:tcPr>
            <w:tcW w:w="6356" w:type="dxa"/>
            <w:gridSpan w:val="7"/>
            <w:shd w:val="clear" w:color="auto" w:fill="auto"/>
            <w:tcMar>
              <w:top w:w="51" w:type="dxa"/>
              <w:left w:w="227" w:type="dxa"/>
              <w:bottom w:w="51" w:type="dxa"/>
              <w:right w:w="227" w:type="dxa"/>
            </w:tcMar>
            <w:vAlign w:val="center"/>
          </w:tcPr>
          <w:p w14:paraId="2497DA36" w14:textId="77777777" w:rsidR="00A90E9C" w:rsidRPr="008A26D2" w:rsidRDefault="00A90E9C" w:rsidP="0080067C">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El indicador permite cuantificar el porcentaje de gobiernos regionales que recibieron asistencia técnica de forma pertinente en gestión de riesgos ante incendios forestales, respecto del total de gobiernos regionales. </w:t>
            </w:r>
          </w:p>
          <w:p w14:paraId="709B1CC9" w14:textId="77777777" w:rsidR="00A90E9C" w:rsidRPr="008A26D2" w:rsidRDefault="00A90E9C" w:rsidP="0080067C">
            <w:pPr>
              <w:spacing w:after="0" w:line="240" w:lineRule="auto"/>
              <w:jc w:val="both"/>
              <w:rPr>
                <w:rFonts w:ascii="Arial" w:eastAsia="Arial Narrow" w:hAnsi="Arial" w:cs="Arial"/>
                <w:sz w:val="20"/>
                <w:szCs w:val="20"/>
              </w:rPr>
            </w:pPr>
          </w:p>
          <w:p w14:paraId="09AC4831" w14:textId="62FECE16" w:rsidR="00A90E9C" w:rsidRPr="008A26D2" w:rsidRDefault="00A90E9C" w:rsidP="0080067C">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Este indicador facilita el seguimiento de los gobiernos regionales que participan en las asistencias técnicas, pudiendo identificar oportunidad de mejora relacionadas a la gestión de riesgos ante incendios forestales.</w:t>
            </w:r>
          </w:p>
        </w:tc>
      </w:tr>
      <w:tr w:rsidR="008A26D2" w:rsidRPr="008A26D2" w14:paraId="6C620D2A" w14:textId="77777777" w:rsidTr="00CD62FB">
        <w:trPr>
          <w:trHeight w:val="352"/>
        </w:trPr>
        <w:tc>
          <w:tcPr>
            <w:tcW w:w="2433" w:type="dxa"/>
            <w:gridSpan w:val="4"/>
            <w:shd w:val="clear" w:color="auto" w:fill="auto"/>
            <w:tcMar>
              <w:top w:w="10" w:type="dxa"/>
              <w:left w:w="93" w:type="dxa"/>
              <w:bottom w:w="0" w:type="dxa"/>
              <w:right w:w="10" w:type="dxa"/>
            </w:tcMar>
            <w:vAlign w:val="center"/>
          </w:tcPr>
          <w:p w14:paraId="6C0C40DC" w14:textId="77777777" w:rsidR="00A90E9C" w:rsidRPr="008A26D2" w:rsidRDefault="00A90E9C" w:rsidP="0080067C">
            <w:pPr>
              <w:spacing w:after="0" w:line="240" w:lineRule="auto"/>
              <w:jc w:val="both"/>
              <w:rPr>
                <w:rFonts w:ascii="Arial" w:hAnsi="Arial" w:cs="Arial"/>
                <w:sz w:val="20"/>
                <w:szCs w:val="20"/>
              </w:rPr>
            </w:pPr>
            <w:r w:rsidRPr="008A26D2">
              <w:rPr>
                <w:rFonts w:ascii="Arial" w:hAnsi="Arial" w:cs="Arial"/>
                <w:b/>
                <w:sz w:val="20"/>
                <w:szCs w:val="20"/>
              </w:rPr>
              <w:t>Responsable del indicador:</w:t>
            </w:r>
          </w:p>
        </w:tc>
        <w:tc>
          <w:tcPr>
            <w:tcW w:w="6356" w:type="dxa"/>
            <w:gridSpan w:val="7"/>
            <w:shd w:val="clear" w:color="auto" w:fill="auto"/>
            <w:tcMar>
              <w:top w:w="51" w:type="dxa"/>
              <w:left w:w="227" w:type="dxa"/>
              <w:bottom w:w="51" w:type="dxa"/>
              <w:right w:w="227" w:type="dxa"/>
            </w:tcMar>
            <w:vAlign w:val="center"/>
          </w:tcPr>
          <w:p w14:paraId="2D212A57" w14:textId="04D76C36" w:rsidR="00A90E9C" w:rsidRPr="008A26D2" w:rsidRDefault="00A90E9C" w:rsidP="0080067C">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Dirección de Gestión Sostenible del Patrimonio Forestal de</w:t>
            </w:r>
            <w:r w:rsidR="00CD62FB" w:rsidRPr="008A26D2">
              <w:rPr>
                <w:rFonts w:ascii="Arial" w:eastAsia="Arial Narrow" w:hAnsi="Arial" w:cs="Arial"/>
                <w:sz w:val="20"/>
                <w:szCs w:val="20"/>
              </w:rPr>
              <w:t xml:space="preserve">l Servicio Nacional Forestal y de Fauna Silvestre </w:t>
            </w:r>
            <w:r w:rsidRPr="008A26D2">
              <w:rPr>
                <w:rFonts w:ascii="Arial" w:eastAsia="Arial Narrow" w:hAnsi="Arial" w:cs="Arial"/>
                <w:sz w:val="20"/>
                <w:szCs w:val="20"/>
              </w:rPr>
              <w:t>- SERFOR</w:t>
            </w:r>
          </w:p>
        </w:tc>
      </w:tr>
      <w:tr w:rsidR="008A26D2" w:rsidRPr="008A26D2" w14:paraId="29BF44E0" w14:textId="77777777" w:rsidTr="00CD62FB">
        <w:trPr>
          <w:trHeight w:val="590"/>
        </w:trPr>
        <w:tc>
          <w:tcPr>
            <w:tcW w:w="2433" w:type="dxa"/>
            <w:gridSpan w:val="4"/>
            <w:shd w:val="clear" w:color="auto" w:fill="auto"/>
            <w:tcMar>
              <w:top w:w="10" w:type="dxa"/>
              <w:left w:w="93" w:type="dxa"/>
              <w:bottom w:w="0" w:type="dxa"/>
              <w:right w:w="10" w:type="dxa"/>
            </w:tcMar>
            <w:vAlign w:val="center"/>
          </w:tcPr>
          <w:p w14:paraId="08A001FE" w14:textId="77777777" w:rsidR="00A90E9C" w:rsidRPr="008A26D2" w:rsidRDefault="00A90E9C" w:rsidP="0080067C">
            <w:pPr>
              <w:spacing w:after="0" w:line="240" w:lineRule="auto"/>
              <w:jc w:val="both"/>
              <w:rPr>
                <w:rFonts w:ascii="Arial" w:hAnsi="Arial" w:cs="Arial"/>
                <w:sz w:val="20"/>
                <w:szCs w:val="20"/>
              </w:rPr>
            </w:pPr>
            <w:r w:rsidRPr="008A26D2">
              <w:rPr>
                <w:rFonts w:ascii="Arial" w:hAnsi="Arial" w:cs="Arial"/>
                <w:b/>
                <w:sz w:val="20"/>
                <w:szCs w:val="20"/>
              </w:rPr>
              <w:t>Limitaciones para la medición del indicador:</w:t>
            </w:r>
          </w:p>
        </w:tc>
        <w:tc>
          <w:tcPr>
            <w:tcW w:w="6356" w:type="dxa"/>
            <w:gridSpan w:val="7"/>
            <w:shd w:val="clear" w:color="auto" w:fill="auto"/>
            <w:tcMar>
              <w:top w:w="51" w:type="dxa"/>
              <w:left w:w="227" w:type="dxa"/>
              <w:bottom w:w="51" w:type="dxa"/>
              <w:right w:w="227" w:type="dxa"/>
            </w:tcMar>
            <w:vAlign w:val="center"/>
          </w:tcPr>
          <w:p w14:paraId="7D7918F4" w14:textId="77777777" w:rsidR="00A90E9C" w:rsidRPr="008A26D2" w:rsidRDefault="00A90E9C" w:rsidP="0080067C">
            <w:pPr>
              <w:spacing w:after="0" w:line="240" w:lineRule="auto"/>
              <w:jc w:val="both"/>
              <w:rPr>
                <w:rFonts w:ascii="Arial" w:hAnsi="Arial" w:cs="Arial"/>
                <w:sz w:val="20"/>
                <w:szCs w:val="20"/>
              </w:rPr>
            </w:pPr>
            <w:r w:rsidRPr="008A26D2">
              <w:rPr>
                <w:rFonts w:ascii="Arial" w:eastAsia="Arial Narrow" w:hAnsi="Arial" w:cs="Arial"/>
                <w:sz w:val="20"/>
                <w:szCs w:val="20"/>
              </w:rPr>
              <w:t xml:space="preserve">No presenta limitación </w:t>
            </w:r>
          </w:p>
        </w:tc>
      </w:tr>
      <w:tr w:rsidR="008A26D2" w:rsidRPr="008A26D2" w14:paraId="60935F0E" w14:textId="77777777" w:rsidTr="00CD62FB">
        <w:trPr>
          <w:trHeight w:val="231"/>
        </w:trPr>
        <w:tc>
          <w:tcPr>
            <w:tcW w:w="2433" w:type="dxa"/>
            <w:gridSpan w:val="4"/>
            <w:shd w:val="clear" w:color="auto" w:fill="auto"/>
            <w:tcMar>
              <w:top w:w="10" w:type="dxa"/>
              <w:left w:w="93" w:type="dxa"/>
              <w:bottom w:w="0" w:type="dxa"/>
              <w:right w:w="10" w:type="dxa"/>
            </w:tcMar>
            <w:vAlign w:val="center"/>
          </w:tcPr>
          <w:p w14:paraId="29C1FF25" w14:textId="77777777" w:rsidR="00A90E9C" w:rsidRPr="008A26D2" w:rsidRDefault="00A90E9C" w:rsidP="0080067C">
            <w:pPr>
              <w:jc w:val="both"/>
              <w:rPr>
                <w:rFonts w:ascii="Arial" w:hAnsi="Arial" w:cs="Arial"/>
                <w:sz w:val="20"/>
                <w:szCs w:val="20"/>
              </w:rPr>
            </w:pPr>
            <w:r w:rsidRPr="008A26D2">
              <w:rPr>
                <w:rFonts w:ascii="Arial" w:hAnsi="Arial" w:cs="Arial"/>
                <w:b/>
                <w:sz w:val="20"/>
                <w:szCs w:val="20"/>
              </w:rPr>
              <w:t xml:space="preserve">Método de cálculo: </w:t>
            </w:r>
          </w:p>
        </w:tc>
        <w:tc>
          <w:tcPr>
            <w:tcW w:w="6356" w:type="dxa"/>
            <w:gridSpan w:val="7"/>
            <w:shd w:val="clear" w:color="auto" w:fill="auto"/>
            <w:tcMar>
              <w:top w:w="51" w:type="dxa"/>
              <w:left w:w="227" w:type="dxa"/>
              <w:bottom w:w="51" w:type="dxa"/>
              <w:right w:w="227" w:type="dxa"/>
            </w:tcMar>
            <w:vAlign w:val="center"/>
          </w:tcPr>
          <w:p w14:paraId="12660A02" w14:textId="77777777" w:rsidR="00A90E9C" w:rsidRPr="008A26D2" w:rsidRDefault="00A90E9C" w:rsidP="0080067C">
            <w:pPr>
              <w:jc w:val="both"/>
              <w:rPr>
                <w:rFonts w:ascii="Arial" w:eastAsia="Arial Narrow" w:hAnsi="Arial" w:cs="Arial"/>
                <w:b/>
                <w:sz w:val="20"/>
                <w:szCs w:val="20"/>
              </w:rPr>
            </w:pPr>
            <w:r w:rsidRPr="008A26D2">
              <w:rPr>
                <w:rFonts w:ascii="Arial" w:eastAsia="Arial Narrow" w:hAnsi="Arial" w:cs="Arial"/>
                <w:b/>
                <w:sz w:val="20"/>
                <w:szCs w:val="20"/>
              </w:rPr>
              <w:t>1. Fórmula:</w:t>
            </w:r>
          </w:p>
          <w:p w14:paraId="6F9AA0DA" w14:textId="0EEE49D4" w:rsidR="00A90E9C" w:rsidRPr="008A26D2" w:rsidRDefault="00C15EE6" w:rsidP="0080067C">
            <w:pPr>
              <w:jc w:val="both"/>
              <w:rPr>
                <w:rFonts w:ascii="Arial" w:eastAsia="Arial Narrow" w:hAnsi="Arial" w:cs="Arial"/>
                <w:sz w:val="20"/>
                <w:szCs w:val="20"/>
              </w:rPr>
            </w:pPr>
            <w:r w:rsidRPr="008A26D2">
              <w:rPr>
                <w:rFonts w:ascii="Arial" w:eastAsia="Arial Narrow" w:hAnsi="Arial" w:cs="Arial"/>
                <w:sz w:val="20"/>
                <w:szCs w:val="20"/>
              </w:rPr>
              <w:t>(</w:t>
            </w:r>
            <w:r w:rsidR="00A90E9C" w:rsidRPr="008A26D2">
              <w:rPr>
                <w:rFonts w:ascii="Arial" w:eastAsia="Arial Narrow" w:hAnsi="Arial" w:cs="Arial"/>
                <w:sz w:val="20"/>
                <w:szCs w:val="20"/>
              </w:rPr>
              <w:t>A/B</w:t>
            </w:r>
            <w:r w:rsidRPr="008A26D2">
              <w:rPr>
                <w:rFonts w:ascii="Arial" w:eastAsia="Arial Narrow" w:hAnsi="Arial" w:cs="Arial"/>
                <w:sz w:val="20"/>
                <w:szCs w:val="20"/>
              </w:rPr>
              <w:t>)</w:t>
            </w:r>
            <w:r w:rsidR="00A90E9C" w:rsidRPr="008A26D2">
              <w:rPr>
                <w:rFonts w:ascii="Arial" w:eastAsia="Arial Narrow" w:hAnsi="Arial" w:cs="Arial"/>
                <w:sz w:val="20"/>
                <w:szCs w:val="20"/>
              </w:rPr>
              <w:t>*100</w:t>
            </w:r>
          </w:p>
          <w:p w14:paraId="1A19B8E5" w14:textId="77777777" w:rsidR="00A90E9C" w:rsidRPr="008A26D2" w:rsidRDefault="00A90E9C" w:rsidP="0080067C">
            <w:pPr>
              <w:jc w:val="both"/>
              <w:rPr>
                <w:rFonts w:ascii="Arial" w:eastAsia="Arial Narrow" w:hAnsi="Arial" w:cs="Arial"/>
                <w:sz w:val="20"/>
                <w:szCs w:val="20"/>
              </w:rPr>
            </w:pPr>
            <w:r w:rsidRPr="008A26D2">
              <w:rPr>
                <w:rFonts w:ascii="Arial" w:eastAsia="Arial Narrow" w:hAnsi="Arial" w:cs="Arial"/>
                <w:sz w:val="20"/>
                <w:szCs w:val="20"/>
              </w:rPr>
              <w:t>Donde:</w:t>
            </w:r>
          </w:p>
          <w:p w14:paraId="67D6D9AB" w14:textId="1ED4BB79" w:rsidR="00A90E9C" w:rsidRPr="008A26D2" w:rsidRDefault="00A90E9C" w:rsidP="0080067C">
            <w:pPr>
              <w:ind w:left="316" w:hanging="316"/>
              <w:jc w:val="both"/>
              <w:rPr>
                <w:rFonts w:ascii="Arial" w:eastAsia="Arial Narrow" w:hAnsi="Arial" w:cs="Arial"/>
                <w:sz w:val="20"/>
                <w:szCs w:val="20"/>
              </w:rPr>
            </w:pPr>
            <w:r w:rsidRPr="008A26D2">
              <w:rPr>
                <w:rFonts w:ascii="Arial" w:eastAsia="Arial Narrow" w:hAnsi="Arial" w:cs="Arial"/>
                <w:sz w:val="20"/>
                <w:szCs w:val="20"/>
              </w:rPr>
              <w:t xml:space="preserve">A= </w:t>
            </w:r>
            <w:r w:rsidR="00B42822">
              <w:rPr>
                <w:rFonts w:ascii="Arial" w:eastAsia="Arial Narrow" w:hAnsi="Arial" w:cs="Arial"/>
                <w:sz w:val="20"/>
                <w:szCs w:val="20"/>
              </w:rPr>
              <w:t>Número de g</w:t>
            </w:r>
            <w:r w:rsidRPr="008A26D2">
              <w:rPr>
                <w:rFonts w:ascii="Arial" w:eastAsia="Arial Narrow" w:hAnsi="Arial" w:cs="Arial"/>
                <w:sz w:val="20"/>
                <w:szCs w:val="20"/>
              </w:rPr>
              <w:t xml:space="preserve">obiernos regionales que recibieron asistencia técnica de forma pertinente. </w:t>
            </w:r>
          </w:p>
          <w:p w14:paraId="386962F7" w14:textId="77777777" w:rsidR="00A90E9C" w:rsidRPr="008A26D2" w:rsidRDefault="00A90E9C" w:rsidP="0080067C">
            <w:pPr>
              <w:ind w:left="316" w:hanging="316"/>
              <w:jc w:val="both"/>
              <w:rPr>
                <w:rFonts w:ascii="Arial" w:eastAsia="Arial Narrow" w:hAnsi="Arial" w:cs="Arial"/>
                <w:sz w:val="20"/>
                <w:szCs w:val="20"/>
              </w:rPr>
            </w:pPr>
            <w:r w:rsidRPr="008A26D2">
              <w:rPr>
                <w:rFonts w:ascii="Arial" w:eastAsia="Arial Narrow" w:hAnsi="Arial" w:cs="Arial"/>
                <w:sz w:val="20"/>
                <w:szCs w:val="20"/>
              </w:rPr>
              <w:t xml:space="preserve">B= Total de Gobiernos Regionales </w:t>
            </w:r>
          </w:p>
          <w:p w14:paraId="3E068282" w14:textId="77777777" w:rsidR="00A90E9C" w:rsidRPr="008A26D2" w:rsidRDefault="00A90E9C" w:rsidP="0080067C">
            <w:pPr>
              <w:jc w:val="both"/>
              <w:rPr>
                <w:rFonts w:ascii="Arial" w:eastAsia="Arial Narrow" w:hAnsi="Arial" w:cs="Arial"/>
                <w:sz w:val="20"/>
                <w:szCs w:val="20"/>
              </w:rPr>
            </w:pPr>
            <w:r w:rsidRPr="008A26D2">
              <w:rPr>
                <w:rFonts w:ascii="Arial" w:eastAsia="Arial Narrow" w:hAnsi="Arial" w:cs="Arial"/>
                <w:sz w:val="20"/>
                <w:szCs w:val="20"/>
              </w:rPr>
              <w:br/>
            </w:r>
            <w:r w:rsidRPr="008A26D2">
              <w:rPr>
                <w:rFonts w:ascii="Arial" w:eastAsia="Arial Narrow" w:hAnsi="Arial" w:cs="Arial"/>
                <w:b/>
                <w:sz w:val="20"/>
                <w:szCs w:val="20"/>
              </w:rPr>
              <w:t>2. Especificaciones técnicas:</w:t>
            </w:r>
          </w:p>
          <w:p w14:paraId="1AC99AD5" w14:textId="481996C9" w:rsidR="00A90E9C" w:rsidRPr="008A26D2" w:rsidRDefault="00EB0231" w:rsidP="0080067C">
            <w:pPr>
              <w:jc w:val="both"/>
              <w:rPr>
                <w:rFonts w:ascii="Arial" w:eastAsia="Arial Narrow" w:hAnsi="Arial" w:cs="Arial"/>
                <w:sz w:val="20"/>
                <w:szCs w:val="20"/>
              </w:rPr>
            </w:pPr>
            <w:r>
              <w:rPr>
                <w:rFonts w:ascii="Arial" w:eastAsia="Arial Narrow" w:hAnsi="Arial" w:cs="Arial"/>
                <w:sz w:val="20"/>
                <w:szCs w:val="20"/>
              </w:rPr>
              <w:t>La variable A s</w:t>
            </w:r>
            <w:r w:rsidR="00A90E9C" w:rsidRPr="008A26D2">
              <w:rPr>
                <w:rFonts w:ascii="Arial" w:eastAsia="Arial Narrow" w:hAnsi="Arial" w:cs="Arial"/>
                <w:sz w:val="20"/>
                <w:szCs w:val="20"/>
              </w:rPr>
              <w:t xml:space="preserve">e </w:t>
            </w:r>
            <w:r>
              <w:rPr>
                <w:rFonts w:ascii="Arial" w:eastAsia="Arial Narrow" w:hAnsi="Arial" w:cs="Arial"/>
                <w:sz w:val="20"/>
                <w:szCs w:val="20"/>
              </w:rPr>
              <w:t xml:space="preserve">determina a partir de las </w:t>
            </w:r>
            <w:r w:rsidR="00A90E9C" w:rsidRPr="008A26D2">
              <w:rPr>
                <w:rFonts w:ascii="Arial" w:eastAsia="Arial Narrow" w:hAnsi="Arial" w:cs="Arial"/>
                <w:sz w:val="20"/>
                <w:szCs w:val="20"/>
              </w:rPr>
              <w:t>asistencia</w:t>
            </w:r>
            <w:r>
              <w:rPr>
                <w:rFonts w:ascii="Arial" w:eastAsia="Arial Narrow" w:hAnsi="Arial" w:cs="Arial"/>
                <w:sz w:val="20"/>
                <w:szCs w:val="20"/>
              </w:rPr>
              <w:t>s</w:t>
            </w:r>
            <w:r w:rsidR="00A90E9C" w:rsidRPr="008A26D2">
              <w:rPr>
                <w:rFonts w:ascii="Arial" w:eastAsia="Arial Narrow" w:hAnsi="Arial" w:cs="Arial"/>
                <w:sz w:val="20"/>
                <w:szCs w:val="20"/>
              </w:rPr>
              <w:t xml:space="preserve"> </w:t>
            </w:r>
            <w:r w:rsidRPr="008A26D2">
              <w:rPr>
                <w:rFonts w:ascii="Arial" w:eastAsia="Arial Narrow" w:hAnsi="Arial" w:cs="Arial"/>
                <w:sz w:val="20"/>
                <w:szCs w:val="20"/>
              </w:rPr>
              <w:t>técnica</w:t>
            </w:r>
            <w:r>
              <w:rPr>
                <w:rFonts w:ascii="Arial" w:eastAsia="Arial Narrow" w:hAnsi="Arial" w:cs="Arial"/>
                <w:sz w:val="20"/>
                <w:szCs w:val="20"/>
              </w:rPr>
              <w:t xml:space="preserve">s que </w:t>
            </w:r>
            <w:r w:rsidR="00A90E9C" w:rsidRPr="008A26D2">
              <w:rPr>
                <w:rFonts w:ascii="Arial" w:eastAsia="Arial Narrow" w:hAnsi="Arial" w:cs="Arial"/>
                <w:sz w:val="20"/>
                <w:szCs w:val="20"/>
              </w:rPr>
              <w:t>se entrega</w:t>
            </w:r>
            <w:r>
              <w:rPr>
                <w:rFonts w:ascii="Arial" w:eastAsia="Arial Narrow" w:hAnsi="Arial" w:cs="Arial"/>
                <w:sz w:val="20"/>
                <w:szCs w:val="20"/>
              </w:rPr>
              <w:t xml:space="preserve">n con </w:t>
            </w:r>
            <w:r w:rsidR="00A90E9C" w:rsidRPr="008A26D2">
              <w:rPr>
                <w:rFonts w:ascii="Arial" w:eastAsia="Arial Narrow" w:hAnsi="Arial" w:cs="Arial"/>
                <w:sz w:val="20"/>
                <w:szCs w:val="20"/>
              </w:rPr>
              <w:t>al menos 3 módulos a</w:t>
            </w:r>
            <w:r w:rsidR="00955F3B">
              <w:rPr>
                <w:rFonts w:ascii="Arial" w:eastAsia="Arial Narrow" w:hAnsi="Arial" w:cs="Arial"/>
                <w:sz w:val="20"/>
                <w:szCs w:val="20"/>
              </w:rPr>
              <w:t xml:space="preserve"> un </w:t>
            </w:r>
            <w:r w:rsidR="00A90E9C" w:rsidRPr="008A26D2">
              <w:rPr>
                <w:rFonts w:ascii="Arial" w:eastAsia="Arial Narrow" w:hAnsi="Arial" w:cs="Arial"/>
                <w:sz w:val="20"/>
                <w:szCs w:val="20"/>
              </w:rPr>
              <w:t>gobierno regional</w:t>
            </w:r>
            <w:r w:rsidR="006116AE" w:rsidRPr="008A26D2">
              <w:rPr>
                <w:rFonts w:ascii="Arial" w:eastAsia="Arial Narrow" w:hAnsi="Arial" w:cs="Arial"/>
                <w:sz w:val="20"/>
                <w:szCs w:val="20"/>
              </w:rPr>
              <w:t>, tomando en consideración los ámbitos geográficos que abarca</w:t>
            </w:r>
            <w:r w:rsidR="00A90E9C" w:rsidRPr="008A26D2">
              <w:rPr>
                <w:rFonts w:ascii="Arial" w:eastAsia="Arial Narrow" w:hAnsi="Arial" w:cs="Arial"/>
                <w:sz w:val="20"/>
                <w:szCs w:val="20"/>
              </w:rPr>
              <w:t>.</w:t>
            </w:r>
          </w:p>
          <w:p w14:paraId="43459C8B" w14:textId="0FDF7835" w:rsidR="00A90E9C" w:rsidRPr="008A26D2" w:rsidRDefault="00F17722" w:rsidP="0080067C">
            <w:pPr>
              <w:jc w:val="both"/>
              <w:rPr>
                <w:rFonts w:ascii="Arial" w:eastAsia="Arial Narrow" w:hAnsi="Arial" w:cs="Arial"/>
                <w:sz w:val="20"/>
                <w:szCs w:val="20"/>
              </w:rPr>
            </w:pPr>
            <w:r w:rsidRPr="00F17722">
              <w:rPr>
                <w:rFonts w:ascii="Arial" w:eastAsia="Arial Narrow" w:hAnsi="Arial" w:cs="Arial"/>
                <w:sz w:val="20"/>
                <w:szCs w:val="20"/>
              </w:rPr>
              <w:t xml:space="preserve">La variable </w:t>
            </w:r>
            <w:r>
              <w:rPr>
                <w:rFonts w:ascii="Arial" w:eastAsia="Arial Narrow" w:hAnsi="Arial" w:cs="Arial"/>
                <w:sz w:val="20"/>
                <w:szCs w:val="20"/>
              </w:rPr>
              <w:t>B</w:t>
            </w:r>
            <w:r w:rsidRPr="00F17722">
              <w:rPr>
                <w:rFonts w:ascii="Arial" w:eastAsia="Arial Narrow" w:hAnsi="Arial" w:cs="Arial"/>
                <w:sz w:val="20"/>
                <w:szCs w:val="20"/>
              </w:rPr>
              <w:t xml:space="preserve"> </w:t>
            </w:r>
            <w:r w:rsidR="007C3EBB">
              <w:rPr>
                <w:rFonts w:ascii="Arial" w:eastAsia="Arial Narrow" w:hAnsi="Arial" w:cs="Arial"/>
                <w:sz w:val="20"/>
                <w:szCs w:val="20"/>
              </w:rPr>
              <w:t>involucra</w:t>
            </w:r>
            <w:r>
              <w:rPr>
                <w:rFonts w:ascii="Arial" w:eastAsia="Arial Narrow" w:hAnsi="Arial" w:cs="Arial"/>
                <w:sz w:val="20"/>
                <w:szCs w:val="20"/>
              </w:rPr>
              <w:t xml:space="preserve"> </w:t>
            </w:r>
            <w:r w:rsidR="00245024">
              <w:rPr>
                <w:rFonts w:ascii="Arial" w:eastAsia="Arial Narrow" w:hAnsi="Arial" w:cs="Arial"/>
                <w:sz w:val="20"/>
                <w:szCs w:val="20"/>
              </w:rPr>
              <w:t>un total de</w:t>
            </w:r>
            <w:r w:rsidR="00A90E9C" w:rsidRPr="008A26D2">
              <w:rPr>
                <w:rFonts w:ascii="Arial" w:eastAsia="Arial Narrow" w:hAnsi="Arial" w:cs="Arial"/>
                <w:sz w:val="20"/>
                <w:szCs w:val="20"/>
              </w:rPr>
              <w:t xml:space="preserve"> 25 </w:t>
            </w:r>
            <w:r w:rsidR="00CD62FB" w:rsidRPr="008A26D2">
              <w:rPr>
                <w:rFonts w:ascii="Arial" w:eastAsia="Arial Narrow" w:hAnsi="Arial" w:cs="Arial"/>
                <w:sz w:val="20"/>
                <w:szCs w:val="20"/>
              </w:rPr>
              <w:t>g</w:t>
            </w:r>
            <w:r w:rsidR="00A90E9C" w:rsidRPr="008A26D2">
              <w:rPr>
                <w:rFonts w:ascii="Arial" w:eastAsia="Arial Narrow" w:hAnsi="Arial" w:cs="Arial"/>
                <w:sz w:val="20"/>
                <w:szCs w:val="20"/>
              </w:rPr>
              <w:t>obiernos regionales.</w:t>
            </w:r>
          </w:p>
        </w:tc>
      </w:tr>
      <w:tr w:rsidR="008A26D2" w:rsidRPr="008A26D2" w14:paraId="09BC35BB" w14:textId="77777777" w:rsidTr="007C3EBB">
        <w:trPr>
          <w:trHeight w:val="686"/>
        </w:trPr>
        <w:tc>
          <w:tcPr>
            <w:tcW w:w="2433" w:type="dxa"/>
            <w:gridSpan w:val="4"/>
            <w:shd w:val="clear" w:color="auto" w:fill="auto"/>
            <w:tcMar>
              <w:top w:w="10" w:type="dxa"/>
              <w:left w:w="93" w:type="dxa"/>
              <w:bottom w:w="0" w:type="dxa"/>
              <w:right w:w="10" w:type="dxa"/>
            </w:tcMar>
            <w:vAlign w:val="center"/>
          </w:tcPr>
          <w:p w14:paraId="10B27EC5" w14:textId="77777777" w:rsidR="00A90E9C" w:rsidRPr="008A26D2" w:rsidRDefault="00A90E9C" w:rsidP="0080067C">
            <w:pPr>
              <w:jc w:val="both"/>
              <w:rPr>
                <w:rFonts w:ascii="Arial" w:hAnsi="Arial" w:cs="Arial"/>
                <w:sz w:val="20"/>
                <w:szCs w:val="20"/>
              </w:rPr>
            </w:pPr>
            <w:r w:rsidRPr="008A26D2">
              <w:rPr>
                <w:rFonts w:ascii="Arial" w:hAnsi="Arial" w:cs="Arial"/>
                <w:b/>
                <w:sz w:val="20"/>
                <w:szCs w:val="20"/>
              </w:rPr>
              <w:t>Sentido esperado del indicador:</w:t>
            </w:r>
          </w:p>
        </w:tc>
        <w:tc>
          <w:tcPr>
            <w:tcW w:w="1678" w:type="dxa"/>
            <w:gridSpan w:val="2"/>
            <w:shd w:val="clear" w:color="auto" w:fill="auto"/>
            <w:tcMar>
              <w:top w:w="10" w:type="dxa"/>
              <w:left w:w="283" w:type="dxa"/>
              <w:bottom w:w="0" w:type="dxa"/>
              <w:right w:w="283" w:type="dxa"/>
            </w:tcMar>
            <w:vAlign w:val="center"/>
          </w:tcPr>
          <w:p w14:paraId="2AB60783" w14:textId="77777777" w:rsidR="00A90E9C" w:rsidRPr="008A26D2" w:rsidRDefault="00A90E9C" w:rsidP="0080067C">
            <w:pPr>
              <w:spacing w:after="0" w:line="240" w:lineRule="auto"/>
              <w:jc w:val="both"/>
              <w:rPr>
                <w:rFonts w:ascii="Arial" w:hAnsi="Arial" w:cs="Arial"/>
                <w:sz w:val="20"/>
                <w:szCs w:val="20"/>
              </w:rPr>
            </w:pPr>
            <w:r w:rsidRPr="008A26D2">
              <w:rPr>
                <w:rFonts w:ascii="Arial" w:eastAsia="Arial Narrow" w:hAnsi="Arial" w:cs="Arial"/>
                <w:sz w:val="20"/>
                <w:szCs w:val="20"/>
              </w:rPr>
              <w:t>Ascendente</w:t>
            </w:r>
          </w:p>
        </w:tc>
        <w:tc>
          <w:tcPr>
            <w:tcW w:w="2693" w:type="dxa"/>
            <w:gridSpan w:val="3"/>
            <w:shd w:val="clear" w:color="auto" w:fill="auto"/>
            <w:tcMar>
              <w:top w:w="15" w:type="dxa"/>
              <w:left w:w="15" w:type="dxa"/>
              <w:bottom w:w="0" w:type="dxa"/>
              <w:right w:w="15" w:type="dxa"/>
            </w:tcMar>
            <w:vAlign w:val="center"/>
          </w:tcPr>
          <w:p w14:paraId="244AEC0E" w14:textId="77777777" w:rsidR="00A90E9C" w:rsidRPr="008A26D2" w:rsidRDefault="00A90E9C" w:rsidP="0080067C">
            <w:pPr>
              <w:jc w:val="both"/>
              <w:rPr>
                <w:rFonts w:ascii="Arial" w:hAnsi="Arial" w:cs="Arial"/>
                <w:sz w:val="20"/>
                <w:szCs w:val="20"/>
              </w:rPr>
            </w:pPr>
            <w:r w:rsidRPr="008A26D2">
              <w:rPr>
                <w:rFonts w:ascii="Arial" w:hAnsi="Arial" w:cs="Arial"/>
                <w:b/>
                <w:sz w:val="20"/>
                <w:szCs w:val="20"/>
              </w:rPr>
              <w:t>Tipo de indicador de servicio:</w:t>
            </w:r>
          </w:p>
        </w:tc>
        <w:tc>
          <w:tcPr>
            <w:tcW w:w="1985" w:type="dxa"/>
            <w:gridSpan w:val="2"/>
            <w:shd w:val="clear" w:color="auto" w:fill="auto"/>
            <w:tcMar>
              <w:top w:w="15" w:type="dxa"/>
              <w:left w:w="15" w:type="dxa"/>
              <w:bottom w:w="0" w:type="dxa"/>
              <w:right w:w="15" w:type="dxa"/>
            </w:tcMar>
            <w:vAlign w:val="center"/>
          </w:tcPr>
          <w:p w14:paraId="694EA927" w14:textId="77777777" w:rsidR="00A90E9C" w:rsidRPr="008A26D2" w:rsidRDefault="00A90E9C" w:rsidP="0080067C">
            <w:pPr>
              <w:jc w:val="both"/>
              <w:rPr>
                <w:rFonts w:ascii="Arial" w:hAnsi="Arial" w:cs="Arial"/>
                <w:sz w:val="20"/>
                <w:szCs w:val="20"/>
              </w:rPr>
            </w:pPr>
            <w:r w:rsidRPr="008A26D2">
              <w:rPr>
                <w:rFonts w:ascii="Arial" w:eastAsia="Arial Narrow" w:hAnsi="Arial" w:cs="Arial"/>
                <w:sz w:val="20"/>
                <w:szCs w:val="20"/>
              </w:rPr>
              <w:t xml:space="preserve">     Calidad - Pertinencia</w:t>
            </w:r>
          </w:p>
        </w:tc>
      </w:tr>
      <w:tr w:rsidR="008A26D2" w:rsidRPr="008A26D2" w14:paraId="4FB1B1C6" w14:textId="77777777" w:rsidTr="00CD62FB">
        <w:trPr>
          <w:trHeight w:val="13"/>
        </w:trPr>
        <w:tc>
          <w:tcPr>
            <w:tcW w:w="2433" w:type="dxa"/>
            <w:gridSpan w:val="4"/>
            <w:shd w:val="clear" w:color="auto" w:fill="auto"/>
            <w:tcMar>
              <w:top w:w="10" w:type="dxa"/>
              <w:left w:w="93" w:type="dxa"/>
              <w:bottom w:w="0" w:type="dxa"/>
              <w:right w:w="10" w:type="dxa"/>
            </w:tcMar>
            <w:vAlign w:val="center"/>
          </w:tcPr>
          <w:p w14:paraId="14660461" w14:textId="77777777" w:rsidR="00A90E9C" w:rsidRPr="008A26D2" w:rsidRDefault="00A90E9C" w:rsidP="0080067C">
            <w:pPr>
              <w:jc w:val="both"/>
              <w:rPr>
                <w:rFonts w:ascii="Arial" w:hAnsi="Arial" w:cs="Arial"/>
                <w:sz w:val="20"/>
                <w:szCs w:val="20"/>
              </w:rPr>
            </w:pPr>
            <w:r w:rsidRPr="008A26D2">
              <w:rPr>
                <w:rFonts w:ascii="Arial" w:hAnsi="Arial" w:cs="Arial"/>
                <w:b/>
                <w:sz w:val="20"/>
                <w:szCs w:val="20"/>
              </w:rPr>
              <w:t>Fuente y base de datos:</w:t>
            </w:r>
          </w:p>
        </w:tc>
        <w:tc>
          <w:tcPr>
            <w:tcW w:w="6356" w:type="dxa"/>
            <w:gridSpan w:val="7"/>
            <w:shd w:val="clear" w:color="auto" w:fill="auto"/>
            <w:tcMar>
              <w:top w:w="51" w:type="dxa"/>
              <w:left w:w="227" w:type="dxa"/>
              <w:bottom w:w="51" w:type="dxa"/>
              <w:right w:w="227" w:type="dxa"/>
            </w:tcMar>
            <w:vAlign w:val="center"/>
          </w:tcPr>
          <w:p w14:paraId="1FF202F3" w14:textId="4A5274AD" w:rsidR="00724D91" w:rsidRDefault="00A90E9C" w:rsidP="0080067C">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Fuente: Dirección de Gestión Sostenible del Patrimonio Forestal </w:t>
            </w:r>
            <w:r w:rsidR="00CD62FB" w:rsidRPr="008A26D2">
              <w:rPr>
                <w:rFonts w:ascii="Arial" w:eastAsia="Arial Narrow" w:hAnsi="Arial" w:cs="Arial"/>
                <w:sz w:val="20"/>
                <w:szCs w:val="20"/>
              </w:rPr>
              <w:t>del</w:t>
            </w:r>
            <w:r w:rsidR="00724D91">
              <w:rPr>
                <w:rFonts w:ascii="Arial" w:eastAsia="Arial Narrow" w:hAnsi="Arial" w:cs="Arial"/>
                <w:sz w:val="20"/>
                <w:szCs w:val="20"/>
              </w:rPr>
              <w:t xml:space="preserve"> </w:t>
            </w:r>
            <w:r w:rsidRPr="008A26D2">
              <w:rPr>
                <w:rFonts w:ascii="Arial" w:eastAsia="Arial Narrow" w:hAnsi="Arial" w:cs="Arial"/>
                <w:sz w:val="20"/>
                <w:szCs w:val="20"/>
              </w:rPr>
              <w:t>S</w:t>
            </w:r>
            <w:r w:rsidR="00724D91">
              <w:rPr>
                <w:rFonts w:ascii="Arial" w:eastAsia="Arial Narrow" w:hAnsi="Arial" w:cs="Arial"/>
                <w:sz w:val="20"/>
                <w:szCs w:val="20"/>
              </w:rPr>
              <w:t>ervicio Nacional Forestal y de Fauna Silvestre – S</w:t>
            </w:r>
            <w:r w:rsidRPr="008A26D2">
              <w:rPr>
                <w:rFonts w:ascii="Arial" w:eastAsia="Arial Narrow" w:hAnsi="Arial" w:cs="Arial"/>
                <w:sz w:val="20"/>
                <w:szCs w:val="20"/>
              </w:rPr>
              <w:t>ERFOR</w:t>
            </w:r>
            <w:r w:rsidR="00724D91">
              <w:rPr>
                <w:rFonts w:ascii="Arial" w:eastAsia="Arial Narrow" w:hAnsi="Arial" w:cs="Arial"/>
                <w:sz w:val="20"/>
                <w:szCs w:val="20"/>
              </w:rPr>
              <w:t>.</w:t>
            </w:r>
          </w:p>
          <w:p w14:paraId="28C2AE9E" w14:textId="0EE889E3" w:rsidR="00A90E9C" w:rsidRPr="008A26D2" w:rsidRDefault="00A90E9C" w:rsidP="0080067C">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Base de datos: Reporte de asistencias técnicas elaboradas por la Dirección de Gestión Sostenible del Patrimonio Forestal</w:t>
            </w:r>
            <w:r w:rsidR="00897531">
              <w:rPr>
                <w:rFonts w:ascii="Arial" w:eastAsia="Arial Narrow" w:hAnsi="Arial" w:cs="Arial"/>
                <w:sz w:val="20"/>
                <w:szCs w:val="20"/>
              </w:rPr>
              <w:t>.</w:t>
            </w:r>
          </w:p>
        </w:tc>
      </w:tr>
      <w:tr w:rsidR="008A26D2" w:rsidRPr="008A26D2" w14:paraId="3B92A10B" w14:textId="77777777" w:rsidTr="00CD62FB">
        <w:trPr>
          <w:trHeight w:val="436"/>
        </w:trPr>
        <w:tc>
          <w:tcPr>
            <w:tcW w:w="2433" w:type="dxa"/>
            <w:gridSpan w:val="4"/>
            <w:shd w:val="clear" w:color="auto" w:fill="auto"/>
            <w:tcMar>
              <w:top w:w="10" w:type="dxa"/>
              <w:left w:w="93" w:type="dxa"/>
              <w:bottom w:w="0" w:type="dxa"/>
              <w:right w:w="10" w:type="dxa"/>
            </w:tcMar>
            <w:vAlign w:val="center"/>
          </w:tcPr>
          <w:p w14:paraId="6EFDD29E" w14:textId="77777777" w:rsidR="00A90E9C" w:rsidRPr="008A26D2" w:rsidRDefault="00A90E9C" w:rsidP="0080067C">
            <w:pPr>
              <w:spacing w:after="0" w:line="240" w:lineRule="auto"/>
              <w:jc w:val="both"/>
              <w:rPr>
                <w:rFonts w:ascii="Arial" w:hAnsi="Arial" w:cs="Arial"/>
                <w:sz w:val="20"/>
                <w:szCs w:val="20"/>
              </w:rPr>
            </w:pPr>
            <w:r w:rsidRPr="008A26D2">
              <w:rPr>
                <w:rFonts w:ascii="Arial" w:hAnsi="Arial" w:cs="Arial"/>
                <w:b/>
                <w:sz w:val="20"/>
                <w:szCs w:val="20"/>
              </w:rPr>
              <w:t>Supuestos:</w:t>
            </w:r>
          </w:p>
        </w:tc>
        <w:tc>
          <w:tcPr>
            <w:tcW w:w="6356" w:type="dxa"/>
            <w:gridSpan w:val="7"/>
            <w:shd w:val="clear" w:color="auto" w:fill="auto"/>
            <w:tcMar>
              <w:top w:w="51" w:type="dxa"/>
              <w:left w:w="227" w:type="dxa"/>
              <w:bottom w:w="51" w:type="dxa"/>
              <w:right w:w="227" w:type="dxa"/>
            </w:tcMar>
            <w:vAlign w:val="center"/>
          </w:tcPr>
          <w:p w14:paraId="1D28A6C5" w14:textId="615C7FD3" w:rsidR="00A90E9C" w:rsidRPr="008A26D2" w:rsidRDefault="00A90E9C" w:rsidP="0080067C">
            <w:pPr>
              <w:spacing w:after="0" w:line="240" w:lineRule="auto"/>
              <w:jc w:val="both"/>
              <w:rPr>
                <w:rFonts w:ascii="Arial" w:eastAsia="Arial Narrow" w:hAnsi="Arial" w:cs="Arial"/>
                <w:strike/>
                <w:sz w:val="20"/>
                <w:szCs w:val="20"/>
              </w:rPr>
            </w:pPr>
            <w:r w:rsidRPr="008A26D2">
              <w:rPr>
                <w:rFonts w:ascii="Arial" w:eastAsia="Arial Narrow" w:hAnsi="Arial" w:cs="Arial"/>
                <w:sz w:val="20"/>
                <w:szCs w:val="20"/>
              </w:rPr>
              <w:t>Asignación de presupuesto para las asistencias técnicas presenciales y semi presenciales.</w:t>
            </w:r>
          </w:p>
        </w:tc>
      </w:tr>
      <w:tr w:rsidR="008A26D2" w:rsidRPr="008A26D2" w14:paraId="222DFFBA" w14:textId="77777777" w:rsidTr="00CD62FB">
        <w:trPr>
          <w:trHeight w:val="556"/>
        </w:trPr>
        <w:tc>
          <w:tcPr>
            <w:tcW w:w="980" w:type="dxa"/>
            <w:shd w:val="clear" w:color="auto" w:fill="auto"/>
            <w:tcMar>
              <w:top w:w="10" w:type="dxa"/>
              <w:left w:w="10" w:type="dxa"/>
              <w:bottom w:w="0" w:type="dxa"/>
              <w:right w:w="10" w:type="dxa"/>
            </w:tcMar>
            <w:vAlign w:val="center"/>
          </w:tcPr>
          <w:p w14:paraId="0338F5CC" w14:textId="77777777" w:rsidR="00A90E9C" w:rsidRPr="008A26D2" w:rsidRDefault="00A90E9C" w:rsidP="0080067C">
            <w:pPr>
              <w:spacing w:after="0" w:line="240" w:lineRule="auto"/>
              <w:jc w:val="both"/>
              <w:rPr>
                <w:rFonts w:ascii="Arial" w:hAnsi="Arial" w:cs="Arial"/>
                <w:sz w:val="20"/>
                <w:szCs w:val="20"/>
              </w:rPr>
            </w:pPr>
            <w:r w:rsidRPr="008A26D2">
              <w:rPr>
                <w:rFonts w:ascii="Arial" w:hAnsi="Arial" w:cs="Arial"/>
                <w:b/>
                <w:sz w:val="20"/>
                <w:szCs w:val="20"/>
              </w:rPr>
              <w:t> </w:t>
            </w:r>
          </w:p>
        </w:tc>
        <w:tc>
          <w:tcPr>
            <w:tcW w:w="714" w:type="dxa"/>
            <w:shd w:val="clear" w:color="auto" w:fill="auto"/>
            <w:tcMar>
              <w:top w:w="10" w:type="dxa"/>
              <w:left w:w="10" w:type="dxa"/>
              <w:bottom w:w="0" w:type="dxa"/>
              <w:right w:w="10" w:type="dxa"/>
            </w:tcMar>
            <w:vAlign w:val="center"/>
          </w:tcPr>
          <w:p w14:paraId="3B3A3B92" w14:textId="77777777" w:rsidR="00A90E9C" w:rsidRPr="008A26D2" w:rsidRDefault="00A90E9C" w:rsidP="007C3EBB">
            <w:pPr>
              <w:spacing w:after="0" w:line="240" w:lineRule="auto"/>
              <w:jc w:val="center"/>
              <w:rPr>
                <w:rFonts w:ascii="Arial" w:hAnsi="Arial" w:cs="Arial"/>
                <w:sz w:val="20"/>
                <w:szCs w:val="20"/>
              </w:rPr>
            </w:pPr>
            <w:r w:rsidRPr="008A26D2">
              <w:rPr>
                <w:rFonts w:ascii="Arial" w:hAnsi="Arial" w:cs="Arial"/>
                <w:b/>
                <w:sz w:val="20"/>
                <w:szCs w:val="20"/>
              </w:rPr>
              <w:t>Línea de base</w:t>
            </w:r>
          </w:p>
        </w:tc>
        <w:tc>
          <w:tcPr>
            <w:tcW w:w="7095" w:type="dxa"/>
            <w:gridSpan w:val="9"/>
            <w:shd w:val="clear" w:color="auto" w:fill="auto"/>
            <w:tcMar>
              <w:top w:w="10" w:type="dxa"/>
              <w:left w:w="10" w:type="dxa"/>
              <w:bottom w:w="0" w:type="dxa"/>
              <w:right w:w="10" w:type="dxa"/>
            </w:tcMar>
            <w:vAlign w:val="center"/>
          </w:tcPr>
          <w:p w14:paraId="440C2D2D" w14:textId="0738D7E3" w:rsidR="00A90E9C" w:rsidRPr="008A26D2" w:rsidRDefault="00A90E9C" w:rsidP="007C3EBB">
            <w:pPr>
              <w:spacing w:after="0" w:line="240" w:lineRule="auto"/>
              <w:jc w:val="center"/>
              <w:rPr>
                <w:rFonts w:ascii="Arial" w:hAnsi="Arial" w:cs="Arial"/>
                <w:sz w:val="20"/>
                <w:szCs w:val="20"/>
              </w:rPr>
            </w:pPr>
            <w:r w:rsidRPr="008A26D2">
              <w:rPr>
                <w:rFonts w:ascii="Arial" w:hAnsi="Arial" w:cs="Arial"/>
                <w:b/>
                <w:sz w:val="20"/>
                <w:szCs w:val="20"/>
              </w:rPr>
              <w:t>Logros esperados</w:t>
            </w:r>
          </w:p>
        </w:tc>
      </w:tr>
      <w:tr w:rsidR="008A26D2" w:rsidRPr="008A26D2" w14:paraId="04DBF2C7" w14:textId="77777777" w:rsidTr="007C3EBB">
        <w:trPr>
          <w:trHeight w:val="217"/>
        </w:trPr>
        <w:tc>
          <w:tcPr>
            <w:tcW w:w="980" w:type="dxa"/>
            <w:shd w:val="clear" w:color="auto" w:fill="auto"/>
            <w:tcMar>
              <w:top w:w="10" w:type="dxa"/>
              <w:left w:w="10" w:type="dxa"/>
              <w:bottom w:w="0" w:type="dxa"/>
              <w:right w:w="10" w:type="dxa"/>
            </w:tcMar>
            <w:vAlign w:val="center"/>
          </w:tcPr>
          <w:p w14:paraId="59B83705" w14:textId="77777777" w:rsidR="00A90E9C" w:rsidRPr="008A26D2" w:rsidRDefault="00A90E9C" w:rsidP="0080067C">
            <w:pPr>
              <w:spacing w:after="0" w:line="240" w:lineRule="auto"/>
              <w:jc w:val="both"/>
              <w:rPr>
                <w:rFonts w:ascii="Arial" w:hAnsi="Arial" w:cs="Arial"/>
                <w:sz w:val="20"/>
                <w:szCs w:val="20"/>
              </w:rPr>
            </w:pPr>
            <w:r w:rsidRPr="008A26D2">
              <w:rPr>
                <w:rFonts w:ascii="Arial" w:hAnsi="Arial" w:cs="Arial"/>
                <w:b/>
                <w:sz w:val="20"/>
                <w:szCs w:val="20"/>
              </w:rPr>
              <w:t>Año</w:t>
            </w:r>
          </w:p>
        </w:tc>
        <w:tc>
          <w:tcPr>
            <w:tcW w:w="714" w:type="dxa"/>
            <w:shd w:val="clear" w:color="auto" w:fill="auto"/>
            <w:tcMar>
              <w:top w:w="10" w:type="dxa"/>
              <w:left w:w="10" w:type="dxa"/>
              <w:bottom w:w="0" w:type="dxa"/>
              <w:right w:w="10" w:type="dxa"/>
            </w:tcMar>
            <w:vAlign w:val="center"/>
          </w:tcPr>
          <w:p w14:paraId="0B239A5B" w14:textId="77777777" w:rsidR="00A90E9C" w:rsidRPr="008A26D2" w:rsidRDefault="00A90E9C" w:rsidP="007C3EBB">
            <w:pPr>
              <w:spacing w:after="0" w:line="240" w:lineRule="auto"/>
              <w:jc w:val="center"/>
              <w:rPr>
                <w:rFonts w:ascii="Arial" w:hAnsi="Arial" w:cs="Arial"/>
                <w:b/>
                <w:sz w:val="20"/>
                <w:szCs w:val="20"/>
              </w:rPr>
            </w:pPr>
            <w:r w:rsidRPr="008A26D2">
              <w:rPr>
                <w:rFonts w:ascii="Arial" w:hAnsi="Arial" w:cs="Arial"/>
                <w:b/>
                <w:sz w:val="20"/>
                <w:szCs w:val="20"/>
              </w:rPr>
              <w:t>2022</w:t>
            </w:r>
          </w:p>
        </w:tc>
        <w:tc>
          <w:tcPr>
            <w:tcW w:w="709" w:type="dxa"/>
            <w:shd w:val="clear" w:color="auto" w:fill="auto"/>
            <w:vAlign w:val="center"/>
          </w:tcPr>
          <w:p w14:paraId="6FE538DF" w14:textId="77777777" w:rsidR="00A90E9C" w:rsidRPr="008A26D2" w:rsidRDefault="00A90E9C" w:rsidP="0080067C">
            <w:pPr>
              <w:spacing w:after="0" w:line="240" w:lineRule="auto"/>
              <w:jc w:val="both"/>
              <w:rPr>
                <w:rFonts w:ascii="Arial" w:hAnsi="Arial" w:cs="Arial"/>
                <w:b/>
                <w:sz w:val="20"/>
                <w:szCs w:val="20"/>
              </w:rPr>
            </w:pPr>
            <w:r w:rsidRPr="008A26D2">
              <w:rPr>
                <w:rFonts w:ascii="Arial" w:hAnsi="Arial" w:cs="Arial"/>
                <w:b/>
                <w:sz w:val="20"/>
                <w:szCs w:val="20"/>
              </w:rPr>
              <w:t>2023</w:t>
            </w:r>
          </w:p>
        </w:tc>
        <w:tc>
          <w:tcPr>
            <w:tcW w:w="858" w:type="dxa"/>
            <w:gridSpan w:val="2"/>
            <w:shd w:val="clear" w:color="auto" w:fill="auto"/>
            <w:vAlign w:val="center"/>
          </w:tcPr>
          <w:p w14:paraId="47C3BC78" w14:textId="77777777" w:rsidR="00A90E9C" w:rsidRPr="008A26D2" w:rsidRDefault="00A90E9C" w:rsidP="0080067C">
            <w:pPr>
              <w:spacing w:after="0" w:line="240" w:lineRule="auto"/>
              <w:jc w:val="both"/>
              <w:rPr>
                <w:rFonts w:ascii="Arial" w:hAnsi="Arial" w:cs="Arial"/>
                <w:b/>
                <w:sz w:val="20"/>
                <w:szCs w:val="20"/>
              </w:rPr>
            </w:pPr>
            <w:r w:rsidRPr="008A26D2">
              <w:rPr>
                <w:rFonts w:ascii="Arial" w:hAnsi="Arial" w:cs="Arial"/>
                <w:b/>
                <w:sz w:val="20"/>
                <w:szCs w:val="20"/>
              </w:rPr>
              <w:t>2024</w:t>
            </w:r>
          </w:p>
        </w:tc>
        <w:tc>
          <w:tcPr>
            <w:tcW w:w="850" w:type="dxa"/>
            <w:shd w:val="clear" w:color="auto" w:fill="auto"/>
            <w:vAlign w:val="center"/>
          </w:tcPr>
          <w:p w14:paraId="3B22325E" w14:textId="77777777" w:rsidR="00A90E9C" w:rsidRPr="008A26D2" w:rsidRDefault="00A90E9C" w:rsidP="0080067C">
            <w:pPr>
              <w:spacing w:after="0" w:line="240" w:lineRule="auto"/>
              <w:jc w:val="both"/>
              <w:rPr>
                <w:rFonts w:ascii="Arial" w:hAnsi="Arial" w:cs="Arial"/>
                <w:b/>
                <w:sz w:val="20"/>
                <w:szCs w:val="20"/>
              </w:rPr>
            </w:pPr>
            <w:r w:rsidRPr="008A26D2">
              <w:rPr>
                <w:rFonts w:ascii="Arial" w:hAnsi="Arial" w:cs="Arial"/>
                <w:b/>
                <w:sz w:val="20"/>
                <w:szCs w:val="20"/>
              </w:rPr>
              <w:t>2025</w:t>
            </w:r>
          </w:p>
        </w:tc>
        <w:tc>
          <w:tcPr>
            <w:tcW w:w="851" w:type="dxa"/>
            <w:shd w:val="clear" w:color="auto" w:fill="auto"/>
            <w:vAlign w:val="center"/>
          </w:tcPr>
          <w:p w14:paraId="29F313C5" w14:textId="77777777" w:rsidR="00A90E9C" w:rsidRPr="008A26D2" w:rsidRDefault="00A90E9C" w:rsidP="0080067C">
            <w:pPr>
              <w:spacing w:after="0" w:line="240" w:lineRule="auto"/>
              <w:jc w:val="both"/>
              <w:rPr>
                <w:rFonts w:ascii="Arial" w:hAnsi="Arial" w:cs="Arial"/>
                <w:b/>
                <w:sz w:val="20"/>
                <w:szCs w:val="20"/>
              </w:rPr>
            </w:pPr>
            <w:r w:rsidRPr="008A26D2">
              <w:rPr>
                <w:rFonts w:ascii="Arial" w:hAnsi="Arial" w:cs="Arial"/>
                <w:b/>
                <w:sz w:val="20"/>
                <w:szCs w:val="20"/>
              </w:rPr>
              <w:t>2026</w:t>
            </w:r>
          </w:p>
        </w:tc>
        <w:tc>
          <w:tcPr>
            <w:tcW w:w="850" w:type="dxa"/>
            <w:shd w:val="clear" w:color="auto" w:fill="auto"/>
            <w:vAlign w:val="center"/>
          </w:tcPr>
          <w:p w14:paraId="6D4A3B50" w14:textId="77777777" w:rsidR="00A90E9C" w:rsidRPr="008A26D2" w:rsidRDefault="00A90E9C" w:rsidP="0080067C">
            <w:pPr>
              <w:spacing w:after="0" w:line="240" w:lineRule="auto"/>
              <w:jc w:val="both"/>
              <w:rPr>
                <w:rFonts w:ascii="Arial" w:hAnsi="Arial" w:cs="Arial"/>
                <w:b/>
                <w:sz w:val="20"/>
                <w:szCs w:val="20"/>
              </w:rPr>
            </w:pPr>
            <w:r w:rsidRPr="008A26D2">
              <w:rPr>
                <w:rFonts w:ascii="Arial" w:hAnsi="Arial" w:cs="Arial"/>
                <w:b/>
                <w:sz w:val="20"/>
                <w:szCs w:val="20"/>
              </w:rPr>
              <w:t>2027</w:t>
            </w:r>
          </w:p>
        </w:tc>
        <w:tc>
          <w:tcPr>
            <w:tcW w:w="992" w:type="dxa"/>
            <w:shd w:val="clear" w:color="auto" w:fill="auto"/>
            <w:vAlign w:val="center"/>
          </w:tcPr>
          <w:p w14:paraId="53D26898" w14:textId="77777777" w:rsidR="00A90E9C" w:rsidRPr="008A26D2" w:rsidRDefault="00A90E9C" w:rsidP="0080067C">
            <w:pPr>
              <w:spacing w:after="0" w:line="240" w:lineRule="auto"/>
              <w:jc w:val="both"/>
              <w:rPr>
                <w:rFonts w:ascii="Arial" w:hAnsi="Arial" w:cs="Arial"/>
                <w:b/>
                <w:sz w:val="20"/>
                <w:szCs w:val="20"/>
              </w:rPr>
            </w:pPr>
            <w:r w:rsidRPr="008A26D2">
              <w:rPr>
                <w:rFonts w:ascii="Arial" w:hAnsi="Arial" w:cs="Arial"/>
                <w:b/>
                <w:sz w:val="20"/>
                <w:szCs w:val="20"/>
              </w:rPr>
              <w:t>2028</w:t>
            </w:r>
          </w:p>
        </w:tc>
        <w:tc>
          <w:tcPr>
            <w:tcW w:w="1134" w:type="dxa"/>
            <w:shd w:val="clear" w:color="auto" w:fill="auto"/>
            <w:vAlign w:val="center"/>
          </w:tcPr>
          <w:p w14:paraId="4A0364DD" w14:textId="77777777" w:rsidR="00A90E9C" w:rsidRPr="008A26D2" w:rsidRDefault="00A90E9C" w:rsidP="007C3EBB">
            <w:pPr>
              <w:spacing w:after="0" w:line="240" w:lineRule="auto"/>
              <w:jc w:val="center"/>
              <w:rPr>
                <w:rFonts w:ascii="Arial" w:hAnsi="Arial" w:cs="Arial"/>
                <w:b/>
                <w:sz w:val="20"/>
                <w:szCs w:val="20"/>
              </w:rPr>
            </w:pPr>
            <w:r w:rsidRPr="008A26D2">
              <w:rPr>
                <w:rFonts w:ascii="Arial" w:hAnsi="Arial" w:cs="Arial"/>
                <w:b/>
                <w:sz w:val="20"/>
                <w:szCs w:val="20"/>
              </w:rPr>
              <w:t>2029</w:t>
            </w:r>
          </w:p>
        </w:tc>
        <w:tc>
          <w:tcPr>
            <w:tcW w:w="851" w:type="dxa"/>
            <w:shd w:val="clear" w:color="auto" w:fill="auto"/>
            <w:tcMar>
              <w:top w:w="10" w:type="dxa"/>
              <w:left w:w="10" w:type="dxa"/>
              <w:bottom w:w="0" w:type="dxa"/>
              <w:right w:w="10" w:type="dxa"/>
            </w:tcMar>
            <w:vAlign w:val="center"/>
          </w:tcPr>
          <w:p w14:paraId="7F413D5C" w14:textId="77777777" w:rsidR="00A90E9C" w:rsidRPr="008A26D2" w:rsidRDefault="00A90E9C" w:rsidP="0080067C">
            <w:pPr>
              <w:spacing w:after="0" w:line="240" w:lineRule="auto"/>
              <w:jc w:val="both"/>
              <w:rPr>
                <w:rFonts w:ascii="Arial" w:hAnsi="Arial" w:cs="Arial"/>
                <w:b/>
                <w:sz w:val="20"/>
                <w:szCs w:val="20"/>
              </w:rPr>
            </w:pPr>
            <w:r w:rsidRPr="008A26D2">
              <w:rPr>
                <w:rFonts w:ascii="Arial" w:hAnsi="Arial" w:cs="Arial"/>
                <w:b/>
                <w:sz w:val="20"/>
                <w:szCs w:val="20"/>
              </w:rPr>
              <w:t>2030</w:t>
            </w:r>
          </w:p>
        </w:tc>
      </w:tr>
      <w:tr w:rsidR="008A26D2" w:rsidRPr="008A26D2" w14:paraId="1B4B401E" w14:textId="77777777" w:rsidTr="007C3EBB">
        <w:trPr>
          <w:trHeight w:val="444"/>
        </w:trPr>
        <w:tc>
          <w:tcPr>
            <w:tcW w:w="980" w:type="dxa"/>
            <w:shd w:val="clear" w:color="auto" w:fill="auto"/>
            <w:tcMar>
              <w:top w:w="10" w:type="dxa"/>
              <w:left w:w="10" w:type="dxa"/>
              <w:bottom w:w="0" w:type="dxa"/>
              <w:right w:w="10" w:type="dxa"/>
            </w:tcMar>
            <w:vAlign w:val="center"/>
          </w:tcPr>
          <w:p w14:paraId="04FD759E" w14:textId="77777777" w:rsidR="00A90E9C" w:rsidRPr="008A26D2" w:rsidRDefault="00A90E9C" w:rsidP="0080067C">
            <w:pPr>
              <w:spacing w:after="0" w:line="240" w:lineRule="auto"/>
              <w:jc w:val="both"/>
              <w:rPr>
                <w:rFonts w:ascii="Arial" w:hAnsi="Arial" w:cs="Arial"/>
                <w:sz w:val="20"/>
                <w:szCs w:val="20"/>
              </w:rPr>
            </w:pPr>
            <w:r w:rsidRPr="008A26D2">
              <w:rPr>
                <w:rFonts w:ascii="Arial" w:hAnsi="Arial" w:cs="Arial"/>
                <w:b/>
                <w:sz w:val="20"/>
                <w:szCs w:val="20"/>
              </w:rPr>
              <w:t>Valor</w:t>
            </w:r>
          </w:p>
        </w:tc>
        <w:tc>
          <w:tcPr>
            <w:tcW w:w="714" w:type="dxa"/>
            <w:shd w:val="clear" w:color="auto" w:fill="auto"/>
            <w:tcMar>
              <w:top w:w="10" w:type="dxa"/>
              <w:left w:w="10" w:type="dxa"/>
              <w:bottom w:w="0" w:type="dxa"/>
              <w:right w:w="10" w:type="dxa"/>
            </w:tcMar>
            <w:vAlign w:val="center"/>
          </w:tcPr>
          <w:p w14:paraId="0A95E028" w14:textId="77777777" w:rsidR="00A90E9C" w:rsidRPr="008A26D2" w:rsidRDefault="00A90E9C" w:rsidP="0087293E">
            <w:pPr>
              <w:spacing w:after="0" w:line="240" w:lineRule="auto"/>
              <w:jc w:val="center"/>
              <w:rPr>
                <w:rFonts w:ascii="Arial" w:hAnsi="Arial" w:cs="Arial"/>
                <w:sz w:val="20"/>
                <w:szCs w:val="20"/>
              </w:rPr>
            </w:pPr>
            <w:r w:rsidRPr="008A26D2">
              <w:rPr>
                <w:rFonts w:ascii="Arial" w:hAnsi="Arial" w:cs="Arial"/>
                <w:sz w:val="20"/>
                <w:szCs w:val="20"/>
              </w:rPr>
              <w:t>24%</w:t>
            </w:r>
          </w:p>
        </w:tc>
        <w:tc>
          <w:tcPr>
            <w:tcW w:w="709" w:type="dxa"/>
            <w:shd w:val="clear" w:color="auto" w:fill="auto"/>
            <w:vAlign w:val="center"/>
          </w:tcPr>
          <w:p w14:paraId="32C50306" w14:textId="77777777" w:rsidR="00A90E9C" w:rsidRPr="008A26D2" w:rsidRDefault="00A90E9C" w:rsidP="0087293E">
            <w:pPr>
              <w:spacing w:after="0" w:line="240" w:lineRule="auto"/>
              <w:jc w:val="center"/>
              <w:rPr>
                <w:rFonts w:ascii="Arial" w:hAnsi="Arial" w:cs="Arial"/>
                <w:sz w:val="20"/>
                <w:szCs w:val="20"/>
              </w:rPr>
            </w:pPr>
            <w:r w:rsidRPr="008A26D2">
              <w:rPr>
                <w:rFonts w:ascii="Arial" w:hAnsi="Arial" w:cs="Arial"/>
                <w:sz w:val="20"/>
                <w:szCs w:val="20"/>
              </w:rPr>
              <w:t>24%</w:t>
            </w:r>
          </w:p>
        </w:tc>
        <w:tc>
          <w:tcPr>
            <w:tcW w:w="858" w:type="dxa"/>
            <w:gridSpan w:val="2"/>
            <w:shd w:val="clear" w:color="auto" w:fill="auto"/>
            <w:vAlign w:val="center"/>
          </w:tcPr>
          <w:p w14:paraId="4B11C243" w14:textId="77777777" w:rsidR="00A90E9C" w:rsidRPr="008A26D2" w:rsidRDefault="00A90E9C" w:rsidP="0087293E">
            <w:pPr>
              <w:spacing w:after="0" w:line="240" w:lineRule="auto"/>
              <w:jc w:val="center"/>
              <w:rPr>
                <w:rFonts w:ascii="Arial" w:hAnsi="Arial" w:cs="Arial"/>
                <w:sz w:val="20"/>
                <w:szCs w:val="20"/>
              </w:rPr>
            </w:pPr>
            <w:r w:rsidRPr="008A26D2">
              <w:rPr>
                <w:rFonts w:ascii="Arial" w:hAnsi="Arial" w:cs="Arial"/>
                <w:sz w:val="20"/>
                <w:szCs w:val="20"/>
              </w:rPr>
              <w:t>28%</w:t>
            </w:r>
          </w:p>
        </w:tc>
        <w:tc>
          <w:tcPr>
            <w:tcW w:w="850" w:type="dxa"/>
            <w:shd w:val="clear" w:color="auto" w:fill="auto"/>
            <w:vAlign w:val="center"/>
          </w:tcPr>
          <w:p w14:paraId="03567051" w14:textId="77777777" w:rsidR="00A90E9C" w:rsidRPr="008A26D2" w:rsidRDefault="00A90E9C" w:rsidP="0087293E">
            <w:pPr>
              <w:spacing w:after="0" w:line="240" w:lineRule="auto"/>
              <w:jc w:val="center"/>
              <w:rPr>
                <w:rFonts w:ascii="Arial" w:hAnsi="Arial" w:cs="Arial"/>
                <w:sz w:val="20"/>
                <w:szCs w:val="20"/>
              </w:rPr>
            </w:pPr>
            <w:r w:rsidRPr="008A26D2">
              <w:rPr>
                <w:rFonts w:ascii="Arial" w:hAnsi="Arial" w:cs="Arial"/>
                <w:sz w:val="20"/>
                <w:szCs w:val="20"/>
              </w:rPr>
              <w:t>32%</w:t>
            </w:r>
          </w:p>
        </w:tc>
        <w:tc>
          <w:tcPr>
            <w:tcW w:w="851" w:type="dxa"/>
            <w:shd w:val="clear" w:color="auto" w:fill="auto"/>
            <w:vAlign w:val="center"/>
          </w:tcPr>
          <w:p w14:paraId="261F7D16" w14:textId="77777777" w:rsidR="00A90E9C" w:rsidRPr="008A26D2" w:rsidRDefault="00A90E9C" w:rsidP="0087293E">
            <w:pPr>
              <w:spacing w:after="0" w:line="240" w:lineRule="auto"/>
              <w:jc w:val="center"/>
              <w:rPr>
                <w:rFonts w:ascii="Arial" w:hAnsi="Arial" w:cs="Arial"/>
                <w:sz w:val="20"/>
                <w:szCs w:val="20"/>
              </w:rPr>
            </w:pPr>
            <w:r w:rsidRPr="008A26D2">
              <w:rPr>
                <w:rFonts w:ascii="Arial" w:hAnsi="Arial" w:cs="Arial"/>
                <w:sz w:val="20"/>
                <w:szCs w:val="20"/>
              </w:rPr>
              <w:t>40 %</w:t>
            </w:r>
          </w:p>
        </w:tc>
        <w:tc>
          <w:tcPr>
            <w:tcW w:w="850" w:type="dxa"/>
            <w:shd w:val="clear" w:color="auto" w:fill="auto"/>
            <w:vAlign w:val="center"/>
          </w:tcPr>
          <w:p w14:paraId="210E8E89" w14:textId="77777777" w:rsidR="00A90E9C" w:rsidRPr="008A26D2" w:rsidRDefault="00A90E9C" w:rsidP="0087293E">
            <w:pPr>
              <w:spacing w:after="0" w:line="240" w:lineRule="auto"/>
              <w:jc w:val="center"/>
              <w:rPr>
                <w:rFonts w:ascii="Arial" w:hAnsi="Arial" w:cs="Arial"/>
                <w:sz w:val="20"/>
                <w:szCs w:val="20"/>
              </w:rPr>
            </w:pPr>
            <w:r w:rsidRPr="008A26D2">
              <w:rPr>
                <w:rFonts w:ascii="Arial" w:hAnsi="Arial" w:cs="Arial"/>
                <w:sz w:val="20"/>
                <w:szCs w:val="20"/>
              </w:rPr>
              <w:t>48%</w:t>
            </w:r>
          </w:p>
        </w:tc>
        <w:tc>
          <w:tcPr>
            <w:tcW w:w="992" w:type="dxa"/>
            <w:shd w:val="clear" w:color="auto" w:fill="auto"/>
            <w:vAlign w:val="center"/>
          </w:tcPr>
          <w:p w14:paraId="467ED391" w14:textId="77777777" w:rsidR="00A90E9C" w:rsidRPr="008A26D2" w:rsidRDefault="00A90E9C" w:rsidP="0087293E">
            <w:pPr>
              <w:spacing w:after="0" w:line="240" w:lineRule="auto"/>
              <w:jc w:val="center"/>
              <w:rPr>
                <w:rFonts w:ascii="Arial" w:hAnsi="Arial" w:cs="Arial"/>
                <w:sz w:val="20"/>
                <w:szCs w:val="20"/>
              </w:rPr>
            </w:pPr>
            <w:r w:rsidRPr="008A26D2">
              <w:rPr>
                <w:rFonts w:ascii="Arial" w:hAnsi="Arial" w:cs="Arial"/>
                <w:sz w:val="20"/>
                <w:szCs w:val="20"/>
              </w:rPr>
              <w:t>56%</w:t>
            </w:r>
          </w:p>
        </w:tc>
        <w:tc>
          <w:tcPr>
            <w:tcW w:w="1134" w:type="dxa"/>
            <w:shd w:val="clear" w:color="auto" w:fill="auto"/>
            <w:vAlign w:val="center"/>
          </w:tcPr>
          <w:p w14:paraId="0A874B8E" w14:textId="77777777" w:rsidR="00A90E9C" w:rsidRPr="008A26D2" w:rsidRDefault="00A90E9C" w:rsidP="0087293E">
            <w:pPr>
              <w:spacing w:after="0" w:line="240" w:lineRule="auto"/>
              <w:jc w:val="center"/>
              <w:rPr>
                <w:rFonts w:ascii="Arial" w:hAnsi="Arial" w:cs="Arial"/>
                <w:sz w:val="20"/>
                <w:szCs w:val="20"/>
              </w:rPr>
            </w:pPr>
            <w:r w:rsidRPr="008A26D2">
              <w:rPr>
                <w:rFonts w:ascii="Arial" w:hAnsi="Arial" w:cs="Arial"/>
                <w:sz w:val="20"/>
                <w:szCs w:val="20"/>
              </w:rPr>
              <w:t>64%</w:t>
            </w:r>
          </w:p>
        </w:tc>
        <w:tc>
          <w:tcPr>
            <w:tcW w:w="851" w:type="dxa"/>
            <w:shd w:val="clear" w:color="auto" w:fill="auto"/>
            <w:tcMar>
              <w:top w:w="10" w:type="dxa"/>
              <w:left w:w="10" w:type="dxa"/>
              <w:bottom w:w="0" w:type="dxa"/>
              <w:right w:w="10" w:type="dxa"/>
            </w:tcMar>
            <w:vAlign w:val="center"/>
          </w:tcPr>
          <w:p w14:paraId="036A2CF4" w14:textId="77777777" w:rsidR="00A90E9C" w:rsidRPr="008A26D2" w:rsidRDefault="00A90E9C" w:rsidP="0087293E">
            <w:pPr>
              <w:spacing w:after="0" w:line="240" w:lineRule="auto"/>
              <w:jc w:val="center"/>
              <w:rPr>
                <w:rFonts w:ascii="Arial" w:hAnsi="Arial" w:cs="Arial"/>
                <w:sz w:val="20"/>
                <w:szCs w:val="20"/>
              </w:rPr>
            </w:pPr>
            <w:r w:rsidRPr="008A26D2">
              <w:rPr>
                <w:rFonts w:ascii="Arial" w:hAnsi="Arial" w:cs="Arial"/>
                <w:sz w:val="20"/>
                <w:szCs w:val="20"/>
              </w:rPr>
              <w:t>68%</w:t>
            </w:r>
          </w:p>
        </w:tc>
      </w:tr>
    </w:tbl>
    <w:p w14:paraId="2CDA807E" w14:textId="558021B0" w:rsidR="00CD62FB" w:rsidRPr="008A26D2" w:rsidRDefault="00CD62FB"/>
    <w:p w14:paraId="2F993474" w14:textId="77777777" w:rsidR="00CD62FB" w:rsidRDefault="00CD62FB"/>
    <w:p w14:paraId="4B2E27E9" w14:textId="77777777" w:rsidR="00BD1985" w:rsidRDefault="00BD1985"/>
    <w:p w14:paraId="4420AAA9" w14:textId="77777777" w:rsidR="00BD1985" w:rsidRDefault="00BD1985"/>
    <w:p w14:paraId="1422BE76" w14:textId="77777777" w:rsidR="00BD1985" w:rsidRPr="008A26D2" w:rsidRDefault="00BD1985"/>
    <w:tbl>
      <w:tblPr>
        <w:tblW w:w="87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8"/>
        <w:gridCol w:w="856"/>
        <w:gridCol w:w="664"/>
        <w:gridCol w:w="75"/>
        <w:gridCol w:w="992"/>
        <w:gridCol w:w="764"/>
        <w:gridCol w:w="228"/>
        <w:gridCol w:w="970"/>
        <w:gridCol w:w="850"/>
        <w:gridCol w:w="709"/>
        <w:gridCol w:w="851"/>
        <w:gridCol w:w="992"/>
      </w:tblGrid>
      <w:tr w:rsidR="008A26D2" w:rsidRPr="008A26D2" w14:paraId="3EA20A6E" w14:textId="77777777" w:rsidTr="006A2752">
        <w:trPr>
          <w:trHeight w:val="409"/>
        </w:trPr>
        <w:tc>
          <w:tcPr>
            <w:tcW w:w="8789" w:type="dxa"/>
            <w:gridSpan w:val="12"/>
            <w:shd w:val="clear" w:color="auto" w:fill="F2F2F2" w:themeFill="background1" w:themeFillShade="F2"/>
            <w:tcMar>
              <w:top w:w="10" w:type="dxa"/>
              <w:left w:w="93" w:type="dxa"/>
              <w:bottom w:w="0" w:type="dxa"/>
              <w:right w:w="10" w:type="dxa"/>
            </w:tcMar>
            <w:vAlign w:val="center"/>
          </w:tcPr>
          <w:p w14:paraId="30E79092" w14:textId="77777777" w:rsidR="00A90E9C" w:rsidRPr="008A26D2" w:rsidRDefault="00A90E9C" w:rsidP="00416EEF">
            <w:pPr>
              <w:pBdr>
                <w:top w:val="nil"/>
                <w:left w:val="nil"/>
                <w:bottom w:val="nil"/>
                <w:right w:val="nil"/>
                <w:between w:val="nil"/>
              </w:pBdr>
              <w:shd w:val="clear" w:color="auto" w:fill="BFBFBF" w:themeFill="background1" w:themeFillShade="BF"/>
              <w:spacing w:after="0" w:line="240" w:lineRule="auto"/>
              <w:jc w:val="center"/>
              <w:rPr>
                <w:rFonts w:ascii="Arial" w:hAnsi="Arial" w:cs="Arial"/>
                <w:sz w:val="20"/>
                <w:szCs w:val="20"/>
              </w:rPr>
            </w:pPr>
            <w:r w:rsidRPr="008A26D2">
              <w:rPr>
                <w:rFonts w:ascii="Arial" w:hAnsi="Arial" w:cs="Arial"/>
                <w:b/>
                <w:sz w:val="20"/>
                <w:szCs w:val="20"/>
              </w:rPr>
              <w:lastRenderedPageBreak/>
              <w:t>FICHA TÉCNICA DE INDICADOR DE SERVICIO 1.2.1</w:t>
            </w:r>
          </w:p>
        </w:tc>
      </w:tr>
      <w:tr w:rsidR="008A26D2" w:rsidRPr="008A26D2" w14:paraId="178058C8" w14:textId="77777777" w:rsidTr="006A2752">
        <w:trPr>
          <w:trHeight w:val="409"/>
        </w:trPr>
        <w:tc>
          <w:tcPr>
            <w:tcW w:w="2358" w:type="dxa"/>
            <w:gridSpan w:val="3"/>
            <w:shd w:val="clear" w:color="auto" w:fill="FFFFFF"/>
            <w:tcMar>
              <w:top w:w="10" w:type="dxa"/>
              <w:left w:w="93" w:type="dxa"/>
              <w:bottom w:w="0" w:type="dxa"/>
              <w:right w:w="10" w:type="dxa"/>
            </w:tcMar>
            <w:vAlign w:val="center"/>
          </w:tcPr>
          <w:p w14:paraId="6976EC2F" w14:textId="77777777" w:rsidR="00A90E9C" w:rsidRPr="008A26D2" w:rsidRDefault="00A90E9C" w:rsidP="0087293E">
            <w:pPr>
              <w:jc w:val="both"/>
              <w:rPr>
                <w:rFonts w:ascii="Arial" w:hAnsi="Arial" w:cs="Arial"/>
                <w:b/>
                <w:sz w:val="20"/>
                <w:szCs w:val="20"/>
              </w:rPr>
            </w:pPr>
            <w:r w:rsidRPr="008A26D2">
              <w:rPr>
                <w:rFonts w:ascii="Arial" w:hAnsi="Arial" w:cs="Arial"/>
                <w:b/>
                <w:sz w:val="20"/>
                <w:szCs w:val="20"/>
              </w:rPr>
              <w:t>Objetivo prioritario:</w:t>
            </w:r>
          </w:p>
        </w:tc>
        <w:tc>
          <w:tcPr>
            <w:tcW w:w="6431" w:type="dxa"/>
            <w:gridSpan w:val="9"/>
            <w:shd w:val="clear" w:color="auto" w:fill="FFFFFF"/>
            <w:tcMar>
              <w:top w:w="51" w:type="dxa"/>
              <w:left w:w="227" w:type="dxa"/>
              <w:bottom w:w="51" w:type="dxa"/>
              <w:right w:w="227" w:type="dxa"/>
            </w:tcMar>
            <w:vAlign w:val="center"/>
          </w:tcPr>
          <w:p w14:paraId="124FB931" w14:textId="77777777" w:rsidR="00A90E9C" w:rsidRPr="008A26D2" w:rsidRDefault="00A90E9C" w:rsidP="0087293E">
            <w:pPr>
              <w:pBdr>
                <w:top w:val="nil"/>
                <w:left w:val="nil"/>
                <w:bottom w:val="nil"/>
                <w:right w:val="nil"/>
                <w:between w:val="nil"/>
              </w:pBdr>
              <w:spacing w:after="0" w:line="240" w:lineRule="auto"/>
              <w:ind w:left="-208"/>
              <w:jc w:val="both"/>
              <w:rPr>
                <w:rFonts w:ascii="Arial" w:eastAsia="Arial Narrow" w:hAnsi="Arial" w:cs="Arial"/>
                <w:sz w:val="20"/>
                <w:szCs w:val="20"/>
              </w:rPr>
            </w:pPr>
            <w:r w:rsidRPr="008A26D2">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r>
      <w:tr w:rsidR="008A26D2" w:rsidRPr="008A26D2" w14:paraId="02E5674C" w14:textId="77777777" w:rsidTr="006A2752">
        <w:trPr>
          <w:trHeight w:val="436"/>
        </w:trPr>
        <w:tc>
          <w:tcPr>
            <w:tcW w:w="2358" w:type="dxa"/>
            <w:gridSpan w:val="3"/>
            <w:shd w:val="clear" w:color="auto" w:fill="auto"/>
            <w:tcMar>
              <w:top w:w="10" w:type="dxa"/>
              <w:left w:w="93" w:type="dxa"/>
              <w:bottom w:w="0" w:type="dxa"/>
              <w:right w:w="10" w:type="dxa"/>
            </w:tcMar>
            <w:vAlign w:val="center"/>
          </w:tcPr>
          <w:p w14:paraId="31DAAB2D"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Lineamiento de la política:</w:t>
            </w:r>
          </w:p>
        </w:tc>
        <w:tc>
          <w:tcPr>
            <w:tcW w:w="6431" w:type="dxa"/>
            <w:gridSpan w:val="9"/>
            <w:shd w:val="clear" w:color="auto" w:fill="auto"/>
            <w:tcMar>
              <w:top w:w="51" w:type="dxa"/>
              <w:left w:w="227" w:type="dxa"/>
              <w:bottom w:w="51" w:type="dxa"/>
              <w:right w:w="227" w:type="dxa"/>
            </w:tcMar>
            <w:vAlign w:val="center"/>
          </w:tcPr>
          <w:p w14:paraId="2CE5B1DE" w14:textId="77777777" w:rsidR="00A90E9C" w:rsidRPr="008A26D2" w:rsidRDefault="00A90E9C" w:rsidP="0087293E">
            <w:pPr>
              <w:pBdr>
                <w:top w:val="nil"/>
                <w:left w:val="nil"/>
                <w:bottom w:val="nil"/>
                <w:right w:val="nil"/>
                <w:between w:val="nil"/>
              </w:pBdr>
              <w:spacing w:after="0" w:line="240" w:lineRule="auto"/>
              <w:ind w:left="-208"/>
              <w:jc w:val="both"/>
              <w:rPr>
                <w:rFonts w:ascii="Arial" w:eastAsia="Arial Narrow" w:hAnsi="Arial" w:cs="Arial"/>
                <w:sz w:val="20"/>
                <w:szCs w:val="20"/>
              </w:rPr>
            </w:pPr>
            <w:r w:rsidRPr="008A26D2">
              <w:rPr>
                <w:rFonts w:ascii="Arial" w:eastAsia="Arial Narrow" w:hAnsi="Arial" w:cs="Arial"/>
                <w:sz w:val="20"/>
                <w:szCs w:val="20"/>
              </w:rPr>
              <w:t>L1.2 Incrementar la superficie de plantaciones forestales y sistemas agroforestales</w:t>
            </w:r>
          </w:p>
        </w:tc>
      </w:tr>
      <w:tr w:rsidR="008A26D2" w:rsidRPr="008A26D2" w14:paraId="5BF788B0" w14:textId="77777777" w:rsidTr="006A2752">
        <w:trPr>
          <w:trHeight w:val="404"/>
        </w:trPr>
        <w:tc>
          <w:tcPr>
            <w:tcW w:w="2358" w:type="dxa"/>
            <w:gridSpan w:val="3"/>
            <w:shd w:val="clear" w:color="auto" w:fill="auto"/>
            <w:tcMar>
              <w:top w:w="10" w:type="dxa"/>
              <w:left w:w="93" w:type="dxa"/>
              <w:bottom w:w="0" w:type="dxa"/>
              <w:right w:w="10" w:type="dxa"/>
            </w:tcMar>
            <w:vAlign w:val="center"/>
          </w:tcPr>
          <w:p w14:paraId="35B87353"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Nombre del servicio:</w:t>
            </w:r>
          </w:p>
        </w:tc>
        <w:tc>
          <w:tcPr>
            <w:tcW w:w="6431" w:type="dxa"/>
            <w:gridSpan w:val="9"/>
            <w:shd w:val="clear" w:color="auto" w:fill="auto"/>
            <w:tcMar>
              <w:top w:w="51" w:type="dxa"/>
              <w:left w:w="227" w:type="dxa"/>
              <w:bottom w:w="51" w:type="dxa"/>
              <w:right w:w="227" w:type="dxa"/>
            </w:tcMar>
            <w:vAlign w:val="center"/>
          </w:tcPr>
          <w:p w14:paraId="002D1126" w14:textId="61A1864E" w:rsidR="00A90E9C" w:rsidRPr="008A26D2" w:rsidRDefault="00A90E9C" w:rsidP="0087293E">
            <w:pPr>
              <w:pBdr>
                <w:top w:val="nil"/>
                <w:left w:val="nil"/>
                <w:bottom w:val="nil"/>
                <w:right w:val="nil"/>
                <w:between w:val="nil"/>
              </w:pBdr>
              <w:spacing w:after="0" w:line="240" w:lineRule="auto"/>
              <w:ind w:left="-208"/>
              <w:jc w:val="both"/>
              <w:rPr>
                <w:rFonts w:ascii="Arial" w:eastAsia="Arial Narrow" w:hAnsi="Arial" w:cs="Arial"/>
                <w:sz w:val="20"/>
                <w:szCs w:val="20"/>
              </w:rPr>
            </w:pPr>
            <w:r w:rsidRPr="008A26D2">
              <w:rPr>
                <w:rFonts w:ascii="Arial" w:eastAsia="Arial Narrow" w:hAnsi="Arial" w:cs="Arial"/>
                <w:sz w:val="20"/>
                <w:szCs w:val="20"/>
              </w:rPr>
              <w:t xml:space="preserve">S1.2.1 </w:t>
            </w:r>
            <w:r w:rsidR="004E3EF0" w:rsidRPr="008A26D2">
              <w:rPr>
                <w:rFonts w:ascii="Arial" w:eastAsia="Arial Narrow" w:hAnsi="Arial" w:cs="Arial"/>
                <w:sz w:val="20"/>
                <w:szCs w:val="20"/>
              </w:rPr>
              <w:t>Fortalecimiento de capacidades en materia de plantaciones forestales y sistemas agroforestales de forma satisfactoria a los productores agrarios y organizaciones campesinas y nativas</w:t>
            </w:r>
            <w:r w:rsidR="00B17E3F" w:rsidRPr="008A26D2">
              <w:rPr>
                <w:rFonts w:ascii="Arial" w:eastAsia="Arial Narrow" w:hAnsi="Arial" w:cs="Arial"/>
                <w:sz w:val="20"/>
                <w:szCs w:val="20"/>
              </w:rPr>
              <w:t>.</w:t>
            </w:r>
          </w:p>
        </w:tc>
      </w:tr>
      <w:tr w:rsidR="008A26D2" w:rsidRPr="008A26D2" w14:paraId="59A32438" w14:textId="77777777" w:rsidTr="006A2752">
        <w:trPr>
          <w:trHeight w:val="839"/>
        </w:trPr>
        <w:tc>
          <w:tcPr>
            <w:tcW w:w="2358" w:type="dxa"/>
            <w:gridSpan w:val="3"/>
            <w:shd w:val="clear" w:color="auto" w:fill="auto"/>
            <w:tcMar>
              <w:top w:w="10" w:type="dxa"/>
              <w:left w:w="93" w:type="dxa"/>
              <w:bottom w:w="0" w:type="dxa"/>
              <w:right w:w="10" w:type="dxa"/>
            </w:tcMar>
            <w:vAlign w:val="center"/>
          </w:tcPr>
          <w:p w14:paraId="4243B662"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Nombre del indicador:</w:t>
            </w:r>
          </w:p>
        </w:tc>
        <w:tc>
          <w:tcPr>
            <w:tcW w:w="6431" w:type="dxa"/>
            <w:gridSpan w:val="9"/>
            <w:shd w:val="clear" w:color="auto" w:fill="auto"/>
            <w:tcMar>
              <w:top w:w="51" w:type="dxa"/>
              <w:left w:w="227" w:type="dxa"/>
              <w:bottom w:w="51" w:type="dxa"/>
              <w:right w:w="227" w:type="dxa"/>
            </w:tcMar>
            <w:vAlign w:val="bottom"/>
          </w:tcPr>
          <w:p w14:paraId="3AB8ABC9" w14:textId="7BC11D83" w:rsidR="00A90E9C" w:rsidRPr="008A26D2" w:rsidRDefault="00B17E3F" w:rsidP="0087293E">
            <w:pPr>
              <w:ind w:left="-208"/>
              <w:jc w:val="both"/>
              <w:rPr>
                <w:rFonts w:ascii="Arial" w:eastAsia="Arial Narrow" w:hAnsi="Arial" w:cs="Arial"/>
                <w:sz w:val="20"/>
                <w:szCs w:val="20"/>
              </w:rPr>
            </w:pPr>
            <w:r w:rsidRPr="008A26D2">
              <w:rPr>
                <w:rFonts w:ascii="Arial" w:eastAsia="Arial Narrow" w:hAnsi="Arial" w:cs="Arial"/>
                <w:sz w:val="20"/>
                <w:szCs w:val="20"/>
              </w:rPr>
              <w:t xml:space="preserve">Porcentaje de productores agrarios y representantes de organizaciones campesinas y nativas </w:t>
            </w:r>
            <w:r w:rsidRPr="008A26D2">
              <w:rPr>
                <w:rFonts w:ascii="Arial" w:eastAsia="Times New Roman" w:hAnsi="Arial" w:cs="Arial"/>
                <w:sz w:val="20"/>
                <w:szCs w:val="20"/>
                <w:lang w:val="es-ES"/>
              </w:rPr>
              <w:t>con alto grado de satisfacción sobre las capacitaciones recibidas</w:t>
            </w:r>
            <w:r w:rsidR="00C15EE6" w:rsidRPr="008A26D2">
              <w:rPr>
                <w:rFonts w:ascii="Arial" w:eastAsia="Times New Roman" w:hAnsi="Arial" w:cs="Arial"/>
                <w:sz w:val="20"/>
                <w:szCs w:val="20"/>
                <w:lang w:val="es-ES"/>
              </w:rPr>
              <w:t xml:space="preserve"> </w:t>
            </w:r>
            <w:r w:rsidR="00C15EE6" w:rsidRPr="008A26D2">
              <w:rPr>
                <w:rFonts w:ascii="Arial" w:eastAsia="Arial Narrow" w:hAnsi="Arial" w:cs="Arial"/>
                <w:sz w:val="20"/>
                <w:szCs w:val="20"/>
              </w:rPr>
              <w:t>en materia de plantaciones forestales y sistemas agroforestales</w:t>
            </w:r>
            <w:r w:rsidRPr="008A26D2">
              <w:rPr>
                <w:rFonts w:ascii="Arial" w:eastAsia="Arial Narrow" w:hAnsi="Arial" w:cs="Arial"/>
                <w:sz w:val="20"/>
                <w:szCs w:val="20"/>
              </w:rPr>
              <w:t>.</w:t>
            </w:r>
          </w:p>
        </w:tc>
      </w:tr>
      <w:tr w:rsidR="008A26D2" w:rsidRPr="008A26D2" w14:paraId="1B84445B" w14:textId="77777777" w:rsidTr="006A2752">
        <w:trPr>
          <w:trHeight w:val="577"/>
        </w:trPr>
        <w:tc>
          <w:tcPr>
            <w:tcW w:w="2358" w:type="dxa"/>
            <w:gridSpan w:val="3"/>
            <w:shd w:val="clear" w:color="auto" w:fill="auto"/>
            <w:tcMar>
              <w:top w:w="10" w:type="dxa"/>
              <w:left w:w="93" w:type="dxa"/>
              <w:bottom w:w="0" w:type="dxa"/>
              <w:right w:w="10" w:type="dxa"/>
            </w:tcMar>
            <w:vAlign w:val="center"/>
          </w:tcPr>
          <w:p w14:paraId="62B16F41"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Justificación:</w:t>
            </w:r>
          </w:p>
        </w:tc>
        <w:tc>
          <w:tcPr>
            <w:tcW w:w="6431" w:type="dxa"/>
            <w:gridSpan w:val="9"/>
            <w:shd w:val="clear" w:color="auto" w:fill="auto"/>
            <w:tcMar>
              <w:top w:w="51" w:type="dxa"/>
              <w:left w:w="227" w:type="dxa"/>
              <w:bottom w:w="51" w:type="dxa"/>
              <w:right w:w="227" w:type="dxa"/>
            </w:tcMar>
            <w:vAlign w:val="center"/>
          </w:tcPr>
          <w:p w14:paraId="4C05F491" w14:textId="111635F6" w:rsidR="00A90E9C" w:rsidRPr="008A26D2" w:rsidRDefault="00A90E9C" w:rsidP="0087293E">
            <w:pPr>
              <w:ind w:left="-208"/>
              <w:jc w:val="both"/>
              <w:rPr>
                <w:rFonts w:ascii="Arial" w:eastAsia="Arial Narrow" w:hAnsi="Arial" w:cs="Arial"/>
                <w:sz w:val="20"/>
                <w:szCs w:val="20"/>
              </w:rPr>
            </w:pPr>
            <w:r w:rsidRPr="008A26D2">
              <w:rPr>
                <w:rFonts w:ascii="Arial" w:eastAsia="Times New Roman" w:hAnsi="Arial" w:cs="Arial"/>
                <w:sz w:val="20"/>
                <w:szCs w:val="20"/>
                <w:lang w:val="es-ES"/>
              </w:rPr>
              <w:t xml:space="preserve">El indicador cuantifica el porcentaje de </w:t>
            </w:r>
            <w:r w:rsidRPr="008A26D2">
              <w:rPr>
                <w:rFonts w:ascii="Arial" w:eastAsia="Times New Roman" w:hAnsi="Arial" w:cs="Arial"/>
                <w:sz w:val="20"/>
                <w:szCs w:val="20"/>
              </w:rPr>
              <w:t>productores agrarios</w:t>
            </w:r>
            <w:r w:rsidRPr="008A26D2">
              <w:rPr>
                <w:rFonts w:ascii="Arial" w:eastAsia="Times New Roman" w:hAnsi="Arial" w:cs="Arial"/>
                <w:sz w:val="20"/>
                <w:szCs w:val="20"/>
                <w:lang w:val="es-ES"/>
              </w:rPr>
              <w:t xml:space="preserve"> </w:t>
            </w:r>
            <w:r w:rsidR="00CD62FB" w:rsidRPr="008A26D2">
              <w:rPr>
                <w:rFonts w:ascii="Arial" w:eastAsia="Arial Narrow" w:hAnsi="Arial" w:cs="Arial"/>
                <w:sz w:val="20"/>
                <w:szCs w:val="20"/>
              </w:rPr>
              <w:t>y representantes de organizaciones campesinas y nativas</w:t>
            </w:r>
            <w:r w:rsidR="00CD62FB" w:rsidRPr="008A26D2">
              <w:rPr>
                <w:rFonts w:ascii="Arial" w:eastAsia="Times New Roman" w:hAnsi="Arial" w:cs="Arial"/>
                <w:sz w:val="20"/>
                <w:szCs w:val="20"/>
                <w:lang w:val="es-ES"/>
              </w:rPr>
              <w:t xml:space="preserve"> </w:t>
            </w:r>
            <w:r w:rsidRPr="008A26D2">
              <w:rPr>
                <w:rFonts w:ascii="Arial" w:eastAsia="Times New Roman" w:hAnsi="Arial" w:cs="Arial"/>
                <w:sz w:val="20"/>
                <w:szCs w:val="20"/>
                <w:lang w:val="es-ES"/>
              </w:rPr>
              <w:t xml:space="preserve">que perciben un alto grado de satisfacción sobre las capacitaciones recibidas en </w:t>
            </w:r>
            <w:r w:rsidRPr="008A26D2">
              <w:rPr>
                <w:rFonts w:ascii="Arial" w:eastAsia="Arial Narrow" w:hAnsi="Arial" w:cs="Arial"/>
                <w:sz w:val="20"/>
                <w:szCs w:val="20"/>
              </w:rPr>
              <w:t>materia de plantaciones forestales y sistemas agroforestales</w:t>
            </w:r>
            <w:r w:rsidRPr="008A26D2">
              <w:rPr>
                <w:rFonts w:ascii="Arial" w:eastAsia="Times New Roman" w:hAnsi="Arial" w:cs="Arial"/>
                <w:sz w:val="20"/>
                <w:szCs w:val="20"/>
                <w:lang w:val="es-ES"/>
              </w:rPr>
              <w:t>. De esta manera, el indicador facilitará el seguimiento de la satisfacción del servicio y establecer acciones de mejora correspondientes.</w:t>
            </w:r>
          </w:p>
        </w:tc>
      </w:tr>
      <w:tr w:rsidR="008A26D2" w:rsidRPr="008A26D2" w14:paraId="79CEF636" w14:textId="77777777" w:rsidTr="006A2752">
        <w:trPr>
          <w:trHeight w:val="352"/>
        </w:trPr>
        <w:tc>
          <w:tcPr>
            <w:tcW w:w="2358" w:type="dxa"/>
            <w:gridSpan w:val="3"/>
            <w:shd w:val="clear" w:color="auto" w:fill="auto"/>
            <w:tcMar>
              <w:top w:w="10" w:type="dxa"/>
              <w:left w:w="93" w:type="dxa"/>
              <w:bottom w:w="0" w:type="dxa"/>
              <w:right w:w="10" w:type="dxa"/>
            </w:tcMar>
            <w:vAlign w:val="center"/>
          </w:tcPr>
          <w:p w14:paraId="3C3F1D31" w14:textId="77777777" w:rsidR="00A90E9C" w:rsidRPr="008A26D2" w:rsidRDefault="00A90E9C" w:rsidP="005324E8">
            <w:pPr>
              <w:rPr>
                <w:rFonts w:ascii="Arial" w:hAnsi="Arial" w:cs="Arial"/>
                <w:sz w:val="20"/>
                <w:szCs w:val="20"/>
              </w:rPr>
            </w:pPr>
            <w:r w:rsidRPr="008A26D2">
              <w:rPr>
                <w:rFonts w:ascii="Arial" w:hAnsi="Arial" w:cs="Arial"/>
                <w:b/>
                <w:sz w:val="20"/>
                <w:szCs w:val="20"/>
              </w:rPr>
              <w:t>Responsable del indicador:</w:t>
            </w:r>
          </w:p>
        </w:tc>
        <w:tc>
          <w:tcPr>
            <w:tcW w:w="6431" w:type="dxa"/>
            <w:gridSpan w:val="9"/>
            <w:shd w:val="clear" w:color="auto" w:fill="auto"/>
            <w:tcMar>
              <w:top w:w="51" w:type="dxa"/>
              <w:left w:w="227" w:type="dxa"/>
              <w:bottom w:w="51" w:type="dxa"/>
              <w:right w:w="227" w:type="dxa"/>
            </w:tcMar>
            <w:vAlign w:val="center"/>
          </w:tcPr>
          <w:p w14:paraId="5C4FBB3D" w14:textId="68C7E2CD" w:rsidR="00A90E9C" w:rsidRPr="008A26D2" w:rsidRDefault="00A90E9C" w:rsidP="0087293E">
            <w:pPr>
              <w:ind w:left="-208"/>
              <w:jc w:val="both"/>
              <w:rPr>
                <w:rFonts w:ascii="Arial" w:eastAsia="Arial Narrow" w:hAnsi="Arial" w:cs="Arial"/>
                <w:sz w:val="20"/>
                <w:szCs w:val="20"/>
              </w:rPr>
            </w:pPr>
            <w:r w:rsidRPr="008A26D2">
              <w:rPr>
                <w:rFonts w:ascii="Arial" w:eastAsia="Arial Narrow" w:hAnsi="Arial" w:cs="Arial"/>
                <w:sz w:val="20"/>
                <w:szCs w:val="20"/>
              </w:rPr>
              <w:t>Unidad Funcional de Plantaciones Forestales de la Dirección General de Política y Competitividad Forestal y de Fauna Silvestre del Servicio Nacional Forestal y de Fauna Silvestre - SERFOR</w:t>
            </w:r>
          </w:p>
        </w:tc>
      </w:tr>
      <w:tr w:rsidR="008A26D2" w:rsidRPr="008A26D2" w14:paraId="4D0D4569" w14:textId="77777777" w:rsidTr="005324E8">
        <w:trPr>
          <w:trHeight w:val="571"/>
        </w:trPr>
        <w:tc>
          <w:tcPr>
            <w:tcW w:w="2358" w:type="dxa"/>
            <w:gridSpan w:val="3"/>
            <w:shd w:val="clear" w:color="auto" w:fill="auto"/>
            <w:tcMar>
              <w:top w:w="10" w:type="dxa"/>
              <w:left w:w="93" w:type="dxa"/>
              <w:bottom w:w="0" w:type="dxa"/>
              <w:right w:w="10" w:type="dxa"/>
            </w:tcMar>
            <w:vAlign w:val="center"/>
          </w:tcPr>
          <w:p w14:paraId="13C87AC5"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Limitaciones para la medición del indicador:</w:t>
            </w:r>
          </w:p>
        </w:tc>
        <w:tc>
          <w:tcPr>
            <w:tcW w:w="6431" w:type="dxa"/>
            <w:gridSpan w:val="9"/>
            <w:shd w:val="clear" w:color="auto" w:fill="auto"/>
            <w:tcMar>
              <w:top w:w="51" w:type="dxa"/>
              <w:left w:w="227" w:type="dxa"/>
              <w:bottom w:w="51" w:type="dxa"/>
              <w:right w:w="227" w:type="dxa"/>
            </w:tcMar>
            <w:vAlign w:val="center"/>
          </w:tcPr>
          <w:p w14:paraId="0D1A8281" w14:textId="77777777" w:rsidR="00A90E9C" w:rsidRPr="008A26D2" w:rsidRDefault="00A90E9C" w:rsidP="0087293E">
            <w:pPr>
              <w:jc w:val="both"/>
              <w:rPr>
                <w:rFonts w:ascii="Arial" w:hAnsi="Arial" w:cs="Arial"/>
                <w:sz w:val="20"/>
                <w:szCs w:val="20"/>
              </w:rPr>
            </w:pPr>
            <w:r w:rsidRPr="008A26D2">
              <w:rPr>
                <w:rFonts w:ascii="Arial" w:eastAsia="Arial Narrow" w:hAnsi="Arial" w:cs="Arial"/>
                <w:sz w:val="20"/>
                <w:szCs w:val="20"/>
              </w:rPr>
              <w:t>No presenta limitaciones</w:t>
            </w:r>
          </w:p>
        </w:tc>
      </w:tr>
      <w:tr w:rsidR="008A26D2" w:rsidRPr="008A26D2" w14:paraId="018A7F7A" w14:textId="77777777" w:rsidTr="006A2752">
        <w:trPr>
          <w:trHeight w:val="231"/>
        </w:trPr>
        <w:tc>
          <w:tcPr>
            <w:tcW w:w="2358" w:type="dxa"/>
            <w:gridSpan w:val="3"/>
            <w:shd w:val="clear" w:color="auto" w:fill="auto"/>
            <w:tcMar>
              <w:top w:w="10" w:type="dxa"/>
              <w:left w:w="93" w:type="dxa"/>
              <w:bottom w:w="0" w:type="dxa"/>
              <w:right w:w="10" w:type="dxa"/>
            </w:tcMar>
            <w:vAlign w:val="center"/>
          </w:tcPr>
          <w:p w14:paraId="112CAFFA"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 xml:space="preserve">Método de cálculo: </w:t>
            </w:r>
          </w:p>
        </w:tc>
        <w:tc>
          <w:tcPr>
            <w:tcW w:w="6431" w:type="dxa"/>
            <w:gridSpan w:val="9"/>
            <w:shd w:val="clear" w:color="auto" w:fill="auto"/>
            <w:tcMar>
              <w:top w:w="51" w:type="dxa"/>
              <w:left w:w="227" w:type="dxa"/>
              <w:bottom w:w="51" w:type="dxa"/>
              <w:right w:w="227" w:type="dxa"/>
            </w:tcMar>
            <w:vAlign w:val="center"/>
          </w:tcPr>
          <w:p w14:paraId="7A67D3B2" w14:textId="77777777" w:rsidR="00A90E9C" w:rsidRPr="008A26D2" w:rsidRDefault="00A90E9C" w:rsidP="0087293E">
            <w:pPr>
              <w:jc w:val="both"/>
              <w:rPr>
                <w:rFonts w:ascii="Arial" w:eastAsia="Arial Narrow" w:hAnsi="Arial" w:cs="Arial"/>
                <w:b/>
                <w:sz w:val="20"/>
                <w:szCs w:val="20"/>
              </w:rPr>
            </w:pPr>
            <w:r w:rsidRPr="008A26D2">
              <w:rPr>
                <w:rFonts w:ascii="Arial" w:eastAsia="Arial Narrow" w:hAnsi="Arial" w:cs="Arial"/>
                <w:b/>
                <w:sz w:val="20"/>
                <w:szCs w:val="20"/>
              </w:rPr>
              <w:t>1. Fórmula:</w:t>
            </w:r>
          </w:p>
          <w:p w14:paraId="7C31579C" w14:textId="69152BB2" w:rsidR="00A90E9C" w:rsidRPr="008A26D2" w:rsidRDefault="00C15EE6" w:rsidP="0087293E">
            <w:pPr>
              <w:jc w:val="both"/>
              <w:rPr>
                <w:rFonts w:ascii="Arial" w:eastAsia="Arial Unicode MS" w:hAnsi="Arial" w:cs="Arial"/>
                <w:sz w:val="20"/>
                <w:szCs w:val="20"/>
              </w:rPr>
            </w:pPr>
            <w:r w:rsidRPr="008A26D2">
              <w:rPr>
                <w:rFonts w:ascii="Arial" w:eastAsia="Arial Unicode MS" w:hAnsi="Arial" w:cs="Arial"/>
                <w:sz w:val="20"/>
                <w:szCs w:val="20"/>
              </w:rPr>
              <w:t>(</w:t>
            </w:r>
            <w:r w:rsidR="00A90E9C" w:rsidRPr="008A26D2">
              <w:rPr>
                <w:rFonts w:ascii="Arial" w:eastAsia="Arial Unicode MS" w:hAnsi="Arial" w:cs="Arial"/>
                <w:sz w:val="20"/>
                <w:szCs w:val="20"/>
              </w:rPr>
              <w:t>A/B</w:t>
            </w:r>
            <w:r w:rsidRPr="008A26D2">
              <w:rPr>
                <w:rFonts w:ascii="Arial" w:eastAsia="Arial Unicode MS" w:hAnsi="Arial" w:cs="Arial"/>
                <w:sz w:val="20"/>
                <w:szCs w:val="20"/>
              </w:rPr>
              <w:t>)</w:t>
            </w:r>
            <w:r w:rsidR="00A90E9C" w:rsidRPr="008A26D2">
              <w:rPr>
                <w:rFonts w:ascii="Arial" w:eastAsia="Arial Unicode MS" w:hAnsi="Arial" w:cs="Arial"/>
                <w:sz w:val="20"/>
                <w:szCs w:val="20"/>
              </w:rPr>
              <w:t>*100</w:t>
            </w:r>
          </w:p>
          <w:p w14:paraId="0BFAF6EF" w14:textId="77777777" w:rsidR="00A90E9C" w:rsidRPr="008A26D2" w:rsidRDefault="00A90E9C" w:rsidP="0087293E">
            <w:pPr>
              <w:jc w:val="both"/>
              <w:rPr>
                <w:rFonts w:ascii="Arial" w:eastAsia="Arial Unicode MS" w:hAnsi="Arial" w:cs="Arial"/>
                <w:sz w:val="20"/>
                <w:szCs w:val="20"/>
              </w:rPr>
            </w:pPr>
            <w:r w:rsidRPr="008A26D2">
              <w:rPr>
                <w:rFonts w:ascii="Arial" w:eastAsia="Arial Unicode MS" w:hAnsi="Arial" w:cs="Arial"/>
                <w:sz w:val="20"/>
                <w:szCs w:val="20"/>
              </w:rPr>
              <w:t>Donde:</w:t>
            </w:r>
          </w:p>
          <w:p w14:paraId="35DFDAA9" w14:textId="390293E2" w:rsidR="00A90E9C" w:rsidRPr="008A26D2" w:rsidRDefault="00A90E9C" w:rsidP="0087293E">
            <w:pPr>
              <w:ind w:left="538" w:hanging="538"/>
              <w:jc w:val="both"/>
              <w:rPr>
                <w:rFonts w:ascii="Arial" w:hAnsi="Arial" w:cs="Arial"/>
                <w:bCs/>
                <w:sz w:val="20"/>
                <w:szCs w:val="20"/>
              </w:rPr>
            </w:pPr>
            <w:r w:rsidRPr="008A26D2">
              <w:rPr>
                <w:rFonts w:ascii="Arial" w:hAnsi="Arial" w:cs="Arial"/>
                <w:bCs/>
                <w:sz w:val="20"/>
                <w:szCs w:val="20"/>
              </w:rPr>
              <w:t xml:space="preserve">A = Número de </w:t>
            </w:r>
            <w:r w:rsidR="00A71BB4" w:rsidRPr="008A26D2">
              <w:rPr>
                <w:rFonts w:ascii="Arial" w:eastAsia="Arial Narrow" w:hAnsi="Arial" w:cs="Arial"/>
                <w:sz w:val="20"/>
                <w:szCs w:val="20"/>
              </w:rPr>
              <w:t xml:space="preserve">productores agrarios y representantes de organizaciones campesinas y nativas </w:t>
            </w:r>
            <w:r w:rsidRPr="008A26D2">
              <w:rPr>
                <w:rFonts w:ascii="Arial" w:hAnsi="Arial" w:cs="Arial"/>
                <w:bCs/>
                <w:sz w:val="20"/>
                <w:szCs w:val="20"/>
              </w:rPr>
              <w:t>con alto grado de satisfacción sobre las capacitaciones recibidas</w:t>
            </w:r>
            <w:r w:rsidR="00C15EE6" w:rsidRPr="008A26D2">
              <w:rPr>
                <w:rFonts w:ascii="Arial" w:hAnsi="Arial" w:cs="Arial"/>
                <w:bCs/>
                <w:sz w:val="20"/>
                <w:szCs w:val="20"/>
              </w:rPr>
              <w:t xml:space="preserve"> </w:t>
            </w:r>
            <w:r w:rsidR="00C15EE6" w:rsidRPr="008A26D2">
              <w:rPr>
                <w:rFonts w:ascii="Arial" w:eastAsia="Arial Narrow" w:hAnsi="Arial" w:cs="Arial"/>
                <w:sz w:val="20"/>
                <w:szCs w:val="20"/>
              </w:rPr>
              <w:t>en materia de plantaciones forestales y sistemas agroforestales</w:t>
            </w:r>
          </w:p>
          <w:p w14:paraId="67D442D5" w14:textId="3DA3FA78" w:rsidR="00A90E9C" w:rsidRPr="008A26D2" w:rsidRDefault="00A90E9C" w:rsidP="0087293E">
            <w:pPr>
              <w:ind w:left="538" w:hanging="538"/>
              <w:jc w:val="both"/>
              <w:rPr>
                <w:rFonts w:ascii="Arial" w:eastAsia="Times New Roman" w:hAnsi="Arial" w:cs="Arial"/>
                <w:sz w:val="20"/>
                <w:szCs w:val="20"/>
                <w:lang w:val="es-ES"/>
              </w:rPr>
            </w:pPr>
            <w:r w:rsidRPr="008A26D2">
              <w:rPr>
                <w:rFonts w:ascii="Arial" w:hAnsi="Arial" w:cs="Arial"/>
                <w:bCs/>
                <w:sz w:val="20"/>
                <w:szCs w:val="20"/>
              </w:rPr>
              <w:t xml:space="preserve">B = Total de </w:t>
            </w:r>
            <w:r w:rsidR="00A71BB4" w:rsidRPr="008A26D2">
              <w:rPr>
                <w:rFonts w:ascii="Arial" w:eastAsia="Arial Narrow" w:hAnsi="Arial" w:cs="Arial"/>
                <w:sz w:val="20"/>
                <w:szCs w:val="20"/>
              </w:rPr>
              <w:t xml:space="preserve">productores agrarios y representantes de organizaciones campesinas y nativas </w:t>
            </w:r>
            <w:r w:rsidRPr="008A26D2">
              <w:rPr>
                <w:rFonts w:ascii="Arial" w:hAnsi="Arial" w:cs="Arial"/>
                <w:bCs/>
                <w:sz w:val="20"/>
                <w:szCs w:val="20"/>
              </w:rPr>
              <w:t>que reciben capacitación</w:t>
            </w:r>
            <w:r w:rsidR="00C15EE6" w:rsidRPr="008A26D2">
              <w:rPr>
                <w:rFonts w:ascii="Arial" w:hAnsi="Arial" w:cs="Arial"/>
                <w:bCs/>
                <w:sz w:val="20"/>
                <w:szCs w:val="20"/>
              </w:rPr>
              <w:t xml:space="preserve"> </w:t>
            </w:r>
            <w:r w:rsidR="00C15EE6" w:rsidRPr="008A26D2">
              <w:rPr>
                <w:rFonts w:ascii="Arial" w:eastAsia="Arial Narrow" w:hAnsi="Arial" w:cs="Arial"/>
                <w:sz w:val="20"/>
                <w:szCs w:val="20"/>
              </w:rPr>
              <w:t>en materia de plantaciones forestales y sistemas agroforestales</w:t>
            </w:r>
          </w:p>
          <w:p w14:paraId="5514E37B" w14:textId="77777777" w:rsidR="00A90E9C" w:rsidRPr="008A26D2" w:rsidRDefault="00A90E9C" w:rsidP="0087293E">
            <w:pPr>
              <w:jc w:val="both"/>
              <w:rPr>
                <w:rFonts w:ascii="Arial" w:eastAsia="Arial Narrow" w:hAnsi="Arial" w:cs="Arial"/>
                <w:b/>
                <w:sz w:val="20"/>
                <w:szCs w:val="20"/>
              </w:rPr>
            </w:pPr>
            <w:r w:rsidRPr="008A26D2">
              <w:rPr>
                <w:rFonts w:ascii="Arial" w:eastAsia="Arial Narrow" w:hAnsi="Arial" w:cs="Arial"/>
                <w:b/>
                <w:sz w:val="20"/>
                <w:szCs w:val="20"/>
                <w:lang w:val="es-MX"/>
              </w:rPr>
              <w:t xml:space="preserve">2. </w:t>
            </w:r>
            <w:r w:rsidRPr="008A26D2">
              <w:rPr>
                <w:rFonts w:ascii="Arial" w:eastAsia="Arial Narrow" w:hAnsi="Arial" w:cs="Arial"/>
                <w:b/>
                <w:sz w:val="20"/>
                <w:szCs w:val="20"/>
              </w:rPr>
              <w:t>Especificaciones técnicas:</w:t>
            </w:r>
          </w:p>
          <w:p w14:paraId="17D41208" w14:textId="0730D94D" w:rsidR="008075A3" w:rsidRPr="008A26D2" w:rsidRDefault="00F17722" w:rsidP="008075A3">
            <w:pPr>
              <w:jc w:val="both"/>
              <w:rPr>
                <w:rFonts w:ascii="Arial" w:hAnsi="Arial" w:cs="Arial"/>
                <w:bCs/>
                <w:sz w:val="20"/>
                <w:szCs w:val="20"/>
              </w:rPr>
            </w:pPr>
            <w:bookmarkStart w:id="15" w:name="_Hlk137415430"/>
            <w:r>
              <w:rPr>
                <w:rFonts w:ascii="Arial" w:eastAsia="Arial Narrow" w:hAnsi="Arial" w:cs="Arial"/>
                <w:sz w:val="20"/>
                <w:szCs w:val="20"/>
              </w:rPr>
              <w:t>La variable A s</w:t>
            </w:r>
            <w:r w:rsidRPr="008A26D2">
              <w:rPr>
                <w:rFonts w:ascii="Arial" w:eastAsia="Arial Narrow" w:hAnsi="Arial" w:cs="Arial"/>
                <w:sz w:val="20"/>
                <w:szCs w:val="20"/>
              </w:rPr>
              <w:t xml:space="preserve">e </w:t>
            </w:r>
            <w:r>
              <w:rPr>
                <w:rFonts w:ascii="Arial" w:eastAsia="Arial Narrow" w:hAnsi="Arial" w:cs="Arial"/>
                <w:sz w:val="20"/>
                <w:szCs w:val="20"/>
              </w:rPr>
              <w:t xml:space="preserve">determina </w:t>
            </w:r>
            <w:r>
              <w:rPr>
                <w:rFonts w:ascii="Arial" w:hAnsi="Arial" w:cs="Arial"/>
                <w:bCs/>
                <w:sz w:val="20"/>
                <w:szCs w:val="20"/>
              </w:rPr>
              <w:t xml:space="preserve">a partir de </w:t>
            </w:r>
            <w:r w:rsidR="008075A3" w:rsidRPr="008A26D2">
              <w:rPr>
                <w:rFonts w:ascii="Arial" w:hAnsi="Arial" w:cs="Arial"/>
                <w:bCs/>
                <w:sz w:val="20"/>
                <w:szCs w:val="20"/>
              </w:rPr>
              <w:t xml:space="preserve">los </w:t>
            </w:r>
            <w:r w:rsidR="008075A3" w:rsidRPr="008A26D2">
              <w:rPr>
                <w:rFonts w:ascii="Arial" w:eastAsia="Arial Narrow" w:hAnsi="Arial" w:cs="Arial"/>
                <w:sz w:val="20"/>
                <w:szCs w:val="20"/>
              </w:rPr>
              <w:t>productores agrarios y representantes de organizaciones campesinas y nativas</w:t>
            </w:r>
            <w:r w:rsidR="008075A3" w:rsidRPr="008A26D2">
              <w:rPr>
                <w:rFonts w:ascii="Arial" w:hAnsi="Arial" w:cs="Arial"/>
                <w:bCs/>
                <w:sz w:val="20"/>
                <w:szCs w:val="20"/>
              </w:rPr>
              <w:t xml:space="preserve"> </w:t>
            </w:r>
            <w:r>
              <w:rPr>
                <w:rFonts w:ascii="Arial" w:hAnsi="Arial" w:cs="Arial"/>
                <w:bCs/>
                <w:sz w:val="20"/>
                <w:szCs w:val="20"/>
              </w:rPr>
              <w:t xml:space="preserve">que </w:t>
            </w:r>
            <w:r w:rsidR="008075A3" w:rsidRPr="008A26D2">
              <w:rPr>
                <w:rFonts w:ascii="Arial" w:hAnsi="Arial" w:cs="Arial"/>
                <w:bCs/>
                <w:sz w:val="20"/>
                <w:szCs w:val="20"/>
              </w:rPr>
              <w:t>tienen un alto grado de satisfacción</w:t>
            </w:r>
            <w:r>
              <w:rPr>
                <w:rFonts w:ascii="Arial" w:hAnsi="Arial" w:cs="Arial"/>
                <w:bCs/>
                <w:sz w:val="20"/>
                <w:szCs w:val="20"/>
              </w:rPr>
              <w:t>,</w:t>
            </w:r>
            <w:r w:rsidR="008075A3" w:rsidRPr="008A26D2">
              <w:rPr>
                <w:rFonts w:ascii="Arial" w:hAnsi="Arial" w:cs="Arial"/>
                <w:bCs/>
                <w:sz w:val="20"/>
                <w:szCs w:val="20"/>
              </w:rPr>
              <w:t xml:space="preserve"> al elegir los </w:t>
            </w:r>
            <w:r w:rsidR="001B4A25">
              <w:rPr>
                <w:rFonts w:ascii="Arial" w:hAnsi="Arial" w:cs="Arial"/>
                <w:bCs/>
                <w:sz w:val="20"/>
                <w:szCs w:val="20"/>
              </w:rPr>
              <w:t xml:space="preserve">dos niveles más altos </w:t>
            </w:r>
            <w:r w:rsidR="008075A3" w:rsidRPr="008A26D2">
              <w:rPr>
                <w:rFonts w:ascii="Arial" w:hAnsi="Arial" w:cs="Arial"/>
                <w:bCs/>
                <w:sz w:val="20"/>
                <w:szCs w:val="20"/>
              </w:rPr>
              <w:t xml:space="preserve">de </w:t>
            </w:r>
            <w:r w:rsidR="00880D35">
              <w:rPr>
                <w:rFonts w:ascii="Arial" w:hAnsi="Arial" w:cs="Arial"/>
                <w:bCs/>
                <w:sz w:val="20"/>
                <w:szCs w:val="20"/>
              </w:rPr>
              <w:t>l</w:t>
            </w:r>
            <w:r w:rsidR="00D231D0">
              <w:rPr>
                <w:rFonts w:ascii="Arial" w:hAnsi="Arial" w:cs="Arial"/>
                <w:bCs/>
                <w:sz w:val="20"/>
                <w:szCs w:val="20"/>
              </w:rPr>
              <w:t>a</w:t>
            </w:r>
            <w:r w:rsidR="008075A3" w:rsidRPr="008A26D2">
              <w:rPr>
                <w:rFonts w:ascii="Arial" w:hAnsi="Arial" w:cs="Arial"/>
                <w:bCs/>
                <w:sz w:val="20"/>
                <w:szCs w:val="20"/>
              </w:rPr>
              <w:t xml:space="preserve"> escala, sobre </w:t>
            </w:r>
            <w:r>
              <w:rPr>
                <w:rFonts w:ascii="Arial" w:hAnsi="Arial" w:cs="Arial"/>
                <w:bCs/>
                <w:sz w:val="20"/>
                <w:szCs w:val="20"/>
              </w:rPr>
              <w:t xml:space="preserve">las </w:t>
            </w:r>
            <w:r w:rsidR="008075A3" w:rsidRPr="008A26D2">
              <w:rPr>
                <w:rFonts w:ascii="Arial" w:hAnsi="Arial" w:cs="Arial"/>
                <w:bCs/>
                <w:sz w:val="20"/>
                <w:szCs w:val="20"/>
              </w:rPr>
              <w:t>acciones de fortalecimiento de capacidades</w:t>
            </w:r>
            <w:r w:rsidR="00040271">
              <w:rPr>
                <w:rFonts w:ascii="Arial" w:hAnsi="Arial" w:cs="Arial"/>
                <w:bCs/>
                <w:sz w:val="20"/>
                <w:szCs w:val="20"/>
              </w:rPr>
              <w:t xml:space="preserve"> recibidas</w:t>
            </w:r>
            <w:r w:rsidR="008075A3" w:rsidRPr="008A26D2">
              <w:rPr>
                <w:rFonts w:ascii="Arial" w:hAnsi="Arial" w:cs="Arial"/>
                <w:bCs/>
                <w:sz w:val="20"/>
                <w:szCs w:val="20"/>
              </w:rPr>
              <w:t>.</w:t>
            </w:r>
          </w:p>
          <w:p w14:paraId="3FA79108" w14:textId="6BD8BD65" w:rsidR="007B58D6" w:rsidRPr="008A26D2" w:rsidRDefault="00F17722" w:rsidP="007B58D6">
            <w:pPr>
              <w:jc w:val="both"/>
              <w:rPr>
                <w:rFonts w:ascii="Arial" w:hAnsi="Arial" w:cs="Arial"/>
                <w:bCs/>
                <w:sz w:val="20"/>
                <w:szCs w:val="20"/>
              </w:rPr>
            </w:pPr>
            <w:r>
              <w:rPr>
                <w:rFonts w:ascii="Arial" w:eastAsia="Arial Narrow" w:hAnsi="Arial" w:cs="Arial"/>
                <w:sz w:val="20"/>
                <w:szCs w:val="20"/>
              </w:rPr>
              <w:t>La variable B s</w:t>
            </w:r>
            <w:r w:rsidRPr="008A26D2">
              <w:rPr>
                <w:rFonts w:ascii="Arial" w:eastAsia="Arial Narrow" w:hAnsi="Arial" w:cs="Arial"/>
                <w:sz w:val="20"/>
                <w:szCs w:val="20"/>
              </w:rPr>
              <w:t xml:space="preserve">e </w:t>
            </w:r>
            <w:r>
              <w:rPr>
                <w:rFonts w:ascii="Arial" w:eastAsia="Arial Narrow" w:hAnsi="Arial" w:cs="Arial"/>
                <w:sz w:val="20"/>
                <w:szCs w:val="20"/>
              </w:rPr>
              <w:t xml:space="preserve">determina con el </w:t>
            </w:r>
            <w:r w:rsidR="007B58D6">
              <w:rPr>
                <w:rFonts w:ascii="Arial" w:hAnsi="Arial" w:cs="Arial"/>
                <w:bCs/>
                <w:sz w:val="20"/>
                <w:szCs w:val="20"/>
              </w:rPr>
              <w:t xml:space="preserve">total de </w:t>
            </w:r>
            <w:r w:rsidR="007B58D6" w:rsidRPr="008A26D2">
              <w:rPr>
                <w:rFonts w:ascii="Arial" w:eastAsia="Arial Narrow" w:hAnsi="Arial" w:cs="Arial"/>
                <w:sz w:val="20"/>
                <w:szCs w:val="20"/>
              </w:rPr>
              <w:t>productores agrarios y representantes de organizaciones campesinas y nativas</w:t>
            </w:r>
            <w:r w:rsidR="007B58D6">
              <w:rPr>
                <w:rFonts w:ascii="Arial" w:eastAsia="Arial Narrow" w:hAnsi="Arial" w:cs="Arial"/>
                <w:sz w:val="20"/>
                <w:szCs w:val="20"/>
              </w:rPr>
              <w:t xml:space="preserve"> </w:t>
            </w:r>
            <w:r>
              <w:rPr>
                <w:rFonts w:ascii="Arial" w:eastAsia="Arial Narrow" w:hAnsi="Arial" w:cs="Arial"/>
                <w:sz w:val="20"/>
                <w:szCs w:val="20"/>
              </w:rPr>
              <w:t xml:space="preserve">que </w:t>
            </w:r>
            <w:r w:rsidR="007B58D6">
              <w:rPr>
                <w:rFonts w:ascii="Arial" w:eastAsia="Arial Narrow" w:hAnsi="Arial" w:cs="Arial"/>
                <w:sz w:val="20"/>
                <w:szCs w:val="20"/>
              </w:rPr>
              <w:t>asisten a las capacitaciones</w:t>
            </w:r>
            <w:bookmarkEnd w:id="15"/>
            <w:r w:rsidR="007B58D6">
              <w:rPr>
                <w:rFonts w:ascii="Arial" w:eastAsia="Arial Narrow" w:hAnsi="Arial" w:cs="Arial"/>
                <w:sz w:val="20"/>
                <w:szCs w:val="20"/>
              </w:rPr>
              <w:t>.</w:t>
            </w:r>
          </w:p>
          <w:p w14:paraId="1D67DA6D" w14:textId="118DD2B0" w:rsidR="00A90E9C" w:rsidRPr="008A26D2" w:rsidRDefault="00A90E9C" w:rsidP="0087293E">
            <w:pPr>
              <w:jc w:val="both"/>
              <w:rPr>
                <w:rFonts w:ascii="Arial" w:eastAsia="Times New Roman" w:hAnsi="Arial" w:cs="Arial"/>
                <w:sz w:val="20"/>
                <w:szCs w:val="20"/>
                <w:lang w:val="es-ES"/>
              </w:rPr>
            </w:pPr>
            <w:r w:rsidRPr="008A26D2">
              <w:rPr>
                <w:rFonts w:ascii="Arial" w:eastAsia="Times New Roman" w:hAnsi="Arial" w:cs="Arial"/>
                <w:sz w:val="20"/>
                <w:szCs w:val="20"/>
                <w:lang w:val="es-ES"/>
              </w:rPr>
              <w:lastRenderedPageBreak/>
              <w:t xml:space="preserve">El indicador se calculará a partir de encuestas o entrevistas donde se pueda registrar el grado de satisfacción de los </w:t>
            </w:r>
            <w:r w:rsidR="00A71BB4" w:rsidRPr="008A26D2">
              <w:rPr>
                <w:rFonts w:ascii="Arial" w:eastAsia="Arial Narrow" w:hAnsi="Arial" w:cs="Arial"/>
                <w:sz w:val="20"/>
                <w:szCs w:val="20"/>
              </w:rPr>
              <w:t>productores agrarios y representantes de organizaciones campesinas y nativas</w:t>
            </w:r>
            <w:r w:rsidRPr="008A26D2">
              <w:rPr>
                <w:rFonts w:ascii="Arial" w:eastAsia="Times New Roman" w:hAnsi="Arial" w:cs="Arial"/>
                <w:sz w:val="20"/>
                <w:szCs w:val="20"/>
                <w:lang w:val="es-ES"/>
              </w:rPr>
              <w:t xml:space="preserve"> que reciben la capacitación, identificando aquellos aspectos del servicio que se pueden mejorar y satisfacer al receptor.</w:t>
            </w:r>
          </w:p>
          <w:p w14:paraId="34333AED" w14:textId="1DA6727E" w:rsidR="00A90E9C" w:rsidRDefault="00A90E9C" w:rsidP="0087293E">
            <w:pPr>
              <w:jc w:val="both"/>
              <w:rPr>
                <w:rFonts w:ascii="Arial" w:hAnsi="Arial" w:cs="Arial"/>
                <w:bCs/>
                <w:sz w:val="20"/>
                <w:szCs w:val="20"/>
              </w:rPr>
            </w:pPr>
            <w:r w:rsidRPr="008A26D2">
              <w:rPr>
                <w:rFonts w:ascii="Arial" w:hAnsi="Arial" w:cs="Arial"/>
                <w:bCs/>
                <w:sz w:val="20"/>
                <w:szCs w:val="20"/>
              </w:rPr>
              <w:t>Para evaluar el grado de satisfacción se considerará los alcances metodológicos señalados en el Protocolo de Capacitación y Asistencia Técnica del S</w:t>
            </w:r>
            <w:r w:rsidR="00E20226">
              <w:rPr>
                <w:rFonts w:ascii="Arial" w:hAnsi="Arial" w:cs="Arial"/>
                <w:bCs/>
                <w:sz w:val="20"/>
                <w:szCs w:val="20"/>
              </w:rPr>
              <w:t>ervicio Nacional Forestal y de Fauna Silvestre - S</w:t>
            </w:r>
            <w:r w:rsidRPr="008A26D2">
              <w:rPr>
                <w:rFonts w:ascii="Arial" w:hAnsi="Arial" w:cs="Arial"/>
                <w:bCs/>
                <w:sz w:val="20"/>
                <w:szCs w:val="20"/>
              </w:rPr>
              <w:t>ERFOR.</w:t>
            </w:r>
          </w:p>
          <w:p w14:paraId="3A4B2203" w14:textId="074A738C" w:rsidR="00A90E9C" w:rsidRPr="008A26D2" w:rsidRDefault="00A90E9C" w:rsidP="0087293E">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No se cuenta con línea</w:t>
            </w:r>
            <w:r w:rsidR="00A71BB4" w:rsidRPr="008A26D2">
              <w:rPr>
                <w:rFonts w:ascii="Arial" w:eastAsia="Arial Narrow" w:hAnsi="Arial" w:cs="Arial"/>
                <w:sz w:val="20"/>
                <w:szCs w:val="20"/>
              </w:rPr>
              <w:t xml:space="preserve"> base</w:t>
            </w:r>
            <w:r w:rsidRPr="008A26D2">
              <w:rPr>
                <w:rFonts w:ascii="Arial" w:eastAsia="Arial Narrow" w:hAnsi="Arial" w:cs="Arial"/>
                <w:sz w:val="20"/>
                <w:szCs w:val="20"/>
              </w:rPr>
              <w:t xml:space="preserve">, por ese motivo, </w:t>
            </w:r>
            <w:r w:rsidR="00EA16B7" w:rsidRPr="008A26D2">
              <w:rPr>
                <w:rFonts w:ascii="Arial" w:eastAsia="Arial Narrow" w:hAnsi="Arial" w:cs="Arial"/>
                <w:sz w:val="20"/>
                <w:szCs w:val="20"/>
              </w:rPr>
              <w:t xml:space="preserve">el SERFOR </w:t>
            </w:r>
            <w:r w:rsidR="00A71BB4" w:rsidRPr="008A26D2">
              <w:rPr>
                <w:rFonts w:ascii="Arial" w:eastAsia="Arial Narrow" w:hAnsi="Arial" w:cs="Arial"/>
                <w:sz w:val="20"/>
                <w:szCs w:val="20"/>
              </w:rPr>
              <w:t>realizará</w:t>
            </w:r>
            <w:r w:rsidRPr="008A26D2">
              <w:rPr>
                <w:rFonts w:ascii="Arial" w:eastAsia="Arial Narrow" w:hAnsi="Arial" w:cs="Arial"/>
                <w:sz w:val="20"/>
                <w:szCs w:val="20"/>
              </w:rPr>
              <w:t xml:space="preserve"> su cálculo antes del inicio de la implementación de la presente Política Nacional.</w:t>
            </w:r>
          </w:p>
          <w:p w14:paraId="6F649A90" w14:textId="77777777" w:rsidR="00A90E9C" w:rsidRPr="008A26D2" w:rsidRDefault="00A90E9C" w:rsidP="0087293E">
            <w:pPr>
              <w:spacing w:after="0" w:line="240" w:lineRule="auto"/>
              <w:jc w:val="both"/>
              <w:rPr>
                <w:rFonts w:ascii="Arial" w:hAnsi="Arial" w:cs="Arial"/>
                <w:bCs/>
                <w:sz w:val="20"/>
                <w:szCs w:val="20"/>
              </w:rPr>
            </w:pPr>
          </w:p>
        </w:tc>
      </w:tr>
      <w:tr w:rsidR="008A26D2" w:rsidRPr="008A26D2" w14:paraId="5044FCA4" w14:textId="77777777" w:rsidTr="006A2752">
        <w:trPr>
          <w:trHeight w:val="547"/>
        </w:trPr>
        <w:tc>
          <w:tcPr>
            <w:tcW w:w="2358" w:type="dxa"/>
            <w:gridSpan w:val="3"/>
            <w:shd w:val="clear" w:color="auto" w:fill="auto"/>
            <w:tcMar>
              <w:top w:w="10" w:type="dxa"/>
              <w:left w:w="93" w:type="dxa"/>
              <w:bottom w:w="0" w:type="dxa"/>
              <w:right w:w="10" w:type="dxa"/>
            </w:tcMar>
            <w:vAlign w:val="center"/>
          </w:tcPr>
          <w:p w14:paraId="394913DB"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lastRenderedPageBreak/>
              <w:t>Sentido esperado del indicador:</w:t>
            </w:r>
          </w:p>
        </w:tc>
        <w:tc>
          <w:tcPr>
            <w:tcW w:w="1831" w:type="dxa"/>
            <w:gridSpan w:val="3"/>
            <w:shd w:val="clear" w:color="auto" w:fill="auto"/>
            <w:tcMar>
              <w:top w:w="10" w:type="dxa"/>
              <w:left w:w="283" w:type="dxa"/>
              <w:bottom w:w="0" w:type="dxa"/>
              <w:right w:w="283" w:type="dxa"/>
            </w:tcMar>
            <w:vAlign w:val="center"/>
          </w:tcPr>
          <w:p w14:paraId="438B9CAA" w14:textId="77777777" w:rsidR="00A90E9C" w:rsidRPr="008A26D2" w:rsidRDefault="00A90E9C" w:rsidP="0087293E">
            <w:pPr>
              <w:jc w:val="both"/>
              <w:rPr>
                <w:rFonts w:ascii="Arial" w:hAnsi="Arial" w:cs="Arial"/>
                <w:sz w:val="20"/>
                <w:szCs w:val="20"/>
              </w:rPr>
            </w:pPr>
            <w:r w:rsidRPr="008A26D2">
              <w:rPr>
                <w:rFonts w:ascii="Arial" w:eastAsia="Arial Narrow" w:hAnsi="Arial" w:cs="Arial"/>
                <w:sz w:val="20"/>
                <w:szCs w:val="20"/>
              </w:rPr>
              <w:t>Ascendente</w:t>
            </w:r>
          </w:p>
        </w:tc>
        <w:tc>
          <w:tcPr>
            <w:tcW w:w="2757" w:type="dxa"/>
            <w:gridSpan w:val="4"/>
            <w:shd w:val="clear" w:color="auto" w:fill="auto"/>
            <w:tcMar>
              <w:top w:w="15" w:type="dxa"/>
              <w:left w:w="15" w:type="dxa"/>
              <w:bottom w:w="0" w:type="dxa"/>
              <w:right w:w="15" w:type="dxa"/>
            </w:tcMar>
            <w:vAlign w:val="center"/>
          </w:tcPr>
          <w:p w14:paraId="5E05FE79"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Tipo de indicador de servicio:</w:t>
            </w:r>
          </w:p>
        </w:tc>
        <w:tc>
          <w:tcPr>
            <w:tcW w:w="1843" w:type="dxa"/>
            <w:gridSpan w:val="2"/>
            <w:shd w:val="clear" w:color="auto" w:fill="auto"/>
            <w:tcMar>
              <w:top w:w="15" w:type="dxa"/>
              <w:left w:w="15" w:type="dxa"/>
              <w:bottom w:w="0" w:type="dxa"/>
              <w:right w:w="15" w:type="dxa"/>
            </w:tcMar>
            <w:vAlign w:val="center"/>
          </w:tcPr>
          <w:p w14:paraId="27004432" w14:textId="77777777" w:rsidR="00A90E9C" w:rsidRPr="008A26D2" w:rsidRDefault="00A90E9C" w:rsidP="0087293E">
            <w:pPr>
              <w:jc w:val="both"/>
              <w:rPr>
                <w:rFonts w:ascii="Arial" w:hAnsi="Arial" w:cs="Arial"/>
                <w:sz w:val="20"/>
                <w:szCs w:val="20"/>
              </w:rPr>
            </w:pPr>
            <w:r w:rsidRPr="008A26D2">
              <w:rPr>
                <w:rFonts w:ascii="Arial" w:eastAsia="Arial Narrow" w:hAnsi="Arial" w:cs="Arial"/>
                <w:sz w:val="20"/>
                <w:szCs w:val="20"/>
              </w:rPr>
              <w:t>Calidad - Percepción</w:t>
            </w:r>
          </w:p>
        </w:tc>
      </w:tr>
      <w:tr w:rsidR="008A26D2" w:rsidRPr="008A26D2" w14:paraId="30FF2A90" w14:textId="77777777" w:rsidTr="006A2752">
        <w:trPr>
          <w:trHeight w:val="13"/>
        </w:trPr>
        <w:tc>
          <w:tcPr>
            <w:tcW w:w="2358" w:type="dxa"/>
            <w:gridSpan w:val="3"/>
            <w:shd w:val="clear" w:color="auto" w:fill="auto"/>
            <w:tcMar>
              <w:top w:w="10" w:type="dxa"/>
              <w:left w:w="93" w:type="dxa"/>
              <w:bottom w:w="0" w:type="dxa"/>
              <w:right w:w="10" w:type="dxa"/>
            </w:tcMar>
            <w:vAlign w:val="center"/>
          </w:tcPr>
          <w:p w14:paraId="019D0E8D"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Fuente y base de datos:</w:t>
            </w:r>
          </w:p>
        </w:tc>
        <w:tc>
          <w:tcPr>
            <w:tcW w:w="6431" w:type="dxa"/>
            <w:gridSpan w:val="9"/>
            <w:shd w:val="clear" w:color="auto" w:fill="auto"/>
            <w:tcMar>
              <w:top w:w="51" w:type="dxa"/>
              <w:left w:w="227" w:type="dxa"/>
              <w:bottom w:w="51" w:type="dxa"/>
              <w:right w:w="227" w:type="dxa"/>
            </w:tcMar>
            <w:vAlign w:val="center"/>
          </w:tcPr>
          <w:p w14:paraId="0143EB14" w14:textId="40C02790" w:rsidR="00A90E9C" w:rsidRPr="008A26D2" w:rsidRDefault="00A90E9C" w:rsidP="0087293E">
            <w:pPr>
              <w:jc w:val="both"/>
              <w:rPr>
                <w:rFonts w:ascii="Arial" w:eastAsia="Arial Narrow" w:hAnsi="Arial" w:cs="Arial"/>
                <w:sz w:val="20"/>
                <w:szCs w:val="20"/>
              </w:rPr>
            </w:pPr>
            <w:r w:rsidRPr="008A26D2">
              <w:rPr>
                <w:rFonts w:ascii="Arial" w:eastAsia="Arial Narrow" w:hAnsi="Arial" w:cs="Arial"/>
                <w:sz w:val="20"/>
                <w:szCs w:val="20"/>
              </w:rPr>
              <w:t>Fuentes: Unidad Funcional de Plantaciones Forestales y Dirección de Fortalecimiento de Capacidades del SERFOR y Unidad de Cadena de Valor Agroforestal, Forestal y Silvopastoril de</w:t>
            </w:r>
            <w:r w:rsidR="00F60EF3">
              <w:rPr>
                <w:rFonts w:ascii="Arial" w:eastAsia="Arial Narrow" w:hAnsi="Arial" w:cs="Arial"/>
                <w:sz w:val="20"/>
                <w:szCs w:val="20"/>
              </w:rPr>
              <w:t xml:space="preserve">l </w:t>
            </w:r>
            <w:r w:rsidR="00F60EF3" w:rsidRPr="00F60EF3">
              <w:rPr>
                <w:rFonts w:ascii="Arial" w:eastAsia="Arial Narrow" w:hAnsi="Arial" w:cs="Arial"/>
                <w:sz w:val="20"/>
                <w:szCs w:val="20"/>
              </w:rPr>
              <w:t>Programa de Desarrollo Productivo Agrario Rural</w:t>
            </w:r>
            <w:r w:rsidR="00F60EF3">
              <w:rPr>
                <w:rFonts w:ascii="Arial" w:eastAsia="Arial Narrow" w:hAnsi="Arial" w:cs="Arial"/>
                <w:sz w:val="20"/>
                <w:szCs w:val="20"/>
              </w:rPr>
              <w:t xml:space="preserve"> -</w:t>
            </w:r>
            <w:r w:rsidRPr="008A26D2">
              <w:rPr>
                <w:rFonts w:ascii="Arial" w:eastAsia="Arial Narrow" w:hAnsi="Arial" w:cs="Arial"/>
                <w:sz w:val="20"/>
                <w:szCs w:val="20"/>
              </w:rPr>
              <w:t xml:space="preserve"> AGRORURAL</w:t>
            </w:r>
          </w:p>
          <w:p w14:paraId="259E060E" w14:textId="77777777" w:rsidR="00A90E9C" w:rsidRPr="008A26D2" w:rsidRDefault="00A90E9C" w:rsidP="0087293E">
            <w:pPr>
              <w:jc w:val="both"/>
              <w:rPr>
                <w:rFonts w:ascii="Arial" w:eastAsia="Arial Narrow" w:hAnsi="Arial" w:cs="Arial"/>
                <w:sz w:val="20"/>
                <w:szCs w:val="20"/>
              </w:rPr>
            </w:pPr>
            <w:r w:rsidRPr="008A26D2">
              <w:rPr>
                <w:rFonts w:ascii="Arial" w:eastAsia="Arial Narrow" w:hAnsi="Arial" w:cs="Arial"/>
                <w:sz w:val="20"/>
                <w:szCs w:val="20"/>
              </w:rPr>
              <w:t xml:space="preserve">Base de datos: </w:t>
            </w:r>
          </w:p>
          <w:p w14:paraId="3A5B175F" w14:textId="2A35AE6C" w:rsidR="00A90E9C" w:rsidRPr="008A26D2" w:rsidRDefault="00A90E9C" w:rsidP="0087293E">
            <w:pPr>
              <w:pStyle w:val="Prrafodelista"/>
              <w:numPr>
                <w:ilvl w:val="0"/>
                <w:numId w:val="16"/>
              </w:numPr>
              <w:ind w:left="335"/>
              <w:jc w:val="both"/>
              <w:rPr>
                <w:rFonts w:ascii="Arial" w:eastAsia="Arial Narrow" w:hAnsi="Arial" w:cs="Arial"/>
                <w:sz w:val="20"/>
                <w:szCs w:val="20"/>
              </w:rPr>
            </w:pPr>
            <w:r w:rsidRPr="008A26D2">
              <w:rPr>
                <w:rFonts w:ascii="Arial" w:eastAsia="Arial Narrow" w:hAnsi="Arial" w:cs="Arial"/>
                <w:sz w:val="20"/>
                <w:szCs w:val="20"/>
              </w:rPr>
              <w:t xml:space="preserve">Registro de eventos de fortalecimiento de capacidades en plantaciones forestales y sistemas agroforestales </w:t>
            </w:r>
            <w:r w:rsidR="005324E8">
              <w:rPr>
                <w:rFonts w:ascii="Arial" w:eastAsia="Arial Narrow" w:hAnsi="Arial" w:cs="Arial"/>
                <w:sz w:val="20"/>
                <w:szCs w:val="20"/>
              </w:rPr>
              <w:t>del</w:t>
            </w:r>
            <w:r w:rsidRPr="008A26D2">
              <w:rPr>
                <w:rFonts w:ascii="Arial" w:eastAsia="Arial Narrow" w:hAnsi="Arial" w:cs="Arial"/>
                <w:sz w:val="20"/>
                <w:szCs w:val="20"/>
              </w:rPr>
              <w:t xml:space="preserve"> </w:t>
            </w:r>
            <w:r w:rsidR="00134537">
              <w:rPr>
                <w:rFonts w:ascii="Arial" w:eastAsia="Arial Narrow" w:hAnsi="Arial" w:cs="Arial"/>
                <w:sz w:val="20"/>
                <w:szCs w:val="20"/>
              </w:rPr>
              <w:t xml:space="preserve">Servicio Nacional Forestal y de Fauna Silvestre - </w:t>
            </w:r>
            <w:r w:rsidRPr="008A26D2">
              <w:rPr>
                <w:rFonts w:ascii="Arial" w:eastAsia="Arial Narrow" w:hAnsi="Arial" w:cs="Arial"/>
                <w:sz w:val="20"/>
                <w:szCs w:val="20"/>
              </w:rPr>
              <w:t>SERFOR.</w:t>
            </w:r>
          </w:p>
          <w:p w14:paraId="539C5F41" w14:textId="5E18C77A" w:rsidR="00A90E9C" w:rsidRPr="008A26D2" w:rsidRDefault="00A90E9C" w:rsidP="0087293E">
            <w:pPr>
              <w:pStyle w:val="Prrafodelista"/>
              <w:numPr>
                <w:ilvl w:val="0"/>
                <w:numId w:val="16"/>
              </w:numPr>
              <w:ind w:left="335"/>
              <w:jc w:val="both"/>
              <w:rPr>
                <w:rFonts w:ascii="Arial" w:eastAsia="Arial Narrow" w:hAnsi="Arial" w:cs="Arial"/>
                <w:sz w:val="20"/>
                <w:szCs w:val="20"/>
              </w:rPr>
            </w:pPr>
            <w:r w:rsidRPr="008A26D2">
              <w:rPr>
                <w:rFonts w:ascii="Arial" w:eastAsia="Arial Narrow" w:hAnsi="Arial" w:cs="Arial"/>
                <w:sz w:val="20"/>
                <w:szCs w:val="20"/>
              </w:rPr>
              <w:t xml:space="preserve">Registro de eventos de fortalecimiento de capacidades en materia de plantaciones forestales y sistemas agroforestales </w:t>
            </w:r>
            <w:r w:rsidR="005324E8">
              <w:rPr>
                <w:rFonts w:ascii="Arial" w:eastAsia="Arial Narrow" w:hAnsi="Arial" w:cs="Arial"/>
                <w:sz w:val="20"/>
                <w:szCs w:val="20"/>
              </w:rPr>
              <w:t>de</w:t>
            </w:r>
            <w:r w:rsidR="00F60EF3">
              <w:rPr>
                <w:rFonts w:ascii="Arial" w:eastAsia="Arial Narrow" w:hAnsi="Arial" w:cs="Arial"/>
                <w:sz w:val="20"/>
                <w:szCs w:val="20"/>
              </w:rPr>
              <w:t xml:space="preserve">l </w:t>
            </w:r>
            <w:r w:rsidR="00F60EF3" w:rsidRPr="00F60EF3">
              <w:rPr>
                <w:rFonts w:ascii="Arial" w:eastAsia="Arial Narrow" w:hAnsi="Arial" w:cs="Arial"/>
                <w:sz w:val="20"/>
                <w:szCs w:val="20"/>
              </w:rPr>
              <w:t>Programa de Desarrollo Productivo Agrario Rural</w:t>
            </w:r>
            <w:r w:rsidR="00F60EF3">
              <w:rPr>
                <w:rFonts w:ascii="Arial" w:eastAsia="Arial Narrow" w:hAnsi="Arial" w:cs="Arial"/>
                <w:sz w:val="20"/>
                <w:szCs w:val="20"/>
              </w:rPr>
              <w:t xml:space="preserve"> -</w:t>
            </w:r>
            <w:r w:rsidRPr="008A26D2">
              <w:rPr>
                <w:rFonts w:ascii="Arial" w:eastAsia="Arial Narrow" w:hAnsi="Arial" w:cs="Arial"/>
                <w:sz w:val="20"/>
                <w:szCs w:val="20"/>
              </w:rPr>
              <w:t xml:space="preserve"> AGRORURAL.</w:t>
            </w:r>
          </w:p>
        </w:tc>
      </w:tr>
      <w:tr w:rsidR="008A26D2" w:rsidRPr="008A26D2" w14:paraId="1A86BB77" w14:textId="77777777" w:rsidTr="006A2752">
        <w:trPr>
          <w:trHeight w:val="436"/>
        </w:trPr>
        <w:tc>
          <w:tcPr>
            <w:tcW w:w="2358" w:type="dxa"/>
            <w:gridSpan w:val="3"/>
            <w:shd w:val="clear" w:color="auto" w:fill="auto"/>
            <w:tcMar>
              <w:top w:w="10" w:type="dxa"/>
              <w:left w:w="93" w:type="dxa"/>
              <w:bottom w:w="0" w:type="dxa"/>
              <w:right w:w="10" w:type="dxa"/>
            </w:tcMar>
            <w:vAlign w:val="center"/>
          </w:tcPr>
          <w:p w14:paraId="4810AA02"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Supuestos:</w:t>
            </w:r>
          </w:p>
        </w:tc>
        <w:tc>
          <w:tcPr>
            <w:tcW w:w="6431" w:type="dxa"/>
            <w:gridSpan w:val="9"/>
            <w:shd w:val="clear" w:color="auto" w:fill="auto"/>
            <w:tcMar>
              <w:top w:w="51" w:type="dxa"/>
              <w:left w:w="227" w:type="dxa"/>
              <w:bottom w:w="51" w:type="dxa"/>
              <w:right w:w="227" w:type="dxa"/>
            </w:tcMar>
            <w:vAlign w:val="center"/>
          </w:tcPr>
          <w:p w14:paraId="4256E472" w14:textId="7915F04A" w:rsidR="00A90E9C" w:rsidRPr="008A26D2" w:rsidRDefault="00A90E9C" w:rsidP="0087293E">
            <w:pPr>
              <w:jc w:val="both"/>
              <w:rPr>
                <w:rFonts w:ascii="Arial" w:eastAsia="Arial Narrow" w:hAnsi="Arial" w:cs="Arial"/>
                <w:sz w:val="20"/>
                <w:szCs w:val="20"/>
              </w:rPr>
            </w:pPr>
            <w:r w:rsidRPr="008A26D2">
              <w:rPr>
                <w:rFonts w:ascii="Arial" w:eastAsia="Arial Narrow" w:hAnsi="Arial" w:cs="Arial"/>
                <w:sz w:val="20"/>
                <w:szCs w:val="20"/>
              </w:rPr>
              <w:t>Se cuenta con los recursos financieros y técnicos para implementar las metas del presente indicador.</w:t>
            </w:r>
          </w:p>
        </w:tc>
      </w:tr>
      <w:tr w:rsidR="008A26D2" w:rsidRPr="008A26D2" w14:paraId="70315F63" w14:textId="77777777" w:rsidTr="006A2752">
        <w:trPr>
          <w:trHeight w:val="633"/>
        </w:trPr>
        <w:tc>
          <w:tcPr>
            <w:tcW w:w="838" w:type="dxa"/>
            <w:shd w:val="clear" w:color="auto" w:fill="auto"/>
            <w:tcMar>
              <w:top w:w="10" w:type="dxa"/>
              <w:left w:w="10" w:type="dxa"/>
              <w:bottom w:w="0" w:type="dxa"/>
              <w:right w:w="10" w:type="dxa"/>
            </w:tcMar>
            <w:vAlign w:val="center"/>
          </w:tcPr>
          <w:p w14:paraId="3DD273BC"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 </w:t>
            </w:r>
          </w:p>
        </w:tc>
        <w:tc>
          <w:tcPr>
            <w:tcW w:w="856" w:type="dxa"/>
            <w:shd w:val="clear" w:color="auto" w:fill="auto"/>
            <w:tcMar>
              <w:top w:w="10" w:type="dxa"/>
              <w:left w:w="10" w:type="dxa"/>
              <w:bottom w:w="0" w:type="dxa"/>
              <w:right w:w="10" w:type="dxa"/>
            </w:tcMar>
            <w:vAlign w:val="center"/>
          </w:tcPr>
          <w:p w14:paraId="4DAED348" w14:textId="77777777" w:rsidR="00A90E9C" w:rsidRPr="008A26D2" w:rsidRDefault="00A90E9C" w:rsidP="00D231D0">
            <w:pPr>
              <w:jc w:val="center"/>
              <w:rPr>
                <w:rFonts w:ascii="Arial" w:hAnsi="Arial" w:cs="Arial"/>
                <w:sz w:val="20"/>
                <w:szCs w:val="20"/>
              </w:rPr>
            </w:pPr>
            <w:r w:rsidRPr="008A26D2">
              <w:rPr>
                <w:rFonts w:ascii="Arial" w:hAnsi="Arial" w:cs="Arial"/>
                <w:b/>
                <w:sz w:val="20"/>
                <w:szCs w:val="20"/>
              </w:rPr>
              <w:t>Línea de base</w:t>
            </w:r>
          </w:p>
        </w:tc>
        <w:tc>
          <w:tcPr>
            <w:tcW w:w="7095" w:type="dxa"/>
            <w:gridSpan w:val="10"/>
            <w:shd w:val="clear" w:color="auto" w:fill="auto"/>
            <w:tcMar>
              <w:top w:w="10" w:type="dxa"/>
              <w:left w:w="10" w:type="dxa"/>
              <w:bottom w:w="0" w:type="dxa"/>
              <w:right w:w="10" w:type="dxa"/>
            </w:tcMar>
            <w:vAlign w:val="center"/>
          </w:tcPr>
          <w:p w14:paraId="46EC3EC8" w14:textId="4454129D" w:rsidR="00A90E9C" w:rsidRPr="008A26D2" w:rsidRDefault="00A90E9C" w:rsidP="00D231D0">
            <w:pPr>
              <w:jc w:val="center"/>
              <w:rPr>
                <w:rFonts w:ascii="Arial" w:hAnsi="Arial" w:cs="Arial"/>
                <w:sz w:val="20"/>
                <w:szCs w:val="20"/>
              </w:rPr>
            </w:pPr>
            <w:r w:rsidRPr="008A26D2">
              <w:rPr>
                <w:rFonts w:ascii="Arial" w:hAnsi="Arial" w:cs="Arial"/>
                <w:b/>
                <w:sz w:val="20"/>
                <w:szCs w:val="20"/>
              </w:rPr>
              <w:t>Logros esperados</w:t>
            </w:r>
          </w:p>
        </w:tc>
      </w:tr>
      <w:tr w:rsidR="008A26D2" w:rsidRPr="008A26D2" w14:paraId="18B1B096" w14:textId="77777777" w:rsidTr="006A2752">
        <w:trPr>
          <w:trHeight w:val="217"/>
        </w:trPr>
        <w:tc>
          <w:tcPr>
            <w:tcW w:w="838" w:type="dxa"/>
            <w:shd w:val="clear" w:color="auto" w:fill="auto"/>
            <w:tcMar>
              <w:top w:w="10" w:type="dxa"/>
              <w:left w:w="10" w:type="dxa"/>
              <w:bottom w:w="0" w:type="dxa"/>
              <w:right w:w="10" w:type="dxa"/>
            </w:tcMar>
            <w:vAlign w:val="center"/>
          </w:tcPr>
          <w:p w14:paraId="312545E9" w14:textId="77777777" w:rsidR="00A90E9C" w:rsidRPr="008A26D2" w:rsidRDefault="00A90E9C" w:rsidP="0087293E">
            <w:pPr>
              <w:spacing w:after="0" w:line="240" w:lineRule="auto"/>
              <w:jc w:val="both"/>
              <w:rPr>
                <w:rFonts w:ascii="Arial" w:hAnsi="Arial" w:cs="Arial"/>
                <w:sz w:val="20"/>
                <w:szCs w:val="20"/>
              </w:rPr>
            </w:pPr>
            <w:r w:rsidRPr="008A26D2">
              <w:rPr>
                <w:rFonts w:ascii="Arial" w:hAnsi="Arial" w:cs="Arial"/>
                <w:b/>
                <w:sz w:val="20"/>
                <w:szCs w:val="20"/>
              </w:rPr>
              <w:t>Año</w:t>
            </w:r>
          </w:p>
        </w:tc>
        <w:tc>
          <w:tcPr>
            <w:tcW w:w="856" w:type="dxa"/>
            <w:shd w:val="clear" w:color="auto" w:fill="auto"/>
            <w:tcMar>
              <w:top w:w="10" w:type="dxa"/>
              <w:left w:w="10" w:type="dxa"/>
              <w:bottom w:w="0" w:type="dxa"/>
              <w:right w:w="10" w:type="dxa"/>
            </w:tcMar>
            <w:vAlign w:val="center"/>
          </w:tcPr>
          <w:p w14:paraId="7DF7D9AD" w14:textId="77777777" w:rsidR="00A90E9C" w:rsidRPr="008A26D2" w:rsidRDefault="00A90E9C" w:rsidP="00D231D0">
            <w:pPr>
              <w:spacing w:after="0" w:line="240" w:lineRule="auto"/>
              <w:jc w:val="center"/>
              <w:rPr>
                <w:rFonts w:ascii="Arial" w:hAnsi="Arial" w:cs="Arial"/>
                <w:b/>
                <w:sz w:val="20"/>
                <w:szCs w:val="20"/>
              </w:rPr>
            </w:pPr>
            <w:r w:rsidRPr="008A26D2">
              <w:rPr>
                <w:rFonts w:ascii="Arial" w:hAnsi="Arial" w:cs="Arial"/>
                <w:b/>
                <w:sz w:val="20"/>
                <w:szCs w:val="20"/>
              </w:rPr>
              <w:t>2021</w:t>
            </w:r>
          </w:p>
        </w:tc>
        <w:tc>
          <w:tcPr>
            <w:tcW w:w="739" w:type="dxa"/>
            <w:gridSpan w:val="2"/>
            <w:shd w:val="clear" w:color="auto" w:fill="auto"/>
            <w:vAlign w:val="center"/>
          </w:tcPr>
          <w:p w14:paraId="2866C07A" w14:textId="77777777" w:rsidR="00A90E9C" w:rsidRPr="008A26D2" w:rsidRDefault="00A90E9C" w:rsidP="00D231D0">
            <w:pPr>
              <w:spacing w:after="0" w:line="240" w:lineRule="auto"/>
              <w:jc w:val="center"/>
              <w:rPr>
                <w:rFonts w:ascii="Arial" w:hAnsi="Arial" w:cs="Arial"/>
                <w:b/>
                <w:sz w:val="20"/>
                <w:szCs w:val="20"/>
              </w:rPr>
            </w:pPr>
            <w:r w:rsidRPr="008A26D2">
              <w:rPr>
                <w:rFonts w:ascii="Arial" w:hAnsi="Arial" w:cs="Arial"/>
                <w:b/>
                <w:sz w:val="20"/>
                <w:szCs w:val="20"/>
              </w:rPr>
              <w:t>2023</w:t>
            </w:r>
          </w:p>
        </w:tc>
        <w:tc>
          <w:tcPr>
            <w:tcW w:w="992" w:type="dxa"/>
            <w:shd w:val="clear" w:color="auto" w:fill="auto"/>
            <w:vAlign w:val="center"/>
          </w:tcPr>
          <w:p w14:paraId="08F2E144" w14:textId="77777777" w:rsidR="00A90E9C" w:rsidRPr="008A26D2" w:rsidRDefault="00A90E9C" w:rsidP="00D231D0">
            <w:pPr>
              <w:spacing w:after="0" w:line="240" w:lineRule="auto"/>
              <w:jc w:val="center"/>
              <w:rPr>
                <w:rFonts w:ascii="Arial" w:hAnsi="Arial" w:cs="Arial"/>
                <w:b/>
                <w:sz w:val="20"/>
                <w:szCs w:val="20"/>
              </w:rPr>
            </w:pPr>
            <w:r w:rsidRPr="008A26D2">
              <w:rPr>
                <w:rFonts w:ascii="Arial" w:hAnsi="Arial" w:cs="Arial"/>
                <w:b/>
                <w:sz w:val="20"/>
                <w:szCs w:val="20"/>
              </w:rPr>
              <w:t>2024</w:t>
            </w:r>
          </w:p>
        </w:tc>
        <w:tc>
          <w:tcPr>
            <w:tcW w:w="992" w:type="dxa"/>
            <w:gridSpan w:val="2"/>
            <w:shd w:val="clear" w:color="auto" w:fill="auto"/>
            <w:vAlign w:val="center"/>
          </w:tcPr>
          <w:p w14:paraId="68B8921E" w14:textId="77777777" w:rsidR="00A90E9C" w:rsidRPr="008A26D2" w:rsidRDefault="00A90E9C" w:rsidP="00D231D0">
            <w:pPr>
              <w:spacing w:after="0" w:line="240" w:lineRule="auto"/>
              <w:jc w:val="center"/>
              <w:rPr>
                <w:rFonts w:ascii="Arial" w:hAnsi="Arial" w:cs="Arial"/>
                <w:b/>
                <w:sz w:val="20"/>
                <w:szCs w:val="20"/>
              </w:rPr>
            </w:pPr>
            <w:r w:rsidRPr="008A26D2">
              <w:rPr>
                <w:rFonts w:ascii="Arial" w:hAnsi="Arial" w:cs="Arial"/>
                <w:b/>
                <w:sz w:val="20"/>
                <w:szCs w:val="20"/>
              </w:rPr>
              <w:t>2025</w:t>
            </w:r>
          </w:p>
        </w:tc>
        <w:tc>
          <w:tcPr>
            <w:tcW w:w="970" w:type="dxa"/>
            <w:shd w:val="clear" w:color="auto" w:fill="auto"/>
            <w:vAlign w:val="center"/>
          </w:tcPr>
          <w:p w14:paraId="0BCA6D61" w14:textId="77777777" w:rsidR="00A90E9C" w:rsidRPr="008A26D2" w:rsidRDefault="00A90E9C" w:rsidP="00D231D0">
            <w:pPr>
              <w:spacing w:after="0" w:line="240" w:lineRule="auto"/>
              <w:jc w:val="center"/>
              <w:rPr>
                <w:rFonts w:ascii="Arial" w:hAnsi="Arial" w:cs="Arial"/>
                <w:b/>
                <w:sz w:val="20"/>
                <w:szCs w:val="20"/>
              </w:rPr>
            </w:pPr>
            <w:r w:rsidRPr="008A26D2">
              <w:rPr>
                <w:rFonts w:ascii="Arial" w:hAnsi="Arial" w:cs="Arial"/>
                <w:b/>
                <w:sz w:val="20"/>
                <w:szCs w:val="20"/>
              </w:rPr>
              <w:t>2026</w:t>
            </w:r>
          </w:p>
        </w:tc>
        <w:tc>
          <w:tcPr>
            <w:tcW w:w="850" w:type="dxa"/>
            <w:shd w:val="clear" w:color="auto" w:fill="auto"/>
            <w:vAlign w:val="center"/>
          </w:tcPr>
          <w:p w14:paraId="6FD2EBF7" w14:textId="77777777" w:rsidR="00A90E9C" w:rsidRPr="008A26D2" w:rsidRDefault="00A90E9C" w:rsidP="00D231D0">
            <w:pPr>
              <w:spacing w:after="0" w:line="240" w:lineRule="auto"/>
              <w:jc w:val="center"/>
              <w:rPr>
                <w:rFonts w:ascii="Arial" w:hAnsi="Arial" w:cs="Arial"/>
                <w:b/>
                <w:sz w:val="20"/>
                <w:szCs w:val="20"/>
              </w:rPr>
            </w:pPr>
            <w:r w:rsidRPr="008A26D2">
              <w:rPr>
                <w:rFonts w:ascii="Arial" w:hAnsi="Arial" w:cs="Arial"/>
                <w:b/>
                <w:sz w:val="20"/>
                <w:szCs w:val="20"/>
              </w:rPr>
              <w:t>2027</w:t>
            </w:r>
          </w:p>
        </w:tc>
        <w:tc>
          <w:tcPr>
            <w:tcW w:w="709" w:type="dxa"/>
            <w:shd w:val="clear" w:color="auto" w:fill="auto"/>
            <w:vAlign w:val="center"/>
          </w:tcPr>
          <w:p w14:paraId="09B358BF" w14:textId="77777777" w:rsidR="00A90E9C" w:rsidRPr="008A26D2" w:rsidRDefault="00A90E9C" w:rsidP="00D231D0">
            <w:pPr>
              <w:spacing w:after="0" w:line="240" w:lineRule="auto"/>
              <w:jc w:val="center"/>
              <w:rPr>
                <w:rFonts w:ascii="Arial" w:hAnsi="Arial" w:cs="Arial"/>
                <w:b/>
                <w:sz w:val="20"/>
                <w:szCs w:val="20"/>
              </w:rPr>
            </w:pPr>
            <w:r w:rsidRPr="008A26D2">
              <w:rPr>
                <w:rFonts w:ascii="Arial" w:hAnsi="Arial" w:cs="Arial"/>
                <w:b/>
                <w:sz w:val="20"/>
                <w:szCs w:val="20"/>
              </w:rPr>
              <w:t>2028</w:t>
            </w:r>
          </w:p>
        </w:tc>
        <w:tc>
          <w:tcPr>
            <w:tcW w:w="851" w:type="dxa"/>
            <w:shd w:val="clear" w:color="auto" w:fill="auto"/>
            <w:vAlign w:val="center"/>
          </w:tcPr>
          <w:p w14:paraId="40604E29" w14:textId="77777777" w:rsidR="00A90E9C" w:rsidRPr="008A26D2" w:rsidRDefault="00A90E9C" w:rsidP="00D231D0">
            <w:pPr>
              <w:spacing w:after="0" w:line="240" w:lineRule="auto"/>
              <w:jc w:val="center"/>
              <w:rPr>
                <w:rFonts w:ascii="Arial" w:hAnsi="Arial" w:cs="Arial"/>
                <w:b/>
                <w:sz w:val="20"/>
                <w:szCs w:val="20"/>
              </w:rPr>
            </w:pPr>
            <w:r w:rsidRPr="008A26D2">
              <w:rPr>
                <w:rFonts w:ascii="Arial" w:hAnsi="Arial" w:cs="Arial"/>
                <w:b/>
                <w:sz w:val="20"/>
                <w:szCs w:val="20"/>
              </w:rPr>
              <w:t>2029</w:t>
            </w:r>
          </w:p>
        </w:tc>
        <w:tc>
          <w:tcPr>
            <w:tcW w:w="992" w:type="dxa"/>
            <w:shd w:val="clear" w:color="auto" w:fill="auto"/>
            <w:tcMar>
              <w:top w:w="10" w:type="dxa"/>
              <w:left w:w="10" w:type="dxa"/>
              <w:bottom w:w="0" w:type="dxa"/>
              <w:right w:w="10" w:type="dxa"/>
            </w:tcMar>
            <w:vAlign w:val="center"/>
          </w:tcPr>
          <w:p w14:paraId="49A34C44" w14:textId="77777777" w:rsidR="00A90E9C" w:rsidRPr="008A26D2" w:rsidRDefault="00A90E9C" w:rsidP="00D231D0">
            <w:pPr>
              <w:spacing w:after="0" w:line="240" w:lineRule="auto"/>
              <w:jc w:val="center"/>
              <w:rPr>
                <w:rFonts w:ascii="Arial" w:hAnsi="Arial" w:cs="Arial"/>
                <w:b/>
                <w:sz w:val="20"/>
                <w:szCs w:val="20"/>
              </w:rPr>
            </w:pPr>
            <w:r w:rsidRPr="008A26D2">
              <w:rPr>
                <w:rFonts w:ascii="Arial" w:hAnsi="Arial" w:cs="Arial"/>
                <w:b/>
                <w:sz w:val="20"/>
                <w:szCs w:val="20"/>
              </w:rPr>
              <w:t>2030</w:t>
            </w:r>
          </w:p>
        </w:tc>
      </w:tr>
      <w:tr w:rsidR="008A26D2" w:rsidRPr="008A26D2" w14:paraId="435A93EA" w14:textId="77777777" w:rsidTr="006A2752">
        <w:trPr>
          <w:trHeight w:val="444"/>
        </w:trPr>
        <w:tc>
          <w:tcPr>
            <w:tcW w:w="838" w:type="dxa"/>
            <w:shd w:val="clear" w:color="auto" w:fill="auto"/>
            <w:tcMar>
              <w:top w:w="10" w:type="dxa"/>
              <w:left w:w="10" w:type="dxa"/>
              <w:bottom w:w="0" w:type="dxa"/>
              <w:right w:w="10" w:type="dxa"/>
            </w:tcMar>
            <w:vAlign w:val="center"/>
          </w:tcPr>
          <w:p w14:paraId="73D022D6" w14:textId="77777777" w:rsidR="00A90E9C" w:rsidRPr="008A26D2" w:rsidRDefault="00A90E9C" w:rsidP="0087293E">
            <w:pPr>
              <w:spacing w:after="0" w:line="240" w:lineRule="auto"/>
              <w:jc w:val="both"/>
              <w:rPr>
                <w:rFonts w:ascii="Arial" w:hAnsi="Arial" w:cs="Arial"/>
                <w:b/>
                <w:sz w:val="20"/>
                <w:szCs w:val="20"/>
              </w:rPr>
            </w:pPr>
            <w:r w:rsidRPr="008A26D2">
              <w:rPr>
                <w:rFonts w:ascii="Arial" w:hAnsi="Arial" w:cs="Arial"/>
                <w:b/>
                <w:sz w:val="20"/>
                <w:szCs w:val="20"/>
              </w:rPr>
              <w:t>Valor</w:t>
            </w:r>
          </w:p>
        </w:tc>
        <w:tc>
          <w:tcPr>
            <w:tcW w:w="856" w:type="dxa"/>
            <w:shd w:val="clear" w:color="auto" w:fill="auto"/>
            <w:tcMar>
              <w:top w:w="10" w:type="dxa"/>
              <w:left w:w="10" w:type="dxa"/>
              <w:bottom w:w="0" w:type="dxa"/>
              <w:right w:w="10" w:type="dxa"/>
            </w:tcMar>
            <w:vAlign w:val="center"/>
          </w:tcPr>
          <w:p w14:paraId="12D55C5D" w14:textId="58E43271" w:rsidR="00A90E9C" w:rsidRPr="008A26D2" w:rsidRDefault="00A90E9C" w:rsidP="00D231D0">
            <w:pPr>
              <w:spacing w:after="0" w:line="240" w:lineRule="auto"/>
              <w:jc w:val="center"/>
              <w:rPr>
                <w:rFonts w:ascii="Arial" w:hAnsi="Arial" w:cs="Arial"/>
                <w:sz w:val="20"/>
                <w:szCs w:val="20"/>
              </w:rPr>
            </w:pPr>
            <w:r w:rsidRPr="008A26D2">
              <w:rPr>
                <w:rFonts w:ascii="Arial" w:hAnsi="Arial" w:cs="Arial"/>
                <w:sz w:val="20"/>
                <w:szCs w:val="20"/>
              </w:rPr>
              <w:t>N</w:t>
            </w:r>
            <w:r w:rsidR="002A3BBD" w:rsidRPr="008A26D2">
              <w:rPr>
                <w:rFonts w:ascii="Arial" w:hAnsi="Arial" w:cs="Arial"/>
                <w:sz w:val="20"/>
                <w:szCs w:val="20"/>
              </w:rPr>
              <w:t>D</w:t>
            </w:r>
          </w:p>
        </w:tc>
        <w:tc>
          <w:tcPr>
            <w:tcW w:w="739" w:type="dxa"/>
            <w:gridSpan w:val="2"/>
            <w:shd w:val="clear" w:color="auto" w:fill="auto"/>
            <w:vAlign w:val="center"/>
          </w:tcPr>
          <w:p w14:paraId="1E450F90" w14:textId="77777777" w:rsidR="00A90E9C" w:rsidRPr="008A26D2" w:rsidRDefault="00A90E9C" w:rsidP="00D231D0">
            <w:pPr>
              <w:spacing w:after="0" w:line="240" w:lineRule="auto"/>
              <w:jc w:val="center"/>
              <w:rPr>
                <w:rFonts w:ascii="Arial" w:hAnsi="Arial" w:cs="Arial"/>
                <w:sz w:val="20"/>
                <w:szCs w:val="20"/>
              </w:rPr>
            </w:pPr>
            <w:r w:rsidRPr="008A26D2">
              <w:rPr>
                <w:rFonts w:ascii="Arial" w:hAnsi="Arial" w:cs="Arial"/>
                <w:sz w:val="20"/>
                <w:szCs w:val="20"/>
              </w:rPr>
              <w:t>70%</w:t>
            </w:r>
          </w:p>
        </w:tc>
        <w:tc>
          <w:tcPr>
            <w:tcW w:w="992" w:type="dxa"/>
            <w:shd w:val="clear" w:color="auto" w:fill="auto"/>
            <w:vAlign w:val="center"/>
          </w:tcPr>
          <w:p w14:paraId="5A72CE7E" w14:textId="77777777" w:rsidR="00A90E9C" w:rsidRPr="008A26D2" w:rsidRDefault="00A90E9C" w:rsidP="00D231D0">
            <w:pPr>
              <w:spacing w:after="0" w:line="240" w:lineRule="auto"/>
              <w:jc w:val="center"/>
              <w:rPr>
                <w:rFonts w:ascii="Arial" w:hAnsi="Arial" w:cs="Arial"/>
                <w:sz w:val="20"/>
                <w:szCs w:val="20"/>
              </w:rPr>
            </w:pPr>
            <w:r w:rsidRPr="008A26D2">
              <w:rPr>
                <w:rFonts w:ascii="Arial" w:hAnsi="Arial" w:cs="Arial"/>
                <w:sz w:val="20"/>
                <w:szCs w:val="20"/>
              </w:rPr>
              <w:t>70%</w:t>
            </w:r>
          </w:p>
        </w:tc>
        <w:tc>
          <w:tcPr>
            <w:tcW w:w="992" w:type="dxa"/>
            <w:gridSpan w:val="2"/>
            <w:shd w:val="clear" w:color="auto" w:fill="auto"/>
            <w:vAlign w:val="center"/>
          </w:tcPr>
          <w:p w14:paraId="0168A70C" w14:textId="77777777" w:rsidR="00A90E9C" w:rsidRPr="008A26D2" w:rsidRDefault="00A90E9C" w:rsidP="00D231D0">
            <w:pPr>
              <w:spacing w:after="0" w:line="240" w:lineRule="auto"/>
              <w:jc w:val="center"/>
              <w:rPr>
                <w:rFonts w:ascii="Arial" w:hAnsi="Arial" w:cs="Arial"/>
                <w:sz w:val="20"/>
                <w:szCs w:val="20"/>
              </w:rPr>
            </w:pPr>
            <w:r w:rsidRPr="008A26D2">
              <w:rPr>
                <w:rFonts w:ascii="Arial" w:hAnsi="Arial" w:cs="Arial"/>
                <w:sz w:val="20"/>
                <w:szCs w:val="20"/>
              </w:rPr>
              <w:t>70%</w:t>
            </w:r>
          </w:p>
        </w:tc>
        <w:tc>
          <w:tcPr>
            <w:tcW w:w="970" w:type="dxa"/>
            <w:shd w:val="clear" w:color="auto" w:fill="auto"/>
            <w:vAlign w:val="center"/>
          </w:tcPr>
          <w:p w14:paraId="26DD20B9" w14:textId="77777777" w:rsidR="00A90E9C" w:rsidRPr="008A26D2" w:rsidRDefault="00A90E9C" w:rsidP="00D231D0">
            <w:pPr>
              <w:spacing w:after="0" w:line="240" w:lineRule="auto"/>
              <w:jc w:val="center"/>
              <w:rPr>
                <w:rFonts w:ascii="Arial" w:hAnsi="Arial" w:cs="Arial"/>
                <w:sz w:val="20"/>
                <w:szCs w:val="20"/>
              </w:rPr>
            </w:pPr>
            <w:r w:rsidRPr="008A26D2">
              <w:rPr>
                <w:rFonts w:ascii="Arial" w:hAnsi="Arial" w:cs="Arial"/>
                <w:sz w:val="20"/>
                <w:szCs w:val="20"/>
              </w:rPr>
              <w:t>70%</w:t>
            </w:r>
          </w:p>
        </w:tc>
        <w:tc>
          <w:tcPr>
            <w:tcW w:w="850" w:type="dxa"/>
            <w:shd w:val="clear" w:color="auto" w:fill="auto"/>
            <w:vAlign w:val="center"/>
          </w:tcPr>
          <w:p w14:paraId="0C3D16E1" w14:textId="77777777" w:rsidR="00A90E9C" w:rsidRPr="008A26D2" w:rsidRDefault="00A90E9C" w:rsidP="00D231D0">
            <w:pPr>
              <w:spacing w:after="0" w:line="240" w:lineRule="auto"/>
              <w:jc w:val="center"/>
              <w:rPr>
                <w:rFonts w:ascii="Arial" w:hAnsi="Arial" w:cs="Arial"/>
                <w:sz w:val="20"/>
                <w:szCs w:val="20"/>
              </w:rPr>
            </w:pPr>
            <w:r w:rsidRPr="008A26D2">
              <w:rPr>
                <w:rFonts w:ascii="Arial" w:hAnsi="Arial" w:cs="Arial"/>
                <w:sz w:val="20"/>
                <w:szCs w:val="20"/>
              </w:rPr>
              <w:t>70%</w:t>
            </w:r>
          </w:p>
        </w:tc>
        <w:tc>
          <w:tcPr>
            <w:tcW w:w="709" w:type="dxa"/>
            <w:shd w:val="clear" w:color="auto" w:fill="auto"/>
            <w:vAlign w:val="center"/>
          </w:tcPr>
          <w:p w14:paraId="1EA36129" w14:textId="77777777" w:rsidR="00A90E9C" w:rsidRPr="008A26D2" w:rsidRDefault="00A90E9C" w:rsidP="00D231D0">
            <w:pPr>
              <w:spacing w:after="0" w:line="240" w:lineRule="auto"/>
              <w:jc w:val="center"/>
              <w:rPr>
                <w:rFonts w:ascii="Arial" w:hAnsi="Arial" w:cs="Arial"/>
                <w:sz w:val="20"/>
                <w:szCs w:val="20"/>
              </w:rPr>
            </w:pPr>
            <w:r w:rsidRPr="008A26D2">
              <w:rPr>
                <w:rFonts w:ascii="Arial" w:hAnsi="Arial" w:cs="Arial"/>
                <w:sz w:val="20"/>
                <w:szCs w:val="20"/>
              </w:rPr>
              <w:t>80%</w:t>
            </w:r>
          </w:p>
        </w:tc>
        <w:tc>
          <w:tcPr>
            <w:tcW w:w="851" w:type="dxa"/>
            <w:shd w:val="clear" w:color="auto" w:fill="auto"/>
            <w:vAlign w:val="center"/>
          </w:tcPr>
          <w:p w14:paraId="7CD3328D" w14:textId="77777777" w:rsidR="00A90E9C" w:rsidRPr="008A26D2" w:rsidRDefault="00A90E9C" w:rsidP="00D231D0">
            <w:pPr>
              <w:spacing w:after="0" w:line="240" w:lineRule="auto"/>
              <w:jc w:val="center"/>
              <w:rPr>
                <w:rFonts w:ascii="Arial" w:hAnsi="Arial" w:cs="Arial"/>
                <w:sz w:val="20"/>
                <w:szCs w:val="20"/>
              </w:rPr>
            </w:pPr>
            <w:r w:rsidRPr="008A26D2">
              <w:rPr>
                <w:rFonts w:ascii="Arial" w:hAnsi="Arial" w:cs="Arial"/>
                <w:sz w:val="20"/>
                <w:szCs w:val="20"/>
              </w:rPr>
              <w:t>85%</w:t>
            </w:r>
          </w:p>
        </w:tc>
        <w:tc>
          <w:tcPr>
            <w:tcW w:w="992" w:type="dxa"/>
            <w:shd w:val="clear" w:color="auto" w:fill="auto"/>
            <w:tcMar>
              <w:top w:w="10" w:type="dxa"/>
              <w:left w:w="10" w:type="dxa"/>
              <w:bottom w:w="0" w:type="dxa"/>
              <w:right w:w="10" w:type="dxa"/>
            </w:tcMar>
            <w:vAlign w:val="center"/>
          </w:tcPr>
          <w:p w14:paraId="4D474CD0" w14:textId="77777777" w:rsidR="00A90E9C" w:rsidRPr="008A26D2" w:rsidRDefault="00A90E9C" w:rsidP="00D231D0">
            <w:pPr>
              <w:spacing w:after="0" w:line="240" w:lineRule="auto"/>
              <w:jc w:val="center"/>
              <w:rPr>
                <w:rFonts w:ascii="Arial" w:hAnsi="Arial" w:cs="Arial"/>
                <w:sz w:val="20"/>
                <w:szCs w:val="20"/>
              </w:rPr>
            </w:pPr>
            <w:r w:rsidRPr="008A26D2">
              <w:rPr>
                <w:rFonts w:ascii="Arial" w:hAnsi="Arial" w:cs="Arial"/>
                <w:sz w:val="20"/>
                <w:szCs w:val="20"/>
              </w:rPr>
              <w:t>90%</w:t>
            </w:r>
          </w:p>
        </w:tc>
      </w:tr>
    </w:tbl>
    <w:p w14:paraId="04E9555F" w14:textId="77777777" w:rsidR="00A90E9C" w:rsidRPr="008A26D2" w:rsidRDefault="00A90E9C" w:rsidP="00A90E9C"/>
    <w:p w14:paraId="067CDD6E" w14:textId="77777777" w:rsidR="00A90E9C" w:rsidRPr="008A26D2" w:rsidRDefault="00A90E9C" w:rsidP="00A90E9C"/>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867"/>
        <w:gridCol w:w="786"/>
        <w:gridCol w:w="65"/>
        <w:gridCol w:w="992"/>
        <w:gridCol w:w="774"/>
        <w:gridCol w:w="218"/>
        <w:gridCol w:w="1134"/>
        <w:gridCol w:w="851"/>
        <w:gridCol w:w="688"/>
        <w:gridCol w:w="142"/>
        <w:gridCol w:w="850"/>
        <w:gridCol w:w="709"/>
      </w:tblGrid>
      <w:tr w:rsidR="008A26D2" w:rsidRPr="008A26D2" w14:paraId="738B165E" w14:textId="77777777" w:rsidTr="006A2752">
        <w:trPr>
          <w:trHeight w:val="61"/>
        </w:trPr>
        <w:tc>
          <w:tcPr>
            <w:tcW w:w="8784" w:type="dxa"/>
            <w:gridSpan w:val="13"/>
            <w:shd w:val="clear" w:color="auto" w:fill="FFFFFF"/>
            <w:tcMar>
              <w:top w:w="10" w:type="dxa"/>
              <w:left w:w="93" w:type="dxa"/>
              <w:bottom w:w="0" w:type="dxa"/>
              <w:right w:w="10" w:type="dxa"/>
            </w:tcMar>
            <w:vAlign w:val="center"/>
          </w:tcPr>
          <w:p w14:paraId="7F47761C" w14:textId="77777777" w:rsidR="00A90E9C" w:rsidRPr="008A26D2" w:rsidRDefault="00A90E9C" w:rsidP="00416EEF">
            <w:pPr>
              <w:pBdr>
                <w:top w:val="nil"/>
                <w:left w:val="nil"/>
                <w:bottom w:val="nil"/>
                <w:right w:val="nil"/>
                <w:between w:val="nil"/>
              </w:pBdr>
              <w:shd w:val="clear" w:color="auto" w:fill="BFBFBF" w:themeFill="background1" w:themeFillShade="BF"/>
              <w:spacing w:after="0" w:line="240" w:lineRule="auto"/>
              <w:jc w:val="center"/>
              <w:rPr>
                <w:rFonts w:ascii="Arial" w:hAnsi="Arial" w:cs="Arial"/>
                <w:sz w:val="20"/>
                <w:szCs w:val="20"/>
              </w:rPr>
            </w:pPr>
            <w:r w:rsidRPr="008A26D2">
              <w:rPr>
                <w:rFonts w:ascii="Arial" w:hAnsi="Arial" w:cs="Arial"/>
                <w:b/>
                <w:sz w:val="20"/>
                <w:szCs w:val="20"/>
              </w:rPr>
              <w:t>FICHA TÉCNICA DE INDICADOR DE SERVICIO 1.2.2</w:t>
            </w:r>
          </w:p>
        </w:tc>
      </w:tr>
      <w:tr w:rsidR="008A26D2" w:rsidRPr="008A26D2" w14:paraId="31F1E775" w14:textId="77777777" w:rsidTr="006A2752">
        <w:trPr>
          <w:trHeight w:val="409"/>
        </w:trPr>
        <w:tc>
          <w:tcPr>
            <w:tcW w:w="2361" w:type="dxa"/>
            <w:gridSpan w:val="3"/>
            <w:shd w:val="clear" w:color="auto" w:fill="FFFFFF"/>
            <w:tcMar>
              <w:top w:w="10" w:type="dxa"/>
              <w:left w:w="93" w:type="dxa"/>
              <w:bottom w:w="0" w:type="dxa"/>
              <w:right w:w="10" w:type="dxa"/>
            </w:tcMar>
            <w:vAlign w:val="center"/>
          </w:tcPr>
          <w:p w14:paraId="39E5FA47" w14:textId="77777777" w:rsidR="00A90E9C" w:rsidRPr="008A26D2" w:rsidRDefault="00A90E9C" w:rsidP="0087293E">
            <w:pPr>
              <w:jc w:val="both"/>
              <w:rPr>
                <w:rFonts w:ascii="Arial" w:hAnsi="Arial" w:cs="Arial"/>
                <w:b/>
                <w:sz w:val="20"/>
                <w:szCs w:val="20"/>
              </w:rPr>
            </w:pPr>
            <w:r w:rsidRPr="008A26D2">
              <w:rPr>
                <w:rFonts w:ascii="Arial" w:hAnsi="Arial" w:cs="Arial"/>
                <w:b/>
                <w:sz w:val="20"/>
                <w:szCs w:val="20"/>
              </w:rPr>
              <w:t>Objetivo prioritario:</w:t>
            </w:r>
          </w:p>
        </w:tc>
        <w:tc>
          <w:tcPr>
            <w:tcW w:w="6423" w:type="dxa"/>
            <w:gridSpan w:val="10"/>
            <w:shd w:val="clear" w:color="auto" w:fill="FFFFFF"/>
            <w:tcMar>
              <w:top w:w="51" w:type="dxa"/>
              <w:left w:w="227" w:type="dxa"/>
              <w:bottom w:w="51" w:type="dxa"/>
              <w:right w:w="227" w:type="dxa"/>
            </w:tcMar>
            <w:vAlign w:val="center"/>
          </w:tcPr>
          <w:p w14:paraId="46BF3F73" w14:textId="77777777" w:rsidR="00A90E9C" w:rsidRPr="008A26D2" w:rsidRDefault="00A90E9C" w:rsidP="0087293E">
            <w:pPr>
              <w:pBdr>
                <w:top w:val="nil"/>
                <w:left w:val="nil"/>
                <w:bottom w:val="nil"/>
                <w:right w:val="nil"/>
                <w:between w:val="nil"/>
              </w:pBdr>
              <w:spacing w:after="0" w:line="240" w:lineRule="auto"/>
              <w:ind w:left="-204"/>
              <w:jc w:val="both"/>
              <w:rPr>
                <w:rFonts w:ascii="Arial" w:eastAsia="Arial Narrow" w:hAnsi="Arial" w:cs="Arial"/>
                <w:sz w:val="20"/>
                <w:szCs w:val="20"/>
              </w:rPr>
            </w:pPr>
            <w:r w:rsidRPr="008A26D2">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r>
      <w:tr w:rsidR="008A26D2" w:rsidRPr="008A26D2" w14:paraId="3918C841" w14:textId="77777777" w:rsidTr="006A2752">
        <w:trPr>
          <w:trHeight w:val="436"/>
        </w:trPr>
        <w:tc>
          <w:tcPr>
            <w:tcW w:w="2361" w:type="dxa"/>
            <w:gridSpan w:val="3"/>
            <w:shd w:val="clear" w:color="auto" w:fill="auto"/>
            <w:tcMar>
              <w:top w:w="10" w:type="dxa"/>
              <w:left w:w="93" w:type="dxa"/>
              <w:bottom w:w="0" w:type="dxa"/>
              <w:right w:w="10" w:type="dxa"/>
            </w:tcMar>
            <w:vAlign w:val="center"/>
          </w:tcPr>
          <w:p w14:paraId="284954B0"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Lineamiento de la política:</w:t>
            </w:r>
          </w:p>
        </w:tc>
        <w:tc>
          <w:tcPr>
            <w:tcW w:w="6423" w:type="dxa"/>
            <w:gridSpan w:val="10"/>
            <w:shd w:val="clear" w:color="auto" w:fill="auto"/>
            <w:tcMar>
              <w:top w:w="51" w:type="dxa"/>
              <w:left w:w="227" w:type="dxa"/>
              <w:bottom w:w="51" w:type="dxa"/>
              <w:right w:w="227" w:type="dxa"/>
            </w:tcMar>
            <w:vAlign w:val="center"/>
          </w:tcPr>
          <w:p w14:paraId="2042ADF8" w14:textId="77777777" w:rsidR="00A90E9C" w:rsidRPr="008A26D2" w:rsidRDefault="00A90E9C" w:rsidP="0087293E">
            <w:pPr>
              <w:pBdr>
                <w:top w:val="nil"/>
                <w:left w:val="nil"/>
                <w:bottom w:val="nil"/>
                <w:right w:val="nil"/>
                <w:between w:val="nil"/>
              </w:pBdr>
              <w:spacing w:after="0" w:line="240" w:lineRule="auto"/>
              <w:ind w:left="-204"/>
              <w:jc w:val="both"/>
              <w:rPr>
                <w:rFonts w:ascii="Arial" w:eastAsia="Arial Narrow" w:hAnsi="Arial" w:cs="Arial"/>
                <w:sz w:val="20"/>
                <w:szCs w:val="20"/>
              </w:rPr>
            </w:pPr>
            <w:r w:rsidRPr="008A26D2">
              <w:rPr>
                <w:rFonts w:ascii="Arial" w:eastAsia="Arial Narrow" w:hAnsi="Arial" w:cs="Arial"/>
                <w:sz w:val="20"/>
                <w:szCs w:val="20"/>
              </w:rPr>
              <w:t>L1.2 Incrementar la superficie de plantaciones forestales y sistemas agroforestales</w:t>
            </w:r>
          </w:p>
        </w:tc>
      </w:tr>
      <w:tr w:rsidR="008A26D2" w:rsidRPr="008A26D2" w14:paraId="1EFACC4F" w14:textId="77777777" w:rsidTr="006A2752">
        <w:trPr>
          <w:trHeight w:val="404"/>
        </w:trPr>
        <w:tc>
          <w:tcPr>
            <w:tcW w:w="2361" w:type="dxa"/>
            <w:gridSpan w:val="3"/>
            <w:shd w:val="clear" w:color="auto" w:fill="auto"/>
            <w:tcMar>
              <w:top w:w="10" w:type="dxa"/>
              <w:left w:w="93" w:type="dxa"/>
              <w:bottom w:w="0" w:type="dxa"/>
              <w:right w:w="10" w:type="dxa"/>
            </w:tcMar>
            <w:vAlign w:val="center"/>
          </w:tcPr>
          <w:p w14:paraId="06C73232"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Nombre del servicio:</w:t>
            </w:r>
          </w:p>
        </w:tc>
        <w:tc>
          <w:tcPr>
            <w:tcW w:w="6423" w:type="dxa"/>
            <w:gridSpan w:val="10"/>
            <w:shd w:val="clear" w:color="auto" w:fill="auto"/>
            <w:tcMar>
              <w:top w:w="51" w:type="dxa"/>
              <w:left w:w="227" w:type="dxa"/>
              <w:bottom w:w="51" w:type="dxa"/>
              <w:right w:w="227" w:type="dxa"/>
            </w:tcMar>
            <w:vAlign w:val="center"/>
          </w:tcPr>
          <w:p w14:paraId="22DD4DB5" w14:textId="77777777" w:rsidR="00A90E9C" w:rsidRPr="008A26D2" w:rsidRDefault="00A90E9C" w:rsidP="0087293E">
            <w:pPr>
              <w:pBdr>
                <w:top w:val="nil"/>
                <w:left w:val="nil"/>
                <w:bottom w:val="nil"/>
                <w:right w:val="nil"/>
                <w:between w:val="nil"/>
              </w:pBdr>
              <w:spacing w:after="0" w:line="240" w:lineRule="auto"/>
              <w:ind w:left="-204"/>
              <w:jc w:val="both"/>
              <w:rPr>
                <w:rFonts w:ascii="Arial" w:eastAsia="Arial Narrow" w:hAnsi="Arial" w:cs="Arial"/>
                <w:sz w:val="20"/>
                <w:szCs w:val="20"/>
              </w:rPr>
            </w:pPr>
            <w:r w:rsidRPr="008A26D2">
              <w:rPr>
                <w:rFonts w:ascii="Arial" w:eastAsia="Arial Narrow" w:hAnsi="Arial" w:cs="Arial"/>
                <w:sz w:val="20"/>
                <w:szCs w:val="20"/>
              </w:rPr>
              <w:t xml:space="preserve">S1.2.2 Instalación de plantaciones forestales y sistemas agroforestales de forma oportuna en beneficio de los productores agrarios </w:t>
            </w:r>
          </w:p>
        </w:tc>
      </w:tr>
      <w:tr w:rsidR="008A26D2" w:rsidRPr="008A26D2" w14:paraId="7C8EA0F4" w14:textId="77777777" w:rsidTr="006A2752">
        <w:trPr>
          <w:trHeight w:val="577"/>
        </w:trPr>
        <w:tc>
          <w:tcPr>
            <w:tcW w:w="2361" w:type="dxa"/>
            <w:gridSpan w:val="3"/>
            <w:shd w:val="clear" w:color="auto" w:fill="auto"/>
            <w:tcMar>
              <w:top w:w="10" w:type="dxa"/>
              <w:left w:w="93" w:type="dxa"/>
              <w:bottom w:w="0" w:type="dxa"/>
              <w:right w:w="10" w:type="dxa"/>
            </w:tcMar>
            <w:vAlign w:val="center"/>
          </w:tcPr>
          <w:p w14:paraId="167CA4FB"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lastRenderedPageBreak/>
              <w:t>Nombre del indicador:</w:t>
            </w:r>
          </w:p>
        </w:tc>
        <w:tc>
          <w:tcPr>
            <w:tcW w:w="6423" w:type="dxa"/>
            <w:gridSpan w:val="10"/>
            <w:shd w:val="clear" w:color="auto" w:fill="auto"/>
            <w:tcMar>
              <w:top w:w="51" w:type="dxa"/>
              <w:left w:w="227" w:type="dxa"/>
              <w:bottom w:w="51" w:type="dxa"/>
              <w:right w:w="227" w:type="dxa"/>
            </w:tcMar>
            <w:vAlign w:val="bottom"/>
          </w:tcPr>
          <w:p w14:paraId="46D1E017" w14:textId="77777777" w:rsidR="00A90E9C" w:rsidRPr="008A26D2" w:rsidRDefault="00A90E9C" w:rsidP="0087293E">
            <w:pPr>
              <w:ind w:left="-204"/>
              <w:jc w:val="both"/>
              <w:rPr>
                <w:rFonts w:ascii="Arial" w:eastAsia="Arial Narrow" w:hAnsi="Arial" w:cs="Arial"/>
                <w:sz w:val="20"/>
                <w:szCs w:val="20"/>
              </w:rPr>
            </w:pPr>
            <w:r w:rsidRPr="008A26D2">
              <w:rPr>
                <w:rFonts w:ascii="Arial" w:eastAsia="Arial Narrow" w:hAnsi="Arial" w:cs="Arial"/>
                <w:sz w:val="20"/>
                <w:szCs w:val="20"/>
              </w:rPr>
              <w:t>Porcentaje de hectáreas de plantaciones forestales y sistemas agroforestales instalados de manera oportuna.</w:t>
            </w:r>
          </w:p>
        </w:tc>
      </w:tr>
      <w:tr w:rsidR="008A26D2" w:rsidRPr="008A26D2" w14:paraId="11FCAA2A" w14:textId="77777777" w:rsidTr="006A2752">
        <w:trPr>
          <w:trHeight w:val="577"/>
        </w:trPr>
        <w:tc>
          <w:tcPr>
            <w:tcW w:w="2361" w:type="dxa"/>
            <w:gridSpan w:val="3"/>
            <w:shd w:val="clear" w:color="auto" w:fill="auto"/>
            <w:tcMar>
              <w:top w:w="10" w:type="dxa"/>
              <w:left w:w="93" w:type="dxa"/>
              <w:bottom w:w="0" w:type="dxa"/>
              <w:right w:w="10" w:type="dxa"/>
            </w:tcMar>
            <w:vAlign w:val="center"/>
          </w:tcPr>
          <w:p w14:paraId="06C19F3D"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Justificación:</w:t>
            </w:r>
          </w:p>
        </w:tc>
        <w:tc>
          <w:tcPr>
            <w:tcW w:w="6423" w:type="dxa"/>
            <w:gridSpan w:val="10"/>
            <w:shd w:val="clear" w:color="auto" w:fill="auto"/>
            <w:tcMar>
              <w:top w:w="51" w:type="dxa"/>
              <w:left w:w="227" w:type="dxa"/>
              <w:bottom w:w="51" w:type="dxa"/>
              <w:right w:w="227" w:type="dxa"/>
            </w:tcMar>
            <w:vAlign w:val="center"/>
          </w:tcPr>
          <w:p w14:paraId="4D069E88" w14:textId="77777777" w:rsidR="00A90E9C" w:rsidRPr="008A26D2" w:rsidRDefault="00A90E9C" w:rsidP="0087293E">
            <w:pPr>
              <w:ind w:left="-204"/>
              <w:jc w:val="both"/>
              <w:rPr>
                <w:rFonts w:ascii="Arial" w:eastAsia="Arial Narrow" w:hAnsi="Arial" w:cs="Arial"/>
                <w:sz w:val="20"/>
                <w:szCs w:val="20"/>
              </w:rPr>
            </w:pPr>
            <w:r w:rsidRPr="008A26D2">
              <w:rPr>
                <w:rFonts w:ascii="Arial" w:eastAsia="Arial Narrow" w:hAnsi="Arial" w:cs="Arial"/>
                <w:sz w:val="20"/>
                <w:szCs w:val="20"/>
              </w:rPr>
              <w:t xml:space="preserve">Este indicador permite medir el porcentaje de hectáreas de plantaciones y sistemas agroforestales instaladas oportunamente, de acuerdo al calendario forestal de la zona.  </w:t>
            </w:r>
          </w:p>
        </w:tc>
      </w:tr>
      <w:tr w:rsidR="008A26D2" w:rsidRPr="008A26D2" w14:paraId="717BE1F5" w14:textId="77777777" w:rsidTr="006A2752">
        <w:trPr>
          <w:trHeight w:val="352"/>
        </w:trPr>
        <w:tc>
          <w:tcPr>
            <w:tcW w:w="2361" w:type="dxa"/>
            <w:gridSpan w:val="3"/>
            <w:shd w:val="clear" w:color="auto" w:fill="auto"/>
            <w:tcMar>
              <w:top w:w="10" w:type="dxa"/>
              <w:left w:w="93" w:type="dxa"/>
              <w:bottom w:w="0" w:type="dxa"/>
              <w:right w:w="10" w:type="dxa"/>
            </w:tcMar>
            <w:vAlign w:val="center"/>
          </w:tcPr>
          <w:p w14:paraId="2518D02C"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Responsable del indicador:</w:t>
            </w:r>
          </w:p>
        </w:tc>
        <w:tc>
          <w:tcPr>
            <w:tcW w:w="6423" w:type="dxa"/>
            <w:gridSpan w:val="10"/>
            <w:shd w:val="clear" w:color="auto" w:fill="auto"/>
            <w:tcMar>
              <w:top w:w="51" w:type="dxa"/>
              <w:left w:w="227" w:type="dxa"/>
              <w:bottom w:w="51" w:type="dxa"/>
              <w:right w:w="227" w:type="dxa"/>
            </w:tcMar>
            <w:vAlign w:val="center"/>
          </w:tcPr>
          <w:p w14:paraId="43F6E354" w14:textId="482AE62B" w:rsidR="00A90E9C" w:rsidRPr="008A26D2" w:rsidRDefault="00A90E9C" w:rsidP="0087293E">
            <w:pPr>
              <w:ind w:left="-40"/>
              <w:jc w:val="both"/>
              <w:rPr>
                <w:rFonts w:ascii="Arial" w:eastAsia="Arial Narrow" w:hAnsi="Arial" w:cs="Arial"/>
                <w:sz w:val="20"/>
                <w:szCs w:val="20"/>
              </w:rPr>
            </w:pPr>
            <w:r w:rsidRPr="008A26D2">
              <w:rPr>
                <w:rFonts w:ascii="Arial" w:eastAsia="Arial Narrow" w:hAnsi="Arial" w:cs="Arial"/>
                <w:sz w:val="20"/>
                <w:szCs w:val="20"/>
              </w:rPr>
              <w:t>Unidad Funcional de Plantaciones Forestales de la Dirección General de Política y Competitividad Forestal y de Fauna Silvestre del Servicio Nacional Forestal y de Fauna Silvestre</w:t>
            </w:r>
            <w:r w:rsidR="00B720CA" w:rsidRPr="008A26D2">
              <w:rPr>
                <w:rFonts w:ascii="Arial" w:eastAsia="Arial Narrow" w:hAnsi="Arial" w:cs="Arial"/>
                <w:sz w:val="20"/>
                <w:szCs w:val="20"/>
              </w:rPr>
              <w:t xml:space="preserve"> - SERFOR</w:t>
            </w:r>
          </w:p>
        </w:tc>
      </w:tr>
      <w:tr w:rsidR="008A26D2" w:rsidRPr="008A26D2" w14:paraId="60E80985" w14:textId="77777777" w:rsidTr="00BD1985">
        <w:trPr>
          <w:trHeight w:val="681"/>
        </w:trPr>
        <w:tc>
          <w:tcPr>
            <w:tcW w:w="2361" w:type="dxa"/>
            <w:gridSpan w:val="3"/>
            <w:shd w:val="clear" w:color="auto" w:fill="auto"/>
            <w:tcMar>
              <w:top w:w="10" w:type="dxa"/>
              <w:left w:w="93" w:type="dxa"/>
              <w:bottom w:w="0" w:type="dxa"/>
              <w:right w:w="10" w:type="dxa"/>
            </w:tcMar>
            <w:vAlign w:val="center"/>
          </w:tcPr>
          <w:p w14:paraId="3898690B"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Limitaciones para la medición del indicador:</w:t>
            </w:r>
          </w:p>
        </w:tc>
        <w:tc>
          <w:tcPr>
            <w:tcW w:w="6423" w:type="dxa"/>
            <w:gridSpan w:val="10"/>
            <w:shd w:val="clear" w:color="auto" w:fill="auto"/>
            <w:tcMar>
              <w:top w:w="51" w:type="dxa"/>
              <w:left w:w="227" w:type="dxa"/>
              <w:bottom w:w="51" w:type="dxa"/>
              <w:right w:w="227" w:type="dxa"/>
            </w:tcMar>
            <w:vAlign w:val="center"/>
          </w:tcPr>
          <w:p w14:paraId="4A029A58" w14:textId="77777777" w:rsidR="00A90E9C" w:rsidRPr="008A26D2" w:rsidRDefault="00A90E9C" w:rsidP="0087293E">
            <w:pPr>
              <w:jc w:val="both"/>
              <w:rPr>
                <w:rFonts w:ascii="Arial" w:hAnsi="Arial" w:cs="Arial"/>
                <w:sz w:val="20"/>
                <w:szCs w:val="20"/>
              </w:rPr>
            </w:pPr>
            <w:r w:rsidRPr="008A26D2">
              <w:rPr>
                <w:rFonts w:ascii="Arial" w:eastAsia="Arial Narrow" w:hAnsi="Arial" w:cs="Arial"/>
                <w:sz w:val="20"/>
                <w:szCs w:val="20"/>
              </w:rPr>
              <w:t>No presenta limitaciones</w:t>
            </w:r>
          </w:p>
        </w:tc>
      </w:tr>
      <w:tr w:rsidR="008A26D2" w:rsidRPr="008A26D2" w14:paraId="6B919EA7" w14:textId="77777777" w:rsidTr="006A2752">
        <w:trPr>
          <w:trHeight w:val="231"/>
        </w:trPr>
        <w:tc>
          <w:tcPr>
            <w:tcW w:w="2361" w:type="dxa"/>
            <w:gridSpan w:val="3"/>
            <w:shd w:val="clear" w:color="auto" w:fill="auto"/>
            <w:tcMar>
              <w:top w:w="10" w:type="dxa"/>
              <w:left w:w="93" w:type="dxa"/>
              <w:bottom w:w="0" w:type="dxa"/>
              <w:right w:w="10" w:type="dxa"/>
            </w:tcMar>
            <w:vAlign w:val="center"/>
          </w:tcPr>
          <w:p w14:paraId="40C20E34"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 xml:space="preserve">Método de cálculo: </w:t>
            </w:r>
          </w:p>
        </w:tc>
        <w:tc>
          <w:tcPr>
            <w:tcW w:w="6423" w:type="dxa"/>
            <w:gridSpan w:val="10"/>
            <w:shd w:val="clear" w:color="auto" w:fill="auto"/>
            <w:tcMar>
              <w:top w:w="51" w:type="dxa"/>
              <w:left w:w="227" w:type="dxa"/>
              <w:bottom w:w="51" w:type="dxa"/>
              <w:right w:w="227" w:type="dxa"/>
            </w:tcMar>
            <w:vAlign w:val="center"/>
          </w:tcPr>
          <w:p w14:paraId="6FA7C764" w14:textId="77777777" w:rsidR="00A90E9C" w:rsidRPr="008A26D2" w:rsidRDefault="00A90E9C" w:rsidP="0087293E">
            <w:pPr>
              <w:jc w:val="both"/>
              <w:rPr>
                <w:rFonts w:ascii="Arial" w:eastAsia="Arial Narrow" w:hAnsi="Arial" w:cs="Arial"/>
                <w:b/>
                <w:sz w:val="20"/>
                <w:szCs w:val="20"/>
              </w:rPr>
            </w:pPr>
            <w:r w:rsidRPr="008A26D2">
              <w:rPr>
                <w:rFonts w:ascii="Arial" w:eastAsia="Arial Narrow" w:hAnsi="Arial" w:cs="Arial"/>
                <w:b/>
                <w:sz w:val="20"/>
                <w:szCs w:val="20"/>
              </w:rPr>
              <w:t>1. Fórmula:</w:t>
            </w:r>
          </w:p>
          <w:p w14:paraId="129933C1" w14:textId="3CB121B2" w:rsidR="00A90E9C" w:rsidRPr="008A26D2" w:rsidRDefault="00B720CA" w:rsidP="0087293E">
            <w:pPr>
              <w:jc w:val="both"/>
              <w:rPr>
                <w:rFonts w:ascii="Arial" w:eastAsia="Arial Narrow" w:hAnsi="Arial" w:cs="Arial"/>
                <w:sz w:val="20"/>
                <w:szCs w:val="20"/>
              </w:rPr>
            </w:pPr>
            <w:r w:rsidRPr="008A26D2">
              <w:rPr>
                <w:rFonts w:ascii="Arial" w:eastAsia="Arial Narrow" w:hAnsi="Arial" w:cs="Arial"/>
                <w:sz w:val="20"/>
                <w:szCs w:val="20"/>
              </w:rPr>
              <w:t>(</w:t>
            </w:r>
            <w:r w:rsidR="00A90E9C" w:rsidRPr="008A26D2">
              <w:rPr>
                <w:rFonts w:ascii="Arial" w:eastAsia="Arial Narrow" w:hAnsi="Arial" w:cs="Arial"/>
                <w:sz w:val="20"/>
                <w:szCs w:val="20"/>
              </w:rPr>
              <w:t>A/B</w:t>
            </w:r>
            <w:r w:rsidRPr="008A26D2">
              <w:rPr>
                <w:rFonts w:ascii="Arial" w:eastAsia="Arial Narrow" w:hAnsi="Arial" w:cs="Arial"/>
                <w:sz w:val="20"/>
                <w:szCs w:val="20"/>
              </w:rPr>
              <w:t>)</w:t>
            </w:r>
            <w:r w:rsidR="00A90E9C" w:rsidRPr="008A26D2">
              <w:rPr>
                <w:rFonts w:ascii="Arial" w:eastAsia="Arial Narrow" w:hAnsi="Arial" w:cs="Arial"/>
                <w:sz w:val="20"/>
                <w:szCs w:val="20"/>
              </w:rPr>
              <w:t>*100</w:t>
            </w:r>
          </w:p>
          <w:p w14:paraId="1A63204C" w14:textId="77777777" w:rsidR="00A90E9C" w:rsidRPr="008A26D2" w:rsidRDefault="00A90E9C" w:rsidP="0087293E">
            <w:pPr>
              <w:jc w:val="both"/>
              <w:rPr>
                <w:rFonts w:ascii="Arial" w:eastAsia="Arial Narrow" w:hAnsi="Arial" w:cs="Arial"/>
                <w:sz w:val="20"/>
                <w:szCs w:val="20"/>
              </w:rPr>
            </w:pPr>
            <w:r w:rsidRPr="008A26D2">
              <w:rPr>
                <w:rFonts w:ascii="Arial" w:eastAsia="Arial Narrow" w:hAnsi="Arial" w:cs="Arial"/>
                <w:sz w:val="20"/>
                <w:szCs w:val="20"/>
              </w:rPr>
              <w:t>Donde:</w:t>
            </w:r>
          </w:p>
          <w:p w14:paraId="67DACB63" w14:textId="1C3C6763" w:rsidR="00A90E9C" w:rsidRPr="008A26D2" w:rsidRDefault="00A90E9C" w:rsidP="0087293E">
            <w:pPr>
              <w:ind w:left="385" w:hanging="385"/>
              <w:jc w:val="both"/>
              <w:rPr>
                <w:rFonts w:ascii="Arial" w:eastAsia="Arial Narrow" w:hAnsi="Arial" w:cs="Arial"/>
                <w:sz w:val="20"/>
                <w:szCs w:val="20"/>
              </w:rPr>
            </w:pPr>
            <w:r w:rsidRPr="008A26D2">
              <w:rPr>
                <w:rFonts w:ascii="Arial" w:eastAsia="Arial Narrow" w:hAnsi="Arial" w:cs="Arial"/>
                <w:sz w:val="20"/>
                <w:szCs w:val="20"/>
              </w:rPr>
              <w:t xml:space="preserve">A = Número de hectáreas de plantaciones forestales </w:t>
            </w:r>
            <w:r w:rsidR="007376F0">
              <w:rPr>
                <w:rFonts w:ascii="Arial" w:eastAsia="Arial Narrow" w:hAnsi="Arial" w:cs="Arial"/>
                <w:sz w:val="20"/>
                <w:szCs w:val="20"/>
              </w:rPr>
              <w:t>o</w:t>
            </w:r>
            <w:r w:rsidRPr="008A26D2">
              <w:rPr>
                <w:rFonts w:ascii="Arial" w:eastAsia="Arial Narrow" w:hAnsi="Arial" w:cs="Arial"/>
                <w:sz w:val="20"/>
                <w:szCs w:val="20"/>
              </w:rPr>
              <w:t xml:space="preserve"> sistemas agroforestales instalados de manera oportuna</w:t>
            </w:r>
          </w:p>
          <w:p w14:paraId="4FB9959E" w14:textId="1C445F38" w:rsidR="00A90E9C" w:rsidRPr="008A26D2" w:rsidRDefault="00A90E9C" w:rsidP="0087293E">
            <w:pPr>
              <w:ind w:left="385" w:hanging="385"/>
              <w:jc w:val="both"/>
              <w:rPr>
                <w:rFonts w:ascii="Arial" w:eastAsia="Arial Narrow" w:hAnsi="Arial" w:cs="Arial"/>
                <w:sz w:val="20"/>
                <w:szCs w:val="20"/>
              </w:rPr>
            </w:pPr>
            <w:r w:rsidRPr="008A26D2">
              <w:rPr>
                <w:rFonts w:ascii="Arial" w:eastAsia="Arial Narrow" w:hAnsi="Arial" w:cs="Arial"/>
                <w:sz w:val="20"/>
                <w:szCs w:val="20"/>
              </w:rPr>
              <w:t xml:space="preserve">B = Total de hectáreas de plantaciones forestales </w:t>
            </w:r>
            <w:r w:rsidR="007376F0">
              <w:rPr>
                <w:rFonts w:ascii="Arial" w:eastAsia="Arial Narrow" w:hAnsi="Arial" w:cs="Arial"/>
                <w:sz w:val="20"/>
                <w:szCs w:val="20"/>
              </w:rPr>
              <w:t>o</w:t>
            </w:r>
            <w:r w:rsidRPr="008A26D2">
              <w:rPr>
                <w:rFonts w:ascii="Arial" w:eastAsia="Arial Narrow" w:hAnsi="Arial" w:cs="Arial"/>
                <w:sz w:val="20"/>
                <w:szCs w:val="20"/>
              </w:rPr>
              <w:t xml:space="preserve"> sistemas agroforestales instalados </w:t>
            </w:r>
          </w:p>
          <w:p w14:paraId="1DADA385" w14:textId="77777777" w:rsidR="00A90E9C" w:rsidRPr="008A26D2" w:rsidRDefault="00A90E9C" w:rsidP="0087293E">
            <w:pPr>
              <w:jc w:val="both"/>
              <w:rPr>
                <w:rFonts w:ascii="Arial" w:eastAsia="Arial Narrow" w:hAnsi="Arial" w:cs="Arial"/>
                <w:b/>
                <w:sz w:val="20"/>
                <w:szCs w:val="20"/>
              </w:rPr>
            </w:pPr>
            <w:r w:rsidRPr="008A26D2">
              <w:rPr>
                <w:rFonts w:ascii="Arial" w:eastAsia="Arial Narrow" w:hAnsi="Arial" w:cs="Arial"/>
                <w:b/>
                <w:sz w:val="20"/>
                <w:szCs w:val="20"/>
                <w:lang w:val="es-MX"/>
              </w:rPr>
              <w:t xml:space="preserve">2. </w:t>
            </w:r>
            <w:r w:rsidRPr="008A26D2">
              <w:rPr>
                <w:rFonts w:ascii="Arial" w:eastAsia="Arial Narrow" w:hAnsi="Arial" w:cs="Arial"/>
                <w:b/>
                <w:sz w:val="20"/>
                <w:szCs w:val="20"/>
              </w:rPr>
              <w:t>Especificaciones técnicas:</w:t>
            </w:r>
          </w:p>
          <w:p w14:paraId="4C7C15A5" w14:textId="3FE8C92A" w:rsidR="00A90E9C" w:rsidRDefault="000B33D8" w:rsidP="0087293E">
            <w:pPr>
              <w:jc w:val="both"/>
              <w:rPr>
                <w:rFonts w:ascii="Arial" w:hAnsi="Arial" w:cs="Arial"/>
                <w:bCs/>
                <w:sz w:val="20"/>
                <w:szCs w:val="20"/>
              </w:rPr>
            </w:pPr>
            <w:r>
              <w:rPr>
                <w:rFonts w:ascii="Arial" w:hAnsi="Arial" w:cs="Arial"/>
                <w:bCs/>
                <w:sz w:val="20"/>
                <w:szCs w:val="20"/>
              </w:rPr>
              <w:t>La variable A s</w:t>
            </w:r>
            <w:r w:rsidR="00A90E9C" w:rsidRPr="008A26D2">
              <w:rPr>
                <w:rFonts w:ascii="Arial" w:hAnsi="Arial" w:cs="Arial"/>
                <w:bCs/>
                <w:sz w:val="20"/>
                <w:szCs w:val="20"/>
              </w:rPr>
              <w:t>e</w:t>
            </w:r>
            <w:r>
              <w:rPr>
                <w:rFonts w:ascii="Arial" w:hAnsi="Arial" w:cs="Arial"/>
                <w:bCs/>
                <w:sz w:val="20"/>
                <w:szCs w:val="20"/>
              </w:rPr>
              <w:t xml:space="preserve"> determina a partir de </w:t>
            </w:r>
            <w:r w:rsidR="00D231D0">
              <w:rPr>
                <w:rFonts w:ascii="Arial" w:hAnsi="Arial" w:cs="Arial"/>
                <w:bCs/>
                <w:sz w:val="20"/>
                <w:szCs w:val="20"/>
              </w:rPr>
              <w:t xml:space="preserve">las hectáreas de las </w:t>
            </w:r>
            <w:r w:rsidR="00A90E9C" w:rsidRPr="008A26D2">
              <w:rPr>
                <w:rFonts w:ascii="Arial" w:hAnsi="Arial" w:cs="Arial"/>
                <w:bCs/>
                <w:sz w:val="20"/>
                <w:szCs w:val="20"/>
              </w:rPr>
              <w:t>plantaci</w:t>
            </w:r>
            <w:r>
              <w:rPr>
                <w:rFonts w:ascii="Arial" w:hAnsi="Arial" w:cs="Arial"/>
                <w:bCs/>
                <w:sz w:val="20"/>
                <w:szCs w:val="20"/>
              </w:rPr>
              <w:t xml:space="preserve">ones </w:t>
            </w:r>
            <w:r w:rsidR="00A90E9C" w:rsidRPr="008A26D2">
              <w:rPr>
                <w:rFonts w:ascii="Arial" w:hAnsi="Arial" w:cs="Arial"/>
                <w:bCs/>
                <w:sz w:val="20"/>
                <w:szCs w:val="20"/>
              </w:rPr>
              <w:t>forestal</w:t>
            </w:r>
            <w:r>
              <w:rPr>
                <w:rFonts w:ascii="Arial" w:hAnsi="Arial" w:cs="Arial"/>
                <w:bCs/>
                <w:sz w:val="20"/>
                <w:szCs w:val="20"/>
              </w:rPr>
              <w:t>es</w:t>
            </w:r>
            <w:r w:rsidR="00A90E9C" w:rsidRPr="008A26D2">
              <w:rPr>
                <w:rFonts w:ascii="Arial" w:hAnsi="Arial" w:cs="Arial"/>
                <w:bCs/>
                <w:sz w:val="20"/>
                <w:szCs w:val="20"/>
              </w:rPr>
              <w:t xml:space="preserve"> </w:t>
            </w:r>
            <w:r w:rsidR="007376F0">
              <w:rPr>
                <w:rFonts w:ascii="Arial" w:hAnsi="Arial" w:cs="Arial"/>
                <w:bCs/>
                <w:sz w:val="20"/>
                <w:szCs w:val="20"/>
              </w:rPr>
              <w:t>o</w:t>
            </w:r>
            <w:r w:rsidR="00A90E9C" w:rsidRPr="008A26D2">
              <w:rPr>
                <w:rFonts w:ascii="Arial" w:hAnsi="Arial" w:cs="Arial"/>
                <w:bCs/>
                <w:sz w:val="20"/>
                <w:szCs w:val="20"/>
              </w:rPr>
              <w:t xml:space="preserve"> sistema</w:t>
            </w:r>
            <w:r>
              <w:rPr>
                <w:rFonts w:ascii="Arial" w:hAnsi="Arial" w:cs="Arial"/>
                <w:bCs/>
                <w:sz w:val="20"/>
                <w:szCs w:val="20"/>
              </w:rPr>
              <w:t>s</w:t>
            </w:r>
            <w:r w:rsidR="00A90E9C" w:rsidRPr="008A26D2">
              <w:rPr>
                <w:rFonts w:ascii="Arial" w:hAnsi="Arial" w:cs="Arial"/>
                <w:bCs/>
                <w:sz w:val="20"/>
                <w:szCs w:val="20"/>
              </w:rPr>
              <w:t xml:space="preserve"> agroforestal</w:t>
            </w:r>
            <w:r>
              <w:rPr>
                <w:rFonts w:ascii="Arial" w:hAnsi="Arial" w:cs="Arial"/>
                <w:bCs/>
                <w:sz w:val="20"/>
                <w:szCs w:val="20"/>
              </w:rPr>
              <w:t>es</w:t>
            </w:r>
            <w:r w:rsidR="00A90E9C" w:rsidRPr="008A26D2">
              <w:rPr>
                <w:rFonts w:ascii="Arial" w:hAnsi="Arial" w:cs="Arial"/>
                <w:bCs/>
                <w:sz w:val="20"/>
                <w:szCs w:val="20"/>
              </w:rPr>
              <w:t xml:space="preserve"> instalado</w:t>
            </w:r>
            <w:r>
              <w:rPr>
                <w:rFonts w:ascii="Arial" w:hAnsi="Arial" w:cs="Arial"/>
                <w:bCs/>
                <w:sz w:val="20"/>
                <w:szCs w:val="20"/>
              </w:rPr>
              <w:t>s</w:t>
            </w:r>
            <w:r w:rsidR="00A90E9C" w:rsidRPr="008A26D2">
              <w:rPr>
                <w:rFonts w:ascii="Arial" w:hAnsi="Arial" w:cs="Arial"/>
                <w:bCs/>
                <w:sz w:val="20"/>
                <w:szCs w:val="20"/>
              </w:rPr>
              <w:t xml:space="preserve"> </w:t>
            </w:r>
            <w:r w:rsidR="00BC4F38">
              <w:rPr>
                <w:rFonts w:ascii="Arial" w:hAnsi="Arial" w:cs="Arial"/>
                <w:bCs/>
                <w:sz w:val="20"/>
                <w:szCs w:val="20"/>
              </w:rPr>
              <w:t>dentro de</w:t>
            </w:r>
            <w:r w:rsidR="00AF63EE">
              <w:rPr>
                <w:rFonts w:ascii="Arial" w:hAnsi="Arial" w:cs="Arial"/>
                <w:bCs/>
                <w:sz w:val="20"/>
                <w:szCs w:val="20"/>
              </w:rPr>
              <w:t>l</w:t>
            </w:r>
            <w:r w:rsidR="00A90E9C" w:rsidRPr="008A26D2">
              <w:rPr>
                <w:rFonts w:ascii="Arial" w:hAnsi="Arial" w:cs="Arial"/>
                <w:bCs/>
                <w:sz w:val="20"/>
                <w:szCs w:val="20"/>
              </w:rPr>
              <w:t xml:space="preserve"> </w:t>
            </w:r>
            <w:r w:rsidR="002D364E">
              <w:rPr>
                <w:rFonts w:ascii="Arial" w:hAnsi="Arial" w:cs="Arial"/>
                <w:bCs/>
                <w:sz w:val="20"/>
                <w:szCs w:val="20"/>
              </w:rPr>
              <w:t>cronograma</w:t>
            </w:r>
            <w:r w:rsidR="00A90E9C" w:rsidRPr="008A26D2">
              <w:rPr>
                <w:rFonts w:ascii="Arial" w:hAnsi="Arial" w:cs="Arial"/>
                <w:bCs/>
                <w:sz w:val="20"/>
                <w:szCs w:val="20"/>
              </w:rPr>
              <w:t xml:space="preserve"> determinado por el Calendario Forestal, es decir</w:t>
            </w:r>
            <w:r w:rsidR="005324E8">
              <w:rPr>
                <w:rFonts w:ascii="Arial" w:hAnsi="Arial" w:cs="Arial"/>
                <w:bCs/>
                <w:sz w:val="20"/>
                <w:szCs w:val="20"/>
              </w:rPr>
              <w:t>,</w:t>
            </w:r>
            <w:r w:rsidR="00A90E9C" w:rsidRPr="008A26D2">
              <w:rPr>
                <w:rFonts w:ascii="Arial" w:hAnsi="Arial" w:cs="Arial"/>
                <w:bCs/>
                <w:sz w:val="20"/>
                <w:szCs w:val="20"/>
              </w:rPr>
              <w:t xml:space="preserve"> </w:t>
            </w:r>
            <w:r w:rsidR="00A90E9C" w:rsidRPr="008A26D2">
              <w:rPr>
                <w:rFonts w:ascii="Arial" w:eastAsia="Arial Narrow" w:hAnsi="Arial" w:cs="Arial"/>
                <w:sz w:val="20"/>
                <w:szCs w:val="20"/>
              </w:rPr>
              <w:t>entre los meses de noviembre del año 1 a marzo del año 2</w:t>
            </w:r>
            <w:r w:rsidR="00A90E9C" w:rsidRPr="008A26D2">
              <w:rPr>
                <w:rFonts w:ascii="Arial" w:hAnsi="Arial" w:cs="Arial"/>
                <w:bCs/>
                <w:sz w:val="20"/>
                <w:szCs w:val="20"/>
              </w:rPr>
              <w:t>, aprovechando la temporada de lluvias en la zona.</w:t>
            </w:r>
          </w:p>
          <w:p w14:paraId="2966E5FB" w14:textId="5DC21AC2" w:rsidR="000B33D8" w:rsidRPr="008A26D2" w:rsidRDefault="000B33D8" w:rsidP="0087293E">
            <w:pPr>
              <w:jc w:val="both"/>
              <w:rPr>
                <w:rFonts w:ascii="Arial" w:hAnsi="Arial" w:cs="Arial"/>
                <w:sz w:val="20"/>
                <w:szCs w:val="20"/>
              </w:rPr>
            </w:pPr>
            <w:r>
              <w:rPr>
                <w:rFonts w:ascii="Arial" w:hAnsi="Arial" w:cs="Arial"/>
                <w:bCs/>
                <w:sz w:val="20"/>
                <w:szCs w:val="20"/>
              </w:rPr>
              <w:t xml:space="preserve">La variable B se determina </w:t>
            </w:r>
            <w:r w:rsidR="00DC2673">
              <w:rPr>
                <w:rFonts w:ascii="Arial" w:hAnsi="Arial" w:cs="Arial"/>
                <w:bCs/>
                <w:sz w:val="20"/>
                <w:szCs w:val="20"/>
              </w:rPr>
              <w:t>en base al</w:t>
            </w:r>
            <w:r>
              <w:rPr>
                <w:rFonts w:ascii="Arial" w:hAnsi="Arial" w:cs="Arial"/>
                <w:bCs/>
                <w:sz w:val="20"/>
                <w:szCs w:val="20"/>
              </w:rPr>
              <w:t xml:space="preserve"> total de </w:t>
            </w:r>
            <w:r w:rsidR="00DC2673">
              <w:rPr>
                <w:rFonts w:ascii="Arial" w:hAnsi="Arial" w:cs="Arial"/>
                <w:bCs/>
                <w:sz w:val="20"/>
                <w:szCs w:val="20"/>
              </w:rPr>
              <w:t xml:space="preserve">hectáreas de </w:t>
            </w:r>
            <w:r w:rsidRPr="000B33D8">
              <w:rPr>
                <w:rFonts w:ascii="Arial" w:hAnsi="Arial" w:cs="Arial"/>
                <w:bCs/>
                <w:sz w:val="20"/>
                <w:szCs w:val="20"/>
              </w:rPr>
              <w:t>plantaciones forestales o sistemas agroforestales</w:t>
            </w:r>
            <w:r>
              <w:rPr>
                <w:rFonts w:ascii="Arial" w:hAnsi="Arial" w:cs="Arial"/>
                <w:bCs/>
                <w:sz w:val="20"/>
                <w:szCs w:val="20"/>
              </w:rPr>
              <w:t xml:space="preserve"> </w:t>
            </w:r>
            <w:r w:rsidR="00D231D0">
              <w:rPr>
                <w:rFonts w:ascii="Arial" w:hAnsi="Arial" w:cs="Arial"/>
                <w:bCs/>
                <w:sz w:val="20"/>
                <w:szCs w:val="20"/>
              </w:rPr>
              <w:t>instalados</w:t>
            </w:r>
            <w:r w:rsidR="00DC2673">
              <w:rPr>
                <w:rFonts w:ascii="Arial" w:hAnsi="Arial" w:cs="Arial"/>
                <w:bCs/>
                <w:sz w:val="20"/>
                <w:szCs w:val="20"/>
              </w:rPr>
              <w:t xml:space="preserve"> en el año de medición</w:t>
            </w:r>
            <w:r>
              <w:rPr>
                <w:rFonts w:ascii="Arial" w:hAnsi="Arial" w:cs="Arial"/>
                <w:bCs/>
                <w:sz w:val="20"/>
                <w:szCs w:val="20"/>
              </w:rPr>
              <w:t>.</w:t>
            </w:r>
          </w:p>
        </w:tc>
      </w:tr>
      <w:tr w:rsidR="008A26D2" w:rsidRPr="008A26D2" w14:paraId="4E0A8F75" w14:textId="77777777" w:rsidTr="004B69D8">
        <w:trPr>
          <w:trHeight w:val="686"/>
        </w:trPr>
        <w:tc>
          <w:tcPr>
            <w:tcW w:w="2361" w:type="dxa"/>
            <w:gridSpan w:val="3"/>
            <w:shd w:val="clear" w:color="auto" w:fill="auto"/>
            <w:tcMar>
              <w:top w:w="10" w:type="dxa"/>
              <w:left w:w="93" w:type="dxa"/>
              <w:bottom w:w="0" w:type="dxa"/>
              <w:right w:w="10" w:type="dxa"/>
            </w:tcMar>
            <w:vAlign w:val="center"/>
          </w:tcPr>
          <w:p w14:paraId="4C807004"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Sentido esperado del indicador:</w:t>
            </w:r>
          </w:p>
        </w:tc>
        <w:tc>
          <w:tcPr>
            <w:tcW w:w="1831" w:type="dxa"/>
            <w:gridSpan w:val="3"/>
            <w:shd w:val="clear" w:color="auto" w:fill="auto"/>
            <w:tcMar>
              <w:top w:w="10" w:type="dxa"/>
              <w:left w:w="283" w:type="dxa"/>
              <w:bottom w:w="0" w:type="dxa"/>
              <w:right w:w="283" w:type="dxa"/>
            </w:tcMar>
            <w:vAlign w:val="center"/>
          </w:tcPr>
          <w:p w14:paraId="76563353" w14:textId="77777777" w:rsidR="00A90E9C" w:rsidRPr="008A26D2" w:rsidRDefault="00A90E9C" w:rsidP="0087293E">
            <w:pPr>
              <w:jc w:val="both"/>
              <w:rPr>
                <w:rFonts w:ascii="Arial" w:hAnsi="Arial" w:cs="Arial"/>
                <w:sz w:val="20"/>
                <w:szCs w:val="20"/>
              </w:rPr>
            </w:pPr>
            <w:r w:rsidRPr="008A26D2">
              <w:rPr>
                <w:rFonts w:ascii="Arial" w:eastAsia="Arial Narrow" w:hAnsi="Arial" w:cs="Arial"/>
                <w:sz w:val="20"/>
                <w:szCs w:val="20"/>
              </w:rPr>
              <w:t xml:space="preserve">Ascendente </w:t>
            </w:r>
          </w:p>
        </w:tc>
        <w:tc>
          <w:tcPr>
            <w:tcW w:w="2891" w:type="dxa"/>
            <w:gridSpan w:val="4"/>
            <w:shd w:val="clear" w:color="auto" w:fill="auto"/>
            <w:tcMar>
              <w:top w:w="15" w:type="dxa"/>
              <w:left w:w="15" w:type="dxa"/>
              <w:bottom w:w="0" w:type="dxa"/>
              <w:right w:w="15" w:type="dxa"/>
            </w:tcMar>
            <w:vAlign w:val="center"/>
          </w:tcPr>
          <w:p w14:paraId="63FBEA3E"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Tipo de indicador de servicio:</w:t>
            </w:r>
          </w:p>
        </w:tc>
        <w:tc>
          <w:tcPr>
            <w:tcW w:w="1701" w:type="dxa"/>
            <w:gridSpan w:val="3"/>
            <w:shd w:val="clear" w:color="auto" w:fill="auto"/>
            <w:tcMar>
              <w:top w:w="15" w:type="dxa"/>
              <w:left w:w="15" w:type="dxa"/>
              <w:bottom w:w="0" w:type="dxa"/>
              <w:right w:w="15" w:type="dxa"/>
            </w:tcMar>
            <w:vAlign w:val="center"/>
          </w:tcPr>
          <w:p w14:paraId="5256265D" w14:textId="77777777" w:rsidR="00A90E9C" w:rsidRPr="008A26D2" w:rsidRDefault="00A90E9C" w:rsidP="0087293E">
            <w:pPr>
              <w:jc w:val="both"/>
              <w:rPr>
                <w:rFonts w:ascii="Arial" w:hAnsi="Arial" w:cs="Arial"/>
                <w:sz w:val="20"/>
                <w:szCs w:val="20"/>
              </w:rPr>
            </w:pPr>
            <w:r w:rsidRPr="008A26D2">
              <w:rPr>
                <w:rFonts w:ascii="Arial" w:eastAsia="Arial Narrow" w:hAnsi="Arial" w:cs="Arial"/>
                <w:sz w:val="20"/>
                <w:szCs w:val="20"/>
              </w:rPr>
              <w:t xml:space="preserve">        Calidad - Oportunidad</w:t>
            </w:r>
          </w:p>
        </w:tc>
      </w:tr>
      <w:tr w:rsidR="008A26D2" w:rsidRPr="008A26D2" w14:paraId="29B54816" w14:textId="77777777" w:rsidTr="006A2752">
        <w:trPr>
          <w:trHeight w:val="13"/>
        </w:trPr>
        <w:tc>
          <w:tcPr>
            <w:tcW w:w="2361" w:type="dxa"/>
            <w:gridSpan w:val="3"/>
            <w:shd w:val="clear" w:color="auto" w:fill="auto"/>
            <w:tcMar>
              <w:top w:w="10" w:type="dxa"/>
              <w:left w:w="93" w:type="dxa"/>
              <w:bottom w:w="0" w:type="dxa"/>
              <w:right w:w="10" w:type="dxa"/>
            </w:tcMar>
            <w:vAlign w:val="center"/>
          </w:tcPr>
          <w:p w14:paraId="062E54E6"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Fuente y base de datos:</w:t>
            </w:r>
          </w:p>
        </w:tc>
        <w:tc>
          <w:tcPr>
            <w:tcW w:w="6423" w:type="dxa"/>
            <w:gridSpan w:val="10"/>
            <w:shd w:val="clear" w:color="auto" w:fill="auto"/>
            <w:tcMar>
              <w:top w:w="51" w:type="dxa"/>
              <w:left w:w="227" w:type="dxa"/>
              <w:bottom w:w="51" w:type="dxa"/>
              <w:right w:w="227" w:type="dxa"/>
            </w:tcMar>
            <w:vAlign w:val="center"/>
          </w:tcPr>
          <w:p w14:paraId="0B7FC51B" w14:textId="74C600C7" w:rsidR="00A90E9C" w:rsidRPr="008A26D2" w:rsidRDefault="00A90E9C" w:rsidP="0087293E">
            <w:pPr>
              <w:jc w:val="both"/>
              <w:rPr>
                <w:rFonts w:ascii="Arial" w:eastAsia="Arial Narrow" w:hAnsi="Arial" w:cs="Arial"/>
                <w:sz w:val="20"/>
                <w:szCs w:val="20"/>
              </w:rPr>
            </w:pPr>
            <w:r w:rsidRPr="008A26D2">
              <w:rPr>
                <w:rFonts w:ascii="Arial" w:eastAsia="Arial Narrow" w:hAnsi="Arial" w:cs="Arial"/>
                <w:sz w:val="20"/>
                <w:szCs w:val="20"/>
              </w:rPr>
              <w:t xml:space="preserve">Fuentes: Unidad de Cadena de Valor Agroforestal, Forestal y Silvopastoril </w:t>
            </w:r>
            <w:r w:rsidR="003206DC">
              <w:rPr>
                <w:rFonts w:ascii="Arial" w:eastAsia="Arial Narrow" w:hAnsi="Arial" w:cs="Arial"/>
                <w:sz w:val="20"/>
                <w:szCs w:val="20"/>
              </w:rPr>
              <w:t xml:space="preserve">del </w:t>
            </w:r>
            <w:r w:rsidR="003206DC" w:rsidRPr="00F60EF3">
              <w:rPr>
                <w:rFonts w:ascii="Arial" w:eastAsia="Arial Narrow" w:hAnsi="Arial" w:cs="Arial"/>
                <w:sz w:val="20"/>
                <w:szCs w:val="20"/>
              </w:rPr>
              <w:t>Programa de Desarrollo Productivo Agrario Rural</w:t>
            </w:r>
            <w:r w:rsidR="003206DC">
              <w:rPr>
                <w:rFonts w:ascii="Arial" w:eastAsia="Arial Narrow" w:hAnsi="Arial" w:cs="Arial"/>
                <w:sz w:val="20"/>
                <w:szCs w:val="20"/>
              </w:rPr>
              <w:t xml:space="preserve"> </w:t>
            </w:r>
            <w:r w:rsidRPr="008A26D2">
              <w:rPr>
                <w:rFonts w:ascii="Arial" w:eastAsia="Arial Narrow" w:hAnsi="Arial" w:cs="Arial"/>
                <w:sz w:val="20"/>
                <w:szCs w:val="20"/>
              </w:rPr>
              <w:t>– AGRORURAL</w:t>
            </w:r>
            <w:r w:rsidR="004B69D8" w:rsidRPr="008A26D2">
              <w:rPr>
                <w:rFonts w:ascii="Arial" w:eastAsia="Arial Narrow" w:hAnsi="Arial" w:cs="Arial"/>
                <w:sz w:val="20"/>
                <w:szCs w:val="20"/>
              </w:rPr>
              <w:t xml:space="preserve">; </w:t>
            </w:r>
            <w:r w:rsidRPr="008A26D2">
              <w:rPr>
                <w:rFonts w:ascii="Arial" w:eastAsia="Arial Narrow" w:hAnsi="Arial" w:cs="Arial"/>
                <w:sz w:val="20"/>
                <w:szCs w:val="20"/>
              </w:rPr>
              <w:t>Unidad Funcional de Plantaciones Forestales</w:t>
            </w:r>
            <w:r w:rsidR="00805F3A">
              <w:rPr>
                <w:rFonts w:ascii="Arial" w:eastAsia="Arial Narrow" w:hAnsi="Arial" w:cs="Arial"/>
                <w:sz w:val="20"/>
                <w:szCs w:val="20"/>
              </w:rPr>
              <w:t xml:space="preserve"> y </w:t>
            </w:r>
            <w:r w:rsidRPr="008A26D2">
              <w:rPr>
                <w:rFonts w:ascii="Arial" w:eastAsia="Arial Narrow" w:hAnsi="Arial" w:cs="Arial"/>
                <w:sz w:val="20"/>
                <w:szCs w:val="20"/>
              </w:rPr>
              <w:t xml:space="preserve">Administraciones Técnicas Forestales y de Fauna Silvestre </w:t>
            </w:r>
            <w:r w:rsidR="00805F3A">
              <w:rPr>
                <w:rFonts w:ascii="Arial" w:eastAsia="Arial Narrow" w:hAnsi="Arial" w:cs="Arial"/>
                <w:sz w:val="20"/>
                <w:szCs w:val="20"/>
              </w:rPr>
              <w:t xml:space="preserve">del Servicio Nacional Forestal y de Fauna Silvestre </w:t>
            </w:r>
            <w:r w:rsidRPr="008A26D2">
              <w:rPr>
                <w:rFonts w:ascii="Arial" w:eastAsia="Arial Narrow" w:hAnsi="Arial" w:cs="Arial"/>
                <w:sz w:val="20"/>
                <w:szCs w:val="20"/>
              </w:rPr>
              <w:t>- SERFOR</w:t>
            </w:r>
          </w:p>
          <w:p w14:paraId="3FB95754" w14:textId="77777777" w:rsidR="00A90E9C" w:rsidRPr="008A26D2" w:rsidRDefault="00A90E9C" w:rsidP="0087293E">
            <w:pPr>
              <w:jc w:val="both"/>
              <w:rPr>
                <w:rFonts w:ascii="Arial" w:eastAsia="Arial Narrow" w:hAnsi="Arial" w:cs="Arial"/>
                <w:sz w:val="20"/>
                <w:szCs w:val="20"/>
              </w:rPr>
            </w:pPr>
            <w:r w:rsidRPr="008A26D2">
              <w:rPr>
                <w:rFonts w:ascii="Arial" w:eastAsia="Arial Narrow" w:hAnsi="Arial" w:cs="Arial"/>
                <w:sz w:val="20"/>
                <w:szCs w:val="20"/>
              </w:rPr>
              <w:t xml:space="preserve">Base de datos: </w:t>
            </w:r>
          </w:p>
          <w:p w14:paraId="44580609" w14:textId="0B16FA72" w:rsidR="00A90E9C" w:rsidRPr="008A26D2" w:rsidRDefault="00A90E9C" w:rsidP="0087293E">
            <w:pPr>
              <w:pStyle w:val="Prrafodelista"/>
              <w:numPr>
                <w:ilvl w:val="0"/>
                <w:numId w:val="16"/>
              </w:numPr>
              <w:ind w:left="335"/>
              <w:jc w:val="both"/>
              <w:rPr>
                <w:rFonts w:ascii="Arial" w:eastAsia="Arial Narrow" w:hAnsi="Arial" w:cs="Arial"/>
                <w:sz w:val="20"/>
                <w:szCs w:val="20"/>
              </w:rPr>
            </w:pPr>
            <w:r w:rsidRPr="008A26D2">
              <w:rPr>
                <w:rFonts w:ascii="Arial" w:eastAsia="Arial Narrow" w:hAnsi="Arial" w:cs="Arial"/>
                <w:sz w:val="20"/>
                <w:szCs w:val="20"/>
              </w:rPr>
              <w:t xml:space="preserve">Reporte de fechas y número de hectáreas de instalación de plantones </w:t>
            </w:r>
            <w:r w:rsidR="005324E8">
              <w:rPr>
                <w:rFonts w:ascii="Arial" w:eastAsia="Arial Narrow" w:hAnsi="Arial" w:cs="Arial"/>
                <w:sz w:val="20"/>
                <w:szCs w:val="20"/>
              </w:rPr>
              <w:t>de</w:t>
            </w:r>
            <w:r w:rsidRPr="008A26D2">
              <w:rPr>
                <w:rFonts w:ascii="Arial" w:eastAsia="Arial Narrow" w:hAnsi="Arial" w:cs="Arial"/>
                <w:sz w:val="20"/>
                <w:szCs w:val="20"/>
              </w:rPr>
              <w:t xml:space="preserve"> AGRORURAL</w:t>
            </w:r>
          </w:p>
          <w:p w14:paraId="7FEC5CE9" w14:textId="47C350EE" w:rsidR="00A90E9C" w:rsidRPr="008A26D2" w:rsidRDefault="00A90E9C" w:rsidP="0087293E">
            <w:pPr>
              <w:pStyle w:val="Prrafodelista"/>
              <w:numPr>
                <w:ilvl w:val="0"/>
                <w:numId w:val="16"/>
              </w:numPr>
              <w:ind w:left="335"/>
              <w:jc w:val="both"/>
              <w:rPr>
                <w:rFonts w:ascii="Arial" w:eastAsia="Arial Narrow" w:hAnsi="Arial" w:cs="Arial"/>
                <w:sz w:val="20"/>
                <w:szCs w:val="20"/>
              </w:rPr>
            </w:pPr>
            <w:r w:rsidRPr="008A26D2">
              <w:rPr>
                <w:rFonts w:ascii="Arial" w:eastAsia="Arial Narrow" w:hAnsi="Arial" w:cs="Arial"/>
                <w:sz w:val="20"/>
                <w:szCs w:val="20"/>
              </w:rPr>
              <w:t xml:space="preserve">Reporte de fechas y número de hectáreas de instalación de plantones </w:t>
            </w:r>
            <w:r w:rsidR="005324E8">
              <w:rPr>
                <w:rFonts w:ascii="Arial" w:eastAsia="Arial Narrow" w:hAnsi="Arial" w:cs="Arial"/>
                <w:sz w:val="20"/>
                <w:szCs w:val="20"/>
              </w:rPr>
              <w:t>de</w:t>
            </w:r>
            <w:r w:rsidRPr="008A26D2">
              <w:rPr>
                <w:rFonts w:ascii="Arial" w:eastAsia="Arial Narrow" w:hAnsi="Arial" w:cs="Arial"/>
                <w:sz w:val="20"/>
                <w:szCs w:val="20"/>
              </w:rPr>
              <w:t xml:space="preserve"> SERFOR</w:t>
            </w:r>
          </w:p>
        </w:tc>
      </w:tr>
      <w:tr w:rsidR="008A26D2" w:rsidRPr="008A26D2" w14:paraId="663F91AC" w14:textId="77777777" w:rsidTr="005324E8">
        <w:trPr>
          <w:trHeight w:val="525"/>
        </w:trPr>
        <w:tc>
          <w:tcPr>
            <w:tcW w:w="2361" w:type="dxa"/>
            <w:gridSpan w:val="3"/>
            <w:shd w:val="clear" w:color="auto" w:fill="auto"/>
            <w:tcMar>
              <w:top w:w="10" w:type="dxa"/>
              <w:left w:w="93" w:type="dxa"/>
              <w:bottom w:w="0" w:type="dxa"/>
              <w:right w:w="10" w:type="dxa"/>
            </w:tcMar>
            <w:vAlign w:val="center"/>
          </w:tcPr>
          <w:p w14:paraId="2A9B4E22"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Supuestos:</w:t>
            </w:r>
          </w:p>
        </w:tc>
        <w:tc>
          <w:tcPr>
            <w:tcW w:w="6423" w:type="dxa"/>
            <w:gridSpan w:val="10"/>
            <w:shd w:val="clear" w:color="auto" w:fill="auto"/>
            <w:tcMar>
              <w:top w:w="51" w:type="dxa"/>
              <w:left w:w="227" w:type="dxa"/>
              <w:bottom w:w="51" w:type="dxa"/>
              <w:right w:w="227" w:type="dxa"/>
            </w:tcMar>
            <w:vAlign w:val="center"/>
          </w:tcPr>
          <w:p w14:paraId="23113589" w14:textId="77777777" w:rsidR="00A90E9C" w:rsidRPr="008A26D2" w:rsidRDefault="00A90E9C" w:rsidP="0087293E">
            <w:pPr>
              <w:jc w:val="both"/>
              <w:rPr>
                <w:rFonts w:ascii="Arial" w:eastAsia="Arial Narrow" w:hAnsi="Arial" w:cs="Arial"/>
                <w:sz w:val="20"/>
                <w:szCs w:val="20"/>
              </w:rPr>
            </w:pPr>
            <w:r w:rsidRPr="008A26D2">
              <w:rPr>
                <w:rFonts w:ascii="Arial" w:eastAsia="Arial Narrow" w:hAnsi="Arial" w:cs="Arial"/>
                <w:sz w:val="20"/>
                <w:szCs w:val="20"/>
              </w:rPr>
              <w:t>Se cuenta con los recursos financieros y técnicos para implementar las metas del presente indicador.</w:t>
            </w:r>
          </w:p>
        </w:tc>
      </w:tr>
      <w:tr w:rsidR="008A26D2" w:rsidRPr="008A26D2" w14:paraId="1C36B2AB" w14:textId="77777777" w:rsidTr="006A2752">
        <w:trPr>
          <w:trHeight w:val="633"/>
        </w:trPr>
        <w:tc>
          <w:tcPr>
            <w:tcW w:w="708" w:type="dxa"/>
            <w:shd w:val="clear" w:color="auto" w:fill="auto"/>
            <w:tcMar>
              <w:top w:w="10" w:type="dxa"/>
              <w:left w:w="10" w:type="dxa"/>
              <w:bottom w:w="0" w:type="dxa"/>
              <w:right w:w="10" w:type="dxa"/>
            </w:tcMar>
            <w:vAlign w:val="center"/>
          </w:tcPr>
          <w:p w14:paraId="2FC46993"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lastRenderedPageBreak/>
              <w:t> </w:t>
            </w:r>
          </w:p>
        </w:tc>
        <w:tc>
          <w:tcPr>
            <w:tcW w:w="867" w:type="dxa"/>
            <w:shd w:val="clear" w:color="auto" w:fill="auto"/>
            <w:tcMar>
              <w:top w:w="10" w:type="dxa"/>
              <w:left w:w="10" w:type="dxa"/>
              <w:bottom w:w="0" w:type="dxa"/>
              <w:right w:w="10" w:type="dxa"/>
            </w:tcMar>
            <w:vAlign w:val="center"/>
          </w:tcPr>
          <w:p w14:paraId="1D12EA12" w14:textId="77777777" w:rsidR="00A90E9C" w:rsidRPr="008A26D2" w:rsidRDefault="00A90E9C" w:rsidP="00DC2673">
            <w:pPr>
              <w:jc w:val="center"/>
              <w:rPr>
                <w:rFonts w:ascii="Arial" w:hAnsi="Arial" w:cs="Arial"/>
                <w:sz w:val="20"/>
                <w:szCs w:val="20"/>
              </w:rPr>
            </w:pPr>
            <w:r w:rsidRPr="008A26D2">
              <w:rPr>
                <w:rFonts w:ascii="Arial" w:hAnsi="Arial" w:cs="Arial"/>
                <w:b/>
                <w:sz w:val="20"/>
                <w:szCs w:val="20"/>
              </w:rPr>
              <w:t>Línea de base</w:t>
            </w:r>
          </w:p>
        </w:tc>
        <w:tc>
          <w:tcPr>
            <w:tcW w:w="7209" w:type="dxa"/>
            <w:gridSpan w:val="11"/>
            <w:shd w:val="clear" w:color="auto" w:fill="auto"/>
            <w:tcMar>
              <w:top w:w="10" w:type="dxa"/>
              <w:left w:w="10" w:type="dxa"/>
              <w:bottom w:w="0" w:type="dxa"/>
              <w:right w:w="10" w:type="dxa"/>
            </w:tcMar>
            <w:vAlign w:val="center"/>
          </w:tcPr>
          <w:p w14:paraId="79AA7AD2" w14:textId="74EE595B" w:rsidR="00A90E9C" w:rsidRPr="008A26D2" w:rsidRDefault="00A90E9C" w:rsidP="00DC2673">
            <w:pPr>
              <w:jc w:val="center"/>
              <w:rPr>
                <w:rFonts w:ascii="Arial" w:hAnsi="Arial" w:cs="Arial"/>
                <w:sz w:val="20"/>
                <w:szCs w:val="20"/>
              </w:rPr>
            </w:pPr>
            <w:r w:rsidRPr="008A26D2">
              <w:rPr>
                <w:rFonts w:ascii="Arial" w:hAnsi="Arial" w:cs="Arial"/>
                <w:b/>
                <w:sz w:val="20"/>
                <w:szCs w:val="20"/>
              </w:rPr>
              <w:t>Logros esperados</w:t>
            </w:r>
          </w:p>
        </w:tc>
      </w:tr>
      <w:tr w:rsidR="008A26D2" w:rsidRPr="008A26D2" w14:paraId="550AEBF8" w14:textId="77777777" w:rsidTr="004B69D8">
        <w:trPr>
          <w:trHeight w:val="217"/>
        </w:trPr>
        <w:tc>
          <w:tcPr>
            <w:tcW w:w="708" w:type="dxa"/>
            <w:shd w:val="clear" w:color="auto" w:fill="auto"/>
            <w:tcMar>
              <w:top w:w="10" w:type="dxa"/>
              <w:left w:w="10" w:type="dxa"/>
              <w:bottom w:w="0" w:type="dxa"/>
              <w:right w:w="10" w:type="dxa"/>
            </w:tcMar>
            <w:vAlign w:val="center"/>
          </w:tcPr>
          <w:p w14:paraId="7970FEA5" w14:textId="77777777" w:rsidR="00A90E9C" w:rsidRPr="008A26D2" w:rsidRDefault="00A90E9C" w:rsidP="0087293E">
            <w:pPr>
              <w:spacing w:after="0" w:line="240" w:lineRule="auto"/>
              <w:jc w:val="both"/>
              <w:rPr>
                <w:rFonts w:ascii="Arial" w:hAnsi="Arial" w:cs="Arial"/>
                <w:sz w:val="20"/>
                <w:szCs w:val="20"/>
              </w:rPr>
            </w:pPr>
            <w:r w:rsidRPr="008A26D2">
              <w:rPr>
                <w:rFonts w:ascii="Arial" w:hAnsi="Arial" w:cs="Arial"/>
                <w:b/>
                <w:sz w:val="20"/>
                <w:szCs w:val="20"/>
              </w:rPr>
              <w:t>Año</w:t>
            </w:r>
          </w:p>
        </w:tc>
        <w:tc>
          <w:tcPr>
            <w:tcW w:w="867" w:type="dxa"/>
            <w:shd w:val="clear" w:color="auto" w:fill="auto"/>
            <w:tcMar>
              <w:top w:w="10" w:type="dxa"/>
              <w:left w:w="10" w:type="dxa"/>
              <w:bottom w:w="0" w:type="dxa"/>
              <w:right w:w="10" w:type="dxa"/>
            </w:tcMar>
            <w:vAlign w:val="center"/>
          </w:tcPr>
          <w:p w14:paraId="7EE5E671" w14:textId="77777777" w:rsidR="00A90E9C" w:rsidRPr="008A26D2" w:rsidRDefault="00A90E9C" w:rsidP="00DC2673">
            <w:pPr>
              <w:spacing w:after="0" w:line="240" w:lineRule="auto"/>
              <w:jc w:val="center"/>
              <w:rPr>
                <w:rFonts w:ascii="Arial" w:hAnsi="Arial" w:cs="Arial"/>
                <w:b/>
                <w:sz w:val="20"/>
                <w:szCs w:val="20"/>
              </w:rPr>
            </w:pPr>
            <w:r w:rsidRPr="008A26D2">
              <w:rPr>
                <w:rFonts w:ascii="Arial" w:hAnsi="Arial" w:cs="Arial"/>
                <w:b/>
                <w:sz w:val="20"/>
                <w:szCs w:val="20"/>
              </w:rPr>
              <w:t>2021</w:t>
            </w:r>
          </w:p>
        </w:tc>
        <w:tc>
          <w:tcPr>
            <w:tcW w:w="851" w:type="dxa"/>
            <w:gridSpan w:val="2"/>
            <w:shd w:val="clear" w:color="auto" w:fill="auto"/>
            <w:vAlign w:val="center"/>
          </w:tcPr>
          <w:p w14:paraId="54C66979" w14:textId="77777777" w:rsidR="00A90E9C" w:rsidRPr="008A26D2" w:rsidRDefault="00A90E9C" w:rsidP="00DC2673">
            <w:pPr>
              <w:spacing w:after="0" w:line="240" w:lineRule="auto"/>
              <w:jc w:val="center"/>
              <w:rPr>
                <w:rFonts w:ascii="Arial" w:hAnsi="Arial" w:cs="Arial"/>
                <w:b/>
                <w:sz w:val="20"/>
                <w:szCs w:val="20"/>
              </w:rPr>
            </w:pPr>
            <w:r w:rsidRPr="008A26D2">
              <w:rPr>
                <w:rFonts w:ascii="Arial" w:hAnsi="Arial" w:cs="Arial"/>
                <w:b/>
                <w:sz w:val="20"/>
                <w:szCs w:val="20"/>
              </w:rPr>
              <w:t>2023</w:t>
            </w:r>
          </w:p>
        </w:tc>
        <w:tc>
          <w:tcPr>
            <w:tcW w:w="992" w:type="dxa"/>
            <w:shd w:val="clear" w:color="auto" w:fill="auto"/>
            <w:vAlign w:val="center"/>
          </w:tcPr>
          <w:p w14:paraId="5AC91A80" w14:textId="77777777" w:rsidR="00A90E9C" w:rsidRPr="008A26D2" w:rsidRDefault="00A90E9C" w:rsidP="00DC2673">
            <w:pPr>
              <w:spacing w:after="0" w:line="240" w:lineRule="auto"/>
              <w:jc w:val="center"/>
              <w:rPr>
                <w:rFonts w:ascii="Arial" w:hAnsi="Arial" w:cs="Arial"/>
                <w:b/>
                <w:sz w:val="20"/>
                <w:szCs w:val="20"/>
              </w:rPr>
            </w:pPr>
            <w:r w:rsidRPr="008A26D2">
              <w:rPr>
                <w:rFonts w:ascii="Arial" w:hAnsi="Arial" w:cs="Arial"/>
                <w:b/>
                <w:sz w:val="20"/>
                <w:szCs w:val="20"/>
              </w:rPr>
              <w:t>2024</w:t>
            </w:r>
          </w:p>
        </w:tc>
        <w:tc>
          <w:tcPr>
            <w:tcW w:w="992" w:type="dxa"/>
            <w:gridSpan w:val="2"/>
            <w:shd w:val="clear" w:color="auto" w:fill="auto"/>
            <w:vAlign w:val="center"/>
          </w:tcPr>
          <w:p w14:paraId="700A8EA4" w14:textId="77777777" w:rsidR="00A90E9C" w:rsidRPr="008A26D2" w:rsidRDefault="00A90E9C" w:rsidP="00DC2673">
            <w:pPr>
              <w:spacing w:after="0" w:line="240" w:lineRule="auto"/>
              <w:jc w:val="center"/>
              <w:rPr>
                <w:rFonts w:ascii="Arial" w:hAnsi="Arial" w:cs="Arial"/>
                <w:b/>
                <w:sz w:val="20"/>
                <w:szCs w:val="20"/>
              </w:rPr>
            </w:pPr>
            <w:r w:rsidRPr="008A26D2">
              <w:rPr>
                <w:rFonts w:ascii="Arial" w:hAnsi="Arial" w:cs="Arial"/>
                <w:b/>
                <w:sz w:val="20"/>
                <w:szCs w:val="20"/>
              </w:rPr>
              <w:t>2025</w:t>
            </w:r>
          </w:p>
        </w:tc>
        <w:tc>
          <w:tcPr>
            <w:tcW w:w="1134" w:type="dxa"/>
            <w:shd w:val="clear" w:color="auto" w:fill="auto"/>
            <w:vAlign w:val="center"/>
          </w:tcPr>
          <w:p w14:paraId="600F2A3A" w14:textId="77777777" w:rsidR="00A90E9C" w:rsidRPr="008A26D2" w:rsidRDefault="00A90E9C" w:rsidP="00DC2673">
            <w:pPr>
              <w:spacing w:after="0" w:line="240" w:lineRule="auto"/>
              <w:jc w:val="center"/>
              <w:rPr>
                <w:rFonts w:ascii="Arial" w:hAnsi="Arial" w:cs="Arial"/>
                <w:b/>
                <w:sz w:val="20"/>
                <w:szCs w:val="20"/>
              </w:rPr>
            </w:pPr>
            <w:r w:rsidRPr="008A26D2">
              <w:rPr>
                <w:rFonts w:ascii="Arial" w:hAnsi="Arial" w:cs="Arial"/>
                <w:b/>
                <w:sz w:val="20"/>
                <w:szCs w:val="20"/>
              </w:rPr>
              <w:t>2026</w:t>
            </w:r>
          </w:p>
        </w:tc>
        <w:tc>
          <w:tcPr>
            <w:tcW w:w="851" w:type="dxa"/>
            <w:shd w:val="clear" w:color="auto" w:fill="auto"/>
            <w:vAlign w:val="center"/>
          </w:tcPr>
          <w:p w14:paraId="40D3EEA1" w14:textId="77777777" w:rsidR="00A90E9C" w:rsidRPr="008A26D2" w:rsidRDefault="00A90E9C" w:rsidP="00DC2673">
            <w:pPr>
              <w:spacing w:after="0" w:line="240" w:lineRule="auto"/>
              <w:jc w:val="center"/>
              <w:rPr>
                <w:rFonts w:ascii="Arial" w:hAnsi="Arial" w:cs="Arial"/>
                <w:b/>
                <w:sz w:val="20"/>
                <w:szCs w:val="20"/>
              </w:rPr>
            </w:pPr>
            <w:r w:rsidRPr="008A26D2">
              <w:rPr>
                <w:rFonts w:ascii="Arial" w:hAnsi="Arial" w:cs="Arial"/>
                <w:b/>
                <w:sz w:val="20"/>
                <w:szCs w:val="20"/>
              </w:rPr>
              <w:t>2027</w:t>
            </w:r>
          </w:p>
        </w:tc>
        <w:tc>
          <w:tcPr>
            <w:tcW w:w="830" w:type="dxa"/>
            <w:gridSpan w:val="2"/>
            <w:shd w:val="clear" w:color="auto" w:fill="auto"/>
            <w:vAlign w:val="center"/>
          </w:tcPr>
          <w:p w14:paraId="1D765E1F" w14:textId="77777777" w:rsidR="00A90E9C" w:rsidRPr="008A26D2" w:rsidRDefault="00A90E9C" w:rsidP="00DC2673">
            <w:pPr>
              <w:spacing w:after="0" w:line="240" w:lineRule="auto"/>
              <w:jc w:val="center"/>
              <w:rPr>
                <w:rFonts w:ascii="Arial" w:hAnsi="Arial" w:cs="Arial"/>
                <w:b/>
                <w:sz w:val="20"/>
                <w:szCs w:val="20"/>
              </w:rPr>
            </w:pPr>
            <w:r w:rsidRPr="008A26D2">
              <w:rPr>
                <w:rFonts w:ascii="Arial" w:hAnsi="Arial" w:cs="Arial"/>
                <w:b/>
                <w:sz w:val="20"/>
                <w:szCs w:val="20"/>
              </w:rPr>
              <w:t>2028</w:t>
            </w:r>
          </w:p>
        </w:tc>
        <w:tc>
          <w:tcPr>
            <w:tcW w:w="850" w:type="dxa"/>
            <w:shd w:val="clear" w:color="auto" w:fill="auto"/>
            <w:vAlign w:val="center"/>
          </w:tcPr>
          <w:p w14:paraId="6105979D" w14:textId="77777777" w:rsidR="00A90E9C" w:rsidRPr="008A26D2" w:rsidRDefault="00A90E9C" w:rsidP="00DC2673">
            <w:pPr>
              <w:spacing w:after="0" w:line="240" w:lineRule="auto"/>
              <w:jc w:val="center"/>
              <w:rPr>
                <w:rFonts w:ascii="Arial" w:hAnsi="Arial" w:cs="Arial"/>
                <w:b/>
                <w:sz w:val="20"/>
                <w:szCs w:val="20"/>
              </w:rPr>
            </w:pPr>
            <w:r w:rsidRPr="008A26D2">
              <w:rPr>
                <w:rFonts w:ascii="Arial" w:hAnsi="Arial" w:cs="Arial"/>
                <w:b/>
                <w:sz w:val="20"/>
                <w:szCs w:val="20"/>
              </w:rPr>
              <w:t>2029</w:t>
            </w:r>
          </w:p>
        </w:tc>
        <w:tc>
          <w:tcPr>
            <w:tcW w:w="709" w:type="dxa"/>
            <w:shd w:val="clear" w:color="auto" w:fill="auto"/>
            <w:tcMar>
              <w:top w:w="10" w:type="dxa"/>
              <w:left w:w="10" w:type="dxa"/>
              <w:bottom w:w="0" w:type="dxa"/>
              <w:right w:w="10" w:type="dxa"/>
            </w:tcMar>
            <w:vAlign w:val="center"/>
          </w:tcPr>
          <w:p w14:paraId="2E963F66" w14:textId="77777777" w:rsidR="00A90E9C" w:rsidRPr="008A26D2" w:rsidRDefault="00A90E9C" w:rsidP="00DC2673">
            <w:pPr>
              <w:spacing w:after="0" w:line="240" w:lineRule="auto"/>
              <w:jc w:val="center"/>
              <w:rPr>
                <w:rFonts w:ascii="Arial" w:hAnsi="Arial" w:cs="Arial"/>
                <w:b/>
                <w:sz w:val="20"/>
                <w:szCs w:val="20"/>
              </w:rPr>
            </w:pPr>
            <w:r w:rsidRPr="008A26D2">
              <w:rPr>
                <w:rFonts w:ascii="Arial" w:hAnsi="Arial" w:cs="Arial"/>
                <w:b/>
                <w:sz w:val="20"/>
                <w:szCs w:val="20"/>
              </w:rPr>
              <w:t>2030</w:t>
            </w:r>
          </w:p>
        </w:tc>
      </w:tr>
      <w:tr w:rsidR="00A90E9C" w:rsidRPr="008A26D2" w14:paraId="4588CC0B" w14:textId="77777777" w:rsidTr="004B69D8">
        <w:trPr>
          <w:trHeight w:val="444"/>
        </w:trPr>
        <w:tc>
          <w:tcPr>
            <w:tcW w:w="708" w:type="dxa"/>
            <w:shd w:val="clear" w:color="auto" w:fill="auto"/>
            <w:tcMar>
              <w:top w:w="10" w:type="dxa"/>
              <w:left w:w="10" w:type="dxa"/>
              <w:bottom w:w="0" w:type="dxa"/>
              <w:right w:w="10" w:type="dxa"/>
            </w:tcMar>
            <w:vAlign w:val="center"/>
          </w:tcPr>
          <w:p w14:paraId="1F0B609D" w14:textId="77777777" w:rsidR="00A90E9C" w:rsidRPr="008A26D2" w:rsidRDefault="00A90E9C" w:rsidP="0087293E">
            <w:pPr>
              <w:spacing w:after="0" w:line="240" w:lineRule="auto"/>
              <w:jc w:val="both"/>
              <w:rPr>
                <w:rFonts w:ascii="Arial" w:hAnsi="Arial" w:cs="Arial"/>
                <w:b/>
                <w:sz w:val="20"/>
                <w:szCs w:val="20"/>
              </w:rPr>
            </w:pPr>
            <w:r w:rsidRPr="008A26D2">
              <w:rPr>
                <w:rFonts w:ascii="Arial" w:hAnsi="Arial" w:cs="Arial"/>
                <w:b/>
                <w:sz w:val="20"/>
                <w:szCs w:val="20"/>
              </w:rPr>
              <w:t>Valor</w:t>
            </w:r>
          </w:p>
        </w:tc>
        <w:tc>
          <w:tcPr>
            <w:tcW w:w="867" w:type="dxa"/>
            <w:shd w:val="clear" w:color="auto" w:fill="auto"/>
            <w:tcMar>
              <w:top w:w="10" w:type="dxa"/>
              <w:left w:w="10" w:type="dxa"/>
              <w:bottom w:w="0" w:type="dxa"/>
              <w:right w:w="10" w:type="dxa"/>
            </w:tcMar>
            <w:vAlign w:val="center"/>
          </w:tcPr>
          <w:p w14:paraId="12862082" w14:textId="77777777" w:rsidR="00A90E9C" w:rsidRPr="008A26D2" w:rsidRDefault="00A90E9C" w:rsidP="00DC2673">
            <w:pPr>
              <w:spacing w:after="0" w:line="240" w:lineRule="auto"/>
              <w:jc w:val="center"/>
              <w:rPr>
                <w:rFonts w:ascii="Arial" w:hAnsi="Arial" w:cs="Arial"/>
                <w:sz w:val="20"/>
                <w:szCs w:val="20"/>
              </w:rPr>
            </w:pPr>
            <w:r w:rsidRPr="008A26D2">
              <w:rPr>
                <w:rFonts w:ascii="Arial" w:hAnsi="Arial" w:cs="Arial"/>
                <w:sz w:val="20"/>
                <w:szCs w:val="20"/>
              </w:rPr>
              <w:t>80%</w:t>
            </w:r>
          </w:p>
        </w:tc>
        <w:tc>
          <w:tcPr>
            <w:tcW w:w="851" w:type="dxa"/>
            <w:gridSpan w:val="2"/>
            <w:shd w:val="clear" w:color="auto" w:fill="auto"/>
            <w:vAlign w:val="center"/>
          </w:tcPr>
          <w:p w14:paraId="3E99DAEB" w14:textId="77777777" w:rsidR="00A90E9C" w:rsidRPr="008A26D2" w:rsidRDefault="00A90E9C" w:rsidP="00DC2673">
            <w:pPr>
              <w:spacing w:after="0" w:line="240" w:lineRule="auto"/>
              <w:jc w:val="center"/>
              <w:rPr>
                <w:rFonts w:ascii="Arial" w:hAnsi="Arial" w:cs="Arial"/>
                <w:sz w:val="20"/>
                <w:szCs w:val="20"/>
              </w:rPr>
            </w:pPr>
            <w:r w:rsidRPr="008A26D2">
              <w:rPr>
                <w:rFonts w:ascii="Arial" w:hAnsi="Arial" w:cs="Arial"/>
                <w:sz w:val="20"/>
                <w:szCs w:val="20"/>
              </w:rPr>
              <w:t>82%</w:t>
            </w:r>
          </w:p>
        </w:tc>
        <w:tc>
          <w:tcPr>
            <w:tcW w:w="992" w:type="dxa"/>
            <w:shd w:val="clear" w:color="auto" w:fill="auto"/>
            <w:vAlign w:val="center"/>
          </w:tcPr>
          <w:p w14:paraId="2F702BFC" w14:textId="77777777" w:rsidR="00A90E9C" w:rsidRPr="008A26D2" w:rsidRDefault="00A90E9C" w:rsidP="00DC2673">
            <w:pPr>
              <w:spacing w:after="0" w:line="240" w:lineRule="auto"/>
              <w:jc w:val="center"/>
              <w:rPr>
                <w:rFonts w:ascii="Arial" w:hAnsi="Arial" w:cs="Arial"/>
                <w:sz w:val="20"/>
                <w:szCs w:val="20"/>
              </w:rPr>
            </w:pPr>
            <w:r w:rsidRPr="008A26D2">
              <w:rPr>
                <w:rFonts w:ascii="Arial" w:hAnsi="Arial" w:cs="Arial"/>
                <w:sz w:val="20"/>
                <w:szCs w:val="20"/>
              </w:rPr>
              <w:t>84%</w:t>
            </w:r>
          </w:p>
        </w:tc>
        <w:tc>
          <w:tcPr>
            <w:tcW w:w="992" w:type="dxa"/>
            <w:gridSpan w:val="2"/>
            <w:shd w:val="clear" w:color="auto" w:fill="auto"/>
            <w:vAlign w:val="center"/>
          </w:tcPr>
          <w:p w14:paraId="7D542860" w14:textId="77777777" w:rsidR="00A90E9C" w:rsidRPr="008A26D2" w:rsidRDefault="00A90E9C" w:rsidP="00DC2673">
            <w:pPr>
              <w:spacing w:after="0" w:line="240" w:lineRule="auto"/>
              <w:jc w:val="center"/>
              <w:rPr>
                <w:rFonts w:ascii="Arial" w:hAnsi="Arial" w:cs="Arial"/>
                <w:sz w:val="20"/>
                <w:szCs w:val="20"/>
              </w:rPr>
            </w:pPr>
            <w:r w:rsidRPr="008A26D2">
              <w:rPr>
                <w:rFonts w:ascii="Arial" w:hAnsi="Arial" w:cs="Arial"/>
                <w:sz w:val="20"/>
                <w:szCs w:val="20"/>
              </w:rPr>
              <w:t>86%</w:t>
            </w:r>
          </w:p>
        </w:tc>
        <w:tc>
          <w:tcPr>
            <w:tcW w:w="1134" w:type="dxa"/>
            <w:shd w:val="clear" w:color="auto" w:fill="auto"/>
            <w:vAlign w:val="center"/>
          </w:tcPr>
          <w:p w14:paraId="209DF62B" w14:textId="77777777" w:rsidR="00A90E9C" w:rsidRPr="008A26D2" w:rsidRDefault="00A90E9C" w:rsidP="00DC2673">
            <w:pPr>
              <w:spacing w:after="0" w:line="240" w:lineRule="auto"/>
              <w:jc w:val="center"/>
              <w:rPr>
                <w:rFonts w:ascii="Arial" w:hAnsi="Arial" w:cs="Arial"/>
                <w:sz w:val="20"/>
                <w:szCs w:val="20"/>
              </w:rPr>
            </w:pPr>
            <w:r w:rsidRPr="008A26D2">
              <w:rPr>
                <w:rFonts w:ascii="Arial" w:hAnsi="Arial" w:cs="Arial"/>
                <w:sz w:val="20"/>
                <w:szCs w:val="20"/>
              </w:rPr>
              <w:t>88%</w:t>
            </w:r>
          </w:p>
        </w:tc>
        <w:tc>
          <w:tcPr>
            <w:tcW w:w="851" w:type="dxa"/>
            <w:shd w:val="clear" w:color="auto" w:fill="auto"/>
            <w:vAlign w:val="center"/>
          </w:tcPr>
          <w:p w14:paraId="66F99CDF" w14:textId="77777777" w:rsidR="00A90E9C" w:rsidRPr="008A26D2" w:rsidRDefault="00A90E9C" w:rsidP="00DC2673">
            <w:pPr>
              <w:spacing w:after="0" w:line="240" w:lineRule="auto"/>
              <w:jc w:val="center"/>
              <w:rPr>
                <w:rFonts w:ascii="Arial" w:hAnsi="Arial" w:cs="Arial"/>
                <w:sz w:val="20"/>
                <w:szCs w:val="20"/>
              </w:rPr>
            </w:pPr>
            <w:r w:rsidRPr="008A26D2">
              <w:rPr>
                <w:rFonts w:ascii="Arial" w:hAnsi="Arial" w:cs="Arial"/>
                <w:sz w:val="20"/>
                <w:szCs w:val="20"/>
              </w:rPr>
              <w:t>90%</w:t>
            </w:r>
          </w:p>
        </w:tc>
        <w:tc>
          <w:tcPr>
            <w:tcW w:w="830" w:type="dxa"/>
            <w:gridSpan w:val="2"/>
            <w:shd w:val="clear" w:color="auto" w:fill="auto"/>
            <w:vAlign w:val="center"/>
          </w:tcPr>
          <w:p w14:paraId="1103FB45" w14:textId="77777777" w:rsidR="00A90E9C" w:rsidRPr="008A26D2" w:rsidRDefault="00A90E9C" w:rsidP="00DC2673">
            <w:pPr>
              <w:spacing w:after="0" w:line="240" w:lineRule="auto"/>
              <w:jc w:val="center"/>
              <w:rPr>
                <w:rFonts w:ascii="Arial" w:hAnsi="Arial" w:cs="Arial"/>
                <w:sz w:val="20"/>
                <w:szCs w:val="20"/>
              </w:rPr>
            </w:pPr>
            <w:r w:rsidRPr="008A26D2">
              <w:rPr>
                <w:rFonts w:ascii="Arial" w:hAnsi="Arial" w:cs="Arial"/>
                <w:sz w:val="20"/>
                <w:szCs w:val="20"/>
              </w:rPr>
              <w:t>90%</w:t>
            </w:r>
          </w:p>
        </w:tc>
        <w:tc>
          <w:tcPr>
            <w:tcW w:w="850" w:type="dxa"/>
            <w:shd w:val="clear" w:color="auto" w:fill="auto"/>
            <w:vAlign w:val="center"/>
          </w:tcPr>
          <w:p w14:paraId="60CB3AE4" w14:textId="77777777" w:rsidR="00A90E9C" w:rsidRPr="008A26D2" w:rsidRDefault="00A90E9C" w:rsidP="00DC2673">
            <w:pPr>
              <w:spacing w:after="0" w:line="240" w:lineRule="auto"/>
              <w:jc w:val="center"/>
              <w:rPr>
                <w:rFonts w:ascii="Arial" w:hAnsi="Arial" w:cs="Arial"/>
                <w:sz w:val="20"/>
                <w:szCs w:val="20"/>
              </w:rPr>
            </w:pPr>
            <w:r w:rsidRPr="008A26D2">
              <w:rPr>
                <w:rFonts w:ascii="Arial" w:hAnsi="Arial" w:cs="Arial"/>
                <w:sz w:val="20"/>
                <w:szCs w:val="20"/>
              </w:rPr>
              <w:t>90%</w:t>
            </w:r>
          </w:p>
        </w:tc>
        <w:tc>
          <w:tcPr>
            <w:tcW w:w="709" w:type="dxa"/>
            <w:shd w:val="clear" w:color="auto" w:fill="auto"/>
            <w:tcMar>
              <w:top w:w="10" w:type="dxa"/>
              <w:left w:w="10" w:type="dxa"/>
              <w:bottom w:w="0" w:type="dxa"/>
              <w:right w:w="10" w:type="dxa"/>
            </w:tcMar>
            <w:vAlign w:val="center"/>
          </w:tcPr>
          <w:p w14:paraId="6F9F18D6" w14:textId="77777777" w:rsidR="00A90E9C" w:rsidRPr="008A26D2" w:rsidRDefault="00A90E9C" w:rsidP="00DC2673">
            <w:pPr>
              <w:spacing w:after="0" w:line="240" w:lineRule="auto"/>
              <w:jc w:val="center"/>
              <w:rPr>
                <w:rFonts w:ascii="Arial" w:hAnsi="Arial" w:cs="Arial"/>
                <w:sz w:val="20"/>
                <w:szCs w:val="20"/>
              </w:rPr>
            </w:pPr>
            <w:r w:rsidRPr="008A26D2">
              <w:rPr>
                <w:rFonts w:ascii="Arial" w:hAnsi="Arial" w:cs="Arial"/>
                <w:sz w:val="20"/>
                <w:szCs w:val="20"/>
              </w:rPr>
              <w:t>90%</w:t>
            </w:r>
          </w:p>
        </w:tc>
      </w:tr>
    </w:tbl>
    <w:p w14:paraId="2C08970B" w14:textId="77777777" w:rsidR="00A90E9C" w:rsidRPr="008A26D2" w:rsidRDefault="00A90E9C" w:rsidP="00A90E9C"/>
    <w:p w14:paraId="60973AB0" w14:textId="77777777" w:rsidR="00A90E9C" w:rsidRPr="008A26D2" w:rsidRDefault="00A90E9C" w:rsidP="00A90E9C"/>
    <w:tbl>
      <w:tblPr>
        <w:tblStyle w:val="TableNormal"/>
        <w:tblW w:w="877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24"/>
        <w:gridCol w:w="707"/>
        <w:gridCol w:w="953"/>
        <w:gridCol w:w="201"/>
        <w:gridCol w:w="791"/>
        <w:gridCol w:w="825"/>
        <w:gridCol w:w="25"/>
        <w:gridCol w:w="993"/>
        <w:gridCol w:w="850"/>
        <w:gridCol w:w="709"/>
        <w:gridCol w:w="850"/>
        <w:gridCol w:w="851"/>
      </w:tblGrid>
      <w:tr w:rsidR="008A26D2" w:rsidRPr="008A26D2" w14:paraId="126569CE" w14:textId="77777777" w:rsidTr="00C56494">
        <w:trPr>
          <w:trHeight w:val="419"/>
        </w:trPr>
        <w:tc>
          <w:tcPr>
            <w:tcW w:w="8779" w:type="dxa"/>
            <w:gridSpan w:val="12"/>
            <w:shd w:val="clear" w:color="auto" w:fill="D9D9D9"/>
          </w:tcPr>
          <w:p w14:paraId="24B36CE6" w14:textId="77777777" w:rsidR="00A90E9C" w:rsidRPr="008A26D2" w:rsidRDefault="00A90E9C" w:rsidP="0087293E">
            <w:pPr>
              <w:jc w:val="center"/>
              <w:rPr>
                <w:rFonts w:ascii="Arial" w:hAnsi="Arial" w:cs="Arial"/>
                <w:b/>
                <w:sz w:val="20"/>
                <w:szCs w:val="20"/>
              </w:rPr>
            </w:pPr>
            <w:r w:rsidRPr="008A26D2">
              <w:rPr>
                <w:rFonts w:ascii="Arial" w:hAnsi="Arial" w:cs="Arial"/>
                <w:b/>
                <w:sz w:val="20"/>
                <w:szCs w:val="20"/>
              </w:rPr>
              <w:t>FICHA TÉCNICA DE INDICADOR DE SERVICIO 1.3.1</w:t>
            </w:r>
          </w:p>
        </w:tc>
      </w:tr>
      <w:tr w:rsidR="008A26D2" w:rsidRPr="008A26D2" w14:paraId="30461643" w14:textId="77777777" w:rsidTr="00C56494">
        <w:trPr>
          <w:trHeight w:val="561"/>
        </w:trPr>
        <w:tc>
          <w:tcPr>
            <w:tcW w:w="2885" w:type="dxa"/>
            <w:gridSpan w:val="4"/>
          </w:tcPr>
          <w:p w14:paraId="5798CACB" w14:textId="77777777" w:rsidR="00A90E9C" w:rsidRPr="008A26D2" w:rsidRDefault="00A90E9C" w:rsidP="0087293E">
            <w:pPr>
              <w:jc w:val="both"/>
              <w:rPr>
                <w:rFonts w:ascii="Arial" w:eastAsia="Arial Narrow" w:hAnsi="Arial" w:cs="Arial"/>
                <w:b/>
                <w:sz w:val="20"/>
                <w:szCs w:val="20"/>
              </w:rPr>
            </w:pPr>
            <w:r w:rsidRPr="008A26D2">
              <w:rPr>
                <w:rFonts w:ascii="Arial" w:eastAsia="Arial Narrow" w:hAnsi="Arial" w:cs="Arial"/>
                <w:b/>
                <w:sz w:val="20"/>
                <w:szCs w:val="20"/>
              </w:rPr>
              <w:t>Objetivo prioritario:</w:t>
            </w:r>
          </w:p>
        </w:tc>
        <w:tc>
          <w:tcPr>
            <w:tcW w:w="5894" w:type="dxa"/>
            <w:gridSpan w:val="8"/>
          </w:tcPr>
          <w:p w14:paraId="1BA8A81D" w14:textId="7DB89296" w:rsidR="00A90E9C" w:rsidRPr="008A26D2" w:rsidRDefault="00A90E9C" w:rsidP="0087293E">
            <w:pPr>
              <w:jc w:val="both"/>
              <w:rPr>
                <w:rFonts w:ascii="Arial" w:eastAsia="Arial Narrow" w:hAnsi="Arial" w:cs="Arial"/>
                <w:sz w:val="20"/>
                <w:szCs w:val="20"/>
              </w:rPr>
            </w:pPr>
            <w:r w:rsidRPr="008A26D2">
              <w:rPr>
                <w:rFonts w:ascii="Arial" w:eastAsia="Arial Narrow" w:hAnsi="Arial" w:cs="Arial"/>
                <w:sz w:val="20"/>
                <w:szCs w:val="20"/>
              </w:rPr>
              <w:t>OP1 Mejorar las condiciones para la sostenibilidad de los ecosistemas forestales, otros ecosistemas de vegetación silvestre y de la fauna silvestre</w:t>
            </w:r>
          </w:p>
        </w:tc>
      </w:tr>
      <w:tr w:rsidR="008A26D2" w:rsidRPr="008A26D2" w14:paraId="0C985DBF" w14:textId="77777777" w:rsidTr="00C56494">
        <w:trPr>
          <w:trHeight w:val="558"/>
        </w:trPr>
        <w:tc>
          <w:tcPr>
            <w:tcW w:w="2885" w:type="dxa"/>
            <w:gridSpan w:val="4"/>
          </w:tcPr>
          <w:p w14:paraId="0BD0C4E3" w14:textId="77777777" w:rsidR="00A90E9C" w:rsidRPr="008A26D2" w:rsidRDefault="00A90E9C" w:rsidP="0087293E">
            <w:pPr>
              <w:jc w:val="both"/>
              <w:rPr>
                <w:rFonts w:ascii="Arial" w:eastAsia="Arial Narrow" w:hAnsi="Arial" w:cs="Arial"/>
                <w:b/>
                <w:sz w:val="20"/>
                <w:szCs w:val="20"/>
              </w:rPr>
            </w:pPr>
            <w:r w:rsidRPr="008A26D2">
              <w:rPr>
                <w:rFonts w:ascii="Arial" w:eastAsia="Arial Narrow" w:hAnsi="Arial" w:cs="Arial"/>
                <w:b/>
                <w:sz w:val="20"/>
                <w:szCs w:val="20"/>
              </w:rPr>
              <w:t>Lineamiento de la política:</w:t>
            </w:r>
          </w:p>
        </w:tc>
        <w:tc>
          <w:tcPr>
            <w:tcW w:w="5894" w:type="dxa"/>
            <w:gridSpan w:val="8"/>
          </w:tcPr>
          <w:p w14:paraId="631DE2F3" w14:textId="77777777" w:rsidR="00A90E9C" w:rsidRPr="008A26D2" w:rsidRDefault="00A90E9C" w:rsidP="0087293E">
            <w:pPr>
              <w:jc w:val="both"/>
              <w:rPr>
                <w:rFonts w:ascii="Arial" w:eastAsia="Arial Narrow" w:hAnsi="Arial" w:cs="Arial"/>
                <w:sz w:val="20"/>
                <w:szCs w:val="20"/>
              </w:rPr>
            </w:pPr>
            <w:r w:rsidRPr="008A26D2">
              <w:rPr>
                <w:rFonts w:ascii="Arial" w:eastAsia="Arial Narrow" w:hAnsi="Arial" w:cs="Arial"/>
                <w:sz w:val="20"/>
                <w:szCs w:val="20"/>
              </w:rPr>
              <w:t>L1.3 Desarrollar estrategias de restauración y recuperación de los ecosistemas forestales y otros ecosistemas de vegetación silvestre deforestados o degradados</w:t>
            </w:r>
          </w:p>
        </w:tc>
      </w:tr>
      <w:tr w:rsidR="008A26D2" w:rsidRPr="008A26D2" w14:paraId="08EAF12D" w14:textId="77777777" w:rsidTr="00C56494">
        <w:trPr>
          <w:trHeight w:val="791"/>
        </w:trPr>
        <w:tc>
          <w:tcPr>
            <w:tcW w:w="2885" w:type="dxa"/>
            <w:gridSpan w:val="4"/>
          </w:tcPr>
          <w:p w14:paraId="4C511737" w14:textId="77777777" w:rsidR="00A90E9C" w:rsidRPr="008A26D2" w:rsidRDefault="00A90E9C" w:rsidP="0087293E">
            <w:pPr>
              <w:jc w:val="both"/>
              <w:rPr>
                <w:rFonts w:ascii="Arial" w:eastAsia="Arial Narrow" w:hAnsi="Arial" w:cs="Arial"/>
                <w:b/>
                <w:sz w:val="20"/>
                <w:szCs w:val="20"/>
              </w:rPr>
            </w:pPr>
            <w:r w:rsidRPr="008A26D2">
              <w:rPr>
                <w:rFonts w:ascii="Arial" w:eastAsia="Arial Narrow" w:hAnsi="Arial" w:cs="Arial"/>
                <w:b/>
                <w:sz w:val="20"/>
                <w:szCs w:val="20"/>
              </w:rPr>
              <w:t>Nombre del servicio:</w:t>
            </w:r>
          </w:p>
        </w:tc>
        <w:tc>
          <w:tcPr>
            <w:tcW w:w="5894" w:type="dxa"/>
            <w:gridSpan w:val="8"/>
          </w:tcPr>
          <w:p w14:paraId="5DF486F9" w14:textId="17B407A0" w:rsidR="00A90E9C" w:rsidRPr="008A26D2" w:rsidRDefault="00A90E9C" w:rsidP="0087293E">
            <w:pPr>
              <w:jc w:val="both"/>
              <w:rPr>
                <w:rFonts w:ascii="Arial" w:eastAsia="Arial Narrow" w:hAnsi="Arial" w:cs="Arial"/>
                <w:sz w:val="20"/>
                <w:szCs w:val="20"/>
              </w:rPr>
            </w:pPr>
            <w:r w:rsidRPr="008A26D2">
              <w:rPr>
                <w:rFonts w:ascii="Arial" w:eastAsia="Arial Narrow" w:hAnsi="Arial" w:cs="Arial"/>
                <w:sz w:val="20"/>
                <w:szCs w:val="20"/>
              </w:rPr>
              <w:t xml:space="preserve">S1.3.1 Fortalecimiento de capacidades para la identificación de áreas degradadas en ecosistemas terrestres, accesible a </w:t>
            </w:r>
            <w:r w:rsidR="00C56494" w:rsidRPr="008A26D2">
              <w:rPr>
                <w:rFonts w:ascii="Arial" w:eastAsia="Arial Narrow" w:hAnsi="Arial" w:cs="Arial"/>
                <w:sz w:val="20"/>
                <w:szCs w:val="20"/>
              </w:rPr>
              <w:t>g</w:t>
            </w:r>
            <w:r w:rsidRPr="008A26D2">
              <w:rPr>
                <w:rFonts w:ascii="Arial" w:eastAsia="Arial Narrow" w:hAnsi="Arial" w:cs="Arial"/>
                <w:sz w:val="20"/>
                <w:szCs w:val="20"/>
              </w:rPr>
              <w:t xml:space="preserve">obiernos </w:t>
            </w:r>
            <w:r w:rsidR="00C56494" w:rsidRPr="008A26D2">
              <w:rPr>
                <w:rFonts w:ascii="Arial" w:eastAsia="Arial Narrow" w:hAnsi="Arial" w:cs="Arial"/>
                <w:sz w:val="20"/>
                <w:szCs w:val="20"/>
              </w:rPr>
              <w:t>r</w:t>
            </w:r>
            <w:r w:rsidRPr="008A26D2">
              <w:rPr>
                <w:rFonts w:ascii="Arial" w:eastAsia="Arial Narrow" w:hAnsi="Arial" w:cs="Arial"/>
                <w:sz w:val="20"/>
                <w:szCs w:val="20"/>
              </w:rPr>
              <w:t>egionales.</w:t>
            </w:r>
          </w:p>
        </w:tc>
      </w:tr>
      <w:tr w:rsidR="008A26D2" w:rsidRPr="008A26D2" w14:paraId="4D2CC740" w14:textId="77777777" w:rsidTr="00C56494">
        <w:trPr>
          <w:trHeight w:val="758"/>
        </w:trPr>
        <w:tc>
          <w:tcPr>
            <w:tcW w:w="2885" w:type="dxa"/>
            <w:gridSpan w:val="4"/>
          </w:tcPr>
          <w:p w14:paraId="38330259" w14:textId="77777777" w:rsidR="00A90E9C" w:rsidRPr="008A26D2" w:rsidRDefault="00A90E9C" w:rsidP="0087293E">
            <w:pPr>
              <w:jc w:val="both"/>
              <w:rPr>
                <w:rFonts w:ascii="Arial" w:eastAsia="Arial Narrow" w:hAnsi="Arial" w:cs="Arial"/>
                <w:b/>
                <w:sz w:val="20"/>
                <w:szCs w:val="20"/>
              </w:rPr>
            </w:pPr>
            <w:r w:rsidRPr="008A26D2">
              <w:rPr>
                <w:rFonts w:ascii="Arial" w:eastAsia="Arial Narrow" w:hAnsi="Arial" w:cs="Arial"/>
                <w:b/>
                <w:sz w:val="20"/>
                <w:szCs w:val="20"/>
              </w:rPr>
              <w:t>Nombre del indicador:</w:t>
            </w:r>
          </w:p>
        </w:tc>
        <w:tc>
          <w:tcPr>
            <w:tcW w:w="5894" w:type="dxa"/>
            <w:gridSpan w:val="8"/>
          </w:tcPr>
          <w:p w14:paraId="195AD868" w14:textId="2A449087" w:rsidR="00A90E9C" w:rsidRPr="008A26D2" w:rsidRDefault="00A90E9C" w:rsidP="0087293E">
            <w:pPr>
              <w:jc w:val="both"/>
              <w:rPr>
                <w:rFonts w:ascii="Arial" w:eastAsia="Arial Narrow" w:hAnsi="Arial" w:cs="Arial"/>
                <w:sz w:val="20"/>
                <w:szCs w:val="20"/>
              </w:rPr>
            </w:pPr>
            <w:r w:rsidRPr="008A26D2">
              <w:rPr>
                <w:rFonts w:ascii="Arial" w:eastAsia="Arial Narrow" w:hAnsi="Arial" w:cs="Arial"/>
                <w:sz w:val="20"/>
                <w:szCs w:val="20"/>
              </w:rPr>
              <w:t xml:space="preserve">Porcentaje de </w:t>
            </w:r>
            <w:r w:rsidR="00C56494" w:rsidRPr="008A26D2">
              <w:rPr>
                <w:rFonts w:ascii="Arial" w:eastAsia="Arial Narrow" w:hAnsi="Arial" w:cs="Arial"/>
                <w:sz w:val="20"/>
                <w:szCs w:val="20"/>
              </w:rPr>
              <w:t>g</w:t>
            </w:r>
            <w:r w:rsidRPr="008A26D2">
              <w:rPr>
                <w:rFonts w:ascii="Arial" w:eastAsia="Arial Narrow" w:hAnsi="Arial" w:cs="Arial"/>
                <w:sz w:val="20"/>
                <w:szCs w:val="20"/>
              </w:rPr>
              <w:t xml:space="preserve">obiernos </w:t>
            </w:r>
            <w:r w:rsidR="00C56494" w:rsidRPr="008A26D2">
              <w:rPr>
                <w:rFonts w:ascii="Arial" w:eastAsia="Arial Narrow" w:hAnsi="Arial" w:cs="Arial"/>
                <w:sz w:val="20"/>
                <w:szCs w:val="20"/>
              </w:rPr>
              <w:t>r</w:t>
            </w:r>
            <w:r w:rsidRPr="008A26D2">
              <w:rPr>
                <w:rFonts w:ascii="Arial" w:eastAsia="Arial Narrow" w:hAnsi="Arial" w:cs="Arial"/>
                <w:sz w:val="20"/>
                <w:szCs w:val="20"/>
              </w:rPr>
              <w:t>egionales que acceden al fortalecimiento de capacidades para identificar oportunidades para la recuperación de áreas degradadas</w:t>
            </w:r>
          </w:p>
        </w:tc>
      </w:tr>
      <w:tr w:rsidR="008A26D2" w:rsidRPr="008A26D2" w14:paraId="2F22F11A" w14:textId="77777777" w:rsidTr="0087293E">
        <w:trPr>
          <w:trHeight w:val="565"/>
        </w:trPr>
        <w:tc>
          <w:tcPr>
            <w:tcW w:w="2885" w:type="dxa"/>
            <w:gridSpan w:val="4"/>
          </w:tcPr>
          <w:p w14:paraId="49E4C84D" w14:textId="77777777" w:rsidR="00A90E9C" w:rsidRPr="008A26D2" w:rsidRDefault="00A90E9C" w:rsidP="0087293E">
            <w:pPr>
              <w:jc w:val="both"/>
              <w:rPr>
                <w:rFonts w:ascii="Arial" w:eastAsia="Arial Narrow" w:hAnsi="Arial" w:cs="Arial"/>
                <w:b/>
                <w:sz w:val="20"/>
                <w:szCs w:val="20"/>
              </w:rPr>
            </w:pPr>
          </w:p>
          <w:p w14:paraId="68E51AF2" w14:textId="77777777" w:rsidR="00A90E9C" w:rsidRPr="008A26D2" w:rsidRDefault="00A90E9C" w:rsidP="0087293E">
            <w:pPr>
              <w:jc w:val="both"/>
              <w:rPr>
                <w:rFonts w:ascii="Arial" w:eastAsia="Arial Narrow" w:hAnsi="Arial" w:cs="Arial"/>
                <w:b/>
                <w:sz w:val="20"/>
                <w:szCs w:val="20"/>
              </w:rPr>
            </w:pPr>
            <w:r w:rsidRPr="008A26D2">
              <w:rPr>
                <w:rFonts w:ascii="Arial" w:eastAsia="Arial Narrow" w:hAnsi="Arial" w:cs="Arial"/>
                <w:b/>
                <w:sz w:val="20"/>
                <w:szCs w:val="20"/>
              </w:rPr>
              <w:t>Justificación:</w:t>
            </w:r>
          </w:p>
        </w:tc>
        <w:tc>
          <w:tcPr>
            <w:tcW w:w="5894" w:type="dxa"/>
            <w:gridSpan w:val="8"/>
          </w:tcPr>
          <w:p w14:paraId="3847A21C" w14:textId="66E9709F" w:rsidR="006C3B20" w:rsidRPr="008A26D2" w:rsidRDefault="00A90E9C" w:rsidP="006C3B20">
            <w:pPr>
              <w:jc w:val="both"/>
              <w:rPr>
                <w:rFonts w:ascii="Arial" w:eastAsia="Arial Narrow" w:hAnsi="Arial" w:cs="Arial"/>
                <w:sz w:val="20"/>
                <w:szCs w:val="20"/>
              </w:rPr>
            </w:pPr>
            <w:r w:rsidRPr="008A26D2">
              <w:rPr>
                <w:rFonts w:ascii="Arial" w:eastAsia="Arial Narrow" w:hAnsi="Arial" w:cs="Arial"/>
                <w:sz w:val="20"/>
                <w:szCs w:val="20"/>
              </w:rPr>
              <w:t xml:space="preserve">El indicador cuantifica los </w:t>
            </w:r>
            <w:r w:rsidR="00C56494" w:rsidRPr="008A26D2">
              <w:rPr>
                <w:rFonts w:ascii="Arial" w:eastAsia="Arial Narrow" w:hAnsi="Arial" w:cs="Arial"/>
                <w:sz w:val="20"/>
                <w:szCs w:val="20"/>
              </w:rPr>
              <w:t>g</w:t>
            </w:r>
            <w:r w:rsidRPr="008A26D2">
              <w:rPr>
                <w:rFonts w:ascii="Arial" w:eastAsia="Arial Narrow" w:hAnsi="Arial" w:cs="Arial"/>
                <w:sz w:val="20"/>
                <w:szCs w:val="20"/>
              </w:rPr>
              <w:t xml:space="preserve">obiernos </w:t>
            </w:r>
            <w:r w:rsidR="00C56494" w:rsidRPr="008A26D2">
              <w:rPr>
                <w:rFonts w:ascii="Arial" w:eastAsia="Arial Narrow" w:hAnsi="Arial" w:cs="Arial"/>
                <w:sz w:val="20"/>
                <w:szCs w:val="20"/>
              </w:rPr>
              <w:t>r</w:t>
            </w:r>
            <w:r w:rsidRPr="008A26D2">
              <w:rPr>
                <w:rFonts w:ascii="Arial" w:eastAsia="Arial Narrow" w:hAnsi="Arial" w:cs="Arial"/>
                <w:sz w:val="20"/>
                <w:szCs w:val="20"/>
              </w:rPr>
              <w:t>egionales que reciben la asistencia técnica para generar información sobre la identificación, categorización y priorización de áreas degradadas en ecosistemas terrestres</w:t>
            </w:r>
            <w:r w:rsidR="006C3B20" w:rsidRPr="006C3B20">
              <w:rPr>
                <w:rFonts w:ascii="Arial" w:eastAsia="Arial Narrow" w:hAnsi="Arial" w:cs="Arial"/>
                <w:color w:val="FF0000"/>
                <w:sz w:val="20"/>
                <w:szCs w:val="20"/>
              </w:rPr>
              <w:t xml:space="preserve"> </w:t>
            </w:r>
            <w:r w:rsidR="006C3B20">
              <w:rPr>
                <w:rFonts w:ascii="Arial" w:eastAsia="Arial Narrow" w:hAnsi="Arial" w:cs="Arial"/>
                <w:color w:val="FF0000"/>
                <w:sz w:val="20"/>
                <w:szCs w:val="20"/>
              </w:rPr>
              <w:t>para superar</w:t>
            </w:r>
            <w:r w:rsidR="006C3B20" w:rsidRPr="006C3B20">
              <w:rPr>
                <w:rFonts w:ascii="Arial" w:eastAsia="Arial Narrow" w:hAnsi="Arial" w:cs="Arial"/>
                <w:color w:val="FF0000"/>
                <w:sz w:val="20"/>
                <w:szCs w:val="20"/>
              </w:rPr>
              <w:t xml:space="preserve"> esta limitante</w:t>
            </w:r>
            <w:r w:rsidR="006C3B20">
              <w:rPr>
                <w:rFonts w:ascii="Arial" w:eastAsia="Arial Narrow" w:hAnsi="Arial" w:cs="Arial"/>
                <w:color w:val="FF0000"/>
                <w:sz w:val="20"/>
                <w:szCs w:val="20"/>
              </w:rPr>
              <w:t>,</w:t>
            </w:r>
            <w:r w:rsidR="006C3B20" w:rsidRPr="006C3B20">
              <w:rPr>
                <w:rFonts w:ascii="Arial" w:eastAsia="Arial Narrow" w:hAnsi="Arial" w:cs="Arial"/>
                <w:color w:val="FF0000"/>
                <w:sz w:val="20"/>
                <w:szCs w:val="20"/>
              </w:rPr>
              <w:t xml:space="preserve"> de tal forma </w:t>
            </w:r>
            <w:r w:rsidRPr="008A26D2">
              <w:rPr>
                <w:rFonts w:ascii="Arial" w:eastAsia="Arial Narrow" w:hAnsi="Arial" w:cs="Arial"/>
                <w:sz w:val="20"/>
                <w:szCs w:val="20"/>
              </w:rPr>
              <w:t>que logr</w:t>
            </w:r>
            <w:r w:rsidR="006C3B20">
              <w:rPr>
                <w:rFonts w:ascii="Arial" w:eastAsia="Arial Narrow" w:hAnsi="Arial" w:cs="Arial"/>
                <w:sz w:val="20"/>
                <w:szCs w:val="20"/>
              </w:rPr>
              <w:t>e</w:t>
            </w:r>
            <w:r w:rsidRPr="008A26D2">
              <w:rPr>
                <w:rFonts w:ascii="Arial" w:eastAsia="Arial Narrow" w:hAnsi="Arial" w:cs="Arial"/>
                <w:sz w:val="20"/>
                <w:szCs w:val="20"/>
              </w:rPr>
              <w:t>n identificar oportunidades de restauración de ecosistemas y sus servicios.</w:t>
            </w:r>
            <w:r w:rsidR="006C3B20">
              <w:rPr>
                <w:rFonts w:ascii="Arial" w:eastAsia="Arial Narrow" w:hAnsi="Arial" w:cs="Arial"/>
                <w:sz w:val="20"/>
                <w:szCs w:val="20"/>
              </w:rPr>
              <w:t xml:space="preserve"> </w:t>
            </w:r>
          </w:p>
        </w:tc>
      </w:tr>
      <w:tr w:rsidR="008A26D2" w:rsidRPr="008A26D2" w14:paraId="26256FAC" w14:textId="77777777" w:rsidTr="00C56494">
        <w:trPr>
          <w:trHeight w:val="758"/>
        </w:trPr>
        <w:tc>
          <w:tcPr>
            <w:tcW w:w="2885" w:type="dxa"/>
            <w:gridSpan w:val="4"/>
          </w:tcPr>
          <w:p w14:paraId="6A883F9F" w14:textId="77777777" w:rsidR="00A90E9C" w:rsidRPr="008A26D2" w:rsidRDefault="00A90E9C" w:rsidP="0087293E">
            <w:pPr>
              <w:jc w:val="both"/>
              <w:rPr>
                <w:rFonts w:ascii="Arial" w:eastAsia="Arial Narrow" w:hAnsi="Arial" w:cs="Arial"/>
                <w:b/>
                <w:sz w:val="20"/>
                <w:szCs w:val="20"/>
              </w:rPr>
            </w:pPr>
            <w:r w:rsidRPr="008A26D2">
              <w:rPr>
                <w:rFonts w:ascii="Arial" w:eastAsia="Arial Narrow" w:hAnsi="Arial" w:cs="Arial"/>
                <w:b/>
                <w:sz w:val="20"/>
                <w:szCs w:val="20"/>
              </w:rPr>
              <w:t>Responsable del indicador:</w:t>
            </w:r>
          </w:p>
        </w:tc>
        <w:tc>
          <w:tcPr>
            <w:tcW w:w="5894" w:type="dxa"/>
            <w:gridSpan w:val="8"/>
          </w:tcPr>
          <w:p w14:paraId="07FD940D" w14:textId="6A73CCDF" w:rsidR="00A90E9C" w:rsidRPr="008A26D2" w:rsidRDefault="00A90E9C" w:rsidP="0087293E">
            <w:pPr>
              <w:jc w:val="both"/>
              <w:rPr>
                <w:rFonts w:ascii="Arial" w:eastAsia="Arial Narrow" w:hAnsi="Arial" w:cs="Arial"/>
                <w:sz w:val="20"/>
                <w:szCs w:val="20"/>
              </w:rPr>
            </w:pPr>
            <w:r w:rsidRPr="008A26D2">
              <w:rPr>
                <w:rFonts w:ascii="Arial" w:eastAsia="Arial Narrow" w:hAnsi="Arial" w:cs="Arial"/>
                <w:sz w:val="20"/>
                <w:szCs w:val="20"/>
              </w:rPr>
              <w:t>Dirección General de Ordenamiento Territorial y de la Gestión Integrada de los Recursos Naturales</w:t>
            </w:r>
            <w:r w:rsidR="00C56494" w:rsidRPr="008A26D2">
              <w:rPr>
                <w:rFonts w:ascii="Arial" w:eastAsia="Arial Narrow" w:hAnsi="Arial" w:cs="Arial"/>
                <w:sz w:val="20"/>
                <w:szCs w:val="20"/>
              </w:rPr>
              <w:t xml:space="preserve"> </w:t>
            </w:r>
            <w:r w:rsidRPr="008A26D2">
              <w:rPr>
                <w:rFonts w:ascii="Arial" w:eastAsia="Arial Narrow" w:hAnsi="Arial" w:cs="Arial"/>
                <w:sz w:val="20"/>
                <w:szCs w:val="20"/>
              </w:rPr>
              <w:t>del Ministerio del Ambiente - MINAM</w:t>
            </w:r>
          </w:p>
        </w:tc>
      </w:tr>
      <w:tr w:rsidR="008A26D2" w:rsidRPr="008A26D2" w14:paraId="2CAC0566" w14:textId="77777777" w:rsidTr="00C56494">
        <w:trPr>
          <w:trHeight w:val="338"/>
        </w:trPr>
        <w:tc>
          <w:tcPr>
            <w:tcW w:w="2885" w:type="dxa"/>
            <w:gridSpan w:val="4"/>
          </w:tcPr>
          <w:p w14:paraId="0539CEC3" w14:textId="77777777" w:rsidR="00A90E9C" w:rsidRPr="008A26D2" w:rsidRDefault="00A90E9C" w:rsidP="005324E8">
            <w:pPr>
              <w:rPr>
                <w:rFonts w:ascii="Arial" w:eastAsia="Arial Narrow" w:hAnsi="Arial" w:cs="Arial"/>
                <w:b/>
                <w:sz w:val="20"/>
                <w:szCs w:val="20"/>
              </w:rPr>
            </w:pPr>
            <w:r w:rsidRPr="008A26D2">
              <w:rPr>
                <w:rFonts w:ascii="Arial" w:eastAsia="Arial Narrow" w:hAnsi="Arial" w:cs="Arial"/>
                <w:b/>
                <w:sz w:val="20"/>
                <w:szCs w:val="20"/>
              </w:rPr>
              <w:t>Limitaciones para la medición del indicador:</w:t>
            </w:r>
          </w:p>
        </w:tc>
        <w:tc>
          <w:tcPr>
            <w:tcW w:w="5894" w:type="dxa"/>
            <w:gridSpan w:val="8"/>
          </w:tcPr>
          <w:p w14:paraId="15BDC7F0" w14:textId="77777777" w:rsidR="00A90E9C" w:rsidRPr="008A26D2" w:rsidRDefault="00A90E9C" w:rsidP="0087293E">
            <w:pPr>
              <w:jc w:val="both"/>
              <w:rPr>
                <w:rFonts w:ascii="Arial" w:eastAsia="Arial Narrow" w:hAnsi="Arial" w:cs="Arial"/>
                <w:sz w:val="20"/>
                <w:szCs w:val="20"/>
              </w:rPr>
            </w:pPr>
            <w:r w:rsidRPr="008A26D2">
              <w:rPr>
                <w:rFonts w:ascii="Arial" w:eastAsia="Arial Narrow" w:hAnsi="Arial" w:cs="Arial"/>
                <w:sz w:val="20"/>
                <w:szCs w:val="20"/>
              </w:rPr>
              <w:t>No se cuenta con limitaciones</w:t>
            </w:r>
          </w:p>
        </w:tc>
      </w:tr>
      <w:tr w:rsidR="008A26D2" w:rsidRPr="008A26D2" w14:paraId="484AE165" w14:textId="77777777" w:rsidTr="00C56494">
        <w:trPr>
          <w:trHeight w:val="738"/>
        </w:trPr>
        <w:tc>
          <w:tcPr>
            <w:tcW w:w="2885" w:type="dxa"/>
            <w:gridSpan w:val="4"/>
          </w:tcPr>
          <w:p w14:paraId="5E57F145" w14:textId="77777777" w:rsidR="00A90E9C" w:rsidRPr="008A26D2" w:rsidRDefault="00A90E9C" w:rsidP="0087293E">
            <w:pPr>
              <w:jc w:val="both"/>
              <w:rPr>
                <w:rFonts w:ascii="Arial" w:eastAsia="Arial Narrow" w:hAnsi="Arial" w:cs="Arial"/>
                <w:b/>
                <w:sz w:val="20"/>
                <w:szCs w:val="20"/>
              </w:rPr>
            </w:pPr>
            <w:r w:rsidRPr="008A26D2">
              <w:rPr>
                <w:rFonts w:ascii="Arial" w:eastAsia="Arial Narrow" w:hAnsi="Arial" w:cs="Arial"/>
                <w:b/>
                <w:sz w:val="20"/>
                <w:szCs w:val="20"/>
              </w:rPr>
              <w:t>Método de cálculo:</w:t>
            </w:r>
          </w:p>
        </w:tc>
        <w:tc>
          <w:tcPr>
            <w:tcW w:w="5894" w:type="dxa"/>
            <w:gridSpan w:val="8"/>
          </w:tcPr>
          <w:p w14:paraId="6ECFCE63" w14:textId="77777777" w:rsidR="00A90E9C" w:rsidRPr="008A26D2" w:rsidRDefault="00A90E9C" w:rsidP="00DC2673">
            <w:pPr>
              <w:pStyle w:val="Prrafodelista"/>
              <w:numPr>
                <w:ilvl w:val="0"/>
                <w:numId w:val="26"/>
              </w:numPr>
              <w:ind w:left="369" w:hanging="283"/>
              <w:jc w:val="both"/>
              <w:rPr>
                <w:rFonts w:ascii="Arial" w:eastAsia="Arial Narrow" w:hAnsi="Arial" w:cs="Arial"/>
                <w:b/>
                <w:sz w:val="20"/>
                <w:szCs w:val="20"/>
              </w:rPr>
            </w:pPr>
            <w:r w:rsidRPr="008A26D2">
              <w:rPr>
                <w:rFonts w:ascii="Arial" w:eastAsia="Arial Narrow" w:hAnsi="Arial" w:cs="Arial"/>
                <w:b/>
                <w:sz w:val="20"/>
                <w:szCs w:val="20"/>
              </w:rPr>
              <w:t>Fórmula:</w:t>
            </w:r>
          </w:p>
          <w:p w14:paraId="352DA281" w14:textId="23755083" w:rsidR="00A90E9C" w:rsidRPr="008A26D2" w:rsidRDefault="00C56494" w:rsidP="0087293E">
            <w:pPr>
              <w:ind w:left="652" w:hanging="283"/>
              <w:jc w:val="both"/>
              <w:rPr>
                <w:rFonts w:ascii="Arial" w:eastAsia="Arial Narrow" w:hAnsi="Arial" w:cs="Arial"/>
                <w:bCs/>
                <w:sz w:val="20"/>
                <w:szCs w:val="20"/>
              </w:rPr>
            </w:pPr>
            <w:r w:rsidRPr="008A26D2">
              <w:rPr>
                <w:rFonts w:ascii="Arial" w:eastAsia="Arial Narrow" w:hAnsi="Arial" w:cs="Arial"/>
                <w:bCs/>
                <w:sz w:val="20"/>
                <w:szCs w:val="20"/>
              </w:rPr>
              <w:t>(</w:t>
            </w:r>
            <w:r w:rsidR="00A90E9C" w:rsidRPr="008A26D2">
              <w:rPr>
                <w:rFonts w:ascii="Arial" w:eastAsia="Arial Narrow" w:hAnsi="Arial" w:cs="Arial"/>
                <w:bCs/>
                <w:sz w:val="20"/>
                <w:szCs w:val="20"/>
              </w:rPr>
              <w:t>A/B</w:t>
            </w:r>
            <w:r w:rsidRPr="008A26D2">
              <w:rPr>
                <w:rFonts w:ascii="Arial" w:eastAsia="Arial Narrow" w:hAnsi="Arial" w:cs="Arial"/>
                <w:bCs/>
                <w:sz w:val="20"/>
                <w:szCs w:val="20"/>
              </w:rPr>
              <w:t>)</w:t>
            </w:r>
            <w:r w:rsidR="00A90E9C" w:rsidRPr="008A26D2">
              <w:rPr>
                <w:rFonts w:ascii="Arial" w:eastAsia="Arial Narrow" w:hAnsi="Arial" w:cs="Arial"/>
                <w:bCs/>
                <w:sz w:val="20"/>
                <w:szCs w:val="20"/>
              </w:rPr>
              <w:t>*100</w:t>
            </w:r>
          </w:p>
          <w:p w14:paraId="32BFF021" w14:textId="77777777" w:rsidR="00A90E9C" w:rsidRPr="008A26D2" w:rsidRDefault="00A90E9C" w:rsidP="0087293E">
            <w:pPr>
              <w:ind w:left="652" w:hanging="283"/>
              <w:jc w:val="both"/>
              <w:rPr>
                <w:rFonts w:ascii="Arial" w:eastAsia="Arial Narrow" w:hAnsi="Arial" w:cs="Arial"/>
                <w:bCs/>
                <w:sz w:val="20"/>
                <w:szCs w:val="20"/>
              </w:rPr>
            </w:pPr>
            <w:r w:rsidRPr="008A26D2">
              <w:rPr>
                <w:rFonts w:ascii="Arial" w:eastAsia="Arial Narrow" w:hAnsi="Arial" w:cs="Arial"/>
                <w:bCs/>
                <w:sz w:val="20"/>
                <w:szCs w:val="20"/>
              </w:rPr>
              <w:t>Donde:</w:t>
            </w:r>
          </w:p>
          <w:p w14:paraId="086BDD7C" w14:textId="6273BA45" w:rsidR="00A90E9C" w:rsidRPr="008A26D2" w:rsidRDefault="00A90E9C" w:rsidP="00DC2673">
            <w:pPr>
              <w:ind w:left="936" w:hanging="567"/>
              <w:jc w:val="both"/>
              <w:rPr>
                <w:rFonts w:ascii="Arial" w:eastAsia="Arial Narrow" w:hAnsi="Arial" w:cs="Arial"/>
                <w:bCs/>
                <w:sz w:val="20"/>
                <w:szCs w:val="20"/>
              </w:rPr>
            </w:pPr>
            <w:r w:rsidRPr="008A26D2">
              <w:rPr>
                <w:rFonts w:ascii="Arial" w:eastAsia="Arial Narrow" w:hAnsi="Arial" w:cs="Arial"/>
                <w:bCs/>
                <w:sz w:val="20"/>
                <w:szCs w:val="20"/>
              </w:rPr>
              <w:t>A</w:t>
            </w:r>
            <w:r w:rsidR="003909E9">
              <w:rPr>
                <w:rFonts w:ascii="Arial" w:eastAsia="Arial Narrow" w:hAnsi="Arial" w:cs="Arial"/>
                <w:bCs/>
                <w:sz w:val="20"/>
                <w:szCs w:val="20"/>
              </w:rPr>
              <w:t xml:space="preserve"> </w:t>
            </w:r>
            <w:r w:rsidRPr="008A26D2">
              <w:rPr>
                <w:rFonts w:ascii="Arial" w:eastAsia="Arial Narrow" w:hAnsi="Arial" w:cs="Arial"/>
                <w:bCs/>
                <w:sz w:val="20"/>
                <w:szCs w:val="20"/>
              </w:rPr>
              <w:t xml:space="preserve">= Numero de </w:t>
            </w:r>
            <w:r w:rsidR="00C56494" w:rsidRPr="008A26D2">
              <w:rPr>
                <w:rFonts w:ascii="Arial" w:eastAsia="Arial Narrow" w:hAnsi="Arial" w:cs="Arial"/>
                <w:bCs/>
                <w:sz w:val="20"/>
                <w:szCs w:val="20"/>
              </w:rPr>
              <w:t>g</w:t>
            </w:r>
            <w:r w:rsidRPr="008A26D2">
              <w:rPr>
                <w:rFonts w:ascii="Arial" w:eastAsia="Arial Narrow" w:hAnsi="Arial" w:cs="Arial"/>
                <w:bCs/>
                <w:sz w:val="20"/>
                <w:szCs w:val="20"/>
              </w:rPr>
              <w:t xml:space="preserve">obiernos </w:t>
            </w:r>
            <w:r w:rsidR="00C56494" w:rsidRPr="008A26D2">
              <w:rPr>
                <w:rFonts w:ascii="Arial" w:eastAsia="Arial Narrow" w:hAnsi="Arial" w:cs="Arial"/>
                <w:bCs/>
                <w:sz w:val="20"/>
                <w:szCs w:val="20"/>
              </w:rPr>
              <w:t>r</w:t>
            </w:r>
            <w:r w:rsidRPr="008A26D2">
              <w:rPr>
                <w:rFonts w:ascii="Arial" w:eastAsia="Arial Narrow" w:hAnsi="Arial" w:cs="Arial"/>
                <w:bCs/>
                <w:sz w:val="20"/>
                <w:szCs w:val="20"/>
              </w:rPr>
              <w:t xml:space="preserve">egionales </w:t>
            </w:r>
            <w:r w:rsidRPr="008A26D2">
              <w:rPr>
                <w:rFonts w:ascii="Arial" w:eastAsia="Arial Narrow" w:hAnsi="Arial" w:cs="Arial"/>
                <w:sz w:val="20"/>
                <w:szCs w:val="20"/>
              </w:rPr>
              <w:t>que acceden al fortalecimiento de capacidades para identificar oportunidades para la recuperación de áreas degradadas</w:t>
            </w:r>
          </w:p>
          <w:p w14:paraId="2D1C9A11" w14:textId="6D03E986" w:rsidR="00A90E9C" w:rsidRDefault="00A90E9C" w:rsidP="003909E9">
            <w:pPr>
              <w:ind w:left="936" w:hanging="567"/>
              <w:jc w:val="both"/>
              <w:rPr>
                <w:rFonts w:ascii="Arial" w:eastAsia="Arial Narrow" w:hAnsi="Arial" w:cs="Arial"/>
                <w:bCs/>
                <w:sz w:val="20"/>
                <w:szCs w:val="20"/>
              </w:rPr>
            </w:pPr>
            <w:r w:rsidRPr="008A26D2">
              <w:rPr>
                <w:rFonts w:ascii="Arial" w:eastAsia="Arial Narrow" w:hAnsi="Arial" w:cs="Arial"/>
                <w:bCs/>
                <w:sz w:val="20"/>
                <w:szCs w:val="20"/>
              </w:rPr>
              <w:t>B</w:t>
            </w:r>
            <w:r w:rsidR="003909E9">
              <w:rPr>
                <w:rFonts w:ascii="Arial" w:eastAsia="Arial Narrow" w:hAnsi="Arial" w:cs="Arial"/>
                <w:bCs/>
                <w:sz w:val="20"/>
                <w:szCs w:val="20"/>
              </w:rPr>
              <w:t xml:space="preserve">  </w:t>
            </w:r>
            <w:r w:rsidRPr="008A26D2">
              <w:rPr>
                <w:rFonts w:ascii="Arial" w:eastAsia="Arial Narrow" w:hAnsi="Arial" w:cs="Arial"/>
                <w:bCs/>
                <w:sz w:val="20"/>
                <w:szCs w:val="20"/>
              </w:rPr>
              <w:t>= Total de Gobiernos Regionales</w:t>
            </w:r>
          </w:p>
          <w:p w14:paraId="3D4F449C" w14:textId="7D4BC794" w:rsidR="00A90E9C" w:rsidRPr="008A26D2" w:rsidRDefault="00A90E9C" w:rsidP="00DC2673">
            <w:pPr>
              <w:pStyle w:val="Prrafodelista"/>
              <w:numPr>
                <w:ilvl w:val="0"/>
                <w:numId w:val="26"/>
              </w:numPr>
              <w:ind w:left="369" w:hanging="283"/>
              <w:jc w:val="both"/>
              <w:rPr>
                <w:rFonts w:ascii="Arial" w:eastAsia="Arial Narrow" w:hAnsi="Arial" w:cs="Arial"/>
                <w:b/>
                <w:sz w:val="20"/>
                <w:szCs w:val="20"/>
              </w:rPr>
            </w:pPr>
            <w:r w:rsidRPr="008A26D2">
              <w:rPr>
                <w:rFonts w:ascii="Arial" w:eastAsia="Arial Narrow" w:hAnsi="Arial" w:cs="Arial"/>
                <w:b/>
                <w:sz w:val="20"/>
                <w:szCs w:val="20"/>
              </w:rPr>
              <w:t>Especificaciones técnicas:</w:t>
            </w:r>
          </w:p>
          <w:p w14:paraId="1DD34A64" w14:textId="010458E8" w:rsidR="00C87F4B" w:rsidRPr="008A26D2" w:rsidRDefault="000B33D8" w:rsidP="00DC2673">
            <w:pPr>
              <w:ind w:left="227"/>
              <w:jc w:val="both"/>
              <w:rPr>
                <w:rFonts w:ascii="Arial" w:hAnsi="Arial" w:cs="Arial"/>
                <w:bCs/>
                <w:sz w:val="20"/>
                <w:szCs w:val="20"/>
              </w:rPr>
            </w:pPr>
            <w:r>
              <w:rPr>
                <w:rFonts w:ascii="Arial" w:hAnsi="Arial" w:cs="Arial"/>
                <w:bCs/>
                <w:sz w:val="20"/>
                <w:szCs w:val="20"/>
              </w:rPr>
              <w:t xml:space="preserve">La variable A se determina a partir de </w:t>
            </w:r>
            <w:r w:rsidR="00DC2673">
              <w:rPr>
                <w:rFonts w:ascii="Arial" w:hAnsi="Arial" w:cs="Arial"/>
                <w:bCs/>
                <w:sz w:val="20"/>
                <w:szCs w:val="20"/>
              </w:rPr>
              <w:t>la cantidad de</w:t>
            </w:r>
            <w:r w:rsidR="00C87F4B" w:rsidRPr="008A26D2">
              <w:rPr>
                <w:rFonts w:ascii="Arial" w:hAnsi="Arial" w:cs="Arial"/>
                <w:bCs/>
                <w:sz w:val="20"/>
                <w:szCs w:val="20"/>
              </w:rPr>
              <w:t xml:space="preserve"> </w:t>
            </w:r>
            <w:r w:rsidR="001E1321" w:rsidRPr="001E1321">
              <w:rPr>
                <w:rFonts w:ascii="Arial" w:hAnsi="Arial" w:cs="Arial"/>
                <w:bCs/>
                <w:sz w:val="20"/>
                <w:szCs w:val="20"/>
              </w:rPr>
              <w:t xml:space="preserve">gobiernos regionales que acceden al fortalecimiento de capacidades para identificar oportunidades para la recuperación de áreas </w:t>
            </w:r>
            <w:r w:rsidR="001E1321" w:rsidRPr="001E1321">
              <w:rPr>
                <w:rFonts w:ascii="Arial" w:hAnsi="Arial" w:cs="Arial"/>
                <w:bCs/>
                <w:sz w:val="20"/>
                <w:szCs w:val="20"/>
              </w:rPr>
              <w:lastRenderedPageBreak/>
              <w:t>degradadas</w:t>
            </w:r>
            <w:r w:rsidR="00DC2673">
              <w:rPr>
                <w:rFonts w:ascii="Arial" w:hAnsi="Arial" w:cs="Arial"/>
                <w:bCs/>
                <w:sz w:val="20"/>
                <w:szCs w:val="20"/>
              </w:rPr>
              <w:t xml:space="preserve">, </w:t>
            </w:r>
            <w:r w:rsidR="003E3F4D">
              <w:rPr>
                <w:rFonts w:ascii="Arial" w:hAnsi="Arial" w:cs="Arial"/>
                <w:bCs/>
                <w:sz w:val="20"/>
                <w:szCs w:val="20"/>
              </w:rPr>
              <w:t xml:space="preserve">que aprovechan las facilidades brindadas para su </w:t>
            </w:r>
            <w:r w:rsidR="000B73A3">
              <w:rPr>
                <w:rFonts w:ascii="Arial" w:hAnsi="Arial" w:cs="Arial"/>
                <w:bCs/>
                <w:sz w:val="20"/>
                <w:szCs w:val="20"/>
              </w:rPr>
              <w:t>participación.</w:t>
            </w:r>
            <w:r w:rsidR="001E1321" w:rsidRPr="001E1321">
              <w:rPr>
                <w:rFonts w:ascii="Arial" w:hAnsi="Arial" w:cs="Arial"/>
                <w:bCs/>
                <w:sz w:val="20"/>
                <w:szCs w:val="20"/>
              </w:rPr>
              <w:t xml:space="preserve"> </w:t>
            </w:r>
          </w:p>
          <w:p w14:paraId="2507E49F" w14:textId="45B0E575" w:rsidR="00A90E9C" w:rsidRPr="008A26D2" w:rsidRDefault="000B33D8" w:rsidP="0087293E">
            <w:pPr>
              <w:ind w:left="227"/>
              <w:jc w:val="both"/>
              <w:rPr>
                <w:rFonts w:ascii="Arial" w:eastAsia="Arial Narrow" w:hAnsi="Arial" w:cs="Arial"/>
                <w:sz w:val="20"/>
                <w:szCs w:val="20"/>
              </w:rPr>
            </w:pPr>
            <w:r>
              <w:rPr>
                <w:rFonts w:ascii="Arial" w:eastAsia="Arial Narrow" w:hAnsi="Arial" w:cs="Arial"/>
                <w:sz w:val="20"/>
                <w:szCs w:val="20"/>
              </w:rPr>
              <w:t>La variable B</w:t>
            </w:r>
            <w:r w:rsidR="00560F2B">
              <w:rPr>
                <w:rFonts w:ascii="Arial" w:eastAsia="Arial Narrow" w:hAnsi="Arial" w:cs="Arial"/>
                <w:sz w:val="20"/>
                <w:szCs w:val="20"/>
              </w:rPr>
              <w:t xml:space="preserve"> considera 24 </w:t>
            </w:r>
            <w:r w:rsidR="00C56494" w:rsidRPr="008A26D2">
              <w:rPr>
                <w:rFonts w:ascii="Arial" w:eastAsia="Arial Narrow" w:hAnsi="Arial" w:cs="Arial"/>
                <w:sz w:val="20"/>
                <w:szCs w:val="20"/>
              </w:rPr>
              <w:t>g</w:t>
            </w:r>
            <w:r w:rsidR="00A90E9C" w:rsidRPr="008A26D2">
              <w:rPr>
                <w:rFonts w:ascii="Arial" w:eastAsia="Arial Narrow" w:hAnsi="Arial" w:cs="Arial"/>
                <w:sz w:val="20"/>
                <w:szCs w:val="20"/>
              </w:rPr>
              <w:t xml:space="preserve">obiernos </w:t>
            </w:r>
            <w:r w:rsidR="00C56494" w:rsidRPr="008A26D2">
              <w:rPr>
                <w:rFonts w:ascii="Arial" w:eastAsia="Arial Narrow" w:hAnsi="Arial" w:cs="Arial"/>
                <w:sz w:val="20"/>
                <w:szCs w:val="20"/>
              </w:rPr>
              <w:t>r</w:t>
            </w:r>
            <w:r w:rsidR="00A90E9C" w:rsidRPr="008A26D2">
              <w:rPr>
                <w:rFonts w:ascii="Arial" w:eastAsia="Arial Narrow" w:hAnsi="Arial" w:cs="Arial"/>
                <w:sz w:val="20"/>
                <w:szCs w:val="20"/>
              </w:rPr>
              <w:t>egionales</w:t>
            </w:r>
            <w:r>
              <w:rPr>
                <w:rFonts w:ascii="Arial" w:eastAsia="Arial Narrow" w:hAnsi="Arial" w:cs="Arial"/>
                <w:sz w:val="20"/>
                <w:szCs w:val="20"/>
              </w:rPr>
              <w:t xml:space="preserve"> en total</w:t>
            </w:r>
            <w:r w:rsidR="00A90E9C" w:rsidRPr="008A26D2">
              <w:rPr>
                <w:rFonts w:ascii="Arial" w:eastAsia="Arial Narrow" w:hAnsi="Arial" w:cs="Arial"/>
                <w:sz w:val="20"/>
                <w:szCs w:val="20"/>
              </w:rPr>
              <w:t>.</w:t>
            </w:r>
          </w:p>
          <w:p w14:paraId="76CCC8E4" w14:textId="77777777" w:rsidR="00A90E9C" w:rsidRPr="008A26D2" w:rsidRDefault="00A90E9C" w:rsidP="0087293E">
            <w:pPr>
              <w:ind w:left="227"/>
              <w:jc w:val="both"/>
              <w:rPr>
                <w:rFonts w:ascii="Arial" w:eastAsia="Arial Narrow" w:hAnsi="Arial" w:cs="Arial"/>
                <w:sz w:val="20"/>
                <w:szCs w:val="20"/>
              </w:rPr>
            </w:pPr>
            <w:r w:rsidRPr="008A26D2">
              <w:rPr>
                <w:rFonts w:ascii="Arial" w:eastAsia="Arial Narrow" w:hAnsi="Arial" w:cs="Arial"/>
                <w:sz w:val="20"/>
                <w:szCs w:val="20"/>
              </w:rPr>
              <w:t>El Ministerio del Ambiente - MINAM genera información de degradación a nivel nacional, pero además la Dirección General de Ordenamiento Territorial y de la Gestión Integrada de los Recursos Naturales coordina y genera información específica dirigida a los gobiernos regionales, de calidad (con opinión favorable del MINAM), cuya apropiación permitirá promover las inversiones en recuperación de ecosistemas.</w:t>
            </w:r>
          </w:p>
          <w:p w14:paraId="6A93EF29" w14:textId="295C3B78" w:rsidR="00EA16B7" w:rsidRPr="008A26D2" w:rsidRDefault="00EA16B7" w:rsidP="0087293E">
            <w:pPr>
              <w:ind w:left="227"/>
              <w:jc w:val="both"/>
              <w:rPr>
                <w:rFonts w:ascii="Arial" w:eastAsia="Arial Narrow" w:hAnsi="Arial" w:cs="Arial"/>
                <w:b/>
                <w:sz w:val="20"/>
                <w:szCs w:val="20"/>
              </w:rPr>
            </w:pPr>
            <w:r w:rsidRPr="008A26D2">
              <w:rPr>
                <w:rFonts w:ascii="Arial" w:eastAsia="Arial Narrow" w:hAnsi="Arial" w:cs="Arial"/>
                <w:sz w:val="20"/>
                <w:szCs w:val="20"/>
              </w:rPr>
              <w:t>La información de la línea base es al 2020 al ser esta la última disponible</w:t>
            </w:r>
            <w:r w:rsidR="00C53918" w:rsidRPr="008A26D2">
              <w:rPr>
                <w:rFonts w:ascii="Arial" w:eastAsia="Arial Narrow" w:hAnsi="Arial" w:cs="Arial"/>
                <w:sz w:val="20"/>
                <w:szCs w:val="20"/>
              </w:rPr>
              <w:t>.</w:t>
            </w:r>
          </w:p>
        </w:tc>
      </w:tr>
      <w:tr w:rsidR="008A26D2" w:rsidRPr="008A26D2" w14:paraId="7E77A347" w14:textId="77777777" w:rsidTr="00C56494">
        <w:trPr>
          <w:trHeight w:val="338"/>
        </w:trPr>
        <w:tc>
          <w:tcPr>
            <w:tcW w:w="2885" w:type="dxa"/>
            <w:gridSpan w:val="4"/>
          </w:tcPr>
          <w:p w14:paraId="7BB5AFF0" w14:textId="77777777" w:rsidR="00A90E9C" w:rsidRPr="008A26D2" w:rsidRDefault="00A90E9C" w:rsidP="0087293E">
            <w:pPr>
              <w:jc w:val="both"/>
              <w:rPr>
                <w:rFonts w:ascii="Arial" w:hAnsi="Arial" w:cs="Arial"/>
                <w:b/>
                <w:sz w:val="20"/>
                <w:szCs w:val="20"/>
              </w:rPr>
            </w:pPr>
            <w:r w:rsidRPr="008A26D2">
              <w:rPr>
                <w:rFonts w:ascii="Arial" w:eastAsia="Arial Narrow" w:hAnsi="Arial" w:cs="Arial"/>
                <w:b/>
                <w:sz w:val="20"/>
                <w:szCs w:val="20"/>
              </w:rPr>
              <w:lastRenderedPageBreak/>
              <w:t>Sentido esperado del indicador:</w:t>
            </w:r>
          </w:p>
        </w:tc>
        <w:tc>
          <w:tcPr>
            <w:tcW w:w="1616" w:type="dxa"/>
            <w:gridSpan w:val="2"/>
          </w:tcPr>
          <w:p w14:paraId="042B78A3" w14:textId="77777777" w:rsidR="00A90E9C" w:rsidRPr="008A26D2" w:rsidRDefault="00A90E9C" w:rsidP="0087293E">
            <w:pPr>
              <w:jc w:val="both"/>
              <w:rPr>
                <w:rFonts w:ascii="Arial" w:hAnsi="Arial" w:cs="Arial"/>
                <w:sz w:val="20"/>
                <w:szCs w:val="20"/>
              </w:rPr>
            </w:pPr>
            <w:r w:rsidRPr="008A26D2">
              <w:rPr>
                <w:rFonts w:ascii="Arial" w:eastAsia="Arial Narrow" w:hAnsi="Arial" w:cs="Arial"/>
                <w:sz w:val="20"/>
                <w:szCs w:val="20"/>
              </w:rPr>
              <w:t>Ascendente</w:t>
            </w:r>
          </w:p>
        </w:tc>
        <w:tc>
          <w:tcPr>
            <w:tcW w:w="1868" w:type="dxa"/>
            <w:gridSpan w:val="3"/>
          </w:tcPr>
          <w:p w14:paraId="12BFAECE" w14:textId="77777777" w:rsidR="00A90E9C" w:rsidRPr="008A26D2" w:rsidRDefault="00A90E9C" w:rsidP="0087293E">
            <w:pPr>
              <w:jc w:val="both"/>
              <w:rPr>
                <w:rFonts w:ascii="Arial" w:hAnsi="Arial" w:cs="Arial"/>
                <w:b/>
                <w:sz w:val="20"/>
                <w:szCs w:val="20"/>
              </w:rPr>
            </w:pPr>
            <w:r w:rsidRPr="008A26D2">
              <w:rPr>
                <w:rFonts w:ascii="Arial" w:eastAsia="Arial Narrow" w:hAnsi="Arial" w:cs="Arial"/>
                <w:b/>
                <w:sz w:val="20"/>
                <w:szCs w:val="20"/>
              </w:rPr>
              <w:t>Tipo de indicador de servicio:</w:t>
            </w:r>
          </w:p>
        </w:tc>
        <w:tc>
          <w:tcPr>
            <w:tcW w:w="2410" w:type="dxa"/>
            <w:gridSpan w:val="3"/>
          </w:tcPr>
          <w:p w14:paraId="5EA1C10B" w14:textId="77777777" w:rsidR="00A90E9C" w:rsidRPr="008A26D2" w:rsidRDefault="00A90E9C" w:rsidP="0087293E">
            <w:pPr>
              <w:jc w:val="both"/>
              <w:rPr>
                <w:rFonts w:ascii="Arial" w:eastAsia="Arial Narrow" w:hAnsi="Arial" w:cs="Arial"/>
                <w:sz w:val="20"/>
                <w:szCs w:val="20"/>
              </w:rPr>
            </w:pPr>
            <w:r w:rsidRPr="008A26D2">
              <w:rPr>
                <w:rFonts w:ascii="Arial" w:eastAsia="Arial Narrow" w:hAnsi="Arial" w:cs="Arial"/>
                <w:sz w:val="20"/>
                <w:szCs w:val="20"/>
              </w:rPr>
              <w:t>Calidad - Accesibilidad</w:t>
            </w:r>
          </w:p>
        </w:tc>
      </w:tr>
      <w:tr w:rsidR="008A26D2" w:rsidRPr="008A26D2" w14:paraId="30D5E891" w14:textId="77777777" w:rsidTr="00C56494">
        <w:trPr>
          <w:trHeight w:val="2502"/>
        </w:trPr>
        <w:tc>
          <w:tcPr>
            <w:tcW w:w="2885" w:type="dxa"/>
            <w:gridSpan w:val="4"/>
          </w:tcPr>
          <w:p w14:paraId="4EBFC44B" w14:textId="77777777" w:rsidR="00A90E9C" w:rsidRPr="008A26D2" w:rsidRDefault="00A90E9C" w:rsidP="0087293E">
            <w:pPr>
              <w:pStyle w:val="TableParagraph"/>
              <w:jc w:val="both"/>
              <w:rPr>
                <w:rFonts w:ascii="Arial" w:hAnsi="Arial" w:cs="Arial"/>
                <w:sz w:val="20"/>
                <w:szCs w:val="20"/>
              </w:rPr>
            </w:pPr>
          </w:p>
          <w:p w14:paraId="2DDA417F" w14:textId="77777777" w:rsidR="00A90E9C" w:rsidRPr="008A26D2" w:rsidRDefault="00A90E9C" w:rsidP="0087293E">
            <w:pPr>
              <w:pStyle w:val="TableParagraph"/>
              <w:jc w:val="both"/>
              <w:rPr>
                <w:rFonts w:ascii="Arial" w:hAnsi="Arial" w:cs="Arial"/>
                <w:sz w:val="20"/>
                <w:szCs w:val="20"/>
              </w:rPr>
            </w:pPr>
          </w:p>
          <w:p w14:paraId="290F6D38" w14:textId="77777777" w:rsidR="00A90E9C" w:rsidRPr="008A26D2" w:rsidRDefault="00A90E9C" w:rsidP="0087293E">
            <w:pPr>
              <w:pStyle w:val="TableParagraph"/>
              <w:jc w:val="both"/>
              <w:rPr>
                <w:rFonts w:ascii="Arial" w:hAnsi="Arial" w:cs="Arial"/>
                <w:sz w:val="20"/>
                <w:szCs w:val="20"/>
              </w:rPr>
            </w:pPr>
          </w:p>
          <w:p w14:paraId="4FDDCD24" w14:textId="77777777" w:rsidR="00A90E9C" w:rsidRPr="008A26D2" w:rsidRDefault="00A90E9C" w:rsidP="0087293E">
            <w:pPr>
              <w:pStyle w:val="TableParagraph"/>
              <w:spacing w:before="10"/>
              <w:jc w:val="both"/>
              <w:rPr>
                <w:rFonts w:ascii="Arial" w:hAnsi="Arial" w:cs="Arial"/>
                <w:sz w:val="20"/>
                <w:szCs w:val="20"/>
              </w:rPr>
            </w:pPr>
          </w:p>
          <w:p w14:paraId="0B13C914" w14:textId="77777777" w:rsidR="00A90E9C" w:rsidRPr="008A26D2" w:rsidRDefault="00A90E9C" w:rsidP="0087293E">
            <w:pPr>
              <w:jc w:val="both"/>
              <w:rPr>
                <w:rFonts w:ascii="Arial" w:hAnsi="Arial" w:cs="Arial"/>
                <w:b/>
                <w:sz w:val="20"/>
                <w:szCs w:val="20"/>
              </w:rPr>
            </w:pPr>
            <w:r w:rsidRPr="008A26D2">
              <w:rPr>
                <w:rFonts w:ascii="Arial" w:eastAsia="Arial Narrow" w:hAnsi="Arial" w:cs="Arial"/>
                <w:b/>
                <w:sz w:val="20"/>
                <w:szCs w:val="20"/>
              </w:rPr>
              <w:t>Fuente y base de datos:</w:t>
            </w:r>
          </w:p>
        </w:tc>
        <w:tc>
          <w:tcPr>
            <w:tcW w:w="5894" w:type="dxa"/>
            <w:gridSpan w:val="8"/>
          </w:tcPr>
          <w:p w14:paraId="1115C66E" w14:textId="17FDAD4A" w:rsidR="00A90E9C" w:rsidRPr="008A26D2" w:rsidRDefault="00A90E9C" w:rsidP="0087293E">
            <w:pPr>
              <w:jc w:val="both"/>
              <w:rPr>
                <w:rFonts w:ascii="Arial" w:eastAsia="Arial Narrow" w:hAnsi="Arial" w:cs="Arial"/>
                <w:sz w:val="20"/>
                <w:szCs w:val="20"/>
              </w:rPr>
            </w:pPr>
            <w:r w:rsidRPr="008A26D2">
              <w:rPr>
                <w:rFonts w:ascii="Arial" w:eastAsia="Arial Narrow" w:hAnsi="Arial" w:cs="Arial"/>
                <w:sz w:val="20"/>
                <w:szCs w:val="20"/>
              </w:rPr>
              <w:t>Fuente: Dirección General de Ordenamiento Territorial y de la Gestión Integrada de los Recursos Naturales</w:t>
            </w:r>
            <w:r w:rsidR="00C56494" w:rsidRPr="008A26D2">
              <w:rPr>
                <w:rFonts w:ascii="Arial" w:eastAsia="Arial Narrow" w:hAnsi="Arial" w:cs="Arial"/>
                <w:sz w:val="20"/>
                <w:szCs w:val="20"/>
              </w:rPr>
              <w:t xml:space="preserve"> del </w:t>
            </w:r>
            <w:r w:rsidR="00B041F2">
              <w:rPr>
                <w:rFonts w:ascii="Arial" w:eastAsia="Arial Narrow" w:hAnsi="Arial" w:cs="Arial"/>
                <w:sz w:val="20"/>
                <w:szCs w:val="20"/>
              </w:rPr>
              <w:t xml:space="preserve">Ministerio de Ambiente - </w:t>
            </w:r>
            <w:r w:rsidR="00C56494" w:rsidRPr="008A26D2">
              <w:rPr>
                <w:rFonts w:ascii="Arial" w:eastAsia="Arial Narrow" w:hAnsi="Arial" w:cs="Arial"/>
                <w:sz w:val="20"/>
                <w:szCs w:val="20"/>
              </w:rPr>
              <w:t>MINAM</w:t>
            </w:r>
          </w:p>
          <w:p w14:paraId="0B6A2C5A" w14:textId="77777777" w:rsidR="00A90E9C" w:rsidRPr="008A26D2" w:rsidRDefault="00A90E9C" w:rsidP="0087293E">
            <w:pPr>
              <w:jc w:val="both"/>
              <w:rPr>
                <w:rFonts w:ascii="Arial" w:eastAsia="Arial Narrow" w:hAnsi="Arial" w:cs="Arial"/>
                <w:sz w:val="20"/>
                <w:szCs w:val="20"/>
              </w:rPr>
            </w:pPr>
            <w:r w:rsidRPr="008A26D2">
              <w:rPr>
                <w:rFonts w:ascii="Arial" w:eastAsia="Arial Narrow" w:hAnsi="Arial" w:cs="Arial"/>
                <w:sz w:val="20"/>
                <w:szCs w:val="20"/>
              </w:rPr>
              <w:t>Base de datos:</w:t>
            </w:r>
          </w:p>
          <w:p w14:paraId="033429A1" w14:textId="25C3CA15" w:rsidR="00A90E9C" w:rsidRPr="008A26D2" w:rsidRDefault="00A90E9C" w:rsidP="0087293E">
            <w:pPr>
              <w:pStyle w:val="Prrafodelista"/>
              <w:numPr>
                <w:ilvl w:val="0"/>
                <w:numId w:val="32"/>
              </w:numPr>
              <w:ind w:left="227" w:hanging="142"/>
              <w:jc w:val="both"/>
              <w:rPr>
                <w:rFonts w:ascii="Arial" w:eastAsia="Arial Narrow" w:hAnsi="Arial" w:cs="Arial"/>
                <w:sz w:val="20"/>
                <w:szCs w:val="20"/>
              </w:rPr>
            </w:pPr>
            <w:r w:rsidRPr="008A26D2">
              <w:rPr>
                <w:rFonts w:ascii="Arial" w:eastAsia="Arial Narrow" w:hAnsi="Arial" w:cs="Arial"/>
                <w:sz w:val="20"/>
                <w:szCs w:val="20"/>
              </w:rPr>
              <w:t>Sistema de</w:t>
            </w:r>
            <w:r w:rsidR="00C56494" w:rsidRPr="008A26D2">
              <w:rPr>
                <w:rFonts w:ascii="Arial" w:eastAsia="Arial Narrow" w:hAnsi="Arial" w:cs="Arial"/>
                <w:sz w:val="20"/>
                <w:szCs w:val="20"/>
              </w:rPr>
              <w:t xml:space="preserve"> </w:t>
            </w:r>
            <w:r w:rsidRPr="008A26D2">
              <w:rPr>
                <w:rFonts w:ascii="Arial" w:eastAsia="Arial Narrow" w:hAnsi="Arial" w:cs="Arial"/>
                <w:sz w:val="20"/>
                <w:szCs w:val="20"/>
              </w:rPr>
              <w:t>l</w:t>
            </w:r>
            <w:r w:rsidR="00C56494" w:rsidRPr="008A26D2">
              <w:rPr>
                <w:rFonts w:ascii="Arial" w:eastAsia="Arial Narrow" w:hAnsi="Arial" w:cs="Arial"/>
                <w:sz w:val="20"/>
                <w:szCs w:val="20"/>
              </w:rPr>
              <w:t>a</w:t>
            </w:r>
            <w:r w:rsidRPr="008A26D2">
              <w:rPr>
                <w:rFonts w:ascii="Arial" w:eastAsia="Arial Narrow" w:hAnsi="Arial" w:cs="Arial"/>
                <w:sz w:val="20"/>
                <w:szCs w:val="20"/>
              </w:rPr>
              <w:t xml:space="preserve"> </w:t>
            </w:r>
            <w:r w:rsidR="00C56494" w:rsidRPr="008A26D2">
              <w:rPr>
                <w:rFonts w:ascii="Arial" w:eastAsia="Arial Narrow" w:hAnsi="Arial" w:cs="Arial"/>
                <w:sz w:val="20"/>
                <w:szCs w:val="20"/>
              </w:rPr>
              <w:t xml:space="preserve">Dirección General de Ordenamiento Territorial y de la Gestión Integrada de los Recursos Naturales </w:t>
            </w:r>
          </w:p>
          <w:p w14:paraId="032DAA0F" w14:textId="504FF27E" w:rsidR="00A90E9C" w:rsidRPr="008A26D2" w:rsidRDefault="00A90E9C" w:rsidP="0087293E">
            <w:pPr>
              <w:pStyle w:val="Prrafodelista"/>
              <w:numPr>
                <w:ilvl w:val="0"/>
                <w:numId w:val="32"/>
              </w:numPr>
              <w:ind w:left="227" w:hanging="142"/>
              <w:jc w:val="both"/>
              <w:rPr>
                <w:rFonts w:ascii="Arial" w:eastAsia="Arial Narrow" w:hAnsi="Arial" w:cs="Arial"/>
                <w:sz w:val="20"/>
                <w:szCs w:val="20"/>
              </w:rPr>
            </w:pPr>
            <w:r w:rsidRPr="008A26D2">
              <w:rPr>
                <w:rFonts w:ascii="Arial" w:eastAsia="Arial Narrow" w:hAnsi="Arial" w:cs="Arial"/>
                <w:sz w:val="20"/>
                <w:szCs w:val="20"/>
              </w:rPr>
              <w:t>Geoservidor</w:t>
            </w:r>
          </w:p>
          <w:p w14:paraId="09E1A725" w14:textId="77777777" w:rsidR="00A90E9C" w:rsidRPr="008A26D2" w:rsidRDefault="00A90E9C" w:rsidP="0087293E">
            <w:pPr>
              <w:pStyle w:val="Prrafodelista"/>
              <w:numPr>
                <w:ilvl w:val="0"/>
                <w:numId w:val="32"/>
              </w:numPr>
              <w:ind w:left="227" w:hanging="142"/>
              <w:jc w:val="both"/>
              <w:rPr>
                <w:rFonts w:ascii="Arial" w:eastAsia="Arial Narrow" w:hAnsi="Arial" w:cs="Arial"/>
                <w:sz w:val="20"/>
                <w:szCs w:val="20"/>
              </w:rPr>
            </w:pPr>
            <w:r w:rsidRPr="008A26D2">
              <w:rPr>
                <w:rFonts w:ascii="Arial" w:eastAsia="Arial Narrow" w:hAnsi="Arial" w:cs="Arial"/>
                <w:sz w:val="20"/>
                <w:szCs w:val="20"/>
              </w:rPr>
              <w:t>Mapas y memorias descriptivas de nivel regional</w:t>
            </w:r>
          </w:p>
        </w:tc>
      </w:tr>
      <w:tr w:rsidR="008A26D2" w:rsidRPr="008A26D2" w14:paraId="6FDFCD10" w14:textId="77777777" w:rsidTr="00C53918">
        <w:trPr>
          <w:trHeight w:val="1119"/>
        </w:trPr>
        <w:tc>
          <w:tcPr>
            <w:tcW w:w="2885" w:type="dxa"/>
            <w:gridSpan w:val="4"/>
          </w:tcPr>
          <w:p w14:paraId="1947C263" w14:textId="77777777" w:rsidR="00A90E9C" w:rsidRPr="008A26D2" w:rsidRDefault="00A90E9C" w:rsidP="0087293E">
            <w:pPr>
              <w:pStyle w:val="TableParagraph"/>
              <w:spacing w:before="9"/>
              <w:jc w:val="both"/>
              <w:rPr>
                <w:rFonts w:ascii="Arial" w:hAnsi="Arial" w:cs="Arial"/>
                <w:sz w:val="20"/>
                <w:szCs w:val="20"/>
              </w:rPr>
            </w:pPr>
          </w:p>
          <w:p w14:paraId="70F90AB5" w14:textId="77777777" w:rsidR="00A90E9C" w:rsidRPr="008A26D2" w:rsidRDefault="00A90E9C" w:rsidP="0087293E">
            <w:pPr>
              <w:pStyle w:val="TableParagraph"/>
              <w:spacing w:before="1"/>
              <w:ind w:left="91"/>
              <w:jc w:val="both"/>
              <w:rPr>
                <w:rFonts w:ascii="Arial" w:hAnsi="Arial" w:cs="Arial"/>
                <w:b/>
                <w:sz w:val="20"/>
                <w:szCs w:val="20"/>
              </w:rPr>
            </w:pPr>
            <w:r w:rsidRPr="008A26D2">
              <w:rPr>
                <w:rFonts w:ascii="Arial" w:hAnsi="Arial" w:cs="Arial"/>
                <w:b/>
                <w:w w:val="90"/>
                <w:sz w:val="20"/>
                <w:szCs w:val="20"/>
              </w:rPr>
              <w:t>Supuestos:</w:t>
            </w:r>
          </w:p>
        </w:tc>
        <w:tc>
          <w:tcPr>
            <w:tcW w:w="5894" w:type="dxa"/>
            <w:gridSpan w:val="8"/>
          </w:tcPr>
          <w:p w14:paraId="1D1CAB2E" w14:textId="77777777" w:rsidR="00A90E9C" w:rsidRPr="008A26D2" w:rsidRDefault="00A90E9C" w:rsidP="0087293E">
            <w:pPr>
              <w:jc w:val="both"/>
              <w:rPr>
                <w:rFonts w:ascii="Arial" w:eastAsia="Arial Narrow" w:hAnsi="Arial" w:cs="Arial"/>
                <w:sz w:val="20"/>
                <w:szCs w:val="20"/>
              </w:rPr>
            </w:pPr>
            <w:r w:rsidRPr="008A26D2">
              <w:rPr>
                <w:rFonts w:ascii="Arial" w:eastAsia="Arial Narrow" w:hAnsi="Arial" w:cs="Arial"/>
                <w:sz w:val="20"/>
                <w:szCs w:val="20"/>
              </w:rPr>
              <w:t>Se cuenta con los recursos financieros y técnicos para implementar las metas del presente indicador, además no existe mayor presión de degradación o deforestación en la zona intervenida.</w:t>
            </w:r>
          </w:p>
        </w:tc>
      </w:tr>
      <w:tr w:rsidR="008A26D2" w:rsidRPr="008A26D2" w14:paraId="62B28848" w14:textId="77777777" w:rsidTr="00C56494">
        <w:trPr>
          <w:trHeight w:val="480"/>
        </w:trPr>
        <w:tc>
          <w:tcPr>
            <w:tcW w:w="1024" w:type="dxa"/>
          </w:tcPr>
          <w:p w14:paraId="77CAD858" w14:textId="77777777" w:rsidR="00A90E9C" w:rsidRPr="008A26D2" w:rsidRDefault="00A90E9C" w:rsidP="0087293E">
            <w:pPr>
              <w:pStyle w:val="TableParagraph"/>
              <w:jc w:val="both"/>
              <w:rPr>
                <w:rFonts w:ascii="Arial" w:hAnsi="Arial" w:cs="Arial"/>
                <w:sz w:val="20"/>
                <w:szCs w:val="20"/>
              </w:rPr>
            </w:pPr>
          </w:p>
        </w:tc>
        <w:tc>
          <w:tcPr>
            <w:tcW w:w="707" w:type="dxa"/>
          </w:tcPr>
          <w:p w14:paraId="3BDA99C9" w14:textId="77777777" w:rsidR="00A90E9C" w:rsidRPr="008A26D2" w:rsidRDefault="00A90E9C" w:rsidP="00DC2673">
            <w:pPr>
              <w:jc w:val="center"/>
              <w:rPr>
                <w:rFonts w:ascii="Arial" w:hAnsi="Arial" w:cs="Arial"/>
                <w:b/>
                <w:sz w:val="20"/>
                <w:szCs w:val="20"/>
              </w:rPr>
            </w:pPr>
            <w:r w:rsidRPr="008A26D2">
              <w:rPr>
                <w:rFonts w:ascii="Arial" w:eastAsia="Arial Narrow" w:hAnsi="Arial" w:cs="Arial"/>
                <w:b/>
                <w:sz w:val="20"/>
                <w:szCs w:val="20"/>
              </w:rPr>
              <w:t>Línea de base</w:t>
            </w:r>
          </w:p>
        </w:tc>
        <w:tc>
          <w:tcPr>
            <w:tcW w:w="7048" w:type="dxa"/>
            <w:gridSpan w:val="10"/>
          </w:tcPr>
          <w:p w14:paraId="4C4A8A90" w14:textId="77777777" w:rsidR="00A90E9C" w:rsidRPr="008A26D2" w:rsidRDefault="00A90E9C" w:rsidP="00DC2673">
            <w:pPr>
              <w:jc w:val="center"/>
              <w:rPr>
                <w:rFonts w:ascii="Arial" w:eastAsia="Arial Narrow" w:hAnsi="Arial" w:cs="Arial"/>
                <w:b/>
                <w:sz w:val="20"/>
                <w:szCs w:val="20"/>
              </w:rPr>
            </w:pPr>
            <w:r w:rsidRPr="008A26D2">
              <w:rPr>
                <w:rFonts w:ascii="Arial" w:eastAsia="Arial Narrow" w:hAnsi="Arial" w:cs="Arial"/>
                <w:b/>
                <w:sz w:val="20"/>
                <w:szCs w:val="20"/>
              </w:rPr>
              <w:t>Logros esperados</w:t>
            </w:r>
          </w:p>
        </w:tc>
      </w:tr>
      <w:tr w:rsidR="008A26D2" w:rsidRPr="008A26D2" w14:paraId="09379AAE" w14:textId="77777777" w:rsidTr="00C56494">
        <w:trPr>
          <w:trHeight w:val="417"/>
        </w:trPr>
        <w:tc>
          <w:tcPr>
            <w:tcW w:w="1024" w:type="dxa"/>
          </w:tcPr>
          <w:p w14:paraId="7623276B" w14:textId="77777777" w:rsidR="00A90E9C" w:rsidRPr="008A26D2" w:rsidRDefault="00A90E9C" w:rsidP="0087293E">
            <w:pPr>
              <w:jc w:val="both"/>
              <w:rPr>
                <w:rFonts w:ascii="Arial" w:eastAsia="Arial Narrow" w:hAnsi="Arial" w:cs="Arial"/>
                <w:b/>
                <w:sz w:val="20"/>
                <w:szCs w:val="20"/>
              </w:rPr>
            </w:pPr>
            <w:r w:rsidRPr="008A26D2">
              <w:rPr>
                <w:rFonts w:ascii="Arial" w:eastAsia="Arial Narrow" w:hAnsi="Arial" w:cs="Arial"/>
                <w:b/>
                <w:sz w:val="20"/>
                <w:szCs w:val="20"/>
              </w:rPr>
              <w:t>Año</w:t>
            </w:r>
          </w:p>
        </w:tc>
        <w:tc>
          <w:tcPr>
            <w:tcW w:w="707" w:type="dxa"/>
          </w:tcPr>
          <w:p w14:paraId="3DAC17FA" w14:textId="77777777" w:rsidR="00A90E9C" w:rsidRPr="008A26D2" w:rsidRDefault="00A90E9C" w:rsidP="00DC2673">
            <w:pPr>
              <w:jc w:val="center"/>
              <w:rPr>
                <w:rFonts w:ascii="Arial" w:eastAsia="Arial Narrow" w:hAnsi="Arial" w:cs="Arial"/>
                <w:b/>
                <w:sz w:val="20"/>
                <w:szCs w:val="20"/>
              </w:rPr>
            </w:pPr>
            <w:r w:rsidRPr="008A26D2">
              <w:rPr>
                <w:rFonts w:ascii="Arial" w:eastAsia="Arial Narrow" w:hAnsi="Arial" w:cs="Arial"/>
                <w:b/>
                <w:sz w:val="20"/>
                <w:szCs w:val="20"/>
              </w:rPr>
              <w:t>2020</w:t>
            </w:r>
          </w:p>
        </w:tc>
        <w:tc>
          <w:tcPr>
            <w:tcW w:w="953" w:type="dxa"/>
          </w:tcPr>
          <w:p w14:paraId="0E209F13" w14:textId="77777777" w:rsidR="00A90E9C" w:rsidRPr="008A26D2" w:rsidRDefault="00A90E9C" w:rsidP="00DC2673">
            <w:pPr>
              <w:jc w:val="center"/>
              <w:rPr>
                <w:rFonts w:ascii="Arial" w:eastAsia="Arial Narrow" w:hAnsi="Arial" w:cs="Arial"/>
                <w:b/>
                <w:sz w:val="20"/>
                <w:szCs w:val="20"/>
              </w:rPr>
            </w:pPr>
            <w:r w:rsidRPr="008A26D2">
              <w:rPr>
                <w:rFonts w:ascii="Arial" w:eastAsia="Arial Narrow" w:hAnsi="Arial" w:cs="Arial"/>
                <w:b/>
                <w:sz w:val="20"/>
                <w:szCs w:val="20"/>
              </w:rPr>
              <w:t>2023</w:t>
            </w:r>
          </w:p>
        </w:tc>
        <w:tc>
          <w:tcPr>
            <w:tcW w:w="992" w:type="dxa"/>
            <w:gridSpan w:val="2"/>
          </w:tcPr>
          <w:p w14:paraId="148359CC" w14:textId="77777777" w:rsidR="00A90E9C" w:rsidRPr="008A26D2" w:rsidRDefault="00A90E9C" w:rsidP="00DC2673">
            <w:pPr>
              <w:jc w:val="center"/>
              <w:rPr>
                <w:rFonts w:ascii="Arial" w:eastAsia="Arial Narrow" w:hAnsi="Arial" w:cs="Arial"/>
                <w:b/>
                <w:sz w:val="20"/>
                <w:szCs w:val="20"/>
              </w:rPr>
            </w:pPr>
            <w:r w:rsidRPr="008A26D2">
              <w:rPr>
                <w:rFonts w:ascii="Arial" w:eastAsia="Arial Narrow" w:hAnsi="Arial" w:cs="Arial"/>
                <w:b/>
                <w:sz w:val="20"/>
                <w:szCs w:val="20"/>
              </w:rPr>
              <w:t>2024</w:t>
            </w:r>
          </w:p>
        </w:tc>
        <w:tc>
          <w:tcPr>
            <w:tcW w:w="850" w:type="dxa"/>
            <w:gridSpan w:val="2"/>
          </w:tcPr>
          <w:p w14:paraId="0E189BF0" w14:textId="77777777" w:rsidR="00A90E9C" w:rsidRPr="008A26D2" w:rsidRDefault="00A90E9C" w:rsidP="00DC2673">
            <w:pPr>
              <w:jc w:val="center"/>
              <w:rPr>
                <w:rFonts w:ascii="Arial" w:eastAsia="Arial Narrow" w:hAnsi="Arial" w:cs="Arial"/>
                <w:b/>
                <w:sz w:val="20"/>
                <w:szCs w:val="20"/>
              </w:rPr>
            </w:pPr>
            <w:r w:rsidRPr="008A26D2">
              <w:rPr>
                <w:rFonts w:ascii="Arial" w:eastAsia="Arial Narrow" w:hAnsi="Arial" w:cs="Arial"/>
                <w:b/>
                <w:sz w:val="20"/>
                <w:szCs w:val="20"/>
              </w:rPr>
              <w:t>2025</w:t>
            </w:r>
          </w:p>
        </w:tc>
        <w:tc>
          <w:tcPr>
            <w:tcW w:w="993" w:type="dxa"/>
          </w:tcPr>
          <w:p w14:paraId="6122FBD6" w14:textId="77777777" w:rsidR="00A90E9C" w:rsidRPr="008A26D2" w:rsidRDefault="00A90E9C" w:rsidP="00DC2673">
            <w:pPr>
              <w:jc w:val="center"/>
              <w:rPr>
                <w:rFonts w:ascii="Arial" w:eastAsia="Arial Narrow" w:hAnsi="Arial" w:cs="Arial"/>
                <w:b/>
                <w:sz w:val="20"/>
                <w:szCs w:val="20"/>
              </w:rPr>
            </w:pPr>
            <w:r w:rsidRPr="008A26D2">
              <w:rPr>
                <w:rFonts w:ascii="Arial" w:eastAsia="Arial Narrow" w:hAnsi="Arial" w:cs="Arial"/>
                <w:b/>
                <w:sz w:val="20"/>
                <w:szCs w:val="20"/>
              </w:rPr>
              <w:t>2026</w:t>
            </w:r>
          </w:p>
        </w:tc>
        <w:tc>
          <w:tcPr>
            <w:tcW w:w="850" w:type="dxa"/>
          </w:tcPr>
          <w:p w14:paraId="16241CAF" w14:textId="77777777" w:rsidR="00A90E9C" w:rsidRPr="008A26D2" w:rsidRDefault="00A90E9C" w:rsidP="00DC2673">
            <w:pPr>
              <w:jc w:val="center"/>
              <w:rPr>
                <w:rFonts w:ascii="Arial" w:eastAsia="Arial Narrow" w:hAnsi="Arial" w:cs="Arial"/>
                <w:b/>
                <w:sz w:val="20"/>
                <w:szCs w:val="20"/>
              </w:rPr>
            </w:pPr>
            <w:r w:rsidRPr="008A26D2">
              <w:rPr>
                <w:rFonts w:ascii="Arial" w:eastAsia="Arial Narrow" w:hAnsi="Arial" w:cs="Arial"/>
                <w:b/>
                <w:sz w:val="20"/>
                <w:szCs w:val="20"/>
              </w:rPr>
              <w:t>2027</w:t>
            </w:r>
          </w:p>
        </w:tc>
        <w:tc>
          <w:tcPr>
            <w:tcW w:w="709" w:type="dxa"/>
          </w:tcPr>
          <w:p w14:paraId="026D142F" w14:textId="77777777" w:rsidR="00A90E9C" w:rsidRPr="008A26D2" w:rsidRDefault="00A90E9C" w:rsidP="00DC2673">
            <w:pPr>
              <w:jc w:val="center"/>
              <w:rPr>
                <w:rFonts w:ascii="Arial" w:eastAsia="Arial Narrow" w:hAnsi="Arial" w:cs="Arial"/>
                <w:b/>
                <w:sz w:val="20"/>
                <w:szCs w:val="20"/>
              </w:rPr>
            </w:pPr>
            <w:r w:rsidRPr="008A26D2">
              <w:rPr>
                <w:rFonts w:ascii="Arial" w:eastAsia="Arial Narrow" w:hAnsi="Arial" w:cs="Arial"/>
                <w:b/>
                <w:sz w:val="20"/>
                <w:szCs w:val="20"/>
              </w:rPr>
              <w:t>2028</w:t>
            </w:r>
          </w:p>
        </w:tc>
        <w:tc>
          <w:tcPr>
            <w:tcW w:w="850" w:type="dxa"/>
          </w:tcPr>
          <w:p w14:paraId="2DAC01CD" w14:textId="77777777" w:rsidR="00A90E9C" w:rsidRPr="008A26D2" w:rsidRDefault="00A90E9C" w:rsidP="00DC2673">
            <w:pPr>
              <w:jc w:val="center"/>
              <w:rPr>
                <w:rFonts w:ascii="Arial" w:eastAsia="Arial Narrow" w:hAnsi="Arial" w:cs="Arial"/>
                <w:b/>
                <w:sz w:val="20"/>
                <w:szCs w:val="20"/>
              </w:rPr>
            </w:pPr>
            <w:r w:rsidRPr="008A26D2">
              <w:rPr>
                <w:rFonts w:ascii="Arial" w:eastAsia="Arial Narrow" w:hAnsi="Arial" w:cs="Arial"/>
                <w:b/>
                <w:sz w:val="20"/>
                <w:szCs w:val="20"/>
              </w:rPr>
              <w:t>2029</w:t>
            </w:r>
          </w:p>
        </w:tc>
        <w:tc>
          <w:tcPr>
            <w:tcW w:w="851" w:type="dxa"/>
          </w:tcPr>
          <w:p w14:paraId="3ACDEE31" w14:textId="77777777" w:rsidR="00A90E9C" w:rsidRPr="008A26D2" w:rsidRDefault="00A90E9C" w:rsidP="00DC2673">
            <w:pPr>
              <w:jc w:val="center"/>
              <w:rPr>
                <w:rFonts w:ascii="Arial" w:eastAsia="Arial Narrow" w:hAnsi="Arial" w:cs="Arial"/>
                <w:b/>
                <w:sz w:val="20"/>
                <w:szCs w:val="20"/>
              </w:rPr>
            </w:pPr>
            <w:r w:rsidRPr="008A26D2">
              <w:rPr>
                <w:rFonts w:ascii="Arial" w:eastAsia="Arial Narrow" w:hAnsi="Arial" w:cs="Arial"/>
                <w:b/>
                <w:sz w:val="20"/>
                <w:szCs w:val="20"/>
              </w:rPr>
              <w:t>2030</w:t>
            </w:r>
          </w:p>
        </w:tc>
      </w:tr>
      <w:tr w:rsidR="00A90E9C" w:rsidRPr="008A26D2" w14:paraId="737A4A75" w14:textId="77777777" w:rsidTr="00C56494">
        <w:trPr>
          <w:trHeight w:val="417"/>
        </w:trPr>
        <w:tc>
          <w:tcPr>
            <w:tcW w:w="1024" w:type="dxa"/>
          </w:tcPr>
          <w:p w14:paraId="3535C6A0" w14:textId="77777777" w:rsidR="00A90E9C" w:rsidRPr="008A26D2" w:rsidRDefault="00A90E9C" w:rsidP="0087293E">
            <w:pPr>
              <w:jc w:val="both"/>
              <w:rPr>
                <w:rFonts w:ascii="Arial" w:eastAsia="Arial Narrow" w:hAnsi="Arial" w:cs="Arial"/>
                <w:b/>
                <w:sz w:val="20"/>
                <w:szCs w:val="20"/>
              </w:rPr>
            </w:pPr>
            <w:r w:rsidRPr="008A26D2">
              <w:rPr>
                <w:rFonts w:ascii="Arial" w:eastAsia="Arial Narrow" w:hAnsi="Arial" w:cs="Arial"/>
                <w:b/>
                <w:sz w:val="20"/>
                <w:szCs w:val="20"/>
              </w:rPr>
              <w:t>Valor</w:t>
            </w:r>
          </w:p>
        </w:tc>
        <w:tc>
          <w:tcPr>
            <w:tcW w:w="707" w:type="dxa"/>
          </w:tcPr>
          <w:p w14:paraId="6B11B18D" w14:textId="77777777" w:rsidR="00A90E9C" w:rsidRPr="008A26D2" w:rsidRDefault="00A90E9C" w:rsidP="00DC2673">
            <w:pPr>
              <w:jc w:val="center"/>
              <w:rPr>
                <w:rFonts w:ascii="Arial" w:eastAsia="Arial Narrow" w:hAnsi="Arial" w:cs="Arial"/>
                <w:sz w:val="20"/>
                <w:szCs w:val="20"/>
              </w:rPr>
            </w:pPr>
            <w:r w:rsidRPr="008A26D2">
              <w:rPr>
                <w:rFonts w:ascii="Arial" w:eastAsia="Arial Narrow" w:hAnsi="Arial" w:cs="Arial"/>
                <w:sz w:val="20"/>
                <w:szCs w:val="20"/>
              </w:rPr>
              <w:t>12.5%</w:t>
            </w:r>
          </w:p>
        </w:tc>
        <w:tc>
          <w:tcPr>
            <w:tcW w:w="953" w:type="dxa"/>
          </w:tcPr>
          <w:p w14:paraId="20D56EBA" w14:textId="77777777" w:rsidR="00A90E9C" w:rsidRPr="008A26D2" w:rsidRDefault="00A90E9C" w:rsidP="00DC2673">
            <w:pPr>
              <w:jc w:val="center"/>
              <w:rPr>
                <w:rFonts w:ascii="Arial" w:eastAsia="Arial Narrow" w:hAnsi="Arial" w:cs="Arial"/>
                <w:sz w:val="20"/>
                <w:szCs w:val="20"/>
              </w:rPr>
            </w:pPr>
            <w:r w:rsidRPr="008A26D2">
              <w:rPr>
                <w:rFonts w:ascii="Arial" w:eastAsia="Arial Narrow" w:hAnsi="Arial" w:cs="Arial"/>
                <w:sz w:val="20"/>
                <w:szCs w:val="20"/>
              </w:rPr>
              <w:t>25%</w:t>
            </w:r>
          </w:p>
        </w:tc>
        <w:tc>
          <w:tcPr>
            <w:tcW w:w="992" w:type="dxa"/>
            <w:gridSpan w:val="2"/>
          </w:tcPr>
          <w:p w14:paraId="37059CD4" w14:textId="77777777" w:rsidR="00A90E9C" w:rsidRPr="008A26D2" w:rsidRDefault="00A90E9C" w:rsidP="00DC2673">
            <w:pPr>
              <w:jc w:val="center"/>
              <w:rPr>
                <w:rFonts w:ascii="Arial" w:eastAsia="Arial Narrow" w:hAnsi="Arial" w:cs="Arial"/>
                <w:sz w:val="20"/>
                <w:szCs w:val="20"/>
              </w:rPr>
            </w:pPr>
            <w:r w:rsidRPr="008A26D2">
              <w:rPr>
                <w:rFonts w:ascii="Arial" w:eastAsia="Arial Narrow" w:hAnsi="Arial" w:cs="Arial"/>
                <w:sz w:val="20"/>
                <w:szCs w:val="20"/>
              </w:rPr>
              <w:t>37.5%</w:t>
            </w:r>
          </w:p>
        </w:tc>
        <w:tc>
          <w:tcPr>
            <w:tcW w:w="850" w:type="dxa"/>
            <w:gridSpan w:val="2"/>
          </w:tcPr>
          <w:p w14:paraId="6D5E40E3" w14:textId="77777777" w:rsidR="00A90E9C" w:rsidRPr="008A26D2" w:rsidRDefault="00A90E9C" w:rsidP="00DC2673">
            <w:pPr>
              <w:jc w:val="center"/>
              <w:rPr>
                <w:rFonts w:ascii="Arial" w:eastAsia="Arial Narrow" w:hAnsi="Arial" w:cs="Arial"/>
                <w:sz w:val="20"/>
                <w:szCs w:val="20"/>
              </w:rPr>
            </w:pPr>
            <w:r w:rsidRPr="008A26D2">
              <w:rPr>
                <w:rFonts w:ascii="Arial" w:eastAsia="Arial Narrow" w:hAnsi="Arial" w:cs="Arial"/>
                <w:sz w:val="20"/>
                <w:szCs w:val="20"/>
              </w:rPr>
              <w:t>50%</w:t>
            </w:r>
          </w:p>
        </w:tc>
        <w:tc>
          <w:tcPr>
            <w:tcW w:w="993" w:type="dxa"/>
          </w:tcPr>
          <w:p w14:paraId="53EC366E" w14:textId="77777777" w:rsidR="00A90E9C" w:rsidRPr="008A26D2" w:rsidRDefault="00A90E9C" w:rsidP="00DC2673">
            <w:pPr>
              <w:jc w:val="center"/>
              <w:rPr>
                <w:rFonts w:ascii="Arial" w:eastAsia="Arial Narrow" w:hAnsi="Arial" w:cs="Arial"/>
                <w:sz w:val="20"/>
                <w:szCs w:val="20"/>
              </w:rPr>
            </w:pPr>
            <w:r w:rsidRPr="008A26D2">
              <w:rPr>
                <w:rFonts w:ascii="Arial" w:eastAsia="Arial Narrow" w:hAnsi="Arial" w:cs="Arial"/>
                <w:sz w:val="20"/>
                <w:szCs w:val="20"/>
              </w:rPr>
              <w:t>62.5%</w:t>
            </w:r>
          </w:p>
        </w:tc>
        <w:tc>
          <w:tcPr>
            <w:tcW w:w="850" w:type="dxa"/>
          </w:tcPr>
          <w:p w14:paraId="27F0FE71" w14:textId="77777777" w:rsidR="00A90E9C" w:rsidRPr="008A26D2" w:rsidRDefault="00A90E9C" w:rsidP="00DC2673">
            <w:pPr>
              <w:jc w:val="center"/>
              <w:rPr>
                <w:rFonts w:ascii="Arial" w:eastAsia="Arial Narrow" w:hAnsi="Arial" w:cs="Arial"/>
                <w:sz w:val="20"/>
                <w:szCs w:val="20"/>
              </w:rPr>
            </w:pPr>
            <w:r w:rsidRPr="008A26D2">
              <w:rPr>
                <w:rFonts w:ascii="Arial" w:eastAsia="Arial Narrow" w:hAnsi="Arial" w:cs="Arial"/>
                <w:sz w:val="20"/>
                <w:szCs w:val="20"/>
              </w:rPr>
              <w:t>75%</w:t>
            </w:r>
          </w:p>
        </w:tc>
        <w:tc>
          <w:tcPr>
            <w:tcW w:w="709" w:type="dxa"/>
          </w:tcPr>
          <w:p w14:paraId="635DFEC7" w14:textId="77777777" w:rsidR="00A90E9C" w:rsidRPr="008A26D2" w:rsidRDefault="00A90E9C" w:rsidP="00DC2673">
            <w:pPr>
              <w:jc w:val="center"/>
              <w:rPr>
                <w:rFonts w:ascii="Arial" w:eastAsia="Arial Narrow" w:hAnsi="Arial" w:cs="Arial"/>
                <w:sz w:val="20"/>
                <w:szCs w:val="20"/>
              </w:rPr>
            </w:pPr>
            <w:r w:rsidRPr="008A26D2">
              <w:rPr>
                <w:rFonts w:ascii="Arial" w:eastAsia="Arial Narrow" w:hAnsi="Arial" w:cs="Arial"/>
                <w:sz w:val="20"/>
                <w:szCs w:val="20"/>
              </w:rPr>
              <w:t>87.5%</w:t>
            </w:r>
          </w:p>
        </w:tc>
        <w:tc>
          <w:tcPr>
            <w:tcW w:w="850" w:type="dxa"/>
          </w:tcPr>
          <w:p w14:paraId="28040E4F" w14:textId="77777777" w:rsidR="00A90E9C" w:rsidRPr="008A26D2" w:rsidRDefault="00A90E9C" w:rsidP="00DC2673">
            <w:pPr>
              <w:jc w:val="center"/>
              <w:rPr>
                <w:rFonts w:ascii="Arial" w:eastAsia="Arial Narrow" w:hAnsi="Arial" w:cs="Arial"/>
                <w:sz w:val="20"/>
                <w:szCs w:val="20"/>
              </w:rPr>
            </w:pPr>
            <w:r w:rsidRPr="008A26D2">
              <w:rPr>
                <w:rFonts w:ascii="Arial" w:eastAsia="Arial Narrow" w:hAnsi="Arial" w:cs="Arial"/>
                <w:sz w:val="20"/>
                <w:szCs w:val="20"/>
              </w:rPr>
              <w:t>100%</w:t>
            </w:r>
          </w:p>
        </w:tc>
        <w:tc>
          <w:tcPr>
            <w:tcW w:w="851" w:type="dxa"/>
          </w:tcPr>
          <w:p w14:paraId="3EA5A366" w14:textId="77777777" w:rsidR="00A90E9C" w:rsidRPr="008A26D2" w:rsidRDefault="00A90E9C" w:rsidP="00DC2673">
            <w:pPr>
              <w:jc w:val="center"/>
              <w:rPr>
                <w:rFonts w:ascii="Arial" w:eastAsia="Arial Narrow" w:hAnsi="Arial" w:cs="Arial"/>
                <w:sz w:val="20"/>
                <w:szCs w:val="20"/>
              </w:rPr>
            </w:pPr>
            <w:r w:rsidRPr="008A26D2">
              <w:rPr>
                <w:rFonts w:ascii="Arial" w:eastAsia="Arial Narrow" w:hAnsi="Arial" w:cs="Arial"/>
                <w:sz w:val="20"/>
                <w:szCs w:val="20"/>
              </w:rPr>
              <w:t>100%</w:t>
            </w:r>
          </w:p>
        </w:tc>
      </w:tr>
    </w:tbl>
    <w:p w14:paraId="35875281" w14:textId="77777777" w:rsidR="00A90E9C" w:rsidRPr="008A26D2" w:rsidRDefault="00A90E9C" w:rsidP="00A90E9C"/>
    <w:p w14:paraId="2374FD33" w14:textId="77777777" w:rsidR="00A90E9C" w:rsidRPr="008A26D2" w:rsidRDefault="00A90E9C" w:rsidP="00A90E9C"/>
    <w:tbl>
      <w:tblPr>
        <w:tblW w:w="87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1574"/>
        <w:gridCol w:w="978"/>
        <w:gridCol w:w="708"/>
        <w:gridCol w:w="141"/>
        <w:gridCol w:w="710"/>
        <w:gridCol w:w="850"/>
        <w:gridCol w:w="851"/>
        <w:gridCol w:w="587"/>
        <w:gridCol w:w="122"/>
        <w:gridCol w:w="708"/>
        <w:gridCol w:w="851"/>
      </w:tblGrid>
      <w:tr w:rsidR="008A26D2" w:rsidRPr="008A26D2" w14:paraId="731587A4" w14:textId="77777777" w:rsidTr="00C56494">
        <w:trPr>
          <w:trHeight w:val="251"/>
        </w:trPr>
        <w:tc>
          <w:tcPr>
            <w:tcW w:w="8789" w:type="dxa"/>
            <w:gridSpan w:val="12"/>
            <w:shd w:val="clear" w:color="auto" w:fill="D9D9D9" w:themeFill="background1" w:themeFillShade="D9"/>
            <w:tcMar>
              <w:top w:w="10" w:type="dxa"/>
              <w:left w:w="10" w:type="dxa"/>
              <w:bottom w:w="0" w:type="dxa"/>
              <w:right w:w="10" w:type="dxa"/>
            </w:tcMar>
            <w:vAlign w:val="center"/>
          </w:tcPr>
          <w:p w14:paraId="5A225B4D" w14:textId="77777777" w:rsidR="00A90E9C" w:rsidRPr="008A26D2" w:rsidRDefault="00A90E9C" w:rsidP="00416EEF">
            <w:pPr>
              <w:jc w:val="center"/>
              <w:rPr>
                <w:rFonts w:ascii="Arial" w:hAnsi="Arial" w:cs="Arial"/>
                <w:sz w:val="20"/>
                <w:szCs w:val="20"/>
              </w:rPr>
            </w:pPr>
            <w:r w:rsidRPr="008A26D2">
              <w:rPr>
                <w:rFonts w:ascii="Arial" w:hAnsi="Arial" w:cs="Arial"/>
                <w:sz w:val="20"/>
                <w:szCs w:val="20"/>
              </w:rPr>
              <w:br w:type="page"/>
            </w:r>
            <w:r w:rsidRPr="008A26D2">
              <w:rPr>
                <w:rFonts w:ascii="Arial" w:hAnsi="Arial" w:cs="Arial"/>
                <w:b/>
                <w:sz w:val="20"/>
                <w:szCs w:val="20"/>
              </w:rPr>
              <w:t>FICHA TÉCNICA DE INDICADOR DE SERVICIO 1.3.2</w:t>
            </w:r>
          </w:p>
        </w:tc>
      </w:tr>
      <w:tr w:rsidR="008A26D2" w:rsidRPr="008A26D2" w14:paraId="4D9A1208" w14:textId="77777777" w:rsidTr="00C56494">
        <w:trPr>
          <w:trHeight w:val="409"/>
        </w:trPr>
        <w:tc>
          <w:tcPr>
            <w:tcW w:w="2283" w:type="dxa"/>
            <w:gridSpan w:val="2"/>
            <w:shd w:val="clear" w:color="auto" w:fill="FFFFFF"/>
            <w:tcMar>
              <w:top w:w="10" w:type="dxa"/>
              <w:left w:w="93" w:type="dxa"/>
              <w:bottom w:w="0" w:type="dxa"/>
              <w:right w:w="10" w:type="dxa"/>
            </w:tcMar>
            <w:vAlign w:val="center"/>
          </w:tcPr>
          <w:p w14:paraId="1C018349"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Objetivo prioritario:</w:t>
            </w:r>
          </w:p>
        </w:tc>
        <w:tc>
          <w:tcPr>
            <w:tcW w:w="6506" w:type="dxa"/>
            <w:gridSpan w:val="10"/>
            <w:shd w:val="clear" w:color="auto" w:fill="FFFFFF"/>
            <w:tcMar>
              <w:top w:w="51" w:type="dxa"/>
              <w:left w:w="227" w:type="dxa"/>
              <w:bottom w:w="51" w:type="dxa"/>
              <w:right w:w="227" w:type="dxa"/>
            </w:tcMar>
            <w:vAlign w:val="center"/>
          </w:tcPr>
          <w:p w14:paraId="01163FCB" w14:textId="77777777" w:rsidR="00A90E9C" w:rsidRPr="008A26D2" w:rsidRDefault="00A90E9C" w:rsidP="0087293E">
            <w:pPr>
              <w:pBdr>
                <w:top w:val="nil"/>
                <w:left w:val="nil"/>
                <w:bottom w:val="nil"/>
                <w:right w:val="nil"/>
                <w:between w:val="nil"/>
              </w:pBdr>
              <w:spacing w:after="0" w:line="240" w:lineRule="auto"/>
              <w:jc w:val="both"/>
              <w:rPr>
                <w:rFonts w:ascii="Arial" w:hAnsi="Arial" w:cs="Arial"/>
                <w:sz w:val="20"/>
                <w:szCs w:val="20"/>
              </w:rPr>
            </w:pPr>
            <w:r w:rsidRPr="008A26D2">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r>
      <w:tr w:rsidR="008A26D2" w:rsidRPr="008A26D2" w14:paraId="6684B5B5" w14:textId="77777777" w:rsidTr="00C56494">
        <w:trPr>
          <w:trHeight w:val="436"/>
        </w:trPr>
        <w:tc>
          <w:tcPr>
            <w:tcW w:w="2283" w:type="dxa"/>
            <w:gridSpan w:val="2"/>
            <w:shd w:val="clear" w:color="auto" w:fill="auto"/>
            <w:tcMar>
              <w:top w:w="10" w:type="dxa"/>
              <w:left w:w="93" w:type="dxa"/>
              <w:bottom w:w="0" w:type="dxa"/>
              <w:right w:w="10" w:type="dxa"/>
            </w:tcMar>
            <w:vAlign w:val="center"/>
          </w:tcPr>
          <w:p w14:paraId="2AB29B18"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Lineamiento de la política:</w:t>
            </w:r>
          </w:p>
        </w:tc>
        <w:tc>
          <w:tcPr>
            <w:tcW w:w="6506" w:type="dxa"/>
            <w:gridSpan w:val="10"/>
            <w:shd w:val="clear" w:color="auto" w:fill="auto"/>
            <w:tcMar>
              <w:top w:w="51" w:type="dxa"/>
              <w:left w:w="227" w:type="dxa"/>
              <w:bottom w:w="51" w:type="dxa"/>
              <w:right w:w="227" w:type="dxa"/>
            </w:tcMar>
            <w:vAlign w:val="center"/>
          </w:tcPr>
          <w:p w14:paraId="20F4B306" w14:textId="77777777" w:rsidR="00A90E9C" w:rsidRPr="008A26D2" w:rsidRDefault="00A90E9C" w:rsidP="0087293E">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L1.3 Desarrollar estrategias de restauración y recuperación de los ecosistemas forestales y otros ecosistemas de vegetación silvestre deforestados o degradados</w:t>
            </w:r>
          </w:p>
        </w:tc>
      </w:tr>
      <w:tr w:rsidR="008A26D2" w:rsidRPr="008A26D2" w14:paraId="5D83A7DB" w14:textId="77777777" w:rsidTr="00C56494">
        <w:trPr>
          <w:trHeight w:val="404"/>
        </w:trPr>
        <w:tc>
          <w:tcPr>
            <w:tcW w:w="2283" w:type="dxa"/>
            <w:gridSpan w:val="2"/>
            <w:shd w:val="clear" w:color="auto" w:fill="auto"/>
            <w:tcMar>
              <w:top w:w="10" w:type="dxa"/>
              <w:left w:w="93" w:type="dxa"/>
              <w:bottom w:w="0" w:type="dxa"/>
              <w:right w:w="10" w:type="dxa"/>
            </w:tcMar>
            <w:vAlign w:val="center"/>
          </w:tcPr>
          <w:p w14:paraId="0C3BDA5E"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Nombre del servicio:</w:t>
            </w:r>
          </w:p>
        </w:tc>
        <w:tc>
          <w:tcPr>
            <w:tcW w:w="6506" w:type="dxa"/>
            <w:gridSpan w:val="10"/>
            <w:shd w:val="clear" w:color="auto" w:fill="auto"/>
            <w:tcMar>
              <w:top w:w="51" w:type="dxa"/>
              <w:left w:w="227" w:type="dxa"/>
              <w:bottom w:w="51" w:type="dxa"/>
              <w:right w:w="227" w:type="dxa"/>
            </w:tcMar>
            <w:vAlign w:val="center"/>
          </w:tcPr>
          <w:p w14:paraId="6F34F40E" w14:textId="09FFDD45" w:rsidR="00A90E9C" w:rsidRPr="008A26D2" w:rsidRDefault="00A90E9C" w:rsidP="0087293E">
            <w:pPr>
              <w:pStyle w:val="pf0"/>
              <w:jc w:val="both"/>
              <w:rPr>
                <w:rFonts w:ascii="Arial" w:eastAsia="Arial Narrow" w:hAnsi="Arial" w:cs="Arial"/>
                <w:sz w:val="20"/>
                <w:szCs w:val="20"/>
              </w:rPr>
            </w:pPr>
            <w:r w:rsidRPr="008A26D2">
              <w:rPr>
                <w:rFonts w:ascii="Arial" w:eastAsia="Arial Narrow" w:hAnsi="Arial" w:cs="Arial"/>
                <w:sz w:val="20"/>
                <w:szCs w:val="20"/>
              </w:rPr>
              <w:t xml:space="preserve">S1.3.2 </w:t>
            </w:r>
            <w:r w:rsidR="00F43B15" w:rsidRPr="008A26D2">
              <w:rPr>
                <w:rFonts w:ascii="Arial" w:eastAsia="Arial Narrow" w:hAnsi="Arial" w:cs="Arial"/>
                <w:sz w:val="20"/>
                <w:szCs w:val="20"/>
              </w:rPr>
              <w:t>Asistencia técnica y capacitación en materia de restauración de ecosistemas forestales y otros ecosistemas de vegetación silvestre impartidos de forma satisfactoria a los gobiernos regionales, gobiernos locales y usuarios forestales y de fauna silvestre</w:t>
            </w:r>
            <w:r w:rsidRPr="008A26D2">
              <w:rPr>
                <w:rFonts w:ascii="Arial" w:eastAsia="Arial Narrow" w:hAnsi="Arial" w:cs="Arial"/>
                <w:sz w:val="20"/>
                <w:szCs w:val="20"/>
              </w:rPr>
              <w:t>.</w:t>
            </w:r>
          </w:p>
        </w:tc>
      </w:tr>
      <w:tr w:rsidR="008A26D2" w:rsidRPr="008A26D2" w14:paraId="50A48DF2" w14:textId="77777777" w:rsidTr="00C56494">
        <w:trPr>
          <w:trHeight w:val="577"/>
        </w:trPr>
        <w:tc>
          <w:tcPr>
            <w:tcW w:w="2283" w:type="dxa"/>
            <w:gridSpan w:val="2"/>
            <w:shd w:val="clear" w:color="auto" w:fill="auto"/>
            <w:tcMar>
              <w:top w:w="10" w:type="dxa"/>
              <w:left w:w="93" w:type="dxa"/>
              <w:bottom w:w="0" w:type="dxa"/>
              <w:right w:w="10" w:type="dxa"/>
            </w:tcMar>
            <w:vAlign w:val="center"/>
          </w:tcPr>
          <w:p w14:paraId="1ECB769E"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lastRenderedPageBreak/>
              <w:t>Nombre del indicador:</w:t>
            </w:r>
          </w:p>
        </w:tc>
        <w:tc>
          <w:tcPr>
            <w:tcW w:w="6506" w:type="dxa"/>
            <w:gridSpan w:val="10"/>
            <w:shd w:val="clear" w:color="auto" w:fill="auto"/>
            <w:tcMar>
              <w:top w:w="51" w:type="dxa"/>
              <w:left w:w="227" w:type="dxa"/>
              <w:bottom w:w="51" w:type="dxa"/>
              <w:right w:w="227" w:type="dxa"/>
            </w:tcMar>
            <w:vAlign w:val="center"/>
          </w:tcPr>
          <w:p w14:paraId="7E92611D" w14:textId="77777777" w:rsidR="00A90E9C" w:rsidRPr="008A26D2" w:rsidRDefault="00A90E9C" w:rsidP="0087293E">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Times New Roman" w:hAnsi="Arial" w:cs="Arial"/>
                <w:sz w:val="20"/>
                <w:szCs w:val="20"/>
                <w:lang w:val="es-ES"/>
              </w:rPr>
              <w:t xml:space="preserve">Porcentaje de personas con alto grado de satisfacción sobre la asistencia técnica y </w:t>
            </w:r>
            <w:r w:rsidRPr="008A26D2">
              <w:rPr>
                <w:rFonts w:ascii="Arial" w:eastAsia="Arial Narrow" w:hAnsi="Arial" w:cs="Arial"/>
                <w:sz w:val="20"/>
                <w:szCs w:val="20"/>
              </w:rPr>
              <w:t>capacitación</w:t>
            </w:r>
            <w:r w:rsidRPr="008A26D2">
              <w:rPr>
                <w:rFonts w:ascii="Arial" w:eastAsia="Times New Roman" w:hAnsi="Arial" w:cs="Arial"/>
                <w:sz w:val="20"/>
                <w:szCs w:val="20"/>
                <w:lang w:val="es-ES"/>
              </w:rPr>
              <w:t xml:space="preserve"> recibida </w:t>
            </w:r>
            <w:r w:rsidRPr="008A26D2">
              <w:rPr>
                <w:rFonts w:ascii="Arial" w:eastAsia="Arial Narrow" w:hAnsi="Arial" w:cs="Arial"/>
                <w:sz w:val="20"/>
                <w:szCs w:val="20"/>
              </w:rPr>
              <w:t>en materia de restauración de ecosistemas forestales y otros ecosistemas de vegetación silvestre</w:t>
            </w:r>
          </w:p>
        </w:tc>
      </w:tr>
      <w:tr w:rsidR="008A26D2" w:rsidRPr="008A26D2" w14:paraId="5C6CA518" w14:textId="77777777" w:rsidTr="00C56494">
        <w:trPr>
          <w:trHeight w:val="577"/>
        </w:trPr>
        <w:tc>
          <w:tcPr>
            <w:tcW w:w="2283" w:type="dxa"/>
            <w:gridSpan w:val="2"/>
            <w:shd w:val="clear" w:color="auto" w:fill="auto"/>
            <w:tcMar>
              <w:top w:w="10" w:type="dxa"/>
              <w:left w:w="93" w:type="dxa"/>
              <w:bottom w:w="0" w:type="dxa"/>
              <w:right w:w="10" w:type="dxa"/>
            </w:tcMar>
            <w:vAlign w:val="center"/>
          </w:tcPr>
          <w:p w14:paraId="53E652DB"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Justificación:</w:t>
            </w:r>
          </w:p>
        </w:tc>
        <w:tc>
          <w:tcPr>
            <w:tcW w:w="6506" w:type="dxa"/>
            <w:gridSpan w:val="10"/>
            <w:shd w:val="clear" w:color="auto" w:fill="auto"/>
            <w:tcMar>
              <w:top w:w="51" w:type="dxa"/>
              <w:left w:w="227" w:type="dxa"/>
              <w:bottom w:w="51" w:type="dxa"/>
              <w:right w:w="227" w:type="dxa"/>
            </w:tcMar>
            <w:vAlign w:val="center"/>
          </w:tcPr>
          <w:p w14:paraId="46058283" w14:textId="13EA9B15" w:rsidR="00A90E9C" w:rsidRPr="008A26D2" w:rsidRDefault="00A90E9C" w:rsidP="0087293E">
            <w:pPr>
              <w:jc w:val="both"/>
              <w:rPr>
                <w:rFonts w:ascii="Arial" w:eastAsia="Arial Narrow" w:hAnsi="Arial" w:cs="Arial"/>
                <w:sz w:val="20"/>
                <w:szCs w:val="20"/>
              </w:rPr>
            </w:pPr>
            <w:r w:rsidRPr="008A26D2">
              <w:rPr>
                <w:rFonts w:ascii="Arial" w:eastAsia="Times New Roman" w:hAnsi="Arial" w:cs="Arial"/>
                <w:sz w:val="20"/>
                <w:szCs w:val="20"/>
                <w:lang w:val="es-ES"/>
              </w:rPr>
              <w:t xml:space="preserve">El indicador cuantifica el porcentaje de </w:t>
            </w:r>
            <w:r w:rsidRPr="008A26D2">
              <w:rPr>
                <w:rFonts w:ascii="Arial" w:eastAsia="Times New Roman" w:hAnsi="Arial" w:cs="Arial"/>
                <w:sz w:val="20"/>
                <w:szCs w:val="20"/>
              </w:rPr>
              <w:t xml:space="preserve">profesionales de </w:t>
            </w:r>
            <w:r w:rsidRPr="008A26D2">
              <w:rPr>
                <w:rFonts w:ascii="Arial" w:eastAsia="Arial Narrow" w:hAnsi="Arial" w:cs="Arial"/>
                <w:sz w:val="20"/>
                <w:szCs w:val="20"/>
              </w:rPr>
              <w:t xml:space="preserve">los </w:t>
            </w:r>
            <w:r w:rsidR="004E5B31" w:rsidRPr="008A26D2">
              <w:rPr>
                <w:rFonts w:ascii="Arial" w:eastAsia="Arial Narrow" w:hAnsi="Arial" w:cs="Arial"/>
                <w:sz w:val="20"/>
                <w:szCs w:val="20"/>
              </w:rPr>
              <w:t>g</w:t>
            </w:r>
            <w:r w:rsidRPr="008A26D2">
              <w:rPr>
                <w:rFonts w:ascii="Arial" w:eastAsia="Arial Narrow" w:hAnsi="Arial" w:cs="Arial"/>
                <w:sz w:val="20"/>
                <w:szCs w:val="20"/>
              </w:rPr>
              <w:t xml:space="preserve">obiernos regionales, </w:t>
            </w:r>
            <w:r w:rsidR="004E5B31" w:rsidRPr="008A26D2">
              <w:rPr>
                <w:rFonts w:ascii="Arial" w:eastAsia="Arial Narrow" w:hAnsi="Arial" w:cs="Arial"/>
                <w:sz w:val="20"/>
                <w:szCs w:val="20"/>
              </w:rPr>
              <w:t>g</w:t>
            </w:r>
            <w:r w:rsidRPr="008A26D2">
              <w:rPr>
                <w:rFonts w:ascii="Arial" w:eastAsia="Arial Narrow" w:hAnsi="Arial" w:cs="Arial"/>
                <w:sz w:val="20"/>
                <w:szCs w:val="20"/>
              </w:rPr>
              <w:t xml:space="preserve">obiernos locales y usuarios forestales y de fauna silvestre </w:t>
            </w:r>
            <w:r w:rsidRPr="008A26D2">
              <w:rPr>
                <w:rFonts w:ascii="Arial" w:eastAsia="Times New Roman" w:hAnsi="Arial" w:cs="Arial"/>
                <w:sz w:val="20"/>
                <w:szCs w:val="20"/>
                <w:lang w:val="es-ES"/>
              </w:rPr>
              <w:t xml:space="preserve">que perciben un alto grado de satisfacción, por la asistencia técnica y capacitación recibida en </w:t>
            </w:r>
            <w:r w:rsidRPr="008A26D2">
              <w:rPr>
                <w:rFonts w:ascii="Arial" w:eastAsia="Arial Narrow" w:hAnsi="Arial" w:cs="Arial"/>
                <w:sz w:val="20"/>
                <w:szCs w:val="20"/>
              </w:rPr>
              <w:t>materia de restauración de ecosistemas forestales y otros ecosistemas de vegetación silvestre</w:t>
            </w:r>
            <w:r w:rsidRPr="008A26D2">
              <w:rPr>
                <w:rFonts w:ascii="Arial" w:eastAsia="Times New Roman" w:hAnsi="Arial" w:cs="Arial"/>
                <w:sz w:val="20"/>
                <w:szCs w:val="20"/>
                <w:lang w:val="es-ES"/>
              </w:rPr>
              <w:t>. De esta manera, el indicador facilitará el seguimiento de la satisfacción del servicio y establecer las acciones de mejora correspondientes.</w:t>
            </w:r>
          </w:p>
        </w:tc>
      </w:tr>
      <w:tr w:rsidR="008A26D2" w:rsidRPr="008A26D2" w14:paraId="74B86A8B" w14:textId="77777777" w:rsidTr="00C56494">
        <w:trPr>
          <w:trHeight w:val="352"/>
        </w:trPr>
        <w:tc>
          <w:tcPr>
            <w:tcW w:w="2283" w:type="dxa"/>
            <w:gridSpan w:val="2"/>
            <w:shd w:val="clear" w:color="auto" w:fill="auto"/>
            <w:tcMar>
              <w:top w:w="10" w:type="dxa"/>
              <w:left w:w="93" w:type="dxa"/>
              <w:bottom w:w="0" w:type="dxa"/>
              <w:right w:w="10" w:type="dxa"/>
            </w:tcMar>
            <w:vAlign w:val="center"/>
          </w:tcPr>
          <w:p w14:paraId="4F066AD3"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Responsable del indicador:</w:t>
            </w:r>
          </w:p>
        </w:tc>
        <w:tc>
          <w:tcPr>
            <w:tcW w:w="6506" w:type="dxa"/>
            <w:gridSpan w:val="10"/>
            <w:shd w:val="clear" w:color="auto" w:fill="auto"/>
            <w:tcMar>
              <w:top w:w="51" w:type="dxa"/>
              <w:left w:w="227" w:type="dxa"/>
              <w:bottom w:w="51" w:type="dxa"/>
              <w:right w:w="227" w:type="dxa"/>
            </w:tcMar>
            <w:vAlign w:val="center"/>
          </w:tcPr>
          <w:p w14:paraId="443D0A14" w14:textId="4A6E5A28" w:rsidR="00A90E9C" w:rsidRPr="008A26D2" w:rsidRDefault="00A90E9C" w:rsidP="0087293E">
            <w:pPr>
              <w:jc w:val="both"/>
              <w:rPr>
                <w:rFonts w:ascii="Arial" w:eastAsia="Arial Narrow" w:hAnsi="Arial" w:cs="Arial"/>
                <w:sz w:val="20"/>
                <w:szCs w:val="20"/>
              </w:rPr>
            </w:pPr>
            <w:r w:rsidRPr="008A26D2">
              <w:rPr>
                <w:rFonts w:ascii="Arial" w:eastAsia="Arial Narrow" w:hAnsi="Arial" w:cs="Arial"/>
                <w:sz w:val="20"/>
                <w:szCs w:val="20"/>
              </w:rPr>
              <w:t>Dirección de Gestión Sostenible de Patrimonio Forestal del Servicio Nacional Forestal y de Fauna Silvestre – SERFOR</w:t>
            </w:r>
          </w:p>
        </w:tc>
      </w:tr>
      <w:tr w:rsidR="008A26D2" w:rsidRPr="008A26D2" w14:paraId="20575E30" w14:textId="77777777" w:rsidTr="00C56494">
        <w:trPr>
          <w:trHeight w:val="764"/>
        </w:trPr>
        <w:tc>
          <w:tcPr>
            <w:tcW w:w="2283" w:type="dxa"/>
            <w:gridSpan w:val="2"/>
            <w:shd w:val="clear" w:color="auto" w:fill="auto"/>
            <w:tcMar>
              <w:top w:w="10" w:type="dxa"/>
              <w:left w:w="93" w:type="dxa"/>
              <w:bottom w:w="0" w:type="dxa"/>
              <w:right w:w="10" w:type="dxa"/>
            </w:tcMar>
            <w:vAlign w:val="center"/>
          </w:tcPr>
          <w:p w14:paraId="61DC490F"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Limitaciones para la medición del indicador:</w:t>
            </w:r>
          </w:p>
        </w:tc>
        <w:tc>
          <w:tcPr>
            <w:tcW w:w="6506" w:type="dxa"/>
            <w:gridSpan w:val="10"/>
            <w:shd w:val="clear" w:color="auto" w:fill="auto"/>
            <w:tcMar>
              <w:top w:w="51" w:type="dxa"/>
              <w:left w:w="227" w:type="dxa"/>
              <w:bottom w:w="51" w:type="dxa"/>
              <w:right w:w="227" w:type="dxa"/>
            </w:tcMar>
            <w:vAlign w:val="center"/>
          </w:tcPr>
          <w:p w14:paraId="5AEBBA4F" w14:textId="77777777" w:rsidR="00A90E9C" w:rsidRPr="008A26D2" w:rsidRDefault="00A90E9C" w:rsidP="0087293E">
            <w:pPr>
              <w:jc w:val="both"/>
              <w:rPr>
                <w:rFonts w:ascii="Arial" w:eastAsia="Arial Narrow" w:hAnsi="Arial" w:cs="Arial"/>
                <w:sz w:val="20"/>
                <w:szCs w:val="20"/>
              </w:rPr>
            </w:pPr>
            <w:r w:rsidRPr="008A26D2">
              <w:rPr>
                <w:rFonts w:ascii="Arial" w:eastAsia="Arial Narrow" w:hAnsi="Arial" w:cs="Arial"/>
                <w:sz w:val="20"/>
                <w:szCs w:val="20"/>
              </w:rPr>
              <w:t>No contar con una plataforma o sistema para el reporte de avances del proceso de restauración por las instituciones públicas y privadas que desarrollan restauración.</w:t>
            </w:r>
          </w:p>
        </w:tc>
      </w:tr>
      <w:tr w:rsidR="008A26D2" w:rsidRPr="008A26D2" w14:paraId="498671AB" w14:textId="77777777" w:rsidTr="00C56494">
        <w:trPr>
          <w:trHeight w:val="231"/>
        </w:trPr>
        <w:tc>
          <w:tcPr>
            <w:tcW w:w="2283" w:type="dxa"/>
            <w:gridSpan w:val="2"/>
            <w:shd w:val="clear" w:color="auto" w:fill="auto"/>
            <w:tcMar>
              <w:top w:w="10" w:type="dxa"/>
              <w:left w:w="93" w:type="dxa"/>
              <w:bottom w:w="0" w:type="dxa"/>
              <w:right w:w="10" w:type="dxa"/>
            </w:tcMar>
            <w:vAlign w:val="center"/>
          </w:tcPr>
          <w:p w14:paraId="52C52A15"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 xml:space="preserve">Método de cálculo: </w:t>
            </w:r>
          </w:p>
        </w:tc>
        <w:tc>
          <w:tcPr>
            <w:tcW w:w="6506" w:type="dxa"/>
            <w:gridSpan w:val="10"/>
            <w:shd w:val="clear" w:color="auto" w:fill="auto"/>
            <w:tcMar>
              <w:top w:w="51" w:type="dxa"/>
              <w:left w:w="227" w:type="dxa"/>
              <w:bottom w:w="51" w:type="dxa"/>
              <w:right w:w="227" w:type="dxa"/>
            </w:tcMar>
            <w:vAlign w:val="center"/>
          </w:tcPr>
          <w:p w14:paraId="70EC4EE1" w14:textId="77777777" w:rsidR="00A90E9C" w:rsidRPr="008A26D2" w:rsidRDefault="00A90E9C" w:rsidP="0087293E">
            <w:pPr>
              <w:jc w:val="both"/>
              <w:rPr>
                <w:rFonts w:ascii="Arial" w:eastAsia="Arial Narrow" w:hAnsi="Arial" w:cs="Arial"/>
                <w:b/>
                <w:sz w:val="20"/>
                <w:szCs w:val="20"/>
              </w:rPr>
            </w:pPr>
            <w:r w:rsidRPr="008A26D2">
              <w:rPr>
                <w:rFonts w:ascii="Arial" w:eastAsia="Arial Narrow" w:hAnsi="Arial" w:cs="Arial"/>
                <w:b/>
                <w:sz w:val="20"/>
                <w:szCs w:val="20"/>
              </w:rPr>
              <w:t>1. Fórmula:</w:t>
            </w:r>
          </w:p>
          <w:p w14:paraId="349AF31E" w14:textId="4C1D100E" w:rsidR="00A90E9C" w:rsidRPr="008A26D2" w:rsidRDefault="004E5B31" w:rsidP="0087293E">
            <w:pPr>
              <w:jc w:val="both"/>
              <w:rPr>
                <w:rFonts w:ascii="Arial" w:eastAsia="Arial Unicode MS" w:hAnsi="Arial" w:cs="Arial"/>
                <w:sz w:val="20"/>
                <w:szCs w:val="20"/>
              </w:rPr>
            </w:pPr>
            <w:r w:rsidRPr="008A26D2">
              <w:rPr>
                <w:rFonts w:ascii="Arial" w:eastAsia="Arial Unicode MS" w:hAnsi="Arial" w:cs="Arial"/>
                <w:sz w:val="20"/>
                <w:szCs w:val="20"/>
              </w:rPr>
              <w:t>(</w:t>
            </w:r>
            <w:r w:rsidR="00A90E9C" w:rsidRPr="008A26D2">
              <w:rPr>
                <w:rFonts w:ascii="Arial" w:eastAsia="Arial Unicode MS" w:hAnsi="Arial" w:cs="Arial"/>
                <w:sz w:val="20"/>
                <w:szCs w:val="20"/>
              </w:rPr>
              <w:t>A/B</w:t>
            </w:r>
            <w:r w:rsidRPr="008A26D2">
              <w:rPr>
                <w:rFonts w:ascii="Arial" w:eastAsia="Arial Unicode MS" w:hAnsi="Arial" w:cs="Arial"/>
                <w:sz w:val="20"/>
                <w:szCs w:val="20"/>
              </w:rPr>
              <w:t>)</w:t>
            </w:r>
            <w:r w:rsidR="00A90E9C" w:rsidRPr="008A26D2">
              <w:rPr>
                <w:rFonts w:ascii="Arial" w:eastAsia="Arial Unicode MS" w:hAnsi="Arial" w:cs="Arial"/>
                <w:sz w:val="20"/>
                <w:szCs w:val="20"/>
              </w:rPr>
              <w:t>*100</w:t>
            </w:r>
          </w:p>
          <w:p w14:paraId="376D9699" w14:textId="77777777" w:rsidR="00A90E9C" w:rsidRPr="008A26D2" w:rsidRDefault="00A90E9C" w:rsidP="0087293E">
            <w:pPr>
              <w:jc w:val="both"/>
              <w:rPr>
                <w:rFonts w:ascii="Arial" w:eastAsia="Arial Unicode MS" w:hAnsi="Arial" w:cs="Arial"/>
                <w:sz w:val="20"/>
                <w:szCs w:val="20"/>
              </w:rPr>
            </w:pPr>
            <w:r w:rsidRPr="008A26D2">
              <w:rPr>
                <w:rFonts w:ascii="Arial" w:eastAsia="Arial Unicode MS" w:hAnsi="Arial" w:cs="Arial"/>
                <w:sz w:val="20"/>
                <w:szCs w:val="20"/>
              </w:rPr>
              <w:t>Donde:</w:t>
            </w:r>
          </w:p>
          <w:p w14:paraId="0237371D" w14:textId="1973DC56" w:rsidR="00A90E9C" w:rsidRPr="008A26D2" w:rsidRDefault="00A90E9C" w:rsidP="0087293E">
            <w:pPr>
              <w:ind w:left="324" w:hanging="324"/>
              <w:jc w:val="both"/>
              <w:rPr>
                <w:rFonts w:ascii="Arial" w:hAnsi="Arial" w:cs="Arial"/>
                <w:bCs/>
                <w:sz w:val="20"/>
                <w:szCs w:val="20"/>
              </w:rPr>
            </w:pPr>
            <w:r w:rsidRPr="008A26D2">
              <w:rPr>
                <w:rFonts w:ascii="Arial" w:hAnsi="Arial" w:cs="Arial"/>
                <w:bCs/>
                <w:sz w:val="20"/>
                <w:szCs w:val="20"/>
              </w:rPr>
              <w:t xml:space="preserve">A = Número de </w:t>
            </w:r>
            <w:r w:rsidR="00C53918" w:rsidRPr="008A26D2">
              <w:rPr>
                <w:rFonts w:ascii="Arial" w:hAnsi="Arial" w:cs="Arial"/>
                <w:bCs/>
                <w:sz w:val="20"/>
                <w:szCs w:val="20"/>
              </w:rPr>
              <w:t>servidores</w:t>
            </w:r>
            <w:r w:rsidRPr="008A26D2">
              <w:rPr>
                <w:rFonts w:ascii="Arial" w:eastAsia="Times New Roman" w:hAnsi="Arial" w:cs="Arial"/>
                <w:sz w:val="20"/>
                <w:szCs w:val="20"/>
              </w:rPr>
              <w:t xml:space="preserve"> de </w:t>
            </w:r>
            <w:r w:rsidRPr="008A26D2">
              <w:rPr>
                <w:rFonts w:ascii="Arial" w:eastAsia="Arial Narrow" w:hAnsi="Arial" w:cs="Arial"/>
                <w:sz w:val="20"/>
                <w:szCs w:val="20"/>
              </w:rPr>
              <w:t xml:space="preserve">los </w:t>
            </w:r>
            <w:r w:rsidR="004E5B31" w:rsidRPr="008A26D2">
              <w:rPr>
                <w:rFonts w:ascii="Arial" w:eastAsia="Arial Narrow" w:hAnsi="Arial" w:cs="Arial"/>
                <w:sz w:val="20"/>
                <w:szCs w:val="20"/>
              </w:rPr>
              <w:t>g</w:t>
            </w:r>
            <w:r w:rsidRPr="008A26D2">
              <w:rPr>
                <w:rFonts w:ascii="Arial" w:eastAsia="Arial Narrow" w:hAnsi="Arial" w:cs="Arial"/>
                <w:sz w:val="20"/>
                <w:szCs w:val="20"/>
              </w:rPr>
              <w:t xml:space="preserve">obiernos regionales, </w:t>
            </w:r>
            <w:r w:rsidR="004E5B31" w:rsidRPr="008A26D2">
              <w:rPr>
                <w:rFonts w:ascii="Arial" w:eastAsia="Arial Narrow" w:hAnsi="Arial" w:cs="Arial"/>
                <w:sz w:val="20"/>
                <w:szCs w:val="20"/>
              </w:rPr>
              <w:t>g</w:t>
            </w:r>
            <w:r w:rsidRPr="008A26D2">
              <w:rPr>
                <w:rFonts w:ascii="Arial" w:eastAsia="Arial Narrow" w:hAnsi="Arial" w:cs="Arial"/>
                <w:sz w:val="20"/>
                <w:szCs w:val="20"/>
              </w:rPr>
              <w:t>obiernos locales y usuarios forestales y de fauna silvestre</w:t>
            </w:r>
            <w:r w:rsidRPr="008A26D2">
              <w:rPr>
                <w:rFonts w:ascii="Arial" w:hAnsi="Arial" w:cs="Arial"/>
                <w:bCs/>
                <w:sz w:val="20"/>
                <w:szCs w:val="20"/>
              </w:rPr>
              <w:t xml:space="preserve"> con alto grado de satisfacción sobre asistencia técnica y </w:t>
            </w:r>
            <w:r w:rsidRPr="008A26D2">
              <w:rPr>
                <w:rFonts w:ascii="Arial" w:eastAsia="Arial Narrow" w:hAnsi="Arial" w:cs="Arial"/>
                <w:sz w:val="20"/>
                <w:szCs w:val="20"/>
              </w:rPr>
              <w:t>capacitación</w:t>
            </w:r>
            <w:r w:rsidRPr="008A26D2">
              <w:rPr>
                <w:rFonts w:ascii="Arial" w:hAnsi="Arial" w:cs="Arial"/>
                <w:bCs/>
                <w:sz w:val="20"/>
                <w:szCs w:val="20"/>
              </w:rPr>
              <w:t xml:space="preserve"> recibida.</w:t>
            </w:r>
          </w:p>
          <w:p w14:paraId="1B4A0A9C" w14:textId="254AE23D" w:rsidR="00A90E9C" w:rsidRPr="008A26D2" w:rsidRDefault="00A90E9C" w:rsidP="0087293E">
            <w:pPr>
              <w:ind w:left="324" w:hanging="324"/>
              <w:jc w:val="both"/>
              <w:rPr>
                <w:rFonts w:ascii="Arial" w:eastAsia="Times New Roman" w:hAnsi="Arial" w:cs="Arial"/>
                <w:sz w:val="20"/>
                <w:szCs w:val="20"/>
                <w:lang w:val="es-ES"/>
              </w:rPr>
            </w:pPr>
            <w:r w:rsidRPr="008A26D2">
              <w:rPr>
                <w:rFonts w:ascii="Arial" w:hAnsi="Arial" w:cs="Arial"/>
                <w:bCs/>
                <w:sz w:val="20"/>
                <w:szCs w:val="20"/>
              </w:rPr>
              <w:t xml:space="preserve">B = Total de </w:t>
            </w:r>
            <w:r w:rsidRPr="008A26D2">
              <w:rPr>
                <w:rFonts w:ascii="Arial" w:eastAsia="Arial Narrow" w:hAnsi="Arial" w:cs="Arial"/>
                <w:sz w:val="20"/>
                <w:szCs w:val="20"/>
              </w:rPr>
              <w:t xml:space="preserve">los </w:t>
            </w:r>
            <w:r w:rsidR="00C53918" w:rsidRPr="008A26D2">
              <w:rPr>
                <w:rFonts w:ascii="Arial" w:eastAsia="Arial Narrow" w:hAnsi="Arial" w:cs="Arial"/>
                <w:sz w:val="20"/>
                <w:szCs w:val="20"/>
              </w:rPr>
              <w:t>servidores</w:t>
            </w:r>
            <w:r w:rsidRPr="008A26D2">
              <w:rPr>
                <w:rFonts w:ascii="Arial" w:eastAsia="Arial Narrow" w:hAnsi="Arial" w:cs="Arial"/>
                <w:sz w:val="20"/>
                <w:szCs w:val="20"/>
              </w:rPr>
              <w:t xml:space="preserve"> de los </w:t>
            </w:r>
            <w:r w:rsidR="004E5B31" w:rsidRPr="008A26D2">
              <w:rPr>
                <w:rFonts w:ascii="Arial" w:eastAsia="Arial Narrow" w:hAnsi="Arial" w:cs="Arial"/>
                <w:sz w:val="20"/>
                <w:szCs w:val="20"/>
              </w:rPr>
              <w:t>g</w:t>
            </w:r>
            <w:r w:rsidRPr="008A26D2">
              <w:rPr>
                <w:rFonts w:ascii="Arial" w:eastAsia="Arial Narrow" w:hAnsi="Arial" w:cs="Arial"/>
                <w:sz w:val="20"/>
                <w:szCs w:val="20"/>
              </w:rPr>
              <w:t xml:space="preserve">obiernos regionales, </w:t>
            </w:r>
            <w:r w:rsidR="004E5B31" w:rsidRPr="008A26D2">
              <w:rPr>
                <w:rFonts w:ascii="Arial" w:eastAsia="Arial Narrow" w:hAnsi="Arial" w:cs="Arial"/>
                <w:sz w:val="20"/>
                <w:szCs w:val="20"/>
              </w:rPr>
              <w:t>g</w:t>
            </w:r>
            <w:r w:rsidRPr="008A26D2">
              <w:rPr>
                <w:rFonts w:ascii="Arial" w:eastAsia="Arial Narrow" w:hAnsi="Arial" w:cs="Arial"/>
                <w:sz w:val="20"/>
                <w:szCs w:val="20"/>
              </w:rPr>
              <w:t>obiernos locales y usuarios forestales y de fauna silvestre</w:t>
            </w:r>
            <w:r w:rsidRPr="008A26D2">
              <w:rPr>
                <w:rFonts w:ascii="Arial" w:hAnsi="Arial" w:cs="Arial"/>
                <w:bCs/>
                <w:sz w:val="20"/>
                <w:szCs w:val="20"/>
              </w:rPr>
              <w:t xml:space="preserve"> que reciben asistencia técnica y </w:t>
            </w:r>
            <w:r w:rsidRPr="008A26D2">
              <w:rPr>
                <w:rFonts w:ascii="Arial" w:eastAsia="Arial Narrow" w:hAnsi="Arial" w:cs="Arial"/>
                <w:sz w:val="20"/>
                <w:szCs w:val="20"/>
              </w:rPr>
              <w:t>capacitación</w:t>
            </w:r>
            <w:r w:rsidRPr="008A26D2">
              <w:rPr>
                <w:rFonts w:ascii="Arial" w:hAnsi="Arial" w:cs="Arial"/>
                <w:bCs/>
                <w:sz w:val="20"/>
                <w:szCs w:val="20"/>
              </w:rPr>
              <w:t>.</w:t>
            </w:r>
          </w:p>
          <w:p w14:paraId="0285C98F" w14:textId="77777777" w:rsidR="00A90E9C" w:rsidRPr="008A26D2" w:rsidRDefault="00A90E9C" w:rsidP="0087293E">
            <w:pPr>
              <w:jc w:val="both"/>
              <w:rPr>
                <w:rFonts w:ascii="Arial" w:eastAsia="Arial Narrow" w:hAnsi="Arial" w:cs="Arial"/>
                <w:b/>
                <w:sz w:val="20"/>
                <w:szCs w:val="20"/>
              </w:rPr>
            </w:pPr>
            <w:r w:rsidRPr="008A26D2">
              <w:rPr>
                <w:rFonts w:ascii="Arial" w:eastAsia="Arial Narrow" w:hAnsi="Arial" w:cs="Arial"/>
                <w:b/>
                <w:sz w:val="20"/>
                <w:szCs w:val="20"/>
              </w:rPr>
              <w:t>2. Especificaciones técnicas:</w:t>
            </w:r>
          </w:p>
          <w:p w14:paraId="24FCB12E" w14:textId="66E320CE" w:rsidR="000B33D8" w:rsidRPr="000B33D8" w:rsidRDefault="000B33D8" w:rsidP="000B33D8">
            <w:pPr>
              <w:jc w:val="both"/>
              <w:rPr>
                <w:rFonts w:ascii="Arial" w:hAnsi="Arial" w:cs="Arial"/>
                <w:bCs/>
                <w:sz w:val="20"/>
                <w:szCs w:val="20"/>
              </w:rPr>
            </w:pPr>
            <w:r w:rsidRPr="000B33D8">
              <w:rPr>
                <w:rFonts w:ascii="Arial" w:hAnsi="Arial" w:cs="Arial"/>
                <w:bCs/>
                <w:sz w:val="20"/>
                <w:szCs w:val="20"/>
              </w:rPr>
              <w:t xml:space="preserve">La variable A se determina a partir de los servidores de los gobiernos regionales, gobiernos locales y usuarios forestales y de fauna silvestre que tienen un alto grado de satisfacción, al elegir los dos niveles más altos de </w:t>
            </w:r>
            <w:r w:rsidR="00880D35">
              <w:rPr>
                <w:rFonts w:ascii="Arial" w:hAnsi="Arial" w:cs="Arial"/>
                <w:bCs/>
                <w:sz w:val="20"/>
                <w:szCs w:val="20"/>
              </w:rPr>
              <w:t>l</w:t>
            </w:r>
            <w:r w:rsidR="00DC2673">
              <w:rPr>
                <w:rFonts w:ascii="Arial" w:hAnsi="Arial" w:cs="Arial"/>
                <w:bCs/>
                <w:sz w:val="20"/>
                <w:szCs w:val="20"/>
              </w:rPr>
              <w:t>a</w:t>
            </w:r>
            <w:r w:rsidRPr="000B33D8">
              <w:rPr>
                <w:rFonts w:ascii="Arial" w:hAnsi="Arial" w:cs="Arial"/>
                <w:bCs/>
                <w:sz w:val="20"/>
                <w:szCs w:val="20"/>
              </w:rPr>
              <w:t xml:space="preserve"> escala, sobre las acciones de </w:t>
            </w:r>
            <w:r w:rsidR="00BF1DB7">
              <w:rPr>
                <w:rFonts w:ascii="Arial" w:hAnsi="Arial" w:cs="Arial"/>
                <w:bCs/>
                <w:sz w:val="20"/>
                <w:szCs w:val="20"/>
              </w:rPr>
              <w:t>asistencia técnica y capacitación</w:t>
            </w:r>
            <w:r w:rsidR="00040271">
              <w:rPr>
                <w:rFonts w:ascii="Arial" w:hAnsi="Arial" w:cs="Arial"/>
                <w:bCs/>
                <w:sz w:val="20"/>
                <w:szCs w:val="20"/>
              </w:rPr>
              <w:t xml:space="preserve"> recibidas</w:t>
            </w:r>
            <w:r w:rsidRPr="000B33D8">
              <w:rPr>
                <w:rFonts w:ascii="Arial" w:hAnsi="Arial" w:cs="Arial"/>
                <w:bCs/>
                <w:sz w:val="20"/>
                <w:szCs w:val="20"/>
              </w:rPr>
              <w:t>.</w:t>
            </w:r>
          </w:p>
          <w:p w14:paraId="3AD76042" w14:textId="6EE737F1" w:rsidR="000B33D8" w:rsidRDefault="000B33D8" w:rsidP="000B33D8">
            <w:pPr>
              <w:jc w:val="both"/>
              <w:rPr>
                <w:rFonts w:ascii="Arial" w:hAnsi="Arial" w:cs="Arial"/>
                <w:bCs/>
                <w:sz w:val="20"/>
                <w:szCs w:val="20"/>
              </w:rPr>
            </w:pPr>
            <w:r w:rsidRPr="000B33D8">
              <w:rPr>
                <w:rFonts w:ascii="Arial" w:hAnsi="Arial" w:cs="Arial"/>
                <w:bCs/>
                <w:sz w:val="20"/>
                <w:szCs w:val="20"/>
              </w:rPr>
              <w:t xml:space="preserve">La variable B se determina con el total de servidores de los gobiernos regionales, gobiernos locales y usuarios forestales y de fauna silvestre que asisten a las </w:t>
            </w:r>
            <w:r w:rsidR="00BF1DB7">
              <w:rPr>
                <w:rFonts w:ascii="Arial" w:hAnsi="Arial" w:cs="Arial"/>
                <w:bCs/>
                <w:sz w:val="20"/>
                <w:szCs w:val="20"/>
              </w:rPr>
              <w:t xml:space="preserve">acciones de </w:t>
            </w:r>
            <w:r w:rsidR="00BF1DB7" w:rsidRPr="00BF1DB7">
              <w:rPr>
                <w:rFonts w:ascii="Arial" w:hAnsi="Arial" w:cs="Arial"/>
                <w:bCs/>
                <w:sz w:val="20"/>
                <w:szCs w:val="20"/>
              </w:rPr>
              <w:t>asistencia técnica y capacitació</w:t>
            </w:r>
            <w:r w:rsidR="00BF1DB7">
              <w:rPr>
                <w:rFonts w:ascii="Arial" w:hAnsi="Arial" w:cs="Arial"/>
                <w:bCs/>
                <w:sz w:val="20"/>
                <w:szCs w:val="20"/>
              </w:rPr>
              <w:t>n</w:t>
            </w:r>
            <w:r>
              <w:rPr>
                <w:rFonts w:ascii="Arial" w:hAnsi="Arial" w:cs="Arial"/>
                <w:bCs/>
                <w:sz w:val="20"/>
                <w:szCs w:val="20"/>
              </w:rPr>
              <w:t>.</w:t>
            </w:r>
          </w:p>
          <w:p w14:paraId="619236FB" w14:textId="3AD2F6C3" w:rsidR="00A90E9C" w:rsidRPr="008A26D2" w:rsidRDefault="00A90E9C" w:rsidP="0087293E">
            <w:pPr>
              <w:jc w:val="both"/>
              <w:rPr>
                <w:rFonts w:ascii="Arial" w:eastAsia="Times New Roman" w:hAnsi="Arial" w:cs="Arial"/>
                <w:sz w:val="20"/>
                <w:szCs w:val="20"/>
                <w:lang w:val="es-ES"/>
              </w:rPr>
            </w:pPr>
            <w:r w:rsidRPr="008A26D2">
              <w:rPr>
                <w:rFonts w:ascii="Arial" w:eastAsia="Times New Roman" w:hAnsi="Arial" w:cs="Arial"/>
                <w:sz w:val="20"/>
                <w:szCs w:val="20"/>
                <w:lang w:val="es-ES"/>
              </w:rPr>
              <w:t xml:space="preserve">El indicador se calculará a partir de encuestas o entrevistas donde se pueda registrar el grado de satisfacción de los </w:t>
            </w:r>
            <w:r w:rsidR="00C53918" w:rsidRPr="008A26D2">
              <w:rPr>
                <w:rFonts w:ascii="Arial" w:eastAsia="Times New Roman" w:hAnsi="Arial" w:cs="Arial"/>
                <w:sz w:val="20"/>
                <w:szCs w:val="20"/>
                <w:lang w:val="es-ES"/>
              </w:rPr>
              <w:t>servidores</w:t>
            </w:r>
            <w:r w:rsidRPr="008A26D2">
              <w:rPr>
                <w:rFonts w:ascii="Arial" w:eastAsia="Times New Roman" w:hAnsi="Arial" w:cs="Arial"/>
                <w:sz w:val="20"/>
                <w:szCs w:val="20"/>
                <w:lang w:val="es-ES"/>
              </w:rPr>
              <w:t xml:space="preserve"> y usuarios que reciben la asistencia técnica y capacitación, identificando aquellos aspectos del servicio que se pueden mejorar y satisfacer al receptor.</w:t>
            </w:r>
          </w:p>
          <w:p w14:paraId="415438B1" w14:textId="77777777" w:rsidR="00A90E9C" w:rsidRPr="008A26D2" w:rsidRDefault="00A90E9C" w:rsidP="0087293E">
            <w:pPr>
              <w:jc w:val="both"/>
              <w:rPr>
                <w:rFonts w:ascii="Arial" w:hAnsi="Arial" w:cs="Arial"/>
                <w:bCs/>
                <w:sz w:val="20"/>
                <w:szCs w:val="20"/>
              </w:rPr>
            </w:pPr>
            <w:r w:rsidRPr="008A26D2">
              <w:rPr>
                <w:rFonts w:ascii="Arial" w:hAnsi="Arial" w:cs="Arial"/>
                <w:bCs/>
                <w:sz w:val="20"/>
                <w:szCs w:val="20"/>
              </w:rPr>
              <w:t>Para evaluar el grado de satisfacción se considerará los alcances metodológicos señalados en el Protocolo de Capacitación y Asistencia Técnica del SERFOR.</w:t>
            </w:r>
          </w:p>
          <w:p w14:paraId="1037D8D7" w14:textId="77777777" w:rsidR="00A90E9C" w:rsidRPr="008A26D2" w:rsidRDefault="00A90E9C" w:rsidP="0087293E">
            <w:pPr>
              <w:jc w:val="both"/>
              <w:rPr>
                <w:rFonts w:ascii="Arial" w:eastAsia="Arial Narrow" w:hAnsi="Arial" w:cs="Arial"/>
                <w:sz w:val="20"/>
                <w:szCs w:val="20"/>
              </w:rPr>
            </w:pPr>
            <w:r w:rsidRPr="008A26D2">
              <w:rPr>
                <w:rFonts w:ascii="Arial" w:eastAsia="Arial Narrow" w:hAnsi="Arial" w:cs="Arial"/>
                <w:sz w:val="20"/>
                <w:szCs w:val="20"/>
              </w:rPr>
              <w:lastRenderedPageBreak/>
              <w:t>No se cuenta con línea base, por ese motivo, el SERFOR determinará la línea base para su cálculo antes del inicio de la implementación de la presente Política Nacional.</w:t>
            </w:r>
          </w:p>
        </w:tc>
      </w:tr>
      <w:tr w:rsidR="008A26D2" w:rsidRPr="008A26D2" w14:paraId="4F46B45B" w14:textId="77777777" w:rsidTr="004E5B31">
        <w:trPr>
          <w:trHeight w:val="686"/>
        </w:trPr>
        <w:tc>
          <w:tcPr>
            <w:tcW w:w="2283" w:type="dxa"/>
            <w:gridSpan w:val="2"/>
            <w:shd w:val="clear" w:color="auto" w:fill="auto"/>
            <w:tcMar>
              <w:top w:w="10" w:type="dxa"/>
              <w:left w:w="93" w:type="dxa"/>
              <w:bottom w:w="0" w:type="dxa"/>
              <w:right w:w="10" w:type="dxa"/>
            </w:tcMar>
            <w:vAlign w:val="center"/>
          </w:tcPr>
          <w:p w14:paraId="45C3847D"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lastRenderedPageBreak/>
              <w:t>Sentido esperado del indicador:</w:t>
            </w:r>
          </w:p>
        </w:tc>
        <w:tc>
          <w:tcPr>
            <w:tcW w:w="1686" w:type="dxa"/>
            <w:gridSpan w:val="2"/>
            <w:shd w:val="clear" w:color="auto" w:fill="auto"/>
            <w:tcMar>
              <w:top w:w="10" w:type="dxa"/>
              <w:left w:w="283" w:type="dxa"/>
              <w:bottom w:w="0" w:type="dxa"/>
              <w:right w:w="283" w:type="dxa"/>
            </w:tcMar>
            <w:vAlign w:val="center"/>
          </w:tcPr>
          <w:p w14:paraId="78BE814E" w14:textId="77777777" w:rsidR="00A90E9C" w:rsidRPr="008A26D2" w:rsidRDefault="00A90E9C" w:rsidP="0087293E">
            <w:pPr>
              <w:jc w:val="both"/>
              <w:rPr>
                <w:rFonts w:ascii="Arial" w:hAnsi="Arial" w:cs="Arial"/>
                <w:sz w:val="20"/>
                <w:szCs w:val="20"/>
              </w:rPr>
            </w:pPr>
            <w:r w:rsidRPr="008A26D2">
              <w:rPr>
                <w:rFonts w:ascii="Arial" w:eastAsia="Arial Narrow" w:hAnsi="Arial" w:cs="Arial"/>
                <w:sz w:val="20"/>
                <w:szCs w:val="20"/>
              </w:rPr>
              <w:t>Ascendente</w:t>
            </w:r>
          </w:p>
        </w:tc>
        <w:tc>
          <w:tcPr>
            <w:tcW w:w="3139" w:type="dxa"/>
            <w:gridSpan w:val="5"/>
            <w:shd w:val="clear" w:color="auto" w:fill="auto"/>
            <w:tcMar>
              <w:top w:w="15" w:type="dxa"/>
              <w:left w:w="15" w:type="dxa"/>
              <w:bottom w:w="0" w:type="dxa"/>
              <w:right w:w="15" w:type="dxa"/>
            </w:tcMar>
            <w:vAlign w:val="center"/>
          </w:tcPr>
          <w:p w14:paraId="3F737BA1"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Tipo de indicador de servicio:</w:t>
            </w:r>
          </w:p>
        </w:tc>
        <w:tc>
          <w:tcPr>
            <w:tcW w:w="1681" w:type="dxa"/>
            <w:gridSpan w:val="3"/>
            <w:shd w:val="clear" w:color="auto" w:fill="auto"/>
            <w:tcMar>
              <w:top w:w="15" w:type="dxa"/>
              <w:left w:w="15" w:type="dxa"/>
              <w:bottom w:w="0" w:type="dxa"/>
              <w:right w:w="15" w:type="dxa"/>
            </w:tcMar>
            <w:vAlign w:val="center"/>
          </w:tcPr>
          <w:p w14:paraId="4C5AB7B7" w14:textId="77777777" w:rsidR="00A90E9C" w:rsidRPr="008A26D2" w:rsidRDefault="00A90E9C" w:rsidP="0087293E">
            <w:pPr>
              <w:jc w:val="both"/>
              <w:rPr>
                <w:rFonts w:ascii="Arial" w:hAnsi="Arial" w:cs="Arial"/>
                <w:sz w:val="20"/>
                <w:szCs w:val="20"/>
              </w:rPr>
            </w:pPr>
            <w:r w:rsidRPr="008A26D2">
              <w:rPr>
                <w:rFonts w:ascii="Arial" w:eastAsia="Arial Narrow" w:hAnsi="Arial" w:cs="Arial"/>
                <w:sz w:val="20"/>
                <w:szCs w:val="20"/>
              </w:rPr>
              <w:t>Calidad - Percepción</w:t>
            </w:r>
          </w:p>
        </w:tc>
      </w:tr>
      <w:tr w:rsidR="008A26D2" w:rsidRPr="008A26D2" w14:paraId="41CE7B70" w14:textId="77777777" w:rsidTr="00C56494">
        <w:trPr>
          <w:trHeight w:val="13"/>
        </w:trPr>
        <w:tc>
          <w:tcPr>
            <w:tcW w:w="2283" w:type="dxa"/>
            <w:gridSpan w:val="2"/>
            <w:shd w:val="clear" w:color="auto" w:fill="auto"/>
            <w:tcMar>
              <w:top w:w="10" w:type="dxa"/>
              <w:left w:w="93" w:type="dxa"/>
              <w:bottom w:w="0" w:type="dxa"/>
              <w:right w:w="10" w:type="dxa"/>
            </w:tcMar>
            <w:vAlign w:val="center"/>
          </w:tcPr>
          <w:p w14:paraId="6681EED5"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Fuente y base de datos:</w:t>
            </w:r>
          </w:p>
        </w:tc>
        <w:tc>
          <w:tcPr>
            <w:tcW w:w="6506" w:type="dxa"/>
            <w:gridSpan w:val="10"/>
            <w:shd w:val="clear" w:color="auto" w:fill="auto"/>
            <w:tcMar>
              <w:top w:w="51" w:type="dxa"/>
              <w:left w:w="227" w:type="dxa"/>
              <w:bottom w:w="51" w:type="dxa"/>
              <w:right w:w="227" w:type="dxa"/>
            </w:tcMar>
            <w:vAlign w:val="center"/>
          </w:tcPr>
          <w:p w14:paraId="1D9ADF20" w14:textId="41F9508E" w:rsidR="00A90E9C" w:rsidRPr="008A26D2" w:rsidRDefault="00A90E9C" w:rsidP="0087293E">
            <w:pPr>
              <w:jc w:val="both"/>
              <w:rPr>
                <w:rFonts w:ascii="Arial" w:eastAsia="Arial Narrow" w:hAnsi="Arial" w:cs="Arial"/>
                <w:sz w:val="20"/>
                <w:szCs w:val="20"/>
              </w:rPr>
            </w:pPr>
            <w:r w:rsidRPr="008A26D2">
              <w:rPr>
                <w:rFonts w:ascii="Arial" w:eastAsia="Arial Narrow" w:hAnsi="Arial" w:cs="Arial"/>
                <w:sz w:val="20"/>
                <w:szCs w:val="20"/>
              </w:rPr>
              <w:t xml:space="preserve">Fuente: Dirección de Gestión Sostenible del Patrimonio Forestal del </w:t>
            </w:r>
            <w:r w:rsidR="00794068">
              <w:rPr>
                <w:rFonts w:ascii="Arial" w:eastAsia="Arial Narrow" w:hAnsi="Arial" w:cs="Arial"/>
                <w:sz w:val="20"/>
                <w:szCs w:val="20"/>
              </w:rPr>
              <w:t xml:space="preserve">Servicio Nacional Forestal y de Fauna Silvestre - </w:t>
            </w:r>
            <w:r w:rsidRPr="008A26D2">
              <w:rPr>
                <w:rFonts w:ascii="Arial" w:eastAsia="Arial Narrow" w:hAnsi="Arial" w:cs="Arial"/>
                <w:sz w:val="20"/>
                <w:szCs w:val="20"/>
              </w:rPr>
              <w:t xml:space="preserve">SERFOR. </w:t>
            </w:r>
          </w:p>
          <w:p w14:paraId="596E95CE" w14:textId="77777777" w:rsidR="00A90E9C" w:rsidRPr="008A26D2" w:rsidRDefault="00A90E9C" w:rsidP="0087293E">
            <w:pPr>
              <w:jc w:val="both"/>
              <w:rPr>
                <w:rFonts w:ascii="Arial" w:eastAsia="Arial Narrow" w:hAnsi="Arial" w:cs="Arial"/>
                <w:sz w:val="20"/>
                <w:szCs w:val="20"/>
              </w:rPr>
            </w:pPr>
            <w:r w:rsidRPr="008A26D2">
              <w:rPr>
                <w:rFonts w:ascii="Arial" w:eastAsia="Arial Narrow" w:hAnsi="Arial" w:cs="Arial"/>
                <w:sz w:val="20"/>
                <w:szCs w:val="20"/>
              </w:rPr>
              <w:t xml:space="preserve">Base de datos: </w:t>
            </w:r>
          </w:p>
          <w:p w14:paraId="541B2F68" w14:textId="77777777" w:rsidR="00B72A2B" w:rsidRDefault="00A90E9C" w:rsidP="00B72A2B">
            <w:pPr>
              <w:pStyle w:val="Prrafodelista"/>
              <w:numPr>
                <w:ilvl w:val="0"/>
                <w:numId w:val="33"/>
              </w:numPr>
              <w:ind w:left="183" w:hanging="142"/>
              <w:jc w:val="both"/>
              <w:rPr>
                <w:rFonts w:ascii="Arial" w:eastAsia="Arial Narrow" w:hAnsi="Arial" w:cs="Arial"/>
                <w:sz w:val="20"/>
                <w:szCs w:val="20"/>
              </w:rPr>
            </w:pPr>
            <w:r w:rsidRPr="008A26D2">
              <w:rPr>
                <w:rFonts w:ascii="Arial" w:eastAsia="Arial Narrow" w:hAnsi="Arial" w:cs="Arial"/>
                <w:sz w:val="20"/>
                <w:szCs w:val="20"/>
              </w:rPr>
              <w:t>Base de datos de proyectos de restauración</w:t>
            </w:r>
            <w:r w:rsidR="00B72A2B">
              <w:rPr>
                <w:rFonts w:ascii="Arial" w:eastAsia="Arial Narrow" w:hAnsi="Arial" w:cs="Arial"/>
                <w:sz w:val="20"/>
                <w:szCs w:val="20"/>
              </w:rPr>
              <w:t>.</w:t>
            </w:r>
          </w:p>
          <w:p w14:paraId="0162AE89" w14:textId="1B5AD5A0" w:rsidR="00A90E9C" w:rsidRPr="008A26D2" w:rsidRDefault="00A90E9C" w:rsidP="00B72A2B">
            <w:pPr>
              <w:pStyle w:val="Prrafodelista"/>
              <w:numPr>
                <w:ilvl w:val="0"/>
                <w:numId w:val="33"/>
              </w:numPr>
              <w:ind w:left="183" w:hanging="142"/>
              <w:jc w:val="both"/>
              <w:rPr>
                <w:rFonts w:ascii="Arial" w:eastAsia="Arial Narrow" w:hAnsi="Arial" w:cs="Arial"/>
                <w:sz w:val="20"/>
                <w:szCs w:val="20"/>
              </w:rPr>
            </w:pPr>
            <w:r w:rsidRPr="008A26D2">
              <w:rPr>
                <w:rFonts w:ascii="Arial" w:eastAsia="Arial Narrow" w:hAnsi="Arial" w:cs="Arial"/>
                <w:sz w:val="20"/>
                <w:szCs w:val="20"/>
              </w:rPr>
              <w:t>Submódulo de monitoreo de restauración del</w:t>
            </w:r>
            <w:r w:rsidR="00694989" w:rsidRPr="008A26D2">
              <w:rPr>
                <w:rFonts w:ascii="Arial" w:eastAsia="Arial Narrow" w:hAnsi="Arial" w:cs="Arial"/>
                <w:sz w:val="20"/>
                <w:szCs w:val="20"/>
              </w:rPr>
              <w:t xml:space="preserve"> Patrimonio Forestal del</w:t>
            </w:r>
            <w:r w:rsidRPr="008A26D2">
              <w:rPr>
                <w:rFonts w:ascii="Arial" w:eastAsia="Arial Narrow" w:hAnsi="Arial" w:cs="Arial"/>
                <w:sz w:val="20"/>
                <w:szCs w:val="20"/>
              </w:rPr>
              <w:t xml:space="preserve"> </w:t>
            </w:r>
            <w:r w:rsidR="004E5B31" w:rsidRPr="008A26D2">
              <w:rPr>
                <w:rFonts w:ascii="Arial" w:eastAsia="Arial Narrow" w:hAnsi="Arial" w:cs="Arial"/>
                <w:sz w:val="20"/>
                <w:szCs w:val="20"/>
              </w:rPr>
              <w:t>Sistema Nacional de Información Forestal y de Fauna Silvestre</w:t>
            </w:r>
            <w:r w:rsidRPr="008A26D2">
              <w:rPr>
                <w:rFonts w:ascii="Arial" w:eastAsia="Arial Narrow" w:hAnsi="Arial" w:cs="Arial"/>
                <w:sz w:val="20"/>
                <w:szCs w:val="20"/>
              </w:rPr>
              <w:t>.</w:t>
            </w:r>
          </w:p>
        </w:tc>
      </w:tr>
      <w:tr w:rsidR="008A26D2" w:rsidRPr="008A26D2" w14:paraId="28FA8509" w14:textId="77777777" w:rsidTr="00C56494">
        <w:trPr>
          <w:trHeight w:val="436"/>
        </w:trPr>
        <w:tc>
          <w:tcPr>
            <w:tcW w:w="2283" w:type="dxa"/>
            <w:gridSpan w:val="2"/>
            <w:shd w:val="clear" w:color="auto" w:fill="auto"/>
            <w:tcMar>
              <w:top w:w="10" w:type="dxa"/>
              <w:left w:w="93" w:type="dxa"/>
              <w:bottom w:w="0" w:type="dxa"/>
              <w:right w:w="10" w:type="dxa"/>
            </w:tcMar>
            <w:vAlign w:val="center"/>
          </w:tcPr>
          <w:p w14:paraId="296254F8"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Supuestos:</w:t>
            </w:r>
          </w:p>
        </w:tc>
        <w:tc>
          <w:tcPr>
            <w:tcW w:w="6506" w:type="dxa"/>
            <w:gridSpan w:val="10"/>
            <w:shd w:val="clear" w:color="auto" w:fill="auto"/>
            <w:tcMar>
              <w:top w:w="51" w:type="dxa"/>
              <w:left w:w="227" w:type="dxa"/>
              <w:bottom w:w="51" w:type="dxa"/>
              <w:right w:w="227" w:type="dxa"/>
            </w:tcMar>
            <w:vAlign w:val="center"/>
          </w:tcPr>
          <w:p w14:paraId="3C627A4C" w14:textId="77777777" w:rsidR="00A90E9C" w:rsidRPr="008A26D2" w:rsidRDefault="00A90E9C" w:rsidP="0087293E">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Interés e involucramiento de las autoridades, gestores y poblaciones locales, vinculadas a las zonas de intervención para restauración.</w:t>
            </w:r>
          </w:p>
        </w:tc>
      </w:tr>
      <w:tr w:rsidR="008A26D2" w:rsidRPr="008A26D2" w14:paraId="3B25C04B" w14:textId="77777777" w:rsidTr="00C56494">
        <w:trPr>
          <w:trHeight w:val="545"/>
        </w:trPr>
        <w:tc>
          <w:tcPr>
            <w:tcW w:w="709" w:type="dxa"/>
            <w:shd w:val="clear" w:color="auto" w:fill="auto"/>
            <w:tcMar>
              <w:top w:w="10" w:type="dxa"/>
              <w:left w:w="10" w:type="dxa"/>
              <w:bottom w:w="0" w:type="dxa"/>
              <w:right w:w="10" w:type="dxa"/>
            </w:tcMar>
            <w:vAlign w:val="center"/>
          </w:tcPr>
          <w:p w14:paraId="2DCE726D"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 </w:t>
            </w:r>
          </w:p>
        </w:tc>
        <w:tc>
          <w:tcPr>
            <w:tcW w:w="1574" w:type="dxa"/>
            <w:shd w:val="clear" w:color="auto" w:fill="auto"/>
            <w:tcMar>
              <w:top w:w="10" w:type="dxa"/>
              <w:left w:w="10" w:type="dxa"/>
              <w:bottom w:w="0" w:type="dxa"/>
              <w:right w:w="10" w:type="dxa"/>
            </w:tcMar>
            <w:vAlign w:val="center"/>
          </w:tcPr>
          <w:p w14:paraId="6408965D" w14:textId="77777777" w:rsidR="00A90E9C" w:rsidRPr="008A26D2" w:rsidRDefault="00A90E9C" w:rsidP="00DC2673">
            <w:pPr>
              <w:jc w:val="center"/>
              <w:rPr>
                <w:rFonts w:ascii="Arial" w:hAnsi="Arial" w:cs="Arial"/>
                <w:sz w:val="20"/>
                <w:szCs w:val="20"/>
              </w:rPr>
            </w:pPr>
            <w:r w:rsidRPr="008A26D2">
              <w:rPr>
                <w:rFonts w:ascii="Arial" w:hAnsi="Arial" w:cs="Arial"/>
                <w:b/>
                <w:sz w:val="20"/>
                <w:szCs w:val="20"/>
              </w:rPr>
              <w:t>Línea de base</w:t>
            </w:r>
          </w:p>
        </w:tc>
        <w:tc>
          <w:tcPr>
            <w:tcW w:w="6506" w:type="dxa"/>
            <w:gridSpan w:val="10"/>
            <w:shd w:val="clear" w:color="auto" w:fill="auto"/>
            <w:tcMar>
              <w:top w:w="10" w:type="dxa"/>
              <w:left w:w="10" w:type="dxa"/>
              <w:bottom w:w="0" w:type="dxa"/>
              <w:right w:w="10" w:type="dxa"/>
            </w:tcMar>
            <w:vAlign w:val="center"/>
          </w:tcPr>
          <w:p w14:paraId="387D54AA" w14:textId="215D4B74" w:rsidR="00A90E9C" w:rsidRPr="008A26D2" w:rsidRDefault="00A90E9C" w:rsidP="00DC2673">
            <w:pPr>
              <w:jc w:val="center"/>
              <w:rPr>
                <w:rFonts w:ascii="Arial" w:hAnsi="Arial" w:cs="Arial"/>
                <w:sz w:val="20"/>
                <w:szCs w:val="20"/>
              </w:rPr>
            </w:pPr>
            <w:r w:rsidRPr="008A26D2">
              <w:rPr>
                <w:rFonts w:ascii="Arial" w:hAnsi="Arial" w:cs="Arial"/>
                <w:b/>
                <w:sz w:val="20"/>
                <w:szCs w:val="20"/>
              </w:rPr>
              <w:t>Logros esperados</w:t>
            </w:r>
          </w:p>
        </w:tc>
      </w:tr>
      <w:tr w:rsidR="008A26D2" w:rsidRPr="008A26D2" w14:paraId="0AB31DBE" w14:textId="77777777" w:rsidTr="004E5B31">
        <w:trPr>
          <w:trHeight w:val="217"/>
        </w:trPr>
        <w:tc>
          <w:tcPr>
            <w:tcW w:w="709" w:type="dxa"/>
            <w:shd w:val="clear" w:color="auto" w:fill="auto"/>
            <w:tcMar>
              <w:top w:w="10" w:type="dxa"/>
              <w:left w:w="10" w:type="dxa"/>
              <w:bottom w:w="0" w:type="dxa"/>
              <w:right w:w="10" w:type="dxa"/>
            </w:tcMar>
            <w:vAlign w:val="center"/>
          </w:tcPr>
          <w:p w14:paraId="324EE27A"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Año</w:t>
            </w:r>
          </w:p>
        </w:tc>
        <w:tc>
          <w:tcPr>
            <w:tcW w:w="1574" w:type="dxa"/>
            <w:shd w:val="clear" w:color="auto" w:fill="auto"/>
            <w:tcMar>
              <w:top w:w="10" w:type="dxa"/>
              <w:left w:w="10" w:type="dxa"/>
              <w:bottom w:w="0" w:type="dxa"/>
              <w:right w:w="10" w:type="dxa"/>
            </w:tcMar>
            <w:vAlign w:val="center"/>
          </w:tcPr>
          <w:p w14:paraId="17532502" w14:textId="3D1A1775" w:rsidR="00A90E9C" w:rsidRPr="008A26D2" w:rsidRDefault="00A90E9C" w:rsidP="00B72A2B">
            <w:pPr>
              <w:jc w:val="center"/>
              <w:rPr>
                <w:rFonts w:ascii="Arial" w:hAnsi="Arial" w:cs="Arial"/>
                <w:b/>
                <w:sz w:val="20"/>
                <w:szCs w:val="20"/>
              </w:rPr>
            </w:pPr>
            <w:r w:rsidRPr="008A26D2">
              <w:rPr>
                <w:rFonts w:ascii="Arial" w:hAnsi="Arial" w:cs="Arial"/>
                <w:b/>
                <w:sz w:val="20"/>
                <w:szCs w:val="20"/>
              </w:rPr>
              <w:t>2022</w:t>
            </w:r>
          </w:p>
        </w:tc>
        <w:tc>
          <w:tcPr>
            <w:tcW w:w="978" w:type="dxa"/>
            <w:shd w:val="clear" w:color="auto" w:fill="auto"/>
            <w:tcMar>
              <w:top w:w="10" w:type="dxa"/>
              <w:left w:w="10" w:type="dxa"/>
              <w:bottom w:w="0" w:type="dxa"/>
              <w:right w:w="10" w:type="dxa"/>
            </w:tcMar>
            <w:vAlign w:val="center"/>
          </w:tcPr>
          <w:p w14:paraId="6BBF8A87" w14:textId="77777777" w:rsidR="00A90E9C" w:rsidRPr="008A26D2" w:rsidRDefault="00A90E9C" w:rsidP="00B72A2B">
            <w:pPr>
              <w:jc w:val="center"/>
              <w:rPr>
                <w:rFonts w:ascii="Arial" w:hAnsi="Arial" w:cs="Arial"/>
                <w:b/>
                <w:sz w:val="20"/>
                <w:szCs w:val="20"/>
              </w:rPr>
            </w:pPr>
            <w:r w:rsidRPr="008A26D2">
              <w:rPr>
                <w:rFonts w:ascii="Arial" w:hAnsi="Arial" w:cs="Arial"/>
                <w:b/>
                <w:sz w:val="20"/>
                <w:szCs w:val="20"/>
              </w:rPr>
              <w:t>2023</w:t>
            </w:r>
          </w:p>
        </w:tc>
        <w:tc>
          <w:tcPr>
            <w:tcW w:w="849" w:type="dxa"/>
            <w:gridSpan w:val="2"/>
            <w:shd w:val="clear" w:color="auto" w:fill="auto"/>
            <w:vAlign w:val="center"/>
          </w:tcPr>
          <w:p w14:paraId="2E323DDA" w14:textId="77777777" w:rsidR="00A90E9C" w:rsidRPr="008A26D2" w:rsidRDefault="00A90E9C" w:rsidP="00B72A2B">
            <w:pPr>
              <w:jc w:val="center"/>
              <w:rPr>
                <w:rFonts w:ascii="Arial" w:hAnsi="Arial" w:cs="Arial"/>
                <w:b/>
                <w:sz w:val="20"/>
                <w:szCs w:val="20"/>
              </w:rPr>
            </w:pPr>
            <w:r w:rsidRPr="008A26D2">
              <w:rPr>
                <w:rFonts w:ascii="Arial" w:hAnsi="Arial" w:cs="Arial"/>
                <w:b/>
                <w:sz w:val="20"/>
                <w:szCs w:val="20"/>
              </w:rPr>
              <w:t>2024</w:t>
            </w:r>
          </w:p>
        </w:tc>
        <w:tc>
          <w:tcPr>
            <w:tcW w:w="710" w:type="dxa"/>
            <w:shd w:val="clear" w:color="auto" w:fill="auto"/>
            <w:vAlign w:val="center"/>
          </w:tcPr>
          <w:p w14:paraId="587BA1BF" w14:textId="77777777" w:rsidR="00A90E9C" w:rsidRPr="008A26D2" w:rsidRDefault="00A90E9C" w:rsidP="00B72A2B">
            <w:pPr>
              <w:jc w:val="center"/>
              <w:rPr>
                <w:rFonts w:ascii="Arial" w:hAnsi="Arial" w:cs="Arial"/>
                <w:b/>
                <w:sz w:val="20"/>
                <w:szCs w:val="20"/>
              </w:rPr>
            </w:pPr>
            <w:r w:rsidRPr="008A26D2">
              <w:rPr>
                <w:rFonts w:ascii="Arial" w:hAnsi="Arial" w:cs="Arial"/>
                <w:b/>
                <w:sz w:val="20"/>
                <w:szCs w:val="20"/>
              </w:rPr>
              <w:t>2025</w:t>
            </w:r>
          </w:p>
        </w:tc>
        <w:tc>
          <w:tcPr>
            <w:tcW w:w="850" w:type="dxa"/>
            <w:shd w:val="clear" w:color="auto" w:fill="auto"/>
            <w:vAlign w:val="center"/>
          </w:tcPr>
          <w:p w14:paraId="19F8F627" w14:textId="77777777" w:rsidR="00A90E9C" w:rsidRPr="008A26D2" w:rsidRDefault="00A90E9C" w:rsidP="00B72A2B">
            <w:pPr>
              <w:jc w:val="center"/>
              <w:rPr>
                <w:rFonts w:ascii="Arial" w:hAnsi="Arial" w:cs="Arial"/>
                <w:b/>
                <w:sz w:val="20"/>
                <w:szCs w:val="20"/>
              </w:rPr>
            </w:pPr>
            <w:r w:rsidRPr="008A26D2">
              <w:rPr>
                <w:rFonts w:ascii="Arial" w:hAnsi="Arial" w:cs="Arial"/>
                <w:b/>
                <w:sz w:val="20"/>
                <w:szCs w:val="20"/>
              </w:rPr>
              <w:t>2026</w:t>
            </w:r>
          </w:p>
        </w:tc>
        <w:tc>
          <w:tcPr>
            <w:tcW w:w="851" w:type="dxa"/>
            <w:shd w:val="clear" w:color="auto" w:fill="auto"/>
            <w:vAlign w:val="center"/>
          </w:tcPr>
          <w:p w14:paraId="7F0800DE" w14:textId="77777777" w:rsidR="00A90E9C" w:rsidRPr="008A26D2" w:rsidRDefault="00A90E9C" w:rsidP="00B72A2B">
            <w:pPr>
              <w:jc w:val="center"/>
              <w:rPr>
                <w:rFonts w:ascii="Arial" w:hAnsi="Arial" w:cs="Arial"/>
                <w:b/>
                <w:sz w:val="20"/>
                <w:szCs w:val="20"/>
              </w:rPr>
            </w:pPr>
            <w:r w:rsidRPr="008A26D2">
              <w:rPr>
                <w:rFonts w:ascii="Arial" w:hAnsi="Arial" w:cs="Arial"/>
                <w:b/>
                <w:sz w:val="20"/>
                <w:szCs w:val="20"/>
              </w:rPr>
              <w:t>2027</w:t>
            </w:r>
          </w:p>
        </w:tc>
        <w:tc>
          <w:tcPr>
            <w:tcW w:w="709" w:type="dxa"/>
            <w:gridSpan w:val="2"/>
            <w:shd w:val="clear" w:color="auto" w:fill="auto"/>
            <w:vAlign w:val="center"/>
          </w:tcPr>
          <w:p w14:paraId="71164885" w14:textId="77777777" w:rsidR="00A90E9C" w:rsidRPr="008A26D2" w:rsidRDefault="00A90E9C" w:rsidP="00B72A2B">
            <w:pPr>
              <w:jc w:val="center"/>
              <w:rPr>
                <w:rFonts w:ascii="Arial" w:hAnsi="Arial" w:cs="Arial"/>
                <w:b/>
                <w:sz w:val="20"/>
                <w:szCs w:val="20"/>
              </w:rPr>
            </w:pPr>
            <w:r w:rsidRPr="008A26D2">
              <w:rPr>
                <w:rFonts w:ascii="Arial" w:hAnsi="Arial" w:cs="Arial"/>
                <w:b/>
                <w:sz w:val="20"/>
                <w:szCs w:val="20"/>
              </w:rPr>
              <w:t>2028</w:t>
            </w:r>
          </w:p>
        </w:tc>
        <w:tc>
          <w:tcPr>
            <w:tcW w:w="708" w:type="dxa"/>
            <w:shd w:val="clear" w:color="auto" w:fill="auto"/>
            <w:vAlign w:val="center"/>
          </w:tcPr>
          <w:p w14:paraId="7EE90A87" w14:textId="77777777" w:rsidR="00A90E9C" w:rsidRPr="008A26D2" w:rsidRDefault="00A90E9C" w:rsidP="00B72A2B">
            <w:pPr>
              <w:jc w:val="center"/>
              <w:rPr>
                <w:rFonts w:ascii="Arial" w:hAnsi="Arial" w:cs="Arial"/>
                <w:b/>
                <w:sz w:val="20"/>
                <w:szCs w:val="20"/>
              </w:rPr>
            </w:pPr>
            <w:r w:rsidRPr="008A26D2">
              <w:rPr>
                <w:rFonts w:ascii="Arial" w:hAnsi="Arial" w:cs="Arial"/>
                <w:b/>
                <w:sz w:val="20"/>
                <w:szCs w:val="20"/>
              </w:rPr>
              <w:t>2029</w:t>
            </w:r>
          </w:p>
        </w:tc>
        <w:tc>
          <w:tcPr>
            <w:tcW w:w="851" w:type="dxa"/>
            <w:shd w:val="clear" w:color="auto" w:fill="auto"/>
            <w:tcMar>
              <w:top w:w="10" w:type="dxa"/>
              <w:left w:w="10" w:type="dxa"/>
              <w:bottom w:w="0" w:type="dxa"/>
              <w:right w:w="10" w:type="dxa"/>
            </w:tcMar>
            <w:vAlign w:val="center"/>
          </w:tcPr>
          <w:p w14:paraId="4D45D2C1" w14:textId="77777777" w:rsidR="00A90E9C" w:rsidRPr="008A26D2" w:rsidRDefault="00A90E9C" w:rsidP="00B72A2B">
            <w:pPr>
              <w:jc w:val="center"/>
              <w:rPr>
                <w:rFonts w:ascii="Arial" w:hAnsi="Arial" w:cs="Arial"/>
                <w:b/>
                <w:sz w:val="20"/>
                <w:szCs w:val="20"/>
              </w:rPr>
            </w:pPr>
            <w:r w:rsidRPr="008A26D2">
              <w:rPr>
                <w:rFonts w:ascii="Arial" w:hAnsi="Arial" w:cs="Arial"/>
                <w:b/>
                <w:sz w:val="20"/>
                <w:szCs w:val="20"/>
              </w:rPr>
              <w:t>2030</w:t>
            </w:r>
          </w:p>
        </w:tc>
      </w:tr>
      <w:tr w:rsidR="008A26D2" w:rsidRPr="008A26D2" w14:paraId="21BADA09" w14:textId="77777777" w:rsidTr="004E5B31">
        <w:trPr>
          <w:trHeight w:val="81"/>
        </w:trPr>
        <w:tc>
          <w:tcPr>
            <w:tcW w:w="709" w:type="dxa"/>
            <w:shd w:val="clear" w:color="auto" w:fill="auto"/>
            <w:tcMar>
              <w:top w:w="10" w:type="dxa"/>
              <w:left w:w="10" w:type="dxa"/>
              <w:bottom w:w="0" w:type="dxa"/>
              <w:right w:w="10" w:type="dxa"/>
            </w:tcMar>
            <w:vAlign w:val="center"/>
          </w:tcPr>
          <w:p w14:paraId="1488BD85"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Valor</w:t>
            </w:r>
          </w:p>
        </w:tc>
        <w:tc>
          <w:tcPr>
            <w:tcW w:w="1574" w:type="dxa"/>
            <w:shd w:val="clear" w:color="auto" w:fill="auto"/>
            <w:tcMar>
              <w:top w:w="10" w:type="dxa"/>
              <w:left w:w="10" w:type="dxa"/>
              <w:bottom w:w="0" w:type="dxa"/>
              <w:right w:w="10" w:type="dxa"/>
            </w:tcMar>
            <w:vAlign w:val="center"/>
          </w:tcPr>
          <w:p w14:paraId="5CDB5355" w14:textId="0F4CCDD0" w:rsidR="00A90E9C" w:rsidRPr="008A26D2" w:rsidRDefault="002A3BBD" w:rsidP="00B72A2B">
            <w:pPr>
              <w:jc w:val="center"/>
              <w:rPr>
                <w:rFonts w:ascii="Arial" w:hAnsi="Arial" w:cs="Arial"/>
                <w:strike/>
                <w:sz w:val="20"/>
                <w:szCs w:val="20"/>
              </w:rPr>
            </w:pPr>
            <w:r w:rsidRPr="00BD1985">
              <w:rPr>
                <w:rFonts w:ascii="Arial" w:hAnsi="Arial" w:cs="Arial"/>
                <w:sz w:val="20"/>
                <w:szCs w:val="20"/>
              </w:rPr>
              <w:t>ND</w:t>
            </w:r>
          </w:p>
        </w:tc>
        <w:tc>
          <w:tcPr>
            <w:tcW w:w="978" w:type="dxa"/>
            <w:shd w:val="clear" w:color="auto" w:fill="auto"/>
            <w:tcMar>
              <w:top w:w="10" w:type="dxa"/>
              <w:left w:w="10" w:type="dxa"/>
              <w:bottom w:w="0" w:type="dxa"/>
              <w:right w:w="10" w:type="dxa"/>
            </w:tcMar>
            <w:vAlign w:val="bottom"/>
          </w:tcPr>
          <w:p w14:paraId="6518D0AC" w14:textId="77777777" w:rsidR="00A90E9C" w:rsidRPr="008A26D2" w:rsidRDefault="00A90E9C" w:rsidP="00B72A2B">
            <w:pPr>
              <w:jc w:val="center"/>
              <w:rPr>
                <w:rFonts w:ascii="Arial" w:hAnsi="Arial" w:cs="Arial"/>
                <w:strike/>
                <w:sz w:val="20"/>
                <w:szCs w:val="20"/>
              </w:rPr>
            </w:pPr>
            <w:r w:rsidRPr="008A26D2">
              <w:rPr>
                <w:rFonts w:ascii="Arial" w:hAnsi="Arial" w:cs="Arial"/>
                <w:sz w:val="20"/>
                <w:szCs w:val="20"/>
              </w:rPr>
              <w:t>50%</w:t>
            </w:r>
          </w:p>
        </w:tc>
        <w:tc>
          <w:tcPr>
            <w:tcW w:w="849" w:type="dxa"/>
            <w:gridSpan w:val="2"/>
            <w:shd w:val="clear" w:color="auto" w:fill="auto"/>
            <w:vAlign w:val="bottom"/>
          </w:tcPr>
          <w:p w14:paraId="040A4CCD" w14:textId="77777777" w:rsidR="00A90E9C" w:rsidRPr="008A26D2" w:rsidRDefault="00A90E9C" w:rsidP="00B72A2B">
            <w:pPr>
              <w:jc w:val="center"/>
              <w:rPr>
                <w:rFonts w:ascii="Arial" w:hAnsi="Arial" w:cs="Arial"/>
                <w:strike/>
                <w:sz w:val="20"/>
                <w:szCs w:val="20"/>
              </w:rPr>
            </w:pPr>
            <w:r w:rsidRPr="008A26D2">
              <w:rPr>
                <w:rFonts w:ascii="Arial" w:hAnsi="Arial" w:cs="Arial"/>
                <w:sz w:val="20"/>
                <w:szCs w:val="20"/>
              </w:rPr>
              <w:t>70%</w:t>
            </w:r>
          </w:p>
        </w:tc>
        <w:tc>
          <w:tcPr>
            <w:tcW w:w="710" w:type="dxa"/>
            <w:shd w:val="clear" w:color="auto" w:fill="auto"/>
            <w:vAlign w:val="bottom"/>
          </w:tcPr>
          <w:p w14:paraId="1A3100AF" w14:textId="77777777" w:rsidR="00A90E9C" w:rsidRPr="008A26D2" w:rsidRDefault="00A90E9C" w:rsidP="00B72A2B">
            <w:pPr>
              <w:jc w:val="center"/>
              <w:rPr>
                <w:rFonts w:ascii="Arial" w:hAnsi="Arial" w:cs="Arial"/>
                <w:strike/>
                <w:sz w:val="20"/>
                <w:szCs w:val="20"/>
              </w:rPr>
            </w:pPr>
            <w:r w:rsidRPr="008A26D2">
              <w:rPr>
                <w:rFonts w:ascii="Arial" w:hAnsi="Arial" w:cs="Arial"/>
                <w:sz w:val="20"/>
                <w:szCs w:val="20"/>
              </w:rPr>
              <w:t>70%</w:t>
            </w:r>
          </w:p>
        </w:tc>
        <w:tc>
          <w:tcPr>
            <w:tcW w:w="850" w:type="dxa"/>
            <w:shd w:val="clear" w:color="auto" w:fill="auto"/>
            <w:vAlign w:val="bottom"/>
          </w:tcPr>
          <w:p w14:paraId="64F3F37E" w14:textId="77777777" w:rsidR="00A90E9C" w:rsidRPr="008A26D2" w:rsidRDefault="00A90E9C" w:rsidP="00B72A2B">
            <w:pPr>
              <w:jc w:val="center"/>
              <w:rPr>
                <w:rFonts w:ascii="Arial" w:hAnsi="Arial" w:cs="Arial"/>
                <w:strike/>
                <w:sz w:val="20"/>
                <w:szCs w:val="20"/>
              </w:rPr>
            </w:pPr>
            <w:r w:rsidRPr="008A26D2">
              <w:rPr>
                <w:rFonts w:ascii="Arial" w:hAnsi="Arial" w:cs="Arial"/>
                <w:sz w:val="20"/>
                <w:szCs w:val="20"/>
              </w:rPr>
              <w:t>80%</w:t>
            </w:r>
          </w:p>
        </w:tc>
        <w:tc>
          <w:tcPr>
            <w:tcW w:w="851" w:type="dxa"/>
            <w:shd w:val="clear" w:color="auto" w:fill="auto"/>
            <w:vAlign w:val="bottom"/>
          </w:tcPr>
          <w:p w14:paraId="7DD11245" w14:textId="77777777" w:rsidR="00A90E9C" w:rsidRPr="008A26D2" w:rsidRDefault="00A90E9C" w:rsidP="00B72A2B">
            <w:pPr>
              <w:jc w:val="center"/>
              <w:rPr>
                <w:rFonts w:ascii="Arial" w:hAnsi="Arial" w:cs="Arial"/>
                <w:strike/>
                <w:sz w:val="20"/>
                <w:szCs w:val="20"/>
              </w:rPr>
            </w:pPr>
            <w:r w:rsidRPr="008A26D2">
              <w:rPr>
                <w:rFonts w:ascii="Arial" w:hAnsi="Arial" w:cs="Arial"/>
                <w:sz w:val="20"/>
                <w:szCs w:val="20"/>
              </w:rPr>
              <w:t>80%</w:t>
            </w:r>
          </w:p>
        </w:tc>
        <w:tc>
          <w:tcPr>
            <w:tcW w:w="709" w:type="dxa"/>
            <w:gridSpan w:val="2"/>
            <w:shd w:val="clear" w:color="auto" w:fill="auto"/>
            <w:vAlign w:val="bottom"/>
          </w:tcPr>
          <w:p w14:paraId="58B6D7AD" w14:textId="77777777" w:rsidR="00A90E9C" w:rsidRPr="008A26D2" w:rsidRDefault="00A90E9C" w:rsidP="00B72A2B">
            <w:pPr>
              <w:jc w:val="center"/>
              <w:rPr>
                <w:rFonts w:ascii="Arial" w:hAnsi="Arial" w:cs="Arial"/>
                <w:strike/>
                <w:sz w:val="20"/>
                <w:szCs w:val="20"/>
              </w:rPr>
            </w:pPr>
            <w:r w:rsidRPr="008A26D2">
              <w:rPr>
                <w:rFonts w:ascii="Arial" w:hAnsi="Arial" w:cs="Arial"/>
                <w:sz w:val="20"/>
                <w:szCs w:val="20"/>
              </w:rPr>
              <w:t>90%</w:t>
            </w:r>
          </w:p>
        </w:tc>
        <w:tc>
          <w:tcPr>
            <w:tcW w:w="708" w:type="dxa"/>
            <w:shd w:val="clear" w:color="auto" w:fill="auto"/>
            <w:vAlign w:val="bottom"/>
          </w:tcPr>
          <w:p w14:paraId="797CF65D" w14:textId="77777777" w:rsidR="00A90E9C" w:rsidRPr="008A26D2" w:rsidRDefault="00A90E9C" w:rsidP="00B72A2B">
            <w:pPr>
              <w:jc w:val="center"/>
              <w:rPr>
                <w:rFonts w:ascii="Arial" w:hAnsi="Arial" w:cs="Arial"/>
                <w:strike/>
                <w:sz w:val="20"/>
                <w:szCs w:val="20"/>
              </w:rPr>
            </w:pPr>
            <w:r w:rsidRPr="008A26D2">
              <w:rPr>
                <w:rFonts w:ascii="Arial" w:hAnsi="Arial" w:cs="Arial"/>
                <w:sz w:val="20"/>
                <w:szCs w:val="20"/>
              </w:rPr>
              <w:t>90%</w:t>
            </w:r>
          </w:p>
        </w:tc>
        <w:tc>
          <w:tcPr>
            <w:tcW w:w="851" w:type="dxa"/>
            <w:shd w:val="clear" w:color="auto" w:fill="auto"/>
            <w:tcMar>
              <w:top w:w="10" w:type="dxa"/>
              <w:left w:w="10" w:type="dxa"/>
              <w:bottom w:w="0" w:type="dxa"/>
              <w:right w:w="10" w:type="dxa"/>
            </w:tcMar>
            <w:vAlign w:val="bottom"/>
          </w:tcPr>
          <w:p w14:paraId="4A044AEA" w14:textId="77777777" w:rsidR="00A90E9C" w:rsidRPr="008A26D2" w:rsidRDefault="00A90E9C" w:rsidP="00B72A2B">
            <w:pPr>
              <w:jc w:val="center"/>
              <w:rPr>
                <w:rFonts w:ascii="Arial" w:hAnsi="Arial" w:cs="Arial"/>
                <w:strike/>
                <w:sz w:val="20"/>
                <w:szCs w:val="20"/>
              </w:rPr>
            </w:pPr>
            <w:r w:rsidRPr="008A26D2">
              <w:rPr>
                <w:rFonts w:ascii="Arial" w:hAnsi="Arial" w:cs="Arial"/>
                <w:sz w:val="20"/>
                <w:szCs w:val="20"/>
              </w:rPr>
              <w:t>100%</w:t>
            </w:r>
          </w:p>
        </w:tc>
      </w:tr>
    </w:tbl>
    <w:p w14:paraId="184B5BBF" w14:textId="77777777" w:rsidR="00A90E9C" w:rsidRPr="008A26D2" w:rsidRDefault="00A90E9C" w:rsidP="00A90E9C"/>
    <w:p w14:paraId="1E0B6503" w14:textId="77777777" w:rsidR="00A90E9C" w:rsidRPr="008A26D2" w:rsidRDefault="00A90E9C" w:rsidP="00A90E9C"/>
    <w:tbl>
      <w:tblPr>
        <w:tblW w:w="87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709"/>
        <w:gridCol w:w="868"/>
        <w:gridCol w:w="124"/>
        <w:gridCol w:w="992"/>
        <w:gridCol w:w="567"/>
        <w:gridCol w:w="284"/>
        <w:gridCol w:w="992"/>
        <w:gridCol w:w="992"/>
        <w:gridCol w:w="851"/>
        <w:gridCol w:w="24"/>
        <w:gridCol w:w="968"/>
        <w:gridCol w:w="709"/>
      </w:tblGrid>
      <w:tr w:rsidR="008A26D2" w:rsidRPr="008A26D2" w14:paraId="6086F56E" w14:textId="77777777" w:rsidTr="004E5B31">
        <w:trPr>
          <w:trHeight w:val="251"/>
        </w:trPr>
        <w:tc>
          <w:tcPr>
            <w:tcW w:w="8789" w:type="dxa"/>
            <w:gridSpan w:val="13"/>
            <w:shd w:val="clear" w:color="auto" w:fill="D9D9D9" w:themeFill="background1" w:themeFillShade="D9"/>
            <w:tcMar>
              <w:top w:w="10" w:type="dxa"/>
              <w:left w:w="10" w:type="dxa"/>
              <w:bottom w:w="0" w:type="dxa"/>
              <w:right w:w="10" w:type="dxa"/>
            </w:tcMar>
            <w:vAlign w:val="center"/>
          </w:tcPr>
          <w:p w14:paraId="4074EBCD" w14:textId="592FCAEC" w:rsidR="00A90E9C" w:rsidRPr="008A26D2" w:rsidRDefault="00A90E9C" w:rsidP="0087293E">
            <w:pPr>
              <w:jc w:val="center"/>
              <w:rPr>
                <w:rFonts w:ascii="Arial" w:hAnsi="Arial" w:cs="Arial"/>
                <w:sz w:val="20"/>
                <w:szCs w:val="20"/>
              </w:rPr>
            </w:pPr>
            <w:r w:rsidRPr="008A26D2">
              <w:rPr>
                <w:rFonts w:ascii="Arial" w:hAnsi="Arial" w:cs="Arial"/>
                <w:sz w:val="20"/>
                <w:szCs w:val="20"/>
              </w:rPr>
              <w:br w:type="page"/>
            </w:r>
            <w:r w:rsidRPr="008A26D2">
              <w:rPr>
                <w:rFonts w:ascii="Arial" w:hAnsi="Arial" w:cs="Arial"/>
                <w:b/>
                <w:sz w:val="20"/>
                <w:szCs w:val="20"/>
              </w:rPr>
              <w:t>FICHA TÉCNICA DE INDICADOR DE SERVICIO 1.3.</w:t>
            </w:r>
            <w:r w:rsidR="002907D1" w:rsidRPr="008A26D2">
              <w:rPr>
                <w:rFonts w:ascii="Arial" w:hAnsi="Arial" w:cs="Arial"/>
                <w:b/>
                <w:sz w:val="20"/>
                <w:szCs w:val="20"/>
              </w:rPr>
              <w:t>3</w:t>
            </w:r>
          </w:p>
        </w:tc>
      </w:tr>
      <w:tr w:rsidR="008A26D2" w:rsidRPr="008A26D2" w14:paraId="7FABAD50" w14:textId="77777777" w:rsidTr="004E5B31">
        <w:trPr>
          <w:trHeight w:val="409"/>
        </w:trPr>
        <w:tc>
          <w:tcPr>
            <w:tcW w:w="2286" w:type="dxa"/>
            <w:gridSpan w:val="3"/>
            <w:shd w:val="clear" w:color="auto" w:fill="FFFFFF"/>
            <w:tcMar>
              <w:top w:w="10" w:type="dxa"/>
              <w:left w:w="93" w:type="dxa"/>
              <w:bottom w:w="0" w:type="dxa"/>
              <w:right w:w="10" w:type="dxa"/>
            </w:tcMar>
            <w:vAlign w:val="center"/>
          </w:tcPr>
          <w:p w14:paraId="3482749F"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Objetivo prioritario:</w:t>
            </w:r>
          </w:p>
        </w:tc>
        <w:tc>
          <w:tcPr>
            <w:tcW w:w="6503" w:type="dxa"/>
            <w:gridSpan w:val="10"/>
            <w:shd w:val="clear" w:color="auto" w:fill="FFFFFF"/>
            <w:tcMar>
              <w:top w:w="51" w:type="dxa"/>
              <w:left w:w="227" w:type="dxa"/>
              <w:bottom w:w="51" w:type="dxa"/>
              <w:right w:w="227" w:type="dxa"/>
            </w:tcMar>
            <w:vAlign w:val="center"/>
          </w:tcPr>
          <w:p w14:paraId="0BC0D4AD" w14:textId="77777777" w:rsidR="00A90E9C" w:rsidRPr="008A26D2" w:rsidRDefault="00A90E9C" w:rsidP="0087293E">
            <w:pPr>
              <w:pBdr>
                <w:top w:val="nil"/>
                <w:left w:val="nil"/>
                <w:bottom w:val="nil"/>
                <w:right w:val="nil"/>
                <w:between w:val="nil"/>
              </w:pBdr>
              <w:spacing w:after="0" w:line="240" w:lineRule="auto"/>
              <w:jc w:val="both"/>
              <w:rPr>
                <w:rFonts w:ascii="Arial" w:hAnsi="Arial" w:cs="Arial"/>
                <w:sz w:val="20"/>
                <w:szCs w:val="20"/>
              </w:rPr>
            </w:pPr>
            <w:r w:rsidRPr="008A26D2">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r>
      <w:tr w:rsidR="008A26D2" w:rsidRPr="008A26D2" w14:paraId="4D1CA15E" w14:textId="77777777" w:rsidTr="004E5B31">
        <w:trPr>
          <w:trHeight w:val="436"/>
        </w:trPr>
        <w:tc>
          <w:tcPr>
            <w:tcW w:w="2286" w:type="dxa"/>
            <w:gridSpan w:val="3"/>
            <w:shd w:val="clear" w:color="auto" w:fill="auto"/>
            <w:tcMar>
              <w:top w:w="10" w:type="dxa"/>
              <w:left w:w="93" w:type="dxa"/>
              <w:bottom w:w="0" w:type="dxa"/>
              <w:right w:w="10" w:type="dxa"/>
            </w:tcMar>
            <w:vAlign w:val="center"/>
          </w:tcPr>
          <w:p w14:paraId="7824C64D"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Lineamiento de la política:</w:t>
            </w:r>
          </w:p>
        </w:tc>
        <w:tc>
          <w:tcPr>
            <w:tcW w:w="6503" w:type="dxa"/>
            <w:gridSpan w:val="10"/>
            <w:shd w:val="clear" w:color="auto" w:fill="auto"/>
            <w:tcMar>
              <w:top w:w="51" w:type="dxa"/>
              <w:left w:w="227" w:type="dxa"/>
              <w:bottom w:w="51" w:type="dxa"/>
              <w:right w:w="227" w:type="dxa"/>
            </w:tcMar>
            <w:vAlign w:val="center"/>
          </w:tcPr>
          <w:p w14:paraId="35D87C12" w14:textId="77777777" w:rsidR="00A90E9C" w:rsidRPr="008A26D2" w:rsidRDefault="00A90E9C" w:rsidP="0087293E">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L1.3 Desarrollar estrategias de restauración y recuperación de los ecosistemas forestales y otros ecosistemas de vegetación silvestre deforestados o degradados</w:t>
            </w:r>
          </w:p>
        </w:tc>
      </w:tr>
      <w:tr w:rsidR="008A26D2" w:rsidRPr="008A26D2" w14:paraId="0600B12C" w14:textId="77777777" w:rsidTr="004E5B31">
        <w:trPr>
          <w:trHeight w:val="404"/>
        </w:trPr>
        <w:tc>
          <w:tcPr>
            <w:tcW w:w="2286" w:type="dxa"/>
            <w:gridSpan w:val="3"/>
            <w:shd w:val="clear" w:color="auto" w:fill="auto"/>
            <w:tcMar>
              <w:top w:w="10" w:type="dxa"/>
              <w:left w:w="93" w:type="dxa"/>
              <w:bottom w:w="0" w:type="dxa"/>
              <w:right w:w="10" w:type="dxa"/>
            </w:tcMar>
            <w:vAlign w:val="center"/>
          </w:tcPr>
          <w:p w14:paraId="5E678364"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Nombre del servicio:</w:t>
            </w:r>
          </w:p>
        </w:tc>
        <w:tc>
          <w:tcPr>
            <w:tcW w:w="6503" w:type="dxa"/>
            <w:gridSpan w:val="10"/>
            <w:shd w:val="clear" w:color="auto" w:fill="auto"/>
            <w:tcMar>
              <w:top w:w="51" w:type="dxa"/>
              <w:left w:w="227" w:type="dxa"/>
              <w:bottom w:w="51" w:type="dxa"/>
              <w:right w:w="227" w:type="dxa"/>
            </w:tcMar>
            <w:vAlign w:val="center"/>
          </w:tcPr>
          <w:p w14:paraId="442870EA" w14:textId="2A4A1920" w:rsidR="00A90E9C" w:rsidRPr="008A26D2" w:rsidRDefault="00A90E9C" w:rsidP="0087293E">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S1.3.</w:t>
            </w:r>
            <w:r w:rsidR="002907D1" w:rsidRPr="008A26D2">
              <w:rPr>
                <w:rFonts w:ascii="Arial" w:eastAsia="Arial Narrow" w:hAnsi="Arial" w:cs="Arial"/>
                <w:sz w:val="20"/>
                <w:szCs w:val="20"/>
              </w:rPr>
              <w:t>3</w:t>
            </w:r>
            <w:r w:rsidRPr="008A26D2">
              <w:rPr>
                <w:rFonts w:ascii="Arial" w:eastAsia="Arial Narrow" w:hAnsi="Arial" w:cs="Arial"/>
                <w:sz w:val="20"/>
                <w:szCs w:val="20"/>
              </w:rPr>
              <w:t xml:space="preserve"> Asistencia técnica para la formulación de proyectos de inversión pública destinados a la recuperación de áreas degradadas en zonas de influencia de cultivos ilícitos, mediante la reforestación, de forma pertinente a los </w:t>
            </w:r>
            <w:r w:rsidR="004E5B31" w:rsidRPr="008A26D2">
              <w:rPr>
                <w:rFonts w:ascii="Arial" w:eastAsia="Arial Narrow" w:hAnsi="Arial" w:cs="Arial"/>
                <w:sz w:val="20"/>
                <w:szCs w:val="20"/>
              </w:rPr>
              <w:t>g</w:t>
            </w:r>
            <w:r w:rsidRPr="008A26D2">
              <w:rPr>
                <w:rFonts w:ascii="Arial" w:eastAsia="Arial Narrow" w:hAnsi="Arial" w:cs="Arial"/>
                <w:sz w:val="20"/>
                <w:szCs w:val="20"/>
              </w:rPr>
              <w:t xml:space="preserve">obiernos </w:t>
            </w:r>
            <w:r w:rsidR="004E5B31" w:rsidRPr="008A26D2">
              <w:rPr>
                <w:rFonts w:ascii="Arial" w:eastAsia="Arial Narrow" w:hAnsi="Arial" w:cs="Arial"/>
                <w:sz w:val="20"/>
                <w:szCs w:val="20"/>
              </w:rPr>
              <w:t>r</w:t>
            </w:r>
            <w:r w:rsidRPr="008A26D2">
              <w:rPr>
                <w:rFonts w:ascii="Arial" w:eastAsia="Arial Narrow" w:hAnsi="Arial" w:cs="Arial"/>
                <w:sz w:val="20"/>
                <w:szCs w:val="20"/>
              </w:rPr>
              <w:t xml:space="preserve">egionales y </w:t>
            </w:r>
            <w:r w:rsidR="004E5B31" w:rsidRPr="008A26D2">
              <w:rPr>
                <w:rFonts w:ascii="Arial" w:eastAsia="Arial Narrow" w:hAnsi="Arial" w:cs="Arial"/>
                <w:sz w:val="20"/>
                <w:szCs w:val="20"/>
              </w:rPr>
              <w:t>g</w:t>
            </w:r>
            <w:r w:rsidRPr="008A26D2">
              <w:rPr>
                <w:rFonts w:ascii="Arial" w:eastAsia="Arial Narrow" w:hAnsi="Arial" w:cs="Arial"/>
                <w:sz w:val="20"/>
                <w:szCs w:val="20"/>
              </w:rPr>
              <w:t xml:space="preserve">obiernos </w:t>
            </w:r>
            <w:r w:rsidR="004E5B31" w:rsidRPr="008A26D2">
              <w:rPr>
                <w:rFonts w:ascii="Arial" w:eastAsia="Arial Narrow" w:hAnsi="Arial" w:cs="Arial"/>
                <w:sz w:val="20"/>
                <w:szCs w:val="20"/>
              </w:rPr>
              <w:t>l</w:t>
            </w:r>
            <w:r w:rsidRPr="008A26D2">
              <w:rPr>
                <w:rFonts w:ascii="Arial" w:eastAsia="Arial Narrow" w:hAnsi="Arial" w:cs="Arial"/>
                <w:sz w:val="20"/>
                <w:szCs w:val="20"/>
              </w:rPr>
              <w:t>ocales</w:t>
            </w:r>
          </w:p>
          <w:p w14:paraId="5E8095D3" w14:textId="77777777" w:rsidR="00A90E9C" w:rsidRPr="008A26D2" w:rsidRDefault="00A90E9C" w:rsidP="0087293E">
            <w:pPr>
              <w:pBdr>
                <w:top w:val="nil"/>
                <w:left w:val="nil"/>
                <w:bottom w:val="nil"/>
                <w:right w:val="nil"/>
                <w:between w:val="nil"/>
              </w:pBdr>
              <w:spacing w:after="0" w:line="240" w:lineRule="auto"/>
              <w:jc w:val="both"/>
              <w:rPr>
                <w:rFonts w:ascii="Arial" w:eastAsia="Arial Narrow" w:hAnsi="Arial" w:cs="Arial"/>
                <w:strike/>
                <w:sz w:val="20"/>
                <w:szCs w:val="20"/>
              </w:rPr>
            </w:pPr>
          </w:p>
        </w:tc>
      </w:tr>
      <w:tr w:rsidR="008A26D2" w:rsidRPr="008A26D2" w14:paraId="6927AB22" w14:textId="77777777" w:rsidTr="004E5B31">
        <w:trPr>
          <w:trHeight w:val="577"/>
        </w:trPr>
        <w:tc>
          <w:tcPr>
            <w:tcW w:w="2286" w:type="dxa"/>
            <w:gridSpan w:val="3"/>
            <w:shd w:val="clear" w:color="auto" w:fill="auto"/>
            <w:tcMar>
              <w:top w:w="10" w:type="dxa"/>
              <w:left w:w="93" w:type="dxa"/>
              <w:bottom w:w="0" w:type="dxa"/>
              <w:right w:w="10" w:type="dxa"/>
            </w:tcMar>
            <w:vAlign w:val="center"/>
          </w:tcPr>
          <w:p w14:paraId="63999F94"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Nombre del indicador:</w:t>
            </w:r>
          </w:p>
        </w:tc>
        <w:tc>
          <w:tcPr>
            <w:tcW w:w="6503" w:type="dxa"/>
            <w:gridSpan w:val="10"/>
            <w:shd w:val="clear" w:color="auto" w:fill="auto"/>
            <w:tcMar>
              <w:top w:w="51" w:type="dxa"/>
              <w:left w:w="227" w:type="dxa"/>
              <w:bottom w:w="51" w:type="dxa"/>
              <w:right w:w="227" w:type="dxa"/>
            </w:tcMar>
            <w:vAlign w:val="center"/>
          </w:tcPr>
          <w:p w14:paraId="178BCC42" w14:textId="2965E6CE" w:rsidR="00A90E9C" w:rsidRPr="008A26D2" w:rsidRDefault="00161C6D" w:rsidP="0087293E">
            <w:pPr>
              <w:jc w:val="both"/>
              <w:rPr>
                <w:rFonts w:ascii="Arial" w:eastAsia="Arial Narrow" w:hAnsi="Arial" w:cs="Arial"/>
                <w:sz w:val="20"/>
                <w:szCs w:val="20"/>
              </w:rPr>
            </w:pPr>
            <w:r w:rsidRPr="008A26D2">
              <w:rPr>
                <w:rFonts w:ascii="Arial" w:hAnsi="Arial" w:cs="Arial"/>
                <w:sz w:val="20"/>
                <w:szCs w:val="20"/>
              </w:rPr>
              <w:t xml:space="preserve">Porcentaje de proyectos aprobados presentados por los </w:t>
            </w:r>
            <w:r w:rsidRPr="008A26D2">
              <w:rPr>
                <w:rFonts w:ascii="Arial" w:eastAsia="Arial Narrow" w:hAnsi="Arial" w:cs="Arial"/>
                <w:sz w:val="20"/>
                <w:szCs w:val="20"/>
              </w:rPr>
              <w:t>gobiernos regionales y gobiernos locales</w:t>
            </w:r>
            <w:r w:rsidRPr="008A26D2">
              <w:rPr>
                <w:rFonts w:ascii="Arial" w:hAnsi="Arial" w:cs="Arial"/>
                <w:sz w:val="20"/>
                <w:szCs w:val="20"/>
              </w:rPr>
              <w:t xml:space="preserve"> como resultado de la asistencia técnica de forma pertinente</w:t>
            </w:r>
          </w:p>
        </w:tc>
      </w:tr>
      <w:tr w:rsidR="008A26D2" w:rsidRPr="008A26D2" w14:paraId="52AB965C" w14:textId="77777777" w:rsidTr="004E5B31">
        <w:trPr>
          <w:trHeight w:val="577"/>
        </w:trPr>
        <w:tc>
          <w:tcPr>
            <w:tcW w:w="2286" w:type="dxa"/>
            <w:gridSpan w:val="3"/>
            <w:shd w:val="clear" w:color="auto" w:fill="auto"/>
            <w:tcMar>
              <w:top w:w="10" w:type="dxa"/>
              <w:left w:w="93" w:type="dxa"/>
              <w:bottom w:w="0" w:type="dxa"/>
              <w:right w:w="10" w:type="dxa"/>
            </w:tcMar>
            <w:vAlign w:val="center"/>
          </w:tcPr>
          <w:p w14:paraId="31DD292B"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Justificación:</w:t>
            </w:r>
          </w:p>
        </w:tc>
        <w:tc>
          <w:tcPr>
            <w:tcW w:w="6503" w:type="dxa"/>
            <w:gridSpan w:val="10"/>
            <w:shd w:val="clear" w:color="auto" w:fill="auto"/>
            <w:tcMar>
              <w:top w:w="51" w:type="dxa"/>
              <w:left w:w="227" w:type="dxa"/>
              <w:bottom w:w="51" w:type="dxa"/>
              <w:right w:w="227" w:type="dxa"/>
            </w:tcMar>
            <w:vAlign w:val="center"/>
          </w:tcPr>
          <w:p w14:paraId="0C812D18" w14:textId="21726E24" w:rsidR="00A90E9C" w:rsidRPr="008A26D2" w:rsidRDefault="00A90E9C" w:rsidP="0087293E">
            <w:pPr>
              <w:jc w:val="both"/>
              <w:rPr>
                <w:rFonts w:ascii="Arial" w:eastAsia="Arial Narrow" w:hAnsi="Arial" w:cs="Arial"/>
                <w:sz w:val="20"/>
                <w:szCs w:val="20"/>
              </w:rPr>
            </w:pPr>
            <w:r w:rsidRPr="008A26D2">
              <w:rPr>
                <w:rFonts w:ascii="Arial" w:eastAsia="Arial Narrow" w:hAnsi="Arial" w:cs="Arial"/>
                <w:sz w:val="20"/>
                <w:szCs w:val="20"/>
              </w:rPr>
              <w:t xml:space="preserve">El indicador permitirá medir la eficacia de la asistencia técnica a través de los proyectos de inversión que logran obtener la conformidad por </w:t>
            </w:r>
            <w:r w:rsidR="00FA0AC5">
              <w:rPr>
                <w:rFonts w:ascii="Arial" w:eastAsia="Arial Narrow" w:hAnsi="Arial" w:cs="Arial"/>
                <w:sz w:val="20"/>
                <w:szCs w:val="20"/>
              </w:rPr>
              <w:t xml:space="preserve">la </w:t>
            </w:r>
            <w:r w:rsidR="00FA0AC5" w:rsidRPr="008A26D2">
              <w:rPr>
                <w:rFonts w:ascii="Arial" w:eastAsia="Arial Narrow" w:hAnsi="Arial" w:cs="Arial"/>
                <w:sz w:val="20"/>
                <w:szCs w:val="20"/>
                <w:highlight w:val="white"/>
              </w:rPr>
              <w:t>Comisión Nacional para el Desarrollo y Vida sin Drogas</w:t>
            </w:r>
            <w:r w:rsidR="00FA0AC5">
              <w:rPr>
                <w:rFonts w:ascii="Arial" w:eastAsia="Arial Narrow" w:hAnsi="Arial" w:cs="Arial"/>
                <w:sz w:val="20"/>
                <w:szCs w:val="20"/>
                <w:highlight w:val="white"/>
              </w:rPr>
              <w:t xml:space="preserve"> </w:t>
            </w:r>
            <w:r w:rsidR="00FA0AC5">
              <w:rPr>
                <w:rFonts w:ascii="Arial" w:eastAsia="Arial Narrow" w:hAnsi="Arial" w:cs="Arial"/>
                <w:sz w:val="20"/>
                <w:szCs w:val="20"/>
              </w:rPr>
              <w:t xml:space="preserve">- </w:t>
            </w:r>
            <w:r w:rsidRPr="008A26D2">
              <w:rPr>
                <w:rFonts w:ascii="Arial" w:eastAsia="Arial Narrow" w:hAnsi="Arial" w:cs="Arial"/>
                <w:sz w:val="20"/>
                <w:szCs w:val="20"/>
              </w:rPr>
              <w:t xml:space="preserve">DEVIDA. </w:t>
            </w:r>
          </w:p>
        </w:tc>
      </w:tr>
      <w:tr w:rsidR="008A26D2" w:rsidRPr="008A26D2" w14:paraId="7FC67D6D" w14:textId="77777777" w:rsidTr="004E5B31">
        <w:trPr>
          <w:trHeight w:val="352"/>
        </w:trPr>
        <w:tc>
          <w:tcPr>
            <w:tcW w:w="2286" w:type="dxa"/>
            <w:gridSpan w:val="3"/>
            <w:shd w:val="clear" w:color="auto" w:fill="auto"/>
            <w:tcMar>
              <w:top w:w="10" w:type="dxa"/>
              <w:left w:w="93" w:type="dxa"/>
              <w:bottom w:w="0" w:type="dxa"/>
              <w:right w:w="10" w:type="dxa"/>
            </w:tcMar>
            <w:vAlign w:val="center"/>
          </w:tcPr>
          <w:p w14:paraId="1BB41A72"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Responsable del indicador:</w:t>
            </w:r>
          </w:p>
        </w:tc>
        <w:tc>
          <w:tcPr>
            <w:tcW w:w="6503" w:type="dxa"/>
            <w:gridSpan w:val="10"/>
            <w:shd w:val="clear" w:color="auto" w:fill="auto"/>
            <w:tcMar>
              <w:top w:w="51" w:type="dxa"/>
              <w:left w:w="227" w:type="dxa"/>
              <w:bottom w:w="51" w:type="dxa"/>
              <w:right w:w="227" w:type="dxa"/>
            </w:tcMar>
            <w:vAlign w:val="center"/>
          </w:tcPr>
          <w:p w14:paraId="676744C7" w14:textId="52CCD333" w:rsidR="00A90E9C" w:rsidRPr="008A26D2" w:rsidRDefault="00A90E9C" w:rsidP="0087293E">
            <w:pPr>
              <w:jc w:val="both"/>
              <w:rPr>
                <w:rFonts w:ascii="Arial" w:eastAsia="Arial Narrow" w:hAnsi="Arial" w:cs="Arial"/>
                <w:sz w:val="20"/>
                <w:szCs w:val="20"/>
              </w:rPr>
            </w:pPr>
            <w:r w:rsidRPr="008A26D2">
              <w:rPr>
                <w:rFonts w:ascii="Arial" w:eastAsia="Arial Narrow" w:hAnsi="Arial" w:cs="Arial"/>
                <w:sz w:val="20"/>
                <w:szCs w:val="20"/>
              </w:rPr>
              <w:t xml:space="preserve">Dirección de Articulación Territorial (DATE) de la </w:t>
            </w:r>
            <w:r w:rsidRPr="008A26D2">
              <w:rPr>
                <w:rFonts w:ascii="Arial" w:eastAsia="Arial Narrow" w:hAnsi="Arial" w:cs="Arial"/>
                <w:sz w:val="20"/>
                <w:szCs w:val="20"/>
                <w:highlight w:val="white"/>
              </w:rPr>
              <w:t>Comisión Nacional para el Desarrollo y Vida sin Drogas</w:t>
            </w:r>
            <w:r w:rsidR="00FA0AC5">
              <w:rPr>
                <w:rFonts w:ascii="Arial" w:eastAsia="Arial Narrow" w:hAnsi="Arial" w:cs="Arial"/>
                <w:sz w:val="20"/>
                <w:szCs w:val="20"/>
                <w:highlight w:val="white"/>
              </w:rPr>
              <w:t xml:space="preserve"> </w:t>
            </w:r>
            <w:r w:rsidRPr="008A26D2">
              <w:rPr>
                <w:rFonts w:ascii="Arial" w:eastAsia="Arial Narrow" w:hAnsi="Arial" w:cs="Arial"/>
                <w:sz w:val="20"/>
                <w:szCs w:val="20"/>
                <w:highlight w:val="white"/>
              </w:rPr>
              <w:t>-</w:t>
            </w:r>
            <w:r w:rsidR="00FA0AC5">
              <w:rPr>
                <w:rFonts w:ascii="Arial" w:eastAsia="Arial Narrow" w:hAnsi="Arial" w:cs="Arial"/>
                <w:sz w:val="20"/>
                <w:szCs w:val="20"/>
              </w:rPr>
              <w:t xml:space="preserve"> </w:t>
            </w:r>
            <w:r w:rsidRPr="008A26D2">
              <w:rPr>
                <w:rFonts w:ascii="Arial" w:eastAsia="Arial Narrow" w:hAnsi="Arial" w:cs="Arial"/>
                <w:sz w:val="20"/>
                <w:szCs w:val="20"/>
              </w:rPr>
              <w:t xml:space="preserve">DEVIDA </w:t>
            </w:r>
          </w:p>
        </w:tc>
      </w:tr>
      <w:tr w:rsidR="008A26D2" w:rsidRPr="008A26D2" w14:paraId="2DBF0B7E" w14:textId="77777777" w:rsidTr="004E5B31">
        <w:trPr>
          <w:trHeight w:val="729"/>
        </w:trPr>
        <w:tc>
          <w:tcPr>
            <w:tcW w:w="2286" w:type="dxa"/>
            <w:gridSpan w:val="3"/>
            <w:shd w:val="clear" w:color="auto" w:fill="auto"/>
            <w:tcMar>
              <w:top w:w="10" w:type="dxa"/>
              <w:left w:w="93" w:type="dxa"/>
              <w:bottom w:w="0" w:type="dxa"/>
              <w:right w:w="10" w:type="dxa"/>
            </w:tcMar>
            <w:vAlign w:val="center"/>
          </w:tcPr>
          <w:p w14:paraId="7CC6B774"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lastRenderedPageBreak/>
              <w:t>Limitaciones para la medición del indicador:</w:t>
            </w:r>
          </w:p>
        </w:tc>
        <w:tc>
          <w:tcPr>
            <w:tcW w:w="6503" w:type="dxa"/>
            <w:gridSpan w:val="10"/>
            <w:shd w:val="clear" w:color="auto" w:fill="auto"/>
            <w:tcMar>
              <w:top w:w="51" w:type="dxa"/>
              <w:left w:w="227" w:type="dxa"/>
              <w:bottom w:w="51" w:type="dxa"/>
              <w:right w:w="227" w:type="dxa"/>
            </w:tcMar>
            <w:vAlign w:val="center"/>
          </w:tcPr>
          <w:p w14:paraId="6E78DCE4" w14:textId="77777777" w:rsidR="00A90E9C" w:rsidRPr="008A26D2" w:rsidRDefault="00A90E9C" w:rsidP="0087293E">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Establecer el nivel de restauración adecuado, el cual puede durar varios años</w:t>
            </w:r>
          </w:p>
        </w:tc>
      </w:tr>
      <w:tr w:rsidR="008A26D2" w:rsidRPr="008A26D2" w14:paraId="44FD1E96" w14:textId="77777777" w:rsidTr="004E5B31">
        <w:trPr>
          <w:trHeight w:val="231"/>
        </w:trPr>
        <w:tc>
          <w:tcPr>
            <w:tcW w:w="2286" w:type="dxa"/>
            <w:gridSpan w:val="3"/>
            <w:shd w:val="clear" w:color="auto" w:fill="auto"/>
            <w:tcMar>
              <w:top w:w="10" w:type="dxa"/>
              <w:left w:w="93" w:type="dxa"/>
              <w:bottom w:w="0" w:type="dxa"/>
              <w:right w:w="10" w:type="dxa"/>
            </w:tcMar>
            <w:vAlign w:val="center"/>
          </w:tcPr>
          <w:p w14:paraId="1528B392"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 xml:space="preserve">Método de cálculo: </w:t>
            </w:r>
          </w:p>
        </w:tc>
        <w:tc>
          <w:tcPr>
            <w:tcW w:w="6503" w:type="dxa"/>
            <w:gridSpan w:val="10"/>
            <w:shd w:val="clear" w:color="auto" w:fill="auto"/>
            <w:tcMar>
              <w:top w:w="51" w:type="dxa"/>
              <w:left w:w="227" w:type="dxa"/>
              <w:bottom w:w="51" w:type="dxa"/>
              <w:right w:w="227" w:type="dxa"/>
            </w:tcMar>
            <w:vAlign w:val="center"/>
          </w:tcPr>
          <w:p w14:paraId="557DB6DD" w14:textId="77777777" w:rsidR="00A90E9C" w:rsidRPr="008A26D2" w:rsidRDefault="00A90E9C" w:rsidP="0087293E">
            <w:pPr>
              <w:jc w:val="both"/>
              <w:rPr>
                <w:rFonts w:ascii="Arial" w:eastAsia="Arial Narrow" w:hAnsi="Arial" w:cs="Arial"/>
                <w:b/>
                <w:sz w:val="20"/>
                <w:szCs w:val="20"/>
              </w:rPr>
            </w:pPr>
            <w:r w:rsidRPr="008A26D2">
              <w:rPr>
                <w:rFonts w:ascii="Arial" w:eastAsia="Arial Narrow" w:hAnsi="Arial" w:cs="Arial"/>
                <w:b/>
                <w:sz w:val="20"/>
                <w:szCs w:val="20"/>
              </w:rPr>
              <w:t>1. Fórmula:</w:t>
            </w:r>
          </w:p>
          <w:p w14:paraId="52DD196C" w14:textId="571141F9" w:rsidR="00A90E9C" w:rsidRPr="008A26D2" w:rsidRDefault="004E5B31" w:rsidP="0087293E">
            <w:pPr>
              <w:jc w:val="both"/>
              <w:rPr>
                <w:rFonts w:ascii="Arial" w:eastAsia="Arial Narrow" w:hAnsi="Arial" w:cs="Arial"/>
                <w:sz w:val="20"/>
                <w:szCs w:val="20"/>
              </w:rPr>
            </w:pPr>
            <w:r w:rsidRPr="008A26D2">
              <w:rPr>
                <w:rFonts w:ascii="Arial" w:eastAsia="Arial Narrow" w:hAnsi="Arial" w:cs="Arial"/>
                <w:sz w:val="20"/>
                <w:szCs w:val="20"/>
              </w:rPr>
              <w:t>(</w:t>
            </w:r>
            <w:r w:rsidR="00A90E9C" w:rsidRPr="008A26D2">
              <w:rPr>
                <w:rFonts w:ascii="Arial" w:eastAsia="Arial Narrow" w:hAnsi="Arial" w:cs="Arial"/>
                <w:sz w:val="20"/>
                <w:szCs w:val="20"/>
              </w:rPr>
              <w:t>A/B</w:t>
            </w:r>
            <w:r w:rsidRPr="008A26D2">
              <w:rPr>
                <w:rFonts w:ascii="Arial" w:eastAsia="Arial Narrow" w:hAnsi="Arial" w:cs="Arial"/>
                <w:sz w:val="20"/>
                <w:szCs w:val="20"/>
              </w:rPr>
              <w:t>)</w:t>
            </w:r>
            <w:r w:rsidR="00A90E9C" w:rsidRPr="008A26D2">
              <w:rPr>
                <w:rFonts w:ascii="Arial" w:eastAsia="Arial Narrow" w:hAnsi="Arial" w:cs="Arial"/>
                <w:sz w:val="20"/>
                <w:szCs w:val="20"/>
              </w:rPr>
              <w:t>*100</w:t>
            </w:r>
          </w:p>
          <w:p w14:paraId="0725159C" w14:textId="70E8074C" w:rsidR="00A90E9C" w:rsidRPr="008A26D2" w:rsidRDefault="00A90E9C" w:rsidP="0087293E">
            <w:pPr>
              <w:ind w:left="324" w:hanging="324"/>
              <w:jc w:val="both"/>
              <w:rPr>
                <w:rFonts w:ascii="Arial" w:eastAsia="Arial Narrow" w:hAnsi="Arial" w:cs="Arial"/>
                <w:sz w:val="20"/>
                <w:szCs w:val="20"/>
              </w:rPr>
            </w:pPr>
            <w:r w:rsidRPr="008A26D2">
              <w:rPr>
                <w:rFonts w:ascii="Arial" w:eastAsia="Arial Narrow" w:hAnsi="Arial" w:cs="Arial"/>
                <w:sz w:val="20"/>
                <w:szCs w:val="20"/>
              </w:rPr>
              <w:t xml:space="preserve">A= </w:t>
            </w:r>
            <w:r w:rsidR="00161C6D" w:rsidRPr="008A26D2">
              <w:rPr>
                <w:rFonts w:ascii="Arial" w:eastAsia="Arial Narrow" w:hAnsi="Arial" w:cs="Arial"/>
                <w:sz w:val="20"/>
                <w:szCs w:val="20"/>
              </w:rPr>
              <w:t xml:space="preserve">Número de </w:t>
            </w:r>
            <w:r w:rsidR="00161C6D" w:rsidRPr="008A26D2">
              <w:rPr>
                <w:rFonts w:ascii="Arial" w:hAnsi="Arial" w:cs="Arial"/>
                <w:sz w:val="20"/>
                <w:szCs w:val="20"/>
              </w:rPr>
              <w:t xml:space="preserve">proyectos aprobados presentados por los </w:t>
            </w:r>
            <w:r w:rsidR="00161C6D" w:rsidRPr="008A26D2">
              <w:rPr>
                <w:rFonts w:ascii="Arial" w:eastAsia="Arial Narrow" w:hAnsi="Arial" w:cs="Arial"/>
                <w:sz w:val="20"/>
                <w:szCs w:val="20"/>
              </w:rPr>
              <w:t>gobiernos regionales y gobiernos locales</w:t>
            </w:r>
            <w:r w:rsidR="00161C6D" w:rsidRPr="008A26D2">
              <w:rPr>
                <w:rFonts w:ascii="Arial" w:hAnsi="Arial" w:cs="Arial"/>
                <w:sz w:val="20"/>
                <w:szCs w:val="20"/>
              </w:rPr>
              <w:t xml:space="preserve"> como resultado de la asistencia técnica de forma pertinente</w:t>
            </w:r>
            <w:r w:rsidRPr="008A26D2">
              <w:rPr>
                <w:rFonts w:ascii="Arial" w:eastAsia="Arial Narrow" w:hAnsi="Arial" w:cs="Arial"/>
                <w:sz w:val="20"/>
                <w:szCs w:val="20"/>
              </w:rPr>
              <w:t>.</w:t>
            </w:r>
          </w:p>
          <w:p w14:paraId="34BABF30" w14:textId="42913EC4" w:rsidR="00A90E9C" w:rsidRPr="008A26D2" w:rsidRDefault="00A90E9C" w:rsidP="0087293E">
            <w:pPr>
              <w:ind w:left="324" w:hanging="324"/>
              <w:jc w:val="both"/>
              <w:rPr>
                <w:rFonts w:ascii="Arial" w:eastAsia="Arial Narrow" w:hAnsi="Arial" w:cs="Arial"/>
                <w:sz w:val="20"/>
                <w:szCs w:val="20"/>
              </w:rPr>
            </w:pPr>
            <w:r w:rsidRPr="008A26D2">
              <w:rPr>
                <w:rFonts w:ascii="Arial" w:eastAsia="Arial Narrow" w:hAnsi="Arial" w:cs="Arial"/>
                <w:sz w:val="20"/>
                <w:szCs w:val="20"/>
              </w:rPr>
              <w:t xml:space="preserve">B= Total de proyectos presentados </w:t>
            </w:r>
            <w:r w:rsidR="00161C6D" w:rsidRPr="008A26D2">
              <w:rPr>
                <w:rFonts w:ascii="Arial" w:hAnsi="Arial" w:cs="Arial"/>
                <w:sz w:val="20"/>
                <w:szCs w:val="20"/>
              </w:rPr>
              <w:t xml:space="preserve">por los </w:t>
            </w:r>
            <w:r w:rsidR="00161C6D" w:rsidRPr="008A26D2">
              <w:rPr>
                <w:rFonts w:ascii="Arial" w:eastAsia="Arial Narrow" w:hAnsi="Arial" w:cs="Arial"/>
                <w:sz w:val="20"/>
                <w:szCs w:val="20"/>
              </w:rPr>
              <w:t>gobiernos regionales y gobiernos locales</w:t>
            </w:r>
            <w:r w:rsidRPr="008A26D2">
              <w:rPr>
                <w:rFonts w:ascii="Arial" w:eastAsia="Arial Narrow" w:hAnsi="Arial" w:cs="Arial"/>
                <w:sz w:val="20"/>
                <w:szCs w:val="20"/>
              </w:rPr>
              <w:t>.</w:t>
            </w:r>
          </w:p>
          <w:p w14:paraId="7B457325" w14:textId="77777777" w:rsidR="00A90E9C" w:rsidRPr="008A26D2" w:rsidRDefault="00A90E9C" w:rsidP="0087293E">
            <w:pPr>
              <w:jc w:val="both"/>
              <w:rPr>
                <w:rFonts w:ascii="Arial" w:eastAsia="Arial Narrow" w:hAnsi="Arial" w:cs="Arial"/>
                <w:sz w:val="20"/>
                <w:szCs w:val="20"/>
              </w:rPr>
            </w:pPr>
            <w:r w:rsidRPr="008A26D2">
              <w:rPr>
                <w:rFonts w:ascii="Arial" w:eastAsia="Arial Narrow" w:hAnsi="Arial" w:cs="Arial"/>
                <w:sz w:val="20"/>
                <w:szCs w:val="20"/>
              </w:rPr>
              <w:br/>
            </w:r>
            <w:r w:rsidRPr="008A26D2">
              <w:rPr>
                <w:rFonts w:ascii="Arial" w:eastAsia="Arial Narrow" w:hAnsi="Arial" w:cs="Arial"/>
                <w:b/>
                <w:sz w:val="20"/>
                <w:szCs w:val="20"/>
              </w:rPr>
              <w:t>2. Especificaciones técnicas:</w:t>
            </w:r>
          </w:p>
          <w:p w14:paraId="2D720EC2" w14:textId="7CBF05B6" w:rsidR="00C73F1F" w:rsidRDefault="00C73F1F" w:rsidP="0087293E">
            <w:pPr>
              <w:jc w:val="both"/>
              <w:rPr>
                <w:rFonts w:ascii="Arial" w:hAnsi="Arial" w:cs="Arial"/>
                <w:sz w:val="20"/>
                <w:szCs w:val="20"/>
              </w:rPr>
            </w:pPr>
            <w:r w:rsidRPr="008A26D2">
              <w:rPr>
                <w:rFonts w:ascii="Arial" w:hAnsi="Arial" w:cs="Arial"/>
                <w:sz w:val="20"/>
                <w:szCs w:val="20"/>
              </w:rPr>
              <w:t xml:space="preserve">La </w:t>
            </w:r>
            <w:r w:rsidR="002C2E5B">
              <w:rPr>
                <w:rFonts w:ascii="Arial" w:hAnsi="Arial" w:cs="Arial"/>
                <w:sz w:val="20"/>
                <w:szCs w:val="20"/>
              </w:rPr>
              <w:t xml:space="preserve">variable A se determina a partir de los proyectos aprobados </w:t>
            </w:r>
            <w:r w:rsidR="00633779">
              <w:rPr>
                <w:rFonts w:ascii="Arial" w:hAnsi="Arial" w:cs="Arial"/>
                <w:sz w:val="20"/>
                <w:szCs w:val="20"/>
              </w:rPr>
              <w:t>que fueron presentados por</w:t>
            </w:r>
            <w:r w:rsidR="002C2E5B">
              <w:rPr>
                <w:rFonts w:ascii="Arial" w:hAnsi="Arial" w:cs="Arial"/>
                <w:sz w:val="20"/>
                <w:szCs w:val="20"/>
              </w:rPr>
              <w:t xml:space="preserve"> los gobiernos regionales y locales</w:t>
            </w:r>
            <w:r w:rsidR="00633779">
              <w:rPr>
                <w:rFonts w:ascii="Arial" w:hAnsi="Arial" w:cs="Arial"/>
                <w:sz w:val="20"/>
                <w:szCs w:val="20"/>
              </w:rPr>
              <w:t>,</w:t>
            </w:r>
            <w:r w:rsidR="002C2E5B">
              <w:rPr>
                <w:rFonts w:ascii="Arial" w:hAnsi="Arial" w:cs="Arial"/>
                <w:sz w:val="20"/>
                <w:szCs w:val="20"/>
              </w:rPr>
              <w:t xml:space="preserve"> que recibieron </w:t>
            </w:r>
            <w:r w:rsidRPr="008A26D2">
              <w:rPr>
                <w:rFonts w:ascii="Arial" w:hAnsi="Arial" w:cs="Arial"/>
                <w:sz w:val="20"/>
                <w:szCs w:val="20"/>
              </w:rPr>
              <w:t>asistencia técnica</w:t>
            </w:r>
            <w:r w:rsidR="00633779">
              <w:rPr>
                <w:rFonts w:ascii="Arial" w:hAnsi="Arial" w:cs="Arial"/>
                <w:sz w:val="20"/>
                <w:szCs w:val="20"/>
              </w:rPr>
              <w:t xml:space="preserve"> de DEVIDA</w:t>
            </w:r>
            <w:r w:rsidR="002C2E5B">
              <w:rPr>
                <w:rFonts w:ascii="Arial" w:hAnsi="Arial" w:cs="Arial"/>
                <w:sz w:val="20"/>
                <w:szCs w:val="20"/>
              </w:rPr>
              <w:t xml:space="preserve"> atendiendo</w:t>
            </w:r>
            <w:r w:rsidR="002C2E5B" w:rsidRPr="008A26D2">
              <w:rPr>
                <w:rFonts w:ascii="Arial" w:hAnsi="Arial" w:cs="Arial"/>
                <w:sz w:val="20"/>
                <w:szCs w:val="20"/>
              </w:rPr>
              <w:t xml:space="preserve"> </w:t>
            </w:r>
            <w:r w:rsidR="00633779">
              <w:rPr>
                <w:rFonts w:ascii="Arial" w:hAnsi="Arial" w:cs="Arial"/>
                <w:sz w:val="20"/>
                <w:szCs w:val="20"/>
              </w:rPr>
              <w:t>sus</w:t>
            </w:r>
            <w:r w:rsidRPr="008A26D2">
              <w:rPr>
                <w:rFonts w:ascii="Arial" w:hAnsi="Arial" w:cs="Arial"/>
                <w:sz w:val="20"/>
                <w:szCs w:val="20"/>
              </w:rPr>
              <w:t xml:space="preserve"> requerimientos y necesidades para la formulación de proyectos de reforestación, en concordancia a las exigencias normativas sectoriales y del Invierte.pe.</w:t>
            </w:r>
          </w:p>
          <w:p w14:paraId="17BBD536" w14:textId="41BBD5B6" w:rsidR="00F40C86" w:rsidRPr="008A26D2" w:rsidRDefault="002C2E5B" w:rsidP="0087293E">
            <w:pPr>
              <w:jc w:val="both"/>
              <w:rPr>
                <w:rFonts w:ascii="Arial" w:hAnsi="Arial" w:cs="Arial"/>
                <w:sz w:val="20"/>
                <w:szCs w:val="20"/>
              </w:rPr>
            </w:pPr>
            <w:r>
              <w:rPr>
                <w:rFonts w:ascii="Arial" w:hAnsi="Arial" w:cs="Arial"/>
                <w:sz w:val="20"/>
                <w:szCs w:val="20"/>
              </w:rPr>
              <w:t xml:space="preserve">La variable B se determina con el </w:t>
            </w:r>
            <w:r w:rsidR="004245F6">
              <w:rPr>
                <w:rFonts w:ascii="Arial" w:hAnsi="Arial" w:cs="Arial"/>
                <w:sz w:val="20"/>
                <w:szCs w:val="20"/>
              </w:rPr>
              <w:t xml:space="preserve">total de </w:t>
            </w:r>
            <w:r w:rsidR="005716F7">
              <w:rPr>
                <w:rFonts w:ascii="Arial" w:hAnsi="Arial" w:cs="Arial"/>
                <w:sz w:val="20"/>
                <w:szCs w:val="20"/>
              </w:rPr>
              <w:t xml:space="preserve">proyectos </w:t>
            </w:r>
            <w:r w:rsidR="004245F6">
              <w:rPr>
                <w:rFonts w:ascii="Arial" w:hAnsi="Arial" w:cs="Arial"/>
                <w:sz w:val="20"/>
                <w:szCs w:val="20"/>
              </w:rPr>
              <w:t xml:space="preserve">presentados por los </w:t>
            </w:r>
            <w:r w:rsidR="005716F7">
              <w:rPr>
                <w:rFonts w:ascii="Arial" w:hAnsi="Arial" w:cs="Arial"/>
                <w:sz w:val="20"/>
                <w:szCs w:val="20"/>
              </w:rPr>
              <w:t>gobiernos regionales y locales.</w:t>
            </w:r>
          </w:p>
          <w:p w14:paraId="5A247DDB" w14:textId="28D05CFB" w:rsidR="00A90E9C" w:rsidRPr="008A26D2" w:rsidRDefault="002469C9" w:rsidP="0087293E">
            <w:pPr>
              <w:spacing w:after="0" w:line="240" w:lineRule="auto"/>
              <w:jc w:val="both"/>
              <w:rPr>
                <w:rFonts w:ascii="Arial" w:hAnsi="Arial" w:cs="Arial"/>
                <w:sz w:val="20"/>
                <w:szCs w:val="20"/>
              </w:rPr>
            </w:pPr>
            <w:r w:rsidRPr="008A26D2">
              <w:rPr>
                <w:rFonts w:ascii="Arial" w:eastAsia="Arial Narrow" w:hAnsi="Arial" w:cs="Arial"/>
                <w:sz w:val="20"/>
                <w:szCs w:val="20"/>
              </w:rPr>
              <w:t>Se carece de</w:t>
            </w:r>
            <w:r w:rsidR="00A90E9C" w:rsidRPr="008A26D2">
              <w:rPr>
                <w:rFonts w:ascii="Arial" w:eastAsia="Arial Narrow" w:hAnsi="Arial" w:cs="Arial"/>
                <w:sz w:val="20"/>
                <w:szCs w:val="20"/>
              </w:rPr>
              <w:t xml:space="preserve"> línea</w:t>
            </w:r>
            <w:r w:rsidRPr="008A26D2">
              <w:rPr>
                <w:rFonts w:ascii="Arial" w:eastAsia="Arial Narrow" w:hAnsi="Arial" w:cs="Arial"/>
                <w:sz w:val="20"/>
                <w:szCs w:val="20"/>
              </w:rPr>
              <w:t xml:space="preserve"> base por cuanto no se tomaba en cuenta el estándar en la entrega del servicio</w:t>
            </w:r>
            <w:r w:rsidR="00A90E9C" w:rsidRPr="008A26D2">
              <w:rPr>
                <w:rFonts w:ascii="Arial" w:eastAsia="Arial Narrow" w:hAnsi="Arial" w:cs="Arial"/>
                <w:sz w:val="20"/>
                <w:szCs w:val="20"/>
              </w:rPr>
              <w:t>, por ese motivo, DEVIDA determinará la línea base para su cálculo antes del inicio de la implementación de la presente Política Nacional.</w:t>
            </w:r>
          </w:p>
        </w:tc>
      </w:tr>
      <w:tr w:rsidR="008A26D2" w:rsidRPr="008A26D2" w14:paraId="504A4AB6" w14:textId="77777777" w:rsidTr="00C73F1F">
        <w:trPr>
          <w:trHeight w:val="686"/>
        </w:trPr>
        <w:tc>
          <w:tcPr>
            <w:tcW w:w="2286" w:type="dxa"/>
            <w:gridSpan w:val="3"/>
            <w:shd w:val="clear" w:color="auto" w:fill="auto"/>
            <w:tcMar>
              <w:top w:w="10" w:type="dxa"/>
              <w:left w:w="93" w:type="dxa"/>
              <w:bottom w:w="0" w:type="dxa"/>
              <w:right w:w="10" w:type="dxa"/>
            </w:tcMar>
            <w:vAlign w:val="center"/>
          </w:tcPr>
          <w:p w14:paraId="3D8B4D24"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Sentido esperado del indicador:</w:t>
            </w:r>
          </w:p>
        </w:tc>
        <w:tc>
          <w:tcPr>
            <w:tcW w:w="1683" w:type="dxa"/>
            <w:gridSpan w:val="3"/>
            <w:shd w:val="clear" w:color="auto" w:fill="auto"/>
            <w:tcMar>
              <w:top w:w="10" w:type="dxa"/>
              <w:left w:w="283" w:type="dxa"/>
              <w:bottom w:w="0" w:type="dxa"/>
              <w:right w:w="283" w:type="dxa"/>
            </w:tcMar>
            <w:vAlign w:val="center"/>
          </w:tcPr>
          <w:p w14:paraId="241B2018" w14:textId="77777777" w:rsidR="00A90E9C" w:rsidRPr="008A26D2" w:rsidRDefault="00A90E9C" w:rsidP="0087293E">
            <w:pPr>
              <w:jc w:val="both"/>
              <w:rPr>
                <w:rFonts w:ascii="Arial" w:hAnsi="Arial" w:cs="Arial"/>
                <w:sz w:val="20"/>
                <w:szCs w:val="20"/>
              </w:rPr>
            </w:pPr>
            <w:r w:rsidRPr="008A26D2">
              <w:rPr>
                <w:rFonts w:ascii="Arial" w:eastAsia="Arial Narrow" w:hAnsi="Arial" w:cs="Arial"/>
                <w:sz w:val="20"/>
                <w:szCs w:val="20"/>
              </w:rPr>
              <w:t>Ascendente</w:t>
            </w:r>
          </w:p>
        </w:tc>
        <w:tc>
          <w:tcPr>
            <w:tcW w:w="3143" w:type="dxa"/>
            <w:gridSpan w:val="5"/>
            <w:shd w:val="clear" w:color="auto" w:fill="auto"/>
            <w:tcMar>
              <w:top w:w="15" w:type="dxa"/>
              <w:left w:w="15" w:type="dxa"/>
              <w:bottom w:w="0" w:type="dxa"/>
              <w:right w:w="15" w:type="dxa"/>
            </w:tcMar>
            <w:vAlign w:val="center"/>
          </w:tcPr>
          <w:p w14:paraId="3FAAED2B"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Tipo de indicador de servicio:</w:t>
            </w:r>
          </w:p>
        </w:tc>
        <w:tc>
          <w:tcPr>
            <w:tcW w:w="1677" w:type="dxa"/>
            <w:gridSpan w:val="2"/>
            <w:shd w:val="clear" w:color="auto" w:fill="auto"/>
            <w:tcMar>
              <w:top w:w="15" w:type="dxa"/>
              <w:left w:w="15" w:type="dxa"/>
              <w:bottom w:w="0" w:type="dxa"/>
              <w:right w:w="15" w:type="dxa"/>
            </w:tcMar>
            <w:vAlign w:val="center"/>
          </w:tcPr>
          <w:p w14:paraId="1B596A28" w14:textId="77777777" w:rsidR="00A90E9C" w:rsidRPr="008A26D2" w:rsidRDefault="00A90E9C" w:rsidP="0087293E">
            <w:pPr>
              <w:jc w:val="both"/>
              <w:rPr>
                <w:rFonts w:ascii="Arial" w:hAnsi="Arial" w:cs="Arial"/>
                <w:sz w:val="20"/>
                <w:szCs w:val="20"/>
              </w:rPr>
            </w:pPr>
            <w:r w:rsidRPr="008A26D2">
              <w:rPr>
                <w:rFonts w:ascii="Arial" w:eastAsia="Arial Narrow" w:hAnsi="Arial" w:cs="Arial"/>
                <w:sz w:val="20"/>
                <w:szCs w:val="20"/>
              </w:rPr>
              <w:t>Calidad - Pertinencia</w:t>
            </w:r>
          </w:p>
        </w:tc>
      </w:tr>
      <w:tr w:rsidR="008A26D2" w:rsidRPr="008A26D2" w14:paraId="3D3ABD14" w14:textId="77777777" w:rsidTr="004E5B31">
        <w:trPr>
          <w:trHeight w:val="13"/>
        </w:trPr>
        <w:tc>
          <w:tcPr>
            <w:tcW w:w="2286" w:type="dxa"/>
            <w:gridSpan w:val="3"/>
            <w:shd w:val="clear" w:color="auto" w:fill="auto"/>
            <w:tcMar>
              <w:top w:w="10" w:type="dxa"/>
              <w:left w:w="93" w:type="dxa"/>
              <w:bottom w:w="0" w:type="dxa"/>
              <w:right w:w="10" w:type="dxa"/>
            </w:tcMar>
            <w:vAlign w:val="center"/>
          </w:tcPr>
          <w:p w14:paraId="4D20FB36"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Fuente y base de datos:</w:t>
            </w:r>
          </w:p>
        </w:tc>
        <w:tc>
          <w:tcPr>
            <w:tcW w:w="6503" w:type="dxa"/>
            <w:gridSpan w:val="10"/>
            <w:shd w:val="clear" w:color="auto" w:fill="auto"/>
            <w:tcMar>
              <w:top w:w="51" w:type="dxa"/>
              <w:left w:w="227" w:type="dxa"/>
              <w:bottom w:w="51" w:type="dxa"/>
              <w:right w:w="227" w:type="dxa"/>
            </w:tcMar>
            <w:vAlign w:val="center"/>
          </w:tcPr>
          <w:p w14:paraId="1EA47431" w14:textId="6E7ABE29" w:rsidR="002469C9" w:rsidRPr="008A26D2" w:rsidRDefault="00A90E9C" w:rsidP="0087293E">
            <w:pPr>
              <w:jc w:val="both"/>
              <w:rPr>
                <w:rFonts w:ascii="Arial" w:eastAsia="Arial Narrow" w:hAnsi="Arial" w:cs="Arial"/>
                <w:sz w:val="20"/>
                <w:szCs w:val="20"/>
              </w:rPr>
            </w:pPr>
            <w:r w:rsidRPr="008A26D2">
              <w:rPr>
                <w:rFonts w:ascii="Arial" w:eastAsia="Arial Narrow" w:hAnsi="Arial" w:cs="Arial"/>
                <w:sz w:val="20"/>
                <w:szCs w:val="20"/>
              </w:rPr>
              <w:t>Fuente:  Dirección de Articulación Territorial (DATE)</w:t>
            </w:r>
            <w:r w:rsidR="00C73F1F" w:rsidRPr="008A26D2">
              <w:rPr>
                <w:rFonts w:ascii="Arial" w:eastAsia="Arial Narrow" w:hAnsi="Arial" w:cs="Arial"/>
                <w:sz w:val="20"/>
                <w:szCs w:val="20"/>
              </w:rPr>
              <w:t xml:space="preserve"> de </w:t>
            </w:r>
            <w:r w:rsidR="002C2E5B">
              <w:rPr>
                <w:rFonts w:ascii="Arial" w:eastAsia="Arial Narrow" w:hAnsi="Arial" w:cs="Arial"/>
                <w:sz w:val="20"/>
                <w:szCs w:val="20"/>
              </w:rPr>
              <w:t xml:space="preserve">la </w:t>
            </w:r>
            <w:r w:rsidR="00CB0A8E" w:rsidRPr="008A26D2">
              <w:rPr>
                <w:rFonts w:ascii="Arial" w:eastAsia="Arial Narrow" w:hAnsi="Arial" w:cs="Arial"/>
                <w:sz w:val="20"/>
                <w:szCs w:val="20"/>
                <w:highlight w:val="white"/>
              </w:rPr>
              <w:t>Comisión Nacional para el Desarrollo y Vida sin Drogas</w:t>
            </w:r>
            <w:r w:rsidR="00CB0A8E">
              <w:rPr>
                <w:rFonts w:ascii="Arial" w:eastAsia="Arial Narrow" w:hAnsi="Arial" w:cs="Arial"/>
                <w:sz w:val="20"/>
                <w:szCs w:val="20"/>
                <w:highlight w:val="white"/>
              </w:rPr>
              <w:t xml:space="preserve"> </w:t>
            </w:r>
            <w:r w:rsidR="00CB0A8E">
              <w:rPr>
                <w:rFonts w:ascii="Arial" w:eastAsia="Arial Narrow" w:hAnsi="Arial" w:cs="Arial"/>
                <w:sz w:val="20"/>
                <w:szCs w:val="20"/>
              </w:rPr>
              <w:t xml:space="preserve">- </w:t>
            </w:r>
            <w:r w:rsidR="00C73F1F" w:rsidRPr="008A26D2">
              <w:rPr>
                <w:rFonts w:ascii="Arial" w:eastAsia="Arial Narrow" w:hAnsi="Arial" w:cs="Arial"/>
                <w:sz w:val="20"/>
                <w:szCs w:val="20"/>
              </w:rPr>
              <w:t xml:space="preserve">DEVIDA </w:t>
            </w:r>
            <w:r w:rsidRPr="008A26D2">
              <w:rPr>
                <w:rFonts w:ascii="Arial" w:eastAsia="Arial Narrow" w:hAnsi="Arial" w:cs="Arial"/>
                <w:sz w:val="20"/>
                <w:szCs w:val="20"/>
              </w:rPr>
              <w:br/>
              <w:t xml:space="preserve">Base de datos:  </w:t>
            </w:r>
          </w:p>
          <w:p w14:paraId="05523152" w14:textId="7B98A563" w:rsidR="00A90E9C" w:rsidRPr="008A26D2" w:rsidRDefault="00A90E9C" w:rsidP="0087293E">
            <w:pPr>
              <w:jc w:val="both"/>
              <w:rPr>
                <w:rFonts w:ascii="Arial" w:eastAsia="Arial Narrow" w:hAnsi="Arial" w:cs="Arial"/>
                <w:sz w:val="20"/>
                <w:szCs w:val="20"/>
              </w:rPr>
            </w:pPr>
            <w:r w:rsidRPr="008A26D2">
              <w:rPr>
                <w:rFonts w:ascii="Arial" w:eastAsia="Arial Narrow" w:hAnsi="Arial" w:cs="Arial"/>
                <w:sz w:val="20"/>
                <w:szCs w:val="20"/>
              </w:rPr>
              <w:t>Base de datos</w:t>
            </w:r>
            <w:r w:rsidR="002C2E5B">
              <w:rPr>
                <w:rFonts w:ascii="Arial" w:eastAsia="Arial Narrow" w:hAnsi="Arial" w:cs="Arial"/>
                <w:sz w:val="20"/>
                <w:szCs w:val="20"/>
              </w:rPr>
              <w:t>: Base de datos</w:t>
            </w:r>
            <w:r w:rsidRPr="008A26D2">
              <w:rPr>
                <w:rFonts w:ascii="Arial" w:eastAsia="Arial Narrow" w:hAnsi="Arial" w:cs="Arial"/>
                <w:sz w:val="20"/>
                <w:szCs w:val="20"/>
              </w:rPr>
              <w:t xml:space="preserve"> sobre la producción y erradicación de cultivos de coca</w:t>
            </w:r>
            <w:r w:rsidR="00F40C86">
              <w:rPr>
                <w:rFonts w:ascii="Arial" w:eastAsia="Arial Narrow" w:hAnsi="Arial" w:cs="Arial"/>
                <w:sz w:val="20"/>
                <w:szCs w:val="20"/>
              </w:rPr>
              <w:t>.</w:t>
            </w:r>
          </w:p>
        </w:tc>
      </w:tr>
      <w:tr w:rsidR="008A26D2" w:rsidRPr="008A26D2" w14:paraId="17ED2B3F" w14:textId="77777777" w:rsidTr="004E5B31">
        <w:trPr>
          <w:trHeight w:val="436"/>
        </w:trPr>
        <w:tc>
          <w:tcPr>
            <w:tcW w:w="2286" w:type="dxa"/>
            <w:gridSpan w:val="3"/>
            <w:shd w:val="clear" w:color="auto" w:fill="auto"/>
            <w:tcMar>
              <w:top w:w="10" w:type="dxa"/>
              <w:left w:w="93" w:type="dxa"/>
              <w:bottom w:w="0" w:type="dxa"/>
              <w:right w:w="10" w:type="dxa"/>
            </w:tcMar>
            <w:vAlign w:val="center"/>
          </w:tcPr>
          <w:p w14:paraId="11747B24"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Supuestos:</w:t>
            </w:r>
          </w:p>
        </w:tc>
        <w:tc>
          <w:tcPr>
            <w:tcW w:w="6503" w:type="dxa"/>
            <w:gridSpan w:val="10"/>
            <w:shd w:val="clear" w:color="auto" w:fill="auto"/>
            <w:tcMar>
              <w:top w:w="51" w:type="dxa"/>
              <w:left w:w="227" w:type="dxa"/>
              <w:bottom w:w="51" w:type="dxa"/>
              <w:right w:w="227" w:type="dxa"/>
            </w:tcMar>
            <w:vAlign w:val="center"/>
          </w:tcPr>
          <w:p w14:paraId="3CA4C382" w14:textId="77777777" w:rsidR="00A90E9C" w:rsidRPr="008A26D2" w:rsidRDefault="00A90E9C" w:rsidP="0087293E">
            <w:pPr>
              <w:jc w:val="both"/>
              <w:rPr>
                <w:rFonts w:ascii="Arial" w:eastAsia="Arial Narrow" w:hAnsi="Arial" w:cs="Arial"/>
                <w:sz w:val="20"/>
                <w:szCs w:val="20"/>
              </w:rPr>
            </w:pPr>
            <w:r w:rsidRPr="008A26D2">
              <w:rPr>
                <w:rFonts w:ascii="Arial" w:eastAsia="Arial Narrow" w:hAnsi="Arial" w:cs="Arial"/>
                <w:sz w:val="20"/>
                <w:szCs w:val="20"/>
              </w:rPr>
              <w:t>Condiciones favorables para levantamiento de información en zonas de interés de la intervención.</w:t>
            </w:r>
          </w:p>
        </w:tc>
      </w:tr>
      <w:tr w:rsidR="008A26D2" w:rsidRPr="008A26D2" w14:paraId="6F66EA04" w14:textId="77777777" w:rsidTr="00633779">
        <w:trPr>
          <w:trHeight w:val="556"/>
        </w:trPr>
        <w:tc>
          <w:tcPr>
            <w:tcW w:w="709" w:type="dxa"/>
            <w:shd w:val="clear" w:color="auto" w:fill="auto"/>
            <w:tcMar>
              <w:top w:w="10" w:type="dxa"/>
              <w:left w:w="10" w:type="dxa"/>
              <w:bottom w:w="0" w:type="dxa"/>
              <w:right w:w="10" w:type="dxa"/>
            </w:tcMar>
            <w:vAlign w:val="center"/>
          </w:tcPr>
          <w:p w14:paraId="00A0BB46"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 </w:t>
            </w:r>
          </w:p>
        </w:tc>
        <w:tc>
          <w:tcPr>
            <w:tcW w:w="709" w:type="dxa"/>
            <w:shd w:val="clear" w:color="auto" w:fill="auto"/>
            <w:tcMar>
              <w:top w:w="10" w:type="dxa"/>
              <w:left w:w="10" w:type="dxa"/>
              <w:bottom w:w="0" w:type="dxa"/>
              <w:right w:w="10" w:type="dxa"/>
            </w:tcMar>
            <w:vAlign w:val="center"/>
          </w:tcPr>
          <w:p w14:paraId="313D266D" w14:textId="77777777" w:rsidR="00A90E9C" w:rsidRPr="008A26D2" w:rsidRDefault="00A90E9C" w:rsidP="00633779">
            <w:pPr>
              <w:jc w:val="center"/>
              <w:rPr>
                <w:rFonts w:ascii="Arial" w:hAnsi="Arial" w:cs="Arial"/>
                <w:sz w:val="20"/>
                <w:szCs w:val="20"/>
              </w:rPr>
            </w:pPr>
            <w:r w:rsidRPr="008A26D2">
              <w:rPr>
                <w:rFonts w:ascii="Arial" w:hAnsi="Arial" w:cs="Arial"/>
                <w:b/>
                <w:sz w:val="20"/>
                <w:szCs w:val="20"/>
              </w:rPr>
              <w:t>Línea de base</w:t>
            </w:r>
          </w:p>
        </w:tc>
        <w:tc>
          <w:tcPr>
            <w:tcW w:w="7371" w:type="dxa"/>
            <w:gridSpan w:val="11"/>
            <w:shd w:val="clear" w:color="auto" w:fill="auto"/>
            <w:tcMar>
              <w:top w:w="10" w:type="dxa"/>
              <w:left w:w="10" w:type="dxa"/>
              <w:bottom w:w="0" w:type="dxa"/>
              <w:right w:w="10" w:type="dxa"/>
            </w:tcMar>
            <w:vAlign w:val="center"/>
          </w:tcPr>
          <w:p w14:paraId="11F7EDB5" w14:textId="129F68CF" w:rsidR="00A90E9C" w:rsidRPr="008A26D2" w:rsidRDefault="00A90E9C" w:rsidP="00633779">
            <w:pPr>
              <w:jc w:val="center"/>
              <w:rPr>
                <w:rFonts w:ascii="Arial" w:hAnsi="Arial" w:cs="Arial"/>
                <w:sz w:val="20"/>
                <w:szCs w:val="20"/>
              </w:rPr>
            </w:pPr>
            <w:r w:rsidRPr="008A26D2">
              <w:rPr>
                <w:rFonts w:ascii="Arial" w:hAnsi="Arial" w:cs="Arial"/>
                <w:b/>
                <w:sz w:val="20"/>
                <w:szCs w:val="20"/>
              </w:rPr>
              <w:t>Logros esperados</w:t>
            </w:r>
          </w:p>
        </w:tc>
      </w:tr>
      <w:tr w:rsidR="008A26D2" w:rsidRPr="008A26D2" w14:paraId="13671CCF" w14:textId="77777777" w:rsidTr="00633779">
        <w:trPr>
          <w:trHeight w:val="217"/>
        </w:trPr>
        <w:tc>
          <w:tcPr>
            <w:tcW w:w="709" w:type="dxa"/>
            <w:shd w:val="clear" w:color="auto" w:fill="auto"/>
            <w:tcMar>
              <w:top w:w="10" w:type="dxa"/>
              <w:left w:w="10" w:type="dxa"/>
              <w:bottom w:w="0" w:type="dxa"/>
              <w:right w:w="10" w:type="dxa"/>
            </w:tcMar>
            <w:vAlign w:val="center"/>
          </w:tcPr>
          <w:p w14:paraId="5A2C98EB"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Año</w:t>
            </w:r>
          </w:p>
        </w:tc>
        <w:tc>
          <w:tcPr>
            <w:tcW w:w="709" w:type="dxa"/>
            <w:shd w:val="clear" w:color="auto" w:fill="auto"/>
            <w:tcMar>
              <w:top w:w="10" w:type="dxa"/>
              <w:left w:w="10" w:type="dxa"/>
              <w:bottom w:w="0" w:type="dxa"/>
              <w:right w:w="10" w:type="dxa"/>
            </w:tcMar>
            <w:vAlign w:val="center"/>
          </w:tcPr>
          <w:p w14:paraId="7BF36288" w14:textId="77777777" w:rsidR="00A90E9C" w:rsidRPr="008A26D2" w:rsidRDefault="00A90E9C" w:rsidP="00633779">
            <w:pPr>
              <w:jc w:val="center"/>
              <w:rPr>
                <w:rFonts w:ascii="Arial" w:hAnsi="Arial" w:cs="Arial"/>
                <w:b/>
                <w:sz w:val="20"/>
                <w:szCs w:val="20"/>
              </w:rPr>
            </w:pPr>
            <w:r w:rsidRPr="008A26D2">
              <w:rPr>
                <w:rFonts w:ascii="Arial" w:hAnsi="Arial" w:cs="Arial"/>
                <w:b/>
                <w:sz w:val="20"/>
                <w:szCs w:val="20"/>
              </w:rPr>
              <w:t>2021</w:t>
            </w:r>
          </w:p>
        </w:tc>
        <w:tc>
          <w:tcPr>
            <w:tcW w:w="992" w:type="dxa"/>
            <w:gridSpan w:val="2"/>
            <w:shd w:val="clear" w:color="auto" w:fill="auto"/>
            <w:tcMar>
              <w:top w:w="10" w:type="dxa"/>
              <w:left w:w="10" w:type="dxa"/>
              <w:bottom w:w="0" w:type="dxa"/>
              <w:right w:w="10" w:type="dxa"/>
            </w:tcMar>
            <w:vAlign w:val="center"/>
          </w:tcPr>
          <w:p w14:paraId="43180294" w14:textId="77777777" w:rsidR="00A90E9C" w:rsidRPr="008A26D2" w:rsidRDefault="00A90E9C" w:rsidP="00633779">
            <w:pPr>
              <w:jc w:val="center"/>
              <w:rPr>
                <w:rFonts w:ascii="Arial" w:hAnsi="Arial" w:cs="Arial"/>
                <w:b/>
                <w:sz w:val="20"/>
                <w:szCs w:val="20"/>
              </w:rPr>
            </w:pPr>
            <w:r w:rsidRPr="008A26D2">
              <w:rPr>
                <w:rFonts w:ascii="Arial" w:hAnsi="Arial" w:cs="Arial"/>
                <w:b/>
                <w:sz w:val="20"/>
                <w:szCs w:val="20"/>
              </w:rPr>
              <w:t>2023</w:t>
            </w:r>
          </w:p>
        </w:tc>
        <w:tc>
          <w:tcPr>
            <w:tcW w:w="992" w:type="dxa"/>
            <w:shd w:val="clear" w:color="auto" w:fill="auto"/>
            <w:vAlign w:val="center"/>
          </w:tcPr>
          <w:p w14:paraId="0B27B552" w14:textId="77777777" w:rsidR="00A90E9C" w:rsidRPr="008A26D2" w:rsidRDefault="00A90E9C" w:rsidP="00633779">
            <w:pPr>
              <w:jc w:val="center"/>
              <w:rPr>
                <w:rFonts w:ascii="Arial" w:hAnsi="Arial" w:cs="Arial"/>
                <w:b/>
                <w:sz w:val="20"/>
                <w:szCs w:val="20"/>
              </w:rPr>
            </w:pPr>
            <w:r w:rsidRPr="008A26D2">
              <w:rPr>
                <w:rFonts w:ascii="Arial" w:hAnsi="Arial" w:cs="Arial"/>
                <w:b/>
                <w:sz w:val="20"/>
                <w:szCs w:val="20"/>
              </w:rPr>
              <w:t>2024</w:t>
            </w:r>
          </w:p>
        </w:tc>
        <w:tc>
          <w:tcPr>
            <w:tcW w:w="851" w:type="dxa"/>
            <w:gridSpan w:val="2"/>
            <w:shd w:val="clear" w:color="auto" w:fill="auto"/>
            <w:vAlign w:val="center"/>
          </w:tcPr>
          <w:p w14:paraId="0D63BE31" w14:textId="77777777" w:rsidR="00A90E9C" w:rsidRPr="008A26D2" w:rsidRDefault="00A90E9C" w:rsidP="00633779">
            <w:pPr>
              <w:jc w:val="center"/>
              <w:rPr>
                <w:rFonts w:ascii="Arial" w:hAnsi="Arial" w:cs="Arial"/>
                <w:b/>
                <w:sz w:val="20"/>
                <w:szCs w:val="20"/>
              </w:rPr>
            </w:pPr>
            <w:r w:rsidRPr="008A26D2">
              <w:rPr>
                <w:rFonts w:ascii="Arial" w:hAnsi="Arial" w:cs="Arial"/>
                <w:b/>
                <w:sz w:val="20"/>
                <w:szCs w:val="20"/>
              </w:rPr>
              <w:t>2025</w:t>
            </w:r>
          </w:p>
        </w:tc>
        <w:tc>
          <w:tcPr>
            <w:tcW w:w="992" w:type="dxa"/>
            <w:shd w:val="clear" w:color="auto" w:fill="auto"/>
            <w:vAlign w:val="center"/>
          </w:tcPr>
          <w:p w14:paraId="46842881" w14:textId="77777777" w:rsidR="00A90E9C" w:rsidRPr="008A26D2" w:rsidRDefault="00A90E9C" w:rsidP="00633779">
            <w:pPr>
              <w:jc w:val="center"/>
              <w:rPr>
                <w:rFonts w:ascii="Arial" w:hAnsi="Arial" w:cs="Arial"/>
                <w:b/>
                <w:sz w:val="20"/>
                <w:szCs w:val="20"/>
              </w:rPr>
            </w:pPr>
            <w:r w:rsidRPr="008A26D2">
              <w:rPr>
                <w:rFonts w:ascii="Arial" w:hAnsi="Arial" w:cs="Arial"/>
                <w:b/>
                <w:sz w:val="20"/>
                <w:szCs w:val="20"/>
              </w:rPr>
              <w:t>2026</w:t>
            </w:r>
          </w:p>
        </w:tc>
        <w:tc>
          <w:tcPr>
            <w:tcW w:w="992" w:type="dxa"/>
            <w:shd w:val="clear" w:color="auto" w:fill="auto"/>
            <w:vAlign w:val="center"/>
          </w:tcPr>
          <w:p w14:paraId="5712BA5F" w14:textId="77777777" w:rsidR="00A90E9C" w:rsidRPr="008A26D2" w:rsidRDefault="00A90E9C" w:rsidP="00633779">
            <w:pPr>
              <w:jc w:val="center"/>
              <w:rPr>
                <w:rFonts w:ascii="Arial" w:hAnsi="Arial" w:cs="Arial"/>
                <w:b/>
                <w:sz w:val="20"/>
                <w:szCs w:val="20"/>
              </w:rPr>
            </w:pPr>
            <w:r w:rsidRPr="008A26D2">
              <w:rPr>
                <w:rFonts w:ascii="Arial" w:hAnsi="Arial" w:cs="Arial"/>
                <w:b/>
                <w:sz w:val="20"/>
                <w:szCs w:val="20"/>
              </w:rPr>
              <w:t>2027</w:t>
            </w:r>
          </w:p>
        </w:tc>
        <w:tc>
          <w:tcPr>
            <w:tcW w:w="851" w:type="dxa"/>
            <w:shd w:val="clear" w:color="auto" w:fill="auto"/>
            <w:vAlign w:val="center"/>
          </w:tcPr>
          <w:p w14:paraId="0484C2BB" w14:textId="77777777" w:rsidR="00A90E9C" w:rsidRPr="008A26D2" w:rsidRDefault="00A90E9C" w:rsidP="00633779">
            <w:pPr>
              <w:jc w:val="center"/>
              <w:rPr>
                <w:rFonts w:ascii="Arial" w:hAnsi="Arial" w:cs="Arial"/>
                <w:b/>
                <w:sz w:val="20"/>
                <w:szCs w:val="20"/>
              </w:rPr>
            </w:pPr>
            <w:r w:rsidRPr="008A26D2">
              <w:rPr>
                <w:rFonts w:ascii="Arial" w:hAnsi="Arial" w:cs="Arial"/>
                <w:b/>
                <w:sz w:val="20"/>
                <w:szCs w:val="20"/>
              </w:rPr>
              <w:t>2028</w:t>
            </w:r>
          </w:p>
        </w:tc>
        <w:tc>
          <w:tcPr>
            <w:tcW w:w="992" w:type="dxa"/>
            <w:gridSpan w:val="2"/>
            <w:shd w:val="clear" w:color="auto" w:fill="auto"/>
            <w:vAlign w:val="center"/>
          </w:tcPr>
          <w:p w14:paraId="742F28D7" w14:textId="77777777" w:rsidR="00A90E9C" w:rsidRPr="008A26D2" w:rsidRDefault="00A90E9C" w:rsidP="00633779">
            <w:pPr>
              <w:jc w:val="center"/>
              <w:rPr>
                <w:rFonts w:ascii="Arial" w:hAnsi="Arial" w:cs="Arial"/>
                <w:b/>
                <w:sz w:val="20"/>
                <w:szCs w:val="20"/>
              </w:rPr>
            </w:pPr>
            <w:r w:rsidRPr="008A26D2">
              <w:rPr>
                <w:rFonts w:ascii="Arial" w:hAnsi="Arial" w:cs="Arial"/>
                <w:b/>
                <w:sz w:val="20"/>
                <w:szCs w:val="20"/>
              </w:rPr>
              <w:t>2029</w:t>
            </w:r>
          </w:p>
        </w:tc>
        <w:tc>
          <w:tcPr>
            <w:tcW w:w="709" w:type="dxa"/>
            <w:shd w:val="clear" w:color="auto" w:fill="auto"/>
            <w:tcMar>
              <w:top w:w="10" w:type="dxa"/>
              <w:left w:w="10" w:type="dxa"/>
              <w:bottom w:w="0" w:type="dxa"/>
              <w:right w:w="10" w:type="dxa"/>
            </w:tcMar>
            <w:vAlign w:val="center"/>
          </w:tcPr>
          <w:p w14:paraId="503EC70D" w14:textId="77777777" w:rsidR="00A90E9C" w:rsidRPr="008A26D2" w:rsidRDefault="00A90E9C" w:rsidP="00633779">
            <w:pPr>
              <w:jc w:val="center"/>
              <w:rPr>
                <w:rFonts w:ascii="Arial" w:hAnsi="Arial" w:cs="Arial"/>
                <w:b/>
                <w:sz w:val="20"/>
                <w:szCs w:val="20"/>
              </w:rPr>
            </w:pPr>
            <w:r w:rsidRPr="008A26D2">
              <w:rPr>
                <w:rFonts w:ascii="Arial" w:hAnsi="Arial" w:cs="Arial"/>
                <w:b/>
                <w:sz w:val="20"/>
                <w:szCs w:val="20"/>
              </w:rPr>
              <w:t>2030</w:t>
            </w:r>
          </w:p>
        </w:tc>
      </w:tr>
      <w:tr w:rsidR="008A26D2" w:rsidRPr="008A26D2" w14:paraId="0A20D014" w14:textId="77777777" w:rsidTr="00633779">
        <w:trPr>
          <w:trHeight w:val="81"/>
        </w:trPr>
        <w:tc>
          <w:tcPr>
            <w:tcW w:w="709" w:type="dxa"/>
            <w:shd w:val="clear" w:color="auto" w:fill="auto"/>
            <w:tcMar>
              <w:top w:w="10" w:type="dxa"/>
              <w:left w:w="10" w:type="dxa"/>
              <w:bottom w:w="0" w:type="dxa"/>
              <w:right w:w="10" w:type="dxa"/>
            </w:tcMar>
            <w:vAlign w:val="center"/>
          </w:tcPr>
          <w:p w14:paraId="75C8F7EE" w14:textId="77777777" w:rsidR="00A90E9C" w:rsidRPr="008A26D2" w:rsidRDefault="00A90E9C" w:rsidP="00633779">
            <w:pPr>
              <w:jc w:val="center"/>
              <w:rPr>
                <w:rFonts w:ascii="Arial" w:hAnsi="Arial" w:cs="Arial"/>
                <w:sz w:val="20"/>
                <w:szCs w:val="20"/>
              </w:rPr>
            </w:pPr>
            <w:r w:rsidRPr="008A26D2">
              <w:rPr>
                <w:rFonts w:ascii="Arial" w:hAnsi="Arial" w:cs="Arial"/>
                <w:b/>
                <w:sz w:val="20"/>
                <w:szCs w:val="20"/>
              </w:rPr>
              <w:t>Valor</w:t>
            </w:r>
          </w:p>
        </w:tc>
        <w:tc>
          <w:tcPr>
            <w:tcW w:w="709" w:type="dxa"/>
            <w:shd w:val="clear" w:color="auto" w:fill="auto"/>
            <w:tcMar>
              <w:top w:w="10" w:type="dxa"/>
              <w:left w:w="10" w:type="dxa"/>
              <w:bottom w:w="0" w:type="dxa"/>
              <w:right w:w="10" w:type="dxa"/>
            </w:tcMar>
            <w:vAlign w:val="center"/>
          </w:tcPr>
          <w:p w14:paraId="39DC5149" w14:textId="756A2804" w:rsidR="00A90E9C" w:rsidRPr="008A26D2" w:rsidRDefault="002A3BBD" w:rsidP="00633779">
            <w:pPr>
              <w:jc w:val="center"/>
              <w:rPr>
                <w:rFonts w:ascii="Arial" w:hAnsi="Arial" w:cs="Arial"/>
                <w:sz w:val="20"/>
                <w:szCs w:val="20"/>
              </w:rPr>
            </w:pPr>
            <w:r w:rsidRPr="00BD1985">
              <w:rPr>
                <w:rFonts w:ascii="Arial" w:hAnsi="Arial" w:cs="Arial"/>
                <w:sz w:val="20"/>
                <w:szCs w:val="20"/>
              </w:rPr>
              <w:t>ND</w:t>
            </w:r>
          </w:p>
        </w:tc>
        <w:tc>
          <w:tcPr>
            <w:tcW w:w="992" w:type="dxa"/>
            <w:gridSpan w:val="2"/>
            <w:shd w:val="clear" w:color="auto" w:fill="auto"/>
            <w:tcMar>
              <w:top w:w="10" w:type="dxa"/>
              <w:left w:w="10" w:type="dxa"/>
              <w:bottom w:w="0" w:type="dxa"/>
              <w:right w:w="10" w:type="dxa"/>
            </w:tcMar>
            <w:vAlign w:val="center"/>
          </w:tcPr>
          <w:p w14:paraId="54271FAE" w14:textId="77777777" w:rsidR="00A90E9C" w:rsidRPr="008A26D2" w:rsidRDefault="00A90E9C" w:rsidP="00633779">
            <w:pPr>
              <w:spacing w:after="0" w:line="240" w:lineRule="auto"/>
              <w:jc w:val="center"/>
              <w:rPr>
                <w:rFonts w:ascii="Arial" w:eastAsia="Arial Narrow" w:hAnsi="Arial" w:cs="Arial"/>
                <w:sz w:val="20"/>
                <w:szCs w:val="20"/>
              </w:rPr>
            </w:pPr>
            <w:r w:rsidRPr="008A26D2">
              <w:rPr>
                <w:rFonts w:ascii="Arial" w:eastAsia="Arial Narrow" w:hAnsi="Arial" w:cs="Arial"/>
                <w:sz w:val="20"/>
                <w:szCs w:val="20"/>
              </w:rPr>
              <w:t>80%</w:t>
            </w:r>
          </w:p>
        </w:tc>
        <w:tc>
          <w:tcPr>
            <w:tcW w:w="992" w:type="dxa"/>
            <w:shd w:val="clear" w:color="auto" w:fill="auto"/>
            <w:vAlign w:val="center"/>
          </w:tcPr>
          <w:p w14:paraId="7BF73EF5" w14:textId="77777777" w:rsidR="00A90E9C" w:rsidRPr="008A26D2" w:rsidRDefault="00A90E9C" w:rsidP="00633779">
            <w:pPr>
              <w:spacing w:after="0" w:line="240" w:lineRule="auto"/>
              <w:jc w:val="center"/>
              <w:rPr>
                <w:rFonts w:ascii="Arial" w:eastAsia="Arial Narrow" w:hAnsi="Arial" w:cs="Arial"/>
                <w:sz w:val="20"/>
                <w:szCs w:val="20"/>
              </w:rPr>
            </w:pPr>
            <w:r w:rsidRPr="008A26D2">
              <w:rPr>
                <w:rFonts w:ascii="Arial" w:eastAsia="Arial Narrow" w:hAnsi="Arial" w:cs="Arial"/>
                <w:sz w:val="20"/>
                <w:szCs w:val="20"/>
              </w:rPr>
              <w:t>80%</w:t>
            </w:r>
          </w:p>
        </w:tc>
        <w:tc>
          <w:tcPr>
            <w:tcW w:w="851" w:type="dxa"/>
            <w:gridSpan w:val="2"/>
            <w:shd w:val="clear" w:color="auto" w:fill="auto"/>
            <w:vAlign w:val="center"/>
          </w:tcPr>
          <w:p w14:paraId="57373AA8" w14:textId="77777777" w:rsidR="00A90E9C" w:rsidRPr="008A26D2" w:rsidRDefault="00A90E9C" w:rsidP="00633779">
            <w:pPr>
              <w:spacing w:after="0" w:line="240" w:lineRule="auto"/>
              <w:jc w:val="center"/>
              <w:rPr>
                <w:rFonts w:ascii="Arial" w:eastAsia="Arial Narrow" w:hAnsi="Arial" w:cs="Arial"/>
                <w:sz w:val="20"/>
                <w:szCs w:val="20"/>
              </w:rPr>
            </w:pPr>
            <w:r w:rsidRPr="008A26D2">
              <w:rPr>
                <w:rFonts w:ascii="Arial" w:eastAsia="Arial Narrow" w:hAnsi="Arial" w:cs="Arial"/>
                <w:sz w:val="20"/>
                <w:szCs w:val="20"/>
              </w:rPr>
              <w:t>80%</w:t>
            </w:r>
          </w:p>
        </w:tc>
        <w:tc>
          <w:tcPr>
            <w:tcW w:w="992" w:type="dxa"/>
            <w:shd w:val="clear" w:color="auto" w:fill="auto"/>
            <w:vAlign w:val="center"/>
          </w:tcPr>
          <w:p w14:paraId="7CD23065" w14:textId="77777777" w:rsidR="00A90E9C" w:rsidRPr="008A26D2" w:rsidRDefault="00A90E9C" w:rsidP="00633779">
            <w:pPr>
              <w:spacing w:after="0" w:line="240" w:lineRule="auto"/>
              <w:jc w:val="center"/>
              <w:rPr>
                <w:rFonts w:ascii="Arial" w:eastAsia="Arial Narrow" w:hAnsi="Arial" w:cs="Arial"/>
                <w:sz w:val="20"/>
                <w:szCs w:val="20"/>
              </w:rPr>
            </w:pPr>
            <w:r w:rsidRPr="008A26D2">
              <w:rPr>
                <w:rFonts w:ascii="Arial" w:eastAsia="Arial Narrow" w:hAnsi="Arial" w:cs="Arial"/>
                <w:sz w:val="20"/>
                <w:szCs w:val="20"/>
              </w:rPr>
              <w:t>85%</w:t>
            </w:r>
          </w:p>
        </w:tc>
        <w:tc>
          <w:tcPr>
            <w:tcW w:w="992" w:type="dxa"/>
            <w:shd w:val="clear" w:color="auto" w:fill="auto"/>
            <w:vAlign w:val="center"/>
          </w:tcPr>
          <w:p w14:paraId="26978C14" w14:textId="77777777" w:rsidR="00A90E9C" w:rsidRPr="008A26D2" w:rsidRDefault="00A90E9C" w:rsidP="00633779">
            <w:pPr>
              <w:spacing w:after="0" w:line="240" w:lineRule="auto"/>
              <w:jc w:val="center"/>
              <w:rPr>
                <w:rFonts w:ascii="Arial" w:eastAsia="Arial Narrow" w:hAnsi="Arial" w:cs="Arial"/>
                <w:sz w:val="20"/>
                <w:szCs w:val="20"/>
              </w:rPr>
            </w:pPr>
            <w:r w:rsidRPr="008A26D2">
              <w:rPr>
                <w:rFonts w:ascii="Arial" w:eastAsia="Arial Narrow" w:hAnsi="Arial" w:cs="Arial"/>
                <w:sz w:val="20"/>
                <w:szCs w:val="20"/>
              </w:rPr>
              <w:t>85%</w:t>
            </w:r>
          </w:p>
        </w:tc>
        <w:tc>
          <w:tcPr>
            <w:tcW w:w="851" w:type="dxa"/>
            <w:shd w:val="clear" w:color="auto" w:fill="auto"/>
            <w:vAlign w:val="center"/>
          </w:tcPr>
          <w:p w14:paraId="1EE598A2" w14:textId="77777777" w:rsidR="00A90E9C" w:rsidRPr="008A26D2" w:rsidRDefault="00A90E9C" w:rsidP="00633779">
            <w:pPr>
              <w:spacing w:after="0" w:line="240" w:lineRule="auto"/>
              <w:jc w:val="center"/>
              <w:rPr>
                <w:rFonts w:ascii="Arial" w:eastAsia="Arial Narrow" w:hAnsi="Arial" w:cs="Arial"/>
                <w:sz w:val="20"/>
                <w:szCs w:val="20"/>
              </w:rPr>
            </w:pPr>
            <w:r w:rsidRPr="008A26D2">
              <w:rPr>
                <w:rFonts w:ascii="Arial" w:eastAsia="Arial Narrow" w:hAnsi="Arial" w:cs="Arial"/>
                <w:sz w:val="20"/>
                <w:szCs w:val="20"/>
              </w:rPr>
              <w:t>85%</w:t>
            </w:r>
          </w:p>
        </w:tc>
        <w:tc>
          <w:tcPr>
            <w:tcW w:w="992" w:type="dxa"/>
            <w:gridSpan w:val="2"/>
            <w:shd w:val="clear" w:color="auto" w:fill="auto"/>
            <w:vAlign w:val="center"/>
          </w:tcPr>
          <w:p w14:paraId="691D4F9F" w14:textId="77777777" w:rsidR="00A90E9C" w:rsidRPr="008A26D2" w:rsidRDefault="00A90E9C" w:rsidP="00633779">
            <w:pPr>
              <w:spacing w:after="0" w:line="240" w:lineRule="auto"/>
              <w:jc w:val="center"/>
              <w:rPr>
                <w:rFonts w:ascii="Arial" w:eastAsia="Arial Narrow" w:hAnsi="Arial" w:cs="Arial"/>
                <w:sz w:val="20"/>
                <w:szCs w:val="20"/>
              </w:rPr>
            </w:pPr>
            <w:r w:rsidRPr="008A26D2">
              <w:rPr>
                <w:rFonts w:ascii="Arial" w:eastAsia="Arial Narrow" w:hAnsi="Arial" w:cs="Arial"/>
                <w:sz w:val="20"/>
                <w:szCs w:val="20"/>
              </w:rPr>
              <w:t>90%</w:t>
            </w:r>
          </w:p>
        </w:tc>
        <w:tc>
          <w:tcPr>
            <w:tcW w:w="709" w:type="dxa"/>
            <w:shd w:val="clear" w:color="auto" w:fill="auto"/>
            <w:tcMar>
              <w:top w:w="10" w:type="dxa"/>
              <w:left w:w="10" w:type="dxa"/>
              <w:bottom w:w="0" w:type="dxa"/>
              <w:right w:w="10" w:type="dxa"/>
            </w:tcMar>
            <w:vAlign w:val="center"/>
          </w:tcPr>
          <w:p w14:paraId="24847FA0" w14:textId="77777777" w:rsidR="00A90E9C" w:rsidRPr="008A26D2" w:rsidRDefault="00A90E9C" w:rsidP="00633779">
            <w:pPr>
              <w:spacing w:after="0" w:line="240" w:lineRule="auto"/>
              <w:jc w:val="center"/>
              <w:rPr>
                <w:rFonts w:ascii="Arial" w:eastAsia="Arial Narrow" w:hAnsi="Arial" w:cs="Arial"/>
                <w:sz w:val="20"/>
                <w:szCs w:val="20"/>
              </w:rPr>
            </w:pPr>
            <w:r w:rsidRPr="008A26D2">
              <w:rPr>
                <w:rFonts w:ascii="Arial" w:eastAsia="Arial Narrow" w:hAnsi="Arial" w:cs="Arial"/>
                <w:sz w:val="20"/>
                <w:szCs w:val="20"/>
              </w:rPr>
              <w:t>90%</w:t>
            </w:r>
          </w:p>
        </w:tc>
      </w:tr>
    </w:tbl>
    <w:p w14:paraId="27DB5686" w14:textId="77777777" w:rsidR="00A90E9C" w:rsidRPr="008A26D2" w:rsidRDefault="00A90E9C" w:rsidP="00A90E9C"/>
    <w:p w14:paraId="2493228E" w14:textId="77777777" w:rsidR="00A90E9C" w:rsidRDefault="00A90E9C" w:rsidP="00A90E9C"/>
    <w:p w14:paraId="2EEB21D1" w14:textId="77777777" w:rsidR="00BD1985" w:rsidRPr="008A26D2" w:rsidRDefault="00BD1985" w:rsidP="00A90E9C"/>
    <w:tbl>
      <w:tblPr>
        <w:tblW w:w="87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1148"/>
        <w:gridCol w:w="553"/>
        <w:gridCol w:w="284"/>
        <w:gridCol w:w="992"/>
        <w:gridCol w:w="992"/>
        <w:gridCol w:w="993"/>
        <w:gridCol w:w="850"/>
        <w:gridCol w:w="709"/>
        <w:gridCol w:w="992"/>
        <w:gridCol w:w="709"/>
      </w:tblGrid>
      <w:tr w:rsidR="008A26D2" w:rsidRPr="008A26D2" w14:paraId="3AE6AED8" w14:textId="77777777" w:rsidTr="00C73F1F">
        <w:trPr>
          <w:trHeight w:val="251"/>
        </w:trPr>
        <w:tc>
          <w:tcPr>
            <w:tcW w:w="8789" w:type="dxa"/>
            <w:gridSpan w:val="11"/>
            <w:shd w:val="clear" w:color="auto" w:fill="D9D9D9" w:themeFill="background1" w:themeFillShade="D9"/>
          </w:tcPr>
          <w:p w14:paraId="3BA16D30" w14:textId="77777777" w:rsidR="00A90E9C" w:rsidRPr="008A26D2" w:rsidRDefault="00A90E9C" w:rsidP="0072651A">
            <w:pPr>
              <w:jc w:val="center"/>
              <w:rPr>
                <w:rFonts w:ascii="Arial" w:hAnsi="Arial" w:cs="Arial"/>
                <w:sz w:val="20"/>
                <w:szCs w:val="20"/>
              </w:rPr>
            </w:pPr>
            <w:r w:rsidRPr="008A26D2">
              <w:rPr>
                <w:rFonts w:ascii="Arial" w:hAnsi="Arial" w:cs="Arial"/>
                <w:sz w:val="20"/>
                <w:szCs w:val="20"/>
              </w:rPr>
              <w:lastRenderedPageBreak/>
              <w:br w:type="page"/>
            </w:r>
            <w:r w:rsidRPr="008A26D2">
              <w:rPr>
                <w:rFonts w:ascii="Arial" w:hAnsi="Arial" w:cs="Arial"/>
                <w:b/>
                <w:sz w:val="20"/>
                <w:szCs w:val="20"/>
              </w:rPr>
              <w:t>FICHA TÉCNICA DE INDICADOR DE SERVICIO 1.4.1</w:t>
            </w:r>
          </w:p>
        </w:tc>
      </w:tr>
      <w:tr w:rsidR="008A26D2" w:rsidRPr="008A26D2" w14:paraId="38931594" w14:textId="77777777" w:rsidTr="00C73F1F">
        <w:trPr>
          <w:trHeight w:val="409"/>
        </w:trPr>
        <w:tc>
          <w:tcPr>
            <w:tcW w:w="2268" w:type="dxa"/>
            <w:gridSpan w:val="3"/>
            <w:shd w:val="clear" w:color="auto" w:fill="FFFFFF"/>
            <w:tcMar>
              <w:top w:w="10" w:type="dxa"/>
              <w:left w:w="93" w:type="dxa"/>
              <w:bottom w:w="0" w:type="dxa"/>
              <w:right w:w="10" w:type="dxa"/>
            </w:tcMar>
            <w:vAlign w:val="center"/>
          </w:tcPr>
          <w:p w14:paraId="3ECE573B" w14:textId="77777777" w:rsidR="00A90E9C" w:rsidRPr="008A26D2" w:rsidRDefault="00A90E9C" w:rsidP="0072651A">
            <w:pPr>
              <w:rPr>
                <w:rFonts w:ascii="Arial" w:hAnsi="Arial" w:cs="Arial"/>
                <w:sz w:val="20"/>
                <w:szCs w:val="20"/>
              </w:rPr>
            </w:pPr>
            <w:r w:rsidRPr="008A26D2">
              <w:rPr>
                <w:rFonts w:ascii="Arial" w:hAnsi="Arial" w:cs="Arial"/>
                <w:b/>
                <w:sz w:val="20"/>
                <w:szCs w:val="20"/>
              </w:rPr>
              <w:t>Objetivo prioritario:</w:t>
            </w:r>
          </w:p>
        </w:tc>
        <w:tc>
          <w:tcPr>
            <w:tcW w:w="6521" w:type="dxa"/>
            <w:gridSpan w:val="8"/>
            <w:shd w:val="clear" w:color="auto" w:fill="FFFFFF"/>
          </w:tcPr>
          <w:p w14:paraId="0CF54635" w14:textId="77777777" w:rsidR="00A90E9C" w:rsidRPr="008A26D2" w:rsidRDefault="00A90E9C" w:rsidP="0072651A">
            <w:pPr>
              <w:spacing w:after="0" w:line="240" w:lineRule="auto"/>
              <w:jc w:val="both"/>
              <w:rPr>
                <w:rFonts w:ascii="Arial" w:hAnsi="Arial" w:cs="Arial"/>
                <w:sz w:val="20"/>
                <w:szCs w:val="20"/>
              </w:rPr>
            </w:pPr>
            <w:r w:rsidRPr="008A26D2">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r>
      <w:tr w:rsidR="008A26D2" w:rsidRPr="008A26D2" w14:paraId="09239909" w14:textId="77777777" w:rsidTr="00C73F1F">
        <w:trPr>
          <w:trHeight w:val="436"/>
        </w:trPr>
        <w:tc>
          <w:tcPr>
            <w:tcW w:w="2268" w:type="dxa"/>
            <w:gridSpan w:val="3"/>
            <w:shd w:val="clear" w:color="auto" w:fill="auto"/>
            <w:tcMar>
              <w:top w:w="10" w:type="dxa"/>
              <w:left w:w="93" w:type="dxa"/>
              <w:bottom w:w="0" w:type="dxa"/>
              <w:right w:w="10" w:type="dxa"/>
            </w:tcMar>
            <w:vAlign w:val="center"/>
          </w:tcPr>
          <w:p w14:paraId="7DAF9CB0" w14:textId="77777777" w:rsidR="00A90E9C" w:rsidRPr="008A26D2" w:rsidRDefault="00A90E9C" w:rsidP="0072651A">
            <w:pPr>
              <w:rPr>
                <w:rFonts w:ascii="Arial" w:hAnsi="Arial" w:cs="Arial"/>
                <w:sz w:val="20"/>
                <w:szCs w:val="20"/>
              </w:rPr>
            </w:pPr>
            <w:r w:rsidRPr="008A26D2">
              <w:rPr>
                <w:rFonts w:ascii="Arial" w:hAnsi="Arial" w:cs="Arial"/>
                <w:b/>
                <w:sz w:val="20"/>
                <w:szCs w:val="20"/>
              </w:rPr>
              <w:t>Lineamiento de la política:</w:t>
            </w:r>
          </w:p>
        </w:tc>
        <w:tc>
          <w:tcPr>
            <w:tcW w:w="6521" w:type="dxa"/>
            <w:gridSpan w:val="8"/>
          </w:tcPr>
          <w:p w14:paraId="551B088B" w14:textId="77777777" w:rsidR="00A90E9C" w:rsidRPr="008A26D2" w:rsidRDefault="00A90E9C" w:rsidP="0072651A">
            <w:pPr>
              <w:spacing w:after="0" w:line="240" w:lineRule="auto"/>
              <w:jc w:val="both"/>
              <w:rPr>
                <w:rFonts w:ascii="Arial" w:hAnsi="Arial" w:cs="Arial"/>
                <w:sz w:val="20"/>
                <w:szCs w:val="20"/>
              </w:rPr>
            </w:pPr>
            <w:r w:rsidRPr="008A26D2">
              <w:rPr>
                <w:rFonts w:ascii="Arial" w:eastAsia="Arial Narrow" w:hAnsi="Arial" w:cs="Arial"/>
                <w:sz w:val="20"/>
                <w:szCs w:val="20"/>
              </w:rPr>
              <w:t>L1.4 Incentivar el desarrollo de mecanismos financieros o de retribución por servicios ecosistémicos para la conservación, recuperación y uso sostenible de los ecosistemas forestales y otros ecosistemas de vegetación silvestre</w:t>
            </w:r>
          </w:p>
        </w:tc>
      </w:tr>
      <w:tr w:rsidR="008A26D2" w:rsidRPr="008A26D2" w14:paraId="38EFA295" w14:textId="77777777" w:rsidTr="003055A2">
        <w:trPr>
          <w:trHeight w:val="1556"/>
        </w:trPr>
        <w:tc>
          <w:tcPr>
            <w:tcW w:w="2268" w:type="dxa"/>
            <w:gridSpan w:val="3"/>
            <w:shd w:val="clear" w:color="auto" w:fill="auto"/>
            <w:tcMar>
              <w:top w:w="10" w:type="dxa"/>
              <w:left w:w="93" w:type="dxa"/>
              <w:bottom w:w="0" w:type="dxa"/>
              <w:right w:w="10" w:type="dxa"/>
            </w:tcMar>
            <w:vAlign w:val="center"/>
          </w:tcPr>
          <w:p w14:paraId="35B2AE42" w14:textId="77777777" w:rsidR="00A90E9C" w:rsidRPr="008A26D2" w:rsidRDefault="00A90E9C" w:rsidP="0072651A">
            <w:pPr>
              <w:rPr>
                <w:rFonts w:ascii="Arial" w:hAnsi="Arial" w:cs="Arial"/>
                <w:sz w:val="20"/>
                <w:szCs w:val="20"/>
              </w:rPr>
            </w:pPr>
            <w:r w:rsidRPr="008A26D2">
              <w:rPr>
                <w:rFonts w:ascii="Arial" w:hAnsi="Arial" w:cs="Arial"/>
                <w:b/>
                <w:sz w:val="20"/>
                <w:szCs w:val="20"/>
              </w:rPr>
              <w:t>Nombre del servicio:</w:t>
            </w:r>
          </w:p>
        </w:tc>
        <w:tc>
          <w:tcPr>
            <w:tcW w:w="6521" w:type="dxa"/>
            <w:gridSpan w:val="8"/>
          </w:tcPr>
          <w:p w14:paraId="6D7C86C1" w14:textId="0CEA1CA5" w:rsidR="009B5370" w:rsidRPr="008A26D2" w:rsidRDefault="00A90E9C" w:rsidP="009B5370">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S1.4.1 </w:t>
            </w:r>
            <w:r w:rsidR="00F43B15" w:rsidRPr="008A26D2">
              <w:rPr>
                <w:rFonts w:ascii="Arial" w:eastAsia="Arial Narrow" w:hAnsi="Arial" w:cs="Arial"/>
                <w:sz w:val="20"/>
                <w:szCs w:val="20"/>
              </w:rPr>
              <w:t>Asistencia técnica para el desarrollo de mecanismos financieros orientados a la conservación y gestión de los ecosistemas forestales y otros ecosistemas de vegetación silvestre y medidas frente al cambio climático, satisfactoriamente a las Autoridades Regionales Forestales y de Fauna Silvestre y otros usuarios forestales y de fauna silvestre</w:t>
            </w:r>
            <w:r w:rsidR="009B5370" w:rsidRPr="008A26D2">
              <w:rPr>
                <w:rFonts w:ascii="Arial" w:eastAsia="Arial Narrow" w:hAnsi="Arial" w:cs="Arial"/>
                <w:sz w:val="20"/>
                <w:szCs w:val="20"/>
              </w:rPr>
              <w:t>.</w:t>
            </w:r>
          </w:p>
          <w:p w14:paraId="22D3F877" w14:textId="7268BC77" w:rsidR="009B5370" w:rsidRPr="008A26D2" w:rsidRDefault="009B5370" w:rsidP="0072651A">
            <w:pPr>
              <w:pBdr>
                <w:top w:val="nil"/>
                <w:left w:val="nil"/>
                <w:bottom w:val="nil"/>
                <w:right w:val="nil"/>
                <w:between w:val="nil"/>
              </w:pBdr>
              <w:spacing w:after="0" w:line="240" w:lineRule="auto"/>
              <w:jc w:val="both"/>
              <w:rPr>
                <w:rFonts w:ascii="Arial" w:hAnsi="Arial" w:cs="Arial"/>
                <w:sz w:val="20"/>
                <w:szCs w:val="20"/>
              </w:rPr>
            </w:pPr>
          </w:p>
        </w:tc>
      </w:tr>
      <w:tr w:rsidR="008A26D2" w:rsidRPr="008A26D2" w14:paraId="6C0B9C34" w14:textId="77777777" w:rsidTr="003055A2">
        <w:trPr>
          <w:trHeight w:val="842"/>
        </w:trPr>
        <w:tc>
          <w:tcPr>
            <w:tcW w:w="2268" w:type="dxa"/>
            <w:gridSpan w:val="3"/>
            <w:shd w:val="clear" w:color="auto" w:fill="auto"/>
            <w:tcMar>
              <w:top w:w="10" w:type="dxa"/>
              <w:left w:w="93" w:type="dxa"/>
              <w:bottom w:w="0" w:type="dxa"/>
              <w:right w:w="10" w:type="dxa"/>
            </w:tcMar>
            <w:vAlign w:val="center"/>
          </w:tcPr>
          <w:p w14:paraId="5C3CEE31" w14:textId="77777777" w:rsidR="00A90E9C" w:rsidRPr="008A26D2" w:rsidRDefault="00A90E9C" w:rsidP="0072651A">
            <w:pPr>
              <w:rPr>
                <w:rFonts w:ascii="Arial" w:hAnsi="Arial" w:cs="Arial"/>
                <w:sz w:val="20"/>
                <w:szCs w:val="20"/>
              </w:rPr>
            </w:pPr>
            <w:r w:rsidRPr="008A26D2">
              <w:rPr>
                <w:rFonts w:ascii="Arial" w:hAnsi="Arial" w:cs="Arial"/>
                <w:b/>
                <w:sz w:val="20"/>
                <w:szCs w:val="20"/>
              </w:rPr>
              <w:t>Nombre del indicador:</w:t>
            </w:r>
          </w:p>
        </w:tc>
        <w:tc>
          <w:tcPr>
            <w:tcW w:w="6521" w:type="dxa"/>
            <w:gridSpan w:val="8"/>
          </w:tcPr>
          <w:p w14:paraId="288AB341" w14:textId="0A9DFF19" w:rsidR="00A90E9C" w:rsidRPr="008A26D2" w:rsidRDefault="00A90E9C" w:rsidP="0072651A">
            <w:pPr>
              <w:spacing w:after="0" w:line="240" w:lineRule="auto"/>
              <w:jc w:val="both"/>
              <w:rPr>
                <w:rFonts w:ascii="Arial" w:eastAsia="Arial Narrow" w:hAnsi="Arial" w:cs="Arial"/>
                <w:strike/>
                <w:sz w:val="20"/>
                <w:szCs w:val="20"/>
              </w:rPr>
            </w:pPr>
            <w:r w:rsidRPr="008A26D2">
              <w:rPr>
                <w:rFonts w:ascii="Arial" w:hAnsi="Arial" w:cs="Arial"/>
                <w:sz w:val="20"/>
                <w:szCs w:val="20"/>
              </w:rPr>
              <w:t xml:space="preserve">Porcentaje de </w:t>
            </w:r>
            <w:r w:rsidR="00FC549C" w:rsidRPr="008A26D2">
              <w:rPr>
                <w:rFonts w:ascii="Arial" w:hAnsi="Arial" w:cs="Arial"/>
                <w:sz w:val="20"/>
                <w:szCs w:val="20"/>
              </w:rPr>
              <w:t>servidores</w:t>
            </w:r>
            <w:r w:rsidRPr="008A26D2">
              <w:rPr>
                <w:rFonts w:ascii="Arial" w:hAnsi="Arial" w:cs="Arial"/>
                <w:sz w:val="20"/>
                <w:szCs w:val="20"/>
              </w:rPr>
              <w:t xml:space="preserve"> de las </w:t>
            </w:r>
            <w:r w:rsidR="00FC549C" w:rsidRPr="008A26D2">
              <w:rPr>
                <w:rFonts w:ascii="Arial" w:hAnsi="Arial" w:cs="Arial"/>
                <w:sz w:val="20"/>
                <w:szCs w:val="20"/>
              </w:rPr>
              <w:t>A</w:t>
            </w:r>
            <w:r w:rsidRPr="008A26D2">
              <w:rPr>
                <w:rFonts w:ascii="Arial" w:hAnsi="Arial" w:cs="Arial"/>
                <w:sz w:val="20"/>
                <w:szCs w:val="20"/>
              </w:rPr>
              <w:t xml:space="preserve">utoridades </w:t>
            </w:r>
            <w:r w:rsidR="00FC549C" w:rsidRPr="008A26D2">
              <w:rPr>
                <w:rFonts w:ascii="Arial" w:hAnsi="Arial" w:cs="Arial"/>
                <w:sz w:val="20"/>
                <w:szCs w:val="20"/>
              </w:rPr>
              <w:t>R</w:t>
            </w:r>
            <w:r w:rsidRPr="008A26D2">
              <w:rPr>
                <w:rFonts w:ascii="Arial" w:hAnsi="Arial" w:cs="Arial"/>
                <w:sz w:val="20"/>
                <w:szCs w:val="20"/>
              </w:rPr>
              <w:t xml:space="preserve">egionales </w:t>
            </w:r>
            <w:r w:rsidR="00FC549C" w:rsidRPr="008A26D2">
              <w:rPr>
                <w:rFonts w:ascii="Arial" w:hAnsi="Arial" w:cs="Arial"/>
                <w:sz w:val="20"/>
                <w:szCs w:val="20"/>
              </w:rPr>
              <w:t>F</w:t>
            </w:r>
            <w:r w:rsidRPr="008A26D2">
              <w:rPr>
                <w:rFonts w:ascii="Arial" w:hAnsi="Arial" w:cs="Arial"/>
                <w:sz w:val="20"/>
                <w:szCs w:val="20"/>
              </w:rPr>
              <w:t xml:space="preserve">orestales y de </w:t>
            </w:r>
            <w:r w:rsidR="00FC549C" w:rsidRPr="008A26D2">
              <w:rPr>
                <w:rFonts w:ascii="Arial" w:hAnsi="Arial" w:cs="Arial"/>
                <w:sz w:val="20"/>
                <w:szCs w:val="20"/>
              </w:rPr>
              <w:t>F</w:t>
            </w:r>
            <w:r w:rsidRPr="008A26D2">
              <w:rPr>
                <w:rFonts w:ascii="Arial" w:hAnsi="Arial" w:cs="Arial"/>
                <w:sz w:val="20"/>
                <w:szCs w:val="20"/>
              </w:rPr>
              <w:t xml:space="preserve">auna </w:t>
            </w:r>
            <w:r w:rsidR="00FC549C" w:rsidRPr="008A26D2">
              <w:rPr>
                <w:rFonts w:ascii="Arial" w:hAnsi="Arial" w:cs="Arial"/>
                <w:sz w:val="20"/>
                <w:szCs w:val="20"/>
              </w:rPr>
              <w:t>S</w:t>
            </w:r>
            <w:r w:rsidRPr="008A26D2">
              <w:rPr>
                <w:rFonts w:ascii="Arial" w:hAnsi="Arial" w:cs="Arial"/>
                <w:sz w:val="20"/>
                <w:szCs w:val="20"/>
              </w:rPr>
              <w:t xml:space="preserve">ilvestre </w:t>
            </w:r>
            <w:r w:rsidRPr="008A26D2">
              <w:rPr>
                <w:rFonts w:ascii="Arial" w:eastAsia="Arial Narrow" w:hAnsi="Arial" w:cs="Arial"/>
                <w:sz w:val="20"/>
                <w:szCs w:val="20"/>
              </w:rPr>
              <w:t xml:space="preserve">y otros usuarios </w:t>
            </w:r>
            <w:r w:rsidR="00606FC0" w:rsidRPr="008A26D2">
              <w:rPr>
                <w:rFonts w:ascii="Arial" w:eastAsia="Arial Narrow" w:hAnsi="Arial" w:cs="Arial"/>
                <w:sz w:val="20"/>
                <w:szCs w:val="20"/>
              </w:rPr>
              <w:t>forestales y de fauna silvestre</w:t>
            </w:r>
            <w:r w:rsidRPr="008A26D2">
              <w:rPr>
                <w:rFonts w:ascii="Arial" w:hAnsi="Arial" w:cs="Arial"/>
                <w:sz w:val="20"/>
                <w:szCs w:val="20"/>
              </w:rPr>
              <w:t xml:space="preserve"> con alto grado de satisfacción sobre la asistencia técnica recibida</w:t>
            </w:r>
          </w:p>
        </w:tc>
      </w:tr>
      <w:tr w:rsidR="008A26D2" w:rsidRPr="008A26D2" w14:paraId="1756FF34" w14:textId="77777777" w:rsidTr="00C73F1F">
        <w:trPr>
          <w:trHeight w:val="577"/>
        </w:trPr>
        <w:tc>
          <w:tcPr>
            <w:tcW w:w="2268" w:type="dxa"/>
            <w:gridSpan w:val="3"/>
            <w:shd w:val="clear" w:color="auto" w:fill="auto"/>
            <w:tcMar>
              <w:top w:w="10" w:type="dxa"/>
              <w:left w:w="93" w:type="dxa"/>
              <w:bottom w:w="0" w:type="dxa"/>
              <w:right w:w="10" w:type="dxa"/>
            </w:tcMar>
            <w:vAlign w:val="center"/>
          </w:tcPr>
          <w:p w14:paraId="14745DB2" w14:textId="77777777" w:rsidR="00A90E9C" w:rsidRPr="008A26D2" w:rsidRDefault="00A90E9C" w:rsidP="0072651A">
            <w:pPr>
              <w:rPr>
                <w:rFonts w:ascii="Arial" w:hAnsi="Arial" w:cs="Arial"/>
                <w:sz w:val="20"/>
                <w:szCs w:val="20"/>
              </w:rPr>
            </w:pPr>
            <w:r w:rsidRPr="008A26D2">
              <w:rPr>
                <w:rFonts w:ascii="Arial" w:hAnsi="Arial" w:cs="Arial"/>
                <w:b/>
                <w:sz w:val="20"/>
                <w:szCs w:val="20"/>
              </w:rPr>
              <w:t>Justificación:</w:t>
            </w:r>
          </w:p>
        </w:tc>
        <w:tc>
          <w:tcPr>
            <w:tcW w:w="6521" w:type="dxa"/>
            <w:gridSpan w:val="8"/>
          </w:tcPr>
          <w:p w14:paraId="4F3B313B" w14:textId="211043A4" w:rsidR="00A90E9C" w:rsidRPr="008A26D2" w:rsidRDefault="00A90E9C" w:rsidP="0072651A">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El indicador cuantifica el porcentaje de </w:t>
            </w:r>
            <w:r w:rsidR="00FC549C" w:rsidRPr="008A26D2">
              <w:rPr>
                <w:rFonts w:ascii="Arial" w:eastAsia="Arial Narrow" w:hAnsi="Arial" w:cs="Arial"/>
                <w:sz w:val="20"/>
                <w:szCs w:val="20"/>
              </w:rPr>
              <w:t>servidores</w:t>
            </w:r>
            <w:r w:rsidRPr="008A26D2">
              <w:rPr>
                <w:rFonts w:ascii="Arial" w:eastAsia="Arial Narrow" w:hAnsi="Arial" w:cs="Arial"/>
                <w:sz w:val="20"/>
                <w:szCs w:val="20"/>
              </w:rPr>
              <w:t xml:space="preserve"> de las Autoridades Regionales Forestales y de Fauna Silvestre y </w:t>
            </w:r>
            <w:r w:rsidR="000552E6" w:rsidRPr="008A26D2">
              <w:rPr>
                <w:rFonts w:ascii="Arial" w:eastAsia="Arial Narrow" w:hAnsi="Arial" w:cs="Arial"/>
                <w:sz w:val="20"/>
                <w:szCs w:val="20"/>
              </w:rPr>
              <w:t>otros usuarios forestales y de fauna silvestre</w:t>
            </w:r>
            <w:r w:rsidRPr="008A26D2">
              <w:rPr>
                <w:rFonts w:ascii="Arial" w:hAnsi="Arial" w:cs="Arial"/>
                <w:sz w:val="20"/>
                <w:szCs w:val="20"/>
              </w:rPr>
              <w:t xml:space="preserve"> </w:t>
            </w:r>
            <w:r w:rsidRPr="008A26D2">
              <w:rPr>
                <w:rFonts w:ascii="Arial" w:eastAsia="Arial Narrow" w:hAnsi="Arial" w:cs="Arial"/>
                <w:sz w:val="20"/>
                <w:szCs w:val="20"/>
              </w:rPr>
              <w:t>que perciben un alto grado de satisfacción sobre las capacitaciones recibidas en el desarrollo de mecanismos financieros para la conservación, recuperación y uso sostenible de los ecosistemas forestales y otros ecosistemas de vegetación silvestre, así como para la implementación de medidas de mitigación y adaptación al cambio climático.</w:t>
            </w:r>
          </w:p>
          <w:p w14:paraId="2CDC8DC9" w14:textId="77777777" w:rsidR="00A90E9C" w:rsidRPr="008A26D2" w:rsidRDefault="00A90E9C" w:rsidP="0072651A">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De esta manera, el indicador facilitará el seguimiento de la satisfacción del servicio y establecer acciones de mejora correspondientes.</w:t>
            </w:r>
          </w:p>
          <w:p w14:paraId="24381A55" w14:textId="77777777" w:rsidR="00A90E9C" w:rsidRPr="008A26D2" w:rsidRDefault="00A90E9C" w:rsidP="0072651A">
            <w:pPr>
              <w:spacing w:after="0" w:line="240" w:lineRule="auto"/>
              <w:jc w:val="both"/>
              <w:rPr>
                <w:rFonts w:ascii="Arial" w:eastAsia="Arial Narrow" w:hAnsi="Arial" w:cs="Arial"/>
                <w:sz w:val="20"/>
                <w:szCs w:val="20"/>
              </w:rPr>
            </w:pPr>
          </w:p>
        </w:tc>
      </w:tr>
      <w:tr w:rsidR="008A26D2" w:rsidRPr="008A26D2" w14:paraId="767C5D97" w14:textId="77777777" w:rsidTr="00C73F1F">
        <w:trPr>
          <w:trHeight w:val="352"/>
        </w:trPr>
        <w:tc>
          <w:tcPr>
            <w:tcW w:w="2268" w:type="dxa"/>
            <w:gridSpan w:val="3"/>
            <w:shd w:val="clear" w:color="auto" w:fill="auto"/>
            <w:tcMar>
              <w:top w:w="10" w:type="dxa"/>
              <w:left w:w="93" w:type="dxa"/>
              <w:bottom w:w="0" w:type="dxa"/>
              <w:right w:w="10" w:type="dxa"/>
            </w:tcMar>
            <w:vAlign w:val="center"/>
          </w:tcPr>
          <w:p w14:paraId="7F893CF0" w14:textId="77777777" w:rsidR="00A90E9C" w:rsidRPr="008A26D2" w:rsidRDefault="00A90E9C" w:rsidP="0072651A">
            <w:pPr>
              <w:rPr>
                <w:rFonts w:ascii="Arial" w:hAnsi="Arial" w:cs="Arial"/>
                <w:sz w:val="20"/>
                <w:szCs w:val="20"/>
              </w:rPr>
            </w:pPr>
            <w:r w:rsidRPr="008A26D2">
              <w:rPr>
                <w:rFonts w:ascii="Arial" w:hAnsi="Arial" w:cs="Arial"/>
                <w:b/>
                <w:sz w:val="20"/>
                <w:szCs w:val="20"/>
              </w:rPr>
              <w:t>Responsable del indicador:</w:t>
            </w:r>
          </w:p>
        </w:tc>
        <w:tc>
          <w:tcPr>
            <w:tcW w:w="6521" w:type="dxa"/>
            <w:gridSpan w:val="8"/>
          </w:tcPr>
          <w:p w14:paraId="4EF3B53A" w14:textId="23C36C13" w:rsidR="00A90E9C" w:rsidRPr="008A26D2" w:rsidRDefault="00A90E9C" w:rsidP="0072651A">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Dirección de Inventario y Valoración del Servicio Nacional Forestal y de Fauna Silvestre - SERFOR</w:t>
            </w:r>
          </w:p>
        </w:tc>
      </w:tr>
      <w:tr w:rsidR="008A26D2" w:rsidRPr="008A26D2" w14:paraId="49536EBF" w14:textId="77777777" w:rsidTr="00C73F1F">
        <w:trPr>
          <w:trHeight w:val="672"/>
        </w:trPr>
        <w:tc>
          <w:tcPr>
            <w:tcW w:w="2268" w:type="dxa"/>
            <w:gridSpan w:val="3"/>
            <w:shd w:val="clear" w:color="auto" w:fill="auto"/>
            <w:tcMar>
              <w:top w:w="10" w:type="dxa"/>
              <w:left w:w="93" w:type="dxa"/>
              <w:bottom w:w="0" w:type="dxa"/>
              <w:right w:w="10" w:type="dxa"/>
            </w:tcMar>
            <w:vAlign w:val="center"/>
          </w:tcPr>
          <w:p w14:paraId="1C1F5CCC" w14:textId="77777777" w:rsidR="00A90E9C" w:rsidRPr="008A26D2" w:rsidRDefault="00A90E9C" w:rsidP="0072651A">
            <w:pPr>
              <w:spacing w:after="0" w:line="240" w:lineRule="auto"/>
              <w:rPr>
                <w:rFonts w:ascii="Arial" w:hAnsi="Arial" w:cs="Arial"/>
                <w:sz w:val="20"/>
                <w:szCs w:val="20"/>
              </w:rPr>
            </w:pPr>
            <w:r w:rsidRPr="008A26D2">
              <w:rPr>
                <w:rFonts w:ascii="Arial" w:hAnsi="Arial" w:cs="Arial"/>
                <w:b/>
                <w:sz w:val="20"/>
                <w:szCs w:val="20"/>
              </w:rPr>
              <w:t>Limitaciones para la medición del indicador:</w:t>
            </w:r>
          </w:p>
        </w:tc>
        <w:tc>
          <w:tcPr>
            <w:tcW w:w="6521" w:type="dxa"/>
            <w:gridSpan w:val="8"/>
          </w:tcPr>
          <w:p w14:paraId="7A37CA29" w14:textId="5687EA9C" w:rsidR="00A90E9C" w:rsidRPr="008A26D2" w:rsidRDefault="00A90E9C" w:rsidP="0072651A">
            <w:pPr>
              <w:spacing w:after="0" w:line="240" w:lineRule="auto"/>
              <w:rPr>
                <w:rFonts w:ascii="Arial" w:hAnsi="Arial" w:cs="Arial"/>
                <w:sz w:val="20"/>
                <w:szCs w:val="20"/>
              </w:rPr>
            </w:pPr>
            <w:r w:rsidRPr="008A26D2">
              <w:rPr>
                <w:rFonts w:ascii="Arial" w:eastAsia="Arial Narrow" w:hAnsi="Arial" w:cs="Arial"/>
                <w:sz w:val="20"/>
                <w:szCs w:val="20"/>
              </w:rPr>
              <w:t>No presenta limitaci</w:t>
            </w:r>
            <w:r w:rsidR="00036BAE">
              <w:rPr>
                <w:rFonts w:ascii="Arial" w:eastAsia="Arial Narrow" w:hAnsi="Arial" w:cs="Arial"/>
                <w:sz w:val="20"/>
                <w:szCs w:val="20"/>
              </w:rPr>
              <w:t>ones</w:t>
            </w:r>
          </w:p>
        </w:tc>
      </w:tr>
      <w:tr w:rsidR="008A26D2" w:rsidRPr="008A26D2" w14:paraId="146DD16C" w14:textId="77777777" w:rsidTr="00C73F1F">
        <w:trPr>
          <w:trHeight w:val="231"/>
        </w:trPr>
        <w:tc>
          <w:tcPr>
            <w:tcW w:w="2268" w:type="dxa"/>
            <w:gridSpan w:val="3"/>
            <w:shd w:val="clear" w:color="auto" w:fill="auto"/>
            <w:tcMar>
              <w:top w:w="10" w:type="dxa"/>
              <w:left w:w="93" w:type="dxa"/>
              <w:bottom w:w="0" w:type="dxa"/>
              <w:right w:w="10" w:type="dxa"/>
            </w:tcMar>
            <w:vAlign w:val="center"/>
          </w:tcPr>
          <w:p w14:paraId="20CC65F0" w14:textId="77777777" w:rsidR="00A90E9C" w:rsidRPr="008A26D2" w:rsidRDefault="00A90E9C" w:rsidP="0072651A">
            <w:pPr>
              <w:rPr>
                <w:rFonts w:ascii="Arial" w:hAnsi="Arial" w:cs="Arial"/>
                <w:sz w:val="20"/>
                <w:szCs w:val="20"/>
              </w:rPr>
            </w:pPr>
            <w:r w:rsidRPr="008A26D2">
              <w:rPr>
                <w:rFonts w:ascii="Arial" w:hAnsi="Arial" w:cs="Arial"/>
                <w:b/>
                <w:sz w:val="20"/>
                <w:szCs w:val="20"/>
              </w:rPr>
              <w:t xml:space="preserve">Método de cálculo: </w:t>
            </w:r>
          </w:p>
        </w:tc>
        <w:tc>
          <w:tcPr>
            <w:tcW w:w="6521" w:type="dxa"/>
            <w:gridSpan w:val="8"/>
          </w:tcPr>
          <w:p w14:paraId="5C6F65C7" w14:textId="77777777" w:rsidR="00A90E9C" w:rsidRPr="008A26D2" w:rsidRDefault="00A90E9C" w:rsidP="0072651A">
            <w:pPr>
              <w:rPr>
                <w:rFonts w:ascii="Arial" w:eastAsia="Arial Narrow" w:hAnsi="Arial" w:cs="Arial"/>
                <w:b/>
                <w:sz w:val="20"/>
                <w:szCs w:val="20"/>
              </w:rPr>
            </w:pPr>
            <w:r w:rsidRPr="008A26D2">
              <w:rPr>
                <w:rFonts w:ascii="Arial" w:eastAsia="Arial Narrow" w:hAnsi="Arial" w:cs="Arial"/>
                <w:b/>
                <w:sz w:val="20"/>
                <w:szCs w:val="20"/>
              </w:rPr>
              <w:t>1. Fórmula:</w:t>
            </w:r>
          </w:p>
          <w:p w14:paraId="38A068F9" w14:textId="2EB1F788" w:rsidR="00A90E9C" w:rsidRPr="008A26D2" w:rsidRDefault="003055A2" w:rsidP="0072651A">
            <w:pPr>
              <w:rPr>
                <w:rFonts w:ascii="Arial" w:eastAsia="Arial Unicode MS" w:hAnsi="Arial" w:cs="Arial"/>
                <w:sz w:val="20"/>
                <w:szCs w:val="20"/>
              </w:rPr>
            </w:pPr>
            <w:r w:rsidRPr="008A26D2">
              <w:rPr>
                <w:rFonts w:ascii="Arial" w:eastAsia="Arial Unicode MS" w:hAnsi="Arial" w:cs="Arial"/>
                <w:sz w:val="20"/>
                <w:szCs w:val="20"/>
              </w:rPr>
              <w:t>(</w:t>
            </w:r>
            <w:r w:rsidR="00A90E9C" w:rsidRPr="008A26D2">
              <w:rPr>
                <w:rFonts w:ascii="Arial" w:eastAsia="Arial Unicode MS" w:hAnsi="Arial" w:cs="Arial"/>
                <w:sz w:val="20"/>
                <w:szCs w:val="20"/>
              </w:rPr>
              <w:t>A/B</w:t>
            </w:r>
            <w:r w:rsidRPr="008A26D2">
              <w:rPr>
                <w:rFonts w:ascii="Arial" w:eastAsia="Arial Unicode MS" w:hAnsi="Arial" w:cs="Arial"/>
                <w:sz w:val="20"/>
                <w:szCs w:val="20"/>
              </w:rPr>
              <w:t>)</w:t>
            </w:r>
            <w:r w:rsidR="00A90E9C" w:rsidRPr="008A26D2">
              <w:rPr>
                <w:rFonts w:ascii="Arial" w:eastAsia="Arial Unicode MS" w:hAnsi="Arial" w:cs="Arial"/>
                <w:sz w:val="20"/>
                <w:szCs w:val="20"/>
              </w:rPr>
              <w:t>*100</w:t>
            </w:r>
          </w:p>
          <w:p w14:paraId="7CE7DE96" w14:textId="77777777" w:rsidR="00A90E9C" w:rsidRPr="008A26D2" w:rsidRDefault="00A90E9C" w:rsidP="0072651A">
            <w:pPr>
              <w:rPr>
                <w:rFonts w:ascii="Arial" w:eastAsia="Arial Unicode MS" w:hAnsi="Arial" w:cs="Arial"/>
                <w:sz w:val="20"/>
                <w:szCs w:val="20"/>
              </w:rPr>
            </w:pPr>
            <w:r w:rsidRPr="008A26D2">
              <w:rPr>
                <w:rFonts w:ascii="Arial" w:eastAsia="Arial Unicode MS" w:hAnsi="Arial" w:cs="Arial"/>
                <w:sz w:val="20"/>
                <w:szCs w:val="20"/>
              </w:rPr>
              <w:t>Donde:</w:t>
            </w:r>
          </w:p>
          <w:p w14:paraId="6653214B" w14:textId="79AEF395" w:rsidR="00A90E9C" w:rsidRPr="008A26D2" w:rsidRDefault="00A90E9C" w:rsidP="003055A2">
            <w:pPr>
              <w:ind w:left="320" w:hanging="320"/>
              <w:jc w:val="both"/>
              <w:rPr>
                <w:rFonts w:ascii="Arial" w:hAnsi="Arial" w:cs="Arial"/>
                <w:bCs/>
                <w:sz w:val="20"/>
                <w:szCs w:val="20"/>
              </w:rPr>
            </w:pPr>
            <w:r w:rsidRPr="008A26D2">
              <w:rPr>
                <w:rFonts w:ascii="Arial" w:hAnsi="Arial" w:cs="Arial"/>
                <w:bCs/>
                <w:sz w:val="20"/>
                <w:szCs w:val="20"/>
              </w:rPr>
              <w:t xml:space="preserve">A = Número de </w:t>
            </w:r>
            <w:r w:rsidR="00FC549C" w:rsidRPr="008A26D2">
              <w:rPr>
                <w:rFonts w:ascii="Arial" w:hAnsi="Arial" w:cs="Arial"/>
                <w:sz w:val="20"/>
                <w:szCs w:val="20"/>
              </w:rPr>
              <w:t>servidores</w:t>
            </w:r>
            <w:r w:rsidRPr="008A26D2">
              <w:rPr>
                <w:rFonts w:ascii="Arial" w:hAnsi="Arial" w:cs="Arial"/>
                <w:sz w:val="20"/>
                <w:szCs w:val="20"/>
              </w:rPr>
              <w:t xml:space="preserve"> de las </w:t>
            </w:r>
            <w:r w:rsidR="00054481" w:rsidRPr="008A26D2">
              <w:rPr>
                <w:rFonts w:ascii="Arial" w:hAnsi="Arial" w:cs="Arial"/>
                <w:sz w:val="20"/>
                <w:szCs w:val="20"/>
              </w:rPr>
              <w:t>A</w:t>
            </w:r>
            <w:r w:rsidRPr="008A26D2">
              <w:rPr>
                <w:rFonts w:ascii="Arial" w:hAnsi="Arial" w:cs="Arial"/>
                <w:sz w:val="20"/>
                <w:szCs w:val="20"/>
              </w:rPr>
              <w:t xml:space="preserve">utoridades </w:t>
            </w:r>
            <w:r w:rsidR="00054481" w:rsidRPr="008A26D2">
              <w:rPr>
                <w:rFonts w:ascii="Arial" w:hAnsi="Arial" w:cs="Arial"/>
                <w:sz w:val="20"/>
                <w:szCs w:val="20"/>
              </w:rPr>
              <w:t>R</w:t>
            </w:r>
            <w:r w:rsidRPr="008A26D2">
              <w:rPr>
                <w:rFonts w:ascii="Arial" w:hAnsi="Arial" w:cs="Arial"/>
                <w:sz w:val="20"/>
                <w:szCs w:val="20"/>
              </w:rPr>
              <w:t xml:space="preserve">egionales </w:t>
            </w:r>
            <w:r w:rsidR="00054481" w:rsidRPr="008A26D2">
              <w:rPr>
                <w:rFonts w:ascii="Arial" w:hAnsi="Arial" w:cs="Arial"/>
                <w:sz w:val="20"/>
                <w:szCs w:val="20"/>
              </w:rPr>
              <w:t>F</w:t>
            </w:r>
            <w:r w:rsidRPr="008A26D2">
              <w:rPr>
                <w:rFonts w:ascii="Arial" w:hAnsi="Arial" w:cs="Arial"/>
                <w:sz w:val="20"/>
                <w:szCs w:val="20"/>
              </w:rPr>
              <w:t xml:space="preserve">orestales y de </w:t>
            </w:r>
            <w:r w:rsidR="00054481" w:rsidRPr="008A26D2">
              <w:rPr>
                <w:rFonts w:ascii="Arial" w:hAnsi="Arial" w:cs="Arial"/>
                <w:sz w:val="20"/>
                <w:szCs w:val="20"/>
              </w:rPr>
              <w:t>F</w:t>
            </w:r>
            <w:r w:rsidRPr="008A26D2">
              <w:rPr>
                <w:rFonts w:ascii="Arial" w:hAnsi="Arial" w:cs="Arial"/>
                <w:sz w:val="20"/>
                <w:szCs w:val="20"/>
              </w:rPr>
              <w:t xml:space="preserve">auna </w:t>
            </w:r>
            <w:r w:rsidR="00054481" w:rsidRPr="008A26D2">
              <w:rPr>
                <w:rFonts w:ascii="Arial" w:hAnsi="Arial" w:cs="Arial"/>
                <w:sz w:val="20"/>
                <w:szCs w:val="20"/>
              </w:rPr>
              <w:t>S</w:t>
            </w:r>
            <w:r w:rsidRPr="008A26D2">
              <w:rPr>
                <w:rFonts w:ascii="Arial" w:hAnsi="Arial" w:cs="Arial"/>
                <w:sz w:val="20"/>
                <w:szCs w:val="20"/>
              </w:rPr>
              <w:t xml:space="preserve">ilvestre </w:t>
            </w:r>
            <w:r w:rsidRPr="008A26D2">
              <w:rPr>
                <w:rFonts w:ascii="Arial" w:eastAsia="Arial Narrow" w:hAnsi="Arial" w:cs="Arial"/>
                <w:sz w:val="20"/>
                <w:szCs w:val="20"/>
              </w:rPr>
              <w:t xml:space="preserve">y </w:t>
            </w:r>
            <w:r w:rsidR="000552E6" w:rsidRPr="008A26D2">
              <w:rPr>
                <w:rFonts w:ascii="Arial" w:eastAsia="Arial Narrow" w:hAnsi="Arial" w:cs="Arial"/>
                <w:sz w:val="20"/>
                <w:szCs w:val="20"/>
              </w:rPr>
              <w:t>otros usuarios forestales y de fauna silvestre.</w:t>
            </w:r>
            <w:r w:rsidRPr="008A26D2">
              <w:rPr>
                <w:rFonts w:ascii="Arial" w:hAnsi="Arial" w:cs="Arial"/>
                <w:sz w:val="20"/>
                <w:szCs w:val="20"/>
              </w:rPr>
              <w:t xml:space="preserve"> con alto grado de satisfacción sobre la asistencia técnica recibida</w:t>
            </w:r>
          </w:p>
          <w:p w14:paraId="1E311D61" w14:textId="0B90E810" w:rsidR="00A90E9C" w:rsidRPr="008A26D2" w:rsidRDefault="00A90E9C" w:rsidP="003055A2">
            <w:pPr>
              <w:ind w:left="320" w:hanging="320"/>
              <w:jc w:val="both"/>
              <w:rPr>
                <w:rFonts w:ascii="Arial" w:eastAsia="Times New Roman" w:hAnsi="Arial" w:cs="Arial"/>
                <w:sz w:val="20"/>
                <w:szCs w:val="20"/>
                <w:lang w:val="es-ES"/>
              </w:rPr>
            </w:pPr>
            <w:r w:rsidRPr="008A26D2">
              <w:rPr>
                <w:rFonts w:ascii="Arial" w:hAnsi="Arial" w:cs="Arial"/>
                <w:bCs/>
                <w:sz w:val="20"/>
                <w:szCs w:val="20"/>
              </w:rPr>
              <w:t xml:space="preserve">B = Total de </w:t>
            </w:r>
            <w:r w:rsidR="00FC549C" w:rsidRPr="008A26D2">
              <w:rPr>
                <w:rFonts w:ascii="Arial" w:hAnsi="Arial" w:cs="Arial"/>
                <w:sz w:val="20"/>
                <w:szCs w:val="20"/>
              </w:rPr>
              <w:t>servidores</w:t>
            </w:r>
            <w:r w:rsidRPr="008A26D2">
              <w:rPr>
                <w:rFonts w:ascii="Arial" w:hAnsi="Arial" w:cs="Arial"/>
                <w:sz w:val="20"/>
                <w:szCs w:val="20"/>
              </w:rPr>
              <w:t xml:space="preserve"> de las autoridades regionales forestales y de fauna silvestre </w:t>
            </w:r>
            <w:r w:rsidRPr="008A26D2">
              <w:rPr>
                <w:rFonts w:ascii="Arial" w:eastAsia="Arial Narrow" w:hAnsi="Arial" w:cs="Arial"/>
                <w:sz w:val="20"/>
                <w:szCs w:val="20"/>
              </w:rPr>
              <w:t xml:space="preserve">y </w:t>
            </w:r>
            <w:r w:rsidR="000552E6" w:rsidRPr="008A26D2">
              <w:rPr>
                <w:rFonts w:ascii="Arial" w:eastAsia="Arial Narrow" w:hAnsi="Arial" w:cs="Arial"/>
                <w:sz w:val="20"/>
                <w:szCs w:val="20"/>
              </w:rPr>
              <w:t>otros usuarios forestales y de fauna silvestre</w:t>
            </w:r>
            <w:r w:rsidRPr="008A26D2">
              <w:rPr>
                <w:rFonts w:ascii="Arial" w:hAnsi="Arial" w:cs="Arial"/>
                <w:sz w:val="20"/>
                <w:szCs w:val="20"/>
              </w:rPr>
              <w:t xml:space="preserve"> </w:t>
            </w:r>
            <w:r w:rsidRPr="008A26D2">
              <w:rPr>
                <w:rFonts w:ascii="Arial" w:hAnsi="Arial" w:cs="Arial"/>
                <w:bCs/>
                <w:sz w:val="20"/>
                <w:szCs w:val="20"/>
              </w:rPr>
              <w:t>que reciben capacitación</w:t>
            </w:r>
          </w:p>
          <w:p w14:paraId="5D40D1A0" w14:textId="77777777" w:rsidR="00A90E9C" w:rsidRPr="008A26D2" w:rsidRDefault="00A90E9C" w:rsidP="0072651A">
            <w:pPr>
              <w:jc w:val="both"/>
              <w:rPr>
                <w:rFonts w:ascii="Arial" w:eastAsia="Arial Narrow" w:hAnsi="Arial" w:cs="Arial"/>
                <w:b/>
                <w:sz w:val="20"/>
                <w:szCs w:val="20"/>
              </w:rPr>
            </w:pPr>
            <w:r w:rsidRPr="008A26D2">
              <w:rPr>
                <w:rFonts w:ascii="Arial" w:eastAsia="Arial Narrow" w:hAnsi="Arial" w:cs="Arial"/>
                <w:b/>
                <w:sz w:val="20"/>
                <w:szCs w:val="20"/>
                <w:lang w:val="es-MX"/>
              </w:rPr>
              <w:t xml:space="preserve">2. </w:t>
            </w:r>
            <w:r w:rsidRPr="008A26D2">
              <w:rPr>
                <w:rFonts w:ascii="Arial" w:eastAsia="Arial Narrow" w:hAnsi="Arial" w:cs="Arial"/>
                <w:b/>
                <w:sz w:val="20"/>
                <w:szCs w:val="20"/>
              </w:rPr>
              <w:t>Especificaciones técnicas:</w:t>
            </w:r>
          </w:p>
          <w:p w14:paraId="61AF22C9" w14:textId="03460890" w:rsidR="00E973DA" w:rsidRPr="00E973DA" w:rsidRDefault="00E973DA" w:rsidP="00633779">
            <w:pPr>
              <w:jc w:val="both"/>
              <w:rPr>
                <w:rFonts w:ascii="Arial" w:hAnsi="Arial" w:cs="Arial"/>
                <w:bCs/>
                <w:sz w:val="20"/>
                <w:szCs w:val="20"/>
              </w:rPr>
            </w:pPr>
            <w:r w:rsidRPr="00E973DA">
              <w:rPr>
                <w:rFonts w:ascii="Arial" w:hAnsi="Arial" w:cs="Arial"/>
                <w:bCs/>
                <w:sz w:val="20"/>
                <w:szCs w:val="20"/>
              </w:rPr>
              <w:t xml:space="preserve">La variable A se determina a partir de los servidores de las Autoridades Regionales Forestales y de Fauna Silvestre y otros usuarios forestales y de fauna silvestre que tienen un alto grado de satisfacción, al elegir los dos niveles más altos de </w:t>
            </w:r>
            <w:r w:rsidR="00880D35">
              <w:rPr>
                <w:rFonts w:ascii="Arial" w:hAnsi="Arial" w:cs="Arial"/>
                <w:bCs/>
                <w:sz w:val="20"/>
                <w:szCs w:val="20"/>
              </w:rPr>
              <w:t>l</w:t>
            </w:r>
            <w:r w:rsidR="00633779">
              <w:rPr>
                <w:rFonts w:ascii="Arial" w:hAnsi="Arial" w:cs="Arial"/>
                <w:bCs/>
                <w:sz w:val="20"/>
                <w:szCs w:val="20"/>
              </w:rPr>
              <w:t>a</w:t>
            </w:r>
            <w:r w:rsidRPr="00E973DA">
              <w:rPr>
                <w:rFonts w:ascii="Arial" w:hAnsi="Arial" w:cs="Arial"/>
                <w:bCs/>
                <w:sz w:val="20"/>
                <w:szCs w:val="20"/>
              </w:rPr>
              <w:t xml:space="preserve"> escala, sobre las acciones de fortalecimiento de capacidades</w:t>
            </w:r>
            <w:r w:rsidR="00040271">
              <w:rPr>
                <w:rFonts w:ascii="Arial" w:hAnsi="Arial" w:cs="Arial"/>
                <w:bCs/>
                <w:sz w:val="20"/>
                <w:szCs w:val="20"/>
              </w:rPr>
              <w:t xml:space="preserve"> recibidas</w:t>
            </w:r>
            <w:r w:rsidRPr="00E973DA">
              <w:rPr>
                <w:rFonts w:ascii="Arial" w:hAnsi="Arial" w:cs="Arial"/>
                <w:bCs/>
                <w:sz w:val="20"/>
                <w:szCs w:val="20"/>
              </w:rPr>
              <w:t>.</w:t>
            </w:r>
          </w:p>
          <w:p w14:paraId="28C2DD24" w14:textId="7A030B59" w:rsidR="00E973DA" w:rsidRDefault="00E973DA" w:rsidP="00633779">
            <w:pPr>
              <w:jc w:val="both"/>
              <w:rPr>
                <w:rFonts w:ascii="Arial" w:hAnsi="Arial" w:cs="Arial"/>
                <w:bCs/>
                <w:sz w:val="20"/>
                <w:szCs w:val="20"/>
              </w:rPr>
            </w:pPr>
            <w:r w:rsidRPr="00E973DA">
              <w:rPr>
                <w:rFonts w:ascii="Arial" w:hAnsi="Arial" w:cs="Arial"/>
                <w:bCs/>
                <w:sz w:val="20"/>
                <w:szCs w:val="20"/>
              </w:rPr>
              <w:lastRenderedPageBreak/>
              <w:t>La variable B se determina con el total de servidores de las Autoridades Regionales Forestales y de Fauna Silvestre y otros usuarios forestales y de fauna silvestre que asisten a las capacitaciones</w:t>
            </w:r>
            <w:r>
              <w:rPr>
                <w:rFonts w:ascii="Arial" w:hAnsi="Arial" w:cs="Arial"/>
                <w:bCs/>
                <w:sz w:val="20"/>
                <w:szCs w:val="20"/>
              </w:rPr>
              <w:t>.</w:t>
            </w:r>
          </w:p>
          <w:p w14:paraId="1AB6DA98" w14:textId="1A16027F" w:rsidR="00A90E9C" w:rsidRPr="008A26D2" w:rsidRDefault="00A90E9C" w:rsidP="0072651A">
            <w:pPr>
              <w:jc w:val="both"/>
              <w:rPr>
                <w:rFonts w:ascii="Arial" w:eastAsia="Times New Roman" w:hAnsi="Arial" w:cs="Arial"/>
                <w:sz w:val="20"/>
                <w:szCs w:val="20"/>
                <w:lang w:val="es-ES"/>
              </w:rPr>
            </w:pPr>
            <w:r w:rsidRPr="008A26D2">
              <w:rPr>
                <w:rFonts w:ascii="Arial" w:eastAsia="Times New Roman" w:hAnsi="Arial" w:cs="Arial"/>
                <w:sz w:val="20"/>
                <w:szCs w:val="20"/>
                <w:lang w:val="es-ES"/>
              </w:rPr>
              <w:t xml:space="preserve">El indicador se calculará a partir de encuestas o entrevistas donde se pueda registrar el grado de satisfacción de los </w:t>
            </w:r>
            <w:r w:rsidR="00FC549C" w:rsidRPr="008A26D2">
              <w:rPr>
                <w:rFonts w:ascii="Arial" w:hAnsi="Arial" w:cs="Arial"/>
                <w:sz w:val="20"/>
                <w:szCs w:val="20"/>
              </w:rPr>
              <w:t>servidores</w:t>
            </w:r>
            <w:r w:rsidRPr="008A26D2">
              <w:rPr>
                <w:rFonts w:ascii="Arial" w:hAnsi="Arial" w:cs="Arial"/>
                <w:sz w:val="20"/>
                <w:szCs w:val="20"/>
              </w:rPr>
              <w:t xml:space="preserve"> de las </w:t>
            </w:r>
            <w:r w:rsidR="00054481" w:rsidRPr="008A26D2">
              <w:rPr>
                <w:rFonts w:ascii="Arial" w:hAnsi="Arial" w:cs="Arial"/>
                <w:sz w:val="20"/>
                <w:szCs w:val="20"/>
              </w:rPr>
              <w:t>A</w:t>
            </w:r>
            <w:r w:rsidRPr="008A26D2">
              <w:rPr>
                <w:rFonts w:ascii="Arial" w:hAnsi="Arial" w:cs="Arial"/>
                <w:sz w:val="20"/>
                <w:szCs w:val="20"/>
              </w:rPr>
              <w:t xml:space="preserve">utoridades </w:t>
            </w:r>
            <w:r w:rsidR="00054481" w:rsidRPr="008A26D2">
              <w:rPr>
                <w:rFonts w:ascii="Arial" w:hAnsi="Arial" w:cs="Arial"/>
                <w:sz w:val="20"/>
                <w:szCs w:val="20"/>
              </w:rPr>
              <w:t>R</w:t>
            </w:r>
            <w:r w:rsidRPr="008A26D2">
              <w:rPr>
                <w:rFonts w:ascii="Arial" w:hAnsi="Arial" w:cs="Arial"/>
                <w:sz w:val="20"/>
                <w:szCs w:val="20"/>
              </w:rPr>
              <w:t xml:space="preserve">egionales </w:t>
            </w:r>
            <w:r w:rsidR="00054481" w:rsidRPr="008A26D2">
              <w:rPr>
                <w:rFonts w:ascii="Arial" w:hAnsi="Arial" w:cs="Arial"/>
                <w:sz w:val="20"/>
                <w:szCs w:val="20"/>
              </w:rPr>
              <w:t>F</w:t>
            </w:r>
            <w:r w:rsidRPr="008A26D2">
              <w:rPr>
                <w:rFonts w:ascii="Arial" w:hAnsi="Arial" w:cs="Arial"/>
                <w:sz w:val="20"/>
                <w:szCs w:val="20"/>
              </w:rPr>
              <w:t xml:space="preserve">orestales y de </w:t>
            </w:r>
            <w:r w:rsidR="00054481" w:rsidRPr="008A26D2">
              <w:rPr>
                <w:rFonts w:ascii="Arial" w:hAnsi="Arial" w:cs="Arial"/>
                <w:sz w:val="20"/>
                <w:szCs w:val="20"/>
              </w:rPr>
              <w:t>F</w:t>
            </w:r>
            <w:r w:rsidRPr="008A26D2">
              <w:rPr>
                <w:rFonts w:ascii="Arial" w:hAnsi="Arial" w:cs="Arial"/>
                <w:sz w:val="20"/>
                <w:szCs w:val="20"/>
              </w:rPr>
              <w:t xml:space="preserve">auna </w:t>
            </w:r>
            <w:r w:rsidR="00054481" w:rsidRPr="008A26D2">
              <w:rPr>
                <w:rFonts w:ascii="Arial" w:hAnsi="Arial" w:cs="Arial"/>
                <w:sz w:val="20"/>
                <w:szCs w:val="20"/>
              </w:rPr>
              <w:t>S</w:t>
            </w:r>
            <w:r w:rsidRPr="008A26D2">
              <w:rPr>
                <w:rFonts w:ascii="Arial" w:hAnsi="Arial" w:cs="Arial"/>
                <w:sz w:val="20"/>
                <w:szCs w:val="20"/>
              </w:rPr>
              <w:t xml:space="preserve">ilvestre </w:t>
            </w:r>
            <w:r w:rsidRPr="008A26D2">
              <w:rPr>
                <w:rFonts w:ascii="Arial" w:eastAsia="Arial Narrow" w:hAnsi="Arial" w:cs="Arial"/>
                <w:sz w:val="20"/>
                <w:szCs w:val="20"/>
              </w:rPr>
              <w:t xml:space="preserve">y </w:t>
            </w:r>
            <w:r w:rsidR="000552E6" w:rsidRPr="008A26D2">
              <w:rPr>
                <w:rFonts w:ascii="Arial" w:eastAsia="Arial Narrow" w:hAnsi="Arial" w:cs="Arial"/>
                <w:sz w:val="20"/>
                <w:szCs w:val="20"/>
              </w:rPr>
              <w:t>otros usuarios forestales y de fauna silvestre.</w:t>
            </w:r>
            <w:r w:rsidRPr="008A26D2">
              <w:rPr>
                <w:rFonts w:ascii="Arial" w:hAnsi="Arial" w:cs="Arial"/>
                <w:sz w:val="20"/>
                <w:szCs w:val="20"/>
              </w:rPr>
              <w:t xml:space="preserve"> con alto grado de satisfacción sobre la asistencia técnica recibida</w:t>
            </w:r>
            <w:r w:rsidRPr="008A26D2">
              <w:rPr>
                <w:rFonts w:ascii="Arial" w:eastAsia="Times New Roman" w:hAnsi="Arial" w:cs="Arial"/>
                <w:sz w:val="20"/>
                <w:szCs w:val="20"/>
                <w:lang w:val="es-ES"/>
              </w:rPr>
              <w:t>, identificando aquellos aspectos del servicio que se pueden mejorar y satisfacer al receptor.</w:t>
            </w:r>
          </w:p>
          <w:p w14:paraId="73ECA92C" w14:textId="77777777" w:rsidR="00A90E9C" w:rsidRPr="008A26D2" w:rsidRDefault="00A90E9C" w:rsidP="0072651A">
            <w:pPr>
              <w:rPr>
                <w:rFonts w:ascii="Arial" w:hAnsi="Arial" w:cs="Arial"/>
                <w:bCs/>
                <w:sz w:val="20"/>
                <w:szCs w:val="20"/>
              </w:rPr>
            </w:pPr>
            <w:r w:rsidRPr="008A26D2">
              <w:rPr>
                <w:rFonts w:ascii="Arial" w:hAnsi="Arial" w:cs="Arial"/>
                <w:bCs/>
                <w:sz w:val="20"/>
                <w:szCs w:val="20"/>
              </w:rPr>
              <w:t>Para evaluar el grado de satisfacción se considerará los alcances metodológicos señalados en el Protocolo de Capacitación y Asistencia Técnica del SERFOR.</w:t>
            </w:r>
          </w:p>
          <w:p w14:paraId="1B33579A" w14:textId="706A14DB" w:rsidR="00A90E9C" w:rsidRPr="008A26D2" w:rsidRDefault="009B5370" w:rsidP="0072651A">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Al ser un servicio nuevo carece de la </w:t>
            </w:r>
            <w:r w:rsidR="00A90E9C" w:rsidRPr="008A26D2">
              <w:rPr>
                <w:rFonts w:ascii="Arial" w:eastAsia="Arial Narrow" w:hAnsi="Arial" w:cs="Arial"/>
                <w:sz w:val="20"/>
                <w:szCs w:val="20"/>
              </w:rPr>
              <w:t>línea base</w:t>
            </w:r>
            <w:r w:rsidR="00054481" w:rsidRPr="008A26D2">
              <w:rPr>
                <w:rFonts w:ascii="Arial" w:eastAsia="Arial Narrow" w:hAnsi="Arial" w:cs="Arial"/>
                <w:sz w:val="20"/>
                <w:szCs w:val="20"/>
              </w:rPr>
              <w:t xml:space="preserve">, por ese motivo, </w:t>
            </w:r>
            <w:r w:rsidRPr="008A26D2">
              <w:rPr>
                <w:rFonts w:ascii="Arial" w:eastAsia="Arial Narrow" w:hAnsi="Arial" w:cs="Arial"/>
                <w:sz w:val="20"/>
                <w:szCs w:val="20"/>
              </w:rPr>
              <w:t xml:space="preserve">el </w:t>
            </w:r>
            <w:r w:rsidR="00054481" w:rsidRPr="008A26D2">
              <w:rPr>
                <w:rFonts w:ascii="Arial" w:eastAsia="Arial Narrow" w:hAnsi="Arial" w:cs="Arial"/>
                <w:sz w:val="20"/>
                <w:szCs w:val="20"/>
              </w:rPr>
              <w:t>SERFOR determinará la línea base antes del inicio de la implementación de la presente Política Nacional.</w:t>
            </w:r>
          </w:p>
          <w:p w14:paraId="2A081DD9" w14:textId="1595498D" w:rsidR="00054481" w:rsidRPr="008A26D2" w:rsidRDefault="00054481" w:rsidP="0072651A">
            <w:pPr>
              <w:spacing w:after="0" w:line="240" w:lineRule="auto"/>
              <w:jc w:val="both"/>
              <w:rPr>
                <w:rFonts w:ascii="Arial" w:eastAsia="Arial Narrow" w:hAnsi="Arial" w:cs="Arial"/>
                <w:sz w:val="20"/>
                <w:szCs w:val="20"/>
              </w:rPr>
            </w:pPr>
          </w:p>
        </w:tc>
      </w:tr>
      <w:tr w:rsidR="008A26D2" w:rsidRPr="008A26D2" w14:paraId="21822007" w14:textId="77777777" w:rsidTr="00054481">
        <w:trPr>
          <w:trHeight w:val="686"/>
        </w:trPr>
        <w:tc>
          <w:tcPr>
            <w:tcW w:w="2268" w:type="dxa"/>
            <w:gridSpan w:val="3"/>
            <w:shd w:val="clear" w:color="auto" w:fill="auto"/>
            <w:tcMar>
              <w:top w:w="10" w:type="dxa"/>
              <w:left w:w="93" w:type="dxa"/>
              <w:bottom w:w="0" w:type="dxa"/>
              <w:right w:w="10" w:type="dxa"/>
            </w:tcMar>
            <w:vAlign w:val="center"/>
          </w:tcPr>
          <w:p w14:paraId="5407C991" w14:textId="77777777" w:rsidR="00A90E9C" w:rsidRPr="008A26D2" w:rsidRDefault="00A90E9C" w:rsidP="0072651A">
            <w:pPr>
              <w:spacing w:after="0" w:line="240" w:lineRule="auto"/>
              <w:rPr>
                <w:rFonts w:ascii="Arial" w:hAnsi="Arial" w:cs="Arial"/>
                <w:sz w:val="20"/>
                <w:szCs w:val="20"/>
              </w:rPr>
            </w:pPr>
            <w:r w:rsidRPr="008A26D2">
              <w:rPr>
                <w:rFonts w:ascii="Arial" w:hAnsi="Arial" w:cs="Arial"/>
                <w:b/>
                <w:sz w:val="20"/>
                <w:szCs w:val="20"/>
              </w:rPr>
              <w:lastRenderedPageBreak/>
              <w:t>Sentido esperado del indicador:</w:t>
            </w:r>
          </w:p>
        </w:tc>
        <w:tc>
          <w:tcPr>
            <w:tcW w:w="2268" w:type="dxa"/>
            <w:gridSpan w:val="3"/>
            <w:shd w:val="clear" w:color="auto" w:fill="auto"/>
            <w:tcMar>
              <w:top w:w="10" w:type="dxa"/>
              <w:left w:w="283" w:type="dxa"/>
              <w:bottom w:w="0" w:type="dxa"/>
              <w:right w:w="283" w:type="dxa"/>
            </w:tcMar>
            <w:vAlign w:val="center"/>
          </w:tcPr>
          <w:p w14:paraId="49CC9565" w14:textId="77777777" w:rsidR="00A90E9C" w:rsidRPr="008A26D2" w:rsidRDefault="00A90E9C" w:rsidP="0072651A">
            <w:pPr>
              <w:spacing w:after="0" w:line="240" w:lineRule="auto"/>
              <w:rPr>
                <w:rFonts w:ascii="Arial" w:hAnsi="Arial" w:cs="Arial"/>
                <w:b/>
                <w:sz w:val="20"/>
                <w:szCs w:val="20"/>
              </w:rPr>
            </w:pPr>
            <w:r w:rsidRPr="008A26D2">
              <w:rPr>
                <w:rFonts w:ascii="Arial" w:eastAsia="Arial Narrow" w:hAnsi="Arial" w:cs="Arial"/>
                <w:sz w:val="20"/>
                <w:szCs w:val="20"/>
              </w:rPr>
              <w:t>Ascendente</w:t>
            </w:r>
          </w:p>
        </w:tc>
        <w:tc>
          <w:tcPr>
            <w:tcW w:w="2552" w:type="dxa"/>
            <w:gridSpan w:val="3"/>
            <w:shd w:val="clear" w:color="auto" w:fill="auto"/>
            <w:tcMar>
              <w:top w:w="15" w:type="dxa"/>
              <w:left w:w="15" w:type="dxa"/>
              <w:bottom w:w="0" w:type="dxa"/>
              <w:right w:w="15" w:type="dxa"/>
            </w:tcMar>
            <w:vAlign w:val="center"/>
          </w:tcPr>
          <w:p w14:paraId="488C15BD" w14:textId="77777777" w:rsidR="00A90E9C" w:rsidRPr="008A26D2" w:rsidRDefault="00A90E9C" w:rsidP="0072651A">
            <w:pPr>
              <w:spacing w:after="0" w:line="240" w:lineRule="auto"/>
              <w:rPr>
                <w:rFonts w:ascii="Arial" w:hAnsi="Arial" w:cs="Arial"/>
                <w:sz w:val="20"/>
                <w:szCs w:val="20"/>
              </w:rPr>
            </w:pPr>
            <w:r w:rsidRPr="008A26D2">
              <w:rPr>
                <w:rFonts w:ascii="Arial" w:hAnsi="Arial" w:cs="Arial"/>
                <w:b/>
                <w:sz w:val="20"/>
                <w:szCs w:val="20"/>
              </w:rPr>
              <w:t>Tipo de indicador de servicio:</w:t>
            </w:r>
          </w:p>
        </w:tc>
        <w:tc>
          <w:tcPr>
            <w:tcW w:w="1701" w:type="dxa"/>
            <w:gridSpan w:val="2"/>
            <w:shd w:val="clear" w:color="auto" w:fill="auto"/>
            <w:tcMar>
              <w:top w:w="15" w:type="dxa"/>
              <w:left w:w="15" w:type="dxa"/>
              <w:bottom w:w="0" w:type="dxa"/>
              <w:right w:w="15" w:type="dxa"/>
            </w:tcMar>
            <w:vAlign w:val="center"/>
          </w:tcPr>
          <w:p w14:paraId="412AC987" w14:textId="77777777" w:rsidR="00A90E9C" w:rsidRPr="008A26D2" w:rsidRDefault="00A90E9C" w:rsidP="0072651A">
            <w:pPr>
              <w:spacing w:after="0" w:line="240" w:lineRule="auto"/>
              <w:rPr>
                <w:rFonts w:ascii="Arial" w:hAnsi="Arial" w:cs="Arial"/>
                <w:sz w:val="20"/>
                <w:szCs w:val="20"/>
              </w:rPr>
            </w:pPr>
            <w:r w:rsidRPr="008A26D2">
              <w:rPr>
                <w:rFonts w:ascii="Arial" w:hAnsi="Arial" w:cs="Arial"/>
                <w:sz w:val="20"/>
                <w:szCs w:val="20"/>
              </w:rPr>
              <w:t xml:space="preserve">     </w:t>
            </w:r>
            <w:r w:rsidRPr="008A26D2">
              <w:rPr>
                <w:rFonts w:ascii="Arial" w:eastAsia="Arial Narrow" w:hAnsi="Arial" w:cs="Arial"/>
                <w:sz w:val="20"/>
                <w:szCs w:val="20"/>
              </w:rPr>
              <w:t>Calidad - Percepción</w:t>
            </w:r>
          </w:p>
        </w:tc>
      </w:tr>
      <w:tr w:rsidR="008A26D2" w:rsidRPr="008A26D2" w14:paraId="182D5190" w14:textId="77777777" w:rsidTr="00C73F1F">
        <w:trPr>
          <w:trHeight w:val="13"/>
        </w:trPr>
        <w:tc>
          <w:tcPr>
            <w:tcW w:w="2268" w:type="dxa"/>
            <w:gridSpan w:val="3"/>
            <w:shd w:val="clear" w:color="auto" w:fill="auto"/>
            <w:tcMar>
              <w:top w:w="10" w:type="dxa"/>
              <w:left w:w="93" w:type="dxa"/>
              <w:bottom w:w="0" w:type="dxa"/>
              <w:right w:w="10" w:type="dxa"/>
            </w:tcMar>
            <w:vAlign w:val="center"/>
          </w:tcPr>
          <w:p w14:paraId="18137A2C" w14:textId="77777777" w:rsidR="00A90E9C" w:rsidRPr="008A26D2" w:rsidRDefault="00A90E9C" w:rsidP="0072651A">
            <w:pPr>
              <w:spacing w:after="0" w:line="240" w:lineRule="auto"/>
              <w:rPr>
                <w:rFonts w:ascii="Arial" w:hAnsi="Arial" w:cs="Arial"/>
                <w:sz w:val="20"/>
                <w:szCs w:val="20"/>
              </w:rPr>
            </w:pPr>
            <w:r w:rsidRPr="008A26D2">
              <w:rPr>
                <w:rFonts w:ascii="Arial" w:hAnsi="Arial" w:cs="Arial"/>
                <w:b/>
                <w:sz w:val="20"/>
                <w:szCs w:val="20"/>
              </w:rPr>
              <w:t>Fuente y base de datos:</w:t>
            </w:r>
          </w:p>
        </w:tc>
        <w:tc>
          <w:tcPr>
            <w:tcW w:w="6521" w:type="dxa"/>
            <w:gridSpan w:val="8"/>
          </w:tcPr>
          <w:p w14:paraId="3E42A45B" w14:textId="2033C06E" w:rsidR="00A90E9C" w:rsidRPr="008A26D2" w:rsidRDefault="00A90E9C" w:rsidP="0072651A">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Fuente: Dirección de Inventario y Valoración del </w:t>
            </w:r>
            <w:r w:rsidR="00054481" w:rsidRPr="008A26D2">
              <w:rPr>
                <w:rFonts w:ascii="Arial" w:eastAsia="Arial Narrow" w:hAnsi="Arial" w:cs="Arial"/>
                <w:sz w:val="20"/>
                <w:szCs w:val="20"/>
              </w:rPr>
              <w:t>SERFOR</w:t>
            </w:r>
            <w:r w:rsidRPr="008A26D2">
              <w:rPr>
                <w:rFonts w:ascii="Arial" w:eastAsia="Arial Narrow" w:hAnsi="Arial" w:cs="Arial"/>
                <w:sz w:val="20"/>
                <w:szCs w:val="20"/>
              </w:rPr>
              <w:t>.</w:t>
            </w:r>
          </w:p>
          <w:p w14:paraId="1DA7FDA5" w14:textId="77777777" w:rsidR="00A90E9C" w:rsidRPr="008A26D2" w:rsidRDefault="00A90E9C" w:rsidP="0072651A">
            <w:pPr>
              <w:spacing w:after="0" w:line="240" w:lineRule="auto"/>
              <w:jc w:val="both"/>
              <w:rPr>
                <w:rFonts w:ascii="Arial" w:eastAsia="Arial Narrow" w:hAnsi="Arial" w:cs="Arial"/>
                <w:sz w:val="20"/>
                <w:szCs w:val="20"/>
              </w:rPr>
            </w:pPr>
          </w:p>
          <w:p w14:paraId="50BA5A76" w14:textId="10DD75D5" w:rsidR="00A90E9C" w:rsidRPr="008A26D2" w:rsidRDefault="00A90E9C" w:rsidP="0072651A">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Base de Datos: Registros de actividades en asistencia técnica</w:t>
            </w:r>
            <w:r w:rsidR="00054481" w:rsidRPr="008A26D2">
              <w:rPr>
                <w:rFonts w:ascii="Arial" w:eastAsia="Arial Narrow" w:hAnsi="Arial" w:cs="Arial"/>
                <w:sz w:val="20"/>
                <w:szCs w:val="20"/>
              </w:rPr>
              <w:t xml:space="preserve"> de la Dirección de Inventario y Valoración del SERFOR</w:t>
            </w:r>
            <w:r w:rsidRPr="008A26D2">
              <w:rPr>
                <w:rFonts w:ascii="Arial" w:eastAsia="Arial Narrow" w:hAnsi="Arial" w:cs="Arial"/>
                <w:sz w:val="20"/>
                <w:szCs w:val="20"/>
              </w:rPr>
              <w:t>.</w:t>
            </w:r>
          </w:p>
        </w:tc>
      </w:tr>
      <w:tr w:rsidR="008A26D2" w:rsidRPr="008A26D2" w14:paraId="1EA0A717" w14:textId="77777777" w:rsidTr="00C73F1F">
        <w:trPr>
          <w:trHeight w:val="436"/>
        </w:trPr>
        <w:tc>
          <w:tcPr>
            <w:tcW w:w="2268" w:type="dxa"/>
            <w:gridSpan w:val="3"/>
            <w:shd w:val="clear" w:color="auto" w:fill="auto"/>
            <w:tcMar>
              <w:top w:w="10" w:type="dxa"/>
              <w:left w:w="93" w:type="dxa"/>
              <w:bottom w:w="0" w:type="dxa"/>
              <w:right w:w="10" w:type="dxa"/>
            </w:tcMar>
            <w:vAlign w:val="center"/>
          </w:tcPr>
          <w:p w14:paraId="1D9EBBFC" w14:textId="77777777" w:rsidR="00A90E9C" w:rsidRPr="008A26D2" w:rsidRDefault="00A90E9C" w:rsidP="0072651A">
            <w:pPr>
              <w:spacing w:after="0" w:line="240" w:lineRule="auto"/>
              <w:rPr>
                <w:rFonts w:ascii="Arial" w:hAnsi="Arial" w:cs="Arial"/>
                <w:sz w:val="20"/>
                <w:szCs w:val="20"/>
              </w:rPr>
            </w:pPr>
            <w:r w:rsidRPr="008A26D2">
              <w:rPr>
                <w:rFonts w:ascii="Arial" w:hAnsi="Arial" w:cs="Arial"/>
                <w:b/>
                <w:sz w:val="20"/>
                <w:szCs w:val="20"/>
              </w:rPr>
              <w:t>Supuestos:</w:t>
            </w:r>
          </w:p>
        </w:tc>
        <w:tc>
          <w:tcPr>
            <w:tcW w:w="6521" w:type="dxa"/>
            <w:gridSpan w:val="8"/>
          </w:tcPr>
          <w:p w14:paraId="6D9E6EA3" w14:textId="712AF700" w:rsidR="00A90E9C" w:rsidRPr="008A26D2" w:rsidRDefault="00A90E9C" w:rsidP="0072651A">
            <w:pPr>
              <w:spacing w:after="0" w:line="240" w:lineRule="auto"/>
              <w:rPr>
                <w:rFonts w:ascii="Arial" w:eastAsia="Arial Narrow" w:hAnsi="Arial" w:cs="Arial"/>
                <w:sz w:val="20"/>
                <w:szCs w:val="20"/>
              </w:rPr>
            </w:pPr>
            <w:r w:rsidRPr="008A26D2">
              <w:rPr>
                <w:rFonts w:ascii="Arial" w:eastAsia="Arial Narrow" w:hAnsi="Arial" w:cs="Arial"/>
                <w:sz w:val="20"/>
                <w:szCs w:val="20"/>
              </w:rPr>
              <w:t xml:space="preserve">Interés por parte de las </w:t>
            </w:r>
            <w:r w:rsidR="00054481" w:rsidRPr="008A26D2">
              <w:rPr>
                <w:rFonts w:ascii="Arial" w:eastAsia="Arial Narrow" w:hAnsi="Arial" w:cs="Arial"/>
                <w:sz w:val="20"/>
                <w:szCs w:val="20"/>
              </w:rPr>
              <w:t>A</w:t>
            </w:r>
            <w:r w:rsidRPr="008A26D2">
              <w:rPr>
                <w:rFonts w:ascii="Arial" w:eastAsia="Arial Narrow" w:hAnsi="Arial" w:cs="Arial"/>
                <w:sz w:val="20"/>
                <w:szCs w:val="20"/>
              </w:rPr>
              <w:t xml:space="preserve">utoridades </w:t>
            </w:r>
            <w:r w:rsidR="00054481" w:rsidRPr="008A26D2">
              <w:rPr>
                <w:rFonts w:ascii="Arial" w:eastAsia="Arial Narrow" w:hAnsi="Arial" w:cs="Arial"/>
                <w:sz w:val="20"/>
                <w:szCs w:val="20"/>
              </w:rPr>
              <w:t>R</w:t>
            </w:r>
            <w:r w:rsidRPr="008A26D2">
              <w:rPr>
                <w:rFonts w:ascii="Arial" w:eastAsia="Arial Narrow" w:hAnsi="Arial" w:cs="Arial"/>
                <w:sz w:val="20"/>
                <w:szCs w:val="20"/>
              </w:rPr>
              <w:t xml:space="preserve">egionales </w:t>
            </w:r>
            <w:r w:rsidR="00054481" w:rsidRPr="008A26D2">
              <w:rPr>
                <w:rFonts w:ascii="Arial" w:eastAsia="Arial Narrow" w:hAnsi="Arial" w:cs="Arial"/>
                <w:sz w:val="20"/>
                <w:szCs w:val="20"/>
              </w:rPr>
              <w:t>F</w:t>
            </w:r>
            <w:r w:rsidRPr="008A26D2">
              <w:rPr>
                <w:rFonts w:ascii="Arial" w:eastAsia="Arial Narrow" w:hAnsi="Arial" w:cs="Arial"/>
                <w:sz w:val="20"/>
                <w:szCs w:val="20"/>
              </w:rPr>
              <w:t xml:space="preserve">orestales y de </w:t>
            </w:r>
            <w:r w:rsidR="00054481" w:rsidRPr="008A26D2">
              <w:rPr>
                <w:rFonts w:ascii="Arial" w:eastAsia="Arial Narrow" w:hAnsi="Arial" w:cs="Arial"/>
                <w:sz w:val="20"/>
                <w:szCs w:val="20"/>
              </w:rPr>
              <w:t>F</w:t>
            </w:r>
            <w:r w:rsidRPr="008A26D2">
              <w:rPr>
                <w:rFonts w:ascii="Arial" w:eastAsia="Arial Narrow" w:hAnsi="Arial" w:cs="Arial"/>
                <w:sz w:val="20"/>
                <w:szCs w:val="20"/>
              </w:rPr>
              <w:t xml:space="preserve">auna </w:t>
            </w:r>
            <w:r w:rsidR="00054481" w:rsidRPr="008A26D2">
              <w:rPr>
                <w:rFonts w:ascii="Arial" w:eastAsia="Arial Narrow" w:hAnsi="Arial" w:cs="Arial"/>
                <w:sz w:val="20"/>
                <w:szCs w:val="20"/>
              </w:rPr>
              <w:t>S</w:t>
            </w:r>
            <w:r w:rsidRPr="008A26D2">
              <w:rPr>
                <w:rFonts w:ascii="Arial" w:eastAsia="Arial Narrow" w:hAnsi="Arial" w:cs="Arial"/>
                <w:sz w:val="20"/>
                <w:szCs w:val="20"/>
              </w:rPr>
              <w:t xml:space="preserve">ilvestre para recibir las capacitaciones. </w:t>
            </w:r>
          </w:p>
          <w:p w14:paraId="720756FA" w14:textId="77777777" w:rsidR="00A90E9C" w:rsidRPr="008A26D2" w:rsidRDefault="00A90E9C" w:rsidP="0072651A">
            <w:pPr>
              <w:spacing w:after="0" w:line="240" w:lineRule="auto"/>
              <w:rPr>
                <w:rFonts w:ascii="Arial" w:eastAsia="Arial Narrow" w:hAnsi="Arial" w:cs="Arial"/>
                <w:sz w:val="20"/>
                <w:szCs w:val="20"/>
              </w:rPr>
            </w:pPr>
            <w:r w:rsidRPr="008A26D2">
              <w:rPr>
                <w:rFonts w:ascii="Arial" w:eastAsia="Arial Narrow" w:hAnsi="Arial" w:cs="Arial"/>
                <w:sz w:val="20"/>
                <w:szCs w:val="20"/>
              </w:rPr>
              <w:t xml:space="preserve">Se cuenta con recursos financieros para el desarrollo de las actividades de capacitación.  </w:t>
            </w:r>
          </w:p>
        </w:tc>
      </w:tr>
      <w:tr w:rsidR="008A26D2" w:rsidRPr="008A26D2" w14:paraId="308D582B" w14:textId="77777777" w:rsidTr="0087293E">
        <w:trPr>
          <w:trHeight w:val="264"/>
        </w:trPr>
        <w:tc>
          <w:tcPr>
            <w:tcW w:w="567" w:type="dxa"/>
            <w:shd w:val="clear" w:color="auto" w:fill="auto"/>
            <w:tcMar>
              <w:top w:w="10" w:type="dxa"/>
              <w:left w:w="10" w:type="dxa"/>
              <w:bottom w:w="0" w:type="dxa"/>
              <w:right w:w="10" w:type="dxa"/>
            </w:tcMar>
            <w:vAlign w:val="center"/>
          </w:tcPr>
          <w:p w14:paraId="1436D0FC" w14:textId="77777777" w:rsidR="00A90E9C" w:rsidRPr="008A26D2" w:rsidRDefault="00A90E9C" w:rsidP="0072651A">
            <w:pPr>
              <w:spacing w:after="0" w:line="240" w:lineRule="auto"/>
              <w:rPr>
                <w:rFonts w:ascii="Arial" w:hAnsi="Arial" w:cs="Arial"/>
                <w:sz w:val="20"/>
                <w:szCs w:val="20"/>
              </w:rPr>
            </w:pPr>
            <w:r w:rsidRPr="008A26D2">
              <w:rPr>
                <w:rFonts w:ascii="Arial" w:hAnsi="Arial" w:cs="Arial"/>
                <w:b/>
                <w:sz w:val="20"/>
                <w:szCs w:val="20"/>
              </w:rPr>
              <w:t> </w:t>
            </w:r>
          </w:p>
        </w:tc>
        <w:tc>
          <w:tcPr>
            <w:tcW w:w="1148" w:type="dxa"/>
            <w:shd w:val="clear" w:color="auto" w:fill="auto"/>
            <w:tcMar>
              <w:top w:w="10" w:type="dxa"/>
              <w:left w:w="10" w:type="dxa"/>
              <w:bottom w:w="0" w:type="dxa"/>
              <w:right w:w="10" w:type="dxa"/>
            </w:tcMar>
            <w:vAlign w:val="center"/>
          </w:tcPr>
          <w:p w14:paraId="15FC0CCC" w14:textId="77777777" w:rsidR="00A90E9C" w:rsidRPr="008A26D2" w:rsidRDefault="00A90E9C" w:rsidP="0072651A">
            <w:pPr>
              <w:spacing w:after="0" w:line="240" w:lineRule="auto"/>
              <w:jc w:val="center"/>
              <w:rPr>
                <w:rFonts w:ascii="Arial" w:hAnsi="Arial" w:cs="Arial"/>
                <w:sz w:val="20"/>
                <w:szCs w:val="20"/>
              </w:rPr>
            </w:pPr>
            <w:r w:rsidRPr="008A26D2">
              <w:rPr>
                <w:rFonts w:ascii="Arial" w:hAnsi="Arial" w:cs="Arial"/>
                <w:b/>
                <w:sz w:val="20"/>
                <w:szCs w:val="20"/>
              </w:rPr>
              <w:t>Línea de base</w:t>
            </w:r>
          </w:p>
        </w:tc>
        <w:tc>
          <w:tcPr>
            <w:tcW w:w="7074" w:type="dxa"/>
            <w:gridSpan w:val="9"/>
          </w:tcPr>
          <w:p w14:paraId="018398E6" w14:textId="77777777" w:rsidR="00A90E9C" w:rsidRPr="008A26D2" w:rsidRDefault="00A90E9C" w:rsidP="0072651A">
            <w:pPr>
              <w:spacing w:after="0" w:line="240" w:lineRule="auto"/>
              <w:jc w:val="center"/>
              <w:rPr>
                <w:rFonts w:ascii="Arial" w:hAnsi="Arial" w:cs="Arial"/>
                <w:sz w:val="20"/>
                <w:szCs w:val="20"/>
              </w:rPr>
            </w:pPr>
            <w:r w:rsidRPr="008A26D2">
              <w:rPr>
                <w:rFonts w:ascii="Arial" w:hAnsi="Arial" w:cs="Arial"/>
                <w:b/>
                <w:sz w:val="20"/>
                <w:szCs w:val="20"/>
              </w:rPr>
              <w:t xml:space="preserve">Logros esperados </w:t>
            </w:r>
          </w:p>
        </w:tc>
      </w:tr>
      <w:tr w:rsidR="008A26D2" w:rsidRPr="008A26D2" w14:paraId="724D15FF" w14:textId="77777777" w:rsidTr="0087293E">
        <w:trPr>
          <w:trHeight w:val="217"/>
        </w:trPr>
        <w:tc>
          <w:tcPr>
            <w:tcW w:w="567" w:type="dxa"/>
            <w:shd w:val="clear" w:color="auto" w:fill="auto"/>
            <w:tcMar>
              <w:top w:w="10" w:type="dxa"/>
              <w:left w:w="10" w:type="dxa"/>
              <w:bottom w:w="0" w:type="dxa"/>
              <w:right w:w="10" w:type="dxa"/>
            </w:tcMar>
            <w:vAlign w:val="center"/>
          </w:tcPr>
          <w:p w14:paraId="397C2E55" w14:textId="77777777" w:rsidR="00A90E9C" w:rsidRPr="008A26D2" w:rsidRDefault="00A90E9C" w:rsidP="0072651A">
            <w:pPr>
              <w:spacing w:after="0" w:line="240" w:lineRule="auto"/>
              <w:jc w:val="center"/>
              <w:rPr>
                <w:rFonts w:ascii="Arial" w:hAnsi="Arial" w:cs="Arial"/>
                <w:b/>
                <w:sz w:val="20"/>
                <w:szCs w:val="20"/>
              </w:rPr>
            </w:pPr>
            <w:r w:rsidRPr="008A26D2">
              <w:rPr>
                <w:rFonts w:ascii="Arial" w:hAnsi="Arial" w:cs="Arial"/>
                <w:b/>
                <w:sz w:val="20"/>
                <w:szCs w:val="20"/>
              </w:rPr>
              <w:t>Año</w:t>
            </w:r>
          </w:p>
        </w:tc>
        <w:tc>
          <w:tcPr>
            <w:tcW w:w="1148" w:type="dxa"/>
            <w:shd w:val="clear" w:color="auto" w:fill="auto"/>
            <w:tcMar>
              <w:top w:w="10" w:type="dxa"/>
              <w:left w:w="10" w:type="dxa"/>
              <w:bottom w:w="0" w:type="dxa"/>
              <w:right w:w="10" w:type="dxa"/>
            </w:tcMar>
            <w:vAlign w:val="center"/>
          </w:tcPr>
          <w:p w14:paraId="6C0A4782" w14:textId="77777777" w:rsidR="00A90E9C" w:rsidRPr="008A26D2" w:rsidRDefault="00A90E9C" w:rsidP="0072651A">
            <w:pPr>
              <w:spacing w:after="0" w:line="240" w:lineRule="auto"/>
              <w:jc w:val="center"/>
              <w:rPr>
                <w:rFonts w:ascii="Arial" w:hAnsi="Arial" w:cs="Arial"/>
                <w:b/>
                <w:sz w:val="20"/>
                <w:szCs w:val="20"/>
              </w:rPr>
            </w:pPr>
            <w:r w:rsidRPr="008A26D2">
              <w:rPr>
                <w:rFonts w:ascii="Arial" w:hAnsi="Arial" w:cs="Arial"/>
                <w:b/>
                <w:sz w:val="20"/>
                <w:szCs w:val="20"/>
              </w:rPr>
              <w:t>2022</w:t>
            </w:r>
          </w:p>
        </w:tc>
        <w:tc>
          <w:tcPr>
            <w:tcW w:w="837" w:type="dxa"/>
            <w:gridSpan w:val="2"/>
            <w:shd w:val="clear" w:color="auto" w:fill="auto"/>
            <w:tcMar>
              <w:top w:w="10" w:type="dxa"/>
              <w:left w:w="10" w:type="dxa"/>
              <w:bottom w:w="0" w:type="dxa"/>
              <w:right w:w="10" w:type="dxa"/>
            </w:tcMar>
            <w:vAlign w:val="center"/>
          </w:tcPr>
          <w:p w14:paraId="61663977" w14:textId="77777777" w:rsidR="00A90E9C" w:rsidRPr="008A26D2" w:rsidRDefault="00A90E9C" w:rsidP="0072651A">
            <w:pPr>
              <w:spacing w:after="0" w:line="240" w:lineRule="auto"/>
              <w:jc w:val="center"/>
              <w:rPr>
                <w:rFonts w:ascii="Arial" w:hAnsi="Arial" w:cs="Arial"/>
                <w:b/>
                <w:sz w:val="20"/>
                <w:szCs w:val="20"/>
              </w:rPr>
            </w:pPr>
            <w:r w:rsidRPr="008A26D2">
              <w:rPr>
                <w:rFonts w:ascii="Arial" w:hAnsi="Arial" w:cs="Arial"/>
                <w:b/>
                <w:sz w:val="20"/>
                <w:szCs w:val="20"/>
              </w:rPr>
              <w:t>2023</w:t>
            </w:r>
          </w:p>
        </w:tc>
        <w:tc>
          <w:tcPr>
            <w:tcW w:w="992" w:type="dxa"/>
            <w:shd w:val="clear" w:color="auto" w:fill="auto"/>
            <w:vAlign w:val="center"/>
          </w:tcPr>
          <w:p w14:paraId="29B77228" w14:textId="77777777" w:rsidR="00A90E9C" w:rsidRPr="008A26D2" w:rsidRDefault="00A90E9C" w:rsidP="0072651A">
            <w:pPr>
              <w:spacing w:after="0" w:line="240" w:lineRule="auto"/>
              <w:jc w:val="center"/>
              <w:rPr>
                <w:rFonts w:ascii="Arial" w:hAnsi="Arial" w:cs="Arial"/>
                <w:b/>
                <w:sz w:val="20"/>
                <w:szCs w:val="20"/>
              </w:rPr>
            </w:pPr>
            <w:r w:rsidRPr="008A26D2">
              <w:rPr>
                <w:rFonts w:ascii="Arial" w:hAnsi="Arial" w:cs="Arial"/>
                <w:b/>
                <w:sz w:val="20"/>
                <w:szCs w:val="20"/>
              </w:rPr>
              <w:t>2024</w:t>
            </w:r>
          </w:p>
        </w:tc>
        <w:tc>
          <w:tcPr>
            <w:tcW w:w="992" w:type="dxa"/>
            <w:shd w:val="clear" w:color="auto" w:fill="auto"/>
            <w:vAlign w:val="center"/>
          </w:tcPr>
          <w:p w14:paraId="7DA33FE5" w14:textId="77777777" w:rsidR="00A90E9C" w:rsidRPr="008A26D2" w:rsidRDefault="00A90E9C" w:rsidP="0072651A">
            <w:pPr>
              <w:spacing w:after="0" w:line="240" w:lineRule="auto"/>
              <w:jc w:val="center"/>
              <w:rPr>
                <w:rFonts w:ascii="Arial" w:hAnsi="Arial" w:cs="Arial"/>
                <w:b/>
                <w:sz w:val="20"/>
                <w:szCs w:val="20"/>
              </w:rPr>
            </w:pPr>
            <w:r w:rsidRPr="008A26D2">
              <w:rPr>
                <w:rFonts w:ascii="Arial" w:hAnsi="Arial" w:cs="Arial"/>
                <w:b/>
                <w:sz w:val="20"/>
                <w:szCs w:val="20"/>
              </w:rPr>
              <w:t>2025</w:t>
            </w:r>
          </w:p>
        </w:tc>
        <w:tc>
          <w:tcPr>
            <w:tcW w:w="993" w:type="dxa"/>
            <w:shd w:val="clear" w:color="auto" w:fill="auto"/>
            <w:vAlign w:val="center"/>
          </w:tcPr>
          <w:p w14:paraId="7AD72C73" w14:textId="77777777" w:rsidR="00A90E9C" w:rsidRPr="008A26D2" w:rsidRDefault="00A90E9C" w:rsidP="0072651A">
            <w:pPr>
              <w:spacing w:after="0" w:line="240" w:lineRule="auto"/>
              <w:jc w:val="center"/>
              <w:rPr>
                <w:rFonts w:ascii="Arial" w:hAnsi="Arial" w:cs="Arial"/>
                <w:b/>
                <w:sz w:val="20"/>
                <w:szCs w:val="20"/>
              </w:rPr>
            </w:pPr>
            <w:r w:rsidRPr="008A26D2">
              <w:rPr>
                <w:rFonts w:ascii="Arial" w:hAnsi="Arial" w:cs="Arial"/>
                <w:b/>
                <w:sz w:val="20"/>
                <w:szCs w:val="20"/>
              </w:rPr>
              <w:t>2026</w:t>
            </w:r>
          </w:p>
        </w:tc>
        <w:tc>
          <w:tcPr>
            <w:tcW w:w="850" w:type="dxa"/>
            <w:shd w:val="clear" w:color="auto" w:fill="auto"/>
            <w:vAlign w:val="center"/>
          </w:tcPr>
          <w:p w14:paraId="2BD12626" w14:textId="77777777" w:rsidR="00A90E9C" w:rsidRPr="008A26D2" w:rsidRDefault="00A90E9C" w:rsidP="0072651A">
            <w:pPr>
              <w:spacing w:after="0" w:line="240" w:lineRule="auto"/>
              <w:jc w:val="center"/>
              <w:rPr>
                <w:rFonts w:ascii="Arial" w:hAnsi="Arial" w:cs="Arial"/>
                <w:b/>
                <w:sz w:val="20"/>
                <w:szCs w:val="20"/>
              </w:rPr>
            </w:pPr>
            <w:r w:rsidRPr="008A26D2">
              <w:rPr>
                <w:rFonts w:ascii="Arial" w:hAnsi="Arial" w:cs="Arial"/>
                <w:b/>
                <w:sz w:val="20"/>
                <w:szCs w:val="20"/>
              </w:rPr>
              <w:t>2027</w:t>
            </w:r>
          </w:p>
        </w:tc>
        <w:tc>
          <w:tcPr>
            <w:tcW w:w="709" w:type="dxa"/>
            <w:vAlign w:val="center"/>
          </w:tcPr>
          <w:p w14:paraId="11B148B7" w14:textId="77777777" w:rsidR="00A90E9C" w:rsidRPr="008A26D2" w:rsidRDefault="00A90E9C" w:rsidP="0072651A">
            <w:pPr>
              <w:spacing w:after="0" w:line="240" w:lineRule="auto"/>
              <w:jc w:val="center"/>
              <w:rPr>
                <w:rFonts w:ascii="Arial" w:hAnsi="Arial" w:cs="Arial"/>
                <w:b/>
                <w:sz w:val="20"/>
                <w:szCs w:val="20"/>
              </w:rPr>
            </w:pPr>
            <w:r w:rsidRPr="008A26D2">
              <w:rPr>
                <w:rFonts w:ascii="Arial" w:hAnsi="Arial" w:cs="Arial"/>
                <w:b/>
                <w:sz w:val="20"/>
                <w:szCs w:val="20"/>
              </w:rPr>
              <w:t>2028</w:t>
            </w:r>
          </w:p>
        </w:tc>
        <w:tc>
          <w:tcPr>
            <w:tcW w:w="992" w:type="dxa"/>
            <w:shd w:val="clear" w:color="auto" w:fill="auto"/>
            <w:vAlign w:val="center"/>
          </w:tcPr>
          <w:p w14:paraId="593F3DD7" w14:textId="77777777" w:rsidR="00A90E9C" w:rsidRPr="008A26D2" w:rsidRDefault="00A90E9C" w:rsidP="0072651A">
            <w:pPr>
              <w:spacing w:after="0" w:line="240" w:lineRule="auto"/>
              <w:jc w:val="center"/>
              <w:rPr>
                <w:rFonts w:ascii="Arial" w:hAnsi="Arial" w:cs="Arial"/>
                <w:b/>
                <w:sz w:val="20"/>
                <w:szCs w:val="20"/>
              </w:rPr>
            </w:pPr>
            <w:r w:rsidRPr="008A26D2">
              <w:rPr>
                <w:rFonts w:ascii="Arial" w:hAnsi="Arial" w:cs="Arial"/>
                <w:b/>
                <w:sz w:val="20"/>
                <w:szCs w:val="20"/>
              </w:rPr>
              <w:t>2029</w:t>
            </w:r>
          </w:p>
        </w:tc>
        <w:tc>
          <w:tcPr>
            <w:tcW w:w="709" w:type="dxa"/>
            <w:shd w:val="clear" w:color="auto" w:fill="auto"/>
            <w:vAlign w:val="center"/>
          </w:tcPr>
          <w:p w14:paraId="6A344522" w14:textId="77777777" w:rsidR="00A90E9C" w:rsidRPr="008A26D2" w:rsidRDefault="00A90E9C" w:rsidP="0072651A">
            <w:pPr>
              <w:spacing w:after="0" w:line="240" w:lineRule="auto"/>
              <w:jc w:val="center"/>
              <w:rPr>
                <w:rFonts w:ascii="Arial" w:hAnsi="Arial" w:cs="Arial"/>
                <w:b/>
                <w:sz w:val="20"/>
                <w:szCs w:val="20"/>
              </w:rPr>
            </w:pPr>
            <w:r w:rsidRPr="008A26D2">
              <w:rPr>
                <w:rFonts w:ascii="Arial" w:hAnsi="Arial" w:cs="Arial"/>
                <w:b/>
                <w:sz w:val="20"/>
                <w:szCs w:val="20"/>
              </w:rPr>
              <w:t>2030</w:t>
            </w:r>
          </w:p>
        </w:tc>
      </w:tr>
      <w:tr w:rsidR="008A26D2" w:rsidRPr="008A26D2" w14:paraId="6B9DA95A" w14:textId="77777777" w:rsidTr="0087293E">
        <w:trPr>
          <w:trHeight w:val="81"/>
        </w:trPr>
        <w:tc>
          <w:tcPr>
            <w:tcW w:w="567" w:type="dxa"/>
            <w:shd w:val="clear" w:color="auto" w:fill="auto"/>
            <w:tcMar>
              <w:top w:w="10" w:type="dxa"/>
              <w:left w:w="10" w:type="dxa"/>
              <w:bottom w:w="0" w:type="dxa"/>
              <w:right w:w="10" w:type="dxa"/>
            </w:tcMar>
            <w:vAlign w:val="center"/>
          </w:tcPr>
          <w:p w14:paraId="1251C004" w14:textId="77777777" w:rsidR="00A90E9C" w:rsidRPr="008A26D2" w:rsidRDefault="00A90E9C" w:rsidP="0072651A">
            <w:pPr>
              <w:spacing w:after="0" w:line="240" w:lineRule="auto"/>
              <w:jc w:val="center"/>
              <w:rPr>
                <w:rFonts w:ascii="Arial" w:hAnsi="Arial" w:cs="Arial"/>
                <w:b/>
                <w:sz w:val="20"/>
                <w:szCs w:val="20"/>
              </w:rPr>
            </w:pPr>
            <w:r w:rsidRPr="008A26D2">
              <w:rPr>
                <w:rFonts w:ascii="Arial" w:hAnsi="Arial" w:cs="Arial"/>
                <w:b/>
                <w:sz w:val="20"/>
                <w:szCs w:val="20"/>
              </w:rPr>
              <w:t>Valor</w:t>
            </w:r>
          </w:p>
        </w:tc>
        <w:tc>
          <w:tcPr>
            <w:tcW w:w="1148" w:type="dxa"/>
            <w:shd w:val="clear" w:color="auto" w:fill="auto"/>
            <w:tcMar>
              <w:top w:w="10" w:type="dxa"/>
              <w:left w:w="10" w:type="dxa"/>
              <w:bottom w:w="0" w:type="dxa"/>
              <w:right w:w="10" w:type="dxa"/>
            </w:tcMar>
            <w:vAlign w:val="center"/>
          </w:tcPr>
          <w:p w14:paraId="65400DFA" w14:textId="6591749D" w:rsidR="00A90E9C" w:rsidRPr="008A26D2" w:rsidRDefault="002A3BBD" w:rsidP="0072651A">
            <w:pPr>
              <w:spacing w:after="0" w:line="240" w:lineRule="auto"/>
              <w:jc w:val="center"/>
              <w:rPr>
                <w:rFonts w:ascii="Arial" w:hAnsi="Arial" w:cs="Arial"/>
                <w:sz w:val="20"/>
                <w:szCs w:val="20"/>
              </w:rPr>
            </w:pPr>
            <w:r w:rsidRPr="00BD1985">
              <w:rPr>
                <w:rFonts w:ascii="Arial" w:hAnsi="Arial" w:cs="Arial"/>
                <w:sz w:val="20"/>
                <w:szCs w:val="20"/>
              </w:rPr>
              <w:t>ND</w:t>
            </w:r>
          </w:p>
        </w:tc>
        <w:tc>
          <w:tcPr>
            <w:tcW w:w="837" w:type="dxa"/>
            <w:gridSpan w:val="2"/>
            <w:shd w:val="clear" w:color="auto" w:fill="auto"/>
            <w:tcMar>
              <w:top w:w="10" w:type="dxa"/>
              <w:left w:w="10" w:type="dxa"/>
              <w:bottom w:w="0" w:type="dxa"/>
              <w:right w:w="10" w:type="dxa"/>
            </w:tcMar>
          </w:tcPr>
          <w:p w14:paraId="65651652" w14:textId="77777777" w:rsidR="00A90E9C" w:rsidRPr="008A26D2" w:rsidRDefault="00A90E9C" w:rsidP="0072651A">
            <w:pPr>
              <w:spacing w:after="0" w:line="240" w:lineRule="auto"/>
              <w:jc w:val="center"/>
              <w:rPr>
                <w:rFonts w:ascii="Arial" w:eastAsia="Arial Narrow" w:hAnsi="Arial" w:cs="Arial"/>
                <w:sz w:val="20"/>
                <w:szCs w:val="20"/>
              </w:rPr>
            </w:pPr>
            <w:r w:rsidRPr="008A26D2">
              <w:rPr>
                <w:rFonts w:ascii="Arial" w:eastAsia="Arial Narrow" w:hAnsi="Arial" w:cs="Arial"/>
                <w:sz w:val="20"/>
                <w:szCs w:val="20"/>
              </w:rPr>
              <w:t>60%</w:t>
            </w:r>
          </w:p>
        </w:tc>
        <w:tc>
          <w:tcPr>
            <w:tcW w:w="992" w:type="dxa"/>
            <w:shd w:val="clear" w:color="auto" w:fill="auto"/>
          </w:tcPr>
          <w:p w14:paraId="72163435" w14:textId="77777777" w:rsidR="00A90E9C" w:rsidRPr="008A26D2" w:rsidRDefault="00A90E9C" w:rsidP="0072651A">
            <w:pPr>
              <w:spacing w:after="0" w:line="240" w:lineRule="auto"/>
              <w:jc w:val="center"/>
              <w:rPr>
                <w:rFonts w:ascii="Arial" w:eastAsia="Arial Narrow" w:hAnsi="Arial" w:cs="Arial"/>
                <w:sz w:val="20"/>
                <w:szCs w:val="20"/>
              </w:rPr>
            </w:pPr>
            <w:r w:rsidRPr="008A26D2">
              <w:rPr>
                <w:rFonts w:ascii="Arial" w:eastAsia="Arial Narrow" w:hAnsi="Arial" w:cs="Arial"/>
                <w:sz w:val="20"/>
                <w:szCs w:val="20"/>
              </w:rPr>
              <w:t>60%</w:t>
            </w:r>
          </w:p>
        </w:tc>
        <w:tc>
          <w:tcPr>
            <w:tcW w:w="992" w:type="dxa"/>
            <w:shd w:val="clear" w:color="auto" w:fill="auto"/>
          </w:tcPr>
          <w:p w14:paraId="58DDCF16" w14:textId="77777777" w:rsidR="00A90E9C" w:rsidRPr="008A26D2" w:rsidRDefault="00A90E9C" w:rsidP="0072651A">
            <w:pPr>
              <w:spacing w:after="0" w:line="240" w:lineRule="auto"/>
              <w:jc w:val="center"/>
              <w:rPr>
                <w:rFonts w:ascii="Arial" w:eastAsia="Arial Narrow" w:hAnsi="Arial" w:cs="Arial"/>
                <w:sz w:val="20"/>
                <w:szCs w:val="20"/>
              </w:rPr>
            </w:pPr>
            <w:r w:rsidRPr="008A26D2">
              <w:rPr>
                <w:rFonts w:ascii="Arial" w:eastAsia="Arial Narrow" w:hAnsi="Arial" w:cs="Arial"/>
                <w:sz w:val="20"/>
                <w:szCs w:val="20"/>
              </w:rPr>
              <w:t>70%</w:t>
            </w:r>
          </w:p>
        </w:tc>
        <w:tc>
          <w:tcPr>
            <w:tcW w:w="993" w:type="dxa"/>
            <w:shd w:val="clear" w:color="auto" w:fill="auto"/>
          </w:tcPr>
          <w:p w14:paraId="505E6651" w14:textId="77777777" w:rsidR="00A90E9C" w:rsidRPr="008A26D2" w:rsidRDefault="00A90E9C" w:rsidP="0072651A">
            <w:pPr>
              <w:spacing w:after="0" w:line="240" w:lineRule="auto"/>
              <w:jc w:val="center"/>
              <w:rPr>
                <w:rFonts w:ascii="Arial" w:eastAsia="Arial Narrow" w:hAnsi="Arial" w:cs="Arial"/>
                <w:sz w:val="20"/>
                <w:szCs w:val="20"/>
              </w:rPr>
            </w:pPr>
            <w:r w:rsidRPr="008A26D2">
              <w:rPr>
                <w:rFonts w:ascii="Arial" w:eastAsia="Arial Narrow" w:hAnsi="Arial" w:cs="Arial"/>
                <w:sz w:val="20"/>
                <w:szCs w:val="20"/>
              </w:rPr>
              <w:t>70%</w:t>
            </w:r>
          </w:p>
        </w:tc>
        <w:tc>
          <w:tcPr>
            <w:tcW w:w="850" w:type="dxa"/>
            <w:shd w:val="clear" w:color="auto" w:fill="auto"/>
          </w:tcPr>
          <w:p w14:paraId="50881DC5" w14:textId="77777777" w:rsidR="00A90E9C" w:rsidRPr="008A26D2" w:rsidRDefault="00A90E9C" w:rsidP="0072651A">
            <w:pPr>
              <w:spacing w:after="0" w:line="240" w:lineRule="auto"/>
              <w:jc w:val="center"/>
              <w:rPr>
                <w:rFonts w:ascii="Arial" w:eastAsia="Arial Narrow" w:hAnsi="Arial" w:cs="Arial"/>
                <w:sz w:val="20"/>
                <w:szCs w:val="20"/>
              </w:rPr>
            </w:pPr>
            <w:r w:rsidRPr="008A26D2">
              <w:rPr>
                <w:rFonts w:ascii="Arial" w:eastAsia="Arial Narrow" w:hAnsi="Arial" w:cs="Arial"/>
                <w:sz w:val="20"/>
                <w:szCs w:val="20"/>
              </w:rPr>
              <w:t>70%</w:t>
            </w:r>
          </w:p>
        </w:tc>
        <w:tc>
          <w:tcPr>
            <w:tcW w:w="709" w:type="dxa"/>
          </w:tcPr>
          <w:p w14:paraId="10EB016F" w14:textId="77777777" w:rsidR="00A90E9C" w:rsidRPr="008A26D2" w:rsidRDefault="00A90E9C" w:rsidP="0072651A">
            <w:pPr>
              <w:spacing w:after="0" w:line="240" w:lineRule="auto"/>
              <w:jc w:val="center"/>
              <w:rPr>
                <w:rFonts w:ascii="Arial" w:eastAsia="Arial Narrow" w:hAnsi="Arial" w:cs="Arial"/>
                <w:sz w:val="20"/>
                <w:szCs w:val="20"/>
              </w:rPr>
            </w:pPr>
            <w:r w:rsidRPr="008A26D2">
              <w:rPr>
                <w:rFonts w:ascii="Arial" w:eastAsia="Arial Narrow" w:hAnsi="Arial" w:cs="Arial"/>
                <w:sz w:val="20"/>
                <w:szCs w:val="20"/>
              </w:rPr>
              <w:t>80%</w:t>
            </w:r>
          </w:p>
        </w:tc>
        <w:tc>
          <w:tcPr>
            <w:tcW w:w="992" w:type="dxa"/>
            <w:shd w:val="clear" w:color="auto" w:fill="auto"/>
          </w:tcPr>
          <w:p w14:paraId="22A2C443" w14:textId="77777777" w:rsidR="00A90E9C" w:rsidRPr="008A26D2" w:rsidRDefault="00A90E9C" w:rsidP="0072651A">
            <w:pPr>
              <w:spacing w:after="0" w:line="240" w:lineRule="auto"/>
              <w:jc w:val="center"/>
              <w:rPr>
                <w:rFonts w:ascii="Arial" w:eastAsia="Arial Narrow" w:hAnsi="Arial" w:cs="Arial"/>
                <w:sz w:val="20"/>
                <w:szCs w:val="20"/>
              </w:rPr>
            </w:pPr>
            <w:r w:rsidRPr="008A26D2">
              <w:rPr>
                <w:rFonts w:ascii="Arial" w:eastAsia="Arial Narrow" w:hAnsi="Arial" w:cs="Arial"/>
                <w:sz w:val="20"/>
                <w:szCs w:val="20"/>
              </w:rPr>
              <w:t>80%</w:t>
            </w:r>
          </w:p>
        </w:tc>
        <w:tc>
          <w:tcPr>
            <w:tcW w:w="709" w:type="dxa"/>
            <w:shd w:val="clear" w:color="auto" w:fill="auto"/>
          </w:tcPr>
          <w:p w14:paraId="594FF603" w14:textId="77777777" w:rsidR="00A90E9C" w:rsidRPr="008A26D2" w:rsidRDefault="00A90E9C" w:rsidP="0072651A">
            <w:pPr>
              <w:spacing w:after="0" w:line="240" w:lineRule="auto"/>
              <w:jc w:val="center"/>
              <w:rPr>
                <w:rFonts w:ascii="Arial" w:eastAsia="Arial Narrow" w:hAnsi="Arial" w:cs="Arial"/>
                <w:sz w:val="20"/>
                <w:szCs w:val="20"/>
              </w:rPr>
            </w:pPr>
            <w:r w:rsidRPr="008A26D2">
              <w:rPr>
                <w:rFonts w:ascii="Arial" w:eastAsia="Arial Narrow" w:hAnsi="Arial" w:cs="Arial"/>
                <w:sz w:val="20"/>
                <w:szCs w:val="20"/>
              </w:rPr>
              <w:t>90%</w:t>
            </w:r>
          </w:p>
        </w:tc>
      </w:tr>
    </w:tbl>
    <w:p w14:paraId="1A76E0DA" w14:textId="77777777" w:rsidR="00A90E9C" w:rsidRPr="008A26D2" w:rsidRDefault="00A90E9C" w:rsidP="00A90E9C"/>
    <w:p w14:paraId="5D9CC81C" w14:textId="77777777" w:rsidR="00A90E9C" w:rsidRPr="008A26D2" w:rsidRDefault="00A90E9C" w:rsidP="00A90E9C"/>
    <w:tbl>
      <w:tblPr>
        <w:tblW w:w="87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
        <w:gridCol w:w="865"/>
        <w:gridCol w:w="570"/>
        <w:gridCol w:w="564"/>
        <w:gridCol w:w="851"/>
        <w:gridCol w:w="268"/>
        <w:gridCol w:w="582"/>
        <w:gridCol w:w="851"/>
        <w:gridCol w:w="992"/>
        <w:gridCol w:w="718"/>
        <w:gridCol w:w="118"/>
        <w:gridCol w:w="850"/>
        <w:gridCol w:w="709"/>
      </w:tblGrid>
      <w:tr w:rsidR="008A26D2" w:rsidRPr="008A26D2" w14:paraId="73A75C24" w14:textId="77777777" w:rsidTr="00DF7FB6">
        <w:trPr>
          <w:trHeight w:val="251"/>
        </w:trPr>
        <w:tc>
          <w:tcPr>
            <w:tcW w:w="8789" w:type="dxa"/>
            <w:gridSpan w:val="13"/>
            <w:shd w:val="clear" w:color="auto" w:fill="D9D9D9" w:themeFill="background1" w:themeFillShade="D9"/>
            <w:tcMar>
              <w:top w:w="10" w:type="dxa"/>
              <w:left w:w="10" w:type="dxa"/>
              <w:bottom w:w="0" w:type="dxa"/>
              <w:right w:w="10" w:type="dxa"/>
            </w:tcMar>
            <w:vAlign w:val="center"/>
          </w:tcPr>
          <w:p w14:paraId="62B5CDDC" w14:textId="77777777" w:rsidR="00A90E9C" w:rsidRPr="008A26D2" w:rsidRDefault="00A90E9C" w:rsidP="0072651A">
            <w:pPr>
              <w:jc w:val="center"/>
              <w:rPr>
                <w:rFonts w:ascii="Arial" w:hAnsi="Arial" w:cs="Arial"/>
                <w:sz w:val="20"/>
                <w:szCs w:val="20"/>
              </w:rPr>
            </w:pPr>
            <w:r w:rsidRPr="008A26D2">
              <w:rPr>
                <w:rFonts w:ascii="Arial" w:hAnsi="Arial" w:cs="Arial"/>
                <w:sz w:val="20"/>
                <w:szCs w:val="20"/>
              </w:rPr>
              <w:br w:type="page"/>
            </w:r>
            <w:r w:rsidRPr="008A26D2">
              <w:rPr>
                <w:rFonts w:ascii="Arial" w:hAnsi="Arial" w:cs="Arial"/>
                <w:b/>
                <w:sz w:val="20"/>
                <w:szCs w:val="20"/>
              </w:rPr>
              <w:t>FICHA TÉCNICA DE INDICADOR DE SERVICIO 1.4.2</w:t>
            </w:r>
          </w:p>
        </w:tc>
      </w:tr>
      <w:tr w:rsidR="008A26D2" w:rsidRPr="008A26D2" w14:paraId="0AC17845" w14:textId="77777777" w:rsidTr="00DF7FB6">
        <w:trPr>
          <w:trHeight w:val="409"/>
        </w:trPr>
        <w:tc>
          <w:tcPr>
            <w:tcW w:w="2286" w:type="dxa"/>
            <w:gridSpan w:val="3"/>
            <w:shd w:val="clear" w:color="auto" w:fill="FFFFFF"/>
            <w:tcMar>
              <w:top w:w="10" w:type="dxa"/>
              <w:left w:w="93" w:type="dxa"/>
              <w:bottom w:w="0" w:type="dxa"/>
              <w:right w:w="10" w:type="dxa"/>
            </w:tcMar>
            <w:vAlign w:val="center"/>
          </w:tcPr>
          <w:p w14:paraId="7686CE81" w14:textId="77777777" w:rsidR="00A90E9C" w:rsidRPr="008A26D2" w:rsidRDefault="00A90E9C" w:rsidP="0072651A">
            <w:pPr>
              <w:rPr>
                <w:rFonts w:ascii="Arial" w:hAnsi="Arial" w:cs="Arial"/>
                <w:sz w:val="20"/>
                <w:szCs w:val="20"/>
              </w:rPr>
            </w:pPr>
            <w:r w:rsidRPr="008A26D2">
              <w:rPr>
                <w:rFonts w:ascii="Arial" w:hAnsi="Arial" w:cs="Arial"/>
                <w:b/>
                <w:sz w:val="20"/>
                <w:szCs w:val="20"/>
              </w:rPr>
              <w:t>Objetivo prioritario:</w:t>
            </w:r>
          </w:p>
        </w:tc>
        <w:tc>
          <w:tcPr>
            <w:tcW w:w="6503" w:type="dxa"/>
            <w:gridSpan w:val="10"/>
            <w:shd w:val="clear" w:color="auto" w:fill="FFFFFF"/>
            <w:tcMar>
              <w:top w:w="51" w:type="dxa"/>
              <w:left w:w="227" w:type="dxa"/>
              <w:bottom w:w="51" w:type="dxa"/>
              <w:right w:w="227" w:type="dxa"/>
            </w:tcMar>
            <w:vAlign w:val="center"/>
          </w:tcPr>
          <w:p w14:paraId="2CAD2DC4" w14:textId="77777777" w:rsidR="00A90E9C" w:rsidRPr="008A26D2" w:rsidRDefault="00A90E9C" w:rsidP="0072651A">
            <w:pPr>
              <w:spacing w:after="0" w:line="240" w:lineRule="auto"/>
              <w:jc w:val="both"/>
              <w:rPr>
                <w:rFonts w:ascii="Arial" w:hAnsi="Arial" w:cs="Arial"/>
                <w:sz w:val="20"/>
                <w:szCs w:val="20"/>
              </w:rPr>
            </w:pPr>
            <w:r w:rsidRPr="008A26D2">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r>
      <w:tr w:rsidR="008A26D2" w:rsidRPr="008A26D2" w14:paraId="3A92E810" w14:textId="77777777" w:rsidTr="00DF7FB6">
        <w:trPr>
          <w:trHeight w:val="436"/>
        </w:trPr>
        <w:tc>
          <w:tcPr>
            <w:tcW w:w="2286" w:type="dxa"/>
            <w:gridSpan w:val="3"/>
            <w:shd w:val="clear" w:color="auto" w:fill="auto"/>
            <w:tcMar>
              <w:top w:w="10" w:type="dxa"/>
              <w:left w:w="93" w:type="dxa"/>
              <w:bottom w:w="0" w:type="dxa"/>
              <w:right w:w="10" w:type="dxa"/>
            </w:tcMar>
            <w:vAlign w:val="center"/>
          </w:tcPr>
          <w:p w14:paraId="3B2FAE28" w14:textId="77777777" w:rsidR="00A90E9C" w:rsidRPr="008A26D2" w:rsidRDefault="00A90E9C" w:rsidP="0072651A">
            <w:pPr>
              <w:rPr>
                <w:rFonts w:ascii="Arial" w:hAnsi="Arial" w:cs="Arial"/>
                <w:sz w:val="20"/>
                <w:szCs w:val="20"/>
              </w:rPr>
            </w:pPr>
            <w:r w:rsidRPr="008A26D2">
              <w:rPr>
                <w:rFonts w:ascii="Arial" w:hAnsi="Arial" w:cs="Arial"/>
                <w:b/>
                <w:sz w:val="20"/>
                <w:szCs w:val="20"/>
              </w:rPr>
              <w:t>Lineamiento de la política:</w:t>
            </w:r>
          </w:p>
        </w:tc>
        <w:tc>
          <w:tcPr>
            <w:tcW w:w="6503" w:type="dxa"/>
            <w:gridSpan w:val="10"/>
            <w:shd w:val="clear" w:color="auto" w:fill="auto"/>
            <w:tcMar>
              <w:top w:w="51" w:type="dxa"/>
              <w:left w:w="227" w:type="dxa"/>
              <w:bottom w:w="51" w:type="dxa"/>
              <w:right w:w="227" w:type="dxa"/>
            </w:tcMar>
            <w:vAlign w:val="center"/>
          </w:tcPr>
          <w:p w14:paraId="2F390C20" w14:textId="77777777" w:rsidR="00A90E9C" w:rsidRPr="008A26D2" w:rsidRDefault="00A90E9C" w:rsidP="0072651A">
            <w:pPr>
              <w:spacing w:after="0" w:line="240" w:lineRule="auto"/>
              <w:jc w:val="both"/>
              <w:rPr>
                <w:rFonts w:ascii="Arial" w:hAnsi="Arial" w:cs="Arial"/>
                <w:sz w:val="20"/>
                <w:szCs w:val="20"/>
              </w:rPr>
            </w:pPr>
            <w:r w:rsidRPr="008A26D2">
              <w:rPr>
                <w:rFonts w:ascii="Arial" w:eastAsia="Arial Narrow" w:hAnsi="Arial" w:cs="Arial"/>
                <w:sz w:val="20"/>
                <w:szCs w:val="20"/>
              </w:rPr>
              <w:t>L1.4 Incentivar el desarrollo de mecanismos de retribución por servicios ecosistémicos para la conservación, recuperación y uso sostenible de los ecosistemas forestales y otros ecosistemas de vegetación silvestre</w:t>
            </w:r>
          </w:p>
        </w:tc>
      </w:tr>
      <w:tr w:rsidR="008A26D2" w:rsidRPr="008A26D2" w14:paraId="3F380630" w14:textId="77777777" w:rsidTr="00DF7FB6">
        <w:trPr>
          <w:trHeight w:val="404"/>
        </w:trPr>
        <w:tc>
          <w:tcPr>
            <w:tcW w:w="2286" w:type="dxa"/>
            <w:gridSpan w:val="3"/>
            <w:shd w:val="clear" w:color="auto" w:fill="auto"/>
            <w:tcMar>
              <w:top w:w="10" w:type="dxa"/>
              <w:left w:w="93" w:type="dxa"/>
              <w:bottom w:w="0" w:type="dxa"/>
              <w:right w:w="10" w:type="dxa"/>
            </w:tcMar>
            <w:vAlign w:val="center"/>
          </w:tcPr>
          <w:p w14:paraId="30DD8FBF" w14:textId="77777777" w:rsidR="00A90E9C" w:rsidRPr="008A26D2" w:rsidRDefault="00A90E9C" w:rsidP="0072651A">
            <w:pPr>
              <w:rPr>
                <w:rFonts w:ascii="Arial" w:hAnsi="Arial" w:cs="Arial"/>
                <w:sz w:val="20"/>
                <w:szCs w:val="20"/>
              </w:rPr>
            </w:pPr>
            <w:r w:rsidRPr="008A26D2">
              <w:rPr>
                <w:rFonts w:ascii="Arial" w:hAnsi="Arial" w:cs="Arial"/>
                <w:b/>
                <w:sz w:val="20"/>
                <w:szCs w:val="20"/>
              </w:rPr>
              <w:t>Nombre del servicio:</w:t>
            </w:r>
          </w:p>
        </w:tc>
        <w:tc>
          <w:tcPr>
            <w:tcW w:w="6503" w:type="dxa"/>
            <w:gridSpan w:val="10"/>
            <w:shd w:val="clear" w:color="auto" w:fill="auto"/>
            <w:tcMar>
              <w:top w:w="51" w:type="dxa"/>
              <w:left w:w="227" w:type="dxa"/>
              <w:bottom w:w="51" w:type="dxa"/>
              <w:right w:w="227" w:type="dxa"/>
            </w:tcMar>
            <w:vAlign w:val="center"/>
          </w:tcPr>
          <w:p w14:paraId="3EE0555F" w14:textId="6A5FF69C" w:rsidR="00A90E9C" w:rsidRPr="008A26D2" w:rsidRDefault="00A90E9C" w:rsidP="0072651A">
            <w:pPr>
              <w:spacing w:after="0" w:line="240" w:lineRule="auto"/>
              <w:jc w:val="both"/>
              <w:rPr>
                <w:rFonts w:ascii="Arial" w:hAnsi="Arial" w:cs="Arial"/>
                <w:sz w:val="20"/>
                <w:szCs w:val="20"/>
              </w:rPr>
            </w:pPr>
            <w:r w:rsidRPr="008A26D2">
              <w:rPr>
                <w:rFonts w:ascii="Arial" w:hAnsi="Arial" w:cs="Arial"/>
                <w:sz w:val="20"/>
                <w:szCs w:val="20"/>
              </w:rPr>
              <w:t xml:space="preserve">S1.4.2 </w:t>
            </w:r>
            <w:r w:rsidR="00F43B15" w:rsidRPr="008A26D2">
              <w:rPr>
                <w:rFonts w:ascii="Arial" w:hAnsi="Arial" w:cs="Arial"/>
                <w:sz w:val="20"/>
                <w:szCs w:val="20"/>
              </w:rPr>
              <w:t>Asistencia técnica para el diseño y actualización de metodologías sobre la estimación del pago por acceso y uso de los recursos forestales y de fauna silvestre de forma satisfactoria dirigida a las Autoridades Regionales Forestales y de Fauna Silvestre</w:t>
            </w:r>
          </w:p>
        </w:tc>
      </w:tr>
      <w:tr w:rsidR="008A26D2" w:rsidRPr="008A26D2" w14:paraId="6FB76881" w14:textId="77777777" w:rsidTr="00DF7FB6">
        <w:trPr>
          <w:trHeight w:val="413"/>
        </w:trPr>
        <w:tc>
          <w:tcPr>
            <w:tcW w:w="2286" w:type="dxa"/>
            <w:gridSpan w:val="3"/>
            <w:shd w:val="clear" w:color="auto" w:fill="auto"/>
            <w:tcMar>
              <w:top w:w="10" w:type="dxa"/>
              <w:left w:w="93" w:type="dxa"/>
              <w:bottom w:w="0" w:type="dxa"/>
              <w:right w:w="10" w:type="dxa"/>
            </w:tcMar>
            <w:vAlign w:val="center"/>
          </w:tcPr>
          <w:p w14:paraId="63522FC2" w14:textId="77777777" w:rsidR="00A90E9C" w:rsidRPr="008A26D2" w:rsidRDefault="00A90E9C" w:rsidP="0072651A">
            <w:pPr>
              <w:rPr>
                <w:rFonts w:ascii="Arial" w:hAnsi="Arial" w:cs="Arial"/>
                <w:sz w:val="20"/>
                <w:szCs w:val="20"/>
              </w:rPr>
            </w:pPr>
            <w:r w:rsidRPr="008A26D2">
              <w:rPr>
                <w:rFonts w:ascii="Arial" w:hAnsi="Arial" w:cs="Arial"/>
                <w:b/>
                <w:sz w:val="20"/>
                <w:szCs w:val="20"/>
              </w:rPr>
              <w:t>Nombre del indicador:</w:t>
            </w:r>
          </w:p>
        </w:tc>
        <w:tc>
          <w:tcPr>
            <w:tcW w:w="6503" w:type="dxa"/>
            <w:gridSpan w:val="10"/>
            <w:shd w:val="clear" w:color="auto" w:fill="auto"/>
            <w:tcMar>
              <w:top w:w="51" w:type="dxa"/>
              <w:left w:w="227" w:type="dxa"/>
              <w:bottom w:w="51" w:type="dxa"/>
              <w:right w:w="227" w:type="dxa"/>
            </w:tcMar>
            <w:vAlign w:val="center"/>
          </w:tcPr>
          <w:p w14:paraId="62FF1AE3" w14:textId="650E9E2B" w:rsidR="00A90E9C" w:rsidRPr="008A26D2" w:rsidRDefault="00A90E9C" w:rsidP="0072651A">
            <w:pPr>
              <w:spacing w:after="0" w:line="240" w:lineRule="auto"/>
              <w:jc w:val="both"/>
              <w:rPr>
                <w:rFonts w:ascii="Arial" w:eastAsia="Arial Narrow" w:hAnsi="Arial" w:cs="Arial"/>
                <w:sz w:val="20"/>
                <w:szCs w:val="20"/>
                <w:highlight w:val="yellow"/>
              </w:rPr>
            </w:pPr>
            <w:r w:rsidRPr="008A26D2">
              <w:rPr>
                <w:rFonts w:ascii="Arial" w:eastAsia="Times New Roman" w:hAnsi="Arial" w:cs="Arial"/>
                <w:sz w:val="20"/>
                <w:szCs w:val="20"/>
              </w:rPr>
              <w:t xml:space="preserve">Porcentaje de </w:t>
            </w:r>
            <w:r w:rsidR="00DF7FB6" w:rsidRPr="008A26D2">
              <w:rPr>
                <w:rFonts w:ascii="Arial" w:eastAsia="Times New Roman" w:hAnsi="Arial" w:cs="Arial"/>
                <w:sz w:val="20"/>
                <w:szCs w:val="20"/>
              </w:rPr>
              <w:t>servido</w:t>
            </w:r>
            <w:r w:rsidR="002907D1" w:rsidRPr="008A26D2">
              <w:rPr>
                <w:rFonts w:ascii="Arial" w:eastAsia="Times New Roman" w:hAnsi="Arial" w:cs="Arial"/>
                <w:sz w:val="20"/>
                <w:szCs w:val="20"/>
              </w:rPr>
              <w:t>r</w:t>
            </w:r>
            <w:r w:rsidR="00DF7FB6" w:rsidRPr="008A26D2">
              <w:rPr>
                <w:rFonts w:ascii="Arial" w:eastAsia="Times New Roman" w:hAnsi="Arial" w:cs="Arial"/>
                <w:sz w:val="20"/>
                <w:szCs w:val="20"/>
              </w:rPr>
              <w:t>es</w:t>
            </w:r>
            <w:r w:rsidRPr="008A26D2">
              <w:rPr>
                <w:rFonts w:ascii="Arial" w:eastAsia="Times New Roman" w:hAnsi="Arial" w:cs="Arial"/>
                <w:sz w:val="20"/>
                <w:szCs w:val="20"/>
              </w:rPr>
              <w:t xml:space="preserve"> de las </w:t>
            </w:r>
            <w:r w:rsidR="00075520" w:rsidRPr="008A26D2">
              <w:rPr>
                <w:rFonts w:ascii="Arial" w:eastAsia="Arial Narrow" w:hAnsi="Arial" w:cs="Arial"/>
                <w:sz w:val="20"/>
                <w:szCs w:val="20"/>
              </w:rPr>
              <w:t>A</w:t>
            </w:r>
            <w:r w:rsidRPr="008A26D2">
              <w:rPr>
                <w:rFonts w:ascii="Arial" w:eastAsia="Arial Narrow" w:hAnsi="Arial" w:cs="Arial"/>
                <w:sz w:val="20"/>
                <w:szCs w:val="20"/>
              </w:rPr>
              <w:t xml:space="preserve">utoridades </w:t>
            </w:r>
            <w:r w:rsidR="00075520" w:rsidRPr="008A26D2">
              <w:rPr>
                <w:rFonts w:ascii="Arial" w:eastAsia="Arial Narrow" w:hAnsi="Arial" w:cs="Arial"/>
                <w:sz w:val="20"/>
                <w:szCs w:val="20"/>
              </w:rPr>
              <w:t>R</w:t>
            </w:r>
            <w:r w:rsidRPr="008A26D2">
              <w:rPr>
                <w:rFonts w:ascii="Arial" w:eastAsia="Arial Narrow" w:hAnsi="Arial" w:cs="Arial"/>
                <w:sz w:val="20"/>
                <w:szCs w:val="20"/>
              </w:rPr>
              <w:t xml:space="preserve">egionales </w:t>
            </w:r>
            <w:r w:rsidR="00075520" w:rsidRPr="008A26D2">
              <w:rPr>
                <w:rFonts w:ascii="Arial" w:eastAsia="Arial Narrow" w:hAnsi="Arial" w:cs="Arial"/>
                <w:sz w:val="20"/>
                <w:szCs w:val="20"/>
              </w:rPr>
              <w:t>F</w:t>
            </w:r>
            <w:r w:rsidRPr="008A26D2">
              <w:rPr>
                <w:rFonts w:ascii="Arial" w:eastAsia="Arial Narrow" w:hAnsi="Arial" w:cs="Arial"/>
                <w:sz w:val="20"/>
                <w:szCs w:val="20"/>
              </w:rPr>
              <w:t xml:space="preserve">orestales y de </w:t>
            </w:r>
            <w:r w:rsidR="00075520" w:rsidRPr="008A26D2">
              <w:rPr>
                <w:rFonts w:ascii="Arial" w:eastAsia="Arial Narrow" w:hAnsi="Arial" w:cs="Arial"/>
                <w:sz w:val="20"/>
                <w:szCs w:val="20"/>
              </w:rPr>
              <w:t>F</w:t>
            </w:r>
            <w:r w:rsidRPr="008A26D2">
              <w:rPr>
                <w:rFonts w:ascii="Arial" w:eastAsia="Arial Narrow" w:hAnsi="Arial" w:cs="Arial"/>
                <w:sz w:val="20"/>
                <w:szCs w:val="20"/>
              </w:rPr>
              <w:t xml:space="preserve">auna </w:t>
            </w:r>
            <w:r w:rsidR="00075520" w:rsidRPr="008A26D2">
              <w:rPr>
                <w:rFonts w:ascii="Arial" w:eastAsia="Arial Narrow" w:hAnsi="Arial" w:cs="Arial"/>
                <w:sz w:val="20"/>
                <w:szCs w:val="20"/>
              </w:rPr>
              <w:t>S</w:t>
            </w:r>
            <w:r w:rsidRPr="008A26D2">
              <w:rPr>
                <w:rFonts w:ascii="Arial" w:eastAsia="Arial Narrow" w:hAnsi="Arial" w:cs="Arial"/>
                <w:sz w:val="20"/>
                <w:szCs w:val="20"/>
              </w:rPr>
              <w:t xml:space="preserve">ilvestre </w:t>
            </w:r>
            <w:r w:rsidRPr="008A26D2">
              <w:rPr>
                <w:rFonts w:ascii="Arial" w:eastAsia="Times New Roman" w:hAnsi="Arial" w:cs="Arial"/>
                <w:sz w:val="20"/>
                <w:szCs w:val="20"/>
                <w:lang w:val="es-ES"/>
              </w:rPr>
              <w:t>con alto grado de satisfacción sobre la asistencia técnica recibida</w:t>
            </w:r>
            <w:r w:rsidR="00DF7FB6" w:rsidRPr="008A26D2">
              <w:rPr>
                <w:rFonts w:ascii="Arial" w:eastAsia="Times New Roman" w:hAnsi="Arial" w:cs="Arial"/>
                <w:sz w:val="20"/>
                <w:szCs w:val="20"/>
                <w:lang w:val="es-ES"/>
              </w:rPr>
              <w:t xml:space="preserve"> en </w:t>
            </w:r>
            <w:r w:rsidR="00DF7FB6" w:rsidRPr="008A26D2">
              <w:rPr>
                <w:rFonts w:ascii="Arial" w:hAnsi="Arial" w:cs="Arial"/>
                <w:sz w:val="20"/>
                <w:szCs w:val="20"/>
              </w:rPr>
              <w:t>el desarrollo y actualización de metodologías sobre la estimación del pago por acceso y uso de los recursos forestales y de fauna silvestre</w:t>
            </w:r>
          </w:p>
        </w:tc>
      </w:tr>
      <w:tr w:rsidR="008A26D2" w:rsidRPr="008A26D2" w14:paraId="3D14CE7D" w14:textId="77777777" w:rsidTr="00DF7FB6">
        <w:trPr>
          <w:trHeight w:val="577"/>
        </w:trPr>
        <w:tc>
          <w:tcPr>
            <w:tcW w:w="2286" w:type="dxa"/>
            <w:gridSpan w:val="3"/>
            <w:shd w:val="clear" w:color="auto" w:fill="auto"/>
            <w:tcMar>
              <w:top w:w="10" w:type="dxa"/>
              <w:left w:w="93" w:type="dxa"/>
              <w:bottom w:w="0" w:type="dxa"/>
              <w:right w:w="10" w:type="dxa"/>
            </w:tcMar>
            <w:vAlign w:val="center"/>
          </w:tcPr>
          <w:p w14:paraId="6A31083C" w14:textId="77777777" w:rsidR="00A90E9C" w:rsidRPr="008A26D2" w:rsidRDefault="00A90E9C" w:rsidP="0072651A">
            <w:pPr>
              <w:rPr>
                <w:rFonts w:ascii="Arial" w:hAnsi="Arial" w:cs="Arial"/>
                <w:sz w:val="20"/>
                <w:szCs w:val="20"/>
              </w:rPr>
            </w:pPr>
            <w:r w:rsidRPr="008A26D2">
              <w:rPr>
                <w:rFonts w:ascii="Arial" w:hAnsi="Arial" w:cs="Arial"/>
                <w:b/>
                <w:sz w:val="20"/>
                <w:szCs w:val="20"/>
              </w:rPr>
              <w:lastRenderedPageBreak/>
              <w:t>Justificación:</w:t>
            </w:r>
          </w:p>
        </w:tc>
        <w:tc>
          <w:tcPr>
            <w:tcW w:w="6503" w:type="dxa"/>
            <w:gridSpan w:val="10"/>
            <w:shd w:val="clear" w:color="auto" w:fill="auto"/>
            <w:tcMar>
              <w:top w:w="51" w:type="dxa"/>
              <w:left w:w="227" w:type="dxa"/>
              <w:bottom w:w="51" w:type="dxa"/>
              <w:right w:w="227" w:type="dxa"/>
            </w:tcMar>
            <w:vAlign w:val="center"/>
          </w:tcPr>
          <w:p w14:paraId="7615CADF" w14:textId="2A430D1B" w:rsidR="00A90E9C" w:rsidRPr="008A26D2" w:rsidRDefault="00A90E9C" w:rsidP="0072651A">
            <w:pPr>
              <w:spacing w:after="0" w:line="240" w:lineRule="auto"/>
              <w:jc w:val="both"/>
              <w:rPr>
                <w:rFonts w:ascii="Arial" w:eastAsia="Arial Narrow" w:hAnsi="Arial" w:cs="Arial"/>
                <w:sz w:val="20"/>
                <w:szCs w:val="20"/>
              </w:rPr>
            </w:pPr>
            <w:r w:rsidRPr="008A26D2">
              <w:rPr>
                <w:rFonts w:ascii="Arial" w:eastAsia="Times New Roman" w:hAnsi="Arial" w:cs="Arial"/>
                <w:sz w:val="20"/>
                <w:szCs w:val="20"/>
                <w:lang w:val="es-ES"/>
              </w:rPr>
              <w:t xml:space="preserve">El indicador cuantifica el porcentaje de </w:t>
            </w:r>
            <w:r w:rsidR="00DF7FB6" w:rsidRPr="008A26D2">
              <w:rPr>
                <w:rFonts w:ascii="Arial" w:eastAsia="Times New Roman" w:hAnsi="Arial" w:cs="Arial"/>
                <w:sz w:val="20"/>
                <w:szCs w:val="20"/>
              </w:rPr>
              <w:t>servidores</w:t>
            </w:r>
            <w:r w:rsidRPr="008A26D2">
              <w:rPr>
                <w:rFonts w:ascii="Arial" w:eastAsia="Times New Roman" w:hAnsi="Arial" w:cs="Arial"/>
                <w:sz w:val="20"/>
                <w:szCs w:val="20"/>
              </w:rPr>
              <w:t xml:space="preserve"> de las Autoridades Regionales Forestales y de Fauna Silvestre</w:t>
            </w:r>
            <w:r w:rsidRPr="008A26D2">
              <w:rPr>
                <w:rFonts w:ascii="Arial" w:eastAsia="Times New Roman" w:hAnsi="Arial" w:cs="Arial"/>
                <w:sz w:val="20"/>
                <w:szCs w:val="20"/>
                <w:lang w:val="es-ES"/>
              </w:rPr>
              <w:t xml:space="preserve"> que perciben un alto grado de satisfacción sobre las capacitaciones recibidas en </w:t>
            </w:r>
            <w:r w:rsidRPr="008A26D2">
              <w:rPr>
                <w:rFonts w:ascii="Arial" w:hAnsi="Arial" w:cs="Arial"/>
                <w:sz w:val="20"/>
                <w:szCs w:val="20"/>
              </w:rPr>
              <w:t>desarrollo y actualización de metodologías sobre la estimación del pago por acceso y uso de los recursos forestales y de fauna silvestre</w:t>
            </w:r>
            <w:r w:rsidRPr="008A26D2">
              <w:rPr>
                <w:rFonts w:ascii="Arial" w:eastAsia="Times New Roman" w:hAnsi="Arial" w:cs="Arial"/>
                <w:sz w:val="20"/>
                <w:szCs w:val="20"/>
                <w:lang w:val="es-ES"/>
              </w:rPr>
              <w:t>. De esta manera, el indicador facilitará el seguimiento de la satisfacción del servicio y establecer acciones de mejora correspondientes.</w:t>
            </w:r>
          </w:p>
        </w:tc>
      </w:tr>
      <w:tr w:rsidR="008A26D2" w:rsidRPr="008A26D2" w14:paraId="384E891F" w14:textId="77777777" w:rsidTr="00DF7FB6">
        <w:trPr>
          <w:trHeight w:val="352"/>
        </w:trPr>
        <w:tc>
          <w:tcPr>
            <w:tcW w:w="2286" w:type="dxa"/>
            <w:gridSpan w:val="3"/>
            <w:shd w:val="clear" w:color="auto" w:fill="auto"/>
            <w:tcMar>
              <w:top w:w="10" w:type="dxa"/>
              <w:left w:w="93" w:type="dxa"/>
              <w:bottom w:w="0" w:type="dxa"/>
              <w:right w:w="10" w:type="dxa"/>
            </w:tcMar>
            <w:vAlign w:val="center"/>
          </w:tcPr>
          <w:p w14:paraId="62426674" w14:textId="77777777" w:rsidR="00A90E9C" w:rsidRPr="008A26D2" w:rsidRDefault="00A90E9C" w:rsidP="0072651A">
            <w:pPr>
              <w:rPr>
                <w:rFonts w:ascii="Arial" w:hAnsi="Arial" w:cs="Arial"/>
                <w:sz w:val="20"/>
                <w:szCs w:val="20"/>
              </w:rPr>
            </w:pPr>
            <w:r w:rsidRPr="008A26D2">
              <w:rPr>
                <w:rFonts w:ascii="Arial" w:hAnsi="Arial" w:cs="Arial"/>
                <w:b/>
                <w:sz w:val="20"/>
                <w:szCs w:val="20"/>
              </w:rPr>
              <w:t>Responsable del indicador:</w:t>
            </w:r>
          </w:p>
        </w:tc>
        <w:tc>
          <w:tcPr>
            <w:tcW w:w="6503" w:type="dxa"/>
            <w:gridSpan w:val="10"/>
            <w:shd w:val="clear" w:color="auto" w:fill="auto"/>
            <w:tcMar>
              <w:top w:w="51" w:type="dxa"/>
              <w:left w:w="227" w:type="dxa"/>
              <w:bottom w:w="51" w:type="dxa"/>
              <w:right w:w="227" w:type="dxa"/>
            </w:tcMar>
            <w:vAlign w:val="center"/>
          </w:tcPr>
          <w:p w14:paraId="28615033" w14:textId="68554BA6" w:rsidR="00A90E9C" w:rsidRPr="008A26D2" w:rsidRDefault="00A90E9C" w:rsidP="0072651A">
            <w:pPr>
              <w:spacing w:after="0" w:line="240" w:lineRule="auto"/>
              <w:rPr>
                <w:rFonts w:ascii="Arial" w:eastAsia="Arial Narrow" w:hAnsi="Arial" w:cs="Arial"/>
                <w:sz w:val="20"/>
                <w:szCs w:val="20"/>
              </w:rPr>
            </w:pPr>
            <w:r w:rsidRPr="008A26D2">
              <w:rPr>
                <w:rFonts w:ascii="Arial" w:eastAsia="Arial Narrow" w:hAnsi="Arial" w:cs="Arial"/>
                <w:sz w:val="20"/>
                <w:szCs w:val="20"/>
              </w:rPr>
              <w:t>Dirección de Inventario y Valoración del Servicio Nacional de Forestal y fauna Silvestre -</w:t>
            </w:r>
            <w:r w:rsidR="00763476">
              <w:rPr>
                <w:rFonts w:ascii="Arial" w:eastAsia="Arial Narrow" w:hAnsi="Arial" w:cs="Arial"/>
                <w:sz w:val="20"/>
                <w:szCs w:val="20"/>
              </w:rPr>
              <w:t xml:space="preserve"> </w:t>
            </w:r>
            <w:r w:rsidRPr="008A26D2">
              <w:rPr>
                <w:rFonts w:ascii="Arial" w:eastAsia="Arial Narrow" w:hAnsi="Arial" w:cs="Arial"/>
                <w:sz w:val="20"/>
                <w:szCs w:val="20"/>
              </w:rPr>
              <w:t>SERFOR</w:t>
            </w:r>
          </w:p>
        </w:tc>
      </w:tr>
      <w:tr w:rsidR="008A26D2" w:rsidRPr="008A26D2" w14:paraId="278B853F" w14:textId="77777777" w:rsidTr="0087293E">
        <w:trPr>
          <w:trHeight w:val="889"/>
        </w:trPr>
        <w:tc>
          <w:tcPr>
            <w:tcW w:w="2286" w:type="dxa"/>
            <w:gridSpan w:val="3"/>
            <w:shd w:val="clear" w:color="auto" w:fill="auto"/>
            <w:tcMar>
              <w:top w:w="10" w:type="dxa"/>
              <w:left w:w="93" w:type="dxa"/>
              <w:bottom w:w="0" w:type="dxa"/>
              <w:right w:w="10" w:type="dxa"/>
            </w:tcMar>
            <w:vAlign w:val="center"/>
          </w:tcPr>
          <w:p w14:paraId="37EF46E0" w14:textId="77777777" w:rsidR="00A90E9C" w:rsidRPr="008A26D2" w:rsidRDefault="00A90E9C" w:rsidP="0072651A">
            <w:pPr>
              <w:rPr>
                <w:rFonts w:ascii="Arial" w:hAnsi="Arial" w:cs="Arial"/>
                <w:sz w:val="20"/>
                <w:szCs w:val="20"/>
              </w:rPr>
            </w:pPr>
            <w:r w:rsidRPr="008A26D2">
              <w:rPr>
                <w:rFonts w:ascii="Arial" w:hAnsi="Arial" w:cs="Arial"/>
                <w:b/>
                <w:sz w:val="20"/>
                <w:szCs w:val="20"/>
              </w:rPr>
              <w:t>Limitaciones para la medición del indicador:</w:t>
            </w:r>
          </w:p>
        </w:tc>
        <w:tc>
          <w:tcPr>
            <w:tcW w:w="6503" w:type="dxa"/>
            <w:gridSpan w:val="10"/>
            <w:shd w:val="clear" w:color="auto" w:fill="auto"/>
            <w:tcMar>
              <w:top w:w="51" w:type="dxa"/>
              <w:left w:w="227" w:type="dxa"/>
              <w:bottom w:w="51" w:type="dxa"/>
              <w:right w:w="227" w:type="dxa"/>
            </w:tcMar>
            <w:vAlign w:val="center"/>
          </w:tcPr>
          <w:p w14:paraId="717EC654" w14:textId="50CC2435" w:rsidR="00A90E9C" w:rsidRPr="008A26D2" w:rsidRDefault="00A90E9C" w:rsidP="0072651A">
            <w:pPr>
              <w:spacing w:after="0" w:line="240" w:lineRule="auto"/>
              <w:rPr>
                <w:rFonts w:ascii="Arial" w:hAnsi="Arial" w:cs="Arial"/>
                <w:sz w:val="20"/>
                <w:szCs w:val="20"/>
              </w:rPr>
            </w:pPr>
            <w:r w:rsidRPr="008A26D2">
              <w:rPr>
                <w:rFonts w:ascii="Arial" w:eastAsia="Arial Narrow" w:hAnsi="Arial" w:cs="Arial"/>
                <w:sz w:val="20"/>
                <w:szCs w:val="20"/>
              </w:rPr>
              <w:t>No presenta limitaci</w:t>
            </w:r>
            <w:r w:rsidR="00763476">
              <w:rPr>
                <w:rFonts w:ascii="Arial" w:eastAsia="Arial Narrow" w:hAnsi="Arial" w:cs="Arial"/>
                <w:sz w:val="20"/>
                <w:szCs w:val="20"/>
              </w:rPr>
              <w:t>ones</w:t>
            </w:r>
          </w:p>
        </w:tc>
      </w:tr>
      <w:tr w:rsidR="008A26D2" w:rsidRPr="008A26D2" w14:paraId="68B9E2B9" w14:textId="77777777" w:rsidTr="00DF7FB6">
        <w:trPr>
          <w:trHeight w:val="231"/>
        </w:trPr>
        <w:tc>
          <w:tcPr>
            <w:tcW w:w="2286" w:type="dxa"/>
            <w:gridSpan w:val="3"/>
            <w:shd w:val="clear" w:color="auto" w:fill="auto"/>
            <w:tcMar>
              <w:top w:w="10" w:type="dxa"/>
              <w:left w:w="93" w:type="dxa"/>
              <w:bottom w:w="0" w:type="dxa"/>
              <w:right w:w="10" w:type="dxa"/>
            </w:tcMar>
            <w:vAlign w:val="center"/>
          </w:tcPr>
          <w:p w14:paraId="2E8377C3" w14:textId="77777777" w:rsidR="00A90E9C" w:rsidRPr="008A26D2" w:rsidRDefault="00A90E9C" w:rsidP="0072651A">
            <w:pPr>
              <w:rPr>
                <w:rFonts w:ascii="Arial" w:hAnsi="Arial" w:cs="Arial"/>
                <w:sz w:val="20"/>
                <w:szCs w:val="20"/>
              </w:rPr>
            </w:pPr>
            <w:r w:rsidRPr="008A26D2">
              <w:rPr>
                <w:rFonts w:ascii="Arial" w:hAnsi="Arial" w:cs="Arial"/>
                <w:b/>
                <w:sz w:val="20"/>
                <w:szCs w:val="20"/>
              </w:rPr>
              <w:t xml:space="preserve">Método de cálculo: </w:t>
            </w:r>
          </w:p>
        </w:tc>
        <w:tc>
          <w:tcPr>
            <w:tcW w:w="6503" w:type="dxa"/>
            <w:gridSpan w:val="10"/>
            <w:shd w:val="clear" w:color="auto" w:fill="auto"/>
            <w:tcMar>
              <w:top w:w="51" w:type="dxa"/>
              <w:left w:w="227" w:type="dxa"/>
              <w:bottom w:w="51" w:type="dxa"/>
              <w:right w:w="227" w:type="dxa"/>
            </w:tcMar>
            <w:vAlign w:val="center"/>
          </w:tcPr>
          <w:p w14:paraId="04963E53" w14:textId="77777777" w:rsidR="00A90E9C" w:rsidRPr="008A26D2" w:rsidRDefault="00A90E9C" w:rsidP="0072651A">
            <w:pPr>
              <w:spacing w:after="0" w:line="240" w:lineRule="auto"/>
              <w:rPr>
                <w:rFonts w:ascii="Arial" w:eastAsia="Arial Narrow" w:hAnsi="Arial" w:cs="Arial"/>
                <w:b/>
                <w:sz w:val="20"/>
                <w:szCs w:val="20"/>
              </w:rPr>
            </w:pPr>
            <w:r w:rsidRPr="008A26D2">
              <w:rPr>
                <w:rFonts w:ascii="Arial" w:eastAsia="Arial Narrow" w:hAnsi="Arial" w:cs="Arial"/>
                <w:b/>
                <w:sz w:val="20"/>
                <w:szCs w:val="20"/>
              </w:rPr>
              <w:t>1. Fórmula:</w:t>
            </w:r>
          </w:p>
          <w:p w14:paraId="12E19866" w14:textId="77777777" w:rsidR="00A90E9C" w:rsidRPr="008A26D2" w:rsidRDefault="00A90E9C" w:rsidP="0072651A">
            <w:pPr>
              <w:spacing w:after="0" w:line="240" w:lineRule="auto"/>
              <w:jc w:val="both"/>
              <w:rPr>
                <w:rFonts w:ascii="Arial" w:eastAsia="Arial Narrow" w:hAnsi="Arial" w:cs="Arial"/>
                <w:sz w:val="20"/>
                <w:szCs w:val="20"/>
              </w:rPr>
            </w:pPr>
          </w:p>
          <w:p w14:paraId="73A034E7" w14:textId="3A7548A9" w:rsidR="00A90E9C" w:rsidRPr="008A26D2" w:rsidRDefault="00DF7FB6" w:rsidP="0072651A">
            <w:pPr>
              <w:rPr>
                <w:rFonts w:ascii="Arial" w:eastAsia="Arial Unicode MS" w:hAnsi="Arial" w:cs="Arial"/>
                <w:sz w:val="20"/>
                <w:szCs w:val="20"/>
              </w:rPr>
            </w:pPr>
            <w:r w:rsidRPr="008A26D2">
              <w:rPr>
                <w:rFonts w:ascii="Arial" w:eastAsia="Arial Unicode MS" w:hAnsi="Arial" w:cs="Arial"/>
                <w:sz w:val="20"/>
                <w:szCs w:val="20"/>
              </w:rPr>
              <w:t>(</w:t>
            </w:r>
            <w:r w:rsidR="00A90E9C" w:rsidRPr="008A26D2">
              <w:rPr>
                <w:rFonts w:ascii="Arial" w:eastAsia="Arial Unicode MS" w:hAnsi="Arial" w:cs="Arial"/>
                <w:sz w:val="20"/>
                <w:szCs w:val="20"/>
              </w:rPr>
              <w:t>A/B</w:t>
            </w:r>
            <w:r w:rsidRPr="008A26D2">
              <w:rPr>
                <w:rFonts w:ascii="Arial" w:eastAsia="Arial Unicode MS" w:hAnsi="Arial" w:cs="Arial"/>
                <w:sz w:val="20"/>
                <w:szCs w:val="20"/>
              </w:rPr>
              <w:t>)</w:t>
            </w:r>
            <w:r w:rsidR="00A90E9C" w:rsidRPr="008A26D2">
              <w:rPr>
                <w:rFonts w:ascii="Arial" w:eastAsia="Arial Unicode MS" w:hAnsi="Arial" w:cs="Arial"/>
                <w:sz w:val="20"/>
                <w:szCs w:val="20"/>
              </w:rPr>
              <w:t>*100</w:t>
            </w:r>
          </w:p>
          <w:p w14:paraId="641A766E" w14:textId="77777777" w:rsidR="00A90E9C" w:rsidRPr="008A26D2" w:rsidRDefault="00A90E9C" w:rsidP="0072651A">
            <w:pPr>
              <w:rPr>
                <w:rFonts w:ascii="Arial" w:eastAsia="Arial Unicode MS" w:hAnsi="Arial" w:cs="Arial"/>
                <w:sz w:val="20"/>
                <w:szCs w:val="20"/>
              </w:rPr>
            </w:pPr>
            <w:r w:rsidRPr="008A26D2">
              <w:rPr>
                <w:rFonts w:ascii="Arial" w:eastAsia="Arial Unicode MS" w:hAnsi="Arial" w:cs="Arial"/>
                <w:sz w:val="20"/>
                <w:szCs w:val="20"/>
              </w:rPr>
              <w:t>Donde:</w:t>
            </w:r>
          </w:p>
          <w:p w14:paraId="663E452E" w14:textId="692684C1" w:rsidR="00A90E9C" w:rsidRPr="008A26D2" w:rsidRDefault="00A90E9C" w:rsidP="00DF7FB6">
            <w:pPr>
              <w:ind w:left="466" w:hanging="466"/>
              <w:jc w:val="both"/>
              <w:rPr>
                <w:rFonts w:ascii="Arial" w:hAnsi="Arial" w:cs="Arial"/>
                <w:bCs/>
                <w:sz w:val="20"/>
                <w:szCs w:val="20"/>
              </w:rPr>
            </w:pPr>
            <w:r w:rsidRPr="008A26D2">
              <w:rPr>
                <w:rFonts w:ascii="Arial" w:hAnsi="Arial" w:cs="Arial"/>
                <w:bCs/>
                <w:sz w:val="20"/>
                <w:szCs w:val="20"/>
              </w:rPr>
              <w:t>A =</w:t>
            </w:r>
            <w:r w:rsidR="00763476">
              <w:rPr>
                <w:rFonts w:ascii="Arial" w:hAnsi="Arial" w:cs="Arial"/>
                <w:bCs/>
                <w:sz w:val="20"/>
                <w:szCs w:val="20"/>
              </w:rPr>
              <w:t xml:space="preserve"> </w:t>
            </w:r>
            <w:r w:rsidR="003B0CEC">
              <w:rPr>
                <w:rFonts w:ascii="Arial" w:hAnsi="Arial" w:cs="Arial"/>
                <w:bCs/>
                <w:sz w:val="20"/>
                <w:szCs w:val="20"/>
              </w:rPr>
              <w:t xml:space="preserve">  </w:t>
            </w:r>
            <w:r w:rsidRPr="008A26D2">
              <w:rPr>
                <w:rFonts w:ascii="Arial" w:hAnsi="Arial" w:cs="Arial"/>
                <w:bCs/>
                <w:sz w:val="20"/>
                <w:szCs w:val="20"/>
              </w:rPr>
              <w:t xml:space="preserve">Número de </w:t>
            </w:r>
            <w:r w:rsidR="001017EC" w:rsidRPr="001017EC">
              <w:rPr>
                <w:rFonts w:ascii="Arial" w:hAnsi="Arial" w:cs="Arial"/>
                <w:bCs/>
                <w:sz w:val="20"/>
                <w:szCs w:val="20"/>
              </w:rPr>
              <w:t xml:space="preserve">servidores de las Autoridades Regionales Forestales y de Fauna Silvestre </w:t>
            </w:r>
            <w:r w:rsidRPr="008A26D2">
              <w:rPr>
                <w:rFonts w:ascii="Arial" w:eastAsia="Times New Roman" w:hAnsi="Arial" w:cs="Arial"/>
                <w:sz w:val="20"/>
                <w:szCs w:val="20"/>
                <w:lang w:val="es-ES"/>
              </w:rPr>
              <w:t>con alto grado de satisfacción sobre la asistencia técnica recibida</w:t>
            </w:r>
            <w:r w:rsidR="00DF7FB6" w:rsidRPr="008A26D2">
              <w:rPr>
                <w:rFonts w:ascii="Arial" w:eastAsia="Times New Roman" w:hAnsi="Arial" w:cs="Arial"/>
                <w:sz w:val="20"/>
                <w:szCs w:val="20"/>
                <w:lang w:val="es-ES"/>
              </w:rPr>
              <w:t xml:space="preserve"> en </w:t>
            </w:r>
            <w:r w:rsidR="00DF7FB6" w:rsidRPr="008A26D2">
              <w:rPr>
                <w:rFonts w:ascii="Arial" w:hAnsi="Arial" w:cs="Arial"/>
                <w:sz w:val="20"/>
                <w:szCs w:val="20"/>
              </w:rPr>
              <w:t>el desarrollo y actualización de metodologías sobre la estimación del pago por acceso y uso de los recursos forestales y de fauna silvestre</w:t>
            </w:r>
          </w:p>
          <w:p w14:paraId="7DF0F323" w14:textId="2257C327" w:rsidR="00A90E9C" w:rsidRPr="008A26D2" w:rsidRDefault="00A90E9C" w:rsidP="00DF7FB6">
            <w:pPr>
              <w:ind w:left="466" w:hanging="466"/>
              <w:jc w:val="both"/>
              <w:rPr>
                <w:rFonts w:ascii="Arial" w:eastAsia="Times New Roman" w:hAnsi="Arial" w:cs="Arial"/>
                <w:sz w:val="20"/>
                <w:szCs w:val="20"/>
                <w:lang w:val="es-ES"/>
              </w:rPr>
            </w:pPr>
            <w:r w:rsidRPr="008A26D2">
              <w:rPr>
                <w:rFonts w:ascii="Arial" w:hAnsi="Arial" w:cs="Arial"/>
                <w:bCs/>
                <w:sz w:val="20"/>
                <w:szCs w:val="20"/>
              </w:rPr>
              <w:t xml:space="preserve">B = Total de </w:t>
            </w:r>
            <w:r w:rsidRPr="008A26D2">
              <w:rPr>
                <w:rFonts w:ascii="Arial" w:eastAsia="Times New Roman" w:hAnsi="Arial" w:cs="Arial"/>
                <w:sz w:val="20"/>
                <w:szCs w:val="20"/>
              </w:rPr>
              <w:t>profesionales de l</w:t>
            </w:r>
            <w:r w:rsidR="00984BDA">
              <w:rPr>
                <w:rFonts w:ascii="Arial" w:eastAsia="Times New Roman" w:hAnsi="Arial" w:cs="Arial"/>
                <w:sz w:val="20"/>
                <w:szCs w:val="20"/>
              </w:rPr>
              <w:t>o</w:t>
            </w:r>
            <w:r w:rsidRPr="008A26D2">
              <w:rPr>
                <w:rFonts w:ascii="Arial" w:eastAsia="Times New Roman" w:hAnsi="Arial" w:cs="Arial"/>
                <w:sz w:val="20"/>
                <w:szCs w:val="20"/>
              </w:rPr>
              <w:t>s</w:t>
            </w:r>
            <w:r w:rsidR="001017EC">
              <w:t xml:space="preserve"> </w:t>
            </w:r>
            <w:r w:rsidR="001017EC" w:rsidRPr="001017EC">
              <w:rPr>
                <w:rFonts w:ascii="Arial" w:eastAsia="Times New Roman" w:hAnsi="Arial" w:cs="Arial"/>
                <w:sz w:val="20"/>
                <w:szCs w:val="20"/>
              </w:rPr>
              <w:t>servidores de las Autoridades Regionales Forestales y de Fauna Silvestre</w:t>
            </w:r>
            <w:r w:rsidRPr="008A26D2">
              <w:rPr>
                <w:rFonts w:ascii="Arial" w:eastAsia="Arial Narrow" w:hAnsi="Arial" w:cs="Arial"/>
                <w:sz w:val="20"/>
                <w:szCs w:val="20"/>
              </w:rPr>
              <w:t xml:space="preserve"> </w:t>
            </w:r>
            <w:r w:rsidRPr="008A26D2">
              <w:rPr>
                <w:rFonts w:ascii="Arial" w:hAnsi="Arial" w:cs="Arial"/>
                <w:bCs/>
                <w:sz w:val="20"/>
                <w:szCs w:val="20"/>
              </w:rPr>
              <w:t xml:space="preserve">que reciben </w:t>
            </w:r>
            <w:r w:rsidR="00984BDA" w:rsidRPr="008A26D2">
              <w:rPr>
                <w:rFonts w:ascii="Arial" w:eastAsia="Times New Roman" w:hAnsi="Arial" w:cs="Arial"/>
                <w:sz w:val="20"/>
                <w:szCs w:val="20"/>
                <w:lang w:val="es-ES"/>
              </w:rPr>
              <w:t xml:space="preserve">asistencia técnica </w:t>
            </w:r>
            <w:r w:rsidR="00DF7FB6" w:rsidRPr="008A26D2">
              <w:rPr>
                <w:rFonts w:ascii="Arial" w:hAnsi="Arial" w:cs="Arial"/>
                <w:bCs/>
                <w:sz w:val="20"/>
                <w:szCs w:val="20"/>
              </w:rPr>
              <w:t xml:space="preserve">en </w:t>
            </w:r>
            <w:r w:rsidR="00DF7FB6" w:rsidRPr="008A26D2">
              <w:rPr>
                <w:rFonts w:ascii="Arial" w:hAnsi="Arial" w:cs="Arial"/>
                <w:sz w:val="20"/>
                <w:szCs w:val="20"/>
              </w:rPr>
              <w:t>el desarrollo y actualización de metodologías sobre la estimación del pago por acceso y uso de los recursos forestales y de fauna silvestre</w:t>
            </w:r>
          </w:p>
          <w:p w14:paraId="1FAC8878" w14:textId="77777777" w:rsidR="00A90E9C" w:rsidRPr="008A26D2" w:rsidRDefault="00A90E9C" w:rsidP="0072651A">
            <w:pPr>
              <w:jc w:val="both"/>
              <w:rPr>
                <w:rFonts w:ascii="Arial" w:eastAsia="Arial Narrow" w:hAnsi="Arial" w:cs="Arial"/>
                <w:b/>
                <w:sz w:val="20"/>
                <w:szCs w:val="20"/>
              </w:rPr>
            </w:pPr>
            <w:r w:rsidRPr="008A26D2">
              <w:rPr>
                <w:rFonts w:ascii="Arial" w:eastAsia="Arial Narrow" w:hAnsi="Arial" w:cs="Arial"/>
                <w:b/>
                <w:sz w:val="20"/>
                <w:szCs w:val="20"/>
                <w:lang w:val="es-MX"/>
              </w:rPr>
              <w:t xml:space="preserve">2. </w:t>
            </w:r>
            <w:r w:rsidRPr="008A26D2">
              <w:rPr>
                <w:rFonts w:ascii="Arial" w:eastAsia="Arial Narrow" w:hAnsi="Arial" w:cs="Arial"/>
                <w:b/>
                <w:sz w:val="20"/>
                <w:szCs w:val="20"/>
              </w:rPr>
              <w:t>Especificaciones técnicas:</w:t>
            </w:r>
          </w:p>
          <w:p w14:paraId="0BE98A89" w14:textId="55194CA6" w:rsidR="001017EC" w:rsidRPr="001017EC" w:rsidRDefault="001017EC" w:rsidP="003B0CEC">
            <w:pPr>
              <w:jc w:val="both"/>
              <w:rPr>
                <w:rFonts w:ascii="Arial" w:hAnsi="Arial" w:cs="Arial"/>
                <w:bCs/>
                <w:sz w:val="20"/>
                <w:szCs w:val="20"/>
              </w:rPr>
            </w:pPr>
            <w:bookmarkStart w:id="16" w:name="_Hlk137417065"/>
            <w:r w:rsidRPr="001017EC">
              <w:rPr>
                <w:rFonts w:ascii="Arial" w:hAnsi="Arial" w:cs="Arial"/>
                <w:bCs/>
                <w:sz w:val="20"/>
                <w:szCs w:val="20"/>
              </w:rPr>
              <w:t xml:space="preserve">La variable A se determina a partir de los servidores de las Autoridades Regionales Forestales y de Fauna Silvestre que tienen un alto grado de satisfacción, al elegir los dos niveles más altos de </w:t>
            </w:r>
            <w:r w:rsidR="00880D35">
              <w:rPr>
                <w:rFonts w:ascii="Arial" w:hAnsi="Arial" w:cs="Arial"/>
                <w:bCs/>
                <w:sz w:val="20"/>
                <w:szCs w:val="20"/>
              </w:rPr>
              <w:t>l</w:t>
            </w:r>
            <w:r w:rsidR="003B0CEC">
              <w:rPr>
                <w:rFonts w:ascii="Arial" w:hAnsi="Arial" w:cs="Arial"/>
                <w:bCs/>
                <w:sz w:val="20"/>
                <w:szCs w:val="20"/>
              </w:rPr>
              <w:t>a</w:t>
            </w:r>
            <w:r w:rsidRPr="001017EC">
              <w:rPr>
                <w:rFonts w:ascii="Arial" w:hAnsi="Arial" w:cs="Arial"/>
                <w:bCs/>
                <w:sz w:val="20"/>
                <w:szCs w:val="20"/>
              </w:rPr>
              <w:t xml:space="preserve"> escala, sobre las acciones de </w:t>
            </w:r>
            <w:r w:rsidR="00984BDA" w:rsidRPr="00984BDA">
              <w:rPr>
                <w:rFonts w:ascii="Arial" w:hAnsi="Arial" w:cs="Arial"/>
                <w:bCs/>
                <w:sz w:val="20"/>
                <w:szCs w:val="20"/>
              </w:rPr>
              <w:t>asistencia técnica</w:t>
            </w:r>
            <w:r w:rsidR="00040271">
              <w:rPr>
                <w:rFonts w:ascii="Arial" w:hAnsi="Arial" w:cs="Arial"/>
                <w:bCs/>
                <w:sz w:val="20"/>
                <w:szCs w:val="20"/>
              </w:rPr>
              <w:t xml:space="preserve"> recibidas</w:t>
            </w:r>
            <w:r w:rsidRPr="001017EC">
              <w:rPr>
                <w:rFonts w:ascii="Arial" w:hAnsi="Arial" w:cs="Arial"/>
                <w:bCs/>
                <w:sz w:val="20"/>
                <w:szCs w:val="20"/>
              </w:rPr>
              <w:t>.</w:t>
            </w:r>
          </w:p>
          <w:p w14:paraId="05B5BCD7" w14:textId="509A73B1" w:rsidR="001017EC" w:rsidRDefault="001017EC" w:rsidP="003B0CEC">
            <w:pPr>
              <w:jc w:val="both"/>
              <w:rPr>
                <w:rFonts w:ascii="Arial" w:hAnsi="Arial" w:cs="Arial"/>
                <w:bCs/>
                <w:sz w:val="20"/>
                <w:szCs w:val="20"/>
              </w:rPr>
            </w:pPr>
            <w:r w:rsidRPr="001017EC">
              <w:rPr>
                <w:rFonts w:ascii="Arial" w:hAnsi="Arial" w:cs="Arial"/>
                <w:bCs/>
                <w:sz w:val="20"/>
                <w:szCs w:val="20"/>
              </w:rPr>
              <w:t xml:space="preserve">La variable B se determina con el total de servidores de las Autoridades Regionales Forestales y de Fauna Silvestre que </w:t>
            </w:r>
            <w:r w:rsidR="00984BDA">
              <w:rPr>
                <w:rFonts w:ascii="Arial" w:hAnsi="Arial" w:cs="Arial"/>
                <w:bCs/>
                <w:sz w:val="20"/>
                <w:szCs w:val="20"/>
              </w:rPr>
              <w:t xml:space="preserve">reciben </w:t>
            </w:r>
            <w:r w:rsidR="00984BDA" w:rsidRPr="008A26D2">
              <w:rPr>
                <w:rFonts w:ascii="Arial" w:eastAsia="Times New Roman" w:hAnsi="Arial" w:cs="Arial"/>
                <w:sz w:val="20"/>
                <w:szCs w:val="20"/>
                <w:lang w:val="es-ES"/>
              </w:rPr>
              <w:t>asistencia técnica</w:t>
            </w:r>
            <w:r w:rsidR="003B0CEC">
              <w:rPr>
                <w:rFonts w:ascii="Arial" w:eastAsia="Times New Roman" w:hAnsi="Arial" w:cs="Arial"/>
                <w:sz w:val="20"/>
                <w:szCs w:val="20"/>
                <w:lang w:val="es-ES"/>
              </w:rPr>
              <w:t xml:space="preserve"> en el año de medición</w:t>
            </w:r>
            <w:r>
              <w:rPr>
                <w:rFonts w:ascii="Arial" w:hAnsi="Arial" w:cs="Arial"/>
                <w:bCs/>
                <w:sz w:val="20"/>
                <w:szCs w:val="20"/>
              </w:rPr>
              <w:t>.</w:t>
            </w:r>
          </w:p>
          <w:bookmarkEnd w:id="16"/>
          <w:p w14:paraId="38FC15B9" w14:textId="2980F78E" w:rsidR="00A90E9C" w:rsidRPr="008A26D2" w:rsidRDefault="00A90E9C" w:rsidP="0072651A">
            <w:pPr>
              <w:jc w:val="both"/>
              <w:rPr>
                <w:rFonts w:ascii="Arial" w:eastAsia="Times New Roman" w:hAnsi="Arial" w:cs="Arial"/>
                <w:sz w:val="20"/>
                <w:szCs w:val="20"/>
                <w:lang w:val="es-ES"/>
              </w:rPr>
            </w:pPr>
            <w:r w:rsidRPr="008A26D2">
              <w:rPr>
                <w:rFonts w:ascii="Arial" w:eastAsia="Times New Roman" w:hAnsi="Arial" w:cs="Arial"/>
                <w:sz w:val="20"/>
                <w:szCs w:val="20"/>
                <w:lang w:val="es-ES"/>
              </w:rPr>
              <w:t xml:space="preserve">El indicador se calculará a partir de encuestas o entrevistas donde se pueda registrar el grado de satisfacción de los </w:t>
            </w:r>
            <w:r w:rsidR="00DF7FB6" w:rsidRPr="008A26D2">
              <w:rPr>
                <w:rFonts w:ascii="Arial" w:eastAsia="Times New Roman" w:hAnsi="Arial" w:cs="Arial"/>
                <w:sz w:val="20"/>
                <w:szCs w:val="20"/>
              </w:rPr>
              <w:t>servidores</w:t>
            </w:r>
            <w:r w:rsidRPr="008A26D2">
              <w:rPr>
                <w:rFonts w:ascii="Arial" w:eastAsia="Times New Roman" w:hAnsi="Arial" w:cs="Arial"/>
                <w:sz w:val="20"/>
                <w:szCs w:val="20"/>
              </w:rPr>
              <w:t xml:space="preserve"> de las </w:t>
            </w:r>
            <w:r w:rsidRPr="008A26D2">
              <w:rPr>
                <w:rFonts w:ascii="Arial" w:eastAsia="Arial Narrow" w:hAnsi="Arial" w:cs="Arial"/>
                <w:sz w:val="20"/>
                <w:szCs w:val="20"/>
              </w:rPr>
              <w:t xml:space="preserve">autoridades regionales forestales y de fauna silvestre </w:t>
            </w:r>
            <w:r w:rsidRPr="008A26D2">
              <w:rPr>
                <w:rFonts w:ascii="Arial" w:eastAsia="Times New Roman" w:hAnsi="Arial" w:cs="Arial"/>
                <w:sz w:val="20"/>
                <w:szCs w:val="20"/>
                <w:lang w:val="es-ES"/>
              </w:rPr>
              <w:t>que reciben la capacitación, identificando aquellos aspectos del servicio que se pueden mejorar y satisfacer al receptor.</w:t>
            </w:r>
          </w:p>
          <w:p w14:paraId="39DA218A" w14:textId="77777777" w:rsidR="00A90E9C" w:rsidRPr="008A26D2" w:rsidRDefault="00A90E9C" w:rsidP="0072651A">
            <w:pPr>
              <w:rPr>
                <w:rFonts w:ascii="Arial" w:hAnsi="Arial" w:cs="Arial"/>
                <w:bCs/>
                <w:sz w:val="20"/>
                <w:szCs w:val="20"/>
              </w:rPr>
            </w:pPr>
            <w:r w:rsidRPr="008A26D2">
              <w:rPr>
                <w:rFonts w:ascii="Arial" w:hAnsi="Arial" w:cs="Arial"/>
                <w:bCs/>
                <w:sz w:val="20"/>
                <w:szCs w:val="20"/>
              </w:rPr>
              <w:t>Para evaluar el grado de satisfacción se considerará los alcances metodológicos señalados en el Protocolo de Capacitación y Asistencia Técnica del SERFOR.</w:t>
            </w:r>
          </w:p>
          <w:p w14:paraId="18EECD90" w14:textId="515E8B03" w:rsidR="00B5651E" w:rsidRPr="008A26D2" w:rsidRDefault="00B5651E" w:rsidP="00B5651E">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Al ser un servicio nuevo carece de la línea base correspondiente, por ese motivo, el SERFOR determinará la línea base </w:t>
            </w:r>
            <w:r w:rsidR="00D329C8" w:rsidRPr="008A26D2">
              <w:rPr>
                <w:rFonts w:ascii="Arial" w:eastAsia="Arial Narrow" w:hAnsi="Arial" w:cs="Arial"/>
                <w:sz w:val="20"/>
                <w:szCs w:val="20"/>
              </w:rPr>
              <w:t xml:space="preserve">antes </w:t>
            </w:r>
            <w:r w:rsidRPr="008A26D2">
              <w:rPr>
                <w:rFonts w:ascii="Arial" w:eastAsia="Arial Narrow" w:hAnsi="Arial" w:cs="Arial"/>
                <w:sz w:val="20"/>
                <w:szCs w:val="20"/>
              </w:rPr>
              <w:t>del inicio de la implementación de la presente Política Nacional.</w:t>
            </w:r>
          </w:p>
          <w:p w14:paraId="375C3DC1" w14:textId="77777777" w:rsidR="00A90E9C" w:rsidRPr="008A26D2" w:rsidRDefault="00A90E9C" w:rsidP="0072651A">
            <w:pPr>
              <w:spacing w:after="0" w:line="240" w:lineRule="auto"/>
              <w:rPr>
                <w:rFonts w:ascii="Arial" w:eastAsia="Arial Narrow" w:hAnsi="Arial" w:cs="Arial"/>
                <w:sz w:val="20"/>
                <w:szCs w:val="20"/>
              </w:rPr>
            </w:pPr>
          </w:p>
        </w:tc>
      </w:tr>
      <w:tr w:rsidR="008A26D2" w:rsidRPr="008A26D2" w14:paraId="7707F4D2" w14:textId="77777777" w:rsidTr="00DF6C54">
        <w:trPr>
          <w:trHeight w:val="686"/>
        </w:trPr>
        <w:tc>
          <w:tcPr>
            <w:tcW w:w="2286" w:type="dxa"/>
            <w:gridSpan w:val="3"/>
            <w:shd w:val="clear" w:color="auto" w:fill="auto"/>
            <w:tcMar>
              <w:top w:w="10" w:type="dxa"/>
              <w:left w:w="93" w:type="dxa"/>
              <w:bottom w:w="0" w:type="dxa"/>
              <w:right w:w="10" w:type="dxa"/>
            </w:tcMar>
            <w:vAlign w:val="center"/>
          </w:tcPr>
          <w:p w14:paraId="3E3BC373" w14:textId="77777777" w:rsidR="00A90E9C" w:rsidRPr="008A26D2" w:rsidRDefault="00A90E9C" w:rsidP="0072651A">
            <w:pPr>
              <w:rPr>
                <w:rFonts w:ascii="Arial" w:hAnsi="Arial" w:cs="Arial"/>
                <w:sz w:val="20"/>
                <w:szCs w:val="20"/>
              </w:rPr>
            </w:pPr>
            <w:r w:rsidRPr="008A26D2">
              <w:rPr>
                <w:rFonts w:ascii="Arial" w:hAnsi="Arial" w:cs="Arial"/>
                <w:b/>
                <w:sz w:val="20"/>
                <w:szCs w:val="20"/>
              </w:rPr>
              <w:lastRenderedPageBreak/>
              <w:t>Sentido esperado del indicador:</w:t>
            </w:r>
          </w:p>
        </w:tc>
        <w:tc>
          <w:tcPr>
            <w:tcW w:w="1683" w:type="dxa"/>
            <w:gridSpan w:val="3"/>
            <w:shd w:val="clear" w:color="auto" w:fill="auto"/>
            <w:tcMar>
              <w:top w:w="10" w:type="dxa"/>
              <w:left w:w="283" w:type="dxa"/>
              <w:bottom w:w="0" w:type="dxa"/>
              <w:right w:w="283" w:type="dxa"/>
            </w:tcMar>
            <w:vAlign w:val="center"/>
          </w:tcPr>
          <w:p w14:paraId="15C5F05E" w14:textId="77777777" w:rsidR="00A90E9C" w:rsidRPr="008A26D2" w:rsidRDefault="00A90E9C" w:rsidP="0072651A">
            <w:pPr>
              <w:spacing w:after="0" w:line="240" w:lineRule="auto"/>
              <w:rPr>
                <w:rFonts w:ascii="Arial" w:hAnsi="Arial" w:cs="Arial"/>
                <w:sz w:val="20"/>
                <w:szCs w:val="20"/>
              </w:rPr>
            </w:pPr>
            <w:r w:rsidRPr="008A26D2">
              <w:rPr>
                <w:rFonts w:ascii="Arial" w:eastAsia="Arial Narrow" w:hAnsi="Arial" w:cs="Arial"/>
                <w:sz w:val="20"/>
                <w:szCs w:val="20"/>
              </w:rPr>
              <w:t>Ascendente</w:t>
            </w:r>
          </w:p>
        </w:tc>
        <w:tc>
          <w:tcPr>
            <w:tcW w:w="3143" w:type="dxa"/>
            <w:gridSpan w:val="4"/>
            <w:shd w:val="clear" w:color="auto" w:fill="auto"/>
            <w:tcMar>
              <w:top w:w="15" w:type="dxa"/>
              <w:left w:w="15" w:type="dxa"/>
              <w:bottom w:w="0" w:type="dxa"/>
              <w:right w:w="15" w:type="dxa"/>
            </w:tcMar>
            <w:vAlign w:val="center"/>
          </w:tcPr>
          <w:p w14:paraId="65A2F49A" w14:textId="77777777" w:rsidR="00A90E9C" w:rsidRPr="008A26D2" w:rsidRDefault="00A90E9C" w:rsidP="0072651A">
            <w:pPr>
              <w:spacing w:after="0" w:line="240" w:lineRule="auto"/>
              <w:rPr>
                <w:rFonts w:ascii="Arial" w:hAnsi="Arial" w:cs="Arial"/>
                <w:sz w:val="20"/>
                <w:szCs w:val="20"/>
              </w:rPr>
            </w:pPr>
            <w:r w:rsidRPr="008A26D2">
              <w:rPr>
                <w:rFonts w:ascii="Arial" w:hAnsi="Arial" w:cs="Arial"/>
                <w:b/>
                <w:sz w:val="20"/>
                <w:szCs w:val="20"/>
              </w:rPr>
              <w:t>Tipo de indicador de servicio:</w:t>
            </w:r>
          </w:p>
        </w:tc>
        <w:tc>
          <w:tcPr>
            <w:tcW w:w="1677" w:type="dxa"/>
            <w:gridSpan w:val="3"/>
            <w:shd w:val="clear" w:color="auto" w:fill="auto"/>
            <w:tcMar>
              <w:top w:w="15" w:type="dxa"/>
              <w:left w:w="15" w:type="dxa"/>
              <w:bottom w:w="0" w:type="dxa"/>
              <w:right w:w="15" w:type="dxa"/>
            </w:tcMar>
            <w:vAlign w:val="center"/>
          </w:tcPr>
          <w:p w14:paraId="378EA976" w14:textId="77777777" w:rsidR="00A90E9C" w:rsidRPr="008A26D2" w:rsidRDefault="00A90E9C" w:rsidP="0072651A">
            <w:pPr>
              <w:spacing w:after="0" w:line="240" w:lineRule="auto"/>
              <w:rPr>
                <w:rFonts w:ascii="Arial" w:hAnsi="Arial" w:cs="Arial"/>
                <w:sz w:val="20"/>
                <w:szCs w:val="20"/>
              </w:rPr>
            </w:pPr>
            <w:r w:rsidRPr="008A26D2">
              <w:rPr>
                <w:rFonts w:ascii="Arial" w:eastAsia="Arial Narrow" w:hAnsi="Arial" w:cs="Arial"/>
                <w:sz w:val="20"/>
                <w:szCs w:val="20"/>
              </w:rPr>
              <w:t xml:space="preserve">        Calidad - Percepción</w:t>
            </w:r>
          </w:p>
        </w:tc>
      </w:tr>
      <w:tr w:rsidR="008A26D2" w:rsidRPr="008A26D2" w14:paraId="498915F6" w14:textId="77777777" w:rsidTr="00DF7FB6">
        <w:trPr>
          <w:trHeight w:val="13"/>
        </w:trPr>
        <w:tc>
          <w:tcPr>
            <w:tcW w:w="2286" w:type="dxa"/>
            <w:gridSpan w:val="3"/>
            <w:shd w:val="clear" w:color="auto" w:fill="auto"/>
            <w:tcMar>
              <w:top w:w="10" w:type="dxa"/>
              <w:left w:w="93" w:type="dxa"/>
              <w:bottom w:w="0" w:type="dxa"/>
              <w:right w:w="10" w:type="dxa"/>
            </w:tcMar>
            <w:vAlign w:val="center"/>
          </w:tcPr>
          <w:p w14:paraId="07481E25" w14:textId="77777777" w:rsidR="00A90E9C" w:rsidRPr="008A26D2" w:rsidRDefault="00A90E9C" w:rsidP="0072651A">
            <w:pPr>
              <w:rPr>
                <w:rFonts w:ascii="Arial" w:hAnsi="Arial" w:cs="Arial"/>
                <w:sz w:val="20"/>
                <w:szCs w:val="20"/>
              </w:rPr>
            </w:pPr>
            <w:r w:rsidRPr="008A26D2">
              <w:rPr>
                <w:rFonts w:ascii="Arial" w:hAnsi="Arial" w:cs="Arial"/>
                <w:b/>
                <w:sz w:val="20"/>
                <w:szCs w:val="20"/>
              </w:rPr>
              <w:t>Fuente y base de datos:</w:t>
            </w:r>
          </w:p>
        </w:tc>
        <w:tc>
          <w:tcPr>
            <w:tcW w:w="6503" w:type="dxa"/>
            <w:gridSpan w:val="10"/>
            <w:shd w:val="clear" w:color="auto" w:fill="auto"/>
            <w:tcMar>
              <w:top w:w="51" w:type="dxa"/>
              <w:left w:w="227" w:type="dxa"/>
              <w:bottom w:w="51" w:type="dxa"/>
              <w:right w:w="227" w:type="dxa"/>
            </w:tcMar>
            <w:vAlign w:val="center"/>
          </w:tcPr>
          <w:p w14:paraId="74B91CAC" w14:textId="131D6FBE" w:rsidR="00A90E9C" w:rsidRPr="008A26D2" w:rsidRDefault="00A90E9C" w:rsidP="0072651A">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Fuente: Dirección de Inventario y Valoración del </w:t>
            </w:r>
            <w:r w:rsidR="00F31F81">
              <w:rPr>
                <w:rFonts w:ascii="Arial" w:eastAsia="Arial Narrow" w:hAnsi="Arial" w:cs="Arial"/>
                <w:sz w:val="20"/>
                <w:szCs w:val="20"/>
              </w:rPr>
              <w:t xml:space="preserve">Servicio Nacional Forestal y de Fauna Silvestre - </w:t>
            </w:r>
            <w:r w:rsidRPr="008A26D2">
              <w:rPr>
                <w:rFonts w:ascii="Arial" w:eastAsia="Arial Narrow" w:hAnsi="Arial" w:cs="Arial"/>
                <w:sz w:val="20"/>
                <w:szCs w:val="20"/>
              </w:rPr>
              <w:t>SERFOR.</w:t>
            </w:r>
          </w:p>
          <w:p w14:paraId="7C8DEB44" w14:textId="77777777" w:rsidR="00A90E9C" w:rsidRPr="008A26D2" w:rsidRDefault="00A90E9C" w:rsidP="0072651A">
            <w:pPr>
              <w:spacing w:after="0" w:line="240" w:lineRule="auto"/>
              <w:jc w:val="both"/>
              <w:rPr>
                <w:rFonts w:ascii="Arial" w:eastAsia="Arial Narrow" w:hAnsi="Arial" w:cs="Arial"/>
                <w:sz w:val="20"/>
                <w:szCs w:val="20"/>
              </w:rPr>
            </w:pPr>
          </w:p>
          <w:p w14:paraId="6B878869" w14:textId="1A442CFB" w:rsidR="00A90E9C" w:rsidRPr="008A26D2" w:rsidRDefault="00A90E9C" w:rsidP="0072651A">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Base de Datos: Registro de actividades en fortalecimiento de capacidades </w:t>
            </w:r>
          </w:p>
        </w:tc>
      </w:tr>
      <w:tr w:rsidR="008A26D2" w:rsidRPr="008A26D2" w14:paraId="00A5BC4D" w14:textId="77777777" w:rsidTr="00DF7FB6">
        <w:trPr>
          <w:trHeight w:val="436"/>
        </w:trPr>
        <w:tc>
          <w:tcPr>
            <w:tcW w:w="2286" w:type="dxa"/>
            <w:gridSpan w:val="3"/>
            <w:shd w:val="clear" w:color="auto" w:fill="auto"/>
            <w:tcMar>
              <w:top w:w="10" w:type="dxa"/>
              <w:left w:w="93" w:type="dxa"/>
              <w:bottom w:w="0" w:type="dxa"/>
              <w:right w:w="10" w:type="dxa"/>
            </w:tcMar>
            <w:vAlign w:val="center"/>
          </w:tcPr>
          <w:p w14:paraId="2B1C54E9" w14:textId="77777777" w:rsidR="00A90E9C" w:rsidRPr="008A26D2" w:rsidRDefault="00A90E9C" w:rsidP="0072651A">
            <w:pPr>
              <w:rPr>
                <w:rFonts w:ascii="Arial" w:hAnsi="Arial" w:cs="Arial"/>
                <w:sz w:val="20"/>
                <w:szCs w:val="20"/>
              </w:rPr>
            </w:pPr>
            <w:r w:rsidRPr="008A26D2">
              <w:rPr>
                <w:rFonts w:ascii="Arial" w:hAnsi="Arial" w:cs="Arial"/>
                <w:b/>
                <w:sz w:val="20"/>
                <w:szCs w:val="20"/>
              </w:rPr>
              <w:t>Supuestos:</w:t>
            </w:r>
          </w:p>
        </w:tc>
        <w:tc>
          <w:tcPr>
            <w:tcW w:w="6503" w:type="dxa"/>
            <w:gridSpan w:val="10"/>
            <w:shd w:val="clear" w:color="auto" w:fill="auto"/>
            <w:tcMar>
              <w:top w:w="51" w:type="dxa"/>
              <w:left w:w="227" w:type="dxa"/>
              <w:bottom w:w="51" w:type="dxa"/>
              <w:right w:w="227" w:type="dxa"/>
            </w:tcMar>
            <w:vAlign w:val="center"/>
          </w:tcPr>
          <w:p w14:paraId="78F2409D" w14:textId="77777777" w:rsidR="00A90E9C" w:rsidRPr="008A26D2" w:rsidRDefault="00A90E9C" w:rsidP="0072651A">
            <w:pPr>
              <w:spacing w:after="0" w:line="240" w:lineRule="auto"/>
              <w:rPr>
                <w:rFonts w:ascii="Arial" w:eastAsia="Arial Narrow" w:hAnsi="Arial" w:cs="Arial"/>
                <w:sz w:val="20"/>
                <w:szCs w:val="20"/>
              </w:rPr>
            </w:pPr>
            <w:r w:rsidRPr="008A26D2">
              <w:rPr>
                <w:rFonts w:ascii="Arial" w:eastAsia="Arial Narrow" w:hAnsi="Arial" w:cs="Arial"/>
                <w:sz w:val="20"/>
                <w:szCs w:val="20"/>
              </w:rPr>
              <w:t>Interés por parte de las autoridades regionales forestales y de fauna silvestre para recibir las capacitaciones</w:t>
            </w:r>
          </w:p>
        </w:tc>
      </w:tr>
      <w:tr w:rsidR="008A26D2" w:rsidRPr="008A26D2" w14:paraId="5641AAE9" w14:textId="77777777" w:rsidTr="003B0CEC">
        <w:trPr>
          <w:trHeight w:val="458"/>
        </w:trPr>
        <w:tc>
          <w:tcPr>
            <w:tcW w:w="851" w:type="dxa"/>
            <w:shd w:val="clear" w:color="auto" w:fill="auto"/>
            <w:tcMar>
              <w:top w:w="10" w:type="dxa"/>
              <w:left w:w="10" w:type="dxa"/>
              <w:bottom w:w="0" w:type="dxa"/>
              <w:right w:w="10" w:type="dxa"/>
            </w:tcMar>
            <w:vAlign w:val="center"/>
          </w:tcPr>
          <w:p w14:paraId="713593C9" w14:textId="77777777" w:rsidR="00A90E9C" w:rsidRPr="008A26D2" w:rsidRDefault="00A90E9C" w:rsidP="0072651A">
            <w:pPr>
              <w:rPr>
                <w:rFonts w:ascii="Arial" w:hAnsi="Arial" w:cs="Arial"/>
                <w:sz w:val="20"/>
                <w:szCs w:val="20"/>
              </w:rPr>
            </w:pPr>
            <w:r w:rsidRPr="008A26D2">
              <w:rPr>
                <w:rFonts w:ascii="Arial" w:hAnsi="Arial" w:cs="Arial"/>
                <w:b/>
                <w:sz w:val="20"/>
                <w:szCs w:val="20"/>
              </w:rPr>
              <w:t> </w:t>
            </w:r>
          </w:p>
        </w:tc>
        <w:tc>
          <w:tcPr>
            <w:tcW w:w="865" w:type="dxa"/>
            <w:shd w:val="clear" w:color="auto" w:fill="auto"/>
            <w:tcMar>
              <w:top w:w="10" w:type="dxa"/>
              <w:left w:w="10" w:type="dxa"/>
              <w:bottom w:w="0" w:type="dxa"/>
              <w:right w:w="10" w:type="dxa"/>
            </w:tcMar>
            <w:vAlign w:val="center"/>
          </w:tcPr>
          <w:p w14:paraId="2F73809B" w14:textId="77777777" w:rsidR="00A90E9C" w:rsidRPr="008A26D2" w:rsidRDefault="00A90E9C" w:rsidP="00F31F81">
            <w:pPr>
              <w:jc w:val="center"/>
              <w:rPr>
                <w:rFonts w:ascii="Arial" w:hAnsi="Arial" w:cs="Arial"/>
                <w:sz w:val="20"/>
                <w:szCs w:val="20"/>
              </w:rPr>
            </w:pPr>
            <w:r w:rsidRPr="008A26D2">
              <w:rPr>
                <w:rFonts w:ascii="Arial" w:hAnsi="Arial" w:cs="Arial"/>
                <w:b/>
                <w:sz w:val="20"/>
                <w:szCs w:val="20"/>
              </w:rPr>
              <w:t>Línea de base</w:t>
            </w:r>
          </w:p>
        </w:tc>
        <w:tc>
          <w:tcPr>
            <w:tcW w:w="7073" w:type="dxa"/>
            <w:gridSpan w:val="11"/>
            <w:shd w:val="clear" w:color="auto" w:fill="auto"/>
            <w:tcMar>
              <w:top w:w="10" w:type="dxa"/>
              <w:left w:w="10" w:type="dxa"/>
              <w:bottom w:w="0" w:type="dxa"/>
              <w:right w:w="10" w:type="dxa"/>
            </w:tcMar>
            <w:vAlign w:val="center"/>
          </w:tcPr>
          <w:p w14:paraId="7D197F9D" w14:textId="47862FDD" w:rsidR="00A90E9C" w:rsidRPr="008A26D2" w:rsidRDefault="00A90E9C" w:rsidP="00F31F81">
            <w:pPr>
              <w:spacing w:after="0" w:line="240" w:lineRule="auto"/>
              <w:jc w:val="center"/>
              <w:rPr>
                <w:rFonts w:ascii="Arial" w:hAnsi="Arial" w:cs="Arial"/>
                <w:sz w:val="20"/>
                <w:szCs w:val="20"/>
              </w:rPr>
            </w:pPr>
            <w:r w:rsidRPr="008A26D2">
              <w:rPr>
                <w:rFonts w:ascii="Arial" w:hAnsi="Arial" w:cs="Arial"/>
                <w:b/>
                <w:sz w:val="20"/>
                <w:szCs w:val="20"/>
              </w:rPr>
              <w:t>Logros esperados</w:t>
            </w:r>
          </w:p>
        </w:tc>
      </w:tr>
      <w:tr w:rsidR="008A26D2" w:rsidRPr="008A26D2" w14:paraId="2C2B5807" w14:textId="77777777" w:rsidTr="003B0CEC">
        <w:trPr>
          <w:trHeight w:val="217"/>
        </w:trPr>
        <w:tc>
          <w:tcPr>
            <w:tcW w:w="851" w:type="dxa"/>
            <w:shd w:val="clear" w:color="auto" w:fill="auto"/>
            <w:tcMar>
              <w:top w:w="10" w:type="dxa"/>
              <w:left w:w="10" w:type="dxa"/>
              <w:bottom w:w="0" w:type="dxa"/>
              <w:right w:w="10" w:type="dxa"/>
            </w:tcMar>
            <w:vAlign w:val="center"/>
          </w:tcPr>
          <w:p w14:paraId="304696AB" w14:textId="77777777" w:rsidR="00A90E9C" w:rsidRPr="008A26D2" w:rsidRDefault="00A90E9C" w:rsidP="0072651A">
            <w:pPr>
              <w:spacing w:after="0" w:line="240" w:lineRule="auto"/>
              <w:jc w:val="center"/>
              <w:rPr>
                <w:rFonts w:ascii="Arial" w:hAnsi="Arial" w:cs="Arial"/>
                <w:sz w:val="20"/>
                <w:szCs w:val="20"/>
              </w:rPr>
            </w:pPr>
            <w:r w:rsidRPr="008A26D2">
              <w:rPr>
                <w:rFonts w:ascii="Arial" w:hAnsi="Arial" w:cs="Arial"/>
                <w:b/>
                <w:sz w:val="20"/>
                <w:szCs w:val="20"/>
              </w:rPr>
              <w:t>Año</w:t>
            </w:r>
          </w:p>
        </w:tc>
        <w:tc>
          <w:tcPr>
            <w:tcW w:w="865" w:type="dxa"/>
            <w:shd w:val="clear" w:color="auto" w:fill="auto"/>
            <w:tcMar>
              <w:top w:w="10" w:type="dxa"/>
              <w:left w:w="10" w:type="dxa"/>
              <w:bottom w:w="0" w:type="dxa"/>
              <w:right w:w="10" w:type="dxa"/>
            </w:tcMar>
            <w:vAlign w:val="center"/>
          </w:tcPr>
          <w:p w14:paraId="1F0EF8C9" w14:textId="77777777" w:rsidR="00A90E9C" w:rsidRPr="008A26D2" w:rsidRDefault="00A90E9C" w:rsidP="00F31F81">
            <w:pPr>
              <w:spacing w:after="0" w:line="240" w:lineRule="auto"/>
              <w:jc w:val="center"/>
              <w:rPr>
                <w:rFonts w:ascii="Arial" w:hAnsi="Arial" w:cs="Arial"/>
                <w:b/>
                <w:bCs/>
                <w:sz w:val="20"/>
                <w:szCs w:val="20"/>
              </w:rPr>
            </w:pPr>
            <w:r w:rsidRPr="008A26D2">
              <w:rPr>
                <w:rFonts w:ascii="Arial" w:hAnsi="Arial" w:cs="Arial"/>
                <w:b/>
                <w:sz w:val="20"/>
                <w:szCs w:val="20"/>
              </w:rPr>
              <w:t>2022</w:t>
            </w:r>
          </w:p>
        </w:tc>
        <w:tc>
          <w:tcPr>
            <w:tcW w:w="1134" w:type="dxa"/>
            <w:gridSpan w:val="2"/>
            <w:shd w:val="clear" w:color="auto" w:fill="auto"/>
            <w:tcMar>
              <w:top w:w="10" w:type="dxa"/>
              <w:left w:w="10" w:type="dxa"/>
              <w:bottom w:w="0" w:type="dxa"/>
              <w:right w:w="10" w:type="dxa"/>
            </w:tcMar>
            <w:vAlign w:val="center"/>
          </w:tcPr>
          <w:p w14:paraId="1C6B089E" w14:textId="77777777" w:rsidR="00A90E9C" w:rsidRPr="008A26D2" w:rsidRDefault="00A90E9C" w:rsidP="00F31F81">
            <w:pPr>
              <w:spacing w:after="0" w:line="240" w:lineRule="auto"/>
              <w:jc w:val="center"/>
              <w:rPr>
                <w:rFonts w:ascii="Arial" w:hAnsi="Arial" w:cs="Arial"/>
                <w:b/>
                <w:sz w:val="20"/>
                <w:szCs w:val="20"/>
              </w:rPr>
            </w:pPr>
            <w:r w:rsidRPr="008A26D2">
              <w:rPr>
                <w:rFonts w:ascii="Arial" w:hAnsi="Arial" w:cs="Arial"/>
                <w:b/>
                <w:sz w:val="20"/>
                <w:szCs w:val="20"/>
              </w:rPr>
              <w:t>2023</w:t>
            </w:r>
          </w:p>
        </w:tc>
        <w:tc>
          <w:tcPr>
            <w:tcW w:w="851" w:type="dxa"/>
            <w:shd w:val="clear" w:color="auto" w:fill="auto"/>
            <w:vAlign w:val="center"/>
          </w:tcPr>
          <w:p w14:paraId="513667D2" w14:textId="77777777" w:rsidR="00A90E9C" w:rsidRPr="008A26D2" w:rsidRDefault="00A90E9C" w:rsidP="00F31F81">
            <w:pPr>
              <w:spacing w:after="0" w:line="240" w:lineRule="auto"/>
              <w:jc w:val="center"/>
              <w:rPr>
                <w:rFonts w:ascii="Arial" w:hAnsi="Arial" w:cs="Arial"/>
                <w:b/>
                <w:sz w:val="20"/>
                <w:szCs w:val="20"/>
              </w:rPr>
            </w:pPr>
            <w:r w:rsidRPr="008A26D2">
              <w:rPr>
                <w:rFonts w:ascii="Arial" w:hAnsi="Arial" w:cs="Arial"/>
                <w:b/>
                <w:sz w:val="20"/>
                <w:szCs w:val="20"/>
              </w:rPr>
              <w:t>2024</w:t>
            </w:r>
          </w:p>
        </w:tc>
        <w:tc>
          <w:tcPr>
            <w:tcW w:w="850" w:type="dxa"/>
            <w:gridSpan w:val="2"/>
            <w:shd w:val="clear" w:color="auto" w:fill="auto"/>
            <w:vAlign w:val="center"/>
          </w:tcPr>
          <w:p w14:paraId="2F39B5A3" w14:textId="77777777" w:rsidR="00A90E9C" w:rsidRPr="008A26D2" w:rsidRDefault="00A90E9C" w:rsidP="00F31F81">
            <w:pPr>
              <w:spacing w:after="0" w:line="240" w:lineRule="auto"/>
              <w:jc w:val="center"/>
              <w:rPr>
                <w:rFonts w:ascii="Arial" w:hAnsi="Arial" w:cs="Arial"/>
                <w:b/>
                <w:sz w:val="20"/>
                <w:szCs w:val="20"/>
              </w:rPr>
            </w:pPr>
            <w:r w:rsidRPr="008A26D2">
              <w:rPr>
                <w:rFonts w:ascii="Arial" w:hAnsi="Arial" w:cs="Arial"/>
                <w:b/>
                <w:sz w:val="20"/>
                <w:szCs w:val="20"/>
              </w:rPr>
              <w:t>2025</w:t>
            </w:r>
          </w:p>
        </w:tc>
        <w:tc>
          <w:tcPr>
            <w:tcW w:w="851" w:type="dxa"/>
            <w:shd w:val="clear" w:color="auto" w:fill="auto"/>
            <w:vAlign w:val="center"/>
          </w:tcPr>
          <w:p w14:paraId="53F9F998" w14:textId="77777777" w:rsidR="00A90E9C" w:rsidRPr="008A26D2" w:rsidRDefault="00A90E9C" w:rsidP="00F31F81">
            <w:pPr>
              <w:spacing w:after="0" w:line="240" w:lineRule="auto"/>
              <w:jc w:val="center"/>
              <w:rPr>
                <w:rFonts w:ascii="Arial" w:hAnsi="Arial" w:cs="Arial"/>
                <w:b/>
                <w:sz w:val="20"/>
                <w:szCs w:val="20"/>
              </w:rPr>
            </w:pPr>
            <w:r w:rsidRPr="008A26D2">
              <w:rPr>
                <w:rFonts w:ascii="Arial" w:hAnsi="Arial" w:cs="Arial"/>
                <w:b/>
                <w:sz w:val="20"/>
                <w:szCs w:val="20"/>
              </w:rPr>
              <w:t>2026</w:t>
            </w:r>
          </w:p>
        </w:tc>
        <w:tc>
          <w:tcPr>
            <w:tcW w:w="992" w:type="dxa"/>
            <w:shd w:val="clear" w:color="auto" w:fill="auto"/>
            <w:vAlign w:val="center"/>
          </w:tcPr>
          <w:p w14:paraId="37E90BB8" w14:textId="77777777" w:rsidR="00A90E9C" w:rsidRPr="008A26D2" w:rsidRDefault="00A90E9C" w:rsidP="00F31F81">
            <w:pPr>
              <w:spacing w:after="0" w:line="240" w:lineRule="auto"/>
              <w:jc w:val="center"/>
              <w:rPr>
                <w:rFonts w:ascii="Arial" w:hAnsi="Arial" w:cs="Arial"/>
                <w:b/>
                <w:sz w:val="20"/>
                <w:szCs w:val="20"/>
              </w:rPr>
            </w:pPr>
            <w:r w:rsidRPr="008A26D2">
              <w:rPr>
                <w:rFonts w:ascii="Arial" w:hAnsi="Arial" w:cs="Arial"/>
                <w:b/>
                <w:sz w:val="20"/>
                <w:szCs w:val="20"/>
              </w:rPr>
              <w:t>2027</w:t>
            </w:r>
          </w:p>
        </w:tc>
        <w:tc>
          <w:tcPr>
            <w:tcW w:w="836" w:type="dxa"/>
            <w:gridSpan w:val="2"/>
            <w:shd w:val="clear" w:color="auto" w:fill="auto"/>
            <w:vAlign w:val="center"/>
          </w:tcPr>
          <w:p w14:paraId="027360F9" w14:textId="77777777" w:rsidR="00A90E9C" w:rsidRPr="008A26D2" w:rsidRDefault="00A90E9C" w:rsidP="00F31F81">
            <w:pPr>
              <w:spacing w:after="0" w:line="240" w:lineRule="auto"/>
              <w:jc w:val="center"/>
              <w:rPr>
                <w:rFonts w:ascii="Arial" w:hAnsi="Arial" w:cs="Arial"/>
                <w:b/>
                <w:sz w:val="20"/>
                <w:szCs w:val="20"/>
              </w:rPr>
            </w:pPr>
            <w:r w:rsidRPr="008A26D2">
              <w:rPr>
                <w:rFonts w:ascii="Arial" w:hAnsi="Arial" w:cs="Arial"/>
                <w:b/>
                <w:sz w:val="20"/>
                <w:szCs w:val="20"/>
              </w:rPr>
              <w:t>2028</w:t>
            </w:r>
          </w:p>
        </w:tc>
        <w:tc>
          <w:tcPr>
            <w:tcW w:w="850" w:type="dxa"/>
            <w:shd w:val="clear" w:color="auto" w:fill="auto"/>
            <w:vAlign w:val="center"/>
          </w:tcPr>
          <w:p w14:paraId="1F5BDCBE" w14:textId="77777777" w:rsidR="00A90E9C" w:rsidRPr="008A26D2" w:rsidRDefault="00A90E9C" w:rsidP="00F31F81">
            <w:pPr>
              <w:spacing w:after="0" w:line="240" w:lineRule="auto"/>
              <w:jc w:val="center"/>
              <w:rPr>
                <w:rFonts w:ascii="Arial" w:hAnsi="Arial" w:cs="Arial"/>
                <w:b/>
                <w:sz w:val="20"/>
                <w:szCs w:val="20"/>
              </w:rPr>
            </w:pPr>
            <w:r w:rsidRPr="008A26D2">
              <w:rPr>
                <w:rFonts w:ascii="Arial" w:hAnsi="Arial" w:cs="Arial"/>
                <w:b/>
                <w:sz w:val="20"/>
                <w:szCs w:val="20"/>
              </w:rPr>
              <w:t>2029</w:t>
            </w:r>
          </w:p>
        </w:tc>
        <w:tc>
          <w:tcPr>
            <w:tcW w:w="709" w:type="dxa"/>
            <w:shd w:val="clear" w:color="auto" w:fill="auto"/>
            <w:vAlign w:val="center"/>
          </w:tcPr>
          <w:p w14:paraId="223025EA" w14:textId="77777777" w:rsidR="00A90E9C" w:rsidRPr="008A26D2" w:rsidRDefault="00A90E9C" w:rsidP="00F31F81">
            <w:pPr>
              <w:spacing w:after="0" w:line="240" w:lineRule="auto"/>
              <w:jc w:val="center"/>
              <w:rPr>
                <w:rFonts w:ascii="Arial" w:hAnsi="Arial" w:cs="Arial"/>
                <w:b/>
                <w:sz w:val="20"/>
                <w:szCs w:val="20"/>
              </w:rPr>
            </w:pPr>
            <w:r w:rsidRPr="008A26D2">
              <w:rPr>
                <w:rFonts w:ascii="Arial" w:hAnsi="Arial" w:cs="Arial"/>
                <w:b/>
                <w:sz w:val="20"/>
                <w:szCs w:val="20"/>
              </w:rPr>
              <w:t>2030</w:t>
            </w:r>
          </w:p>
        </w:tc>
      </w:tr>
      <w:tr w:rsidR="008A26D2" w:rsidRPr="008A26D2" w14:paraId="3690B1AF" w14:textId="77777777" w:rsidTr="003B0CEC">
        <w:trPr>
          <w:trHeight w:val="81"/>
        </w:trPr>
        <w:tc>
          <w:tcPr>
            <w:tcW w:w="851" w:type="dxa"/>
            <w:shd w:val="clear" w:color="auto" w:fill="auto"/>
            <w:tcMar>
              <w:top w:w="10" w:type="dxa"/>
              <w:left w:w="10" w:type="dxa"/>
              <w:bottom w:w="0" w:type="dxa"/>
              <w:right w:w="10" w:type="dxa"/>
            </w:tcMar>
            <w:vAlign w:val="center"/>
          </w:tcPr>
          <w:p w14:paraId="15DCCC1A" w14:textId="77777777" w:rsidR="00A90E9C" w:rsidRPr="008A26D2" w:rsidRDefault="00A90E9C" w:rsidP="0072651A">
            <w:pPr>
              <w:spacing w:after="0" w:line="240" w:lineRule="auto"/>
              <w:jc w:val="center"/>
              <w:rPr>
                <w:rFonts w:ascii="Arial" w:hAnsi="Arial" w:cs="Arial"/>
                <w:sz w:val="20"/>
                <w:szCs w:val="20"/>
              </w:rPr>
            </w:pPr>
            <w:r w:rsidRPr="008A26D2">
              <w:rPr>
                <w:rFonts w:ascii="Arial" w:hAnsi="Arial" w:cs="Arial"/>
                <w:b/>
                <w:sz w:val="20"/>
                <w:szCs w:val="20"/>
              </w:rPr>
              <w:t>Valor</w:t>
            </w:r>
          </w:p>
        </w:tc>
        <w:tc>
          <w:tcPr>
            <w:tcW w:w="865" w:type="dxa"/>
            <w:shd w:val="clear" w:color="auto" w:fill="auto"/>
            <w:tcMar>
              <w:top w:w="10" w:type="dxa"/>
              <w:left w:w="10" w:type="dxa"/>
              <w:bottom w:w="0" w:type="dxa"/>
              <w:right w:w="10" w:type="dxa"/>
            </w:tcMar>
            <w:vAlign w:val="center"/>
          </w:tcPr>
          <w:p w14:paraId="528EC6D4" w14:textId="01D27CA6" w:rsidR="00A90E9C" w:rsidRPr="008A26D2" w:rsidRDefault="002A3BBD" w:rsidP="00F31F81">
            <w:pPr>
              <w:spacing w:after="0" w:line="240" w:lineRule="auto"/>
              <w:jc w:val="center"/>
              <w:rPr>
                <w:rFonts w:ascii="Arial" w:hAnsi="Arial" w:cs="Arial"/>
                <w:sz w:val="20"/>
                <w:szCs w:val="20"/>
              </w:rPr>
            </w:pPr>
            <w:r w:rsidRPr="008A26D2">
              <w:rPr>
                <w:rFonts w:ascii="Arial" w:hAnsi="Arial" w:cs="Arial"/>
                <w:sz w:val="20"/>
                <w:szCs w:val="20"/>
              </w:rPr>
              <w:t>ND</w:t>
            </w:r>
          </w:p>
        </w:tc>
        <w:tc>
          <w:tcPr>
            <w:tcW w:w="1134" w:type="dxa"/>
            <w:gridSpan w:val="2"/>
            <w:shd w:val="clear" w:color="auto" w:fill="auto"/>
            <w:tcMar>
              <w:top w:w="10" w:type="dxa"/>
              <w:left w:w="10" w:type="dxa"/>
              <w:bottom w:w="0" w:type="dxa"/>
              <w:right w:w="10" w:type="dxa"/>
            </w:tcMar>
            <w:vAlign w:val="bottom"/>
          </w:tcPr>
          <w:p w14:paraId="4A6E947F" w14:textId="5CF24F04" w:rsidR="00A90E9C" w:rsidRPr="008A26D2" w:rsidRDefault="00A90E9C" w:rsidP="00F31F81">
            <w:pPr>
              <w:spacing w:after="0" w:line="240" w:lineRule="auto"/>
              <w:jc w:val="center"/>
              <w:rPr>
                <w:rFonts w:ascii="Arial" w:hAnsi="Arial" w:cs="Arial"/>
                <w:sz w:val="20"/>
                <w:szCs w:val="20"/>
              </w:rPr>
            </w:pPr>
            <w:r w:rsidRPr="008A26D2">
              <w:rPr>
                <w:rFonts w:ascii="Arial" w:hAnsi="Arial" w:cs="Arial"/>
                <w:sz w:val="20"/>
                <w:szCs w:val="20"/>
              </w:rPr>
              <w:t>27</w:t>
            </w:r>
            <w:r w:rsidR="00DF7FB6" w:rsidRPr="008A26D2">
              <w:rPr>
                <w:rFonts w:ascii="Arial" w:hAnsi="Arial" w:cs="Arial"/>
                <w:sz w:val="20"/>
                <w:szCs w:val="20"/>
              </w:rPr>
              <w:t>%</w:t>
            </w:r>
          </w:p>
        </w:tc>
        <w:tc>
          <w:tcPr>
            <w:tcW w:w="851" w:type="dxa"/>
            <w:shd w:val="clear" w:color="auto" w:fill="auto"/>
            <w:vAlign w:val="bottom"/>
          </w:tcPr>
          <w:p w14:paraId="0F43B20B" w14:textId="56CE31C1" w:rsidR="00A90E9C" w:rsidRPr="008A26D2" w:rsidRDefault="00A90E9C" w:rsidP="00F31F81">
            <w:pPr>
              <w:spacing w:after="0" w:line="240" w:lineRule="auto"/>
              <w:jc w:val="center"/>
              <w:rPr>
                <w:rFonts w:ascii="Arial" w:hAnsi="Arial" w:cs="Arial"/>
                <w:sz w:val="20"/>
                <w:szCs w:val="20"/>
              </w:rPr>
            </w:pPr>
            <w:r w:rsidRPr="008A26D2">
              <w:rPr>
                <w:rFonts w:ascii="Arial" w:hAnsi="Arial" w:cs="Arial"/>
                <w:sz w:val="20"/>
                <w:szCs w:val="20"/>
              </w:rPr>
              <w:t>30</w:t>
            </w:r>
            <w:r w:rsidR="00DF7FB6" w:rsidRPr="008A26D2">
              <w:rPr>
                <w:rFonts w:ascii="Arial" w:hAnsi="Arial" w:cs="Arial"/>
                <w:sz w:val="20"/>
                <w:szCs w:val="20"/>
              </w:rPr>
              <w:t>%</w:t>
            </w:r>
          </w:p>
        </w:tc>
        <w:tc>
          <w:tcPr>
            <w:tcW w:w="850" w:type="dxa"/>
            <w:gridSpan w:val="2"/>
            <w:shd w:val="clear" w:color="auto" w:fill="auto"/>
            <w:vAlign w:val="bottom"/>
          </w:tcPr>
          <w:p w14:paraId="331204AC" w14:textId="3F57A922" w:rsidR="00A90E9C" w:rsidRPr="008A26D2" w:rsidRDefault="00A90E9C" w:rsidP="00F31F81">
            <w:pPr>
              <w:spacing w:after="0" w:line="240" w:lineRule="auto"/>
              <w:jc w:val="center"/>
              <w:rPr>
                <w:rFonts w:ascii="Arial" w:hAnsi="Arial" w:cs="Arial"/>
                <w:sz w:val="20"/>
                <w:szCs w:val="20"/>
              </w:rPr>
            </w:pPr>
            <w:r w:rsidRPr="008A26D2">
              <w:rPr>
                <w:rFonts w:ascii="Arial" w:hAnsi="Arial" w:cs="Arial"/>
                <w:sz w:val="20"/>
                <w:szCs w:val="20"/>
              </w:rPr>
              <w:t>35</w:t>
            </w:r>
            <w:r w:rsidR="00DF7FB6" w:rsidRPr="008A26D2">
              <w:rPr>
                <w:rFonts w:ascii="Arial" w:hAnsi="Arial" w:cs="Arial"/>
                <w:sz w:val="20"/>
                <w:szCs w:val="20"/>
              </w:rPr>
              <w:t>%</w:t>
            </w:r>
          </w:p>
        </w:tc>
        <w:tc>
          <w:tcPr>
            <w:tcW w:w="851" w:type="dxa"/>
            <w:shd w:val="clear" w:color="auto" w:fill="auto"/>
            <w:vAlign w:val="bottom"/>
          </w:tcPr>
          <w:p w14:paraId="554A088F" w14:textId="21004609" w:rsidR="00A90E9C" w:rsidRPr="008A26D2" w:rsidRDefault="00A90E9C" w:rsidP="00F31F81">
            <w:pPr>
              <w:spacing w:after="0" w:line="240" w:lineRule="auto"/>
              <w:jc w:val="center"/>
              <w:rPr>
                <w:rFonts w:ascii="Arial" w:hAnsi="Arial" w:cs="Arial"/>
                <w:sz w:val="20"/>
                <w:szCs w:val="20"/>
              </w:rPr>
            </w:pPr>
            <w:r w:rsidRPr="008A26D2">
              <w:rPr>
                <w:rFonts w:ascii="Arial" w:hAnsi="Arial" w:cs="Arial"/>
                <w:sz w:val="20"/>
                <w:szCs w:val="20"/>
              </w:rPr>
              <w:t>40</w:t>
            </w:r>
            <w:r w:rsidR="00DF7FB6" w:rsidRPr="008A26D2">
              <w:rPr>
                <w:rFonts w:ascii="Arial" w:hAnsi="Arial" w:cs="Arial"/>
                <w:sz w:val="20"/>
                <w:szCs w:val="20"/>
              </w:rPr>
              <w:t>%</w:t>
            </w:r>
          </w:p>
        </w:tc>
        <w:tc>
          <w:tcPr>
            <w:tcW w:w="992" w:type="dxa"/>
            <w:shd w:val="clear" w:color="auto" w:fill="auto"/>
            <w:vAlign w:val="bottom"/>
          </w:tcPr>
          <w:p w14:paraId="14373A22" w14:textId="228B8217" w:rsidR="00A90E9C" w:rsidRPr="008A26D2" w:rsidRDefault="00A90E9C" w:rsidP="00F31F81">
            <w:pPr>
              <w:spacing w:after="0" w:line="240" w:lineRule="auto"/>
              <w:jc w:val="center"/>
              <w:rPr>
                <w:rFonts w:ascii="Arial" w:hAnsi="Arial" w:cs="Arial"/>
                <w:sz w:val="20"/>
                <w:szCs w:val="20"/>
              </w:rPr>
            </w:pPr>
            <w:r w:rsidRPr="008A26D2">
              <w:rPr>
                <w:rFonts w:ascii="Arial" w:hAnsi="Arial" w:cs="Arial"/>
                <w:sz w:val="20"/>
                <w:szCs w:val="20"/>
              </w:rPr>
              <w:t>45</w:t>
            </w:r>
            <w:r w:rsidR="00DF7FB6" w:rsidRPr="008A26D2">
              <w:rPr>
                <w:rFonts w:ascii="Arial" w:hAnsi="Arial" w:cs="Arial"/>
                <w:sz w:val="20"/>
                <w:szCs w:val="20"/>
              </w:rPr>
              <w:t>%</w:t>
            </w:r>
          </w:p>
        </w:tc>
        <w:tc>
          <w:tcPr>
            <w:tcW w:w="836" w:type="dxa"/>
            <w:gridSpan w:val="2"/>
            <w:shd w:val="clear" w:color="auto" w:fill="auto"/>
            <w:vAlign w:val="bottom"/>
          </w:tcPr>
          <w:p w14:paraId="25BDD836" w14:textId="5D0A7662" w:rsidR="00A90E9C" w:rsidRPr="008A26D2" w:rsidRDefault="00A90E9C" w:rsidP="00F31F81">
            <w:pPr>
              <w:spacing w:after="0" w:line="240" w:lineRule="auto"/>
              <w:jc w:val="center"/>
              <w:rPr>
                <w:rFonts w:ascii="Arial" w:hAnsi="Arial" w:cs="Arial"/>
                <w:sz w:val="20"/>
                <w:szCs w:val="20"/>
              </w:rPr>
            </w:pPr>
            <w:r w:rsidRPr="008A26D2">
              <w:rPr>
                <w:rFonts w:ascii="Arial" w:hAnsi="Arial" w:cs="Arial"/>
                <w:sz w:val="20"/>
                <w:szCs w:val="20"/>
              </w:rPr>
              <w:t>50</w:t>
            </w:r>
            <w:r w:rsidR="00DF7FB6" w:rsidRPr="008A26D2">
              <w:rPr>
                <w:rFonts w:ascii="Arial" w:hAnsi="Arial" w:cs="Arial"/>
                <w:sz w:val="20"/>
                <w:szCs w:val="20"/>
              </w:rPr>
              <w:t>%</w:t>
            </w:r>
          </w:p>
        </w:tc>
        <w:tc>
          <w:tcPr>
            <w:tcW w:w="850" w:type="dxa"/>
            <w:shd w:val="clear" w:color="auto" w:fill="auto"/>
            <w:vAlign w:val="bottom"/>
          </w:tcPr>
          <w:p w14:paraId="7F1C4962" w14:textId="756C791F" w:rsidR="00A90E9C" w:rsidRPr="008A26D2" w:rsidRDefault="00A90E9C" w:rsidP="00F31F81">
            <w:pPr>
              <w:spacing w:after="0" w:line="240" w:lineRule="auto"/>
              <w:jc w:val="center"/>
              <w:rPr>
                <w:rFonts w:ascii="Arial" w:hAnsi="Arial" w:cs="Arial"/>
                <w:sz w:val="20"/>
                <w:szCs w:val="20"/>
              </w:rPr>
            </w:pPr>
            <w:r w:rsidRPr="008A26D2">
              <w:rPr>
                <w:rFonts w:ascii="Arial" w:hAnsi="Arial" w:cs="Arial"/>
                <w:sz w:val="20"/>
                <w:szCs w:val="20"/>
              </w:rPr>
              <w:t>55</w:t>
            </w:r>
            <w:r w:rsidR="00DF7FB6" w:rsidRPr="008A26D2">
              <w:rPr>
                <w:rFonts w:ascii="Arial" w:hAnsi="Arial" w:cs="Arial"/>
                <w:sz w:val="20"/>
                <w:szCs w:val="20"/>
              </w:rPr>
              <w:t>%</w:t>
            </w:r>
          </w:p>
        </w:tc>
        <w:tc>
          <w:tcPr>
            <w:tcW w:w="709" w:type="dxa"/>
            <w:shd w:val="clear" w:color="auto" w:fill="auto"/>
            <w:vAlign w:val="bottom"/>
          </w:tcPr>
          <w:p w14:paraId="7B383686" w14:textId="5D6F8D33" w:rsidR="00A90E9C" w:rsidRPr="008A26D2" w:rsidRDefault="00A90E9C" w:rsidP="00F31F81">
            <w:pPr>
              <w:spacing w:after="0" w:line="240" w:lineRule="auto"/>
              <w:jc w:val="center"/>
              <w:rPr>
                <w:rFonts w:ascii="Arial" w:hAnsi="Arial" w:cs="Arial"/>
                <w:sz w:val="20"/>
                <w:szCs w:val="20"/>
              </w:rPr>
            </w:pPr>
            <w:r w:rsidRPr="008A26D2">
              <w:rPr>
                <w:rFonts w:ascii="Arial" w:hAnsi="Arial" w:cs="Arial"/>
                <w:sz w:val="20"/>
                <w:szCs w:val="20"/>
              </w:rPr>
              <w:t>60</w:t>
            </w:r>
            <w:r w:rsidR="00DF7FB6" w:rsidRPr="008A26D2">
              <w:rPr>
                <w:rFonts w:ascii="Arial" w:hAnsi="Arial" w:cs="Arial"/>
                <w:sz w:val="20"/>
                <w:szCs w:val="20"/>
              </w:rPr>
              <w:t>%</w:t>
            </w:r>
          </w:p>
        </w:tc>
      </w:tr>
    </w:tbl>
    <w:p w14:paraId="67FD5BEA" w14:textId="77777777" w:rsidR="00A90E9C" w:rsidRPr="008A26D2" w:rsidRDefault="00A90E9C" w:rsidP="00A90E9C"/>
    <w:p w14:paraId="7DBC1BF0" w14:textId="77777777" w:rsidR="00A90E9C" w:rsidRPr="008A26D2" w:rsidRDefault="00A90E9C" w:rsidP="00A90E9C"/>
    <w:tbl>
      <w:tblPr>
        <w:tblW w:w="879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2"/>
        <w:gridCol w:w="992"/>
        <w:gridCol w:w="565"/>
        <w:gridCol w:w="299"/>
        <w:gridCol w:w="992"/>
        <w:gridCol w:w="412"/>
        <w:gridCol w:w="438"/>
        <w:gridCol w:w="851"/>
        <w:gridCol w:w="835"/>
        <w:gridCol w:w="851"/>
        <w:gridCol w:w="26"/>
        <w:gridCol w:w="824"/>
        <w:gridCol w:w="853"/>
      </w:tblGrid>
      <w:tr w:rsidR="008A26D2" w:rsidRPr="008A26D2" w14:paraId="04C3F347" w14:textId="77777777" w:rsidTr="00465321">
        <w:trPr>
          <w:trHeight w:val="251"/>
        </w:trPr>
        <w:tc>
          <w:tcPr>
            <w:tcW w:w="8790" w:type="dxa"/>
            <w:gridSpan w:val="13"/>
            <w:shd w:val="clear" w:color="auto" w:fill="D9D9D9" w:themeFill="background1" w:themeFillShade="D9"/>
            <w:tcMar>
              <w:top w:w="10" w:type="dxa"/>
              <w:left w:w="10" w:type="dxa"/>
              <w:bottom w:w="0" w:type="dxa"/>
              <w:right w:w="10" w:type="dxa"/>
            </w:tcMar>
            <w:vAlign w:val="center"/>
          </w:tcPr>
          <w:p w14:paraId="08176680" w14:textId="0E2846B8" w:rsidR="00EE6C17" w:rsidRPr="008A26D2" w:rsidRDefault="00EE6C17" w:rsidP="00416EEF">
            <w:pPr>
              <w:jc w:val="center"/>
              <w:rPr>
                <w:rFonts w:ascii="Arial" w:eastAsia="Times New Roman" w:hAnsi="Arial" w:cs="Arial"/>
                <w:sz w:val="20"/>
                <w:szCs w:val="20"/>
              </w:rPr>
            </w:pPr>
            <w:r w:rsidRPr="008A26D2">
              <w:rPr>
                <w:rFonts w:ascii="Arial" w:eastAsia="Times New Roman" w:hAnsi="Arial" w:cs="Arial"/>
                <w:b/>
                <w:sz w:val="20"/>
                <w:szCs w:val="20"/>
              </w:rPr>
              <w:t>FICHA TÉCNICA DE INDICADOR DE SERVICIO 1.5.1</w:t>
            </w:r>
          </w:p>
        </w:tc>
      </w:tr>
      <w:tr w:rsidR="008A26D2" w:rsidRPr="008A26D2" w14:paraId="15A8047C" w14:textId="77777777" w:rsidTr="00465321">
        <w:trPr>
          <w:trHeight w:val="409"/>
        </w:trPr>
        <w:tc>
          <w:tcPr>
            <w:tcW w:w="2409" w:type="dxa"/>
            <w:gridSpan w:val="3"/>
            <w:shd w:val="clear" w:color="auto" w:fill="FFFFFF"/>
            <w:tcMar>
              <w:top w:w="10" w:type="dxa"/>
              <w:left w:w="93" w:type="dxa"/>
              <w:bottom w:w="0" w:type="dxa"/>
              <w:right w:w="10" w:type="dxa"/>
            </w:tcMar>
            <w:vAlign w:val="center"/>
          </w:tcPr>
          <w:p w14:paraId="6C5895CD" w14:textId="77777777" w:rsidR="00EE6C17" w:rsidRPr="008A26D2" w:rsidRDefault="00EE6C17" w:rsidP="0087293E">
            <w:pPr>
              <w:jc w:val="both"/>
              <w:rPr>
                <w:rFonts w:ascii="Arial" w:eastAsia="Times New Roman" w:hAnsi="Arial" w:cs="Arial"/>
                <w:sz w:val="20"/>
                <w:szCs w:val="20"/>
              </w:rPr>
            </w:pPr>
            <w:r w:rsidRPr="008A26D2">
              <w:rPr>
                <w:rFonts w:ascii="Arial" w:eastAsia="Times New Roman" w:hAnsi="Arial" w:cs="Arial"/>
                <w:b/>
                <w:sz w:val="20"/>
                <w:szCs w:val="20"/>
              </w:rPr>
              <w:t>Objetivo prioritario:</w:t>
            </w:r>
          </w:p>
        </w:tc>
        <w:tc>
          <w:tcPr>
            <w:tcW w:w="6381" w:type="dxa"/>
            <w:gridSpan w:val="10"/>
            <w:shd w:val="clear" w:color="auto" w:fill="FFFFFF"/>
            <w:tcMar>
              <w:top w:w="51" w:type="dxa"/>
              <w:left w:w="227" w:type="dxa"/>
              <w:bottom w:w="51" w:type="dxa"/>
              <w:right w:w="227" w:type="dxa"/>
            </w:tcMar>
            <w:vAlign w:val="center"/>
          </w:tcPr>
          <w:p w14:paraId="1D77BD5B" w14:textId="2925097D" w:rsidR="00EE6C17" w:rsidRPr="008A26D2" w:rsidRDefault="00EE6C17" w:rsidP="0087293E">
            <w:pPr>
              <w:jc w:val="both"/>
              <w:rPr>
                <w:rFonts w:ascii="Arial" w:eastAsia="Times New Roman" w:hAnsi="Arial" w:cs="Arial"/>
                <w:sz w:val="20"/>
                <w:szCs w:val="20"/>
              </w:rPr>
            </w:pPr>
            <w:r w:rsidRPr="008A26D2">
              <w:rPr>
                <w:rFonts w:ascii="Arial" w:eastAsia="Times New Roman" w:hAnsi="Arial" w:cs="Arial"/>
                <w:sz w:val="20"/>
                <w:szCs w:val="20"/>
              </w:rPr>
              <w:t>OP1 Mejorar las condiciones para la sostenibilidad de los ecosistemas forestales, otros ecosistemas de vegetación silvestre y de la fauna silvestre</w:t>
            </w:r>
          </w:p>
        </w:tc>
      </w:tr>
      <w:tr w:rsidR="008A26D2" w:rsidRPr="008A26D2" w14:paraId="65AFEEA8" w14:textId="77777777" w:rsidTr="00465321">
        <w:trPr>
          <w:trHeight w:val="436"/>
        </w:trPr>
        <w:tc>
          <w:tcPr>
            <w:tcW w:w="2409" w:type="dxa"/>
            <w:gridSpan w:val="3"/>
            <w:tcMar>
              <w:top w:w="10" w:type="dxa"/>
              <w:left w:w="93" w:type="dxa"/>
              <w:bottom w:w="0" w:type="dxa"/>
              <w:right w:w="10" w:type="dxa"/>
            </w:tcMar>
            <w:vAlign w:val="center"/>
          </w:tcPr>
          <w:p w14:paraId="69C0B3E7" w14:textId="77777777" w:rsidR="00EE6C17" w:rsidRPr="008A26D2" w:rsidRDefault="00EE6C17" w:rsidP="0087293E">
            <w:pPr>
              <w:jc w:val="both"/>
              <w:rPr>
                <w:rFonts w:ascii="Arial" w:eastAsia="Times New Roman" w:hAnsi="Arial" w:cs="Arial"/>
                <w:sz w:val="20"/>
                <w:szCs w:val="20"/>
              </w:rPr>
            </w:pPr>
            <w:r w:rsidRPr="008A26D2">
              <w:rPr>
                <w:rFonts w:ascii="Arial" w:eastAsia="Times New Roman" w:hAnsi="Arial" w:cs="Arial"/>
                <w:b/>
                <w:sz w:val="20"/>
                <w:szCs w:val="20"/>
              </w:rPr>
              <w:t>Lineamiento de la política:</w:t>
            </w:r>
          </w:p>
        </w:tc>
        <w:tc>
          <w:tcPr>
            <w:tcW w:w="6381" w:type="dxa"/>
            <w:gridSpan w:val="10"/>
            <w:tcMar>
              <w:top w:w="51" w:type="dxa"/>
              <w:left w:w="227" w:type="dxa"/>
              <w:bottom w:w="51" w:type="dxa"/>
              <w:right w:w="227" w:type="dxa"/>
            </w:tcMar>
            <w:vAlign w:val="center"/>
          </w:tcPr>
          <w:p w14:paraId="20C2A13A" w14:textId="77777777" w:rsidR="00EE6C17" w:rsidRPr="008A26D2" w:rsidRDefault="00EE6C17" w:rsidP="0087293E">
            <w:pPr>
              <w:jc w:val="both"/>
              <w:rPr>
                <w:rFonts w:ascii="Arial" w:eastAsia="Times New Roman" w:hAnsi="Arial" w:cs="Arial"/>
                <w:sz w:val="20"/>
                <w:szCs w:val="20"/>
              </w:rPr>
            </w:pPr>
            <w:r w:rsidRPr="008A26D2">
              <w:rPr>
                <w:rFonts w:ascii="Arial" w:eastAsia="Times New Roman" w:hAnsi="Arial" w:cs="Arial"/>
                <w:sz w:val="20"/>
                <w:szCs w:val="20"/>
              </w:rPr>
              <w:t>L1.5 Incrementar el avance del proceso de ordenamiento forestal en el país</w:t>
            </w:r>
          </w:p>
        </w:tc>
      </w:tr>
      <w:tr w:rsidR="008A26D2" w:rsidRPr="008A26D2" w14:paraId="7260D6D1" w14:textId="77777777" w:rsidTr="00465321">
        <w:trPr>
          <w:trHeight w:val="404"/>
        </w:trPr>
        <w:tc>
          <w:tcPr>
            <w:tcW w:w="2409" w:type="dxa"/>
            <w:gridSpan w:val="3"/>
            <w:tcMar>
              <w:top w:w="10" w:type="dxa"/>
              <w:left w:w="93" w:type="dxa"/>
              <w:bottom w:w="0" w:type="dxa"/>
              <w:right w:w="10" w:type="dxa"/>
            </w:tcMar>
            <w:vAlign w:val="center"/>
          </w:tcPr>
          <w:p w14:paraId="296392E7" w14:textId="77777777" w:rsidR="00EE6C17" w:rsidRPr="008A26D2" w:rsidRDefault="00EE6C17" w:rsidP="0087293E">
            <w:pPr>
              <w:jc w:val="both"/>
              <w:rPr>
                <w:rFonts w:ascii="Arial" w:eastAsia="Times New Roman" w:hAnsi="Arial" w:cs="Arial"/>
                <w:sz w:val="20"/>
                <w:szCs w:val="20"/>
              </w:rPr>
            </w:pPr>
            <w:r w:rsidRPr="008A26D2">
              <w:rPr>
                <w:rFonts w:ascii="Arial" w:eastAsia="Times New Roman" w:hAnsi="Arial" w:cs="Arial"/>
                <w:b/>
                <w:sz w:val="20"/>
                <w:szCs w:val="20"/>
              </w:rPr>
              <w:t>Nombre del servicio:</w:t>
            </w:r>
          </w:p>
        </w:tc>
        <w:tc>
          <w:tcPr>
            <w:tcW w:w="6381" w:type="dxa"/>
            <w:gridSpan w:val="10"/>
            <w:tcMar>
              <w:top w:w="51" w:type="dxa"/>
              <w:left w:w="227" w:type="dxa"/>
              <w:bottom w:w="51" w:type="dxa"/>
              <w:right w:w="227" w:type="dxa"/>
            </w:tcMar>
            <w:vAlign w:val="center"/>
          </w:tcPr>
          <w:p w14:paraId="6C0762A9" w14:textId="77777777" w:rsidR="00EE6C17" w:rsidRPr="008A26D2" w:rsidRDefault="00EE6C17" w:rsidP="0087293E">
            <w:pPr>
              <w:jc w:val="both"/>
              <w:rPr>
                <w:rFonts w:ascii="Arial" w:eastAsia="Times New Roman" w:hAnsi="Arial" w:cs="Arial"/>
                <w:sz w:val="20"/>
                <w:szCs w:val="20"/>
              </w:rPr>
            </w:pPr>
            <w:r w:rsidRPr="008A26D2">
              <w:rPr>
                <w:rFonts w:ascii="Arial" w:eastAsia="Times New Roman" w:hAnsi="Arial" w:cs="Arial"/>
                <w:sz w:val="20"/>
                <w:szCs w:val="20"/>
              </w:rPr>
              <w:t>S1.5.1 Asistencia técnica en zonificación forestal de forma fiable para los gobiernos regionales</w:t>
            </w:r>
          </w:p>
        </w:tc>
      </w:tr>
      <w:tr w:rsidR="008A26D2" w:rsidRPr="008A26D2" w14:paraId="507673B5" w14:textId="77777777" w:rsidTr="00465321">
        <w:trPr>
          <w:trHeight w:val="524"/>
        </w:trPr>
        <w:tc>
          <w:tcPr>
            <w:tcW w:w="2409" w:type="dxa"/>
            <w:gridSpan w:val="3"/>
            <w:tcMar>
              <w:top w:w="10" w:type="dxa"/>
              <w:left w:w="93" w:type="dxa"/>
              <w:bottom w:w="0" w:type="dxa"/>
              <w:right w:w="10" w:type="dxa"/>
            </w:tcMar>
            <w:vAlign w:val="center"/>
          </w:tcPr>
          <w:p w14:paraId="081DFFA6" w14:textId="77777777" w:rsidR="00EE6C17" w:rsidRPr="008A26D2" w:rsidRDefault="00EE6C17" w:rsidP="0087293E">
            <w:pPr>
              <w:jc w:val="both"/>
              <w:rPr>
                <w:rFonts w:ascii="Arial" w:eastAsia="Times New Roman" w:hAnsi="Arial" w:cs="Arial"/>
                <w:sz w:val="20"/>
                <w:szCs w:val="20"/>
              </w:rPr>
            </w:pPr>
            <w:r w:rsidRPr="008A26D2">
              <w:rPr>
                <w:rFonts w:ascii="Arial" w:eastAsia="Times New Roman" w:hAnsi="Arial" w:cs="Arial"/>
                <w:b/>
                <w:sz w:val="20"/>
                <w:szCs w:val="20"/>
              </w:rPr>
              <w:t>Nombre del indicador:</w:t>
            </w:r>
          </w:p>
        </w:tc>
        <w:tc>
          <w:tcPr>
            <w:tcW w:w="6381" w:type="dxa"/>
            <w:gridSpan w:val="10"/>
            <w:tcMar>
              <w:top w:w="51" w:type="dxa"/>
              <w:left w:w="227" w:type="dxa"/>
              <w:bottom w:w="51" w:type="dxa"/>
              <w:right w:w="227" w:type="dxa"/>
            </w:tcMar>
            <w:vAlign w:val="center"/>
          </w:tcPr>
          <w:p w14:paraId="01E53031" w14:textId="77777777" w:rsidR="00EE6C17" w:rsidRPr="008A26D2" w:rsidRDefault="00EE6C17" w:rsidP="0087293E">
            <w:pPr>
              <w:jc w:val="both"/>
              <w:rPr>
                <w:rFonts w:ascii="Arial" w:eastAsia="Times New Roman" w:hAnsi="Arial" w:cs="Arial"/>
                <w:sz w:val="20"/>
                <w:szCs w:val="20"/>
              </w:rPr>
            </w:pPr>
            <w:r w:rsidRPr="008A26D2">
              <w:rPr>
                <w:rFonts w:ascii="Arial" w:eastAsia="Times New Roman" w:hAnsi="Arial" w:cs="Arial"/>
                <w:sz w:val="20"/>
                <w:szCs w:val="20"/>
              </w:rPr>
              <w:t>Porcentaje de gobiernos regionales que reciben asistencia técnica de manera fiable</w:t>
            </w:r>
          </w:p>
        </w:tc>
      </w:tr>
      <w:tr w:rsidR="008A26D2" w:rsidRPr="008A26D2" w14:paraId="1EA8EFE2" w14:textId="77777777" w:rsidTr="00465321">
        <w:trPr>
          <w:trHeight w:val="464"/>
        </w:trPr>
        <w:tc>
          <w:tcPr>
            <w:tcW w:w="2409" w:type="dxa"/>
            <w:gridSpan w:val="3"/>
            <w:tcMar>
              <w:top w:w="10" w:type="dxa"/>
              <w:left w:w="93" w:type="dxa"/>
              <w:bottom w:w="0" w:type="dxa"/>
              <w:right w:w="10" w:type="dxa"/>
            </w:tcMar>
            <w:vAlign w:val="center"/>
          </w:tcPr>
          <w:p w14:paraId="6B41D187" w14:textId="77777777" w:rsidR="00EE6C17" w:rsidRPr="008A26D2" w:rsidRDefault="00EE6C17" w:rsidP="0087293E">
            <w:pPr>
              <w:jc w:val="both"/>
              <w:rPr>
                <w:rFonts w:ascii="Arial" w:eastAsia="Times New Roman" w:hAnsi="Arial" w:cs="Arial"/>
                <w:sz w:val="20"/>
                <w:szCs w:val="20"/>
              </w:rPr>
            </w:pPr>
            <w:r w:rsidRPr="008A26D2">
              <w:rPr>
                <w:rFonts w:ascii="Arial" w:eastAsia="Times New Roman" w:hAnsi="Arial" w:cs="Arial"/>
                <w:b/>
                <w:sz w:val="20"/>
                <w:szCs w:val="20"/>
              </w:rPr>
              <w:t>Justificación:</w:t>
            </w:r>
          </w:p>
        </w:tc>
        <w:tc>
          <w:tcPr>
            <w:tcW w:w="6381" w:type="dxa"/>
            <w:gridSpan w:val="10"/>
            <w:tcMar>
              <w:top w:w="51" w:type="dxa"/>
              <w:left w:w="227" w:type="dxa"/>
              <w:bottom w:w="51" w:type="dxa"/>
              <w:right w:w="227" w:type="dxa"/>
            </w:tcMar>
            <w:vAlign w:val="center"/>
          </w:tcPr>
          <w:p w14:paraId="571012AA" w14:textId="77777777" w:rsidR="00EE6C17" w:rsidRPr="008A26D2" w:rsidRDefault="00EE6C17" w:rsidP="0087293E">
            <w:pPr>
              <w:jc w:val="both"/>
              <w:rPr>
                <w:rFonts w:ascii="Arial" w:eastAsia="Times New Roman" w:hAnsi="Arial" w:cs="Arial"/>
                <w:sz w:val="20"/>
                <w:szCs w:val="20"/>
                <w:lang w:val="es-MX"/>
              </w:rPr>
            </w:pPr>
            <w:r w:rsidRPr="008A26D2">
              <w:rPr>
                <w:rFonts w:ascii="Arial" w:eastAsia="Times New Roman" w:hAnsi="Arial" w:cs="Arial"/>
                <w:sz w:val="20"/>
                <w:szCs w:val="20"/>
                <w:lang w:val="es-MX"/>
              </w:rPr>
              <w:t>El indicador cuantifica el porcentaje de gobiernos regionales que reciben la asistencia técnica de manera fiable, midiendo el avance en la entrega del servicio. De esa forma, se puede realizar las mejoras del caso.</w:t>
            </w:r>
          </w:p>
        </w:tc>
      </w:tr>
      <w:tr w:rsidR="008A26D2" w:rsidRPr="008A26D2" w14:paraId="52708910" w14:textId="77777777" w:rsidTr="00465321">
        <w:trPr>
          <w:trHeight w:val="547"/>
        </w:trPr>
        <w:tc>
          <w:tcPr>
            <w:tcW w:w="2409" w:type="dxa"/>
            <w:gridSpan w:val="3"/>
            <w:tcMar>
              <w:top w:w="10" w:type="dxa"/>
              <w:left w:w="93" w:type="dxa"/>
              <w:bottom w:w="0" w:type="dxa"/>
              <w:right w:w="10" w:type="dxa"/>
            </w:tcMar>
            <w:vAlign w:val="center"/>
          </w:tcPr>
          <w:p w14:paraId="520768B3" w14:textId="77777777" w:rsidR="00EE6C17" w:rsidRPr="008A26D2" w:rsidRDefault="00EE6C17" w:rsidP="0087293E">
            <w:pPr>
              <w:jc w:val="both"/>
              <w:rPr>
                <w:rFonts w:ascii="Arial" w:eastAsia="Times New Roman" w:hAnsi="Arial" w:cs="Arial"/>
                <w:sz w:val="20"/>
                <w:szCs w:val="20"/>
              </w:rPr>
            </w:pPr>
            <w:r w:rsidRPr="008A26D2">
              <w:rPr>
                <w:rFonts w:ascii="Arial" w:eastAsia="Times New Roman" w:hAnsi="Arial" w:cs="Arial"/>
                <w:b/>
                <w:sz w:val="20"/>
                <w:szCs w:val="20"/>
              </w:rPr>
              <w:t>Responsable del indicador:</w:t>
            </w:r>
          </w:p>
        </w:tc>
        <w:tc>
          <w:tcPr>
            <w:tcW w:w="6381" w:type="dxa"/>
            <w:gridSpan w:val="10"/>
            <w:tcMar>
              <w:top w:w="51" w:type="dxa"/>
              <w:left w:w="227" w:type="dxa"/>
              <w:bottom w:w="51" w:type="dxa"/>
              <w:right w:w="227" w:type="dxa"/>
            </w:tcMar>
            <w:vAlign w:val="center"/>
          </w:tcPr>
          <w:p w14:paraId="01486C54" w14:textId="4350E84C" w:rsidR="00EE6C17" w:rsidRPr="008A26D2" w:rsidRDefault="00EE6C17" w:rsidP="0087293E">
            <w:pPr>
              <w:jc w:val="both"/>
              <w:rPr>
                <w:rFonts w:ascii="Arial" w:eastAsia="Times New Roman" w:hAnsi="Arial" w:cs="Arial"/>
                <w:sz w:val="20"/>
                <w:szCs w:val="20"/>
              </w:rPr>
            </w:pPr>
            <w:r w:rsidRPr="008A26D2">
              <w:rPr>
                <w:rFonts w:ascii="Arial" w:eastAsia="Times New Roman" w:hAnsi="Arial" w:cs="Arial"/>
                <w:sz w:val="20"/>
                <w:szCs w:val="20"/>
              </w:rPr>
              <w:t xml:space="preserve">Dirección de Catastro Zonificación y Ordenamiento </w:t>
            </w:r>
            <w:r w:rsidR="00DF6C54" w:rsidRPr="008A26D2">
              <w:rPr>
                <w:rFonts w:ascii="Arial" w:eastAsia="Times New Roman" w:hAnsi="Arial" w:cs="Arial"/>
                <w:sz w:val="20"/>
                <w:szCs w:val="20"/>
              </w:rPr>
              <w:t xml:space="preserve">del </w:t>
            </w:r>
            <w:r w:rsidRPr="008A26D2">
              <w:rPr>
                <w:rFonts w:ascii="Arial" w:eastAsia="Times New Roman" w:hAnsi="Arial" w:cs="Arial"/>
                <w:sz w:val="20"/>
                <w:szCs w:val="20"/>
              </w:rPr>
              <w:t>Servicio Nacional Forestal y de Fauna Silvestre - SERFOR</w:t>
            </w:r>
          </w:p>
        </w:tc>
      </w:tr>
      <w:tr w:rsidR="008A26D2" w:rsidRPr="008A26D2" w14:paraId="3C58EE17" w14:textId="77777777" w:rsidTr="00465321">
        <w:trPr>
          <w:trHeight w:val="501"/>
        </w:trPr>
        <w:tc>
          <w:tcPr>
            <w:tcW w:w="2409" w:type="dxa"/>
            <w:gridSpan w:val="3"/>
            <w:tcMar>
              <w:top w:w="10" w:type="dxa"/>
              <w:left w:w="93" w:type="dxa"/>
              <w:bottom w:w="0" w:type="dxa"/>
              <w:right w:w="10" w:type="dxa"/>
            </w:tcMar>
            <w:vAlign w:val="center"/>
          </w:tcPr>
          <w:p w14:paraId="42470DA5" w14:textId="77777777" w:rsidR="00EE6C17" w:rsidRPr="008A26D2" w:rsidRDefault="00EE6C17" w:rsidP="0087293E">
            <w:pPr>
              <w:jc w:val="both"/>
              <w:rPr>
                <w:rFonts w:ascii="Arial" w:eastAsia="Times New Roman" w:hAnsi="Arial" w:cs="Arial"/>
                <w:sz w:val="20"/>
                <w:szCs w:val="20"/>
              </w:rPr>
            </w:pPr>
            <w:r w:rsidRPr="008A26D2">
              <w:rPr>
                <w:rFonts w:ascii="Arial" w:eastAsia="Times New Roman" w:hAnsi="Arial" w:cs="Arial"/>
                <w:b/>
                <w:sz w:val="20"/>
                <w:szCs w:val="20"/>
              </w:rPr>
              <w:t>Limitaciones para la medición del indicador:</w:t>
            </w:r>
          </w:p>
        </w:tc>
        <w:tc>
          <w:tcPr>
            <w:tcW w:w="6381" w:type="dxa"/>
            <w:gridSpan w:val="10"/>
            <w:tcMar>
              <w:top w:w="51" w:type="dxa"/>
              <w:left w:w="227" w:type="dxa"/>
              <w:bottom w:w="51" w:type="dxa"/>
              <w:right w:w="227" w:type="dxa"/>
            </w:tcMar>
            <w:vAlign w:val="center"/>
          </w:tcPr>
          <w:p w14:paraId="3AE34849" w14:textId="77777777" w:rsidR="00EE6C17" w:rsidRPr="008A26D2" w:rsidRDefault="00EE6C17" w:rsidP="0087293E">
            <w:pPr>
              <w:jc w:val="both"/>
              <w:rPr>
                <w:rFonts w:ascii="Arial" w:eastAsia="Times New Roman" w:hAnsi="Arial" w:cs="Arial"/>
                <w:sz w:val="20"/>
                <w:szCs w:val="20"/>
              </w:rPr>
            </w:pPr>
            <w:r w:rsidRPr="008A26D2">
              <w:rPr>
                <w:rFonts w:ascii="Arial" w:eastAsia="Times New Roman" w:hAnsi="Arial" w:cs="Arial"/>
                <w:sz w:val="20"/>
                <w:szCs w:val="20"/>
              </w:rPr>
              <w:t>No presenta limitaciones</w:t>
            </w:r>
          </w:p>
        </w:tc>
      </w:tr>
      <w:tr w:rsidR="008A26D2" w:rsidRPr="008A26D2" w14:paraId="2B5FF1FC" w14:textId="77777777" w:rsidTr="00465321">
        <w:trPr>
          <w:trHeight w:val="231"/>
        </w:trPr>
        <w:tc>
          <w:tcPr>
            <w:tcW w:w="2409" w:type="dxa"/>
            <w:gridSpan w:val="3"/>
            <w:tcMar>
              <w:top w:w="10" w:type="dxa"/>
              <w:left w:w="93" w:type="dxa"/>
              <w:bottom w:w="0" w:type="dxa"/>
              <w:right w:w="10" w:type="dxa"/>
            </w:tcMar>
            <w:vAlign w:val="center"/>
          </w:tcPr>
          <w:p w14:paraId="3AB2AC77" w14:textId="77777777" w:rsidR="00EE6C17" w:rsidRPr="008A26D2" w:rsidRDefault="00EE6C17" w:rsidP="0087293E">
            <w:pPr>
              <w:jc w:val="both"/>
              <w:rPr>
                <w:rFonts w:ascii="Arial" w:eastAsia="Times New Roman" w:hAnsi="Arial" w:cs="Arial"/>
                <w:sz w:val="20"/>
                <w:szCs w:val="20"/>
              </w:rPr>
            </w:pPr>
            <w:r w:rsidRPr="008A26D2">
              <w:rPr>
                <w:rFonts w:ascii="Arial" w:eastAsia="Times New Roman" w:hAnsi="Arial" w:cs="Arial"/>
                <w:b/>
                <w:sz w:val="20"/>
                <w:szCs w:val="20"/>
              </w:rPr>
              <w:t xml:space="preserve">Método de cálculo: </w:t>
            </w:r>
          </w:p>
        </w:tc>
        <w:tc>
          <w:tcPr>
            <w:tcW w:w="6381" w:type="dxa"/>
            <w:gridSpan w:val="10"/>
            <w:tcMar>
              <w:top w:w="51" w:type="dxa"/>
              <w:left w:w="227" w:type="dxa"/>
              <w:bottom w:w="51" w:type="dxa"/>
              <w:right w:w="227" w:type="dxa"/>
            </w:tcMar>
            <w:vAlign w:val="center"/>
          </w:tcPr>
          <w:p w14:paraId="738F2F56" w14:textId="77777777" w:rsidR="00EE6C17" w:rsidRPr="008A26D2" w:rsidRDefault="00EE6C17" w:rsidP="0087293E">
            <w:pPr>
              <w:ind w:left="360" w:hanging="360"/>
              <w:jc w:val="both"/>
              <w:rPr>
                <w:rFonts w:ascii="Arial" w:eastAsia="Times New Roman" w:hAnsi="Arial" w:cs="Arial"/>
                <w:b/>
                <w:sz w:val="20"/>
                <w:szCs w:val="20"/>
              </w:rPr>
            </w:pPr>
            <w:r w:rsidRPr="008A26D2">
              <w:rPr>
                <w:rFonts w:ascii="Arial" w:eastAsia="Times New Roman" w:hAnsi="Arial" w:cs="Arial"/>
                <w:b/>
                <w:sz w:val="20"/>
                <w:szCs w:val="20"/>
              </w:rPr>
              <w:t>1. Fórmula:</w:t>
            </w:r>
          </w:p>
          <w:p w14:paraId="5717FBD7" w14:textId="74A9FD2E" w:rsidR="00EE6C17" w:rsidRPr="008A26D2" w:rsidRDefault="00EE6C17" w:rsidP="0087293E">
            <w:pPr>
              <w:spacing w:line="240" w:lineRule="auto"/>
              <w:jc w:val="both"/>
              <w:rPr>
                <w:rFonts w:ascii="Arial" w:eastAsia="Times New Roman" w:hAnsi="Arial" w:cs="Arial"/>
                <w:sz w:val="20"/>
                <w:szCs w:val="20"/>
              </w:rPr>
            </w:pPr>
            <w:r w:rsidRPr="008A26D2">
              <w:rPr>
                <w:rFonts w:ascii="Arial" w:eastAsia="Times New Roman" w:hAnsi="Arial" w:cs="Arial"/>
                <w:sz w:val="20"/>
                <w:szCs w:val="20"/>
              </w:rPr>
              <w:t>(A/B)*100</w:t>
            </w:r>
          </w:p>
          <w:p w14:paraId="3862C36D" w14:textId="4EAFBB37" w:rsidR="0087293E" w:rsidRPr="008A26D2" w:rsidRDefault="0087293E" w:rsidP="0087293E">
            <w:pPr>
              <w:spacing w:line="240" w:lineRule="auto"/>
              <w:jc w:val="both"/>
              <w:rPr>
                <w:rFonts w:ascii="Arial" w:eastAsia="Times New Roman" w:hAnsi="Arial" w:cs="Arial"/>
                <w:sz w:val="20"/>
                <w:szCs w:val="20"/>
              </w:rPr>
            </w:pPr>
            <w:r w:rsidRPr="008A26D2">
              <w:rPr>
                <w:rFonts w:ascii="Arial" w:eastAsia="Times New Roman" w:hAnsi="Arial" w:cs="Arial"/>
                <w:sz w:val="20"/>
                <w:szCs w:val="20"/>
              </w:rPr>
              <w:t>Donde:</w:t>
            </w:r>
          </w:p>
          <w:p w14:paraId="4E253BD9" w14:textId="4CE35797" w:rsidR="00EE6C17" w:rsidRPr="008A26D2" w:rsidRDefault="00EE6C17" w:rsidP="00465321">
            <w:pPr>
              <w:spacing w:line="240" w:lineRule="auto"/>
              <w:ind w:left="490" w:hanging="490"/>
              <w:jc w:val="both"/>
              <w:rPr>
                <w:rFonts w:ascii="Arial" w:eastAsia="Times New Roman" w:hAnsi="Arial" w:cs="Arial"/>
                <w:sz w:val="20"/>
                <w:szCs w:val="20"/>
              </w:rPr>
            </w:pPr>
            <w:r w:rsidRPr="008A26D2">
              <w:rPr>
                <w:rFonts w:ascii="Arial" w:eastAsia="Times New Roman" w:hAnsi="Arial" w:cs="Arial"/>
                <w:sz w:val="20"/>
                <w:szCs w:val="20"/>
              </w:rPr>
              <w:t xml:space="preserve"> A</w:t>
            </w:r>
            <w:r w:rsidR="00161A1E">
              <w:rPr>
                <w:rFonts w:ascii="Arial" w:eastAsia="Times New Roman" w:hAnsi="Arial" w:cs="Arial"/>
                <w:sz w:val="20"/>
                <w:szCs w:val="20"/>
              </w:rPr>
              <w:t xml:space="preserve"> =</w:t>
            </w:r>
            <w:r w:rsidRPr="008A26D2">
              <w:rPr>
                <w:rFonts w:ascii="Arial" w:eastAsia="Times New Roman" w:hAnsi="Arial" w:cs="Arial"/>
                <w:sz w:val="20"/>
                <w:szCs w:val="20"/>
              </w:rPr>
              <w:t xml:space="preserve"> Número de gobiernos regionales que reciben asistencia técnica de manera fiable</w:t>
            </w:r>
          </w:p>
          <w:p w14:paraId="0575DE62" w14:textId="4ACD95CF" w:rsidR="00EE6C17" w:rsidRPr="008A26D2" w:rsidRDefault="00EE6C17" w:rsidP="0087293E">
            <w:pPr>
              <w:spacing w:line="240" w:lineRule="auto"/>
              <w:ind w:left="339" w:hanging="339"/>
              <w:jc w:val="both"/>
              <w:rPr>
                <w:rFonts w:ascii="Arial" w:eastAsia="Times New Roman" w:hAnsi="Arial" w:cs="Arial"/>
                <w:sz w:val="20"/>
                <w:szCs w:val="20"/>
              </w:rPr>
            </w:pPr>
            <w:r w:rsidRPr="008A26D2">
              <w:rPr>
                <w:rFonts w:ascii="Arial" w:eastAsia="Times New Roman" w:hAnsi="Arial" w:cs="Arial"/>
                <w:sz w:val="20"/>
                <w:szCs w:val="20"/>
              </w:rPr>
              <w:t xml:space="preserve"> B</w:t>
            </w:r>
            <w:r w:rsidR="00161A1E">
              <w:rPr>
                <w:rFonts w:ascii="Arial" w:eastAsia="Times New Roman" w:hAnsi="Arial" w:cs="Arial"/>
                <w:sz w:val="20"/>
                <w:szCs w:val="20"/>
              </w:rPr>
              <w:t xml:space="preserve"> = </w:t>
            </w:r>
            <w:r w:rsidRPr="008A26D2">
              <w:rPr>
                <w:rFonts w:ascii="Arial" w:eastAsia="Times New Roman" w:hAnsi="Arial" w:cs="Arial"/>
                <w:sz w:val="20"/>
                <w:szCs w:val="20"/>
              </w:rPr>
              <w:t>Total de gobiernos regionales a nivel nacional</w:t>
            </w:r>
          </w:p>
          <w:p w14:paraId="15E11452" w14:textId="77777777" w:rsidR="00EE6C17" w:rsidRPr="008A26D2" w:rsidRDefault="00EE6C17" w:rsidP="0087293E">
            <w:pPr>
              <w:spacing w:line="240" w:lineRule="auto"/>
              <w:jc w:val="both"/>
              <w:rPr>
                <w:rFonts w:ascii="Arial" w:eastAsia="Times New Roman" w:hAnsi="Arial" w:cs="Arial"/>
                <w:sz w:val="20"/>
                <w:szCs w:val="20"/>
              </w:rPr>
            </w:pPr>
            <w:r w:rsidRPr="008A26D2">
              <w:rPr>
                <w:rFonts w:ascii="Arial" w:eastAsia="Times New Roman" w:hAnsi="Arial" w:cs="Arial"/>
                <w:b/>
                <w:sz w:val="20"/>
                <w:szCs w:val="20"/>
              </w:rPr>
              <w:t>2. Especificaciones técnicas:</w:t>
            </w:r>
          </w:p>
          <w:p w14:paraId="6E667D2D" w14:textId="793A8A93" w:rsidR="00EE6C17" w:rsidRPr="008A26D2" w:rsidRDefault="00091701" w:rsidP="0087293E">
            <w:pPr>
              <w:jc w:val="both"/>
              <w:rPr>
                <w:rFonts w:ascii="Arial" w:eastAsia="Times New Roman" w:hAnsi="Arial" w:cs="Arial"/>
                <w:sz w:val="20"/>
                <w:szCs w:val="20"/>
              </w:rPr>
            </w:pPr>
            <w:r>
              <w:rPr>
                <w:rFonts w:ascii="Arial" w:eastAsia="Times New Roman" w:hAnsi="Arial" w:cs="Arial"/>
                <w:sz w:val="20"/>
                <w:szCs w:val="20"/>
              </w:rPr>
              <w:lastRenderedPageBreak/>
              <w:t xml:space="preserve">La variable A se determina a partir de </w:t>
            </w:r>
            <w:r w:rsidR="00EE6C17" w:rsidRPr="008A26D2">
              <w:rPr>
                <w:rFonts w:ascii="Arial" w:eastAsia="Times New Roman" w:hAnsi="Arial" w:cs="Arial"/>
                <w:sz w:val="20"/>
                <w:szCs w:val="20"/>
              </w:rPr>
              <w:t xml:space="preserve">la entrega del servicio cumpliendo los documentos normativos que rigen el proceso de </w:t>
            </w:r>
            <w:r w:rsidR="00EE6C17" w:rsidRPr="008A26D2">
              <w:rPr>
                <w:rFonts w:ascii="Arial" w:eastAsia="Times New Roman" w:hAnsi="Arial" w:cs="Arial"/>
                <w:sz w:val="20"/>
                <w:szCs w:val="20"/>
                <w:lang w:val="es-MX"/>
              </w:rPr>
              <w:t>zonificación forestal</w:t>
            </w:r>
            <w:r w:rsidR="00EE6C17" w:rsidRPr="008A26D2">
              <w:rPr>
                <w:rFonts w:ascii="Arial" w:eastAsia="Times New Roman" w:hAnsi="Arial" w:cs="Arial"/>
                <w:sz w:val="20"/>
                <w:szCs w:val="20"/>
              </w:rPr>
              <w:t xml:space="preserve"> </w:t>
            </w:r>
            <w:r>
              <w:rPr>
                <w:rFonts w:ascii="Arial" w:eastAsia="Times New Roman" w:hAnsi="Arial" w:cs="Arial"/>
                <w:sz w:val="20"/>
                <w:szCs w:val="20"/>
              </w:rPr>
              <w:t xml:space="preserve">tales </w:t>
            </w:r>
            <w:r w:rsidR="00EE6C17" w:rsidRPr="008A26D2">
              <w:rPr>
                <w:rFonts w:ascii="Arial" w:eastAsia="Times New Roman" w:hAnsi="Arial" w:cs="Arial"/>
                <w:sz w:val="20"/>
                <w:szCs w:val="20"/>
              </w:rPr>
              <w:t>como:</w:t>
            </w:r>
          </w:p>
          <w:p w14:paraId="6CDD077A" w14:textId="77777777" w:rsidR="00EE6C17" w:rsidRPr="008A26D2" w:rsidRDefault="00EE6C17" w:rsidP="0087293E">
            <w:pPr>
              <w:numPr>
                <w:ilvl w:val="0"/>
                <w:numId w:val="30"/>
              </w:numPr>
              <w:ind w:left="197" w:hanging="141"/>
              <w:contextualSpacing/>
              <w:jc w:val="both"/>
              <w:rPr>
                <w:rFonts w:ascii="Arial" w:eastAsia="Times New Roman" w:hAnsi="Arial" w:cs="Arial"/>
                <w:sz w:val="20"/>
                <w:szCs w:val="20"/>
                <w:lang w:eastAsia="en-US"/>
              </w:rPr>
            </w:pPr>
            <w:r w:rsidRPr="008A26D2">
              <w:rPr>
                <w:rFonts w:ascii="Arial" w:eastAsia="Times New Roman" w:hAnsi="Arial" w:cs="Arial"/>
                <w:sz w:val="20"/>
                <w:szCs w:val="20"/>
                <w:lang w:eastAsia="en-US"/>
              </w:rPr>
              <w:t>Guía Metodológica para la Zonificación Forestal aprobada mediante la Resolución de Dirección Ejecutiva N°168-2016-SERFOR-DE, de fecha 27 de julio de 2016.</w:t>
            </w:r>
          </w:p>
          <w:p w14:paraId="7674D551" w14:textId="77777777" w:rsidR="00EE6C17" w:rsidRPr="008A26D2" w:rsidRDefault="00EE6C17" w:rsidP="0087293E">
            <w:pPr>
              <w:numPr>
                <w:ilvl w:val="0"/>
                <w:numId w:val="30"/>
              </w:numPr>
              <w:ind w:left="197" w:hanging="141"/>
              <w:contextualSpacing/>
              <w:jc w:val="both"/>
              <w:rPr>
                <w:rFonts w:ascii="Arial" w:eastAsia="Times New Roman" w:hAnsi="Arial" w:cs="Arial"/>
                <w:sz w:val="20"/>
                <w:szCs w:val="20"/>
                <w:lang w:eastAsia="en-US"/>
              </w:rPr>
            </w:pPr>
            <w:r w:rsidRPr="008A26D2">
              <w:rPr>
                <w:rFonts w:ascii="Arial" w:eastAsia="Times New Roman" w:hAnsi="Arial" w:cs="Arial"/>
                <w:sz w:val="20"/>
                <w:szCs w:val="20"/>
                <w:lang w:eastAsia="en-US"/>
              </w:rPr>
              <w:t>Protocolo de presentación y revisión del expediente técnico de Zonificación Forestal”, aprobado mediante RDE N° 268-2018-MINAGRI-SERFOR/DE del 30 de noviembre del 2018.</w:t>
            </w:r>
          </w:p>
          <w:p w14:paraId="7B288A52" w14:textId="77777777" w:rsidR="00EE6C17" w:rsidRPr="008A26D2" w:rsidRDefault="00EE6C17" w:rsidP="0087293E">
            <w:pPr>
              <w:numPr>
                <w:ilvl w:val="0"/>
                <w:numId w:val="30"/>
              </w:numPr>
              <w:ind w:left="197" w:hanging="141"/>
              <w:contextualSpacing/>
              <w:jc w:val="both"/>
              <w:rPr>
                <w:rFonts w:ascii="Arial" w:eastAsia="Times New Roman" w:hAnsi="Arial" w:cs="Arial"/>
                <w:sz w:val="20"/>
                <w:szCs w:val="20"/>
                <w:lang w:eastAsia="en-US"/>
              </w:rPr>
            </w:pPr>
            <w:r w:rsidRPr="008A26D2">
              <w:rPr>
                <w:rFonts w:ascii="Arial" w:eastAsia="Times New Roman" w:hAnsi="Arial" w:cs="Arial"/>
                <w:sz w:val="20"/>
                <w:szCs w:val="20"/>
                <w:lang w:eastAsia="en-US"/>
              </w:rPr>
              <w:t>“Lineamientos para la identificación de ecosistemas frágiles y su incorporación en la Lista Sectorial de Ecosistemas Frágiles” aprobado mediante RDE Nº 287-2018-MINAGRI-SERFOR-DE, del 19 de diciembre del 2018.</w:t>
            </w:r>
          </w:p>
          <w:p w14:paraId="5D4F5C68" w14:textId="77777777" w:rsidR="00EE6C17" w:rsidRPr="008A26D2" w:rsidRDefault="00EE6C17" w:rsidP="0087293E">
            <w:pPr>
              <w:numPr>
                <w:ilvl w:val="0"/>
                <w:numId w:val="30"/>
              </w:numPr>
              <w:ind w:left="197" w:hanging="141"/>
              <w:contextualSpacing/>
              <w:jc w:val="both"/>
              <w:rPr>
                <w:rFonts w:ascii="Arial" w:eastAsia="Times New Roman" w:hAnsi="Arial" w:cs="Arial"/>
                <w:sz w:val="20"/>
                <w:szCs w:val="20"/>
                <w:lang w:eastAsia="en-US"/>
              </w:rPr>
            </w:pPr>
            <w:r w:rsidRPr="008A26D2">
              <w:rPr>
                <w:rFonts w:ascii="Arial" w:eastAsia="Times New Roman" w:hAnsi="Arial" w:cs="Arial"/>
                <w:sz w:val="20"/>
                <w:szCs w:val="20"/>
                <w:lang w:eastAsia="en-US"/>
              </w:rPr>
              <w:t>Lineamientos para establecer hábitats críticos y sus medidas de conservación aprobado mediante RDE N°261-2019-MINAGRI-SERFOR.DE, del 23 de diciembre del 2019.</w:t>
            </w:r>
          </w:p>
          <w:p w14:paraId="4898DBEB" w14:textId="77777777" w:rsidR="00EE6C17" w:rsidRPr="008A26D2" w:rsidRDefault="00EE6C17" w:rsidP="0087293E">
            <w:pPr>
              <w:numPr>
                <w:ilvl w:val="0"/>
                <w:numId w:val="30"/>
              </w:numPr>
              <w:ind w:left="197" w:hanging="141"/>
              <w:contextualSpacing/>
              <w:jc w:val="both"/>
              <w:rPr>
                <w:rFonts w:ascii="Arial" w:eastAsia="Times New Roman" w:hAnsi="Arial" w:cs="Arial"/>
                <w:sz w:val="20"/>
                <w:szCs w:val="20"/>
                <w:lang w:eastAsia="en-US"/>
              </w:rPr>
            </w:pPr>
            <w:r w:rsidRPr="008A26D2">
              <w:rPr>
                <w:rFonts w:ascii="Arial" w:eastAsia="Times New Roman" w:hAnsi="Arial" w:cs="Arial"/>
                <w:sz w:val="20"/>
                <w:szCs w:val="20"/>
                <w:lang w:eastAsia="en-US"/>
              </w:rPr>
              <w:t>Metodología para la elaboración del estudio de uso actual de la tierra, con énfasis en sistemas agroforestales, en el marco de la zonificación, aprobada mediante RDE N°D000139-2021-MIDAGRI-SERFOR-DE, de fecha 26 de julio del 2021</w:t>
            </w:r>
          </w:p>
          <w:p w14:paraId="2B39B3EB" w14:textId="77777777" w:rsidR="00EE6C17" w:rsidRPr="008A26D2" w:rsidRDefault="00EE6C17" w:rsidP="0087293E">
            <w:pPr>
              <w:numPr>
                <w:ilvl w:val="0"/>
                <w:numId w:val="30"/>
              </w:numPr>
              <w:ind w:left="197" w:hanging="141"/>
              <w:contextualSpacing/>
              <w:jc w:val="both"/>
              <w:rPr>
                <w:rFonts w:ascii="Arial" w:eastAsia="Times New Roman" w:hAnsi="Arial" w:cs="Arial"/>
                <w:sz w:val="20"/>
                <w:szCs w:val="20"/>
                <w:lang w:eastAsia="en-US"/>
              </w:rPr>
            </w:pPr>
            <w:r w:rsidRPr="008A26D2">
              <w:rPr>
                <w:rFonts w:ascii="Arial" w:eastAsia="Times New Roman" w:hAnsi="Arial" w:cs="Arial"/>
                <w:sz w:val="20"/>
                <w:szCs w:val="20"/>
                <w:lang w:eastAsia="en-US"/>
              </w:rPr>
              <w:t>Metodología para la elaboración del estudio forestal en el marco de la zonificación, aprobada mediante RDE N°D000141-2021-MIDAGRI-SERFOR-DE, de fecha 27 de julio del 2021.</w:t>
            </w:r>
          </w:p>
          <w:p w14:paraId="5FB80746" w14:textId="77777777" w:rsidR="00EE6C17" w:rsidRPr="008A26D2" w:rsidRDefault="00EE6C17" w:rsidP="0087293E">
            <w:pPr>
              <w:numPr>
                <w:ilvl w:val="0"/>
                <w:numId w:val="30"/>
              </w:numPr>
              <w:ind w:left="197" w:hanging="141"/>
              <w:contextualSpacing/>
              <w:jc w:val="both"/>
              <w:rPr>
                <w:rFonts w:ascii="Arial" w:eastAsia="Times New Roman" w:hAnsi="Arial" w:cs="Arial"/>
                <w:sz w:val="20"/>
                <w:szCs w:val="20"/>
                <w:lang w:eastAsia="en-US"/>
              </w:rPr>
            </w:pPr>
            <w:r w:rsidRPr="008A26D2">
              <w:rPr>
                <w:rFonts w:ascii="Arial" w:eastAsia="Times New Roman" w:hAnsi="Arial" w:cs="Arial"/>
                <w:sz w:val="20"/>
                <w:szCs w:val="20"/>
                <w:lang w:eastAsia="en-US"/>
              </w:rPr>
              <w:t>Metodología para la Elaboración del Estudio de Dinámica de Centros Poblados para la Zonificación Forestal, aprobada mediante RDE N° D000288-2022-MIDAGRI-SERFOR-DE, de fecha 06 de diciembre del 2022.</w:t>
            </w:r>
          </w:p>
          <w:p w14:paraId="3C6C906E" w14:textId="77777777" w:rsidR="00AB1E8F" w:rsidRDefault="00EE6C17" w:rsidP="00AB1E8F">
            <w:pPr>
              <w:numPr>
                <w:ilvl w:val="0"/>
                <w:numId w:val="30"/>
              </w:numPr>
              <w:ind w:left="197" w:hanging="141"/>
              <w:contextualSpacing/>
              <w:jc w:val="both"/>
              <w:rPr>
                <w:rFonts w:ascii="Arial" w:eastAsia="Times New Roman" w:hAnsi="Arial" w:cs="Arial"/>
                <w:sz w:val="20"/>
                <w:szCs w:val="20"/>
                <w:lang w:eastAsia="en-US"/>
              </w:rPr>
            </w:pPr>
            <w:r w:rsidRPr="008A26D2">
              <w:rPr>
                <w:rFonts w:ascii="Arial" w:eastAsia="Times New Roman" w:hAnsi="Arial" w:cs="Arial"/>
                <w:sz w:val="20"/>
                <w:szCs w:val="20"/>
                <w:lang w:eastAsia="en-US"/>
              </w:rPr>
              <w:t>Metodología para la elaboración del estudio de cartografía básica en el marco de la Zonificación Forestal, aprobada mediante RDE N°D000300-2022-MIDAGRI-SERFOR-DE, de fecha 16 de diciembre del 2022.</w:t>
            </w:r>
          </w:p>
          <w:p w14:paraId="5BBE5C4D" w14:textId="77777777" w:rsidR="0029203B" w:rsidRDefault="0029203B" w:rsidP="0029203B">
            <w:pPr>
              <w:ind w:left="56"/>
              <w:contextualSpacing/>
              <w:jc w:val="both"/>
              <w:rPr>
                <w:rFonts w:ascii="Arial" w:eastAsia="Times New Roman" w:hAnsi="Arial" w:cs="Arial"/>
                <w:sz w:val="20"/>
                <w:szCs w:val="20"/>
                <w:lang w:eastAsia="en-US"/>
              </w:rPr>
            </w:pPr>
          </w:p>
          <w:p w14:paraId="31FBFE85" w14:textId="7D7EE5B4" w:rsidR="0029203B" w:rsidRPr="00AB1E8F" w:rsidRDefault="00091701" w:rsidP="00465321">
            <w:pPr>
              <w:spacing w:line="240" w:lineRule="auto"/>
              <w:jc w:val="both"/>
              <w:rPr>
                <w:rFonts w:ascii="Arial" w:eastAsia="Times New Roman" w:hAnsi="Arial" w:cs="Arial"/>
                <w:sz w:val="20"/>
                <w:szCs w:val="20"/>
                <w:lang w:eastAsia="en-US"/>
              </w:rPr>
            </w:pPr>
            <w:r>
              <w:rPr>
                <w:rFonts w:ascii="Arial" w:eastAsia="Times New Roman" w:hAnsi="Arial" w:cs="Arial"/>
                <w:sz w:val="20"/>
                <w:szCs w:val="20"/>
              </w:rPr>
              <w:t>La variable B considera un total de 26 gobiernos regionales</w:t>
            </w:r>
            <w:r w:rsidR="00465321">
              <w:rPr>
                <w:rFonts w:ascii="Arial" w:eastAsia="Times New Roman" w:hAnsi="Arial" w:cs="Arial"/>
                <w:sz w:val="20"/>
                <w:szCs w:val="20"/>
              </w:rPr>
              <w:t>, teniendo en cuenta que</w:t>
            </w:r>
            <w:r>
              <w:rPr>
                <w:rFonts w:ascii="Arial" w:eastAsia="Times New Roman" w:hAnsi="Arial" w:cs="Arial"/>
                <w:sz w:val="20"/>
                <w:szCs w:val="20"/>
              </w:rPr>
              <w:t xml:space="preserve"> se </w:t>
            </w:r>
            <w:r w:rsidR="0029203B" w:rsidRPr="008A26D2">
              <w:rPr>
                <w:rFonts w:ascii="Arial" w:eastAsia="Times New Roman" w:hAnsi="Arial" w:cs="Arial"/>
                <w:sz w:val="20"/>
                <w:szCs w:val="20"/>
              </w:rPr>
              <w:t>contabiliza a la Municipalidad Metropolitana de Lima, Gobierno Regional de Lima y Gobierno Regional de Callao</w:t>
            </w:r>
            <w:r>
              <w:rPr>
                <w:rFonts w:ascii="Arial" w:eastAsia="Times New Roman" w:hAnsi="Arial" w:cs="Arial"/>
                <w:sz w:val="20"/>
                <w:szCs w:val="20"/>
              </w:rPr>
              <w:t>.</w:t>
            </w:r>
          </w:p>
        </w:tc>
      </w:tr>
      <w:tr w:rsidR="008A26D2" w:rsidRPr="008A26D2" w14:paraId="00AC2B4B" w14:textId="77777777" w:rsidTr="00465321">
        <w:trPr>
          <w:trHeight w:val="686"/>
        </w:trPr>
        <w:tc>
          <w:tcPr>
            <w:tcW w:w="2409" w:type="dxa"/>
            <w:gridSpan w:val="3"/>
            <w:tcMar>
              <w:top w:w="10" w:type="dxa"/>
              <w:left w:w="93" w:type="dxa"/>
              <w:bottom w:w="0" w:type="dxa"/>
              <w:right w:w="10" w:type="dxa"/>
            </w:tcMar>
            <w:vAlign w:val="center"/>
          </w:tcPr>
          <w:p w14:paraId="1AD316D5" w14:textId="77777777" w:rsidR="00EE6C17" w:rsidRPr="008A26D2" w:rsidRDefault="00EE6C17" w:rsidP="0087293E">
            <w:pPr>
              <w:jc w:val="both"/>
              <w:rPr>
                <w:rFonts w:ascii="Arial" w:eastAsia="Times New Roman" w:hAnsi="Arial" w:cs="Arial"/>
                <w:sz w:val="20"/>
                <w:szCs w:val="20"/>
              </w:rPr>
            </w:pPr>
            <w:r w:rsidRPr="008A26D2">
              <w:rPr>
                <w:rFonts w:ascii="Arial" w:eastAsia="Times New Roman" w:hAnsi="Arial" w:cs="Arial"/>
                <w:b/>
                <w:sz w:val="20"/>
                <w:szCs w:val="20"/>
              </w:rPr>
              <w:lastRenderedPageBreak/>
              <w:t>Sentido esperado del indicador:</w:t>
            </w:r>
          </w:p>
        </w:tc>
        <w:tc>
          <w:tcPr>
            <w:tcW w:w="1703" w:type="dxa"/>
            <w:gridSpan w:val="3"/>
            <w:tcMar>
              <w:top w:w="10" w:type="dxa"/>
              <w:left w:w="283" w:type="dxa"/>
              <w:bottom w:w="0" w:type="dxa"/>
              <w:right w:w="283" w:type="dxa"/>
            </w:tcMar>
            <w:vAlign w:val="center"/>
          </w:tcPr>
          <w:p w14:paraId="2F1FAB64" w14:textId="77777777" w:rsidR="00EE6C17" w:rsidRPr="008A26D2" w:rsidRDefault="00EE6C17" w:rsidP="0087293E">
            <w:pPr>
              <w:jc w:val="both"/>
              <w:rPr>
                <w:rFonts w:ascii="Arial" w:eastAsia="Times New Roman" w:hAnsi="Arial" w:cs="Arial"/>
                <w:sz w:val="20"/>
                <w:szCs w:val="20"/>
              </w:rPr>
            </w:pPr>
            <w:r w:rsidRPr="008A26D2">
              <w:rPr>
                <w:rFonts w:ascii="Arial" w:eastAsia="Times New Roman" w:hAnsi="Arial" w:cs="Arial"/>
                <w:sz w:val="20"/>
                <w:szCs w:val="20"/>
              </w:rPr>
              <w:t>Ascendente</w:t>
            </w:r>
          </w:p>
        </w:tc>
        <w:tc>
          <w:tcPr>
            <w:tcW w:w="3001" w:type="dxa"/>
            <w:gridSpan w:val="5"/>
            <w:tcMar>
              <w:top w:w="15" w:type="dxa"/>
              <w:left w:w="15" w:type="dxa"/>
              <w:bottom w:w="0" w:type="dxa"/>
              <w:right w:w="15" w:type="dxa"/>
            </w:tcMar>
            <w:vAlign w:val="center"/>
          </w:tcPr>
          <w:p w14:paraId="6CFEF624" w14:textId="77777777" w:rsidR="00EE6C17" w:rsidRPr="008A26D2" w:rsidRDefault="00EE6C17" w:rsidP="0087293E">
            <w:pPr>
              <w:jc w:val="both"/>
              <w:rPr>
                <w:rFonts w:ascii="Arial" w:eastAsia="Times New Roman" w:hAnsi="Arial" w:cs="Arial"/>
                <w:sz w:val="20"/>
                <w:szCs w:val="20"/>
              </w:rPr>
            </w:pPr>
            <w:r w:rsidRPr="008A26D2">
              <w:rPr>
                <w:rFonts w:ascii="Arial" w:eastAsia="Times New Roman" w:hAnsi="Arial" w:cs="Arial"/>
                <w:b/>
                <w:sz w:val="20"/>
                <w:szCs w:val="20"/>
              </w:rPr>
              <w:t>Tipo de indicador de servicio:</w:t>
            </w:r>
          </w:p>
        </w:tc>
        <w:tc>
          <w:tcPr>
            <w:tcW w:w="1677" w:type="dxa"/>
            <w:gridSpan w:val="2"/>
            <w:tcMar>
              <w:top w:w="15" w:type="dxa"/>
              <w:left w:w="15" w:type="dxa"/>
              <w:bottom w:w="0" w:type="dxa"/>
              <w:right w:w="15" w:type="dxa"/>
            </w:tcMar>
            <w:vAlign w:val="center"/>
          </w:tcPr>
          <w:p w14:paraId="0C35A29D" w14:textId="77777777" w:rsidR="00EE6C17" w:rsidRPr="008A26D2" w:rsidRDefault="00EE6C17" w:rsidP="0087293E">
            <w:pPr>
              <w:jc w:val="both"/>
              <w:rPr>
                <w:rFonts w:ascii="Arial" w:eastAsia="Times New Roman" w:hAnsi="Arial" w:cs="Arial"/>
                <w:sz w:val="20"/>
                <w:szCs w:val="20"/>
              </w:rPr>
            </w:pPr>
            <w:r w:rsidRPr="008A26D2">
              <w:rPr>
                <w:rFonts w:ascii="Arial" w:eastAsia="Times New Roman" w:hAnsi="Arial" w:cs="Arial"/>
                <w:sz w:val="20"/>
                <w:szCs w:val="20"/>
              </w:rPr>
              <w:t> Calidad - Fiabilidad</w:t>
            </w:r>
          </w:p>
        </w:tc>
      </w:tr>
      <w:tr w:rsidR="008A26D2" w:rsidRPr="008A26D2" w14:paraId="63A94F08" w14:textId="77777777" w:rsidTr="00465321">
        <w:trPr>
          <w:trHeight w:val="13"/>
        </w:trPr>
        <w:tc>
          <w:tcPr>
            <w:tcW w:w="2409" w:type="dxa"/>
            <w:gridSpan w:val="3"/>
            <w:tcMar>
              <w:top w:w="10" w:type="dxa"/>
              <w:left w:w="93" w:type="dxa"/>
              <w:bottom w:w="0" w:type="dxa"/>
              <w:right w:w="10" w:type="dxa"/>
            </w:tcMar>
            <w:vAlign w:val="center"/>
          </w:tcPr>
          <w:p w14:paraId="68058FF2" w14:textId="77777777" w:rsidR="00EE6C17" w:rsidRPr="008A26D2" w:rsidRDefault="00EE6C17" w:rsidP="0087293E">
            <w:pPr>
              <w:jc w:val="both"/>
              <w:rPr>
                <w:rFonts w:ascii="Arial" w:eastAsia="Times New Roman" w:hAnsi="Arial" w:cs="Arial"/>
                <w:sz w:val="20"/>
                <w:szCs w:val="20"/>
              </w:rPr>
            </w:pPr>
            <w:r w:rsidRPr="008A26D2">
              <w:rPr>
                <w:rFonts w:ascii="Arial" w:eastAsia="Times New Roman" w:hAnsi="Arial" w:cs="Arial"/>
                <w:b/>
                <w:sz w:val="20"/>
                <w:szCs w:val="20"/>
              </w:rPr>
              <w:t>Fuente y base de datos:</w:t>
            </w:r>
          </w:p>
        </w:tc>
        <w:tc>
          <w:tcPr>
            <w:tcW w:w="6381" w:type="dxa"/>
            <w:gridSpan w:val="10"/>
            <w:tcMar>
              <w:top w:w="51" w:type="dxa"/>
              <w:left w:w="227" w:type="dxa"/>
              <w:bottom w:w="51" w:type="dxa"/>
              <w:right w:w="227" w:type="dxa"/>
            </w:tcMar>
            <w:vAlign w:val="center"/>
          </w:tcPr>
          <w:p w14:paraId="38701D7E" w14:textId="5578DA18" w:rsidR="00EE6C17" w:rsidRPr="008A26D2" w:rsidRDefault="00EE6C17" w:rsidP="0087293E">
            <w:pPr>
              <w:jc w:val="both"/>
              <w:rPr>
                <w:rFonts w:ascii="Arial" w:eastAsia="Times New Roman" w:hAnsi="Arial" w:cs="Arial"/>
                <w:sz w:val="20"/>
                <w:szCs w:val="20"/>
              </w:rPr>
            </w:pPr>
            <w:r w:rsidRPr="008A26D2">
              <w:rPr>
                <w:rFonts w:ascii="Arial" w:eastAsia="Times New Roman" w:hAnsi="Arial" w:cs="Arial"/>
                <w:sz w:val="20"/>
                <w:szCs w:val="20"/>
              </w:rPr>
              <w:t>Fuente: Dirección de Catastro, Zonificación y Ordenamiento, Dirección de Inventario y Valoración, Dirección de Gestión Sostenible del Patrimonio Forestal, Dirección de Gestión Sostenible del Patrimonio</w:t>
            </w:r>
            <w:r w:rsidR="00DF6C54" w:rsidRPr="008A26D2">
              <w:rPr>
                <w:rFonts w:ascii="Arial" w:eastAsia="Times New Roman" w:hAnsi="Arial" w:cs="Arial"/>
                <w:sz w:val="20"/>
                <w:szCs w:val="20"/>
              </w:rPr>
              <w:t xml:space="preserve"> </w:t>
            </w:r>
            <w:r w:rsidRPr="008A26D2">
              <w:rPr>
                <w:rFonts w:ascii="Arial" w:eastAsia="Times New Roman" w:hAnsi="Arial" w:cs="Arial"/>
                <w:sz w:val="20"/>
                <w:szCs w:val="20"/>
              </w:rPr>
              <w:t xml:space="preserve">de Fauna Silvestre del </w:t>
            </w:r>
            <w:r w:rsidR="0029203B">
              <w:rPr>
                <w:rFonts w:ascii="Arial" w:eastAsia="Times New Roman" w:hAnsi="Arial" w:cs="Arial"/>
                <w:sz w:val="20"/>
                <w:szCs w:val="20"/>
              </w:rPr>
              <w:t xml:space="preserve">Servicio Nacional Forestal y de Fauna Silvestre - </w:t>
            </w:r>
            <w:r w:rsidR="00DF6C54" w:rsidRPr="008A26D2">
              <w:rPr>
                <w:rFonts w:ascii="Arial" w:eastAsia="Times New Roman" w:hAnsi="Arial" w:cs="Arial"/>
                <w:sz w:val="20"/>
                <w:szCs w:val="20"/>
              </w:rPr>
              <w:t>SERFOR</w:t>
            </w:r>
          </w:p>
          <w:p w14:paraId="40284344" w14:textId="410A3890" w:rsidR="00EE6C17" w:rsidRPr="008A26D2" w:rsidRDefault="00EE6C17" w:rsidP="0087293E">
            <w:pPr>
              <w:jc w:val="both"/>
              <w:rPr>
                <w:rFonts w:ascii="Arial" w:eastAsia="Times New Roman" w:hAnsi="Arial" w:cs="Arial"/>
                <w:sz w:val="20"/>
                <w:szCs w:val="20"/>
              </w:rPr>
            </w:pPr>
            <w:r w:rsidRPr="008A26D2">
              <w:rPr>
                <w:rFonts w:ascii="Arial" w:eastAsia="Times New Roman" w:hAnsi="Arial" w:cs="Arial"/>
                <w:sz w:val="20"/>
                <w:szCs w:val="20"/>
              </w:rPr>
              <w:t xml:space="preserve">Base de datos: Reportes de asistencia técnica </w:t>
            </w:r>
          </w:p>
        </w:tc>
      </w:tr>
      <w:tr w:rsidR="008A26D2" w:rsidRPr="008A26D2" w14:paraId="57A05961" w14:textId="77777777" w:rsidTr="00465321">
        <w:trPr>
          <w:trHeight w:val="436"/>
        </w:trPr>
        <w:tc>
          <w:tcPr>
            <w:tcW w:w="2409" w:type="dxa"/>
            <w:gridSpan w:val="3"/>
            <w:tcMar>
              <w:top w:w="10" w:type="dxa"/>
              <w:left w:w="93" w:type="dxa"/>
              <w:bottom w:w="0" w:type="dxa"/>
              <w:right w:w="10" w:type="dxa"/>
            </w:tcMar>
            <w:vAlign w:val="center"/>
          </w:tcPr>
          <w:p w14:paraId="7149E31C" w14:textId="77777777" w:rsidR="00EE6C17" w:rsidRPr="008A26D2" w:rsidRDefault="00EE6C17" w:rsidP="0087293E">
            <w:pPr>
              <w:jc w:val="both"/>
              <w:rPr>
                <w:rFonts w:ascii="Arial" w:eastAsia="Times New Roman" w:hAnsi="Arial" w:cs="Arial"/>
                <w:sz w:val="20"/>
                <w:szCs w:val="20"/>
              </w:rPr>
            </w:pPr>
            <w:r w:rsidRPr="008A26D2">
              <w:rPr>
                <w:rFonts w:ascii="Arial" w:eastAsia="Times New Roman" w:hAnsi="Arial" w:cs="Arial"/>
                <w:b/>
                <w:sz w:val="20"/>
                <w:szCs w:val="20"/>
              </w:rPr>
              <w:t>Supuestos:</w:t>
            </w:r>
          </w:p>
        </w:tc>
        <w:tc>
          <w:tcPr>
            <w:tcW w:w="6381" w:type="dxa"/>
            <w:gridSpan w:val="10"/>
            <w:tcMar>
              <w:top w:w="51" w:type="dxa"/>
              <w:left w:w="227" w:type="dxa"/>
              <w:bottom w:w="51" w:type="dxa"/>
              <w:right w:w="227" w:type="dxa"/>
            </w:tcMar>
            <w:vAlign w:val="center"/>
          </w:tcPr>
          <w:p w14:paraId="3A9A9704" w14:textId="77777777" w:rsidR="00EE6C17" w:rsidRPr="008A26D2" w:rsidRDefault="00EE6C17" w:rsidP="0087293E">
            <w:pPr>
              <w:jc w:val="both"/>
              <w:rPr>
                <w:rFonts w:ascii="Arial" w:eastAsia="Times New Roman" w:hAnsi="Arial" w:cs="Arial"/>
                <w:sz w:val="20"/>
                <w:szCs w:val="20"/>
              </w:rPr>
            </w:pPr>
            <w:r w:rsidRPr="008A26D2">
              <w:rPr>
                <w:rFonts w:ascii="Arial" w:eastAsia="Times New Roman" w:hAnsi="Arial" w:cs="Arial"/>
                <w:sz w:val="20"/>
                <w:szCs w:val="20"/>
              </w:rPr>
              <w:t>Se cuenta con los recursos financieros para brindar asistencia técnica fiable</w:t>
            </w:r>
          </w:p>
        </w:tc>
      </w:tr>
      <w:tr w:rsidR="008A26D2" w:rsidRPr="008A26D2" w14:paraId="7590E989" w14:textId="77777777" w:rsidTr="00465321">
        <w:trPr>
          <w:trHeight w:val="458"/>
        </w:trPr>
        <w:tc>
          <w:tcPr>
            <w:tcW w:w="852" w:type="dxa"/>
            <w:tcMar>
              <w:top w:w="10" w:type="dxa"/>
              <w:left w:w="10" w:type="dxa"/>
              <w:bottom w:w="0" w:type="dxa"/>
              <w:right w:w="10" w:type="dxa"/>
            </w:tcMar>
            <w:vAlign w:val="center"/>
          </w:tcPr>
          <w:p w14:paraId="3D91D1C7" w14:textId="77777777" w:rsidR="00EE6C17" w:rsidRPr="008A26D2" w:rsidRDefault="00EE6C17" w:rsidP="0087293E">
            <w:pPr>
              <w:jc w:val="both"/>
              <w:rPr>
                <w:rFonts w:ascii="Arial" w:eastAsia="Times New Roman" w:hAnsi="Arial" w:cs="Arial"/>
                <w:sz w:val="20"/>
                <w:szCs w:val="20"/>
              </w:rPr>
            </w:pPr>
            <w:r w:rsidRPr="008A26D2">
              <w:rPr>
                <w:rFonts w:ascii="Arial" w:eastAsia="Times New Roman" w:hAnsi="Arial" w:cs="Arial"/>
                <w:b/>
                <w:sz w:val="20"/>
                <w:szCs w:val="20"/>
              </w:rPr>
              <w:t> </w:t>
            </w:r>
          </w:p>
        </w:tc>
        <w:tc>
          <w:tcPr>
            <w:tcW w:w="992" w:type="dxa"/>
            <w:tcMar>
              <w:top w:w="10" w:type="dxa"/>
              <w:left w:w="10" w:type="dxa"/>
              <w:bottom w:w="0" w:type="dxa"/>
              <w:right w:w="10" w:type="dxa"/>
            </w:tcMar>
            <w:vAlign w:val="center"/>
          </w:tcPr>
          <w:p w14:paraId="1E299C95" w14:textId="77777777" w:rsidR="00EE6C17" w:rsidRPr="008A26D2" w:rsidRDefault="00EE6C17" w:rsidP="00B87A55">
            <w:pPr>
              <w:jc w:val="center"/>
              <w:rPr>
                <w:rFonts w:ascii="Arial" w:eastAsia="Times New Roman" w:hAnsi="Arial" w:cs="Arial"/>
                <w:sz w:val="20"/>
                <w:szCs w:val="20"/>
              </w:rPr>
            </w:pPr>
            <w:r w:rsidRPr="008A26D2">
              <w:rPr>
                <w:rFonts w:ascii="Arial" w:eastAsia="Times New Roman" w:hAnsi="Arial" w:cs="Arial"/>
                <w:b/>
                <w:sz w:val="20"/>
                <w:szCs w:val="20"/>
              </w:rPr>
              <w:t>Línea de base</w:t>
            </w:r>
          </w:p>
        </w:tc>
        <w:tc>
          <w:tcPr>
            <w:tcW w:w="6946" w:type="dxa"/>
            <w:gridSpan w:val="11"/>
            <w:tcMar>
              <w:top w:w="10" w:type="dxa"/>
              <w:left w:w="10" w:type="dxa"/>
              <w:bottom w:w="0" w:type="dxa"/>
              <w:right w:w="10" w:type="dxa"/>
            </w:tcMar>
            <w:vAlign w:val="center"/>
          </w:tcPr>
          <w:p w14:paraId="3D68B913" w14:textId="5C6172DF" w:rsidR="00EE6C17" w:rsidRPr="008A26D2" w:rsidRDefault="00EE6C17" w:rsidP="00B87A55">
            <w:pPr>
              <w:spacing w:after="0" w:line="240" w:lineRule="auto"/>
              <w:jc w:val="center"/>
              <w:rPr>
                <w:rFonts w:ascii="Arial" w:eastAsia="Times New Roman" w:hAnsi="Arial" w:cs="Arial"/>
                <w:sz w:val="20"/>
                <w:szCs w:val="20"/>
              </w:rPr>
            </w:pPr>
            <w:r w:rsidRPr="008A26D2">
              <w:rPr>
                <w:rFonts w:ascii="Arial" w:eastAsia="Times New Roman" w:hAnsi="Arial" w:cs="Arial"/>
                <w:b/>
                <w:sz w:val="20"/>
                <w:szCs w:val="20"/>
              </w:rPr>
              <w:t>Logros esperados</w:t>
            </w:r>
          </w:p>
        </w:tc>
      </w:tr>
      <w:tr w:rsidR="008A26D2" w:rsidRPr="008A26D2" w14:paraId="02BCC462" w14:textId="77777777" w:rsidTr="00465321">
        <w:trPr>
          <w:trHeight w:val="217"/>
        </w:trPr>
        <w:tc>
          <w:tcPr>
            <w:tcW w:w="852" w:type="dxa"/>
            <w:tcMar>
              <w:top w:w="10" w:type="dxa"/>
              <w:left w:w="10" w:type="dxa"/>
              <w:bottom w:w="0" w:type="dxa"/>
              <w:right w:w="10" w:type="dxa"/>
            </w:tcMar>
            <w:vAlign w:val="center"/>
          </w:tcPr>
          <w:p w14:paraId="535C3297" w14:textId="77777777" w:rsidR="00EE6C17" w:rsidRPr="008A26D2" w:rsidRDefault="00EE6C17" w:rsidP="0087293E">
            <w:pPr>
              <w:spacing w:after="0" w:line="240" w:lineRule="auto"/>
              <w:jc w:val="both"/>
              <w:rPr>
                <w:rFonts w:ascii="Arial" w:eastAsia="Times New Roman" w:hAnsi="Arial" w:cs="Arial"/>
                <w:sz w:val="20"/>
                <w:szCs w:val="20"/>
              </w:rPr>
            </w:pPr>
            <w:r w:rsidRPr="008A26D2">
              <w:rPr>
                <w:rFonts w:ascii="Arial" w:eastAsia="Times New Roman" w:hAnsi="Arial" w:cs="Arial"/>
                <w:b/>
                <w:sz w:val="20"/>
                <w:szCs w:val="20"/>
              </w:rPr>
              <w:t>Año</w:t>
            </w:r>
          </w:p>
        </w:tc>
        <w:tc>
          <w:tcPr>
            <w:tcW w:w="992" w:type="dxa"/>
            <w:tcMar>
              <w:top w:w="10" w:type="dxa"/>
              <w:left w:w="10" w:type="dxa"/>
              <w:bottom w:w="0" w:type="dxa"/>
              <w:right w:w="10" w:type="dxa"/>
            </w:tcMar>
            <w:vAlign w:val="center"/>
          </w:tcPr>
          <w:p w14:paraId="130DB495" w14:textId="77777777" w:rsidR="00EE6C17" w:rsidRPr="008A26D2" w:rsidRDefault="00EE6C17" w:rsidP="00B87A55">
            <w:pPr>
              <w:spacing w:after="0" w:line="240" w:lineRule="auto"/>
              <w:jc w:val="center"/>
              <w:rPr>
                <w:rFonts w:ascii="Arial" w:eastAsia="Times New Roman" w:hAnsi="Arial" w:cs="Arial"/>
                <w:b/>
                <w:bCs/>
                <w:sz w:val="20"/>
                <w:szCs w:val="20"/>
              </w:rPr>
            </w:pPr>
            <w:r w:rsidRPr="008A26D2">
              <w:rPr>
                <w:rFonts w:ascii="Arial" w:eastAsia="Times New Roman" w:hAnsi="Arial" w:cs="Arial"/>
                <w:b/>
                <w:sz w:val="20"/>
                <w:szCs w:val="20"/>
              </w:rPr>
              <w:t>2021</w:t>
            </w:r>
          </w:p>
        </w:tc>
        <w:tc>
          <w:tcPr>
            <w:tcW w:w="864" w:type="dxa"/>
            <w:gridSpan w:val="2"/>
            <w:tcMar>
              <w:top w:w="10" w:type="dxa"/>
              <w:left w:w="10" w:type="dxa"/>
              <w:bottom w:w="0" w:type="dxa"/>
              <w:right w:w="10" w:type="dxa"/>
            </w:tcMar>
            <w:vAlign w:val="center"/>
          </w:tcPr>
          <w:p w14:paraId="0FD576EC" w14:textId="77777777" w:rsidR="00EE6C17" w:rsidRPr="008A26D2" w:rsidRDefault="00EE6C17" w:rsidP="00B87A55">
            <w:pPr>
              <w:spacing w:after="0" w:line="240" w:lineRule="auto"/>
              <w:jc w:val="center"/>
              <w:rPr>
                <w:rFonts w:ascii="Arial" w:eastAsia="Times New Roman" w:hAnsi="Arial" w:cs="Arial"/>
                <w:b/>
                <w:sz w:val="20"/>
                <w:szCs w:val="20"/>
              </w:rPr>
            </w:pPr>
            <w:r w:rsidRPr="008A26D2">
              <w:rPr>
                <w:rFonts w:ascii="Arial" w:eastAsia="Times New Roman" w:hAnsi="Arial" w:cs="Arial"/>
                <w:b/>
                <w:sz w:val="20"/>
                <w:szCs w:val="20"/>
              </w:rPr>
              <w:t>2023</w:t>
            </w:r>
          </w:p>
        </w:tc>
        <w:tc>
          <w:tcPr>
            <w:tcW w:w="992" w:type="dxa"/>
            <w:vAlign w:val="center"/>
          </w:tcPr>
          <w:p w14:paraId="0B3FF775" w14:textId="77777777" w:rsidR="00EE6C17" w:rsidRPr="008A26D2" w:rsidRDefault="00EE6C17" w:rsidP="00B87A55">
            <w:pPr>
              <w:spacing w:after="0" w:line="240" w:lineRule="auto"/>
              <w:jc w:val="center"/>
              <w:rPr>
                <w:rFonts w:ascii="Arial" w:eastAsia="Times New Roman" w:hAnsi="Arial" w:cs="Arial"/>
                <w:b/>
                <w:sz w:val="20"/>
                <w:szCs w:val="20"/>
              </w:rPr>
            </w:pPr>
            <w:r w:rsidRPr="008A26D2">
              <w:rPr>
                <w:rFonts w:ascii="Arial" w:eastAsia="Times New Roman" w:hAnsi="Arial" w:cs="Arial"/>
                <w:b/>
                <w:sz w:val="20"/>
                <w:szCs w:val="20"/>
              </w:rPr>
              <w:t>2024</w:t>
            </w:r>
          </w:p>
        </w:tc>
        <w:tc>
          <w:tcPr>
            <w:tcW w:w="850" w:type="dxa"/>
            <w:gridSpan w:val="2"/>
            <w:vAlign w:val="center"/>
          </w:tcPr>
          <w:p w14:paraId="3004EE11" w14:textId="77777777" w:rsidR="00EE6C17" w:rsidRPr="008A26D2" w:rsidRDefault="00EE6C17" w:rsidP="00B87A55">
            <w:pPr>
              <w:spacing w:after="0" w:line="240" w:lineRule="auto"/>
              <w:jc w:val="center"/>
              <w:rPr>
                <w:rFonts w:ascii="Arial" w:eastAsia="Times New Roman" w:hAnsi="Arial" w:cs="Arial"/>
                <w:b/>
                <w:sz w:val="20"/>
                <w:szCs w:val="20"/>
              </w:rPr>
            </w:pPr>
            <w:r w:rsidRPr="008A26D2">
              <w:rPr>
                <w:rFonts w:ascii="Arial" w:eastAsia="Times New Roman" w:hAnsi="Arial" w:cs="Arial"/>
                <w:b/>
                <w:sz w:val="20"/>
                <w:szCs w:val="20"/>
              </w:rPr>
              <w:t>2025</w:t>
            </w:r>
          </w:p>
        </w:tc>
        <w:tc>
          <w:tcPr>
            <w:tcW w:w="851" w:type="dxa"/>
            <w:vAlign w:val="center"/>
          </w:tcPr>
          <w:p w14:paraId="482DBC3F" w14:textId="77777777" w:rsidR="00EE6C17" w:rsidRPr="008A26D2" w:rsidRDefault="00EE6C17" w:rsidP="00B87A55">
            <w:pPr>
              <w:spacing w:after="0" w:line="240" w:lineRule="auto"/>
              <w:jc w:val="center"/>
              <w:rPr>
                <w:rFonts w:ascii="Arial" w:eastAsia="Times New Roman" w:hAnsi="Arial" w:cs="Arial"/>
                <w:b/>
                <w:sz w:val="20"/>
                <w:szCs w:val="20"/>
              </w:rPr>
            </w:pPr>
            <w:r w:rsidRPr="008A26D2">
              <w:rPr>
                <w:rFonts w:ascii="Arial" w:eastAsia="Times New Roman" w:hAnsi="Arial" w:cs="Arial"/>
                <w:b/>
                <w:sz w:val="20"/>
                <w:szCs w:val="20"/>
              </w:rPr>
              <w:t>2026</w:t>
            </w:r>
          </w:p>
        </w:tc>
        <w:tc>
          <w:tcPr>
            <w:tcW w:w="835" w:type="dxa"/>
            <w:vAlign w:val="center"/>
          </w:tcPr>
          <w:p w14:paraId="1D9B8DF6" w14:textId="77777777" w:rsidR="00EE6C17" w:rsidRPr="008A26D2" w:rsidRDefault="00EE6C17" w:rsidP="00B87A55">
            <w:pPr>
              <w:spacing w:after="0" w:line="240" w:lineRule="auto"/>
              <w:jc w:val="center"/>
              <w:rPr>
                <w:rFonts w:ascii="Arial" w:eastAsia="Times New Roman" w:hAnsi="Arial" w:cs="Arial"/>
                <w:b/>
                <w:sz w:val="20"/>
                <w:szCs w:val="20"/>
              </w:rPr>
            </w:pPr>
            <w:r w:rsidRPr="008A26D2">
              <w:rPr>
                <w:rFonts w:ascii="Arial" w:eastAsia="Times New Roman" w:hAnsi="Arial" w:cs="Arial"/>
                <w:b/>
                <w:sz w:val="20"/>
                <w:szCs w:val="20"/>
              </w:rPr>
              <w:t>2027</w:t>
            </w:r>
          </w:p>
        </w:tc>
        <w:tc>
          <w:tcPr>
            <w:tcW w:w="851" w:type="dxa"/>
            <w:vAlign w:val="center"/>
          </w:tcPr>
          <w:p w14:paraId="73A1DE5F" w14:textId="77777777" w:rsidR="00EE6C17" w:rsidRPr="008A26D2" w:rsidRDefault="00EE6C17" w:rsidP="00B87A55">
            <w:pPr>
              <w:spacing w:after="0" w:line="240" w:lineRule="auto"/>
              <w:jc w:val="center"/>
              <w:rPr>
                <w:rFonts w:ascii="Arial" w:eastAsia="Times New Roman" w:hAnsi="Arial" w:cs="Arial"/>
                <w:b/>
                <w:sz w:val="20"/>
                <w:szCs w:val="20"/>
              </w:rPr>
            </w:pPr>
            <w:r w:rsidRPr="008A26D2">
              <w:rPr>
                <w:rFonts w:ascii="Arial" w:eastAsia="Times New Roman" w:hAnsi="Arial" w:cs="Arial"/>
                <w:b/>
                <w:sz w:val="20"/>
                <w:szCs w:val="20"/>
              </w:rPr>
              <w:t>2028</w:t>
            </w:r>
          </w:p>
        </w:tc>
        <w:tc>
          <w:tcPr>
            <w:tcW w:w="850" w:type="dxa"/>
            <w:gridSpan w:val="2"/>
            <w:vAlign w:val="center"/>
          </w:tcPr>
          <w:p w14:paraId="23DCD1B5" w14:textId="77777777" w:rsidR="00EE6C17" w:rsidRPr="008A26D2" w:rsidRDefault="00EE6C17" w:rsidP="00B87A55">
            <w:pPr>
              <w:spacing w:after="0" w:line="240" w:lineRule="auto"/>
              <w:jc w:val="center"/>
              <w:rPr>
                <w:rFonts w:ascii="Arial" w:eastAsia="Times New Roman" w:hAnsi="Arial" w:cs="Arial"/>
                <w:b/>
                <w:sz w:val="20"/>
                <w:szCs w:val="20"/>
              </w:rPr>
            </w:pPr>
            <w:r w:rsidRPr="008A26D2">
              <w:rPr>
                <w:rFonts w:ascii="Arial" w:eastAsia="Times New Roman" w:hAnsi="Arial" w:cs="Arial"/>
                <w:b/>
                <w:sz w:val="20"/>
                <w:szCs w:val="20"/>
              </w:rPr>
              <w:t>2029</w:t>
            </w:r>
          </w:p>
        </w:tc>
        <w:tc>
          <w:tcPr>
            <w:tcW w:w="853" w:type="dxa"/>
            <w:vAlign w:val="center"/>
          </w:tcPr>
          <w:p w14:paraId="6965D582" w14:textId="77777777" w:rsidR="00EE6C17" w:rsidRPr="008A26D2" w:rsidRDefault="00EE6C17" w:rsidP="00B87A55">
            <w:pPr>
              <w:spacing w:after="0" w:line="240" w:lineRule="auto"/>
              <w:jc w:val="center"/>
              <w:rPr>
                <w:rFonts w:ascii="Arial" w:eastAsia="Times New Roman" w:hAnsi="Arial" w:cs="Arial"/>
                <w:b/>
                <w:sz w:val="20"/>
                <w:szCs w:val="20"/>
              </w:rPr>
            </w:pPr>
            <w:r w:rsidRPr="008A26D2">
              <w:rPr>
                <w:rFonts w:ascii="Arial" w:eastAsia="Times New Roman" w:hAnsi="Arial" w:cs="Arial"/>
                <w:b/>
                <w:sz w:val="20"/>
                <w:szCs w:val="20"/>
              </w:rPr>
              <w:t>2030</w:t>
            </w:r>
          </w:p>
        </w:tc>
      </w:tr>
      <w:tr w:rsidR="008A26D2" w:rsidRPr="008A26D2" w14:paraId="796C5656" w14:textId="77777777" w:rsidTr="00465321">
        <w:trPr>
          <w:trHeight w:val="81"/>
        </w:trPr>
        <w:tc>
          <w:tcPr>
            <w:tcW w:w="852" w:type="dxa"/>
            <w:tcMar>
              <w:top w:w="10" w:type="dxa"/>
              <w:left w:w="10" w:type="dxa"/>
              <w:bottom w:w="0" w:type="dxa"/>
              <w:right w:w="10" w:type="dxa"/>
            </w:tcMar>
            <w:vAlign w:val="center"/>
          </w:tcPr>
          <w:p w14:paraId="1EC68326" w14:textId="77777777" w:rsidR="00EE6C17" w:rsidRPr="008A26D2" w:rsidRDefault="00EE6C17" w:rsidP="0087293E">
            <w:pPr>
              <w:spacing w:after="0" w:line="240" w:lineRule="auto"/>
              <w:jc w:val="both"/>
              <w:rPr>
                <w:rFonts w:ascii="Arial" w:eastAsia="Times New Roman" w:hAnsi="Arial" w:cs="Arial"/>
                <w:sz w:val="20"/>
                <w:szCs w:val="20"/>
              </w:rPr>
            </w:pPr>
            <w:r w:rsidRPr="008A26D2">
              <w:rPr>
                <w:rFonts w:ascii="Arial" w:eastAsia="Times New Roman" w:hAnsi="Arial" w:cs="Arial"/>
                <w:b/>
                <w:sz w:val="20"/>
                <w:szCs w:val="20"/>
              </w:rPr>
              <w:t>Valor</w:t>
            </w:r>
          </w:p>
        </w:tc>
        <w:tc>
          <w:tcPr>
            <w:tcW w:w="992" w:type="dxa"/>
            <w:tcMar>
              <w:top w:w="10" w:type="dxa"/>
              <w:left w:w="10" w:type="dxa"/>
              <w:bottom w:w="0" w:type="dxa"/>
              <w:right w:w="10" w:type="dxa"/>
            </w:tcMar>
            <w:vAlign w:val="center"/>
          </w:tcPr>
          <w:p w14:paraId="40A20E57" w14:textId="77777777" w:rsidR="00EE6C17" w:rsidRPr="008A26D2" w:rsidRDefault="00EE6C17" w:rsidP="00B87A55">
            <w:pPr>
              <w:spacing w:after="0" w:line="240" w:lineRule="auto"/>
              <w:jc w:val="center"/>
              <w:rPr>
                <w:rFonts w:ascii="Arial" w:eastAsia="Times New Roman" w:hAnsi="Arial" w:cs="Arial"/>
                <w:sz w:val="20"/>
                <w:szCs w:val="20"/>
              </w:rPr>
            </w:pPr>
            <w:r w:rsidRPr="008A26D2">
              <w:rPr>
                <w:rFonts w:ascii="Arial" w:eastAsia="Times New Roman" w:hAnsi="Arial" w:cs="Arial"/>
                <w:sz w:val="20"/>
                <w:szCs w:val="20"/>
              </w:rPr>
              <w:t>19%</w:t>
            </w:r>
          </w:p>
        </w:tc>
        <w:tc>
          <w:tcPr>
            <w:tcW w:w="864" w:type="dxa"/>
            <w:gridSpan w:val="2"/>
            <w:tcMar>
              <w:top w:w="10" w:type="dxa"/>
              <w:left w:w="10" w:type="dxa"/>
              <w:bottom w:w="0" w:type="dxa"/>
              <w:right w:w="10" w:type="dxa"/>
            </w:tcMar>
            <w:vAlign w:val="center"/>
          </w:tcPr>
          <w:p w14:paraId="240CFFAA" w14:textId="77777777" w:rsidR="00EE6C17" w:rsidRPr="008A26D2" w:rsidRDefault="00EE6C17" w:rsidP="00B87A55">
            <w:pPr>
              <w:spacing w:after="0" w:line="240" w:lineRule="auto"/>
              <w:jc w:val="center"/>
              <w:rPr>
                <w:rFonts w:ascii="Arial" w:eastAsia="Times New Roman" w:hAnsi="Arial" w:cs="Arial"/>
                <w:sz w:val="20"/>
                <w:szCs w:val="20"/>
              </w:rPr>
            </w:pPr>
            <w:r w:rsidRPr="008A26D2">
              <w:rPr>
                <w:rFonts w:ascii="Arial" w:eastAsia="Times New Roman" w:hAnsi="Arial" w:cs="Arial"/>
                <w:sz w:val="20"/>
                <w:szCs w:val="20"/>
              </w:rPr>
              <w:t>30%</w:t>
            </w:r>
          </w:p>
        </w:tc>
        <w:tc>
          <w:tcPr>
            <w:tcW w:w="992" w:type="dxa"/>
            <w:vAlign w:val="center"/>
          </w:tcPr>
          <w:p w14:paraId="21B8F15B" w14:textId="77777777" w:rsidR="00EE6C17" w:rsidRPr="008A26D2" w:rsidRDefault="00EE6C17" w:rsidP="00B87A55">
            <w:pPr>
              <w:spacing w:after="0" w:line="240" w:lineRule="auto"/>
              <w:jc w:val="center"/>
              <w:rPr>
                <w:rFonts w:ascii="Arial" w:eastAsia="Times New Roman" w:hAnsi="Arial" w:cs="Arial"/>
                <w:sz w:val="20"/>
                <w:szCs w:val="20"/>
              </w:rPr>
            </w:pPr>
            <w:r w:rsidRPr="008A26D2">
              <w:rPr>
                <w:rFonts w:ascii="Arial" w:eastAsia="Times New Roman" w:hAnsi="Arial" w:cs="Arial"/>
                <w:sz w:val="20"/>
                <w:szCs w:val="20"/>
              </w:rPr>
              <w:t>45%</w:t>
            </w:r>
          </w:p>
        </w:tc>
        <w:tc>
          <w:tcPr>
            <w:tcW w:w="850" w:type="dxa"/>
            <w:gridSpan w:val="2"/>
            <w:vAlign w:val="center"/>
          </w:tcPr>
          <w:p w14:paraId="4F0FE64E" w14:textId="77777777" w:rsidR="00EE6C17" w:rsidRPr="008A26D2" w:rsidRDefault="00EE6C17" w:rsidP="00B87A55">
            <w:pPr>
              <w:spacing w:after="0" w:line="240" w:lineRule="auto"/>
              <w:jc w:val="center"/>
              <w:rPr>
                <w:rFonts w:ascii="Arial" w:eastAsia="Times New Roman" w:hAnsi="Arial" w:cs="Arial"/>
                <w:sz w:val="20"/>
                <w:szCs w:val="20"/>
              </w:rPr>
            </w:pPr>
            <w:r w:rsidRPr="008A26D2">
              <w:rPr>
                <w:rFonts w:ascii="Arial" w:eastAsia="Times New Roman" w:hAnsi="Arial" w:cs="Arial"/>
                <w:sz w:val="20"/>
                <w:szCs w:val="20"/>
              </w:rPr>
              <w:t>60%</w:t>
            </w:r>
          </w:p>
        </w:tc>
        <w:tc>
          <w:tcPr>
            <w:tcW w:w="851" w:type="dxa"/>
            <w:vAlign w:val="center"/>
          </w:tcPr>
          <w:p w14:paraId="30032BA8" w14:textId="77777777" w:rsidR="00EE6C17" w:rsidRPr="008A26D2" w:rsidRDefault="00EE6C17" w:rsidP="00B87A55">
            <w:pPr>
              <w:spacing w:after="0" w:line="240" w:lineRule="auto"/>
              <w:jc w:val="center"/>
              <w:rPr>
                <w:rFonts w:ascii="Arial" w:eastAsia="Times New Roman" w:hAnsi="Arial" w:cs="Arial"/>
                <w:sz w:val="20"/>
                <w:szCs w:val="20"/>
              </w:rPr>
            </w:pPr>
            <w:r w:rsidRPr="008A26D2">
              <w:rPr>
                <w:rFonts w:ascii="Arial" w:eastAsia="Times New Roman" w:hAnsi="Arial" w:cs="Arial"/>
                <w:sz w:val="20"/>
                <w:szCs w:val="20"/>
              </w:rPr>
              <w:t>70%</w:t>
            </w:r>
          </w:p>
        </w:tc>
        <w:tc>
          <w:tcPr>
            <w:tcW w:w="835" w:type="dxa"/>
            <w:vAlign w:val="center"/>
          </w:tcPr>
          <w:p w14:paraId="04AEA666" w14:textId="77777777" w:rsidR="00EE6C17" w:rsidRPr="008A26D2" w:rsidRDefault="00EE6C17" w:rsidP="00B87A55">
            <w:pPr>
              <w:spacing w:after="0" w:line="240" w:lineRule="auto"/>
              <w:jc w:val="center"/>
              <w:rPr>
                <w:rFonts w:ascii="Arial" w:eastAsia="Times New Roman" w:hAnsi="Arial" w:cs="Arial"/>
                <w:sz w:val="20"/>
                <w:szCs w:val="20"/>
              </w:rPr>
            </w:pPr>
            <w:r w:rsidRPr="008A26D2">
              <w:rPr>
                <w:rFonts w:ascii="Arial" w:eastAsia="Times New Roman" w:hAnsi="Arial" w:cs="Arial"/>
                <w:sz w:val="20"/>
                <w:szCs w:val="20"/>
              </w:rPr>
              <w:t>80%</w:t>
            </w:r>
          </w:p>
        </w:tc>
        <w:tc>
          <w:tcPr>
            <w:tcW w:w="851" w:type="dxa"/>
            <w:vAlign w:val="center"/>
          </w:tcPr>
          <w:p w14:paraId="3B324CC7" w14:textId="77777777" w:rsidR="00EE6C17" w:rsidRPr="008A26D2" w:rsidRDefault="00EE6C17" w:rsidP="00B87A55">
            <w:pPr>
              <w:spacing w:after="0" w:line="240" w:lineRule="auto"/>
              <w:jc w:val="center"/>
              <w:rPr>
                <w:rFonts w:ascii="Arial" w:eastAsia="Times New Roman" w:hAnsi="Arial" w:cs="Arial"/>
                <w:sz w:val="20"/>
                <w:szCs w:val="20"/>
              </w:rPr>
            </w:pPr>
            <w:r w:rsidRPr="008A26D2">
              <w:rPr>
                <w:rFonts w:ascii="Arial" w:eastAsia="Times New Roman" w:hAnsi="Arial" w:cs="Arial"/>
                <w:sz w:val="20"/>
                <w:szCs w:val="20"/>
              </w:rPr>
              <w:t>90%</w:t>
            </w:r>
          </w:p>
        </w:tc>
        <w:tc>
          <w:tcPr>
            <w:tcW w:w="850" w:type="dxa"/>
            <w:gridSpan w:val="2"/>
            <w:vAlign w:val="center"/>
          </w:tcPr>
          <w:p w14:paraId="13B85134" w14:textId="77777777" w:rsidR="00EE6C17" w:rsidRPr="008A26D2" w:rsidRDefault="00EE6C17" w:rsidP="00B87A55">
            <w:pPr>
              <w:spacing w:after="0" w:line="240" w:lineRule="auto"/>
              <w:jc w:val="center"/>
              <w:rPr>
                <w:rFonts w:ascii="Arial" w:eastAsia="Times New Roman" w:hAnsi="Arial" w:cs="Arial"/>
                <w:sz w:val="20"/>
                <w:szCs w:val="20"/>
              </w:rPr>
            </w:pPr>
            <w:r w:rsidRPr="008A26D2">
              <w:rPr>
                <w:rFonts w:ascii="Arial" w:eastAsia="Times New Roman" w:hAnsi="Arial" w:cs="Arial"/>
                <w:sz w:val="20"/>
                <w:szCs w:val="20"/>
              </w:rPr>
              <w:t>100%</w:t>
            </w:r>
          </w:p>
        </w:tc>
        <w:tc>
          <w:tcPr>
            <w:tcW w:w="853" w:type="dxa"/>
            <w:vAlign w:val="center"/>
          </w:tcPr>
          <w:p w14:paraId="210FE261" w14:textId="77777777" w:rsidR="00EE6C17" w:rsidRPr="008A26D2" w:rsidRDefault="00EE6C17" w:rsidP="00B87A55">
            <w:pPr>
              <w:spacing w:after="0" w:line="240" w:lineRule="auto"/>
              <w:jc w:val="center"/>
              <w:rPr>
                <w:rFonts w:ascii="Arial" w:eastAsia="Times New Roman" w:hAnsi="Arial" w:cs="Arial"/>
                <w:sz w:val="20"/>
                <w:szCs w:val="20"/>
              </w:rPr>
            </w:pPr>
            <w:r w:rsidRPr="008A26D2">
              <w:rPr>
                <w:rFonts w:ascii="Arial" w:eastAsia="Times New Roman" w:hAnsi="Arial" w:cs="Arial"/>
                <w:sz w:val="20"/>
                <w:szCs w:val="20"/>
              </w:rPr>
              <w:t>100%</w:t>
            </w:r>
          </w:p>
        </w:tc>
      </w:tr>
    </w:tbl>
    <w:p w14:paraId="1609D764" w14:textId="5FFAEE17" w:rsidR="00F46E95" w:rsidRDefault="00F46E95"/>
    <w:tbl>
      <w:tblPr>
        <w:tblW w:w="879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2"/>
        <w:gridCol w:w="850"/>
        <w:gridCol w:w="707"/>
        <w:gridCol w:w="142"/>
        <w:gridCol w:w="850"/>
        <w:gridCol w:w="711"/>
        <w:gridCol w:w="140"/>
        <w:gridCol w:w="850"/>
        <w:gridCol w:w="993"/>
        <w:gridCol w:w="850"/>
        <w:gridCol w:w="24"/>
        <w:gridCol w:w="827"/>
        <w:gridCol w:w="994"/>
      </w:tblGrid>
      <w:tr w:rsidR="008A26D2" w:rsidRPr="008A26D2" w14:paraId="07DDD3F6" w14:textId="77777777" w:rsidTr="00B87A55">
        <w:trPr>
          <w:trHeight w:val="251"/>
        </w:trPr>
        <w:tc>
          <w:tcPr>
            <w:tcW w:w="8790" w:type="dxa"/>
            <w:gridSpan w:val="13"/>
            <w:shd w:val="clear" w:color="auto" w:fill="D9D9D9" w:themeFill="background1" w:themeFillShade="D9"/>
            <w:tcMar>
              <w:top w:w="10" w:type="dxa"/>
              <w:left w:w="10" w:type="dxa"/>
              <w:bottom w:w="0" w:type="dxa"/>
              <w:right w:w="10" w:type="dxa"/>
            </w:tcMar>
            <w:vAlign w:val="center"/>
          </w:tcPr>
          <w:p w14:paraId="55506274" w14:textId="251C1F19" w:rsidR="00EE6C17" w:rsidRPr="008A26D2" w:rsidRDefault="00EE6C17" w:rsidP="00EE6C17">
            <w:pPr>
              <w:ind w:left="-297"/>
              <w:jc w:val="center"/>
              <w:rPr>
                <w:rFonts w:ascii="Arial" w:eastAsia="Times New Roman" w:hAnsi="Arial" w:cs="Arial"/>
                <w:sz w:val="20"/>
                <w:szCs w:val="20"/>
              </w:rPr>
            </w:pPr>
            <w:r w:rsidRPr="008A26D2">
              <w:rPr>
                <w:rFonts w:ascii="Arial" w:eastAsia="Times New Roman" w:hAnsi="Arial" w:cs="Arial"/>
                <w:sz w:val="20"/>
                <w:szCs w:val="20"/>
              </w:rPr>
              <w:br w:type="page"/>
            </w:r>
            <w:r w:rsidRPr="008A26D2">
              <w:rPr>
                <w:rFonts w:ascii="Arial" w:eastAsia="Times New Roman" w:hAnsi="Arial" w:cs="Arial"/>
                <w:b/>
                <w:sz w:val="20"/>
                <w:szCs w:val="20"/>
              </w:rPr>
              <w:t>FICHA TÉCNICA DE INDICADOR DE SERVICIO 1.5.2</w:t>
            </w:r>
          </w:p>
        </w:tc>
      </w:tr>
      <w:tr w:rsidR="008A26D2" w:rsidRPr="008A26D2" w14:paraId="15830C08" w14:textId="77777777" w:rsidTr="00B87A55">
        <w:trPr>
          <w:trHeight w:val="409"/>
        </w:trPr>
        <w:tc>
          <w:tcPr>
            <w:tcW w:w="2409" w:type="dxa"/>
            <w:gridSpan w:val="3"/>
            <w:shd w:val="clear" w:color="auto" w:fill="FFFFFF"/>
            <w:tcMar>
              <w:top w:w="10" w:type="dxa"/>
              <w:left w:w="93" w:type="dxa"/>
              <w:bottom w:w="0" w:type="dxa"/>
              <w:right w:w="10" w:type="dxa"/>
            </w:tcMar>
            <w:vAlign w:val="center"/>
          </w:tcPr>
          <w:p w14:paraId="64193358" w14:textId="77777777" w:rsidR="00EE6C17" w:rsidRPr="008A26D2" w:rsidRDefault="00EE6C17" w:rsidP="00EE6C17">
            <w:pPr>
              <w:rPr>
                <w:rFonts w:ascii="Arial" w:eastAsia="Times New Roman" w:hAnsi="Arial" w:cs="Arial"/>
                <w:sz w:val="20"/>
                <w:szCs w:val="20"/>
              </w:rPr>
            </w:pPr>
            <w:r w:rsidRPr="008A26D2">
              <w:rPr>
                <w:rFonts w:ascii="Arial" w:eastAsia="Times New Roman" w:hAnsi="Arial" w:cs="Arial"/>
                <w:b/>
                <w:sz w:val="20"/>
                <w:szCs w:val="20"/>
              </w:rPr>
              <w:t>Objetivo prioritario:</w:t>
            </w:r>
          </w:p>
        </w:tc>
        <w:tc>
          <w:tcPr>
            <w:tcW w:w="6381" w:type="dxa"/>
            <w:gridSpan w:val="10"/>
            <w:shd w:val="clear" w:color="auto" w:fill="FFFFFF"/>
            <w:tcMar>
              <w:top w:w="51" w:type="dxa"/>
              <w:left w:w="227" w:type="dxa"/>
              <w:bottom w:w="51" w:type="dxa"/>
              <w:right w:w="227" w:type="dxa"/>
            </w:tcMar>
            <w:vAlign w:val="center"/>
          </w:tcPr>
          <w:p w14:paraId="35D3B2E7" w14:textId="77777777" w:rsidR="00EE6C17" w:rsidRPr="008A26D2" w:rsidRDefault="00EE6C17" w:rsidP="00EE6C17">
            <w:pPr>
              <w:spacing w:after="0" w:line="240" w:lineRule="auto"/>
              <w:jc w:val="both"/>
              <w:rPr>
                <w:rFonts w:ascii="Arial" w:eastAsia="Times New Roman" w:hAnsi="Arial" w:cs="Arial"/>
                <w:sz w:val="20"/>
                <w:szCs w:val="20"/>
              </w:rPr>
            </w:pPr>
            <w:r w:rsidRPr="008A26D2">
              <w:rPr>
                <w:rFonts w:ascii="Arial" w:eastAsia="Times New Roman" w:hAnsi="Arial" w:cs="Arial"/>
                <w:sz w:val="20"/>
                <w:szCs w:val="20"/>
              </w:rPr>
              <w:t xml:space="preserve"> OP1 Mejorar las condiciones para la sostenibilidad de los ecosistemas forestales, otros ecosistemas de vegetación silvestre y de la fauna silvestre  </w:t>
            </w:r>
          </w:p>
        </w:tc>
      </w:tr>
      <w:tr w:rsidR="008A26D2" w:rsidRPr="008A26D2" w14:paraId="628F9996" w14:textId="77777777" w:rsidTr="00B87A55">
        <w:trPr>
          <w:trHeight w:val="436"/>
        </w:trPr>
        <w:tc>
          <w:tcPr>
            <w:tcW w:w="2409" w:type="dxa"/>
            <w:gridSpan w:val="3"/>
            <w:tcMar>
              <w:top w:w="10" w:type="dxa"/>
              <w:left w:w="93" w:type="dxa"/>
              <w:bottom w:w="0" w:type="dxa"/>
              <w:right w:w="10" w:type="dxa"/>
            </w:tcMar>
            <w:vAlign w:val="center"/>
          </w:tcPr>
          <w:p w14:paraId="5F7146A7" w14:textId="77777777" w:rsidR="00EE6C17" w:rsidRPr="008A26D2" w:rsidRDefault="00EE6C17" w:rsidP="00EE6C17">
            <w:pPr>
              <w:rPr>
                <w:rFonts w:ascii="Arial" w:eastAsia="Times New Roman" w:hAnsi="Arial" w:cs="Arial"/>
                <w:sz w:val="20"/>
                <w:szCs w:val="20"/>
              </w:rPr>
            </w:pPr>
            <w:r w:rsidRPr="008A26D2">
              <w:rPr>
                <w:rFonts w:ascii="Arial" w:eastAsia="Times New Roman" w:hAnsi="Arial" w:cs="Arial"/>
                <w:b/>
                <w:sz w:val="20"/>
                <w:szCs w:val="20"/>
              </w:rPr>
              <w:t>Lineamiento de la política:</w:t>
            </w:r>
          </w:p>
        </w:tc>
        <w:tc>
          <w:tcPr>
            <w:tcW w:w="6381" w:type="dxa"/>
            <w:gridSpan w:val="10"/>
            <w:tcMar>
              <w:top w:w="51" w:type="dxa"/>
              <w:left w:w="227" w:type="dxa"/>
              <w:bottom w:w="51" w:type="dxa"/>
              <w:right w:w="227" w:type="dxa"/>
            </w:tcMar>
            <w:vAlign w:val="center"/>
          </w:tcPr>
          <w:p w14:paraId="17B053E8" w14:textId="77777777" w:rsidR="00EE6C17" w:rsidRPr="008A26D2" w:rsidRDefault="00EE6C17" w:rsidP="00EE6C17">
            <w:pPr>
              <w:spacing w:after="0" w:line="240" w:lineRule="auto"/>
              <w:jc w:val="both"/>
              <w:rPr>
                <w:rFonts w:ascii="Arial" w:eastAsia="Times New Roman" w:hAnsi="Arial" w:cs="Arial"/>
                <w:sz w:val="20"/>
                <w:szCs w:val="20"/>
              </w:rPr>
            </w:pPr>
            <w:r w:rsidRPr="008A26D2">
              <w:rPr>
                <w:rFonts w:ascii="Arial" w:eastAsia="Times New Roman" w:hAnsi="Arial" w:cs="Arial"/>
                <w:sz w:val="20"/>
                <w:szCs w:val="20"/>
              </w:rPr>
              <w:t>L1.5 Incrementar el avance del proceso de ordenamiento forestal en el país</w:t>
            </w:r>
          </w:p>
        </w:tc>
      </w:tr>
      <w:tr w:rsidR="008A26D2" w:rsidRPr="008A26D2" w14:paraId="05574767" w14:textId="77777777" w:rsidTr="00B87A55">
        <w:trPr>
          <w:trHeight w:val="404"/>
        </w:trPr>
        <w:tc>
          <w:tcPr>
            <w:tcW w:w="2409" w:type="dxa"/>
            <w:gridSpan w:val="3"/>
            <w:tcMar>
              <w:top w:w="10" w:type="dxa"/>
              <w:left w:w="93" w:type="dxa"/>
              <w:bottom w:w="0" w:type="dxa"/>
              <w:right w:w="10" w:type="dxa"/>
            </w:tcMar>
            <w:vAlign w:val="center"/>
          </w:tcPr>
          <w:p w14:paraId="3A03F313" w14:textId="77777777" w:rsidR="00EE6C17" w:rsidRPr="008A26D2" w:rsidRDefault="00EE6C17" w:rsidP="00EE6C17">
            <w:pPr>
              <w:rPr>
                <w:rFonts w:ascii="Arial" w:eastAsia="Times New Roman" w:hAnsi="Arial" w:cs="Arial"/>
                <w:sz w:val="20"/>
                <w:szCs w:val="20"/>
              </w:rPr>
            </w:pPr>
            <w:r w:rsidRPr="008A26D2">
              <w:rPr>
                <w:rFonts w:ascii="Arial" w:eastAsia="Times New Roman" w:hAnsi="Arial" w:cs="Arial"/>
                <w:b/>
                <w:sz w:val="20"/>
                <w:szCs w:val="20"/>
              </w:rPr>
              <w:t>Nombre del servicio:</w:t>
            </w:r>
          </w:p>
        </w:tc>
        <w:tc>
          <w:tcPr>
            <w:tcW w:w="6381" w:type="dxa"/>
            <w:gridSpan w:val="10"/>
            <w:tcMar>
              <w:top w:w="51" w:type="dxa"/>
              <w:left w:w="227" w:type="dxa"/>
              <w:bottom w:w="51" w:type="dxa"/>
              <w:right w:w="227" w:type="dxa"/>
            </w:tcMar>
            <w:vAlign w:val="center"/>
          </w:tcPr>
          <w:p w14:paraId="4490E2BD" w14:textId="4BA2B25C" w:rsidR="00EE6C17" w:rsidRPr="008A26D2" w:rsidRDefault="00EE6C17" w:rsidP="00EE6C17">
            <w:pPr>
              <w:spacing w:after="0" w:line="240" w:lineRule="auto"/>
              <w:jc w:val="both"/>
              <w:rPr>
                <w:rFonts w:ascii="Arial" w:eastAsia="Times New Roman" w:hAnsi="Arial" w:cs="Arial"/>
                <w:sz w:val="20"/>
                <w:szCs w:val="20"/>
              </w:rPr>
            </w:pPr>
            <w:r w:rsidRPr="008A26D2">
              <w:rPr>
                <w:rFonts w:ascii="Arial" w:eastAsia="Times New Roman" w:hAnsi="Arial" w:cs="Arial"/>
                <w:sz w:val="20"/>
                <w:szCs w:val="20"/>
              </w:rPr>
              <w:t xml:space="preserve">S1.5.2 </w:t>
            </w:r>
            <w:r w:rsidR="00C345D1" w:rsidRPr="008A26D2">
              <w:rPr>
                <w:rFonts w:ascii="Arial" w:eastAsia="Times New Roman" w:hAnsi="Arial" w:cs="Arial"/>
                <w:sz w:val="20"/>
                <w:szCs w:val="20"/>
              </w:rPr>
              <w:t>Implementación de las unidades de ordenamiento forestal de forma fiable para las Autoridades Regionales Forestales y de Fauna Silvestre</w:t>
            </w:r>
          </w:p>
        </w:tc>
      </w:tr>
      <w:tr w:rsidR="008A26D2" w:rsidRPr="008A26D2" w14:paraId="63095E88" w14:textId="77777777" w:rsidTr="00B87A55">
        <w:trPr>
          <w:trHeight w:val="577"/>
        </w:trPr>
        <w:tc>
          <w:tcPr>
            <w:tcW w:w="2409" w:type="dxa"/>
            <w:gridSpan w:val="3"/>
            <w:tcMar>
              <w:top w:w="10" w:type="dxa"/>
              <w:left w:w="93" w:type="dxa"/>
              <w:bottom w:w="0" w:type="dxa"/>
              <w:right w:w="10" w:type="dxa"/>
            </w:tcMar>
            <w:vAlign w:val="center"/>
          </w:tcPr>
          <w:p w14:paraId="005AECA0" w14:textId="77777777" w:rsidR="00EE6C17" w:rsidRPr="008A26D2" w:rsidRDefault="00EE6C17" w:rsidP="00EE6C17">
            <w:pPr>
              <w:rPr>
                <w:rFonts w:ascii="Arial" w:eastAsia="Times New Roman" w:hAnsi="Arial" w:cs="Arial"/>
                <w:sz w:val="20"/>
                <w:szCs w:val="20"/>
              </w:rPr>
            </w:pPr>
            <w:r w:rsidRPr="008A26D2">
              <w:rPr>
                <w:rFonts w:ascii="Arial" w:eastAsia="Times New Roman" w:hAnsi="Arial" w:cs="Arial"/>
                <w:b/>
                <w:sz w:val="20"/>
                <w:szCs w:val="20"/>
              </w:rPr>
              <w:t>Nombre del indicador:</w:t>
            </w:r>
          </w:p>
        </w:tc>
        <w:tc>
          <w:tcPr>
            <w:tcW w:w="6381" w:type="dxa"/>
            <w:gridSpan w:val="10"/>
            <w:tcMar>
              <w:top w:w="51" w:type="dxa"/>
              <w:left w:w="227" w:type="dxa"/>
              <w:bottom w:w="51" w:type="dxa"/>
              <w:right w:w="227" w:type="dxa"/>
            </w:tcMar>
            <w:vAlign w:val="center"/>
          </w:tcPr>
          <w:p w14:paraId="3B345E10" w14:textId="77777777" w:rsidR="00EE6C17" w:rsidRPr="008A26D2" w:rsidRDefault="00EE6C17" w:rsidP="00EE6C17">
            <w:pPr>
              <w:spacing w:after="0" w:line="240" w:lineRule="auto"/>
              <w:jc w:val="both"/>
              <w:rPr>
                <w:rFonts w:ascii="Arial" w:eastAsia="Times New Roman" w:hAnsi="Arial" w:cs="Arial"/>
                <w:strike/>
                <w:sz w:val="20"/>
                <w:szCs w:val="20"/>
              </w:rPr>
            </w:pPr>
            <w:r w:rsidRPr="008A26D2">
              <w:rPr>
                <w:rFonts w:ascii="Arial" w:eastAsia="Times New Roman" w:hAnsi="Arial" w:cs="Arial"/>
                <w:sz w:val="20"/>
                <w:szCs w:val="20"/>
              </w:rPr>
              <w:t>Porcentaje de hectáreas con unidades de ordenamiento forestal implementadas de manera fiable</w:t>
            </w:r>
          </w:p>
        </w:tc>
      </w:tr>
      <w:tr w:rsidR="008A26D2" w:rsidRPr="008A26D2" w14:paraId="34E957C2" w14:textId="77777777" w:rsidTr="00B87A55">
        <w:trPr>
          <w:trHeight w:val="577"/>
        </w:trPr>
        <w:tc>
          <w:tcPr>
            <w:tcW w:w="2409" w:type="dxa"/>
            <w:gridSpan w:val="3"/>
            <w:tcMar>
              <w:top w:w="10" w:type="dxa"/>
              <w:left w:w="93" w:type="dxa"/>
              <w:bottom w:w="0" w:type="dxa"/>
              <w:right w:w="10" w:type="dxa"/>
            </w:tcMar>
            <w:vAlign w:val="center"/>
          </w:tcPr>
          <w:p w14:paraId="797C8402" w14:textId="77777777" w:rsidR="00EE6C17" w:rsidRPr="008A26D2" w:rsidRDefault="00EE6C17" w:rsidP="00EE6C17">
            <w:pPr>
              <w:rPr>
                <w:rFonts w:ascii="Arial" w:eastAsia="Times New Roman" w:hAnsi="Arial" w:cs="Arial"/>
                <w:sz w:val="20"/>
                <w:szCs w:val="20"/>
              </w:rPr>
            </w:pPr>
            <w:r w:rsidRPr="008A26D2">
              <w:rPr>
                <w:rFonts w:ascii="Arial" w:eastAsia="Times New Roman" w:hAnsi="Arial" w:cs="Arial"/>
                <w:b/>
                <w:sz w:val="20"/>
                <w:szCs w:val="20"/>
              </w:rPr>
              <w:t>Justificación:</w:t>
            </w:r>
          </w:p>
        </w:tc>
        <w:tc>
          <w:tcPr>
            <w:tcW w:w="6381" w:type="dxa"/>
            <w:gridSpan w:val="10"/>
            <w:tcMar>
              <w:top w:w="51" w:type="dxa"/>
              <w:left w:w="227" w:type="dxa"/>
              <w:bottom w:w="51" w:type="dxa"/>
              <w:right w:w="227" w:type="dxa"/>
            </w:tcMar>
            <w:vAlign w:val="center"/>
          </w:tcPr>
          <w:p w14:paraId="38E1438D" w14:textId="77777777" w:rsidR="00EE6C17" w:rsidRPr="008A26D2" w:rsidRDefault="00EE6C17" w:rsidP="00EE6C17">
            <w:pPr>
              <w:spacing w:after="0" w:line="240" w:lineRule="auto"/>
              <w:jc w:val="both"/>
              <w:rPr>
                <w:rFonts w:ascii="Arial" w:eastAsia="Times New Roman" w:hAnsi="Arial" w:cs="Arial"/>
                <w:sz w:val="20"/>
                <w:szCs w:val="20"/>
                <w:lang w:val="es-MX"/>
              </w:rPr>
            </w:pPr>
            <w:r w:rsidRPr="008A26D2">
              <w:rPr>
                <w:rFonts w:ascii="Arial" w:eastAsia="Times New Roman" w:hAnsi="Arial" w:cs="Arial"/>
                <w:sz w:val="20"/>
                <w:szCs w:val="20"/>
                <w:lang w:val="es-MX"/>
              </w:rPr>
              <w:t>Mediante el presente indicador se puede hacer seguimiento a las unidades de ordenamiento forestal que se establecen luego del proceso de zonificación forestal en un determinado departamento. La importancia de hacer esta medición permite monitorear el avance del proceso de implementación del ordenamiento forestal a nivel nacional.</w:t>
            </w:r>
          </w:p>
        </w:tc>
      </w:tr>
      <w:tr w:rsidR="008A26D2" w:rsidRPr="008A26D2" w14:paraId="04B02567" w14:textId="77777777" w:rsidTr="00B87A55">
        <w:trPr>
          <w:trHeight w:val="352"/>
        </w:trPr>
        <w:tc>
          <w:tcPr>
            <w:tcW w:w="2409" w:type="dxa"/>
            <w:gridSpan w:val="3"/>
            <w:tcMar>
              <w:top w:w="10" w:type="dxa"/>
              <w:left w:w="93" w:type="dxa"/>
              <w:bottom w:w="0" w:type="dxa"/>
              <w:right w:w="10" w:type="dxa"/>
            </w:tcMar>
            <w:vAlign w:val="center"/>
          </w:tcPr>
          <w:p w14:paraId="76D877A7" w14:textId="77777777" w:rsidR="00EE6C17" w:rsidRPr="008A26D2" w:rsidRDefault="00EE6C17" w:rsidP="00EE6C17">
            <w:pPr>
              <w:rPr>
                <w:rFonts w:ascii="Arial" w:eastAsia="Times New Roman" w:hAnsi="Arial" w:cs="Arial"/>
                <w:sz w:val="20"/>
                <w:szCs w:val="20"/>
              </w:rPr>
            </w:pPr>
            <w:r w:rsidRPr="008A26D2">
              <w:rPr>
                <w:rFonts w:ascii="Arial" w:eastAsia="Times New Roman" w:hAnsi="Arial" w:cs="Arial"/>
                <w:b/>
                <w:sz w:val="20"/>
                <w:szCs w:val="20"/>
              </w:rPr>
              <w:t>Responsable del indicador:</w:t>
            </w:r>
          </w:p>
        </w:tc>
        <w:tc>
          <w:tcPr>
            <w:tcW w:w="6381" w:type="dxa"/>
            <w:gridSpan w:val="10"/>
            <w:tcMar>
              <w:top w:w="51" w:type="dxa"/>
              <w:left w:w="227" w:type="dxa"/>
              <w:bottom w:w="51" w:type="dxa"/>
              <w:right w:w="227" w:type="dxa"/>
            </w:tcMar>
            <w:vAlign w:val="center"/>
          </w:tcPr>
          <w:p w14:paraId="69733B20" w14:textId="3DA6F775" w:rsidR="00EE6C17" w:rsidRPr="008A26D2" w:rsidRDefault="00EE6C17" w:rsidP="00EE6C17">
            <w:pPr>
              <w:spacing w:after="0" w:line="240" w:lineRule="auto"/>
              <w:jc w:val="both"/>
              <w:rPr>
                <w:rFonts w:ascii="Arial" w:eastAsia="Times New Roman" w:hAnsi="Arial" w:cs="Arial"/>
                <w:sz w:val="20"/>
                <w:szCs w:val="20"/>
              </w:rPr>
            </w:pPr>
            <w:r w:rsidRPr="008A26D2">
              <w:rPr>
                <w:rFonts w:ascii="Arial" w:eastAsia="Times New Roman" w:hAnsi="Arial" w:cs="Arial"/>
                <w:sz w:val="20"/>
                <w:szCs w:val="20"/>
              </w:rPr>
              <w:t xml:space="preserve">Dirección de Catastro, Zonificación y Ordenamiento </w:t>
            </w:r>
            <w:r w:rsidR="0087293E" w:rsidRPr="008A26D2">
              <w:rPr>
                <w:rFonts w:ascii="Arial" w:eastAsia="Times New Roman" w:hAnsi="Arial" w:cs="Arial"/>
                <w:sz w:val="20"/>
                <w:szCs w:val="20"/>
              </w:rPr>
              <w:t>del</w:t>
            </w:r>
            <w:r w:rsidRPr="008A26D2">
              <w:rPr>
                <w:rFonts w:ascii="Arial" w:eastAsia="Times New Roman" w:hAnsi="Arial" w:cs="Arial"/>
                <w:sz w:val="20"/>
                <w:szCs w:val="20"/>
              </w:rPr>
              <w:t xml:space="preserve"> Servicio Nacional Forestal y de Fauna Silvestre</w:t>
            </w:r>
            <w:r w:rsidR="00685566" w:rsidRPr="008A26D2">
              <w:rPr>
                <w:rFonts w:ascii="Arial" w:eastAsia="Times New Roman" w:hAnsi="Arial" w:cs="Arial"/>
                <w:sz w:val="20"/>
                <w:szCs w:val="20"/>
              </w:rPr>
              <w:t xml:space="preserve"> </w:t>
            </w:r>
            <w:r w:rsidRPr="008A26D2">
              <w:rPr>
                <w:rFonts w:ascii="Arial" w:eastAsia="Times New Roman" w:hAnsi="Arial" w:cs="Arial"/>
                <w:sz w:val="20"/>
                <w:szCs w:val="20"/>
              </w:rPr>
              <w:t>- SERFOR</w:t>
            </w:r>
          </w:p>
        </w:tc>
      </w:tr>
      <w:tr w:rsidR="008A26D2" w:rsidRPr="008A26D2" w14:paraId="590E67D3" w14:textId="77777777" w:rsidTr="00B87A55">
        <w:trPr>
          <w:trHeight w:val="1072"/>
        </w:trPr>
        <w:tc>
          <w:tcPr>
            <w:tcW w:w="2409" w:type="dxa"/>
            <w:gridSpan w:val="3"/>
            <w:tcMar>
              <w:top w:w="10" w:type="dxa"/>
              <w:left w:w="93" w:type="dxa"/>
              <w:bottom w:w="0" w:type="dxa"/>
              <w:right w:w="10" w:type="dxa"/>
            </w:tcMar>
            <w:vAlign w:val="center"/>
          </w:tcPr>
          <w:p w14:paraId="74978DAC" w14:textId="77777777" w:rsidR="00EE6C17" w:rsidRPr="008A26D2" w:rsidRDefault="00EE6C17" w:rsidP="00EE6C17">
            <w:pPr>
              <w:rPr>
                <w:rFonts w:ascii="Arial" w:eastAsia="Times New Roman" w:hAnsi="Arial" w:cs="Arial"/>
                <w:sz w:val="20"/>
                <w:szCs w:val="20"/>
              </w:rPr>
            </w:pPr>
            <w:r w:rsidRPr="008A26D2">
              <w:rPr>
                <w:rFonts w:ascii="Arial" w:eastAsia="Times New Roman" w:hAnsi="Arial" w:cs="Arial"/>
                <w:b/>
                <w:sz w:val="20"/>
                <w:szCs w:val="20"/>
              </w:rPr>
              <w:t>Limitaciones para la medición del indicador:</w:t>
            </w:r>
          </w:p>
        </w:tc>
        <w:tc>
          <w:tcPr>
            <w:tcW w:w="6381" w:type="dxa"/>
            <w:gridSpan w:val="10"/>
            <w:tcMar>
              <w:top w:w="51" w:type="dxa"/>
              <w:left w:w="227" w:type="dxa"/>
              <w:bottom w:w="51" w:type="dxa"/>
              <w:right w:w="227" w:type="dxa"/>
            </w:tcMar>
            <w:vAlign w:val="center"/>
          </w:tcPr>
          <w:p w14:paraId="7522F498" w14:textId="77777777" w:rsidR="00EE6C17" w:rsidRPr="008A26D2" w:rsidRDefault="00EE6C17" w:rsidP="00EE6C17">
            <w:pPr>
              <w:spacing w:after="0" w:line="240" w:lineRule="auto"/>
              <w:jc w:val="both"/>
              <w:rPr>
                <w:rFonts w:ascii="Arial" w:eastAsia="Times New Roman" w:hAnsi="Arial" w:cs="Arial"/>
                <w:sz w:val="20"/>
                <w:szCs w:val="20"/>
              </w:rPr>
            </w:pPr>
            <w:r w:rsidRPr="008A26D2">
              <w:rPr>
                <w:rFonts w:ascii="Arial" w:eastAsia="Times New Roman" w:hAnsi="Arial" w:cs="Arial"/>
                <w:sz w:val="20"/>
                <w:szCs w:val="20"/>
              </w:rPr>
              <w:t xml:space="preserve">Limitada información de títulos de propiedad de predios privados y comunidades </w:t>
            </w:r>
          </w:p>
        </w:tc>
      </w:tr>
      <w:tr w:rsidR="008A26D2" w:rsidRPr="008A26D2" w14:paraId="4FA948AA" w14:textId="77777777" w:rsidTr="00B87A55">
        <w:trPr>
          <w:trHeight w:val="231"/>
        </w:trPr>
        <w:tc>
          <w:tcPr>
            <w:tcW w:w="2409" w:type="dxa"/>
            <w:gridSpan w:val="3"/>
            <w:tcMar>
              <w:top w:w="10" w:type="dxa"/>
              <w:left w:w="93" w:type="dxa"/>
              <w:bottom w:w="0" w:type="dxa"/>
              <w:right w:w="10" w:type="dxa"/>
            </w:tcMar>
            <w:vAlign w:val="center"/>
          </w:tcPr>
          <w:p w14:paraId="18B1E631" w14:textId="77777777" w:rsidR="00EE6C17" w:rsidRPr="008A26D2" w:rsidRDefault="00EE6C17" w:rsidP="00EE6C17">
            <w:pPr>
              <w:rPr>
                <w:rFonts w:ascii="Arial" w:eastAsia="Times New Roman" w:hAnsi="Arial" w:cs="Arial"/>
                <w:sz w:val="20"/>
                <w:szCs w:val="20"/>
              </w:rPr>
            </w:pPr>
            <w:r w:rsidRPr="008A26D2">
              <w:rPr>
                <w:rFonts w:ascii="Arial" w:eastAsia="Times New Roman" w:hAnsi="Arial" w:cs="Arial"/>
                <w:b/>
                <w:sz w:val="20"/>
                <w:szCs w:val="20"/>
              </w:rPr>
              <w:t xml:space="preserve">Método de cálculo: </w:t>
            </w:r>
          </w:p>
        </w:tc>
        <w:tc>
          <w:tcPr>
            <w:tcW w:w="6381" w:type="dxa"/>
            <w:gridSpan w:val="10"/>
            <w:tcMar>
              <w:top w:w="51" w:type="dxa"/>
              <w:left w:w="227" w:type="dxa"/>
              <w:bottom w:w="51" w:type="dxa"/>
              <w:right w:w="227" w:type="dxa"/>
            </w:tcMar>
            <w:vAlign w:val="center"/>
          </w:tcPr>
          <w:p w14:paraId="7BD8A5C9" w14:textId="77777777" w:rsidR="00EE6C17" w:rsidRPr="008A26D2" w:rsidRDefault="00EE6C17" w:rsidP="00EE6C17">
            <w:pPr>
              <w:spacing w:line="240" w:lineRule="auto"/>
              <w:ind w:left="360" w:hanging="360"/>
              <w:rPr>
                <w:rFonts w:ascii="Arial" w:eastAsia="Times New Roman" w:hAnsi="Arial" w:cs="Arial"/>
                <w:b/>
                <w:sz w:val="20"/>
                <w:szCs w:val="20"/>
              </w:rPr>
            </w:pPr>
            <w:r w:rsidRPr="008A26D2">
              <w:rPr>
                <w:rFonts w:ascii="Arial" w:eastAsia="Times New Roman" w:hAnsi="Arial" w:cs="Arial"/>
                <w:b/>
                <w:sz w:val="20"/>
                <w:szCs w:val="20"/>
              </w:rPr>
              <w:t>1. Fórmula:</w:t>
            </w:r>
          </w:p>
          <w:p w14:paraId="415D14DE" w14:textId="77777777" w:rsidR="00EE6C17" w:rsidRPr="008A26D2" w:rsidRDefault="00EE6C17" w:rsidP="00EE6C17">
            <w:pPr>
              <w:spacing w:line="240" w:lineRule="auto"/>
              <w:rPr>
                <w:rFonts w:ascii="Arial" w:eastAsia="Times New Roman" w:hAnsi="Arial" w:cs="Arial"/>
                <w:sz w:val="20"/>
                <w:szCs w:val="20"/>
              </w:rPr>
            </w:pPr>
            <w:r w:rsidRPr="008A26D2">
              <w:rPr>
                <w:rFonts w:ascii="Arial" w:eastAsia="Times New Roman" w:hAnsi="Arial" w:cs="Arial"/>
                <w:bCs/>
                <w:sz w:val="20"/>
                <w:szCs w:val="20"/>
              </w:rPr>
              <w:t>(</w:t>
            </w:r>
            <w:r w:rsidRPr="008A26D2">
              <w:rPr>
                <w:rFonts w:ascii="Arial" w:eastAsia="Times New Roman" w:hAnsi="Arial" w:cs="Arial"/>
                <w:sz w:val="20"/>
                <w:szCs w:val="20"/>
              </w:rPr>
              <w:t>A/B)*100</w:t>
            </w:r>
          </w:p>
          <w:p w14:paraId="2AF66470" w14:textId="29795790" w:rsidR="00EE6C17" w:rsidRPr="008A26D2" w:rsidRDefault="00EE6C17" w:rsidP="00EE6C17">
            <w:pPr>
              <w:spacing w:line="240" w:lineRule="auto"/>
              <w:ind w:left="342" w:hanging="342"/>
              <w:rPr>
                <w:rFonts w:ascii="Arial" w:eastAsia="Times New Roman" w:hAnsi="Arial" w:cs="Arial"/>
                <w:sz w:val="20"/>
                <w:szCs w:val="20"/>
              </w:rPr>
            </w:pPr>
            <w:r w:rsidRPr="008A26D2">
              <w:rPr>
                <w:rFonts w:ascii="Arial" w:eastAsia="Times New Roman" w:hAnsi="Arial" w:cs="Arial"/>
                <w:sz w:val="20"/>
                <w:szCs w:val="20"/>
              </w:rPr>
              <w:t xml:space="preserve"> A</w:t>
            </w:r>
            <w:r w:rsidR="00605753">
              <w:rPr>
                <w:rFonts w:ascii="Arial" w:eastAsia="Times New Roman" w:hAnsi="Arial" w:cs="Arial"/>
                <w:sz w:val="20"/>
                <w:szCs w:val="20"/>
              </w:rPr>
              <w:t>=</w:t>
            </w:r>
            <w:r w:rsidRPr="008A26D2">
              <w:rPr>
                <w:rFonts w:ascii="Arial" w:eastAsia="Times New Roman" w:hAnsi="Arial" w:cs="Arial"/>
                <w:sz w:val="20"/>
                <w:szCs w:val="20"/>
              </w:rPr>
              <w:t xml:space="preserve"> Número de hectáreas con unidades de ordenamiento forestal implementadas de manera fiable</w:t>
            </w:r>
          </w:p>
          <w:p w14:paraId="4977E3B8" w14:textId="019E5424" w:rsidR="00EE6C17" w:rsidRPr="008A26D2" w:rsidRDefault="00EE6C17" w:rsidP="00EE6C17">
            <w:pPr>
              <w:spacing w:line="240" w:lineRule="auto"/>
              <w:ind w:left="342" w:hanging="342"/>
              <w:rPr>
                <w:rFonts w:ascii="Arial" w:eastAsia="Times New Roman" w:hAnsi="Arial" w:cs="Arial"/>
                <w:sz w:val="20"/>
                <w:szCs w:val="20"/>
              </w:rPr>
            </w:pPr>
            <w:r w:rsidRPr="008A26D2">
              <w:rPr>
                <w:rFonts w:ascii="Arial" w:eastAsia="Times New Roman" w:hAnsi="Arial" w:cs="Arial"/>
                <w:sz w:val="20"/>
                <w:szCs w:val="20"/>
              </w:rPr>
              <w:t xml:space="preserve"> B</w:t>
            </w:r>
            <w:r w:rsidR="00605753">
              <w:rPr>
                <w:rFonts w:ascii="Arial" w:eastAsia="Times New Roman" w:hAnsi="Arial" w:cs="Arial"/>
                <w:sz w:val="20"/>
                <w:szCs w:val="20"/>
              </w:rPr>
              <w:t xml:space="preserve">= </w:t>
            </w:r>
            <w:r w:rsidRPr="008A26D2">
              <w:rPr>
                <w:rFonts w:ascii="Arial" w:eastAsia="Times New Roman" w:hAnsi="Arial" w:cs="Arial"/>
                <w:sz w:val="20"/>
                <w:szCs w:val="20"/>
              </w:rPr>
              <w:t>Total de hectáreas con zonificación forestal a nivel nacional factibles de implementar una unidad de ordenamiento forestal.</w:t>
            </w:r>
          </w:p>
          <w:p w14:paraId="1767EB2E" w14:textId="77777777" w:rsidR="00EE6C17" w:rsidRPr="008A26D2" w:rsidRDefault="00EE6C17" w:rsidP="00EE6C17">
            <w:pPr>
              <w:spacing w:line="240" w:lineRule="auto"/>
              <w:rPr>
                <w:rFonts w:ascii="Arial" w:eastAsia="Times New Roman" w:hAnsi="Arial" w:cs="Arial"/>
                <w:sz w:val="20"/>
                <w:szCs w:val="20"/>
              </w:rPr>
            </w:pPr>
            <w:r w:rsidRPr="008A26D2">
              <w:rPr>
                <w:rFonts w:ascii="Arial" w:eastAsia="Times New Roman" w:hAnsi="Arial" w:cs="Arial"/>
                <w:b/>
                <w:sz w:val="20"/>
                <w:szCs w:val="20"/>
              </w:rPr>
              <w:t>2. Especificaciones técnicas:</w:t>
            </w:r>
          </w:p>
          <w:p w14:paraId="0AE35749" w14:textId="652C3C4A" w:rsidR="00191811" w:rsidRDefault="00191811" w:rsidP="00685566">
            <w:pPr>
              <w:spacing w:line="240" w:lineRule="auto"/>
              <w:jc w:val="both"/>
              <w:rPr>
                <w:rFonts w:ascii="Arial" w:eastAsia="Times New Roman" w:hAnsi="Arial" w:cs="Arial"/>
                <w:sz w:val="20"/>
                <w:szCs w:val="20"/>
              </w:rPr>
            </w:pPr>
            <w:r w:rsidRPr="00191811">
              <w:rPr>
                <w:rFonts w:ascii="Arial" w:eastAsia="Times New Roman" w:hAnsi="Arial" w:cs="Arial"/>
                <w:sz w:val="20"/>
                <w:szCs w:val="20"/>
              </w:rPr>
              <w:t xml:space="preserve">La variable A se determina a partir de la </w:t>
            </w:r>
            <w:r>
              <w:rPr>
                <w:rFonts w:ascii="Arial" w:eastAsia="Times New Roman" w:hAnsi="Arial" w:cs="Arial"/>
                <w:sz w:val="20"/>
                <w:szCs w:val="20"/>
              </w:rPr>
              <w:t xml:space="preserve">implementación de las </w:t>
            </w:r>
            <w:r w:rsidRPr="00191811">
              <w:rPr>
                <w:rFonts w:ascii="Arial" w:eastAsia="Times New Roman" w:hAnsi="Arial" w:cs="Arial"/>
                <w:sz w:val="20"/>
                <w:szCs w:val="20"/>
              </w:rPr>
              <w:t xml:space="preserve">unidades de ordenamiento forestal cumpliendo los documentos normativos que rigen </w:t>
            </w:r>
            <w:r>
              <w:rPr>
                <w:rFonts w:ascii="Arial" w:eastAsia="Times New Roman" w:hAnsi="Arial" w:cs="Arial"/>
                <w:sz w:val="20"/>
                <w:szCs w:val="20"/>
              </w:rPr>
              <w:t>su</w:t>
            </w:r>
            <w:r w:rsidRPr="00191811">
              <w:rPr>
                <w:rFonts w:ascii="Arial" w:eastAsia="Times New Roman" w:hAnsi="Arial" w:cs="Arial"/>
                <w:sz w:val="20"/>
                <w:szCs w:val="20"/>
              </w:rPr>
              <w:t xml:space="preserve"> proceso</w:t>
            </w:r>
            <w:r>
              <w:rPr>
                <w:rFonts w:ascii="Arial" w:eastAsia="Times New Roman" w:hAnsi="Arial" w:cs="Arial"/>
                <w:sz w:val="20"/>
                <w:szCs w:val="20"/>
              </w:rPr>
              <w:t>.</w:t>
            </w:r>
          </w:p>
          <w:p w14:paraId="4790E158" w14:textId="05B37CD1" w:rsidR="00EE6C17" w:rsidRPr="008A26D2" w:rsidRDefault="00191811" w:rsidP="00685566">
            <w:pPr>
              <w:spacing w:line="240" w:lineRule="auto"/>
              <w:jc w:val="both"/>
              <w:rPr>
                <w:rFonts w:ascii="Arial" w:eastAsia="Times New Roman" w:hAnsi="Arial" w:cs="Arial"/>
                <w:sz w:val="20"/>
                <w:szCs w:val="20"/>
              </w:rPr>
            </w:pPr>
            <w:r>
              <w:rPr>
                <w:rFonts w:ascii="Arial" w:eastAsia="Times New Roman" w:hAnsi="Arial" w:cs="Arial"/>
                <w:sz w:val="20"/>
                <w:szCs w:val="20"/>
              </w:rPr>
              <w:t>Los t</w:t>
            </w:r>
            <w:r w:rsidR="00EE6C17" w:rsidRPr="008A26D2">
              <w:rPr>
                <w:rFonts w:ascii="Arial" w:eastAsia="Times New Roman" w:hAnsi="Arial" w:cs="Arial"/>
                <w:sz w:val="20"/>
                <w:szCs w:val="20"/>
              </w:rPr>
              <w:t>ipo</w:t>
            </w:r>
            <w:r>
              <w:rPr>
                <w:rFonts w:ascii="Arial" w:eastAsia="Times New Roman" w:hAnsi="Arial" w:cs="Arial"/>
                <w:sz w:val="20"/>
                <w:szCs w:val="20"/>
              </w:rPr>
              <w:t>s</w:t>
            </w:r>
            <w:r w:rsidR="00EE6C17" w:rsidRPr="008A26D2">
              <w:rPr>
                <w:rFonts w:ascii="Arial" w:eastAsia="Times New Roman" w:hAnsi="Arial" w:cs="Arial"/>
                <w:sz w:val="20"/>
                <w:szCs w:val="20"/>
              </w:rPr>
              <w:t xml:space="preserve"> de unidades de ordenamiento forestal</w:t>
            </w:r>
            <w:r>
              <w:rPr>
                <w:rFonts w:ascii="Arial" w:eastAsia="Times New Roman" w:hAnsi="Arial" w:cs="Arial"/>
                <w:sz w:val="20"/>
                <w:szCs w:val="20"/>
              </w:rPr>
              <w:t xml:space="preserve"> son</w:t>
            </w:r>
            <w:r w:rsidR="00EE6C17" w:rsidRPr="008A26D2">
              <w:rPr>
                <w:rFonts w:ascii="Arial" w:eastAsia="Times New Roman" w:hAnsi="Arial" w:cs="Arial"/>
                <w:sz w:val="20"/>
                <w:szCs w:val="20"/>
              </w:rPr>
              <w:t>:</w:t>
            </w:r>
          </w:p>
          <w:p w14:paraId="1C21BA4C" w14:textId="77777777" w:rsidR="00EE6C17" w:rsidRPr="008A26D2" w:rsidRDefault="00EE6C17" w:rsidP="004C072E">
            <w:pPr>
              <w:numPr>
                <w:ilvl w:val="0"/>
                <w:numId w:val="31"/>
              </w:numPr>
              <w:spacing w:after="0" w:line="240" w:lineRule="auto"/>
              <w:ind w:left="200" w:hanging="141"/>
              <w:contextualSpacing/>
              <w:jc w:val="both"/>
              <w:rPr>
                <w:rFonts w:ascii="Arial" w:eastAsia="Times New Roman" w:hAnsi="Arial" w:cs="Arial"/>
                <w:sz w:val="20"/>
                <w:szCs w:val="20"/>
                <w:lang w:eastAsia="en-US"/>
              </w:rPr>
            </w:pPr>
            <w:r w:rsidRPr="008A26D2">
              <w:rPr>
                <w:rFonts w:ascii="Arial" w:eastAsia="Times New Roman" w:hAnsi="Arial" w:cs="Arial"/>
                <w:sz w:val="20"/>
                <w:szCs w:val="20"/>
                <w:lang w:eastAsia="en-US"/>
              </w:rPr>
              <w:t>Bosque de Producción Permanente (BPP): Resolución Ministerial del Ministerio de Desarrollo Agrario y Riego (a propuesta del SERFOR)</w:t>
            </w:r>
          </w:p>
          <w:p w14:paraId="54F4BA78" w14:textId="77777777" w:rsidR="00EE6C17" w:rsidRPr="008A26D2" w:rsidRDefault="00EE6C17" w:rsidP="004C072E">
            <w:pPr>
              <w:numPr>
                <w:ilvl w:val="0"/>
                <w:numId w:val="31"/>
              </w:numPr>
              <w:spacing w:after="0" w:line="240" w:lineRule="auto"/>
              <w:ind w:left="200" w:hanging="141"/>
              <w:contextualSpacing/>
              <w:jc w:val="both"/>
              <w:rPr>
                <w:rFonts w:ascii="Arial" w:eastAsia="Times New Roman" w:hAnsi="Arial" w:cs="Arial"/>
                <w:sz w:val="20"/>
                <w:szCs w:val="20"/>
                <w:lang w:eastAsia="en-US"/>
              </w:rPr>
            </w:pPr>
            <w:r w:rsidRPr="008A26D2">
              <w:rPr>
                <w:rFonts w:ascii="Arial" w:eastAsia="Times New Roman" w:hAnsi="Arial" w:cs="Arial"/>
                <w:sz w:val="20"/>
                <w:szCs w:val="20"/>
                <w:lang w:eastAsia="en-US"/>
              </w:rPr>
              <w:t>Bosque de Producción Permanente en reserva: Resolución Ejecutiva del SERFOR</w:t>
            </w:r>
          </w:p>
          <w:p w14:paraId="4BA264A9" w14:textId="77777777" w:rsidR="00EE6C17" w:rsidRPr="008A26D2" w:rsidRDefault="00EE6C17" w:rsidP="004C072E">
            <w:pPr>
              <w:numPr>
                <w:ilvl w:val="0"/>
                <w:numId w:val="31"/>
              </w:numPr>
              <w:spacing w:after="0" w:line="240" w:lineRule="auto"/>
              <w:ind w:left="200" w:hanging="141"/>
              <w:contextualSpacing/>
              <w:jc w:val="both"/>
              <w:rPr>
                <w:rFonts w:ascii="Arial" w:eastAsia="Times New Roman" w:hAnsi="Arial" w:cs="Arial"/>
                <w:sz w:val="20"/>
                <w:szCs w:val="20"/>
                <w:lang w:eastAsia="en-US"/>
              </w:rPr>
            </w:pPr>
            <w:r w:rsidRPr="008A26D2">
              <w:rPr>
                <w:rFonts w:ascii="Arial" w:eastAsia="Times New Roman" w:hAnsi="Arial" w:cs="Arial"/>
                <w:sz w:val="20"/>
                <w:szCs w:val="20"/>
                <w:lang w:eastAsia="en-US"/>
              </w:rPr>
              <w:t>Bosques Protectores (BP):  Resolución Ejecutiva del SERFOR</w:t>
            </w:r>
          </w:p>
          <w:p w14:paraId="2FFC83C8" w14:textId="77777777" w:rsidR="00EE6C17" w:rsidRPr="008A26D2" w:rsidRDefault="00EE6C17" w:rsidP="004C072E">
            <w:pPr>
              <w:numPr>
                <w:ilvl w:val="0"/>
                <w:numId w:val="31"/>
              </w:numPr>
              <w:spacing w:after="0" w:line="240" w:lineRule="auto"/>
              <w:ind w:left="200" w:hanging="141"/>
              <w:contextualSpacing/>
              <w:jc w:val="both"/>
              <w:rPr>
                <w:rFonts w:ascii="Arial" w:eastAsia="Times New Roman" w:hAnsi="Arial" w:cs="Arial"/>
                <w:sz w:val="20"/>
                <w:szCs w:val="20"/>
                <w:lang w:eastAsia="en-US"/>
              </w:rPr>
            </w:pPr>
            <w:r w:rsidRPr="008A26D2">
              <w:rPr>
                <w:rFonts w:ascii="Arial" w:eastAsia="Times New Roman" w:hAnsi="Arial" w:cs="Arial"/>
                <w:sz w:val="20"/>
                <w:szCs w:val="20"/>
                <w:lang w:eastAsia="en-US"/>
              </w:rPr>
              <w:t>Bosques Locales (BL):  Resolución Ejecutiva del SERFOR</w:t>
            </w:r>
          </w:p>
          <w:p w14:paraId="05586813" w14:textId="77777777" w:rsidR="00EE6C17" w:rsidRPr="008A26D2" w:rsidRDefault="00EE6C17" w:rsidP="004C072E">
            <w:pPr>
              <w:numPr>
                <w:ilvl w:val="0"/>
                <w:numId w:val="31"/>
              </w:numPr>
              <w:spacing w:after="0" w:line="240" w:lineRule="auto"/>
              <w:ind w:left="200" w:hanging="141"/>
              <w:contextualSpacing/>
              <w:jc w:val="both"/>
              <w:rPr>
                <w:rFonts w:ascii="Arial" w:eastAsia="Times New Roman" w:hAnsi="Arial" w:cs="Arial"/>
                <w:sz w:val="20"/>
                <w:szCs w:val="20"/>
                <w:lang w:eastAsia="en-US"/>
              </w:rPr>
            </w:pPr>
            <w:r w:rsidRPr="008A26D2">
              <w:rPr>
                <w:rFonts w:ascii="Arial" w:eastAsia="Times New Roman" w:hAnsi="Arial" w:cs="Arial"/>
                <w:sz w:val="20"/>
                <w:szCs w:val="20"/>
                <w:lang w:eastAsia="en-US"/>
              </w:rPr>
              <w:t>Bosques en Predios Privados: Título de propiedad emitido por el gobierno regional bajo los lineamientos técnicos de la Dirección General de Saneamiento de la Propiedad Agraria y Catastro Rural del Ministerio de Desarrollo Agrario y Riego.</w:t>
            </w:r>
          </w:p>
          <w:p w14:paraId="2C01A7DD" w14:textId="77777777" w:rsidR="00EE6C17" w:rsidRDefault="00EE6C17" w:rsidP="004C072E">
            <w:pPr>
              <w:numPr>
                <w:ilvl w:val="0"/>
                <w:numId w:val="31"/>
              </w:numPr>
              <w:spacing w:line="240" w:lineRule="auto"/>
              <w:ind w:left="200" w:hanging="141"/>
              <w:contextualSpacing/>
              <w:rPr>
                <w:rFonts w:ascii="Arial" w:eastAsia="Times New Roman" w:hAnsi="Arial" w:cs="Arial"/>
                <w:sz w:val="20"/>
                <w:szCs w:val="20"/>
                <w:lang w:eastAsia="en-US"/>
              </w:rPr>
            </w:pPr>
            <w:r w:rsidRPr="008A26D2">
              <w:rPr>
                <w:rFonts w:ascii="Arial" w:eastAsia="Times New Roman" w:hAnsi="Arial" w:cs="Arial"/>
                <w:sz w:val="20"/>
                <w:szCs w:val="20"/>
                <w:lang w:eastAsia="en-US"/>
              </w:rPr>
              <w:lastRenderedPageBreak/>
              <w:t>Bosques en Tierras de Comunidades Campesinas y Nativas: Título de propiedad emitido por el gobierno regional bajo los lineamientos técnicos de la Dirección General de Saneamiento de la Propiedad Agraria y Catastro Rural del Ministerio de Desarrollo Agrario y Riego y/o contrato de cesión en uso emitido por la Autoridad Regional Forestal y de Fauna Silvestre bajo los lineamientos de SERFOR</w:t>
            </w:r>
          </w:p>
          <w:p w14:paraId="3B56457F" w14:textId="77777777" w:rsidR="00191811" w:rsidRDefault="00191811" w:rsidP="00191811">
            <w:pPr>
              <w:spacing w:line="240" w:lineRule="auto"/>
              <w:contextualSpacing/>
              <w:rPr>
                <w:rFonts w:ascii="Arial" w:eastAsia="Times New Roman" w:hAnsi="Arial" w:cs="Arial"/>
                <w:sz w:val="20"/>
                <w:szCs w:val="20"/>
                <w:lang w:eastAsia="en-US"/>
              </w:rPr>
            </w:pPr>
          </w:p>
          <w:p w14:paraId="2B9D6144" w14:textId="76BED2C3" w:rsidR="00EB39B6" w:rsidRPr="008A26D2" w:rsidRDefault="00EB39B6" w:rsidP="00B87A55">
            <w:pPr>
              <w:spacing w:line="240" w:lineRule="auto"/>
              <w:contextualSpacing/>
              <w:jc w:val="both"/>
              <w:rPr>
                <w:rFonts w:ascii="Arial" w:eastAsia="Times New Roman" w:hAnsi="Arial" w:cs="Arial"/>
                <w:sz w:val="20"/>
                <w:szCs w:val="20"/>
                <w:lang w:eastAsia="en-US"/>
              </w:rPr>
            </w:pPr>
            <w:r>
              <w:rPr>
                <w:rFonts w:ascii="Arial" w:eastAsia="Times New Roman" w:hAnsi="Arial" w:cs="Arial"/>
                <w:sz w:val="20"/>
                <w:szCs w:val="20"/>
                <w:lang w:eastAsia="en-US"/>
              </w:rPr>
              <w:t>La variable B se determina a partir del total de unidades de ordenamiento forestal que fueron implementadas</w:t>
            </w:r>
            <w:r w:rsidR="00B87A55">
              <w:rPr>
                <w:rFonts w:ascii="Arial" w:eastAsia="Times New Roman" w:hAnsi="Arial" w:cs="Arial"/>
                <w:sz w:val="20"/>
                <w:szCs w:val="20"/>
                <w:lang w:eastAsia="en-US"/>
              </w:rPr>
              <w:t xml:space="preserve"> en el año de medición</w:t>
            </w:r>
            <w:r>
              <w:rPr>
                <w:rFonts w:ascii="Arial" w:eastAsia="Times New Roman" w:hAnsi="Arial" w:cs="Arial"/>
                <w:sz w:val="20"/>
                <w:szCs w:val="20"/>
                <w:lang w:eastAsia="en-US"/>
              </w:rPr>
              <w:t>.</w:t>
            </w:r>
          </w:p>
        </w:tc>
      </w:tr>
      <w:tr w:rsidR="008A26D2" w:rsidRPr="008A26D2" w14:paraId="1715304A" w14:textId="77777777" w:rsidTr="00B87A55">
        <w:trPr>
          <w:trHeight w:val="686"/>
        </w:trPr>
        <w:tc>
          <w:tcPr>
            <w:tcW w:w="2409" w:type="dxa"/>
            <w:gridSpan w:val="3"/>
            <w:tcMar>
              <w:top w:w="10" w:type="dxa"/>
              <w:left w:w="93" w:type="dxa"/>
              <w:bottom w:w="0" w:type="dxa"/>
              <w:right w:w="10" w:type="dxa"/>
            </w:tcMar>
            <w:vAlign w:val="center"/>
          </w:tcPr>
          <w:p w14:paraId="2C558F3B" w14:textId="77777777" w:rsidR="00EE6C17" w:rsidRPr="008A26D2" w:rsidRDefault="00EE6C17" w:rsidP="00EE6C17">
            <w:pPr>
              <w:rPr>
                <w:rFonts w:ascii="Arial" w:eastAsia="Times New Roman" w:hAnsi="Arial" w:cs="Arial"/>
                <w:sz w:val="20"/>
                <w:szCs w:val="20"/>
              </w:rPr>
            </w:pPr>
            <w:r w:rsidRPr="008A26D2">
              <w:rPr>
                <w:rFonts w:ascii="Arial" w:eastAsia="Times New Roman" w:hAnsi="Arial" w:cs="Arial"/>
                <w:b/>
                <w:sz w:val="20"/>
                <w:szCs w:val="20"/>
              </w:rPr>
              <w:lastRenderedPageBreak/>
              <w:t>Sentido esperado del indicador:</w:t>
            </w:r>
          </w:p>
        </w:tc>
        <w:tc>
          <w:tcPr>
            <w:tcW w:w="1703" w:type="dxa"/>
            <w:gridSpan w:val="3"/>
            <w:tcMar>
              <w:top w:w="10" w:type="dxa"/>
              <w:left w:w="283" w:type="dxa"/>
              <w:bottom w:w="0" w:type="dxa"/>
              <w:right w:w="283" w:type="dxa"/>
            </w:tcMar>
            <w:vAlign w:val="center"/>
          </w:tcPr>
          <w:p w14:paraId="69648C5E" w14:textId="77777777" w:rsidR="00EE6C17" w:rsidRPr="008A26D2" w:rsidRDefault="00EE6C17" w:rsidP="00EE6C17">
            <w:pPr>
              <w:rPr>
                <w:rFonts w:ascii="Arial" w:eastAsia="Times New Roman" w:hAnsi="Arial" w:cs="Arial"/>
                <w:sz w:val="20"/>
                <w:szCs w:val="20"/>
              </w:rPr>
            </w:pPr>
            <w:r w:rsidRPr="008A26D2">
              <w:rPr>
                <w:rFonts w:ascii="Arial" w:eastAsia="Times New Roman" w:hAnsi="Arial" w:cs="Arial"/>
                <w:sz w:val="20"/>
                <w:szCs w:val="20"/>
              </w:rPr>
              <w:t>Ascendente</w:t>
            </w:r>
          </w:p>
        </w:tc>
        <w:tc>
          <w:tcPr>
            <w:tcW w:w="2857" w:type="dxa"/>
            <w:gridSpan w:val="5"/>
            <w:tcMar>
              <w:top w:w="15" w:type="dxa"/>
              <w:left w:w="15" w:type="dxa"/>
              <w:bottom w:w="0" w:type="dxa"/>
              <w:right w:w="15" w:type="dxa"/>
            </w:tcMar>
            <w:vAlign w:val="center"/>
          </w:tcPr>
          <w:p w14:paraId="5169EC5B" w14:textId="77777777" w:rsidR="00EE6C17" w:rsidRPr="008A26D2" w:rsidRDefault="00EE6C17" w:rsidP="00EE6C17">
            <w:pPr>
              <w:rPr>
                <w:rFonts w:ascii="Arial" w:eastAsia="Times New Roman" w:hAnsi="Arial" w:cs="Arial"/>
                <w:sz w:val="20"/>
                <w:szCs w:val="20"/>
              </w:rPr>
            </w:pPr>
            <w:r w:rsidRPr="008A26D2">
              <w:rPr>
                <w:rFonts w:ascii="Arial" w:eastAsia="Times New Roman" w:hAnsi="Arial" w:cs="Arial"/>
                <w:b/>
                <w:sz w:val="20"/>
                <w:szCs w:val="20"/>
              </w:rPr>
              <w:t>Tipo de indicador de servicio:</w:t>
            </w:r>
          </w:p>
        </w:tc>
        <w:tc>
          <w:tcPr>
            <w:tcW w:w="1821" w:type="dxa"/>
            <w:gridSpan w:val="2"/>
            <w:tcMar>
              <w:top w:w="15" w:type="dxa"/>
              <w:left w:w="15" w:type="dxa"/>
              <w:bottom w:w="0" w:type="dxa"/>
              <w:right w:w="15" w:type="dxa"/>
            </w:tcMar>
            <w:vAlign w:val="center"/>
          </w:tcPr>
          <w:p w14:paraId="679D42B6" w14:textId="77777777" w:rsidR="00EE6C17" w:rsidRPr="008A26D2" w:rsidRDefault="00EE6C17" w:rsidP="00EE6C17">
            <w:pPr>
              <w:rPr>
                <w:rFonts w:ascii="Arial" w:eastAsia="Times New Roman" w:hAnsi="Arial" w:cs="Arial"/>
                <w:sz w:val="20"/>
                <w:szCs w:val="20"/>
              </w:rPr>
            </w:pPr>
            <w:r w:rsidRPr="008A26D2">
              <w:rPr>
                <w:rFonts w:ascii="Arial" w:eastAsia="Times New Roman" w:hAnsi="Arial" w:cs="Arial"/>
                <w:sz w:val="20"/>
                <w:szCs w:val="20"/>
              </w:rPr>
              <w:t>Calidad - Fiabilidad</w:t>
            </w:r>
          </w:p>
        </w:tc>
      </w:tr>
      <w:tr w:rsidR="008A26D2" w:rsidRPr="008A26D2" w14:paraId="7DA281CE" w14:textId="77777777" w:rsidTr="00B87A55">
        <w:trPr>
          <w:trHeight w:val="13"/>
        </w:trPr>
        <w:tc>
          <w:tcPr>
            <w:tcW w:w="2409" w:type="dxa"/>
            <w:gridSpan w:val="3"/>
            <w:tcMar>
              <w:top w:w="10" w:type="dxa"/>
              <w:left w:w="93" w:type="dxa"/>
              <w:bottom w:w="0" w:type="dxa"/>
              <w:right w:w="10" w:type="dxa"/>
            </w:tcMar>
            <w:vAlign w:val="center"/>
          </w:tcPr>
          <w:p w14:paraId="22EA3724" w14:textId="77777777" w:rsidR="00EE6C17" w:rsidRPr="008A26D2" w:rsidRDefault="00EE6C17" w:rsidP="00EE6C17">
            <w:pPr>
              <w:rPr>
                <w:rFonts w:ascii="Arial" w:eastAsia="Times New Roman" w:hAnsi="Arial" w:cs="Arial"/>
                <w:sz w:val="20"/>
                <w:szCs w:val="20"/>
              </w:rPr>
            </w:pPr>
            <w:r w:rsidRPr="008A26D2">
              <w:rPr>
                <w:rFonts w:ascii="Arial" w:eastAsia="Times New Roman" w:hAnsi="Arial" w:cs="Arial"/>
                <w:b/>
                <w:sz w:val="20"/>
                <w:szCs w:val="20"/>
              </w:rPr>
              <w:t>Fuente y base de datos:</w:t>
            </w:r>
          </w:p>
        </w:tc>
        <w:tc>
          <w:tcPr>
            <w:tcW w:w="6381" w:type="dxa"/>
            <w:gridSpan w:val="10"/>
            <w:tcMar>
              <w:top w:w="51" w:type="dxa"/>
              <w:left w:w="227" w:type="dxa"/>
              <w:bottom w:w="51" w:type="dxa"/>
              <w:right w:w="227" w:type="dxa"/>
            </w:tcMar>
            <w:vAlign w:val="center"/>
          </w:tcPr>
          <w:p w14:paraId="0E5212A8" w14:textId="109FFD65" w:rsidR="00EE6C17" w:rsidRPr="008A26D2" w:rsidRDefault="00EE6C17" w:rsidP="00EE6C17">
            <w:pPr>
              <w:rPr>
                <w:rFonts w:ascii="Arial" w:eastAsia="Times New Roman" w:hAnsi="Arial" w:cs="Arial"/>
                <w:sz w:val="20"/>
                <w:szCs w:val="20"/>
              </w:rPr>
            </w:pPr>
            <w:r w:rsidRPr="008A26D2">
              <w:rPr>
                <w:rFonts w:ascii="Arial" w:eastAsia="Times New Roman" w:hAnsi="Arial" w:cs="Arial"/>
                <w:sz w:val="20"/>
                <w:szCs w:val="20"/>
              </w:rPr>
              <w:t xml:space="preserve">Fuente: Dirección General de Información y Ordenamiento Forestal y de Fauna Silvestre del </w:t>
            </w:r>
            <w:r w:rsidR="00AA1839">
              <w:rPr>
                <w:rFonts w:ascii="Arial" w:eastAsia="Times New Roman" w:hAnsi="Arial" w:cs="Arial"/>
                <w:sz w:val="20"/>
                <w:szCs w:val="20"/>
              </w:rPr>
              <w:t xml:space="preserve">Servicio Nacional Forestal y de Fauna Silvestre </w:t>
            </w:r>
            <w:r w:rsidRPr="008A26D2">
              <w:rPr>
                <w:rFonts w:ascii="Arial" w:eastAsia="Times New Roman" w:hAnsi="Arial" w:cs="Arial"/>
                <w:sz w:val="20"/>
                <w:szCs w:val="20"/>
              </w:rPr>
              <w:t>-</w:t>
            </w:r>
            <w:r w:rsidR="00685566" w:rsidRPr="008A26D2">
              <w:rPr>
                <w:rFonts w:ascii="Arial" w:eastAsia="Times New Roman" w:hAnsi="Arial" w:cs="Arial"/>
                <w:sz w:val="20"/>
                <w:szCs w:val="20"/>
              </w:rPr>
              <w:t xml:space="preserve"> </w:t>
            </w:r>
            <w:r w:rsidRPr="008A26D2">
              <w:rPr>
                <w:rFonts w:ascii="Arial" w:eastAsia="Times New Roman" w:hAnsi="Arial" w:cs="Arial"/>
                <w:sz w:val="20"/>
                <w:szCs w:val="20"/>
              </w:rPr>
              <w:t>SERFOR; Gobiernos Regionales</w:t>
            </w:r>
            <w:r w:rsidR="00685566" w:rsidRPr="008A26D2">
              <w:rPr>
                <w:rFonts w:ascii="Arial" w:eastAsia="Times New Roman" w:hAnsi="Arial" w:cs="Arial"/>
                <w:sz w:val="20"/>
                <w:szCs w:val="20"/>
              </w:rPr>
              <w:t>;</w:t>
            </w:r>
            <w:r w:rsidRPr="008A26D2">
              <w:rPr>
                <w:rFonts w:ascii="Arial" w:eastAsia="Times New Roman" w:hAnsi="Arial" w:cs="Arial"/>
                <w:sz w:val="20"/>
                <w:szCs w:val="20"/>
              </w:rPr>
              <w:t xml:space="preserve"> Dirección General de Saneamiento de la Propiedad Agraria y Catastro Rural del Ministerio de Desarrollo Agrario y Riego</w:t>
            </w:r>
            <w:r w:rsidR="00AA1839">
              <w:rPr>
                <w:rFonts w:ascii="Arial" w:eastAsia="Times New Roman" w:hAnsi="Arial" w:cs="Arial"/>
                <w:sz w:val="20"/>
                <w:szCs w:val="20"/>
              </w:rPr>
              <w:t xml:space="preserve"> – MIDAGRI.</w:t>
            </w:r>
            <w:r w:rsidRPr="008A26D2">
              <w:rPr>
                <w:rFonts w:ascii="Arial" w:eastAsia="Times New Roman" w:hAnsi="Arial" w:cs="Arial"/>
                <w:sz w:val="20"/>
                <w:szCs w:val="20"/>
              </w:rPr>
              <w:br/>
              <w:t>Base de datos: Reportes de implementación de unidades de ordenamiento forestal</w:t>
            </w:r>
            <w:r w:rsidR="00AA1839">
              <w:rPr>
                <w:rFonts w:ascii="Arial" w:eastAsia="Times New Roman" w:hAnsi="Arial" w:cs="Arial"/>
                <w:sz w:val="20"/>
                <w:szCs w:val="20"/>
              </w:rPr>
              <w:t>.</w:t>
            </w:r>
          </w:p>
        </w:tc>
      </w:tr>
      <w:tr w:rsidR="008A26D2" w:rsidRPr="008A26D2" w14:paraId="106D2F13" w14:textId="77777777" w:rsidTr="00B87A55">
        <w:trPr>
          <w:trHeight w:val="436"/>
        </w:trPr>
        <w:tc>
          <w:tcPr>
            <w:tcW w:w="2409" w:type="dxa"/>
            <w:gridSpan w:val="3"/>
            <w:tcMar>
              <w:top w:w="10" w:type="dxa"/>
              <w:left w:w="93" w:type="dxa"/>
              <w:bottom w:w="0" w:type="dxa"/>
              <w:right w:w="10" w:type="dxa"/>
            </w:tcMar>
            <w:vAlign w:val="center"/>
          </w:tcPr>
          <w:p w14:paraId="5E5AC6AD" w14:textId="77777777" w:rsidR="00EE6C17" w:rsidRPr="008A26D2" w:rsidRDefault="00EE6C17" w:rsidP="00EE6C17">
            <w:pPr>
              <w:rPr>
                <w:rFonts w:ascii="Arial" w:eastAsia="Times New Roman" w:hAnsi="Arial" w:cs="Arial"/>
                <w:sz w:val="20"/>
                <w:szCs w:val="20"/>
              </w:rPr>
            </w:pPr>
            <w:r w:rsidRPr="008A26D2">
              <w:rPr>
                <w:rFonts w:ascii="Arial" w:eastAsia="Times New Roman" w:hAnsi="Arial" w:cs="Arial"/>
                <w:b/>
                <w:sz w:val="20"/>
                <w:szCs w:val="20"/>
              </w:rPr>
              <w:t>Supuestos:</w:t>
            </w:r>
          </w:p>
        </w:tc>
        <w:tc>
          <w:tcPr>
            <w:tcW w:w="6381" w:type="dxa"/>
            <w:gridSpan w:val="10"/>
            <w:tcMar>
              <w:top w:w="51" w:type="dxa"/>
              <w:left w:w="227" w:type="dxa"/>
              <w:bottom w:w="51" w:type="dxa"/>
              <w:right w:w="227" w:type="dxa"/>
            </w:tcMar>
            <w:vAlign w:val="center"/>
          </w:tcPr>
          <w:p w14:paraId="5B84CB04" w14:textId="77777777" w:rsidR="00EE6C17" w:rsidRPr="008A26D2" w:rsidRDefault="00EE6C17" w:rsidP="00EE6C17">
            <w:pPr>
              <w:rPr>
                <w:rFonts w:ascii="Arial" w:eastAsia="Times New Roman" w:hAnsi="Arial" w:cs="Arial"/>
                <w:sz w:val="20"/>
                <w:szCs w:val="20"/>
              </w:rPr>
            </w:pPr>
            <w:r w:rsidRPr="008A26D2">
              <w:rPr>
                <w:rFonts w:ascii="Arial" w:eastAsia="Times New Roman" w:hAnsi="Arial" w:cs="Arial"/>
                <w:sz w:val="20"/>
                <w:szCs w:val="20"/>
              </w:rPr>
              <w:t>No presenta supuestos</w:t>
            </w:r>
          </w:p>
        </w:tc>
      </w:tr>
      <w:tr w:rsidR="008A26D2" w:rsidRPr="008A26D2" w14:paraId="52925E10" w14:textId="77777777" w:rsidTr="00B87A55">
        <w:trPr>
          <w:trHeight w:val="458"/>
        </w:trPr>
        <w:tc>
          <w:tcPr>
            <w:tcW w:w="852" w:type="dxa"/>
            <w:tcMar>
              <w:top w:w="10" w:type="dxa"/>
              <w:left w:w="10" w:type="dxa"/>
              <w:bottom w:w="0" w:type="dxa"/>
              <w:right w:w="10" w:type="dxa"/>
            </w:tcMar>
            <w:vAlign w:val="center"/>
          </w:tcPr>
          <w:p w14:paraId="47B39E7B" w14:textId="77777777" w:rsidR="00EE6C17" w:rsidRPr="008A26D2" w:rsidRDefault="00EE6C17" w:rsidP="00EE6C17">
            <w:pPr>
              <w:rPr>
                <w:rFonts w:ascii="Arial" w:eastAsia="Times New Roman" w:hAnsi="Arial" w:cs="Arial"/>
                <w:sz w:val="20"/>
                <w:szCs w:val="20"/>
              </w:rPr>
            </w:pPr>
            <w:r w:rsidRPr="008A26D2">
              <w:rPr>
                <w:rFonts w:ascii="Arial" w:eastAsia="Times New Roman" w:hAnsi="Arial" w:cs="Arial"/>
                <w:b/>
                <w:sz w:val="20"/>
                <w:szCs w:val="20"/>
              </w:rPr>
              <w:t> </w:t>
            </w:r>
          </w:p>
        </w:tc>
        <w:tc>
          <w:tcPr>
            <w:tcW w:w="850" w:type="dxa"/>
            <w:tcMar>
              <w:top w:w="10" w:type="dxa"/>
              <w:left w:w="10" w:type="dxa"/>
              <w:bottom w:w="0" w:type="dxa"/>
              <w:right w:w="10" w:type="dxa"/>
            </w:tcMar>
            <w:vAlign w:val="center"/>
          </w:tcPr>
          <w:p w14:paraId="50D39F76" w14:textId="77777777" w:rsidR="00EE6C17" w:rsidRPr="008A26D2" w:rsidRDefault="00EE6C17" w:rsidP="00EE6C17">
            <w:pPr>
              <w:jc w:val="center"/>
              <w:rPr>
                <w:rFonts w:ascii="Arial" w:eastAsia="Times New Roman" w:hAnsi="Arial" w:cs="Arial"/>
                <w:sz w:val="20"/>
                <w:szCs w:val="20"/>
              </w:rPr>
            </w:pPr>
            <w:r w:rsidRPr="008A26D2">
              <w:rPr>
                <w:rFonts w:ascii="Arial" w:eastAsia="Times New Roman" w:hAnsi="Arial" w:cs="Arial"/>
                <w:b/>
                <w:sz w:val="20"/>
                <w:szCs w:val="20"/>
              </w:rPr>
              <w:t>Línea de base</w:t>
            </w:r>
          </w:p>
        </w:tc>
        <w:tc>
          <w:tcPr>
            <w:tcW w:w="7088" w:type="dxa"/>
            <w:gridSpan w:val="11"/>
            <w:tcMar>
              <w:top w:w="10" w:type="dxa"/>
              <w:left w:w="10" w:type="dxa"/>
              <w:bottom w:w="0" w:type="dxa"/>
              <w:right w:w="10" w:type="dxa"/>
            </w:tcMar>
            <w:vAlign w:val="center"/>
          </w:tcPr>
          <w:p w14:paraId="61995658" w14:textId="77777777" w:rsidR="00EE6C17" w:rsidRPr="008A26D2" w:rsidRDefault="00EE6C17" w:rsidP="00EE6C17">
            <w:pPr>
              <w:spacing w:after="0" w:line="240" w:lineRule="auto"/>
              <w:jc w:val="center"/>
              <w:rPr>
                <w:rFonts w:ascii="Arial" w:eastAsia="Times New Roman" w:hAnsi="Arial" w:cs="Arial"/>
                <w:sz w:val="20"/>
                <w:szCs w:val="20"/>
              </w:rPr>
            </w:pPr>
            <w:r w:rsidRPr="008A26D2">
              <w:rPr>
                <w:rFonts w:ascii="Arial" w:eastAsia="Times New Roman" w:hAnsi="Arial" w:cs="Arial"/>
                <w:b/>
                <w:sz w:val="20"/>
                <w:szCs w:val="20"/>
              </w:rPr>
              <w:t>Logros esperados (acumulado)</w:t>
            </w:r>
          </w:p>
        </w:tc>
      </w:tr>
      <w:tr w:rsidR="008A26D2" w:rsidRPr="008A26D2" w14:paraId="4A7238A6" w14:textId="77777777" w:rsidTr="00B87A55">
        <w:trPr>
          <w:trHeight w:val="217"/>
        </w:trPr>
        <w:tc>
          <w:tcPr>
            <w:tcW w:w="852" w:type="dxa"/>
            <w:tcMar>
              <w:top w:w="10" w:type="dxa"/>
              <w:left w:w="10" w:type="dxa"/>
              <w:bottom w:w="0" w:type="dxa"/>
              <w:right w:w="10" w:type="dxa"/>
            </w:tcMar>
            <w:vAlign w:val="center"/>
          </w:tcPr>
          <w:p w14:paraId="542F5B76" w14:textId="77777777" w:rsidR="00EE6C17" w:rsidRPr="008A26D2" w:rsidRDefault="00EE6C17" w:rsidP="00EE6C17">
            <w:pPr>
              <w:spacing w:after="0" w:line="240" w:lineRule="auto"/>
              <w:jc w:val="center"/>
              <w:rPr>
                <w:rFonts w:ascii="Arial" w:eastAsia="Times New Roman" w:hAnsi="Arial" w:cs="Arial"/>
                <w:sz w:val="20"/>
                <w:szCs w:val="20"/>
              </w:rPr>
            </w:pPr>
            <w:r w:rsidRPr="008A26D2">
              <w:rPr>
                <w:rFonts w:ascii="Arial" w:eastAsia="Times New Roman" w:hAnsi="Arial" w:cs="Arial"/>
                <w:b/>
                <w:sz w:val="20"/>
                <w:szCs w:val="20"/>
              </w:rPr>
              <w:t>Año</w:t>
            </w:r>
          </w:p>
        </w:tc>
        <w:tc>
          <w:tcPr>
            <w:tcW w:w="850" w:type="dxa"/>
            <w:tcMar>
              <w:top w:w="10" w:type="dxa"/>
              <w:left w:w="10" w:type="dxa"/>
              <w:bottom w:w="0" w:type="dxa"/>
              <w:right w:w="10" w:type="dxa"/>
            </w:tcMar>
            <w:vAlign w:val="center"/>
          </w:tcPr>
          <w:p w14:paraId="37D49AEE" w14:textId="77777777" w:rsidR="00EE6C17" w:rsidRPr="008A26D2" w:rsidRDefault="00EE6C17" w:rsidP="00EE6C17">
            <w:pPr>
              <w:spacing w:after="0" w:line="240" w:lineRule="auto"/>
              <w:jc w:val="center"/>
              <w:rPr>
                <w:rFonts w:ascii="Arial" w:eastAsia="Times New Roman" w:hAnsi="Arial" w:cs="Arial"/>
                <w:b/>
                <w:bCs/>
                <w:sz w:val="20"/>
                <w:szCs w:val="20"/>
              </w:rPr>
            </w:pPr>
            <w:r w:rsidRPr="008A26D2">
              <w:rPr>
                <w:rFonts w:ascii="Arial" w:eastAsia="Times New Roman" w:hAnsi="Arial" w:cs="Arial"/>
                <w:b/>
                <w:sz w:val="20"/>
                <w:szCs w:val="20"/>
              </w:rPr>
              <w:t>2021</w:t>
            </w:r>
          </w:p>
        </w:tc>
        <w:tc>
          <w:tcPr>
            <w:tcW w:w="849" w:type="dxa"/>
            <w:gridSpan w:val="2"/>
            <w:tcMar>
              <w:top w:w="10" w:type="dxa"/>
              <w:left w:w="10" w:type="dxa"/>
              <w:bottom w:w="0" w:type="dxa"/>
              <w:right w:w="10" w:type="dxa"/>
            </w:tcMar>
            <w:vAlign w:val="center"/>
          </w:tcPr>
          <w:p w14:paraId="724866DD" w14:textId="77777777" w:rsidR="00EE6C17" w:rsidRPr="008A26D2" w:rsidRDefault="00EE6C17" w:rsidP="00EE6C17">
            <w:pPr>
              <w:spacing w:after="0" w:line="240" w:lineRule="auto"/>
              <w:jc w:val="center"/>
              <w:rPr>
                <w:rFonts w:ascii="Arial" w:eastAsia="Times New Roman" w:hAnsi="Arial" w:cs="Arial"/>
                <w:b/>
                <w:sz w:val="20"/>
                <w:szCs w:val="20"/>
              </w:rPr>
            </w:pPr>
            <w:r w:rsidRPr="008A26D2">
              <w:rPr>
                <w:rFonts w:ascii="Arial" w:eastAsia="Times New Roman" w:hAnsi="Arial" w:cs="Arial"/>
                <w:b/>
                <w:sz w:val="20"/>
                <w:szCs w:val="20"/>
              </w:rPr>
              <w:t>2023</w:t>
            </w:r>
          </w:p>
        </w:tc>
        <w:tc>
          <w:tcPr>
            <w:tcW w:w="850" w:type="dxa"/>
            <w:vAlign w:val="center"/>
          </w:tcPr>
          <w:p w14:paraId="5E9F1449" w14:textId="77777777" w:rsidR="00EE6C17" w:rsidRPr="008A26D2" w:rsidRDefault="00EE6C17" w:rsidP="00EE6C17">
            <w:pPr>
              <w:spacing w:after="0" w:line="240" w:lineRule="auto"/>
              <w:jc w:val="center"/>
              <w:rPr>
                <w:rFonts w:ascii="Arial" w:eastAsia="Times New Roman" w:hAnsi="Arial" w:cs="Arial"/>
                <w:b/>
                <w:sz w:val="20"/>
                <w:szCs w:val="20"/>
              </w:rPr>
            </w:pPr>
            <w:r w:rsidRPr="008A26D2">
              <w:rPr>
                <w:rFonts w:ascii="Arial" w:eastAsia="Times New Roman" w:hAnsi="Arial" w:cs="Arial"/>
                <w:b/>
                <w:sz w:val="20"/>
                <w:szCs w:val="20"/>
              </w:rPr>
              <w:t>2024</w:t>
            </w:r>
          </w:p>
        </w:tc>
        <w:tc>
          <w:tcPr>
            <w:tcW w:w="851" w:type="dxa"/>
            <w:gridSpan w:val="2"/>
            <w:vAlign w:val="center"/>
          </w:tcPr>
          <w:p w14:paraId="17DA12DB" w14:textId="77777777" w:rsidR="00EE6C17" w:rsidRPr="008A26D2" w:rsidRDefault="00EE6C17" w:rsidP="00EE6C17">
            <w:pPr>
              <w:spacing w:after="0" w:line="240" w:lineRule="auto"/>
              <w:jc w:val="center"/>
              <w:rPr>
                <w:rFonts w:ascii="Arial" w:eastAsia="Times New Roman" w:hAnsi="Arial" w:cs="Arial"/>
                <w:b/>
                <w:sz w:val="20"/>
                <w:szCs w:val="20"/>
              </w:rPr>
            </w:pPr>
            <w:r w:rsidRPr="008A26D2">
              <w:rPr>
                <w:rFonts w:ascii="Arial" w:eastAsia="Times New Roman" w:hAnsi="Arial" w:cs="Arial"/>
                <w:b/>
                <w:sz w:val="20"/>
                <w:szCs w:val="20"/>
              </w:rPr>
              <w:t>2025</w:t>
            </w:r>
          </w:p>
        </w:tc>
        <w:tc>
          <w:tcPr>
            <w:tcW w:w="850" w:type="dxa"/>
            <w:vAlign w:val="center"/>
          </w:tcPr>
          <w:p w14:paraId="24122956" w14:textId="77777777" w:rsidR="00EE6C17" w:rsidRPr="008A26D2" w:rsidRDefault="00EE6C17" w:rsidP="00EE6C17">
            <w:pPr>
              <w:spacing w:after="0" w:line="240" w:lineRule="auto"/>
              <w:jc w:val="center"/>
              <w:rPr>
                <w:rFonts w:ascii="Arial" w:eastAsia="Times New Roman" w:hAnsi="Arial" w:cs="Arial"/>
                <w:b/>
                <w:sz w:val="20"/>
                <w:szCs w:val="20"/>
              </w:rPr>
            </w:pPr>
            <w:r w:rsidRPr="008A26D2">
              <w:rPr>
                <w:rFonts w:ascii="Arial" w:eastAsia="Times New Roman" w:hAnsi="Arial" w:cs="Arial"/>
                <w:b/>
                <w:sz w:val="20"/>
                <w:szCs w:val="20"/>
              </w:rPr>
              <w:t>2026</w:t>
            </w:r>
          </w:p>
        </w:tc>
        <w:tc>
          <w:tcPr>
            <w:tcW w:w="993" w:type="dxa"/>
            <w:vAlign w:val="center"/>
          </w:tcPr>
          <w:p w14:paraId="67C8908C" w14:textId="77777777" w:rsidR="00EE6C17" w:rsidRPr="008A26D2" w:rsidRDefault="00EE6C17" w:rsidP="00EE6C17">
            <w:pPr>
              <w:spacing w:after="0" w:line="240" w:lineRule="auto"/>
              <w:jc w:val="center"/>
              <w:rPr>
                <w:rFonts w:ascii="Arial" w:eastAsia="Times New Roman" w:hAnsi="Arial" w:cs="Arial"/>
                <w:b/>
                <w:sz w:val="20"/>
                <w:szCs w:val="20"/>
              </w:rPr>
            </w:pPr>
            <w:r w:rsidRPr="008A26D2">
              <w:rPr>
                <w:rFonts w:ascii="Arial" w:eastAsia="Times New Roman" w:hAnsi="Arial" w:cs="Arial"/>
                <w:b/>
                <w:sz w:val="20"/>
                <w:szCs w:val="20"/>
              </w:rPr>
              <w:t>2027</w:t>
            </w:r>
          </w:p>
        </w:tc>
        <w:tc>
          <w:tcPr>
            <w:tcW w:w="850" w:type="dxa"/>
            <w:vAlign w:val="center"/>
          </w:tcPr>
          <w:p w14:paraId="145E2F91" w14:textId="77777777" w:rsidR="00EE6C17" w:rsidRPr="008A26D2" w:rsidRDefault="00EE6C17" w:rsidP="00EE6C17">
            <w:pPr>
              <w:spacing w:after="0" w:line="240" w:lineRule="auto"/>
              <w:jc w:val="center"/>
              <w:rPr>
                <w:rFonts w:ascii="Arial" w:eastAsia="Times New Roman" w:hAnsi="Arial" w:cs="Arial"/>
                <w:b/>
                <w:sz w:val="20"/>
                <w:szCs w:val="20"/>
              </w:rPr>
            </w:pPr>
            <w:r w:rsidRPr="008A26D2">
              <w:rPr>
                <w:rFonts w:ascii="Arial" w:eastAsia="Times New Roman" w:hAnsi="Arial" w:cs="Arial"/>
                <w:b/>
                <w:sz w:val="20"/>
                <w:szCs w:val="20"/>
              </w:rPr>
              <w:t>2028</w:t>
            </w:r>
          </w:p>
        </w:tc>
        <w:tc>
          <w:tcPr>
            <w:tcW w:w="851" w:type="dxa"/>
            <w:gridSpan w:val="2"/>
            <w:vAlign w:val="center"/>
          </w:tcPr>
          <w:p w14:paraId="7C5385F2" w14:textId="77777777" w:rsidR="00EE6C17" w:rsidRPr="008A26D2" w:rsidRDefault="00EE6C17" w:rsidP="00EE6C17">
            <w:pPr>
              <w:spacing w:after="0" w:line="240" w:lineRule="auto"/>
              <w:jc w:val="center"/>
              <w:rPr>
                <w:rFonts w:ascii="Arial" w:eastAsia="Times New Roman" w:hAnsi="Arial" w:cs="Arial"/>
                <w:b/>
                <w:sz w:val="20"/>
                <w:szCs w:val="20"/>
              </w:rPr>
            </w:pPr>
            <w:r w:rsidRPr="008A26D2">
              <w:rPr>
                <w:rFonts w:ascii="Arial" w:eastAsia="Times New Roman" w:hAnsi="Arial" w:cs="Arial"/>
                <w:b/>
                <w:sz w:val="20"/>
                <w:szCs w:val="20"/>
              </w:rPr>
              <w:t>2029</w:t>
            </w:r>
          </w:p>
        </w:tc>
        <w:tc>
          <w:tcPr>
            <w:tcW w:w="994" w:type="dxa"/>
            <w:vAlign w:val="center"/>
          </w:tcPr>
          <w:p w14:paraId="2B467E91" w14:textId="77777777" w:rsidR="00EE6C17" w:rsidRPr="008A26D2" w:rsidRDefault="00EE6C17" w:rsidP="00EE6C17">
            <w:pPr>
              <w:spacing w:after="0" w:line="240" w:lineRule="auto"/>
              <w:jc w:val="center"/>
              <w:rPr>
                <w:rFonts w:ascii="Arial" w:eastAsia="Times New Roman" w:hAnsi="Arial" w:cs="Arial"/>
                <w:b/>
                <w:sz w:val="20"/>
                <w:szCs w:val="20"/>
              </w:rPr>
            </w:pPr>
            <w:r w:rsidRPr="008A26D2">
              <w:rPr>
                <w:rFonts w:ascii="Arial" w:eastAsia="Times New Roman" w:hAnsi="Arial" w:cs="Arial"/>
                <w:b/>
                <w:sz w:val="20"/>
                <w:szCs w:val="20"/>
              </w:rPr>
              <w:t>2030</w:t>
            </w:r>
          </w:p>
        </w:tc>
      </w:tr>
      <w:tr w:rsidR="008A26D2" w:rsidRPr="008A26D2" w14:paraId="3045B865" w14:textId="77777777" w:rsidTr="00B87A55">
        <w:trPr>
          <w:trHeight w:val="81"/>
        </w:trPr>
        <w:tc>
          <w:tcPr>
            <w:tcW w:w="852" w:type="dxa"/>
            <w:tcMar>
              <w:top w:w="10" w:type="dxa"/>
              <w:left w:w="10" w:type="dxa"/>
              <w:bottom w:w="0" w:type="dxa"/>
              <w:right w:w="10" w:type="dxa"/>
            </w:tcMar>
            <w:vAlign w:val="center"/>
          </w:tcPr>
          <w:p w14:paraId="1AF40615" w14:textId="77777777" w:rsidR="00EE6C17" w:rsidRPr="008A26D2" w:rsidRDefault="00EE6C17" w:rsidP="00EE6C17">
            <w:pPr>
              <w:spacing w:after="0" w:line="240" w:lineRule="auto"/>
              <w:jc w:val="center"/>
              <w:rPr>
                <w:rFonts w:ascii="Arial" w:eastAsia="Times New Roman" w:hAnsi="Arial" w:cs="Arial"/>
                <w:sz w:val="20"/>
                <w:szCs w:val="20"/>
              </w:rPr>
            </w:pPr>
            <w:r w:rsidRPr="008A26D2">
              <w:rPr>
                <w:rFonts w:ascii="Arial" w:eastAsia="Times New Roman" w:hAnsi="Arial" w:cs="Arial"/>
                <w:b/>
                <w:sz w:val="20"/>
                <w:szCs w:val="20"/>
              </w:rPr>
              <w:t>Valor</w:t>
            </w:r>
          </w:p>
        </w:tc>
        <w:tc>
          <w:tcPr>
            <w:tcW w:w="850" w:type="dxa"/>
            <w:tcMar>
              <w:top w:w="10" w:type="dxa"/>
              <w:left w:w="10" w:type="dxa"/>
              <w:bottom w:w="0" w:type="dxa"/>
              <w:right w:w="10" w:type="dxa"/>
            </w:tcMar>
            <w:vAlign w:val="center"/>
          </w:tcPr>
          <w:p w14:paraId="1E9A1BF0" w14:textId="77777777" w:rsidR="00EE6C17" w:rsidRPr="008A26D2" w:rsidRDefault="00EE6C17" w:rsidP="00EE6C17">
            <w:pPr>
              <w:spacing w:after="0" w:line="240" w:lineRule="auto"/>
              <w:jc w:val="center"/>
              <w:rPr>
                <w:rFonts w:ascii="Arial" w:eastAsia="Times New Roman" w:hAnsi="Arial" w:cs="Arial"/>
                <w:sz w:val="20"/>
                <w:szCs w:val="20"/>
              </w:rPr>
            </w:pPr>
            <w:r w:rsidRPr="008A26D2">
              <w:rPr>
                <w:rFonts w:ascii="Arial" w:eastAsia="Times New Roman" w:hAnsi="Arial" w:cs="Arial"/>
                <w:sz w:val="20"/>
                <w:szCs w:val="20"/>
              </w:rPr>
              <w:t>19%</w:t>
            </w:r>
          </w:p>
        </w:tc>
        <w:tc>
          <w:tcPr>
            <w:tcW w:w="849" w:type="dxa"/>
            <w:gridSpan w:val="2"/>
            <w:tcMar>
              <w:top w:w="10" w:type="dxa"/>
              <w:left w:w="10" w:type="dxa"/>
              <w:bottom w:w="0" w:type="dxa"/>
              <w:right w:w="10" w:type="dxa"/>
            </w:tcMar>
            <w:vAlign w:val="center"/>
          </w:tcPr>
          <w:p w14:paraId="192E8488" w14:textId="77777777" w:rsidR="00EE6C17" w:rsidRPr="008A26D2" w:rsidRDefault="00EE6C17" w:rsidP="00EE6C17">
            <w:pPr>
              <w:spacing w:after="0" w:line="240" w:lineRule="auto"/>
              <w:jc w:val="center"/>
              <w:rPr>
                <w:rFonts w:ascii="Arial" w:eastAsia="Times New Roman" w:hAnsi="Arial" w:cs="Arial"/>
                <w:sz w:val="20"/>
                <w:szCs w:val="20"/>
              </w:rPr>
            </w:pPr>
            <w:r w:rsidRPr="008A26D2">
              <w:rPr>
                <w:rFonts w:ascii="Arial" w:eastAsia="Times New Roman" w:hAnsi="Arial" w:cs="Arial"/>
                <w:sz w:val="20"/>
                <w:szCs w:val="20"/>
              </w:rPr>
              <w:t>20%</w:t>
            </w:r>
          </w:p>
        </w:tc>
        <w:tc>
          <w:tcPr>
            <w:tcW w:w="850" w:type="dxa"/>
            <w:vAlign w:val="center"/>
          </w:tcPr>
          <w:p w14:paraId="289F0DAE" w14:textId="77777777" w:rsidR="00EE6C17" w:rsidRPr="008A26D2" w:rsidRDefault="00EE6C17" w:rsidP="00EE6C17">
            <w:pPr>
              <w:spacing w:after="0" w:line="240" w:lineRule="auto"/>
              <w:jc w:val="center"/>
              <w:rPr>
                <w:rFonts w:ascii="Arial" w:eastAsia="Times New Roman" w:hAnsi="Arial" w:cs="Arial"/>
                <w:sz w:val="20"/>
                <w:szCs w:val="20"/>
              </w:rPr>
            </w:pPr>
            <w:r w:rsidRPr="008A26D2">
              <w:rPr>
                <w:rFonts w:ascii="Arial" w:eastAsia="Times New Roman" w:hAnsi="Arial" w:cs="Arial"/>
                <w:sz w:val="20"/>
                <w:szCs w:val="20"/>
              </w:rPr>
              <w:t>25%</w:t>
            </w:r>
          </w:p>
        </w:tc>
        <w:tc>
          <w:tcPr>
            <w:tcW w:w="851" w:type="dxa"/>
            <w:gridSpan w:val="2"/>
            <w:vAlign w:val="center"/>
          </w:tcPr>
          <w:p w14:paraId="78DC8F7E" w14:textId="77777777" w:rsidR="00EE6C17" w:rsidRPr="008A26D2" w:rsidRDefault="00EE6C17" w:rsidP="00EE6C17">
            <w:pPr>
              <w:spacing w:after="0" w:line="240" w:lineRule="auto"/>
              <w:jc w:val="center"/>
              <w:rPr>
                <w:rFonts w:ascii="Arial" w:eastAsia="Times New Roman" w:hAnsi="Arial" w:cs="Arial"/>
                <w:sz w:val="20"/>
                <w:szCs w:val="20"/>
              </w:rPr>
            </w:pPr>
            <w:r w:rsidRPr="008A26D2">
              <w:rPr>
                <w:rFonts w:ascii="Arial" w:eastAsia="Times New Roman" w:hAnsi="Arial" w:cs="Arial"/>
                <w:sz w:val="20"/>
                <w:szCs w:val="20"/>
              </w:rPr>
              <w:t>40%</w:t>
            </w:r>
          </w:p>
        </w:tc>
        <w:tc>
          <w:tcPr>
            <w:tcW w:w="850" w:type="dxa"/>
            <w:vAlign w:val="center"/>
          </w:tcPr>
          <w:p w14:paraId="4079D952" w14:textId="77777777" w:rsidR="00EE6C17" w:rsidRPr="008A26D2" w:rsidRDefault="00EE6C17" w:rsidP="00EE6C17">
            <w:pPr>
              <w:spacing w:after="0" w:line="240" w:lineRule="auto"/>
              <w:jc w:val="center"/>
              <w:rPr>
                <w:rFonts w:ascii="Arial" w:eastAsia="Times New Roman" w:hAnsi="Arial" w:cs="Arial"/>
                <w:sz w:val="20"/>
                <w:szCs w:val="20"/>
              </w:rPr>
            </w:pPr>
            <w:r w:rsidRPr="008A26D2">
              <w:rPr>
                <w:rFonts w:ascii="Arial" w:eastAsia="Times New Roman" w:hAnsi="Arial" w:cs="Arial"/>
                <w:sz w:val="20"/>
                <w:szCs w:val="20"/>
              </w:rPr>
              <w:t>50%</w:t>
            </w:r>
          </w:p>
        </w:tc>
        <w:tc>
          <w:tcPr>
            <w:tcW w:w="993" w:type="dxa"/>
            <w:vAlign w:val="center"/>
          </w:tcPr>
          <w:p w14:paraId="1D930512" w14:textId="77777777" w:rsidR="00EE6C17" w:rsidRPr="008A26D2" w:rsidRDefault="00EE6C17" w:rsidP="00EE6C17">
            <w:pPr>
              <w:spacing w:after="0" w:line="240" w:lineRule="auto"/>
              <w:jc w:val="center"/>
              <w:rPr>
                <w:rFonts w:ascii="Arial" w:eastAsia="Times New Roman" w:hAnsi="Arial" w:cs="Arial"/>
                <w:sz w:val="20"/>
                <w:szCs w:val="20"/>
              </w:rPr>
            </w:pPr>
            <w:r w:rsidRPr="008A26D2">
              <w:rPr>
                <w:rFonts w:ascii="Arial" w:eastAsia="Times New Roman" w:hAnsi="Arial" w:cs="Arial"/>
                <w:sz w:val="20"/>
                <w:szCs w:val="20"/>
              </w:rPr>
              <w:t>60%</w:t>
            </w:r>
          </w:p>
        </w:tc>
        <w:tc>
          <w:tcPr>
            <w:tcW w:w="850" w:type="dxa"/>
            <w:vAlign w:val="center"/>
          </w:tcPr>
          <w:p w14:paraId="2C3634B2" w14:textId="77777777" w:rsidR="00EE6C17" w:rsidRPr="008A26D2" w:rsidRDefault="00EE6C17" w:rsidP="00EE6C17">
            <w:pPr>
              <w:spacing w:after="0" w:line="240" w:lineRule="auto"/>
              <w:jc w:val="center"/>
              <w:rPr>
                <w:rFonts w:ascii="Arial" w:eastAsia="Times New Roman" w:hAnsi="Arial" w:cs="Arial"/>
                <w:sz w:val="20"/>
                <w:szCs w:val="20"/>
              </w:rPr>
            </w:pPr>
            <w:r w:rsidRPr="008A26D2">
              <w:rPr>
                <w:rFonts w:ascii="Arial" w:eastAsia="Times New Roman" w:hAnsi="Arial" w:cs="Arial"/>
                <w:sz w:val="20"/>
                <w:szCs w:val="20"/>
              </w:rPr>
              <w:t>70%</w:t>
            </w:r>
          </w:p>
        </w:tc>
        <w:tc>
          <w:tcPr>
            <w:tcW w:w="851" w:type="dxa"/>
            <w:gridSpan w:val="2"/>
            <w:vAlign w:val="center"/>
          </w:tcPr>
          <w:p w14:paraId="36904A23" w14:textId="77777777" w:rsidR="00EE6C17" w:rsidRPr="008A26D2" w:rsidRDefault="00EE6C17" w:rsidP="00EE6C17">
            <w:pPr>
              <w:spacing w:after="0" w:line="240" w:lineRule="auto"/>
              <w:jc w:val="center"/>
              <w:rPr>
                <w:rFonts w:ascii="Arial" w:eastAsia="Times New Roman" w:hAnsi="Arial" w:cs="Arial"/>
                <w:sz w:val="20"/>
                <w:szCs w:val="20"/>
              </w:rPr>
            </w:pPr>
            <w:r w:rsidRPr="008A26D2">
              <w:rPr>
                <w:rFonts w:ascii="Arial" w:eastAsia="Times New Roman" w:hAnsi="Arial" w:cs="Arial"/>
                <w:sz w:val="20"/>
                <w:szCs w:val="20"/>
              </w:rPr>
              <w:t>80%</w:t>
            </w:r>
          </w:p>
        </w:tc>
        <w:tc>
          <w:tcPr>
            <w:tcW w:w="994" w:type="dxa"/>
            <w:vAlign w:val="center"/>
          </w:tcPr>
          <w:p w14:paraId="5878E067" w14:textId="77777777" w:rsidR="00EE6C17" w:rsidRPr="008A26D2" w:rsidRDefault="00EE6C17" w:rsidP="00EE6C17">
            <w:pPr>
              <w:spacing w:after="0" w:line="240" w:lineRule="auto"/>
              <w:jc w:val="center"/>
              <w:rPr>
                <w:rFonts w:ascii="Arial" w:eastAsia="Times New Roman" w:hAnsi="Arial" w:cs="Arial"/>
                <w:sz w:val="20"/>
                <w:szCs w:val="20"/>
              </w:rPr>
            </w:pPr>
            <w:r w:rsidRPr="008A26D2">
              <w:rPr>
                <w:rFonts w:ascii="Arial" w:eastAsia="Times New Roman" w:hAnsi="Arial" w:cs="Arial"/>
                <w:sz w:val="20"/>
                <w:szCs w:val="20"/>
              </w:rPr>
              <w:t>100%</w:t>
            </w:r>
          </w:p>
        </w:tc>
      </w:tr>
    </w:tbl>
    <w:p w14:paraId="1A326D96" w14:textId="77777777" w:rsidR="00EE6C17" w:rsidRPr="008A26D2" w:rsidRDefault="00EE6C17" w:rsidP="00A90E9C"/>
    <w:p w14:paraId="1E16CAA5" w14:textId="77777777" w:rsidR="00A90E9C" w:rsidRPr="008A26D2" w:rsidRDefault="00A90E9C" w:rsidP="00A90E9C"/>
    <w:tbl>
      <w:tblPr>
        <w:tblW w:w="8789"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1"/>
        <w:gridCol w:w="1134"/>
        <w:gridCol w:w="976"/>
        <w:gridCol w:w="710"/>
        <w:gridCol w:w="141"/>
        <w:gridCol w:w="850"/>
        <w:gridCol w:w="710"/>
        <w:gridCol w:w="709"/>
        <w:gridCol w:w="709"/>
        <w:gridCol w:w="21"/>
        <w:gridCol w:w="829"/>
        <w:gridCol w:w="709"/>
      </w:tblGrid>
      <w:tr w:rsidR="008A26D2" w:rsidRPr="008A26D2" w14:paraId="306E1C16" w14:textId="77777777" w:rsidTr="00685566">
        <w:trPr>
          <w:trHeight w:val="251"/>
        </w:trPr>
        <w:tc>
          <w:tcPr>
            <w:tcW w:w="8789" w:type="dxa"/>
            <w:gridSpan w:val="12"/>
            <w:shd w:val="clear" w:color="auto" w:fill="D9D9D9" w:themeFill="background1" w:themeFillShade="D9"/>
            <w:tcMar>
              <w:top w:w="10" w:type="dxa"/>
              <w:left w:w="10" w:type="dxa"/>
              <w:bottom w:w="0" w:type="dxa"/>
              <w:right w:w="10" w:type="dxa"/>
            </w:tcMar>
            <w:vAlign w:val="center"/>
          </w:tcPr>
          <w:p w14:paraId="6B68D988" w14:textId="77777777" w:rsidR="00A90E9C" w:rsidRPr="008A26D2" w:rsidRDefault="00A90E9C" w:rsidP="0072651A">
            <w:pPr>
              <w:jc w:val="center"/>
              <w:rPr>
                <w:rFonts w:ascii="Arial" w:hAnsi="Arial" w:cs="Arial"/>
                <w:sz w:val="20"/>
                <w:szCs w:val="20"/>
              </w:rPr>
            </w:pPr>
            <w:r w:rsidRPr="008A26D2">
              <w:rPr>
                <w:rFonts w:ascii="Arial" w:hAnsi="Arial" w:cs="Arial"/>
                <w:sz w:val="20"/>
                <w:szCs w:val="20"/>
              </w:rPr>
              <w:br w:type="page"/>
            </w:r>
            <w:r w:rsidRPr="008A26D2">
              <w:rPr>
                <w:rFonts w:ascii="Arial" w:hAnsi="Arial" w:cs="Arial"/>
                <w:b/>
                <w:sz w:val="20"/>
                <w:szCs w:val="20"/>
              </w:rPr>
              <w:t>FICHA TÉCNICA DE INDICADOR DE SERVICIO 1.6.1</w:t>
            </w:r>
          </w:p>
        </w:tc>
      </w:tr>
      <w:tr w:rsidR="008A26D2" w:rsidRPr="008A26D2" w14:paraId="1451AEC3" w14:textId="77777777" w:rsidTr="00685566">
        <w:trPr>
          <w:trHeight w:val="409"/>
        </w:trPr>
        <w:tc>
          <w:tcPr>
            <w:tcW w:w="2425" w:type="dxa"/>
            <w:gridSpan w:val="2"/>
            <w:shd w:val="clear" w:color="auto" w:fill="FFFFFF"/>
            <w:tcMar>
              <w:top w:w="10" w:type="dxa"/>
              <w:left w:w="93" w:type="dxa"/>
              <w:bottom w:w="0" w:type="dxa"/>
              <w:right w:w="10" w:type="dxa"/>
            </w:tcMar>
            <w:vAlign w:val="center"/>
          </w:tcPr>
          <w:p w14:paraId="0B383E34" w14:textId="77777777" w:rsidR="00A90E9C" w:rsidRPr="008A26D2" w:rsidRDefault="00A90E9C" w:rsidP="0072651A">
            <w:pPr>
              <w:rPr>
                <w:rFonts w:ascii="Arial" w:hAnsi="Arial" w:cs="Arial"/>
                <w:sz w:val="20"/>
                <w:szCs w:val="20"/>
              </w:rPr>
            </w:pPr>
            <w:r w:rsidRPr="008A26D2">
              <w:rPr>
                <w:rFonts w:ascii="Arial" w:hAnsi="Arial" w:cs="Arial"/>
                <w:b/>
                <w:sz w:val="20"/>
                <w:szCs w:val="20"/>
              </w:rPr>
              <w:t>Objetivo prioritario:</w:t>
            </w:r>
          </w:p>
        </w:tc>
        <w:tc>
          <w:tcPr>
            <w:tcW w:w="6364" w:type="dxa"/>
            <w:gridSpan w:val="10"/>
            <w:shd w:val="clear" w:color="auto" w:fill="FFFFFF"/>
            <w:tcMar>
              <w:top w:w="51" w:type="dxa"/>
              <w:left w:w="227" w:type="dxa"/>
              <w:bottom w:w="51" w:type="dxa"/>
              <w:right w:w="227" w:type="dxa"/>
            </w:tcMar>
            <w:vAlign w:val="center"/>
          </w:tcPr>
          <w:p w14:paraId="07B70BF0" w14:textId="77777777" w:rsidR="00A90E9C" w:rsidRPr="008A26D2" w:rsidRDefault="00A90E9C" w:rsidP="0072651A">
            <w:pPr>
              <w:pBdr>
                <w:top w:val="nil"/>
                <w:left w:val="nil"/>
                <w:bottom w:val="nil"/>
                <w:right w:val="nil"/>
                <w:between w:val="nil"/>
              </w:pBdr>
              <w:spacing w:after="0" w:line="240" w:lineRule="auto"/>
              <w:jc w:val="both"/>
              <w:rPr>
                <w:rFonts w:ascii="Arial" w:hAnsi="Arial" w:cs="Arial"/>
                <w:sz w:val="20"/>
                <w:szCs w:val="20"/>
              </w:rPr>
            </w:pPr>
            <w:r w:rsidRPr="008A26D2">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r>
      <w:tr w:rsidR="008A26D2" w:rsidRPr="008A26D2" w14:paraId="37B5A9B6" w14:textId="77777777" w:rsidTr="00685566">
        <w:trPr>
          <w:trHeight w:val="436"/>
        </w:trPr>
        <w:tc>
          <w:tcPr>
            <w:tcW w:w="2425" w:type="dxa"/>
            <w:gridSpan w:val="2"/>
            <w:shd w:val="clear" w:color="auto" w:fill="auto"/>
            <w:tcMar>
              <w:top w:w="10" w:type="dxa"/>
              <w:left w:w="93" w:type="dxa"/>
              <w:bottom w:w="0" w:type="dxa"/>
              <w:right w:w="10" w:type="dxa"/>
            </w:tcMar>
            <w:vAlign w:val="center"/>
          </w:tcPr>
          <w:p w14:paraId="1CAA27A3" w14:textId="77777777" w:rsidR="00A90E9C" w:rsidRPr="008A26D2" w:rsidRDefault="00A90E9C" w:rsidP="0072651A">
            <w:pPr>
              <w:rPr>
                <w:rFonts w:ascii="Arial" w:hAnsi="Arial" w:cs="Arial"/>
                <w:sz w:val="20"/>
                <w:szCs w:val="20"/>
              </w:rPr>
            </w:pPr>
            <w:r w:rsidRPr="008A26D2">
              <w:rPr>
                <w:rFonts w:ascii="Arial" w:hAnsi="Arial" w:cs="Arial"/>
                <w:b/>
                <w:sz w:val="20"/>
                <w:szCs w:val="20"/>
              </w:rPr>
              <w:t>Lineamiento de la política:</w:t>
            </w:r>
          </w:p>
        </w:tc>
        <w:tc>
          <w:tcPr>
            <w:tcW w:w="6364" w:type="dxa"/>
            <w:gridSpan w:val="10"/>
            <w:shd w:val="clear" w:color="auto" w:fill="auto"/>
            <w:tcMar>
              <w:top w:w="51" w:type="dxa"/>
              <w:left w:w="227" w:type="dxa"/>
              <w:bottom w:w="51" w:type="dxa"/>
              <w:right w:w="227" w:type="dxa"/>
            </w:tcMar>
            <w:vAlign w:val="center"/>
          </w:tcPr>
          <w:p w14:paraId="46BF65EA" w14:textId="77777777" w:rsidR="00A90E9C" w:rsidRPr="008A26D2" w:rsidRDefault="00A90E9C" w:rsidP="0072651A">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L1.6 Fomentar el aprovechamiento sostenible de los recursos forestales y de fauna silvestre</w:t>
            </w:r>
          </w:p>
        </w:tc>
      </w:tr>
      <w:tr w:rsidR="008A26D2" w:rsidRPr="008A26D2" w14:paraId="507BC459" w14:textId="77777777" w:rsidTr="00685566">
        <w:trPr>
          <w:trHeight w:val="404"/>
        </w:trPr>
        <w:tc>
          <w:tcPr>
            <w:tcW w:w="2425" w:type="dxa"/>
            <w:gridSpan w:val="2"/>
            <w:shd w:val="clear" w:color="auto" w:fill="auto"/>
            <w:tcMar>
              <w:top w:w="10" w:type="dxa"/>
              <w:left w:w="93" w:type="dxa"/>
              <w:bottom w:w="0" w:type="dxa"/>
              <w:right w:w="10" w:type="dxa"/>
            </w:tcMar>
            <w:vAlign w:val="center"/>
          </w:tcPr>
          <w:p w14:paraId="4F3C6D94" w14:textId="77777777" w:rsidR="00A90E9C" w:rsidRPr="008A26D2" w:rsidRDefault="00A90E9C" w:rsidP="0072651A">
            <w:pPr>
              <w:rPr>
                <w:rFonts w:ascii="Arial" w:hAnsi="Arial" w:cs="Arial"/>
                <w:sz w:val="20"/>
                <w:szCs w:val="20"/>
              </w:rPr>
            </w:pPr>
            <w:r w:rsidRPr="008A26D2">
              <w:rPr>
                <w:rFonts w:ascii="Arial" w:hAnsi="Arial" w:cs="Arial"/>
                <w:b/>
                <w:sz w:val="20"/>
                <w:szCs w:val="20"/>
              </w:rPr>
              <w:t>Nombre del servicio:</w:t>
            </w:r>
          </w:p>
        </w:tc>
        <w:tc>
          <w:tcPr>
            <w:tcW w:w="6364" w:type="dxa"/>
            <w:gridSpan w:val="10"/>
            <w:shd w:val="clear" w:color="auto" w:fill="auto"/>
            <w:tcMar>
              <w:top w:w="51" w:type="dxa"/>
              <w:left w:w="227" w:type="dxa"/>
              <w:bottom w:w="51" w:type="dxa"/>
              <w:right w:w="227" w:type="dxa"/>
            </w:tcMar>
            <w:vAlign w:val="center"/>
          </w:tcPr>
          <w:p w14:paraId="5C44A506" w14:textId="461F2B6A" w:rsidR="00A90E9C" w:rsidRPr="008A26D2" w:rsidRDefault="00A90E9C" w:rsidP="0072651A">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S1.6.1 </w:t>
            </w:r>
            <w:r w:rsidR="00F43B15" w:rsidRPr="008A26D2">
              <w:rPr>
                <w:rFonts w:ascii="Arial" w:eastAsia="Arial Narrow" w:hAnsi="Arial" w:cs="Arial"/>
                <w:sz w:val="20"/>
                <w:szCs w:val="20"/>
              </w:rPr>
              <w:t>Fortalecimiento de capacidades en el aprovechamiento sostenible y conservación de los recursos forestales y de fauna silvestre de forma satisfactoria a los usuarios forestales y de fauna silvestre</w:t>
            </w:r>
          </w:p>
        </w:tc>
      </w:tr>
      <w:tr w:rsidR="008A26D2" w:rsidRPr="008A26D2" w14:paraId="00EB6D04" w14:textId="77777777" w:rsidTr="00685566">
        <w:trPr>
          <w:trHeight w:val="577"/>
        </w:trPr>
        <w:tc>
          <w:tcPr>
            <w:tcW w:w="2425" w:type="dxa"/>
            <w:gridSpan w:val="2"/>
            <w:shd w:val="clear" w:color="auto" w:fill="auto"/>
            <w:tcMar>
              <w:top w:w="10" w:type="dxa"/>
              <w:left w:w="93" w:type="dxa"/>
              <w:bottom w:w="0" w:type="dxa"/>
              <w:right w:w="10" w:type="dxa"/>
            </w:tcMar>
            <w:vAlign w:val="center"/>
          </w:tcPr>
          <w:p w14:paraId="37287D1F" w14:textId="77777777" w:rsidR="00A90E9C" w:rsidRPr="008A26D2" w:rsidRDefault="00A90E9C" w:rsidP="0072651A">
            <w:pPr>
              <w:rPr>
                <w:rFonts w:ascii="Arial" w:hAnsi="Arial" w:cs="Arial"/>
                <w:sz w:val="20"/>
                <w:szCs w:val="20"/>
              </w:rPr>
            </w:pPr>
            <w:r w:rsidRPr="008A26D2">
              <w:rPr>
                <w:rFonts w:ascii="Arial" w:hAnsi="Arial" w:cs="Arial"/>
                <w:b/>
                <w:sz w:val="20"/>
                <w:szCs w:val="20"/>
              </w:rPr>
              <w:t>Nombre del indicador:</w:t>
            </w:r>
          </w:p>
        </w:tc>
        <w:tc>
          <w:tcPr>
            <w:tcW w:w="6364" w:type="dxa"/>
            <w:gridSpan w:val="10"/>
            <w:shd w:val="clear" w:color="auto" w:fill="auto"/>
            <w:tcMar>
              <w:top w:w="51" w:type="dxa"/>
              <w:left w:w="227" w:type="dxa"/>
              <w:bottom w:w="51" w:type="dxa"/>
              <w:right w:w="227" w:type="dxa"/>
            </w:tcMar>
            <w:vAlign w:val="bottom"/>
          </w:tcPr>
          <w:p w14:paraId="2754F298" w14:textId="065C547F" w:rsidR="00A90E9C" w:rsidRPr="008A26D2" w:rsidRDefault="00F43B15" w:rsidP="0072651A">
            <w:pPr>
              <w:pBdr>
                <w:top w:val="nil"/>
                <w:left w:val="nil"/>
                <w:bottom w:val="nil"/>
                <w:right w:val="nil"/>
                <w:between w:val="nil"/>
              </w:pBdr>
              <w:spacing w:after="0" w:line="240" w:lineRule="auto"/>
              <w:jc w:val="both"/>
              <w:rPr>
                <w:rFonts w:ascii="Arial" w:eastAsia="Arial Narrow" w:hAnsi="Arial" w:cs="Arial"/>
                <w:strike/>
                <w:sz w:val="20"/>
                <w:szCs w:val="20"/>
              </w:rPr>
            </w:pPr>
            <w:r w:rsidRPr="008A26D2">
              <w:rPr>
                <w:rFonts w:ascii="Arial" w:eastAsia="Times New Roman" w:hAnsi="Arial" w:cs="Arial"/>
                <w:sz w:val="20"/>
                <w:szCs w:val="20"/>
                <w:lang w:val="es-ES"/>
              </w:rPr>
              <w:t xml:space="preserve">Porcentaje de </w:t>
            </w:r>
            <w:r w:rsidRPr="008A26D2">
              <w:rPr>
                <w:rFonts w:ascii="Arial" w:eastAsia="Times New Roman" w:hAnsi="Arial" w:cs="Arial"/>
                <w:sz w:val="20"/>
                <w:szCs w:val="20"/>
              </w:rPr>
              <w:t>usuarios forestales y de fauna silvestre</w:t>
            </w:r>
            <w:r w:rsidRPr="008A26D2">
              <w:rPr>
                <w:rFonts w:ascii="Arial" w:eastAsia="Times New Roman" w:hAnsi="Arial" w:cs="Arial"/>
                <w:sz w:val="20"/>
                <w:szCs w:val="20"/>
                <w:lang w:val="es-ES"/>
              </w:rPr>
              <w:t xml:space="preserve"> con alto grado de satisfacción sobre el fortalecimiento de capacidades recibidas en </w:t>
            </w:r>
            <w:r w:rsidRPr="008A26D2">
              <w:rPr>
                <w:rFonts w:ascii="Arial" w:eastAsia="Arial Narrow" w:hAnsi="Arial" w:cs="Arial"/>
                <w:sz w:val="20"/>
                <w:szCs w:val="20"/>
              </w:rPr>
              <w:t>aprovechamiento sostenible y conservación de los recursos forestales y de fauna silvestre</w:t>
            </w:r>
          </w:p>
        </w:tc>
      </w:tr>
      <w:tr w:rsidR="008A26D2" w:rsidRPr="008A26D2" w14:paraId="063E150D" w14:textId="77777777" w:rsidTr="00685566">
        <w:trPr>
          <w:trHeight w:val="577"/>
        </w:trPr>
        <w:tc>
          <w:tcPr>
            <w:tcW w:w="2425" w:type="dxa"/>
            <w:gridSpan w:val="2"/>
            <w:shd w:val="clear" w:color="auto" w:fill="auto"/>
            <w:tcMar>
              <w:top w:w="10" w:type="dxa"/>
              <w:left w:w="93" w:type="dxa"/>
              <w:bottom w:w="0" w:type="dxa"/>
              <w:right w:w="10" w:type="dxa"/>
            </w:tcMar>
            <w:vAlign w:val="center"/>
          </w:tcPr>
          <w:p w14:paraId="62C1E3FB" w14:textId="77777777" w:rsidR="00A90E9C" w:rsidRPr="008A26D2" w:rsidRDefault="00A90E9C" w:rsidP="0072651A">
            <w:pPr>
              <w:rPr>
                <w:rFonts w:ascii="Arial" w:hAnsi="Arial" w:cs="Arial"/>
                <w:sz w:val="20"/>
                <w:szCs w:val="20"/>
              </w:rPr>
            </w:pPr>
            <w:r w:rsidRPr="008A26D2">
              <w:rPr>
                <w:rFonts w:ascii="Arial" w:hAnsi="Arial" w:cs="Arial"/>
                <w:b/>
                <w:sz w:val="20"/>
                <w:szCs w:val="20"/>
              </w:rPr>
              <w:t>Justificación:</w:t>
            </w:r>
          </w:p>
        </w:tc>
        <w:tc>
          <w:tcPr>
            <w:tcW w:w="6364" w:type="dxa"/>
            <w:gridSpan w:val="10"/>
            <w:shd w:val="clear" w:color="auto" w:fill="auto"/>
            <w:tcMar>
              <w:top w:w="51" w:type="dxa"/>
              <w:left w:w="227" w:type="dxa"/>
              <w:bottom w:w="51" w:type="dxa"/>
              <w:right w:w="227" w:type="dxa"/>
            </w:tcMar>
            <w:vAlign w:val="center"/>
          </w:tcPr>
          <w:p w14:paraId="4353F07F" w14:textId="452D9ED9" w:rsidR="00A90E9C" w:rsidRPr="008A26D2" w:rsidRDefault="00A90E9C" w:rsidP="0072651A">
            <w:pPr>
              <w:pBdr>
                <w:top w:val="nil"/>
                <w:left w:val="nil"/>
                <w:bottom w:val="nil"/>
                <w:right w:val="nil"/>
                <w:between w:val="nil"/>
              </w:pBdr>
              <w:spacing w:after="0" w:line="240" w:lineRule="auto"/>
              <w:jc w:val="both"/>
              <w:rPr>
                <w:rFonts w:ascii="Arial" w:eastAsia="Arial Narrow" w:hAnsi="Arial" w:cs="Arial"/>
                <w:strike/>
                <w:sz w:val="20"/>
                <w:szCs w:val="20"/>
              </w:rPr>
            </w:pPr>
            <w:r w:rsidRPr="008A26D2">
              <w:rPr>
                <w:rFonts w:ascii="Arial" w:eastAsia="Times New Roman" w:hAnsi="Arial" w:cs="Arial"/>
                <w:sz w:val="20"/>
                <w:szCs w:val="20"/>
                <w:lang w:val="es-ES"/>
              </w:rPr>
              <w:t xml:space="preserve">El indicador cuantifica el porcentaje de </w:t>
            </w:r>
            <w:r w:rsidRPr="008A26D2">
              <w:rPr>
                <w:rFonts w:ascii="Arial" w:eastAsia="Times New Roman" w:hAnsi="Arial" w:cs="Arial"/>
                <w:sz w:val="20"/>
                <w:szCs w:val="20"/>
              </w:rPr>
              <w:t>usuarios forestales y de fauna silvestre</w:t>
            </w:r>
            <w:r w:rsidR="00CF4AAF" w:rsidRPr="008A26D2">
              <w:rPr>
                <w:rFonts w:ascii="Arial" w:eastAsia="Times New Roman" w:hAnsi="Arial" w:cs="Arial"/>
                <w:sz w:val="20"/>
                <w:szCs w:val="20"/>
              </w:rPr>
              <w:t xml:space="preserve"> </w:t>
            </w:r>
            <w:r w:rsidRPr="008A26D2">
              <w:rPr>
                <w:rFonts w:ascii="Arial" w:eastAsia="Times New Roman" w:hAnsi="Arial" w:cs="Arial"/>
                <w:sz w:val="20"/>
                <w:szCs w:val="20"/>
                <w:lang w:val="es-ES"/>
              </w:rPr>
              <w:t xml:space="preserve">que perciben un alto grado de satisfacción sobre el fortalecimiento de capacidades recibidas en </w:t>
            </w:r>
            <w:r w:rsidRPr="008A26D2">
              <w:rPr>
                <w:rFonts w:ascii="Arial" w:eastAsia="Arial Narrow" w:hAnsi="Arial" w:cs="Arial"/>
                <w:sz w:val="20"/>
                <w:szCs w:val="20"/>
              </w:rPr>
              <w:t>aprovechamiento sostenible y conservación de los recursos forestales y de fauna silvestre</w:t>
            </w:r>
            <w:r w:rsidRPr="008A26D2">
              <w:rPr>
                <w:rFonts w:ascii="Arial" w:eastAsia="Times New Roman" w:hAnsi="Arial" w:cs="Arial"/>
                <w:sz w:val="20"/>
                <w:szCs w:val="20"/>
                <w:lang w:val="es-ES"/>
              </w:rPr>
              <w:t>. De esta manera, el indicador facilitará el seguimiento de la satisfacción del servicio y establecer acciones de mejora correspondientes.</w:t>
            </w:r>
          </w:p>
        </w:tc>
      </w:tr>
      <w:tr w:rsidR="008A26D2" w:rsidRPr="008A26D2" w14:paraId="03B5BDCD" w14:textId="77777777" w:rsidTr="00685566">
        <w:trPr>
          <w:trHeight w:val="352"/>
        </w:trPr>
        <w:tc>
          <w:tcPr>
            <w:tcW w:w="2425" w:type="dxa"/>
            <w:gridSpan w:val="2"/>
            <w:shd w:val="clear" w:color="auto" w:fill="auto"/>
            <w:tcMar>
              <w:top w:w="10" w:type="dxa"/>
              <w:left w:w="93" w:type="dxa"/>
              <w:bottom w:w="0" w:type="dxa"/>
              <w:right w:w="10" w:type="dxa"/>
            </w:tcMar>
            <w:vAlign w:val="center"/>
          </w:tcPr>
          <w:p w14:paraId="16BA5031" w14:textId="77777777" w:rsidR="00A90E9C" w:rsidRPr="008A26D2" w:rsidRDefault="00A90E9C" w:rsidP="0072651A">
            <w:pPr>
              <w:rPr>
                <w:rFonts w:ascii="Arial" w:hAnsi="Arial" w:cs="Arial"/>
                <w:sz w:val="20"/>
                <w:szCs w:val="20"/>
              </w:rPr>
            </w:pPr>
            <w:r w:rsidRPr="008A26D2">
              <w:rPr>
                <w:rFonts w:ascii="Arial" w:hAnsi="Arial" w:cs="Arial"/>
                <w:b/>
                <w:sz w:val="20"/>
                <w:szCs w:val="20"/>
              </w:rPr>
              <w:lastRenderedPageBreak/>
              <w:t>Responsable del indicador:</w:t>
            </w:r>
          </w:p>
        </w:tc>
        <w:tc>
          <w:tcPr>
            <w:tcW w:w="6364" w:type="dxa"/>
            <w:gridSpan w:val="10"/>
            <w:shd w:val="clear" w:color="auto" w:fill="auto"/>
            <w:tcMar>
              <w:top w:w="51" w:type="dxa"/>
              <w:left w:w="227" w:type="dxa"/>
              <w:bottom w:w="51" w:type="dxa"/>
              <w:right w:w="227" w:type="dxa"/>
            </w:tcMar>
            <w:vAlign w:val="center"/>
          </w:tcPr>
          <w:p w14:paraId="04A331AF" w14:textId="49D4AEB4" w:rsidR="00A90E9C" w:rsidRPr="008A26D2" w:rsidRDefault="00A90E9C" w:rsidP="0072651A">
            <w:pPr>
              <w:rPr>
                <w:rFonts w:ascii="Arial" w:eastAsia="Arial Narrow" w:hAnsi="Arial" w:cs="Arial"/>
                <w:sz w:val="20"/>
                <w:szCs w:val="20"/>
              </w:rPr>
            </w:pPr>
            <w:r w:rsidRPr="008A26D2">
              <w:rPr>
                <w:rFonts w:ascii="Arial" w:eastAsia="Times New Roman" w:hAnsi="Arial" w:cs="Arial"/>
                <w:sz w:val="20"/>
                <w:szCs w:val="20"/>
              </w:rPr>
              <w:t>Dirección de Fortalecimiento de Capacidades del Servicio Nacional Forestal y de Fauna Silvestre - SERFOR</w:t>
            </w:r>
          </w:p>
        </w:tc>
      </w:tr>
      <w:tr w:rsidR="008A26D2" w:rsidRPr="008A26D2" w14:paraId="7BB2B010" w14:textId="77777777" w:rsidTr="00685566">
        <w:trPr>
          <w:trHeight w:val="638"/>
        </w:trPr>
        <w:tc>
          <w:tcPr>
            <w:tcW w:w="2425" w:type="dxa"/>
            <w:gridSpan w:val="2"/>
            <w:shd w:val="clear" w:color="auto" w:fill="auto"/>
            <w:tcMar>
              <w:top w:w="10" w:type="dxa"/>
              <w:left w:w="93" w:type="dxa"/>
              <w:bottom w:w="0" w:type="dxa"/>
              <w:right w:w="10" w:type="dxa"/>
            </w:tcMar>
            <w:vAlign w:val="center"/>
          </w:tcPr>
          <w:p w14:paraId="6E3F0FED" w14:textId="77777777" w:rsidR="00A90E9C" w:rsidRPr="008A26D2" w:rsidRDefault="00A90E9C" w:rsidP="0072651A">
            <w:pPr>
              <w:rPr>
                <w:rFonts w:ascii="Arial" w:hAnsi="Arial" w:cs="Arial"/>
                <w:sz w:val="20"/>
                <w:szCs w:val="20"/>
              </w:rPr>
            </w:pPr>
            <w:r w:rsidRPr="008A26D2">
              <w:rPr>
                <w:rFonts w:ascii="Arial" w:hAnsi="Arial" w:cs="Arial"/>
                <w:b/>
                <w:sz w:val="20"/>
                <w:szCs w:val="20"/>
              </w:rPr>
              <w:t>Limitaciones para la medición del indicador:</w:t>
            </w:r>
          </w:p>
        </w:tc>
        <w:tc>
          <w:tcPr>
            <w:tcW w:w="6364" w:type="dxa"/>
            <w:gridSpan w:val="10"/>
            <w:shd w:val="clear" w:color="auto" w:fill="auto"/>
            <w:tcMar>
              <w:top w:w="51" w:type="dxa"/>
              <w:left w:w="227" w:type="dxa"/>
              <w:bottom w:w="51" w:type="dxa"/>
              <w:right w:w="227" w:type="dxa"/>
            </w:tcMar>
            <w:vAlign w:val="center"/>
          </w:tcPr>
          <w:p w14:paraId="0452E89E" w14:textId="77777777" w:rsidR="00A90E9C" w:rsidRPr="008A26D2" w:rsidRDefault="00A90E9C" w:rsidP="0072651A">
            <w:pPr>
              <w:rPr>
                <w:rFonts w:ascii="Arial" w:hAnsi="Arial" w:cs="Arial"/>
                <w:sz w:val="20"/>
                <w:szCs w:val="20"/>
              </w:rPr>
            </w:pPr>
            <w:r w:rsidRPr="008A26D2">
              <w:rPr>
                <w:rFonts w:ascii="Arial" w:eastAsia="Times New Roman" w:hAnsi="Arial" w:cs="Arial"/>
                <w:sz w:val="20"/>
                <w:szCs w:val="20"/>
              </w:rPr>
              <w:t xml:space="preserve">No presenta limitaciones </w:t>
            </w:r>
          </w:p>
        </w:tc>
      </w:tr>
      <w:tr w:rsidR="008A26D2" w:rsidRPr="008A26D2" w14:paraId="4576CA81" w14:textId="77777777" w:rsidTr="00685566">
        <w:trPr>
          <w:trHeight w:val="231"/>
        </w:trPr>
        <w:tc>
          <w:tcPr>
            <w:tcW w:w="2425" w:type="dxa"/>
            <w:gridSpan w:val="2"/>
            <w:shd w:val="clear" w:color="auto" w:fill="auto"/>
            <w:tcMar>
              <w:top w:w="10" w:type="dxa"/>
              <w:left w:w="93" w:type="dxa"/>
              <w:bottom w:w="0" w:type="dxa"/>
              <w:right w:w="10" w:type="dxa"/>
            </w:tcMar>
            <w:vAlign w:val="center"/>
          </w:tcPr>
          <w:p w14:paraId="11195EA2" w14:textId="77777777" w:rsidR="00A90E9C" w:rsidRPr="008A26D2" w:rsidRDefault="00A90E9C" w:rsidP="0072651A">
            <w:pPr>
              <w:rPr>
                <w:rFonts w:ascii="Arial" w:hAnsi="Arial" w:cs="Arial"/>
                <w:sz w:val="20"/>
                <w:szCs w:val="20"/>
              </w:rPr>
            </w:pPr>
            <w:r w:rsidRPr="008A26D2">
              <w:rPr>
                <w:rFonts w:ascii="Arial" w:hAnsi="Arial" w:cs="Arial"/>
                <w:b/>
                <w:sz w:val="20"/>
                <w:szCs w:val="20"/>
              </w:rPr>
              <w:t xml:space="preserve">Método de cálculo: </w:t>
            </w:r>
          </w:p>
        </w:tc>
        <w:tc>
          <w:tcPr>
            <w:tcW w:w="6364" w:type="dxa"/>
            <w:gridSpan w:val="10"/>
            <w:shd w:val="clear" w:color="auto" w:fill="auto"/>
            <w:tcMar>
              <w:top w:w="51" w:type="dxa"/>
              <w:left w:w="227" w:type="dxa"/>
              <w:bottom w:w="51" w:type="dxa"/>
              <w:right w:w="227" w:type="dxa"/>
            </w:tcMar>
            <w:vAlign w:val="center"/>
          </w:tcPr>
          <w:p w14:paraId="15503A68" w14:textId="77777777" w:rsidR="00A90E9C" w:rsidRPr="008A26D2" w:rsidRDefault="00A90E9C" w:rsidP="0072651A">
            <w:pPr>
              <w:rPr>
                <w:rFonts w:ascii="Arial" w:eastAsia="Arial Narrow" w:hAnsi="Arial" w:cs="Arial"/>
                <w:b/>
                <w:sz w:val="20"/>
                <w:szCs w:val="20"/>
              </w:rPr>
            </w:pPr>
            <w:r w:rsidRPr="008A26D2">
              <w:rPr>
                <w:rFonts w:ascii="Arial" w:eastAsia="Arial Narrow" w:hAnsi="Arial" w:cs="Arial"/>
                <w:b/>
                <w:sz w:val="20"/>
                <w:szCs w:val="20"/>
              </w:rPr>
              <w:t>1. Fórmula:</w:t>
            </w:r>
          </w:p>
          <w:p w14:paraId="41DD5B2F" w14:textId="2E946227" w:rsidR="00A90E9C" w:rsidRPr="008A26D2" w:rsidRDefault="00685566" w:rsidP="0072651A">
            <w:pPr>
              <w:rPr>
                <w:rFonts w:ascii="Arial" w:eastAsia="Times New Roman" w:hAnsi="Arial" w:cs="Arial"/>
                <w:sz w:val="20"/>
                <w:szCs w:val="20"/>
              </w:rPr>
            </w:pPr>
            <w:r w:rsidRPr="008A26D2">
              <w:rPr>
                <w:rFonts w:ascii="Arial" w:eastAsia="Times New Roman" w:hAnsi="Arial" w:cs="Arial"/>
                <w:sz w:val="20"/>
                <w:szCs w:val="20"/>
              </w:rPr>
              <w:t>(</w:t>
            </w:r>
            <w:r w:rsidR="00A90E9C" w:rsidRPr="008A26D2">
              <w:rPr>
                <w:rFonts w:ascii="Arial" w:eastAsia="Times New Roman" w:hAnsi="Arial" w:cs="Arial"/>
                <w:sz w:val="20"/>
                <w:szCs w:val="20"/>
              </w:rPr>
              <w:t>A/B</w:t>
            </w:r>
            <w:r w:rsidRPr="008A26D2">
              <w:rPr>
                <w:rFonts w:ascii="Arial" w:eastAsia="Times New Roman" w:hAnsi="Arial" w:cs="Arial"/>
                <w:sz w:val="20"/>
                <w:szCs w:val="20"/>
              </w:rPr>
              <w:t>)</w:t>
            </w:r>
            <w:r w:rsidR="00A90E9C" w:rsidRPr="008A26D2">
              <w:rPr>
                <w:rFonts w:ascii="Arial" w:eastAsia="Times New Roman" w:hAnsi="Arial" w:cs="Arial"/>
                <w:sz w:val="20"/>
                <w:szCs w:val="20"/>
              </w:rPr>
              <w:t>*100</w:t>
            </w:r>
          </w:p>
          <w:p w14:paraId="63FFE4C7" w14:textId="77777777" w:rsidR="00A90E9C" w:rsidRPr="008A26D2" w:rsidRDefault="00A90E9C" w:rsidP="0072651A">
            <w:pPr>
              <w:rPr>
                <w:rFonts w:ascii="Arial" w:eastAsia="Times New Roman" w:hAnsi="Arial" w:cs="Arial"/>
                <w:sz w:val="20"/>
                <w:szCs w:val="20"/>
              </w:rPr>
            </w:pPr>
            <w:r w:rsidRPr="008A26D2">
              <w:rPr>
                <w:rFonts w:ascii="Arial" w:eastAsia="Times New Roman" w:hAnsi="Arial" w:cs="Arial"/>
                <w:sz w:val="20"/>
                <w:szCs w:val="20"/>
              </w:rPr>
              <w:t>Donde:</w:t>
            </w:r>
          </w:p>
          <w:p w14:paraId="6AF883CD" w14:textId="1D3071BD" w:rsidR="00A90E9C" w:rsidRPr="008A26D2" w:rsidRDefault="00A90E9C" w:rsidP="0072651A">
            <w:pPr>
              <w:ind w:left="324" w:hanging="324"/>
              <w:jc w:val="both"/>
              <w:rPr>
                <w:rFonts w:ascii="Arial" w:hAnsi="Arial" w:cs="Arial"/>
                <w:bCs/>
                <w:sz w:val="20"/>
                <w:szCs w:val="20"/>
              </w:rPr>
            </w:pPr>
            <w:r w:rsidRPr="008A26D2">
              <w:rPr>
                <w:rFonts w:ascii="Arial" w:hAnsi="Arial" w:cs="Arial"/>
                <w:bCs/>
                <w:sz w:val="20"/>
                <w:szCs w:val="20"/>
              </w:rPr>
              <w:t xml:space="preserve">A = </w:t>
            </w:r>
            <w:r w:rsidR="00F65F49" w:rsidRPr="008A26D2">
              <w:rPr>
                <w:rFonts w:ascii="Arial" w:hAnsi="Arial" w:cs="Arial"/>
                <w:bCs/>
                <w:sz w:val="20"/>
                <w:szCs w:val="20"/>
              </w:rPr>
              <w:t>Número</w:t>
            </w:r>
            <w:r w:rsidRPr="008A26D2">
              <w:rPr>
                <w:rFonts w:ascii="Arial" w:hAnsi="Arial" w:cs="Arial"/>
                <w:bCs/>
                <w:sz w:val="20"/>
                <w:szCs w:val="20"/>
              </w:rPr>
              <w:t xml:space="preserve"> de </w:t>
            </w:r>
            <w:r w:rsidR="00F65F49" w:rsidRPr="008A26D2">
              <w:rPr>
                <w:rFonts w:ascii="Arial" w:hAnsi="Arial" w:cs="Arial"/>
                <w:bCs/>
                <w:sz w:val="20"/>
                <w:szCs w:val="20"/>
              </w:rPr>
              <w:t>usuarios forestales y de fauna silvestre con alto grado de satisfacción sobre el fortalecimiento de capacidades recibidas en aprovechamiento sostenible y conservación de los recursos forestales y de fauna silvestre</w:t>
            </w:r>
          </w:p>
          <w:p w14:paraId="10361174" w14:textId="06FBFBF4" w:rsidR="00685566" w:rsidRPr="008A26D2" w:rsidRDefault="00A90E9C" w:rsidP="00685566">
            <w:pPr>
              <w:ind w:left="466" w:hanging="466"/>
              <w:jc w:val="both"/>
              <w:rPr>
                <w:rFonts w:ascii="Arial" w:eastAsia="Arial Narrow" w:hAnsi="Arial" w:cs="Arial"/>
                <w:sz w:val="20"/>
                <w:szCs w:val="20"/>
              </w:rPr>
            </w:pPr>
            <w:r w:rsidRPr="008A26D2">
              <w:rPr>
                <w:rFonts w:ascii="Arial" w:hAnsi="Arial" w:cs="Arial"/>
                <w:bCs/>
                <w:sz w:val="20"/>
                <w:szCs w:val="20"/>
              </w:rPr>
              <w:t xml:space="preserve">B = Total de usuarios forestales y de fauna silvestre que reciben fortalecimiento de capacidades </w:t>
            </w:r>
            <w:r w:rsidR="00F65F49" w:rsidRPr="008A26D2">
              <w:rPr>
                <w:rFonts w:ascii="Arial" w:hAnsi="Arial" w:cs="Arial"/>
                <w:bCs/>
                <w:sz w:val="20"/>
                <w:szCs w:val="20"/>
              </w:rPr>
              <w:t>en aprovechamiento sostenible y conservación de los recursos forestales y de fauna silvestre</w:t>
            </w:r>
          </w:p>
          <w:p w14:paraId="5AE543AF" w14:textId="72826A54" w:rsidR="00A90E9C" w:rsidRPr="008A26D2" w:rsidRDefault="00A90E9C" w:rsidP="00685566">
            <w:pPr>
              <w:ind w:left="466" w:hanging="466"/>
              <w:jc w:val="both"/>
              <w:rPr>
                <w:rFonts w:ascii="Arial" w:eastAsia="Arial Narrow" w:hAnsi="Arial" w:cs="Arial"/>
                <w:sz w:val="20"/>
                <w:szCs w:val="20"/>
              </w:rPr>
            </w:pPr>
            <w:r w:rsidRPr="008A26D2">
              <w:rPr>
                <w:rFonts w:ascii="Arial" w:eastAsia="Arial Narrow" w:hAnsi="Arial" w:cs="Arial"/>
                <w:b/>
                <w:sz w:val="20"/>
                <w:szCs w:val="20"/>
              </w:rPr>
              <w:t>2. Especificaciones técnicas:</w:t>
            </w:r>
          </w:p>
          <w:p w14:paraId="2E625246" w14:textId="5F6224F9" w:rsidR="005E512A" w:rsidRPr="005E512A" w:rsidRDefault="005E512A" w:rsidP="005E512A">
            <w:pPr>
              <w:jc w:val="both"/>
              <w:rPr>
                <w:rFonts w:ascii="Arial" w:hAnsi="Arial" w:cs="Arial"/>
                <w:bCs/>
                <w:sz w:val="20"/>
                <w:szCs w:val="20"/>
              </w:rPr>
            </w:pPr>
            <w:r w:rsidRPr="005E512A">
              <w:rPr>
                <w:rFonts w:ascii="Arial" w:hAnsi="Arial" w:cs="Arial"/>
                <w:bCs/>
                <w:sz w:val="20"/>
                <w:szCs w:val="20"/>
              </w:rPr>
              <w:t xml:space="preserve">La variable A se determina a partir de los usuarios forestales y de fauna silvestre que tienen un alto grado de satisfacción, al elegir los dos niveles más altos de </w:t>
            </w:r>
            <w:r w:rsidR="00880D35">
              <w:rPr>
                <w:rFonts w:ascii="Arial" w:hAnsi="Arial" w:cs="Arial"/>
                <w:bCs/>
                <w:sz w:val="20"/>
                <w:szCs w:val="20"/>
              </w:rPr>
              <w:t>l</w:t>
            </w:r>
            <w:r w:rsidR="00B87A55">
              <w:rPr>
                <w:rFonts w:ascii="Arial" w:hAnsi="Arial" w:cs="Arial"/>
                <w:bCs/>
                <w:sz w:val="20"/>
                <w:szCs w:val="20"/>
              </w:rPr>
              <w:t>a</w:t>
            </w:r>
            <w:r w:rsidRPr="005E512A">
              <w:rPr>
                <w:rFonts w:ascii="Arial" w:hAnsi="Arial" w:cs="Arial"/>
                <w:bCs/>
                <w:sz w:val="20"/>
                <w:szCs w:val="20"/>
              </w:rPr>
              <w:t xml:space="preserve"> escala, sobre las acciones de fortalecimiento de capacidades</w:t>
            </w:r>
            <w:r w:rsidR="00040271">
              <w:rPr>
                <w:rFonts w:ascii="Arial" w:hAnsi="Arial" w:cs="Arial"/>
                <w:bCs/>
                <w:sz w:val="20"/>
                <w:szCs w:val="20"/>
              </w:rPr>
              <w:t xml:space="preserve"> recibidas</w:t>
            </w:r>
            <w:r w:rsidRPr="005E512A">
              <w:rPr>
                <w:rFonts w:ascii="Arial" w:hAnsi="Arial" w:cs="Arial"/>
                <w:bCs/>
                <w:sz w:val="20"/>
                <w:szCs w:val="20"/>
              </w:rPr>
              <w:t>.</w:t>
            </w:r>
          </w:p>
          <w:p w14:paraId="0CC9FC5C" w14:textId="118EB9FF" w:rsidR="005E512A" w:rsidRDefault="005E512A" w:rsidP="005E512A">
            <w:pPr>
              <w:jc w:val="both"/>
              <w:rPr>
                <w:rFonts w:ascii="Arial" w:hAnsi="Arial" w:cs="Arial"/>
                <w:bCs/>
                <w:sz w:val="20"/>
                <w:szCs w:val="20"/>
              </w:rPr>
            </w:pPr>
            <w:r w:rsidRPr="005E512A">
              <w:rPr>
                <w:rFonts w:ascii="Arial" w:hAnsi="Arial" w:cs="Arial"/>
                <w:bCs/>
                <w:sz w:val="20"/>
                <w:szCs w:val="20"/>
              </w:rPr>
              <w:t xml:space="preserve">La variable B se determina con el total de </w:t>
            </w:r>
            <w:r w:rsidR="0085695E" w:rsidRPr="0085695E">
              <w:rPr>
                <w:rFonts w:ascii="Arial" w:hAnsi="Arial" w:cs="Arial"/>
                <w:bCs/>
                <w:sz w:val="20"/>
                <w:szCs w:val="20"/>
              </w:rPr>
              <w:t xml:space="preserve">usuarios forestales y de fauna silvestre </w:t>
            </w:r>
            <w:r w:rsidRPr="005E512A">
              <w:rPr>
                <w:rFonts w:ascii="Arial" w:hAnsi="Arial" w:cs="Arial"/>
                <w:bCs/>
                <w:sz w:val="20"/>
                <w:szCs w:val="20"/>
              </w:rPr>
              <w:t>que asisten a las capacitaciones</w:t>
            </w:r>
            <w:r w:rsidR="00B87A55">
              <w:rPr>
                <w:rFonts w:ascii="Arial" w:hAnsi="Arial" w:cs="Arial"/>
                <w:bCs/>
                <w:sz w:val="20"/>
                <w:szCs w:val="20"/>
              </w:rPr>
              <w:t xml:space="preserve"> en el año de medición</w:t>
            </w:r>
            <w:r>
              <w:rPr>
                <w:rFonts w:ascii="Arial" w:hAnsi="Arial" w:cs="Arial"/>
                <w:bCs/>
                <w:sz w:val="20"/>
                <w:szCs w:val="20"/>
              </w:rPr>
              <w:t>.</w:t>
            </w:r>
          </w:p>
          <w:p w14:paraId="2862864A" w14:textId="7EBC77E2" w:rsidR="00A90E9C" w:rsidRPr="008A26D2" w:rsidRDefault="00A90E9C" w:rsidP="0072651A">
            <w:pPr>
              <w:jc w:val="both"/>
              <w:rPr>
                <w:rFonts w:ascii="Arial" w:eastAsia="Times New Roman" w:hAnsi="Arial" w:cs="Arial"/>
                <w:sz w:val="20"/>
                <w:szCs w:val="20"/>
                <w:lang w:val="es-ES"/>
              </w:rPr>
            </w:pPr>
            <w:r w:rsidRPr="008A26D2">
              <w:rPr>
                <w:rFonts w:ascii="Arial" w:eastAsia="Times New Roman" w:hAnsi="Arial" w:cs="Arial"/>
                <w:sz w:val="20"/>
                <w:szCs w:val="20"/>
                <w:lang w:val="es-ES"/>
              </w:rPr>
              <w:t xml:space="preserve">El </w:t>
            </w:r>
            <w:r w:rsidR="00861638" w:rsidRPr="008A26D2">
              <w:rPr>
                <w:rFonts w:ascii="Arial" w:eastAsia="Times New Roman" w:hAnsi="Arial" w:cs="Arial"/>
                <w:sz w:val="20"/>
                <w:szCs w:val="20"/>
                <w:lang w:val="es-ES"/>
              </w:rPr>
              <w:t>SERFOR reportará</w:t>
            </w:r>
            <w:r w:rsidRPr="008A26D2">
              <w:rPr>
                <w:rFonts w:ascii="Arial" w:eastAsia="Times New Roman" w:hAnsi="Arial" w:cs="Arial"/>
                <w:sz w:val="20"/>
                <w:szCs w:val="20"/>
                <w:lang w:val="es-ES"/>
              </w:rPr>
              <w:t xml:space="preserve"> a partir de encuestas donde se registra</w:t>
            </w:r>
            <w:r w:rsidR="00861638" w:rsidRPr="008A26D2">
              <w:rPr>
                <w:rFonts w:ascii="Arial" w:eastAsia="Times New Roman" w:hAnsi="Arial" w:cs="Arial"/>
                <w:sz w:val="20"/>
                <w:szCs w:val="20"/>
                <w:lang w:val="es-ES"/>
              </w:rPr>
              <w:t>n</w:t>
            </w:r>
            <w:r w:rsidRPr="008A26D2">
              <w:rPr>
                <w:rFonts w:ascii="Arial" w:eastAsia="Times New Roman" w:hAnsi="Arial" w:cs="Arial"/>
                <w:sz w:val="20"/>
                <w:szCs w:val="20"/>
                <w:lang w:val="es-ES"/>
              </w:rPr>
              <w:t xml:space="preserve"> el grado de satisfacción de los usuarios forestales y de fauna silvestre</w:t>
            </w:r>
            <w:r w:rsidR="00861638" w:rsidRPr="008A26D2">
              <w:rPr>
                <w:rFonts w:ascii="Arial" w:eastAsia="Times New Roman" w:hAnsi="Arial" w:cs="Arial"/>
                <w:sz w:val="20"/>
                <w:szCs w:val="20"/>
                <w:lang w:val="es-ES"/>
              </w:rPr>
              <w:t xml:space="preserve"> </w:t>
            </w:r>
            <w:r w:rsidRPr="008A26D2">
              <w:rPr>
                <w:rFonts w:ascii="Arial" w:eastAsia="Times New Roman" w:hAnsi="Arial" w:cs="Arial"/>
                <w:sz w:val="20"/>
                <w:szCs w:val="20"/>
                <w:lang w:val="es-ES"/>
              </w:rPr>
              <w:t>que participan del fortalecimiento de capacidades, identificando aquellos aspectos del servicio que se pueden mejorar y satisfacer al receptor.</w:t>
            </w:r>
          </w:p>
          <w:p w14:paraId="7B7EAB19" w14:textId="3E429B61" w:rsidR="00CF4AAF" w:rsidRPr="008A26D2" w:rsidRDefault="00A90E9C" w:rsidP="00011FF7">
            <w:pPr>
              <w:rPr>
                <w:rFonts w:ascii="Arial" w:hAnsi="Arial" w:cs="Arial"/>
                <w:sz w:val="20"/>
                <w:szCs w:val="20"/>
              </w:rPr>
            </w:pPr>
            <w:r w:rsidRPr="008A26D2">
              <w:rPr>
                <w:rFonts w:ascii="Arial" w:hAnsi="Arial" w:cs="Arial"/>
                <w:bCs/>
                <w:sz w:val="20"/>
                <w:szCs w:val="20"/>
              </w:rPr>
              <w:t>Para evaluar el grado de satisfacción se considerará los alcances metodológicos señalados en el Protocolo de Capacitación y Asistencia Técnica del SERFOR.</w:t>
            </w:r>
          </w:p>
        </w:tc>
      </w:tr>
      <w:tr w:rsidR="008A26D2" w:rsidRPr="008A26D2" w14:paraId="4FFC0670" w14:textId="77777777" w:rsidTr="00685566">
        <w:trPr>
          <w:trHeight w:val="516"/>
        </w:trPr>
        <w:tc>
          <w:tcPr>
            <w:tcW w:w="2425" w:type="dxa"/>
            <w:gridSpan w:val="2"/>
            <w:shd w:val="clear" w:color="auto" w:fill="auto"/>
            <w:tcMar>
              <w:top w:w="10" w:type="dxa"/>
              <w:left w:w="93" w:type="dxa"/>
              <w:bottom w:w="0" w:type="dxa"/>
              <w:right w:w="10" w:type="dxa"/>
            </w:tcMar>
            <w:vAlign w:val="center"/>
          </w:tcPr>
          <w:p w14:paraId="79438A68" w14:textId="77777777" w:rsidR="00A90E9C" w:rsidRPr="008A26D2" w:rsidRDefault="00A90E9C" w:rsidP="0072651A">
            <w:pPr>
              <w:rPr>
                <w:rFonts w:ascii="Arial" w:hAnsi="Arial" w:cs="Arial"/>
                <w:sz w:val="20"/>
                <w:szCs w:val="20"/>
              </w:rPr>
            </w:pPr>
            <w:r w:rsidRPr="008A26D2">
              <w:rPr>
                <w:rFonts w:ascii="Arial" w:hAnsi="Arial" w:cs="Arial"/>
                <w:b/>
                <w:sz w:val="20"/>
                <w:szCs w:val="20"/>
              </w:rPr>
              <w:t>Sentido esperado del indicador:</w:t>
            </w:r>
          </w:p>
        </w:tc>
        <w:tc>
          <w:tcPr>
            <w:tcW w:w="1686" w:type="dxa"/>
            <w:gridSpan w:val="2"/>
            <w:shd w:val="clear" w:color="auto" w:fill="auto"/>
            <w:tcMar>
              <w:top w:w="10" w:type="dxa"/>
              <w:left w:w="283" w:type="dxa"/>
              <w:bottom w:w="0" w:type="dxa"/>
              <w:right w:w="283" w:type="dxa"/>
            </w:tcMar>
            <w:vAlign w:val="center"/>
          </w:tcPr>
          <w:p w14:paraId="2F21A5ED" w14:textId="77777777" w:rsidR="00A90E9C" w:rsidRPr="008A26D2" w:rsidRDefault="00A90E9C" w:rsidP="0072651A">
            <w:pPr>
              <w:rPr>
                <w:rFonts w:ascii="Arial" w:hAnsi="Arial" w:cs="Arial"/>
                <w:sz w:val="20"/>
                <w:szCs w:val="20"/>
              </w:rPr>
            </w:pPr>
            <w:r w:rsidRPr="008A26D2">
              <w:rPr>
                <w:rFonts w:ascii="Arial" w:eastAsia="Times New Roman" w:hAnsi="Arial" w:cs="Arial"/>
                <w:sz w:val="20"/>
                <w:szCs w:val="20"/>
              </w:rPr>
              <w:t>Ascendente</w:t>
            </w:r>
          </w:p>
        </w:tc>
        <w:tc>
          <w:tcPr>
            <w:tcW w:w="3140" w:type="dxa"/>
            <w:gridSpan w:val="6"/>
            <w:shd w:val="clear" w:color="auto" w:fill="auto"/>
            <w:tcMar>
              <w:top w:w="15" w:type="dxa"/>
              <w:left w:w="15" w:type="dxa"/>
              <w:bottom w:w="0" w:type="dxa"/>
              <w:right w:w="15" w:type="dxa"/>
            </w:tcMar>
            <w:vAlign w:val="center"/>
          </w:tcPr>
          <w:p w14:paraId="38E74F89" w14:textId="77777777" w:rsidR="00A90E9C" w:rsidRPr="008A26D2" w:rsidRDefault="00A90E9C" w:rsidP="0072651A">
            <w:pPr>
              <w:rPr>
                <w:rFonts w:ascii="Arial" w:hAnsi="Arial" w:cs="Arial"/>
                <w:sz w:val="20"/>
                <w:szCs w:val="20"/>
              </w:rPr>
            </w:pPr>
            <w:r w:rsidRPr="008A26D2">
              <w:rPr>
                <w:rFonts w:ascii="Arial" w:hAnsi="Arial" w:cs="Arial"/>
                <w:b/>
                <w:sz w:val="20"/>
                <w:szCs w:val="20"/>
              </w:rPr>
              <w:t>Tipo de indicador de servicio:</w:t>
            </w:r>
          </w:p>
        </w:tc>
        <w:tc>
          <w:tcPr>
            <w:tcW w:w="1538" w:type="dxa"/>
            <w:gridSpan w:val="2"/>
            <w:shd w:val="clear" w:color="auto" w:fill="auto"/>
            <w:tcMar>
              <w:top w:w="15" w:type="dxa"/>
              <w:left w:w="15" w:type="dxa"/>
              <w:bottom w:w="0" w:type="dxa"/>
              <w:right w:w="15" w:type="dxa"/>
            </w:tcMar>
            <w:vAlign w:val="center"/>
          </w:tcPr>
          <w:p w14:paraId="1CE31DD4" w14:textId="77777777" w:rsidR="00A90E9C" w:rsidRPr="008A26D2" w:rsidRDefault="00A90E9C" w:rsidP="0072651A">
            <w:pPr>
              <w:rPr>
                <w:rFonts w:ascii="Arial" w:hAnsi="Arial" w:cs="Arial"/>
                <w:sz w:val="20"/>
                <w:szCs w:val="20"/>
              </w:rPr>
            </w:pPr>
            <w:r w:rsidRPr="008A26D2">
              <w:rPr>
                <w:rFonts w:ascii="Arial" w:eastAsia="Times New Roman" w:hAnsi="Arial" w:cs="Arial"/>
                <w:sz w:val="20"/>
                <w:szCs w:val="20"/>
              </w:rPr>
              <w:t>Calidad – Percepción</w:t>
            </w:r>
          </w:p>
        </w:tc>
      </w:tr>
      <w:tr w:rsidR="008A26D2" w:rsidRPr="008A26D2" w14:paraId="43CA6072" w14:textId="77777777" w:rsidTr="00685566">
        <w:trPr>
          <w:trHeight w:val="13"/>
        </w:trPr>
        <w:tc>
          <w:tcPr>
            <w:tcW w:w="2425" w:type="dxa"/>
            <w:gridSpan w:val="2"/>
            <w:shd w:val="clear" w:color="auto" w:fill="auto"/>
            <w:tcMar>
              <w:top w:w="10" w:type="dxa"/>
              <w:left w:w="93" w:type="dxa"/>
              <w:bottom w:w="0" w:type="dxa"/>
              <w:right w:w="10" w:type="dxa"/>
            </w:tcMar>
            <w:vAlign w:val="center"/>
          </w:tcPr>
          <w:p w14:paraId="128FC7EA" w14:textId="77777777" w:rsidR="00A90E9C" w:rsidRPr="008A26D2" w:rsidRDefault="00A90E9C" w:rsidP="0072651A">
            <w:pPr>
              <w:rPr>
                <w:rFonts w:ascii="Arial" w:hAnsi="Arial" w:cs="Arial"/>
                <w:sz w:val="20"/>
                <w:szCs w:val="20"/>
              </w:rPr>
            </w:pPr>
            <w:r w:rsidRPr="008A26D2">
              <w:rPr>
                <w:rFonts w:ascii="Arial" w:hAnsi="Arial" w:cs="Arial"/>
                <w:b/>
                <w:sz w:val="20"/>
                <w:szCs w:val="20"/>
              </w:rPr>
              <w:t>Fuente y base de datos:</w:t>
            </w:r>
          </w:p>
        </w:tc>
        <w:tc>
          <w:tcPr>
            <w:tcW w:w="6364" w:type="dxa"/>
            <w:gridSpan w:val="10"/>
            <w:shd w:val="clear" w:color="auto" w:fill="auto"/>
            <w:tcMar>
              <w:top w:w="51" w:type="dxa"/>
              <w:left w:w="227" w:type="dxa"/>
              <w:bottom w:w="51" w:type="dxa"/>
              <w:right w:w="227" w:type="dxa"/>
            </w:tcMar>
            <w:vAlign w:val="center"/>
          </w:tcPr>
          <w:p w14:paraId="30F50B97" w14:textId="36FF8B7E" w:rsidR="00A90E9C" w:rsidRPr="008A26D2" w:rsidRDefault="00A90E9C" w:rsidP="00B87A55">
            <w:pPr>
              <w:jc w:val="both"/>
              <w:rPr>
                <w:rFonts w:ascii="Arial" w:eastAsia="Arial Narrow" w:hAnsi="Arial" w:cs="Arial"/>
                <w:sz w:val="20"/>
                <w:szCs w:val="20"/>
              </w:rPr>
            </w:pPr>
            <w:r w:rsidRPr="008A26D2">
              <w:rPr>
                <w:rFonts w:ascii="Arial" w:eastAsia="Times New Roman" w:hAnsi="Arial" w:cs="Arial"/>
                <w:sz w:val="20"/>
                <w:szCs w:val="20"/>
              </w:rPr>
              <w:t xml:space="preserve">Fuente: Dirección de Fortalecimiento de Capacidades y Administraciones Técnicas Forestales y de Fauna Silvestre del </w:t>
            </w:r>
            <w:r w:rsidR="00953365">
              <w:rPr>
                <w:rFonts w:ascii="Arial" w:eastAsia="Times New Roman" w:hAnsi="Arial" w:cs="Arial"/>
                <w:sz w:val="20"/>
                <w:szCs w:val="20"/>
              </w:rPr>
              <w:t xml:space="preserve">Servicio Nacional Forestal y de Fauna Silvestre - </w:t>
            </w:r>
            <w:r w:rsidRPr="008A26D2">
              <w:rPr>
                <w:rFonts w:ascii="Arial" w:eastAsia="Times New Roman" w:hAnsi="Arial" w:cs="Arial"/>
                <w:sz w:val="20"/>
                <w:szCs w:val="20"/>
              </w:rPr>
              <w:t>SERFOR</w:t>
            </w:r>
            <w:r w:rsidR="00011FF7" w:rsidRPr="008A26D2">
              <w:rPr>
                <w:rFonts w:ascii="Arial" w:eastAsia="Times New Roman" w:hAnsi="Arial" w:cs="Arial"/>
                <w:sz w:val="20"/>
                <w:szCs w:val="20"/>
              </w:rPr>
              <w:t>.</w:t>
            </w:r>
            <w:r w:rsidRPr="008A26D2">
              <w:rPr>
                <w:rFonts w:ascii="Arial" w:eastAsia="Times New Roman" w:hAnsi="Arial" w:cs="Arial"/>
                <w:sz w:val="20"/>
                <w:szCs w:val="20"/>
              </w:rPr>
              <w:br/>
              <w:t>Base de datos: Reporte de capacitaciones de la Dirección de Fortalecimiento de Capacidades; Reporte de capacitaciones de las Administraciones Técnicas Forestales y de Fauna Silvestre</w:t>
            </w:r>
            <w:r w:rsidR="00011FF7" w:rsidRPr="008A26D2">
              <w:rPr>
                <w:rFonts w:ascii="Arial" w:eastAsia="Times New Roman" w:hAnsi="Arial" w:cs="Arial"/>
                <w:sz w:val="20"/>
                <w:szCs w:val="20"/>
              </w:rPr>
              <w:t>.</w:t>
            </w:r>
          </w:p>
        </w:tc>
      </w:tr>
      <w:tr w:rsidR="008A26D2" w:rsidRPr="008A26D2" w14:paraId="267517BF" w14:textId="77777777" w:rsidTr="00685566">
        <w:trPr>
          <w:trHeight w:val="436"/>
        </w:trPr>
        <w:tc>
          <w:tcPr>
            <w:tcW w:w="2425" w:type="dxa"/>
            <w:gridSpan w:val="2"/>
            <w:shd w:val="clear" w:color="auto" w:fill="auto"/>
            <w:tcMar>
              <w:top w:w="10" w:type="dxa"/>
              <w:left w:w="93" w:type="dxa"/>
              <w:bottom w:w="0" w:type="dxa"/>
              <w:right w:w="10" w:type="dxa"/>
            </w:tcMar>
            <w:vAlign w:val="center"/>
          </w:tcPr>
          <w:p w14:paraId="45E2BEEB" w14:textId="77777777" w:rsidR="00A90E9C" w:rsidRPr="008A26D2" w:rsidRDefault="00A90E9C" w:rsidP="0072651A">
            <w:pPr>
              <w:rPr>
                <w:rFonts w:ascii="Arial" w:hAnsi="Arial" w:cs="Arial"/>
                <w:sz w:val="20"/>
                <w:szCs w:val="20"/>
              </w:rPr>
            </w:pPr>
            <w:r w:rsidRPr="008A26D2">
              <w:rPr>
                <w:rFonts w:ascii="Arial" w:hAnsi="Arial" w:cs="Arial"/>
                <w:b/>
                <w:sz w:val="20"/>
                <w:szCs w:val="20"/>
              </w:rPr>
              <w:t>Supuestos:</w:t>
            </w:r>
          </w:p>
        </w:tc>
        <w:tc>
          <w:tcPr>
            <w:tcW w:w="6364" w:type="dxa"/>
            <w:gridSpan w:val="10"/>
            <w:shd w:val="clear" w:color="auto" w:fill="auto"/>
            <w:tcMar>
              <w:top w:w="51" w:type="dxa"/>
              <w:left w:w="227" w:type="dxa"/>
              <w:bottom w:w="51" w:type="dxa"/>
              <w:right w:w="227" w:type="dxa"/>
            </w:tcMar>
            <w:vAlign w:val="center"/>
          </w:tcPr>
          <w:p w14:paraId="26C31E7B" w14:textId="77777777" w:rsidR="00A90E9C" w:rsidRPr="008A26D2" w:rsidRDefault="00A90E9C" w:rsidP="0072651A">
            <w:pPr>
              <w:rPr>
                <w:rFonts w:ascii="Arial" w:eastAsia="Arial Narrow" w:hAnsi="Arial" w:cs="Arial"/>
                <w:sz w:val="20"/>
                <w:szCs w:val="20"/>
              </w:rPr>
            </w:pPr>
            <w:r w:rsidRPr="008A26D2">
              <w:rPr>
                <w:rFonts w:ascii="Arial" w:eastAsia="Times New Roman" w:hAnsi="Arial" w:cs="Arial"/>
                <w:sz w:val="20"/>
                <w:szCs w:val="20"/>
              </w:rPr>
              <w:t>Existe predisposición de los usuarios forestales y de fauna silvestre para recibir las capacitaciones y asistencias técnicas</w:t>
            </w:r>
          </w:p>
        </w:tc>
      </w:tr>
      <w:tr w:rsidR="008A26D2" w:rsidRPr="008A26D2" w14:paraId="707A53DD" w14:textId="77777777" w:rsidTr="00685566">
        <w:trPr>
          <w:trHeight w:val="556"/>
        </w:trPr>
        <w:tc>
          <w:tcPr>
            <w:tcW w:w="1291" w:type="dxa"/>
            <w:shd w:val="clear" w:color="auto" w:fill="auto"/>
            <w:tcMar>
              <w:top w:w="10" w:type="dxa"/>
              <w:left w:w="10" w:type="dxa"/>
              <w:bottom w:w="0" w:type="dxa"/>
              <w:right w:w="10" w:type="dxa"/>
            </w:tcMar>
            <w:vAlign w:val="center"/>
          </w:tcPr>
          <w:p w14:paraId="751CC3AA" w14:textId="77777777" w:rsidR="00A90E9C" w:rsidRPr="008A26D2" w:rsidRDefault="00A90E9C" w:rsidP="0072651A">
            <w:pPr>
              <w:rPr>
                <w:rFonts w:ascii="Arial" w:hAnsi="Arial" w:cs="Arial"/>
                <w:sz w:val="20"/>
                <w:szCs w:val="20"/>
              </w:rPr>
            </w:pPr>
            <w:r w:rsidRPr="008A26D2">
              <w:rPr>
                <w:rFonts w:ascii="Arial" w:hAnsi="Arial" w:cs="Arial"/>
                <w:b/>
                <w:sz w:val="20"/>
                <w:szCs w:val="20"/>
              </w:rPr>
              <w:t> </w:t>
            </w:r>
          </w:p>
        </w:tc>
        <w:tc>
          <w:tcPr>
            <w:tcW w:w="1134" w:type="dxa"/>
            <w:shd w:val="clear" w:color="auto" w:fill="auto"/>
            <w:tcMar>
              <w:top w:w="10" w:type="dxa"/>
              <w:left w:w="10" w:type="dxa"/>
              <w:bottom w:w="0" w:type="dxa"/>
              <w:right w:w="10" w:type="dxa"/>
            </w:tcMar>
            <w:vAlign w:val="center"/>
          </w:tcPr>
          <w:p w14:paraId="6B8B4352" w14:textId="77777777" w:rsidR="00A90E9C" w:rsidRPr="008A26D2" w:rsidRDefault="00A90E9C" w:rsidP="0072651A">
            <w:pPr>
              <w:jc w:val="center"/>
              <w:rPr>
                <w:rFonts w:ascii="Arial" w:hAnsi="Arial" w:cs="Arial"/>
                <w:sz w:val="20"/>
                <w:szCs w:val="20"/>
              </w:rPr>
            </w:pPr>
            <w:r w:rsidRPr="008A26D2">
              <w:rPr>
                <w:rFonts w:ascii="Arial" w:hAnsi="Arial" w:cs="Arial"/>
                <w:b/>
                <w:sz w:val="20"/>
                <w:szCs w:val="20"/>
              </w:rPr>
              <w:t>Línea de base</w:t>
            </w:r>
          </w:p>
        </w:tc>
        <w:tc>
          <w:tcPr>
            <w:tcW w:w="6364" w:type="dxa"/>
            <w:gridSpan w:val="10"/>
            <w:shd w:val="clear" w:color="auto" w:fill="auto"/>
            <w:tcMar>
              <w:top w:w="10" w:type="dxa"/>
              <w:left w:w="10" w:type="dxa"/>
              <w:bottom w:w="0" w:type="dxa"/>
              <w:right w:w="10" w:type="dxa"/>
            </w:tcMar>
            <w:vAlign w:val="center"/>
          </w:tcPr>
          <w:p w14:paraId="58A296A6" w14:textId="77777777" w:rsidR="00A90E9C" w:rsidRPr="008A26D2" w:rsidRDefault="00A90E9C" w:rsidP="0072651A">
            <w:pPr>
              <w:jc w:val="center"/>
              <w:rPr>
                <w:rFonts w:ascii="Arial" w:hAnsi="Arial" w:cs="Arial"/>
                <w:sz w:val="20"/>
                <w:szCs w:val="20"/>
              </w:rPr>
            </w:pPr>
            <w:r w:rsidRPr="008A26D2">
              <w:rPr>
                <w:rFonts w:ascii="Arial" w:hAnsi="Arial" w:cs="Arial"/>
                <w:b/>
                <w:sz w:val="20"/>
                <w:szCs w:val="20"/>
              </w:rPr>
              <w:t xml:space="preserve">Logros esperados </w:t>
            </w:r>
          </w:p>
        </w:tc>
      </w:tr>
      <w:tr w:rsidR="008A26D2" w:rsidRPr="008A26D2" w14:paraId="1E79933B" w14:textId="77777777" w:rsidTr="00685566">
        <w:trPr>
          <w:trHeight w:val="217"/>
        </w:trPr>
        <w:tc>
          <w:tcPr>
            <w:tcW w:w="1291" w:type="dxa"/>
            <w:shd w:val="clear" w:color="auto" w:fill="auto"/>
            <w:tcMar>
              <w:top w:w="10" w:type="dxa"/>
              <w:left w:w="10" w:type="dxa"/>
              <w:bottom w:w="0" w:type="dxa"/>
              <w:right w:w="10" w:type="dxa"/>
            </w:tcMar>
            <w:vAlign w:val="center"/>
          </w:tcPr>
          <w:p w14:paraId="1FF04544" w14:textId="77777777" w:rsidR="00A90E9C" w:rsidRPr="008A26D2" w:rsidRDefault="00A90E9C" w:rsidP="0072651A">
            <w:pPr>
              <w:jc w:val="center"/>
              <w:rPr>
                <w:rFonts w:ascii="Arial" w:hAnsi="Arial" w:cs="Arial"/>
                <w:sz w:val="20"/>
                <w:szCs w:val="20"/>
              </w:rPr>
            </w:pPr>
            <w:r w:rsidRPr="008A26D2">
              <w:rPr>
                <w:rFonts w:ascii="Arial" w:hAnsi="Arial" w:cs="Arial"/>
                <w:b/>
                <w:sz w:val="20"/>
                <w:szCs w:val="20"/>
              </w:rPr>
              <w:lastRenderedPageBreak/>
              <w:t>Año</w:t>
            </w:r>
          </w:p>
        </w:tc>
        <w:tc>
          <w:tcPr>
            <w:tcW w:w="1134" w:type="dxa"/>
            <w:shd w:val="clear" w:color="auto" w:fill="auto"/>
            <w:tcMar>
              <w:top w:w="10" w:type="dxa"/>
              <w:left w:w="10" w:type="dxa"/>
              <w:bottom w:w="0" w:type="dxa"/>
              <w:right w:w="10" w:type="dxa"/>
            </w:tcMar>
            <w:vAlign w:val="center"/>
          </w:tcPr>
          <w:p w14:paraId="5F9DFE78" w14:textId="77777777" w:rsidR="00A90E9C" w:rsidRPr="008A26D2" w:rsidRDefault="00A90E9C" w:rsidP="0072651A">
            <w:pPr>
              <w:jc w:val="center"/>
              <w:rPr>
                <w:rFonts w:ascii="Arial" w:hAnsi="Arial" w:cs="Arial"/>
                <w:b/>
                <w:sz w:val="20"/>
                <w:szCs w:val="20"/>
              </w:rPr>
            </w:pPr>
            <w:r w:rsidRPr="008A26D2">
              <w:rPr>
                <w:rFonts w:ascii="Arial" w:hAnsi="Arial" w:cs="Arial"/>
                <w:b/>
                <w:sz w:val="20"/>
                <w:szCs w:val="20"/>
              </w:rPr>
              <w:t>2022</w:t>
            </w:r>
          </w:p>
        </w:tc>
        <w:tc>
          <w:tcPr>
            <w:tcW w:w="976" w:type="dxa"/>
            <w:shd w:val="clear" w:color="auto" w:fill="auto"/>
            <w:tcMar>
              <w:top w:w="10" w:type="dxa"/>
              <w:left w:w="10" w:type="dxa"/>
              <w:bottom w:w="0" w:type="dxa"/>
              <w:right w:w="10" w:type="dxa"/>
            </w:tcMar>
            <w:vAlign w:val="center"/>
          </w:tcPr>
          <w:p w14:paraId="4B382759" w14:textId="77777777" w:rsidR="00A90E9C" w:rsidRPr="008A26D2" w:rsidRDefault="00A90E9C" w:rsidP="0072651A">
            <w:pPr>
              <w:jc w:val="center"/>
              <w:rPr>
                <w:rFonts w:ascii="Arial" w:hAnsi="Arial" w:cs="Arial"/>
                <w:b/>
                <w:sz w:val="20"/>
                <w:szCs w:val="20"/>
              </w:rPr>
            </w:pPr>
            <w:r w:rsidRPr="008A26D2">
              <w:rPr>
                <w:rFonts w:ascii="Arial" w:hAnsi="Arial" w:cs="Arial"/>
                <w:b/>
                <w:sz w:val="20"/>
                <w:szCs w:val="20"/>
              </w:rPr>
              <w:t>2023</w:t>
            </w:r>
          </w:p>
        </w:tc>
        <w:tc>
          <w:tcPr>
            <w:tcW w:w="851" w:type="dxa"/>
            <w:gridSpan w:val="2"/>
            <w:shd w:val="clear" w:color="auto" w:fill="auto"/>
            <w:vAlign w:val="center"/>
          </w:tcPr>
          <w:p w14:paraId="444A4E6F" w14:textId="77777777" w:rsidR="00A90E9C" w:rsidRPr="008A26D2" w:rsidRDefault="00A90E9C" w:rsidP="0072651A">
            <w:pPr>
              <w:jc w:val="center"/>
              <w:rPr>
                <w:rFonts w:ascii="Arial" w:hAnsi="Arial" w:cs="Arial"/>
                <w:b/>
                <w:sz w:val="20"/>
                <w:szCs w:val="20"/>
              </w:rPr>
            </w:pPr>
            <w:r w:rsidRPr="008A26D2">
              <w:rPr>
                <w:rFonts w:ascii="Arial" w:hAnsi="Arial" w:cs="Arial"/>
                <w:b/>
                <w:sz w:val="20"/>
                <w:szCs w:val="20"/>
              </w:rPr>
              <w:t>2024</w:t>
            </w:r>
          </w:p>
        </w:tc>
        <w:tc>
          <w:tcPr>
            <w:tcW w:w="850" w:type="dxa"/>
            <w:shd w:val="clear" w:color="auto" w:fill="auto"/>
            <w:vAlign w:val="center"/>
          </w:tcPr>
          <w:p w14:paraId="71AFCEA4" w14:textId="77777777" w:rsidR="00A90E9C" w:rsidRPr="008A26D2" w:rsidRDefault="00A90E9C" w:rsidP="0072651A">
            <w:pPr>
              <w:jc w:val="center"/>
              <w:rPr>
                <w:rFonts w:ascii="Arial" w:hAnsi="Arial" w:cs="Arial"/>
                <w:b/>
                <w:sz w:val="20"/>
                <w:szCs w:val="20"/>
              </w:rPr>
            </w:pPr>
            <w:r w:rsidRPr="008A26D2">
              <w:rPr>
                <w:rFonts w:ascii="Arial" w:hAnsi="Arial" w:cs="Arial"/>
                <w:b/>
                <w:sz w:val="20"/>
                <w:szCs w:val="20"/>
              </w:rPr>
              <w:t>2025</w:t>
            </w:r>
          </w:p>
        </w:tc>
        <w:tc>
          <w:tcPr>
            <w:tcW w:w="710" w:type="dxa"/>
            <w:shd w:val="clear" w:color="auto" w:fill="auto"/>
            <w:vAlign w:val="center"/>
          </w:tcPr>
          <w:p w14:paraId="00974D03" w14:textId="77777777" w:rsidR="00A90E9C" w:rsidRPr="008A26D2" w:rsidRDefault="00A90E9C" w:rsidP="0072651A">
            <w:pPr>
              <w:jc w:val="center"/>
              <w:rPr>
                <w:rFonts w:ascii="Arial" w:hAnsi="Arial" w:cs="Arial"/>
                <w:b/>
                <w:sz w:val="20"/>
                <w:szCs w:val="20"/>
              </w:rPr>
            </w:pPr>
            <w:r w:rsidRPr="008A26D2">
              <w:rPr>
                <w:rFonts w:ascii="Arial" w:hAnsi="Arial" w:cs="Arial"/>
                <w:b/>
                <w:sz w:val="20"/>
                <w:szCs w:val="20"/>
              </w:rPr>
              <w:t>2026</w:t>
            </w:r>
          </w:p>
        </w:tc>
        <w:tc>
          <w:tcPr>
            <w:tcW w:w="709" w:type="dxa"/>
            <w:shd w:val="clear" w:color="auto" w:fill="auto"/>
            <w:vAlign w:val="center"/>
          </w:tcPr>
          <w:p w14:paraId="47722110" w14:textId="77777777" w:rsidR="00A90E9C" w:rsidRPr="008A26D2" w:rsidRDefault="00A90E9C" w:rsidP="0072651A">
            <w:pPr>
              <w:jc w:val="center"/>
              <w:rPr>
                <w:rFonts w:ascii="Arial" w:hAnsi="Arial" w:cs="Arial"/>
                <w:b/>
                <w:sz w:val="20"/>
                <w:szCs w:val="20"/>
              </w:rPr>
            </w:pPr>
            <w:r w:rsidRPr="008A26D2">
              <w:rPr>
                <w:rFonts w:ascii="Arial" w:hAnsi="Arial" w:cs="Arial"/>
                <w:b/>
                <w:sz w:val="20"/>
                <w:szCs w:val="20"/>
              </w:rPr>
              <w:t>2027</w:t>
            </w:r>
          </w:p>
        </w:tc>
        <w:tc>
          <w:tcPr>
            <w:tcW w:w="709" w:type="dxa"/>
            <w:shd w:val="clear" w:color="auto" w:fill="auto"/>
            <w:vAlign w:val="center"/>
          </w:tcPr>
          <w:p w14:paraId="006B4CC4" w14:textId="77777777" w:rsidR="00A90E9C" w:rsidRPr="008A26D2" w:rsidRDefault="00A90E9C" w:rsidP="0072651A">
            <w:pPr>
              <w:jc w:val="center"/>
              <w:rPr>
                <w:rFonts w:ascii="Arial" w:hAnsi="Arial" w:cs="Arial"/>
                <w:b/>
                <w:sz w:val="20"/>
                <w:szCs w:val="20"/>
              </w:rPr>
            </w:pPr>
            <w:r w:rsidRPr="008A26D2">
              <w:rPr>
                <w:rFonts w:ascii="Arial" w:hAnsi="Arial" w:cs="Arial"/>
                <w:b/>
                <w:sz w:val="20"/>
                <w:szCs w:val="20"/>
              </w:rPr>
              <w:t>2028</w:t>
            </w:r>
          </w:p>
        </w:tc>
        <w:tc>
          <w:tcPr>
            <w:tcW w:w="850" w:type="dxa"/>
            <w:gridSpan w:val="2"/>
            <w:shd w:val="clear" w:color="auto" w:fill="auto"/>
            <w:vAlign w:val="center"/>
          </w:tcPr>
          <w:p w14:paraId="2F6CB400" w14:textId="77777777" w:rsidR="00A90E9C" w:rsidRPr="008A26D2" w:rsidRDefault="00A90E9C" w:rsidP="0072651A">
            <w:pPr>
              <w:jc w:val="center"/>
              <w:rPr>
                <w:rFonts w:ascii="Arial" w:hAnsi="Arial" w:cs="Arial"/>
                <w:b/>
                <w:sz w:val="20"/>
                <w:szCs w:val="20"/>
              </w:rPr>
            </w:pPr>
            <w:r w:rsidRPr="008A26D2">
              <w:rPr>
                <w:rFonts w:ascii="Arial" w:hAnsi="Arial" w:cs="Arial"/>
                <w:b/>
                <w:sz w:val="20"/>
                <w:szCs w:val="20"/>
              </w:rPr>
              <w:t>2029</w:t>
            </w:r>
          </w:p>
        </w:tc>
        <w:tc>
          <w:tcPr>
            <w:tcW w:w="709" w:type="dxa"/>
            <w:shd w:val="clear" w:color="auto" w:fill="auto"/>
            <w:tcMar>
              <w:top w:w="10" w:type="dxa"/>
              <w:left w:w="10" w:type="dxa"/>
              <w:bottom w:w="0" w:type="dxa"/>
              <w:right w:w="10" w:type="dxa"/>
            </w:tcMar>
            <w:vAlign w:val="center"/>
          </w:tcPr>
          <w:p w14:paraId="784231B3" w14:textId="77777777" w:rsidR="00A90E9C" w:rsidRPr="008A26D2" w:rsidRDefault="00A90E9C" w:rsidP="0072651A">
            <w:pPr>
              <w:jc w:val="center"/>
              <w:rPr>
                <w:rFonts w:ascii="Arial" w:hAnsi="Arial" w:cs="Arial"/>
                <w:b/>
                <w:sz w:val="20"/>
                <w:szCs w:val="20"/>
              </w:rPr>
            </w:pPr>
            <w:r w:rsidRPr="008A26D2">
              <w:rPr>
                <w:rFonts w:ascii="Arial" w:hAnsi="Arial" w:cs="Arial"/>
                <w:b/>
                <w:sz w:val="20"/>
                <w:szCs w:val="20"/>
              </w:rPr>
              <w:t>2030</w:t>
            </w:r>
          </w:p>
        </w:tc>
      </w:tr>
      <w:tr w:rsidR="008A26D2" w:rsidRPr="008A26D2" w14:paraId="7507992F" w14:textId="77777777" w:rsidTr="00685566">
        <w:trPr>
          <w:trHeight w:val="81"/>
        </w:trPr>
        <w:tc>
          <w:tcPr>
            <w:tcW w:w="1291" w:type="dxa"/>
            <w:shd w:val="clear" w:color="auto" w:fill="auto"/>
            <w:tcMar>
              <w:top w:w="10" w:type="dxa"/>
              <w:left w:w="10" w:type="dxa"/>
              <w:bottom w:w="0" w:type="dxa"/>
              <w:right w:w="10" w:type="dxa"/>
            </w:tcMar>
            <w:vAlign w:val="center"/>
          </w:tcPr>
          <w:p w14:paraId="39120F95" w14:textId="77777777" w:rsidR="00A90E9C" w:rsidRPr="008A26D2" w:rsidRDefault="00A90E9C" w:rsidP="0072651A">
            <w:pPr>
              <w:jc w:val="center"/>
              <w:rPr>
                <w:rFonts w:ascii="Arial" w:hAnsi="Arial" w:cs="Arial"/>
                <w:b/>
                <w:sz w:val="20"/>
                <w:szCs w:val="20"/>
              </w:rPr>
            </w:pPr>
            <w:r w:rsidRPr="008A26D2">
              <w:rPr>
                <w:rFonts w:ascii="Arial" w:hAnsi="Arial" w:cs="Arial"/>
                <w:b/>
                <w:sz w:val="20"/>
                <w:szCs w:val="20"/>
              </w:rPr>
              <w:t>Valor</w:t>
            </w:r>
          </w:p>
        </w:tc>
        <w:tc>
          <w:tcPr>
            <w:tcW w:w="1134" w:type="dxa"/>
            <w:shd w:val="clear" w:color="auto" w:fill="auto"/>
            <w:tcMar>
              <w:top w:w="10" w:type="dxa"/>
              <w:left w:w="10" w:type="dxa"/>
              <w:bottom w:w="0" w:type="dxa"/>
              <w:right w:w="10" w:type="dxa"/>
            </w:tcMar>
            <w:vAlign w:val="center"/>
          </w:tcPr>
          <w:p w14:paraId="04EC961B" w14:textId="1A62492B" w:rsidR="00A90E9C" w:rsidRPr="008A26D2" w:rsidRDefault="00861638" w:rsidP="0072651A">
            <w:pPr>
              <w:jc w:val="center"/>
              <w:rPr>
                <w:rFonts w:ascii="Arial" w:hAnsi="Arial" w:cs="Arial"/>
                <w:sz w:val="20"/>
                <w:szCs w:val="20"/>
              </w:rPr>
            </w:pPr>
            <w:r w:rsidRPr="008A26D2">
              <w:rPr>
                <w:rFonts w:ascii="Arial" w:hAnsi="Arial" w:cs="Arial"/>
                <w:sz w:val="20"/>
                <w:szCs w:val="20"/>
              </w:rPr>
              <w:t>50%</w:t>
            </w:r>
          </w:p>
        </w:tc>
        <w:tc>
          <w:tcPr>
            <w:tcW w:w="976" w:type="dxa"/>
            <w:shd w:val="clear" w:color="auto" w:fill="auto"/>
            <w:tcMar>
              <w:top w:w="10" w:type="dxa"/>
              <w:left w:w="10" w:type="dxa"/>
              <w:bottom w:w="0" w:type="dxa"/>
              <w:right w:w="10" w:type="dxa"/>
            </w:tcMar>
            <w:vAlign w:val="center"/>
          </w:tcPr>
          <w:p w14:paraId="03474E86" w14:textId="77777777" w:rsidR="00A90E9C" w:rsidRPr="008A26D2" w:rsidRDefault="00A90E9C" w:rsidP="0072651A">
            <w:pPr>
              <w:jc w:val="center"/>
              <w:rPr>
                <w:rFonts w:ascii="Arial" w:hAnsi="Arial" w:cs="Arial"/>
                <w:sz w:val="20"/>
                <w:szCs w:val="20"/>
              </w:rPr>
            </w:pPr>
            <w:r w:rsidRPr="008A26D2">
              <w:rPr>
                <w:rFonts w:ascii="Arial" w:eastAsia="Arial Narrow" w:hAnsi="Arial" w:cs="Arial"/>
                <w:sz w:val="20"/>
                <w:szCs w:val="20"/>
              </w:rPr>
              <w:t>60%</w:t>
            </w:r>
          </w:p>
        </w:tc>
        <w:tc>
          <w:tcPr>
            <w:tcW w:w="851" w:type="dxa"/>
            <w:gridSpan w:val="2"/>
            <w:shd w:val="clear" w:color="auto" w:fill="auto"/>
            <w:vAlign w:val="center"/>
          </w:tcPr>
          <w:p w14:paraId="619C0D72" w14:textId="77777777" w:rsidR="00A90E9C" w:rsidRPr="008A26D2" w:rsidRDefault="00A90E9C" w:rsidP="0072651A">
            <w:pPr>
              <w:jc w:val="center"/>
              <w:rPr>
                <w:rFonts w:ascii="Arial" w:hAnsi="Arial" w:cs="Arial"/>
                <w:sz w:val="20"/>
                <w:szCs w:val="20"/>
              </w:rPr>
            </w:pPr>
            <w:r w:rsidRPr="008A26D2">
              <w:rPr>
                <w:rFonts w:ascii="Arial" w:eastAsia="Arial Narrow" w:hAnsi="Arial" w:cs="Arial"/>
                <w:sz w:val="20"/>
                <w:szCs w:val="20"/>
              </w:rPr>
              <w:t>60%</w:t>
            </w:r>
          </w:p>
        </w:tc>
        <w:tc>
          <w:tcPr>
            <w:tcW w:w="850" w:type="dxa"/>
            <w:shd w:val="clear" w:color="auto" w:fill="auto"/>
            <w:vAlign w:val="center"/>
          </w:tcPr>
          <w:p w14:paraId="3ABCB30C" w14:textId="77777777" w:rsidR="00A90E9C" w:rsidRPr="008A26D2" w:rsidRDefault="00A90E9C" w:rsidP="0072651A">
            <w:pPr>
              <w:jc w:val="center"/>
              <w:rPr>
                <w:rFonts w:ascii="Arial" w:hAnsi="Arial" w:cs="Arial"/>
                <w:sz w:val="20"/>
                <w:szCs w:val="20"/>
              </w:rPr>
            </w:pPr>
            <w:r w:rsidRPr="008A26D2">
              <w:rPr>
                <w:rFonts w:ascii="Arial" w:eastAsia="Arial Narrow" w:hAnsi="Arial" w:cs="Arial"/>
                <w:sz w:val="20"/>
                <w:szCs w:val="20"/>
              </w:rPr>
              <w:t>70%</w:t>
            </w:r>
          </w:p>
        </w:tc>
        <w:tc>
          <w:tcPr>
            <w:tcW w:w="710" w:type="dxa"/>
            <w:shd w:val="clear" w:color="auto" w:fill="auto"/>
            <w:vAlign w:val="center"/>
          </w:tcPr>
          <w:p w14:paraId="742D9BAA" w14:textId="77777777" w:rsidR="00A90E9C" w:rsidRPr="008A26D2" w:rsidRDefault="00A90E9C" w:rsidP="0072651A">
            <w:pPr>
              <w:jc w:val="center"/>
              <w:rPr>
                <w:rFonts w:ascii="Arial" w:hAnsi="Arial" w:cs="Arial"/>
                <w:sz w:val="20"/>
                <w:szCs w:val="20"/>
              </w:rPr>
            </w:pPr>
            <w:r w:rsidRPr="008A26D2">
              <w:rPr>
                <w:rFonts w:ascii="Arial" w:eastAsia="Arial Narrow" w:hAnsi="Arial" w:cs="Arial"/>
                <w:sz w:val="20"/>
                <w:szCs w:val="20"/>
              </w:rPr>
              <w:t>70%</w:t>
            </w:r>
          </w:p>
        </w:tc>
        <w:tc>
          <w:tcPr>
            <w:tcW w:w="709" w:type="dxa"/>
            <w:shd w:val="clear" w:color="auto" w:fill="auto"/>
            <w:vAlign w:val="center"/>
          </w:tcPr>
          <w:p w14:paraId="14B9AD77" w14:textId="77777777" w:rsidR="00A90E9C" w:rsidRPr="008A26D2" w:rsidRDefault="00A90E9C" w:rsidP="0072651A">
            <w:pPr>
              <w:jc w:val="center"/>
              <w:rPr>
                <w:rFonts w:ascii="Arial" w:hAnsi="Arial" w:cs="Arial"/>
                <w:sz w:val="20"/>
                <w:szCs w:val="20"/>
              </w:rPr>
            </w:pPr>
            <w:r w:rsidRPr="008A26D2">
              <w:rPr>
                <w:rFonts w:ascii="Arial" w:eastAsia="Arial Narrow" w:hAnsi="Arial" w:cs="Arial"/>
                <w:sz w:val="20"/>
                <w:szCs w:val="20"/>
              </w:rPr>
              <w:t>80%</w:t>
            </w:r>
          </w:p>
        </w:tc>
        <w:tc>
          <w:tcPr>
            <w:tcW w:w="709" w:type="dxa"/>
            <w:shd w:val="clear" w:color="auto" w:fill="auto"/>
            <w:vAlign w:val="center"/>
          </w:tcPr>
          <w:p w14:paraId="32406681" w14:textId="77777777" w:rsidR="00A90E9C" w:rsidRPr="008A26D2" w:rsidRDefault="00A90E9C" w:rsidP="0072651A">
            <w:pPr>
              <w:jc w:val="center"/>
              <w:rPr>
                <w:rFonts w:ascii="Arial" w:hAnsi="Arial" w:cs="Arial"/>
                <w:sz w:val="20"/>
                <w:szCs w:val="20"/>
              </w:rPr>
            </w:pPr>
            <w:r w:rsidRPr="008A26D2">
              <w:rPr>
                <w:rFonts w:ascii="Arial" w:eastAsia="Arial Narrow" w:hAnsi="Arial" w:cs="Arial"/>
                <w:sz w:val="20"/>
                <w:szCs w:val="20"/>
              </w:rPr>
              <w:t>80%</w:t>
            </w:r>
          </w:p>
        </w:tc>
        <w:tc>
          <w:tcPr>
            <w:tcW w:w="850" w:type="dxa"/>
            <w:gridSpan w:val="2"/>
            <w:shd w:val="clear" w:color="auto" w:fill="auto"/>
            <w:vAlign w:val="center"/>
          </w:tcPr>
          <w:p w14:paraId="6BA92626" w14:textId="77777777" w:rsidR="00A90E9C" w:rsidRPr="008A26D2" w:rsidRDefault="00A90E9C" w:rsidP="0072651A">
            <w:pPr>
              <w:jc w:val="center"/>
              <w:rPr>
                <w:rFonts w:ascii="Arial" w:hAnsi="Arial" w:cs="Arial"/>
                <w:sz w:val="20"/>
                <w:szCs w:val="20"/>
              </w:rPr>
            </w:pPr>
            <w:r w:rsidRPr="008A26D2">
              <w:rPr>
                <w:rFonts w:ascii="Arial" w:eastAsia="Arial Narrow" w:hAnsi="Arial" w:cs="Arial"/>
                <w:sz w:val="20"/>
                <w:szCs w:val="20"/>
              </w:rPr>
              <w:t>90%</w:t>
            </w:r>
          </w:p>
        </w:tc>
        <w:tc>
          <w:tcPr>
            <w:tcW w:w="709" w:type="dxa"/>
            <w:shd w:val="clear" w:color="auto" w:fill="auto"/>
            <w:tcMar>
              <w:top w:w="10" w:type="dxa"/>
              <w:left w:w="10" w:type="dxa"/>
              <w:bottom w:w="0" w:type="dxa"/>
              <w:right w:w="10" w:type="dxa"/>
            </w:tcMar>
            <w:vAlign w:val="center"/>
          </w:tcPr>
          <w:p w14:paraId="53295DFD" w14:textId="77777777" w:rsidR="00A90E9C" w:rsidRPr="008A26D2" w:rsidRDefault="00A90E9C" w:rsidP="0072651A">
            <w:pPr>
              <w:jc w:val="center"/>
              <w:rPr>
                <w:rFonts w:ascii="Arial" w:hAnsi="Arial" w:cs="Arial"/>
                <w:sz w:val="20"/>
                <w:szCs w:val="20"/>
              </w:rPr>
            </w:pPr>
            <w:r w:rsidRPr="008A26D2">
              <w:rPr>
                <w:rFonts w:ascii="Arial" w:eastAsia="Arial Narrow" w:hAnsi="Arial" w:cs="Arial"/>
                <w:sz w:val="20"/>
                <w:szCs w:val="20"/>
              </w:rPr>
              <w:t>90%</w:t>
            </w:r>
          </w:p>
        </w:tc>
      </w:tr>
    </w:tbl>
    <w:p w14:paraId="3F8C9DF4" w14:textId="77777777" w:rsidR="00A90E9C" w:rsidRPr="008A26D2" w:rsidRDefault="00A90E9C" w:rsidP="00A90E9C"/>
    <w:p w14:paraId="69EF4F7F" w14:textId="77777777" w:rsidR="0087293E" w:rsidRPr="008A26D2" w:rsidRDefault="0087293E" w:rsidP="00A90E9C"/>
    <w:tbl>
      <w:tblPr>
        <w:tblW w:w="8789"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
        <w:gridCol w:w="861"/>
        <w:gridCol w:w="716"/>
        <w:gridCol w:w="124"/>
        <w:gridCol w:w="851"/>
        <w:gridCol w:w="708"/>
        <w:gridCol w:w="142"/>
        <w:gridCol w:w="851"/>
        <w:gridCol w:w="850"/>
        <w:gridCol w:w="992"/>
        <w:gridCol w:w="308"/>
        <w:gridCol w:w="685"/>
        <w:gridCol w:w="850"/>
      </w:tblGrid>
      <w:tr w:rsidR="008A26D2" w:rsidRPr="008A26D2" w14:paraId="796B1EB3" w14:textId="77777777" w:rsidTr="00685566">
        <w:trPr>
          <w:trHeight w:val="251"/>
        </w:trPr>
        <w:tc>
          <w:tcPr>
            <w:tcW w:w="8789" w:type="dxa"/>
            <w:gridSpan w:val="13"/>
            <w:shd w:val="clear" w:color="auto" w:fill="D9D9D9" w:themeFill="background1" w:themeFillShade="D9"/>
            <w:tcMar>
              <w:top w:w="10" w:type="dxa"/>
              <w:left w:w="10" w:type="dxa"/>
              <w:bottom w:w="0" w:type="dxa"/>
              <w:right w:w="10" w:type="dxa"/>
            </w:tcMar>
            <w:vAlign w:val="center"/>
          </w:tcPr>
          <w:p w14:paraId="2B04FD03" w14:textId="77777777" w:rsidR="00A90E9C" w:rsidRPr="008A26D2" w:rsidRDefault="00A90E9C" w:rsidP="0087293E">
            <w:pPr>
              <w:jc w:val="center"/>
              <w:rPr>
                <w:rFonts w:ascii="Arial" w:hAnsi="Arial" w:cs="Arial"/>
                <w:sz w:val="20"/>
                <w:szCs w:val="20"/>
              </w:rPr>
            </w:pPr>
            <w:r w:rsidRPr="008A26D2">
              <w:rPr>
                <w:rFonts w:ascii="Arial" w:hAnsi="Arial" w:cs="Arial"/>
                <w:sz w:val="20"/>
                <w:szCs w:val="20"/>
              </w:rPr>
              <w:br w:type="page"/>
            </w:r>
            <w:r w:rsidRPr="008A26D2">
              <w:rPr>
                <w:rFonts w:ascii="Arial" w:hAnsi="Arial" w:cs="Arial"/>
                <w:b/>
                <w:sz w:val="20"/>
                <w:szCs w:val="20"/>
              </w:rPr>
              <w:t>FICHA TÉCNICA DE INDICADOR DE SERVICIO 1.6.2</w:t>
            </w:r>
          </w:p>
        </w:tc>
      </w:tr>
      <w:tr w:rsidR="008A26D2" w:rsidRPr="008A26D2" w14:paraId="14281A65" w14:textId="77777777" w:rsidTr="00685566">
        <w:trPr>
          <w:trHeight w:val="409"/>
        </w:trPr>
        <w:tc>
          <w:tcPr>
            <w:tcW w:w="2428" w:type="dxa"/>
            <w:gridSpan w:val="3"/>
            <w:shd w:val="clear" w:color="auto" w:fill="FFFFFF"/>
            <w:tcMar>
              <w:top w:w="10" w:type="dxa"/>
              <w:left w:w="93" w:type="dxa"/>
              <w:bottom w:w="0" w:type="dxa"/>
              <w:right w:w="10" w:type="dxa"/>
            </w:tcMar>
            <w:vAlign w:val="center"/>
          </w:tcPr>
          <w:p w14:paraId="1D85A53A"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Objetivo prioritario:</w:t>
            </w:r>
          </w:p>
        </w:tc>
        <w:tc>
          <w:tcPr>
            <w:tcW w:w="6361" w:type="dxa"/>
            <w:gridSpan w:val="10"/>
            <w:shd w:val="clear" w:color="auto" w:fill="FFFFFF"/>
            <w:tcMar>
              <w:top w:w="51" w:type="dxa"/>
              <w:left w:w="227" w:type="dxa"/>
              <w:bottom w:w="51" w:type="dxa"/>
              <w:right w:w="227" w:type="dxa"/>
            </w:tcMar>
            <w:vAlign w:val="center"/>
          </w:tcPr>
          <w:p w14:paraId="2B2060A3" w14:textId="77777777" w:rsidR="00A90E9C" w:rsidRPr="008A26D2" w:rsidRDefault="00A90E9C" w:rsidP="0087293E">
            <w:pPr>
              <w:pBdr>
                <w:top w:val="nil"/>
                <w:left w:val="nil"/>
                <w:bottom w:val="nil"/>
                <w:right w:val="nil"/>
                <w:between w:val="nil"/>
              </w:pBdr>
              <w:spacing w:after="0" w:line="240" w:lineRule="auto"/>
              <w:jc w:val="both"/>
              <w:rPr>
                <w:rFonts w:ascii="Arial" w:hAnsi="Arial" w:cs="Arial"/>
                <w:sz w:val="20"/>
                <w:szCs w:val="20"/>
              </w:rPr>
            </w:pPr>
            <w:r w:rsidRPr="008A26D2">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r>
      <w:tr w:rsidR="008A26D2" w:rsidRPr="008A26D2" w14:paraId="44A1FC9B" w14:textId="77777777" w:rsidTr="00685566">
        <w:trPr>
          <w:trHeight w:val="436"/>
        </w:trPr>
        <w:tc>
          <w:tcPr>
            <w:tcW w:w="2428" w:type="dxa"/>
            <w:gridSpan w:val="3"/>
            <w:shd w:val="clear" w:color="auto" w:fill="auto"/>
            <w:tcMar>
              <w:top w:w="10" w:type="dxa"/>
              <w:left w:w="93" w:type="dxa"/>
              <w:bottom w:w="0" w:type="dxa"/>
              <w:right w:w="10" w:type="dxa"/>
            </w:tcMar>
            <w:vAlign w:val="center"/>
          </w:tcPr>
          <w:p w14:paraId="61894B9D"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Lineamiento de la política:</w:t>
            </w:r>
          </w:p>
        </w:tc>
        <w:tc>
          <w:tcPr>
            <w:tcW w:w="6361" w:type="dxa"/>
            <w:gridSpan w:val="10"/>
            <w:shd w:val="clear" w:color="auto" w:fill="auto"/>
            <w:tcMar>
              <w:top w:w="51" w:type="dxa"/>
              <w:left w:w="227" w:type="dxa"/>
              <w:bottom w:w="51" w:type="dxa"/>
              <w:right w:w="227" w:type="dxa"/>
            </w:tcMar>
            <w:vAlign w:val="center"/>
          </w:tcPr>
          <w:p w14:paraId="6B26A557" w14:textId="77777777" w:rsidR="00A90E9C" w:rsidRPr="008A26D2" w:rsidRDefault="00A90E9C" w:rsidP="0087293E">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L1.6 Fomentar el aprovechamiento sostenible de los recursos forestales y de fauna silvestre</w:t>
            </w:r>
          </w:p>
        </w:tc>
      </w:tr>
      <w:tr w:rsidR="008A26D2" w:rsidRPr="008A26D2" w14:paraId="203BDBC1" w14:textId="77777777" w:rsidTr="00685566">
        <w:trPr>
          <w:trHeight w:val="404"/>
        </w:trPr>
        <w:tc>
          <w:tcPr>
            <w:tcW w:w="2428" w:type="dxa"/>
            <w:gridSpan w:val="3"/>
            <w:shd w:val="clear" w:color="auto" w:fill="auto"/>
            <w:tcMar>
              <w:top w:w="10" w:type="dxa"/>
              <w:left w:w="93" w:type="dxa"/>
              <w:bottom w:w="0" w:type="dxa"/>
              <w:right w:w="10" w:type="dxa"/>
            </w:tcMar>
            <w:vAlign w:val="center"/>
          </w:tcPr>
          <w:p w14:paraId="1564A5D8"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Nombre del servicio:</w:t>
            </w:r>
          </w:p>
        </w:tc>
        <w:tc>
          <w:tcPr>
            <w:tcW w:w="6361" w:type="dxa"/>
            <w:gridSpan w:val="10"/>
            <w:shd w:val="clear" w:color="auto" w:fill="auto"/>
            <w:tcMar>
              <w:top w:w="51" w:type="dxa"/>
              <w:left w:w="227" w:type="dxa"/>
              <w:bottom w:w="51" w:type="dxa"/>
              <w:right w:w="227" w:type="dxa"/>
            </w:tcMar>
            <w:vAlign w:val="center"/>
          </w:tcPr>
          <w:p w14:paraId="6353C866" w14:textId="5F53DC22" w:rsidR="00A90E9C" w:rsidRPr="008A26D2" w:rsidRDefault="00A90E9C" w:rsidP="0087293E">
            <w:pPr>
              <w:pBdr>
                <w:top w:val="nil"/>
                <w:left w:val="nil"/>
                <w:bottom w:val="nil"/>
                <w:right w:val="nil"/>
                <w:between w:val="nil"/>
              </w:pBdr>
              <w:spacing w:after="0" w:line="240" w:lineRule="auto"/>
              <w:jc w:val="both"/>
              <w:rPr>
                <w:rFonts w:ascii="Arial" w:eastAsia="Arial Narrow" w:hAnsi="Arial" w:cs="Arial"/>
                <w:strike/>
                <w:sz w:val="20"/>
                <w:szCs w:val="20"/>
              </w:rPr>
            </w:pPr>
            <w:r w:rsidRPr="008A26D2">
              <w:rPr>
                <w:rFonts w:ascii="Arial" w:eastAsia="Arial Narrow" w:hAnsi="Arial" w:cs="Arial"/>
                <w:sz w:val="20"/>
                <w:szCs w:val="20"/>
              </w:rPr>
              <w:t>S1.6.2 Fortalecimiento de capacidades para el otorgamiento de derechos impartidos de forma satisfactoria a las Autoridades Regionales Forestales y de Fauna Silvestre</w:t>
            </w:r>
          </w:p>
        </w:tc>
      </w:tr>
      <w:tr w:rsidR="008A26D2" w:rsidRPr="008A26D2" w14:paraId="0AAC97B3" w14:textId="77777777" w:rsidTr="00685566">
        <w:trPr>
          <w:trHeight w:val="577"/>
        </w:trPr>
        <w:tc>
          <w:tcPr>
            <w:tcW w:w="2428" w:type="dxa"/>
            <w:gridSpan w:val="3"/>
            <w:shd w:val="clear" w:color="auto" w:fill="auto"/>
            <w:tcMar>
              <w:top w:w="10" w:type="dxa"/>
              <w:left w:w="93" w:type="dxa"/>
              <w:bottom w:w="0" w:type="dxa"/>
              <w:right w:w="10" w:type="dxa"/>
            </w:tcMar>
            <w:vAlign w:val="center"/>
          </w:tcPr>
          <w:p w14:paraId="336A47C4"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Nombre del indicador:</w:t>
            </w:r>
          </w:p>
        </w:tc>
        <w:tc>
          <w:tcPr>
            <w:tcW w:w="6361" w:type="dxa"/>
            <w:gridSpan w:val="10"/>
            <w:shd w:val="clear" w:color="auto" w:fill="auto"/>
            <w:tcMar>
              <w:top w:w="51" w:type="dxa"/>
              <w:left w:w="227" w:type="dxa"/>
              <w:bottom w:w="51" w:type="dxa"/>
              <w:right w:w="227" w:type="dxa"/>
            </w:tcMar>
            <w:vAlign w:val="bottom"/>
          </w:tcPr>
          <w:p w14:paraId="0F4FFD14" w14:textId="4199DD21" w:rsidR="00A90E9C" w:rsidRPr="008A26D2" w:rsidRDefault="00A90E9C" w:rsidP="0087293E">
            <w:pPr>
              <w:jc w:val="both"/>
              <w:rPr>
                <w:rFonts w:ascii="Arial" w:eastAsia="Arial Narrow" w:hAnsi="Arial" w:cs="Arial"/>
                <w:strike/>
                <w:sz w:val="20"/>
                <w:szCs w:val="20"/>
              </w:rPr>
            </w:pPr>
            <w:r w:rsidRPr="008A26D2">
              <w:rPr>
                <w:rFonts w:ascii="Arial" w:eastAsia="Times New Roman" w:hAnsi="Arial" w:cs="Arial"/>
                <w:sz w:val="20"/>
                <w:szCs w:val="20"/>
                <w:lang w:val="es-ES"/>
              </w:rPr>
              <w:t xml:space="preserve">Porcentaje de </w:t>
            </w:r>
            <w:r w:rsidR="00A74AEE" w:rsidRPr="008A26D2">
              <w:rPr>
                <w:rFonts w:ascii="Arial" w:eastAsia="Times New Roman" w:hAnsi="Arial" w:cs="Arial"/>
                <w:sz w:val="20"/>
                <w:szCs w:val="20"/>
              </w:rPr>
              <w:t xml:space="preserve">servidores </w:t>
            </w:r>
            <w:r w:rsidRPr="008A26D2">
              <w:rPr>
                <w:rFonts w:ascii="Arial" w:eastAsia="Times New Roman" w:hAnsi="Arial" w:cs="Arial"/>
                <w:sz w:val="20"/>
                <w:szCs w:val="20"/>
              </w:rPr>
              <w:t>de las Autoridades Regionales Forestales y de Fauna Silvestre</w:t>
            </w:r>
            <w:r w:rsidRPr="008A26D2">
              <w:rPr>
                <w:rFonts w:ascii="Arial" w:eastAsia="Times New Roman" w:hAnsi="Arial" w:cs="Arial"/>
                <w:sz w:val="20"/>
                <w:szCs w:val="20"/>
                <w:lang w:val="es-ES"/>
              </w:rPr>
              <w:t xml:space="preserve"> con alto </w:t>
            </w:r>
            <w:r w:rsidRPr="008A26D2">
              <w:rPr>
                <w:rFonts w:ascii="Arial" w:eastAsia="Times New Roman" w:hAnsi="Arial" w:cs="Arial"/>
                <w:sz w:val="20"/>
                <w:szCs w:val="20"/>
              </w:rPr>
              <w:t>grado de satisfacción sobre las capacitaciones recibidas</w:t>
            </w:r>
            <w:r w:rsidR="003E037A" w:rsidRPr="008A26D2">
              <w:rPr>
                <w:rFonts w:ascii="Arial" w:eastAsia="Times New Roman" w:hAnsi="Arial" w:cs="Arial"/>
                <w:sz w:val="20"/>
                <w:szCs w:val="20"/>
              </w:rPr>
              <w:t xml:space="preserve"> en otorgamiento de derechos</w:t>
            </w:r>
            <w:r w:rsidRPr="008A26D2">
              <w:rPr>
                <w:rFonts w:ascii="Arial" w:eastAsia="Times New Roman" w:hAnsi="Arial" w:cs="Arial"/>
                <w:sz w:val="20"/>
                <w:szCs w:val="20"/>
              </w:rPr>
              <w:t>.</w:t>
            </w:r>
          </w:p>
        </w:tc>
      </w:tr>
      <w:tr w:rsidR="008A26D2" w:rsidRPr="008A26D2" w14:paraId="78B9CB5C" w14:textId="77777777" w:rsidTr="00685566">
        <w:trPr>
          <w:trHeight w:val="577"/>
        </w:trPr>
        <w:tc>
          <w:tcPr>
            <w:tcW w:w="2428" w:type="dxa"/>
            <w:gridSpan w:val="3"/>
            <w:shd w:val="clear" w:color="auto" w:fill="auto"/>
            <w:tcMar>
              <w:top w:w="10" w:type="dxa"/>
              <w:left w:w="93" w:type="dxa"/>
              <w:bottom w:w="0" w:type="dxa"/>
              <w:right w:w="10" w:type="dxa"/>
            </w:tcMar>
            <w:vAlign w:val="center"/>
          </w:tcPr>
          <w:p w14:paraId="1A4460AE"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Justificación:</w:t>
            </w:r>
          </w:p>
        </w:tc>
        <w:tc>
          <w:tcPr>
            <w:tcW w:w="6361" w:type="dxa"/>
            <w:gridSpan w:val="10"/>
            <w:shd w:val="clear" w:color="auto" w:fill="auto"/>
            <w:tcMar>
              <w:top w:w="51" w:type="dxa"/>
              <w:left w:w="227" w:type="dxa"/>
              <w:bottom w:w="51" w:type="dxa"/>
              <w:right w:w="227" w:type="dxa"/>
            </w:tcMar>
            <w:vAlign w:val="center"/>
          </w:tcPr>
          <w:p w14:paraId="4C3DC4F5" w14:textId="5497B2C6" w:rsidR="00A90E9C" w:rsidRPr="008A26D2" w:rsidRDefault="00A90E9C" w:rsidP="0087293E">
            <w:pPr>
              <w:jc w:val="both"/>
              <w:rPr>
                <w:rFonts w:ascii="Arial" w:eastAsia="Arial Narrow" w:hAnsi="Arial" w:cs="Arial"/>
                <w:strike/>
                <w:sz w:val="20"/>
                <w:szCs w:val="20"/>
              </w:rPr>
            </w:pPr>
            <w:r w:rsidRPr="008A26D2">
              <w:rPr>
                <w:rFonts w:ascii="Arial" w:eastAsia="Times New Roman" w:hAnsi="Arial" w:cs="Arial"/>
                <w:sz w:val="20"/>
                <w:szCs w:val="20"/>
                <w:lang w:val="es-ES"/>
              </w:rPr>
              <w:t xml:space="preserve">El indicador cuantifica el porcentaje de </w:t>
            </w:r>
            <w:r w:rsidR="00A74AEE" w:rsidRPr="008A26D2">
              <w:rPr>
                <w:rFonts w:ascii="Arial" w:eastAsia="Times New Roman" w:hAnsi="Arial" w:cs="Arial"/>
                <w:sz w:val="20"/>
                <w:szCs w:val="20"/>
              </w:rPr>
              <w:t>servidores</w:t>
            </w:r>
            <w:r w:rsidRPr="008A26D2">
              <w:rPr>
                <w:rFonts w:ascii="Arial" w:eastAsia="Times New Roman" w:hAnsi="Arial" w:cs="Arial"/>
                <w:sz w:val="20"/>
                <w:szCs w:val="20"/>
              </w:rPr>
              <w:t xml:space="preserve"> de las Autoridades Regionales Forestales y de Fauna Silvestre</w:t>
            </w:r>
            <w:r w:rsidRPr="008A26D2">
              <w:rPr>
                <w:rFonts w:ascii="Arial" w:eastAsia="Times New Roman" w:hAnsi="Arial" w:cs="Arial"/>
                <w:sz w:val="20"/>
                <w:szCs w:val="20"/>
                <w:lang w:val="es-ES"/>
              </w:rPr>
              <w:t xml:space="preserve"> que perciben un alto grado de satisfacción sobre las capacitaciones recibidas en otorgamiento de derechos. De esta manera, el indicador facilitará el seguimiento de la satisfacción del servicio y establecer acciones de mejora correspondientes.</w:t>
            </w:r>
          </w:p>
        </w:tc>
      </w:tr>
      <w:tr w:rsidR="008A26D2" w:rsidRPr="008A26D2" w14:paraId="5090F554" w14:textId="77777777" w:rsidTr="00685566">
        <w:trPr>
          <w:trHeight w:val="352"/>
        </w:trPr>
        <w:tc>
          <w:tcPr>
            <w:tcW w:w="2428" w:type="dxa"/>
            <w:gridSpan w:val="3"/>
            <w:shd w:val="clear" w:color="auto" w:fill="auto"/>
            <w:tcMar>
              <w:top w:w="10" w:type="dxa"/>
              <w:left w:w="93" w:type="dxa"/>
              <w:bottom w:w="0" w:type="dxa"/>
              <w:right w:w="10" w:type="dxa"/>
            </w:tcMar>
            <w:vAlign w:val="center"/>
          </w:tcPr>
          <w:p w14:paraId="0ABB78E5"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Responsable del indicador:</w:t>
            </w:r>
          </w:p>
        </w:tc>
        <w:tc>
          <w:tcPr>
            <w:tcW w:w="6361" w:type="dxa"/>
            <w:gridSpan w:val="10"/>
            <w:shd w:val="clear" w:color="auto" w:fill="auto"/>
            <w:tcMar>
              <w:top w:w="51" w:type="dxa"/>
              <w:left w:w="227" w:type="dxa"/>
              <w:bottom w:w="51" w:type="dxa"/>
              <w:right w:w="227" w:type="dxa"/>
            </w:tcMar>
            <w:vAlign w:val="center"/>
          </w:tcPr>
          <w:p w14:paraId="55198F07" w14:textId="5AB22727" w:rsidR="00A90E9C" w:rsidRPr="008A26D2" w:rsidRDefault="00A90E9C" w:rsidP="0087293E">
            <w:pPr>
              <w:jc w:val="both"/>
              <w:rPr>
                <w:rFonts w:ascii="Arial" w:eastAsia="Arial Narrow" w:hAnsi="Arial" w:cs="Arial"/>
                <w:sz w:val="20"/>
                <w:szCs w:val="20"/>
              </w:rPr>
            </w:pPr>
            <w:r w:rsidRPr="008A26D2">
              <w:rPr>
                <w:rFonts w:ascii="Arial" w:eastAsia="Arial Narrow" w:hAnsi="Arial" w:cs="Arial"/>
                <w:sz w:val="20"/>
                <w:szCs w:val="20"/>
              </w:rPr>
              <w:t>Dirección General de Gestión Sostenible del Patrimonio Forestal y de Fauna Silvestre del Servicio Nacional Forestal y de Fauna Silvestre - SERFOR</w:t>
            </w:r>
          </w:p>
        </w:tc>
      </w:tr>
      <w:tr w:rsidR="008A26D2" w:rsidRPr="008A26D2" w14:paraId="24CCE626" w14:textId="77777777" w:rsidTr="00685566">
        <w:trPr>
          <w:trHeight w:val="754"/>
        </w:trPr>
        <w:tc>
          <w:tcPr>
            <w:tcW w:w="2428" w:type="dxa"/>
            <w:gridSpan w:val="3"/>
            <w:shd w:val="clear" w:color="auto" w:fill="auto"/>
            <w:tcMar>
              <w:top w:w="10" w:type="dxa"/>
              <w:left w:w="93" w:type="dxa"/>
              <w:bottom w:w="0" w:type="dxa"/>
              <w:right w:w="10" w:type="dxa"/>
            </w:tcMar>
            <w:vAlign w:val="center"/>
          </w:tcPr>
          <w:p w14:paraId="64208608"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Limitaciones para la medición del indicador:</w:t>
            </w:r>
          </w:p>
        </w:tc>
        <w:tc>
          <w:tcPr>
            <w:tcW w:w="6361" w:type="dxa"/>
            <w:gridSpan w:val="10"/>
            <w:shd w:val="clear" w:color="auto" w:fill="auto"/>
            <w:tcMar>
              <w:top w:w="51" w:type="dxa"/>
              <w:left w:w="227" w:type="dxa"/>
              <w:bottom w:w="51" w:type="dxa"/>
              <w:right w:w="227" w:type="dxa"/>
            </w:tcMar>
            <w:vAlign w:val="center"/>
          </w:tcPr>
          <w:p w14:paraId="4EC2DE09" w14:textId="77777777" w:rsidR="00A90E9C" w:rsidRPr="008A26D2" w:rsidRDefault="00A90E9C" w:rsidP="0087293E">
            <w:pPr>
              <w:jc w:val="both"/>
              <w:rPr>
                <w:rFonts w:ascii="Arial" w:hAnsi="Arial" w:cs="Arial"/>
                <w:sz w:val="20"/>
                <w:szCs w:val="20"/>
              </w:rPr>
            </w:pPr>
            <w:r w:rsidRPr="008A26D2">
              <w:rPr>
                <w:rFonts w:ascii="Arial" w:eastAsia="Arial Narrow" w:hAnsi="Arial" w:cs="Arial"/>
                <w:sz w:val="20"/>
                <w:szCs w:val="20"/>
              </w:rPr>
              <w:t>No presenta limitaciones</w:t>
            </w:r>
          </w:p>
        </w:tc>
      </w:tr>
      <w:tr w:rsidR="008A26D2" w:rsidRPr="008A26D2" w14:paraId="0C6C1A6A" w14:textId="77777777" w:rsidTr="00685566">
        <w:trPr>
          <w:trHeight w:val="231"/>
        </w:trPr>
        <w:tc>
          <w:tcPr>
            <w:tcW w:w="2428" w:type="dxa"/>
            <w:gridSpan w:val="3"/>
            <w:shd w:val="clear" w:color="auto" w:fill="auto"/>
            <w:tcMar>
              <w:top w:w="10" w:type="dxa"/>
              <w:left w:w="93" w:type="dxa"/>
              <w:bottom w:w="0" w:type="dxa"/>
              <w:right w:w="10" w:type="dxa"/>
            </w:tcMar>
            <w:vAlign w:val="center"/>
          </w:tcPr>
          <w:p w14:paraId="63A60257"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 xml:space="preserve">Método de cálculo: </w:t>
            </w:r>
          </w:p>
        </w:tc>
        <w:tc>
          <w:tcPr>
            <w:tcW w:w="6361" w:type="dxa"/>
            <w:gridSpan w:val="10"/>
            <w:shd w:val="clear" w:color="auto" w:fill="auto"/>
            <w:tcMar>
              <w:top w:w="51" w:type="dxa"/>
              <w:left w:w="227" w:type="dxa"/>
              <w:bottom w:w="51" w:type="dxa"/>
              <w:right w:w="227" w:type="dxa"/>
            </w:tcMar>
            <w:vAlign w:val="center"/>
          </w:tcPr>
          <w:p w14:paraId="72B4A8D5" w14:textId="77777777" w:rsidR="00A90E9C" w:rsidRPr="008A26D2" w:rsidRDefault="00A90E9C" w:rsidP="0087293E">
            <w:pPr>
              <w:jc w:val="both"/>
              <w:rPr>
                <w:rFonts w:ascii="Arial" w:eastAsia="Arial Narrow" w:hAnsi="Arial" w:cs="Arial"/>
                <w:b/>
                <w:sz w:val="20"/>
                <w:szCs w:val="20"/>
              </w:rPr>
            </w:pPr>
            <w:r w:rsidRPr="008A26D2">
              <w:rPr>
                <w:rFonts w:ascii="Arial" w:eastAsia="Arial Narrow" w:hAnsi="Arial" w:cs="Arial"/>
                <w:b/>
                <w:sz w:val="20"/>
                <w:szCs w:val="20"/>
              </w:rPr>
              <w:t>1. Fórmula:</w:t>
            </w:r>
          </w:p>
          <w:p w14:paraId="17BDDC6E" w14:textId="0C59EE20" w:rsidR="00A90E9C" w:rsidRPr="008A26D2" w:rsidRDefault="00A74AEE" w:rsidP="0087293E">
            <w:pPr>
              <w:jc w:val="both"/>
              <w:rPr>
                <w:rFonts w:ascii="Arial" w:eastAsia="Arial Narrow" w:hAnsi="Arial" w:cs="Arial"/>
                <w:sz w:val="20"/>
                <w:szCs w:val="20"/>
              </w:rPr>
            </w:pPr>
            <w:r w:rsidRPr="008A26D2">
              <w:rPr>
                <w:rFonts w:ascii="Arial" w:eastAsia="Arial Narrow" w:hAnsi="Arial" w:cs="Arial"/>
                <w:sz w:val="20"/>
                <w:szCs w:val="20"/>
              </w:rPr>
              <w:t>(</w:t>
            </w:r>
            <w:r w:rsidR="00A90E9C" w:rsidRPr="008A26D2">
              <w:rPr>
                <w:rFonts w:ascii="Arial" w:eastAsia="Arial Narrow" w:hAnsi="Arial" w:cs="Arial"/>
                <w:sz w:val="20"/>
                <w:szCs w:val="20"/>
              </w:rPr>
              <w:t>A/B</w:t>
            </w:r>
            <w:r w:rsidRPr="008A26D2">
              <w:rPr>
                <w:rFonts w:ascii="Arial" w:eastAsia="Arial Narrow" w:hAnsi="Arial" w:cs="Arial"/>
                <w:sz w:val="20"/>
                <w:szCs w:val="20"/>
              </w:rPr>
              <w:t>)</w:t>
            </w:r>
            <w:r w:rsidR="00A90E9C" w:rsidRPr="008A26D2">
              <w:rPr>
                <w:rFonts w:ascii="Arial" w:eastAsia="Arial Narrow" w:hAnsi="Arial" w:cs="Arial"/>
                <w:sz w:val="20"/>
                <w:szCs w:val="20"/>
              </w:rPr>
              <w:t>*100</w:t>
            </w:r>
          </w:p>
          <w:p w14:paraId="69BE34E9" w14:textId="77777777" w:rsidR="00A90E9C" w:rsidRPr="008A26D2" w:rsidRDefault="00A90E9C" w:rsidP="0087293E">
            <w:pPr>
              <w:jc w:val="both"/>
              <w:rPr>
                <w:rFonts w:ascii="Arial" w:hAnsi="Arial" w:cs="Arial"/>
                <w:bCs/>
                <w:sz w:val="20"/>
                <w:szCs w:val="20"/>
              </w:rPr>
            </w:pPr>
            <w:r w:rsidRPr="008A26D2">
              <w:rPr>
                <w:rFonts w:ascii="Arial" w:hAnsi="Arial" w:cs="Arial"/>
                <w:bCs/>
                <w:sz w:val="20"/>
                <w:szCs w:val="20"/>
              </w:rPr>
              <w:t>Donde:</w:t>
            </w:r>
          </w:p>
          <w:p w14:paraId="4100BD64" w14:textId="1DC9C126" w:rsidR="00A90E9C" w:rsidRPr="008A26D2" w:rsidRDefault="00A90E9C" w:rsidP="0087293E">
            <w:pPr>
              <w:ind w:left="324" w:hanging="324"/>
              <w:jc w:val="both"/>
              <w:rPr>
                <w:rFonts w:ascii="Arial" w:hAnsi="Arial" w:cs="Arial"/>
                <w:bCs/>
                <w:sz w:val="20"/>
                <w:szCs w:val="20"/>
              </w:rPr>
            </w:pPr>
            <w:r w:rsidRPr="008A26D2">
              <w:rPr>
                <w:rFonts w:ascii="Arial" w:hAnsi="Arial" w:cs="Arial"/>
                <w:bCs/>
                <w:sz w:val="20"/>
                <w:szCs w:val="20"/>
              </w:rPr>
              <w:t xml:space="preserve">A = </w:t>
            </w:r>
            <w:r w:rsidR="00A74AEE" w:rsidRPr="008A26D2">
              <w:rPr>
                <w:rFonts w:ascii="Arial" w:hAnsi="Arial" w:cs="Arial"/>
                <w:bCs/>
                <w:sz w:val="20"/>
                <w:szCs w:val="20"/>
              </w:rPr>
              <w:t>Número de servidores</w:t>
            </w:r>
            <w:r w:rsidRPr="008A26D2">
              <w:rPr>
                <w:rFonts w:ascii="Arial" w:eastAsia="Times New Roman" w:hAnsi="Arial" w:cs="Arial"/>
                <w:sz w:val="20"/>
                <w:szCs w:val="20"/>
              </w:rPr>
              <w:t xml:space="preserve"> de las Autoridades Regionales Forestales y de Fauna Silvestre</w:t>
            </w:r>
            <w:r w:rsidRPr="008A26D2">
              <w:rPr>
                <w:rFonts w:ascii="Arial" w:hAnsi="Arial" w:cs="Arial"/>
                <w:bCs/>
                <w:sz w:val="20"/>
                <w:szCs w:val="20"/>
              </w:rPr>
              <w:t xml:space="preserve"> con alto grado de satisfacción sobre las capacitaciones recibidas</w:t>
            </w:r>
            <w:r w:rsidR="00A74AEE" w:rsidRPr="008A26D2">
              <w:rPr>
                <w:rFonts w:ascii="Arial" w:hAnsi="Arial" w:cs="Arial"/>
                <w:bCs/>
                <w:sz w:val="20"/>
                <w:szCs w:val="20"/>
              </w:rPr>
              <w:t xml:space="preserve"> </w:t>
            </w:r>
            <w:r w:rsidR="00A74AEE" w:rsidRPr="008A26D2">
              <w:rPr>
                <w:rFonts w:ascii="Arial" w:eastAsia="Times New Roman" w:hAnsi="Arial" w:cs="Arial"/>
                <w:sz w:val="20"/>
                <w:szCs w:val="20"/>
              </w:rPr>
              <w:t>en otorgamiento de derechos</w:t>
            </w:r>
          </w:p>
          <w:p w14:paraId="2F8C800A" w14:textId="77777777" w:rsidR="00A74AEE" w:rsidRPr="008A26D2" w:rsidRDefault="00A90E9C" w:rsidP="0087293E">
            <w:pPr>
              <w:ind w:left="324" w:hanging="324"/>
              <w:jc w:val="both"/>
              <w:rPr>
                <w:rFonts w:ascii="Arial" w:eastAsia="Times New Roman" w:hAnsi="Arial" w:cs="Arial"/>
                <w:sz w:val="20"/>
                <w:szCs w:val="20"/>
              </w:rPr>
            </w:pPr>
            <w:r w:rsidRPr="008A26D2">
              <w:rPr>
                <w:rFonts w:ascii="Arial" w:hAnsi="Arial" w:cs="Arial"/>
                <w:bCs/>
                <w:sz w:val="20"/>
                <w:szCs w:val="20"/>
              </w:rPr>
              <w:t xml:space="preserve">B = Total de </w:t>
            </w:r>
            <w:r w:rsidR="00A74AEE" w:rsidRPr="008A26D2">
              <w:rPr>
                <w:rFonts w:ascii="Arial" w:eastAsia="Times New Roman" w:hAnsi="Arial" w:cs="Arial"/>
                <w:sz w:val="20"/>
                <w:szCs w:val="20"/>
              </w:rPr>
              <w:t>servidores</w:t>
            </w:r>
            <w:r w:rsidRPr="008A26D2">
              <w:rPr>
                <w:rFonts w:ascii="Arial" w:eastAsia="Times New Roman" w:hAnsi="Arial" w:cs="Arial"/>
                <w:sz w:val="20"/>
                <w:szCs w:val="20"/>
              </w:rPr>
              <w:t xml:space="preserve"> de las Autoridades Regionales Forestales y de Fauna Silvestre</w:t>
            </w:r>
            <w:r w:rsidRPr="008A26D2">
              <w:rPr>
                <w:rFonts w:ascii="Arial" w:hAnsi="Arial" w:cs="Arial"/>
                <w:bCs/>
                <w:sz w:val="20"/>
                <w:szCs w:val="20"/>
              </w:rPr>
              <w:t xml:space="preserve"> que reciben capacitación</w:t>
            </w:r>
            <w:r w:rsidR="00A74AEE" w:rsidRPr="008A26D2">
              <w:rPr>
                <w:rFonts w:ascii="Arial" w:hAnsi="Arial" w:cs="Arial"/>
                <w:bCs/>
                <w:sz w:val="20"/>
                <w:szCs w:val="20"/>
              </w:rPr>
              <w:t xml:space="preserve"> </w:t>
            </w:r>
            <w:r w:rsidR="00A74AEE" w:rsidRPr="008A26D2">
              <w:rPr>
                <w:rFonts w:ascii="Arial" w:eastAsia="Times New Roman" w:hAnsi="Arial" w:cs="Arial"/>
                <w:sz w:val="20"/>
                <w:szCs w:val="20"/>
              </w:rPr>
              <w:t>en otorgamiento de derechos</w:t>
            </w:r>
          </w:p>
          <w:p w14:paraId="2AFDC9BB" w14:textId="3C18D25B" w:rsidR="00A90E9C" w:rsidRPr="008A26D2" w:rsidRDefault="00A90E9C" w:rsidP="0087293E">
            <w:pPr>
              <w:ind w:left="324" w:hanging="324"/>
              <w:jc w:val="both"/>
              <w:rPr>
                <w:rFonts w:ascii="Arial" w:eastAsia="Arial Narrow" w:hAnsi="Arial" w:cs="Arial"/>
                <w:sz w:val="20"/>
                <w:szCs w:val="20"/>
              </w:rPr>
            </w:pPr>
            <w:r w:rsidRPr="008A26D2">
              <w:rPr>
                <w:rFonts w:ascii="Arial" w:eastAsia="Arial Narrow" w:hAnsi="Arial" w:cs="Arial"/>
                <w:b/>
                <w:sz w:val="20"/>
                <w:szCs w:val="20"/>
              </w:rPr>
              <w:t>2. Especificaciones técnicas:</w:t>
            </w:r>
          </w:p>
          <w:p w14:paraId="505309E8" w14:textId="33B4A9BF" w:rsidR="005C29FF" w:rsidRPr="005C29FF" w:rsidRDefault="005C29FF" w:rsidP="005C29FF">
            <w:pPr>
              <w:jc w:val="both"/>
              <w:rPr>
                <w:rFonts w:ascii="Arial" w:hAnsi="Arial" w:cs="Arial"/>
                <w:bCs/>
                <w:sz w:val="20"/>
                <w:szCs w:val="20"/>
              </w:rPr>
            </w:pPr>
            <w:r w:rsidRPr="005C29FF">
              <w:rPr>
                <w:rFonts w:ascii="Arial" w:hAnsi="Arial" w:cs="Arial"/>
                <w:bCs/>
                <w:sz w:val="20"/>
                <w:szCs w:val="20"/>
              </w:rPr>
              <w:t xml:space="preserve">La variable A se determina a partir de los servidores de las Autoridades Regionales Forestales y de Fauna Silvestre que tienen un alto grado de satisfacción, al elegir los dos niveles más altos de </w:t>
            </w:r>
            <w:r w:rsidR="00880D35">
              <w:rPr>
                <w:rFonts w:ascii="Arial" w:hAnsi="Arial" w:cs="Arial"/>
                <w:bCs/>
                <w:sz w:val="20"/>
                <w:szCs w:val="20"/>
              </w:rPr>
              <w:lastRenderedPageBreak/>
              <w:t>l</w:t>
            </w:r>
            <w:r w:rsidR="005A3FA7">
              <w:rPr>
                <w:rFonts w:ascii="Arial" w:hAnsi="Arial" w:cs="Arial"/>
                <w:bCs/>
                <w:sz w:val="20"/>
                <w:szCs w:val="20"/>
              </w:rPr>
              <w:t>a</w:t>
            </w:r>
            <w:r w:rsidRPr="005C29FF">
              <w:rPr>
                <w:rFonts w:ascii="Arial" w:hAnsi="Arial" w:cs="Arial"/>
                <w:bCs/>
                <w:sz w:val="20"/>
                <w:szCs w:val="20"/>
              </w:rPr>
              <w:t xml:space="preserve"> escala, sobre las acciones de fortalecimiento de capacidades</w:t>
            </w:r>
            <w:r>
              <w:rPr>
                <w:rFonts w:ascii="Arial" w:hAnsi="Arial" w:cs="Arial"/>
                <w:bCs/>
                <w:sz w:val="20"/>
                <w:szCs w:val="20"/>
              </w:rPr>
              <w:t xml:space="preserve"> recibidas</w:t>
            </w:r>
            <w:r w:rsidRPr="005C29FF">
              <w:rPr>
                <w:rFonts w:ascii="Arial" w:hAnsi="Arial" w:cs="Arial"/>
                <w:bCs/>
                <w:sz w:val="20"/>
                <w:szCs w:val="20"/>
              </w:rPr>
              <w:t>.</w:t>
            </w:r>
          </w:p>
          <w:p w14:paraId="2C0BF7BB" w14:textId="22A958F3" w:rsidR="005C29FF" w:rsidRDefault="005C29FF" w:rsidP="005C29FF">
            <w:pPr>
              <w:jc w:val="both"/>
              <w:rPr>
                <w:rFonts w:ascii="Arial" w:hAnsi="Arial" w:cs="Arial"/>
                <w:bCs/>
                <w:sz w:val="20"/>
                <w:szCs w:val="20"/>
              </w:rPr>
            </w:pPr>
            <w:r w:rsidRPr="005C29FF">
              <w:rPr>
                <w:rFonts w:ascii="Arial" w:hAnsi="Arial" w:cs="Arial"/>
                <w:bCs/>
                <w:sz w:val="20"/>
                <w:szCs w:val="20"/>
              </w:rPr>
              <w:t>La variable B se determina con el total de productores agrarios y representantes de organizaciones campesinas y nativas que asisten a las capacitaciones</w:t>
            </w:r>
            <w:r w:rsidR="005A3FA7">
              <w:rPr>
                <w:rFonts w:ascii="Arial" w:hAnsi="Arial" w:cs="Arial"/>
                <w:bCs/>
                <w:sz w:val="20"/>
                <w:szCs w:val="20"/>
              </w:rPr>
              <w:t xml:space="preserve"> en el año de medición</w:t>
            </w:r>
            <w:r>
              <w:rPr>
                <w:rFonts w:ascii="Arial" w:hAnsi="Arial" w:cs="Arial"/>
                <w:bCs/>
                <w:sz w:val="20"/>
                <w:szCs w:val="20"/>
              </w:rPr>
              <w:t>.</w:t>
            </w:r>
          </w:p>
          <w:p w14:paraId="6530CE98" w14:textId="6AE0F45F" w:rsidR="00A90E9C" w:rsidRPr="008A26D2" w:rsidRDefault="00A90E9C" w:rsidP="0087293E">
            <w:pPr>
              <w:jc w:val="both"/>
              <w:rPr>
                <w:rFonts w:ascii="Arial" w:eastAsia="Times New Roman" w:hAnsi="Arial" w:cs="Arial"/>
                <w:sz w:val="20"/>
                <w:szCs w:val="20"/>
                <w:lang w:val="es-ES"/>
              </w:rPr>
            </w:pPr>
            <w:r w:rsidRPr="008A26D2">
              <w:rPr>
                <w:rFonts w:ascii="Arial" w:eastAsia="Times New Roman" w:hAnsi="Arial" w:cs="Arial"/>
                <w:sz w:val="20"/>
                <w:szCs w:val="20"/>
                <w:lang w:val="es-ES"/>
              </w:rPr>
              <w:t xml:space="preserve">El indicador se calculará a partir de encuestas o entrevistas donde se pueda registrar el grado de satisfacción de los </w:t>
            </w:r>
            <w:r w:rsidR="002D13C0" w:rsidRPr="008A26D2">
              <w:rPr>
                <w:rFonts w:ascii="Arial" w:eastAsia="Times New Roman" w:hAnsi="Arial" w:cs="Arial"/>
                <w:sz w:val="20"/>
                <w:szCs w:val="20"/>
                <w:lang w:val="es-ES"/>
              </w:rPr>
              <w:t>servidores</w:t>
            </w:r>
            <w:r w:rsidRPr="008A26D2">
              <w:rPr>
                <w:rFonts w:ascii="Arial" w:eastAsia="Times New Roman" w:hAnsi="Arial" w:cs="Arial"/>
                <w:sz w:val="20"/>
                <w:szCs w:val="20"/>
                <w:lang w:val="es-ES"/>
              </w:rPr>
              <w:t xml:space="preserve"> que participan de las capacitaciones, identificando aquellos aspectos del servicio que se pueden mejorar y satisfacer al receptor.</w:t>
            </w:r>
          </w:p>
          <w:p w14:paraId="1C7277E2" w14:textId="77777777" w:rsidR="00A90E9C" w:rsidRPr="008A26D2" w:rsidRDefault="00A90E9C" w:rsidP="0087293E">
            <w:pPr>
              <w:jc w:val="both"/>
              <w:rPr>
                <w:rFonts w:ascii="Arial" w:hAnsi="Arial" w:cs="Arial"/>
                <w:bCs/>
                <w:sz w:val="20"/>
                <w:szCs w:val="20"/>
              </w:rPr>
            </w:pPr>
            <w:r w:rsidRPr="008A26D2">
              <w:rPr>
                <w:rFonts w:ascii="Arial" w:hAnsi="Arial" w:cs="Arial"/>
                <w:bCs/>
                <w:sz w:val="20"/>
                <w:szCs w:val="20"/>
              </w:rPr>
              <w:t>Para evaluar el grado de satisfacción se considerará los alcances metodológicos señalados en el Protocolo de Capacitación y Asistencia Técnica del SERFOR.</w:t>
            </w:r>
          </w:p>
          <w:p w14:paraId="1A5A11DD" w14:textId="5E2B3195" w:rsidR="00A90E9C" w:rsidRPr="008A26D2" w:rsidRDefault="00A90E9C" w:rsidP="00881C3C">
            <w:pPr>
              <w:spacing w:after="0" w:line="240" w:lineRule="auto"/>
              <w:jc w:val="both"/>
              <w:rPr>
                <w:rFonts w:ascii="Arial" w:hAnsi="Arial" w:cs="Arial"/>
                <w:sz w:val="20"/>
                <w:szCs w:val="20"/>
              </w:rPr>
            </w:pPr>
            <w:r w:rsidRPr="008A26D2">
              <w:rPr>
                <w:rFonts w:ascii="Arial" w:eastAsia="Arial Narrow" w:hAnsi="Arial" w:cs="Arial"/>
                <w:sz w:val="20"/>
                <w:szCs w:val="20"/>
              </w:rPr>
              <w:t>Las Autoridades Regionales Forestales y de Fauna Silvestre comprenden a las Administraciones Técnicas Forestales y de Fauna Silvestre y los gobiernos regionales con funciones transferidas en materia forestal y de fauna silvestre.</w:t>
            </w:r>
          </w:p>
        </w:tc>
      </w:tr>
      <w:tr w:rsidR="008A26D2" w:rsidRPr="008A26D2" w14:paraId="2640BA4B" w14:textId="77777777" w:rsidTr="00645C2B">
        <w:trPr>
          <w:trHeight w:val="686"/>
        </w:trPr>
        <w:tc>
          <w:tcPr>
            <w:tcW w:w="2428" w:type="dxa"/>
            <w:gridSpan w:val="3"/>
            <w:shd w:val="clear" w:color="auto" w:fill="auto"/>
            <w:tcMar>
              <w:top w:w="10" w:type="dxa"/>
              <w:left w:w="93" w:type="dxa"/>
              <w:bottom w:w="0" w:type="dxa"/>
              <w:right w:w="10" w:type="dxa"/>
            </w:tcMar>
            <w:vAlign w:val="center"/>
          </w:tcPr>
          <w:p w14:paraId="2A3E17CC"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lastRenderedPageBreak/>
              <w:t>Sentido esperado del indicador:</w:t>
            </w:r>
          </w:p>
        </w:tc>
        <w:tc>
          <w:tcPr>
            <w:tcW w:w="1683" w:type="dxa"/>
            <w:gridSpan w:val="3"/>
            <w:shd w:val="clear" w:color="auto" w:fill="auto"/>
            <w:tcMar>
              <w:top w:w="10" w:type="dxa"/>
              <w:left w:w="283" w:type="dxa"/>
              <w:bottom w:w="0" w:type="dxa"/>
              <w:right w:w="283" w:type="dxa"/>
            </w:tcMar>
            <w:vAlign w:val="center"/>
          </w:tcPr>
          <w:p w14:paraId="2B23A4EF" w14:textId="77777777" w:rsidR="00A90E9C" w:rsidRPr="008A26D2" w:rsidRDefault="00A90E9C" w:rsidP="0087293E">
            <w:pPr>
              <w:jc w:val="both"/>
              <w:rPr>
                <w:rFonts w:ascii="Arial" w:hAnsi="Arial" w:cs="Arial"/>
                <w:sz w:val="20"/>
                <w:szCs w:val="20"/>
              </w:rPr>
            </w:pPr>
            <w:r w:rsidRPr="008A26D2">
              <w:rPr>
                <w:rFonts w:ascii="Arial" w:eastAsia="Arial Narrow" w:hAnsi="Arial" w:cs="Arial"/>
                <w:sz w:val="20"/>
                <w:szCs w:val="20"/>
              </w:rPr>
              <w:t>Ascendente</w:t>
            </w:r>
          </w:p>
        </w:tc>
        <w:tc>
          <w:tcPr>
            <w:tcW w:w="3143" w:type="dxa"/>
            <w:gridSpan w:val="5"/>
            <w:shd w:val="clear" w:color="auto" w:fill="auto"/>
            <w:tcMar>
              <w:top w:w="15" w:type="dxa"/>
              <w:left w:w="15" w:type="dxa"/>
              <w:bottom w:w="0" w:type="dxa"/>
              <w:right w:w="15" w:type="dxa"/>
            </w:tcMar>
            <w:vAlign w:val="center"/>
          </w:tcPr>
          <w:p w14:paraId="117B24AB"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Tipo de indicador de servicio:</w:t>
            </w:r>
          </w:p>
        </w:tc>
        <w:tc>
          <w:tcPr>
            <w:tcW w:w="1535" w:type="dxa"/>
            <w:gridSpan w:val="2"/>
            <w:shd w:val="clear" w:color="auto" w:fill="auto"/>
            <w:tcMar>
              <w:top w:w="15" w:type="dxa"/>
              <w:left w:w="15" w:type="dxa"/>
              <w:bottom w:w="0" w:type="dxa"/>
              <w:right w:w="15" w:type="dxa"/>
            </w:tcMar>
            <w:vAlign w:val="center"/>
          </w:tcPr>
          <w:p w14:paraId="3C3A5E4E" w14:textId="77777777" w:rsidR="00A90E9C" w:rsidRPr="008A26D2" w:rsidRDefault="00A90E9C" w:rsidP="0087293E">
            <w:pPr>
              <w:jc w:val="both"/>
              <w:rPr>
                <w:rFonts w:ascii="Arial" w:hAnsi="Arial" w:cs="Arial"/>
                <w:sz w:val="20"/>
                <w:szCs w:val="20"/>
              </w:rPr>
            </w:pPr>
            <w:r w:rsidRPr="008A26D2">
              <w:rPr>
                <w:rFonts w:ascii="Arial" w:eastAsia="Arial Narrow" w:hAnsi="Arial" w:cs="Arial"/>
                <w:sz w:val="20"/>
                <w:szCs w:val="20"/>
              </w:rPr>
              <w:t>Calidad  - Percepción</w:t>
            </w:r>
          </w:p>
        </w:tc>
      </w:tr>
      <w:tr w:rsidR="008A26D2" w:rsidRPr="008A26D2" w14:paraId="2D691FDB" w14:textId="77777777" w:rsidTr="00685566">
        <w:trPr>
          <w:trHeight w:val="13"/>
        </w:trPr>
        <w:tc>
          <w:tcPr>
            <w:tcW w:w="2428" w:type="dxa"/>
            <w:gridSpan w:val="3"/>
            <w:shd w:val="clear" w:color="auto" w:fill="auto"/>
            <w:tcMar>
              <w:top w:w="10" w:type="dxa"/>
              <w:left w:w="93" w:type="dxa"/>
              <w:bottom w:w="0" w:type="dxa"/>
              <w:right w:w="10" w:type="dxa"/>
            </w:tcMar>
            <w:vAlign w:val="center"/>
          </w:tcPr>
          <w:p w14:paraId="1C378E90"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Fuente y base de datos:</w:t>
            </w:r>
          </w:p>
        </w:tc>
        <w:tc>
          <w:tcPr>
            <w:tcW w:w="6361" w:type="dxa"/>
            <w:gridSpan w:val="10"/>
            <w:shd w:val="clear" w:color="auto" w:fill="auto"/>
            <w:tcMar>
              <w:top w:w="51" w:type="dxa"/>
              <w:left w:w="227" w:type="dxa"/>
              <w:bottom w:w="51" w:type="dxa"/>
              <w:right w:w="227" w:type="dxa"/>
            </w:tcMar>
            <w:vAlign w:val="center"/>
          </w:tcPr>
          <w:p w14:paraId="1A64F073" w14:textId="1B346393" w:rsidR="00A90E9C" w:rsidRPr="008A26D2" w:rsidRDefault="00A90E9C" w:rsidP="0087293E">
            <w:pPr>
              <w:jc w:val="both"/>
              <w:rPr>
                <w:rFonts w:ascii="Arial" w:eastAsia="Arial Narrow" w:hAnsi="Arial" w:cs="Arial"/>
                <w:sz w:val="20"/>
                <w:szCs w:val="20"/>
              </w:rPr>
            </w:pPr>
            <w:r w:rsidRPr="008A26D2">
              <w:rPr>
                <w:rFonts w:ascii="Arial" w:eastAsia="Arial Narrow" w:hAnsi="Arial" w:cs="Arial"/>
                <w:sz w:val="20"/>
                <w:szCs w:val="20"/>
              </w:rPr>
              <w:t xml:space="preserve">Fuente: Dirección de Gestión Sostenible del </w:t>
            </w:r>
            <w:r w:rsidR="00645C2B" w:rsidRPr="008A26D2">
              <w:rPr>
                <w:rFonts w:ascii="Arial" w:eastAsia="Arial Narrow" w:hAnsi="Arial" w:cs="Arial"/>
                <w:sz w:val="20"/>
                <w:szCs w:val="20"/>
              </w:rPr>
              <w:t>P</w:t>
            </w:r>
            <w:r w:rsidRPr="008A26D2">
              <w:rPr>
                <w:rFonts w:ascii="Arial" w:eastAsia="Arial Narrow" w:hAnsi="Arial" w:cs="Arial"/>
                <w:sz w:val="20"/>
                <w:szCs w:val="20"/>
              </w:rPr>
              <w:t>atrimonio Forestal y Dirección de Gestión Sostenible del Patrimonio de Fauna Silvestre de</w:t>
            </w:r>
            <w:r w:rsidR="00645C2B" w:rsidRPr="008A26D2">
              <w:rPr>
                <w:rFonts w:ascii="Arial" w:eastAsia="Arial Narrow" w:hAnsi="Arial" w:cs="Arial"/>
                <w:sz w:val="20"/>
                <w:szCs w:val="20"/>
              </w:rPr>
              <w:t>l</w:t>
            </w:r>
            <w:r w:rsidR="00975DEF">
              <w:rPr>
                <w:rFonts w:ascii="Arial" w:eastAsia="Arial Narrow" w:hAnsi="Arial" w:cs="Arial"/>
                <w:sz w:val="20"/>
                <w:szCs w:val="20"/>
              </w:rPr>
              <w:t xml:space="preserve"> Servicio Nacional Forestal y de Fauna Silvestre – </w:t>
            </w:r>
            <w:r w:rsidRPr="008A26D2">
              <w:rPr>
                <w:rFonts w:ascii="Arial" w:eastAsia="Arial Narrow" w:hAnsi="Arial" w:cs="Arial"/>
                <w:sz w:val="20"/>
                <w:szCs w:val="20"/>
              </w:rPr>
              <w:t>SERFOR</w:t>
            </w:r>
            <w:r w:rsidR="00975DEF">
              <w:rPr>
                <w:rFonts w:ascii="Arial" w:eastAsia="Arial Narrow" w:hAnsi="Arial" w:cs="Arial"/>
                <w:sz w:val="20"/>
                <w:szCs w:val="20"/>
              </w:rPr>
              <w:t>.</w:t>
            </w:r>
            <w:r w:rsidRPr="008A26D2">
              <w:rPr>
                <w:rFonts w:ascii="Arial" w:eastAsia="Arial Narrow" w:hAnsi="Arial" w:cs="Arial"/>
                <w:sz w:val="20"/>
                <w:szCs w:val="20"/>
              </w:rPr>
              <w:br/>
              <w:t>Base de datos: Reporte de capacitaciones de la Dirección de Gestión Sostenible del patrimonio Forestal y Dirección de Gestión Sostenible del Patrimonio de Fauna Silvestre</w:t>
            </w:r>
            <w:r w:rsidR="00975DEF">
              <w:rPr>
                <w:rFonts w:ascii="Arial" w:eastAsia="Arial Narrow" w:hAnsi="Arial" w:cs="Arial"/>
                <w:sz w:val="20"/>
                <w:szCs w:val="20"/>
              </w:rPr>
              <w:t>.</w:t>
            </w:r>
          </w:p>
        </w:tc>
      </w:tr>
      <w:tr w:rsidR="008A26D2" w:rsidRPr="008A26D2" w14:paraId="429B217E" w14:textId="77777777" w:rsidTr="00685566">
        <w:trPr>
          <w:trHeight w:val="436"/>
        </w:trPr>
        <w:tc>
          <w:tcPr>
            <w:tcW w:w="2428" w:type="dxa"/>
            <w:gridSpan w:val="3"/>
            <w:shd w:val="clear" w:color="auto" w:fill="auto"/>
            <w:tcMar>
              <w:top w:w="10" w:type="dxa"/>
              <w:left w:w="93" w:type="dxa"/>
              <w:bottom w:w="0" w:type="dxa"/>
              <w:right w:w="10" w:type="dxa"/>
            </w:tcMar>
            <w:vAlign w:val="center"/>
          </w:tcPr>
          <w:p w14:paraId="34F7D140"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Supuestos:</w:t>
            </w:r>
          </w:p>
        </w:tc>
        <w:tc>
          <w:tcPr>
            <w:tcW w:w="6361" w:type="dxa"/>
            <w:gridSpan w:val="10"/>
            <w:shd w:val="clear" w:color="auto" w:fill="auto"/>
            <w:tcMar>
              <w:top w:w="51" w:type="dxa"/>
              <w:left w:w="227" w:type="dxa"/>
              <w:bottom w:w="51" w:type="dxa"/>
              <w:right w:w="227" w:type="dxa"/>
            </w:tcMar>
            <w:vAlign w:val="center"/>
          </w:tcPr>
          <w:p w14:paraId="22236309" w14:textId="77777777" w:rsidR="00A90E9C" w:rsidRPr="008A26D2" w:rsidRDefault="00A90E9C" w:rsidP="0087293E">
            <w:pPr>
              <w:jc w:val="both"/>
              <w:rPr>
                <w:rFonts w:ascii="Arial" w:eastAsia="Arial Narrow" w:hAnsi="Arial" w:cs="Arial"/>
                <w:sz w:val="20"/>
                <w:szCs w:val="20"/>
              </w:rPr>
            </w:pPr>
            <w:r w:rsidRPr="008A26D2">
              <w:rPr>
                <w:rFonts w:ascii="Arial" w:eastAsia="Arial Narrow" w:hAnsi="Arial" w:cs="Arial"/>
                <w:sz w:val="20"/>
                <w:szCs w:val="20"/>
              </w:rPr>
              <w:t>Las autoridades regionales forestales y de fauna silvestre, se encuentran predispuestas a recibir asistencia técnica y facilitar la implementación de los cambios propuestos en estas.</w:t>
            </w:r>
          </w:p>
        </w:tc>
      </w:tr>
      <w:tr w:rsidR="008A26D2" w:rsidRPr="008A26D2" w14:paraId="6632341F" w14:textId="77777777" w:rsidTr="005A3FA7">
        <w:trPr>
          <w:trHeight w:val="458"/>
        </w:trPr>
        <w:tc>
          <w:tcPr>
            <w:tcW w:w="851" w:type="dxa"/>
            <w:shd w:val="clear" w:color="auto" w:fill="auto"/>
            <w:tcMar>
              <w:top w:w="10" w:type="dxa"/>
              <w:left w:w="10" w:type="dxa"/>
              <w:bottom w:w="0" w:type="dxa"/>
              <w:right w:w="10" w:type="dxa"/>
            </w:tcMar>
            <w:vAlign w:val="center"/>
          </w:tcPr>
          <w:p w14:paraId="5460B4B7" w14:textId="77777777" w:rsidR="00A90E9C" w:rsidRPr="008A26D2" w:rsidRDefault="00A90E9C" w:rsidP="0087293E">
            <w:pPr>
              <w:jc w:val="both"/>
              <w:rPr>
                <w:rFonts w:ascii="Arial" w:hAnsi="Arial" w:cs="Arial"/>
                <w:sz w:val="20"/>
                <w:szCs w:val="20"/>
              </w:rPr>
            </w:pPr>
            <w:r w:rsidRPr="008A26D2">
              <w:rPr>
                <w:rFonts w:ascii="Arial" w:hAnsi="Arial" w:cs="Arial"/>
                <w:b/>
                <w:sz w:val="20"/>
                <w:szCs w:val="20"/>
              </w:rPr>
              <w:t> </w:t>
            </w:r>
          </w:p>
        </w:tc>
        <w:tc>
          <w:tcPr>
            <w:tcW w:w="861" w:type="dxa"/>
            <w:shd w:val="clear" w:color="auto" w:fill="auto"/>
            <w:tcMar>
              <w:top w:w="10" w:type="dxa"/>
              <w:left w:w="10" w:type="dxa"/>
              <w:bottom w:w="0" w:type="dxa"/>
              <w:right w:w="10" w:type="dxa"/>
            </w:tcMar>
            <w:vAlign w:val="center"/>
          </w:tcPr>
          <w:p w14:paraId="1D01B76F" w14:textId="77777777" w:rsidR="00A90E9C" w:rsidRPr="008A26D2" w:rsidRDefault="00A90E9C" w:rsidP="005A3FA7">
            <w:pPr>
              <w:jc w:val="center"/>
              <w:rPr>
                <w:rFonts w:ascii="Arial" w:hAnsi="Arial" w:cs="Arial"/>
                <w:sz w:val="20"/>
                <w:szCs w:val="20"/>
              </w:rPr>
            </w:pPr>
            <w:r w:rsidRPr="008A26D2">
              <w:rPr>
                <w:rFonts w:ascii="Arial" w:hAnsi="Arial" w:cs="Arial"/>
                <w:b/>
                <w:sz w:val="20"/>
                <w:szCs w:val="20"/>
              </w:rPr>
              <w:t>Línea de base</w:t>
            </w:r>
          </w:p>
        </w:tc>
        <w:tc>
          <w:tcPr>
            <w:tcW w:w="7077" w:type="dxa"/>
            <w:gridSpan w:val="11"/>
            <w:shd w:val="clear" w:color="auto" w:fill="auto"/>
            <w:tcMar>
              <w:top w:w="10" w:type="dxa"/>
              <w:left w:w="10" w:type="dxa"/>
              <w:bottom w:w="0" w:type="dxa"/>
              <w:right w:w="10" w:type="dxa"/>
            </w:tcMar>
            <w:vAlign w:val="center"/>
          </w:tcPr>
          <w:p w14:paraId="65E6E6D4" w14:textId="78E29123" w:rsidR="00A90E9C" w:rsidRPr="008A26D2" w:rsidRDefault="00A90E9C" w:rsidP="005A3FA7">
            <w:pPr>
              <w:spacing w:after="0" w:line="240" w:lineRule="auto"/>
              <w:jc w:val="center"/>
              <w:rPr>
                <w:rFonts w:ascii="Arial" w:hAnsi="Arial" w:cs="Arial"/>
                <w:sz w:val="20"/>
                <w:szCs w:val="20"/>
              </w:rPr>
            </w:pPr>
            <w:r w:rsidRPr="008A26D2">
              <w:rPr>
                <w:rFonts w:ascii="Arial" w:hAnsi="Arial" w:cs="Arial"/>
                <w:b/>
                <w:sz w:val="20"/>
                <w:szCs w:val="20"/>
              </w:rPr>
              <w:t>Logros esperados</w:t>
            </w:r>
          </w:p>
        </w:tc>
      </w:tr>
      <w:tr w:rsidR="008A26D2" w:rsidRPr="008A26D2" w14:paraId="7D7BEFC6" w14:textId="77777777" w:rsidTr="005A3FA7">
        <w:trPr>
          <w:trHeight w:val="217"/>
        </w:trPr>
        <w:tc>
          <w:tcPr>
            <w:tcW w:w="851" w:type="dxa"/>
            <w:shd w:val="clear" w:color="auto" w:fill="auto"/>
            <w:tcMar>
              <w:top w:w="10" w:type="dxa"/>
              <w:left w:w="10" w:type="dxa"/>
              <w:bottom w:w="0" w:type="dxa"/>
              <w:right w:w="10" w:type="dxa"/>
            </w:tcMar>
            <w:vAlign w:val="center"/>
          </w:tcPr>
          <w:p w14:paraId="2F0672B0" w14:textId="77777777" w:rsidR="00A90E9C" w:rsidRPr="008A26D2" w:rsidRDefault="00A90E9C" w:rsidP="0087293E">
            <w:pPr>
              <w:spacing w:after="0" w:line="240" w:lineRule="auto"/>
              <w:jc w:val="both"/>
              <w:rPr>
                <w:rFonts w:ascii="Arial" w:hAnsi="Arial" w:cs="Arial"/>
                <w:sz w:val="20"/>
                <w:szCs w:val="20"/>
              </w:rPr>
            </w:pPr>
            <w:r w:rsidRPr="008A26D2">
              <w:rPr>
                <w:rFonts w:ascii="Arial" w:hAnsi="Arial" w:cs="Arial"/>
                <w:b/>
                <w:sz w:val="20"/>
                <w:szCs w:val="20"/>
              </w:rPr>
              <w:t>Año</w:t>
            </w:r>
          </w:p>
        </w:tc>
        <w:tc>
          <w:tcPr>
            <w:tcW w:w="861" w:type="dxa"/>
            <w:shd w:val="clear" w:color="auto" w:fill="auto"/>
            <w:tcMar>
              <w:top w:w="10" w:type="dxa"/>
              <w:left w:w="10" w:type="dxa"/>
              <w:bottom w:w="0" w:type="dxa"/>
              <w:right w:w="10" w:type="dxa"/>
            </w:tcMar>
            <w:vAlign w:val="center"/>
          </w:tcPr>
          <w:p w14:paraId="256A9338" w14:textId="77777777" w:rsidR="00A90E9C" w:rsidRPr="008A26D2" w:rsidRDefault="00A90E9C" w:rsidP="00C37C9C">
            <w:pPr>
              <w:spacing w:after="0" w:line="240" w:lineRule="auto"/>
              <w:jc w:val="center"/>
              <w:rPr>
                <w:rFonts w:ascii="Arial" w:hAnsi="Arial" w:cs="Arial"/>
                <w:b/>
                <w:bCs/>
                <w:sz w:val="20"/>
                <w:szCs w:val="20"/>
              </w:rPr>
            </w:pPr>
            <w:r w:rsidRPr="008A26D2">
              <w:rPr>
                <w:rFonts w:ascii="Arial" w:hAnsi="Arial" w:cs="Arial"/>
                <w:b/>
                <w:sz w:val="20"/>
                <w:szCs w:val="20"/>
              </w:rPr>
              <w:t>2021</w:t>
            </w:r>
          </w:p>
        </w:tc>
        <w:tc>
          <w:tcPr>
            <w:tcW w:w="840" w:type="dxa"/>
            <w:gridSpan w:val="2"/>
            <w:shd w:val="clear" w:color="auto" w:fill="auto"/>
            <w:tcMar>
              <w:top w:w="10" w:type="dxa"/>
              <w:left w:w="10" w:type="dxa"/>
              <w:bottom w:w="0" w:type="dxa"/>
              <w:right w:w="10" w:type="dxa"/>
            </w:tcMar>
            <w:vAlign w:val="center"/>
          </w:tcPr>
          <w:p w14:paraId="049E978D" w14:textId="77777777" w:rsidR="00A90E9C" w:rsidRPr="008A26D2" w:rsidRDefault="00A90E9C" w:rsidP="005A3FA7">
            <w:pPr>
              <w:spacing w:after="0" w:line="240" w:lineRule="auto"/>
              <w:jc w:val="center"/>
              <w:rPr>
                <w:rFonts w:ascii="Arial" w:hAnsi="Arial" w:cs="Arial"/>
                <w:b/>
                <w:sz w:val="20"/>
                <w:szCs w:val="20"/>
              </w:rPr>
            </w:pPr>
            <w:r w:rsidRPr="008A26D2">
              <w:rPr>
                <w:rFonts w:ascii="Arial" w:hAnsi="Arial" w:cs="Arial"/>
                <w:b/>
                <w:sz w:val="20"/>
                <w:szCs w:val="20"/>
              </w:rPr>
              <w:t>2023</w:t>
            </w:r>
          </w:p>
        </w:tc>
        <w:tc>
          <w:tcPr>
            <w:tcW w:w="851" w:type="dxa"/>
            <w:shd w:val="clear" w:color="auto" w:fill="auto"/>
            <w:vAlign w:val="center"/>
          </w:tcPr>
          <w:p w14:paraId="5328A548" w14:textId="77777777" w:rsidR="00A90E9C" w:rsidRPr="008A26D2" w:rsidRDefault="00A90E9C" w:rsidP="005A3FA7">
            <w:pPr>
              <w:spacing w:after="0" w:line="240" w:lineRule="auto"/>
              <w:jc w:val="center"/>
              <w:rPr>
                <w:rFonts w:ascii="Arial" w:hAnsi="Arial" w:cs="Arial"/>
                <w:b/>
                <w:sz w:val="20"/>
                <w:szCs w:val="20"/>
              </w:rPr>
            </w:pPr>
            <w:r w:rsidRPr="008A26D2">
              <w:rPr>
                <w:rFonts w:ascii="Arial" w:hAnsi="Arial" w:cs="Arial"/>
                <w:b/>
                <w:sz w:val="20"/>
                <w:szCs w:val="20"/>
              </w:rPr>
              <w:t>2024</w:t>
            </w:r>
          </w:p>
        </w:tc>
        <w:tc>
          <w:tcPr>
            <w:tcW w:w="850" w:type="dxa"/>
            <w:gridSpan w:val="2"/>
            <w:shd w:val="clear" w:color="auto" w:fill="auto"/>
            <w:vAlign w:val="center"/>
          </w:tcPr>
          <w:p w14:paraId="5959A9AD" w14:textId="77777777" w:rsidR="00A90E9C" w:rsidRPr="008A26D2" w:rsidRDefault="00A90E9C" w:rsidP="005A3FA7">
            <w:pPr>
              <w:spacing w:after="0" w:line="240" w:lineRule="auto"/>
              <w:jc w:val="center"/>
              <w:rPr>
                <w:rFonts w:ascii="Arial" w:hAnsi="Arial" w:cs="Arial"/>
                <w:b/>
                <w:sz w:val="20"/>
                <w:szCs w:val="20"/>
              </w:rPr>
            </w:pPr>
            <w:r w:rsidRPr="008A26D2">
              <w:rPr>
                <w:rFonts w:ascii="Arial" w:hAnsi="Arial" w:cs="Arial"/>
                <w:b/>
                <w:sz w:val="20"/>
                <w:szCs w:val="20"/>
              </w:rPr>
              <w:t>2025</w:t>
            </w:r>
          </w:p>
        </w:tc>
        <w:tc>
          <w:tcPr>
            <w:tcW w:w="851" w:type="dxa"/>
            <w:shd w:val="clear" w:color="auto" w:fill="auto"/>
            <w:vAlign w:val="center"/>
          </w:tcPr>
          <w:p w14:paraId="5FCF289D" w14:textId="77777777" w:rsidR="00A90E9C" w:rsidRPr="008A26D2" w:rsidRDefault="00A90E9C" w:rsidP="005A3FA7">
            <w:pPr>
              <w:spacing w:after="0" w:line="240" w:lineRule="auto"/>
              <w:jc w:val="center"/>
              <w:rPr>
                <w:rFonts w:ascii="Arial" w:hAnsi="Arial" w:cs="Arial"/>
                <w:b/>
                <w:sz w:val="20"/>
                <w:szCs w:val="20"/>
              </w:rPr>
            </w:pPr>
            <w:r w:rsidRPr="008A26D2">
              <w:rPr>
                <w:rFonts w:ascii="Arial" w:hAnsi="Arial" w:cs="Arial"/>
                <w:b/>
                <w:sz w:val="20"/>
                <w:szCs w:val="20"/>
              </w:rPr>
              <w:t>2026</w:t>
            </w:r>
          </w:p>
        </w:tc>
        <w:tc>
          <w:tcPr>
            <w:tcW w:w="850" w:type="dxa"/>
            <w:shd w:val="clear" w:color="auto" w:fill="auto"/>
            <w:vAlign w:val="center"/>
          </w:tcPr>
          <w:p w14:paraId="2955F5EA" w14:textId="77777777" w:rsidR="00A90E9C" w:rsidRPr="008A26D2" w:rsidRDefault="00A90E9C" w:rsidP="005A3FA7">
            <w:pPr>
              <w:spacing w:after="0" w:line="240" w:lineRule="auto"/>
              <w:jc w:val="center"/>
              <w:rPr>
                <w:rFonts w:ascii="Arial" w:hAnsi="Arial" w:cs="Arial"/>
                <w:b/>
                <w:sz w:val="20"/>
                <w:szCs w:val="20"/>
              </w:rPr>
            </w:pPr>
            <w:r w:rsidRPr="008A26D2">
              <w:rPr>
                <w:rFonts w:ascii="Arial" w:hAnsi="Arial" w:cs="Arial"/>
                <w:b/>
                <w:sz w:val="20"/>
                <w:szCs w:val="20"/>
              </w:rPr>
              <w:t>2027</w:t>
            </w:r>
          </w:p>
        </w:tc>
        <w:tc>
          <w:tcPr>
            <w:tcW w:w="992" w:type="dxa"/>
            <w:shd w:val="clear" w:color="auto" w:fill="auto"/>
            <w:vAlign w:val="center"/>
          </w:tcPr>
          <w:p w14:paraId="61C7D48B" w14:textId="77777777" w:rsidR="00A90E9C" w:rsidRPr="008A26D2" w:rsidRDefault="00A90E9C" w:rsidP="005A3FA7">
            <w:pPr>
              <w:spacing w:after="0" w:line="240" w:lineRule="auto"/>
              <w:jc w:val="center"/>
              <w:rPr>
                <w:rFonts w:ascii="Arial" w:hAnsi="Arial" w:cs="Arial"/>
                <w:b/>
                <w:sz w:val="20"/>
                <w:szCs w:val="20"/>
              </w:rPr>
            </w:pPr>
            <w:r w:rsidRPr="008A26D2">
              <w:rPr>
                <w:rFonts w:ascii="Arial" w:hAnsi="Arial" w:cs="Arial"/>
                <w:b/>
                <w:sz w:val="20"/>
                <w:szCs w:val="20"/>
              </w:rPr>
              <w:t>2028</w:t>
            </w:r>
          </w:p>
        </w:tc>
        <w:tc>
          <w:tcPr>
            <w:tcW w:w="993" w:type="dxa"/>
            <w:gridSpan w:val="2"/>
            <w:shd w:val="clear" w:color="auto" w:fill="auto"/>
            <w:vAlign w:val="center"/>
          </w:tcPr>
          <w:p w14:paraId="4A31BDB9" w14:textId="77777777" w:rsidR="00A90E9C" w:rsidRPr="008A26D2" w:rsidRDefault="00A90E9C" w:rsidP="005A3FA7">
            <w:pPr>
              <w:spacing w:after="0" w:line="240" w:lineRule="auto"/>
              <w:jc w:val="center"/>
              <w:rPr>
                <w:rFonts w:ascii="Arial" w:hAnsi="Arial" w:cs="Arial"/>
                <w:b/>
                <w:sz w:val="20"/>
                <w:szCs w:val="20"/>
              </w:rPr>
            </w:pPr>
            <w:r w:rsidRPr="008A26D2">
              <w:rPr>
                <w:rFonts w:ascii="Arial" w:hAnsi="Arial" w:cs="Arial"/>
                <w:b/>
                <w:sz w:val="20"/>
                <w:szCs w:val="20"/>
              </w:rPr>
              <w:t>2029</w:t>
            </w:r>
          </w:p>
        </w:tc>
        <w:tc>
          <w:tcPr>
            <w:tcW w:w="850" w:type="dxa"/>
            <w:shd w:val="clear" w:color="auto" w:fill="auto"/>
            <w:vAlign w:val="center"/>
          </w:tcPr>
          <w:p w14:paraId="71484B41" w14:textId="77777777" w:rsidR="00A90E9C" w:rsidRPr="008A26D2" w:rsidRDefault="00A90E9C" w:rsidP="005A3FA7">
            <w:pPr>
              <w:spacing w:after="0" w:line="240" w:lineRule="auto"/>
              <w:jc w:val="center"/>
              <w:rPr>
                <w:rFonts w:ascii="Arial" w:hAnsi="Arial" w:cs="Arial"/>
                <w:b/>
                <w:sz w:val="20"/>
                <w:szCs w:val="20"/>
              </w:rPr>
            </w:pPr>
            <w:r w:rsidRPr="008A26D2">
              <w:rPr>
                <w:rFonts w:ascii="Arial" w:hAnsi="Arial" w:cs="Arial"/>
                <w:b/>
                <w:sz w:val="20"/>
                <w:szCs w:val="20"/>
              </w:rPr>
              <w:t>2030</w:t>
            </w:r>
          </w:p>
        </w:tc>
      </w:tr>
      <w:tr w:rsidR="008A26D2" w:rsidRPr="008A26D2" w14:paraId="4AC6B7AE" w14:textId="77777777" w:rsidTr="005A3FA7">
        <w:trPr>
          <w:trHeight w:val="81"/>
        </w:trPr>
        <w:tc>
          <w:tcPr>
            <w:tcW w:w="851" w:type="dxa"/>
            <w:shd w:val="clear" w:color="auto" w:fill="auto"/>
            <w:tcMar>
              <w:top w:w="10" w:type="dxa"/>
              <w:left w:w="10" w:type="dxa"/>
              <w:bottom w:w="0" w:type="dxa"/>
              <w:right w:w="10" w:type="dxa"/>
            </w:tcMar>
            <w:vAlign w:val="center"/>
          </w:tcPr>
          <w:p w14:paraId="16AA862E" w14:textId="77777777" w:rsidR="00A90E9C" w:rsidRPr="008A26D2" w:rsidRDefault="00A90E9C" w:rsidP="0087293E">
            <w:pPr>
              <w:spacing w:after="0" w:line="240" w:lineRule="auto"/>
              <w:jc w:val="both"/>
              <w:rPr>
                <w:rFonts w:ascii="Arial" w:hAnsi="Arial" w:cs="Arial"/>
                <w:b/>
                <w:sz w:val="20"/>
                <w:szCs w:val="20"/>
              </w:rPr>
            </w:pPr>
            <w:r w:rsidRPr="008A26D2">
              <w:rPr>
                <w:rFonts w:ascii="Arial" w:hAnsi="Arial" w:cs="Arial"/>
                <w:b/>
                <w:sz w:val="20"/>
                <w:szCs w:val="20"/>
              </w:rPr>
              <w:t>Valor</w:t>
            </w:r>
          </w:p>
        </w:tc>
        <w:tc>
          <w:tcPr>
            <w:tcW w:w="861" w:type="dxa"/>
            <w:shd w:val="clear" w:color="auto" w:fill="auto"/>
            <w:tcMar>
              <w:top w:w="10" w:type="dxa"/>
              <w:left w:w="10" w:type="dxa"/>
              <w:bottom w:w="0" w:type="dxa"/>
              <w:right w:w="10" w:type="dxa"/>
            </w:tcMar>
            <w:vAlign w:val="center"/>
          </w:tcPr>
          <w:p w14:paraId="26EA40F2" w14:textId="3050FE51" w:rsidR="00A90E9C" w:rsidRPr="008A26D2" w:rsidRDefault="00011FF7" w:rsidP="00C37C9C">
            <w:pPr>
              <w:spacing w:after="0" w:line="240" w:lineRule="auto"/>
              <w:jc w:val="center"/>
              <w:rPr>
                <w:rFonts w:ascii="Arial" w:hAnsi="Arial" w:cs="Arial"/>
                <w:sz w:val="20"/>
                <w:szCs w:val="20"/>
                <w:highlight w:val="yellow"/>
              </w:rPr>
            </w:pPr>
            <w:r w:rsidRPr="008A26D2">
              <w:rPr>
                <w:rFonts w:ascii="Arial" w:hAnsi="Arial" w:cs="Arial"/>
                <w:sz w:val="20"/>
                <w:szCs w:val="20"/>
              </w:rPr>
              <w:t>60%</w:t>
            </w:r>
          </w:p>
        </w:tc>
        <w:tc>
          <w:tcPr>
            <w:tcW w:w="840" w:type="dxa"/>
            <w:gridSpan w:val="2"/>
            <w:shd w:val="clear" w:color="auto" w:fill="auto"/>
            <w:tcMar>
              <w:top w:w="10" w:type="dxa"/>
              <w:left w:w="10" w:type="dxa"/>
              <w:bottom w:w="0" w:type="dxa"/>
              <w:right w:w="10" w:type="dxa"/>
            </w:tcMar>
            <w:vAlign w:val="bottom"/>
          </w:tcPr>
          <w:p w14:paraId="03CA3A2B" w14:textId="77777777" w:rsidR="00A90E9C" w:rsidRPr="008A26D2" w:rsidRDefault="00A90E9C" w:rsidP="005A3FA7">
            <w:pPr>
              <w:spacing w:after="0" w:line="240" w:lineRule="auto"/>
              <w:jc w:val="center"/>
              <w:rPr>
                <w:rFonts w:ascii="Arial" w:hAnsi="Arial" w:cs="Arial"/>
                <w:sz w:val="20"/>
                <w:szCs w:val="20"/>
              </w:rPr>
            </w:pPr>
            <w:r w:rsidRPr="008A26D2">
              <w:rPr>
                <w:rFonts w:ascii="Arial" w:hAnsi="Arial" w:cs="Arial"/>
                <w:sz w:val="20"/>
                <w:szCs w:val="20"/>
              </w:rPr>
              <w:t>70%</w:t>
            </w:r>
          </w:p>
        </w:tc>
        <w:tc>
          <w:tcPr>
            <w:tcW w:w="851" w:type="dxa"/>
            <w:shd w:val="clear" w:color="auto" w:fill="auto"/>
            <w:vAlign w:val="bottom"/>
          </w:tcPr>
          <w:p w14:paraId="00262438" w14:textId="77777777" w:rsidR="00A90E9C" w:rsidRPr="008A26D2" w:rsidRDefault="00A90E9C" w:rsidP="005A3FA7">
            <w:pPr>
              <w:spacing w:after="0" w:line="240" w:lineRule="auto"/>
              <w:jc w:val="center"/>
              <w:rPr>
                <w:rFonts w:ascii="Arial" w:hAnsi="Arial" w:cs="Arial"/>
                <w:sz w:val="20"/>
                <w:szCs w:val="20"/>
              </w:rPr>
            </w:pPr>
            <w:r w:rsidRPr="008A26D2">
              <w:rPr>
                <w:rFonts w:ascii="Arial" w:hAnsi="Arial" w:cs="Arial"/>
                <w:sz w:val="20"/>
                <w:szCs w:val="20"/>
              </w:rPr>
              <w:t>70%</w:t>
            </w:r>
          </w:p>
        </w:tc>
        <w:tc>
          <w:tcPr>
            <w:tcW w:w="850" w:type="dxa"/>
            <w:gridSpan w:val="2"/>
            <w:shd w:val="clear" w:color="auto" w:fill="auto"/>
            <w:vAlign w:val="bottom"/>
          </w:tcPr>
          <w:p w14:paraId="52482C58" w14:textId="77777777" w:rsidR="00A90E9C" w:rsidRPr="008A26D2" w:rsidRDefault="00A90E9C" w:rsidP="005A3FA7">
            <w:pPr>
              <w:spacing w:after="0" w:line="240" w:lineRule="auto"/>
              <w:jc w:val="center"/>
              <w:rPr>
                <w:rFonts w:ascii="Arial" w:hAnsi="Arial" w:cs="Arial"/>
                <w:sz w:val="20"/>
                <w:szCs w:val="20"/>
              </w:rPr>
            </w:pPr>
            <w:r w:rsidRPr="008A26D2">
              <w:rPr>
                <w:rFonts w:ascii="Arial" w:hAnsi="Arial" w:cs="Arial"/>
                <w:sz w:val="20"/>
                <w:szCs w:val="20"/>
              </w:rPr>
              <w:t>70%</w:t>
            </w:r>
          </w:p>
        </w:tc>
        <w:tc>
          <w:tcPr>
            <w:tcW w:w="851" w:type="dxa"/>
            <w:shd w:val="clear" w:color="auto" w:fill="auto"/>
            <w:vAlign w:val="bottom"/>
          </w:tcPr>
          <w:p w14:paraId="35DA080F" w14:textId="77777777" w:rsidR="00A90E9C" w:rsidRPr="008A26D2" w:rsidRDefault="00A90E9C" w:rsidP="005A3FA7">
            <w:pPr>
              <w:spacing w:after="0" w:line="240" w:lineRule="auto"/>
              <w:jc w:val="center"/>
              <w:rPr>
                <w:rFonts w:ascii="Arial" w:hAnsi="Arial" w:cs="Arial"/>
                <w:sz w:val="20"/>
                <w:szCs w:val="20"/>
              </w:rPr>
            </w:pPr>
            <w:r w:rsidRPr="008A26D2">
              <w:rPr>
                <w:rFonts w:ascii="Arial" w:hAnsi="Arial" w:cs="Arial"/>
                <w:sz w:val="20"/>
                <w:szCs w:val="20"/>
              </w:rPr>
              <w:t>80%</w:t>
            </w:r>
          </w:p>
        </w:tc>
        <w:tc>
          <w:tcPr>
            <w:tcW w:w="850" w:type="dxa"/>
            <w:shd w:val="clear" w:color="auto" w:fill="auto"/>
            <w:vAlign w:val="bottom"/>
          </w:tcPr>
          <w:p w14:paraId="0873F262" w14:textId="77777777" w:rsidR="00A90E9C" w:rsidRPr="008A26D2" w:rsidRDefault="00A90E9C" w:rsidP="005A3FA7">
            <w:pPr>
              <w:spacing w:after="0" w:line="240" w:lineRule="auto"/>
              <w:jc w:val="center"/>
              <w:rPr>
                <w:rFonts w:ascii="Arial" w:hAnsi="Arial" w:cs="Arial"/>
                <w:sz w:val="20"/>
                <w:szCs w:val="20"/>
              </w:rPr>
            </w:pPr>
            <w:r w:rsidRPr="008A26D2">
              <w:rPr>
                <w:rFonts w:ascii="Arial" w:hAnsi="Arial" w:cs="Arial"/>
                <w:sz w:val="20"/>
                <w:szCs w:val="20"/>
              </w:rPr>
              <w:t>80%</w:t>
            </w:r>
          </w:p>
        </w:tc>
        <w:tc>
          <w:tcPr>
            <w:tcW w:w="992" w:type="dxa"/>
            <w:shd w:val="clear" w:color="auto" w:fill="auto"/>
            <w:vAlign w:val="bottom"/>
          </w:tcPr>
          <w:p w14:paraId="63263F4A" w14:textId="77777777" w:rsidR="00A90E9C" w:rsidRPr="008A26D2" w:rsidRDefault="00A90E9C" w:rsidP="005A3FA7">
            <w:pPr>
              <w:spacing w:after="0" w:line="240" w:lineRule="auto"/>
              <w:jc w:val="center"/>
              <w:rPr>
                <w:rFonts w:ascii="Arial" w:hAnsi="Arial" w:cs="Arial"/>
                <w:sz w:val="20"/>
                <w:szCs w:val="20"/>
              </w:rPr>
            </w:pPr>
            <w:r w:rsidRPr="008A26D2">
              <w:rPr>
                <w:rFonts w:ascii="Arial" w:hAnsi="Arial" w:cs="Arial"/>
                <w:sz w:val="20"/>
                <w:szCs w:val="20"/>
              </w:rPr>
              <w:t>90%</w:t>
            </w:r>
          </w:p>
        </w:tc>
        <w:tc>
          <w:tcPr>
            <w:tcW w:w="993" w:type="dxa"/>
            <w:gridSpan w:val="2"/>
            <w:shd w:val="clear" w:color="auto" w:fill="auto"/>
            <w:vAlign w:val="bottom"/>
          </w:tcPr>
          <w:p w14:paraId="4D56E1BC" w14:textId="77777777" w:rsidR="00A90E9C" w:rsidRPr="008A26D2" w:rsidRDefault="00A90E9C" w:rsidP="005A3FA7">
            <w:pPr>
              <w:spacing w:after="0" w:line="240" w:lineRule="auto"/>
              <w:jc w:val="center"/>
              <w:rPr>
                <w:rFonts w:ascii="Arial" w:hAnsi="Arial" w:cs="Arial"/>
                <w:sz w:val="20"/>
                <w:szCs w:val="20"/>
              </w:rPr>
            </w:pPr>
            <w:r w:rsidRPr="008A26D2">
              <w:rPr>
                <w:rFonts w:ascii="Arial" w:hAnsi="Arial" w:cs="Arial"/>
                <w:sz w:val="20"/>
                <w:szCs w:val="20"/>
              </w:rPr>
              <w:t>90%</w:t>
            </w:r>
          </w:p>
        </w:tc>
        <w:tc>
          <w:tcPr>
            <w:tcW w:w="850" w:type="dxa"/>
            <w:shd w:val="clear" w:color="auto" w:fill="auto"/>
            <w:vAlign w:val="bottom"/>
          </w:tcPr>
          <w:p w14:paraId="191EB9B3" w14:textId="77777777" w:rsidR="00A90E9C" w:rsidRPr="008A26D2" w:rsidRDefault="00A90E9C" w:rsidP="005A3FA7">
            <w:pPr>
              <w:spacing w:after="0" w:line="240" w:lineRule="auto"/>
              <w:jc w:val="center"/>
              <w:rPr>
                <w:rFonts w:ascii="Arial" w:hAnsi="Arial" w:cs="Arial"/>
                <w:sz w:val="20"/>
                <w:szCs w:val="20"/>
              </w:rPr>
            </w:pPr>
            <w:r w:rsidRPr="008A26D2">
              <w:rPr>
                <w:rFonts w:ascii="Arial" w:hAnsi="Arial" w:cs="Arial"/>
                <w:sz w:val="20"/>
                <w:szCs w:val="20"/>
              </w:rPr>
              <w:t>100%</w:t>
            </w:r>
          </w:p>
        </w:tc>
      </w:tr>
    </w:tbl>
    <w:p w14:paraId="44817C21" w14:textId="77777777" w:rsidR="00A90E9C" w:rsidRPr="008A26D2" w:rsidRDefault="00A90E9C" w:rsidP="00A90E9C"/>
    <w:p w14:paraId="3683E9BC" w14:textId="702FCDE4" w:rsidR="00A90E9C" w:rsidRPr="008A26D2" w:rsidRDefault="00A90E9C" w:rsidP="00A90E9C"/>
    <w:tbl>
      <w:tblPr>
        <w:tblW w:w="9073"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6"/>
        <w:gridCol w:w="988"/>
        <w:gridCol w:w="716"/>
        <w:gridCol w:w="418"/>
        <w:gridCol w:w="992"/>
        <w:gridCol w:w="212"/>
        <w:gridCol w:w="638"/>
        <w:gridCol w:w="851"/>
        <w:gridCol w:w="840"/>
        <w:gridCol w:w="851"/>
        <w:gridCol w:w="24"/>
        <w:gridCol w:w="826"/>
        <w:gridCol w:w="851"/>
      </w:tblGrid>
      <w:tr w:rsidR="008A26D2" w:rsidRPr="008A26D2" w14:paraId="49E53FB8" w14:textId="77777777" w:rsidTr="00FE678E">
        <w:trPr>
          <w:trHeight w:val="251"/>
        </w:trPr>
        <w:tc>
          <w:tcPr>
            <w:tcW w:w="9073" w:type="dxa"/>
            <w:gridSpan w:val="13"/>
            <w:shd w:val="clear" w:color="auto" w:fill="D9D9D9" w:themeFill="background1" w:themeFillShade="D9"/>
            <w:tcMar>
              <w:top w:w="10" w:type="dxa"/>
              <w:left w:w="10" w:type="dxa"/>
              <w:bottom w:w="0" w:type="dxa"/>
              <w:right w:w="10" w:type="dxa"/>
            </w:tcMar>
            <w:vAlign w:val="center"/>
          </w:tcPr>
          <w:p w14:paraId="4CBEAC4F" w14:textId="5D56965A" w:rsidR="00916AD8" w:rsidRPr="008A26D2" w:rsidRDefault="00916AD8" w:rsidP="0087293E">
            <w:pPr>
              <w:jc w:val="center"/>
              <w:rPr>
                <w:rFonts w:ascii="Arial" w:hAnsi="Arial" w:cs="Arial"/>
                <w:sz w:val="20"/>
                <w:szCs w:val="20"/>
              </w:rPr>
            </w:pPr>
            <w:r w:rsidRPr="008A26D2">
              <w:rPr>
                <w:rFonts w:ascii="Arial" w:hAnsi="Arial" w:cs="Arial"/>
                <w:sz w:val="20"/>
                <w:szCs w:val="20"/>
              </w:rPr>
              <w:br w:type="page"/>
            </w:r>
            <w:r w:rsidRPr="008A26D2">
              <w:rPr>
                <w:rFonts w:ascii="Arial" w:hAnsi="Arial" w:cs="Arial"/>
                <w:b/>
                <w:sz w:val="20"/>
                <w:szCs w:val="20"/>
              </w:rPr>
              <w:t>FICHA TÉCNICA DE INDICADOR DE SERVICIO 1.6.3</w:t>
            </w:r>
          </w:p>
        </w:tc>
      </w:tr>
      <w:tr w:rsidR="008A26D2" w:rsidRPr="008A26D2" w14:paraId="4C811E47" w14:textId="77777777" w:rsidTr="00FE678E">
        <w:trPr>
          <w:trHeight w:val="409"/>
        </w:trPr>
        <w:tc>
          <w:tcPr>
            <w:tcW w:w="2570" w:type="dxa"/>
            <w:gridSpan w:val="3"/>
            <w:shd w:val="clear" w:color="auto" w:fill="FFFFFF"/>
            <w:tcMar>
              <w:top w:w="10" w:type="dxa"/>
              <w:left w:w="93" w:type="dxa"/>
              <w:bottom w:w="0" w:type="dxa"/>
              <w:right w:w="10" w:type="dxa"/>
            </w:tcMar>
            <w:vAlign w:val="center"/>
          </w:tcPr>
          <w:p w14:paraId="7ACA5AB2" w14:textId="77777777" w:rsidR="00916AD8" w:rsidRPr="008A26D2" w:rsidRDefault="00916AD8" w:rsidP="0087293E">
            <w:pPr>
              <w:jc w:val="both"/>
              <w:rPr>
                <w:rFonts w:ascii="Arial" w:hAnsi="Arial" w:cs="Arial"/>
                <w:sz w:val="20"/>
                <w:szCs w:val="20"/>
              </w:rPr>
            </w:pPr>
            <w:r w:rsidRPr="008A26D2">
              <w:rPr>
                <w:rFonts w:ascii="Arial" w:hAnsi="Arial" w:cs="Arial"/>
                <w:b/>
                <w:sz w:val="20"/>
                <w:szCs w:val="20"/>
              </w:rPr>
              <w:t>Objetivo prioritario:</w:t>
            </w:r>
          </w:p>
        </w:tc>
        <w:tc>
          <w:tcPr>
            <w:tcW w:w="6503" w:type="dxa"/>
            <w:gridSpan w:val="10"/>
            <w:shd w:val="clear" w:color="auto" w:fill="FFFFFF"/>
            <w:tcMar>
              <w:top w:w="51" w:type="dxa"/>
              <w:left w:w="227" w:type="dxa"/>
              <w:bottom w:w="51" w:type="dxa"/>
              <w:right w:w="227" w:type="dxa"/>
            </w:tcMar>
            <w:vAlign w:val="center"/>
          </w:tcPr>
          <w:p w14:paraId="40064B3C" w14:textId="77777777" w:rsidR="00916AD8" w:rsidRPr="008A26D2" w:rsidRDefault="00916AD8" w:rsidP="0087293E">
            <w:pPr>
              <w:pBdr>
                <w:top w:val="nil"/>
                <w:left w:val="nil"/>
                <w:bottom w:val="nil"/>
                <w:right w:val="nil"/>
                <w:between w:val="nil"/>
              </w:pBdr>
              <w:spacing w:after="0" w:line="240" w:lineRule="auto"/>
              <w:jc w:val="both"/>
              <w:rPr>
                <w:rFonts w:ascii="Arial" w:hAnsi="Arial" w:cs="Arial"/>
                <w:sz w:val="20"/>
                <w:szCs w:val="20"/>
              </w:rPr>
            </w:pPr>
            <w:r w:rsidRPr="008A26D2">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r>
      <w:tr w:rsidR="008A26D2" w:rsidRPr="008A26D2" w14:paraId="4B22F977" w14:textId="77777777" w:rsidTr="00FE678E">
        <w:trPr>
          <w:trHeight w:val="436"/>
        </w:trPr>
        <w:tc>
          <w:tcPr>
            <w:tcW w:w="2570" w:type="dxa"/>
            <w:gridSpan w:val="3"/>
            <w:shd w:val="clear" w:color="auto" w:fill="auto"/>
            <w:tcMar>
              <w:top w:w="10" w:type="dxa"/>
              <w:left w:w="93" w:type="dxa"/>
              <w:bottom w:w="0" w:type="dxa"/>
              <w:right w:w="10" w:type="dxa"/>
            </w:tcMar>
            <w:vAlign w:val="center"/>
          </w:tcPr>
          <w:p w14:paraId="10736FB3" w14:textId="77777777" w:rsidR="00916AD8" w:rsidRPr="008A26D2" w:rsidRDefault="00916AD8" w:rsidP="0087293E">
            <w:pPr>
              <w:jc w:val="both"/>
              <w:rPr>
                <w:rFonts w:ascii="Arial" w:hAnsi="Arial" w:cs="Arial"/>
                <w:sz w:val="20"/>
                <w:szCs w:val="20"/>
              </w:rPr>
            </w:pPr>
            <w:r w:rsidRPr="008A26D2">
              <w:rPr>
                <w:rFonts w:ascii="Arial" w:hAnsi="Arial" w:cs="Arial"/>
                <w:b/>
                <w:sz w:val="20"/>
                <w:szCs w:val="20"/>
              </w:rPr>
              <w:t>Lineamiento de la política:</w:t>
            </w:r>
          </w:p>
        </w:tc>
        <w:tc>
          <w:tcPr>
            <w:tcW w:w="6503" w:type="dxa"/>
            <w:gridSpan w:val="10"/>
            <w:shd w:val="clear" w:color="auto" w:fill="auto"/>
            <w:tcMar>
              <w:top w:w="51" w:type="dxa"/>
              <w:left w:w="227" w:type="dxa"/>
              <w:bottom w:w="51" w:type="dxa"/>
              <w:right w:w="227" w:type="dxa"/>
            </w:tcMar>
            <w:vAlign w:val="center"/>
          </w:tcPr>
          <w:p w14:paraId="3790DAB4" w14:textId="77777777" w:rsidR="00916AD8" w:rsidRPr="008A26D2" w:rsidRDefault="00916AD8" w:rsidP="0087293E">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L1.6 Fomentar el aprovechamiento sostenible de los recursos forestales y de fauna silvestre</w:t>
            </w:r>
          </w:p>
        </w:tc>
      </w:tr>
      <w:tr w:rsidR="008A26D2" w:rsidRPr="008A26D2" w14:paraId="37C63DEB" w14:textId="77777777" w:rsidTr="00FE678E">
        <w:trPr>
          <w:trHeight w:val="404"/>
        </w:trPr>
        <w:tc>
          <w:tcPr>
            <w:tcW w:w="2570" w:type="dxa"/>
            <w:gridSpan w:val="3"/>
            <w:shd w:val="clear" w:color="auto" w:fill="auto"/>
            <w:tcMar>
              <w:top w:w="10" w:type="dxa"/>
              <w:left w:w="93" w:type="dxa"/>
              <w:bottom w:w="0" w:type="dxa"/>
              <w:right w:w="10" w:type="dxa"/>
            </w:tcMar>
            <w:vAlign w:val="center"/>
          </w:tcPr>
          <w:p w14:paraId="17C92E6A" w14:textId="77777777" w:rsidR="00916AD8" w:rsidRPr="008A26D2" w:rsidRDefault="00916AD8" w:rsidP="0087293E">
            <w:pPr>
              <w:jc w:val="both"/>
              <w:rPr>
                <w:rFonts w:ascii="Arial" w:hAnsi="Arial" w:cs="Arial"/>
                <w:sz w:val="20"/>
                <w:szCs w:val="20"/>
              </w:rPr>
            </w:pPr>
            <w:r w:rsidRPr="008A26D2">
              <w:rPr>
                <w:rFonts w:ascii="Arial" w:hAnsi="Arial" w:cs="Arial"/>
                <w:b/>
                <w:sz w:val="20"/>
                <w:szCs w:val="20"/>
              </w:rPr>
              <w:t>Nombre del servicio:</w:t>
            </w:r>
          </w:p>
        </w:tc>
        <w:tc>
          <w:tcPr>
            <w:tcW w:w="6503" w:type="dxa"/>
            <w:gridSpan w:val="10"/>
            <w:shd w:val="clear" w:color="auto" w:fill="auto"/>
            <w:tcMar>
              <w:top w:w="51" w:type="dxa"/>
              <w:left w:w="227" w:type="dxa"/>
              <w:bottom w:w="51" w:type="dxa"/>
              <w:right w:w="227" w:type="dxa"/>
            </w:tcMar>
            <w:vAlign w:val="center"/>
          </w:tcPr>
          <w:p w14:paraId="1C06465E" w14:textId="77777777" w:rsidR="00916AD8" w:rsidRPr="008A26D2" w:rsidRDefault="00916AD8" w:rsidP="0087293E">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S1.6.3 </w:t>
            </w:r>
            <w:r w:rsidRPr="008A26D2">
              <w:rPr>
                <w:rFonts w:ascii="Arial" w:eastAsia="Times New Roman" w:hAnsi="Arial" w:cs="Arial"/>
                <w:sz w:val="20"/>
                <w:szCs w:val="20"/>
              </w:rPr>
              <w:t>Otorgamiento de derechos de aprovechamiento de recursos forestales y fauna silvestre de forma oportuna a los usuarios forestales y de fauna silvestre</w:t>
            </w:r>
          </w:p>
        </w:tc>
      </w:tr>
      <w:tr w:rsidR="00846D49" w:rsidRPr="00846D49" w14:paraId="366BA2C2" w14:textId="77777777" w:rsidTr="00FE678E">
        <w:trPr>
          <w:trHeight w:val="412"/>
        </w:trPr>
        <w:tc>
          <w:tcPr>
            <w:tcW w:w="2570" w:type="dxa"/>
            <w:gridSpan w:val="3"/>
            <w:shd w:val="clear" w:color="auto" w:fill="auto"/>
            <w:tcMar>
              <w:top w:w="10" w:type="dxa"/>
              <w:left w:w="93" w:type="dxa"/>
              <w:bottom w:w="0" w:type="dxa"/>
              <w:right w:w="10" w:type="dxa"/>
            </w:tcMar>
            <w:vAlign w:val="center"/>
          </w:tcPr>
          <w:p w14:paraId="4B423BEF" w14:textId="77777777" w:rsidR="00916AD8" w:rsidRPr="00846D49" w:rsidRDefault="00916AD8" w:rsidP="0087293E">
            <w:pPr>
              <w:jc w:val="both"/>
              <w:rPr>
                <w:rFonts w:ascii="Arial" w:hAnsi="Arial" w:cs="Arial"/>
                <w:sz w:val="20"/>
                <w:szCs w:val="20"/>
              </w:rPr>
            </w:pPr>
            <w:r w:rsidRPr="00846D49">
              <w:rPr>
                <w:rFonts w:ascii="Arial" w:hAnsi="Arial" w:cs="Arial"/>
                <w:b/>
                <w:sz w:val="20"/>
                <w:szCs w:val="20"/>
              </w:rPr>
              <w:t>Nombre del indicador:</w:t>
            </w:r>
          </w:p>
        </w:tc>
        <w:tc>
          <w:tcPr>
            <w:tcW w:w="6503" w:type="dxa"/>
            <w:gridSpan w:val="10"/>
            <w:shd w:val="clear" w:color="auto" w:fill="auto"/>
            <w:tcMar>
              <w:top w:w="51" w:type="dxa"/>
              <w:left w:w="227" w:type="dxa"/>
              <w:bottom w:w="51" w:type="dxa"/>
              <w:right w:w="227" w:type="dxa"/>
            </w:tcMar>
            <w:vAlign w:val="bottom"/>
          </w:tcPr>
          <w:p w14:paraId="47021850" w14:textId="764635EA" w:rsidR="00916AD8" w:rsidRPr="00846D49" w:rsidRDefault="00916AD8" w:rsidP="0087293E">
            <w:pPr>
              <w:pBdr>
                <w:top w:val="nil"/>
                <w:left w:val="nil"/>
                <w:bottom w:val="nil"/>
                <w:right w:val="nil"/>
                <w:between w:val="nil"/>
              </w:pBdr>
              <w:spacing w:after="0" w:line="240" w:lineRule="auto"/>
              <w:jc w:val="both"/>
              <w:rPr>
                <w:rFonts w:ascii="Arial" w:eastAsia="Arial Narrow" w:hAnsi="Arial" w:cs="Arial"/>
                <w:sz w:val="20"/>
                <w:szCs w:val="20"/>
              </w:rPr>
            </w:pPr>
            <w:r w:rsidRPr="00846D49">
              <w:rPr>
                <w:rFonts w:ascii="Arial" w:eastAsia="Times New Roman" w:hAnsi="Arial" w:cs="Arial"/>
                <w:sz w:val="20"/>
                <w:szCs w:val="20"/>
                <w:lang w:val="es-ES"/>
              </w:rPr>
              <w:t xml:space="preserve">Porcentaje de usuarios forestales y de fauna silvestre que reciben el otorgamiento de derecho </w:t>
            </w:r>
            <w:r w:rsidR="00BF6AAB" w:rsidRPr="00846D49">
              <w:rPr>
                <w:rFonts w:ascii="Arial" w:eastAsia="Times New Roman" w:hAnsi="Arial" w:cs="Arial"/>
                <w:sz w:val="20"/>
                <w:szCs w:val="20"/>
                <w:lang w:val="es-ES"/>
              </w:rPr>
              <w:t>oportunamente</w:t>
            </w:r>
          </w:p>
        </w:tc>
      </w:tr>
      <w:tr w:rsidR="00846D49" w:rsidRPr="00846D49" w14:paraId="744F83D8" w14:textId="77777777" w:rsidTr="00FE678E">
        <w:trPr>
          <w:trHeight w:val="577"/>
        </w:trPr>
        <w:tc>
          <w:tcPr>
            <w:tcW w:w="2570" w:type="dxa"/>
            <w:gridSpan w:val="3"/>
            <w:shd w:val="clear" w:color="auto" w:fill="auto"/>
            <w:tcMar>
              <w:top w:w="10" w:type="dxa"/>
              <w:left w:w="93" w:type="dxa"/>
              <w:bottom w:w="0" w:type="dxa"/>
              <w:right w:w="10" w:type="dxa"/>
            </w:tcMar>
            <w:vAlign w:val="center"/>
          </w:tcPr>
          <w:p w14:paraId="5A4FC351" w14:textId="77777777" w:rsidR="00916AD8" w:rsidRPr="00846D49" w:rsidRDefault="00916AD8" w:rsidP="0087293E">
            <w:pPr>
              <w:jc w:val="both"/>
              <w:rPr>
                <w:rFonts w:ascii="Arial" w:hAnsi="Arial" w:cs="Arial"/>
                <w:sz w:val="20"/>
                <w:szCs w:val="20"/>
              </w:rPr>
            </w:pPr>
            <w:r w:rsidRPr="00846D49">
              <w:rPr>
                <w:rFonts w:ascii="Arial" w:hAnsi="Arial" w:cs="Arial"/>
                <w:b/>
                <w:sz w:val="20"/>
                <w:szCs w:val="20"/>
              </w:rPr>
              <w:lastRenderedPageBreak/>
              <w:t>Justificación:</w:t>
            </w:r>
          </w:p>
        </w:tc>
        <w:tc>
          <w:tcPr>
            <w:tcW w:w="6503" w:type="dxa"/>
            <w:gridSpan w:val="10"/>
            <w:shd w:val="clear" w:color="auto" w:fill="auto"/>
            <w:tcMar>
              <w:top w:w="51" w:type="dxa"/>
              <w:left w:w="227" w:type="dxa"/>
              <w:bottom w:w="51" w:type="dxa"/>
              <w:right w:w="227" w:type="dxa"/>
            </w:tcMar>
            <w:vAlign w:val="center"/>
          </w:tcPr>
          <w:p w14:paraId="4104E845" w14:textId="1113276F" w:rsidR="00916AD8" w:rsidRPr="00846D49" w:rsidRDefault="00916AD8" w:rsidP="0087293E">
            <w:pPr>
              <w:jc w:val="both"/>
              <w:rPr>
                <w:rFonts w:ascii="Arial" w:eastAsia="Times New Roman" w:hAnsi="Arial" w:cs="Arial"/>
                <w:sz w:val="20"/>
                <w:szCs w:val="20"/>
                <w:lang w:val="es-ES"/>
              </w:rPr>
            </w:pPr>
            <w:r w:rsidRPr="00846D49">
              <w:rPr>
                <w:rFonts w:ascii="Arial" w:eastAsia="Times New Roman" w:hAnsi="Arial" w:cs="Arial"/>
                <w:sz w:val="20"/>
                <w:szCs w:val="20"/>
                <w:lang w:val="es-ES"/>
              </w:rPr>
              <w:t xml:space="preserve">El indicador permite cuantificar y medir el porcentaje de usuarios forestales y de fauna silvestre que reciben el otorgamiento de derechos de forma oportuna, es decir, dentro del plazo establecido por la normativa. </w:t>
            </w:r>
          </w:p>
        </w:tc>
      </w:tr>
      <w:tr w:rsidR="00846D49" w:rsidRPr="00846D49" w14:paraId="1AED95BD" w14:textId="77777777" w:rsidTr="00FE678E">
        <w:trPr>
          <w:trHeight w:val="352"/>
        </w:trPr>
        <w:tc>
          <w:tcPr>
            <w:tcW w:w="2570" w:type="dxa"/>
            <w:gridSpan w:val="3"/>
            <w:shd w:val="clear" w:color="auto" w:fill="auto"/>
            <w:tcMar>
              <w:top w:w="10" w:type="dxa"/>
              <w:left w:w="93" w:type="dxa"/>
              <w:bottom w:w="0" w:type="dxa"/>
              <w:right w:w="10" w:type="dxa"/>
            </w:tcMar>
            <w:vAlign w:val="center"/>
          </w:tcPr>
          <w:p w14:paraId="2981DB13" w14:textId="77777777" w:rsidR="00916AD8" w:rsidRPr="00846D49" w:rsidRDefault="00916AD8" w:rsidP="0087293E">
            <w:pPr>
              <w:jc w:val="both"/>
              <w:rPr>
                <w:rFonts w:ascii="Arial" w:hAnsi="Arial" w:cs="Arial"/>
                <w:sz w:val="20"/>
                <w:szCs w:val="20"/>
              </w:rPr>
            </w:pPr>
            <w:r w:rsidRPr="00846D49">
              <w:rPr>
                <w:rFonts w:ascii="Arial" w:hAnsi="Arial" w:cs="Arial"/>
                <w:b/>
                <w:sz w:val="20"/>
                <w:szCs w:val="20"/>
              </w:rPr>
              <w:t>Responsable del indicador:</w:t>
            </w:r>
          </w:p>
        </w:tc>
        <w:tc>
          <w:tcPr>
            <w:tcW w:w="6503" w:type="dxa"/>
            <w:gridSpan w:val="10"/>
            <w:shd w:val="clear" w:color="auto" w:fill="auto"/>
            <w:tcMar>
              <w:top w:w="51" w:type="dxa"/>
              <w:left w:w="227" w:type="dxa"/>
              <w:bottom w:w="51" w:type="dxa"/>
              <w:right w:w="227" w:type="dxa"/>
            </w:tcMar>
            <w:vAlign w:val="center"/>
          </w:tcPr>
          <w:p w14:paraId="75BE2710" w14:textId="26DC7A95" w:rsidR="00916AD8" w:rsidRPr="00846D49" w:rsidRDefault="00916AD8" w:rsidP="0087293E">
            <w:pPr>
              <w:jc w:val="both"/>
              <w:rPr>
                <w:rFonts w:ascii="Arial" w:eastAsia="Arial Narrow" w:hAnsi="Arial" w:cs="Arial"/>
                <w:sz w:val="20"/>
                <w:szCs w:val="20"/>
              </w:rPr>
            </w:pPr>
            <w:r w:rsidRPr="00846D49">
              <w:rPr>
                <w:rFonts w:ascii="Arial" w:eastAsia="Arial Narrow" w:hAnsi="Arial" w:cs="Arial"/>
                <w:sz w:val="20"/>
                <w:szCs w:val="20"/>
              </w:rPr>
              <w:t>Dirección de Información y Registro del Servicio Nacional Forestal y de Fauna Silvestre.</w:t>
            </w:r>
          </w:p>
        </w:tc>
      </w:tr>
      <w:tr w:rsidR="00846D49" w:rsidRPr="00846D49" w14:paraId="58BCC13C" w14:textId="77777777" w:rsidTr="00FE678E">
        <w:trPr>
          <w:trHeight w:val="578"/>
        </w:trPr>
        <w:tc>
          <w:tcPr>
            <w:tcW w:w="2570" w:type="dxa"/>
            <w:gridSpan w:val="3"/>
            <w:shd w:val="clear" w:color="auto" w:fill="auto"/>
            <w:tcMar>
              <w:top w:w="10" w:type="dxa"/>
              <w:left w:w="93" w:type="dxa"/>
              <w:bottom w:w="0" w:type="dxa"/>
              <w:right w:w="10" w:type="dxa"/>
            </w:tcMar>
            <w:vAlign w:val="center"/>
          </w:tcPr>
          <w:p w14:paraId="27963021" w14:textId="77777777" w:rsidR="00916AD8" w:rsidRPr="00846D49" w:rsidRDefault="00916AD8" w:rsidP="0087293E">
            <w:pPr>
              <w:jc w:val="both"/>
              <w:rPr>
                <w:rFonts w:ascii="Arial" w:hAnsi="Arial" w:cs="Arial"/>
                <w:sz w:val="20"/>
                <w:szCs w:val="20"/>
              </w:rPr>
            </w:pPr>
            <w:r w:rsidRPr="00846D49">
              <w:rPr>
                <w:rFonts w:ascii="Arial" w:hAnsi="Arial" w:cs="Arial"/>
                <w:b/>
                <w:sz w:val="20"/>
                <w:szCs w:val="20"/>
              </w:rPr>
              <w:t>Limitaciones para la medición del indicador:</w:t>
            </w:r>
          </w:p>
        </w:tc>
        <w:tc>
          <w:tcPr>
            <w:tcW w:w="6503" w:type="dxa"/>
            <w:gridSpan w:val="10"/>
            <w:shd w:val="clear" w:color="auto" w:fill="auto"/>
            <w:tcMar>
              <w:top w:w="51" w:type="dxa"/>
              <w:left w:w="227" w:type="dxa"/>
              <w:bottom w:w="51" w:type="dxa"/>
              <w:right w:w="227" w:type="dxa"/>
            </w:tcMar>
            <w:vAlign w:val="center"/>
          </w:tcPr>
          <w:p w14:paraId="47C12BDE" w14:textId="14F3FDA6" w:rsidR="00916AD8" w:rsidRPr="00846D49" w:rsidRDefault="00916AD8" w:rsidP="0087293E">
            <w:pPr>
              <w:jc w:val="both"/>
              <w:rPr>
                <w:rFonts w:ascii="Arial" w:hAnsi="Arial" w:cs="Arial"/>
                <w:sz w:val="20"/>
                <w:szCs w:val="20"/>
              </w:rPr>
            </w:pPr>
            <w:r w:rsidRPr="00846D49">
              <w:rPr>
                <w:rFonts w:ascii="Arial" w:eastAsia="Arial Narrow" w:hAnsi="Arial" w:cs="Arial"/>
                <w:sz w:val="20"/>
                <w:szCs w:val="20"/>
              </w:rPr>
              <w:t>Se requiere el reporte oportuno de las Autoridades Regionales Forestales y de Fauna Silvestre que otorgan el derecho.</w:t>
            </w:r>
          </w:p>
        </w:tc>
      </w:tr>
      <w:tr w:rsidR="00846D49" w:rsidRPr="00846D49" w14:paraId="621FED27" w14:textId="77777777" w:rsidTr="00FE678E">
        <w:trPr>
          <w:trHeight w:val="5618"/>
        </w:trPr>
        <w:tc>
          <w:tcPr>
            <w:tcW w:w="2570" w:type="dxa"/>
            <w:gridSpan w:val="3"/>
            <w:shd w:val="clear" w:color="auto" w:fill="auto"/>
            <w:tcMar>
              <w:top w:w="10" w:type="dxa"/>
              <w:left w:w="93" w:type="dxa"/>
              <w:bottom w:w="0" w:type="dxa"/>
              <w:right w:w="10" w:type="dxa"/>
            </w:tcMar>
            <w:vAlign w:val="center"/>
          </w:tcPr>
          <w:p w14:paraId="5C4DEF9D" w14:textId="77777777" w:rsidR="00916AD8" w:rsidRPr="00846D49" w:rsidRDefault="00916AD8" w:rsidP="0087293E">
            <w:pPr>
              <w:jc w:val="both"/>
              <w:rPr>
                <w:rFonts w:ascii="Arial" w:hAnsi="Arial" w:cs="Arial"/>
                <w:sz w:val="20"/>
                <w:szCs w:val="20"/>
              </w:rPr>
            </w:pPr>
            <w:r w:rsidRPr="00846D49">
              <w:rPr>
                <w:rFonts w:ascii="Arial" w:hAnsi="Arial" w:cs="Arial"/>
                <w:b/>
                <w:sz w:val="20"/>
                <w:szCs w:val="20"/>
              </w:rPr>
              <w:t xml:space="preserve">Método de cálculo: </w:t>
            </w:r>
          </w:p>
        </w:tc>
        <w:tc>
          <w:tcPr>
            <w:tcW w:w="6503" w:type="dxa"/>
            <w:gridSpan w:val="10"/>
            <w:shd w:val="clear" w:color="auto" w:fill="auto"/>
            <w:tcMar>
              <w:top w:w="51" w:type="dxa"/>
              <w:left w:w="227" w:type="dxa"/>
              <w:bottom w:w="51" w:type="dxa"/>
              <w:right w:w="227" w:type="dxa"/>
            </w:tcMar>
            <w:vAlign w:val="center"/>
          </w:tcPr>
          <w:p w14:paraId="34EE4B8D" w14:textId="77777777" w:rsidR="00916AD8" w:rsidRPr="00846D49" w:rsidRDefault="00916AD8" w:rsidP="0087293E">
            <w:pPr>
              <w:jc w:val="both"/>
              <w:rPr>
                <w:rFonts w:ascii="Arial" w:eastAsia="Arial Narrow" w:hAnsi="Arial" w:cs="Arial"/>
                <w:b/>
                <w:sz w:val="20"/>
                <w:szCs w:val="20"/>
              </w:rPr>
            </w:pPr>
            <w:r w:rsidRPr="00846D49">
              <w:rPr>
                <w:rFonts w:ascii="Arial" w:eastAsia="Arial Narrow" w:hAnsi="Arial" w:cs="Arial"/>
                <w:b/>
                <w:sz w:val="20"/>
                <w:szCs w:val="20"/>
              </w:rPr>
              <w:t>1. Fórmula:</w:t>
            </w:r>
          </w:p>
          <w:p w14:paraId="34D5412E" w14:textId="3C7F10D3" w:rsidR="00916AD8" w:rsidRPr="00846D49" w:rsidRDefault="00BB2FF7" w:rsidP="0087293E">
            <w:pPr>
              <w:spacing w:after="0" w:line="240" w:lineRule="auto"/>
              <w:jc w:val="both"/>
              <w:rPr>
                <w:rFonts w:ascii="Arial" w:eastAsia="Arial Unicode MS" w:hAnsi="Arial" w:cs="Arial"/>
                <w:sz w:val="20"/>
                <w:szCs w:val="20"/>
              </w:rPr>
            </w:pPr>
            <w:r w:rsidRPr="00846D49">
              <w:rPr>
                <w:rFonts w:ascii="Arial" w:eastAsia="Arial Unicode MS" w:hAnsi="Arial" w:cs="Arial"/>
                <w:sz w:val="20"/>
                <w:szCs w:val="20"/>
              </w:rPr>
              <w:t>(</w:t>
            </w:r>
            <w:r w:rsidR="00916AD8" w:rsidRPr="00846D49">
              <w:rPr>
                <w:rFonts w:ascii="Arial" w:eastAsia="Arial Unicode MS" w:hAnsi="Arial" w:cs="Arial"/>
                <w:sz w:val="20"/>
                <w:szCs w:val="20"/>
              </w:rPr>
              <w:t>A/B</w:t>
            </w:r>
            <w:r w:rsidRPr="00846D49">
              <w:rPr>
                <w:rFonts w:ascii="Arial" w:eastAsia="Arial Unicode MS" w:hAnsi="Arial" w:cs="Arial"/>
                <w:sz w:val="20"/>
                <w:szCs w:val="20"/>
              </w:rPr>
              <w:t>)</w:t>
            </w:r>
            <w:r w:rsidR="00916AD8" w:rsidRPr="00846D49">
              <w:rPr>
                <w:rFonts w:ascii="Arial" w:eastAsia="Arial Unicode MS" w:hAnsi="Arial" w:cs="Arial"/>
                <w:sz w:val="20"/>
                <w:szCs w:val="20"/>
              </w:rPr>
              <w:t>*100</w:t>
            </w:r>
          </w:p>
          <w:p w14:paraId="74325D32" w14:textId="77777777" w:rsidR="00916AD8" w:rsidRPr="00846D49" w:rsidRDefault="00916AD8" w:rsidP="0087293E">
            <w:pPr>
              <w:spacing w:after="0" w:line="240" w:lineRule="auto"/>
              <w:jc w:val="both"/>
              <w:rPr>
                <w:rFonts w:ascii="Arial" w:eastAsia="Arial Unicode MS" w:hAnsi="Arial" w:cs="Arial"/>
                <w:sz w:val="20"/>
                <w:szCs w:val="20"/>
              </w:rPr>
            </w:pPr>
          </w:p>
          <w:p w14:paraId="15C18B01" w14:textId="7E918BB3" w:rsidR="001B50DD" w:rsidRPr="00846D49" w:rsidRDefault="001B50DD" w:rsidP="0087293E">
            <w:pPr>
              <w:spacing w:after="0" w:line="240" w:lineRule="auto"/>
              <w:jc w:val="both"/>
              <w:rPr>
                <w:rFonts w:ascii="Arial" w:eastAsia="Arial Unicode MS" w:hAnsi="Arial" w:cs="Arial"/>
                <w:sz w:val="20"/>
                <w:szCs w:val="20"/>
              </w:rPr>
            </w:pPr>
            <w:r w:rsidRPr="00846D49">
              <w:rPr>
                <w:rFonts w:ascii="Arial" w:eastAsia="Arial Unicode MS" w:hAnsi="Arial" w:cs="Arial"/>
                <w:sz w:val="20"/>
                <w:szCs w:val="20"/>
              </w:rPr>
              <w:t>Donde:</w:t>
            </w:r>
          </w:p>
          <w:p w14:paraId="43658E3D" w14:textId="77777777" w:rsidR="001B50DD" w:rsidRPr="00846D49" w:rsidRDefault="001B50DD" w:rsidP="0087293E">
            <w:pPr>
              <w:spacing w:after="0" w:line="240" w:lineRule="auto"/>
              <w:jc w:val="both"/>
              <w:rPr>
                <w:rFonts w:ascii="Arial" w:eastAsia="Arial Unicode MS" w:hAnsi="Arial" w:cs="Arial"/>
                <w:sz w:val="20"/>
                <w:szCs w:val="20"/>
              </w:rPr>
            </w:pPr>
          </w:p>
          <w:p w14:paraId="4835A12D" w14:textId="43E2DDA1" w:rsidR="00916AD8" w:rsidRPr="00846D49" w:rsidRDefault="00916AD8" w:rsidP="0087293E">
            <w:pPr>
              <w:ind w:left="315" w:hanging="315"/>
              <w:jc w:val="both"/>
              <w:rPr>
                <w:rFonts w:ascii="Arial" w:hAnsi="Arial" w:cs="Arial"/>
                <w:bCs/>
                <w:sz w:val="20"/>
                <w:szCs w:val="20"/>
              </w:rPr>
            </w:pPr>
            <w:r w:rsidRPr="00846D49">
              <w:rPr>
                <w:rFonts w:ascii="Arial" w:hAnsi="Arial" w:cs="Arial"/>
                <w:bCs/>
                <w:sz w:val="20"/>
                <w:szCs w:val="20"/>
              </w:rPr>
              <w:t xml:space="preserve">A = Usuarios forestales y de fauna silvestre que reciben otorgamiento de </w:t>
            </w:r>
            <w:r w:rsidRPr="00846D49">
              <w:rPr>
                <w:rFonts w:ascii="Arial" w:eastAsia="Times New Roman" w:hAnsi="Arial" w:cs="Arial"/>
                <w:sz w:val="20"/>
                <w:szCs w:val="20"/>
              </w:rPr>
              <w:t>derechos de aprovechamiento de recursos forestales y fauna silvestre</w:t>
            </w:r>
            <w:r w:rsidRPr="00846D49">
              <w:rPr>
                <w:rFonts w:ascii="Arial" w:hAnsi="Arial" w:cs="Arial"/>
                <w:bCs/>
                <w:sz w:val="20"/>
                <w:szCs w:val="20"/>
              </w:rPr>
              <w:t xml:space="preserve"> de manera oportuna</w:t>
            </w:r>
          </w:p>
          <w:p w14:paraId="4C7511D1" w14:textId="77777777" w:rsidR="00916AD8" w:rsidRPr="00846D49" w:rsidRDefault="00916AD8" w:rsidP="0087293E">
            <w:pPr>
              <w:spacing w:after="0" w:line="240" w:lineRule="auto"/>
              <w:ind w:left="315" w:hanging="315"/>
              <w:jc w:val="both"/>
              <w:rPr>
                <w:rFonts w:ascii="Arial" w:eastAsia="Arial Unicode MS" w:hAnsi="Arial" w:cs="Arial"/>
                <w:sz w:val="20"/>
                <w:szCs w:val="20"/>
              </w:rPr>
            </w:pPr>
            <w:r w:rsidRPr="00846D49">
              <w:rPr>
                <w:rFonts w:ascii="Arial" w:hAnsi="Arial" w:cs="Arial"/>
                <w:bCs/>
                <w:sz w:val="20"/>
                <w:szCs w:val="20"/>
              </w:rPr>
              <w:t xml:space="preserve">B = Usuarios forestales y de fauna silvestre que solicitan </w:t>
            </w:r>
            <w:r w:rsidRPr="00846D49">
              <w:rPr>
                <w:rFonts w:ascii="Arial" w:eastAsia="Times New Roman" w:hAnsi="Arial" w:cs="Arial"/>
                <w:sz w:val="20"/>
                <w:szCs w:val="20"/>
              </w:rPr>
              <w:t>derechos de aprovechamiento de recursos forestales y fauna silvestre</w:t>
            </w:r>
          </w:p>
          <w:p w14:paraId="423949EE" w14:textId="77777777" w:rsidR="00916AD8" w:rsidRPr="00846D49" w:rsidRDefault="00916AD8" w:rsidP="0087293E">
            <w:pPr>
              <w:jc w:val="both"/>
              <w:rPr>
                <w:rFonts w:ascii="Arial" w:eastAsia="Arial Narrow" w:hAnsi="Arial" w:cs="Arial"/>
                <w:b/>
                <w:sz w:val="20"/>
                <w:szCs w:val="20"/>
              </w:rPr>
            </w:pPr>
          </w:p>
          <w:p w14:paraId="2AD6027C" w14:textId="77777777" w:rsidR="00916AD8" w:rsidRPr="00846D49" w:rsidRDefault="00916AD8" w:rsidP="0087293E">
            <w:pPr>
              <w:jc w:val="both"/>
              <w:rPr>
                <w:rFonts w:ascii="Arial" w:eastAsia="Arial Narrow" w:hAnsi="Arial" w:cs="Arial"/>
                <w:b/>
                <w:sz w:val="20"/>
                <w:szCs w:val="20"/>
              </w:rPr>
            </w:pPr>
            <w:r w:rsidRPr="00846D49">
              <w:rPr>
                <w:rFonts w:ascii="Arial" w:eastAsia="Arial Narrow" w:hAnsi="Arial" w:cs="Arial"/>
                <w:b/>
                <w:sz w:val="20"/>
                <w:szCs w:val="20"/>
              </w:rPr>
              <w:t>2. Especificaciones técnicas:</w:t>
            </w:r>
          </w:p>
          <w:p w14:paraId="2A9EA963" w14:textId="13200AFB" w:rsidR="005F0D6D" w:rsidRPr="00846D49" w:rsidRDefault="005F0D6D" w:rsidP="0087293E">
            <w:pPr>
              <w:spacing w:after="0" w:line="240" w:lineRule="auto"/>
              <w:jc w:val="both"/>
              <w:rPr>
                <w:rFonts w:ascii="Arial" w:eastAsia="Arial Narrow" w:hAnsi="Arial" w:cs="Arial"/>
                <w:sz w:val="20"/>
                <w:szCs w:val="20"/>
              </w:rPr>
            </w:pPr>
            <w:r w:rsidRPr="00846D49">
              <w:rPr>
                <w:rFonts w:ascii="Arial" w:eastAsia="Arial Narrow" w:hAnsi="Arial" w:cs="Arial"/>
                <w:sz w:val="20"/>
                <w:szCs w:val="20"/>
              </w:rPr>
              <w:t xml:space="preserve">La variable A </w:t>
            </w:r>
            <w:r w:rsidR="0065169F" w:rsidRPr="00846D49">
              <w:rPr>
                <w:rFonts w:ascii="Arial" w:eastAsia="Arial Narrow" w:hAnsi="Arial" w:cs="Arial"/>
                <w:sz w:val="20"/>
                <w:szCs w:val="20"/>
              </w:rPr>
              <w:t xml:space="preserve">se determina </w:t>
            </w:r>
            <w:r w:rsidR="00166214" w:rsidRPr="00846D49">
              <w:rPr>
                <w:rFonts w:ascii="Arial" w:eastAsia="Arial Narrow" w:hAnsi="Arial" w:cs="Arial"/>
                <w:sz w:val="20"/>
                <w:szCs w:val="20"/>
              </w:rPr>
              <w:t>a partir de los</w:t>
            </w:r>
            <w:r w:rsidRPr="00846D49">
              <w:rPr>
                <w:rFonts w:ascii="Arial" w:eastAsia="Arial Narrow" w:hAnsi="Arial" w:cs="Arial"/>
                <w:sz w:val="20"/>
                <w:szCs w:val="20"/>
              </w:rPr>
              <w:t xml:space="preserve"> derechos</w:t>
            </w:r>
            <w:r w:rsidR="0065169F" w:rsidRPr="00846D49">
              <w:rPr>
                <w:rFonts w:ascii="Arial" w:eastAsia="Arial Narrow" w:hAnsi="Arial" w:cs="Arial"/>
                <w:sz w:val="20"/>
                <w:szCs w:val="20"/>
              </w:rPr>
              <w:t xml:space="preserve"> de aprovechamiento</w:t>
            </w:r>
            <w:r w:rsidRPr="00846D49">
              <w:rPr>
                <w:rFonts w:ascii="Arial" w:eastAsia="Arial Narrow" w:hAnsi="Arial" w:cs="Arial"/>
                <w:sz w:val="20"/>
                <w:szCs w:val="20"/>
              </w:rPr>
              <w:t xml:space="preserve"> otorgados dentro del plazo máximo de atención</w:t>
            </w:r>
            <w:r w:rsidR="001B50DD" w:rsidRPr="00846D49">
              <w:rPr>
                <w:rFonts w:ascii="Arial" w:eastAsia="Arial Narrow" w:hAnsi="Arial" w:cs="Arial"/>
                <w:sz w:val="20"/>
                <w:szCs w:val="20"/>
              </w:rPr>
              <w:t>.</w:t>
            </w:r>
          </w:p>
          <w:p w14:paraId="59492124" w14:textId="77777777" w:rsidR="005A3FA7" w:rsidRPr="00846D49" w:rsidRDefault="005A3FA7" w:rsidP="0087293E">
            <w:pPr>
              <w:spacing w:after="0" w:line="240" w:lineRule="auto"/>
              <w:jc w:val="both"/>
              <w:rPr>
                <w:rFonts w:ascii="Arial" w:eastAsia="Arial Narrow" w:hAnsi="Arial" w:cs="Arial"/>
                <w:sz w:val="20"/>
                <w:szCs w:val="20"/>
              </w:rPr>
            </w:pPr>
          </w:p>
          <w:p w14:paraId="17FBBCDD" w14:textId="79CC4FE3" w:rsidR="001B50DD" w:rsidRPr="00846D49" w:rsidRDefault="001B50DD" w:rsidP="0087293E">
            <w:pPr>
              <w:spacing w:after="0" w:line="240" w:lineRule="auto"/>
              <w:jc w:val="both"/>
              <w:rPr>
                <w:rFonts w:ascii="Arial" w:eastAsia="Times New Roman" w:hAnsi="Arial" w:cs="Arial"/>
                <w:sz w:val="20"/>
                <w:szCs w:val="20"/>
              </w:rPr>
            </w:pPr>
            <w:r w:rsidRPr="00846D49">
              <w:rPr>
                <w:rFonts w:ascii="Arial" w:eastAsia="Arial Narrow" w:hAnsi="Arial" w:cs="Arial"/>
                <w:sz w:val="20"/>
                <w:szCs w:val="20"/>
              </w:rPr>
              <w:t>La variable B considera a tod</w:t>
            </w:r>
            <w:r w:rsidR="00166214" w:rsidRPr="00846D49">
              <w:rPr>
                <w:rFonts w:ascii="Arial" w:eastAsia="Arial Narrow" w:hAnsi="Arial" w:cs="Arial"/>
                <w:sz w:val="20"/>
                <w:szCs w:val="20"/>
              </w:rPr>
              <w:t xml:space="preserve">as las </w:t>
            </w:r>
            <w:r w:rsidRPr="00846D49">
              <w:rPr>
                <w:rFonts w:ascii="Arial" w:hAnsi="Arial" w:cs="Arial"/>
                <w:bCs/>
                <w:sz w:val="20"/>
                <w:szCs w:val="20"/>
              </w:rPr>
              <w:t>solicitud</w:t>
            </w:r>
            <w:r w:rsidR="00166214" w:rsidRPr="00846D49">
              <w:rPr>
                <w:rFonts w:ascii="Arial" w:hAnsi="Arial" w:cs="Arial"/>
                <w:bCs/>
                <w:sz w:val="20"/>
                <w:szCs w:val="20"/>
              </w:rPr>
              <w:t>es</w:t>
            </w:r>
            <w:r w:rsidRPr="00846D49">
              <w:rPr>
                <w:rFonts w:ascii="Arial" w:hAnsi="Arial" w:cs="Arial"/>
                <w:bCs/>
                <w:sz w:val="20"/>
                <w:szCs w:val="20"/>
              </w:rPr>
              <w:t xml:space="preserve"> </w:t>
            </w:r>
            <w:r w:rsidR="005A3FA7" w:rsidRPr="00846D49">
              <w:rPr>
                <w:rFonts w:ascii="Arial" w:hAnsi="Arial" w:cs="Arial"/>
                <w:bCs/>
                <w:sz w:val="20"/>
                <w:szCs w:val="20"/>
              </w:rPr>
              <w:t xml:space="preserve">recibidas </w:t>
            </w:r>
            <w:r w:rsidRPr="00846D49">
              <w:rPr>
                <w:rFonts w:ascii="Arial" w:hAnsi="Arial" w:cs="Arial"/>
                <w:bCs/>
                <w:sz w:val="20"/>
                <w:szCs w:val="20"/>
              </w:rPr>
              <w:t xml:space="preserve">para obtener un </w:t>
            </w:r>
            <w:r w:rsidRPr="00846D49">
              <w:rPr>
                <w:rFonts w:ascii="Arial" w:eastAsia="Times New Roman" w:hAnsi="Arial" w:cs="Arial"/>
                <w:sz w:val="20"/>
                <w:szCs w:val="20"/>
              </w:rPr>
              <w:t>derecho de aprovechamiento de recursos forestales y fauna silvestre</w:t>
            </w:r>
            <w:r w:rsidR="00856D28" w:rsidRPr="00846D49">
              <w:rPr>
                <w:rFonts w:ascii="Arial" w:eastAsia="Times New Roman" w:hAnsi="Arial" w:cs="Arial"/>
                <w:sz w:val="20"/>
                <w:szCs w:val="20"/>
              </w:rPr>
              <w:t xml:space="preserve"> en el año de medición</w:t>
            </w:r>
            <w:r w:rsidRPr="00846D49">
              <w:rPr>
                <w:rFonts w:ascii="Arial" w:eastAsia="Times New Roman" w:hAnsi="Arial" w:cs="Arial"/>
                <w:sz w:val="20"/>
                <w:szCs w:val="20"/>
              </w:rPr>
              <w:t>.</w:t>
            </w:r>
          </w:p>
          <w:p w14:paraId="206D2961" w14:textId="77777777" w:rsidR="00037011" w:rsidRPr="00846D49" w:rsidRDefault="00037011" w:rsidP="0087293E">
            <w:pPr>
              <w:spacing w:after="0" w:line="240" w:lineRule="auto"/>
              <w:jc w:val="both"/>
              <w:rPr>
                <w:rFonts w:ascii="Arial" w:eastAsia="Times New Roman" w:hAnsi="Arial" w:cs="Arial"/>
                <w:sz w:val="20"/>
                <w:szCs w:val="20"/>
              </w:rPr>
            </w:pPr>
          </w:p>
          <w:p w14:paraId="5EBC8818" w14:textId="792A9BA6" w:rsidR="00DC0EED" w:rsidRPr="00846D49" w:rsidRDefault="00916AD8" w:rsidP="0087293E">
            <w:pPr>
              <w:spacing w:after="0" w:line="240" w:lineRule="auto"/>
              <w:jc w:val="both"/>
              <w:rPr>
                <w:rFonts w:ascii="Arial" w:eastAsia="Times New Roman" w:hAnsi="Arial" w:cs="Arial"/>
                <w:sz w:val="20"/>
                <w:szCs w:val="20"/>
              </w:rPr>
            </w:pPr>
            <w:r w:rsidRPr="00846D49">
              <w:rPr>
                <w:rFonts w:ascii="Arial" w:eastAsia="Arial Narrow" w:hAnsi="Arial" w:cs="Arial"/>
                <w:sz w:val="20"/>
                <w:szCs w:val="20"/>
              </w:rPr>
              <w:t xml:space="preserve">Los plazos de otorgamiento se adecuan de acuerdo con cada modalidad de </w:t>
            </w:r>
            <w:r w:rsidRPr="00846D49">
              <w:rPr>
                <w:rFonts w:ascii="Arial" w:eastAsia="Times New Roman" w:hAnsi="Arial" w:cs="Arial"/>
                <w:sz w:val="20"/>
                <w:szCs w:val="20"/>
              </w:rPr>
              <w:t>derechos de aprovechamiento de recursos forestales y fauna silvestre</w:t>
            </w:r>
            <w:r w:rsidR="00DC0EED" w:rsidRPr="00846D49">
              <w:rPr>
                <w:rFonts w:ascii="Arial" w:eastAsia="Times New Roman" w:hAnsi="Arial" w:cs="Arial"/>
                <w:sz w:val="20"/>
                <w:szCs w:val="20"/>
              </w:rPr>
              <w:t>, siendo estos los siguientes:</w:t>
            </w:r>
          </w:p>
          <w:p w14:paraId="15A51E39" w14:textId="2C9C465F" w:rsidR="00DC0EED" w:rsidRPr="00846D49" w:rsidRDefault="00DC0EED" w:rsidP="0087293E">
            <w:pPr>
              <w:spacing w:after="0" w:line="240" w:lineRule="auto"/>
              <w:jc w:val="both"/>
              <w:rPr>
                <w:rFonts w:ascii="Arial" w:eastAsia="Arial Narrow" w:hAnsi="Arial" w:cs="Arial"/>
                <w:sz w:val="20"/>
                <w:szCs w:val="20"/>
              </w:rPr>
            </w:pPr>
          </w:p>
          <w:tbl>
            <w:tblPr>
              <w:tblStyle w:val="Tablaconcuadrcula"/>
              <w:tblW w:w="0" w:type="auto"/>
              <w:tblLayout w:type="fixed"/>
              <w:tblLook w:val="04A0" w:firstRow="1" w:lastRow="0" w:firstColumn="1" w:lastColumn="0" w:noHBand="0" w:noVBand="1"/>
            </w:tblPr>
            <w:tblGrid>
              <w:gridCol w:w="3996"/>
              <w:gridCol w:w="2043"/>
            </w:tblGrid>
            <w:tr w:rsidR="00846D49" w:rsidRPr="00846D49" w14:paraId="475449DB" w14:textId="77777777" w:rsidTr="005A3FA7">
              <w:tc>
                <w:tcPr>
                  <w:tcW w:w="3996" w:type="dxa"/>
                </w:tcPr>
                <w:p w14:paraId="0E311E4A" w14:textId="4EAA7F43" w:rsidR="00DC0EED" w:rsidRPr="00846D49" w:rsidRDefault="00DC0EED" w:rsidP="00011FF7">
                  <w:pPr>
                    <w:jc w:val="center"/>
                    <w:rPr>
                      <w:rFonts w:ascii="Arial" w:eastAsia="Arial Narrow" w:hAnsi="Arial" w:cs="Arial"/>
                      <w:b/>
                      <w:bCs/>
                      <w:i/>
                      <w:iCs/>
                      <w:sz w:val="20"/>
                      <w:szCs w:val="20"/>
                    </w:rPr>
                  </w:pPr>
                  <w:r w:rsidRPr="00846D49">
                    <w:rPr>
                      <w:rFonts w:ascii="Arial" w:eastAsia="Arial Narrow" w:hAnsi="Arial" w:cs="Arial"/>
                      <w:b/>
                      <w:bCs/>
                      <w:i/>
                      <w:iCs/>
                      <w:sz w:val="20"/>
                      <w:szCs w:val="20"/>
                    </w:rPr>
                    <w:t>Procedimiento:</w:t>
                  </w:r>
                </w:p>
              </w:tc>
              <w:tc>
                <w:tcPr>
                  <w:tcW w:w="2043" w:type="dxa"/>
                </w:tcPr>
                <w:p w14:paraId="0D63C39E" w14:textId="7DDA1985" w:rsidR="00DC0EED" w:rsidRPr="00846D49" w:rsidRDefault="00420AF5" w:rsidP="00011FF7">
                  <w:pPr>
                    <w:jc w:val="center"/>
                    <w:rPr>
                      <w:rFonts w:ascii="Arial" w:eastAsia="Arial Narrow" w:hAnsi="Arial" w:cs="Arial"/>
                      <w:b/>
                      <w:bCs/>
                      <w:i/>
                      <w:iCs/>
                      <w:sz w:val="20"/>
                      <w:szCs w:val="20"/>
                    </w:rPr>
                  </w:pPr>
                  <w:r w:rsidRPr="00846D49">
                    <w:rPr>
                      <w:rFonts w:ascii="Arial" w:eastAsia="Arial Narrow" w:hAnsi="Arial" w:cs="Arial"/>
                      <w:b/>
                      <w:bCs/>
                      <w:i/>
                      <w:iCs/>
                      <w:sz w:val="20"/>
                      <w:szCs w:val="20"/>
                    </w:rPr>
                    <w:t>Plazo de atención máximo</w:t>
                  </w:r>
                  <w:r w:rsidR="00037011" w:rsidRPr="00846D49">
                    <w:rPr>
                      <w:rFonts w:ascii="Arial" w:eastAsia="Arial Narrow" w:hAnsi="Arial" w:cs="Arial"/>
                      <w:b/>
                      <w:bCs/>
                      <w:i/>
                      <w:iCs/>
                      <w:sz w:val="20"/>
                      <w:szCs w:val="20"/>
                    </w:rPr>
                    <w:t xml:space="preserve"> desde la presentación de la solicitud</w:t>
                  </w:r>
                  <w:r w:rsidRPr="00846D49">
                    <w:rPr>
                      <w:rFonts w:ascii="Arial" w:eastAsia="Arial Narrow" w:hAnsi="Arial" w:cs="Arial"/>
                      <w:b/>
                      <w:bCs/>
                      <w:i/>
                      <w:iCs/>
                      <w:sz w:val="20"/>
                      <w:szCs w:val="20"/>
                    </w:rPr>
                    <w:t>:</w:t>
                  </w:r>
                </w:p>
              </w:tc>
            </w:tr>
            <w:tr w:rsidR="00846D49" w:rsidRPr="00846D49" w14:paraId="2BA483A4" w14:textId="77777777" w:rsidTr="005A3FA7">
              <w:tc>
                <w:tcPr>
                  <w:tcW w:w="3996" w:type="dxa"/>
                </w:tcPr>
                <w:p w14:paraId="07A23F03" w14:textId="0A5AD63B" w:rsidR="00DC0EED" w:rsidRPr="00846D49" w:rsidRDefault="004D61AF" w:rsidP="0087293E">
                  <w:pPr>
                    <w:jc w:val="both"/>
                    <w:rPr>
                      <w:rFonts w:ascii="Arial" w:eastAsia="Arial Narrow" w:hAnsi="Arial" w:cs="Arial"/>
                      <w:sz w:val="20"/>
                      <w:szCs w:val="20"/>
                    </w:rPr>
                  </w:pPr>
                  <w:r w:rsidRPr="00846D49">
                    <w:rPr>
                      <w:rFonts w:ascii="Arial" w:eastAsia="Arial Narrow" w:hAnsi="Arial" w:cs="Arial"/>
                      <w:sz w:val="20"/>
                      <w:szCs w:val="20"/>
                    </w:rPr>
                    <w:t>Otorgamiento de c</w:t>
                  </w:r>
                  <w:r w:rsidR="00A35AAE" w:rsidRPr="00846D49">
                    <w:rPr>
                      <w:rFonts w:ascii="Arial" w:eastAsia="Arial Narrow" w:hAnsi="Arial" w:cs="Arial"/>
                      <w:sz w:val="20"/>
                      <w:szCs w:val="20"/>
                    </w:rPr>
                    <w:t>oncesi</w:t>
                  </w:r>
                  <w:r w:rsidRPr="00846D49">
                    <w:rPr>
                      <w:rFonts w:ascii="Arial" w:eastAsia="Arial Narrow" w:hAnsi="Arial" w:cs="Arial"/>
                      <w:sz w:val="20"/>
                      <w:szCs w:val="20"/>
                    </w:rPr>
                    <w:t>ones</w:t>
                  </w:r>
                </w:p>
              </w:tc>
              <w:tc>
                <w:tcPr>
                  <w:tcW w:w="2043" w:type="dxa"/>
                </w:tcPr>
                <w:p w14:paraId="76581181" w14:textId="16C915F3" w:rsidR="00DC0EED" w:rsidRPr="00846D49" w:rsidRDefault="004D61AF" w:rsidP="00011FF7">
                  <w:pPr>
                    <w:jc w:val="center"/>
                    <w:rPr>
                      <w:rFonts w:ascii="Arial" w:eastAsia="Arial Narrow" w:hAnsi="Arial" w:cs="Arial"/>
                      <w:sz w:val="20"/>
                      <w:szCs w:val="20"/>
                    </w:rPr>
                  </w:pPr>
                  <w:r w:rsidRPr="00846D49">
                    <w:rPr>
                      <w:rFonts w:ascii="Arial" w:eastAsia="Arial Narrow" w:hAnsi="Arial" w:cs="Arial"/>
                      <w:sz w:val="20"/>
                      <w:szCs w:val="20"/>
                    </w:rPr>
                    <w:t>30 días</w:t>
                  </w:r>
                </w:p>
              </w:tc>
            </w:tr>
            <w:tr w:rsidR="00846D49" w:rsidRPr="00846D49" w14:paraId="7B46A230" w14:textId="77777777" w:rsidTr="005A3FA7">
              <w:tc>
                <w:tcPr>
                  <w:tcW w:w="3996" w:type="dxa"/>
                </w:tcPr>
                <w:p w14:paraId="615AF521" w14:textId="0FC5E268" w:rsidR="00DC0EED" w:rsidRPr="00846D49" w:rsidRDefault="00A35AAE" w:rsidP="0087293E">
                  <w:pPr>
                    <w:jc w:val="both"/>
                    <w:rPr>
                      <w:rFonts w:ascii="Arial" w:eastAsia="Arial Narrow" w:hAnsi="Arial" w:cs="Arial"/>
                      <w:sz w:val="20"/>
                      <w:szCs w:val="20"/>
                    </w:rPr>
                  </w:pPr>
                  <w:r w:rsidRPr="00846D49">
                    <w:rPr>
                      <w:rFonts w:ascii="Arial" w:eastAsia="Arial Narrow" w:hAnsi="Arial" w:cs="Arial"/>
                      <w:sz w:val="20"/>
                      <w:szCs w:val="20"/>
                    </w:rPr>
                    <w:t>Contrato de cesión en uso en bosques residuales o remanentes</w:t>
                  </w:r>
                </w:p>
              </w:tc>
              <w:tc>
                <w:tcPr>
                  <w:tcW w:w="2043" w:type="dxa"/>
                </w:tcPr>
                <w:p w14:paraId="797AE8EC" w14:textId="5F6872B7" w:rsidR="00DC0EED" w:rsidRPr="00846D49" w:rsidRDefault="004D61AF" w:rsidP="00011FF7">
                  <w:pPr>
                    <w:jc w:val="center"/>
                    <w:rPr>
                      <w:rFonts w:ascii="Arial" w:eastAsia="Arial Narrow" w:hAnsi="Arial" w:cs="Arial"/>
                      <w:sz w:val="20"/>
                      <w:szCs w:val="20"/>
                    </w:rPr>
                  </w:pPr>
                  <w:r w:rsidRPr="00846D49">
                    <w:rPr>
                      <w:rFonts w:ascii="Arial" w:eastAsia="Arial Narrow" w:hAnsi="Arial" w:cs="Arial"/>
                      <w:sz w:val="20"/>
                      <w:szCs w:val="20"/>
                    </w:rPr>
                    <w:t>30 días</w:t>
                  </w:r>
                </w:p>
              </w:tc>
            </w:tr>
            <w:tr w:rsidR="00846D49" w:rsidRPr="00846D49" w14:paraId="5735CF3C" w14:textId="77777777" w:rsidTr="005A3FA7">
              <w:tc>
                <w:tcPr>
                  <w:tcW w:w="3996" w:type="dxa"/>
                </w:tcPr>
                <w:p w14:paraId="0DEE0148" w14:textId="049A17C0" w:rsidR="00DC0EED" w:rsidRPr="00846D49" w:rsidRDefault="00A35AAE" w:rsidP="0087293E">
                  <w:pPr>
                    <w:jc w:val="both"/>
                    <w:rPr>
                      <w:rFonts w:ascii="Arial" w:eastAsia="Arial Narrow" w:hAnsi="Arial" w:cs="Arial"/>
                      <w:sz w:val="20"/>
                      <w:szCs w:val="20"/>
                    </w:rPr>
                  </w:pPr>
                  <w:r w:rsidRPr="00846D49">
                    <w:rPr>
                      <w:rFonts w:ascii="Arial" w:eastAsia="Arial Narrow" w:hAnsi="Arial" w:cs="Arial"/>
                      <w:sz w:val="20"/>
                      <w:szCs w:val="20"/>
                    </w:rPr>
                    <w:t>Permiso</w:t>
                  </w:r>
                  <w:r w:rsidR="004D61AF" w:rsidRPr="00846D49">
                    <w:rPr>
                      <w:rFonts w:ascii="Arial" w:eastAsia="Arial Narrow" w:hAnsi="Arial" w:cs="Arial"/>
                      <w:sz w:val="20"/>
                      <w:szCs w:val="20"/>
                    </w:rPr>
                    <w:t>s</w:t>
                  </w:r>
                  <w:r w:rsidRPr="00846D49">
                    <w:rPr>
                      <w:rFonts w:ascii="Arial" w:eastAsia="Arial Narrow" w:hAnsi="Arial" w:cs="Arial"/>
                      <w:sz w:val="20"/>
                      <w:szCs w:val="20"/>
                    </w:rPr>
                    <w:t xml:space="preserve"> forestal</w:t>
                  </w:r>
                  <w:r w:rsidR="004D61AF" w:rsidRPr="00846D49">
                    <w:rPr>
                      <w:rFonts w:ascii="Arial" w:eastAsia="Arial Narrow" w:hAnsi="Arial" w:cs="Arial"/>
                      <w:sz w:val="20"/>
                      <w:szCs w:val="20"/>
                    </w:rPr>
                    <w:t>es</w:t>
                  </w:r>
                  <w:r w:rsidRPr="00846D49">
                    <w:rPr>
                      <w:rFonts w:ascii="Arial" w:eastAsia="Arial Narrow" w:hAnsi="Arial" w:cs="Arial"/>
                      <w:sz w:val="20"/>
                      <w:szCs w:val="20"/>
                    </w:rPr>
                    <w:t xml:space="preserve"> o de fauna silvestre en predios privados </w:t>
                  </w:r>
                  <w:r w:rsidR="004D61AF" w:rsidRPr="00846D49">
                    <w:rPr>
                      <w:rFonts w:ascii="Arial" w:eastAsia="Arial Narrow" w:hAnsi="Arial" w:cs="Arial"/>
                      <w:sz w:val="20"/>
                      <w:szCs w:val="20"/>
                    </w:rPr>
                    <w:t>o</w:t>
                  </w:r>
                  <w:r w:rsidRPr="00846D49">
                    <w:rPr>
                      <w:rFonts w:ascii="Arial" w:eastAsia="Arial Narrow" w:hAnsi="Arial" w:cs="Arial"/>
                      <w:sz w:val="20"/>
                      <w:szCs w:val="20"/>
                    </w:rPr>
                    <w:t xml:space="preserve"> comunidades</w:t>
                  </w:r>
                </w:p>
              </w:tc>
              <w:tc>
                <w:tcPr>
                  <w:tcW w:w="2043" w:type="dxa"/>
                </w:tcPr>
                <w:p w14:paraId="7EB3EA70" w14:textId="18DD271A" w:rsidR="00DC0EED" w:rsidRPr="00846D49" w:rsidRDefault="004D61AF" w:rsidP="00011FF7">
                  <w:pPr>
                    <w:jc w:val="center"/>
                    <w:rPr>
                      <w:rFonts w:ascii="Arial" w:eastAsia="Arial Narrow" w:hAnsi="Arial" w:cs="Arial"/>
                      <w:sz w:val="20"/>
                      <w:szCs w:val="20"/>
                    </w:rPr>
                  </w:pPr>
                  <w:r w:rsidRPr="00846D49">
                    <w:rPr>
                      <w:rFonts w:ascii="Arial" w:eastAsia="Arial Narrow" w:hAnsi="Arial" w:cs="Arial"/>
                      <w:sz w:val="20"/>
                      <w:szCs w:val="20"/>
                    </w:rPr>
                    <w:t>7 a 30 días</w:t>
                  </w:r>
                </w:p>
              </w:tc>
            </w:tr>
            <w:tr w:rsidR="00846D49" w:rsidRPr="00846D49" w14:paraId="2D986C4F" w14:textId="77777777" w:rsidTr="005A3FA7">
              <w:tc>
                <w:tcPr>
                  <w:tcW w:w="3996" w:type="dxa"/>
                </w:tcPr>
                <w:p w14:paraId="394B69C0" w14:textId="77777777" w:rsidR="00A35AAE" w:rsidRPr="00846D49" w:rsidRDefault="00A35AAE" w:rsidP="00011FF7">
                  <w:pPr>
                    <w:shd w:val="clear" w:color="auto" w:fill="FFFFFF" w:themeFill="background1"/>
                    <w:jc w:val="both"/>
                    <w:rPr>
                      <w:rFonts w:ascii="Arial" w:eastAsia="Arial Narrow" w:hAnsi="Arial" w:cs="Arial"/>
                      <w:sz w:val="20"/>
                      <w:szCs w:val="20"/>
                    </w:rPr>
                  </w:pPr>
                  <w:r w:rsidRPr="00846D49">
                    <w:rPr>
                      <w:rFonts w:ascii="Arial" w:eastAsia="Arial Narrow" w:hAnsi="Arial" w:cs="Arial"/>
                      <w:sz w:val="20"/>
                      <w:szCs w:val="20"/>
                      <w:lang w:eastAsia="es-PE"/>
                    </w:rPr>
                    <w:t>Autorización para extracción de vegetación acuática emergente o ribereña</w:t>
                  </w:r>
                </w:p>
                <w:p w14:paraId="097EFA75" w14:textId="77777777" w:rsidR="00A35AAE" w:rsidRPr="00846D49" w:rsidRDefault="00A35AAE" w:rsidP="0087293E">
                  <w:pPr>
                    <w:jc w:val="both"/>
                    <w:rPr>
                      <w:rFonts w:ascii="Arial" w:eastAsia="Arial Narrow" w:hAnsi="Arial" w:cs="Arial"/>
                      <w:sz w:val="20"/>
                      <w:szCs w:val="20"/>
                    </w:rPr>
                  </w:pPr>
                </w:p>
              </w:tc>
              <w:tc>
                <w:tcPr>
                  <w:tcW w:w="2043" w:type="dxa"/>
                </w:tcPr>
                <w:p w14:paraId="675B1DF0" w14:textId="7D9E9704" w:rsidR="00A35AAE" w:rsidRPr="00846D49" w:rsidRDefault="004D61AF" w:rsidP="00011FF7">
                  <w:pPr>
                    <w:jc w:val="center"/>
                    <w:rPr>
                      <w:rFonts w:ascii="Arial" w:eastAsia="Arial Narrow" w:hAnsi="Arial" w:cs="Arial"/>
                      <w:sz w:val="20"/>
                      <w:szCs w:val="20"/>
                    </w:rPr>
                  </w:pPr>
                  <w:r w:rsidRPr="00846D49">
                    <w:rPr>
                      <w:rFonts w:ascii="Arial" w:eastAsia="Arial Narrow" w:hAnsi="Arial" w:cs="Arial"/>
                      <w:sz w:val="20"/>
                      <w:szCs w:val="20"/>
                    </w:rPr>
                    <w:t>15 días</w:t>
                  </w:r>
                </w:p>
              </w:tc>
            </w:tr>
            <w:tr w:rsidR="00846D49" w:rsidRPr="00846D49" w14:paraId="49F2DB36" w14:textId="77777777" w:rsidTr="005A3FA7">
              <w:tc>
                <w:tcPr>
                  <w:tcW w:w="3996" w:type="dxa"/>
                </w:tcPr>
                <w:p w14:paraId="6A9B91BB" w14:textId="120AAE87" w:rsidR="00A35AAE" w:rsidRPr="00846D49" w:rsidRDefault="00A35AAE" w:rsidP="0087293E">
                  <w:pPr>
                    <w:jc w:val="both"/>
                    <w:rPr>
                      <w:rFonts w:ascii="Arial" w:eastAsia="Arial Narrow" w:hAnsi="Arial" w:cs="Arial"/>
                      <w:sz w:val="20"/>
                      <w:szCs w:val="20"/>
                    </w:rPr>
                  </w:pPr>
                  <w:r w:rsidRPr="00846D49">
                    <w:rPr>
                      <w:rFonts w:ascii="Arial" w:eastAsia="Arial Narrow" w:hAnsi="Arial" w:cs="Arial"/>
                      <w:sz w:val="20"/>
                      <w:szCs w:val="20"/>
                    </w:rPr>
                    <w:t>Autorización para extracción de especies arbustivas y herbáceas</w:t>
                  </w:r>
                </w:p>
              </w:tc>
              <w:tc>
                <w:tcPr>
                  <w:tcW w:w="2043" w:type="dxa"/>
                </w:tcPr>
                <w:p w14:paraId="6D329E61" w14:textId="3DC32AD8" w:rsidR="00A35AAE" w:rsidRPr="00846D49" w:rsidRDefault="004D61AF" w:rsidP="00011FF7">
                  <w:pPr>
                    <w:jc w:val="center"/>
                    <w:rPr>
                      <w:rFonts w:ascii="Arial" w:eastAsia="Arial Narrow" w:hAnsi="Arial" w:cs="Arial"/>
                      <w:sz w:val="20"/>
                      <w:szCs w:val="20"/>
                    </w:rPr>
                  </w:pPr>
                  <w:r w:rsidRPr="00846D49">
                    <w:rPr>
                      <w:rFonts w:ascii="Arial" w:eastAsia="Arial Narrow" w:hAnsi="Arial" w:cs="Arial"/>
                      <w:sz w:val="20"/>
                      <w:szCs w:val="20"/>
                    </w:rPr>
                    <w:t>15 días</w:t>
                  </w:r>
                </w:p>
              </w:tc>
            </w:tr>
          </w:tbl>
          <w:p w14:paraId="7C339674" w14:textId="25DA5C2F" w:rsidR="00916AD8" w:rsidRPr="00846D49" w:rsidRDefault="00916AD8" w:rsidP="001B50DD">
            <w:pPr>
              <w:spacing w:after="0" w:line="240" w:lineRule="auto"/>
              <w:jc w:val="both"/>
              <w:rPr>
                <w:rFonts w:ascii="Arial" w:hAnsi="Arial" w:cs="Arial"/>
                <w:sz w:val="20"/>
                <w:szCs w:val="20"/>
              </w:rPr>
            </w:pPr>
          </w:p>
        </w:tc>
      </w:tr>
      <w:tr w:rsidR="00846D49" w:rsidRPr="00846D49" w14:paraId="378C79FF" w14:textId="77777777" w:rsidTr="00FE678E">
        <w:trPr>
          <w:trHeight w:val="686"/>
        </w:trPr>
        <w:tc>
          <w:tcPr>
            <w:tcW w:w="2570" w:type="dxa"/>
            <w:gridSpan w:val="3"/>
            <w:shd w:val="clear" w:color="auto" w:fill="auto"/>
            <w:tcMar>
              <w:top w:w="10" w:type="dxa"/>
              <w:left w:w="93" w:type="dxa"/>
              <w:bottom w:w="0" w:type="dxa"/>
              <w:right w:w="10" w:type="dxa"/>
            </w:tcMar>
            <w:vAlign w:val="center"/>
          </w:tcPr>
          <w:p w14:paraId="7DD9EBAC" w14:textId="77777777" w:rsidR="00916AD8" w:rsidRPr="00846D49" w:rsidRDefault="00916AD8" w:rsidP="0087293E">
            <w:pPr>
              <w:jc w:val="both"/>
              <w:rPr>
                <w:rFonts w:ascii="Arial" w:hAnsi="Arial" w:cs="Arial"/>
                <w:sz w:val="20"/>
                <w:szCs w:val="20"/>
              </w:rPr>
            </w:pPr>
            <w:r w:rsidRPr="00846D49">
              <w:rPr>
                <w:rFonts w:ascii="Arial" w:hAnsi="Arial" w:cs="Arial"/>
                <w:b/>
                <w:sz w:val="20"/>
                <w:szCs w:val="20"/>
              </w:rPr>
              <w:t>Sentido esperado del indicador:</w:t>
            </w:r>
          </w:p>
        </w:tc>
        <w:tc>
          <w:tcPr>
            <w:tcW w:w="1622" w:type="dxa"/>
            <w:gridSpan w:val="3"/>
            <w:shd w:val="clear" w:color="auto" w:fill="auto"/>
            <w:tcMar>
              <w:top w:w="10" w:type="dxa"/>
              <w:left w:w="283" w:type="dxa"/>
              <w:bottom w:w="0" w:type="dxa"/>
              <w:right w:w="283" w:type="dxa"/>
            </w:tcMar>
            <w:vAlign w:val="center"/>
          </w:tcPr>
          <w:p w14:paraId="2C332504" w14:textId="77777777" w:rsidR="00916AD8" w:rsidRPr="00846D49" w:rsidRDefault="00916AD8" w:rsidP="0087293E">
            <w:pPr>
              <w:jc w:val="both"/>
              <w:rPr>
                <w:rFonts w:ascii="Arial" w:hAnsi="Arial" w:cs="Arial"/>
                <w:sz w:val="20"/>
                <w:szCs w:val="20"/>
              </w:rPr>
            </w:pPr>
            <w:r w:rsidRPr="00846D49">
              <w:rPr>
                <w:rFonts w:ascii="Arial" w:eastAsia="Arial Narrow" w:hAnsi="Arial" w:cs="Arial"/>
                <w:sz w:val="20"/>
                <w:szCs w:val="20"/>
              </w:rPr>
              <w:t>Constante</w:t>
            </w:r>
          </w:p>
        </w:tc>
        <w:tc>
          <w:tcPr>
            <w:tcW w:w="3204" w:type="dxa"/>
            <w:gridSpan w:val="5"/>
            <w:shd w:val="clear" w:color="auto" w:fill="auto"/>
            <w:tcMar>
              <w:top w:w="15" w:type="dxa"/>
              <w:left w:w="15" w:type="dxa"/>
              <w:bottom w:w="0" w:type="dxa"/>
              <w:right w:w="15" w:type="dxa"/>
            </w:tcMar>
            <w:vAlign w:val="center"/>
          </w:tcPr>
          <w:p w14:paraId="411FC3EC" w14:textId="77777777" w:rsidR="00916AD8" w:rsidRPr="00846D49" w:rsidRDefault="00916AD8" w:rsidP="0087293E">
            <w:pPr>
              <w:jc w:val="both"/>
              <w:rPr>
                <w:rFonts w:ascii="Arial" w:hAnsi="Arial" w:cs="Arial"/>
                <w:sz w:val="20"/>
                <w:szCs w:val="20"/>
              </w:rPr>
            </w:pPr>
            <w:r w:rsidRPr="00846D49">
              <w:rPr>
                <w:rFonts w:ascii="Arial" w:hAnsi="Arial" w:cs="Arial"/>
                <w:b/>
                <w:sz w:val="20"/>
                <w:szCs w:val="20"/>
              </w:rPr>
              <w:t>Tipo de indicador de servicio:</w:t>
            </w:r>
          </w:p>
        </w:tc>
        <w:tc>
          <w:tcPr>
            <w:tcW w:w="1677" w:type="dxa"/>
            <w:gridSpan w:val="2"/>
            <w:shd w:val="clear" w:color="auto" w:fill="auto"/>
            <w:tcMar>
              <w:top w:w="15" w:type="dxa"/>
              <w:left w:w="15" w:type="dxa"/>
              <w:bottom w:w="0" w:type="dxa"/>
              <w:right w:w="15" w:type="dxa"/>
            </w:tcMar>
            <w:vAlign w:val="center"/>
          </w:tcPr>
          <w:p w14:paraId="7AAC1AC9" w14:textId="6CE337FA" w:rsidR="00916AD8" w:rsidRPr="00846D49" w:rsidRDefault="009F20A6" w:rsidP="0087293E">
            <w:pPr>
              <w:jc w:val="both"/>
              <w:rPr>
                <w:rFonts w:ascii="Arial" w:hAnsi="Arial" w:cs="Arial"/>
                <w:sz w:val="20"/>
                <w:szCs w:val="20"/>
              </w:rPr>
            </w:pPr>
            <w:r w:rsidRPr="00846D49">
              <w:rPr>
                <w:rFonts w:ascii="Arial" w:eastAsia="Arial Narrow" w:hAnsi="Arial" w:cs="Arial"/>
                <w:sz w:val="20"/>
                <w:szCs w:val="20"/>
              </w:rPr>
              <w:t xml:space="preserve">Calidad - </w:t>
            </w:r>
            <w:r w:rsidR="00916AD8" w:rsidRPr="00846D49">
              <w:rPr>
                <w:rFonts w:ascii="Arial" w:eastAsia="Arial Narrow" w:hAnsi="Arial" w:cs="Arial"/>
                <w:sz w:val="20"/>
                <w:szCs w:val="20"/>
              </w:rPr>
              <w:t>Oportunidad</w:t>
            </w:r>
          </w:p>
        </w:tc>
      </w:tr>
      <w:tr w:rsidR="00846D49" w:rsidRPr="00846D49" w14:paraId="0B38E4C0" w14:textId="77777777" w:rsidTr="00FE678E">
        <w:trPr>
          <w:trHeight w:val="13"/>
        </w:trPr>
        <w:tc>
          <w:tcPr>
            <w:tcW w:w="2570" w:type="dxa"/>
            <w:gridSpan w:val="3"/>
            <w:shd w:val="clear" w:color="auto" w:fill="auto"/>
            <w:tcMar>
              <w:top w:w="10" w:type="dxa"/>
              <w:left w:w="93" w:type="dxa"/>
              <w:bottom w:w="0" w:type="dxa"/>
              <w:right w:w="10" w:type="dxa"/>
            </w:tcMar>
            <w:vAlign w:val="center"/>
          </w:tcPr>
          <w:p w14:paraId="2330F18C" w14:textId="77777777" w:rsidR="00916AD8" w:rsidRPr="00846D49" w:rsidRDefault="00916AD8" w:rsidP="0087293E">
            <w:pPr>
              <w:jc w:val="both"/>
              <w:rPr>
                <w:rFonts w:ascii="Arial" w:hAnsi="Arial" w:cs="Arial"/>
                <w:sz w:val="20"/>
                <w:szCs w:val="20"/>
              </w:rPr>
            </w:pPr>
            <w:r w:rsidRPr="00846D49">
              <w:rPr>
                <w:rFonts w:ascii="Arial" w:hAnsi="Arial" w:cs="Arial"/>
                <w:b/>
                <w:sz w:val="20"/>
                <w:szCs w:val="20"/>
              </w:rPr>
              <w:t>Fuente y base de datos:</w:t>
            </w:r>
          </w:p>
        </w:tc>
        <w:tc>
          <w:tcPr>
            <w:tcW w:w="6503" w:type="dxa"/>
            <w:gridSpan w:val="10"/>
            <w:shd w:val="clear" w:color="auto" w:fill="auto"/>
            <w:tcMar>
              <w:top w:w="51" w:type="dxa"/>
              <w:left w:w="227" w:type="dxa"/>
              <w:bottom w:w="51" w:type="dxa"/>
              <w:right w:w="227" w:type="dxa"/>
            </w:tcMar>
            <w:vAlign w:val="center"/>
          </w:tcPr>
          <w:p w14:paraId="19F748EE" w14:textId="77777777" w:rsidR="00D33203" w:rsidRPr="00846D49" w:rsidRDefault="00916AD8" w:rsidP="0087293E">
            <w:pPr>
              <w:jc w:val="both"/>
              <w:rPr>
                <w:rFonts w:ascii="Arial" w:eastAsia="Arial Narrow" w:hAnsi="Arial" w:cs="Arial"/>
                <w:sz w:val="20"/>
                <w:szCs w:val="20"/>
              </w:rPr>
            </w:pPr>
            <w:r w:rsidRPr="00846D49">
              <w:rPr>
                <w:rFonts w:ascii="Arial" w:eastAsia="Arial Narrow" w:hAnsi="Arial" w:cs="Arial"/>
                <w:sz w:val="20"/>
                <w:szCs w:val="20"/>
              </w:rPr>
              <w:t xml:space="preserve">Fuente: </w:t>
            </w:r>
            <w:r w:rsidR="00BB2FF7" w:rsidRPr="00846D49">
              <w:rPr>
                <w:rFonts w:ascii="Arial" w:eastAsia="Arial Narrow" w:hAnsi="Arial" w:cs="Arial"/>
                <w:sz w:val="20"/>
                <w:szCs w:val="20"/>
              </w:rPr>
              <w:t>Dirección de Información</w:t>
            </w:r>
            <w:r w:rsidRPr="00846D49">
              <w:rPr>
                <w:rFonts w:ascii="Arial" w:eastAsia="Arial Narrow" w:hAnsi="Arial" w:cs="Arial"/>
                <w:sz w:val="20"/>
                <w:szCs w:val="20"/>
              </w:rPr>
              <w:t xml:space="preserve"> </w:t>
            </w:r>
            <w:r w:rsidR="006E08E6" w:rsidRPr="00846D49">
              <w:rPr>
                <w:rFonts w:ascii="Arial" w:eastAsia="Arial Narrow" w:hAnsi="Arial" w:cs="Arial"/>
                <w:sz w:val="20"/>
                <w:szCs w:val="20"/>
              </w:rPr>
              <w:t xml:space="preserve">y Registro </w:t>
            </w:r>
            <w:r w:rsidRPr="00846D49">
              <w:rPr>
                <w:rFonts w:ascii="Arial" w:eastAsia="Arial Narrow" w:hAnsi="Arial" w:cs="Arial"/>
                <w:sz w:val="20"/>
                <w:szCs w:val="20"/>
              </w:rPr>
              <w:t xml:space="preserve">del </w:t>
            </w:r>
            <w:r w:rsidR="00D33203" w:rsidRPr="00846D49">
              <w:rPr>
                <w:rFonts w:ascii="Arial" w:eastAsia="Arial Narrow" w:hAnsi="Arial" w:cs="Arial"/>
                <w:sz w:val="20"/>
                <w:szCs w:val="20"/>
              </w:rPr>
              <w:t xml:space="preserve">Servicio Nacional Forestal y de Fauna Silvestre – </w:t>
            </w:r>
            <w:r w:rsidRPr="00846D49">
              <w:rPr>
                <w:rFonts w:ascii="Arial" w:eastAsia="Arial Narrow" w:hAnsi="Arial" w:cs="Arial"/>
                <w:sz w:val="20"/>
                <w:szCs w:val="20"/>
              </w:rPr>
              <w:t>SERFOR</w:t>
            </w:r>
            <w:r w:rsidR="00D33203" w:rsidRPr="00846D49">
              <w:rPr>
                <w:rFonts w:ascii="Arial" w:eastAsia="Arial Narrow" w:hAnsi="Arial" w:cs="Arial"/>
                <w:sz w:val="20"/>
                <w:szCs w:val="20"/>
              </w:rPr>
              <w:t>.</w:t>
            </w:r>
          </w:p>
          <w:p w14:paraId="27AF4D65" w14:textId="1E59797A" w:rsidR="00916AD8" w:rsidRPr="00846D49" w:rsidRDefault="00916AD8" w:rsidP="0087293E">
            <w:pPr>
              <w:jc w:val="both"/>
              <w:rPr>
                <w:rFonts w:ascii="Arial" w:eastAsia="Arial Narrow" w:hAnsi="Arial" w:cs="Arial"/>
                <w:sz w:val="20"/>
                <w:szCs w:val="20"/>
              </w:rPr>
            </w:pPr>
            <w:r w:rsidRPr="00846D49">
              <w:rPr>
                <w:rFonts w:ascii="Arial" w:eastAsia="Arial Narrow" w:hAnsi="Arial" w:cs="Arial"/>
                <w:sz w:val="20"/>
                <w:szCs w:val="20"/>
              </w:rPr>
              <w:lastRenderedPageBreak/>
              <w:t>Base de datos: GEOSERFOR</w:t>
            </w:r>
            <w:r w:rsidR="00D33203" w:rsidRPr="00846D49">
              <w:rPr>
                <w:rFonts w:ascii="Arial" w:eastAsia="Arial Narrow" w:hAnsi="Arial" w:cs="Arial"/>
                <w:sz w:val="20"/>
                <w:szCs w:val="20"/>
              </w:rPr>
              <w:t>.</w:t>
            </w:r>
          </w:p>
        </w:tc>
      </w:tr>
      <w:tr w:rsidR="00846D49" w:rsidRPr="00846D49" w14:paraId="6A6E19D6" w14:textId="77777777" w:rsidTr="00FE678E">
        <w:trPr>
          <w:trHeight w:val="436"/>
        </w:trPr>
        <w:tc>
          <w:tcPr>
            <w:tcW w:w="2570" w:type="dxa"/>
            <w:gridSpan w:val="3"/>
            <w:shd w:val="clear" w:color="auto" w:fill="auto"/>
            <w:tcMar>
              <w:top w:w="10" w:type="dxa"/>
              <w:left w:w="93" w:type="dxa"/>
              <w:bottom w:w="0" w:type="dxa"/>
              <w:right w:w="10" w:type="dxa"/>
            </w:tcMar>
            <w:vAlign w:val="center"/>
          </w:tcPr>
          <w:p w14:paraId="20AC510D" w14:textId="77777777" w:rsidR="00916AD8" w:rsidRPr="00846D49" w:rsidRDefault="00916AD8" w:rsidP="0087293E">
            <w:pPr>
              <w:jc w:val="both"/>
              <w:rPr>
                <w:rFonts w:ascii="Arial" w:hAnsi="Arial" w:cs="Arial"/>
                <w:sz w:val="20"/>
                <w:szCs w:val="20"/>
              </w:rPr>
            </w:pPr>
            <w:r w:rsidRPr="00846D49">
              <w:rPr>
                <w:rFonts w:ascii="Arial" w:hAnsi="Arial" w:cs="Arial"/>
                <w:b/>
                <w:sz w:val="20"/>
                <w:szCs w:val="20"/>
              </w:rPr>
              <w:lastRenderedPageBreak/>
              <w:t>Supuestos:</w:t>
            </w:r>
          </w:p>
        </w:tc>
        <w:tc>
          <w:tcPr>
            <w:tcW w:w="6503" w:type="dxa"/>
            <w:gridSpan w:val="10"/>
            <w:shd w:val="clear" w:color="auto" w:fill="auto"/>
            <w:tcMar>
              <w:top w:w="51" w:type="dxa"/>
              <w:left w:w="227" w:type="dxa"/>
              <w:bottom w:w="51" w:type="dxa"/>
              <w:right w:w="227" w:type="dxa"/>
            </w:tcMar>
            <w:vAlign w:val="center"/>
          </w:tcPr>
          <w:p w14:paraId="0DAE1526" w14:textId="77777777" w:rsidR="00916AD8" w:rsidRPr="00846D49" w:rsidRDefault="00916AD8" w:rsidP="0087293E">
            <w:pPr>
              <w:spacing w:after="0" w:line="240" w:lineRule="auto"/>
              <w:jc w:val="both"/>
              <w:rPr>
                <w:rFonts w:ascii="Arial" w:eastAsia="Arial Narrow" w:hAnsi="Arial" w:cs="Arial"/>
                <w:sz w:val="20"/>
                <w:szCs w:val="20"/>
              </w:rPr>
            </w:pPr>
            <w:r w:rsidRPr="00846D49">
              <w:rPr>
                <w:rFonts w:ascii="Arial" w:eastAsia="Arial Narrow" w:hAnsi="Arial" w:cs="Arial"/>
                <w:sz w:val="20"/>
                <w:szCs w:val="20"/>
              </w:rPr>
              <w:t>Se cuenta con las capacidades técnicas y financieras para implementar las metas propuesta en el presente indicador</w:t>
            </w:r>
          </w:p>
        </w:tc>
      </w:tr>
      <w:tr w:rsidR="00846D49" w:rsidRPr="00846D49" w14:paraId="37A9FACA" w14:textId="77777777" w:rsidTr="00FE678E">
        <w:trPr>
          <w:trHeight w:val="458"/>
        </w:trPr>
        <w:tc>
          <w:tcPr>
            <w:tcW w:w="866" w:type="dxa"/>
            <w:shd w:val="clear" w:color="auto" w:fill="auto"/>
            <w:tcMar>
              <w:top w:w="10" w:type="dxa"/>
              <w:left w:w="10" w:type="dxa"/>
              <w:bottom w:w="0" w:type="dxa"/>
              <w:right w:w="10" w:type="dxa"/>
            </w:tcMar>
            <w:vAlign w:val="center"/>
          </w:tcPr>
          <w:p w14:paraId="1CE20814" w14:textId="77777777" w:rsidR="00916AD8" w:rsidRPr="00846D49" w:rsidRDefault="00916AD8" w:rsidP="0087293E">
            <w:pPr>
              <w:jc w:val="both"/>
              <w:rPr>
                <w:rFonts w:ascii="Arial" w:hAnsi="Arial" w:cs="Arial"/>
                <w:sz w:val="20"/>
                <w:szCs w:val="20"/>
              </w:rPr>
            </w:pPr>
            <w:r w:rsidRPr="00846D49">
              <w:rPr>
                <w:rFonts w:ascii="Arial" w:hAnsi="Arial" w:cs="Arial"/>
                <w:b/>
                <w:sz w:val="20"/>
                <w:szCs w:val="20"/>
              </w:rPr>
              <w:t> </w:t>
            </w:r>
          </w:p>
        </w:tc>
        <w:tc>
          <w:tcPr>
            <w:tcW w:w="988" w:type="dxa"/>
            <w:shd w:val="clear" w:color="auto" w:fill="auto"/>
            <w:tcMar>
              <w:top w:w="10" w:type="dxa"/>
              <w:left w:w="10" w:type="dxa"/>
              <w:bottom w:w="0" w:type="dxa"/>
              <w:right w:w="10" w:type="dxa"/>
            </w:tcMar>
            <w:vAlign w:val="center"/>
          </w:tcPr>
          <w:p w14:paraId="265C98DF" w14:textId="77777777" w:rsidR="00916AD8" w:rsidRPr="00846D49" w:rsidRDefault="00916AD8" w:rsidP="005A3FA7">
            <w:pPr>
              <w:jc w:val="center"/>
              <w:rPr>
                <w:rFonts w:ascii="Arial" w:hAnsi="Arial" w:cs="Arial"/>
                <w:sz w:val="20"/>
                <w:szCs w:val="20"/>
              </w:rPr>
            </w:pPr>
            <w:r w:rsidRPr="00846D49">
              <w:rPr>
                <w:rFonts w:ascii="Arial" w:hAnsi="Arial" w:cs="Arial"/>
                <w:b/>
                <w:sz w:val="20"/>
                <w:szCs w:val="20"/>
              </w:rPr>
              <w:t>Línea de base</w:t>
            </w:r>
          </w:p>
        </w:tc>
        <w:tc>
          <w:tcPr>
            <w:tcW w:w="7219" w:type="dxa"/>
            <w:gridSpan w:val="11"/>
            <w:shd w:val="clear" w:color="auto" w:fill="auto"/>
            <w:tcMar>
              <w:top w:w="10" w:type="dxa"/>
              <w:left w:w="10" w:type="dxa"/>
              <w:bottom w:w="0" w:type="dxa"/>
              <w:right w:w="10" w:type="dxa"/>
            </w:tcMar>
            <w:vAlign w:val="center"/>
          </w:tcPr>
          <w:p w14:paraId="49615FEE" w14:textId="332F1294" w:rsidR="00916AD8" w:rsidRPr="00846D49" w:rsidRDefault="00916AD8" w:rsidP="005A3FA7">
            <w:pPr>
              <w:spacing w:after="0" w:line="240" w:lineRule="auto"/>
              <w:jc w:val="center"/>
              <w:rPr>
                <w:rFonts w:ascii="Arial" w:hAnsi="Arial" w:cs="Arial"/>
                <w:sz w:val="20"/>
                <w:szCs w:val="20"/>
              </w:rPr>
            </w:pPr>
            <w:r w:rsidRPr="00846D49">
              <w:rPr>
                <w:rFonts w:ascii="Arial" w:hAnsi="Arial" w:cs="Arial"/>
                <w:b/>
                <w:sz w:val="20"/>
                <w:szCs w:val="20"/>
              </w:rPr>
              <w:t>Logros esperados</w:t>
            </w:r>
          </w:p>
        </w:tc>
      </w:tr>
      <w:tr w:rsidR="00846D49" w:rsidRPr="00846D49" w14:paraId="7E8A3F66" w14:textId="77777777" w:rsidTr="00FE678E">
        <w:trPr>
          <w:trHeight w:val="217"/>
        </w:trPr>
        <w:tc>
          <w:tcPr>
            <w:tcW w:w="866" w:type="dxa"/>
            <w:shd w:val="clear" w:color="auto" w:fill="auto"/>
            <w:tcMar>
              <w:top w:w="10" w:type="dxa"/>
              <w:left w:w="10" w:type="dxa"/>
              <w:bottom w:w="0" w:type="dxa"/>
              <w:right w:w="10" w:type="dxa"/>
            </w:tcMar>
            <w:vAlign w:val="center"/>
          </w:tcPr>
          <w:p w14:paraId="0F06DC3F" w14:textId="77777777" w:rsidR="00916AD8" w:rsidRPr="00846D49" w:rsidRDefault="00916AD8" w:rsidP="0087293E">
            <w:pPr>
              <w:spacing w:after="0" w:line="240" w:lineRule="auto"/>
              <w:jc w:val="both"/>
              <w:rPr>
                <w:rFonts w:ascii="Arial" w:hAnsi="Arial" w:cs="Arial"/>
                <w:sz w:val="20"/>
                <w:szCs w:val="20"/>
              </w:rPr>
            </w:pPr>
            <w:r w:rsidRPr="00846D49">
              <w:rPr>
                <w:rFonts w:ascii="Arial" w:hAnsi="Arial" w:cs="Arial"/>
                <w:b/>
                <w:sz w:val="20"/>
                <w:szCs w:val="20"/>
              </w:rPr>
              <w:t>Año</w:t>
            </w:r>
          </w:p>
        </w:tc>
        <w:tc>
          <w:tcPr>
            <w:tcW w:w="988" w:type="dxa"/>
            <w:shd w:val="clear" w:color="auto" w:fill="auto"/>
            <w:tcMar>
              <w:top w:w="10" w:type="dxa"/>
              <w:left w:w="10" w:type="dxa"/>
              <w:bottom w:w="0" w:type="dxa"/>
              <w:right w:w="10" w:type="dxa"/>
            </w:tcMar>
            <w:vAlign w:val="center"/>
          </w:tcPr>
          <w:p w14:paraId="153C0D98" w14:textId="2FE8786E" w:rsidR="00916AD8" w:rsidRPr="00846D49" w:rsidRDefault="00916AD8" w:rsidP="005A3FA7">
            <w:pPr>
              <w:spacing w:after="0" w:line="240" w:lineRule="auto"/>
              <w:jc w:val="center"/>
              <w:rPr>
                <w:rFonts w:ascii="Arial" w:hAnsi="Arial" w:cs="Arial"/>
                <w:b/>
                <w:bCs/>
                <w:sz w:val="20"/>
                <w:szCs w:val="20"/>
              </w:rPr>
            </w:pPr>
            <w:r w:rsidRPr="00846D49">
              <w:rPr>
                <w:rFonts w:ascii="Arial" w:hAnsi="Arial" w:cs="Arial"/>
                <w:b/>
                <w:sz w:val="20"/>
                <w:szCs w:val="20"/>
              </w:rPr>
              <w:t>2022</w:t>
            </w:r>
          </w:p>
        </w:tc>
        <w:tc>
          <w:tcPr>
            <w:tcW w:w="1134" w:type="dxa"/>
            <w:gridSpan w:val="2"/>
            <w:shd w:val="clear" w:color="auto" w:fill="auto"/>
            <w:tcMar>
              <w:top w:w="10" w:type="dxa"/>
              <w:left w:w="10" w:type="dxa"/>
              <w:bottom w:w="0" w:type="dxa"/>
              <w:right w:w="10" w:type="dxa"/>
            </w:tcMar>
            <w:vAlign w:val="center"/>
          </w:tcPr>
          <w:p w14:paraId="3BE2363E" w14:textId="77777777" w:rsidR="00916AD8" w:rsidRPr="00846D49" w:rsidRDefault="00916AD8" w:rsidP="005A3FA7">
            <w:pPr>
              <w:spacing w:after="0" w:line="240" w:lineRule="auto"/>
              <w:jc w:val="center"/>
              <w:rPr>
                <w:rFonts w:ascii="Arial" w:hAnsi="Arial" w:cs="Arial"/>
                <w:b/>
                <w:sz w:val="20"/>
                <w:szCs w:val="20"/>
              </w:rPr>
            </w:pPr>
            <w:r w:rsidRPr="00846D49">
              <w:rPr>
                <w:rFonts w:ascii="Arial" w:hAnsi="Arial" w:cs="Arial"/>
                <w:b/>
                <w:sz w:val="20"/>
                <w:szCs w:val="20"/>
              </w:rPr>
              <w:t>2023</w:t>
            </w:r>
          </w:p>
        </w:tc>
        <w:tc>
          <w:tcPr>
            <w:tcW w:w="992" w:type="dxa"/>
            <w:shd w:val="clear" w:color="auto" w:fill="auto"/>
            <w:vAlign w:val="center"/>
          </w:tcPr>
          <w:p w14:paraId="7047C0F0" w14:textId="77777777" w:rsidR="00916AD8" w:rsidRPr="00846D49" w:rsidRDefault="00916AD8" w:rsidP="005A3FA7">
            <w:pPr>
              <w:spacing w:after="0" w:line="240" w:lineRule="auto"/>
              <w:jc w:val="center"/>
              <w:rPr>
                <w:rFonts w:ascii="Arial" w:hAnsi="Arial" w:cs="Arial"/>
                <w:b/>
                <w:sz w:val="20"/>
                <w:szCs w:val="20"/>
              </w:rPr>
            </w:pPr>
            <w:r w:rsidRPr="00846D49">
              <w:rPr>
                <w:rFonts w:ascii="Arial" w:hAnsi="Arial" w:cs="Arial"/>
                <w:b/>
                <w:sz w:val="20"/>
                <w:szCs w:val="20"/>
              </w:rPr>
              <w:t>2024</w:t>
            </w:r>
          </w:p>
        </w:tc>
        <w:tc>
          <w:tcPr>
            <w:tcW w:w="850" w:type="dxa"/>
            <w:gridSpan w:val="2"/>
            <w:shd w:val="clear" w:color="auto" w:fill="auto"/>
            <w:vAlign w:val="center"/>
          </w:tcPr>
          <w:p w14:paraId="0BC19DEB" w14:textId="77777777" w:rsidR="00916AD8" w:rsidRPr="00846D49" w:rsidRDefault="00916AD8" w:rsidP="005A3FA7">
            <w:pPr>
              <w:spacing w:after="0" w:line="240" w:lineRule="auto"/>
              <w:jc w:val="center"/>
              <w:rPr>
                <w:rFonts w:ascii="Arial" w:hAnsi="Arial" w:cs="Arial"/>
                <w:b/>
                <w:sz w:val="20"/>
                <w:szCs w:val="20"/>
              </w:rPr>
            </w:pPr>
            <w:r w:rsidRPr="00846D49">
              <w:rPr>
                <w:rFonts w:ascii="Arial" w:hAnsi="Arial" w:cs="Arial"/>
                <w:b/>
                <w:sz w:val="20"/>
                <w:szCs w:val="20"/>
              </w:rPr>
              <w:t>2025</w:t>
            </w:r>
          </w:p>
        </w:tc>
        <w:tc>
          <w:tcPr>
            <w:tcW w:w="851" w:type="dxa"/>
            <w:shd w:val="clear" w:color="auto" w:fill="auto"/>
            <w:vAlign w:val="center"/>
          </w:tcPr>
          <w:p w14:paraId="1DD3F50C" w14:textId="77777777" w:rsidR="00916AD8" w:rsidRPr="00846D49" w:rsidRDefault="00916AD8" w:rsidP="005A3FA7">
            <w:pPr>
              <w:spacing w:after="0" w:line="240" w:lineRule="auto"/>
              <w:jc w:val="center"/>
              <w:rPr>
                <w:rFonts w:ascii="Arial" w:hAnsi="Arial" w:cs="Arial"/>
                <w:b/>
                <w:sz w:val="20"/>
                <w:szCs w:val="20"/>
              </w:rPr>
            </w:pPr>
            <w:r w:rsidRPr="00846D49">
              <w:rPr>
                <w:rFonts w:ascii="Arial" w:hAnsi="Arial" w:cs="Arial"/>
                <w:b/>
                <w:sz w:val="20"/>
                <w:szCs w:val="20"/>
              </w:rPr>
              <w:t>2026</w:t>
            </w:r>
          </w:p>
        </w:tc>
        <w:tc>
          <w:tcPr>
            <w:tcW w:w="840" w:type="dxa"/>
            <w:shd w:val="clear" w:color="auto" w:fill="auto"/>
            <w:vAlign w:val="center"/>
          </w:tcPr>
          <w:p w14:paraId="676C9B6F" w14:textId="77777777" w:rsidR="00916AD8" w:rsidRPr="00846D49" w:rsidRDefault="00916AD8" w:rsidP="005A3FA7">
            <w:pPr>
              <w:spacing w:after="0" w:line="240" w:lineRule="auto"/>
              <w:jc w:val="center"/>
              <w:rPr>
                <w:rFonts w:ascii="Arial" w:hAnsi="Arial" w:cs="Arial"/>
                <w:b/>
                <w:sz w:val="20"/>
                <w:szCs w:val="20"/>
              </w:rPr>
            </w:pPr>
            <w:r w:rsidRPr="00846D49">
              <w:rPr>
                <w:rFonts w:ascii="Arial" w:hAnsi="Arial" w:cs="Arial"/>
                <w:b/>
                <w:sz w:val="20"/>
                <w:szCs w:val="20"/>
              </w:rPr>
              <w:t>2027</w:t>
            </w:r>
          </w:p>
        </w:tc>
        <w:tc>
          <w:tcPr>
            <w:tcW w:w="851" w:type="dxa"/>
            <w:shd w:val="clear" w:color="auto" w:fill="auto"/>
            <w:vAlign w:val="center"/>
          </w:tcPr>
          <w:p w14:paraId="4C93D581" w14:textId="77777777" w:rsidR="00916AD8" w:rsidRPr="00846D49" w:rsidRDefault="00916AD8" w:rsidP="005A3FA7">
            <w:pPr>
              <w:spacing w:after="0" w:line="240" w:lineRule="auto"/>
              <w:jc w:val="center"/>
              <w:rPr>
                <w:rFonts w:ascii="Arial" w:hAnsi="Arial" w:cs="Arial"/>
                <w:b/>
                <w:sz w:val="20"/>
                <w:szCs w:val="20"/>
              </w:rPr>
            </w:pPr>
            <w:r w:rsidRPr="00846D49">
              <w:rPr>
                <w:rFonts w:ascii="Arial" w:hAnsi="Arial" w:cs="Arial"/>
                <w:b/>
                <w:sz w:val="20"/>
                <w:szCs w:val="20"/>
              </w:rPr>
              <w:t>2028</w:t>
            </w:r>
          </w:p>
        </w:tc>
        <w:tc>
          <w:tcPr>
            <w:tcW w:w="850" w:type="dxa"/>
            <w:gridSpan w:val="2"/>
            <w:shd w:val="clear" w:color="auto" w:fill="auto"/>
            <w:vAlign w:val="center"/>
          </w:tcPr>
          <w:p w14:paraId="5E728A15" w14:textId="77777777" w:rsidR="00916AD8" w:rsidRPr="00846D49" w:rsidRDefault="00916AD8" w:rsidP="005A3FA7">
            <w:pPr>
              <w:spacing w:after="0" w:line="240" w:lineRule="auto"/>
              <w:jc w:val="center"/>
              <w:rPr>
                <w:rFonts w:ascii="Arial" w:hAnsi="Arial" w:cs="Arial"/>
                <w:b/>
                <w:sz w:val="20"/>
                <w:szCs w:val="20"/>
              </w:rPr>
            </w:pPr>
            <w:r w:rsidRPr="00846D49">
              <w:rPr>
                <w:rFonts w:ascii="Arial" w:hAnsi="Arial" w:cs="Arial"/>
                <w:b/>
                <w:sz w:val="20"/>
                <w:szCs w:val="20"/>
              </w:rPr>
              <w:t>2029</w:t>
            </w:r>
          </w:p>
        </w:tc>
        <w:tc>
          <w:tcPr>
            <w:tcW w:w="851" w:type="dxa"/>
            <w:shd w:val="clear" w:color="auto" w:fill="auto"/>
            <w:vAlign w:val="center"/>
          </w:tcPr>
          <w:p w14:paraId="6B2827C2" w14:textId="77777777" w:rsidR="00916AD8" w:rsidRPr="00846D49" w:rsidRDefault="00916AD8" w:rsidP="005A3FA7">
            <w:pPr>
              <w:spacing w:after="0" w:line="240" w:lineRule="auto"/>
              <w:jc w:val="center"/>
              <w:rPr>
                <w:rFonts w:ascii="Arial" w:hAnsi="Arial" w:cs="Arial"/>
                <w:b/>
                <w:sz w:val="20"/>
                <w:szCs w:val="20"/>
              </w:rPr>
            </w:pPr>
            <w:r w:rsidRPr="00846D49">
              <w:rPr>
                <w:rFonts w:ascii="Arial" w:hAnsi="Arial" w:cs="Arial"/>
                <w:b/>
                <w:sz w:val="20"/>
                <w:szCs w:val="20"/>
              </w:rPr>
              <w:t>2030</w:t>
            </w:r>
          </w:p>
        </w:tc>
      </w:tr>
      <w:tr w:rsidR="00846D49" w:rsidRPr="00846D49" w14:paraId="4FB68FC4" w14:textId="77777777" w:rsidTr="00FE678E">
        <w:trPr>
          <w:trHeight w:val="81"/>
        </w:trPr>
        <w:tc>
          <w:tcPr>
            <w:tcW w:w="866" w:type="dxa"/>
            <w:shd w:val="clear" w:color="auto" w:fill="auto"/>
            <w:tcMar>
              <w:top w:w="10" w:type="dxa"/>
              <w:left w:w="10" w:type="dxa"/>
              <w:bottom w:w="0" w:type="dxa"/>
              <w:right w:w="10" w:type="dxa"/>
            </w:tcMar>
            <w:vAlign w:val="center"/>
          </w:tcPr>
          <w:p w14:paraId="18AF2B10" w14:textId="77777777" w:rsidR="00916AD8" w:rsidRPr="00846D49" w:rsidRDefault="00916AD8" w:rsidP="0087293E">
            <w:pPr>
              <w:spacing w:after="0" w:line="240" w:lineRule="auto"/>
              <w:jc w:val="both"/>
              <w:rPr>
                <w:rFonts w:ascii="Arial" w:hAnsi="Arial" w:cs="Arial"/>
                <w:b/>
                <w:sz w:val="20"/>
                <w:szCs w:val="20"/>
              </w:rPr>
            </w:pPr>
            <w:r w:rsidRPr="00846D49">
              <w:rPr>
                <w:rFonts w:ascii="Arial" w:hAnsi="Arial" w:cs="Arial"/>
                <w:b/>
                <w:sz w:val="20"/>
                <w:szCs w:val="20"/>
              </w:rPr>
              <w:t>Valor</w:t>
            </w:r>
          </w:p>
        </w:tc>
        <w:tc>
          <w:tcPr>
            <w:tcW w:w="988" w:type="dxa"/>
            <w:shd w:val="clear" w:color="auto" w:fill="auto"/>
            <w:tcMar>
              <w:top w:w="10" w:type="dxa"/>
              <w:left w:w="10" w:type="dxa"/>
              <w:bottom w:w="0" w:type="dxa"/>
              <w:right w:w="10" w:type="dxa"/>
            </w:tcMar>
            <w:vAlign w:val="center"/>
          </w:tcPr>
          <w:p w14:paraId="75E54850" w14:textId="54A67F8E" w:rsidR="00916AD8" w:rsidRPr="00846D49" w:rsidRDefault="004D61AF" w:rsidP="005A3FA7">
            <w:pPr>
              <w:spacing w:after="0" w:line="240" w:lineRule="auto"/>
              <w:jc w:val="center"/>
              <w:rPr>
                <w:rFonts w:ascii="Arial" w:hAnsi="Arial" w:cs="Arial"/>
                <w:sz w:val="20"/>
                <w:szCs w:val="20"/>
              </w:rPr>
            </w:pPr>
            <w:r w:rsidRPr="00846D49">
              <w:rPr>
                <w:rFonts w:ascii="Arial" w:hAnsi="Arial" w:cs="Arial"/>
                <w:sz w:val="20"/>
                <w:szCs w:val="20"/>
              </w:rPr>
              <w:t>70%</w:t>
            </w:r>
          </w:p>
        </w:tc>
        <w:tc>
          <w:tcPr>
            <w:tcW w:w="1134" w:type="dxa"/>
            <w:gridSpan w:val="2"/>
            <w:shd w:val="clear" w:color="auto" w:fill="auto"/>
            <w:tcMar>
              <w:top w:w="10" w:type="dxa"/>
              <w:left w:w="10" w:type="dxa"/>
              <w:bottom w:w="0" w:type="dxa"/>
              <w:right w:w="10" w:type="dxa"/>
            </w:tcMar>
            <w:vAlign w:val="center"/>
          </w:tcPr>
          <w:p w14:paraId="78140F88" w14:textId="77777777" w:rsidR="00916AD8" w:rsidRPr="00846D49" w:rsidRDefault="00916AD8" w:rsidP="005A3FA7">
            <w:pPr>
              <w:spacing w:after="0" w:line="240" w:lineRule="auto"/>
              <w:jc w:val="center"/>
              <w:rPr>
                <w:rFonts w:ascii="Arial" w:hAnsi="Arial" w:cs="Arial"/>
                <w:sz w:val="20"/>
                <w:szCs w:val="20"/>
              </w:rPr>
            </w:pPr>
            <w:r w:rsidRPr="00846D49">
              <w:rPr>
                <w:rFonts w:ascii="Arial" w:hAnsi="Arial" w:cs="Arial"/>
                <w:sz w:val="20"/>
                <w:szCs w:val="20"/>
              </w:rPr>
              <w:t>70%</w:t>
            </w:r>
          </w:p>
        </w:tc>
        <w:tc>
          <w:tcPr>
            <w:tcW w:w="992" w:type="dxa"/>
            <w:shd w:val="clear" w:color="auto" w:fill="auto"/>
            <w:vAlign w:val="center"/>
          </w:tcPr>
          <w:p w14:paraId="34A4D8F5" w14:textId="128DE5ED" w:rsidR="00916AD8" w:rsidRPr="00846D49" w:rsidRDefault="00916AD8" w:rsidP="005A3FA7">
            <w:pPr>
              <w:spacing w:after="0" w:line="240" w:lineRule="auto"/>
              <w:jc w:val="center"/>
              <w:rPr>
                <w:rFonts w:ascii="Arial" w:hAnsi="Arial" w:cs="Arial"/>
                <w:sz w:val="20"/>
                <w:szCs w:val="20"/>
              </w:rPr>
            </w:pPr>
            <w:r w:rsidRPr="00846D49">
              <w:rPr>
                <w:rFonts w:ascii="Arial" w:hAnsi="Arial" w:cs="Arial"/>
                <w:sz w:val="20"/>
                <w:szCs w:val="20"/>
              </w:rPr>
              <w:t>80%</w:t>
            </w:r>
          </w:p>
        </w:tc>
        <w:tc>
          <w:tcPr>
            <w:tcW w:w="850" w:type="dxa"/>
            <w:gridSpan w:val="2"/>
            <w:shd w:val="clear" w:color="auto" w:fill="auto"/>
            <w:vAlign w:val="center"/>
          </w:tcPr>
          <w:p w14:paraId="3323EEEB" w14:textId="77777777" w:rsidR="00916AD8" w:rsidRPr="00846D49" w:rsidRDefault="00916AD8" w:rsidP="005A3FA7">
            <w:pPr>
              <w:spacing w:after="0" w:line="240" w:lineRule="auto"/>
              <w:jc w:val="center"/>
              <w:rPr>
                <w:rFonts w:ascii="Arial" w:hAnsi="Arial" w:cs="Arial"/>
                <w:sz w:val="20"/>
                <w:szCs w:val="20"/>
              </w:rPr>
            </w:pPr>
            <w:r w:rsidRPr="00846D49">
              <w:rPr>
                <w:rFonts w:ascii="Arial" w:hAnsi="Arial" w:cs="Arial"/>
                <w:sz w:val="20"/>
                <w:szCs w:val="20"/>
              </w:rPr>
              <w:t>90%</w:t>
            </w:r>
          </w:p>
        </w:tc>
        <w:tc>
          <w:tcPr>
            <w:tcW w:w="851" w:type="dxa"/>
            <w:shd w:val="clear" w:color="auto" w:fill="auto"/>
            <w:vAlign w:val="center"/>
          </w:tcPr>
          <w:p w14:paraId="049184E4" w14:textId="77777777" w:rsidR="00916AD8" w:rsidRPr="00846D49" w:rsidRDefault="00916AD8" w:rsidP="005A3FA7">
            <w:pPr>
              <w:spacing w:after="0" w:line="240" w:lineRule="auto"/>
              <w:jc w:val="center"/>
              <w:rPr>
                <w:rFonts w:ascii="Arial" w:hAnsi="Arial" w:cs="Arial"/>
                <w:sz w:val="20"/>
                <w:szCs w:val="20"/>
              </w:rPr>
            </w:pPr>
            <w:r w:rsidRPr="00846D49">
              <w:rPr>
                <w:rFonts w:ascii="Arial" w:hAnsi="Arial" w:cs="Arial"/>
                <w:sz w:val="20"/>
                <w:szCs w:val="20"/>
              </w:rPr>
              <w:t>100%</w:t>
            </w:r>
          </w:p>
        </w:tc>
        <w:tc>
          <w:tcPr>
            <w:tcW w:w="840" w:type="dxa"/>
            <w:shd w:val="clear" w:color="auto" w:fill="auto"/>
            <w:vAlign w:val="center"/>
          </w:tcPr>
          <w:p w14:paraId="5DA3D84C" w14:textId="77777777" w:rsidR="00916AD8" w:rsidRPr="00846D49" w:rsidRDefault="00916AD8" w:rsidP="005A3FA7">
            <w:pPr>
              <w:spacing w:after="0" w:line="240" w:lineRule="auto"/>
              <w:jc w:val="center"/>
              <w:rPr>
                <w:rFonts w:ascii="Arial" w:hAnsi="Arial" w:cs="Arial"/>
                <w:sz w:val="20"/>
                <w:szCs w:val="20"/>
              </w:rPr>
            </w:pPr>
            <w:r w:rsidRPr="00846D49">
              <w:rPr>
                <w:rFonts w:ascii="Arial" w:hAnsi="Arial" w:cs="Arial"/>
                <w:sz w:val="20"/>
                <w:szCs w:val="20"/>
              </w:rPr>
              <w:t>100%</w:t>
            </w:r>
          </w:p>
        </w:tc>
        <w:tc>
          <w:tcPr>
            <w:tcW w:w="851" w:type="dxa"/>
            <w:shd w:val="clear" w:color="auto" w:fill="auto"/>
            <w:vAlign w:val="center"/>
          </w:tcPr>
          <w:p w14:paraId="71ADC1A9" w14:textId="77777777" w:rsidR="00916AD8" w:rsidRPr="00846D49" w:rsidRDefault="00916AD8" w:rsidP="005A3FA7">
            <w:pPr>
              <w:spacing w:after="0" w:line="240" w:lineRule="auto"/>
              <w:jc w:val="center"/>
              <w:rPr>
                <w:rFonts w:ascii="Arial" w:hAnsi="Arial" w:cs="Arial"/>
                <w:sz w:val="20"/>
                <w:szCs w:val="20"/>
              </w:rPr>
            </w:pPr>
            <w:r w:rsidRPr="00846D49">
              <w:rPr>
                <w:rFonts w:ascii="Arial" w:hAnsi="Arial" w:cs="Arial"/>
                <w:sz w:val="20"/>
                <w:szCs w:val="20"/>
              </w:rPr>
              <w:t>100%</w:t>
            </w:r>
          </w:p>
        </w:tc>
        <w:tc>
          <w:tcPr>
            <w:tcW w:w="850" w:type="dxa"/>
            <w:gridSpan w:val="2"/>
            <w:shd w:val="clear" w:color="auto" w:fill="auto"/>
            <w:vAlign w:val="center"/>
          </w:tcPr>
          <w:p w14:paraId="31EB595F" w14:textId="77777777" w:rsidR="00916AD8" w:rsidRPr="00846D49" w:rsidRDefault="00916AD8" w:rsidP="005A3FA7">
            <w:pPr>
              <w:spacing w:after="0" w:line="240" w:lineRule="auto"/>
              <w:jc w:val="center"/>
              <w:rPr>
                <w:rFonts w:ascii="Arial" w:hAnsi="Arial" w:cs="Arial"/>
                <w:sz w:val="20"/>
                <w:szCs w:val="20"/>
              </w:rPr>
            </w:pPr>
            <w:r w:rsidRPr="00846D49">
              <w:rPr>
                <w:rFonts w:ascii="Arial" w:hAnsi="Arial" w:cs="Arial"/>
                <w:sz w:val="20"/>
                <w:szCs w:val="20"/>
              </w:rPr>
              <w:t>100%</w:t>
            </w:r>
          </w:p>
        </w:tc>
        <w:tc>
          <w:tcPr>
            <w:tcW w:w="851" w:type="dxa"/>
            <w:shd w:val="clear" w:color="auto" w:fill="auto"/>
            <w:vAlign w:val="center"/>
          </w:tcPr>
          <w:p w14:paraId="2CD0576C" w14:textId="77777777" w:rsidR="00916AD8" w:rsidRPr="00846D49" w:rsidRDefault="00916AD8" w:rsidP="005A3FA7">
            <w:pPr>
              <w:spacing w:after="0" w:line="240" w:lineRule="auto"/>
              <w:jc w:val="center"/>
              <w:rPr>
                <w:rFonts w:ascii="Arial" w:hAnsi="Arial" w:cs="Arial"/>
                <w:sz w:val="20"/>
                <w:szCs w:val="20"/>
              </w:rPr>
            </w:pPr>
            <w:r w:rsidRPr="00846D49">
              <w:rPr>
                <w:rFonts w:ascii="Arial" w:hAnsi="Arial" w:cs="Arial"/>
                <w:sz w:val="20"/>
                <w:szCs w:val="20"/>
              </w:rPr>
              <w:t>100%</w:t>
            </w:r>
          </w:p>
        </w:tc>
      </w:tr>
    </w:tbl>
    <w:p w14:paraId="74FA98A3" w14:textId="77777777" w:rsidR="00916AD8" w:rsidRPr="00846D49" w:rsidRDefault="00916AD8" w:rsidP="00A90E9C"/>
    <w:p w14:paraId="63F30B81" w14:textId="2AE800EE" w:rsidR="00916AD8" w:rsidRPr="00846D49" w:rsidRDefault="00916AD8" w:rsidP="00A90E9C"/>
    <w:tbl>
      <w:tblPr>
        <w:tblW w:w="5174" w:type="pc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4"/>
        <w:gridCol w:w="772"/>
        <w:gridCol w:w="716"/>
        <w:gridCol w:w="856"/>
        <w:gridCol w:w="496"/>
        <w:gridCol w:w="369"/>
        <w:gridCol w:w="867"/>
        <w:gridCol w:w="990"/>
        <w:gridCol w:w="995"/>
        <w:gridCol w:w="867"/>
        <w:gridCol w:w="1218"/>
      </w:tblGrid>
      <w:tr w:rsidR="00846D49" w:rsidRPr="00846D49" w14:paraId="320AF46A" w14:textId="77777777" w:rsidTr="0087293E">
        <w:trPr>
          <w:trHeight w:val="251"/>
        </w:trPr>
        <w:tc>
          <w:tcPr>
            <w:tcW w:w="5000" w:type="pct"/>
            <w:gridSpan w:val="11"/>
            <w:shd w:val="clear" w:color="auto" w:fill="D9D9D9"/>
            <w:tcMar>
              <w:top w:w="10" w:type="dxa"/>
              <w:left w:w="10" w:type="dxa"/>
              <w:bottom w:w="0" w:type="dxa"/>
              <w:right w:w="10" w:type="dxa"/>
            </w:tcMar>
            <w:vAlign w:val="center"/>
          </w:tcPr>
          <w:p w14:paraId="791B9408" w14:textId="38AFB4FC" w:rsidR="00FE678E" w:rsidRPr="00846D49" w:rsidRDefault="00FE678E" w:rsidP="009C5D49">
            <w:pPr>
              <w:spacing w:after="0"/>
              <w:jc w:val="center"/>
              <w:rPr>
                <w:rFonts w:ascii="Arial" w:eastAsia="Arial Narrow" w:hAnsi="Arial" w:cs="Arial"/>
                <w:sz w:val="20"/>
                <w:szCs w:val="20"/>
              </w:rPr>
            </w:pPr>
            <w:r w:rsidRPr="00846D49">
              <w:rPr>
                <w:rFonts w:ascii="Arial" w:eastAsia="Arial Narrow" w:hAnsi="Arial" w:cs="Arial"/>
                <w:b/>
                <w:sz w:val="20"/>
                <w:szCs w:val="20"/>
              </w:rPr>
              <w:t>FICHA TÉCNICA DE INDICADOR DE SERVICIO 1.6.4</w:t>
            </w:r>
          </w:p>
        </w:tc>
      </w:tr>
      <w:tr w:rsidR="00846D49" w:rsidRPr="00846D49" w14:paraId="551111BD" w14:textId="77777777" w:rsidTr="0087293E">
        <w:trPr>
          <w:trHeight w:val="409"/>
        </w:trPr>
        <w:tc>
          <w:tcPr>
            <w:tcW w:w="1213" w:type="pct"/>
            <w:gridSpan w:val="3"/>
            <w:shd w:val="clear" w:color="auto" w:fill="FFFFFF"/>
            <w:tcMar>
              <w:top w:w="10" w:type="dxa"/>
              <w:left w:w="93" w:type="dxa"/>
              <w:bottom w:w="0" w:type="dxa"/>
              <w:right w:w="10" w:type="dxa"/>
            </w:tcMar>
            <w:vAlign w:val="center"/>
          </w:tcPr>
          <w:p w14:paraId="694F4392" w14:textId="77777777" w:rsidR="00FE678E" w:rsidRPr="00846D49" w:rsidRDefault="00FE678E" w:rsidP="009C5D49">
            <w:pPr>
              <w:rPr>
                <w:rFonts w:ascii="Arial" w:eastAsia="Arial Narrow" w:hAnsi="Arial" w:cs="Arial"/>
                <w:sz w:val="20"/>
                <w:szCs w:val="20"/>
              </w:rPr>
            </w:pPr>
            <w:r w:rsidRPr="00846D49">
              <w:rPr>
                <w:rFonts w:ascii="Arial" w:eastAsia="Arial Narrow" w:hAnsi="Arial" w:cs="Arial"/>
                <w:b/>
                <w:sz w:val="20"/>
                <w:szCs w:val="20"/>
              </w:rPr>
              <w:t>Objetivo prioritario:</w:t>
            </w:r>
          </w:p>
        </w:tc>
        <w:tc>
          <w:tcPr>
            <w:tcW w:w="3787" w:type="pct"/>
            <w:gridSpan w:val="8"/>
            <w:shd w:val="clear" w:color="auto" w:fill="FFFFFF"/>
            <w:tcMar>
              <w:top w:w="51" w:type="dxa"/>
              <w:left w:w="227" w:type="dxa"/>
              <w:bottom w:w="51" w:type="dxa"/>
              <w:right w:w="227" w:type="dxa"/>
            </w:tcMar>
            <w:vAlign w:val="center"/>
          </w:tcPr>
          <w:p w14:paraId="20E039AB" w14:textId="77777777" w:rsidR="00FE678E" w:rsidRPr="00846D49" w:rsidRDefault="00FE678E" w:rsidP="009C5D49">
            <w:pPr>
              <w:pBdr>
                <w:top w:val="nil"/>
                <w:left w:val="nil"/>
                <w:bottom w:val="nil"/>
                <w:right w:val="nil"/>
                <w:between w:val="nil"/>
              </w:pBdr>
              <w:spacing w:after="0" w:line="240" w:lineRule="auto"/>
              <w:jc w:val="both"/>
              <w:rPr>
                <w:rFonts w:ascii="Arial" w:eastAsia="Arial Narrow" w:hAnsi="Arial" w:cs="Arial"/>
                <w:sz w:val="20"/>
                <w:szCs w:val="20"/>
              </w:rPr>
            </w:pPr>
            <w:r w:rsidRPr="00846D49">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r>
      <w:tr w:rsidR="00846D49" w:rsidRPr="00846D49" w14:paraId="22B32754" w14:textId="77777777" w:rsidTr="0087293E">
        <w:trPr>
          <w:trHeight w:val="436"/>
        </w:trPr>
        <w:tc>
          <w:tcPr>
            <w:tcW w:w="1213" w:type="pct"/>
            <w:gridSpan w:val="3"/>
            <w:shd w:val="clear" w:color="auto" w:fill="auto"/>
            <w:tcMar>
              <w:top w:w="10" w:type="dxa"/>
              <w:left w:w="93" w:type="dxa"/>
              <w:bottom w:w="0" w:type="dxa"/>
              <w:right w:w="10" w:type="dxa"/>
            </w:tcMar>
            <w:vAlign w:val="center"/>
          </w:tcPr>
          <w:p w14:paraId="0AE2577B" w14:textId="77777777" w:rsidR="00FE678E" w:rsidRPr="00846D49" w:rsidRDefault="00FE678E" w:rsidP="009C5D49">
            <w:pPr>
              <w:rPr>
                <w:rFonts w:ascii="Arial" w:eastAsia="Arial Narrow" w:hAnsi="Arial" w:cs="Arial"/>
                <w:sz w:val="20"/>
                <w:szCs w:val="20"/>
              </w:rPr>
            </w:pPr>
            <w:r w:rsidRPr="00846D49">
              <w:rPr>
                <w:rFonts w:ascii="Arial" w:eastAsia="Arial Narrow" w:hAnsi="Arial" w:cs="Arial"/>
                <w:b/>
                <w:sz w:val="20"/>
                <w:szCs w:val="20"/>
              </w:rPr>
              <w:t>Lineamiento de la política:</w:t>
            </w:r>
          </w:p>
        </w:tc>
        <w:tc>
          <w:tcPr>
            <w:tcW w:w="3787" w:type="pct"/>
            <w:gridSpan w:val="8"/>
            <w:shd w:val="clear" w:color="auto" w:fill="auto"/>
            <w:tcMar>
              <w:top w:w="51" w:type="dxa"/>
              <w:left w:w="227" w:type="dxa"/>
              <w:bottom w:w="51" w:type="dxa"/>
              <w:right w:w="227" w:type="dxa"/>
            </w:tcMar>
            <w:vAlign w:val="center"/>
          </w:tcPr>
          <w:p w14:paraId="2842B8AA" w14:textId="77777777" w:rsidR="00FE678E" w:rsidRPr="00846D49" w:rsidRDefault="00FE678E" w:rsidP="009C5D49">
            <w:pPr>
              <w:pBdr>
                <w:top w:val="nil"/>
                <w:left w:val="nil"/>
                <w:bottom w:val="nil"/>
                <w:right w:val="nil"/>
                <w:between w:val="nil"/>
              </w:pBdr>
              <w:spacing w:after="0" w:line="240" w:lineRule="auto"/>
              <w:jc w:val="both"/>
              <w:rPr>
                <w:rFonts w:ascii="Arial" w:eastAsia="Arial Narrow" w:hAnsi="Arial" w:cs="Arial"/>
                <w:sz w:val="20"/>
                <w:szCs w:val="20"/>
              </w:rPr>
            </w:pPr>
            <w:r w:rsidRPr="00846D49">
              <w:rPr>
                <w:rFonts w:ascii="Arial" w:eastAsia="Arial Narrow" w:hAnsi="Arial" w:cs="Arial"/>
                <w:sz w:val="20"/>
                <w:szCs w:val="20"/>
              </w:rPr>
              <w:t>L1.6 Fomentar el aprovechamiento sostenible de los recursos forestales y de fauna silvestre</w:t>
            </w:r>
          </w:p>
        </w:tc>
      </w:tr>
      <w:tr w:rsidR="00846D49" w:rsidRPr="00846D49" w14:paraId="5CD9C208" w14:textId="77777777" w:rsidTr="0087293E">
        <w:trPr>
          <w:trHeight w:val="404"/>
        </w:trPr>
        <w:tc>
          <w:tcPr>
            <w:tcW w:w="1213" w:type="pct"/>
            <w:gridSpan w:val="3"/>
            <w:shd w:val="clear" w:color="auto" w:fill="auto"/>
            <w:tcMar>
              <w:top w:w="10" w:type="dxa"/>
              <w:left w:w="93" w:type="dxa"/>
              <w:bottom w:w="0" w:type="dxa"/>
              <w:right w:w="10" w:type="dxa"/>
            </w:tcMar>
            <w:vAlign w:val="center"/>
          </w:tcPr>
          <w:p w14:paraId="4DF885A0" w14:textId="77777777" w:rsidR="00FE678E" w:rsidRPr="00846D49" w:rsidRDefault="00FE678E" w:rsidP="009C5D49">
            <w:pPr>
              <w:rPr>
                <w:rFonts w:ascii="Arial" w:eastAsia="Arial Narrow" w:hAnsi="Arial" w:cs="Arial"/>
                <w:sz w:val="20"/>
                <w:szCs w:val="20"/>
              </w:rPr>
            </w:pPr>
            <w:r w:rsidRPr="00846D49">
              <w:rPr>
                <w:rFonts w:ascii="Arial" w:eastAsia="Arial Narrow" w:hAnsi="Arial" w:cs="Arial"/>
                <w:b/>
                <w:sz w:val="20"/>
                <w:szCs w:val="20"/>
              </w:rPr>
              <w:t>Nombre del servicio:</w:t>
            </w:r>
          </w:p>
        </w:tc>
        <w:tc>
          <w:tcPr>
            <w:tcW w:w="3787" w:type="pct"/>
            <w:gridSpan w:val="8"/>
            <w:shd w:val="clear" w:color="auto" w:fill="auto"/>
            <w:tcMar>
              <w:top w:w="51" w:type="dxa"/>
              <w:left w:w="227" w:type="dxa"/>
              <w:bottom w:w="51" w:type="dxa"/>
              <w:right w:w="227" w:type="dxa"/>
            </w:tcMar>
            <w:vAlign w:val="center"/>
          </w:tcPr>
          <w:p w14:paraId="522B293C" w14:textId="12B49850" w:rsidR="00FE678E" w:rsidRPr="00846D49" w:rsidRDefault="00FE678E" w:rsidP="009C5D49">
            <w:pPr>
              <w:pBdr>
                <w:top w:val="nil"/>
                <w:left w:val="nil"/>
                <w:bottom w:val="nil"/>
                <w:right w:val="nil"/>
                <w:between w:val="nil"/>
              </w:pBdr>
              <w:spacing w:after="0" w:line="240" w:lineRule="auto"/>
              <w:jc w:val="both"/>
              <w:rPr>
                <w:rFonts w:ascii="Arial" w:eastAsia="Arial Narrow" w:hAnsi="Arial" w:cs="Arial"/>
                <w:sz w:val="20"/>
                <w:szCs w:val="20"/>
              </w:rPr>
            </w:pPr>
            <w:r w:rsidRPr="00846D49">
              <w:rPr>
                <w:rFonts w:ascii="Arial" w:eastAsia="Arial Narrow" w:hAnsi="Arial" w:cs="Arial"/>
                <w:sz w:val="20"/>
                <w:szCs w:val="20"/>
              </w:rPr>
              <w:t xml:space="preserve">S1.6.4 </w:t>
            </w:r>
            <w:r w:rsidR="00B4555F" w:rsidRPr="00846D49">
              <w:rPr>
                <w:rFonts w:ascii="Arial" w:eastAsia="Arial Narrow" w:hAnsi="Arial" w:cs="Arial"/>
                <w:sz w:val="20"/>
                <w:szCs w:val="20"/>
              </w:rPr>
              <w:t>Otorgamiento de derechos para el aprovechamiento sostenible de los recursos forestales, flora y fauna silvestre en Áreas Naturales Protegidas de administración nacional de forma oportuna dirigido a los usuarios forestales, flora y de fauna silvestre</w:t>
            </w:r>
          </w:p>
        </w:tc>
      </w:tr>
      <w:tr w:rsidR="00846D49" w:rsidRPr="00846D49" w14:paraId="4D9CD162" w14:textId="77777777" w:rsidTr="0087293E">
        <w:trPr>
          <w:trHeight w:val="438"/>
        </w:trPr>
        <w:tc>
          <w:tcPr>
            <w:tcW w:w="1213" w:type="pct"/>
            <w:gridSpan w:val="3"/>
            <w:shd w:val="clear" w:color="auto" w:fill="auto"/>
            <w:tcMar>
              <w:top w:w="10" w:type="dxa"/>
              <w:left w:w="93" w:type="dxa"/>
              <w:bottom w:w="0" w:type="dxa"/>
              <w:right w:w="10" w:type="dxa"/>
            </w:tcMar>
            <w:vAlign w:val="center"/>
          </w:tcPr>
          <w:p w14:paraId="28F58194" w14:textId="77777777" w:rsidR="00FE678E" w:rsidRPr="00846D49" w:rsidRDefault="00FE678E" w:rsidP="009C5D49">
            <w:pPr>
              <w:rPr>
                <w:rFonts w:ascii="Arial" w:eastAsia="Arial Narrow" w:hAnsi="Arial" w:cs="Arial"/>
                <w:sz w:val="20"/>
                <w:szCs w:val="20"/>
              </w:rPr>
            </w:pPr>
            <w:r w:rsidRPr="00846D49">
              <w:rPr>
                <w:rFonts w:ascii="Arial" w:eastAsia="Arial Narrow" w:hAnsi="Arial" w:cs="Arial"/>
                <w:b/>
                <w:sz w:val="20"/>
                <w:szCs w:val="20"/>
              </w:rPr>
              <w:t>Nombre del indicador:</w:t>
            </w:r>
          </w:p>
        </w:tc>
        <w:tc>
          <w:tcPr>
            <w:tcW w:w="3787" w:type="pct"/>
            <w:gridSpan w:val="8"/>
            <w:shd w:val="clear" w:color="auto" w:fill="auto"/>
            <w:tcMar>
              <w:top w:w="51" w:type="dxa"/>
              <w:left w:w="227" w:type="dxa"/>
              <w:bottom w:w="51" w:type="dxa"/>
              <w:right w:w="227" w:type="dxa"/>
            </w:tcMar>
            <w:vAlign w:val="center"/>
          </w:tcPr>
          <w:p w14:paraId="6D78C7FB" w14:textId="2FC9A7F0" w:rsidR="00FE678E" w:rsidRPr="00846D49" w:rsidRDefault="00B4555F" w:rsidP="009C5D49">
            <w:pPr>
              <w:spacing w:after="0"/>
              <w:jc w:val="both"/>
              <w:rPr>
                <w:rFonts w:ascii="Arial" w:eastAsia="Arial Narrow" w:hAnsi="Arial" w:cs="Arial"/>
                <w:sz w:val="20"/>
                <w:szCs w:val="20"/>
              </w:rPr>
            </w:pPr>
            <w:r w:rsidRPr="00846D49">
              <w:rPr>
                <w:rFonts w:ascii="Arial" w:eastAsia="Arial Narrow" w:hAnsi="Arial" w:cs="Arial"/>
                <w:sz w:val="20"/>
                <w:szCs w:val="20"/>
              </w:rPr>
              <w:t>Porcentaje de derechos de aprovechamiento de recursos forestales, flora y fauna silvestre en el ámbito de Áreas Naturales Protegidas de administración nacional otorgados oportunamente</w:t>
            </w:r>
            <w:r w:rsidR="00FE678E" w:rsidRPr="00846D49">
              <w:rPr>
                <w:rFonts w:ascii="Arial" w:eastAsia="Arial Narrow" w:hAnsi="Arial" w:cs="Arial"/>
                <w:sz w:val="20"/>
                <w:szCs w:val="20"/>
              </w:rPr>
              <w:t>.</w:t>
            </w:r>
          </w:p>
        </w:tc>
      </w:tr>
      <w:tr w:rsidR="00846D49" w:rsidRPr="00846D49" w14:paraId="28DFEF49" w14:textId="77777777" w:rsidTr="0087293E">
        <w:trPr>
          <w:trHeight w:val="945"/>
        </w:trPr>
        <w:tc>
          <w:tcPr>
            <w:tcW w:w="1213" w:type="pct"/>
            <w:gridSpan w:val="3"/>
            <w:shd w:val="clear" w:color="auto" w:fill="auto"/>
            <w:tcMar>
              <w:top w:w="10" w:type="dxa"/>
              <w:left w:w="93" w:type="dxa"/>
              <w:bottom w:w="0" w:type="dxa"/>
              <w:right w:w="10" w:type="dxa"/>
            </w:tcMar>
            <w:vAlign w:val="center"/>
          </w:tcPr>
          <w:p w14:paraId="14197758" w14:textId="77777777" w:rsidR="00FE678E" w:rsidRPr="00846D49" w:rsidRDefault="00FE678E" w:rsidP="009C5D49">
            <w:pPr>
              <w:spacing w:after="0"/>
              <w:rPr>
                <w:rFonts w:ascii="Arial" w:eastAsia="Arial Narrow" w:hAnsi="Arial" w:cs="Arial"/>
                <w:sz w:val="20"/>
                <w:szCs w:val="20"/>
              </w:rPr>
            </w:pPr>
            <w:r w:rsidRPr="00846D49">
              <w:rPr>
                <w:rFonts w:ascii="Arial" w:eastAsia="Arial Narrow" w:hAnsi="Arial" w:cs="Arial"/>
                <w:b/>
                <w:sz w:val="20"/>
                <w:szCs w:val="20"/>
              </w:rPr>
              <w:t>Justificación:</w:t>
            </w:r>
          </w:p>
        </w:tc>
        <w:tc>
          <w:tcPr>
            <w:tcW w:w="3787" w:type="pct"/>
            <w:gridSpan w:val="8"/>
            <w:shd w:val="clear" w:color="auto" w:fill="auto"/>
            <w:tcMar>
              <w:top w:w="51" w:type="dxa"/>
              <w:left w:w="227" w:type="dxa"/>
              <w:bottom w:w="51" w:type="dxa"/>
              <w:right w:w="227" w:type="dxa"/>
            </w:tcMar>
            <w:vAlign w:val="center"/>
          </w:tcPr>
          <w:p w14:paraId="30041D2C" w14:textId="4D1B344A" w:rsidR="00FE678E" w:rsidRPr="00846D49" w:rsidRDefault="00FE678E" w:rsidP="009C5D49">
            <w:pPr>
              <w:spacing w:after="0"/>
              <w:jc w:val="both"/>
              <w:rPr>
                <w:rFonts w:ascii="Arial" w:eastAsia="Arial Narrow" w:hAnsi="Arial" w:cs="Arial"/>
                <w:sz w:val="20"/>
                <w:szCs w:val="20"/>
              </w:rPr>
            </w:pPr>
            <w:r w:rsidRPr="00846D49">
              <w:rPr>
                <w:rFonts w:ascii="Arial" w:eastAsia="Arial Narrow" w:hAnsi="Arial" w:cs="Arial"/>
                <w:sz w:val="20"/>
                <w:szCs w:val="20"/>
              </w:rPr>
              <w:t>Es de importancia conocer el porcentaje de derechos para el aprovechamiento sostenible de la flora y fauna silvestre otorgados oportunamente a fin de plantear mejoras al servicio en base a la información proporcionada por el indicador, el cual permite medir el porcentaje de usuarios forestales y de fauna silvestre que reciben el otorgamiento de derechos de forma oportuna, es decir, dentro del plazo establecido por la normativa.</w:t>
            </w:r>
          </w:p>
        </w:tc>
      </w:tr>
      <w:tr w:rsidR="00846D49" w:rsidRPr="00846D49" w14:paraId="4282BA7F" w14:textId="77777777" w:rsidTr="0087293E">
        <w:trPr>
          <w:trHeight w:val="352"/>
        </w:trPr>
        <w:tc>
          <w:tcPr>
            <w:tcW w:w="1213" w:type="pct"/>
            <w:gridSpan w:val="3"/>
            <w:shd w:val="clear" w:color="auto" w:fill="auto"/>
            <w:tcMar>
              <w:top w:w="10" w:type="dxa"/>
              <w:left w:w="93" w:type="dxa"/>
              <w:bottom w:w="0" w:type="dxa"/>
              <w:right w:w="10" w:type="dxa"/>
            </w:tcMar>
            <w:vAlign w:val="center"/>
          </w:tcPr>
          <w:p w14:paraId="31EB963E" w14:textId="77777777" w:rsidR="00FE678E" w:rsidRPr="00846D49" w:rsidRDefault="00FE678E" w:rsidP="009C5D49">
            <w:pPr>
              <w:spacing w:after="0"/>
              <w:rPr>
                <w:rFonts w:ascii="Arial" w:eastAsia="Arial Narrow" w:hAnsi="Arial" w:cs="Arial"/>
                <w:sz w:val="20"/>
                <w:szCs w:val="20"/>
              </w:rPr>
            </w:pPr>
            <w:r w:rsidRPr="00846D49">
              <w:rPr>
                <w:rFonts w:ascii="Arial" w:eastAsia="Arial Narrow" w:hAnsi="Arial" w:cs="Arial"/>
                <w:b/>
                <w:sz w:val="20"/>
                <w:szCs w:val="20"/>
              </w:rPr>
              <w:t>Responsable del indicador:</w:t>
            </w:r>
          </w:p>
        </w:tc>
        <w:tc>
          <w:tcPr>
            <w:tcW w:w="3787" w:type="pct"/>
            <w:gridSpan w:val="8"/>
            <w:shd w:val="clear" w:color="auto" w:fill="auto"/>
            <w:tcMar>
              <w:top w:w="51" w:type="dxa"/>
              <w:left w:w="227" w:type="dxa"/>
              <w:bottom w:w="51" w:type="dxa"/>
              <w:right w:w="227" w:type="dxa"/>
            </w:tcMar>
            <w:vAlign w:val="center"/>
          </w:tcPr>
          <w:p w14:paraId="35EF9061" w14:textId="77777777" w:rsidR="00FE678E" w:rsidRPr="00846D49" w:rsidRDefault="00FE678E" w:rsidP="009C5D49">
            <w:pPr>
              <w:spacing w:after="0"/>
              <w:rPr>
                <w:rFonts w:ascii="Arial" w:eastAsia="Arial Narrow" w:hAnsi="Arial" w:cs="Arial"/>
                <w:sz w:val="20"/>
                <w:szCs w:val="20"/>
              </w:rPr>
            </w:pPr>
            <w:r w:rsidRPr="00846D49">
              <w:rPr>
                <w:rFonts w:ascii="Arial" w:eastAsia="Arial Narrow" w:hAnsi="Arial" w:cs="Arial"/>
                <w:sz w:val="20"/>
                <w:szCs w:val="20"/>
              </w:rPr>
              <w:t>Dirección de Gestión de las Áreas Naturales Protegidas (DGANP) del Servicio Nacional de Áreas Naturales Protegidas por el Estado – SERNANP</w:t>
            </w:r>
          </w:p>
        </w:tc>
      </w:tr>
      <w:tr w:rsidR="00846D49" w:rsidRPr="00846D49" w14:paraId="0EA15F11" w14:textId="77777777" w:rsidTr="0087293E">
        <w:trPr>
          <w:trHeight w:val="506"/>
        </w:trPr>
        <w:tc>
          <w:tcPr>
            <w:tcW w:w="1213" w:type="pct"/>
            <w:gridSpan w:val="3"/>
            <w:shd w:val="clear" w:color="auto" w:fill="auto"/>
            <w:tcMar>
              <w:top w:w="10" w:type="dxa"/>
              <w:left w:w="93" w:type="dxa"/>
              <w:bottom w:w="0" w:type="dxa"/>
              <w:right w:w="10" w:type="dxa"/>
            </w:tcMar>
            <w:vAlign w:val="center"/>
          </w:tcPr>
          <w:p w14:paraId="2C396B23" w14:textId="77777777" w:rsidR="00FE678E" w:rsidRPr="00846D49" w:rsidRDefault="00FE678E" w:rsidP="009C5D49">
            <w:pPr>
              <w:spacing w:after="0"/>
              <w:rPr>
                <w:rFonts w:ascii="Arial" w:eastAsia="Arial Narrow" w:hAnsi="Arial" w:cs="Arial"/>
                <w:sz w:val="20"/>
                <w:szCs w:val="20"/>
              </w:rPr>
            </w:pPr>
            <w:r w:rsidRPr="00846D49">
              <w:rPr>
                <w:rFonts w:ascii="Arial" w:eastAsia="Arial Narrow" w:hAnsi="Arial" w:cs="Arial"/>
                <w:b/>
                <w:sz w:val="20"/>
                <w:szCs w:val="20"/>
              </w:rPr>
              <w:t>Limitaciones para la medición del indicador:</w:t>
            </w:r>
          </w:p>
        </w:tc>
        <w:tc>
          <w:tcPr>
            <w:tcW w:w="3787" w:type="pct"/>
            <w:gridSpan w:val="8"/>
            <w:shd w:val="clear" w:color="auto" w:fill="auto"/>
            <w:tcMar>
              <w:top w:w="51" w:type="dxa"/>
              <w:left w:w="227" w:type="dxa"/>
              <w:bottom w:w="51" w:type="dxa"/>
              <w:right w:w="227" w:type="dxa"/>
            </w:tcMar>
            <w:vAlign w:val="center"/>
          </w:tcPr>
          <w:p w14:paraId="31CFDEC1" w14:textId="77777777" w:rsidR="00FE678E" w:rsidRPr="00846D49" w:rsidRDefault="00FE678E" w:rsidP="009C5D49">
            <w:pPr>
              <w:spacing w:after="0"/>
              <w:rPr>
                <w:rFonts w:ascii="Arial" w:eastAsia="Arial Narrow" w:hAnsi="Arial" w:cs="Arial"/>
                <w:sz w:val="20"/>
                <w:szCs w:val="20"/>
              </w:rPr>
            </w:pPr>
            <w:r w:rsidRPr="00846D49">
              <w:rPr>
                <w:rFonts w:ascii="Arial" w:eastAsia="Arial Narrow" w:hAnsi="Arial" w:cs="Arial"/>
                <w:sz w:val="20"/>
                <w:szCs w:val="20"/>
              </w:rPr>
              <w:t>No presenta limitaciones</w:t>
            </w:r>
          </w:p>
        </w:tc>
      </w:tr>
      <w:tr w:rsidR="00846D49" w:rsidRPr="00846D49" w14:paraId="59A6D569" w14:textId="77777777" w:rsidTr="0087293E">
        <w:trPr>
          <w:trHeight w:val="231"/>
        </w:trPr>
        <w:tc>
          <w:tcPr>
            <w:tcW w:w="1213" w:type="pct"/>
            <w:gridSpan w:val="3"/>
            <w:shd w:val="clear" w:color="auto" w:fill="auto"/>
            <w:tcMar>
              <w:top w:w="10" w:type="dxa"/>
              <w:left w:w="93" w:type="dxa"/>
              <w:bottom w:w="0" w:type="dxa"/>
              <w:right w:w="10" w:type="dxa"/>
            </w:tcMar>
            <w:vAlign w:val="center"/>
          </w:tcPr>
          <w:p w14:paraId="5FC8D78E" w14:textId="77777777" w:rsidR="00FE678E" w:rsidRPr="00846D49" w:rsidRDefault="00FE678E" w:rsidP="009C5D49">
            <w:pPr>
              <w:rPr>
                <w:rFonts w:ascii="Arial" w:eastAsia="Arial Narrow" w:hAnsi="Arial" w:cs="Arial"/>
                <w:sz w:val="20"/>
                <w:szCs w:val="20"/>
              </w:rPr>
            </w:pPr>
            <w:r w:rsidRPr="00846D49">
              <w:rPr>
                <w:rFonts w:ascii="Arial" w:eastAsia="Arial Narrow" w:hAnsi="Arial" w:cs="Arial"/>
                <w:b/>
                <w:sz w:val="20"/>
                <w:szCs w:val="20"/>
              </w:rPr>
              <w:t xml:space="preserve">Método de cálculo: </w:t>
            </w:r>
          </w:p>
        </w:tc>
        <w:tc>
          <w:tcPr>
            <w:tcW w:w="3787" w:type="pct"/>
            <w:gridSpan w:val="8"/>
            <w:shd w:val="clear" w:color="auto" w:fill="auto"/>
            <w:tcMar>
              <w:top w:w="51" w:type="dxa"/>
              <w:left w:w="227" w:type="dxa"/>
              <w:bottom w:w="51" w:type="dxa"/>
              <w:right w:w="227" w:type="dxa"/>
            </w:tcMar>
            <w:vAlign w:val="center"/>
          </w:tcPr>
          <w:p w14:paraId="37024E42" w14:textId="77777777" w:rsidR="00FE678E" w:rsidRPr="00846D49" w:rsidRDefault="00FE678E" w:rsidP="009C5D49">
            <w:pPr>
              <w:rPr>
                <w:rFonts w:ascii="Arial" w:eastAsia="Arial Narrow" w:hAnsi="Arial" w:cs="Arial"/>
                <w:b/>
                <w:sz w:val="20"/>
                <w:szCs w:val="20"/>
                <w:lang w:val="it-IT"/>
              </w:rPr>
            </w:pPr>
            <w:r w:rsidRPr="00846D49">
              <w:rPr>
                <w:rFonts w:ascii="Arial" w:eastAsia="Arial Narrow" w:hAnsi="Arial" w:cs="Arial"/>
                <w:b/>
                <w:sz w:val="20"/>
                <w:szCs w:val="20"/>
                <w:lang w:val="it-IT"/>
              </w:rPr>
              <w:t>1. Fórmula:</w:t>
            </w:r>
          </w:p>
          <w:p w14:paraId="6E81147D" w14:textId="77777777" w:rsidR="00FE678E" w:rsidRPr="00846D49" w:rsidRDefault="00FE678E" w:rsidP="009C5D49">
            <w:pPr>
              <w:rPr>
                <w:rFonts w:ascii="Arial" w:eastAsia="Arial Narrow" w:hAnsi="Arial" w:cs="Arial"/>
                <w:bCs/>
                <w:sz w:val="20"/>
                <w:szCs w:val="20"/>
                <w:lang w:val="it-IT"/>
              </w:rPr>
            </w:pPr>
            <w:r w:rsidRPr="00846D49">
              <w:rPr>
                <w:rFonts w:ascii="Arial" w:eastAsia="Arial Narrow" w:hAnsi="Arial" w:cs="Arial"/>
                <w:bCs/>
                <w:sz w:val="20"/>
                <w:szCs w:val="20"/>
                <w:lang w:val="it-IT"/>
              </w:rPr>
              <w:t>(A/B)*100</w:t>
            </w:r>
          </w:p>
          <w:p w14:paraId="68FBE96E" w14:textId="77777777" w:rsidR="00FE678E" w:rsidRPr="00846D49" w:rsidRDefault="00FE678E" w:rsidP="009C5D49">
            <w:pPr>
              <w:rPr>
                <w:rFonts w:ascii="Arial" w:eastAsia="Arial Narrow" w:hAnsi="Arial" w:cs="Arial"/>
                <w:bCs/>
                <w:sz w:val="20"/>
                <w:szCs w:val="20"/>
                <w:lang w:val="it-IT"/>
              </w:rPr>
            </w:pPr>
            <w:r w:rsidRPr="00846D49">
              <w:rPr>
                <w:rFonts w:ascii="Arial" w:eastAsia="Arial Narrow" w:hAnsi="Arial" w:cs="Arial"/>
                <w:bCs/>
                <w:sz w:val="20"/>
                <w:szCs w:val="20"/>
                <w:lang w:val="it-IT"/>
              </w:rPr>
              <w:t>Donde:</w:t>
            </w:r>
          </w:p>
          <w:p w14:paraId="23372211" w14:textId="240C42EB" w:rsidR="00FE678E" w:rsidRPr="00846D49" w:rsidRDefault="00FE678E" w:rsidP="009C5D49">
            <w:pPr>
              <w:spacing w:after="0" w:line="240" w:lineRule="auto"/>
              <w:ind w:left="183" w:hanging="183"/>
              <w:jc w:val="both"/>
              <w:rPr>
                <w:rFonts w:ascii="Arial" w:eastAsia="Arial Narrow" w:hAnsi="Arial" w:cs="Arial"/>
                <w:sz w:val="20"/>
                <w:szCs w:val="20"/>
              </w:rPr>
            </w:pPr>
            <w:r w:rsidRPr="00846D49">
              <w:rPr>
                <w:rFonts w:ascii="Arial" w:hAnsi="Arial" w:cs="Arial"/>
                <w:iCs/>
                <w:sz w:val="20"/>
                <w:szCs w:val="20"/>
              </w:rPr>
              <w:t>A</w:t>
            </w:r>
            <w:r w:rsidRPr="00846D49">
              <w:rPr>
                <w:rFonts w:ascii="Arial" w:eastAsia="Arial Narrow" w:hAnsi="Arial" w:cs="Arial"/>
                <w:sz w:val="20"/>
                <w:szCs w:val="20"/>
              </w:rPr>
              <w:t xml:space="preserve">: Número de </w:t>
            </w:r>
            <w:r w:rsidR="002C6F6B" w:rsidRPr="00846D49">
              <w:rPr>
                <w:rFonts w:ascii="Arial" w:eastAsia="Arial Narrow" w:hAnsi="Arial" w:cs="Arial"/>
                <w:sz w:val="20"/>
                <w:szCs w:val="20"/>
              </w:rPr>
              <w:t xml:space="preserve">derechos </w:t>
            </w:r>
            <w:r w:rsidRPr="00846D49">
              <w:rPr>
                <w:rFonts w:ascii="Arial" w:eastAsia="Arial Narrow" w:hAnsi="Arial" w:cs="Arial"/>
                <w:sz w:val="20"/>
                <w:szCs w:val="20"/>
              </w:rPr>
              <w:t>otorgados a los usuarios de recursos forestales, flora y fauna silvestre en Áreas Naturales Protegidas de administración nacional que recibieron el servicio oportunamente.</w:t>
            </w:r>
          </w:p>
          <w:p w14:paraId="15229861" w14:textId="77777777" w:rsidR="00FE678E" w:rsidRPr="00846D49" w:rsidRDefault="00FE678E" w:rsidP="009C5D49">
            <w:pPr>
              <w:spacing w:after="0" w:line="240" w:lineRule="auto"/>
              <w:ind w:left="183" w:hanging="183"/>
              <w:jc w:val="both"/>
              <w:rPr>
                <w:rFonts w:ascii="Arial" w:eastAsia="Arial Narrow" w:hAnsi="Arial" w:cs="Arial"/>
                <w:sz w:val="20"/>
                <w:szCs w:val="20"/>
              </w:rPr>
            </w:pPr>
          </w:p>
          <w:p w14:paraId="6B3C8F89" w14:textId="369DD5BB" w:rsidR="00FE678E" w:rsidRPr="00846D49" w:rsidRDefault="00FE678E" w:rsidP="009C5D49">
            <w:pPr>
              <w:spacing w:after="0" w:line="240" w:lineRule="auto"/>
              <w:ind w:left="183" w:hanging="183"/>
              <w:jc w:val="both"/>
              <w:rPr>
                <w:rFonts w:ascii="Arial" w:eastAsia="Arial Narrow" w:hAnsi="Arial" w:cs="Arial"/>
                <w:sz w:val="20"/>
                <w:szCs w:val="20"/>
              </w:rPr>
            </w:pPr>
            <w:r w:rsidRPr="00846D49">
              <w:rPr>
                <w:rFonts w:ascii="Arial" w:hAnsi="Arial" w:cs="Arial"/>
                <w:iCs/>
                <w:sz w:val="20"/>
                <w:szCs w:val="20"/>
              </w:rPr>
              <w:t>B</w:t>
            </w:r>
            <w:r w:rsidRPr="00846D49">
              <w:rPr>
                <w:rFonts w:ascii="Arial" w:eastAsia="Arial Narrow" w:hAnsi="Arial" w:cs="Arial"/>
                <w:sz w:val="20"/>
                <w:szCs w:val="20"/>
              </w:rPr>
              <w:t xml:space="preserve">: Número de </w:t>
            </w:r>
            <w:r w:rsidR="002C6F6B" w:rsidRPr="00846D49">
              <w:rPr>
                <w:rFonts w:ascii="Arial" w:eastAsia="Arial Narrow" w:hAnsi="Arial" w:cs="Arial"/>
                <w:sz w:val="20"/>
                <w:szCs w:val="20"/>
              </w:rPr>
              <w:t xml:space="preserve">derechos </w:t>
            </w:r>
            <w:r w:rsidRPr="00846D49">
              <w:rPr>
                <w:rFonts w:ascii="Arial" w:eastAsia="Arial Narrow" w:hAnsi="Arial" w:cs="Arial"/>
                <w:sz w:val="20"/>
                <w:szCs w:val="20"/>
              </w:rPr>
              <w:t xml:space="preserve">otorgados a los usuarios de recursos forestales, flora y fauna silvestre en Áreas Naturales Protegidas de administración nacional que recibieron el servicio. </w:t>
            </w:r>
          </w:p>
          <w:p w14:paraId="0D5B73DB" w14:textId="77777777" w:rsidR="00FE678E" w:rsidRPr="00846D49" w:rsidRDefault="00FE678E" w:rsidP="009C5D49">
            <w:pPr>
              <w:spacing w:after="0" w:line="240" w:lineRule="auto"/>
              <w:jc w:val="both"/>
              <w:rPr>
                <w:rFonts w:ascii="Arial" w:eastAsia="Arial Narrow" w:hAnsi="Arial" w:cs="Arial"/>
                <w:sz w:val="20"/>
                <w:szCs w:val="20"/>
              </w:rPr>
            </w:pPr>
          </w:p>
          <w:p w14:paraId="0878606B" w14:textId="77777777" w:rsidR="00FE678E" w:rsidRPr="00846D49" w:rsidRDefault="00FE678E" w:rsidP="009C5D49">
            <w:pPr>
              <w:rPr>
                <w:rFonts w:ascii="Arial" w:eastAsia="Arial Narrow" w:hAnsi="Arial" w:cs="Arial"/>
                <w:sz w:val="20"/>
                <w:szCs w:val="20"/>
              </w:rPr>
            </w:pPr>
            <w:r w:rsidRPr="00846D49">
              <w:rPr>
                <w:rFonts w:ascii="Arial" w:eastAsia="Arial Narrow" w:hAnsi="Arial" w:cs="Arial"/>
                <w:b/>
                <w:sz w:val="20"/>
                <w:szCs w:val="20"/>
              </w:rPr>
              <w:lastRenderedPageBreak/>
              <w:t>2. Especificaciones técnicas:</w:t>
            </w:r>
          </w:p>
          <w:p w14:paraId="30F4611A" w14:textId="77777777" w:rsidR="002C6F6B" w:rsidRPr="00846D49" w:rsidRDefault="002C6F6B" w:rsidP="002C6F6B">
            <w:pPr>
              <w:spacing w:after="0" w:line="240" w:lineRule="auto"/>
              <w:jc w:val="both"/>
              <w:rPr>
                <w:rFonts w:ascii="Arial" w:eastAsia="Arial Narrow" w:hAnsi="Arial" w:cs="Arial"/>
                <w:sz w:val="20"/>
                <w:szCs w:val="20"/>
              </w:rPr>
            </w:pPr>
            <w:r w:rsidRPr="00846D49">
              <w:rPr>
                <w:rFonts w:ascii="Arial" w:eastAsia="Arial Narrow" w:hAnsi="Arial" w:cs="Arial"/>
                <w:sz w:val="20"/>
                <w:szCs w:val="20"/>
              </w:rPr>
              <w:t>La variable A se determina sumando la cantidad de derechos otorgados dentro del plazo máximo de atención.</w:t>
            </w:r>
          </w:p>
          <w:p w14:paraId="2A3DF89D" w14:textId="77777777" w:rsidR="002C6F6B" w:rsidRPr="00846D49" w:rsidRDefault="002C6F6B" w:rsidP="002C6F6B">
            <w:pPr>
              <w:spacing w:after="0" w:line="240" w:lineRule="auto"/>
              <w:jc w:val="both"/>
              <w:rPr>
                <w:rFonts w:ascii="Arial" w:eastAsia="Arial Narrow" w:hAnsi="Arial" w:cs="Arial"/>
                <w:sz w:val="20"/>
                <w:szCs w:val="20"/>
              </w:rPr>
            </w:pPr>
          </w:p>
          <w:p w14:paraId="26777488" w14:textId="77777777" w:rsidR="002C6F6B" w:rsidRPr="00846D49" w:rsidRDefault="002C6F6B" w:rsidP="002C6F6B">
            <w:pPr>
              <w:spacing w:after="0" w:line="240" w:lineRule="auto"/>
              <w:jc w:val="both"/>
              <w:rPr>
                <w:rFonts w:ascii="Arial" w:eastAsia="Arial Narrow" w:hAnsi="Arial" w:cs="Arial"/>
                <w:sz w:val="20"/>
                <w:szCs w:val="20"/>
              </w:rPr>
            </w:pPr>
            <w:r w:rsidRPr="00846D49">
              <w:rPr>
                <w:rFonts w:ascii="Arial" w:eastAsia="Arial Narrow" w:hAnsi="Arial" w:cs="Arial"/>
                <w:sz w:val="20"/>
                <w:szCs w:val="20"/>
              </w:rPr>
              <w:t xml:space="preserve">La variable B considera a todos los derechos otorgados </w:t>
            </w:r>
            <w:r w:rsidRPr="00846D49">
              <w:rPr>
                <w:rFonts w:ascii="Arial" w:eastAsia="Times New Roman" w:hAnsi="Arial" w:cs="Arial"/>
                <w:sz w:val="20"/>
                <w:szCs w:val="20"/>
              </w:rPr>
              <w:t>en el año de medición.</w:t>
            </w:r>
          </w:p>
          <w:p w14:paraId="435855DE" w14:textId="77777777" w:rsidR="002C6F6B" w:rsidRPr="00846D49" w:rsidRDefault="002C6F6B" w:rsidP="009C5D49">
            <w:pPr>
              <w:spacing w:after="0" w:line="240" w:lineRule="auto"/>
              <w:rPr>
                <w:rFonts w:ascii="Arial" w:eastAsia="Arial Narrow" w:hAnsi="Arial" w:cs="Arial"/>
                <w:sz w:val="20"/>
                <w:szCs w:val="20"/>
              </w:rPr>
            </w:pPr>
          </w:p>
          <w:p w14:paraId="0D790AF0" w14:textId="4AF4EF8C" w:rsidR="009B092F" w:rsidRPr="00846D49" w:rsidRDefault="009B092F" w:rsidP="0036378A">
            <w:pPr>
              <w:spacing w:after="0" w:line="240" w:lineRule="auto"/>
              <w:jc w:val="both"/>
              <w:rPr>
                <w:rFonts w:ascii="Arial" w:eastAsia="Arial Narrow" w:hAnsi="Arial" w:cs="Arial"/>
                <w:sz w:val="20"/>
                <w:szCs w:val="20"/>
              </w:rPr>
            </w:pPr>
            <w:r w:rsidRPr="00846D49">
              <w:rPr>
                <w:rFonts w:ascii="Arial" w:eastAsia="Arial Narrow" w:hAnsi="Arial" w:cs="Arial"/>
                <w:sz w:val="20"/>
                <w:szCs w:val="20"/>
              </w:rPr>
              <w:t>Un derecho otorgado es un acto administrativo mediante el cual el SERNANP faculta a un tercero el aprovechamiento de un recurso determinado dentro de un Área Natural Protegida, conforme la legislación vigente.</w:t>
            </w:r>
          </w:p>
          <w:p w14:paraId="7AA99B56" w14:textId="77777777" w:rsidR="009B092F" w:rsidRPr="00846D49" w:rsidRDefault="009B092F" w:rsidP="0036378A">
            <w:pPr>
              <w:spacing w:after="0" w:line="240" w:lineRule="auto"/>
              <w:jc w:val="both"/>
              <w:rPr>
                <w:rFonts w:ascii="Arial" w:eastAsia="Arial Narrow" w:hAnsi="Arial" w:cs="Arial"/>
                <w:sz w:val="20"/>
                <w:szCs w:val="20"/>
              </w:rPr>
            </w:pPr>
          </w:p>
          <w:p w14:paraId="08F37F9E" w14:textId="09A090DC" w:rsidR="0036378A" w:rsidRPr="00846D49" w:rsidRDefault="009B092F" w:rsidP="0036378A">
            <w:pPr>
              <w:spacing w:after="0" w:line="240" w:lineRule="auto"/>
              <w:jc w:val="both"/>
              <w:rPr>
                <w:rFonts w:ascii="Arial" w:eastAsia="Arial Narrow" w:hAnsi="Arial" w:cs="Arial"/>
                <w:sz w:val="20"/>
                <w:szCs w:val="20"/>
              </w:rPr>
            </w:pPr>
            <w:r w:rsidRPr="00846D49">
              <w:rPr>
                <w:rFonts w:ascii="Arial" w:eastAsia="Arial Narrow" w:hAnsi="Arial" w:cs="Arial"/>
                <w:sz w:val="20"/>
                <w:szCs w:val="20"/>
              </w:rPr>
              <w:t>Para el aprovechamiento de recursos forestales, flora y fauna silvestre al interior de Áreas Naturales Protegidas se otorga un</w:t>
            </w:r>
            <w:r w:rsidR="002C6F6B" w:rsidRPr="00846D49">
              <w:rPr>
                <w:rFonts w:ascii="Arial" w:eastAsia="Arial Narrow" w:hAnsi="Arial" w:cs="Arial"/>
                <w:sz w:val="20"/>
                <w:szCs w:val="20"/>
              </w:rPr>
              <w:t xml:space="preserve"> contrato de aprovechamiento</w:t>
            </w:r>
            <w:r w:rsidR="00FE678E" w:rsidRPr="00846D49">
              <w:rPr>
                <w:rFonts w:ascii="Arial" w:eastAsia="Arial Narrow" w:hAnsi="Arial" w:cs="Arial"/>
                <w:sz w:val="20"/>
                <w:szCs w:val="20"/>
              </w:rPr>
              <w:t>,</w:t>
            </w:r>
            <w:r w:rsidR="005D623B" w:rsidRPr="00846D49">
              <w:rPr>
                <w:rFonts w:ascii="Arial" w:eastAsia="Arial Narrow" w:hAnsi="Arial" w:cs="Arial"/>
                <w:sz w:val="20"/>
                <w:szCs w:val="20"/>
              </w:rPr>
              <w:t xml:space="preserve"> </w:t>
            </w:r>
            <w:r w:rsidR="002C6F6B" w:rsidRPr="00846D49">
              <w:rPr>
                <w:rFonts w:ascii="Arial" w:eastAsia="Arial Narrow" w:hAnsi="Arial" w:cs="Arial"/>
                <w:sz w:val="20"/>
                <w:szCs w:val="20"/>
              </w:rPr>
              <w:t>el cual tiene un plazo máximo de atención de 30 días hábiles</w:t>
            </w:r>
            <w:r w:rsidRPr="00846D49">
              <w:rPr>
                <w:rFonts w:ascii="Arial" w:eastAsia="Arial Narrow" w:hAnsi="Arial" w:cs="Arial"/>
                <w:sz w:val="20"/>
                <w:szCs w:val="20"/>
              </w:rPr>
              <w:t xml:space="preserve"> desde la presentación de la solicitud</w:t>
            </w:r>
            <w:r w:rsidR="002C6F6B" w:rsidRPr="00846D49">
              <w:rPr>
                <w:rFonts w:ascii="Arial" w:eastAsia="Arial Narrow" w:hAnsi="Arial" w:cs="Arial"/>
                <w:sz w:val="20"/>
                <w:szCs w:val="20"/>
              </w:rPr>
              <w:t>.</w:t>
            </w:r>
          </w:p>
          <w:p w14:paraId="146DF6EE" w14:textId="3CA13D8A" w:rsidR="00FE678E" w:rsidRPr="00846D49" w:rsidRDefault="00FE678E" w:rsidP="005A3FA7">
            <w:pPr>
              <w:spacing w:after="0" w:line="240" w:lineRule="auto"/>
              <w:jc w:val="both"/>
              <w:rPr>
                <w:rFonts w:ascii="Arial" w:eastAsia="Arial Narrow" w:hAnsi="Arial" w:cs="Arial"/>
                <w:sz w:val="20"/>
                <w:szCs w:val="20"/>
              </w:rPr>
            </w:pPr>
          </w:p>
        </w:tc>
      </w:tr>
      <w:tr w:rsidR="00846D49" w:rsidRPr="00846D49" w14:paraId="11F37847" w14:textId="77777777" w:rsidTr="005A3FA7">
        <w:trPr>
          <w:trHeight w:val="686"/>
        </w:trPr>
        <w:tc>
          <w:tcPr>
            <w:tcW w:w="1213" w:type="pct"/>
            <w:gridSpan w:val="3"/>
            <w:shd w:val="clear" w:color="auto" w:fill="auto"/>
            <w:tcMar>
              <w:top w:w="10" w:type="dxa"/>
              <w:left w:w="93" w:type="dxa"/>
              <w:bottom w:w="0" w:type="dxa"/>
              <w:right w:w="10" w:type="dxa"/>
            </w:tcMar>
            <w:vAlign w:val="center"/>
          </w:tcPr>
          <w:p w14:paraId="70560BE3" w14:textId="77777777" w:rsidR="00FE678E" w:rsidRPr="00846D49" w:rsidRDefault="00FE678E" w:rsidP="009C5D49">
            <w:pPr>
              <w:rPr>
                <w:rFonts w:ascii="Arial" w:eastAsia="Arial Narrow" w:hAnsi="Arial" w:cs="Arial"/>
                <w:sz w:val="20"/>
                <w:szCs w:val="20"/>
              </w:rPr>
            </w:pPr>
            <w:r w:rsidRPr="00846D49">
              <w:rPr>
                <w:rFonts w:ascii="Arial" w:eastAsia="Arial Narrow" w:hAnsi="Arial" w:cs="Arial"/>
                <w:b/>
                <w:sz w:val="20"/>
                <w:szCs w:val="20"/>
              </w:rPr>
              <w:lastRenderedPageBreak/>
              <w:t>Sentido esperado del indicador:</w:t>
            </w:r>
          </w:p>
        </w:tc>
        <w:tc>
          <w:tcPr>
            <w:tcW w:w="769" w:type="pct"/>
            <w:gridSpan w:val="2"/>
            <w:shd w:val="clear" w:color="auto" w:fill="auto"/>
            <w:tcMar>
              <w:top w:w="10" w:type="dxa"/>
              <w:left w:w="283" w:type="dxa"/>
              <w:bottom w:w="0" w:type="dxa"/>
              <w:right w:w="283" w:type="dxa"/>
            </w:tcMar>
            <w:vAlign w:val="center"/>
          </w:tcPr>
          <w:p w14:paraId="3012EF23" w14:textId="77777777" w:rsidR="00FE678E" w:rsidRPr="00846D49" w:rsidRDefault="00FE678E" w:rsidP="009C5D49">
            <w:pPr>
              <w:rPr>
                <w:rFonts w:ascii="Arial" w:eastAsia="Arial Narrow" w:hAnsi="Arial" w:cs="Arial"/>
                <w:sz w:val="20"/>
                <w:szCs w:val="20"/>
              </w:rPr>
            </w:pPr>
            <w:r w:rsidRPr="00846D49">
              <w:rPr>
                <w:rFonts w:ascii="Arial" w:eastAsia="Arial Narrow" w:hAnsi="Arial" w:cs="Arial"/>
                <w:sz w:val="20"/>
                <w:szCs w:val="20"/>
              </w:rPr>
              <w:t>Ascendente</w:t>
            </w:r>
          </w:p>
        </w:tc>
        <w:tc>
          <w:tcPr>
            <w:tcW w:w="1832" w:type="pct"/>
            <w:gridSpan w:val="4"/>
            <w:shd w:val="clear" w:color="auto" w:fill="auto"/>
            <w:tcMar>
              <w:top w:w="15" w:type="dxa"/>
              <w:left w:w="15" w:type="dxa"/>
              <w:bottom w:w="0" w:type="dxa"/>
              <w:right w:w="15" w:type="dxa"/>
            </w:tcMar>
            <w:vAlign w:val="center"/>
          </w:tcPr>
          <w:p w14:paraId="616CEC4D" w14:textId="77777777" w:rsidR="00FE678E" w:rsidRPr="00846D49" w:rsidRDefault="00FE678E" w:rsidP="009C5D49">
            <w:pPr>
              <w:rPr>
                <w:rFonts w:ascii="Arial" w:eastAsia="Arial Narrow" w:hAnsi="Arial" w:cs="Arial"/>
                <w:sz w:val="20"/>
                <w:szCs w:val="20"/>
              </w:rPr>
            </w:pPr>
            <w:r w:rsidRPr="00846D49">
              <w:rPr>
                <w:rFonts w:ascii="Arial" w:eastAsia="Arial Narrow" w:hAnsi="Arial" w:cs="Arial"/>
                <w:b/>
                <w:sz w:val="20"/>
                <w:szCs w:val="20"/>
              </w:rPr>
              <w:t>Tipo de indicador de servicio:</w:t>
            </w:r>
          </w:p>
        </w:tc>
        <w:tc>
          <w:tcPr>
            <w:tcW w:w="1185" w:type="pct"/>
            <w:gridSpan w:val="2"/>
            <w:shd w:val="clear" w:color="auto" w:fill="auto"/>
            <w:tcMar>
              <w:top w:w="15" w:type="dxa"/>
              <w:left w:w="15" w:type="dxa"/>
              <w:bottom w:w="0" w:type="dxa"/>
              <w:right w:w="15" w:type="dxa"/>
            </w:tcMar>
            <w:vAlign w:val="center"/>
          </w:tcPr>
          <w:p w14:paraId="2AB236F7" w14:textId="77777777" w:rsidR="00FE678E" w:rsidRPr="00846D49" w:rsidRDefault="00FE678E" w:rsidP="009C5D49">
            <w:pPr>
              <w:jc w:val="center"/>
              <w:rPr>
                <w:rFonts w:ascii="Arial" w:eastAsia="Arial Narrow" w:hAnsi="Arial" w:cs="Arial"/>
                <w:sz w:val="20"/>
                <w:szCs w:val="20"/>
              </w:rPr>
            </w:pPr>
            <w:r w:rsidRPr="00846D49">
              <w:rPr>
                <w:rFonts w:ascii="Arial" w:eastAsia="Arial Narrow" w:hAnsi="Arial" w:cs="Arial"/>
                <w:sz w:val="20"/>
                <w:szCs w:val="20"/>
              </w:rPr>
              <w:t>Calidad - Oportunidad</w:t>
            </w:r>
          </w:p>
        </w:tc>
      </w:tr>
      <w:tr w:rsidR="00846D49" w:rsidRPr="00846D49" w14:paraId="08B0EC89" w14:textId="77777777" w:rsidTr="0087293E">
        <w:trPr>
          <w:trHeight w:val="580"/>
        </w:trPr>
        <w:tc>
          <w:tcPr>
            <w:tcW w:w="1213" w:type="pct"/>
            <w:gridSpan w:val="3"/>
            <w:shd w:val="clear" w:color="auto" w:fill="auto"/>
            <w:tcMar>
              <w:top w:w="10" w:type="dxa"/>
              <w:left w:w="93" w:type="dxa"/>
              <w:bottom w:w="0" w:type="dxa"/>
              <w:right w:w="10" w:type="dxa"/>
            </w:tcMar>
            <w:vAlign w:val="center"/>
          </w:tcPr>
          <w:p w14:paraId="4459E767" w14:textId="77777777" w:rsidR="00FE678E" w:rsidRPr="00846D49" w:rsidRDefault="00FE678E" w:rsidP="009C5D49">
            <w:pPr>
              <w:rPr>
                <w:rFonts w:ascii="Arial" w:eastAsia="Arial Narrow" w:hAnsi="Arial" w:cs="Arial"/>
                <w:sz w:val="20"/>
                <w:szCs w:val="20"/>
              </w:rPr>
            </w:pPr>
            <w:r w:rsidRPr="00846D49">
              <w:rPr>
                <w:rFonts w:ascii="Arial" w:eastAsia="Arial Narrow" w:hAnsi="Arial" w:cs="Arial"/>
                <w:b/>
                <w:sz w:val="20"/>
                <w:szCs w:val="20"/>
              </w:rPr>
              <w:t>Fuente y base de datos:</w:t>
            </w:r>
          </w:p>
        </w:tc>
        <w:tc>
          <w:tcPr>
            <w:tcW w:w="3787" w:type="pct"/>
            <w:gridSpan w:val="8"/>
            <w:shd w:val="clear" w:color="auto" w:fill="auto"/>
            <w:tcMar>
              <w:top w:w="51" w:type="dxa"/>
              <w:left w:w="227" w:type="dxa"/>
              <w:bottom w:w="51" w:type="dxa"/>
              <w:right w:w="227" w:type="dxa"/>
            </w:tcMar>
            <w:vAlign w:val="center"/>
          </w:tcPr>
          <w:p w14:paraId="480F2951" w14:textId="530B631F" w:rsidR="00FE678E" w:rsidRPr="00846D49" w:rsidRDefault="00FE678E" w:rsidP="005A3FA7">
            <w:pPr>
              <w:jc w:val="both"/>
              <w:rPr>
                <w:rFonts w:ascii="Arial" w:eastAsia="Arial Narrow" w:hAnsi="Arial" w:cs="Arial"/>
                <w:sz w:val="20"/>
                <w:szCs w:val="20"/>
              </w:rPr>
            </w:pPr>
            <w:r w:rsidRPr="00846D49">
              <w:rPr>
                <w:rFonts w:ascii="Arial" w:eastAsia="Arial Narrow" w:hAnsi="Arial" w:cs="Arial"/>
                <w:sz w:val="20"/>
                <w:szCs w:val="20"/>
              </w:rPr>
              <w:t xml:space="preserve">Fuente: Dirección de Gestión de Áreas Naturales Protegidas (DGANP) </w:t>
            </w:r>
            <w:r w:rsidR="003C3A8B" w:rsidRPr="00846D49">
              <w:rPr>
                <w:rFonts w:ascii="Arial" w:eastAsia="Arial Narrow" w:hAnsi="Arial" w:cs="Arial"/>
                <w:sz w:val="20"/>
                <w:szCs w:val="20"/>
              </w:rPr>
              <w:t>del Servicio Nacional de Áreas Protegidas por el Estado –</w:t>
            </w:r>
            <w:r w:rsidRPr="00846D49">
              <w:rPr>
                <w:rFonts w:ascii="Arial" w:eastAsia="Arial Narrow" w:hAnsi="Arial" w:cs="Arial"/>
                <w:sz w:val="20"/>
                <w:szCs w:val="20"/>
              </w:rPr>
              <w:t xml:space="preserve"> SERNANP</w:t>
            </w:r>
            <w:r w:rsidR="003C3A8B" w:rsidRPr="00846D49">
              <w:rPr>
                <w:rFonts w:ascii="Arial" w:eastAsia="Arial Narrow" w:hAnsi="Arial" w:cs="Arial"/>
                <w:sz w:val="20"/>
                <w:szCs w:val="20"/>
              </w:rPr>
              <w:t>.</w:t>
            </w:r>
            <w:r w:rsidRPr="00846D49">
              <w:rPr>
                <w:rFonts w:ascii="Arial" w:eastAsia="Arial Narrow" w:hAnsi="Arial" w:cs="Arial"/>
                <w:sz w:val="20"/>
                <w:szCs w:val="20"/>
              </w:rPr>
              <w:br/>
              <w:t>Base de datos: Geo Portal del SERNANP</w:t>
            </w:r>
          </w:p>
        </w:tc>
      </w:tr>
      <w:tr w:rsidR="00846D49" w:rsidRPr="00846D49" w14:paraId="2449B2B6" w14:textId="77777777" w:rsidTr="0087293E">
        <w:trPr>
          <w:trHeight w:val="436"/>
        </w:trPr>
        <w:tc>
          <w:tcPr>
            <w:tcW w:w="1213" w:type="pct"/>
            <w:gridSpan w:val="3"/>
            <w:shd w:val="clear" w:color="auto" w:fill="auto"/>
            <w:tcMar>
              <w:top w:w="10" w:type="dxa"/>
              <w:left w:w="93" w:type="dxa"/>
              <w:bottom w:w="0" w:type="dxa"/>
              <w:right w:w="10" w:type="dxa"/>
            </w:tcMar>
            <w:vAlign w:val="center"/>
          </w:tcPr>
          <w:p w14:paraId="066EEAA9" w14:textId="77777777" w:rsidR="00FE678E" w:rsidRPr="00846D49" w:rsidRDefault="00FE678E" w:rsidP="009C5D49">
            <w:pPr>
              <w:rPr>
                <w:rFonts w:ascii="Arial" w:eastAsia="Arial Narrow" w:hAnsi="Arial" w:cs="Arial"/>
                <w:sz w:val="20"/>
                <w:szCs w:val="20"/>
              </w:rPr>
            </w:pPr>
            <w:r w:rsidRPr="00846D49">
              <w:rPr>
                <w:rFonts w:ascii="Arial" w:eastAsia="Arial Narrow" w:hAnsi="Arial" w:cs="Arial"/>
                <w:b/>
                <w:sz w:val="20"/>
                <w:szCs w:val="20"/>
              </w:rPr>
              <w:t>Supuestos:</w:t>
            </w:r>
          </w:p>
        </w:tc>
        <w:tc>
          <w:tcPr>
            <w:tcW w:w="3787" w:type="pct"/>
            <w:gridSpan w:val="8"/>
            <w:shd w:val="clear" w:color="auto" w:fill="auto"/>
            <w:tcMar>
              <w:top w:w="51" w:type="dxa"/>
              <w:left w:w="227" w:type="dxa"/>
              <w:bottom w:w="51" w:type="dxa"/>
              <w:right w:w="227" w:type="dxa"/>
            </w:tcMar>
            <w:vAlign w:val="center"/>
          </w:tcPr>
          <w:p w14:paraId="682D1348" w14:textId="77777777" w:rsidR="00FE678E" w:rsidRPr="00846D49" w:rsidRDefault="00FE678E" w:rsidP="009C5D49">
            <w:pPr>
              <w:spacing w:after="0" w:line="240" w:lineRule="auto"/>
              <w:rPr>
                <w:rFonts w:ascii="Arial" w:eastAsia="Arial Narrow" w:hAnsi="Arial" w:cs="Arial"/>
                <w:sz w:val="20"/>
                <w:szCs w:val="20"/>
              </w:rPr>
            </w:pPr>
            <w:r w:rsidRPr="00846D49">
              <w:rPr>
                <w:rFonts w:ascii="Arial" w:eastAsia="Arial Narrow" w:hAnsi="Arial" w:cs="Arial"/>
                <w:sz w:val="20"/>
                <w:szCs w:val="20"/>
              </w:rPr>
              <w:t xml:space="preserve">La veracidad de la información que alimenta los datos. </w:t>
            </w:r>
          </w:p>
        </w:tc>
      </w:tr>
      <w:tr w:rsidR="00846D49" w:rsidRPr="00846D49" w14:paraId="57A94373" w14:textId="77777777" w:rsidTr="005A3FA7">
        <w:trPr>
          <w:trHeight w:val="556"/>
        </w:trPr>
        <w:tc>
          <w:tcPr>
            <w:tcW w:w="367" w:type="pct"/>
            <w:shd w:val="clear" w:color="auto" w:fill="auto"/>
            <w:tcMar>
              <w:top w:w="10" w:type="dxa"/>
              <w:left w:w="10" w:type="dxa"/>
              <w:bottom w:w="0" w:type="dxa"/>
              <w:right w:w="10" w:type="dxa"/>
            </w:tcMar>
            <w:vAlign w:val="center"/>
          </w:tcPr>
          <w:p w14:paraId="3A59A5C4" w14:textId="77777777" w:rsidR="00FE678E" w:rsidRPr="00846D49" w:rsidRDefault="00FE678E" w:rsidP="009C5D49">
            <w:pPr>
              <w:rPr>
                <w:rFonts w:ascii="Arial" w:eastAsia="Arial Narrow" w:hAnsi="Arial" w:cs="Arial"/>
                <w:sz w:val="20"/>
                <w:szCs w:val="20"/>
              </w:rPr>
            </w:pPr>
            <w:r w:rsidRPr="00846D49">
              <w:rPr>
                <w:rFonts w:ascii="Arial" w:eastAsia="Arial Narrow" w:hAnsi="Arial" w:cs="Arial"/>
                <w:b/>
                <w:sz w:val="20"/>
                <w:szCs w:val="20"/>
              </w:rPr>
              <w:t> </w:t>
            </w:r>
          </w:p>
        </w:tc>
        <w:tc>
          <w:tcPr>
            <w:tcW w:w="439" w:type="pct"/>
            <w:shd w:val="clear" w:color="auto" w:fill="auto"/>
            <w:tcMar>
              <w:top w:w="10" w:type="dxa"/>
              <w:left w:w="10" w:type="dxa"/>
              <w:bottom w:w="0" w:type="dxa"/>
              <w:right w:w="10" w:type="dxa"/>
            </w:tcMar>
            <w:vAlign w:val="center"/>
          </w:tcPr>
          <w:p w14:paraId="1C392C25" w14:textId="77777777" w:rsidR="00FE678E" w:rsidRPr="00846D49" w:rsidRDefault="00FE678E" w:rsidP="00185962">
            <w:pPr>
              <w:jc w:val="center"/>
              <w:rPr>
                <w:rFonts w:ascii="Arial" w:eastAsia="Arial Narrow" w:hAnsi="Arial" w:cs="Arial"/>
                <w:sz w:val="20"/>
                <w:szCs w:val="20"/>
              </w:rPr>
            </w:pPr>
            <w:r w:rsidRPr="00846D49">
              <w:rPr>
                <w:rFonts w:ascii="Arial" w:eastAsia="Arial Narrow" w:hAnsi="Arial" w:cs="Arial"/>
                <w:b/>
                <w:sz w:val="20"/>
                <w:szCs w:val="20"/>
              </w:rPr>
              <w:t>Línea de base</w:t>
            </w:r>
          </w:p>
        </w:tc>
        <w:tc>
          <w:tcPr>
            <w:tcW w:w="4193" w:type="pct"/>
            <w:gridSpan w:val="9"/>
            <w:shd w:val="clear" w:color="auto" w:fill="auto"/>
            <w:tcMar>
              <w:top w:w="10" w:type="dxa"/>
              <w:left w:w="10" w:type="dxa"/>
              <w:bottom w:w="0" w:type="dxa"/>
              <w:right w:w="10" w:type="dxa"/>
            </w:tcMar>
            <w:vAlign w:val="center"/>
          </w:tcPr>
          <w:p w14:paraId="585F360C" w14:textId="64197AB1" w:rsidR="00FE678E" w:rsidRPr="00846D49" w:rsidRDefault="00FE678E" w:rsidP="00185962">
            <w:pPr>
              <w:jc w:val="center"/>
              <w:rPr>
                <w:rFonts w:ascii="Arial" w:eastAsia="Arial Narrow" w:hAnsi="Arial" w:cs="Arial"/>
                <w:sz w:val="20"/>
                <w:szCs w:val="20"/>
              </w:rPr>
            </w:pPr>
            <w:r w:rsidRPr="00846D49">
              <w:rPr>
                <w:rFonts w:ascii="Arial" w:eastAsia="Arial Narrow" w:hAnsi="Arial" w:cs="Arial"/>
                <w:b/>
                <w:sz w:val="20"/>
                <w:szCs w:val="20"/>
              </w:rPr>
              <w:t>Logros esperados</w:t>
            </w:r>
          </w:p>
        </w:tc>
      </w:tr>
      <w:tr w:rsidR="00846D49" w:rsidRPr="00846D49" w14:paraId="438C9A8D" w14:textId="77777777" w:rsidTr="005A3FA7">
        <w:trPr>
          <w:trHeight w:val="217"/>
        </w:trPr>
        <w:tc>
          <w:tcPr>
            <w:tcW w:w="367" w:type="pct"/>
            <w:shd w:val="clear" w:color="auto" w:fill="auto"/>
            <w:tcMar>
              <w:top w:w="10" w:type="dxa"/>
              <w:left w:w="10" w:type="dxa"/>
              <w:bottom w:w="0" w:type="dxa"/>
              <w:right w:w="10" w:type="dxa"/>
            </w:tcMar>
            <w:vAlign w:val="center"/>
          </w:tcPr>
          <w:p w14:paraId="138D6B7F" w14:textId="77777777" w:rsidR="00FE678E" w:rsidRPr="00846D49" w:rsidRDefault="00FE678E" w:rsidP="009C5D49">
            <w:pPr>
              <w:jc w:val="center"/>
              <w:rPr>
                <w:rFonts w:ascii="Arial" w:eastAsia="Arial Narrow" w:hAnsi="Arial" w:cs="Arial"/>
                <w:sz w:val="20"/>
                <w:szCs w:val="20"/>
              </w:rPr>
            </w:pPr>
            <w:r w:rsidRPr="00846D49">
              <w:rPr>
                <w:rFonts w:ascii="Arial" w:eastAsia="Arial Narrow" w:hAnsi="Arial" w:cs="Arial"/>
                <w:b/>
                <w:sz w:val="20"/>
                <w:szCs w:val="20"/>
              </w:rPr>
              <w:t>Año</w:t>
            </w:r>
          </w:p>
        </w:tc>
        <w:tc>
          <w:tcPr>
            <w:tcW w:w="439" w:type="pct"/>
            <w:shd w:val="clear" w:color="auto" w:fill="auto"/>
            <w:tcMar>
              <w:top w:w="10" w:type="dxa"/>
              <w:left w:w="10" w:type="dxa"/>
              <w:bottom w:w="0" w:type="dxa"/>
              <w:right w:w="10" w:type="dxa"/>
            </w:tcMar>
            <w:vAlign w:val="center"/>
          </w:tcPr>
          <w:p w14:paraId="33619D03" w14:textId="77777777" w:rsidR="00FE678E" w:rsidRPr="00846D49" w:rsidRDefault="00FE678E" w:rsidP="00185962">
            <w:pPr>
              <w:jc w:val="center"/>
              <w:rPr>
                <w:rFonts w:ascii="Arial" w:eastAsia="Arial Narrow" w:hAnsi="Arial" w:cs="Arial"/>
                <w:b/>
                <w:sz w:val="20"/>
                <w:szCs w:val="20"/>
              </w:rPr>
            </w:pPr>
            <w:r w:rsidRPr="00846D49">
              <w:rPr>
                <w:rFonts w:ascii="Arial" w:eastAsia="Arial Narrow" w:hAnsi="Arial" w:cs="Arial"/>
                <w:b/>
                <w:sz w:val="20"/>
                <w:szCs w:val="20"/>
              </w:rPr>
              <w:t>2022</w:t>
            </w:r>
          </w:p>
        </w:tc>
        <w:tc>
          <w:tcPr>
            <w:tcW w:w="407" w:type="pct"/>
            <w:shd w:val="clear" w:color="auto" w:fill="auto"/>
            <w:tcMar>
              <w:top w:w="10" w:type="dxa"/>
              <w:left w:w="10" w:type="dxa"/>
              <w:bottom w:w="0" w:type="dxa"/>
              <w:right w:w="10" w:type="dxa"/>
            </w:tcMar>
            <w:vAlign w:val="center"/>
          </w:tcPr>
          <w:p w14:paraId="42D14692" w14:textId="77777777" w:rsidR="00FE678E" w:rsidRPr="00846D49" w:rsidRDefault="00FE678E" w:rsidP="00185962">
            <w:pPr>
              <w:jc w:val="center"/>
              <w:rPr>
                <w:rFonts w:ascii="Arial" w:eastAsia="Arial Narrow" w:hAnsi="Arial" w:cs="Arial"/>
                <w:b/>
                <w:sz w:val="20"/>
                <w:szCs w:val="20"/>
              </w:rPr>
            </w:pPr>
            <w:r w:rsidRPr="00846D49">
              <w:rPr>
                <w:rFonts w:ascii="Arial" w:eastAsia="Arial Narrow" w:hAnsi="Arial" w:cs="Arial"/>
                <w:b/>
                <w:sz w:val="20"/>
                <w:szCs w:val="20"/>
              </w:rPr>
              <w:t>2023</w:t>
            </w:r>
          </w:p>
        </w:tc>
        <w:tc>
          <w:tcPr>
            <w:tcW w:w="487" w:type="pct"/>
            <w:shd w:val="clear" w:color="auto" w:fill="auto"/>
            <w:vAlign w:val="center"/>
          </w:tcPr>
          <w:p w14:paraId="718D17A4" w14:textId="77777777" w:rsidR="00FE678E" w:rsidRPr="00846D49" w:rsidRDefault="00FE678E" w:rsidP="00185962">
            <w:pPr>
              <w:jc w:val="center"/>
              <w:rPr>
                <w:rFonts w:ascii="Arial" w:eastAsia="Arial Narrow" w:hAnsi="Arial" w:cs="Arial"/>
                <w:b/>
                <w:sz w:val="20"/>
                <w:szCs w:val="20"/>
              </w:rPr>
            </w:pPr>
            <w:r w:rsidRPr="00846D49">
              <w:rPr>
                <w:rFonts w:ascii="Arial" w:eastAsia="Arial Narrow" w:hAnsi="Arial" w:cs="Arial"/>
                <w:b/>
                <w:sz w:val="20"/>
                <w:szCs w:val="20"/>
              </w:rPr>
              <w:t>2024</w:t>
            </w:r>
          </w:p>
        </w:tc>
        <w:tc>
          <w:tcPr>
            <w:tcW w:w="492" w:type="pct"/>
            <w:gridSpan w:val="2"/>
            <w:shd w:val="clear" w:color="auto" w:fill="auto"/>
            <w:vAlign w:val="center"/>
          </w:tcPr>
          <w:p w14:paraId="4CD0EF28" w14:textId="77777777" w:rsidR="00FE678E" w:rsidRPr="00846D49" w:rsidRDefault="00FE678E" w:rsidP="00185962">
            <w:pPr>
              <w:jc w:val="center"/>
              <w:rPr>
                <w:rFonts w:ascii="Arial" w:eastAsia="Arial Narrow" w:hAnsi="Arial" w:cs="Arial"/>
                <w:b/>
                <w:sz w:val="20"/>
                <w:szCs w:val="20"/>
              </w:rPr>
            </w:pPr>
            <w:r w:rsidRPr="00846D49">
              <w:rPr>
                <w:rFonts w:ascii="Arial" w:eastAsia="Arial Narrow" w:hAnsi="Arial" w:cs="Arial"/>
                <w:b/>
                <w:sz w:val="20"/>
                <w:szCs w:val="20"/>
              </w:rPr>
              <w:t>2025</w:t>
            </w:r>
          </w:p>
        </w:tc>
        <w:tc>
          <w:tcPr>
            <w:tcW w:w="493" w:type="pct"/>
            <w:shd w:val="clear" w:color="auto" w:fill="auto"/>
            <w:vAlign w:val="center"/>
          </w:tcPr>
          <w:p w14:paraId="06739FAF" w14:textId="77777777" w:rsidR="00FE678E" w:rsidRPr="00846D49" w:rsidRDefault="00FE678E" w:rsidP="00185962">
            <w:pPr>
              <w:jc w:val="center"/>
              <w:rPr>
                <w:rFonts w:ascii="Arial" w:eastAsia="Arial Narrow" w:hAnsi="Arial" w:cs="Arial"/>
                <w:b/>
                <w:sz w:val="20"/>
                <w:szCs w:val="20"/>
              </w:rPr>
            </w:pPr>
            <w:r w:rsidRPr="00846D49">
              <w:rPr>
                <w:rFonts w:ascii="Arial" w:eastAsia="Arial Narrow" w:hAnsi="Arial" w:cs="Arial"/>
                <w:b/>
                <w:sz w:val="20"/>
                <w:szCs w:val="20"/>
              </w:rPr>
              <w:t>2026</w:t>
            </w:r>
          </w:p>
        </w:tc>
        <w:tc>
          <w:tcPr>
            <w:tcW w:w="563" w:type="pct"/>
            <w:shd w:val="clear" w:color="auto" w:fill="auto"/>
            <w:vAlign w:val="center"/>
          </w:tcPr>
          <w:p w14:paraId="1CC1C15C" w14:textId="77777777" w:rsidR="00FE678E" w:rsidRPr="00846D49" w:rsidRDefault="00FE678E" w:rsidP="00185962">
            <w:pPr>
              <w:jc w:val="center"/>
              <w:rPr>
                <w:rFonts w:ascii="Arial" w:eastAsia="Arial Narrow" w:hAnsi="Arial" w:cs="Arial"/>
                <w:b/>
                <w:sz w:val="20"/>
                <w:szCs w:val="20"/>
              </w:rPr>
            </w:pPr>
            <w:r w:rsidRPr="00846D49">
              <w:rPr>
                <w:rFonts w:ascii="Arial" w:eastAsia="Arial Narrow" w:hAnsi="Arial" w:cs="Arial"/>
                <w:b/>
                <w:sz w:val="20"/>
                <w:szCs w:val="20"/>
              </w:rPr>
              <w:t>2027</w:t>
            </w:r>
          </w:p>
        </w:tc>
        <w:tc>
          <w:tcPr>
            <w:tcW w:w="566" w:type="pct"/>
            <w:shd w:val="clear" w:color="auto" w:fill="auto"/>
            <w:vAlign w:val="center"/>
          </w:tcPr>
          <w:p w14:paraId="5023B685" w14:textId="77777777" w:rsidR="00FE678E" w:rsidRPr="00846D49" w:rsidRDefault="00FE678E" w:rsidP="00185962">
            <w:pPr>
              <w:jc w:val="center"/>
              <w:rPr>
                <w:rFonts w:ascii="Arial" w:eastAsia="Arial Narrow" w:hAnsi="Arial" w:cs="Arial"/>
                <w:b/>
                <w:sz w:val="20"/>
                <w:szCs w:val="20"/>
              </w:rPr>
            </w:pPr>
            <w:r w:rsidRPr="00846D49">
              <w:rPr>
                <w:rFonts w:ascii="Arial" w:eastAsia="Arial Narrow" w:hAnsi="Arial" w:cs="Arial"/>
                <w:b/>
                <w:sz w:val="20"/>
                <w:szCs w:val="20"/>
              </w:rPr>
              <w:t>2028</w:t>
            </w:r>
          </w:p>
        </w:tc>
        <w:tc>
          <w:tcPr>
            <w:tcW w:w="493" w:type="pct"/>
            <w:shd w:val="clear" w:color="auto" w:fill="auto"/>
            <w:vAlign w:val="center"/>
          </w:tcPr>
          <w:p w14:paraId="051DECD4" w14:textId="77777777" w:rsidR="00FE678E" w:rsidRPr="00846D49" w:rsidRDefault="00FE678E" w:rsidP="00185962">
            <w:pPr>
              <w:jc w:val="center"/>
              <w:rPr>
                <w:rFonts w:ascii="Arial" w:eastAsia="Arial Narrow" w:hAnsi="Arial" w:cs="Arial"/>
                <w:b/>
                <w:sz w:val="20"/>
                <w:szCs w:val="20"/>
              </w:rPr>
            </w:pPr>
            <w:r w:rsidRPr="00846D49">
              <w:rPr>
                <w:rFonts w:ascii="Arial" w:eastAsia="Arial Narrow" w:hAnsi="Arial" w:cs="Arial"/>
                <w:b/>
                <w:sz w:val="20"/>
                <w:szCs w:val="20"/>
              </w:rPr>
              <w:t>2029</w:t>
            </w:r>
          </w:p>
        </w:tc>
        <w:tc>
          <w:tcPr>
            <w:tcW w:w="692" w:type="pct"/>
            <w:shd w:val="clear" w:color="auto" w:fill="auto"/>
            <w:tcMar>
              <w:top w:w="10" w:type="dxa"/>
              <w:left w:w="10" w:type="dxa"/>
              <w:bottom w:w="0" w:type="dxa"/>
              <w:right w:w="10" w:type="dxa"/>
            </w:tcMar>
            <w:vAlign w:val="center"/>
          </w:tcPr>
          <w:p w14:paraId="681332B1" w14:textId="77777777" w:rsidR="00FE678E" w:rsidRPr="00846D49" w:rsidRDefault="00FE678E" w:rsidP="00185962">
            <w:pPr>
              <w:jc w:val="center"/>
              <w:rPr>
                <w:rFonts w:ascii="Arial" w:eastAsia="Arial Narrow" w:hAnsi="Arial" w:cs="Arial"/>
                <w:b/>
                <w:sz w:val="20"/>
                <w:szCs w:val="20"/>
              </w:rPr>
            </w:pPr>
            <w:r w:rsidRPr="00846D49">
              <w:rPr>
                <w:rFonts w:ascii="Arial" w:eastAsia="Arial Narrow" w:hAnsi="Arial" w:cs="Arial"/>
                <w:b/>
                <w:sz w:val="20"/>
                <w:szCs w:val="20"/>
              </w:rPr>
              <w:t>2030</w:t>
            </w:r>
          </w:p>
        </w:tc>
      </w:tr>
      <w:tr w:rsidR="00846D49" w:rsidRPr="00846D49" w14:paraId="3EFC8709" w14:textId="77777777" w:rsidTr="005A3FA7">
        <w:trPr>
          <w:trHeight w:val="81"/>
        </w:trPr>
        <w:tc>
          <w:tcPr>
            <w:tcW w:w="367" w:type="pct"/>
            <w:shd w:val="clear" w:color="auto" w:fill="auto"/>
            <w:tcMar>
              <w:top w:w="10" w:type="dxa"/>
              <w:left w:w="10" w:type="dxa"/>
              <w:bottom w:w="0" w:type="dxa"/>
              <w:right w:w="10" w:type="dxa"/>
            </w:tcMar>
            <w:vAlign w:val="center"/>
          </w:tcPr>
          <w:p w14:paraId="0411DC6E" w14:textId="77777777" w:rsidR="00FE678E" w:rsidRPr="00846D49" w:rsidRDefault="00FE678E" w:rsidP="009C5D49">
            <w:pPr>
              <w:spacing w:after="0" w:line="240" w:lineRule="auto"/>
              <w:jc w:val="center"/>
              <w:rPr>
                <w:rFonts w:ascii="Arial" w:eastAsia="Arial Narrow" w:hAnsi="Arial" w:cs="Arial"/>
                <w:b/>
                <w:bCs/>
                <w:sz w:val="20"/>
                <w:szCs w:val="20"/>
              </w:rPr>
            </w:pPr>
            <w:r w:rsidRPr="00846D49">
              <w:rPr>
                <w:rFonts w:ascii="Arial" w:eastAsia="Arial Narrow" w:hAnsi="Arial" w:cs="Arial"/>
                <w:b/>
                <w:bCs/>
                <w:sz w:val="20"/>
                <w:szCs w:val="20"/>
              </w:rPr>
              <w:t>Valor</w:t>
            </w:r>
          </w:p>
        </w:tc>
        <w:tc>
          <w:tcPr>
            <w:tcW w:w="439" w:type="pct"/>
            <w:shd w:val="clear" w:color="auto" w:fill="auto"/>
            <w:tcMar>
              <w:top w:w="10" w:type="dxa"/>
              <w:left w:w="10" w:type="dxa"/>
              <w:bottom w:w="0" w:type="dxa"/>
              <w:right w:w="10" w:type="dxa"/>
            </w:tcMar>
          </w:tcPr>
          <w:p w14:paraId="3C422D32" w14:textId="7F3374DB" w:rsidR="00FE678E" w:rsidRPr="00846D49" w:rsidRDefault="005D623B" w:rsidP="00185962">
            <w:pPr>
              <w:spacing w:after="0" w:line="240" w:lineRule="auto"/>
              <w:jc w:val="center"/>
              <w:rPr>
                <w:rFonts w:ascii="Arial" w:eastAsia="Arial Narrow" w:hAnsi="Arial" w:cs="Arial"/>
                <w:sz w:val="20"/>
                <w:szCs w:val="20"/>
              </w:rPr>
            </w:pPr>
            <w:r w:rsidRPr="00846D49">
              <w:rPr>
                <w:rFonts w:ascii="Arial" w:hAnsi="Arial" w:cs="Arial"/>
                <w:sz w:val="20"/>
                <w:szCs w:val="20"/>
              </w:rPr>
              <w:t>20%</w:t>
            </w:r>
          </w:p>
        </w:tc>
        <w:tc>
          <w:tcPr>
            <w:tcW w:w="407" w:type="pct"/>
            <w:shd w:val="clear" w:color="auto" w:fill="auto"/>
            <w:tcMar>
              <w:top w:w="10" w:type="dxa"/>
              <w:left w:w="10" w:type="dxa"/>
              <w:bottom w:w="0" w:type="dxa"/>
              <w:right w:w="10" w:type="dxa"/>
            </w:tcMar>
          </w:tcPr>
          <w:p w14:paraId="51CCAAB5" w14:textId="3C1D8DE2" w:rsidR="00FE678E" w:rsidRPr="00846D49" w:rsidRDefault="005D623B" w:rsidP="00185962">
            <w:pPr>
              <w:spacing w:after="0" w:line="240" w:lineRule="auto"/>
              <w:jc w:val="center"/>
              <w:rPr>
                <w:rFonts w:ascii="Arial" w:eastAsia="Arial Narrow" w:hAnsi="Arial" w:cs="Arial"/>
                <w:sz w:val="20"/>
                <w:szCs w:val="20"/>
              </w:rPr>
            </w:pPr>
            <w:r w:rsidRPr="00846D49">
              <w:rPr>
                <w:rFonts w:ascii="Arial" w:hAnsi="Arial" w:cs="Arial"/>
                <w:sz w:val="20"/>
                <w:szCs w:val="20"/>
              </w:rPr>
              <w:t>30</w:t>
            </w:r>
            <w:r w:rsidR="00FE678E" w:rsidRPr="00846D49">
              <w:rPr>
                <w:rFonts w:ascii="Arial" w:hAnsi="Arial" w:cs="Arial"/>
                <w:sz w:val="20"/>
                <w:szCs w:val="20"/>
              </w:rPr>
              <w:t>%</w:t>
            </w:r>
          </w:p>
        </w:tc>
        <w:tc>
          <w:tcPr>
            <w:tcW w:w="487" w:type="pct"/>
            <w:shd w:val="clear" w:color="auto" w:fill="auto"/>
          </w:tcPr>
          <w:p w14:paraId="33BDCFE6" w14:textId="09C9E165" w:rsidR="00FE678E" w:rsidRPr="00846D49" w:rsidRDefault="005D623B" w:rsidP="00185962">
            <w:pPr>
              <w:spacing w:after="0" w:line="240" w:lineRule="auto"/>
              <w:jc w:val="center"/>
              <w:rPr>
                <w:rFonts w:ascii="Arial" w:eastAsia="Arial Narrow" w:hAnsi="Arial" w:cs="Arial"/>
                <w:sz w:val="20"/>
                <w:szCs w:val="20"/>
              </w:rPr>
            </w:pPr>
            <w:r w:rsidRPr="00846D49">
              <w:rPr>
                <w:rFonts w:ascii="Arial" w:hAnsi="Arial" w:cs="Arial"/>
                <w:sz w:val="20"/>
                <w:szCs w:val="20"/>
              </w:rPr>
              <w:t>40</w:t>
            </w:r>
            <w:r w:rsidR="00FE678E" w:rsidRPr="00846D49">
              <w:rPr>
                <w:rFonts w:ascii="Arial" w:hAnsi="Arial" w:cs="Arial"/>
                <w:sz w:val="20"/>
                <w:szCs w:val="20"/>
              </w:rPr>
              <w:t>%</w:t>
            </w:r>
          </w:p>
        </w:tc>
        <w:tc>
          <w:tcPr>
            <w:tcW w:w="492" w:type="pct"/>
            <w:gridSpan w:val="2"/>
            <w:shd w:val="clear" w:color="auto" w:fill="auto"/>
          </w:tcPr>
          <w:p w14:paraId="13DD84D9" w14:textId="062937D8" w:rsidR="00FE678E" w:rsidRPr="00846D49" w:rsidRDefault="005D623B" w:rsidP="00185962">
            <w:pPr>
              <w:spacing w:after="0" w:line="240" w:lineRule="auto"/>
              <w:jc w:val="center"/>
              <w:rPr>
                <w:rFonts w:ascii="Arial" w:eastAsia="Arial Narrow" w:hAnsi="Arial" w:cs="Arial"/>
                <w:sz w:val="20"/>
                <w:szCs w:val="20"/>
              </w:rPr>
            </w:pPr>
            <w:r w:rsidRPr="00846D49">
              <w:rPr>
                <w:rFonts w:ascii="Arial" w:hAnsi="Arial" w:cs="Arial"/>
                <w:sz w:val="20"/>
                <w:szCs w:val="20"/>
              </w:rPr>
              <w:t>50</w:t>
            </w:r>
            <w:r w:rsidR="00FE678E" w:rsidRPr="00846D49">
              <w:rPr>
                <w:rFonts w:ascii="Arial" w:hAnsi="Arial" w:cs="Arial"/>
                <w:sz w:val="20"/>
                <w:szCs w:val="20"/>
              </w:rPr>
              <w:t>%</w:t>
            </w:r>
          </w:p>
        </w:tc>
        <w:tc>
          <w:tcPr>
            <w:tcW w:w="493" w:type="pct"/>
            <w:shd w:val="clear" w:color="auto" w:fill="auto"/>
          </w:tcPr>
          <w:p w14:paraId="343E2797" w14:textId="6F3C2FB5" w:rsidR="00FE678E" w:rsidRPr="00846D49" w:rsidRDefault="005D623B" w:rsidP="00185962">
            <w:pPr>
              <w:spacing w:after="0" w:line="240" w:lineRule="auto"/>
              <w:jc w:val="center"/>
              <w:rPr>
                <w:rFonts w:ascii="Arial" w:eastAsia="Arial Narrow" w:hAnsi="Arial" w:cs="Arial"/>
                <w:sz w:val="20"/>
                <w:szCs w:val="20"/>
              </w:rPr>
            </w:pPr>
            <w:r w:rsidRPr="00846D49">
              <w:rPr>
                <w:rFonts w:ascii="Arial" w:hAnsi="Arial" w:cs="Arial"/>
                <w:sz w:val="20"/>
                <w:szCs w:val="20"/>
              </w:rPr>
              <w:t>60</w:t>
            </w:r>
            <w:r w:rsidR="00FE678E" w:rsidRPr="00846D49">
              <w:rPr>
                <w:rFonts w:ascii="Arial" w:hAnsi="Arial" w:cs="Arial"/>
                <w:sz w:val="20"/>
                <w:szCs w:val="20"/>
              </w:rPr>
              <w:t>%</w:t>
            </w:r>
          </w:p>
        </w:tc>
        <w:tc>
          <w:tcPr>
            <w:tcW w:w="563" w:type="pct"/>
            <w:shd w:val="clear" w:color="auto" w:fill="auto"/>
          </w:tcPr>
          <w:p w14:paraId="4F818C85" w14:textId="73F6FED5" w:rsidR="00FE678E" w:rsidRPr="00846D49" w:rsidRDefault="005D623B" w:rsidP="00185962">
            <w:pPr>
              <w:spacing w:after="0" w:line="240" w:lineRule="auto"/>
              <w:jc w:val="center"/>
              <w:rPr>
                <w:rFonts w:ascii="Arial" w:eastAsia="Arial Narrow" w:hAnsi="Arial" w:cs="Arial"/>
                <w:sz w:val="20"/>
                <w:szCs w:val="20"/>
              </w:rPr>
            </w:pPr>
            <w:r w:rsidRPr="00846D49">
              <w:rPr>
                <w:rFonts w:ascii="Arial" w:hAnsi="Arial" w:cs="Arial"/>
                <w:sz w:val="20"/>
                <w:szCs w:val="20"/>
              </w:rPr>
              <w:t>70</w:t>
            </w:r>
            <w:r w:rsidR="00FE678E" w:rsidRPr="00846D49">
              <w:rPr>
                <w:rFonts w:ascii="Arial" w:hAnsi="Arial" w:cs="Arial"/>
                <w:sz w:val="20"/>
                <w:szCs w:val="20"/>
              </w:rPr>
              <w:t>%</w:t>
            </w:r>
          </w:p>
        </w:tc>
        <w:tc>
          <w:tcPr>
            <w:tcW w:w="566" w:type="pct"/>
            <w:shd w:val="clear" w:color="auto" w:fill="auto"/>
          </w:tcPr>
          <w:p w14:paraId="37F89ACA" w14:textId="5986F246" w:rsidR="00FE678E" w:rsidRPr="00846D49" w:rsidRDefault="005D623B" w:rsidP="00185962">
            <w:pPr>
              <w:spacing w:after="0" w:line="240" w:lineRule="auto"/>
              <w:jc w:val="center"/>
              <w:rPr>
                <w:rFonts w:ascii="Arial" w:eastAsia="Arial Narrow" w:hAnsi="Arial" w:cs="Arial"/>
                <w:sz w:val="20"/>
                <w:szCs w:val="20"/>
              </w:rPr>
            </w:pPr>
            <w:r w:rsidRPr="00846D49">
              <w:rPr>
                <w:rFonts w:ascii="Arial" w:hAnsi="Arial" w:cs="Arial"/>
                <w:sz w:val="20"/>
                <w:szCs w:val="20"/>
              </w:rPr>
              <w:t>80</w:t>
            </w:r>
            <w:r w:rsidR="00FE678E" w:rsidRPr="00846D49">
              <w:rPr>
                <w:rFonts w:ascii="Arial" w:hAnsi="Arial" w:cs="Arial"/>
                <w:sz w:val="20"/>
                <w:szCs w:val="20"/>
              </w:rPr>
              <w:t>%</w:t>
            </w:r>
          </w:p>
        </w:tc>
        <w:tc>
          <w:tcPr>
            <w:tcW w:w="493" w:type="pct"/>
            <w:shd w:val="clear" w:color="auto" w:fill="auto"/>
          </w:tcPr>
          <w:p w14:paraId="5757145E" w14:textId="4FC8EE67" w:rsidR="00FE678E" w:rsidRPr="00846D49" w:rsidRDefault="005D623B" w:rsidP="00185962">
            <w:pPr>
              <w:spacing w:after="0" w:line="240" w:lineRule="auto"/>
              <w:jc w:val="center"/>
              <w:rPr>
                <w:rFonts w:ascii="Arial" w:eastAsia="Arial Narrow" w:hAnsi="Arial" w:cs="Arial"/>
                <w:sz w:val="20"/>
                <w:szCs w:val="20"/>
              </w:rPr>
            </w:pPr>
            <w:r w:rsidRPr="00846D49">
              <w:rPr>
                <w:rFonts w:ascii="Arial" w:hAnsi="Arial" w:cs="Arial"/>
                <w:sz w:val="20"/>
                <w:szCs w:val="20"/>
              </w:rPr>
              <w:t>90</w:t>
            </w:r>
            <w:r w:rsidR="00FE678E" w:rsidRPr="00846D49">
              <w:rPr>
                <w:rFonts w:ascii="Arial" w:hAnsi="Arial" w:cs="Arial"/>
                <w:sz w:val="20"/>
                <w:szCs w:val="20"/>
              </w:rPr>
              <w:t>%</w:t>
            </w:r>
          </w:p>
        </w:tc>
        <w:tc>
          <w:tcPr>
            <w:tcW w:w="692" w:type="pct"/>
            <w:shd w:val="clear" w:color="auto" w:fill="auto"/>
            <w:tcMar>
              <w:top w:w="10" w:type="dxa"/>
              <w:left w:w="10" w:type="dxa"/>
              <w:bottom w:w="0" w:type="dxa"/>
              <w:right w:w="10" w:type="dxa"/>
            </w:tcMar>
          </w:tcPr>
          <w:p w14:paraId="42B543F3" w14:textId="77777777" w:rsidR="00FE678E" w:rsidRPr="00846D49" w:rsidRDefault="00FE678E" w:rsidP="00185962">
            <w:pPr>
              <w:spacing w:after="0" w:line="240" w:lineRule="auto"/>
              <w:jc w:val="center"/>
              <w:rPr>
                <w:rFonts w:ascii="Arial" w:eastAsia="Arial Narrow" w:hAnsi="Arial" w:cs="Arial"/>
                <w:sz w:val="20"/>
                <w:szCs w:val="20"/>
              </w:rPr>
            </w:pPr>
            <w:r w:rsidRPr="00846D49">
              <w:rPr>
                <w:rFonts w:ascii="Arial" w:hAnsi="Arial" w:cs="Arial"/>
                <w:sz w:val="20"/>
                <w:szCs w:val="20"/>
              </w:rPr>
              <w:t>100%</w:t>
            </w:r>
          </w:p>
        </w:tc>
      </w:tr>
    </w:tbl>
    <w:p w14:paraId="21786C1A" w14:textId="77777777" w:rsidR="00FE678E" w:rsidRPr="00846D49" w:rsidRDefault="00FE678E" w:rsidP="00A90E9C"/>
    <w:p w14:paraId="5FB2699B" w14:textId="595BDCC0" w:rsidR="00916AD8" w:rsidRPr="00846D49" w:rsidRDefault="00916AD8" w:rsidP="00A90E9C"/>
    <w:tbl>
      <w:tblPr>
        <w:tblW w:w="508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3"/>
        <w:gridCol w:w="1121"/>
        <w:gridCol w:w="745"/>
        <w:gridCol w:w="1009"/>
        <w:gridCol w:w="709"/>
        <w:gridCol w:w="710"/>
        <w:gridCol w:w="769"/>
        <w:gridCol w:w="418"/>
        <w:gridCol w:w="354"/>
        <w:gridCol w:w="769"/>
        <w:gridCol w:w="805"/>
      </w:tblGrid>
      <w:tr w:rsidR="00846D49" w:rsidRPr="00846D49" w14:paraId="435030ED" w14:textId="77777777" w:rsidTr="00FE678E">
        <w:trPr>
          <w:trHeight w:val="251"/>
        </w:trPr>
        <w:tc>
          <w:tcPr>
            <w:tcW w:w="5000" w:type="pct"/>
            <w:gridSpan w:val="11"/>
            <w:shd w:val="clear" w:color="auto" w:fill="D9D9D9"/>
            <w:tcMar>
              <w:top w:w="10" w:type="dxa"/>
              <w:left w:w="10" w:type="dxa"/>
              <w:bottom w:w="0" w:type="dxa"/>
              <w:right w:w="10" w:type="dxa"/>
            </w:tcMar>
            <w:vAlign w:val="center"/>
          </w:tcPr>
          <w:p w14:paraId="5994FA39" w14:textId="6B65B6B9" w:rsidR="00FE678E" w:rsidRPr="00846D49" w:rsidRDefault="00FE678E" w:rsidP="009C5D49">
            <w:pPr>
              <w:spacing w:after="0"/>
              <w:jc w:val="center"/>
              <w:rPr>
                <w:rFonts w:ascii="Arial" w:eastAsia="Arial Narrow" w:hAnsi="Arial" w:cs="Arial"/>
                <w:sz w:val="20"/>
                <w:szCs w:val="20"/>
              </w:rPr>
            </w:pPr>
            <w:r w:rsidRPr="00846D49">
              <w:rPr>
                <w:rFonts w:ascii="Arial" w:eastAsia="Arial Narrow" w:hAnsi="Arial" w:cs="Arial"/>
                <w:b/>
                <w:sz w:val="20"/>
                <w:szCs w:val="20"/>
              </w:rPr>
              <w:t>FICHA TÉCNICA DE INDICADOR DE SERVICIO 1.6.5</w:t>
            </w:r>
          </w:p>
        </w:tc>
      </w:tr>
      <w:tr w:rsidR="00846D49" w:rsidRPr="00846D49" w14:paraId="5F642D46" w14:textId="77777777" w:rsidTr="0087293E">
        <w:trPr>
          <w:trHeight w:val="409"/>
        </w:trPr>
        <w:tc>
          <w:tcPr>
            <w:tcW w:w="1361" w:type="pct"/>
            <w:gridSpan w:val="2"/>
            <w:shd w:val="clear" w:color="auto" w:fill="FFFFFF"/>
            <w:tcMar>
              <w:top w:w="10" w:type="dxa"/>
              <w:left w:w="93" w:type="dxa"/>
              <w:bottom w:w="0" w:type="dxa"/>
              <w:right w:w="10" w:type="dxa"/>
            </w:tcMar>
            <w:vAlign w:val="center"/>
          </w:tcPr>
          <w:p w14:paraId="7671D43A" w14:textId="77777777" w:rsidR="00FE678E" w:rsidRPr="00846D49" w:rsidRDefault="00FE678E" w:rsidP="009C5D49">
            <w:pPr>
              <w:rPr>
                <w:rFonts w:ascii="Arial" w:eastAsia="Arial Narrow" w:hAnsi="Arial" w:cs="Arial"/>
                <w:sz w:val="20"/>
                <w:szCs w:val="20"/>
              </w:rPr>
            </w:pPr>
            <w:r w:rsidRPr="00846D49">
              <w:rPr>
                <w:rFonts w:ascii="Arial" w:eastAsia="Arial Narrow" w:hAnsi="Arial" w:cs="Arial"/>
                <w:b/>
                <w:sz w:val="20"/>
                <w:szCs w:val="20"/>
              </w:rPr>
              <w:t>Objetivo prioritario:</w:t>
            </w:r>
          </w:p>
        </w:tc>
        <w:tc>
          <w:tcPr>
            <w:tcW w:w="3639" w:type="pct"/>
            <w:gridSpan w:val="9"/>
            <w:shd w:val="clear" w:color="auto" w:fill="FFFFFF"/>
            <w:tcMar>
              <w:top w:w="51" w:type="dxa"/>
              <w:left w:w="227" w:type="dxa"/>
              <w:bottom w:w="51" w:type="dxa"/>
              <w:right w:w="227" w:type="dxa"/>
            </w:tcMar>
            <w:vAlign w:val="center"/>
          </w:tcPr>
          <w:p w14:paraId="07E7B700" w14:textId="77777777" w:rsidR="00FE678E" w:rsidRPr="00846D49" w:rsidRDefault="00FE678E" w:rsidP="009C5D49">
            <w:pPr>
              <w:pBdr>
                <w:top w:val="nil"/>
                <w:left w:val="nil"/>
                <w:bottom w:val="nil"/>
                <w:right w:val="nil"/>
                <w:between w:val="nil"/>
              </w:pBdr>
              <w:spacing w:after="0" w:line="240" w:lineRule="auto"/>
              <w:jc w:val="both"/>
              <w:rPr>
                <w:rFonts w:ascii="Arial" w:eastAsia="Arial Narrow" w:hAnsi="Arial" w:cs="Arial"/>
                <w:sz w:val="20"/>
                <w:szCs w:val="20"/>
              </w:rPr>
            </w:pPr>
            <w:r w:rsidRPr="00846D49">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r>
      <w:tr w:rsidR="00846D49" w:rsidRPr="00846D49" w14:paraId="493A70BD" w14:textId="77777777" w:rsidTr="0087293E">
        <w:trPr>
          <w:trHeight w:val="436"/>
        </w:trPr>
        <w:tc>
          <w:tcPr>
            <w:tcW w:w="1361" w:type="pct"/>
            <w:gridSpan w:val="2"/>
            <w:shd w:val="clear" w:color="auto" w:fill="auto"/>
            <w:tcMar>
              <w:top w:w="10" w:type="dxa"/>
              <w:left w:w="93" w:type="dxa"/>
              <w:bottom w:w="0" w:type="dxa"/>
              <w:right w:w="10" w:type="dxa"/>
            </w:tcMar>
            <w:vAlign w:val="center"/>
          </w:tcPr>
          <w:p w14:paraId="2129D210" w14:textId="77777777" w:rsidR="00FE678E" w:rsidRPr="00846D49" w:rsidRDefault="00FE678E" w:rsidP="009C5D49">
            <w:pPr>
              <w:rPr>
                <w:rFonts w:ascii="Arial" w:eastAsia="Arial Narrow" w:hAnsi="Arial" w:cs="Arial"/>
                <w:sz w:val="20"/>
                <w:szCs w:val="20"/>
              </w:rPr>
            </w:pPr>
            <w:r w:rsidRPr="00846D49">
              <w:rPr>
                <w:rFonts w:ascii="Arial" w:eastAsia="Arial Narrow" w:hAnsi="Arial" w:cs="Arial"/>
                <w:b/>
                <w:sz w:val="20"/>
                <w:szCs w:val="20"/>
              </w:rPr>
              <w:t>Lineamiento de la política:</w:t>
            </w:r>
          </w:p>
        </w:tc>
        <w:tc>
          <w:tcPr>
            <w:tcW w:w="3639" w:type="pct"/>
            <w:gridSpan w:val="9"/>
            <w:shd w:val="clear" w:color="auto" w:fill="auto"/>
            <w:tcMar>
              <w:top w:w="51" w:type="dxa"/>
              <w:left w:w="227" w:type="dxa"/>
              <w:bottom w:w="51" w:type="dxa"/>
              <w:right w:w="227" w:type="dxa"/>
            </w:tcMar>
            <w:vAlign w:val="center"/>
          </w:tcPr>
          <w:p w14:paraId="5C6C7E69" w14:textId="77777777" w:rsidR="00FE678E" w:rsidRPr="00846D49" w:rsidRDefault="00FE678E" w:rsidP="009C5D49">
            <w:pPr>
              <w:pBdr>
                <w:top w:val="nil"/>
                <w:left w:val="nil"/>
                <w:bottom w:val="nil"/>
                <w:right w:val="nil"/>
                <w:between w:val="nil"/>
              </w:pBdr>
              <w:spacing w:after="0" w:line="240" w:lineRule="auto"/>
              <w:jc w:val="both"/>
              <w:rPr>
                <w:rFonts w:ascii="Arial" w:eastAsia="Arial Narrow" w:hAnsi="Arial" w:cs="Arial"/>
                <w:sz w:val="20"/>
                <w:szCs w:val="20"/>
              </w:rPr>
            </w:pPr>
            <w:r w:rsidRPr="00846D49">
              <w:rPr>
                <w:rFonts w:ascii="Arial" w:eastAsia="Arial Narrow" w:hAnsi="Arial" w:cs="Arial"/>
                <w:sz w:val="20"/>
                <w:szCs w:val="20"/>
              </w:rPr>
              <w:t>L1.6 Fomentar el aprovechamiento sostenible de los recursos forestales, flora y de fauna silvestre</w:t>
            </w:r>
          </w:p>
        </w:tc>
      </w:tr>
      <w:tr w:rsidR="00846D49" w:rsidRPr="00846D49" w14:paraId="0E74AFB1" w14:textId="77777777" w:rsidTr="0087293E">
        <w:trPr>
          <w:trHeight w:val="404"/>
        </w:trPr>
        <w:tc>
          <w:tcPr>
            <w:tcW w:w="1361" w:type="pct"/>
            <w:gridSpan w:val="2"/>
            <w:shd w:val="clear" w:color="auto" w:fill="auto"/>
            <w:tcMar>
              <w:top w:w="10" w:type="dxa"/>
              <w:left w:w="93" w:type="dxa"/>
              <w:bottom w:w="0" w:type="dxa"/>
              <w:right w:w="10" w:type="dxa"/>
            </w:tcMar>
            <w:vAlign w:val="center"/>
          </w:tcPr>
          <w:p w14:paraId="6203E065" w14:textId="77777777" w:rsidR="00FE678E" w:rsidRPr="00846D49" w:rsidRDefault="00FE678E" w:rsidP="009C5D49">
            <w:pPr>
              <w:rPr>
                <w:rFonts w:ascii="Arial" w:eastAsia="Arial Narrow" w:hAnsi="Arial" w:cs="Arial"/>
                <w:sz w:val="20"/>
                <w:szCs w:val="20"/>
              </w:rPr>
            </w:pPr>
            <w:r w:rsidRPr="00846D49">
              <w:rPr>
                <w:rFonts w:ascii="Arial" w:eastAsia="Arial Narrow" w:hAnsi="Arial" w:cs="Arial"/>
                <w:b/>
                <w:sz w:val="20"/>
                <w:szCs w:val="20"/>
              </w:rPr>
              <w:t>Nombre del servicio:</w:t>
            </w:r>
          </w:p>
        </w:tc>
        <w:tc>
          <w:tcPr>
            <w:tcW w:w="3639" w:type="pct"/>
            <w:gridSpan w:val="9"/>
            <w:shd w:val="clear" w:color="auto" w:fill="auto"/>
            <w:tcMar>
              <w:top w:w="51" w:type="dxa"/>
              <w:left w:w="227" w:type="dxa"/>
              <w:bottom w:w="51" w:type="dxa"/>
              <w:right w:w="227" w:type="dxa"/>
            </w:tcMar>
            <w:vAlign w:val="center"/>
          </w:tcPr>
          <w:p w14:paraId="49C46572" w14:textId="7F759290" w:rsidR="00FE678E" w:rsidRPr="00846D49" w:rsidRDefault="00FE678E" w:rsidP="009C5D49">
            <w:pPr>
              <w:pBdr>
                <w:top w:val="nil"/>
                <w:left w:val="nil"/>
                <w:bottom w:val="nil"/>
                <w:right w:val="nil"/>
                <w:between w:val="nil"/>
              </w:pBdr>
              <w:spacing w:after="0" w:line="240" w:lineRule="auto"/>
              <w:jc w:val="both"/>
              <w:rPr>
                <w:rFonts w:ascii="Arial" w:eastAsia="Arial Narrow" w:hAnsi="Arial" w:cs="Arial"/>
                <w:sz w:val="20"/>
                <w:szCs w:val="20"/>
              </w:rPr>
            </w:pPr>
            <w:r w:rsidRPr="00846D49">
              <w:rPr>
                <w:rFonts w:ascii="Arial" w:eastAsia="Arial Narrow" w:hAnsi="Arial" w:cs="Arial"/>
                <w:sz w:val="20"/>
                <w:szCs w:val="20"/>
              </w:rPr>
              <w:t xml:space="preserve">S1.6.5 </w:t>
            </w:r>
            <w:r w:rsidR="00B4555F" w:rsidRPr="00846D49">
              <w:rPr>
                <w:rFonts w:ascii="Arial" w:eastAsia="Arial Narrow" w:hAnsi="Arial" w:cs="Arial"/>
                <w:sz w:val="20"/>
                <w:szCs w:val="20"/>
              </w:rPr>
              <w:t>Licenciamiento del uso de la marca “Aliado por la Conservación” de forma oportuna a los titulares de derechos de aprovechamiento de recursos forestales, flora y fauna silvestre en Áreas Naturales Protegidas de administración nacional</w:t>
            </w:r>
          </w:p>
        </w:tc>
      </w:tr>
      <w:tr w:rsidR="00846D49" w:rsidRPr="00846D49" w14:paraId="04A2AEA5" w14:textId="77777777" w:rsidTr="0087293E">
        <w:trPr>
          <w:trHeight w:val="577"/>
        </w:trPr>
        <w:tc>
          <w:tcPr>
            <w:tcW w:w="1361" w:type="pct"/>
            <w:gridSpan w:val="2"/>
            <w:shd w:val="clear" w:color="auto" w:fill="auto"/>
            <w:tcMar>
              <w:top w:w="10" w:type="dxa"/>
              <w:left w:w="93" w:type="dxa"/>
              <w:bottom w:w="0" w:type="dxa"/>
              <w:right w:w="10" w:type="dxa"/>
            </w:tcMar>
            <w:vAlign w:val="center"/>
          </w:tcPr>
          <w:p w14:paraId="2D84D4A5" w14:textId="77777777" w:rsidR="00FE678E" w:rsidRPr="00846D49" w:rsidRDefault="00FE678E" w:rsidP="009C5D49">
            <w:pPr>
              <w:rPr>
                <w:rFonts w:ascii="Arial" w:eastAsia="Arial Narrow" w:hAnsi="Arial" w:cs="Arial"/>
                <w:sz w:val="20"/>
                <w:szCs w:val="20"/>
              </w:rPr>
            </w:pPr>
            <w:r w:rsidRPr="00846D49">
              <w:rPr>
                <w:rFonts w:ascii="Arial" w:eastAsia="Arial Narrow" w:hAnsi="Arial" w:cs="Arial"/>
                <w:b/>
                <w:sz w:val="20"/>
                <w:szCs w:val="20"/>
              </w:rPr>
              <w:t>Nombre del indicador:</w:t>
            </w:r>
          </w:p>
        </w:tc>
        <w:tc>
          <w:tcPr>
            <w:tcW w:w="3639" w:type="pct"/>
            <w:gridSpan w:val="9"/>
            <w:shd w:val="clear" w:color="auto" w:fill="auto"/>
            <w:tcMar>
              <w:top w:w="51" w:type="dxa"/>
              <w:left w:w="227" w:type="dxa"/>
              <w:bottom w:w="51" w:type="dxa"/>
              <w:right w:w="227" w:type="dxa"/>
            </w:tcMar>
            <w:vAlign w:val="bottom"/>
          </w:tcPr>
          <w:p w14:paraId="5BDE9262" w14:textId="7DE3322E" w:rsidR="00FE678E" w:rsidRPr="00846D49" w:rsidRDefault="00B4555F" w:rsidP="009C5D49">
            <w:pPr>
              <w:spacing w:after="0" w:line="240" w:lineRule="auto"/>
              <w:jc w:val="both"/>
              <w:rPr>
                <w:rFonts w:ascii="Arial" w:eastAsia="Arial Narrow" w:hAnsi="Arial" w:cs="Arial"/>
                <w:sz w:val="20"/>
                <w:szCs w:val="20"/>
              </w:rPr>
            </w:pPr>
            <w:r w:rsidRPr="00846D49">
              <w:rPr>
                <w:rFonts w:ascii="Arial" w:eastAsia="Arial Narrow" w:hAnsi="Arial" w:cs="Arial"/>
                <w:sz w:val="20"/>
                <w:szCs w:val="20"/>
              </w:rPr>
              <w:t>Porcentaje de licencias de uso de la marca Aliado por la Conservación otorgadas oportunamente</w:t>
            </w:r>
          </w:p>
        </w:tc>
      </w:tr>
      <w:tr w:rsidR="00846D49" w:rsidRPr="00846D49" w14:paraId="6FE31E69" w14:textId="77777777" w:rsidTr="0087293E">
        <w:trPr>
          <w:trHeight w:val="793"/>
        </w:trPr>
        <w:tc>
          <w:tcPr>
            <w:tcW w:w="1361" w:type="pct"/>
            <w:gridSpan w:val="2"/>
            <w:shd w:val="clear" w:color="auto" w:fill="auto"/>
            <w:tcMar>
              <w:top w:w="10" w:type="dxa"/>
              <w:left w:w="93" w:type="dxa"/>
              <w:bottom w:w="0" w:type="dxa"/>
              <w:right w:w="10" w:type="dxa"/>
            </w:tcMar>
            <w:vAlign w:val="center"/>
          </w:tcPr>
          <w:p w14:paraId="701298C6" w14:textId="77777777" w:rsidR="00FE678E" w:rsidRPr="00846D49" w:rsidRDefault="00FE678E" w:rsidP="009C5D49">
            <w:pPr>
              <w:spacing w:after="0"/>
              <w:rPr>
                <w:rFonts w:ascii="Arial" w:eastAsia="Arial Narrow" w:hAnsi="Arial" w:cs="Arial"/>
                <w:sz w:val="20"/>
                <w:szCs w:val="20"/>
              </w:rPr>
            </w:pPr>
            <w:r w:rsidRPr="00846D49">
              <w:rPr>
                <w:rFonts w:ascii="Arial" w:eastAsia="Arial Narrow" w:hAnsi="Arial" w:cs="Arial"/>
                <w:b/>
                <w:sz w:val="20"/>
                <w:szCs w:val="20"/>
              </w:rPr>
              <w:t>Justificación:</w:t>
            </w:r>
          </w:p>
        </w:tc>
        <w:tc>
          <w:tcPr>
            <w:tcW w:w="3639" w:type="pct"/>
            <w:gridSpan w:val="9"/>
            <w:shd w:val="clear" w:color="auto" w:fill="auto"/>
            <w:tcMar>
              <w:top w:w="51" w:type="dxa"/>
              <w:left w:w="227" w:type="dxa"/>
              <w:bottom w:w="51" w:type="dxa"/>
              <w:right w:w="227" w:type="dxa"/>
            </w:tcMar>
            <w:vAlign w:val="bottom"/>
          </w:tcPr>
          <w:p w14:paraId="147BE3E9" w14:textId="252B3551" w:rsidR="00FE678E" w:rsidRPr="00846D49" w:rsidRDefault="00934958" w:rsidP="009C5D49">
            <w:pPr>
              <w:spacing w:after="0"/>
              <w:jc w:val="both"/>
              <w:rPr>
                <w:rFonts w:ascii="Arial" w:eastAsia="Arial Narrow" w:hAnsi="Arial" w:cs="Arial"/>
                <w:sz w:val="20"/>
                <w:szCs w:val="20"/>
              </w:rPr>
            </w:pPr>
            <w:r w:rsidRPr="00846D49">
              <w:rPr>
                <w:rFonts w:ascii="Arial" w:eastAsia="Arial Narrow" w:hAnsi="Arial" w:cs="Arial"/>
                <w:sz w:val="20"/>
                <w:szCs w:val="20"/>
              </w:rPr>
              <w:t>El indicador permite medir el porcentaje de licencias de uso de la marca Aliado por la Conservación otorgados de forma oportuna, es decir, dentro del plazo establecido por la normativa</w:t>
            </w:r>
            <w:r w:rsidR="00FE678E" w:rsidRPr="00846D49">
              <w:rPr>
                <w:rFonts w:ascii="Arial" w:eastAsia="Arial Narrow" w:hAnsi="Arial" w:cs="Arial"/>
                <w:sz w:val="20"/>
                <w:szCs w:val="20"/>
              </w:rPr>
              <w:t xml:space="preserve"> a fin de plantear mejoras al servicio de licenciamiento</w:t>
            </w:r>
            <w:r w:rsidRPr="00846D49">
              <w:rPr>
                <w:rFonts w:ascii="Arial" w:eastAsia="Arial Narrow" w:hAnsi="Arial" w:cs="Arial"/>
                <w:sz w:val="20"/>
                <w:szCs w:val="20"/>
              </w:rPr>
              <w:t>.</w:t>
            </w:r>
            <w:r w:rsidR="00FE678E" w:rsidRPr="00846D49">
              <w:rPr>
                <w:rFonts w:ascii="Arial" w:eastAsia="Arial Narrow" w:hAnsi="Arial" w:cs="Arial"/>
                <w:sz w:val="20"/>
                <w:szCs w:val="20"/>
              </w:rPr>
              <w:t xml:space="preserve"> </w:t>
            </w:r>
          </w:p>
        </w:tc>
      </w:tr>
      <w:tr w:rsidR="00846D49" w:rsidRPr="00846D49" w14:paraId="63A6762A" w14:textId="77777777" w:rsidTr="0087293E">
        <w:trPr>
          <w:trHeight w:val="352"/>
        </w:trPr>
        <w:tc>
          <w:tcPr>
            <w:tcW w:w="1361" w:type="pct"/>
            <w:gridSpan w:val="2"/>
            <w:shd w:val="clear" w:color="auto" w:fill="auto"/>
            <w:tcMar>
              <w:top w:w="10" w:type="dxa"/>
              <w:left w:w="93" w:type="dxa"/>
              <w:bottom w:w="0" w:type="dxa"/>
              <w:right w:w="10" w:type="dxa"/>
            </w:tcMar>
            <w:vAlign w:val="center"/>
          </w:tcPr>
          <w:p w14:paraId="771287E5" w14:textId="77777777" w:rsidR="00FE678E" w:rsidRPr="00846D49" w:rsidRDefault="00FE678E" w:rsidP="009C5D49">
            <w:pPr>
              <w:spacing w:after="0"/>
              <w:rPr>
                <w:rFonts w:ascii="Arial" w:eastAsia="Arial Narrow" w:hAnsi="Arial" w:cs="Arial"/>
                <w:sz w:val="20"/>
                <w:szCs w:val="20"/>
              </w:rPr>
            </w:pPr>
            <w:r w:rsidRPr="00846D49">
              <w:rPr>
                <w:rFonts w:ascii="Arial" w:eastAsia="Arial Narrow" w:hAnsi="Arial" w:cs="Arial"/>
                <w:b/>
                <w:sz w:val="20"/>
                <w:szCs w:val="20"/>
              </w:rPr>
              <w:lastRenderedPageBreak/>
              <w:t>Responsable del indicador:</w:t>
            </w:r>
          </w:p>
        </w:tc>
        <w:tc>
          <w:tcPr>
            <w:tcW w:w="3639" w:type="pct"/>
            <w:gridSpan w:val="9"/>
            <w:shd w:val="clear" w:color="auto" w:fill="auto"/>
            <w:tcMar>
              <w:top w:w="51" w:type="dxa"/>
              <w:left w:w="227" w:type="dxa"/>
              <w:bottom w:w="51" w:type="dxa"/>
              <w:right w:w="227" w:type="dxa"/>
            </w:tcMar>
            <w:vAlign w:val="center"/>
          </w:tcPr>
          <w:p w14:paraId="1CF44FCF" w14:textId="77777777" w:rsidR="00FE678E" w:rsidRPr="00846D49" w:rsidRDefault="00FE678E" w:rsidP="009C5D49">
            <w:pPr>
              <w:spacing w:after="0"/>
              <w:rPr>
                <w:rFonts w:ascii="Arial" w:eastAsia="Arial Narrow" w:hAnsi="Arial" w:cs="Arial"/>
                <w:sz w:val="20"/>
                <w:szCs w:val="20"/>
              </w:rPr>
            </w:pPr>
            <w:r w:rsidRPr="00846D49">
              <w:rPr>
                <w:rFonts w:ascii="Arial" w:eastAsia="Arial Narrow" w:hAnsi="Arial" w:cs="Arial"/>
                <w:sz w:val="20"/>
                <w:szCs w:val="20"/>
              </w:rPr>
              <w:t>Dirección de Gestión de las Áreas Naturales Protegidas - DGANP del Servicio Nacional de Áreas Naturales Protegidas por el Estado - SERNANP</w:t>
            </w:r>
          </w:p>
        </w:tc>
      </w:tr>
      <w:tr w:rsidR="00846D49" w:rsidRPr="00846D49" w14:paraId="75DF5A5D" w14:textId="77777777" w:rsidTr="0087293E">
        <w:trPr>
          <w:trHeight w:val="81"/>
        </w:trPr>
        <w:tc>
          <w:tcPr>
            <w:tcW w:w="1361" w:type="pct"/>
            <w:gridSpan w:val="2"/>
            <w:shd w:val="clear" w:color="auto" w:fill="auto"/>
            <w:tcMar>
              <w:top w:w="10" w:type="dxa"/>
              <w:left w:w="93" w:type="dxa"/>
              <w:bottom w:w="0" w:type="dxa"/>
              <w:right w:w="10" w:type="dxa"/>
            </w:tcMar>
            <w:vAlign w:val="center"/>
          </w:tcPr>
          <w:p w14:paraId="04100B6B" w14:textId="77777777" w:rsidR="00FE678E" w:rsidRPr="00846D49" w:rsidRDefault="00FE678E" w:rsidP="009C5D49">
            <w:pPr>
              <w:rPr>
                <w:rFonts w:ascii="Arial" w:eastAsia="Arial Narrow" w:hAnsi="Arial" w:cs="Arial"/>
                <w:sz w:val="20"/>
                <w:szCs w:val="20"/>
              </w:rPr>
            </w:pPr>
            <w:r w:rsidRPr="00846D49">
              <w:rPr>
                <w:rFonts w:ascii="Arial" w:eastAsia="Arial Narrow" w:hAnsi="Arial" w:cs="Arial"/>
                <w:b/>
                <w:sz w:val="20"/>
                <w:szCs w:val="20"/>
              </w:rPr>
              <w:t>Limitaciones para la medición del indicador:</w:t>
            </w:r>
          </w:p>
        </w:tc>
        <w:tc>
          <w:tcPr>
            <w:tcW w:w="3639" w:type="pct"/>
            <w:gridSpan w:val="9"/>
            <w:shd w:val="clear" w:color="auto" w:fill="auto"/>
            <w:tcMar>
              <w:top w:w="51" w:type="dxa"/>
              <w:left w:w="227" w:type="dxa"/>
              <w:bottom w:w="51" w:type="dxa"/>
              <w:right w:w="227" w:type="dxa"/>
            </w:tcMar>
            <w:vAlign w:val="center"/>
          </w:tcPr>
          <w:p w14:paraId="7692B965" w14:textId="77777777" w:rsidR="00FE678E" w:rsidRPr="00846D49" w:rsidRDefault="00FE678E" w:rsidP="009C5D49">
            <w:pPr>
              <w:pStyle w:val="Default"/>
              <w:rPr>
                <w:rFonts w:ascii="Arial" w:eastAsia="Arial Narrow" w:hAnsi="Arial" w:cs="Arial"/>
                <w:color w:val="auto"/>
                <w:sz w:val="20"/>
                <w:szCs w:val="20"/>
              </w:rPr>
            </w:pPr>
            <w:r w:rsidRPr="00846D49">
              <w:rPr>
                <w:rFonts w:ascii="Arial" w:eastAsia="Arial Narrow" w:hAnsi="Arial" w:cs="Arial"/>
                <w:color w:val="auto"/>
                <w:sz w:val="20"/>
                <w:szCs w:val="20"/>
              </w:rPr>
              <w:t>No presente limitaciones</w:t>
            </w:r>
          </w:p>
        </w:tc>
      </w:tr>
      <w:tr w:rsidR="00846D49" w:rsidRPr="00846D49" w14:paraId="2F9DA6BF" w14:textId="77777777" w:rsidTr="0087293E">
        <w:trPr>
          <w:trHeight w:val="231"/>
        </w:trPr>
        <w:tc>
          <w:tcPr>
            <w:tcW w:w="1361" w:type="pct"/>
            <w:gridSpan w:val="2"/>
            <w:shd w:val="clear" w:color="auto" w:fill="auto"/>
            <w:tcMar>
              <w:top w:w="10" w:type="dxa"/>
              <w:left w:w="93" w:type="dxa"/>
              <w:bottom w:w="0" w:type="dxa"/>
              <w:right w:w="10" w:type="dxa"/>
            </w:tcMar>
            <w:vAlign w:val="center"/>
          </w:tcPr>
          <w:p w14:paraId="149A9999" w14:textId="77777777" w:rsidR="00FE678E" w:rsidRPr="00846D49" w:rsidRDefault="00FE678E" w:rsidP="009C5D49">
            <w:pPr>
              <w:rPr>
                <w:rFonts w:ascii="Arial" w:eastAsia="Arial Narrow" w:hAnsi="Arial" w:cs="Arial"/>
                <w:sz w:val="20"/>
                <w:szCs w:val="20"/>
              </w:rPr>
            </w:pPr>
            <w:r w:rsidRPr="00846D49">
              <w:rPr>
                <w:rFonts w:ascii="Arial" w:eastAsia="Arial Narrow" w:hAnsi="Arial" w:cs="Arial"/>
                <w:b/>
                <w:sz w:val="20"/>
                <w:szCs w:val="20"/>
              </w:rPr>
              <w:t xml:space="preserve">Método de cálculo: </w:t>
            </w:r>
          </w:p>
        </w:tc>
        <w:tc>
          <w:tcPr>
            <w:tcW w:w="3639" w:type="pct"/>
            <w:gridSpan w:val="9"/>
            <w:shd w:val="clear" w:color="auto" w:fill="auto"/>
            <w:tcMar>
              <w:top w:w="51" w:type="dxa"/>
              <w:left w:w="227" w:type="dxa"/>
              <w:bottom w:w="51" w:type="dxa"/>
              <w:right w:w="227" w:type="dxa"/>
            </w:tcMar>
            <w:vAlign w:val="center"/>
          </w:tcPr>
          <w:p w14:paraId="0A034725" w14:textId="77777777" w:rsidR="00FE678E" w:rsidRPr="00846D49" w:rsidRDefault="00FE678E" w:rsidP="009C5D49">
            <w:pPr>
              <w:rPr>
                <w:rFonts w:ascii="Arial" w:eastAsia="Arial Narrow" w:hAnsi="Arial" w:cs="Arial"/>
                <w:b/>
                <w:sz w:val="20"/>
                <w:szCs w:val="20"/>
                <w:lang w:val="it-IT"/>
              </w:rPr>
            </w:pPr>
            <w:r w:rsidRPr="00846D49">
              <w:rPr>
                <w:rFonts w:ascii="Arial" w:eastAsia="Arial Narrow" w:hAnsi="Arial" w:cs="Arial"/>
                <w:b/>
                <w:sz w:val="20"/>
                <w:szCs w:val="20"/>
                <w:lang w:val="it-IT"/>
              </w:rPr>
              <w:t>1. Fórmula:</w:t>
            </w:r>
          </w:p>
          <w:p w14:paraId="3ACD11A3" w14:textId="77777777" w:rsidR="00FE678E" w:rsidRPr="00846D49" w:rsidRDefault="00FE678E" w:rsidP="009C5D49">
            <w:pPr>
              <w:rPr>
                <w:rFonts w:ascii="Arial" w:eastAsia="Arial Narrow" w:hAnsi="Arial" w:cs="Arial"/>
                <w:bCs/>
                <w:sz w:val="20"/>
                <w:szCs w:val="20"/>
                <w:lang w:val="it-IT"/>
              </w:rPr>
            </w:pPr>
            <w:r w:rsidRPr="00846D49">
              <w:rPr>
                <w:rFonts w:ascii="Arial" w:eastAsia="Arial Narrow" w:hAnsi="Arial" w:cs="Arial"/>
                <w:bCs/>
                <w:sz w:val="20"/>
                <w:szCs w:val="20"/>
                <w:lang w:val="it-IT"/>
              </w:rPr>
              <w:t>(A/B)*100</w:t>
            </w:r>
          </w:p>
          <w:p w14:paraId="682A60B8" w14:textId="77777777" w:rsidR="00FE678E" w:rsidRPr="00846D49" w:rsidRDefault="00FE678E" w:rsidP="009C5D49">
            <w:pPr>
              <w:rPr>
                <w:rFonts w:ascii="Arial" w:eastAsia="Arial Narrow" w:hAnsi="Arial" w:cs="Arial"/>
                <w:bCs/>
                <w:sz w:val="20"/>
                <w:szCs w:val="20"/>
                <w:lang w:val="it-IT"/>
              </w:rPr>
            </w:pPr>
            <w:r w:rsidRPr="00846D49">
              <w:rPr>
                <w:rFonts w:ascii="Arial" w:eastAsia="Arial Narrow" w:hAnsi="Arial" w:cs="Arial"/>
                <w:bCs/>
                <w:sz w:val="20"/>
                <w:szCs w:val="20"/>
                <w:lang w:val="it-IT"/>
              </w:rPr>
              <w:t>Donde:</w:t>
            </w:r>
          </w:p>
          <w:p w14:paraId="3CCD7020" w14:textId="564B1AD8" w:rsidR="00FE678E" w:rsidRPr="00846D49" w:rsidRDefault="00FE678E" w:rsidP="009C5D49">
            <w:pPr>
              <w:spacing w:after="0" w:line="240" w:lineRule="auto"/>
              <w:ind w:left="189" w:hanging="189"/>
              <w:jc w:val="both"/>
              <w:rPr>
                <w:rFonts w:ascii="Arial" w:eastAsia="Arial Narrow" w:hAnsi="Arial" w:cs="Arial"/>
                <w:sz w:val="20"/>
                <w:szCs w:val="20"/>
              </w:rPr>
            </w:pPr>
            <w:r w:rsidRPr="00846D49">
              <w:rPr>
                <w:rFonts w:ascii="Arial" w:hAnsi="Arial" w:cs="Arial"/>
                <w:iCs/>
                <w:sz w:val="20"/>
                <w:szCs w:val="20"/>
              </w:rPr>
              <w:t>A</w:t>
            </w:r>
            <w:r w:rsidRPr="00846D49">
              <w:rPr>
                <w:rFonts w:ascii="Arial" w:eastAsia="Arial Narrow" w:hAnsi="Arial" w:cs="Arial"/>
                <w:sz w:val="20"/>
                <w:szCs w:val="20"/>
              </w:rPr>
              <w:t>: Número de licencia</w:t>
            </w:r>
            <w:r w:rsidR="0039068F" w:rsidRPr="00846D49">
              <w:rPr>
                <w:rFonts w:ascii="Arial" w:eastAsia="Arial Narrow" w:hAnsi="Arial" w:cs="Arial"/>
                <w:sz w:val="20"/>
                <w:szCs w:val="20"/>
              </w:rPr>
              <w:t>s</w:t>
            </w:r>
            <w:r w:rsidRPr="00846D49">
              <w:rPr>
                <w:rFonts w:ascii="Arial" w:eastAsia="Arial Narrow" w:hAnsi="Arial" w:cs="Arial"/>
                <w:sz w:val="20"/>
                <w:szCs w:val="20"/>
              </w:rPr>
              <w:t xml:space="preserve"> de uso de la marca Aliado por la Conservación </w:t>
            </w:r>
            <w:r w:rsidR="0039068F" w:rsidRPr="00846D49">
              <w:rPr>
                <w:rFonts w:ascii="Arial" w:eastAsia="Arial Narrow" w:hAnsi="Arial" w:cs="Arial"/>
                <w:sz w:val="20"/>
                <w:szCs w:val="20"/>
              </w:rPr>
              <w:t xml:space="preserve">otorgadas </w:t>
            </w:r>
            <w:r w:rsidRPr="00846D49">
              <w:rPr>
                <w:rFonts w:ascii="Arial" w:eastAsia="Arial Narrow" w:hAnsi="Arial" w:cs="Arial"/>
                <w:sz w:val="20"/>
                <w:szCs w:val="20"/>
              </w:rPr>
              <w:t>oportunamente</w:t>
            </w:r>
          </w:p>
          <w:p w14:paraId="30534A14" w14:textId="77777777" w:rsidR="00FE678E" w:rsidRPr="00846D49" w:rsidRDefault="00FE678E" w:rsidP="009C5D49">
            <w:pPr>
              <w:spacing w:after="0" w:line="240" w:lineRule="auto"/>
              <w:ind w:left="189" w:hanging="189"/>
              <w:jc w:val="both"/>
              <w:rPr>
                <w:rFonts w:ascii="Arial" w:eastAsia="Arial Narrow" w:hAnsi="Arial" w:cs="Arial"/>
                <w:sz w:val="20"/>
                <w:szCs w:val="20"/>
              </w:rPr>
            </w:pPr>
          </w:p>
          <w:p w14:paraId="064D9B90" w14:textId="3248811D" w:rsidR="00FE678E" w:rsidRPr="00846D49" w:rsidRDefault="00FE678E" w:rsidP="009C5D49">
            <w:pPr>
              <w:spacing w:after="0" w:line="240" w:lineRule="auto"/>
              <w:ind w:left="189" w:hanging="189"/>
              <w:jc w:val="both"/>
              <w:rPr>
                <w:rFonts w:ascii="Arial" w:eastAsia="Arial Narrow" w:hAnsi="Arial" w:cs="Arial"/>
                <w:sz w:val="20"/>
                <w:szCs w:val="20"/>
              </w:rPr>
            </w:pPr>
            <w:r w:rsidRPr="00846D49">
              <w:rPr>
                <w:rFonts w:ascii="Arial" w:hAnsi="Arial" w:cs="Arial"/>
                <w:iCs/>
                <w:sz w:val="20"/>
                <w:szCs w:val="20"/>
              </w:rPr>
              <w:t>B</w:t>
            </w:r>
            <w:r w:rsidRPr="00846D49">
              <w:rPr>
                <w:rFonts w:ascii="Arial" w:eastAsia="Arial Narrow" w:hAnsi="Arial" w:cs="Arial"/>
                <w:sz w:val="20"/>
                <w:szCs w:val="20"/>
              </w:rPr>
              <w:t>: Número de licencia</w:t>
            </w:r>
            <w:r w:rsidR="0039068F" w:rsidRPr="00846D49">
              <w:rPr>
                <w:rFonts w:ascii="Arial" w:eastAsia="Arial Narrow" w:hAnsi="Arial" w:cs="Arial"/>
                <w:sz w:val="20"/>
                <w:szCs w:val="20"/>
              </w:rPr>
              <w:t>s</w:t>
            </w:r>
            <w:r w:rsidRPr="00846D49">
              <w:rPr>
                <w:rFonts w:ascii="Arial" w:eastAsia="Arial Narrow" w:hAnsi="Arial" w:cs="Arial"/>
                <w:sz w:val="20"/>
                <w:szCs w:val="20"/>
              </w:rPr>
              <w:t xml:space="preserve"> de uso de la marca Aliado por la Conservación</w:t>
            </w:r>
            <w:r w:rsidR="0039068F" w:rsidRPr="00846D49">
              <w:rPr>
                <w:rFonts w:ascii="Arial" w:eastAsia="Arial Narrow" w:hAnsi="Arial" w:cs="Arial"/>
                <w:sz w:val="20"/>
                <w:szCs w:val="20"/>
              </w:rPr>
              <w:t xml:space="preserve"> otorgados</w:t>
            </w:r>
            <w:r w:rsidR="00011FF7" w:rsidRPr="00846D49">
              <w:rPr>
                <w:rFonts w:ascii="Arial" w:eastAsia="Arial Narrow" w:hAnsi="Arial" w:cs="Arial"/>
                <w:sz w:val="20"/>
                <w:szCs w:val="20"/>
              </w:rPr>
              <w:t xml:space="preserve"> en el año de medición</w:t>
            </w:r>
            <w:r w:rsidR="0039068F" w:rsidRPr="00846D49">
              <w:rPr>
                <w:rFonts w:ascii="Arial" w:eastAsia="Arial Narrow" w:hAnsi="Arial" w:cs="Arial"/>
                <w:sz w:val="20"/>
                <w:szCs w:val="20"/>
              </w:rPr>
              <w:t xml:space="preserve"> </w:t>
            </w:r>
          </w:p>
          <w:p w14:paraId="6A55A2ED" w14:textId="77777777" w:rsidR="00FE678E" w:rsidRPr="00846D49" w:rsidRDefault="00FE678E" w:rsidP="009C5D49">
            <w:pPr>
              <w:spacing w:after="0"/>
              <w:rPr>
                <w:rFonts w:ascii="Arial" w:eastAsia="Arial Narrow" w:hAnsi="Arial" w:cs="Arial"/>
                <w:b/>
                <w:sz w:val="20"/>
                <w:szCs w:val="20"/>
              </w:rPr>
            </w:pPr>
          </w:p>
          <w:p w14:paraId="7258401A" w14:textId="77777777" w:rsidR="00FE678E" w:rsidRPr="00846D49" w:rsidRDefault="00FE678E" w:rsidP="009C5D49">
            <w:pPr>
              <w:rPr>
                <w:rFonts w:ascii="Arial" w:eastAsia="Arial Narrow" w:hAnsi="Arial" w:cs="Arial"/>
                <w:sz w:val="20"/>
                <w:szCs w:val="20"/>
              </w:rPr>
            </w:pPr>
            <w:r w:rsidRPr="00846D49">
              <w:rPr>
                <w:rFonts w:ascii="Arial" w:eastAsia="Arial Narrow" w:hAnsi="Arial" w:cs="Arial"/>
                <w:b/>
                <w:sz w:val="20"/>
                <w:szCs w:val="20"/>
              </w:rPr>
              <w:t>2. Especificaciones técnicas:</w:t>
            </w:r>
          </w:p>
          <w:p w14:paraId="7276CF56" w14:textId="77777777" w:rsidR="0039068F" w:rsidRPr="00846D49" w:rsidRDefault="0039068F" w:rsidP="0039068F">
            <w:pPr>
              <w:spacing w:after="0" w:line="240" w:lineRule="auto"/>
              <w:jc w:val="both"/>
              <w:rPr>
                <w:rFonts w:ascii="Arial" w:eastAsia="Arial Narrow" w:hAnsi="Arial" w:cs="Arial"/>
                <w:sz w:val="20"/>
                <w:szCs w:val="20"/>
              </w:rPr>
            </w:pPr>
            <w:r w:rsidRPr="00846D49">
              <w:rPr>
                <w:rFonts w:ascii="Arial" w:eastAsia="Arial Narrow" w:hAnsi="Arial" w:cs="Arial"/>
                <w:sz w:val="20"/>
                <w:szCs w:val="20"/>
              </w:rPr>
              <w:t>La variable A se determina sumando la cantidad de licencias de uso de la marca Aliado por la Conservación otorgados dentro del plazo máximo de atención.</w:t>
            </w:r>
          </w:p>
          <w:p w14:paraId="52FD1279" w14:textId="77777777" w:rsidR="0039068F" w:rsidRPr="00846D49" w:rsidRDefault="0039068F" w:rsidP="0039068F">
            <w:pPr>
              <w:spacing w:after="0" w:line="240" w:lineRule="auto"/>
              <w:jc w:val="both"/>
              <w:rPr>
                <w:rFonts w:ascii="Arial" w:eastAsia="Arial Narrow" w:hAnsi="Arial" w:cs="Arial"/>
                <w:sz w:val="20"/>
                <w:szCs w:val="20"/>
              </w:rPr>
            </w:pPr>
          </w:p>
          <w:p w14:paraId="51BA8C17" w14:textId="77777777" w:rsidR="0039068F" w:rsidRPr="00846D49" w:rsidRDefault="0039068F" w:rsidP="0039068F">
            <w:pPr>
              <w:spacing w:after="0" w:line="240" w:lineRule="auto"/>
              <w:jc w:val="both"/>
              <w:rPr>
                <w:rFonts w:ascii="Arial" w:eastAsia="Times New Roman" w:hAnsi="Arial" w:cs="Arial"/>
                <w:sz w:val="20"/>
                <w:szCs w:val="20"/>
              </w:rPr>
            </w:pPr>
            <w:r w:rsidRPr="00846D49">
              <w:rPr>
                <w:rFonts w:ascii="Arial" w:eastAsia="Arial Narrow" w:hAnsi="Arial" w:cs="Arial"/>
                <w:sz w:val="20"/>
                <w:szCs w:val="20"/>
              </w:rPr>
              <w:t xml:space="preserve">La variable B considera a todas las licencias de uso de la marca Aliado por la Conservación otorgados </w:t>
            </w:r>
            <w:r w:rsidRPr="00846D49">
              <w:rPr>
                <w:rFonts w:ascii="Arial" w:eastAsia="Times New Roman" w:hAnsi="Arial" w:cs="Arial"/>
                <w:sz w:val="20"/>
                <w:szCs w:val="20"/>
              </w:rPr>
              <w:t>en el año de medición.</w:t>
            </w:r>
          </w:p>
          <w:p w14:paraId="3456A1B9" w14:textId="77777777" w:rsidR="0039068F" w:rsidRPr="00846D49" w:rsidRDefault="0039068F" w:rsidP="009C5D49">
            <w:pPr>
              <w:spacing w:after="0" w:line="240" w:lineRule="auto"/>
              <w:jc w:val="both"/>
              <w:rPr>
                <w:rFonts w:ascii="Arial" w:eastAsia="Arial Narrow" w:hAnsi="Arial" w:cs="Arial"/>
                <w:sz w:val="20"/>
                <w:szCs w:val="20"/>
              </w:rPr>
            </w:pPr>
          </w:p>
          <w:p w14:paraId="3EA015C3" w14:textId="69E2940D" w:rsidR="00FE678E" w:rsidRPr="00846D49" w:rsidRDefault="00FE678E" w:rsidP="009C5D49">
            <w:pPr>
              <w:spacing w:after="0" w:line="240" w:lineRule="auto"/>
              <w:jc w:val="both"/>
              <w:rPr>
                <w:rFonts w:ascii="Arial" w:eastAsia="Arial Narrow" w:hAnsi="Arial" w:cs="Arial"/>
                <w:sz w:val="20"/>
                <w:szCs w:val="20"/>
              </w:rPr>
            </w:pPr>
            <w:r w:rsidRPr="00846D49">
              <w:rPr>
                <w:rFonts w:ascii="Arial" w:eastAsia="Arial Narrow" w:hAnsi="Arial" w:cs="Arial"/>
                <w:sz w:val="20"/>
                <w:szCs w:val="20"/>
              </w:rPr>
              <w:t>Los titulares de derechos de aprovechamiento de recursos forestales, flora y fauna silvestre en Áreas Naturales Protegidas de administración nacional son personas naturales o jurídicas que cuentan con un título habilitante para el aprovechamiento del recurso forestal, flora y fauna silvestre y recurso natural paisaje o que cuente con un acuerdo de conservación suscrito con un Área Natural Protegida.</w:t>
            </w:r>
          </w:p>
          <w:p w14:paraId="1E6FBE79" w14:textId="0211C6B6" w:rsidR="00FE678E" w:rsidRPr="00846D49" w:rsidRDefault="00FE678E" w:rsidP="009C5D49">
            <w:pPr>
              <w:spacing w:after="0" w:line="240" w:lineRule="auto"/>
              <w:jc w:val="both"/>
              <w:rPr>
                <w:rFonts w:ascii="Arial" w:eastAsia="Arial Narrow" w:hAnsi="Arial" w:cs="Arial"/>
                <w:sz w:val="20"/>
                <w:szCs w:val="20"/>
              </w:rPr>
            </w:pPr>
            <w:r w:rsidRPr="00846D49">
              <w:rPr>
                <w:rFonts w:ascii="Arial" w:eastAsia="Arial Narrow" w:hAnsi="Arial" w:cs="Arial"/>
                <w:sz w:val="20"/>
                <w:szCs w:val="20"/>
              </w:rPr>
              <w:t xml:space="preserve">La licencia de uso de la </w:t>
            </w:r>
            <w:r w:rsidR="003C3A8B" w:rsidRPr="00846D49">
              <w:rPr>
                <w:rFonts w:ascii="Arial" w:eastAsia="Arial Narrow" w:hAnsi="Arial" w:cs="Arial"/>
                <w:sz w:val="20"/>
                <w:szCs w:val="20"/>
              </w:rPr>
              <w:t xml:space="preserve">marca </w:t>
            </w:r>
            <w:r w:rsidRPr="00846D49">
              <w:rPr>
                <w:rFonts w:ascii="Arial" w:eastAsia="Arial Narrow" w:hAnsi="Arial" w:cs="Arial"/>
                <w:sz w:val="20"/>
                <w:szCs w:val="20"/>
              </w:rPr>
              <w:t>se destina exclusivamente a productos con valor agregado y/o servicios que provengan del aprovechamiento de recursos naturales en el interior de las Áreas Naturales Protegidas, Zona de Amortiguamiento, espacios estratégicos identificados en el Plan Maestro. El uso de la marca se efectúa a través de: etiquetas, envases, envoltorios y publicidad referida al producto y/o servicio, entre otros.</w:t>
            </w:r>
          </w:p>
          <w:p w14:paraId="7511A80E" w14:textId="256E45B1" w:rsidR="0039068F" w:rsidRPr="00846D49" w:rsidRDefault="0039068F" w:rsidP="0039068F">
            <w:pPr>
              <w:spacing w:after="0" w:line="240" w:lineRule="auto"/>
              <w:jc w:val="both"/>
              <w:rPr>
                <w:rFonts w:ascii="Arial" w:eastAsia="Arial Narrow" w:hAnsi="Arial" w:cs="Arial"/>
                <w:sz w:val="20"/>
                <w:szCs w:val="20"/>
              </w:rPr>
            </w:pPr>
            <w:r w:rsidRPr="00846D49">
              <w:rPr>
                <w:rFonts w:ascii="Arial" w:eastAsia="Arial Narrow" w:hAnsi="Arial" w:cs="Arial"/>
                <w:sz w:val="20"/>
                <w:szCs w:val="20"/>
              </w:rPr>
              <w:t>El plazo máximo de atención de la solicitud para el otorgamiento de la licencia de uso de la marca Aliado por la Conservación es de 15 días hábiles</w:t>
            </w:r>
            <w:r w:rsidR="00845E89" w:rsidRPr="00846D49">
              <w:rPr>
                <w:rFonts w:ascii="Arial" w:eastAsia="Arial Narrow" w:hAnsi="Arial" w:cs="Arial"/>
                <w:sz w:val="20"/>
                <w:szCs w:val="20"/>
              </w:rPr>
              <w:t xml:space="preserve"> desde la presentación de la solicitud</w:t>
            </w:r>
            <w:r w:rsidRPr="00846D49">
              <w:rPr>
                <w:rFonts w:ascii="Arial" w:eastAsia="Arial Narrow" w:hAnsi="Arial" w:cs="Arial"/>
                <w:sz w:val="20"/>
                <w:szCs w:val="20"/>
              </w:rPr>
              <w:t xml:space="preserve">, conforme a lo previsto en la </w:t>
            </w:r>
            <w:r w:rsidR="00011FF7" w:rsidRPr="00846D49">
              <w:rPr>
                <w:rFonts w:ascii="Arial" w:eastAsia="Arial Narrow" w:hAnsi="Arial" w:cs="Arial"/>
                <w:sz w:val="20"/>
                <w:szCs w:val="20"/>
              </w:rPr>
              <w:t>Resolución Presidencial</w:t>
            </w:r>
            <w:r w:rsidRPr="00846D49">
              <w:rPr>
                <w:rFonts w:ascii="Arial" w:eastAsia="Arial Narrow" w:hAnsi="Arial" w:cs="Arial"/>
                <w:sz w:val="20"/>
                <w:szCs w:val="20"/>
              </w:rPr>
              <w:t xml:space="preserve"> N° 180-2021-SERNANP.</w:t>
            </w:r>
          </w:p>
          <w:p w14:paraId="403D18F4" w14:textId="77777777" w:rsidR="0039068F" w:rsidRPr="00846D49" w:rsidRDefault="0039068F" w:rsidP="009C5D49">
            <w:pPr>
              <w:spacing w:after="0" w:line="240" w:lineRule="auto"/>
              <w:jc w:val="both"/>
              <w:rPr>
                <w:rFonts w:ascii="Arial" w:eastAsia="Arial Narrow" w:hAnsi="Arial" w:cs="Arial"/>
                <w:sz w:val="20"/>
                <w:szCs w:val="20"/>
              </w:rPr>
            </w:pPr>
          </w:p>
          <w:p w14:paraId="3FEAD943" w14:textId="0E269A6E" w:rsidR="00FE678E" w:rsidRPr="00846D49" w:rsidRDefault="0039068F" w:rsidP="009C5D49">
            <w:pPr>
              <w:spacing w:after="0" w:line="240" w:lineRule="auto"/>
              <w:jc w:val="both"/>
              <w:rPr>
                <w:rFonts w:ascii="Arial" w:eastAsia="Arial Narrow" w:hAnsi="Arial" w:cs="Arial"/>
                <w:sz w:val="20"/>
                <w:szCs w:val="20"/>
              </w:rPr>
            </w:pPr>
            <w:r w:rsidRPr="00846D49">
              <w:rPr>
                <w:rFonts w:ascii="Arial" w:eastAsia="Arial Narrow" w:hAnsi="Arial" w:cs="Arial"/>
                <w:sz w:val="20"/>
                <w:szCs w:val="20"/>
              </w:rPr>
              <w:t>Se carece de línea base porque no se contaba con la metodología para la medición del estándar, por ese motivo, el SERNANP determinará la línea base antes del inicio de la implementación de la presente Política Nacional.</w:t>
            </w:r>
          </w:p>
        </w:tc>
      </w:tr>
      <w:tr w:rsidR="008A26D2" w:rsidRPr="008A26D2" w14:paraId="3F5DE19B" w14:textId="77777777" w:rsidTr="0087293E">
        <w:trPr>
          <w:trHeight w:val="340"/>
        </w:trPr>
        <w:tc>
          <w:tcPr>
            <w:tcW w:w="1361" w:type="pct"/>
            <w:gridSpan w:val="2"/>
            <w:shd w:val="clear" w:color="auto" w:fill="auto"/>
            <w:tcMar>
              <w:top w:w="10" w:type="dxa"/>
              <w:left w:w="93" w:type="dxa"/>
              <w:bottom w:w="0" w:type="dxa"/>
              <w:right w:w="10" w:type="dxa"/>
            </w:tcMar>
            <w:vAlign w:val="center"/>
          </w:tcPr>
          <w:p w14:paraId="4E12CB32" w14:textId="77777777" w:rsidR="00FE678E" w:rsidRPr="008A26D2" w:rsidRDefault="00FE678E" w:rsidP="009C5D49">
            <w:pPr>
              <w:rPr>
                <w:rFonts w:ascii="Arial" w:eastAsia="Arial Narrow" w:hAnsi="Arial" w:cs="Arial"/>
                <w:sz w:val="20"/>
                <w:szCs w:val="20"/>
              </w:rPr>
            </w:pPr>
            <w:r w:rsidRPr="008A26D2">
              <w:rPr>
                <w:rFonts w:ascii="Arial" w:eastAsia="Arial Narrow" w:hAnsi="Arial" w:cs="Arial"/>
                <w:b/>
                <w:sz w:val="20"/>
                <w:szCs w:val="20"/>
              </w:rPr>
              <w:t>Sentido esperado del indicador:</w:t>
            </w:r>
          </w:p>
        </w:tc>
        <w:tc>
          <w:tcPr>
            <w:tcW w:w="1015" w:type="pct"/>
            <w:gridSpan w:val="2"/>
            <w:shd w:val="clear" w:color="auto" w:fill="auto"/>
            <w:tcMar>
              <w:top w:w="10" w:type="dxa"/>
              <w:left w:w="283" w:type="dxa"/>
              <w:bottom w:w="0" w:type="dxa"/>
              <w:right w:w="283" w:type="dxa"/>
            </w:tcMar>
            <w:vAlign w:val="center"/>
          </w:tcPr>
          <w:p w14:paraId="420A26E3" w14:textId="77777777" w:rsidR="00FE678E" w:rsidRPr="008A26D2" w:rsidRDefault="00FE678E" w:rsidP="009C5D49">
            <w:pPr>
              <w:rPr>
                <w:rFonts w:ascii="Arial" w:eastAsia="Arial Narrow" w:hAnsi="Arial" w:cs="Arial"/>
                <w:sz w:val="20"/>
                <w:szCs w:val="20"/>
              </w:rPr>
            </w:pPr>
            <w:r w:rsidRPr="008A26D2">
              <w:rPr>
                <w:rFonts w:ascii="Arial" w:eastAsia="Arial Narrow" w:hAnsi="Arial" w:cs="Arial"/>
                <w:sz w:val="20"/>
                <w:szCs w:val="20"/>
              </w:rPr>
              <w:t>Ascendente</w:t>
            </w:r>
          </w:p>
        </w:tc>
        <w:tc>
          <w:tcPr>
            <w:tcW w:w="1508" w:type="pct"/>
            <w:gridSpan w:val="4"/>
            <w:shd w:val="clear" w:color="auto" w:fill="auto"/>
            <w:tcMar>
              <w:top w:w="15" w:type="dxa"/>
              <w:left w:w="15" w:type="dxa"/>
              <w:bottom w:w="0" w:type="dxa"/>
              <w:right w:w="15" w:type="dxa"/>
            </w:tcMar>
            <w:vAlign w:val="center"/>
          </w:tcPr>
          <w:p w14:paraId="1A82B79F" w14:textId="77777777" w:rsidR="00FE678E" w:rsidRPr="008A26D2" w:rsidRDefault="00FE678E" w:rsidP="009C5D49">
            <w:pPr>
              <w:jc w:val="center"/>
              <w:rPr>
                <w:rFonts w:ascii="Arial" w:eastAsia="Arial Narrow" w:hAnsi="Arial" w:cs="Arial"/>
                <w:sz w:val="20"/>
                <w:szCs w:val="20"/>
              </w:rPr>
            </w:pPr>
            <w:r w:rsidRPr="008A26D2">
              <w:rPr>
                <w:rFonts w:ascii="Arial" w:eastAsia="Arial Narrow" w:hAnsi="Arial" w:cs="Arial"/>
                <w:b/>
                <w:sz w:val="20"/>
                <w:szCs w:val="20"/>
              </w:rPr>
              <w:t>Tipo de indicador de servicio:</w:t>
            </w:r>
          </w:p>
        </w:tc>
        <w:tc>
          <w:tcPr>
            <w:tcW w:w="1117" w:type="pct"/>
            <w:gridSpan w:val="3"/>
            <w:shd w:val="clear" w:color="auto" w:fill="auto"/>
            <w:tcMar>
              <w:top w:w="15" w:type="dxa"/>
              <w:left w:w="15" w:type="dxa"/>
              <w:bottom w:w="0" w:type="dxa"/>
              <w:right w:w="15" w:type="dxa"/>
            </w:tcMar>
            <w:vAlign w:val="center"/>
          </w:tcPr>
          <w:p w14:paraId="23CB0A7B" w14:textId="77777777" w:rsidR="00FE678E" w:rsidRPr="008A26D2" w:rsidRDefault="00FE678E" w:rsidP="009C5D49">
            <w:pPr>
              <w:jc w:val="center"/>
              <w:rPr>
                <w:rFonts w:ascii="Arial" w:eastAsia="Arial Narrow" w:hAnsi="Arial" w:cs="Arial"/>
                <w:sz w:val="20"/>
                <w:szCs w:val="20"/>
              </w:rPr>
            </w:pPr>
            <w:r w:rsidRPr="008A26D2">
              <w:rPr>
                <w:rFonts w:ascii="Arial" w:eastAsia="Arial Narrow" w:hAnsi="Arial" w:cs="Arial"/>
                <w:sz w:val="20"/>
                <w:szCs w:val="20"/>
              </w:rPr>
              <w:t>Calidad - Oportunidad</w:t>
            </w:r>
          </w:p>
        </w:tc>
      </w:tr>
      <w:tr w:rsidR="008A26D2" w:rsidRPr="008A26D2" w14:paraId="34589330" w14:textId="77777777" w:rsidTr="0087293E">
        <w:trPr>
          <w:trHeight w:val="13"/>
        </w:trPr>
        <w:tc>
          <w:tcPr>
            <w:tcW w:w="1361" w:type="pct"/>
            <w:gridSpan w:val="2"/>
            <w:shd w:val="clear" w:color="auto" w:fill="auto"/>
            <w:tcMar>
              <w:top w:w="10" w:type="dxa"/>
              <w:left w:w="93" w:type="dxa"/>
              <w:bottom w:w="0" w:type="dxa"/>
              <w:right w:w="10" w:type="dxa"/>
            </w:tcMar>
            <w:vAlign w:val="center"/>
          </w:tcPr>
          <w:p w14:paraId="0FA4D7BF" w14:textId="77777777" w:rsidR="00FE678E" w:rsidRPr="008A26D2" w:rsidRDefault="00FE678E" w:rsidP="009C5D49">
            <w:pPr>
              <w:spacing w:after="0"/>
              <w:rPr>
                <w:rFonts w:ascii="Arial" w:eastAsia="Arial Narrow" w:hAnsi="Arial" w:cs="Arial"/>
                <w:sz w:val="20"/>
                <w:szCs w:val="20"/>
              </w:rPr>
            </w:pPr>
            <w:r w:rsidRPr="008A26D2">
              <w:rPr>
                <w:rFonts w:ascii="Arial" w:eastAsia="Arial Narrow" w:hAnsi="Arial" w:cs="Arial"/>
                <w:b/>
                <w:sz w:val="20"/>
                <w:szCs w:val="20"/>
              </w:rPr>
              <w:t>Fuente y base de datos:</w:t>
            </w:r>
          </w:p>
        </w:tc>
        <w:tc>
          <w:tcPr>
            <w:tcW w:w="3639" w:type="pct"/>
            <w:gridSpan w:val="9"/>
            <w:shd w:val="clear" w:color="auto" w:fill="auto"/>
            <w:tcMar>
              <w:top w:w="51" w:type="dxa"/>
              <w:left w:w="227" w:type="dxa"/>
              <w:bottom w:w="51" w:type="dxa"/>
              <w:right w:w="227" w:type="dxa"/>
            </w:tcMar>
            <w:vAlign w:val="center"/>
          </w:tcPr>
          <w:p w14:paraId="520E932E" w14:textId="66989D95" w:rsidR="003C3A8B" w:rsidRDefault="00FE678E" w:rsidP="009C5D49">
            <w:pPr>
              <w:spacing w:after="0"/>
              <w:rPr>
                <w:rFonts w:ascii="Arial" w:eastAsia="Arial Narrow" w:hAnsi="Arial" w:cs="Arial"/>
                <w:sz w:val="20"/>
                <w:szCs w:val="20"/>
              </w:rPr>
            </w:pPr>
            <w:r w:rsidRPr="008A26D2">
              <w:rPr>
                <w:rFonts w:ascii="Arial" w:eastAsia="Arial Narrow" w:hAnsi="Arial" w:cs="Arial"/>
                <w:sz w:val="20"/>
                <w:szCs w:val="20"/>
              </w:rPr>
              <w:t xml:space="preserve">Fuente: Dirección de Gestión de las Áreas Naturales Protegidas-DGANP </w:t>
            </w:r>
            <w:r w:rsidR="003C3A8B">
              <w:rPr>
                <w:rFonts w:ascii="Arial" w:eastAsia="Arial Narrow" w:hAnsi="Arial" w:cs="Arial"/>
                <w:sz w:val="20"/>
                <w:szCs w:val="20"/>
              </w:rPr>
              <w:t>del Servicio Nacional de Áreas Protegidas por el Estado –</w:t>
            </w:r>
            <w:r w:rsidRPr="008A26D2">
              <w:rPr>
                <w:rFonts w:ascii="Arial" w:eastAsia="Arial Narrow" w:hAnsi="Arial" w:cs="Arial"/>
                <w:sz w:val="20"/>
                <w:szCs w:val="20"/>
              </w:rPr>
              <w:t xml:space="preserve"> SERNAN</w:t>
            </w:r>
            <w:r w:rsidR="003C3A8B">
              <w:rPr>
                <w:rFonts w:ascii="Arial" w:eastAsia="Arial Narrow" w:hAnsi="Arial" w:cs="Arial"/>
                <w:sz w:val="20"/>
                <w:szCs w:val="20"/>
              </w:rPr>
              <w:t>P.</w:t>
            </w:r>
          </w:p>
          <w:p w14:paraId="7E343816" w14:textId="34D058B9" w:rsidR="00FE678E" w:rsidRPr="008A26D2" w:rsidRDefault="00FE678E" w:rsidP="00881C3C">
            <w:pPr>
              <w:spacing w:after="0"/>
              <w:jc w:val="both"/>
              <w:rPr>
                <w:rFonts w:ascii="Arial" w:eastAsia="Arial Narrow" w:hAnsi="Arial" w:cs="Arial"/>
                <w:sz w:val="20"/>
                <w:szCs w:val="20"/>
              </w:rPr>
            </w:pPr>
            <w:r w:rsidRPr="008A26D2">
              <w:rPr>
                <w:rFonts w:ascii="Arial" w:eastAsia="Arial Narrow" w:hAnsi="Arial" w:cs="Arial"/>
                <w:sz w:val="20"/>
                <w:szCs w:val="20"/>
              </w:rPr>
              <w:t>Reporte: Informes Trimestrales de la Dirección de Gestión de Áreas Naturales Protegidas</w:t>
            </w:r>
            <w:r w:rsidR="006B3EAF">
              <w:rPr>
                <w:rFonts w:ascii="Arial" w:eastAsia="Arial Narrow" w:hAnsi="Arial" w:cs="Arial"/>
                <w:sz w:val="20"/>
                <w:szCs w:val="20"/>
              </w:rPr>
              <w:t>, r</w:t>
            </w:r>
            <w:r w:rsidRPr="008A26D2">
              <w:rPr>
                <w:rFonts w:ascii="Arial" w:eastAsia="Arial Narrow" w:hAnsi="Arial" w:cs="Arial"/>
                <w:sz w:val="20"/>
                <w:szCs w:val="20"/>
              </w:rPr>
              <w:t xml:space="preserve">eporte mensual de procedimientos </w:t>
            </w:r>
            <w:r w:rsidRPr="008A26D2">
              <w:rPr>
                <w:rFonts w:ascii="Arial" w:eastAsia="Arial Narrow" w:hAnsi="Arial" w:cs="Arial"/>
                <w:sz w:val="20"/>
                <w:szCs w:val="20"/>
              </w:rPr>
              <w:lastRenderedPageBreak/>
              <w:t xml:space="preserve">TUPA </w:t>
            </w:r>
            <w:r w:rsidR="006B3EAF">
              <w:rPr>
                <w:rFonts w:ascii="Arial" w:eastAsia="Arial Narrow" w:hAnsi="Arial" w:cs="Arial"/>
                <w:sz w:val="20"/>
                <w:szCs w:val="20"/>
              </w:rPr>
              <w:t xml:space="preserve">del </w:t>
            </w:r>
            <w:r w:rsidRPr="008A26D2">
              <w:rPr>
                <w:rFonts w:ascii="Arial" w:eastAsia="Arial Narrow" w:hAnsi="Arial" w:cs="Arial"/>
                <w:sz w:val="20"/>
                <w:szCs w:val="20"/>
              </w:rPr>
              <w:t>SERNANP y Unidad Operativa Funcional Manejo de Recursos Naturales</w:t>
            </w:r>
          </w:p>
        </w:tc>
      </w:tr>
      <w:tr w:rsidR="008A26D2" w:rsidRPr="008A26D2" w14:paraId="5CBA628C" w14:textId="77777777" w:rsidTr="0087293E">
        <w:trPr>
          <w:trHeight w:val="436"/>
        </w:trPr>
        <w:tc>
          <w:tcPr>
            <w:tcW w:w="1361" w:type="pct"/>
            <w:gridSpan w:val="2"/>
            <w:shd w:val="clear" w:color="auto" w:fill="auto"/>
            <w:tcMar>
              <w:top w:w="10" w:type="dxa"/>
              <w:left w:w="93" w:type="dxa"/>
              <w:bottom w:w="0" w:type="dxa"/>
              <w:right w:w="10" w:type="dxa"/>
            </w:tcMar>
            <w:vAlign w:val="center"/>
          </w:tcPr>
          <w:p w14:paraId="45136131" w14:textId="77777777" w:rsidR="00FE678E" w:rsidRPr="008A26D2" w:rsidRDefault="00FE678E" w:rsidP="009C5D49">
            <w:pPr>
              <w:spacing w:after="0"/>
              <w:rPr>
                <w:rFonts w:ascii="Arial" w:eastAsia="Arial Narrow" w:hAnsi="Arial" w:cs="Arial"/>
                <w:sz w:val="20"/>
                <w:szCs w:val="20"/>
              </w:rPr>
            </w:pPr>
            <w:r w:rsidRPr="008A26D2">
              <w:rPr>
                <w:rFonts w:ascii="Arial" w:eastAsia="Arial Narrow" w:hAnsi="Arial" w:cs="Arial"/>
                <w:b/>
                <w:sz w:val="20"/>
                <w:szCs w:val="20"/>
              </w:rPr>
              <w:lastRenderedPageBreak/>
              <w:t>Supuestos:</w:t>
            </w:r>
          </w:p>
        </w:tc>
        <w:tc>
          <w:tcPr>
            <w:tcW w:w="3639" w:type="pct"/>
            <w:gridSpan w:val="9"/>
            <w:shd w:val="clear" w:color="auto" w:fill="auto"/>
            <w:tcMar>
              <w:top w:w="51" w:type="dxa"/>
              <w:left w:w="227" w:type="dxa"/>
              <w:bottom w:w="51" w:type="dxa"/>
              <w:right w:w="227" w:type="dxa"/>
            </w:tcMar>
            <w:vAlign w:val="center"/>
          </w:tcPr>
          <w:p w14:paraId="13847CF4" w14:textId="77777777" w:rsidR="00FE678E" w:rsidRPr="008A26D2" w:rsidRDefault="00FE678E" w:rsidP="009C5D49">
            <w:pPr>
              <w:pStyle w:val="Default"/>
              <w:rPr>
                <w:rFonts w:ascii="Arial" w:eastAsia="Arial Narrow" w:hAnsi="Arial" w:cs="Arial"/>
                <w:color w:val="auto"/>
                <w:sz w:val="20"/>
                <w:szCs w:val="20"/>
              </w:rPr>
            </w:pPr>
            <w:r w:rsidRPr="008A26D2">
              <w:rPr>
                <w:rFonts w:ascii="Arial" w:hAnsi="Arial" w:cs="Arial"/>
                <w:color w:val="auto"/>
                <w:sz w:val="20"/>
                <w:szCs w:val="20"/>
              </w:rPr>
              <w:t>Disponibilidad de la información en una base informática</w:t>
            </w:r>
          </w:p>
        </w:tc>
      </w:tr>
      <w:tr w:rsidR="008A26D2" w:rsidRPr="008A26D2" w14:paraId="0BFD9DD6" w14:textId="77777777" w:rsidTr="0087293E">
        <w:trPr>
          <w:trHeight w:val="556"/>
        </w:trPr>
        <w:tc>
          <w:tcPr>
            <w:tcW w:w="713" w:type="pct"/>
            <w:shd w:val="clear" w:color="auto" w:fill="auto"/>
            <w:tcMar>
              <w:top w:w="10" w:type="dxa"/>
              <w:left w:w="10" w:type="dxa"/>
              <w:bottom w:w="0" w:type="dxa"/>
              <w:right w:w="10" w:type="dxa"/>
            </w:tcMar>
            <w:vAlign w:val="center"/>
          </w:tcPr>
          <w:p w14:paraId="756380C1" w14:textId="77777777" w:rsidR="00FE678E" w:rsidRPr="008A26D2" w:rsidRDefault="00FE678E" w:rsidP="009C5D49">
            <w:pPr>
              <w:rPr>
                <w:rFonts w:ascii="Arial" w:eastAsia="Arial Narrow" w:hAnsi="Arial" w:cs="Arial"/>
                <w:sz w:val="20"/>
                <w:szCs w:val="20"/>
              </w:rPr>
            </w:pPr>
            <w:r w:rsidRPr="008A26D2">
              <w:rPr>
                <w:rFonts w:ascii="Arial" w:eastAsia="Arial Narrow" w:hAnsi="Arial" w:cs="Arial"/>
                <w:b/>
                <w:sz w:val="20"/>
                <w:szCs w:val="20"/>
              </w:rPr>
              <w:t> </w:t>
            </w:r>
          </w:p>
        </w:tc>
        <w:tc>
          <w:tcPr>
            <w:tcW w:w="647" w:type="pct"/>
            <w:shd w:val="clear" w:color="auto" w:fill="auto"/>
            <w:tcMar>
              <w:top w:w="10" w:type="dxa"/>
              <w:left w:w="10" w:type="dxa"/>
              <w:bottom w:w="0" w:type="dxa"/>
              <w:right w:w="10" w:type="dxa"/>
            </w:tcMar>
            <w:vAlign w:val="center"/>
          </w:tcPr>
          <w:p w14:paraId="054F5B89" w14:textId="77777777" w:rsidR="00FE678E" w:rsidRPr="008A26D2" w:rsidRDefault="00FE678E" w:rsidP="009C5D49">
            <w:pPr>
              <w:jc w:val="center"/>
              <w:rPr>
                <w:rFonts w:ascii="Arial" w:eastAsia="Arial Narrow" w:hAnsi="Arial" w:cs="Arial"/>
                <w:sz w:val="20"/>
                <w:szCs w:val="20"/>
              </w:rPr>
            </w:pPr>
            <w:r w:rsidRPr="008A26D2">
              <w:rPr>
                <w:rFonts w:ascii="Arial" w:eastAsia="Arial Narrow" w:hAnsi="Arial" w:cs="Arial"/>
                <w:b/>
                <w:sz w:val="20"/>
                <w:szCs w:val="20"/>
              </w:rPr>
              <w:t>Línea de base</w:t>
            </w:r>
          </w:p>
        </w:tc>
        <w:tc>
          <w:tcPr>
            <w:tcW w:w="3639" w:type="pct"/>
            <w:gridSpan w:val="9"/>
            <w:shd w:val="clear" w:color="auto" w:fill="auto"/>
            <w:tcMar>
              <w:top w:w="10" w:type="dxa"/>
              <w:left w:w="10" w:type="dxa"/>
              <w:bottom w:w="0" w:type="dxa"/>
              <w:right w:w="10" w:type="dxa"/>
            </w:tcMar>
            <w:vAlign w:val="center"/>
          </w:tcPr>
          <w:p w14:paraId="50774E24" w14:textId="77777777" w:rsidR="00FE678E" w:rsidRPr="008A26D2" w:rsidRDefault="00FE678E" w:rsidP="009C5D49">
            <w:pPr>
              <w:jc w:val="center"/>
              <w:rPr>
                <w:rFonts w:ascii="Arial" w:eastAsia="Arial Narrow" w:hAnsi="Arial" w:cs="Arial"/>
                <w:sz w:val="20"/>
                <w:szCs w:val="20"/>
              </w:rPr>
            </w:pPr>
            <w:r w:rsidRPr="008A26D2">
              <w:rPr>
                <w:rFonts w:ascii="Arial" w:eastAsia="Arial Narrow" w:hAnsi="Arial" w:cs="Arial"/>
                <w:b/>
                <w:sz w:val="20"/>
                <w:szCs w:val="20"/>
              </w:rPr>
              <w:t xml:space="preserve">Logros esperados </w:t>
            </w:r>
          </w:p>
        </w:tc>
      </w:tr>
      <w:tr w:rsidR="008A26D2" w:rsidRPr="008A26D2" w14:paraId="5269144C" w14:textId="77777777" w:rsidTr="0087293E">
        <w:trPr>
          <w:trHeight w:val="217"/>
        </w:trPr>
        <w:tc>
          <w:tcPr>
            <w:tcW w:w="713" w:type="pct"/>
            <w:shd w:val="clear" w:color="auto" w:fill="auto"/>
            <w:tcMar>
              <w:top w:w="10" w:type="dxa"/>
              <w:left w:w="10" w:type="dxa"/>
              <w:bottom w:w="0" w:type="dxa"/>
              <w:right w:w="10" w:type="dxa"/>
            </w:tcMar>
            <w:vAlign w:val="center"/>
          </w:tcPr>
          <w:p w14:paraId="1B9CDDA8" w14:textId="77777777" w:rsidR="00FE678E" w:rsidRPr="008A26D2" w:rsidRDefault="00FE678E" w:rsidP="009C5D49">
            <w:pPr>
              <w:jc w:val="center"/>
              <w:rPr>
                <w:rFonts w:ascii="Arial" w:eastAsia="Arial Narrow" w:hAnsi="Arial" w:cs="Arial"/>
                <w:sz w:val="20"/>
                <w:szCs w:val="20"/>
              </w:rPr>
            </w:pPr>
            <w:r w:rsidRPr="008A26D2">
              <w:rPr>
                <w:rFonts w:ascii="Arial" w:eastAsia="Arial Narrow" w:hAnsi="Arial" w:cs="Arial"/>
                <w:b/>
                <w:sz w:val="20"/>
                <w:szCs w:val="20"/>
              </w:rPr>
              <w:t>Año</w:t>
            </w:r>
          </w:p>
        </w:tc>
        <w:tc>
          <w:tcPr>
            <w:tcW w:w="647" w:type="pct"/>
            <w:shd w:val="clear" w:color="auto" w:fill="auto"/>
            <w:tcMar>
              <w:top w:w="10" w:type="dxa"/>
              <w:left w:w="10" w:type="dxa"/>
              <w:bottom w:w="0" w:type="dxa"/>
              <w:right w:w="10" w:type="dxa"/>
            </w:tcMar>
            <w:vAlign w:val="center"/>
          </w:tcPr>
          <w:p w14:paraId="6BF0315F" w14:textId="77777777" w:rsidR="00FE678E" w:rsidRPr="008A26D2" w:rsidRDefault="00FE678E" w:rsidP="009C5D49">
            <w:pPr>
              <w:jc w:val="center"/>
              <w:rPr>
                <w:rFonts w:ascii="Arial" w:eastAsia="Arial Narrow" w:hAnsi="Arial" w:cs="Arial"/>
                <w:b/>
                <w:sz w:val="20"/>
                <w:szCs w:val="20"/>
              </w:rPr>
            </w:pPr>
            <w:r w:rsidRPr="008A26D2">
              <w:rPr>
                <w:rFonts w:ascii="Arial" w:eastAsia="Arial Narrow" w:hAnsi="Arial" w:cs="Arial"/>
                <w:b/>
                <w:sz w:val="20"/>
                <w:szCs w:val="20"/>
              </w:rPr>
              <w:t>2022</w:t>
            </w:r>
          </w:p>
        </w:tc>
        <w:tc>
          <w:tcPr>
            <w:tcW w:w="431" w:type="pct"/>
            <w:shd w:val="clear" w:color="auto" w:fill="auto"/>
            <w:tcMar>
              <w:top w:w="10" w:type="dxa"/>
              <w:left w:w="10" w:type="dxa"/>
              <w:bottom w:w="0" w:type="dxa"/>
              <w:right w:w="10" w:type="dxa"/>
            </w:tcMar>
            <w:vAlign w:val="center"/>
          </w:tcPr>
          <w:p w14:paraId="78A30451" w14:textId="77777777" w:rsidR="00FE678E" w:rsidRPr="008A26D2" w:rsidRDefault="00FE678E" w:rsidP="009C5D49">
            <w:pPr>
              <w:jc w:val="center"/>
              <w:rPr>
                <w:rFonts w:ascii="Arial" w:eastAsia="Arial Narrow" w:hAnsi="Arial" w:cs="Arial"/>
                <w:b/>
                <w:sz w:val="20"/>
                <w:szCs w:val="20"/>
              </w:rPr>
            </w:pPr>
            <w:r w:rsidRPr="008A26D2">
              <w:rPr>
                <w:rFonts w:ascii="Arial" w:eastAsia="Arial Narrow" w:hAnsi="Arial" w:cs="Arial"/>
                <w:b/>
                <w:sz w:val="20"/>
                <w:szCs w:val="20"/>
              </w:rPr>
              <w:t>2023</w:t>
            </w:r>
          </w:p>
        </w:tc>
        <w:tc>
          <w:tcPr>
            <w:tcW w:w="584" w:type="pct"/>
            <w:shd w:val="clear" w:color="auto" w:fill="auto"/>
            <w:vAlign w:val="center"/>
          </w:tcPr>
          <w:p w14:paraId="20E98C8A" w14:textId="77777777" w:rsidR="00FE678E" w:rsidRPr="008A26D2" w:rsidRDefault="00FE678E" w:rsidP="009C5D49">
            <w:pPr>
              <w:jc w:val="center"/>
              <w:rPr>
                <w:rFonts w:ascii="Arial" w:eastAsia="Arial Narrow" w:hAnsi="Arial" w:cs="Arial"/>
                <w:b/>
                <w:sz w:val="20"/>
                <w:szCs w:val="20"/>
              </w:rPr>
            </w:pPr>
            <w:r w:rsidRPr="008A26D2">
              <w:rPr>
                <w:rFonts w:ascii="Arial" w:eastAsia="Arial Narrow" w:hAnsi="Arial" w:cs="Arial"/>
                <w:b/>
                <w:sz w:val="20"/>
                <w:szCs w:val="20"/>
              </w:rPr>
              <w:t>2024</w:t>
            </w:r>
          </w:p>
        </w:tc>
        <w:tc>
          <w:tcPr>
            <w:tcW w:w="410" w:type="pct"/>
            <w:shd w:val="clear" w:color="auto" w:fill="auto"/>
            <w:vAlign w:val="center"/>
          </w:tcPr>
          <w:p w14:paraId="3AC16060" w14:textId="77777777" w:rsidR="00FE678E" w:rsidRPr="008A26D2" w:rsidRDefault="00FE678E" w:rsidP="009C5D49">
            <w:pPr>
              <w:jc w:val="center"/>
              <w:rPr>
                <w:rFonts w:ascii="Arial" w:eastAsia="Arial Narrow" w:hAnsi="Arial" w:cs="Arial"/>
                <w:b/>
                <w:sz w:val="20"/>
                <w:szCs w:val="20"/>
              </w:rPr>
            </w:pPr>
            <w:r w:rsidRPr="008A26D2">
              <w:rPr>
                <w:rFonts w:ascii="Arial" w:eastAsia="Arial Narrow" w:hAnsi="Arial" w:cs="Arial"/>
                <w:b/>
                <w:sz w:val="20"/>
                <w:szCs w:val="20"/>
              </w:rPr>
              <w:t>2025</w:t>
            </w:r>
          </w:p>
        </w:tc>
        <w:tc>
          <w:tcPr>
            <w:tcW w:w="411" w:type="pct"/>
            <w:shd w:val="clear" w:color="auto" w:fill="auto"/>
            <w:vAlign w:val="center"/>
          </w:tcPr>
          <w:p w14:paraId="279B1F57" w14:textId="77777777" w:rsidR="00FE678E" w:rsidRPr="008A26D2" w:rsidRDefault="00FE678E" w:rsidP="009C5D49">
            <w:pPr>
              <w:jc w:val="center"/>
              <w:rPr>
                <w:rFonts w:ascii="Arial" w:eastAsia="Arial Narrow" w:hAnsi="Arial" w:cs="Arial"/>
                <w:b/>
                <w:sz w:val="20"/>
                <w:szCs w:val="20"/>
              </w:rPr>
            </w:pPr>
            <w:r w:rsidRPr="008A26D2">
              <w:rPr>
                <w:rFonts w:ascii="Arial" w:eastAsia="Arial Narrow" w:hAnsi="Arial" w:cs="Arial"/>
                <w:b/>
                <w:sz w:val="20"/>
                <w:szCs w:val="20"/>
              </w:rPr>
              <w:t>2026</w:t>
            </w:r>
          </w:p>
        </w:tc>
        <w:tc>
          <w:tcPr>
            <w:tcW w:w="445" w:type="pct"/>
            <w:shd w:val="clear" w:color="auto" w:fill="auto"/>
            <w:vAlign w:val="center"/>
          </w:tcPr>
          <w:p w14:paraId="050E05A1" w14:textId="77777777" w:rsidR="00FE678E" w:rsidRPr="008A26D2" w:rsidRDefault="00FE678E" w:rsidP="009C5D49">
            <w:pPr>
              <w:jc w:val="center"/>
              <w:rPr>
                <w:rFonts w:ascii="Arial" w:eastAsia="Arial Narrow" w:hAnsi="Arial" w:cs="Arial"/>
                <w:b/>
                <w:sz w:val="20"/>
                <w:szCs w:val="20"/>
              </w:rPr>
            </w:pPr>
            <w:r w:rsidRPr="008A26D2">
              <w:rPr>
                <w:rFonts w:ascii="Arial" w:eastAsia="Arial Narrow" w:hAnsi="Arial" w:cs="Arial"/>
                <w:b/>
                <w:sz w:val="20"/>
                <w:szCs w:val="20"/>
              </w:rPr>
              <w:t>2027</w:t>
            </w:r>
          </w:p>
        </w:tc>
        <w:tc>
          <w:tcPr>
            <w:tcW w:w="447" w:type="pct"/>
            <w:gridSpan w:val="2"/>
            <w:shd w:val="clear" w:color="auto" w:fill="auto"/>
            <w:vAlign w:val="center"/>
          </w:tcPr>
          <w:p w14:paraId="05FAADBC" w14:textId="77777777" w:rsidR="00FE678E" w:rsidRPr="008A26D2" w:rsidRDefault="00FE678E" w:rsidP="009C5D49">
            <w:pPr>
              <w:jc w:val="center"/>
              <w:rPr>
                <w:rFonts w:ascii="Arial" w:eastAsia="Arial Narrow" w:hAnsi="Arial" w:cs="Arial"/>
                <w:b/>
                <w:sz w:val="20"/>
                <w:szCs w:val="20"/>
              </w:rPr>
            </w:pPr>
            <w:r w:rsidRPr="008A26D2">
              <w:rPr>
                <w:rFonts w:ascii="Arial" w:eastAsia="Arial Narrow" w:hAnsi="Arial" w:cs="Arial"/>
                <w:b/>
                <w:sz w:val="20"/>
                <w:szCs w:val="20"/>
              </w:rPr>
              <w:t>2028</w:t>
            </w:r>
          </w:p>
        </w:tc>
        <w:tc>
          <w:tcPr>
            <w:tcW w:w="445" w:type="pct"/>
            <w:shd w:val="clear" w:color="auto" w:fill="auto"/>
            <w:vAlign w:val="center"/>
          </w:tcPr>
          <w:p w14:paraId="7CE7BA45" w14:textId="77777777" w:rsidR="00FE678E" w:rsidRPr="008A26D2" w:rsidRDefault="00FE678E" w:rsidP="009C5D49">
            <w:pPr>
              <w:jc w:val="center"/>
              <w:rPr>
                <w:rFonts w:ascii="Arial" w:eastAsia="Arial Narrow" w:hAnsi="Arial" w:cs="Arial"/>
                <w:b/>
                <w:sz w:val="20"/>
                <w:szCs w:val="20"/>
              </w:rPr>
            </w:pPr>
            <w:r w:rsidRPr="008A26D2">
              <w:rPr>
                <w:rFonts w:ascii="Arial" w:eastAsia="Arial Narrow" w:hAnsi="Arial" w:cs="Arial"/>
                <w:b/>
                <w:sz w:val="20"/>
                <w:szCs w:val="20"/>
              </w:rPr>
              <w:t>2029</w:t>
            </w:r>
          </w:p>
        </w:tc>
        <w:tc>
          <w:tcPr>
            <w:tcW w:w="466" w:type="pct"/>
            <w:shd w:val="clear" w:color="auto" w:fill="auto"/>
            <w:tcMar>
              <w:top w:w="10" w:type="dxa"/>
              <w:left w:w="10" w:type="dxa"/>
              <w:bottom w:w="0" w:type="dxa"/>
              <w:right w:w="10" w:type="dxa"/>
            </w:tcMar>
            <w:vAlign w:val="center"/>
          </w:tcPr>
          <w:p w14:paraId="60E1D303" w14:textId="77777777" w:rsidR="00FE678E" w:rsidRPr="008A26D2" w:rsidRDefault="00FE678E" w:rsidP="009C5D49">
            <w:pPr>
              <w:jc w:val="center"/>
              <w:rPr>
                <w:rFonts w:ascii="Arial" w:eastAsia="Arial Narrow" w:hAnsi="Arial" w:cs="Arial"/>
                <w:b/>
                <w:sz w:val="20"/>
                <w:szCs w:val="20"/>
              </w:rPr>
            </w:pPr>
            <w:r w:rsidRPr="008A26D2">
              <w:rPr>
                <w:rFonts w:ascii="Arial" w:eastAsia="Arial Narrow" w:hAnsi="Arial" w:cs="Arial"/>
                <w:b/>
                <w:sz w:val="20"/>
                <w:szCs w:val="20"/>
              </w:rPr>
              <w:t>2030</w:t>
            </w:r>
          </w:p>
        </w:tc>
      </w:tr>
      <w:tr w:rsidR="00FE678E" w:rsidRPr="008A26D2" w14:paraId="48E317CF" w14:textId="77777777" w:rsidTr="0087293E">
        <w:trPr>
          <w:trHeight w:val="181"/>
        </w:trPr>
        <w:tc>
          <w:tcPr>
            <w:tcW w:w="713" w:type="pct"/>
            <w:shd w:val="clear" w:color="auto" w:fill="auto"/>
            <w:tcMar>
              <w:top w:w="10" w:type="dxa"/>
              <w:left w:w="10" w:type="dxa"/>
              <w:bottom w:w="0" w:type="dxa"/>
              <w:right w:w="10" w:type="dxa"/>
            </w:tcMar>
            <w:vAlign w:val="center"/>
          </w:tcPr>
          <w:p w14:paraId="243C8B44" w14:textId="77777777" w:rsidR="00FE678E" w:rsidRPr="008A26D2" w:rsidRDefault="00FE678E" w:rsidP="009C5D49">
            <w:pPr>
              <w:jc w:val="center"/>
              <w:rPr>
                <w:rFonts w:ascii="Arial" w:eastAsia="Arial Narrow" w:hAnsi="Arial" w:cs="Arial"/>
                <w:sz w:val="20"/>
                <w:szCs w:val="20"/>
              </w:rPr>
            </w:pPr>
            <w:r w:rsidRPr="008A26D2">
              <w:rPr>
                <w:rFonts w:ascii="Arial" w:eastAsia="Arial Narrow" w:hAnsi="Arial" w:cs="Arial"/>
                <w:b/>
                <w:sz w:val="20"/>
                <w:szCs w:val="20"/>
              </w:rPr>
              <w:t>Valor</w:t>
            </w:r>
          </w:p>
        </w:tc>
        <w:tc>
          <w:tcPr>
            <w:tcW w:w="647" w:type="pct"/>
            <w:shd w:val="clear" w:color="auto" w:fill="auto"/>
            <w:tcMar>
              <w:top w:w="10" w:type="dxa"/>
              <w:left w:w="10" w:type="dxa"/>
              <w:bottom w:w="0" w:type="dxa"/>
              <w:right w:w="10" w:type="dxa"/>
            </w:tcMar>
            <w:vAlign w:val="center"/>
          </w:tcPr>
          <w:p w14:paraId="41B77982" w14:textId="3F309D78" w:rsidR="00FE678E" w:rsidRPr="008A26D2" w:rsidRDefault="002A3BBD" w:rsidP="009C5D49">
            <w:pPr>
              <w:jc w:val="center"/>
              <w:rPr>
                <w:rFonts w:ascii="Arial" w:eastAsia="Arial Narrow" w:hAnsi="Arial" w:cs="Arial"/>
                <w:sz w:val="20"/>
                <w:szCs w:val="20"/>
              </w:rPr>
            </w:pPr>
            <w:r w:rsidRPr="008A26D2">
              <w:rPr>
                <w:rFonts w:ascii="Arial" w:eastAsia="Arial Narrow" w:hAnsi="Arial" w:cs="Arial"/>
                <w:sz w:val="20"/>
                <w:szCs w:val="20"/>
              </w:rPr>
              <w:t>ND</w:t>
            </w:r>
          </w:p>
        </w:tc>
        <w:tc>
          <w:tcPr>
            <w:tcW w:w="431" w:type="pct"/>
            <w:shd w:val="clear" w:color="auto" w:fill="auto"/>
            <w:tcMar>
              <w:top w:w="10" w:type="dxa"/>
              <w:left w:w="10" w:type="dxa"/>
              <w:bottom w:w="0" w:type="dxa"/>
              <w:right w:w="10" w:type="dxa"/>
            </w:tcMar>
            <w:vAlign w:val="bottom"/>
          </w:tcPr>
          <w:p w14:paraId="36BD46D8" w14:textId="77777777" w:rsidR="00FE678E" w:rsidRPr="008A26D2" w:rsidRDefault="00FE678E" w:rsidP="009C5D49">
            <w:pPr>
              <w:jc w:val="center"/>
              <w:rPr>
                <w:rFonts w:ascii="Arial" w:eastAsia="Arial Narrow" w:hAnsi="Arial" w:cs="Arial"/>
                <w:sz w:val="20"/>
                <w:szCs w:val="20"/>
              </w:rPr>
            </w:pPr>
            <w:r w:rsidRPr="008A26D2">
              <w:rPr>
                <w:rFonts w:ascii="Arial" w:eastAsia="Arial Narrow" w:hAnsi="Arial" w:cs="Arial"/>
                <w:sz w:val="20"/>
                <w:szCs w:val="20"/>
              </w:rPr>
              <w:t>40%</w:t>
            </w:r>
          </w:p>
        </w:tc>
        <w:tc>
          <w:tcPr>
            <w:tcW w:w="584" w:type="pct"/>
            <w:shd w:val="clear" w:color="auto" w:fill="auto"/>
            <w:vAlign w:val="bottom"/>
          </w:tcPr>
          <w:p w14:paraId="1653A569" w14:textId="77777777" w:rsidR="00FE678E" w:rsidRPr="008A26D2" w:rsidRDefault="00FE678E" w:rsidP="009C5D49">
            <w:pPr>
              <w:jc w:val="center"/>
              <w:rPr>
                <w:rFonts w:ascii="Arial" w:eastAsia="Arial Narrow" w:hAnsi="Arial" w:cs="Arial"/>
                <w:sz w:val="20"/>
                <w:szCs w:val="20"/>
              </w:rPr>
            </w:pPr>
            <w:r w:rsidRPr="008A26D2">
              <w:rPr>
                <w:rFonts w:ascii="Arial" w:eastAsia="Arial Narrow" w:hAnsi="Arial" w:cs="Arial"/>
                <w:sz w:val="20"/>
                <w:szCs w:val="20"/>
              </w:rPr>
              <w:t>50%</w:t>
            </w:r>
          </w:p>
        </w:tc>
        <w:tc>
          <w:tcPr>
            <w:tcW w:w="410" w:type="pct"/>
            <w:shd w:val="clear" w:color="auto" w:fill="auto"/>
            <w:vAlign w:val="bottom"/>
          </w:tcPr>
          <w:p w14:paraId="21FD77ED" w14:textId="77777777" w:rsidR="00FE678E" w:rsidRPr="008A26D2" w:rsidRDefault="00FE678E" w:rsidP="009C5D49">
            <w:pPr>
              <w:jc w:val="center"/>
              <w:rPr>
                <w:rFonts w:ascii="Arial" w:eastAsia="Arial Narrow" w:hAnsi="Arial" w:cs="Arial"/>
                <w:sz w:val="20"/>
                <w:szCs w:val="20"/>
              </w:rPr>
            </w:pPr>
            <w:r w:rsidRPr="008A26D2">
              <w:rPr>
                <w:rFonts w:ascii="Arial" w:eastAsia="Arial Narrow" w:hAnsi="Arial" w:cs="Arial"/>
                <w:sz w:val="20"/>
                <w:szCs w:val="20"/>
              </w:rPr>
              <w:t>60%</w:t>
            </w:r>
          </w:p>
        </w:tc>
        <w:tc>
          <w:tcPr>
            <w:tcW w:w="411" w:type="pct"/>
            <w:shd w:val="clear" w:color="auto" w:fill="auto"/>
            <w:vAlign w:val="bottom"/>
          </w:tcPr>
          <w:p w14:paraId="13EE7D37" w14:textId="77777777" w:rsidR="00FE678E" w:rsidRPr="008A26D2" w:rsidRDefault="00FE678E" w:rsidP="009C5D49">
            <w:pPr>
              <w:jc w:val="center"/>
              <w:rPr>
                <w:rFonts w:ascii="Arial" w:eastAsia="Arial Narrow" w:hAnsi="Arial" w:cs="Arial"/>
                <w:sz w:val="20"/>
                <w:szCs w:val="20"/>
              </w:rPr>
            </w:pPr>
            <w:r w:rsidRPr="008A26D2">
              <w:rPr>
                <w:rFonts w:ascii="Arial" w:eastAsia="Arial Narrow" w:hAnsi="Arial" w:cs="Arial"/>
                <w:sz w:val="20"/>
                <w:szCs w:val="20"/>
              </w:rPr>
              <w:t>70%</w:t>
            </w:r>
          </w:p>
        </w:tc>
        <w:tc>
          <w:tcPr>
            <w:tcW w:w="445" w:type="pct"/>
            <w:shd w:val="clear" w:color="auto" w:fill="auto"/>
            <w:vAlign w:val="bottom"/>
          </w:tcPr>
          <w:p w14:paraId="3F4670B6" w14:textId="77777777" w:rsidR="00FE678E" w:rsidRPr="008A26D2" w:rsidRDefault="00FE678E" w:rsidP="009C5D49">
            <w:pPr>
              <w:jc w:val="center"/>
              <w:rPr>
                <w:rFonts w:ascii="Arial" w:eastAsia="Arial Narrow" w:hAnsi="Arial" w:cs="Arial"/>
                <w:sz w:val="20"/>
                <w:szCs w:val="20"/>
              </w:rPr>
            </w:pPr>
            <w:r w:rsidRPr="008A26D2">
              <w:rPr>
                <w:rFonts w:ascii="Arial" w:eastAsia="Arial Narrow" w:hAnsi="Arial" w:cs="Arial"/>
                <w:sz w:val="20"/>
                <w:szCs w:val="20"/>
              </w:rPr>
              <w:t>80%</w:t>
            </w:r>
          </w:p>
        </w:tc>
        <w:tc>
          <w:tcPr>
            <w:tcW w:w="447" w:type="pct"/>
            <w:gridSpan w:val="2"/>
            <w:shd w:val="clear" w:color="auto" w:fill="auto"/>
            <w:vAlign w:val="bottom"/>
          </w:tcPr>
          <w:p w14:paraId="0C5EC5C5" w14:textId="77777777" w:rsidR="00FE678E" w:rsidRPr="008A26D2" w:rsidRDefault="00FE678E" w:rsidP="009C5D49">
            <w:pPr>
              <w:jc w:val="center"/>
              <w:rPr>
                <w:rFonts w:ascii="Arial" w:eastAsia="Arial Narrow" w:hAnsi="Arial" w:cs="Arial"/>
                <w:sz w:val="20"/>
                <w:szCs w:val="20"/>
              </w:rPr>
            </w:pPr>
            <w:r w:rsidRPr="008A26D2">
              <w:rPr>
                <w:rFonts w:ascii="Arial" w:eastAsia="Arial Narrow" w:hAnsi="Arial" w:cs="Arial"/>
                <w:sz w:val="20"/>
                <w:szCs w:val="20"/>
              </w:rPr>
              <w:t>90%</w:t>
            </w:r>
          </w:p>
        </w:tc>
        <w:tc>
          <w:tcPr>
            <w:tcW w:w="445" w:type="pct"/>
            <w:shd w:val="clear" w:color="auto" w:fill="auto"/>
            <w:vAlign w:val="bottom"/>
          </w:tcPr>
          <w:p w14:paraId="2AD5CD44" w14:textId="77777777" w:rsidR="00FE678E" w:rsidRPr="008A26D2" w:rsidRDefault="00FE678E" w:rsidP="009C5D49">
            <w:pPr>
              <w:jc w:val="center"/>
              <w:rPr>
                <w:rFonts w:ascii="Arial" w:eastAsia="Arial Narrow" w:hAnsi="Arial" w:cs="Arial"/>
                <w:sz w:val="20"/>
                <w:szCs w:val="20"/>
              </w:rPr>
            </w:pPr>
            <w:r w:rsidRPr="008A26D2">
              <w:rPr>
                <w:rFonts w:ascii="Arial" w:eastAsia="Arial Narrow" w:hAnsi="Arial" w:cs="Arial"/>
                <w:sz w:val="20"/>
                <w:szCs w:val="20"/>
              </w:rPr>
              <w:t>100%</w:t>
            </w:r>
          </w:p>
        </w:tc>
        <w:tc>
          <w:tcPr>
            <w:tcW w:w="466" w:type="pct"/>
            <w:shd w:val="clear" w:color="auto" w:fill="auto"/>
            <w:tcMar>
              <w:top w:w="10" w:type="dxa"/>
              <w:left w:w="10" w:type="dxa"/>
              <w:bottom w:w="0" w:type="dxa"/>
              <w:right w:w="10" w:type="dxa"/>
            </w:tcMar>
            <w:vAlign w:val="bottom"/>
          </w:tcPr>
          <w:p w14:paraId="6730741B" w14:textId="77777777" w:rsidR="00FE678E" w:rsidRPr="008A26D2" w:rsidRDefault="00FE678E" w:rsidP="009C5D49">
            <w:pPr>
              <w:jc w:val="center"/>
              <w:rPr>
                <w:rFonts w:ascii="Arial" w:eastAsia="Arial Narrow" w:hAnsi="Arial" w:cs="Arial"/>
                <w:sz w:val="20"/>
                <w:szCs w:val="20"/>
              </w:rPr>
            </w:pPr>
            <w:r w:rsidRPr="008A26D2">
              <w:rPr>
                <w:rFonts w:ascii="Arial" w:eastAsia="Arial Narrow" w:hAnsi="Arial" w:cs="Arial"/>
                <w:sz w:val="20"/>
                <w:szCs w:val="20"/>
              </w:rPr>
              <w:t>100%</w:t>
            </w:r>
          </w:p>
        </w:tc>
      </w:tr>
    </w:tbl>
    <w:p w14:paraId="3430A391" w14:textId="147059C6" w:rsidR="00FE678E" w:rsidRPr="008A26D2" w:rsidRDefault="00FE678E" w:rsidP="00A90E9C"/>
    <w:p w14:paraId="1622ABE3" w14:textId="77777777" w:rsidR="00B4555F" w:rsidRPr="008A26D2" w:rsidRDefault="00B4555F" w:rsidP="00B4555F"/>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851"/>
        <w:gridCol w:w="708"/>
        <w:gridCol w:w="17"/>
        <w:gridCol w:w="976"/>
        <w:gridCol w:w="708"/>
        <w:gridCol w:w="284"/>
        <w:gridCol w:w="850"/>
        <w:gridCol w:w="851"/>
        <w:gridCol w:w="850"/>
        <w:gridCol w:w="307"/>
        <w:gridCol w:w="402"/>
        <w:gridCol w:w="992"/>
      </w:tblGrid>
      <w:tr w:rsidR="00B4555F" w:rsidRPr="008A26D2" w14:paraId="79EFE007" w14:textId="77777777" w:rsidTr="00160C8B">
        <w:trPr>
          <w:trHeight w:val="251"/>
        </w:trPr>
        <w:tc>
          <w:tcPr>
            <w:tcW w:w="8505" w:type="dxa"/>
            <w:gridSpan w:val="13"/>
            <w:shd w:val="clear" w:color="auto" w:fill="D9D9D9"/>
            <w:tcMar>
              <w:top w:w="10" w:type="dxa"/>
              <w:left w:w="10" w:type="dxa"/>
              <w:bottom w:w="0" w:type="dxa"/>
              <w:right w:w="10" w:type="dxa"/>
            </w:tcMar>
            <w:vAlign w:val="center"/>
          </w:tcPr>
          <w:p w14:paraId="4B28DE95" w14:textId="68BC79C2" w:rsidR="00B4555F" w:rsidRPr="008A26D2" w:rsidRDefault="00B4555F" w:rsidP="00160C8B">
            <w:pPr>
              <w:tabs>
                <w:tab w:val="left" w:pos="3375"/>
              </w:tabs>
              <w:jc w:val="center"/>
              <w:rPr>
                <w:rFonts w:ascii="Arial" w:eastAsia="Arial Narrow" w:hAnsi="Arial" w:cs="Arial"/>
                <w:sz w:val="20"/>
                <w:szCs w:val="20"/>
              </w:rPr>
            </w:pPr>
            <w:bookmarkStart w:id="17" w:name="_Hlk135391717"/>
            <w:r w:rsidRPr="008A26D2">
              <w:rPr>
                <w:rFonts w:ascii="Arial" w:eastAsia="Arial Narrow" w:hAnsi="Arial" w:cs="Arial"/>
                <w:b/>
                <w:sz w:val="20"/>
                <w:szCs w:val="20"/>
              </w:rPr>
              <w:t xml:space="preserve">FICHA TÉCNICA DE INDICADOR DE SERVICIO </w:t>
            </w:r>
            <w:r>
              <w:rPr>
                <w:rFonts w:ascii="Arial" w:eastAsia="Arial Narrow" w:hAnsi="Arial" w:cs="Arial"/>
                <w:b/>
                <w:sz w:val="20"/>
                <w:szCs w:val="20"/>
              </w:rPr>
              <w:t>1.6.6</w:t>
            </w:r>
          </w:p>
        </w:tc>
      </w:tr>
      <w:tr w:rsidR="00B4555F" w:rsidRPr="008A26D2" w14:paraId="7DDF6FF5" w14:textId="77777777" w:rsidTr="00160C8B">
        <w:trPr>
          <w:trHeight w:val="409"/>
        </w:trPr>
        <w:tc>
          <w:tcPr>
            <w:tcW w:w="2285" w:type="dxa"/>
            <w:gridSpan w:val="4"/>
            <w:shd w:val="clear" w:color="auto" w:fill="FFFFFF"/>
            <w:tcMar>
              <w:top w:w="10" w:type="dxa"/>
              <w:left w:w="93" w:type="dxa"/>
              <w:bottom w:w="0" w:type="dxa"/>
              <w:right w:w="10" w:type="dxa"/>
            </w:tcMar>
            <w:vAlign w:val="center"/>
          </w:tcPr>
          <w:p w14:paraId="02726DF3" w14:textId="77777777" w:rsidR="00B4555F" w:rsidRPr="008A26D2" w:rsidRDefault="00B4555F" w:rsidP="00160C8B">
            <w:pPr>
              <w:tabs>
                <w:tab w:val="left" w:pos="3375"/>
              </w:tabs>
              <w:jc w:val="both"/>
              <w:rPr>
                <w:rFonts w:ascii="Arial" w:eastAsia="Arial Narrow" w:hAnsi="Arial" w:cs="Arial"/>
                <w:sz w:val="20"/>
                <w:szCs w:val="20"/>
              </w:rPr>
            </w:pPr>
            <w:r w:rsidRPr="008A26D2">
              <w:rPr>
                <w:rFonts w:ascii="Arial" w:eastAsia="Arial Narrow" w:hAnsi="Arial" w:cs="Arial"/>
                <w:b/>
                <w:sz w:val="20"/>
                <w:szCs w:val="20"/>
              </w:rPr>
              <w:t>Objetivo prioritario:</w:t>
            </w:r>
          </w:p>
        </w:tc>
        <w:tc>
          <w:tcPr>
            <w:tcW w:w="6220" w:type="dxa"/>
            <w:gridSpan w:val="9"/>
            <w:shd w:val="clear" w:color="auto" w:fill="FFFFFF"/>
            <w:tcMar>
              <w:top w:w="51" w:type="dxa"/>
              <w:left w:w="227" w:type="dxa"/>
              <w:bottom w:w="51" w:type="dxa"/>
              <w:right w:w="227" w:type="dxa"/>
            </w:tcMar>
            <w:vAlign w:val="center"/>
          </w:tcPr>
          <w:p w14:paraId="7AF0AB10" w14:textId="21B8E3D0" w:rsidR="00B4555F" w:rsidRPr="008A26D2" w:rsidRDefault="00B4555F" w:rsidP="00160C8B">
            <w:pPr>
              <w:tabs>
                <w:tab w:val="left" w:pos="3375"/>
              </w:tabs>
              <w:jc w:val="both"/>
              <w:rPr>
                <w:rFonts w:ascii="Arial" w:eastAsia="Arial Narrow" w:hAnsi="Arial" w:cs="Arial"/>
                <w:sz w:val="20"/>
                <w:szCs w:val="20"/>
              </w:rPr>
            </w:pPr>
            <w:r w:rsidRPr="008A26D2">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r>
      <w:tr w:rsidR="00B4555F" w:rsidRPr="008A26D2" w14:paraId="4BB831F8" w14:textId="77777777" w:rsidTr="00160C8B">
        <w:trPr>
          <w:trHeight w:val="436"/>
        </w:trPr>
        <w:tc>
          <w:tcPr>
            <w:tcW w:w="2285" w:type="dxa"/>
            <w:gridSpan w:val="4"/>
            <w:shd w:val="clear" w:color="auto" w:fill="auto"/>
            <w:tcMar>
              <w:top w:w="10" w:type="dxa"/>
              <w:left w:w="93" w:type="dxa"/>
              <w:bottom w:w="0" w:type="dxa"/>
              <w:right w:w="10" w:type="dxa"/>
            </w:tcMar>
            <w:vAlign w:val="center"/>
          </w:tcPr>
          <w:p w14:paraId="7FD7178A" w14:textId="77777777" w:rsidR="00B4555F" w:rsidRPr="008A26D2" w:rsidRDefault="00B4555F" w:rsidP="00160C8B">
            <w:pPr>
              <w:tabs>
                <w:tab w:val="left" w:pos="3375"/>
              </w:tabs>
              <w:jc w:val="both"/>
              <w:rPr>
                <w:rFonts w:ascii="Arial" w:eastAsia="Arial Narrow" w:hAnsi="Arial" w:cs="Arial"/>
                <w:sz w:val="20"/>
                <w:szCs w:val="20"/>
              </w:rPr>
            </w:pPr>
            <w:r w:rsidRPr="008A26D2">
              <w:rPr>
                <w:rFonts w:ascii="Arial" w:eastAsia="Arial Narrow" w:hAnsi="Arial" w:cs="Arial"/>
                <w:b/>
                <w:sz w:val="20"/>
                <w:szCs w:val="20"/>
              </w:rPr>
              <w:t>Lineamiento de la política:</w:t>
            </w:r>
          </w:p>
        </w:tc>
        <w:tc>
          <w:tcPr>
            <w:tcW w:w="6220" w:type="dxa"/>
            <w:gridSpan w:val="9"/>
            <w:shd w:val="clear" w:color="auto" w:fill="auto"/>
            <w:tcMar>
              <w:top w:w="51" w:type="dxa"/>
              <w:left w:w="227" w:type="dxa"/>
              <w:bottom w:w="51" w:type="dxa"/>
              <w:right w:w="227" w:type="dxa"/>
            </w:tcMar>
            <w:vAlign w:val="center"/>
          </w:tcPr>
          <w:p w14:paraId="79AF0DFA" w14:textId="515777D0" w:rsidR="00B4555F" w:rsidRPr="008A26D2" w:rsidRDefault="00B4555F" w:rsidP="00160C8B">
            <w:pPr>
              <w:tabs>
                <w:tab w:val="left" w:pos="3375"/>
              </w:tabs>
              <w:jc w:val="both"/>
              <w:rPr>
                <w:rFonts w:ascii="Arial" w:eastAsia="Arial Narrow" w:hAnsi="Arial" w:cs="Arial"/>
                <w:sz w:val="20"/>
                <w:szCs w:val="20"/>
              </w:rPr>
            </w:pPr>
            <w:r w:rsidRPr="008A26D2">
              <w:rPr>
                <w:rFonts w:ascii="Arial" w:eastAsia="Arial Narrow" w:hAnsi="Arial" w:cs="Arial"/>
                <w:sz w:val="20"/>
                <w:szCs w:val="20"/>
              </w:rPr>
              <w:t>L1.6 Fomentar el aprovechamiento sostenible de los recursos forestales, flora y de fauna silvestre</w:t>
            </w:r>
          </w:p>
        </w:tc>
      </w:tr>
      <w:tr w:rsidR="00B4555F" w:rsidRPr="008A26D2" w14:paraId="57436AE1" w14:textId="77777777" w:rsidTr="00160C8B">
        <w:trPr>
          <w:trHeight w:val="404"/>
        </w:trPr>
        <w:tc>
          <w:tcPr>
            <w:tcW w:w="2285" w:type="dxa"/>
            <w:gridSpan w:val="4"/>
            <w:shd w:val="clear" w:color="auto" w:fill="auto"/>
            <w:tcMar>
              <w:top w:w="10" w:type="dxa"/>
              <w:left w:w="93" w:type="dxa"/>
              <w:bottom w:w="0" w:type="dxa"/>
              <w:right w:w="10" w:type="dxa"/>
            </w:tcMar>
            <w:vAlign w:val="center"/>
          </w:tcPr>
          <w:p w14:paraId="7461E490" w14:textId="77777777" w:rsidR="00B4555F" w:rsidRPr="008A26D2" w:rsidRDefault="00B4555F" w:rsidP="00160C8B">
            <w:pPr>
              <w:tabs>
                <w:tab w:val="left" w:pos="3375"/>
              </w:tabs>
              <w:jc w:val="both"/>
              <w:rPr>
                <w:rFonts w:ascii="Arial" w:eastAsia="Arial Narrow" w:hAnsi="Arial" w:cs="Arial"/>
                <w:sz w:val="20"/>
                <w:szCs w:val="20"/>
              </w:rPr>
            </w:pPr>
            <w:r w:rsidRPr="008A26D2">
              <w:rPr>
                <w:rFonts w:ascii="Arial" w:eastAsia="Arial Narrow" w:hAnsi="Arial" w:cs="Arial"/>
                <w:b/>
                <w:sz w:val="20"/>
                <w:szCs w:val="20"/>
              </w:rPr>
              <w:t>Nombre del servicio:</w:t>
            </w:r>
          </w:p>
        </w:tc>
        <w:tc>
          <w:tcPr>
            <w:tcW w:w="6220" w:type="dxa"/>
            <w:gridSpan w:val="9"/>
            <w:shd w:val="clear" w:color="auto" w:fill="auto"/>
            <w:tcMar>
              <w:top w:w="51" w:type="dxa"/>
              <w:left w:w="227" w:type="dxa"/>
              <w:bottom w:w="51" w:type="dxa"/>
              <w:right w:w="227" w:type="dxa"/>
            </w:tcMar>
            <w:vAlign w:val="center"/>
          </w:tcPr>
          <w:p w14:paraId="6A8A509C" w14:textId="79EA0EFA" w:rsidR="00B4555F" w:rsidRPr="008A26D2" w:rsidRDefault="00B4555F" w:rsidP="00160C8B">
            <w:pPr>
              <w:tabs>
                <w:tab w:val="left" w:pos="3375"/>
              </w:tabs>
              <w:jc w:val="both"/>
              <w:rPr>
                <w:rFonts w:ascii="Arial" w:eastAsia="Arial Narrow" w:hAnsi="Arial" w:cs="Arial"/>
                <w:sz w:val="20"/>
                <w:szCs w:val="20"/>
              </w:rPr>
            </w:pPr>
            <w:r w:rsidRPr="008A26D2">
              <w:rPr>
                <w:rFonts w:ascii="Arial" w:eastAsia="Arial Narrow" w:hAnsi="Arial" w:cs="Arial"/>
                <w:sz w:val="20"/>
                <w:szCs w:val="20"/>
              </w:rPr>
              <w:t>S</w:t>
            </w:r>
            <w:r>
              <w:rPr>
                <w:rFonts w:ascii="Arial" w:eastAsia="Arial Narrow" w:hAnsi="Arial" w:cs="Arial"/>
                <w:sz w:val="20"/>
                <w:szCs w:val="20"/>
              </w:rPr>
              <w:t>1.6.6</w:t>
            </w:r>
            <w:r w:rsidRPr="008A26D2">
              <w:rPr>
                <w:rFonts w:ascii="Arial" w:eastAsia="Arial Narrow" w:hAnsi="Arial" w:cs="Arial"/>
                <w:sz w:val="20"/>
                <w:szCs w:val="20"/>
              </w:rPr>
              <w:t xml:space="preserve"> Fortalecimiento de capacidades en sistemas de manejo para la producción sostenible de recursos forestales y de fauna silvestre amazónica de forma satisfactoria a usuarios forestales y de fauna silvestre y entidades públicas.</w:t>
            </w:r>
          </w:p>
        </w:tc>
      </w:tr>
      <w:tr w:rsidR="00B4555F" w:rsidRPr="008A26D2" w14:paraId="3B745FC1" w14:textId="77777777" w:rsidTr="00160C8B">
        <w:trPr>
          <w:trHeight w:val="577"/>
        </w:trPr>
        <w:tc>
          <w:tcPr>
            <w:tcW w:w="2285" w:type="dxa"/>
            <w:gridSpan w:val="4"/>
            <w:shd w:val="clear" w:color="auto" w:fill="auto"/>
            <w:tcMar>
              <w:top w:w="10" w:type="dxa"/>
              <w:left w:w="93" w:type="dxa"/>
              <w:bottom w:w="0" w:type="dxa"/>
              <w:right w:w="10" w:type="dxa"/>
            </w:tcMar>
            <w:vAlign w:val="center"/>
          </w:tcPr>
          <w:p w14:paraId="50681D64" w14:textId="77777777" w:rsidR="00B4555F" w:rsidRPr="008A26D2" w:rsidRDefault="00B4555F" w:rsidP="00160C8B">
            <w:pPr>
              <w:tabs>
                <w:tab w:val="left" w:pos="3375"/>
              </w:tabs>
              <w:jc w:val="both"/>
              <w:rPr>
                <w:rFonts w:ascii="Arial" w:eastAsia="Arial Narrow" w:hAnsi="Arial" w:cs="Arial"/>
                <w:sz w:val="20"/>
                <w:szCs w:val="20"/>
              </w:rPr>
            </w:pPr>
            <w:r w:rsidRPr="008A26D2">
              <w:rPr>
                <w:rFonts w:ascii="Arial" w:eastAsia="Arial Narrow" w:hAnsi="Arial" w:cs="Arial"/>
                <w:b/>
                <w:sz w:val="20"/>
                <w:szCs w:val="20"/>
              </w:rPr>
              <w:t>Nombre del indicador:</w:t>
            </w:r>
          </w:p>
        </w:tc>
        <w:tc>
          <w:tcPr>
            <w:tcW w:w="6220" w:type="dxa"/>
            <w:gridSpan w:val="9"/>
            <w:shd w:val="clear" w:color="auto" w:fill="auto"/>
            <w:tcMar>
              <w:top w:w="51" w:type="dxa"/>
              <w:left w:w="227" w:type="dxa"/>
              <w:bottom w:w="51" w:type="dxa"/>
              <w:right w:w="227" w:type="dxa"/>
            </w:tcMar>
            <w:vAlign w:val="center"/>
          </w:tcPr>
          <w:p w14:paraId="453C757F" w14:textId="287A3A3B" w:rsidR="00B4555F" w:rsidRPr="008A26D2" w:rsidRDefault="003C5B2C" w:rsidP="00160C8B">
            <w:pPr>
              <w:tabs>
                <w:tab w:val="left" w:pos="3375"/>
              </w:tabs>
              <w:jc w:val="both"/>
              <w:rPr>
                <w:rFonts w:ascii="Arial" w:eastAsia="Arial Narrow" w:hAnsi="Arial" w:cs="Arial"/>
                <w:sz w:val="20"/>
                <w:szCs w:val="20"/>
              </w:rPr>
            </w:pPr>
            <w:r w:rsidRPr="008A26D2">
              <w:rPr>
                <w:rFonts w:ascii="Arial" w:eastAsia="Arial Narrow" w:hAnsi="Arial" w:cs="Arial"/>
                <w:sz w:val="20"/>
                <w:szCs w:val="20"/>
              </w:rPr>
              <w:t xml:space="preserve">Porcentaje de </w:t>
            </w:r>
            <w:r w:rsidRPr="008A26D2">
              <w:rPr>
                <w:rFonts w:ascii="Arial" w:hAnsi="Arial" w:cs="Arial"/>
                <w:bCs/>
                <w:sz w:val="20"/>
                <w:szCs w:val="20"/>
              </w:rPr>
              <w:t>u</w:t>
            </w:r>
            <w:r w:rsidRPr="008A26D2">
              <w:rPr>
                <w:rFonts w:ascii="Arial" w:hAnsi="Arial" w:cs="Arial"/>
                <w:sz w:val="20"/>
                <w:szCs w:val="20"/>
              </w:rPr>
              <w:t>suarios forestales y de fauna silvestre</w:t>
            </w:r>
            <w:r w:rsidRPr="008A26D2">
              <w:rPr>
                <w:rFonts w:ascii="Arial" w:hAnsi="Arial" w:cs="Arial"/>
                <w:bCs/>
                <w:sz w:val="20"/>
                <w:szCs w:val="20"/>
              </w:rPr>
              <w:t xml:space="preserve"> </w:t>
            </w:r>
            <w:r w:rsidRPr="008A26D2">
              <w:rPr>
                <w:rFonts w:ascii="Arial" w:eastAsia="Arial Narrow" w:hAnsi="Arial" w:cs="Arial"/>
                <w:sz w:val="20"/>
                <w:szCs w:val="20"/>
              </w:rPr>
              <w:t xml:space="preserve">y servidores de entidades públicas </w:t>
            </w:r>
            <w:r w:rsidRPr="008A26D2">
              <w:rPr>
                <w:rFonts w:ascii="Arial" w:hAnsi="Arial" w:cs="Arial"/>
                <w:sz w:val="20"/>
                <w:szCs w:val="20"/>
              </w:rPr>
              <w:t xml:space="preserve">con alto grado de satisfacción sobre las capacitaciones recibidas </w:t>
            </w:r>
            <w:r w:rsidRPr="008A26D2">
              <w:rPr>
                <w:rFonts w:ascii="Arial" w:eastAsia="Arial Narrow" w:hAnsi="Arial" w:cs="Arial"/>
                <w:sz w:val="20"/>
                <w:szCs w:val="20"/>
              </w:rPr>
              <w:t>en sistemas de manejo para la producción sostenible de recursos forestales y de fauna silvestre amazónica</w:t>
            </w:r>
          </w:p>
        </w:tc>
      </w:tr>
      <w:tr w:rsidR="00B4555F" w:rsidRPr="008A26D2" w14:paraId="2D6D45AD" w14:textId="77777777" w:rsidTr="00160C8B">
        <w:trPr>
          <w:trHeight w:val="577"/>
        </w:trPr>
        <w:tc>
          <w:tcPr>
            <w:tcW w:w="2285" w:type="dxa"/>
            <w:gridSpan w:val="4"/>
            <w:shd w:val="clear" w:color="auto" w:fill="auto"/>
            <w:tcMar>
              <w:top w:w="10" w:type="dxa"/>
              <w:left w:w="93" w:type="dxa"/>
              <w:bottom w:w="0" w:type="dxa"/>
              <w:right w:w="10" w:type="dxa"/>
            </w:tcMar>
            <w:vAlign w:val="center"/>
          </w:tcPr>
          <w:p w14:paraId="7A8A480D" w14:textId="77777777" w:rsidR="00B4555F" w:rsidRPr="008A26D2" w:rsidRDefault="00B4555F" w:rsidP="00160C8B">
            <w:pPr>
              <w:tabs>
                <w:tab w:val="left" w:pos="3375"/>
              </w:tabs>
              <w:jc w:val="both"/>
              <w:rPr>
                <w:rFonts w:ascii="Arial" w:eastAsia="Arial Narrow" w:hAnsi="Arial" w:cs="Arial"/>
                <w:sz w:val="20"/>
                <w:szCs w:val="20"/>
              </w:rPr>
            </w:pPr>
            <w:r w:rsidRPr="008A26D2">
              <w:rPr>
                <w:rFonts w:ascii="Arial" w:eastAsia="Arial Narrow" w:hAnsi="Arial" w:cs="Arial"/>
                <w:b/>
                <w:sz w:val="20"/>
                <w:szCs w:val="20"/>
              </w:rPr>
              <w:t>Justificación:</w:t>
            </w:r>
          </w:p>
        </w:tc>
        <w:tc>
          <w:tcPr>
            <w:tcW w:w="6220" w:type="dxa"/>
            <w:gridSpan w:val="9"/>
            <w:shd w:val="clear" w:color="auto" w:fill="auto"/>
            <w:tcMar>
              <w:top w:w="51" w:type="dxa"/>
              <w:left w:w="227" w:type="dxa"/>
              <w:bottom w:w="51" w:type="dxa"/>
              <w:right w:w="227" w:type="dxa"/>
            </w:tcMar>
            <w:vAlign w:val="center"/>
          </w:tcPr>
          <w:p w14:paraId="25FB0BDE" w14:textId="77777777" w:rsidR="00B4555F" w:rsidRPr="008A26D2" w:rsidRDefault="00B4555F" w:rsidP="00160C8B">
            <w:pPr>
              <w:jc w:val="both"/>
              <w:rPr>
                <w:rFonts w:ascii="Arial" w:eastAsia="Times New Roman" w:hAnsi="Arial" w:cs="Arial"/>
                <w:sz w:val="20"/>
                <w:szCs w:val="20"/>
                <w:lang w:val="es-ES"/>
              </w:rPr>
            </w:pPr>
            <w:r w:rsidRPr="008A26D2">
              <w:rPr>
                <w:rFonts w:ascii="Arial" w:eastAsia="Times New Roman" w:hAnsi="Arial" w:cs="Arial"/>
                <w:sz w:val="20"/>
                <w:szCs w:val="20"/>
                <w:lang w:val="es-ES"/>
              </w:rPr>
              <w:t xml:space="preserve">El indicador cuantifica el porcentaje de </w:t>
            </w:r>
            <w:r w:rsidRPr="008A26D2">
              <w:rPr>
                <w:rFonts w:ascii="Arial" w:eastAsia="Arial Narrow" w:hAnsi="Arial" w:cs="Arial"/>
                <w:sz w:val="20"/>
                <w:szCs w:val="20"/>
              </w:rPr>
              <w:t>usuarios forestales y de fauna silvestre y servidores de entidades públicas</w:t>
            </w:r>
            <w:r w:rsidRPr="008A26D2">
              <w:rPr>
                <w:rFonts w:ascii="Arial" w:eastAsia="Times New Roman" w:hAnsi="Arial" w:cs="Arial"/>
                <w:sz w:val="20"/>
                <w:szCs w:val="20"/>
                <w:lang w:val="es-ES"/>
              </w:rPr>
              <w:t xml:space="preserve"> que perciben un alto grado de satisfacción sobre las capacitaciones recibidas en </w:t>
            </w:r>
            <w:r w:rsidRPr="008A26D2">
              <w:rPr>
                <w:rFonts w:ascii="Arial" w:eastAsia="Arial Narrow" w:hAnsi="Arial" w:cs="Arial"/>
                <w:sz w:val="20"/>
                <w:szCs w:val="20"/>
              </w:rPr>
              <w:t>en sistemas de manejo para la producción sostenible de los recursos forestales y de fauna silvestre amazónica</w:t>
            </w:r>
            <w:r w:rsidRPr="008A26D2">
              <w:rPr>
                <w:rFonts w:ascii="Arial" w:eastAsia="Times New Roman" w:hAnsi="Arial" w:cs="Arial"/>
                <w:sz w:val="20"/>
                <w:szCs w:val="20"/>
                <w:lang w:val="es-ES"/>
              </w:rPr>
              <w:t>. De esta manera, el indicador facilitará el seguimiento de la satisfacción del servicio y establecer acciones de mejora correspondientes.</w:t>
            </w:r>
          </w:p>
          <w:p w14:paraId="2B0301EA" w14:textId="77777777" w:rsidR="00B4555F" w:rsidRPr="008A26D2" w:rsidRDefault="00B4555F" w:rsidP="00160C8B">
            <w:pPr>
              <w:tabs>
                <w:tab w:val="left" w:pos="3375"/>
              </w:tabs>
              <w:jc w:val="both"/>
              <w:rPr>
                <w:rFonts w:ascii="Arial" w:eastAsia="Arial Narrow" w:hAnsi="Arial" w:cs="Arial"/>
                <w:sz w:val="20"/>
                <w:szCs w:val="20"/>
              </w:rPr>
            </w:pPr>
            <w:r w:rsidRPr="008A26D2">
              <w:rPr>
                <w:rFonts w:ascii="Arial" w:eastAsia="Arial Narrow" w:hAnsi="Arial" w:cs="Arial"/>
                <w:sz w:val="20"/>
                <w:szCs w:val="20"/>
              </w:rPr>
              <w:t>El indicador nos permitirá evidenciar en el tiempo si la oferta de formación que ofrecemos con este servicio, responde a las necesidades y expectativas de los usuarios.</w:t>
            </w:r>
          </w:p>
        </w:tc>
      </w:tr>
      <w:tr w:rsidR="00846D49" w:rsidRPr="00846D49" w14:paraId="1DA714F6" w14:textId="77777777" w:rsidTr="00160C8B">
        <w:trPr>
          <w:trHeight w:val="352"/>
        </w:trPr>
        <w:tc>
          <w:tcPr>
            <w:tcW w:w="2285" w:type="dxa"/>
            <w:gridSpan w:val="4"/>
            <w:shd w:val="clear" w:color="auto" w:fill="auto"/>
            <w:tcMar>
              <w:top w:w="10" w:type="dxa"/>
              <w:left w:w="93" w:type="dxa"/>
              <w:bottom w:w="0" w:type="dxa"/>
              <w:right w:w="10" w:type="dxa"/>
            </w:tcMar>
            <w:vAlign w:val="center"/>
          </w:tcPr>
          <w:p w14:paraId="5416C541" w14:textId="77777777" w:rsidR="00B4555F" w:rsidRPr="00846D49" w:rsidRDefault="00B4555F" w:rsidP="00160C8B">
            <w:pPr>
              <w:tabs>
                <w:tab w:val="left" w:pos="3375"/>
              </w:tabs>
              <w:jc w:val="both"/>
              <w:rPr>
                <w:rFonts w:ascii="Arial" w:eastAsia="Arial Narrow" w:hAnsi="Arial" w:cs="Arial"/>
                <w:sz w:val="20"/>
                <w:szCs w:val="20"/>
              </w:rPr>
            </w:pPr>
            <w:r w:rsidRPr="00846D49">
              <w:rPr>
                <w:rFonts w:ascii="Arial" w:eastAsia="Arial Narrow" w:hAnsi="Arial" w:cs="Arial"/>
                <w:b/>
                <w:sz w:val="20"/>
                <w:szCs w:val="20"/>
              </w:rPr>
              <w:t>Responsable del indicador:</w:t>
            </w:r>
          </w:p>
        </w:tc>
        <w:tc>
          <w:tcPr>
            <w:tcW w:w="6220" w:type="dxa"/>
            <w:gridSpan w:val="9"/>
            <w:shd w:val="clear" w:color="auto" w:fill="auto"/>
            <w:tcMar>
              <w:top w:w="51" w:type="dxa"/>
              <w:left w:w="227" w:type="dxa"/>
              <w:bottom w:w="51" w:type="dxa"/>
              <w:right w:w="227" w:type="dxa"/>
            </w:tcMar>
            <w:vAlign w:val="center"/>
          </w:tcPr>
          <w:p w14:paraId="089A2C6D" w14:textId="77777777" w:rsidR="00B4555F" w:rsidRPr="00846D49" w:rsidRDefault="00B4555F" w:rsidP="00160C8B">
            <w:pPr>
              <w:tabs>
                <w:tab w:val="left" w:pos="3375"/>
              </w:tabs>
              <w:jc w:val="both"/>
              <w:rPr>
                <w:rFonts w:ascii="Arial" w:eastAsia="Arial Narrow" w:hAnsi="Arial" w:cs="Arial"/>
                <w:sz w:val="20"/>
                <w:szCs w:val="20"/>
              </w:rPr>
            </w:pPr>
            <w:r w:rsidRPr="00846D49">
              <w:rPr>
                <w:rFonts w:ascii="Arial" w:eastAsia="Arial Narrow" w:hAnsi="Arial" w:cs="Arial"/>
                <w:sz w:val="20"/>
                <w:szCs w:val="20"/>
              </w:rPr>
              <w:t>Dirección de Investigación en Información y Gestión del Conocimiento del Instituto de Investigaciones de la Amazonía Peruana – IIAP</w:t>
            </w:r>
          </w:p>
        </w:tc>
      </w:tr>
      <w:tr w:rsidR="00846D49" w:rsidRPr="00846D49" w14:paraId="344297F5" w14:textId="77777777" w:rsidTr="00160C8B">
        <w:trPr>
          <w:trHeight w:val="700"/>
        </w:trPr>
        <w:tc>
          <w:tcPr>
            <w:tcW w:w="2285" w:type="dxa"/>
            <w:gridSpan w:val="4"/>
            <w:shd w:val="clear" w:color="auto" w:fill="auto"/>
            <w:tcMar>
              <w:top w:w="10" w:type="dxa"/>
              <w:left w:w="93" w:type="dxa"/>
              <w:bottom w:w="0" w:type="dxa"/>
              <w:right w:w="10" w:type="dxa"/>
            </w:tcMar>
            <w:vAlign w:val="center"/>
          </w:tcPr>
          <w:p w14:paraId="2DDBE029" w14:textId="77777777" w:rsidR="00B4555F" w:rsidRPr="00846D49" w:rsidRDefault="00B4555F" w:rsidP="00160C8B">
            <w:pPr>
              <w:tabs>
                <w:tab w:val="left" w:pos="3375"/>
              </w:tabs>
              <w:jc w:val="both"/>
              <w:rPr>
                <w:rFonts w:ascii="Arial" w:eastAsia="Arial Narrow" w:hAnsi="Arial" w:cs="Arial"/>
                <w:sz w:val="20"/>
                <w:szCs w:val="20"/>
              </w:rPr>
            </w:pPr>
            <w:r w:rsidRPr="00846D49">
              <w:rPr>
                <w:rFonts w:ascii="Arial" w:eastAsia="Arial Narrow" w:hAnsi="Arial" w:cs="Arial"/>
                <w:b/>
                <w:sz w:val="20"/>
                <w:szCs w:val="20"/>
              </w:rPr>
              <w:t>Limitaciones para la medición del indicador:</w:t>
            </w:r>
          </w:p>
        </w:tc>
        <w:tc>
          <w:tcPr>
            <w:tcW w:w="6220" w:type="dxa"/>
            <w:gridSpan w:val="9"/>
            <w:shd w:val="clear" w:color="auto" w:fill="auto"/>
            <w:tcMar>
              <w:top w:w="51" w:type="dxa"/>
              <w:left w:w="227" w:type="dxa"/>
              <w:bottom w:w="51" w:type="dxa"/>
              <w:right w:w="227" w:type="dxa"/>
            </w:tcMar>
            <w:vAlign w:val="center"/>
          </w:tcPr>
          <w:p w14:paraId="6733409C" w14:textId="77777777" w:rsidR="00B4555F" w:rsidRPr="00846D49" w:rsidRDefault="00B4555F" w:rsidP="00160C8B">
            <w:pPr>
              <w:tabs>
                <w:tab w:val="left" w:pos="3375"/>
              </w:tabs>
              <w:jc w:val="both"/>
              <w:rPr>
                <w:rFonts w:ascii="Arial" w:eastAsia="Arial Narrow" w:hAnsi="Arial" w:cs="Arial"/>
                <w:sz w:val="20"/>
                <w:szCs w:val="20"/>
              </w:rPr>
            </w:pPr>
            <w:r w:rsidRPr="00846D49">
              <w:rPr>
                <w:rFonts w:ascii="Arial" w:eastAsia="Arial Narrow" w:hAnsi="Arial" w:cs="Arial"/>
                <w:sz w:val="20"/>
                <w:szCs w:val="20"/>
              </w:rPr>
              <w:t>Sin limitaciones.</w:t>
            </w:r>
          </w:p>
        </w:tc>
      </w:tr>
      <w:tr w:rsidR="00846D49" w:rsidRPr="00846D49" w14:paraId="64C84B59" w14:textId="77777777" w:rsidTr="00160C8B">
        <w:trPr>
          <w:trHeight w:val="231"/>
        </w:trPr>
        <w:tc>
          <w:tcPr>
            <w:tcW w:w="2285" w:type="dxa"/>
            <w:gridSpan w:val="4"/>
            <w:shd w:val="clear" w:color="auto" w:fill="auto"/>
            <w:tcMar>
              <w:top w:w="10" w:type="dxa"/>
              <w:left w:w="93" w:type="dxa"/>
              <w:bottom w:w="0" w:type="dxa"/>
              <w:right w:w="10" w:type="dxa"/>
            </w:tcMar>
            <w:vAlign w:val="center"/>
          </w:tcPr>
          <w:p w14:paraId="79CC726F" w14:textId="77777777" w:rsidR="00B4555F" w:rsidRPr="00846D49" w:rsidRDefault="00B4555F" w:rsidP="00160C8B">
            <w:pPr>
              <w:tabs>
                <w:tab w:val="left" w:pos="3375"/>
              </w:tabs>
              <w:jc w:val="both"/>
              <w:rPr>
                <w:rFonts w:ascii="Arial" w:eastAsia="Arial Narrow" w:hAnsi="Arial" w:cs="Arial"/>
                <w:sz w:val="20"/>
                <w:szCs w:val="20"/>
              </w:rPr>
            </w:pPr>
            <w:r w:rsidRPr="00846D49">
              <w:rPr>
                <w:rFonts w:ascii="Arial" w:eastAsia="Arial Narrow" w:hAnsi="Arial" w:cs="Arial"/>
                <w:b/>
                <w:sz w:val="20"/>
                <w:szCs w:val="20"/>
              </w:rPr>
              <w:lastRenderedPageBreak/>
              <w:t xml:space="preserve">Método de cálculo: </w:t>
            </w:r>
          </w:p>
        </w:tc>
        <w:tc>
          <w:tcPr>
            <w:tcW w:w="6220" w:type="dxa"/>
            <w:gridSpan w:val="9"/>
            <w:shd w:val="clear" w:color="auto" w:fill="auto"/>
            <w:tcMar>
              <w:top w:w="51" w:type="dxa"/>
              <w:left w:w="227" w:type="dxa"/>
              <w:bottom w:w="51" w:type="dxa"/>
              <w:right w:w="227" w:type="dxa"/>
            </w:tcMar>
            <w:vAlign w:val="center"/>
          </w:tcPr>
          <w:p w14:paraId="334F03C3" w14:textId="77777777" w:rsidR="00B4555F" w:rsidRPr="00846D49" w:rsidRDefault="00B4555F" w:rsidP="00160C8B">
            <w:pPr>
              <w:pStyle w:val="Prrafodelista"/>
              <w:numPr>
                <w:ilvl w:val="0"/>
                <w:numId w:val="43"/>
              </w:numPr>
              <w:tabs>
                <w:tab w:val="left" w:pos="3375"/>
              </w:tabs>
              <w:ind w:left="318" w:hanging="283"/>
              <w:jc w:val="both"/>
              <w:rPr>
                <w:rFonts w:ascii="Arial" w:eastAsia="Arial Narrow" w:hAnsi="Arial" w:cs="Arial"/>
                <w:b/>
                <w:sz w:val="20"/>
                <w:szCs w:val="20"/>
              </w:rPr>
            </w:pPr>
            <w:r w:rsidRPr="00846D49">
              <w:rPr>
                <w:rFonts w:ascii="Arial" w:eastAsia="Arial Narrow" w:hAnsi="Arial" w:cs="Arial"/>
                <w:b/>
                <w:sz w:val="20"/>
                <w:szCs w:val="20"/>
              </w:rPr>
              <w:t>Fórmula:</w:t>
            </w:r>
          </w:p>
          <w:p w14:paraId="795017FE" w14:textId="77777777" w:rsidR="00B4555F" w:rsidRPr="00846D49" w:rsidRDefault="00B4555F" w:rsidP="00160C8B">
            <w:pPr>
              <w:spacing w:after="0" w:line="240" w:lineRule="auto"/>
              <w:jc w:val="both"/>
              <w:rPr>
                <w:rFonts w:ascii="Arial" w:eastAsia="Arial Narrow" w:hAnsi="Arial" w:cs="Arial"/>
                <w:sz w:val="20"/>
                <w:szCs w:val="20"/>
              </w:rPr>
            </w:pPr>
            <w:r w:rsidRPr="00846D49">
              <w:rPr>
                <w:rFonts w:ascii="Arial" w:eastAsia="Arial Narrow" w:hAnsi="Arial" w:cs="Arial"/>
                <w:sz w:val="20"/>
                <w:szCs w:val="20"/>
              </w:rPr>
              <w:t xml:space="preserve">  (A/B)*100</w:t>
            </w:r>
          </w:p>
          <w:p w14:paraId="10B56868" w14:textId="77777777" w:rsidR="00B4555F" w:rsidRPr="00846D49" w:rsidRDefault="00B4555F" w:rsidP="00160C8B">
            <w:pPr>
              <w:spacing w:after="0" w:line="240" w:lineRule="auto"/>
              <w:jc w:val="both"/>
              <w:rPr>
                <w:rFonts w:ascii="Arial" w:hAnsi="Arial" w:cs="Arial"/>
                <w:bCs/>
                <w:sz w:val="20"/>
                <w:szCs w:val="20"/>
              </w:rPr>
            </w:pPr>
          </w:p>
          <w:p w14:paraId="1A731E72" w14:textId="77777777" w:rsidR="00B4555F" w:rsidRPr="00846D49" w:rsidRDefault="00B4555F" w:rsidP="00160C8B">
            <w:pPr>
              <w:jc w:val="both"/>
              <w:rPr>
                <w:rFonts w:ascii="Arial" w:hAnsi="Arial" w:cs="Arial"/>
                <w:bCs/>
                <w:sz w:val="20"/>
                <w:szCs w:val="20"/>
              </w:rPr>
            </w:pPr>
            <w:r w:rsidRPr="00846D49">
              <w:rPr>
                <w:rFonts w:ascii="Arial" w:hAnsi="Arial" w:cs="Arial"/>
                <w:bCs/>
                <w:sz w:val="20"/>
                <w:szCs w:val="20"/>
              </w:rPr>
              <w:t>Donde:</w:t>
            </w:r>
          </w:p>
          <w:p w14:paraId="4D63CBE3" w14:textId="77777777" w:rsidR="00B4555F" w:rsidRPr="00846D49" w:rsidRDefault="00B4555F" w:rsidP="00160C8B">
            <w:pPr>
              <w:ind w:left="324" w:hanging="324"/>
              <w:jc w:val="both"/>
              <w:rPr>
                <w:rFonts w:ascii="Arial" w:hAnsi="Arial" w:cs="Arial"/>
                <w:bCs/>
                <w:sz w:val="20"/>
                <w:szCs w:val="20"/>
              </w:rPr>
            </w:pPr>
            <w:r w:rsidRPr="00846D49">
              <w:rPr>
                <w:rFonts w:ascii="Arial" w:hAnsi="Arial" w:cs="Arial"/>
                <w:bCs/>
                <w:sz w:val="20"/>
                <w:szCs w:val="20"/>
              </w:rPr>
              <w:t>A = Número de u</w:t>
            </w:r>
            <w:r w:rsidRPr="00846D49">
              <w:rPr>
                <w:rFonts w:ascii="Arial" w:hAnsi="Arial" w:cs="Arial"/>
                <w:sz w:val="20"/>
                <w:szCs w:val="20"/>
              </w:rPr>
              <w:t>suarios forestales y de fauna silvestre</w:t>
            </w:r>
            <w:r w:rsidRPr="00846D49">
              <w:rPr>
                <w:rFonts w:ascii="Arial" w:hAnsi="Arial" w:cs="Arial"/>
                <w:bCs/>
                <w:sz w:val="20"/>
                <w:szCs w:val="20"/>
              </w:rPr>
              <w:t xml:space="preserve"> </w:t>
            </w:r>
            <w:r w:rsidRPr="00846D49">
              <w:rPr>
                <w:rFonts w:ascii="Arial" w:eastAsia="Arial Narrow" w:hAnsi="Arial" w:cs="Arial"/>
                <w:sz w:val="20"/>
                <w:szCs w:val="20"/>
              </w:rPr>
              <w:t>y servidores de entidades públicas</w:t>
            </w:r>
            <w:r w:rsidRPr="00846D49">
              <w:rPr>
                <w:rFonts w:ascii="Arial" w:eastAsia="Times New Roman" w:hAnsi="Arial" w:cs="Arial"/>
                <w:sz w:val="20"/>
                <w:szCs w:val="20"/>
                <w:lang w:val="es-ES"/>
              </w:rPr>
              <w:t xml:space="preserve"> </w:t>
            </w:r>
            <w:r w:rsidRPr="00846D49">
              <w:rPr>
                <w:rFonts w:ascii="Arial" w:hAnsi="Arial" w:cs="Arial"/>
                <w:bCs/>
                <w:sz w:val="20"/>
                <w:szCs w:val="20"/>
              </w:rPr>
              <w:t xml:space="preserve">con alto grado de satisfacción sobre las capacitaciones recibidas. </w:t>
            </w:r>
          </w:p>
          <w:p w14:paraId="0891A074" w14:textId="77777777" w:rsidR="00B4555F" w:rsidRPr="00846D49" w:rsidRDefault="00B4555F" w:rsidP="00160C8B">
            <w:pPr>
              <w:spacing w:after="0" w:line="240" w:lineRule="auto"/>
              <w:ind w:left="324" w:hanging="324"/>
              <w:jc w:val="both"/>
              <w:rPr>
                <w:rFonts w:ascii="Arial" w:eastAsia="Arial Narrow" w:hAnsi="Arial" w:cs="Arial"/>
                <w:sz w:val="20"/>
                <w:szCs w:val="20"/>
              </w:rPr>
            </w:pPr>
            <w:r w:rsidRPr="00846D49">
              <w:rPr>
                <w:rFonts w:ascii="Arial" w:hAnsi="Arial" w:cs="Arial"/>
                <w:bCs/>
                <w:sz w:val="20"/>
                <w:szCs w:val="20"/>
              </w:rPr>
              <w:t xml:space="preserve">B = Total de </w:t>
            </w:r>
            <w:r w:rsidRPr="00846D49">
              <w:rPr>
                <w:rFonts w:ascii="Arial" w:hAnsi="Arial" w:cs="Arial"/>
                <w:sz w:val="20"/>
                <w:szCs w:val="20"/>
              </w:rPr>
              <w:t xml:space="preserve">usuarios forestales y de fauna silvestre </w:t>
            </w:r>
            <w:r w:rsidRPr="00846D49">
              <w:rPr>
                <w:rFonts w:ascii="Arial" w:eastAsia="Arial Narrow" w:hAnsi="Arial" w:cs="Arial"/>
                <w:sz w:val="20"/>
                <w:szCs w:val="20"/>
              </w:rPr>
              <w:t>y servidores de entidades públicas</w:t>
            </w:r>
            <w:r w:rsidRPr="00846D49">
              <w:rPr>
                <w:rFonts w:ascii="Arial" w:hAnsi="Arial" w:cs="Arial"/>
                <w:bCs/>
                <w:sz w:val="20"/>
                <w:szCs w:val="20"/>
              </w:rPr>
              <w:t xml:space="preserve"> que reciben capacitación.</w:t>
            </w:r>
          </w:p>
          <w:p w14:paraId="55C54593" w14:textId="77777777" w:rsidR="00B4555F" w:rsidRPr="00846D49" w:rsidRDefault="00B4555F" w:rsidP="00160C8B">
            <w:pPr>
              <w:spacing w:after="0" w:line="240" w:lineRule="auto"/>
              <w:jc w:val="both"/>
              <w:rPr>
                <w:rFonts w:ascii="Arial" w:eastAsia="Arial Narrow" w:hAnsi="Arial" w:cs="Arial"/>
                <w:sz w:val="20"/>
                <w:szCs w:val="20"/>
              </w:rPr>
            </w:pPr>
          </w:p>
          <w:p w14:paraId="0C0B0487" w14:textId="77777777" w:rsidR="00B4555F" w:rsidRPr="00846D49" w:rsidRDefault="00B4555F" w:rsidP="00160C8B">
            <w:pPr>
              <w:pStyle w:val="Prrafodelista"/>
              <w:numPr>
                <w:ilvl w:val="0"/>
                <w:numId w:val="43"/>
              </w:numPr>
              <w:spacing w:after="0" w:line="240" w:lineRule="auto"/>
              <w:ind w:left="318" w:hanging="283"/>
              <w:jc w:val="both"/>
              <w:rPr>
                <w:rFonts w:ascii="Arial" w:eastAsia="Arial Narrow" w:hAnsi="Arial" w:cs="Arial"/>
                <w:b/>
                <w:sz w:val="20"/>
                <w:szCs w:val="20"/>
              </w:rPr>
            </w:pPr>
            <w:r w:rsidRPr="00846D49">
              <w:rPr>
                <w:rFonts w:ascii="Arial" w:eastAsia="Arial Narrow" w:hAnsi="Arial" w:cs="Arial"/>
                <w:b/>
                <w:sz w:val="20"/>
                <w:szCs w:val="20"/>
              </w:rPr>
              <w:t>Especificaciones técnicas</w:t>
            </w:r>
          </w:p>
          <w:p w14:paraId="1DB966A4" w14:textId="77777777" w:rsidR="00B4555F" w:rsidRPr="00846D49" w:rsidRDefault="00B4555F" w:rsidP="00160C8B">
            <w:pPr>
              <w:spacing w:after="0" w:line="240" w:lineRule="auto"/>
              <w:jc w:val="both"/>
              <w:rPr>
                <w:rFonts w:ascii="Arial" w:eastAsia="Arial Narrow" w:hAnsi="Arial" w:cs="Arial"/>
                <w:b/>
                <w:sz w:val="20"/>
                <w:szCs w:val="20"/>
              </w:rPr>
            </w:pPr>
          </w:p>
          <w:p w14:paraId="34785F10" w14:textId="75443117" w:rsidR="006B3EAF" w:rsidRPr="00846D49" w:rsidRDefault="006B3EAF" w:rsidP="006B3EAF">
            <w:pPr>
              <w:jc w:val="both"/>
              <w:rPr>
                <w:rFonts w:ascii="Arial" w:eastAsia="Times New Roman" w:hAnsi="Arial" w:cs="Arial"/>
                <w:sz w:val="20"/>
                <w:szCs w:val="20"/>
                <w:lang w:val="es-ES"/>
              </w:rPr>
            </w:pPr>
            <w:r w:rsidRPr="00846D49">
              <w:rPr>
                <w:rFonts w:ascii="Arial" w:eastAsia="Times New Roman" w:hAnsi="Arial" w:cs="Arial"/>
                <w:sz w:val="20"/>
                <w:szCs w:val="20"/>
                <w:lang w:val="es-ES"/>
              </w:rPr>
              <w:t xml:space="preserve">La variable A se determina a partir de los usuarios forestales y de fauna silvestre y servidores de entidades públicas que tienen un alto grado de satisfacción, al elegir los dos niveles más altos de </w:t>
            </w:r>
            <w:r w:rsidR="005A3FA7" w:rsidRPr="00846D49">
              <w:rPr>
                <w:rFonts w:ascii="Arial" w:eastAsia="Times New Roman" w:hAnsi="Arial" w:cs="Arial"/>
                <w:sz w:val="20"/>
                <w:szCs w:val="20"/>
                <w:lang w:val="es-ES"/>
              </w:rPr>
              <w:t>la</w:t>
            </w:r>
            <w:r w:rsidRPr="00846D49">
              <w:rPr>
                <w:rFonts w:ascii="Arial" w:eastAsia="Times New Roman" w:hAnsi="Arial" w:cs="Arial"/>
                <w:sz w:val="20"/>
                <w:szCs w:val="20"/>
                <w:lang w:val="es-ES"/>
              </w:rPr>
              <w:t xml:space="preserve"> escala, sobre las acciones de fortalecimiento de capacidades recibidas.</w:t>
            </w:r>
          </w:p>
          <w:p w14:paraId="2D8A78BE" w14:textId="3A2B71FE" w:rsidR="006B3EAF" w:rsidRPr="00846D49" w:rsidRDefault="006B3EAF" w:rsidP="006B3EAF">
            <w:pPr>
              <w:jc w:val="both"/>
              <w:rPr>
                <w:rFonts w:ascii="Arial" w:eastAsia="Times New Roman" w:hAnsi="Arial" w:cs="Arial"/>
                <w:sz w:val="20"/>
                <w:szCs w:val="20"/>
                <w:lang w:val="es-ES"/>
              </w:rPr>
            </w:pPr>
            <w:r w:rsidRPr="00846D49">
              <w:rPr>
                <w:rFonts w:ascii="Arial" w:eastAsia="Times New Roman" w:hAnsi="Arial" w:cs="Arial"/>
                <w:sz w:val="20"/>
                <w:szCs w:val="20"/>
                <w:lang w:val="es-ES"/>
              </w:rPr>
              <w:t>La variable B se determina con el total de los usuarios forestales y de fauna silvestre y servidores de entidades públicas que asisten a las capacitaciones.</w:t>
            </w:r>
          </w:p>
          <w:p w14:paraId="557AD849" w14:textId="0F81A90F" w:rsidR="00B4555F" w:rsidRPr="00846D49" w:rsidRDefault="00B4555F" w:rsidP="00160C8B">
            <w:pPr>
              <w:jc w:val="both"/>
              <w:rPr>
                <w:rFonts w:ascii="Arial" w:eastAsia="Arial Narrow" w:hAnsi="Arial" w:cs="Arial"/>
                <w:sz w:val="20"/>
                <w:szCs w:val="20"/>
              </w:rPr>
            </w:pPr>
            <w:r w:rsidRPr="00846D49">
              <w:rPr>
                <w:rFonts w:ascii="Arial" w:eastAsia="Times New Roman" w:hAnsi="Arial" w:cs="Arial"/>
                <w:sz w:val="20"/>
                <w:szCs w:val="20"/>
                <w:lang w:val="es-ES"/>
              </w:rPr>
              <w:t>El indicador se calculará a partir de un cuestionario en línea que va registrar el grado de satisfacción de los usuarios forestales y de fauna silvestre, así como servidores de entidades públicas, que asisten a las capacitaciones, identificando aquellos aspectos del servicio que se pueden mejorar.</w:t>
            </w:r>
          </w:p>
        </w:tc>
      </w:tr>
      <w:tr w:rsidR="00846D49" w:rsidRPr="00846D49" w14:paraId="103ABAD8" w14:textId="77777777" w:rsidTr="00160C8B">
        <w:trPr>
          <w:trHeight w:val="686"/>
        </w:trPr>
        <w:tc>
          <w:tcPr>
            <w:tcW w:w="2285" w:type="dxa"/>
            <w:gridSpan w:val="4"/>
            <w:shd w:val="clear" w:color="auto" w:fill="auto"/>
            <w:tcMar>
              <w:top w:w="10" w:type="dxa"/>
              <w:left w:w="93" w:type="dxa"/>
              <w:bottom w:w="0" w:type="dxa"/>
              <w:right w:w="10" w:type="dxa"/>
            </w:tcMar>
            <w:vAlign w:val="center"/>
          </w:tcPr>
          <w:p w14:paraId="72FF8592" w14:textId="77777777" w:rsidR="00B4555F" w:rsidRPr="00846D49" w:rsidRDefault="00B4555F" w:rsidP="00160C8B">
            <w:pPr>
              <w:tabs>
                <w:tab w:val="left" w:pos="3375"/>
              </w:tabs>
              <w:jc w:val="both"/>
              <w:rPr>
                <w:rFonts w:ascii="Arial" w:eastAsia="Arial Narrow" w:hAnsi="Arial" w:cs="Arial"/>
                <w:sz w:val="20"/>
                <w:szCs w:val="20"/>
              </w:rPr>
            </w:pPr>
            <w:r w:rsidRPr="00846D49">
              <w:rPr>
                <w:rFonts w:ascii="Arial" w:eastAsia="Arial Narrow" w:hAnsi="Arial" w:cs="Arial"/>
                <w:b/>
                <w:sz w:val="20"/>
                <w:szCs w:val="20"/>
              </w:rPr>
              <w:t>Sentido esperado del indicador:</w:t>
            </w:r>
          </w:p>
        </w:tc>
        <w:tc>
          <w:tcPr>
            <w:tcW w:w="1684" w:type="dxa"/>
            <w:gridSpan w:val="2"/>
            <w:shd w:val="clear" w:color="auto" w:fill="auto"/>
            <w:tcMar>
              <w:top w:w="10" w:type="dxa"/>
              <w:left w:w="283" w:type="dxa"/>
              <w:bottom w:w="0" w:type="dxa"/>
              <w:right w:w="283" w:type="dxa"/>
            </w:tcMar>
            <w:vAlign w:val="center"/>
          </w:tcPr>
          <w:p w14:paraId="4FB435FD" w14:textId="77777777" w:rsidR="00B4555F" w:rsidRPr="00846D49" w:rsidRDefault="00B4555F" w:rsidP="00160C8B">
            <w:pPr>
              <w:tabs>
                <w:tab w:val="left" w:pos="3375"/>
              </w:tabs>
              <w:jc w:val="both"/>
              <w:rPr>
                <w:rFonts w:ascii="Arial" w:eastAsia="Arial Narrow" w:hAnsi="Arial" w:cs="Arial"/>
                <w:sz w:val="20"/>
                <w:szCs w:val="20"/>
              </w:rPr>
            </w:pPr>
            <w:r w:rsidRPr="00846D49">
              <w:rPr>
                <w:rFonts w:ascii="Arial" w:eastAsia="Arial Narrow" w:hAnsi="Arial" w:cs="Arial"/>
                <w:sz w:val="20"/>
                <w:szCs w:val="20"/>
              </w:rPr>
              <w:t>Ascendente</w:t>
            </w:r>
          </w:p>
        </w:tc>
        <w:tc>
          <w:tcPr>
            <w:tcW w:w="3142" w:type="dxa"/>
            <w:gridSpan w:val="5"/>
            <w:shd w:val="clear" w:color="auto" w:fill="auto"/>
            <w:tcMar>
              <w:top w:w="15" w:type="dxa"/>
              <w:left w:w="15" w:type="dxa"/>
              <w:bottom w:w="0" w:type="dxa"/>
              <w:right w:w="15" w:type="dxa"/>
            </w:tcMar>
            <w:vAlign w:val="center"/>
          </w:tcPr>
          <w:p w14:paraId="4F87FFCE" w14:textId="77777777" w:rsidR="00B4555F" w:rsidRPr="00846D49" w:rsidRDefault="00B4555F" w:rsidP="00160C8B">
            <w:pPr>
              <w:tabs>
                <w:tab w:val="left" w:pos="3375"/>
              </w:tabs>
              <w:jc w:val="both"/>
              <w:rPr>
                <w:rFonts w:ascii="Arial" w:eastAsia="Arial Narrow" w:hAnsi="Arial" w:cs="Arial"/>
                <w:sz w:val="20"/>
                <w:szCs w:val="20"/>
              </w:rPr>
            </w:pPr>
            <w:r w:rsidRPr="00846D49">
              <w:rPr>
                <w:rFonts w:ascii="Arial" w:eastAsia="Arial Narrow" w:hAnsi="Arial" w:cs="Arial"/>
                <w:b/>
                <w:sz w:val="20"/>
                <w:szCs w:val="20"/>
              </w:rPr>
              <w:t>Tipo de indicador de servicio:</w:t>
            </w:r>
          </w:p>
        </w:tc>
        <w:tc>
          <w:tcPr>
            <w:tcW w:w="1394" w:type="dxa"/>
            <w:gridSpan w:val="2"/>
            <w:shd w:val="clear" w:color="auto" w:fill="auto"/>
            <w:tcMar>
              <w:top w:w="15" w:type="dxa"/>
              <w:left w:w="15" w:type="dxa"/>
              <w:bottom w:w="0" w:type="dxa"/>
              <w:right w:w="15" w:type="dxa"/>
            </w:tcMar>
            <w:vAlign w:val="center"/>
          </w:tcPr>
          <w:p w14:paraId="2F6D53F5" w14:textId="77777777" w:rsidR="00B4555F" w:rsidRPr="00846D49" w:rsidRDefault="00B4555F" w:rsidP="00160C8B">
            <w:pPr>
              <w:tabs>
                <w:tab w:val="left" w:pos="3375"/>
              </w:tabs>
              <w:jc w:val="both"/>
              <w:rPr>
                <w:rFonts w:ascii="Arial" w:eastAsia="Arial Narrow" w:hAnsi="Arial" w:cs="Arial"/>
                <w:sz w:val="20"/>
                <w:szCs w:val="20"/>
              </w:rPr>
            </w:pPr>
            <w:r w:rsidRPr="00846D49">
              <w:rPr>
                <w:rFonts w:ascii="Arial" w:eastAsia="Arial Narrow" w:hAnsi="Arial" w:cs="Arial"/>
                <w:sz w:val="20"/>
                <w:szCs w:val="20"/>
              </w:rPr>
              <w:t>Calidad – Percepción</w:t>
            </w:r>
          </w:p>
        </w:tc>
      </w:tr>
      <w:tr w:rsidR="00846D49" w:rsidRPr="00846D49" w14:paraId="31E81AEE" w14:textId="77777777" w:rsidTr="00160C8B">
        <w:trPr>
          <w:trHeight w:val="13"/>
        </w:trPr>
        <w:tc>
          <w:tcPr>
            <w:tcW w:w="2285" w:type="dxa"/>
            <w:gridSpan w:val="4"/>
            <w:shd w:val="clear" w:color="auto" w:fill="auto"/>
            <w:tcMar>
              <w:top w:w="10" w:type="dxa"/>
              <w:left w:w="93" w:type="dxa"/>
              <w:bottom w:w="0" w:type="dxa"/>
              <w:right w:w="10" w:type="dxa"/>
            </w:tcMar>
            <w:vAlign w:val="center"/>
          </w:tcPr>
          <w:p w14:paraId="381EA5F8" w14:textId="77777777" w:rsidR="00B4555F" w:rsidRPr="00846D49" w:rsidRDefault="00B4555F" w:rsidP="00160C8B">
            <w:pPr>
              <w:tabs>
                <w:tab w:val="left" w:pos="3375"/>
              </w:tabs>
              <w:jc w:val="both"/>
              <w:rPr>
                <w:rFonts w:ascii="Arial" w:eastAsia="Arial Narrow" w:hAnsi="Arial" w:cs="Arial"/>
                <w:sz w:val="20"/>
                <w:szCs w:val="20"/>
              </w:rPr>
            </w:pPr>
            <w:r w:rsidRPr="00846D49">
              <w:rPr>
                <w:rFonts w:ascii="Arial" w:eastAsia="Arial Narrow" w:hAnsi="Arial" w:cs="Arial"/>
                <w:b/>
                <w:sz w:val="20"/>
                <w:szCs w:val="20"/>
              </w:rPr>
              <w:t>Fuente y base de datos:</w:t>
            </w:r>
          </w:p>
        </w:tc>
        <w:tc>
          <w:tcPr>
            <w:tcW w:w="6220" w:type="dxa"/>
            <w:gridSpan w:val="9"/>
            <w:tcBorders>
              <w:top w:val="single" w:sz="4" w:space="0" w:color="000000"/>
              <w:left w:val="single" w:sz="4" w:space="0" w:color="000000"/>
              <w:bottom w:val="single" w:sz="4" w:space="0" w:color="000000"/>
              <w:right w:val="single" w:sz="4" w:space="0" w:color="000000"/>
            </w:tcBorders>
            <w:shd w:val="clear" w:color="auto" w:fill="auto"/>
            <w:tcMar>
              <w:top w:w="51" w:type="dxa"/>
              <w:left w:w="227" w:type="dxa"/>
              <w:bottom w:w="51" w:type="dxa"/>
              <w:right w:w="227" w:type="dxa"/>
            </w:tcMar>
            <w:vAlign w:val="center"/>
          </w:tcPr>
          <w:p w14:paraId="3D862631" w14:textId="77777777" w:rsidR="00AC2FF1" w:rsidRPr="00846D49" w:rsidRDefault="00B4555F" w:rsidP="00160C8B">
            <w:pPr>
              <w:spacing w:after="0" w:line="240" w:lineRule="auto"/>
              <w:jc w:val="both"/>
              <w:rPr>
                <w:rFonts w:ascii="Arial" w:eastAsia="Arial Narrow" w:hAnsi="Arial" w:cs="Arial"/>
                <w:sz w:val="20"/>
                <w:szCs w:val="20"/>
              </w:rPr>
            </w:pPr>
            <w:r w:rsidRPr="00846D49">
              <w:rPr>
                <w:rFonts w:ascii="Arial" w:eastAsia="Arial Narrow" w:hAnsi="Arial" w:cs="Arial"/>
                <w:sz w:val="20"/>
                <w:szCs w:val="20"/>
              </w:rPr>
              <w:t xml:space="preserve">Fuente: Dirección de Investigación en Información y Gestión del Conocimiento </w:t>
            </w:r>
            <w:r w:rsidR="00AC2FF1" w:rsidRPr="00846D49">
              <w:rPr>
                <w:rFonts w:ascii="Arial" w:eastAsia="Arial Narrow" w:hAnsi="Arial" w:cs="Arial"/>
                <w:sz w:val="20"/>
                <w:szCs w:val="20"/>
              </w:rPr>
              <w:t xml:space="preserve">del Instituto de Investigaciones de la Amazonía Peruana </w:t>
            </w:r>
            <w:r w:rsidRPr="00846D49">
              <w:rPr>
                <w:rFonts w:ascii="Arial" w:eastAsia="Arial Narrow" w:hAnsi="Arial" w:cs="Arial"/>
                <w:sz w:val="20"/>
                <w:szCs w:val="20"/>
              </w:rPr>
              <w:t>– IIAP</w:t>
            </w:r>
            <w:r w:rsidR="00AC2FF1" w:rsidRPr="00846D49">
              <w:rPr>
                <w:rFonts w:ascii="Arial" w:eastAsia="Arial Narrow" w:hAnsi="Arial" w:cs="Arial"/>
                <w:sz w:val="20"/>
                <w:szCs w:val="20"/>
              </w:rPr>
              <w:t>.</w:t>
            </w:r>
          </w:p>
          <w:p w14:paraId="0AD1E919" w14:textId="312EB88B" w:rsidR="00B4555F" w:rsidRPr="00846D49" w:rsidRDefault="00B4555F" w:rsidP="00160C8B">
            <w:pPr>
              <w:spacing w:after="0" w:line="240" w:lineRule="auto"/>
              <w:jc w:val="both"/>
              <w:rPr>
                <w:rFonts w:ascii="Arial" w:eastAsia="Arial Narrow" w:hAnsi="Arial" w:cs="Arial"/>
                <w:sz w:val="20"/>
                <w:szCs w:val="20"/>
              </w:rPr>
            </w:pPr>
            <w:r w:rsidRPr="00846D49">
              <w:rPr>
                <w:rFonts w:ascii="Arial" w:eastAsia="Arial Narrow" w:hAnsi="Arial" w:cs="Arial"/>
                <w:sz w:val="20"/>
                <w:szCs w:val="20"/>
              </w:rPr>
              <w:t xml:space="preserve">Base de datos:  Memorias de eventos de capacitación, actas de asistencia técnica, material audiovisual y fotográfico. </w:t>
            </w:r>
            <w:r w:rsidR="00AC2FF1" w:rsidRPr="00846D49">
              <w:rPr>
                <w:rFonts w:ascii="Arial" w:eastAsia="Arial Narrow" w:hAnsi="Arial" w:cs="Arial"/>
                <w:sz w:val="20"/>
                <w:szCs w:val="20"/>
              </w:rPr>
              <w:t>Módulo capacitándome.iiap.gob.pe</w:t>
            </w:r>
          </w:p>
        </w:tc>
      </w:tr>
      <w:tr w:rsidR="00846D49" w:rsidRPr="00846D49" w14:paraId="55648284" w14:textId="77777777" w:rsidTr="00160C8B">
        <w:trPr>
          <w:trHeight w:val="436"/>
        </w:trPr>
        <w:tc>
          <w:tcPr>
            <w:tcW w:w="2285" w:type="dxa"/>
            <w:gridSpan w:val="4"/>
            <w:shd w:val="clear" w:color="auto" w:fill="auto"/>
            <w:tcMar>
              <w:top w:w="10" w:type="dxa"/>
              <w:left w:w="93" w:type="dxa"/>
              <w:bottom w:w="0" w:type="dxa"/>
              <w:right w:w="10" w:type="dxa"/>
            </w:tcMar>
            <w:vAlign w:val="center"/>
          </w:tcPr>
          <w:p w14:paraId="305DF4CD" w14:textId="77777777" w:rsidR="00B4555F" w:rsidRPr="00846D49" w:rsidRDefault="00B4555F" w:rsidP="00160C8B">
            <w:pPr>
              <w:tabs>
                <w:tab w:val="left" w:pos="3375"/>
              </w:tabs>
              <w:jc w:val="both"/>
              <w:rPr>
                <w:rFonts w:ascii="Arial" w:eastAsia="Arial Narrow" w:hAnsi="Arial" w:cs="Arial"/>
                <w:sz w:val="20"/>
                <w:szCs w:val="20"/>
              </w:rPr>
            </w:pPr>
            <w:r w:rsidRPr="00846D49">
              <w:rPr>
                <w:rFonts w:ascii="Arial" w:eastAsia="Arial Narrow" w:hAnsi="Arial" w:cs="Arial"/>
                <w:b/>
                <w:sz w:val="20"/>
                <w:szCs w:val="20"/>
              </w:rPr>
              <w:t>Supuestos:</w:t>
            </w:r>
          </w:p>
        </w:tc>
        <w:tc>
          <w:tcPr>
            <w:tcW w:w="6220" w:type="dxa"/>
            <w:gridSpan w:val="9"/>
            <w:shd w:val="clear" w:color="auto" w:fill="auto"/>
            <w:tcMar>
              <w:top w:w="51" w:type="dxa"/>
              <w:left w:w="227" w:type="dxa"/>
              <w:bottom w:w="51" w:type="dxa"/>
              <w:right w:w="227" w:type="dxa"/>
            </w:tcMar>
            <w:vAlign w:val="center"/>
          </w:tcPr>
          <w:p w14:paraId="1F853C3C" w14:textId="77777777" w:rsidR="00B4555F" w:rsidRPr="00846D49" w:rsidRDefault="00B4555F" w:rsidP="00160C8B">
            <w:pPr>
              <w:tabs>
                <w:tab w:val="left" w:pos="3375"/>
              </w:tabs>
              <w:jc w:val="both"/>
              <w:rPr>
                <w:rFonts w:ascii="Arial" w:eastAsia="Arial Narrow" w:hAnsi="Arial" w:cs="Arial"/>
                <w:sz w:val="20"/>
                <w:szCs w:val="20"/>
              </w:rPr>
            </w:pPr>
            <w:r w:rsidRPr="00846D49">
              <w:rPr>
                <w:rFonts w:ascii="Arial" w:eastAsia="Arial Narrow" w:hAnsi="Arial" w:cs="Arial"/>
                <w:sz w:val="20"/>
                <w:szCs w:val="20"/>
              </w:rPr>
              <w:t>Necesidad de adquirir conocimientos y técnicas de manejo para la producción sostenible de los recursos forestales y de fauna silvestre amazónicos por parte de los productores, manejadores y autoridades técnicas.</w:t>
            </w:r>
          </w:p>
        </w:tc>
      </w:tr>
      <w:tr w:rsidR="00846D49" w:rsidRPr="00846D49" w14:paraId="7180A2AC" w14:textId="77777777" w:rsidTr="005A3FA7">
        <w:trPr>
          <w:trHeight w:val="556"/>
        </w:trPr>
        <w:tc>
          <w:tcPr>
            <w:tcW w:w="709" w:type="dxa"/>
            <w:shd w:val="clear" w:color="auto" w:fill="auto"/>
            <w:tcMar>
              <w:top w:w="10" w:type="dxa"/>
              <w:left w:w="10" w:type="dxa"/>
              <w:bottom w:w="0" w:type="dxa"/>
              <w:right w:w="10" w:type="dxa"/>
            </w:tcMar>
            <w:vAlign w:val="center"/>
          </w:tcPr>
          <w:p w14:paraId="0BEFEF0D" w14:textId="77777777" w:rsidR="00B4555F" w:rsidRPr="00846D49" w:rsidRDefault="00B4555F" w:rsidP="00160C8B">
            <w:pPr>
              <w:tabs>
                <w:tab w:val="left" w:pos="3375"/>
              </w:tabs>
              <w:jc w:val="center"/>
              <w:rPr>
                <w:rFonts w:ascii="Arial" w:eastAsia="Arial Narrow" w:hAnsi="Arial" w:cs="Arial"/>
                <w:sz w:val="20"/>
                <w:szCs w:val="20"/>
              </w:rPr>
            </w:pPr>
          </w:p>
        </w:tc>
        <w:tc>
          <w:tcPr>
            <w:tcW w:w="851" w:type="dxa"/>
            <w:shd w:val="clear" w:color="auto" w:fill="auto"/>
            <w:tcMar>
              <w:top w:w="10" w:type="dxa"/>
              <w:left w:w="10" w:type="dxa"/>
              <w:bottom w:w="0" w:type="dxa"/>
              <w:right w:w="10" w:type="dxa"/>
            </w:tcMar>
            <w:vAlign w:val="center"/>
          </w:tcPr>
          <w:p w14:paraId="0EB28B2F" w14:textId="77777777" w:rsidR="00B4555F" w:rsidRPr="00846D49" w:rsidRDefault="00B4555F" w:rsidP="00160C8B">
            <w:pPr>
              <w:tabs>
                <w:tab w:val="left" w:pos="3375"/>
              </w:tabs>
              <w:jc w:val="center"/>
              <w:rPr>
                <w:rFonts w:ascii="Arial" w:eastAsia="Arial Narrow" w:hAnsi="Arial" w:cs="Arial"/>
                <w:sz w:val="20"/>
                <w:szCs w:val="20"/>
              </w:rPr>
            </w:pPr>
            <w:r w:rsidRPr="00846D49">
              <w:rPr>
                <w:rFonts w:ascii="Arial" w:eastAsia="Arial Narrow" w:hAnsi="Arial" w:cs="Arial"/>
                <w:b/>
                <w:sz w:val="20"/>
                <w:szCs w:val="20"/>
              </w:rPr>
              <w:t>Línea de base</w:t>
            </w:r>
          </w:p>
        </w:tc>
        <w:tc>
          <w:tcPr>
            <w:tcW w:w="6945" w:type="dxa"/>
            <w:gridSpan w:val="11"/>
            <w:shd w:val="clear" w:color="auto" w:fill="auto"/>
            <w:tcMar>
              <w:top w:w="10" w:type="dxa"/>
              <w:left w:w="10" w:type="dxa"/>
              <w:bottom w:w="0" w:type="dxa"/>
              <w:right w:w="10" w:type="dxa"/>
            </w:tcMar>
            <w:vAlign w:val="center"/>
          </w:tcPr>
          <w:p w14:paraId="72924C29" w14:textId="77777777" w:rsidR="00B4555F" w:rsidRPr="00846D49" w:rsidRDefault="00B4555F" w:rsidP="00160C8B">
            <w:pPr>
              <w:tabs>
                <w:tab w:val="left" w:pos="3375"/>
              </w:tabs>
              <w:jc w:val="center"/>
              <w:rPr>
                <w:rFonts w:ascii="Arial" w:eastAsia="Arial Narrow" w:hAnsi="Arial" w:cs="Arial"/>
                <w:sz w:val="20"/>
                <w:szCs w:val="20"/>
              </w:rPr>
            </w:pPr>
            <w:r w:rsidRPr="00846D49">
              <w:rPr>
                <w:rFonts w:ascii="Arial" w:eastAsia="Arial Narrow" w:hAnsi="Arial" w:cs="Arial"/>
                <w:b/>
                <w:sz w:val="20"/>
                <w:szCs w:val="20"/>
              </w:rPr>
              <w:t>Logros esperados</w:t>
            </w:r>
          </w:p>
        </w:tc>
      </w:tr>
      <w:tr w:rsidR="00846D49" w:rsidRPr="00846D49" w14:paraId="3EC39B6F" w14:textId="77777777" w:rsidTr="005A3FA7">
        <w:trPr>
          <w:trHeight w:val="287"/>
        </w:trPr>
        <w:tc>
          <w:tcPr>
            <w:tcW w:w="709" w:type="dxa"/>
            <w:shd w:val="clear" w:color="auto" w:fill="auto"/>
            <w:tcMar>
              <w:top w:w="10" w:type="dxa"/>
              <w:left w:w="10" w:type="dxa"/>
              <w:bottom w:w="0" w:type="dxa"/>
              <w:right w:w="10" w:type="dxa"/>
            </w:tcMar>
            <w:vAlign w:val="center"/>
          </w:tcPr>
          <w:p w14:paraId="6EEDA255" w14:textId="77777777" w:rsidR="00B4555F" w:rsidRPr="00846D49" w:rsidRDefault="00B4555F" w:rsidP="00160C8B">
            <w:pPr>
              <w:tabs>
                <w:tab w:val="left" w:pos="3375"/>
              </w:tabs>
              <w:jc w:val="center"/>
              <w:rPr>
                <w:rFonts w:ascii="Arial" w:eastAsia="Arial Narrow" w:hAnsi="Arial" w:cs="Arial"/>
                <w:sz w:val="20"/>
                <w:szCs w:val="20"/>
              </w:rPr>
            </w:pPr>
            <w:r w:rsidRPr="00846D49">
              <w:rPr>
                <w:rFonts w:ascii="Arial" w:eastAsia="Arial Narrow" w:hAnsi="Arial" w:cs="Arial"/>
                <w:b/>
                <w:sz w:val="20"/>
                <w:szCs w:val="20"/>
              </w:rPr>
              <w:t>Año</w:t>
            </w:r>
          </w:p>
        </w:tc>
        <w:tc>
          <w:tcPr>
            <w:tcW w:w="851" w:type="dxa"/>
            <w:shd w:val="clear" w:color="auto" w:fill="auto"/>
            <w:tcMar>
              <w:top w:w="10" w:type="dxa"/>
              <w:left w:w="10" w:type="dxa"/>
              <w:bottom w:w="0" w:type="dxa"/>
              <w:right w:w="10" w:type="dxa"/>
            </w:tcMar>
            <w:vAlign w:val="center"/>
          </w:tcPr>
          <w:p w14:paraId="2D798ED7" w14:textId="77777777" w:rsidR="00B4555F" w:rsidRPr="00846D49" w:rsidRDefault="00B4555F" w:rsidP="00160C8B">
            <w:pPr>
              <w:tabs>
                <w:tab w:val="left" w:pos="3375"/>
              </w:tabs>
              <w:jc w:val="center"/>
              <w:rPr>
                <w:rFonts w:ascii="Arial" w:eastAsia="Arial Narrow" w:hAnsi="Arial" w:cs="Arial"/>
                <w:b/>
                <w:sz w:val="20"/>
                <w:szCs w:val="20"/>
              </w:rPr>
            </w:pPr>
            <w:r w:rsidRPr="00846D49">
              <w:rPr>
                <w:rFonts w:ascii="Arial" w:eastAsia="Arial Narrow" w:hAnsi="Arial" w:cs="Arial"/>
                <w:b/>
                <w:sz w:val="20"/>
                <w:szCs w:val="20"/>
              </w:rPr>
              <w:t>2021</w:t>
            </w:r>
          </w:p>
        </w:tc>
        <w:tc>
          <w:tcPr>
            <w:tcW w:w="708" w:type="dxa"/>
            <w:shd w:val="clear" w:color="auto" w:fill="auto"/>
            <w:vAlign w:val="center"/>
          </w:tcPr>
          <w:p w14:paraId="2B69A09A" w14:textId="77777777" w:rsidR="00B4555F" w:rsidRPr="00846D49" w:rsidRDefault="00B4555F" w:rsidP="00160C8B">
            <w:pPr>
              <w:tabs>
                <w:tab w:val="left" w:pos="3375"/>
              </w:tabs>
              <w:jc w:val="center"/>
              <w:rPr>
                <w:rFonts w:ascii="Arial" w:eastAsia="Arial Narrow" w:hAnsi="Arial" w:cs="Arial"/>
                <w:b/>
                <w:sz w:val="20"/>
                <w:szCs w:val="20"/>
              </w:rPr>
            </w:pPr>
            <w:r w:rsidRPr="00846D49">
              <w:rPr>
                <w:rFonts w:ascii="Arial" w:eastAsia="Arial Narrow" w:hAnsi="Arial" w:cs="Arial"/>
                <w:b/>
                <w:sz w:val="20"/>
                <w:szCs w:val="20"/>
              </w:rPr>
              <w:t>2023</w:t>
            </w:r>
          </w:p>
        </w:tc>
        <w:tc>
          <w:tcPr>
            <w:tcW w:w="993" w:type="dxa"/>
            <w:gridSpan w:val="2"/>
            <w:shd w:val="clear" w:color="auto" w:fill="auto"/>
            <w:vAlign w:val="center"/>
          </w:tcPr>
          <w:p w14:paraId="0E430D43" w14:textId="77777777" w:rsidR="00B4555F" w:rsidRPr="00846D49" w:rsidRDefault="00B4555F" w:rsidP="00160C8B">
            <w:pPr>
              <w:tabs>
                <w:tab w:val="left" w:pos="3375"/>
              </w:tabs>
              <w:jc w:val="center"/>
              <w:rPr>
                <w:rFonts w:ascii="Arial" w:eastAsia="Arial Narrow" w:hAnsi="Arial" w:cs="Arial"/>
                <w:b/>
                <w:sz w:val="20"/>
                <w:szCs w:val="20"/>
              </w:rPr>
            </w:pPr>
            <w:r w:rsidRPr="00846D49">
              <w:rPr>
                <w:rFonts w:ascii="Arial" w:eastAsia="Arial Narrow" w:hAnsi="Arial" w:cs="Arial"/>
                <w:b/>
                <w:sz w:val="20"/>
                <w:szCs w:val="20"/>
              </w:rPr>
              <w:t>2024</w:t>
            </w:r>
          </w:p>
        </w:tc>
        <w:tc>
          <w:tcPr>
            <w:tcW w:w="992" w:type="dxa"/>
            <w:gridSpan w:val="2"/>
            <w:shd w:val="clear" w:color="auto" w:fill="auto"/>
            <w:vAlign w:val="center"/>
          </w:tcPr>
          <w:p w14:paraId="3D608A99" w14:textId="77777777" w:rsidR="00B4555F" w:rsidRPr="00846D49" w:rsidRDefault="00B4555F" w:rsidP="00160C8B">
            <w:pPr>
              <w:tabs>
                <w:tab w:val="left" w:pos="3375"/>
              </w:tabs>
              <w:jc w:val="center"/>
              <w:rPr>
                <w:rFonts w:ascii="Arial" w:eastAsia="Arial Narrow" w:hAnsi="Arial" w:cs="Arial"/>
                <w:b/>
                <w:sz w:val="20"/>
                <w:szCs w:val="20"/>
              </w:rPr>
            </w:pPr>
            <w:r w:rsidRPr="00846D49">
              <w:rPr>
                <w:rFonts w:ascii="Arial" w:eastAsia="Arial Narrow" w:hAnsi="Arial" w:cs="Arial"/>
                <w:b/>
                <w:sz w:val="20"/>
                <w:szCs w:val="20"/>
              </w:rPr>
              <w:t>2025</w:t>
            </w:r>
          </w:p>
        </w:tc>
        <w:tc>
          <w:tcPr>
            <w:tcW w:w="850" w:type="dxa"/>
            <w:shd w:val="clear" w:color="auto" w:fill="auto"/>
            <w:vAlign w:val="center"/>
          </w:tcPr>
          <w:p w14:paraId="3BB1DF75" w14:textId="77777777" w:rsidR="00B4555F" w:rsidRPr="00846D49" w:rsidRDefault="00B4555F" w:rsidP="00160C8B">
            <w:pPr>
              <w:tabs>
                <w:tab w:val="left" w:pos="3375"/>
              </w:tabs>
              <w:jc w:val="center"/>
              <w:rPr>
                <w:rFonts w:ascii="Arial" w:eastAsia="Arial Narrow" w:hAnsi="Arial" w:cs="Arial"/>
                <w:b/>
                <w:sz w:val="20"/>
                <w:szCs w:val="20"/>
              </w:rPr>
            </w:pPr>
            <w:r w:rsidRPr="00846D49">
              <w:rPr>
                <w:rFonts w:ascii="Arial" w:eastAsia="Arial Narrow" w:hAnsi="Arial" w:cs="Arial"/>
                <w:b/>
                <w:sz w:val="20"/>
                <w:szCs w:val="20"/>
              </w:rPr>
              <w:t>2026</w:t>
            </w:r>
          </w:p>
        </w:tc>
        <w:tc>
          <w:tcPr>
            <w:tcW w:w="851" w:type="dxa"/>
            <w:shd w:val="clear" w:color="auto" w:fill="auto"/>
            <w:vAlign w:val="center"/>
          </w:tcPr>
          <w:p w14:paraId="31D6571C" w14:textId="77777777" w:rsidR="00B4555F" w:rsidRPr="00846D49" w:rsidRDefault="00B4555F" w:rsidP="00160C8B">
            <w:pPr>
              <w:tabs>
                <w:tab w:val="left" w:pos="3375"/>
              </w:tabs>
              <w:jc w:val="center"/>
              <w:rPr>
                <w:rFonts w:ascii="Arial" w:eastAsia="Arial Narrow" w:hAnsi="Arial" w:cs="Arial"/>
                <w:b/>
                <w:sz w:val="20"/>
                <w:szCs w:val="20"/>
              </w:rPr>
            </w:pPr>
            <w:r w:rsidRPr="00846D49">
              <w:rPr>
                <w:rFonts w:ascii="Arial" w:eastAsia="Arial Narrow" w:hAnsi="Arial" w:cs="Arial"/>
                <w:b/>
                <w:sz w:val="20"/>
                <w:szCs w:val="20"/>
              </w:rPr>
              <w:t>2027</w:t>
            </w:r>
          </w:p>
        </w:tc>
        <w:tc>
          <w:tcPr>
            <w:tcW w:w="850" w:type="dxa"/>
            <w:shd w:val="clear" w:color="auto" w:fill="auto"/>
            <w:vAlign w:val="center"/>
          </w:tcPr>
          <w:p w14:paraId="06D88B37" w14:textId="77777777" w:rsidR="00B4555F" w:rsidRPr="00846D49" w:rsidRDefault="00B4555F" w:rsidP="00160C8B">
            <w:pPr>
              <w:tabs>
                <w:tab w:val="left" w:pos="3375"/>
              </w:tabs>
              <w:jc w:val="center"/>
              <w:rPr>
                <w:rFonts w:ascii="Arial" w:eastAsia="Arial Narrow" w:hAnsi="Arial" w:cs="Arial"/>
                <w:b/>
                <w:sz w:val="20"/>
                <w:szCs w:val="20"/>
              </w:rPr>
            </w:pPr>
            <w:r w:rsidRPr="00846D49">
              <w:rPr>
                <w:rFonts w:ascii="Arial" w:eastAsia="Arial Narrow" w:hAnsi="Arial" w:cs="Arial"/>
                <w:b/>
                <w:sz w:val="20"/>
                <w:szCs w:val="20"/>
              </w:rPr>
              <w:t>2028</w:t>
            </w:r>
          </w:p>
        </w:tc>
        <w:tc>
          <w:tcPr>
            <w:tcW w:w="709" w:type="dxa"/>
            <w:gridSpan w:val="2"/>
            <w:shd w:val="clear" w:color="auto" w:fill="auto"/>
            <w:vAlign w:val="center"/>
          </w:tcPr>
          <w:p w14:paraId="3C617FBE" w14:textId="77777777" w:rsidR="00B4555F" w:rsidRPr="00846D49" w:rsidRDefault="00B4555F" w:rsidP="00160C8B">
            <w:pPr>
              <w:tabs>
                <w:tab w:val="left" w:pos="3375"/>
              </w:tabs>
              <w:jc w:val="center"/>
              <w:rPr>
                <w:rFonts w:ascii="Arial" w:eastAsia="Arial Narrow" w:hAnsi="Arial" w:cs="Arial"/>
                <w:b/>
                <w:sz w:val="20"/>
                <w:szCs w:val="20"/>
              </w:rPr>
            </w:pPr>
            <w:r w:rsidRPr="00846D49">
              <w:rPr>
                <w:rFonts w:ascii="Arial" w:eastAsia="Arial Narrow" w:hAnsi="Arial" w:cs="Arial"/>
                <w:b/>
                <w:sz w:val="20"/>
                <w:szCs w:val="20"/>
              </w:rPr>
              <w:t>2029</w:t>
            </w:r>
          </w:p>
        </w:tc>
        <w:tc>
          <w:tcPr>
            <w:tcW w:w="992" w:type="dxa"/>
            <w:shd w:val="clear" w:color="auto" w:fill="auto"/>
            <w:tcMar>
              <w:top w:w="10" w:type="dxa"/>
              <w:left w:w="10" w:type="dxa"/>
              <w:bottom w:w="0" w:type="dxa"/>
              <w:right w:w="10" w:type="dxa"/>
            </w:tcMar>
            <w:vAlign w:val="center"/>
          </w:tcPr>
          <w:p w14:paraId="036E6FCC" w14:textId="77777777" w:rsidR="00B4555F" w:rsidRPr="00846D49" w:rsidRDefault="00B4555F" w:rsidP="00160C8B">
            <w:pPr>
              <w:tabs>
                <w:tab w:val="left" w:pos="3375"/>
              </w:tabs>
              <w:jc w:val="center"/>
              <w:rPr>
                <w:rFonts w:ascii="Arial" w:eastAsia="Arial Narrow" w:hAnsi="Arial" w:cs="Arial"/>
                <w:b/>
                <w:sz w:val="20"/>
                <w:szCs w:val="20"/>
              </w:rPr>
            </w:pPr>
            <w:r w:rsidRPr="00846D49">
              <w:rPr>
                <w:rFonts w:ascii="Arial" w:eastAsia="Arial Narrow" w:hAnsi="Arial" w:cs="Arial"/>
                <w:b/>
                <w:sz w:val="20"/>
                <w:szCs w:val="20"/>
              </w:rPr>
              <w:t>2030</w:t>
            </w:r>
          </w:p>
        </w:tc>
      </w:tr>
      <w:tr w:rsidR="00846D49" w:rsidRPr="00846D49" w14:paraId="62821D88" w14:textId="77777777" w:rsidTr="005A3FA7">
        <w:trPr>
          <w:trHeight w:val="81"/>
        </w:trPr>
        <w:tc>
          <w:tcPr>
            <w:tcW w:w="709" w:type="dxa"/>
            <w:shd w:val="clear" w:color="auto" w:fill="auto"/>
            <w:tcMar>
              <w:top w:w="10" w:type="dxa"/>
              <w:left w:w="10" w:type="dxa"/>
              <w:bottom w:w="0" w:type="dxa"/>
              <w:right w:w="10" w:type="dxa"/>
            </w:tcMar>
            <w:vAlign w:val="center"/>
          </w:tcPr>
          <w:p w14:paraId="712EBF3F" w14:textId="77777777" w:rsidR="00B4555F" w:rsidRPr="00846D49" w:rsidRDefault="00B4555F" w:rsidP="00160C8B">
            <w:pPr>
              <w:tabs>
                <w:tab w:val="left" w:pos="3375"/>
              </w:tabs>
              <w:jc w:val="center"/>
              <w:rPr>
                <w:rFonts w:ascii="Arial" w:eastAsia="Arial Narrow" w:hAnsi="Arial" w:cs="Arial"/>
                <w:b/>
                <w:sz w:val="20"/>
                <w:szCs w:val="20"/>
              </w:rPr>
            </w:pPr>
            <w:r w:rsidRPr="00846D49">
              <w:rPr>
                <w:rFonts w:ascii="Arial" w:eastAsia="Arial Narrow" w:hAnsi="Arial" w:cs="Arial"/>
                <w:b/>
                <w:sz w:val="20"/>
                <w:szCs w:val="20"/>
              </w:rPr>
              <w:t>Valor</w:t>
            </w:r>
          </w:p>
        </w:tc>
        <w:tc>
          <w:tcPr>
            <w:tcW w:w="851" w:type="dxa"/>
            <w:tcBorders>
              <w:right w:val="single" w:sz="4" w:space="0" w:color="000000"/>
            </w:tcBorders>
            <w:shd w:val="clear" w:color="auto" w:fill="auto"/>
            <w:tcMar>
              <w:top w:w="10" w:type="dxa"/>
              <w:left w:w="10" w:type="dxa"/>
              <w:bottom w:w="0" w:type="dxa"/>
              <w:right w:w="10" w:type="dxa"/>
            </w:tcMar>
            <w:vAlign w:val="center"/>
          </w:tcPr>
          <w:p w14:paraId="296BD07F" w14:textId="77777777" w:rsidR="00B4555F" w:rsidRPr="00846D49" w:rsidRDefault="00B4555F" w:rsidP="003C5B2C">
            <w:pPr>
              <w:tabs>
                <w:tab w:val="left" w:pos="3375"/>
              </w:tabs>
              <w:jc w:val="center"/>
              <w:rPr>
                <w:rFonts w:ascii="Arial" w:eastAsia="Arial Narrow" w:hAnsi="Arial" w:cs="Arial"/>
                <w:sz w:val="20"/>
                <w:szCs w:val="20"/>
              </w:rPr>
            </w:pPr>
            <w:r w:rsidRPr="00846D49">
              <w:rPr>
                <w:rFonts w:ascii="Arial" w:eastAsia="Arial Narrow" w:hAnsi="Arial" w:cs="Arial"/>
                <w:sz w:val="20"/>
                <w:szCs w:val="20"/>
              </w:rPr>
              <w:t>37%</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2A4E50" w14:textId="77777777" w:rsidR="00B4555F" w:rsidRPr="00846D49" w:rsidRDefault="00B4555F" w:rsidP="00160C8B">
            <w:pPr>
              <w:tabs>
                <w:tab w:val="left" w:pos="3375"/>
              </w:tabs>
              <w:jc w:val="center"/>
              <w:rPr>
                <w:rFonts w:ascii="Arial" w:eastAsia="Arial Narrow" w:hAnsi="Arial" w:cs="Arial"/>
                <w:sz w:val="20"/>
                <w:szCs w:val="20"/>
              </w:rPr>
            </w:pPr>
            <w:r w:rsidRPr="00846D49">
              <w:rPr>
                <w:rFonts w:ascii="Arial" w:eastAsia="Arial Narrow" w:hAnsi="Arial" w:cs="Arial"/>
                <w:sz w:val="20"/>
                <w:szCs w:val="20"/>
              </w:rPr>
              <w:t>30%</w:t>
            </w:r>
          </w:p>
        </w:tc>
        <w:tc>
          <w:tcPr>
            <w:tcW w:w="99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A0B130C" w14:textId="77777777" w:rsidR="00B4555F" w:rsidRPr="00846D49" w:rsidRDefault="00B4555F" w:rsidP="00160C8B">
            <w:pPr>
              <w:tabs>
                <w:tab w:val="left" w:pos="3375"/>
              </w:tabs>
              <w:jc w:val="center"/>
              <w:rPr>
                <w:rFonts w:ascii="Arial" w:eastAsia="Arial Narrow" w:hAnsi="Arial" w:cs="Arial"/>
                <w:sz w:val="20"/>
                <w:szCs w:val="20"/>
              </w:rPr>
            </w:pPr>
            <w:r w:rsidRPr="00846D49">
              <w:rPr>
                <w:rFonts w:ascii="Arial" w:eastAsia="Arial Narrow" w:hAnsi="Arial" w:cs="Arial"/>
                <w:sz w:val="20"/>
                <w:szCs w:val="20"/>
              </w:rPr>
              <w:t>35%</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5E6B836" w14:textId="77777777" w:rsidR="00B4555F" w:rsidRPr="00846D49" w:rsidRDefault="00B4555F" w:rsidP="00160C8B">
            <w:pPr>
              <w:tabs>
                <w:tab w:val="left" w:pos="3375"/>
              </w:tabs>
              <w:jc w:val="center"/>
              <w:rPr>
                <w:rFonts w:ascii="Arial" w:eastAsia="Arial Narrow" w:hAnsi="Arial" w:cs="Arial"/>
                <w:sz w:val="20"/>
                <w:szCs w:val="20"/>
              </w:rPr>
            </w:pPr>
            <w:r w:rsidRPr="00846D49">
              <w:rPr>
                <w:rFonts w:ascii="Arial" w:eastAsia="Arial Narrow" w:hAnsi="Arial" w:cs="Arial"/>
                <w:sz w:val="20"/>
                <w:szCs w:val="20"/>
              </w:rPr>
              <w:t>40%</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5A50A" w14:textId="77777777" w:rsidR="00B4555F" w:rsidRPr="00846D49" w:rsidRDefault="00B4555F" w:rsidP="00160C8B">
            <w:pPr>
              <w:tabs>
                <w:tab w:val="left" w:pos="3375"/>
              </w:tabs>
              <w:jc w:val="center"/>
              <w:rPr>
                <w:rFonts w:ascii="Arial" w:eastAsia="Arial Narrow" w:hAnsi="Arial" w:cs="Arial"/>
                <w:sz w:val="20"/>
                <w:szCs w:val="20"/>
              </w:rPr>
            </w:pPr>
            <w:r w:rsidRPr="00846D49">
              <w:rPr>
                <w:rFonts w:ascii="Arial" w:eastAsia="Arial Narrow" w:hAnsi="Arial" w:cs="Arial"/>
                <w:sz w:val="20"/>
                <w:szCs w:val="20"/>
              </w:rPr>
              <w:t>45%</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095E07" w14:textId="77777777" w:rsidR="00B4555F" w:rsidRPr="00846D49" w:rsidRDefault="00B4555F" w:rsidP="00160C8B">
            <w:pPr>
              <w:tabs>
                <w:tab w:val="left" w:pos="3375"/>
              </w:tabs>
              <w:jc w:val="center"/>
              <w:rPr>
                <w:rFonts w:ascii="Arial" w:eastAsia="Arial Narrow" w:hAnsi="Arial" w:cs="Arial"/>
                <w:sz w:val="20"/>
                <w:szCs w:val="20"/>
              </w:rPr>
            </w:pPr>
            <w:r w:rsidRPr="00846D49">
              <w:rPr>
                <w:rFonts w:ascii="Arial" w:eastAsia="Arial Narrow" w:hAnsi="Arial" w:cs="Arial"/>
                <w:sz w:val="20"/>
                <w:szCs w:val="20"/>
              </w:rPr>
              <w:t>50%</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6913DF" w14:textId="77777777" w:rsidR="00B4555F" w:rsidRPr="00846D49" w:rsidRDefault="00B4555F" w:rsidP="00160C8B">
            <w:pPr>
              <w:tabs>
                <w:tab w:val="left" w:pos="3375"/>
              </w:tabs>
              <w:jc w:val="center"/>
              <w:rPr>
                <w:rFonts w:ascii="Arial" w:eastAsia="Arial Narrow" w:hAnsi="Arial" w:cs="Arial"/>
                <w:sz w:val="20"/>
                <w:szCs w:val="20"/>
              </w:rPr>
            </w:pPr>
            <w:r w:rsidRPr="00846D49">
              <w:rPr>
                <w:rFonts w:ascii="Arial" w:eastAsia="Arial Narrow" w:hAnsi="Arial" w:cs="Arial"/>
                <w:sz w:val="20"/>
                <w:szCs w:val="20"/>
              </w:rPr>
              <w:t>55%</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2C5058" w14:textId="77777777" w:rsidR="00B4555F" w:rsidRPr="00846D49" w:rsidRDefault="00B4555F" w:rsidP="00160C8B">
            <w:pPr>
              <w:tabs>
                <w:tab w:val="left" w:pos="3375"/>
              </w:tabs>
              <w:jc w:val="center"/>
              <w:rPr>
                <w:rFonts w:ascii="Arial" w:eastAsia="Arial Narrow" w:hAnsi="Arial" w:cs="Arial"/>
                <w:sz w:val="20"/>
                <w:szCs w:val="20"/>
              </w:rPr>
            </w:pPr>
            <w:r w:rsidRPr="00846D49">
              <w:rPr>
                <w:rFonts w:ascii="Arial" w:eastAsia="Arial Narrow" w:hAnsi="Arial" w:cs="Arial"/>
                <w:sz w:val="20"/>
                <w:szCs w:val="20"/>
              </w:rPr>
              <w:t>60%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tcPr>
          <w:p w14:paraId="3B12FD09" w14:textId="77777777" w:rsidR="00B4555F" w:rsidRPr="00846D49" w:rsidRDefault="00B4555F" w:rsidP="00160C8B">
            <w:pPr>
              <w:tabs>
                <w:tab w:val="left" w:pos="3375"/>
              </w:tabs>
              <w:jc w:val="center"/>
              <w:rPr>
                <w:rFonts w:ascii="Arial" w:eastAsia="Arial Narrow" w:hAnsi="Arial" w:cs="Arial"/>
                <w:sz w:val="20"/>
                <w:szCs w:val="20"/>
              </w:rPr>
            </w:pPr>
            <w:r w:rsidRPr="00846D49">
              <w:rPr>
                <w:rFonts w:ascii="Arial" w:eastAsia="Arial Narrow" w:hAnsi="Arial" w:cs="Arial"/>
                <w:sz w:val="20"/>
                <w:szCs w:val="20"/>
              </w:rPr>
              <w:t>65%</w:t>
            </w:r>
          </w:p>
        </w:tc>
      </w:tr>
      <w:bookmarkEnd w:id="17"/>
    </w:tbl>
    <w:p w14:paraId="34B3CD63" w14:textId="77777777" w:rsidR="00B4555F" w:rsidRPr="00846D49" w:rsidRDefault="00B4555F" w:rsidP="00B4555F"/>
    <w:p w14:paraId="2D23B8F9" w14:textId="77777777" w:rsidR="003C5B2C" w:rsidRPr="00846D49" w:rsidRDefault="003C5B2C" w:rsidP="00B4555F"/>
    <w:tbl>
      <w:tblPr>
        <w:tblW w:w="8789"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5"/>
        <w:gridCol w:w="850"/>
        <w:gridCol w:w="498"/>
        <w:gridCol w:w="211"/>
        <w:gridCol w:w="850"/>
        <w:gridCol w:w="567"/>
        <w:gridCol w:w="284"/>
        <w:gridCol w:w="850"/>
        <w:gridCol w:w="851"/>
        <w:gridCol w:w="850"/>
        <w:gridCol w:w="322"/>
        <w:gridCol w:w="671"/>
        <w:gridCol w:w="850"/>
      </w:tblGrid>
      <w:tr w:rsidR="00846D49" w:rsidRPr="00846D49" w14:paraId="18996233" w14:textId="77777777" w:rsidTr="006346AA">
        <w:trPr>
          <w:trHeight w:val="251"/>
        </w:trPr>
        <w:tc>
          <w:tcPr>
            <w:tcW w:w="8789" w:type="dxa"/>
            <w:gridSpan w:val="13"/>
            <w:shd w:val="clear" w:color="auto" w:fill="D9D9D9" w:themeFill="background1" w:themeFillShade="D9"/>
            <w:tcMar>
              <w:top w:w="10" w:type="dxa"/>
              <w:left w:w="10" w:type="dxa"/>
              <w:bottom w:w="0" w:type="dxa"/>
              <w:right w:w="10" w:type="dxa"/>
            </w:tcMar>
            <w:vAlign w:val="center"/>
          </w:tcPr>
          <w:p w14:paraId="7DAAB2C6" w14:textId="77777777" w:rsidR="00A90E9C" w:rsidRPr="00846D49" w:rsidRDefault="00A90E9C" w:rsidP="0072651A">
            <w:pPr>
              <w:jc w:val="center"/>
              <w:rPr>
                <w:rFonts w:ascii="Arial" w:eastAsia="Arial Narrow" w:hAnsi="Arial" w:cs="Arial"/>
                <w:sz w:val="20"/>
                <w:szCs w:val="20"/>
                <w:highlight w:val="white"/>
              </w:rPr>
            </w:pPr>
            <w:r w:rsidRPr="00846D49">
              <w:rPr>
                <w:rFonts w:ascii="Arial" w:eastAsia="Arial Narrow" w:hAnsi="Arial" w:cs="Arial"/>
                <w:b/>
                <w:sz w:val="20"/>
                <w:szCs w:val="20"/>
              </w:rPr>
              <w:t>FICHA TÉCNICA DE INDICADOR DE SERVICIO 1.7.1</w:t>
            </w:r>
          </w:p>
        </w:tc>
      </w:tr>
      <w:tr w:rsidR="00846D49" w:rsidRPr="00846D49" w14:paraId="457AEAE9" w14:textId="77777777" w:rsidTr="006346AA">
        <w:trPr>
          <w:trHeight w:val="409"/>
        </w:trPr>
        <w:tc>
          <w:tcPr>
            <w:tcW w:w="2483" w:type="dxa"/>
            <w:gridSpan w:val="3"/>
            <w:shd w:val="clear" w:color="auto" w:fill="FFFFFF"/>
            <w:tcMar>
              <w:top w:w="10" w:type="dxa"/>
              <w:left w:w="93" w:type="dxa"/>
              <w:bottom w:w="0" w:type="dxa"/>
              <w:right w:w="10" w:type="dxa"/>
            </w:tcMar>
            <w:vAlign w:val="center"/>
          </w:tcPr>
          <w:p w14:paraId="4F58F334" w14:textId="77777777" w:rsidR="00A90E9C" w:rsidRPr="00846D49" w:rsidRDefault="00A90E9C" w:rsidP="0072651A">
            <w:pPr>
              <w:spacing w:after="0" w:line="240" w:lineRule="auto"/>
              <w:rPr>
                <w:rFonts w:ascii="Arial" w:eastAsia="Arial Narrow" w:hAnsi="Arial" w:cs="Arial"/>
                <w:sz w:val="20"/>
                <w:szCs w:val="20"/>
              </w:rPr>
            </w:pPr>
            <w:r w:rsidRPr="00846D49">
              <w:rPr>
                <w:rFonts w:ascii="Arial" w:eastAsia="Arial Narrow" w:hAnsi="Arial" w:cs="Arial"/>
                <w:b/>
                <w:sz w:val="20"/>
                <w:szCs w:val="20"/>
              </w:rPr>
              <w:lastRenderedPageBreak/>
              <w:t>Objetivo prioritario:</w:t>
            </w:r>
          </w:p>
        </w:tc>
        <w:tc>
          <w:tcPr>
            <w:tcW w:w="6306" w:type="dxa"/>
            <w:gridSpan w:val="10"/>
            <w:shd w:val="clear" w:color="auto" w:fill="FFFFFF"/>
            <w:tcMar>
              <w:top w:w="51" w:type="dxa"/>
              <w:left w:w="227" w:type="dxa"/>
              <w:bottom w:w="51" w:type="dxa"/>
              <w:right w:w="227" w:type="dxa"/>
            </w:tcMar>
            <w:vAlign w:val="center"/>
          </w:tcPr>
          <w:p w14:paraId="2276DFF8" w14:textId="77777777" w:rsidR="00A90E9C" w:rsidRPr="00846D49" w:rsidRDefault="00A90E9C" w:rsidP="0072651A">
            <w:pPr>
              <w:spacing w:after="0" w:line="240" w:lineRule="auto"/>
              <w:jc w:val="both"/>
              <w:rPr>
                <w:rFonts w:ascii="Arial" w:eastAsia="Arial Narrow" w:hAnsi="Arial" w:cs="Arial"/>
                <w:sz w:val="20"/>
                <w:szCs w:val="20"/>
              </w:rPr>
            </w:pPr>
            <w:r w:rsidRPr="00846D49">
              <w:rPr>
                <w:rFonts w:ascii="Arial" w:eastAsia="Arial Narrow" w:hAnsi="Arial" w:cs="Arial"/>
                <w:sz w:val="20"/>
                <w:szCs w:val="20"/>
              </w:rPr>
              <w:t>OP1 Mejorar las condiciones para la sostenibilidad de los ecosistemas forestales, otros ecosistemas de vegetación silvestre y de la fauna silvestre.</w:t>
            </w:r>
          </w:p>
        </w:tc>
      </w:tr>
      <w:tr w:rsidR="00846D49" w:rsidRPr="00846D49" w14:paraId="687EEA6E" w14:textId="77777777" w:rsidTr="006346AA">
        <w:trPr>
          <w:trHeight w:val="436"/>
        </w:trPr>
        <w:tc>
          <w:tcPr>
            <w:tcW w:w="2483" w:type="dxa"/>
            <w:gridSpan w:val="3"/>
            <w:shd w:val="clear" w:color="auto" w:fill="auto"/>
            <w:tcMar>
              <w:top w:w="10" w:type="dxa"/>
              <w:left w:w="93" w:type="dxa"/>
              <w:bottom w:w="0" w:type="dxa"/>
              <w:right w:w="10" w:type="dxa"/>
            </w:tcMar>
            <w:vAlign w:val="center"/>
          </w:tcPr>
          <w:p w14:paraId="1792C0DE" w14:textId="77777777" w:rsidR="00A90E9C" w:rsidRPr="00846D49" w:rsidRDefault="00A90E9C" w:rsidP="0072651A">
            <w:pPr>
              <w:rPr>
                <w:rFonts w:ascii="Arial" w:eastAsia="Arial Narrow" w:hAnsi="Arial" w:cs="Arial"/>
                <w:sz w:val="20"/>
                <w:szCs w:val="20"/>
              </w:rPr>
            </w:pPr>
            <w:r w:rsidRPr="00846D49">
              <w:rPr>
                <w:rFonts w:ascii="Arial" w:eastAsia="Arial Narrow" w:hAnsi="Arial" w:cs="Arial"/>
                <w:b/>
                <w:sz w:val="20"/>
                <w:szCs w:val="20"/>
              </w:rPr>
              <w:t>Lineamiento de la política:</w:t>
            </w:r>
          </w:p>
        </w:tc>
        <w:tc>
          <w:tcPr>
            <w:tcW w:w="6306" w:type="dxa"/>
            <w:gridSpan w:val="10"/>
            <w:shd w:val="clear" w:color="auto" w:fill="auto"/>
            <w:tcMar>
              <w:top w:w="51" w:type="dxa"/>
              <w:left w:w="227" w:type="dxa"/>
              <w:bottom w:w="51" w:type="dxa"/>
              <w:right w:w="227" w:type="dxa"/>
            </w:tcMar>
            <w:vAlign w:val="center"/>
          </w:tcPr>
          <w:p w14:paraId="73FDBE6A" w14:textId="77777777" w:rsidR="00A90E9C" w:rsidRPr="00846D49" w:rsidRDefault="00A90E9C" w:rsidP="0072651A">
            <w:pPr>
              <w:spacing w:after="0" w:line="240" w:lineRule="auto"/>
              <w:jc w:val="both"/>
              <w:rPr>
                <w:rFonts w:ascii="Arial" w:eastAsia="Arial Narrow" w:hAnsi="Arial" w:cs="Arial"/>
                <w:sz w:val="20"/>
                <w:szCs w:val="20"/>
              </w:rPr>
            </w:pPr>
            <w:r w:rsidRPr="00846D49">
              <w:rPr>
                <w:rFonts w:ascii="Arial" w:eastAsia="Arial Narrow" w:hAnsi="Arial" w:cs="Arial"/>
                <w:sz w:val="20"/>
                <w:szCs w:val="20"/>
              </w:rPr>
              <w:t>L1.7 Fomentar la conservación y aprovechamiento sostenible de la vicuña como una prioridad estratégica para el desarrollo sostenible de las poblaciones altoandinas.</w:t>
            </w:r>
          </w:p>
        </w:tc>
      </w:tr>
      <w:tr w:rsidR="00846D49" w:rsidRPr="00846D49" w14:paraId="04DFFF9B" w14:textId="77777777" w:rsidTr="006346AA">
        <w:trPr>
          <w:trHeight w:val="404"/>
        </w:trPr>
        <w:tc>
          <w:tcPr>
            <w:tcW w:w="2483" w:type="dxa"/>
            <w:gridSpan w:val="3"/>
            <w:shd w:val="clear" w:color="auto" w:fill="auto"/>
            <w:tcMar>
              <w:top w:w="10" w:type="dxa"/>
              <w:left w:w="93" w:type="dxa"/>
              <w:bottom w:w="0" w:type="dxa"/>
              <w:right w:w="10" w:type="dxa"/>
            </w:tcMar>
            <w:vAlign w:val="center"/>
          </w:tcPr>
          <w:p w14:paraId="67F47CF6" w14:textId="77777777" w:rsidR="00A90E9C" w:rsidRPr="00846D49" w:rsidRDefault="00A90E9C" w:rsidP="0072651A">
            <w:pPr>
              <w:rPr>
                <w:rFonts w:ascii="Arial" w:eastAsia="Arial Narrow" w:hAnsi="Arial" w:cs="Arial"/>
                <w:sz w:val="20"/>
                <w:szCs w:val="20"/>
              </w:rPr>
            </w:pPr>
            <w:r w:rsidRPr="00846D49">
              <w:rPr>
                <w:rFonts w:ascii="Arial" w:eastAsia="Arial Narrow" w:hAnsi="Arial" w:cs="Arial"/>
                <w:b/>
                <w:sz w:val="20"/>
                <w:szCs w:val="20"/>
              </w:rPr>
              <w:t>Nombre del servicio:</w:t>
            </w:r>
          </w:p>
        </w:tc>
        <w:tc>
          <w:tcPr>
            <w:tcW w:w="6306" w:type="dxa"/>
            <w:gridSpan w:val="10"/>
            <w:shd w:val="clear" w:color="auto" w:fill="auto"/>
            <w:tcMar>
              <w:top w:w="51" w:type="dxa"/>
              <w:left w:w="227" w:type="dxa"/>
              <w:bottom w:w="51" w:type="dxa"/>
              <w:right w:w="227" w:type="dxa"/>
            </w:tcMar>
            <w:vAlign w:val="center"/>
          </w:tcPr>
          <w:p w14:paraId="296AE500" w14:textId="011B753D" w:rsidR="00A90E9C" w:rsidRPr="00846D49" w:rsidRDefault="00A90E9C" w:rsidP="0072651A">
            <w:pPr>
              <w:spacing w:after="0" w:line="240" w:lineRule="auto"/>
              <w:jc w:val="both"/>
              <w:rPr>
                <w:rFonts w:ascii="Arial" w:eastAsia="Arial Narrow" w:hAnsi="Arial" w:cs="Arial"/>
                <w:sz w:val="20"/>
                <w:szCs w:val="20"/>
              </w:rPr>
            </w:pPr>
            <w:r w:rsidRPr="00846D49">
              <w:rPr>
                <w:rFonts w:ascii="Arial" w:eastAsia="Arial Narrow" w:hAnsi="Arial" w:cs="Arial"/>
                <w:sz w:val="20"/>
                <w:szCs w:val="20"/>
              </w:rPr>
              <w:t xml:space="preserve">S1.7.1. </w:t>
            </w:r>
            <w:r w:rsidR="003C5B2C" w:rsidRPr="00846D49">
              <w:rPr>
                <w:rFonts w:ascii="Arial" w:eastAsia="Arial Narrow" w:hAnsi="Arial" w:cs="Arial"/>
                <w:sz w:val="20"/>
                <w:szCs w:val="20"/>
              </w:rPr>
              <w:t>Otorgamiento de derechos para el aprovechamiento sostenible de la vicuña de forma oportuna para las personas naturales o jurídicas</w:t>
            </w:r>
            <w:r w:rsidRPr="00846D49">
              <w:rPr>
                <w:rFonts w:ascii="Arial" w:eastAsia="Arial Narrow" w:hAnsi="Arial" w:cs="Arial"/>
                <w:sz w:val="20"/>
                <w:szCs w:val="20"/>
              </w:rPr>
              <w:t>.</w:t>
            </w:r>
          </w:p>
        </w:tc>
      </w:tr>
      <w:tr w:rsidR="00846D49" w:rsidRPr="00846D49" w14:paraId="4BBB77E0" w14:textId="77777777" w:rsidTr="006346AA">
        <w:trPr>
          <w:trHeight w:val="577"/>
        </w:trPr>
        <w:tc>
          <w:tcPr>
            <w:tcW w:w="2483" w:type="dxa"/>
            <w:gridSpan w:val="3"/>
            <w:shd w:val="clear" w:color="auto" w:fill="auto"/>
            <w:tcMar>
              <w:top w:w="10" w:type="dxa"/>
              <w:left w:w="93" w:type="dxa"/>
              <w:bottom w:w="0" w:type="dxa"/>
              <w:right w:w="10" w:type="dxa"/>
            </w:tcMar>
            <w:vAlign w:val="center"/>
          </w:tcPr>
          <w:p w14:paraId="205D7F2E" w14:textId="77777777" w:rsidR="00A90E9C" w:rsidRPr="00846D49" w:rsidRDefault="00A90E9C" w:rsidP="0072651A">
            <w:pPr>
              <w:rPr>
                <w:rFonts w:ascii="Arial" w:eastAsia="Arial Narrow" w:hAnsi="Arial" w:cs="Arial"/>
                <w:sz w:val="20"/>
                <w:szCs w:val="20"/>
              </w:rPr>
            </w:pPr>
            <w:r w:rsidRPr="00846D49">
              <w:rPr>
                <w:rFonts w:ascii="Arial" w:eastAsia="Arial Narrow" w:hAnsi="Arial" w:cs="Arial"/>
                <w:b/>
                <w:sz w:val="20"/>
                <w:szCs w:val="20"/>
              </w:rPr>
              <w:t>Nombre del indicador:</w:t>
            </w:r>
          </w:p>
        </w:tc>
        <w:tc>
          <w:tcPr>
            <w:tcW w:w="6306" w:type="dxa"/>
            <w:gridSpan w:val="10"/>
            <w:shd w:val="clear" w:color="auto" w:fill="auto"/>
            <w:tcMar>
              <w:top w:w="51" w:type="dxa"/>
              <w:left w:w="227" w:type="dxa"/>
              <w:bottom w:w="51" w:type="dxa"/>
              <w:right w:w="227" w:type="dxa"/>
            </w:tcMar>
            <w:vAlign w:val="bottom"/>
          </w:tcPr>
          <w:p w14:paraId="0B836B63" w14:textId="42FBB02A" w:rsidR="00A90E9C" w:rsidRPr="00846D49" w:rsidRDefault="003C5B2C" w:rsidP="00AF3C77">
            <w:pPr>
              <w:pBdr>
                <w:top w:val="nil"/>
                <w:left w:val="nil"/>
                <w:bottom w:val="nil"/>
                <w:right w:val="nil"/>
                <w:between w:val="nil"/>
              </w:pBdr>
              <w:spacing w:after="0" w:line="240" w:lineRule="auto"/>
              <w:jc w:val="both"/>
              <w:rPr>
                <w:rFonts w:ascii="Arial" w:eastAsia="Arial Narrow" w:hAnsi="Arial" w:cs="Arial"/>
                <w:sz w:val="20"/>
                <w:szCs w:val="20"/>
              </w:rPr>
            </w:pPr>
            <w:r w:rsidRPr="00846D49">
              <w:rPr>
                <w:rFonts w:ascii="Arial" w:eastAsia="Arial Narrow" w:hAnsi="Arial" w:cs="Arial"/>
                <w:sz w:val="20"/>
                <w:szCs w:val="20"/>
              </w:rPr>
              <w:t>Porcentaje de personas naturales o jurídicas que reciben derechos para el aprovechamiento sostenible de la vicuña oportunamente</w:t>
            </w:r>
            <w:r w:rsidR="00A90E9C" w:rsidRPr="00846D49">
              <w:rPr>
                <w:rFonts w:ascii="Arial" w:eastAsia="Arial Narrow" w:hAnsi="Arial" w:cs="Arial"/>
                <w:sz w:val="20"/>
                <w:szCs w:val="20"/>
              </w:rPr>
              <w:t xml:space="preserve">.  </w:t>
            </w:r>
          </w:p>
        </w:tc>
      </w:tr>
      <w:tr w:rsidR="00846D49" w:rsidRPr="00846D49" w14:paraId="42FA17A7" w14:textId="77777777" w:rsidTr="006346AA">
        <w:trPr>
          <w:trHeight w:val="577"/>
        </w:trPr>
        <w:tc>
          <w:tcPr>
            <w:tcW w:w="2483" w:type="dxa"/>
            <w:gridSpan w:val="3"/>
            <w:shd w:val="clear" w:color="auto" w:fill="auto"/>
            <w:tcMar>
              <w:top w:w="10" w:type="dxa"/>
              <w:left w:w="93" w:type="dxa"/>
              <w:bottom w:w="0" w:type="dxa"/>
              <w:right w:w="10" w:type="dxa"/>
            </w:tcMar>
            <w:vAlign w:val="center"/>
          </w:tcPr>
          <w:p w14:paraId="71F2AE14" w14:textId="77777777" w:rsidR="00A90E9C" w:rsidRPr="00846D49" w:rsidRDefault="00A90E9C" w:rsidP="0072651A">
            <w:pPr>
              <w:rPr>
                <w:rFonts w:ascii="Arial" w:eastAsia="Arial Narrow" w:hAnsi="Arial" w:cs="Arial"/>
                <w:sz w:val="20"/>
                <w:szCs w:val="20"/>
              </w:rPr>
            </w:pPr>
            <w:r w:rsidRPr="00846D49">
              <w:rPr>
                <w:rFonts w:ascii="Arial" w:eastAsia="Arial Narrow" w:hAnsi="Arial" w:cs="Arial"/>
                <w:b/>
                <w:sz w:val="20"/>
                <w:szCs w:val="20"/>
              </w:rPr>
              <w:t>Justificación:</w:t>
            </w:r>
          </w:p>
        </w:tc>
        <w:tc>
          <w:tcPr>
            <w:tcW w:w="6306" w:type="dxa"/>
            <w:gridSpan w:val="10"/>
            <w:shd w:val="clear" w:color="auto" w:fill="auto"/>
            <w:tcMar>
              <w:top w:w="51" w:type="dxa"/>
              <w:left w:w="227" w:type="dxa"/>
              <w:bottom w:w="51" w:type="dxa"/>
              <w:right w:w="227" w:type="dxa"/>
            </w:tcMar>
            <w:vAlign w:val="center"/>
          </w:tcPr>
          <w:p w14:paraId="060D3014" w14:textId="77777777" w:rsidR="00A90E9C" w:rsidRPr="00846D49" w:rsidRDefault="00A90E9C" w:rsidP="0072651A">
            <w:pPr>
              <w:jc w:val="both"/>
              <w:rPr>
                <w:rFonts w:ascii="Arial" w:eastAsia="Arial Narrow" w:hAnsi="Arial" w:cs="Arial"/>
                <w:sz w:val="20"/>
                <w:szCs w:val="20"/>
              </w:rPr>
            </w:pPr>
            <w:r w:rsidRPr="00846D49">
              <w:rPr>
                <w:rFonts w:ascii="Arial" w:eastAsia="Arial Narrow" w:hAnsi="Arial" w:cs="Arial"/>
                <w:sz w:val="20"/>
                <w:szCs w:val="20"/>
              </w:rPr>
              <w:t>El indicador cuantifica el porcentaje de personas naturales y/o jurídicas que reciben de forma oportuna, el otorgamiento de derechos para el manejo y aprovechamiento sostenible de la vicuña, es decir, dentro del plazo establecido. En el marco de esta Política se espera que todos los usuarios que solicitan derechos y cumplan con los requisitos establecidos, puedan ser atendidas para que logren acceder al aprovechamiento sostenible de la vicuña.</w:t>
            </w:r>
          </w:p>
        </w:tc>
      </w:tr>
      <w:tr w:rsidR="00846D49" w:rsidRPr="00846D49" w14:paraId="32AFFB4E" w14:textId="77777777" w:rsidTr="006346AA">
        <w:trPr>
          <w:trHeight w:val="352"/>
        </w:trPr>
        <w:tc>
          <w:tcPr>
            <w:tcW w:w="2483" w:type="dxa"/>
            <w:gridSpan w:val="3"/>
            <w:shd w:val="clear" w:color="auto" w:fill="auto"/>
            <w:tcMar>
              <w:top w:w="10" w:type="dxa"/>
              <w:left w:w="93" w:type="dxa"/>
              <w:bottom w:w="0" w:type="dxa"/>
              <w:right w:w="10" w:type="dxa"/>
            </w:tcMar>
            <w:vAlign w:val="center"/>
          </w:tcPr>
          <w:p w14:paraId="0F6A37D7" w14:textId="77777777" w:rsidR="00A90E9C" w:rsidRPr="00846D49" w:rsidRDefault="00A90E9C" w:rsidP="0072651A">
            <w:pPr>
              <w:rPr>
                <w:rFonts w:ascii="Arial" w:eastAsia="Arial Narrow" w:hAnsi="Arial" w:cs="Arial"/>
                <w:sz w:val="20"/>
                <w:szCs w:val="20"/>
              </w:rPr>
            </w:pPr>
            <w:r w:rsidRPr="00846D49">
              <w:rPr>
                <w:rFonts w:ascii="Arial" w:eastAsia="Arial Narrow" w:hAnsi="Arial" w:cs="Arial"/>
                <w:b/>
                <w:sz w:val="20"/>
                <w:szCs w:val="20"/>
              </w:rPr>
              <w:t>Responsable del indicador:</w:t>
            </w:r>
          </w:p>
        </w:tc>
        <w:tc>
          <w:tcPr>
            <w:tcW w:w="6306" w:type="dxa"/>
            <w:gridSpan w:val="10"/>
            <w:shd w:val="clear" w:color="auto" w:fill="auto"/>
            <w:tcMar>
              <w:top w:w="51" w:type="dxa"/>
              <w:left w:w="227" w:type="dxa"/>
              <w:bottom w:w="51" w:type="dxa"/>
              <w:right w:w="227" w:type="dxa"/>
            </w:tcMar>
            <w:vAlign w:val="center"/>
          </w:tcPr>
          <w:p w14:paraId="78ECE23B" w14:textId="34952133" w:rsidR="00A90E9C" w:rsidRPr="00846D49" w:rsidRDefault="00A90E9C" w:rsidP="0072651A">
            <w:pPr>
              <w:spacing w:after="120" w:line="240" w:lineRule="auto"/>
              <w:jc w:val="both"/>
              <w:rPr>
                <w:rFonts w:ascii="Arial" w:eastAsia="Arial Narrow" w:hAnsi="Arial" w:cs="Arial"/>
                <w:sz w:val="20"/>
                <w:szCs w:val="20"/>
              </w:rPr>
            </w:pPr>
            <w:r w:rsidRPr="00846D49">
              <w:rPr>
                <w:rFonts w:ascii="Arial" w:eastAsia="Arial Narrow" w:hAnsi="Arial" w:cs="Arial"/>
                <w:sz w:val="20"/>
                <w:szCs w:val="20"/>
              </w:rPr>
              <w:t>Dirección de Información y Registro del Servicio Nacional Forestal y de Fauna Silvestre - SERFOR</w:t>
            </w:r>
          </w:p>
        </w:tc>
      </w:tr>
      <w:tr w:rsidR="00846D49" w:rsidRPr="00846D49" w14:paraId="711DB05F" w14:textId="77777777" w:rsidTr="006346AA">
        <w:trPr>
          <w:trHeight w:val="718"/>
        </w:trPr>
        <w:tc>
          <w:tcPr>
            <w:tcW w:w="2483" w:type="dxa"/>
            <w:gridSpan w:val="3"/>
            <w:shd w:val="clear" w:color="auto" w:fill="auto"/>
            <w:tcMar>
              <w:top w:w="10" w:type="dxa"/>
              <w:left w:w="93" w:type="dxa"/>
              <w:bottom w:w="0" w:type="dxa"/>
              <w:right w:w="10" w:type="dxa"/>
            </w:tcMar>
            <w:vAlign w:val="center"/>
          </w:tcPr>
          <w:p w14:paraId="24489B35" w14:textId="77777777" w:rsidR="00A90E9C" w:rsidRPr="00846D49" w:rsidRDefault="00A90E9C" w:rsidP="0072651A">
            <w:pPr>
              <w:rPr>
                <w:rFonts w:ascii="Arial" w:eastAsia="Arial Narrow" w:hAnsi="Arial" w:cs="Arial"/>
                <w:sz w:val="20"/>
                <w:szCs w:val="20"/>
              </w:rPr>
            </w:pPr>
            <w:r w:rsidRPr="00846D49">
              <w:rPr>
                <w:rFonts w:ascii="Arial" w:eastAsia="Arial Narrow" w:hAnsi="Arial" w:cs="Arial"/>
                <w:b/>
                <w:sz w:val="20"/>
                <w:szCs w:val="20"/>
              </w:rPr>
              <w:t>Limitaciones para la medición del indicador:</w:t>
            </w:r>
          </w:p>
        </w:tc>
        <w:tc>
          <w:tcPr>
            <w:tcW w:w="6306" w:type="dxa"/>
            <w:gridSpan w:val="10"/>
            <w:shd w:val="clear" w:color="auto" w:fill="auto"/>
            <w:tcMar>
              <w:top w:w="51" w:type="dxa"/>
              <w:left w:w="227" w:type="dxa"/>
              <w:bottom w:w="51" w:type="dxa"/>
              <w:right w:w="227" w:type="dxa"/>
            </w:tcMar>
            <w:vAlign w:val="center"/>
          </w:tcPr>
          <w:p w14:paraId="3F31B5F1" w14:textId="2CB31B58" w:rsidR="00A90E9C" w:rsidRPr="00846D49" w:rsidRDefault="00AF3C77" w:rsidP="00AF3C77">
            <w:pPr>
              <w:spacing w:after="120" w:line="240" w:lineRule="auto"/>
              <w:jc w:val="both"/>
              <w:rPr>
                <w:rFonts w:ascii="Arial" w:eastAsia="Arial Narrow" w:hAnsi="Arial" w:cs="Arial"/>
                <w:sz w:val="20"/>
                <w:szCs w:val="20"/>
              </w:rPr>
            </w:pPr>
            <w:r w:rsidRPr="00846D49">
              <w:rPr>
                <w:rFonts w:ascii="Arial" w:eastAsia="Arial Narrow" w:hAnsi="Arial" w:cs="Arial"/>
                <w:sz w:val="20"/>
                <w:szCs w:val="20"/>
              </w:rPr>
              <w:t>Retraso</w:t>
            </w:r>
            <w:r w:rsidR="00A90E9C" w:rsidRPr="00846D49">
              <w:rPr>
                <w:rFonts w:ascii="Arial" w:eastAsia="Arial Narrow" w:hAnsi="Arial" w:cs="Arial"/>
                <w:sz w:val="20"/>
                <w:szCs w:val="20"/>
              </w:rPr>
              <w:t xml:space="preserve"> por parte de los Gobiernos regionales en la remisión de información.</w:t>
            </w:r>
          </w:p>
        </w:tc>
      </w:tr>
      <w:tr w:rsidR="00846D49" w:rsidRPr="00846D49" w14:paraId="14FC300B" w14:textId="77777777" w:rsidTr="006346AA">
        <w:trPr>
          <w:trHeight w:val="231"/>
        </w:trPr>
        <w:tc>
          <w:tcPr>
            <w:tcW w:w="2483" w:type="dxa"/>
            <w:gridSpan w:val="3"/>
            <w:shd w:val="clear" w:color="auto" w:fill="auto"/>
            <w:tcMar>
              <w:top w:w="10" w:type="dxa"/>
              <w:left w:w="93" w:type="dxa"/>
              <w:bottom w:w="0" w:type="dxa"/>
              <w:right w:w="10" w:type="dxa"/>
            </w:tcMar>
            <w:vAlign w:val="center"/>
          </w:tcPr>
          <w:p w14:paraId="1B0413D7" w14:textId="77777777" w:rsidR="00A90E9C" w:rsidRPr="00846D49" w:rsidRDefault="00A90E9C" w:rsidP="0072651A">
            <w:pPr>
              <w:rPr>
                <w:rFonts w:ascii="Arial" w:eastAsia="Arial Narrow" w:hAnsi="Arial" w:cs="Arial"/>
                <w:sz w:val="20"/>
                <w:szCs w:val="20"/>
              </w:rPr>
            </w:pPr>
            <w:r w:rsidRPr="00846D49">
              <w:rPr>
                <w:rFonts w:ascii="Arial" w:eastAsia="Arial Narrow" w:hAnsi="Arial" w:cs="Arial"/>
                <w:b/>
                <w:sz w:val="20"/>
                <w:szCs w:val="20"/>
              </w:rPr>
              <w:t xml:space="preserve">Método de cálculo: </w:t>
            </w:r>
          </w:p>
        </w:tc>
        <w:tc>
          <w:tcPr>
            <w:tcW w:w="6306" w:type="dxa"/>
            <w:gridSpan w:val="10"/>
            <w:shd w:val="clear" w:color="auto" w:fill="auto"/>
            <w:tcMar>
              <w:top w:w="51" w:type="dxa"/>
              <w:left w:w="227" w:type="dxa"/>
              <w:bottom w:w="51" w:type="dxa"/>
              <w:right w:w="227" w:type="dxa"/>
            </w:tcMar>
            <w:vAlign w:val="center"/>
          </w:tcPr>
          <w:p w14:paraId="0679E52B" w14:textId="77777777" w:rsidR="00A90E9C" w:rsidRPr="00846D49" w:rsidRDefault="00A90E9C" w:rsidP="0072651A">
            <w:pPr>
              <w:rPr>
                <w:rFonts w:ascii="Arial" w:eastAsia="Arial Narrow" w:hAnsi="Arial" w:cs="Arial"/>
                <w:b/>
                <w:sz w:val="20"/>
                <w:szCs w:val="20"/>
              </w:rPr>
            </w:pPr>
            <w:r w:rsidRPr="00846D49">
              <w:rPr>
                <w:rFonts w:ascii="Arial" w:eastAsia="Arial Narrow" w:hAnsi="Arial" w:cs="Arial"/>
                <w:b/>
                <w:sz w:val="20"/>
                <w:szCs w:val="20"/>
              </w:rPr>
              <w:t>1. Fórmula:</w:t>
            </w:r>
          </w:p>
          <w:p w14:paraId="0D594FBB" w14:textId="6E2CD9DB" w:rsidR="00A90E9C" w:rsidRPr="00846D49" w:rsidRDefault="00AF3C77" w:rsidP="0087293E">
            <w:pPr>
              <w:jc w:val="both"/>
              <w:rPr>
                <w:rFonts w:ascii="Arial" w:eastAsia="Arial Narrow" w:hAnsi="Arial" w:cs="Arial"/>
                <w:sz w:val="20"/>
                <w:szCs w:val="20"/>
              </w:rPr>
            </w:pPr>
            <w:r w:rsidRPr="00846D49">
              <w:rPr>
                <w:rFonts w:ascii="Arial" w:eastAsia="Arial Narrow" w:hAnsi="Arial" w:cs="Arial"/>
                <w:sz w:val="20"/>
                <w:szCs w:val="20"/>
              </w:rPr>
              <w:t>(</w:t>
            </w:r>
            <w:r w:rsidR="00A90E9C" w:rsidRPr="00846D49">
              <w:rPr>
                <w:rFonts w:ascii="Arial" w:eastAsia="Arial Narrow" w:hAnsi="Arial" w:cs="Arial"/>
                <w:sz w:val="20"/>
                <w:szCs w:val="20"/>
              </w:rPr>
              <w:t>A/B</w:t>
            </w:r>
            <w:r w:rsidRPr="00846D49">
              <w:rPr>
                <w:rFonts w:ascii="Arial" w:eastAsia="Arial Narrow" w:hAnsi="Arial" w:cs="Arial"/>
                <w:sz w:val="20"/>
                <w:szCs w:val="20"/>
              </w:rPr>
              <w:t>)</w:t>
            </w:r>
            <w:r w:rsidR="00A90E9C" w:rsidRPr="00846D49">
              <w:rPr>
                <w:rFonts w:ascii="Arial" w:eastAsia="Arial Narrow" w:hAnsi="Arial" w:cs="Arial"/>
                <w:sz w:val="20"/>
                <w:szCs w:val="20"/>
              </w:rPr>
              <w:t>*100</w:t>
            </w:r>
          </w:p>
          <w:p w14:paraId="49AE8D0F" w14:textId="63E14C4F" w:rsidR="0087293E" w:rsidRPr="00846D49" w:rsidRDefault="0087293E" w:rsidP="0087293E">
            <w:pPr>
              <w:jc w:val="both"/>
              <w:rPr>
                <w:rFonts w:ascii="Arial" w:eastAsia="Arial Narrow" w:hAnsi="Arial" w:cs="Arial"/>
                <w:sz w:val="20"/>
                <w:szCs w:val="20"/>
              </w:rPr>
            </w:pPr>
            <w:r w:rsidRPr="00846D49">
              <w:rPr>
                <w:rFonts w:ascii="Arial" w:eastAsia="Arial Narrow" w:hAnsi="Arial" w:cs="Arial"/>
                <w:sz w:val="20"/>
                <w:szCs w:val="20"/>
              </w:rPr>
              <w:t>Donde:</w:t>
            </w:r>
          </w:p>
          <w:p w14:paraId="365479BF" w14:textId="645DACC8" w:rsidR="00A90E9C" w:rsidRPr="00846D49" w:rsidRDefault="00A90E9C" w:rsidP="0087293E">
            <w:pPr>
              <w:pBdr>
                <w:top w:val="nil"/>
                <w:left w:val="nil"/>
                <w:bottom w:val="nil"/>
                <w:right w:val="nil"/>
                <w:between w:val="nil"/>
              </w:pBdr>
              <w:spacing w:after="0" w:line="240" w:lineRule="auto"/>
              <w:ind w:left="408" w:hanging="408"/>
              <w:jc w:val="both"/>
              <w:rPr>
                <w:rFonts w:ascii="Arial" w:eastAsia="Arial Narrow" w:hAnsi="Arial" w:cs="Arial"/>
                <w:sz w:val="20"/>
                <w:szCs w:val="20"/>
              </w:rPr>
            </w:pPr>
            <w:r w:rsidRPr="00846D49">
              <w:rPr>
                <w:rFonts w:ascii="Arial" w:eastAsia="Arial Narrow" w:hAnsi="Arial" w:cs="Arial"/>
                <w:sz w:val="20"/>
                <w:szCs w:val="20"/>
              </w:rPr>
              <w:t>A= Nú</w:t>
            </w:r>
            <w:r w:rsidRPr="00846D49">
              <w:rPr>
                <w:rFonts w:ascii="Arial" w:eastAsia="Arial Narrow" w:hAnsi="Arial" w:cs="Arial"/>
                <w:bCs/>
                <w:sz w:val="20"/>
                <w:szCs w:val="20"/>
              </w:rPr>
              <w:t>mero d</w:t>
            </w:r>
            <w:r w:rsidRPr="00846D49">
              <w:rPr>
                <w:rFonts w:ascii="Arial" w:eastAsia="Arial Narrow" w:hAnsi="Arial" w:cs="Arial"/>
                <w:sz w:val="20"/>
                <w:szCs w:val="20"/>
              </w:rPr>
              <w:t xml:space="preserve">e personas naturales/o jurídicas que reciben derechos para el aprovechamiento sostenible de la vicuña </w:t>
            </w:r>
            <w:r w:rsidR="00BF6AAB" w:rsidRPr="00846D49">
              <w:rPr>
                <w:rFonts w:ascii="Arial" w:eastAsia="Arial Narrow" w:hAnsi="Arial" w:cs="Arial"/>
                <w:sz w:val="20"/>
                <w:szCs w:val="20"/>
              </w:rPr>
              <w:t>oportunamente</w:t>
            </w:r>
            <w:r w:rsidRPr="00846D49">
              <w:rPr>
                <w:rFonts w:ascii="Arial" w:eastAsia="Arial Narrow" w:hAnsi="Arial" w:cs="Arial"/>
                <w:sz w:val="20"/>
                <w:szCs w:val="20"/>
              </w:rPr>
              <w:t xml:space="preserve">.  </w:t>
            </w:r>
          </w:p>
          <w:p w14:paraId="61CF72CB" w14:textId="3F34E1ED" w:rsidR="00A90E9C" w:rsidRPr="00846D49" w:rsidRDefault="00A90E9C" w:rsidP="0087293E">
            <w:pPr>
              <w:ind w:left="408" w:hanging="408"/>
              <w:jc w:val="both"/>
              <w:rPr>
                <w:rFonts w:ascii="Arial" w:eastAsia="Arial Narrow" w:hAnsi="Arial" w:cs="Arial"/>
                <w:strike/>
                <w:sz w:val="20"/>
                <w:szCs w:val="20"/>
              </w:rPr>
            </w:pPr>
            <w:r w:rsidRPr="00846D49">
              <w:rPr>
                <w:rFonts w:ascii="Arial" w:eastAsia="Arial Narrow" w:hAnsi="Arial" w:cs="Arial"/>
                <w:sz w:val="20"/>
                <w:szCs w:val="20"/>
              </w:rPr>
              <w:t xml:space="preserve">B= Total de </w:t>
            </w:r>
            <w:r w:rsidR="00C8243A" w:rsidRPr="00846D49">
              <w:rPr>
                <w:rFonts w:ascii="Arial" w:eastAsia="Arial Narrow" w:hAnsi="Arial" w:cs="Arial"/>
                <w:sz w:val="20"/>
                <w:szCs w:val="20"/>
              </w:rPr>
              <w:t>p</w:t>
            </w:r>
            <w:r w:rsidRPr="00846D49">
              <w:rPr>
                <w:rFonts w:ascii="Arial" w:eastAsia="Arial Narrow" w:hAnsi="Arial" w:cs="Arial"/>
                <w:sz w:val="20"/>
                <w:szCs w:val="20"/>
              </w:rPr>
              <w:t xml:space="preserve">ersonas naturales o jurídicas que solicitan el otorgamiento de derechos para el aprovechamiento sostenible de la vicuña. </w:t>
            </w:r>
          </w:p>
          <w:p w14:paraId="6E73D0DA" w14:textId="77777777" w:rsidR="00A90E9C" w:rsidRPr="00846D49" w:rsidRDefault="00A90E9C" w:rsidP="0072651A">
            <w:pPr>
              <w:rPr>
                <w:rFonts w:ascii="Arial" w:eastAsia="Arial Narrow" w:hAnsi="Arial" w:cs="Arial"/>
                <w:sz w:val="20"/>
                <w:szCs w:val="20"/>
              </w:rPr>
            </w:pPr>
            <w:r w:rsidRPr="00846D49">
              <w:rPr>
                <w:rFonts w:ascii="Arial" w:eastAsia="Arial Narrow" w:hAnsi="Arial" w:cs="Arial"/>
                <w:b/>
                <w:sz w:val="20"/>
                <w:szCs w:val="20"/>
              </w:rPr>
              <w:t>2. Especificaciones técnicas:</w:t>
            </w:r>
          </w:p>
          <w:p w14:paraId="5DA0EF78" w14:textId="203309E4" w:rsidR="00C8243A" w:rsidRPr="00846D49" w:rsidRDefault="00C8243A" w:rsidP="00C8243A">
            <w:pPr>
              <w:spacing w:after="0" w:line="240" w:lineRule="auto"/>
              <w:jc w:val="both"/>
              <w:rPr>
                <w:rFonts w:ascii="Arial" w:eastAsia="Arial Narrow" w:hAnsi="Arial" w:cs="Arial"/>
                <w:sz w:val="20"/>
                <w:szCs w:val="20"/>
              </w:rPr>
            </w:pPr>
            <w:r w:rsidRPr="00846D49">
              <w:rPr>
                <w:rFonts w:ascii="Arial" w:eastAsia="Arial Narrow" w:hAnsi="Arial" w:cs="Arial"/>
                <w:sz w:val="20"/>
                <w:szCs w:val="20"/>
              </w:rPr>
              <w:t xml:space="preserve">La variable A se determina </w:t>
            </w:r>
            <w:r w:rsidR="00DD4475" w:rsidRPr="00846D49">
              <w:rPr>
                <w:rFonts w:ascii="Arial" w:eastAsia="Arial Narrow" w:hAnsi="Arial" w:cs="Arial"/>
                <w:sz w:val="20"/>
                <w:szCs w:val="20"/>
              </w:rPr>
              <w:t xml:space="preserve">a partir de </w:t>
            </w:r>
            <w:r w:rsidRPr="00846D49">
              <w:rPr>
                <w:rFonts w:ascii="Arial" w:eastAsia="Arial Narrow" w:hAnsi="Arial" w:cs="Arial"/>
                <w:sz w:val="20"/>
                <w:szCs w:val="20"/>
              </w:rPr>
              <w:t>la cantidad de derechos de aprovechamiento otorgados dentro del plazo máximo de atención.</w:t>
            </w:r>
          </w:p>
          <w:p w14:paraId="3C99F08F" w14:textId="77777777" w:rsidR="00856D28" w:rsidRPr="00846D49" w:rsidRDefault="00856D28" w:rsidP="00C8243A">
            <w:pPr>
              <w:spacing w:after="0" w:line="240" w:lineRule="auto"/>
              <w:jc w:val="both"/>
              <w:rPr>
                <w:rFonts w:ascii="Arial" w:eastAsia="Arial Narrow" w:hAnsi="Arial" w:cs="Arial"/>
                <w:sz w:val="20"/>
                <w:szCs w:val="20"/>
              </w:rPr>
            </w:pPr>
          </w:p>
          <w:p w14:paraId="020FB58D" w14:textId="1B76EE1C" w:rsidR="00C8243A" w:rsidRPr="00846D49" w:rsidRDefault="00C8243A" w:rsidP="00C8243A">
            <w:pPr>
              <w:spacing w:after="0" w:line="240" w:lineRule="auto"/>
              <w:jc w:val="both"/>
              <w:rPr>
                <w:rFonts w:ascii="Arial" w:eastAsia="Arial Narrow" w:hAnsi="Arial" w:cs="Arial"/>
                <w:sz w:val="20"/>
                <w:szCs w:val="20"/>
              </w:rPr>
            </w:pPr>
            <w:r w:rsidRPr="00846D49">
              <w:rPr>
                <w:rFonts w:ascii="Arial" w:eastAsia="Arial Narrow" w:hAnsi="Arial" w:cs="Arial"/>
                <w:sz w:val="20"/>
                <w:szCs w:val="20"/>
              </w:rPr>
              <w:t>La variable B considera a tod</w:t>
            </w:r>
            <w:r w:rsidR="00856D28" w:rsidRPr="00846D49">
              <w:rPr>
                <w:rFonts w:ascii="Arial" w:eastAsia="Arial Narrow" w:hAnsi="Arial" w:cs="Arial"/>
                <w:sz w:val="20"/>
                <w:szCs w:val="20"/>
              </w:rPr>
              <w:t>a</w:t>
            </w:r>
            <w:r w:rsidRPr="00846D49">
              <w:rPr>
                <w:rFonts w:ascii="Arial" w:eastAsia="Arial Narrow" w:hAnsi="Arial" w:cs="Arial"/>
                <w:sz w:val="20"/>
                <w:szCs w:val="20"/>
              </w:rPr>
              <w:t xml:space="preserve">s </w:t>
            </w:r>
            <w:r w:rsidR="00856D28" w:rsidRPr="00846D49">
              <w:rPr>
                <w:rFonts w:ascii="Arial" w:eastAsia="Arial Narrow" w:hAnsi="Arial" w:cs="Arial"/>
                <w:sz w:val="20"/>
                <w:szCs w:val="20"/>
              </w:rPr>
              <w:t>las personas naturales o jurídicas</w:t>
            </w:r>
            <w:r w:rsidRPr="00846D49">
              <w:rPr>
                <w:rFonts w:ascii="Arial" w:hAnsi="Arial" w:cs="Arial"/>
                <w:bCs/>
                <w:sz w:val="20"/>
                <w:szCs w:val="20"/>
              </w:rPr>
              <w:t xml:space="preserve"> que presentan su solicitud para obtener un </w:t>
            </w:r>
            <w:r w:rsidRPr="00846D49">
              <w:rPr>
                <w:rFonts w:ascii="Arial" w:eastAsia="Times New Roman" w:hAnsi="Arial" w:cs="Arial"/>
                <w:sz w:val="20"/>
                <w:szCs w:val="20"/>
              </w:rPr>
              <w:t>derecho de aprovechamiento de recursos forestales y fauna silvestre</w:t>
            </w:r>
            <w:r w:rsidR="00856D28" w:rsidRPr="00846D49">
              <w:rPr>
                <w:rFonts w:ascii="Arial" w:eastAsia="Times New Roman" w:hAnsi="Arial" w:cs="Arial"/>
                <w:sz w:val="20"/>
                <w:szCs w:val="20"/>
              </w:rPr>
              <w:t xml:space="preserve"> en el año de medición</w:t>
            </w:r>
            <w:r w:rsidRPr="00846D49">
              <w:rPr>
                <w:rFonts w:ascii="Arial" w:eastAsia="Times New Roman" w:hAnsi="Arial" w:cs="Arial"/>
                <w:sz w:val="20"/>
                <w:szCs w:val="20"/>
              </w:rPr>
              <w:t>.</w:t>
            </w:r>
          </w:p>
          <w:p w14:paraId="343A3CBF" w14:textId="77777777" w:rsidR="00A90E9C" w:rsidRPr="00846D49" w:rsidRDefault="00A90E9C" w:rsidP="00D84D43">
            <w:pPr>
              <w:pBdr>
                <w:top w:val="nil"/>
                <w:left w:val="nil"/>
                <w:bottom w:val="nil"/>
                <w:right w:val="nil"/>
                <w:between w:val="nil"/>
              </w:pBdr>
              <w:spacing w:after="0" w:line="240" w:lineRule="auto"/>
              <w:jc w:val="both"/>
              <w:rPr>
                <w:rFonts w:ascii="Arial" w:eastAsia="Arial Narrow" w:hAnsi="Arial" w:cs="Arial"/>
                <w:sz w:val="20"/>
                <w:szCs w:val="20"/>
              </w:rPr>
            </w:pPr>
          </w:p>
          <w:p w14:paraId="39392F7F" w14:textId="159EA66F" w:rsidR="00A90E9C" w:rsidRPr="00846D49" w:rsidRDefault="00A90E9C" w:rsidP="0072651A">
            <w:pPr>
              <w:spacing w:after="0" w:line="240" w:lineRule="auto"/>
              <w:jc w:val="both"/>
              <w:rPr>
                <w:rFonts w:ascii="Arial" w:eastAsia="Arial Narrow" w:hAnsi="Arial" w:cs="Arial"/>
                <w:sz w:val="20"/>
                <w:szCs w:val="20"/>
              </w:rPr>
            </w:pPr>
            <w:r w:rsidRPr="00846D49">
              <w:rPr>
                <w:rFonts w:ascii="Arial" w:eastAsia="Arial Narrow" w:hAnsi="Arial" w:cs="Arial"/>
                <w:sz w:val="20"/>
                <w:szCs w:val="20"/>
              </w:rPr>
              <w:t>Los plazos de otorgamiento se adecuan de acuerdo al plazo establecido en la norma, el cual es específico para cada modalidad de derecho de aprovechamiento sostenible de la vicuña</w:t>
            </w:r>
            <w:r w:rsidR="004D61AF" w:rsidRPr="00846D49">
              <w:rPr>
                <w:rFonts w:ascii="Arial" w:eastAsia="Arial Narrow" w:hAnsi="Arial" w:cs="Arial"/>
                <w:sz w:val="20"/>
                <w:szCs w:val="20"/>
              </w:rPr>
              <w:t>, siendo estos los siguientes:</w:t>
            </w:r>
            <w:r w:rsidRPr="00846D49">
              <w:rPr>
                <w:rFonts w:ascii="Arial" w:eastAsia="Arial Narrow" w:hAnsi="Arial" w:cs="Arial"/>
                <w:sz w:val="20"/>
                <w:szCs w:val="20"/>
              </w:rPr>
              <w:t xml:space="preserve"> </w:t>
            </w:r>
          </w:p>
          <w:p w14:paraId="5F2BF2F0" w14:textId="23F4CB75" w:rsidR="003B4430" w:rsidRPr="00846D49" w:rsidRDefault="003B4430" w:rsidP="0072651A">
            <w:pPr>
              <w:spacing w:after="0" w:line="240" w:lineRule="auto"/>
              <w:jc w:val="both"/>
              <w:rPr>
                <w:rFonts w:ascii="Arial" w:eastAsia="Arial Narrow" w:hAnsi="Arial" w:cs="Arial"/>
                <w:sz w:val="20"/>
                <w:szCs w:val="20"/>
              </w:rPr>
            </w:pPr>
          </w:p>
          <w:tbl>
            <w:tblPr>
              <w:tblStyle w:val="Tablaconcuadrcula"/>
              <w:tblW w:w="0" w:type="auto"/>
              <w:tblLayout w:type="fixed"/>
              <w:tblLook w:val="04A0" w:firstRow="1" w:lastRow="0" w:firstColumn="1" w:lastColumn="0" w:noHBand="0" w:noVBand="1"/>
            </w:tblPr>
            <w:tblGrid>
              <w:gridCol w:w="3951"/>
              <w:gridCol w:w="1891"/>
            </w:tblGrid>
            <w:tr w:rsidR="00846D49" w:rsidRPr="00846D49" w14:paraId="432C944E" w14:textId="77777777" w:rsidTr="005A3FA7">
              <w:tc>
                <w:tcPr>
                  <w:tcW w:w="3951" w:type="dxa"/>
                </w:tcPr>
                <w:p w14:paraId="18CB85B1" w14:textId="6A4EDC20" w:rsidR="003B4430" w:rsidRPr="00846D49" w:rsidRDefault="003B4430" w:rsidP="00011FF7">
                  <w:pPr>
                    <w:jc w:val="center"/>
                    <w:rPr>
                      <w:rFonts w:ascii="Arial" w:eastAsia="Arial Narrow" w:hAnsi="Arial" w:cs="Arial"/>
                      <w:i/>
                      <w:iCs/>
                      <w:sz w:val="20"/>
                      <w:szCs w:val="20"/>
                    </w:rPr>
                  </w:pPr>
                  <w:r w:rsidRPr="00846D49">
                    <w:rPr>
                      <w:rFonts w:ascii="Arial" w:eastAsia="Arial Narrow" w:hAnsi="Arial" w:cs="Arial"/>
                      <w:i/>
                      <w:iCs/>
                      <w:sz w:val="20"/>
                      <w:szCs w:val="20"/>
                    </w:rPr>
                    <w:t>Procedimiento:</w:t>
                  </w:r>
                </w:p>
              </w:tc>
              <w:tc>
                <w:tcPr>
                  <w:tcW w:w="1891" w:type="dxa"/>
                </w:tcPr>
                <w:p w14:paraId="52D4A78C" w14:textId="3C1854E8" w:rsidR="003B4430" w:rsidRPr="00846D49" w:rsidRDefault="00420AF5" w:rsidP="00011FF7">
                  <w:pPr>
                    <w:jc w:val="center"/>
                    <w:rPr>
                      <w:rFonts w:ascii="Arial" w:eastAsia="Arial Narrow" w:hAnsi="Arial" w:cs="Arial"/>
                      <w:i/>
                      <w:iCs/>
                      <w:sz w:val="20"/>
                      <w:szCs w:val="20"/>
                    </w:rPr>
                  </w:pPr>
                  <w:r w:rsidRPr="00846D49">
                    <w:rPr>
                      <w:rFonts w:ascii="Arial" w:eastAsia="Arial Narrow" w:hAnsi="Arial" w:cs="Arial"/>
                      <w:i/>
                      <w:iCs/>
                      <w:sz w:val="20"/>
                      <w:szCs w:val="20"/>
                    </w:rPr>
                    <w:t>Plazo de atención máximo</w:t>
                  </w:r>
                  <w:r w:rsidR="00037011" w:rsidRPr="00846D49">
                    <w:rPr>
                      <w:rFonts w:ascii="Arial" w:eastAsia="Arial Narrow" w:hAnsi="Arial" w:cs="Arial"/>
                      <w:i/>
                      <w:iCs/>
                      <w:sz w:val="20"/>
                      <w:szCs w:val="20"/>
                    </w:rPr>
                    <w:t xml:space="preserve"> desde la </w:t>
                  </w:r>
                  <w:r w:rsidR="00037011" w:rsidRPr="00846D49">
                    <w:rPr>
                      <w:rFonts w:ascii="Arial" w:eastAsia="Arial Narrow" w:hAnsi="Arial" w:cs="Arial"/>
                      <w:i/>
                      <w:iCs/>
                      <w:sz w:val="20"/>
                      <w:szCs w:val="20"/>
                    </w:rPr>
                    <w:lastRenderedPageBreak/>
                    <w:t>presentación de la solicitud</w:t>
                  </w:r>
                  <w:r w:rsidRPr="00846D49">
                    <w:rPr>
                      <w:rFonts w:ascii="Arial" w:eastAsia="Arial Narrow" w:hAnsi="Arial" w:cs="Arial"/>
                      <w:i/>
                      <w:iCs/>
                      <w:sz w:val="20"/>
                      <w:szCs w:val="20"/>
                    </w:rPr>
                    <w:t>:</w:t>
                  </w:r>
                </w:p>
              </w:tc>
            </w:tr>
            <w:tr w:rsidR="00846D49" w:rsidRPr="00846D49" w14:paraId="1952B9DC" w14:textId="77777777" w:rsidTr="005A3FA7">
              <w:tc>
                <w:tcPr>
                  <w:tcW w:w="3951" w:type="dxa"/>
                </w:tcPr>
                <w:p w14:paraId="20424423" w14:textId="58719CD0" w:rsidR="003B4430" w:rsidRPr="00846D49" w:rsidRDefault="004D61AF" w:rsidP="0072651A">
                  <w:pPr>
                    <w:jc w:val="both"/>
                    <w:rPr>
                      <w:rFonts w:ascii="Arial" w:eastAsia="Arial Narrow" w:hAnsi="Arial" w:cs="Arial"/>
                      <w:sz w:val="20"/>
                      <w:szCs w:val="20"/>
                    </w:rPr>
                  </w:pPr>
                  <w:r w:rsidRPr="00846D49">
                    <w:rPr>
                      <w:rFonts w:ascii="Arial" w:eastAsia="Arial Narrow" w:hAnsi="Arial" w:cs="Arial"/>
                      <w:sz w:val="20"/>
                      <w:szCs w:val="20"/>
                    </w:rPr>
                    <w:lastRenderedPageBreak/>
                    <w:t xml:space="preserve">Aprobación de la </w:t>
                  </w:r>
                  <w:r w:rsidR="003B4430" w:rsidRPr="00846D49">
                    <w:rPr>
                      <w:rFonts w:ascii="Arial" w:eastAsia="Arial Narrow" w:hAnsi="Arial" w:cs="Arial"/>
                      <w:sz w:val="20"/>
                      <w:szCs w:val="20"/>
                    </w:rPr>
                    <w:t>Declaraciones de Manejo - DEMA</w:t>
                  </w:r>
                </w:p>
              </w:tc>
              <w:tc>
                <w:tcPr>
                  <w:tcW w:w="1891" w:type="dxa"/>
                </w:tcPr>
                <w:p w14:paraId="293CB75A" w14:textId="43FC3415" w:rsidR="003B4430" w:rsidRPr="00846D49" w:rsidRDefault="004D61AF" w:rsidP="00011FF7">
                  <w:pPr>
                    <w:jc w:val="center"/>
                    <w:rPr>
                      <w:rFonts w:ascii="Arial" w:eastAsia="Arial Narrow" w:hAnsi="Arial" w:cs="Arial"/>
                      <w:sz w:val="20"/>
                      <w:szCs w:val="20"/>
                    </w:rPr>
                  </w:pPr>
                  <w:r w:rsidRPr="00846D49">
                    <w:rPr>
                      <w:rFonts w:ascii="Arial" w:eastAsia="Arial Narrow" w:hAnsi="Arial" w:cs="Arial"/>
                      <w:sz w:val="20"/>
                      <w:szCs w:val="20"/>
                    </w:rPr>
                    <w:t>6 días</w:t>
                  </w:r>
                </w:p>
              </w:tc>
            </w:tr>
            <w:tr w:rsidR="00846D49" w:rsidRPr="00846D49" w14:paraId="16365B34" w14:textId="77777777" w:rsidTr="005A3FA7">
              <w:tc>
                <w:tcPr>
                  <w:tcW w:w="3951" w:type="dxa"/>
                </w:tcPr>
                <w:p w14:paraId="15B0EF50" w14:textId="2C5B40CF" w:rsidR="003B4430" w:rsidRPr="00846D49" w:rsidRDefault="003B4430" w:rsidP="0072651A">
                  <w:pPr>
                    <w:jc w:val="both"/>
                    <w:rPr>
                      <w:rFonts w:ascii="Arial" w:eastAsia="Arial Narrow" w:hAnsi="Arial" w:cs="Arial"/>
                      <w:sz w:val="20"/>
                      <w:szCs w:val="20"/>
                    </w:rPr>
                  </w:pPr>
                  <w:r w:rsidRPr="00846D49">
                    <w:rPr>
                      <w:rFonts w:ascii="Arial" w:eastAsia="Arial Narrow" w:hAnsi="Arial" w:cs="Arial"/>
                      <w:sz w:val="20"/>
                      <w:szCs w:val="20"/>
                    </w:rPr>
                    <w:t>Inscripción de fibra de vicuña y sus productos en el Registro Único de Camélidos Sudamericanos Silvestres del Perú</w:t>
                  </w:r>
                </w:p>
              </w:tc>
              <w:tc>
                <w:tcPr>
                  <w:tcW w:w="1891" w:type="dxa"/>
                </w:tcPr>
                <w:p w14:paraId="3FD980FE" w14:textId="0C52E886" w:rsidR="003B4430" w:rsidRPr="00846D49" w:rsidRDefault="004D61AF" w:rsidP="00011FF7">
                  <w:pPr>
                    <w:jc w:val="center"/>
                    <w:rPr>
                      <w:rFonts w:ascii="Arial" w:eastAsia="Arial Narrow" w:hAnsi="Arial" w:cs="Arial"/>
                      <w:sz w:val="20"/>
                      <w:szCs w:val="20"/>
                    </w:rPr>
                  </w:pPr>
                  <w:r w:rsidRPr="00846D49">
                    <w:rPr>
                      <w:rFonts w:ascii="Arial" w:eastAsia="Arial Narrow" w:hAnsi="Arial" w:cs="Arial"/>
                      <w:sz w:val="20"/>
                      <w:szCs w:val="20"/>
                    </w:rPr>
                    <w:t>5 días</w:t>
                  </w:r>
                </w:p>
              </w:tc>
            </w:tr>
            <w:tr w:rsidR="00846D49" w:rsidRPr="00846D49" w14:paraId="09B89DD2" w14:textId="77777777" w:rsidTr="005A3FA7">
              <w:tc>
                <w:tcPr>
                  <w:tcW w:w="3951" w:type="dxa"/>
                </w:tcPr>
                <w:p w14:paraId="3E55A5F1" w14:textId="01D26DB6" w:rsidR="003B4430" w:rsidRPr="00846D49" w:rsidRDefault="003B4430" w:rsidP="0072651A">
                  <w:pPr>
                    <w:jc w:val="both"/>
                    <w:rPr>
                      <w:rFonts w:ascii="Arial" w:eastAsia="Arial Narrow" w:hAnsi="Arial" w:cs="Arial"/>
                      <w:sz w:val="20"/>
                      <w:szCs w:val="20"/>
                    </w:rPr>
                  </w:pPr>
                  <w:r w:rsidRPr="00846D49">
                    <w:rPr>
                      <w:rFonts w:ascii="Arial" w:eastAsia="Arial Narrow" w:hAnsi="Arial" w:cs="Arial"/>
                      <w:sz w:val="20"/>
                      <w:szCs w:val="20"/>
                    </w:rPr>
                    <w:t>Otorgamiento de la Licencia para el uso de la marca VICUÑA PERÚ y/o VICUÑA PERÚ – ARTESANÍA</w:t>
                  </w:r>
                </w:p>
              </w:tc>
              <w:tc>
                <w:tcPr>
                  <w:tcW w:w="1891" w:type="dxa"/>
                </w:tcPr>
                <w:p w14:paraId="76CBF666" w14:textId="030FE084" w:rsidR="003B4430" w:rsidRPr="00846D49" w:rsidRDefault="004D61AF" w:rsidP="00011FF7">
                  <w:pPr>
                    <w:jc w:val="center"/>
                    <w:rPr>
                      <w:rFonts w:ascii="Arial" w:eastAsia="Arial Narrow" w:hAnsi="Arial" w:cs="Arial"/>
                      <w:sz w:val="20"/>
                      <w:szCs w:val="20"/>
                    </w:rPr>
                  </w:pPr>
                  <w:r w:rsidRPr="00846D49">
                    <w:rPr>
                      <w:rFonts w:ascii="Arial" w:eastAsia="Arial Narrow" w:hAnsi="Arial" w:cs="Arial"/>
                      <w:sz w:val="20"/>
                      <w:szCs w:val="20"/>
                    </w:rPr>
                    <w:t>10 días</w:t>
                  </w:r>
                </w:p>
              </w:tc>
            </w:tr>
            <w:tr w:rsidR="00846D49" w:rsidRPr="00846D49" w14:paraId="0B91003C" w14:textId="77777777" w:rsidTr="005A3FA7">
              <w:tc>
                <w:tcPr>
                  <w:tcW w:w="3951" w:type="dxa"/>
                </w:tcPr>
                <w:p w14:paraId="0A8B3106" w14:textId="159D5D6B" w:rsidR="003B4430" w:rsidRPr="00846D49" w:rsidRDefault="003B4430" w:rsidP="0072651A">
                  <w:pPr>
                    <w:jc w:val="both"/>
                    <w:rPr>
                      <w:rFonts w:ascii="Arial" w:eastAsia="Arial Narrow" w:hAnsi="Arial" w:cs="Arial"/>
                      <w:sz w:val="20"/>
                      <w:szCs w:val="20"/>
                    </w:rPr>
                  </w:pPr>
                  <w:r w:rsidRPr="00846D49">
                    <w:rPr>
                      <w:rFonts w:ascii="Arial" w:eastAsia="Arial Narrow" w:hAnsi="Arial" w:cs="Arial"/>
                      <w:sz w:val="20"/>
                      <w:szCs w:val="20"/>
                    </w:rPr>
                    <w:t>Permiso de exportación, reexportación o importación</w:t>
                  </w:r>
                  <w:r w:rsidR="004D61AF" w:rsidRPr="00846D49">
                    <w:rPr>
                      <w:rFonts w:ascii="Arial" w:eastAsia="Arial Narrow" w:hAnsi="Arial" w:cs="Arial"/>
                      <w:sz w:val="20"/>
                      <w:szCs w:val="20"/>
                    </w:rPr>
                    <w:t xml:space="preserve"> CITES</w:t>
                  </w:r>
                </w:p>
              </w:tc>
              <w:tc>
                <w:tcPr>
                  <w:tcW w:w="1891" w:type="dxa"/>
                </w:tcPr>
                <w:p w14:paraId="18E45B58" w14:textId="0B215B13" w:rsidR="003B4430" w:rsidRPr="00846D49" w:rsidRDefault="00264BFB" w:rsidP="00011FF7">
                  <w:pPr>
                    <w:jc w:val="center"/>
                    <w:rPr>
                      <w:rFonts w:ascii="Arial" w:eastAsia="Arial Narrow" w:hAnsi="Arial" w:cs="Arial"/>
                      <w:sz w:val="20"/>
                      <w:szCs w:val="20"/>
                    </w:rPr>
                  </w:pPr>
                  <w:r w:rsidRPr="00846D49">
                    <w:rPr>
                      <w:rFonts w:ascii="Arial" w:eastAsia="Arial Narrow" w:hAnsi="Arial" w:cs="Arial"/>
                      <w:sz w:val="20"/>
                      <w:szCs w:val="20"/>
                    </w:rPr>
                    <w:t>9 días</w:t>
                  </w:r>
                </w:p>
              </w:tc>
            </w:tr>
            <w:tr w:rsidR="00846D49" w:rsidRPr="00846D49" w14:paraId="3617A10D" w14:textId="77777777" w:rsidTr="005A3FA7">
              <w:tc>
                <w:tcPr>
                  <w:tcW w:w="3951" w:type="dxa"/>
                </w:tcPr>
                <w:p w14:paraId="46517D4D" w14:textId="4ECAACB9" w:rsidR="003B4430" w:rsidRPr="00846D49" w:rsidRDefault="003B4430" w:rsidP="0072651A">
                  <w:pPr>
                    <w:jc w:val="both"/>
                    <w:rPr>
                      <w:rFonts w:ascii="Arial" w:eastAsia="Arial Narrow" w:hAnsi="Arial" w:cs="Arial"/>
                      <w:sz w:val="20"/>
                      <w:szCs w:val="20"/>
                    </w:rPr>
                  </w:pPr>
                  <w:r w:rsidRPr="00846D49">
                    <w:rPr>
                      <w:rFonts w:ascii="Arial" w:eastAsia="Arial Narrow" w:hAnsi="Arial" w:cs="Arial"/>
                      <w:sz w:val="20"/>
                      <w:szCs w:val="20"/>
                    </w:rPr>
                    <w:t xml:space="preserve">Autorización para la extracción y traslado de vicuñas con fines de repoblamiento </w:t>
                  </w:r>
                </w:p>
              </w:tc>
              <w:tc>
                <w:tcPr>
                  <w:tcW w:w="1891" w:type="dxa"/>
                </w:tcPr>
                <w:p w14:paraId="3F40DAD3" w14:textId="4C762144" w:rsidR="003B4430" w:rsidRPr="00846D49" w:rsidRDefault="00264BFB" w:rsidP="00011FF7">
                  <w:pPr>
                    <w:jc w:val="center"/>
                    <w:rPr>
                      <w:rFonts w:ascii="Arial" w:eastAsia="Arial Narrow" w:hAnsi="Arial" w:cs="Arial"/>
                      <w:sz w:val="20"/>
                      <w:szCs w:val="20"/>
                    </w:rPr>
                  </w:pPr>
                  <w:r w:rsidRPr="00846D49">
                    <w:rPr>
                      <w:rFonts w:ascii="Arial" w:eastAsia="Arial Narrow" w:hAnsi="Arial" w:cs="Arial"/>
                      <w:sz w:val="20"/>
                      <w:szCs w:val="20"/>
                    </w:rPr>
                    <w:t>20 días</w:t>
                  </w:r>
                </w:p>
              </w:tc>
            </w:tr>
          </w:tbl>
          <w:p w14:paraId="3CBC0AEE" w14:textId="77777777" w:rsidR="00A90E9C" w:rsidRPr="00846D49" w:rsidRDefault="00A90E9C" w:rsidP="00D84D43">
            <w:pPr>
              <w:spacing w:after="0" w:line="240" w:lineRule="auto"/>
              <w:jc w:val="both"/>
              <w:rPr>
                <w:rFonts w:ascii="Arial" w:eastAsia="Arial Narrow" w:hAnsi="Arial" w:cs="Arial"/>
                <w:sz w:val="20"/>
                <w:szCs w:val="20"/>
              </w:rPr>
            </w:pPr>
          </w:p>
        </w:tc>
      </w:tr>
      <w:tr w:rsidR="00846D49" w:rsidRPr="00846D49" w14:paraId="502FF020" w14:textId="77777777" w:rsidTr="0087293E">
        <w:trPr>
          <w:trHeight w:val="686"/>
        </w:trPr>
        <w:tc>
          <w:tcPr>
            <w:tcW w:w="2483" w:type="dxa"/>
            <w:gridSpan w:val="3"/>
            <w:shd w:val="clear" w:color="auto" w:fill="auto"/>
            <w:tcMar>
              <w:top w:w="10" w:type="dxa"/>
              <w:left w:w="93" w:type="dxa"/>
              <w:bottom w:w="0" w:type="dxa"/>
              <w:right w:w="10" w:type="dxa"/>
            </w:tcMar>
            <w:vAlign w:val="center"/>
          </w:tcPr>
          <w:p w14:paraId="29CBD8D5" w14:textId="77777777" w:rsidR="00A90E9C" w:rsidRPr="00846D49" w:rsidRDefault="00A90E9C" w:rsidP="0072651A">
            <w:pPr>
              <w:rPr>
                <w:rFonts w:ascii="Arial" w:eastAsia="Arial Narrow" w:hAnsi="Arial" w:cs="Arial"/>
                <w:sz w:val="20"/>
                <w:szCs w:val="20"/>
              </w:rPr>
            </w:pPr>
            <w:r w:rsidRPr="00846D49">
              <w:rPr>
                <w:rFonts w:ascii="Arial" w:eastAsia="Arial Narrow" w:hAnsi="Arial" w:cs="Arial"/>
                <w:b/>
                <w:sz w:val="20"/>
                <w:szCs w:val="20"/>
              </w:rPr>
              <w:lastRenderedPageBreak/>
              <w:t>Sentido esperado del indicador:</w:t>
            </w:r>
          </w:p>
        </w:tc>
        <w:tc>
          <w:tcPr>
            <w:tcW w:w="1628" w:type="dxa"/>
            <w:gridSpan w:val="3"/>
            <w:shd w:val="clear" w:color="auto" w:fill="auto"/>
            <w:tcMar>
              <w:top w:w="10" w:type="dxa"/>
              <w:left w:w="283" w:type="dxa"/>
              <w:bottom w:w="0" w:type="dxa"/>
              <w:right w:w="283" w:type="dxa"/>
            </w:tcMar>
            <w:vAlign w:val="center"/>
          </w:tcPr>
          <w:p w14:paraId="0C4A3E1F" w14:textId="77777777" w:rsidR="00A90E9C" w:rsidRPr="00846D49" w:rsidRDefault="00A90E9C" w:rsidP="0072651A">
            <w:pPr>
              <w:spacing w:after="0" w:line="240" w:lineRule="auto"/>
              <w:rPr>
                <w:rFonts w:ascii="Arial" w:eastAsia="Arial Narrow" w:hAnsi="Arial" w:cs="Arial"/>
                <w:sz w:val="20"/>
                <w:szCs w:val="20"/>
              </w:rPr>
            </w:pPr>
            <w:r w:rsidRPr="00846D49">
              <w:rPr>
                <w:rFonts w:ascii="Arial" w:eastAsia="Arial Narrow" w:hAnsi="Arial" w:cs="Arial"/>
                <w:sz w:val="20"/>
                <w:szCs w:val="20"/>
              </w:rPr>
              <w:t>Ascendente</w:t>
            </w:r>
          </w:p>
        </w:tc>
        <w:tc>
          <w:tcPr>
            <w:tcW w:w="3157" w:type="dxa"/>
            <w:gridSpan w:val="5"/>
            <w:shd w:val="clear" w:color="auto" w:fill="auto"/>
            <w:tcMar>
              <w:top w:w="15" w:type="dxa"/>
              <w:left w:w="15" w:type="dxa"/>
              <w:bottom w:w="0" w:type="dxa"/>
              <w:right w:w="15" w:type="dxa"/>
            </w:tcMar>
            <w:vAlign w:val="center"/>
          </w:tcPr>
          <w:p w14:paraId="173DDD77" w14:textId="77777777" w:rsidR="00A90E9C" w:rsidRPr="00846D49" w:rsidRDefault="00A90E9C" w:rsidP="0072651A">
            <w:pPr>
              <w:rPr>
                <w:rFonts w:ascii="Arial" w:eastAsia="Arial Narrow" w:hAnsi="Arial" w:cs="Arial"/>
                <w:sz w:val="20"/>
                <w:szCs w:val="20"/>
              </w:rPr>
            </w:pPr>
            <w:r w:rsidRPr="00846D49">
              <w:rPr>
                <w:rFonts w:ascii="Arial" w:eastAsia="Arial Narrow" w:hAnsi="Arial" w:cs="Arial"/>
                <w:b/>
                <w:sz w:val="20"/>
                <w:szCs w:val="20"/>
              </w:rPr>
              <w:t>Tipo de indicador de servicio:</w:t>
            </w:r>
          </w:p>
        </w:tc>
        <w:tc>
          <w:tcPr>
            <w:tcW w:w="1521" w:type="dxa"/>
            <w:gridSpan w:val="2"/>
            <w:shd w:val="clear" w:color="auto" w:fill="auto"/>
            <w:tcMar>
              <w:top w:w="15" w:type="dxa"/>
              <w:left w:w="15" w:type="dxa"/>
              <w:bottom w:w="0" w:type="dxa"/>
              <w:right w:w="15" w:type="dxa"/>
            </w:tcMar>
            <w:vAlign w:val="center"/>
          </w:tcPr>
          <w:p w14:paraId="3B65EC88" w14:textId="77777777" w:rsidR="00A90E9C" w:rsidRPr="00846D49" w:rsidRDefault="00A90E9C" w:rsidP="0072651A">
            <w:pPr>
              <w:rPr>
                <w:rFonts w:ascii="Arial" w:eastAsia="Arial Narrow" w:hAnsi="Arial" w:cs="Arial"/>
                <w:sz w:val="20"/>
                <w:szCs w:val="20"/>
              </w:rPr>
            </w:pPr>
            <w:r w:rsidRPr="00846D49">
              <w:rPr>
                <w:rFonts w:ascii="Arial" w:eastAsia="Arial Narrow" w:hAnsi="Arial" w:cs="Arial"/>
                <w:sz w:val="20"/>
                <w:szCs w:val="20"/>
              </w:rPr>
              <w:t>Calidad - Oportunidad</w:t>
            </w:r>
            <w:r w:rsidRPr="00846D49">
              <w:rPr>
                <w:rFonts w:ascii="Arial" w:eastAsia="Arial Narrow" w:hAnsi="Arial" w:cs="Arial"/>
                <w:strike/>
                <w:sz w:val="20"/>
                <w:szCs w:val="20"/>
              </w:rPr>
              <w:t xml:space="preserve"> </w:t>
            </w:r>
          </w:p>
        </w:tc>
      </w:tr>
      <w:tr w:rsidR="00846D49" w:rsidRPr="00846D49" w14:paraId="5DA79626" w14:textId="77777777" w:rsidTr="006346AA">
        <w:trPr>
          <w:trHeight w:val="13"/>
        </w:trPr>
        <w:tc>
          <w:tcPr>
            <w:tcW w:w="2483" w:type="dxa"/>
            <w:gridSpan w:val="3"/>
            <w:shd w:val="clear" w:color="auto" w:fill="auto"/>
            <w:tcMar>
              <w:top w:w="10" w:type="dxa"/>
              <w:left w:w="93" w:type="dxa"/>
              <w:bottom w:w="0" w:type="dxa"/>
              <w:right w:w="10" w:type="dxa"/>
            </w:tcMar>
            <w:vAlign w:val="center"/>
          </w:tcPr>
          <w:p w14:paraId="5A1BE9D8" w14:textId="77777777" w:rsidR="00A90E9C" w:rsidRPr="00846D49" w:rsidRDefault="00A90E9C" w:rsidP="0072651A">
            <w:pPr>
              <w:rPr>
                <w:rFonts w:ascii="Arial" w:eastAsia="Arial Narrow" w:hAnsi="Arial" w:cs="Arial"/>
                <w:sz w:val="20"/>
                <w:szCs w:val="20"/>
              </w:rPr>
            </w:pPr>
            <w:r w:rsidRPr="00846D49">
              <w:rPr>
                <w:rFonts w:ascii="Arial" w:eastAsia="Arial Narrow" w:hAnsi="Arial" w:cs="Arial"/>
                <w:b/>
                <w:sz w:val="20"/>
                <w:szCs w:val="20"/>
              </w:rPr>
              <w:t>Fuente y base de datos:</w:t>
            </w:r>
          </w:p>
        </w:tc>
        <w:tc>
          <w:tcPr>
            <w:tcW w:w="6306" w:type="dxa"/>
            <w:gridSpan w:val="10"/>
            <w:shd w:val="clear" w:color="auto" w:fill="auto"/>
            <w:tcMar>
              <w:top w:w="51" w:type="dxa"/>
              <w:left w:w="227" w:type="dxa"/>
              <w:bottom w:w="51" w:type="dxa"/>
              <w:right w:w="227" w:type="dxa"/>
            </w:tcMar>
            <w:vAlign w:val="center"/>
          </w:tcPr>
          <w:p w14:paraId="7BE6E4B9" w14:textId="260183E9" w:rsidR="00A90E9C" w:rsidRPr="00846D49" w:rsidRDefault="00A90E9C" w:rsidP="0072651A">
            <w:pPr>
              <w:spacing w:after="0" w:line="240" w:lineRule="auto"/>
              <w:jc w:val="both"/>
              <w:rPr>
                <w:rFonts w:ascii="Arial" w:eastAsia="Arial Narrow" w:hAnsi="Arial" w:cs="Arial"/>
                <w:sz w:val="20"/>
                <w:szCs w:val="20"/>
              </w:rPr>
            </w:pPr>
            <w:r w:rsidRPr="00846D49">
              <w:rPr>
                <w:rFonts w:ascii="Arial" w:eastAsia="Arial Narrow" w:hAnsi="Arial" w:cs="Arial"/>
                <w:sz w:val="20"/>
                <w:szCs w:val="20"/>
              </w:rPr>
              <w:t xml:space="preserve">Fuente: </w:t>
            </w:r>
            <w:r w:rsidR="00A10EA6" w:rsidRPr="00846D49">
              <w:rPr>
                <w:rFonts w:ascii="Arial" w:eastAsia="Arial Narrow" w:hAnsi="Arial" w:cs="Arial"/>
                <w:sz w:val="20"/>
                <w:szCs w:val="20"/>
              </w:rPr>
              <w:t>Dirección de Inventario y Valoración</w:t>
            </w:r>
            <w:r w:rsidRPr="00846D49">
              <w:rPr>
                <w:rFonts w:ascii="Arial" w:eastAsia="Arial Narrow" w:hAnsi="Arial" w:cs="Arial"/>
                <w:sz w:val="20"/>
                <w:szCs w:val="20"/>
              </w:rPr>
              <w:t xml:space="preserve"> </w:t>
            </w:r>
            <w:r w:rsidR="00A10EA6" w:rsidRPr="00846D49">
              <w:rPr>
                <w:rFonts w:ascii="Arial" w:eastAsia="Arial Narrow" w:hAnsi="Arial" w:cs="Arial"/>
                <w:sz w:val="20"/>
                <w:szCs w:val="20"/>
              </w:rPr>
              <w:t>del</w:t>
            </w:r>
            <w:r w:rsidRPr="00846D49">
              <w:rPr>
                <w:rFonts w:ascii="Arial" w:eastAsia="Arial Narrow" w:hAnsi="Arial" w:cs="Arial"/>
                <w:sz w:val="20"/>
                <w:szCs w:val="20"/>
              </w:rPr>
              <w:t xml:space="preserve"> SERFOR</w:t>
            </w:r>
          </w:p>
          <w:p w14:paraId="63E18491" w14:textId="3FD42779" w:rsidR="00A90E9C" w:rsidRPr="00846D49" w:rsidRDefault="00A90E9C" w:rsidP="0072651A">
            <w:pPr>
              <w:spacing w:after="0" w:line="240" w:lineRule="auto"/>
              <w:jc w:val="both"/>
              <w:rPr>
                <w:rFonts w:ascii="Arial" w:eastAsia="Arial Narrow" w:hAnsi="Arial" w:cs="Arial"/>
                <w:sz w:val="20"/>
                <w:szCs w:val="20"/>
              </w:rPr>
            </w:pPr>
            <w:r w:rsidRPr="00846D49">
              <w:rPr>
                <w:rFonts w:ascii="Arial" w:eastAsia="Arial Narrow" w:hAnsi="Arial" w:cs="Arial"/>
                <w:sz w:val="20"/>
                <w:szCs w:val="20"/>
              </w:rPr>
              <w:t xml:space="preserve">Base de datos: </w:t>
            </w:r>
            <w:r w:rsidR="007C5BF2" w:rsidRPr="00846D49">
              <w:rPr>
                <w:rFonts w:ascii="Arial" w:eastAsia="Arial Narrow" w:hAnsi="Arial" w:cs="Arial"/>
                <w:sz w:val="20"/>
                <w:szCs w:val="20"/>
              </w:rPr>
              <w:t>Aplicativo de Camélidos Sudamericanos, b</w:t>
            </w:r>
            <w:r w:rsidRPr="00846D49">
              <w:rPr>
                <w:rFonts w:ascii="Arial" w:eastAsia="Arial Narrow" w:hAnsi="Arial" w:cs="Arial"/>
                <w:sz w:val="20"/>
                <w:szCs w:val="20"/>
              </w:rPr>
              <w:t>ase</w:t>
            </w:r>
            <w:r w:rsidR="007C5BF2" w:rsidRPr="00846D49">
              <w:rPr>
                <w:rFonts w:ascii="Arial" w:eastAsia="Arial Narrow" w:hAnsi="Arial" w:cs="Arial"/>
                <w:sz w:val="20"/>
                <w:szCs w:val="20"/>
              </w:rPr>
              <w:t>s</w:t>
            </w:r>
            <w:r w:rsidRPr="00846D49">
              <w:rPr>
                <w:rFonts w:ascii="Arial" w:eastAsia="Arial Narrow" w:hAnsi="Arial" w:cs="Arial"/>
                <w:sz w:val="20"/>
                <w:szCs w:val="20"/>
              </w:rPr>
              <w:t xml:space="preserve"> de datos de la Dirección de Gestión Sostenible del Patrimonio de Fauna Silvestre, de la Dirección de Información</w:t>
            </w:r>
            <w:r w:rsidR="00A10EA6" w:rsidRPr="00846D49">
              <w:rPr>
                <w:rFonts w:ascii="Arial" w:eastAsia="Arial Narrow" w:hAnsi="Arial" w:cs="Arial"/>
                <w:sz w:val="20"/>
                <w:szCs w:val="20"/>
              </w:rPr>
              <w:t xml:space="preserve"> y Registro</w:t>
            </w:r>
            <w:r w:rsidRPr="00846D49">
              <w:rPr>
                <w:rFonts w:ascii="Arial" w:eastAsia="Arial Narrow" w:hAnsi="Arial" w:cs="Arial"/>
                <w:sz w:val="20"/>
                <w:szCs w:val="20"/>
              </w:rPr>
              <w:t>,</w:t>
            </w:r>
            <w:r w:rsidR="007C5BF2" w:rsidRPr="00846D49">
              <w:rPr>
                <w:rFonts w:ascii="Arial" w:eastAsia="Arial Narrow" w:hAnsi="Arial" w:cs="Arial"/>
                <w:sz w:val="20"/>
                <w:szCs w:val="20"/>
              </w:rPr>
              <w:t xml:space="preserve"> y </w:t>
            </w:r>
            <w:r w:rsidR="0036689E" w:rsidRPr="00846D49">
              <w:rPr>
                <w:rFonts w:ascii="Arial" w:eastAsia="Arial Narrow" w:hAnsi="Arial" w:cs="Arial"/>
                <w:sz w:val="20"/>
                <w:szCs w:val="20"/>
              </w:rPr>
              <w:t>gobiernos regionales</w:t>
            </w:r>
            <w:r w:rsidR="007C5BF2" w:rsidRPr="00846D49">
              <w:rPr>
                <w:rFonts w:ascii="Arial" w:eastAsia="Arial Narrow" w:hAnsi="Arial" w:cs="Arial"/>
                <w:sz w:val="20"/>
                <w:szCs w:val="20"/>
              </w:rPr>
              <w:t>.</w:t>
            </w:r>
          </w:p>
        </w:tc>
      </w:tr>
      <w:tr w:rsidR="00846D49" w:rsidRPr="00846D49" w14:paraId="1A270B16" w14:textId="77777777" w:rsidTr="006346AA">
        <w:trPr>
          <w:trHeight w:val="436"/>
        </w:trPr>
        <w:tc>
          <w:tcPr>
            <w:tcW w:w="2483" w:type="dxa"/>
            <w:gridSpan w:val="3"/>
            <w:shd w:val="clear" w:color="auto" w:fill="auto"/>
            <w:tcMar>
              <w:top w:w="10" w:type="dxa"/>
              <w:left w:w="93" w:type="dxa"/>
              <w:bottom w:w="0" w:type="dxa"/>
              <w:right w:w="10" w:type="dxa"/>
            </w:tcMar>
            <w:vAlign w:val="center"/>
          </w:tcPr>
          <w:p w14:paraId="01382A18" w14:textId="77777777" w:rsidR="00A90E9C" w:rsidRPr="00846D49" w:rsidRDefault="00A90E9C" w:rsidP="0072651A">
            <w:pPr>
              <w:rPr>
                <w:rFonts w:ascii="Arial" w:eastAsia="Arial Narrow" w:hAnsi="Arial" w:cs="Arial"/>
                <w:sz w:val="20"/>
                <w:szCs w:val="20"/>
              </w:rPr>
            </w:pPr>
            <w:r w:rsidRPr="00846D49">
              <w:rPr>
                <w:rFonts w:ascii="Arial" w:eastAsia="Arial Narrow" w:hAnsi="Arial" w:cs="Arial"/>
                <w:b/>
                <w:sz w:val="20"/>
                <w:szCs w:val="20"/>
              </w:rPr>
              <w:t>Supuestos:</w:t>
            </w:r>
          </w:p>
        </w:tc>
        <w:tc>
          <w:tcPr>
            <w:tcW w:w="6306" w:type="dxa"/>
            <w:gridSpan w:val="10"/>
            <w:shd w:val="clear" w:color="auto" w:fill="auto"/>
            <w:tcMar>
              <w:top w:w="51" w:type="dxa"/>
              <w:left w:w="227" w:type="dxa"/>
              <w:bottom w:w="51" w:type="dxa"/>
              <w:right w:w="227" w:type="dxa"/>
            </w:tcMar>
            <w:vAlign w:val="center"/>
          </w:tcPr>
          <w:p w14:paraId="62B3789D" w14:textId="77777777" w:rsidR="00A90E9C" w:rsidRPr="00846D49" w:rsidRDefault="00A90E9C" w:rsidP="0072651A">
            <w:pPr>
              <w:spacing w:after="0" w:line="240" w:lineRule="auto"/>
              <w:jc w:val="both"/>
              <w:rPr>
                <w:rFonts w:ascii="Arial" w:eastAsia="Arial Narrow" w:hAnsi="Arial" w:cs="Arial"/>
                <w:sz w:val="20"/>
                <w:szCs w:val="20"/>
              </w:rPr>
            </w:pPr>
            <w:r w:rsidRPr="00846D49">
              <w:rPr>
                <w:rFonts w:ascii="Arial" w:eastAsia="Arial Narrow" w:hAnsi="Arial" w:cs="Arial"/>
                <w:sz w:val="20"/>
                <w:szCs w:val="20"/>
              </w:rPr>
              <w:t>No tiene supuestos</w:t>
            </w:r>
          </w:p>
        </w:tc>
      </w:tr>
      <w:tr w:rsidR="00846D49" w:rsidRPr="00846D49" w14:paraId="778FFB42" w14:textId="77777777" w:rsidTr="005A3FA7">
        <w:trPr>
          <w:trHeight w:val="458"/>
        </w:trPr>
        <w:tc>
          <w:tcPr>
            <w:tcW w:w="1135" w:type="dxa"/>
            <w:shd w:val="clear" w:color="auto" w:fill="auto"/>
            <w:tcMar>
              <w:top w:w="10" w:type="dxa"/>
              <w:left w:w="10" w:type="dxa"/>
              <w:bottom w:w="0" w:type="dxa"/>
              <w:right w:w="10" w:type="dxa"/>
            </w:tcMar>
            <w:vAlign w:val="center"/>
          </w:tcPr>
          <w:p w14:paraId="66E10715" w14:textId="77777777" w:rsidR="00A90E9C" w:rsidRPr="00846D49" w:rsidRDefault="00A90E9C" w:rsidP="0072651A">
            <w:pPr>
              <w:rPr>
                <w:rFonts w:ascii="Arial" w:eastAsia="Arial Narrow" w:hAnsi="Arial" w:cs="Arial"/>
                <w:sz w:val="20"/>
                <w:szCs w:val="20"/>
                <w:highlight w:val="white"/>
              </w:rPr>
            </w:pPr>
            <w:r w:rsidRPr="00846D49">
              <w:rPr>
                <w:rFonts w:ascii="Arial" w:eastAsia="Arial Narrow" w:hAnsi="Arial" w:cs="Arial"/>
                <w:b/>
                <w:sz w:val="20"/>
                <w:szCs w:val="20"/>
                <w:highlight w:val="white"/>
              </w:rPr>
              <w:t> </w:t>
            </w:r>
          </w:p>
        </w:tc>
        <w:tc>
          <w:tcPr>
            <w:tcW w:w="850" w:type="dxa"/>
            <w:shd w:val="clear" w:color="auto" w:fill="auto"/>
            <w:tcMar>
              <w:top w:w="10" w:type="dxa"/>
              <w:left w:w="10" w:type="dxa"/>
              <w:bottom w:w="0" w:type="dxa"/>
              <w:right w:w="10" w:type="dxa"/>
            </w:tcMar>
            <w:vAlign w:val="center"/>
          </w:tcPr>
          <w:p w14:paraId="61D9A464" w14:textId="77777777" w:rsidR="00A90E9C" w:rsidRPr="00846D49" w:rsidRDefault="00A90E9C" w:rsidP="0072651A">
            <w:pPr>
              <w:jc w:val="center"/>
              <w:rPr>
                <w:rFonts w:ascii="Arial" w:eastAsia="Arial Narrow" w:hAnsi="Arial" w:cs="Arial"/>
                <w:sz w:val="20"/>
                <w:szCs w:val="20"/>
                <w:highlight w:val="white"/>
              </w:rPr>
            </w:pPr>
            <w:r w:rsidRPr="00846D49">
              <w:rPr>
                <w:rFonts w:ascii="Arial" w:eastAsia="Arial Narrow" w:hAnsi="Arial" w:cs="Arial"/>
                <w:b/>
                <w:sz w:val="20"/>
                <w:szCs w:val="20"/>
                <w:highlight w:val="white"/>
              </w:rPr>
              <w:t>Línea de base</w:t>
            </w:r>
          </w:p>
        </w:tc>
        <w:tc>
          <w:tcPr>
            <w:tcW w:w="6804" w:type="dxa"/>
            <w:gridSpan w:val="11"/>
            <w:shd w:val="clear" w:color="auto" w:fill="auto"/>
            <w:tcMar>
              <w:top w:w="10" w:type="dxa"/>
              <w:left w:w="10" w:type="dxa"/>
              <w:bottom w:w="0" w:type="dxa"/>
              <w:right w:w="10" w:type="dxa"/>
            </w:tcMar>
            <w:vAlign w:val="center"/>
          </w:tcPr>
          <w:p w14:paraId="75848284" w14:textId="77777777" w:rsidR="00A90E9C" w:rsidRPr="00846D49" w:rsidRDefault="00A90E9C" w:rsidP="0072651A">
            <w:pPr>
              <w:spacing w:after="0" w:line="240" w:lineRule="auto"/>
              <w:jc w:val="center"/>
              <w:rPr>
                <w:rFonts w:ascii="Arial" w:eastAsia="Arial Narrow" w:hAnsi="Arial" w:cs="Arial"/>
                <w:sz w:val="20"/>
                <w:szCs w:val="20"/>
                <w:highlight w:val="white"/>
              </w:rPr>
            </w:pPr>
            <w:r w:rsidRPr="00846D49">
              <w:rPr>
                <w:rFonts w:ascii="Arial" w:eastAsia="Arial Narrow" w:hAnsi="Arial" w:cs="Arial"/>
                <w:b/>
                <w:sz w:val="20"/>
                <w:szCs w:val="20"/>
                <w:highlight w:val="white"/>
              </w:rPr>
              <w:t>Logros esperados</w:t>
            </w:r>
          </w:p>
        </w:tc>
      </w:tr>
      <w:tr w:rsidR="00846D49" w:rsidRPr="00846D49" w14:paraId="5C7DAEFF" w14:textId="77777777" w:rsidTr="005A3FA7">
        <w:trPr>
          <w:trHeight w:val="217"/>
        </w:trPr>
        <w:tc>
          <w:tcPr>
            <w:tcW w:w="1135" w:type="dxa"/>
            <w:shd w:val="clear" w:color="auto" w:fill="auto"/>
            <w:tcMar>
              <w:top w:w="10" w:type="dxa"/>
              <w:left w:w="10" w:type="dxa"/>
              <w:bottom w:w="0" w:type="dxa"/>
              <w:right w:w="10" w:type="dxa"/>
            </w:tcMar>
            <w:vAlign w:val="center"/>
          </w:tcPr>
          <w:p w14:paraId="69A7162C" w14:textId="77777777" w:rsidR="00A90E9C" w:rsidRPr="00846D49" w:rsidRDefault="00A90E9C" w:rsidP="0072651A">
            <w:pPr>
              <w:spacing w:after="0" w:line="240" w:lineRule="auto"/>
              <w:jc w:val="center"/>
              <w:rPr>
                <w:rFonts w:ascii="Arial" w:eastAsia="Arial Narrow" w:hAnsi="Arial" w:cs="Arial"/>
                <w:sz w:val="20"/>
                <w:szCs w:val="20"/>
                <w:highlight w:val="white"/>
              </w:rPr>
            </w:pPr>
            <w:r w:rsidRPr="00846D49">
              <w:rPr>
                <w:rFonts w:ascii="Arial" w:eastAsia="Arial Narrow" w:hAnsi="Arial" w:cs="Arial"/>
                <w:b/>
                <w:sz w:val="20"/>
                <w:szCs w:val="20"/>
                <w:highlight w:val="white"/>
              </w:rPr>
              <w:t>Año</w:t>
            </w:r>
          </w:p>
        </w:tc>
        <w:tc>
          <w:tcPr>
            <w:tcW w:w="850" w:type="dxa"/>
            <w:shd w:val="clear" w:color="auto" w:fill="auto"/>
            <w:tcMar>
              <w:top w:w="10" w:type="dxa"/>
              <w:left w:w="10" w:type="dxa"/>
              <w:bottom w:w="0" w:type="dxa"/>
              <w:right w:w="10" w:type="dxa"/>
            </w:tcMar>
            <w:vAlign w:val="center"/>
          </w:tcPr>
          <w:p w14:paraId="4A0A9849" w14:textId="77777777" w:rsidR="00A90E9C" w:rsidRPr="00846D49" w:rsidRDefault="00A90E9C" w:rsidP="0072651A">
            <w:pPr>
              <w:spacing w:after="0" w:line="240" w:lineRule="auto"/>
              <w:jc w:val="center"/>
              <w:rPr>
                <w:rFonts w:ascii="Arial" w:eastAsia="Arial Narrow" w:hAnsi="Arial" w:cs="Arial"/>
                <w:b/>
                <w:sz w:val="20"/>
                <w:szCs w:val="20"/>
                <w:highlight w:val="white"/>
              </w:rPr>
            </w:pPr>
            <w:r w:rsidRPr="00846D49">
              <w:rPr>
                <w:rFonts w:ascii="Arial" w:eastAsia="Arial Narrow" w:hAnsi="Arial" w:cs="Arial"/>
                <w:b/>
                <w:sz w:val="20"/>
                <w:szCs w:val="20"/>
                <w:highlight w:val="white"/>
              </w:rPr>
              <w:t xml:space="preserve"> 2022</w:t>
            </w:r>
          </w:p>
        </w:tc>
        <w:tc>
          <w:tcPr>
            <w:tcW w:w="709" w:type="dxa"/>
            <w:gridSpan w:val="2"/>
            <w:shd w:val="clear" w:color="auto" w:fill="auto"/>
            <w:tcMar>
              <w:top w:w="10" w:type="dxa"/>
              <w:left w:w="10" w:type="dxa"/>
              <w:bottom w:w="0" w:type="dxa"/>
              <w:right w:w="10" w:type="dxa"/>
            </w:tcMar>
            <w:vAlign w:val="center"/>
          </w:tcPr>
          <w:p w14:paraId="1380FD7E" w14:textId="77777777" w:rsidR="00A90E9C" w:rsidRPr="00846D49" w:rsidRDefault="00A90E9C" w:rsidP="0072651A">
            <w:pPr>
              <w:spacing w:after="0" w:line="240" w:lineRule="auto"/>
              <w:jc w:val="center"/>
              <w:rPr>
                <w:rFonts w:ascii="Arial" w:eastAsia="Arial Narrow" w:hAnsi="Arial" w:cs="Arial"/>
                <w:b/>
                <w:sz w:val="20"/>
                <w:szCs w:val="20"/>
                <w:highlight w:val="white"/>
              </w:rPr>
            </w:pPr>
            <w:r w:rsidRPr="00846D49">
              <w:rPr>
                <w:rFonts w:ascii="Arial" w:eastAsia="Arial Narrow" w:hAnsi="Arial" w:cs="Arial"/>
                <w:b/>
                <w:sz w:val="20"/>
                <w:szCs w:val="20"/>
                <w:highlight w:val="white"/>
              </w:rPr>
              <w:t>2023</w:t>
            </w:r>
          </w:p>
        </w:tc>
        <w:tc>
          <w:tcPr>
            <w:tcW w:w="850" w:type="dxa"/>
            <w:shd w:val="clear" w:color="auto" w:fill="auto"/>
            <w:vAlign w:val="center"/>
          </w:tcPr>
          <w:p w14:paraId="56897D80" w14:textId="77777777" w:rsidR="00A90E9C" w:rsidRPr="00846D49" w:rsidRDefault="00A90E9C" w:rsidP="0072651A">
            <w:pPr>
              <w:spacing w:after="0" w:line="240" w:lineRule="auto"/>
              <w:jc w:val="center"/>
              <w:rPr>
                <w:rFonts w:ascii="Arial" w:eastAsia="Arial Narrow" w:hAnsi="Arial" w:cs="Arial"/>
                <w:b/>
                <w:sz w:val="20"/>
                <w:szCs w:val="20"/>
                <w:highlight w:val="white"/>
              </w:rPr>
            </w:pPr>
            <w:r w:rsidRPr="00846D49">
              <w:rPr>
                <w:rFonts w:ascii="Arial" w:eastAsia="Arial Narrow" w:hAnsi="Arial" w:cs="Arial"/>
                <w:b/>
                <w:sz w:val="20"/>
                <w:szCs w:val="20"/>
                <w:highlight w:val="white"/>
              </w:rPr>
              <w:t>2024</w:t>
            </w:r>
          </w:p>
        </w:tc>
        <w:tc>
          <w:tcPr>
            <w:tcW w:w="851" w:type="dxa"/>
            <w:gridSpan w:val="2"/>
            <w:shd w:val="clear" w:color="auto" w:fill="auto"/>
            <w:vAlign w:val="center"/>
          </w:tcPr>
          <w:p w14:paraId="73A07036" w14:textId="77777777" w:rsidR="00A90E9C" w:rsidRPr="00846D49" w:rsidRDefault="00A90E9C" w:rsidP="0072651A">
            <w:pPr>
              <w:spacing w:after="0" w:line="240" w:lineRule="auto"/>
              <w:jc w:val="center"/>
              <w:rPr>
                <w:rFonts w:ascii="Arial" w:eastAsia="Arial Narrow" w:hAnsi="Arial" w:cs="Arial"/>
                <w:b/>
                <w:sz w:val="20"/>
                <w:szCs w:val="20"/>
                <w:highlight w:val="white"/>
              </w:rPr>
            </w:pPr>
            <w:r w:rsidRPr="00846D49">
              <w:rPr>
                <w:rFonts w:ascii="Arial" w:eastAsia="Arial Narrow" w:hAnsi="Arial" w:cs="Arial"/>
                <w:b/>
                <w:sz w:val="20"/>
                <w:szCs w:val="20"/>
                <w:highlight w:val="white"/>
              </w:rPr>
              <w:t>2025</w:t>
            </w:r>
          </w:p>
        </w:tc>
        <w:tc>
          <w:tcPr>
            <w:tcW w:w="850" w:type="dxa"/>
            <w:shd w:val="clear" w:color="auto" w:fill="auto"/>
            <w:vAlign w:val="center"/>
          </w:tcPr>
          <w:p w14:paraId="6CFDCA37" w14:textId="77777777" w:rsidR="00A90E9C" w:rsidRPr="00846D49" w:rsidRDefault="00A90E9C" w:rsidP="0072651A">
            <w:pPr>
              <w:spacing w:after="0" w:line="240" w:lineRule="auto"/>
              <w:jc w:val="center"/>
              <w:rPr>
                <w:rFonts w:ascii="Arial" w:eastAsia="Arial Narrow" w:hAnsi="Arial" w:cs="Arial"/>
                <w:b/>
                <w:sz w:val="20"/>
                <w:szCs w:val="20"/>
                <w:highlight w:val="white"/>
              </w:rPr>
            </w:pPr>
            <w:r w:rsidRPr="00846D49">
              <w:rPr>
                <w:rFonts w:ascii="Arial" w:eastAsia="Arial Narrow" w:hAnsi="Arial" w:cs="Arial"/>
                <w:b/>
                <w:sz w:val="20"/>
                <w:szCs w:val="20"/>
                <w:highlight w:val="white"/>
              </w:rPr>
              <w:t>2026</w:t>
            </w:r>
          </w:p>
        </w:tc>
        <w:tc>
          <w:tcPr>
            <w:tcW w:w="851" w:type="dxa"/>
            <w:shd w:val="clear" w:color="auto" w:fill="auto"/>
            <w:vAlign w:val="center"/>
          </w:tcPr>
          <w:p w14:paraId="5F4390E5" w14:textId="77777777" w:rsidR="00A90E9C" w:rsidRPr="00846D49" w:rsidRDefault="00A90E9C" w:rsidP="0072651A">
            <w:pPr>
              <w:spacing w:after="0" w:line="240" w:lineRule="auto"/>
              <w:jc w:val="center"/>
              <w:rPr>
                <w:rFonts w:ascii="Arial" w:eastAsia="Arial Narrow" w:hAnsi="Arial" w:cs="Arial"/>
                <w:b/>
                <w:sz w:val="20"/>
                <w:szCs w:val="20"/>
                <w:highlight w:val="white"/>
              </w:rPr>
            </w:pPr>
            <w:r w:rsidRPr="00846D49">
              <w:rPr>
                <w:rFonts w:ascii="Arial" w:eastAsia="Arial Narrow" w:hAnsi="Arial" w:cs="Arial"/>
                <w:b/>
                <w:sz w:val="20"/>
                <w:szCs w:val="20"/>
                <w:highlight w:val="white"/>
              </w:rPr>
              <w:t>2027</w:t>
            </w:r>
          </w:p>
        </w:tc>
        <w:tc>
          <w:tcPr>
            <w:tcW w:w="850" w:type="dxa"/>
            <w:shd w:val="clear" w:color="auto" w:fill="auto"/>
            <w:vAlign w:val="center"/>
          </w:tcPr>
          <w:p w14:paraId="3E1A9734" w14:textId="77777777" w:rsidR="00A90E9C" w:rsidRPr="00846D49" w:rsidRDefault="00A90E9C" w:rsidP="0072651A">
            <w:pPr>
              <w:spacing w:after="0" w:line="240" w:lineRule="auto"/>
              <w:jc w:val="center"/>
              <w:rPr>
                <w:rFonts w:ascii="Arial" w:eastAsia="Arial Narrow" w:hAnsi="Arial" w:cs="Arial"/>
                <w:b/>
                <w:sz w:val="20"/>
                <w:szCs w:val="20"/>
                <w:highlight w:val="white"/>
              </w:rPr>
            </w:pPr>
            <w:r w:rsidRPr="00846D49">
              <w:rPr>
                <w:rFonts w:ascii="Arial" w:eastAsia="Arial Narrow" w:hAnsi="Arial" w:cs="Arial"/>
                <w:b/>
                <w:sz w:val="20"/>
                <w:szCs w:val="20"/>
                <w:highlight w:val="white"/>
              </w:rPr>
              <w:t>2028</w:t>
            </w:r>
          </w:p>
        </w:tc>
        <w:tc>
          <w:tcPr>
            <w:tcW w:w="993" w:type="dxa"/>
            <w:gridSpan w:val="2"/>
            <w:shd w:val="clear" w:color="auto" w:fill="auto"/>
            <w:vAlign w:val="center"/>
          </w:tcPr>
          <w:p w14:paraId="1D2782F4" w14:textId="77777777" w:rsidR="00A90E9C" w:rsidRPr="00846D49" w:rsidRDefault="00A90E9C" w:rsidP="0072651A">
            <w:pPr>
              <w:spacing w:after="0" w:line="240" w:lineRule="auto"/>
              <w:jc w:val="center"/>
              <w:rPr>
                <w:rFonts w:ascii="Arial" w:eastAsia="Arial Narrow" w:hAnsi="Arial" w:cs="Arial"/>
                <w:b/>
                <w:sz w:val="20"/>
                <w:szCs w:val="20"/>
                <w:highlight w:val="white"/>
              </w:rPr>
            </w:pPr>
            <w:r w:rsidRPr="00846D49">
              <w:rPr>
                <w:rFonts w:ascii="Arial" w:eastAsia="Arial Narrow" w:hAnsi="Arial" w:cs="Arial"/>
                <w:b/>
                <w:sz w:val="20"/>
                <w:szCs w:val="20"/>
                <w:highlight w:val="white"/>
              </w:rPr>
              <w:t>2029</w:t>
            </w:r>
          </w:p>
        </w:tc>
        <w:tc>
          <w:tcPr>
            <w:tcW w:w="850" w:type="dxa"/>
            <w:shd w:val="clear" w:color="auto" w:fill="auto"/>
            <w:vAlign w:val="center"/>
          </w:tcPr>
          <w:p w14:paraId="0FD7950C" w14:textId="77777777" w:rsidR="00A90E9C" w:rsidRPr="00846D49" w:rsidRDefault="00A90E9C" w:rsidP="0072651A">
            <w:pPr>
              <w:spacing w:after="0" w:line="240" w:lineRule="auto"/>
              <w:jc w:val="center"/>
              <w:rPr>
                <w:rFonts w:ascii="Arial" w:eastAsia="Arial Narrow" w:hAnsi="Arial" w:cs="Arial"/>
                <w:b/>
                <w:sz w:val="20"/>
                <w:szCs w:val="20"/>
                <w:highlight w:val="white"/>
              </w:rPr>
            </w:pPr>
            <w:r w:rsidRPr="00846D49">
              <w:rPr>
                <w:rFonts w:ascii="Arial" w:eastAsia="Arial Narrow" w:hAnsi="Arial" w:cs="Arial"/>
                <w:b/>
                <w:sz w:val="20"/>
                <w:szCs w:val="20"/>
                <w:highlight w:val="white"/>
              </w:rPr>
              <w:t>2030</w:t>
            </w:r>
          </w:p>
        </w:tc>
      </w:tr>
      <w:tr w:rsidR="00846D49" w:rsidRPr="00846D49" w14:paraId="7EE5DD3E" w14:textId="77777777" w:rsidTr="005A3FA7">
        <w:trPr>
          <w:trHeight w:val="81"/>
        </w:trPr>
        <w:tc>
          <w:tcPr>
            <w:tcW w:w="1135" w:type="dxa"/>
            <w:shd w:val="clear" w:color="auto" w:fill="auto"/>
            <w:tcMar>
              <w:top w:w="10" w:type="dxa"/>
              <w:left w:w="10" w:type="dxa"/>
              <w:bottom w:w="0" w:type="dxa"/>
              <w:right w:w="10" w:type="dxa"/>
            </w:tcMar>
            <w:vAlign w:val="center"/>
          </w:tcPr>
          <w:p w14:paraId="5CAF4AF8" w14:textId="77777777" w:rsidR="00A90E9C" w:rsidRPr="00846D49" w:rsidRDefault="00A90E9C" w:rsidP="0072651A">
            <w:pPr>
              <w:spacing w:after="0" w:line="240" w:lineRule="auto"/>
              <w:jc w:val="center"/>
              <w:rPr>
                <w:rFonts w:ascii="Arial" w:eastAsia="Arial Narrow" w:hAnsi="Arial" w:cs="Arial"/>
                <w:b/>
                <w:sz w:val="20"/>
                <w:szCs w:val="20"/>
              </w:rPr>
            </w:pPr>
            <w:r w:rsidRPr="00846D49">
              <w:rPr>
                <w:rFonts w:ascii="Arial" w:eastAsia="Arial Narrow" w:hAnsi="Arial" w:cs="Arial"/>
                <w:b/>
                <w:sz w:val="20"/>
                <w:szCs w:val="20"/>
              </w:rPr>
              <w:t>Valor</w:t>
            </w:r>
          </w:p>
        </w:tc>
        <w:tc>
          <w:tcPr>
            <w:tcW w:w="850" w:type="dxa"/>
            <w:shd w:val="clear" w:color="auto" w:fill="auto"/>
            <w:tcMar>
              <w:top w:w="10" w:type="dxa"/>
              <w:left w:w="10" w:type="dxa"/>
              <w:bottom w:w="0" w:type="dxa"/>
              <w:right w:w="10" w:type="dxa"/>
            </w:tcMar>
            <w:vAlign w:val="center"/>
          </w:tcPr>
          <w:p w14:paraId="4BDC003B" w14:textId="0090127D" w:rsidR="00A90E9C" w:rsidRPr="00846D49" w:rsidRDefault="00D84D43" w:rsidP="0072651A">
            <w:pPr>
              <w:spacing w:after="0" w:line="240" w:lineRule="auto"/>
              <w:jc w:val="center"/>
              <w:rPr>
                <w:rFonts w:ascii="Arial" w:eastAsia="Arial Narrow" w:hAnsi="Arial" w:cs="Arial"/>
                <w:sz w:val="20"/>
                <w:szCs w:val="20"/>
              </w:rPr>
            </w:pPr>
            <w:r w:rsidRPr="00846D49">
              <w:rPr>
                <w:rFonts w:ascii="Arial" w:eastAsia="Arial Narrow" w:hAnsi="Arial" w:cs="Arial"/>
                <w:sz w:val="20"/>
                <w:szCs w:val="20"/>
              </w:rPr>
              <w:t>40%</w:t>
            </w:r>
          </w:p>
        </w:tc>
        <w:tc>
          <w:tcPr>
            <w:tcW w:w="709" w:type="dxa"/>
            <w:gridSpan w:val="2"/>
            <w:shd w:val="clear" w:color="auto" w:fill="auto"/>
            <w:tcMar>
              <w:top w:w="10" w:type="dxa"/>
              <w:left w:w="10" w:type="dxa"/>
              <w:bottom w:w="0" w:type="dxa"/>
              <w:right w:w="10" w:type="dxa"/>
            </w:tcMar>
            <w:vAlign w:val="bottom"/>
          </w:tcPr>
          <w:p w14:paraId="5201C61A" w14:textId="77777777" w:rsidR="00A90E9C" w:rsidRPr="00846D49" w:rsidRDefault="00A90E9C" w:rsidP="0072651A">
            <w:pPr>
              <w:spacing w:after="0" w:line="240" w:lineRule="auto"/>
              <w:jc w:val="center"/>
              <w:rPr>
                <w:rFonts w:ascii="Arial" w:eastAsia="Arial Narrow" w:hAnsi="Arial" w:cs="Arial"/>
                <w:sz w:val="20"/>
                <w:szCs w:val="20"/>
              </w:rPr>
            </w:pPr>
            <w:r w:rsidRPr="00846D49">
              <w:rPr>
                <w:rFonts w:ascii="Arial" w:eastAsia="Arial Narrow" w:hAnsi="Arial" w:cs="Arial"/>
                <w:sz w:val="20"/>
                <w:szCs w:val="20"/>
              </w:rPr>
              <w:t>40%</w:t>
            </w:r>
          </w:p>
        </w:tc>
        <w:tc>
          <w:tcPr>
            <w:tcW w:w="850" w:type="dxa"/>
            <w:shd w:val="clear" w:color="auto" w:fill="auto"/>
            <w:vAlign w:val="bottom"/>
          </w:tcPr>
          <w:p w14:paraId="2919B827" w14:textId="77777777" w:rsidR="00A90E9C" w:rsidRPr="00846D49" w:rsidRDefault="00A90E9C" w:rsidP="0072651A">
            <w:pPr>
              <w:spacing w:after="0" w:line="240" w:lineRule="auto"/>
              <w:jc w:val="center"/>
              <w:rPr>
                <w:rFonts w:ascii="Arial" w:eastAsia="Arial Narrow" w:hAnsi="Arial" w:cs="Arial"/>
                <w:sz w:val="20"/>
                <w:szCs w:val="20"/>
              </w:rPr>
            </w:pPr>
            <w:r w:rsidRPr="00846D49">
              <w:rPr>
                <w:rFonts w:ascii="Arial" w:eastAsia="Arial Narrow" w:hAnsi="Arial" w:cs="Arial"/>
                <w:sz w:val="20"/>
                <w:szCs w:val="20"/>
              </w:rPr>
              <w:t>50%</w:t>
            </w:r>
          </w:p>
        </w:tc>
        <w:tc>
          <w:tcPr>
            <w:tcW w:w="851" w:type="dxa"/>
            <w:gridSpan w:val="2"/>
            <w:shd w:val="clear" w:color="auto" w:fill="auto"/>
            <w:vAlign w:val="bottom"/>
          </w:tcPr>
          <w:p w14:paraId="5ABA6870" w14:textId="77777777" w:rsidR="00A90E9C" w:rsidRPr="00846D49" w:rsidRDefault="00A90E9C" w:rsidP="0072651A">
            <w:pPr>
              <w:spacing w:after="0" w:line="240" w:lineRule="auto"/>
              <w:jc w:val="center"/>
              <w:rPr>
                <w:rFonts w:ascii="Arial" w:eastAsia="Arial Narrow" w:hAnsi="Arial" w:cs="Arial"/>
                <w:sz w:val="20"/>
                <w:szCs w:val="20"/>
              </w:rPr>
            </w:pPr>
            <w:r w:rsidRPr="00846D49">
              <w:rPr>
                <w:rFonts w:ascii="Arial" w:eastAsia="Arial Narrow" w:hAnsi="Arial" w:cs="Arial"/>
                <w:sz w:val="20"/>
                <w:szCs w:val="20"/>
              </w:rPr>
              <w:t>50%</w:t>
            </w:r>
          </w:p>
        </w:tc>
        <w:tc>
          <w:tcPr>
            <w:tcW w:w="850" w:type="dxa"/>
            <w:shd w:val="clear" w:color="auto" w:fill="auto"/>
            <w:vAlign w:val="bottom"/>
          </w:tcPr>
          <w:p w14:paraId="3C457A56" w14:textId="77777777" w:rsidR="00A90E9C" w:rsidRPr="00846D49" w:rsidRDefault="00A90E9C" w:rsidP="0072651A">
            <w:pPr>
              <w:spacing w:after="0" w:line="240" w:lineRule="auto"/>
              <w:jc w:val="center"/>
              <w:rPr>
                <w:rFonts w:ascii="Arial" w:eastAsia="Arial Narrow" w:hAnsi="Arial" w:cs="Arial"/>
                <w:sz w:val="20"/>
                <w:szCs w:val="20"/>
              </w:rPr>
            </w:pPr>
            <w:r w:rsidRPr="00846D49">
              <w:rPr>
                <w:rFonts w:ascii="Arial" w:eastAsia="Arial Narrow" w:hAnsi="Arial" w:cs="Arial"/>
                <w:sz w:val="20"/>
                <w:szCs w:val="20"/>
              </w:rPr>
              <w:t>60%</w:t>
            </w:r>
          </w:p>
        </w:tc>
        <w:tc>
          <w:tcPr>
            <w:tcW w:w="851" w:type="dxa"/>
            <w:shd w:val="clear" w:color="auto" w:fill="auto"/>
            <w:vAlign w:val="bottom"/>
          </w:tcPr>
          <w:p w14:paraId="5073136D" w14:textId="77777777" w:rsidR="00A90E9C" w:rsidRPr="00846D49" w:rsidRDefault="00A90E9C" w:rsidP="0072651A">
            <w:pPr>
              <w:spacing w:after="0" w:line="240" w:lineRule="auto"/>
              <w:jc w:val="center"/>
              <w:rPr>
                <w:rFonts w:ascii="Arial" w:eastAsia="Arial Narrow" w:hAnsi="Arial" w:cs="Arial"/>
                <w:sz w:val="20"/>
                <w:szCs w:val="20"/>
              </w:rPr>
            </w:pPr>
            <w:r w:rsidRPr="00846D49">
              <w:rPr>
                <w:rFonts w:ascii="Arial" w:eastAsia="Arial Narrow" w:hAnsi="Arial" w:cs="Arial"/>
                <w:sz w:val="20"/>
                <w:szCs w:val="20"/>
              </w:rPr>
              <w:t>70%</w:t>
            </w:r>
          </w:p>
        </w:tc>
        <w:tc>
          <w:tcPr>
            <w:tcW w:w="850" w:type="dxa"/>
            <w:shd w:val="clear" w:color="auto" w:fill="auto"/>
            <w:vAlign w:val="bottom"/>
          </w:tcPr>
          <w:p w14:paraId="69BD22CC" w14:textId="77777777" w:rsidR="00A90E9C" w:rsidRPr="00846D49" w:rsidRDefault="00A90E9C" w:rsidP="0072651A">
            <w:pPr>
              <w:spacing w:after="0" w:line="240" w:lineRule="auto"/>
              <w:jc w:val="center"/>
              <w:rPr>
                <w:rFonts w:ascii="Arial" w:eastAsia="Arial Narrow" w:hAnsi="Arial" w:cs="Arial"/>
                <w:sz w:val="20"/>
                <w:szCs w:val="20"/>
              </w:rPr>
            </w:pPr>
            <w:r w:rsidRPr="00846D49">
              <w:rPr>
                <w:rFonts w:ascii="Arial" w:eastAsia="Arial Narrow" w:hAnsi="Arial" w:cs="Arial"/>
                <w:sz w:val="20"/>
                <w:szCs w:val="20"/>
              </w:rPr>
              <w:t>80%</w:t>
            </w:r>
          </w:p>
        </w:tc>
        <w:tc>
          <w:tcPr>
            <w:tcW w:w="993" w:type="dxa"/>
            <w:gridSpan w:val="2"/>
            <w:shd w:val="clear" w:color="auto" w:fill="auto"/>
            <w:vAlign w:val="bottom"/>
          </w:tcPr>
          <w:p w14:paraId="17ECE306" w14:textId="77777777" w:rsidR="00A90E9C" w:rsidRPr="00846D49" w:rsidRDefault="00A90E9C" w:rsidP="0072651A">
            <w:pPr>
              <w:spacing w:after="0" w:line="240" w:lineRule="auto"/>
              <w:jc w:val="center"/>
              <w:rPr>
                <w:rFonts w:ascii="Arial" w:eastAsia="Arial Narrow" w:hAnsi="Arial" w:cs="Arial"/>
                <w:sz w:val="20"/>
                <w:szCs w:val="20"/>
              </w:rPr>
            </w:pPr>
            <w:r w:rsidRPr="00846D49">
              <w:rPr>
                <w:rFonts w:ascii="Arial" w:eastAsia="Arial Narrow" w:hAnsi="Arial" w:cs="Arial"/>
                <w:sz w:val="20"/>
                <w:szCs w:val="20"/>
              </w:rPr>
              <w:t>90%</w:t>
            </w:r>
          </w:p>
        </w:tc>
        <w:tc>
          <w:tcPr>
            <w:tcW w:w="850" w:type="dxa"/>
            <w:shd w:val="clear" w:color="auto" w:fill="auto"/>
            <w:vAlign w:val="bottom"/>
          </w:tcPr>
          <w:p w14:paraId="75CE1AC5" w14:textId="77777777" w:rsidR="00A90E9C" w:rsidRPr="00846D49" w:rsidRDefault="00A90E9C" w:rsidP="0072651A">
            <w:pPr>
              <w:spacing w:after="0" w:line="240" w:lineRule="auto"/>
              <w:jc w:val="center"/>
              <w:rPr>
                <w:rFonts w:ascii="Arial" w:eastAsia="Arial Narrow" w:hAnsi="Arial" w:cs="Arial"/>
                <w:sz w:val="20"/>
                <w:szCs w:val="20"/>
              </w:rPr>
            </w:pPr>
            <w:r w:rsidRPr="00846D49">
              <w:rPr>
                <w:rFonts w:ascii="Arial" w:eastAsia="Arial Narrow" w:hAnsi="Arial" w:cs="Arial"/>
                <w:sz w:val="20"/>
                <w:szCs w:val="20"/>
              </w:rPr>
              <w:t>100%</w:t>
            </w:r>
          </w:p>
        </w:tc>
      </w:tr>
    </w:tbl>
    <w:p w14:paraId="53658018" w14:textId="77777777" w:rsidR="00A90E9C" w:rsidRPr="00846D49" w:rsidRDefault="00A90E9C" w:rsidP="00A90E9C"/>
    <w:p w14:paraId="77EFFA33" w14:textId="77777777" w:rsidR="00A90E9C" w:rsidRPr="00846D49" w:rsidRDefault="00A90E9C" w:rsidP="00A90E9C"/>
    <w:tbl>
      <w:tblPr>
        <w:tblW w:w="864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
        <w:gridCol w:w="850"/>
        <w:gridCol w:w="585"/>
        <w:gridCol w:w="124"/>
        <w:gridCol w:w="851"/>
        <w:gridCol w:w="708"/>
        <w:gridCol w:w="284"/>
        <w:gridCol w:w="992"/>
        <w:gridCol w:w="851"/>
        <w:gridCol w:w="850"/>
        <w:gridCol w:w="15"/>
        <w:gridCol w:w="836"/>
        <w:gridCol w:w="850"/>
      </w:tblGrid>
      <w:tr w:rsidR="00846D49" w:rsidRPr="00846D49" w14:paraId="226D07FF" w14:textId="77777777" w:rsidTr="00142E25">
        <w:trPr>
          <w:trHeight w:val="251"/>
        </w:trPr>
        <w:tc>
          <w:tcPr>
            <w:tcW w:w="8647" w:type="dxa"/>
            <w:gridSpan w:val="13"/>
            <w:shd w:val="clear" w:color="auto" w:fill="D9D9D9" w:themeFill="background1" w:themeFillShade="D9"/>
            <w:tcMar>
              <w:top w:w="10" w:type="dxa"/>
              <w:left w:w="10" w:type="dxa"/>
              <w:bottom w:w="0" w:type="dxa"/>
              <w:right w:w="10" w:type="dxa"/>
            </w:tcMar>
            <w:vAlign w:val="center"/>
          </w:tcPr>
          <w:p w14:paraId="3DF95CE1" w14:textId="5BF2E66D" w:rsidR="00A90E9C" w:rsidRPr="00846D49" w:rsidRDefault="00A90E9C" w:rsidP="0072651A">
            <w:pPr>
              <w:jc w:val="center"/>
              <w:rPr>
                <w:rFonts w:ascii="Arial" w:hAnsi="Arial" w:cs="Arial"/>
                <w:sz w:val="20"/>
                <w:szCs w:val="20"/>
              </w:rPr>
            </w:pPr>
            <w:r w:rsidRPr="00846D49">
              <w:rPr>
                <w:rFonts w:ascii="Arial" w:hAnsi="Arial" w:cs="Arial"/>
                <w:sz w:val="20"/>
                <w:szCs w:val="20"/>
              </w:rPr>
              <w:br w:type="page"/>
            </w:r>
            <w:r w:rsidRPr="00846D49">
              <w:rPr>
                <w:rFonts w:ascii="Arial" w:hAnsi="Arial" w:cs="Arial"/>
                <w:b/>
                <w:sz w:val="20"/>
                <w:szCs w:val="20"/>
              </w:rPr>
              <w:t>FICHA TÉCNICA DE INDICADOR DE SERVICIO 1.7.2</w:t>
            </w:r>
            <w:r w:rsidR="00BD1985" w:rsidRPr="00846D49">
              <w:rPr>
                <w:rFonts w:ascii="Arial" w:hAnsi="Arial" w:cs="Arial"/>
                <w:b/>
                <w:sz w:val="20"/>
                <w:szCs w:val="20"/>
              </w:rPr>
              <w:t xml:space="preserve"> - CALIDAD</w:t>
            </w:r>
          </w:p>
        </w:tc>
      </w:tr>
      <w:tr w:rsidR="00846D49" w:rsidRPr="00846D49" w14:paraId="63D55BAC" w14:textId="77777777" w:rsidTr="00142E25">
        <w:trPr>
          <w:trHeight w:val="409"/>
        </w:trPr>
        <w:tc>
          <w:tcPr>
            <w:tcW w:w="2286" w:type="dxa"/>
            <w:gridSpan w:val="3"/>
            <w:shd w:val="clear" w:color="auto" w:fill="FFFFFF"/>
            <w:tcMar>
              <w:top w:w="10" w:type="dxa"/>
              <w:left w:w="93" w:type="dxa"/>
              <w:bottom w:w="0" w:type="dxa"/>
              <w:right w:w="10" w:type="dxa"/>
            </w:tcMar>
            <w:vAlign w:val="center"/>
          </w:tcPr>
          <w:p w14:paraId="4BD87676" w14:textId="77777777" w:rsidR="00A90E9C" w:rsidRPr="00846D49" w:rsidRDefault="00A90E9C" w:rsidP="0072651A">
            <w:pPr>
              <w:rPr>
                <w:rFonts w:ascii="Arial" w:hAnsi="Arial" w:cs="Arial"/>
                <w:sz w:val="20"/>
                <w:szCs w:val="20"/>
              </w:rPr>
            </w:pPr>
            <w:r w:rsidRPr="00846D49">
              <w:rPr>
                <w:rFonts w:ascii="Arial" w:hAnsi="Arial" w:cs="Arial"/>
                <w:b/>
                <w:sz w:val="20"/>
                <w:szCs w:val="20"/>
              </w:rPr>
              <w:t>Objetivo prioritario:</w:t>
            </w:r>
          </w:p>
        </w:tc>
        <w:tc>
          <w:tcPr>
            <w:tcW w:w="6361" w:type="dxa"/>
            <w:gridSpan w:val="10"/>
            <w:shd w:val="clear" w:color="auto" w:fill="FFFFFF"/>
            <w:tcMar>
              <w:top w:w="51" w:type="dxa"/>
              <w:left w:w="227" w:type="dxa"/>
              <w:bottom w:w="51" w:type="dxa"/>
              <w:right w:w="227" w:type="dxa"/>
            </w:tcMar>
            <w:vAlign w:val="center"/>
          </w:tcPr>
          <w:p w14:paraId="4A4568E1" w14:textId="77777777" w:rsidR="00A90E9C" w:rsidRPr="00846D49" w:rsidRDefault="00A90E9C" w:rsidP="0072651A">
            <w:pPr>
              <w:spacing w:after="0" w:line="240" w:lineRule="auto"/>
              <w:jc w:val="both"/>
              <w:rPr>
                <w:rFonts w:ascii="Arial" w:hAnsi="Arial" w:cs="Arial"/>
                <w:sz w:val="20"/>
                <w:szCs w:val="20"/>
              </w:rPr>
            </w:pPr>
            <w:r w:rsidRPr="00846D49">
              <w:rPr>
                <w:rFonts w:ascii="Arial" w:eastAsia="Times New Roman" w:hAnsi="Arial" w:cs="Arial"/>
                <w:sz w:val="20"/>
                <w:szCs w:val="20"/>
              </w:rPr>
              <w:t xml:space="preserve">OP1 </w:t>
            </w:r>
            <w:r w:rsidRPr="00846D49">
              <w:rPr>
                <w:rFonts w:ascii="Arial" w:eastAsia="Arial Narrow" w:hAnsi="Arial" w:cs="Arial"/>
                <w:sz w:val="20"/>
                <w:szCs w:val="20"/>
              </w:rPr>
              <w:t xml:space="preserve">Mejorar las condiciones para la sostenibilidad de los ecosistemas forestales, otros ecosistemas de vegetación silvestre y de la fauna silvestre  </w:t>
            </w:r>
          </w:p>
        </w:tc>
      </w:tr>
      <w:tr w:rsidR="00846D49" w:rsidRPr="00846D49" w14:paraId="18A8612C" w14:textId="77777777" w:rsidTr="00142E25">
        <w:trPr>
          <w:trHeight w:val="436"/>
        </w:trPr>
        <w:tc>
          <w:tcPr>
            <w:tcW w:w="2286" w:type="dxa"/>
            <w:gridSpan w:val="3"/>
            <w:shd w:val="clear" w:color="auto" w:fill="auto"/>
            <w:tcMar>
              <w:top w:w="10" w:type="dxa"/>
              <w:left w:w="93" w:type="dxa"/>
              <w:bottom w:w="0" w:type="dxa"/>
              <w:right w:w="10" w:type="dxa"/>
            </w:tcMar>
            <w:vAlign w:val="center"/>
          </w:tcPr>
          <w:p w14:paraId="0B2AD0D2" w14:textId="77777777" w:rsidR="00A90E9C" w:rsidRPr="00846D49" w:rsidRDefault="00A90E9C" w:rsidP="0072651A">
            <w:pPr>
              <w:rPr>
                <w:rFonts w:ascii="Arial" w:hAnsi="Arial" w:cs="Arial"/>
                <w:sz w:val="20"/>
                <w:szCs w:val="20"/>
              </w:rPr>
            </w:pPr>
            <w:r w:rsidRPr="00846D49">
              <w:rPr>
                <w:rFonts w:ascii="Arial" w:hAnsi="Arial" w:cs="Arial"/>
                <w:b/>
                <w:sz w:val="20"/>
                <w:szCs w:val="20"/>
              </w:rPr>
              <w:t>Lineamiento de la política:</w:t>
            </w:r>
          </w:p>
        </w:tc>
        <w:tc>
          <w:tcPr>
            <w:tcW w:w="6361" w:type="dxa"/>
            <w:gridSpan w:val="10"/>
            <w:shd w:val="clear" w:color="auto" w:fill="auto"/>
            <w:tcMar>
              <w:top w:w="51" w:type="dxa"/>
              <w:left w:w="227" w:type="dxa"/>
              <w:bottom w:w="51" w:type="dxa"/>
              <w:right w:w="227" w:type="dxa"/>
            </w:tcMar>
            <w:vAlign w:val="center"/>
          </w:tcPr>
          <w:p w14:paraId="0499BB05" w14:textId="77777777" w:rsidR="00A90E9C" w:rsidRPr="00846D49" w:rsidRDefault="00A90E9C" w:rsidP="0087293E">
            <w:pPr>
              <w:spacing w:after="0" w:line="240" w:lineRule="auto"/>
              <w:jc w:val="both"/>
              <w:rPr>
                <w:rFonts w:ascii="Arial" w:hAnsi="Arial" w:cs="Arial"/>
                <w:sz w:val="20"/>
                <w:szCs w:val="20"/>
              </w:rPr>
            </w:pPr>
            <w:r w:rsidRPr="00846D49">
              <w:rPr>
                <w:rFonts w:ascii="Arial" w:eastAsia="Times New Roman" w:hAnsi="Arial" w:cs="Arial"/>
                <w:sz w:val="20"/>
                <w:szCs w:val="20"/>
              </w:rPr>
              <w:t>L1.7 Fomentar la conservación y aprovechamiento sostenible de la vicuña como una prioridad estratégica para el desarrollo sostenible de las poblaciones altoandinas.</w:t>
            </w:r>
          </w:p>
        </w:tc>
      </w:tr>
      <w:tr w:rsidR="00846D49" w:rsidRPr="00846D49" w14:paraId="349A0C06" w14:textId="77777777" w:rsidTr="00142E25">
        <w:trPr>
          <w:trHeight w:val="404"/>
        </w:trPr>
        <w:tc>
          <w:tcPr>
            <w:tcW w:w="2286" w:type="dxa"/>
            <w:gridSpan w:val="3"/>
            <w:shd w:val="clear" w:color="auto" w:fill="auto"/>
            <w:tcMar>
              <w:top w:w="10" w:type="dxa"/>
              <w:left w:w="93" w:type="dxa"/>
              <w:bottom w:w="0" w:type="dxa"/>
              <w:right w:w="10" w:type="dxa"/>
            </w:tcMar>
            <w:vAlign w:val="center"/>
          </w:tcPr>
          <w:p w14:paraId="0EA48ADC" w14:textId="77777777" w:rsidR="00A90E9C" w:rsidRPr="00846D49" w:rsidRDefault="00A90E9C" w:rsidP="0072651A">
            <w:pPr>
              <w:rPr>
                <w:rFonts w:ascii="Arial" w:hAnsi="Arial" w:cs="Arial"/>
                <w:sz w:val="20"/>
                <w:szCs w:val="20"/>
              </w:rPr>
            </w:pPr>
            <w:r w:rsidRPr="00846D49">
              <w:rPr>
                <w:rFonts w:ascii="Arial" w:hAnsi="Arial" w:cs="Arial"/>
                <w:b/>
                <w:sz w:val="20"/>
                <w:szCs w:val="20"/>
              </w:rPr>
              <w:t>Nombre del servicio:</w:t>
            </w:r>
          </w:p>
        </w:tc>
        <w:tc>
          <w:tcPr>
            <w:tcW w:w="6361" w:type="dxa"/>
            <w:gridSpan w:val="10"/>
            <w:shd w:val="clear" w:color="auto" w:fill="auto"/>
            <w:tcMar>
              <w:top w:w="51" w:type="dxa"/>
              <w:left w:w="227" w:type="dxa"/>
              <w:bottom w:w="51" w:type="dxa"/>
              <w:right w:w="227" w:type="dxa"/>
            </w:tcMar>
            <w:vAlign w:val="center"/>
          </w:tcPr>
          <w:p w14:paraId="596FE466" w14:textId="261AFF19" w:rsidR="00A90E9C" w:rsidRPr="00846D49" w:rsidRDefault="00A90E9C" w:rsidP="0087293E">
            <w:pPr>
              <w:spacing w:after="0" w:line="240" w:lineRule="auto"/>
              <w:jc w:val="both"/>
              <w:rPr>
                <w:rFonts w:ascii="Arial" w:hAnsi="Arial" w:cs="Arial"/>
                <w:sz w:val="20"/>
                <w:szCs w:val="20"/>
              </w:rPr>
            </w:pPr>
            <w:r w:rsidRPr="00846D49">
              <w:rPr>
                <w:rFonts w:ascii="Arial" w:hAnsi="Arial" w:cs="Arial"/>
                <w:sz w:val="20"/>
                <w:szCs w:val="20"/>
              </w:rPr>
              <w:t xml:space="preserve">S1.7.2 </w:t>
            </w:r>
            <w:r w:rsidR="003C5B2C" w:rsidRPr="00846D49">
              <w:rPr>
                <w:rFonts w:ascii="Arial" w:hAnsi="Arial" w:cs="Arial"/>
                <w:sz w:val="20"/>
                <w:szCs w:val="20"/>
              </w:rPr>
              <w:t>Promoción de la oferta exportable de prendas de vestir, accesorios y textiles del hogar confeccionados con fibra de vicuña de forma oportuna para beneficio de las empresas comercializadoras de productos de fibra de vicuña</w:t>
            </w:r>
            <w:r w:rsidR="001B2BAB" w:rsidRPr="00846D49">
              <w:rPr>
                <w:rFonts w:ascii="Arial" w:hAnsi="Arial" w:cs="Arial"/>
                <w:sz w:val="20"/>
                <w:szCs w:val="20"/>
              </w:rPr>
              <w:t>.</w:t>
            </w:r>
          </w:p>
        </w:tc>
      </w:tr>
      <w:tr w:rsidR="00846D49" w:rsidRPr="00846D49" w14:paraId="02E14F42" w14:textId="77777777" w:rsidTr="00142E25">
        <w:trPr>
          <w:trHeight w:val="577"/>
        </w:trPr>
        <w:tc>
          <w:tcPr>
            <w:tcW w:w="2286" w:type="dxa"/>
            <w:gridSpan w:val="3"/>
            <w:shd w:val="clear" w:color="auto" w:fill="auto"/>
            <w:tcMar>
              <w:top w:w="10" w:type="dxa"/>
              <w:left w:w="93" w:type="dxa"/>
              <w:bottom w:w="0" w:type="dxa"/>
              <w:right w:w="10" w:type="dxa"/>
            </w:tcMar>
            <w:vAlign w:val="center"/>
          </w:tcPr>
          <w:p w14:paraId="14CC1C65" w14:textId="77777777" w:rsidR="00A90E9C" w:rsidRPr="00846D49" w:rsidRDefault="00A90E9C" w:rsidP="0072651A">
            <w:pPr>
              <w:rPr>
                <w:rFonts w:ascii="Arial" w:hAnsi="Arial" w:cs="Arial"/>
                <w:sz w:val="20"/>
                <w:szCs w:val="20"/>
              </w:rPr>
            </w:pPr>
            <w:r w:rsidRPr="00846D49">
              <w:rPr>
                <w:rFonts w:ascii="Arial" w:hAnsi="Arial" w:cs="Arial"/>
                <w:b/>
                <w:sz w:val="20"/>
                <w:szCs w:val="20"/>
              </w:rPr>
              <w:t>Nombre del indicador:</w:t>
            </w:r>
          </w:p>
        </w:tc>
        <w:tc>
          <w:tcPr>
            <w:tcW w:w="6361" w:type="dxa"/>
            <w:gridSpan w:val="10"/>
            <w:shd w:val="clear" w:color="auto" w:fill="auto"/>
            <w:tcMar>
              <w:top w:w="51" w:type="dxa"/>
              <w:left w:w="227" w:type="dxa"/>
              <w:bottom w:w="51" w:type="dxa"/>
              <w:right w:w="227" w:type="dxa"/>
            </w:tcMar>
            <w:vAlign w:val="center"/>
          </w:tcPr>
          <w:p w14:paraId="756A1CD7" w14:textId="6779A7CF" w:rsidR="00A90E9C" w:rsidRPr="00846D49" w:rsidRDefault="003C5B2C" w:rsidP="0087293E">
            <w:pPr>
              <w:pStyle w:val="pf0"/>
              <w:jc w:val="both"/>
              <w:rPr>
                <w:rFonts w:ascii="Arial" w:eastAsia="Arial Narrow" w:hAnsi="Arial" w:cs="Arial"/>
                <w:sz w:val="20"/>
                <w:szCs w:val="20"/>
              </w:rPr>
            </w:pPr>
            <w:r w:rsidRPr="00846D49">
              <w:rPr>
                <w:rFonts w:ascii="Arial" w:hAnsi="Arial" w:cs="Arial"/>
                <w:sz w:val="20"/>
                <w:szCs w:val="20"/>
              </w:rPr>
              <w:t>Número de empresas con oferta exportable de prendas de vestir, accesorios y textiles del hogar confeccionados con fibra de vicuña que participan de forma oportuna en actividades de promoción comercial</w:t>
            </w:r>
          </w:p>
        </w:tc>
      </w:tr>
      <w:tr w:rsidR="00846D49" w:rsidRPr="00846D49" w14:paraId="0691AE36" w14:textId="77777777" w:rsidTr="00142E25">
        <w:trPr>
          <w:trHeight w:val="577"/>
        </w:trPr>
        <w:tc>
          <w:tcPr>
            <w:tcW w:w="2286" w:type="dxa"/>
            <w:gridSpan w:val="3"/>
            <w:shd w:val="clear" w:color="auto" w:fill="auto"/>
            <w:tcMar>
              <w:top w:w="10" w:type="dxa"/>
              <w:left w:w="93" w:type="dxa"/>
              <w:bottom w:w="0" w:type="dxa"/>
              <w:right w:w="10" w:type="dxa"/>
            </w:tcMar>
            <w:vAlign w:val="center"/>
          </w:tcPr>
          <w:p w14:paraId="18AA40DD" w14:textId="77777777" w:rsidR="00A90E9C" w:rsidRPr="00846D49" w:rsidRDefault="00A90E9C" w:rsidP="0072651A">
            <w:pPr>
              <w:rPr>
                <w:rFonts w:ascii="Arial" w:hAnsi="Arial" w:cs="Arial"/>
                <w:sz w:val="20"/>
                <w:szCs w:val="20"/>
              </w:rPr>
            </w:pPr>
            <w:r w:rsidRPr="00846D49">
              <w:rPr>
                <w:rFonts w:ascii="Arial" w:hAnsi="Arial" w:cs="Arial"/>
                <w:b/>
                <w:sz w:val="20"/>
                <w:szCs w:val="20"/>
              </w:rPr>
              <w:t>Justificación:</w:t>
            </w:r>
          </w:p>
        </w:tc>
        <w:tc>
          <w:tcPr>
            <w:tcW w:w="6361" w:type="dxa"/>
            <w:gridSpan w:val="10"/>
            <w:shd w:val="clear" w:color="auto" w:fill="auto"/>
            <w:tcMar>
              <w:top w:w="51" w:type="dxa"/>
              <w:left w:w="227" w:type="dxa"/>
              <w:bottom w:w="51" w:type="dxa"/>
              <w:right w:w="227" w:type="dxa"/>
            </w:tcMar>
            <w:vAlign w:val="center"/>
          </w:tcPr>
          <w:p w14:paraId="19D7CAF4" w14:textId="62FEF863" w:rsidR="00A90E9C" w:rsidRPr="00846D49" w:rsidRDefault="00A90E9C" w:rsidP="00142E25">
            <w:pPr>
              <w:spacing w:after="0" w:line="240" w:lineRule="auto"/>
              <w:jc w:val="both"/>
              <w:rPr>
                <w:rFonts w:ascii="Arial" w:eastAsia="Arial Narrow" w:hAnsi="Arial" w:cs="Arial"/>
                <w:strike/>
                <w:sz w:val="20"/>
                <w:szCs w:val="20"/>
              </w:rPr>
            </w:pPr>
            <w:r w:rsidRPr="00846D49">
              <w:rPr>
                <w:rFonts w:ascii="Arial" w:eastAsia="Times New Roman" w:hAnsi="Arial" w:cs="Arial"/>
                <w:sz w:val="20"/>
                <w:szCs w:val="20"/>
              </w:rPr>
              <w:t xml:space="preserve">El indicador permite evidenciar el avance en la promoción oportuna de la oferta exportable </w:t>
            </w:r>
            <w:r w:rsidRPr="00846D49">
              <w:rPr>
                <w:rFonts w:ascii="Arial" w:hAnsi="Arial" w:cs="Arial"/>
                <w:sz w:val="20"/>
                <w:szCs w:val="20"/>
              </w:rPr>
              <w:t>de prendas de vestir, accesorios y textiles del hogar confeccionados con fibra de vicuña, lo que dará el impulso a la actividad económica.</w:t>
            </w:r>
          </w:p>
        </w:tc>
      </w:tr>
      <w:tr w:rsidR="00846D49" w:rsidRPr="00846D49" w14:paraId="77B8C015" w14:textId="77777777" w:rsidTr="00142E25">
        <w:trPr>
          <w:trHeight w:val="352"/>
        </w:trPr>
        <w:tc>
          <w:tcPr>
            <w:tcW w:w="2286" w:type="dxa"/>
            <w:gridSpan w:val="3"/>
            <w:shd w:val="clear" w:color="auto" w:fill="auto"/>
            <w:tcMar>
              <w:top w:w="10" w:type="dxa"/>
              <w:left w:w="93" w:type="dxa"/>
              <w:bottom w:w="0" w:type="dxa"/>
              <w:right w:w="10" w:type="dxa"/>
            </w:tcMar>
            <w:vAlign w:val="center"/>
          </w:tcPr>
          <w:p w14:paraId="1DD5109B" w14:textId="77777777" w:rsidR="00A90E9C" w:rsidRPr="00846D49" w:rsidRDefault="00A90E9C" w:rsidP="0072651A">
            <w:pPr>
              <w:rPr>
                <w:rFonts w:ascii="Arial" w:hAnsi="Arial" w:cs="Arial"/>
                <w:sz w:val="20"/>
                <w:szCs w:val="20"/>
              </w:rPr>
            </w:pPr>
            <w:r w:rsidRPr="00846D49">
              <w:rPr>
                <w:rFonts w:ascii="Arial" w:hAnsi="Arial" w:cs="Arial"/>
                <w:b/>
                <w:sz w:val="20"/>
                <w:szCs w:val="20"/>
              </w:rPr>
              <w:lastRenderedPageBreak/>
              <w:t>Responsable del indicador:</w:t>
            </w:r>
          </w:p>
        </w:tc>
        <w:tc>
          <w:tcPr>
            <w:tcW w:w="6361" w:type="dxa"/>
            <w:gridSpan w:val="10"/>
            <w:shd w:val="clear" w:color="auto" w:fill="auto"/>
            <w:tcMar>
              <w:top w:w="51" w:type="dxa"/>
              <w:left w:w="227" w:type="dxa"/>
              <w:bottom w:w="51" w:type="dxa"/>
              <w:right w:w="227" w:type="dxa"/>
            </w:tcMar>
            <w:vAlign w:val="center"/>
          </w:tcPr>
          <w:p w14:paraId="11EACCA0" w14:textId="05BAEFBD" w:rsidR="00A90E9C" w:rsidRPr="00846D49" w:rsidRDefault="00A90E9C" w:rsidP="0072651A">
            <w:pPr>
              <w:spacing w:after="0" w:line="240" w:lineRule="auto"/>
              <w:jc w:val="both"/>
              <w:rPr>
                <w:rFonts w:ascii="Arial" w:eastAsia="Arial Narrow" w:hAnsi="Arial" w:cs="Arial"/>
                <w:sz w:val="20"/>
                <w:szCs w:val="20"/>
              </w:rPr>
            </w:pPr>
            <w:r w:rsidRPr="00846D49">
              <w:rPr>
                <w:rFonts w:ascii="Arial" w:eastAsia="Times New Roman" w:hAnsi="Arial" w:cs="Arial"/>
                <w:sz w:val="20"/>
                <w:szCs w:val="20"/>
              </w:rPr>
              <w:t xml:space="preserve">Dirección de Promoción de las Exportaciones </w:t>
            </w:r>
            <w:r w:rsidR="000E0086" w:rsidRPr="00846D49">
              <w:rPr>
                <w:rFonts w:ascii="Arial" w:eastAsia="Times New Roman" w:hAnsi="Arial" w:cs="Arial"/>
                <w:sz w:val="20"/>
                <w:szCs w:val="20"/>
              </w:rPr>
              <w:t xml:space="preserve">de </w:t>
            </w:r>
            <w:r w:rsidR="000E0086" w:rsidRPr="00846D49">
              <w:t xml:space="preserve">la </w:t>
            </w:r>
            <w:r w:rsidR="000E0086" w:rsidRPr="00846D49">
              <w:rPr>
                <w:rFonts w:ascii="Arial" w:eastAsia="Times New Roman" w:hAnsi="Arial" w:cs="Arial"/>
                <w:sz w:val="20"/>
                <w:szCs w:val="20"/>
              </w:rPr>
              <w:t xml:space="preserve">Comisión de Promoción del Perú para la Exportación y el Turismo </w:t>
            </w:r>
            <w:r w:rsidRPr="00846D49">
              <w:rPr>
                <w:rFonts w:ascii="Arial" w:eastAsia="Times New Roman" w:hAnsi="Arial" w:cs="Arial"/>
                <w:sz w:val="20"/>
                <w:szCs w:val="20"/>
              </w:rPr>
              <w:t>- PROMPERU</w:t>
            </w:r>
          </w:p>
        </w:tc>
      </w:tr>
      <w:tr w:rsidR="00846D49" w:rsidRPr="00846D49" w14:paraId="495E91BA" w14:textId="77777777" w:rsidTr="00142E25">
        <w:trPr>
          <w:trHeight w:val="1072"/>
        </w:trPr>
        <w:tc>
          <w:tcPr>
            <w:tcW w:w="2286" w:type="dxa"/>
            <w:gridSpan w:val="3"/>
            <w:shd w:val="clear" w:color="auto" w:fill="auto"/>
            <w:tcMar>
              <w:top w:w="10" w:type="dxa"/>
              <w:left w:w="93" w:type="dxa"/>
              <w:bottom w:w="0" w:type="dxa"/>
              <w:right w:w="10" w:type="dxa"/>
            </w:tcMar>
            <w:vAlign w:val="center"/>
          </w:tcPr>
          <w:p w14:paraId="05ADDB0C" w14:textId="77777777" w:rsidR="00A90E9C" w:rsidRPr="00846D49" w:rsidRDefault="00A90E9C" w:rsidP="0072651A">
            <w:pPr>
              <w:rPr>
                <w:rFonts w:ascii="Arial" w:hAnsi="Arial" w:cs="Arial"/>
                <w:sz w:val="20"/>
                <w:szCs w:val="20"/>
              </w:rPr>
            </w:pPr>
            <w:r w:rsidRPr="00846D49">
              <w:rPr>
                <w:rFonts w:ascii="Arial" w:hAnsi="Arial" w:cs="Arial"/>
                <w:b/>
                <w:sz w:val="20"/>
                <w:szCs w:val="20"/>
              </w:rPr>
              <w:t>Limitaciones para la medición del indicador:</w:t>
            </w:r>
          </w:p>
        </w:tc>
        <w:tc>
          <w:tcPr>
            <w:tcW w:w="6361" w:type="dxa"/>
            <w:gridSpan w:val="10"/>
            <w:shd w:val="clear" w:color="auto" w:fill="auto"/>
            <w:tcMar>
              <w:top w:w="51" w:type="dxa"/>
              <w:left w:w="227" w:type="dxa"/>
              <w:bottom w:w="51" w:type="dxa"/>
              <w:right w:w="227" w:type="dxa"/>
            </w:tcMar>
            <w:vAlign w:val="center"/>
          </w:tcPr>
          <w:p w14:paraId="79B900BF" w14:textId="6E25A67F" w:rsidR="00A90E9C" w:rsidRPr="00846D49" w:rsidRDefault="00142E25" w:rsidP="0072651A">
            <w:pPr>
              <w:spacing w:after="0" w:line="240" w:lineRule="auto"/>
              <w:jc w:val="both"/>
              <w:rPr>
                <w:rFonts w:ascii="Arial" w:hAnsi="Arial" w:cs="Arial"/>
                <w:sz w:val="20"/>
                <w:szCs w:val="20"/>
              </w:rPr>
            </w:pPr>
            <w:r w:rsidRPr="00846D49">
              <w:rPr>
                <w:rFonts w:ascii="Arial" w:eastAsia="Times New Roman" w:hAnsi="Arial" w:cs="Arial"/>
                <w:sz w:val="20"/>
                <w:szCs w:val="20"/>
              </w:rPr>
              <w:t>El SERFOR</w:t>
            </w:r>
            <w:r w:rsidR="00A90E9C" w:rsidRPr="00846D49">
              <w:rPr>
                <w:rFonts w:ascii="Arial" w:eastAsia="Times New Roman" w:hAnsi="Arial" w:cs="Arial"/>
                <w:sz w:val="20"/>
                <w:szCs w:val="20"/>
              </w:rPr>
              <w:t xml:space="preserve"> debe proponer una base de datos con información suficiente para que</w:t>
            </w:r>
            <w:r w:rsidR="004F560F" w:rsidRPr="00846D49">
              <w:t xml:space="preserve"> la </w:t>
            </w:r>
            <w:r w:rsidR="004F560F" w:rsidRPr="00846D49">
              <w:rPr>
                <w:rFonts w:ascii="Arial" w:eastAsia="Times New Roman" w:hAnsi="Arial" w:cs="Arial"/>
                <w:sz w:val="20"/>
                <w:szCs w:val="20"/>
              </w:rPr>
              <w:t>Comisión de Promoción del Perú para la Exportación y el Turismo</w:t>
            </w:r>
            <w:r w:rsidR="00A90E9C" w:rsidRPr="00846D49">
              <w:rPr>
                <w:rFonts w:ascii="Arial" w:eastAsia="Times New Roman" w:hAnsi="Arial" w:cs="Arial"/>
                <w:sz w:val="20"/>
                <w:szCs w:val="20"/>
              </w:rPr>
              <w:t xml:space="preserve"> </w:t>
            </w:r>
            <w:r w:rsidR="004F560F" w:rsidRPr="00846D49">
              <w:rPr>
                <w:rFonts w:ascii="Arial" w:eastAsia="Times New Roman" w:hAnsi="Arial" w:cs="Arial"/>
                <w:sz w:val="20"/>
                <w:szCs w:val="20"/>
              </w:rPr>
              <w:t xml:space="preserve">- </w:t>
            </w:r>
            <w:r w:rsidR="00A90E9C" w:rsidRPr="00846D49">
              <w:rPr>
                <w:rFonts w:ascii="Arial" w:eastAsia="Times New Roman" w:hAnsi="Arial" w:cs="Arial"/>
                <w:sz w:val="20"/>
                <w:szCs w:val="20"/>
              </w:rPr>
              <w:t>PROMPERU realice las convocatorias para las empresas tanto para actividades de promoción comercial como ruta exportadora.</w:t>
            </w:r>
          </w:p>
        </w:tc>
      </w:tr>
      <w:tr w:rsidR="008A26D2" w:rsidRPr="008A26D2" w14:paraId="0C1DDFF1" w14:textId="77777777" w:rsidTr="00142E25">
        <w:trPr>
          <w:trHeight w:val="231"/>
        </w:trPr>
        <w:tc>
          <w:tcPr>
            <w:tcW w:w="2286" w:type="dxa"/>
            <w:gridSpan w:val="3"/>
            <w:shd w:val="clear" w:color="auto" w:fill="auto"/>
            <w:tcMar>
              <w:top w:w="10" w:type="dxa"/>
              <w:left w:w="93" w:type="dxa"/>
              <w:bottom w:w="0" w:type="dxa"/>
              <w:right w:w="10" w:type="dxa"/>
            </w:tcMar>
            <w:vAlign w:val="center"/>
          </w:tcPr>
          <w:p w14:paraId="4C096D9A" w14:textId="77777777" w:rsidR="00A90E9C" w:rsidRPr="008A26D2" w:rsidRDefault="00A90E9C" w:rsidP="0072651A">
            <w:pPr>
              <w:rPr>
                <w:rFonts w:ascii="Arial" w:hAnsi="Arial" w:cs="Arial"/>
                <w:sz w:val="20"/>
                <w:szCs w:val="20"/>
              </w:rPr>
            </w:pPr>
            <w:r w:rsidRPr="008A26D2">
              <w:rPr>
                <w:rFonts w:ascii="Arial" w:hAnsi="Arial" w:cs="Arial"/>
                <w:b/>
                <w:sz w:val="20"/>
                <w:szCs w:val="20"/>
              </w:rPr>
              <w:t xml:space="preserve">Método de cálculo: </w:t>
            </w:r>
          </w:p>
        </w:tc>
        <w:tc>
          <w:tcPr>
            <w:tcW w:w="6361" w:type="dxa"/>
            <w:gridSpan w:val="10"/>
            <w:shd w:val="clear" w:color="auto" w:fill="auto"/>
            <w:tcMar>
              <w:top w:w="51" w:type="dxa"/>
              <w:left w:w="227" w:type="dxa"/>
              <w:bottom w:w="51" w:type="dxa"/>
              <w:right w:w="227" w:type="dxa"/>
            </w:tcMar>
            <w:vAlign w:val="center"/>
          </w:tcPr>
          <w:p w14:paraId="20BE8F67" w14:textId="77777777" w:rsidR="00A90E9C" w:rsidRPr="008A26D2" w:rsidRDefault="00A90E9C" w:rsidP="0072651A">
            <w:pPr>
              <w:rPr>
                <w:rFonts w:ascii="Arial" w:eastAsia="Arial Narrow" w:hAnsi="Arial" w:cs="Arial"/>
                <w:b/>
                <w:sz w:val="20"/>
                <w:szCs w:val="20"/>
              </w:rPr>
            </w:pPr>
            <w:r w:rsidRPr="008A26D2">
              <w:rPr>
                <w:rFonts w:ascii="Arial" w:eastAsia="Arial Narrow" w:hAnsi="Arial" w:cs="Arial"/>
                <w:b/>
                <w:sz w:val="20"/>
                <w:szCs w:val="20"/>
              </w:rPr>
              <w:t>1. Fórmula:</w:t>
            </w:r>
          </w:p>
          <w:p w14:paraId="49902FD2" w14:textId="77777777" w:rsidR="00A90E9C" w:rsidRPr="008A26D2" w:rsidRDefault="00A90E9C" w:rsidP="0072651A">
            <w:pPr>
              <w:spacing w:after="0" w:line="240" w:lineRule="auto"/>
              <w:rPr>
                <w:rFonts w:ascii="Arial" w:eastAsia="Times New Roman" w:hAnsi="Arial" w:cs="Arial"/>
                <w:sz w:val="20"/>
                <w:szCs w:val="20"/>
              </w:rPr>
            </w:pPr>
            <w:r w:rsidRPr="008A26D2">
              <w:rPr>
                <w:rFonts w:ascii="Arial" w:hAnsi="Arial" w:cs="Arial"/>
                <w:sz w:val="20"/>
                <w:szCs w:val="20"/>
              </w:rPr>
              <w:t>NEOEVPAPC</w:t>
            </w:r>
          </w:p>
          <w:p w14:paraId="3B87571E" w14:textId="77777777" w:rsidR="00A90E9C" w:rsidRPr="008A26D2" w:rsidRDefault="00A90E9C" w:rsidP="0072651A">
            <w:pPr>
              <w:spacing w:after="0" w:line="240" w:lineRule="auto"/>
              <w:rPr>
                <w:rFonts w:ascii="Arial" w:eastAsia="Times New Roman" w:hAnsi="Arial" w:cs="Arial"/>
                <w:sz w:val="20"/>
                <w:szCs w:val="20"/>
              </w:rPr>
            </w:pPr>
          </w:p>
          <w:p w14:paraId="5225ECD8" w14:textId="77777777" w:rsidR="00A90E9C" w:rsidRPr="008A26D2" w:rsidRDefault="00A90E9C" w:rsidP="0087293E">
            <w:pPr>
              <w:spacing w:after="0" w:line="240" w:lineRule="auto"/>
              <w:jc w:val="both"/>
              <w:rPr>
                <w:rFonts w:ascii="Arial" w:eastAsia="Times New Roman" w:hAnsi="Arial" w:cs="Arial"/>
                <w:sz w:val="20"/>
                <w:szCs w:val="20"/>
              </w:rPr>
            </w:pPr>
            <w:r w:rsidRPr="008A26D2">
              <w:rPr>
                <w:rFonts w:ascii="Arial" w:eastAsia="Times New Roman" w:hAnsi="Arial" w:cs="Arial"/>
                <w:sz w:val="20"/>
                <w:szCs w:val="20"/>
              </w:rPr>
              <w:t>Donde:</w:t>
            </w:r>
          </w:p>
          <w:p w14:paraId="13FBF73C" w14:textId="77777777" w:rsidR="00A90E9C" w:rsidRPr="008A26D2" w:rsidRDefault="00A90E9C" w:rsidP="0087293E">
            <w:pPr>
              <w:spacing w:after="0" w:line="240" w:lineRule="auto"/>
              <w:jc w:val="both"/>
              <w:rPr>
                <w:rFonts w:ascii="Arial" w:eastAsia="Times New Roman" w:hAnsi="Arial" w:cs="Arial"/>
                <w:sz w:val="20"/>
                <w:szCs w:val="20"/>
              </w:rPr>
            </w:pPr>
          </w:p>
          <w:p w14:paraId="203A4C3C" w14:textId="77777777" w:rsidR="008E31A0" w:rsidRDefault="00A90E9C" w:rsidP="0087293E">
            <w:pPr>
              <w:spacing w:after="0" w:line="240" w:lineRule="auto"/>
              <w:jc w:val="both"/>
              <w:rPr>
                <w:rFonts w:ascii="Arial" w:eastAsia="Times New Roman" w:hAnsi="Arial" w:cs="Arial"/>
                <w:sz w:val="20"/>
                <w:szCs w:val="20"/>
              </w:rPr>
            </w:pPr>
            <w:r w:rsidRPr="008A26D2">
              <w:rPr>
                <w:rFonts w:ascii="Arial" w:hAnsi="Arial" w:cs="Arial"/>
                <w:sz w:val="20"/>
                <w:szCs w:val="20"/>
              </w:rPr>
              <w:t xml:space="preserve">NEOEVPAPC </w:t>
            </w:r>
            <w:r w:rsidRPr="008A26D2">
              <w:rPr>
                <w:rFonts w:ascii="Arial" w:eastAsia="Times New Roman" w:hAnsi="Arial" w:cs="Arial"/>
                <w:sz w:val="20"/>
                <w:szCs w:val="20"/>
              </w:rPr>
              <w:t>= Número de empresas con oferta exportable de prendas de vestir, accesorios y textiles del hogar confeccionados con fibra de vicuña que participan de forma oportuna en actividades de promoción comercial</w:t>
            </w:r>
            <w:r w:rsidR="008E31A0">
              <w:rPr>
                <w:rFonts w:ascii="Arial" w:eastAsia="Times New Roman" w:hAnsi="Arial" w:cs="Arial"/>
                <w:sz w:val="20"/>
                <w:szCs w:val="20"/>
              </w:rPr>
              <w:t>.</w:t>
            </w:r>
          </w:p>
          <w:p w14:paraId="07498AFA" w14:textId="5A214E0F" w:rsidR="008E31A0" w:rsidRDefault="008E31A0" w:rsidP="0087293E">
            <w:pPr>
              <w:spacing w:after="0" w:line="240" w:lineRule="auto"/>
              <w:jc w:val="both"/>
              <w:rPr>
                <w:rFonts w:ascii="Arial" w:eastAsia="Arial Narrow" w:hAnsi="Arial" w:cs="Arial"/>
                <w:b/>
                <w:sz w:val="20"/>
                <w:szCs w:val="20"/>
              </w:rPr>
            </w:pPr>
          </w:p>
          <w:p w14:paraId="44486754" w14:textId="28EC2B65" w:rsidR="00A90E9C" w:rsidRPr="008A26D2" w:rsidRDefault="00A90E9C" w:rsidP="0087293E">
            <w:pPr>
              <w:spacing w:after="0" w:line="240" w:lineRule="auto"/>
              <w:jc w:val="both"/>
              <w:rPr>
                <w:rFonts w:ascii="Arial" w:eastAsia="Times New Roman" w:hAnsi="Arial" w:cs="Arial"/>
                <w:sz w:val="20"/>
                <w:szCs w:val="20"/>
              </w:rPr>
            </w:pPr>
            <w:r w:rsidRPr="008A26D2">
              <w:rPr>
                <w:rFonts w:ascii="Arial" w:eastAsia="Arial Narrow" w:hAnsi="Arial" w:cs="Arial"/>
                <w:b/>
                <w:sz w:val="20"/>
                <w:szCs w:val="20"/>
              </w:rPr>
              <w:t>2. Especificaciones técnicas:</w:t>
            </w:r>
          </w:p>
          <w:p w14:paraId="28B0D3A4" w14:textId="77777777" w:rsidR="00A90E9C" w:rsidRPr="008A26D2" w:rsidRDefault="00A90E9C" w:rsidP="0087293E">
            <w:pPr>
              <w:spacing w:after="0" w:line="240" w:lineRule="auto"/>
              <w:jc w:val="both"/>
              <w:rPr>
                <w:rFonts w:ascii="Arial" w:hAnsi="Arial" w:cs="Arial"/>
                <w:sz w:val="20"/>
                <w:szCs w:val="20"/>
              </w:rPr>
            </w:pPr>
          </w:p>
          <w:p w14:paraId="22B3F10E" w14:textId="54D129B0" w:rsidR="00A90E9C" w:rsidRPr="008A26D2" w:rsidRDefault="008E31A0" w:rsidP="008E31A0">
            <w:pPr>
              <w:pBdr>
                <w:top w:val="nil"/>
                <w:left w:val="nil"/>
                <w:bottom w:val="nil"/>
                <w:right w:val="nil"/>
                <w:between w:val="nil"/>
              </w:pBdr>
              <w:spacing w:after="0" w:line="240" w:lineRule="auto"/>
              <w:jc w:val="both"/>
              <w:rPr>
                <w:rFonts w:ascii="Arial" w:hAnsi="Arial" w:cs="Arial"/>
                <w:sz w:val="20"/>
                <w:szCs w:val="20"/>
              </w:rPr>
            </w:pPr>
            <w:r>
              <w:rPr>
                <w:rFonts w:ascii="Arial" w:hAnsi="Arial" w:cs="Arial"/>
                <w:sz w:val="20"/>
                <w:szCs w:val="20"/>
              </w:rPr>
              <w:t xml:space="preserve">La variable </w:t>
            </w:r>
            <w:r w:rsidRPr="008A26D2">
              <w:rPr>
                <w:rFonts w:ascii="Arial" w:hAnsi="Arial" w:cs="Arial"/>
                <w:sz w:val="20"/>
                <w:szCs w:val="20"/>
              </w:rPr>
              <w:t xml:space="preserve">NEOEVPAPC </w:t>
            </w:r>
            <w:r>
              <w:rPr>
                <w:rFonts w:ascii="Arial" w:hAnsi="Arial" w:cs="Arial"/>
                <w:sz w:val="20"/>
                <w:szCs w:val="20"/>
              </w:rPr>
              <w:t xml:space="preserve">se determina </w:t>
            </w:r>
            <w:r w:rsidR="000E0086">
              <w:rPr>
                <w:rFonts w:ascii="Arial" w:hAnsi="Arial" w:cs="Arial"/>
                <w:sz w:val="20"/>
                <w:szCs w:val="20"/>
              </w:rPr>
              <w:t>en base a la cantidad</w:t>
            </w:r>
            <w:r>
              <w:rPr>
                <w:rFonts w:ascii="Arial" w:hAnsi="Arial" w:cs="Arial"/>
                <w:sz w:val="20"/>
                <w:szCs w:val="20"/>
              </w:rPr>
              <w:t xml:space="preserve"> </w:t>
            </w:r>
            <w:r w:rsidR="000E0086">
              <w:rPr>
                <w:rFonts w:ascii="Arial" w:hAnsi="Arial" w:cs="Arial"/>
                <w:sz w:val="20"/>
                <w:szCs w:val="20"/>
              </w:rPr>
              <w:t>de</w:t>
            </w:r>
            <w:r>
              <w:rPr>
                <w:rFonts w:ascii="Arial" w:hAnsi="Arial" w:cs="Arial"/>
                <w:sz w:val="20"/>
                <w:szCs w:val="20"/>
              </w:rPr>
              <w:t xml:space="preserve"> empresas que participan en </w:t>
            </w:r>
            <w:r w:rsidR="00A90E9C" w:rsidRPr="008A26D2">
              <w:rPr>
                <w:rFonts w:ascii="Arial" w:hAnsi="Arial" w:cs="Arial"/>
                <w:sz w:val="20"/>
                <w:szCs w:val="20"/>
              </w:rPr>
              <w:t xml:space="preserve">actividades de promoción comercial </w:t>
            </w:r>
            <w:r w:rsidR="006E6BDD">
              <w:rPr>
                <w:rFonts w:ascii="Arial" w:hAnsi="Arial" w:cs="Arial"/>
                <w:sz w:val="20"/>
                <w:szCs w:val="20"/>
              </w:rPr>
              <w:t xml:space="preserve">realizados </w:t>
            </w:r>
            <w:r w:rsidR="00A90E9C" w:rsidRPr="008A26D2">
              <w:rPr>
                <w:rFonts w:ascii="Arial" w:hAnsi="Arial" w:cs="Arial"/>
                <w:sz w:val="20"/>
                <w:szCs w:val="20"/>
              </w:rPr>
              <w:t>con anticipación, propiciando un encuentro comercial con la demanda representada por el comprador profesional de la línea de interés en cuestión. Asimismo, incorporando a las empresas con potencial exportador en prendas de vestir y accesorios confeccionados con fibra de vicuña a las plataformas de promoción comercial de Exportaciones de Promperú.</w:t>
            </w:r>
          </w:p>
          <w:p w14:paraId="6FD0BAC4" w14:textId="77777777" w:rsidR="006E6BDD" w:rsidRDefault="006E6BDD" w:rsidP="0072651A">
            <w:pPr>
              <w:spacing w:after="0" w:line="240" w:lineRule="auto"/>
              <w:jc w:val="both"/>
              <w:rPr>
                <w:rFonts w:ascii="Arial" w:eastAsia="Times New Roman" w:hAnsi="Arial" w:cs="Arial"/>
                <w:sz w:val="20"/>
                <w:szCs w:val="20"/>
              </w:rPr>
            </w:pPr>
          </w:p>
          <w:p w14:paraId="6C335B95" w14:textId="7248D999" w:rsidR="00A90E9C" w:rsidRPr="008A26D2" w:rsidRDefault="006E6BDD" w:rsidP="0072651A">
            <w:pPr>
              <w:spacing w:after="0" w:line="240" w:lineRule="auto"/>
              <w:jc w:val="both"/>
              <w:rPr>
                <w:rFonts w:ascii="Arial" w:eastAsia="Times New Roman" w:hAnsi="Arial" w:cs="Arial"/>
                <w:sz w:val="20"/>
                <w:szCs w:val="20"/>
              </w:rPr>
            </w:pPr>
            <w:r>
              <w:rPr>
                <w:rFonts w:ascii="Arial" w:eastAsia="Times New Roman" w:hAnsi="Arial" w:cs="Arial"/>
                <w:sz w:val="20"/>
                <w:szCs w:val="20"/>
              </w:rPr>
              <w:t>Las actividades de promoción comercial pueden ser:</w:t>
            </w:r>
          </w:p>
          <w:p w14:paraId="094D577F" w14:textId="65A6445A" w:rsidR="00A90E9C" w:rsidRPr="008A26D2" w:rsidRDefault="00A90E9C" w:rsidP="0072651A">
            <w:pPr>
              <w:spacing w:after="0" w:line="240" w:lineRule="auto"/>
              <w:jc w:val="both"/>
              <w:rPr>
                <w:rFonts w:ascii="Arial" w:eastAsia="Times New Roman" w:hAnsi="Arial" w:cs="Arial"/>
                <w:sz w:val="20"/>
                <w:szCs w:val="20"/>
              </w:rPr>
            </w:pPr>
            <w:r w:rsidRPr="008A26D2">
              <w:rPr>
                <w:rFonts w:ascii="Arial" w:eastAsia="Times New Roman" w:hAnsi="Arial" w:cs="Arial"/>
                <w:sz w:val="20"/>
                <w:szCs w:val="20"/>
              </w:rPr>
              <w:t>Las ferias internacionales</w:t>
            </w:r>
            <w:r w:rsidR="006E6BDD">
              <w:rPr>
                <w:rFonts w:ascii="Arial" w:eastAsia="Times New Roman" w:hAnsi="Arial" w:cs="Arial"/>
                <w:sz w:val="20"/>
                <w:szCs w:val="20"/>
              </w:rPr>
              <w:t xml:space="preserve">: </w:t>
            </w:r>
            <w:r w:rsidRPr="008A26D2">
              <w:rPr>
                <w:rFonts w:ascii="Arial" w:eastAsia="Times New Roman" w:hAnsi="Arial" w:cs="Arial"/>
                <w:sz w:val="20"/>
                <w:szCs w:val="20"/>
              </w:rPr>
              <w:t>son eventos con una duración determinada, que se lleva a cabo regularmente y en el cual una cantidad de expositores presentan una oferta principal de uno o varios sectores productivos o de servicios</w:t>
            </w:r>
          </w:p>
          <w:p w14:paraId="77225A0E" w14:textId="29277094" w:rsidR="00A90E9C" w:rsidRPr="008A26D2" w:rsidRDefault="00A90E9C" w:rsidP="0072651A">
            <w:pPr>
              <w:spacing w:after="0" w:line="240" w:lineRule="auto"/>
              <w:jc w:val="both"/>
              <w:rPr>
                <w:rFonts w:ascii="Arial" w:eastAsia="Times New Roman" w:hAnsi="Arial" w:cs="Arial"/>
                <w:sz w:val="20"/>
                <w:szCs w:val="20"/>
              </w:rPr>
            </w:pPr>
            <w:r w:rsidRPr="008A26D2">
              <w:rPr>
                <w:rFonts w:ascii="Arial" w:eastAsia="Times New Roman" w:hAnsi="Arial" w:cs="Arial"/>
                <w:sz w:val="20"/>
                <w:szCs w:val="20"/>
              </w:rPr>
              <w:t xml:space="preserve">Ruedas de negocio: mecanismo que permite el encuentro entre emprendedores, empresarios, inversores e instituciones que buscan lograr acuerdos para abrir oportunidades de compra o venta de servicios, productos o procesos. </w:t>
            </w:r>
          </w:p>
          <w:p w14:paraId="7BE5D0C1" w14:textId="77777777" w:rsidR="00A90E9C" w:rsidRPr="008A26D2" w:rsidRDefault="00A90E9C" w:rsidP="0072651A">
            <w:pPr>
              <w:spacing w:after="0" w:line="240" w:lineRule="auto"/>
              <w:jc w:val="both"/>
              <w:rPr>
                <w:rFonts w:ascii="Arial" w:eastAsia="Times New Roman" w:hAnsi="Arial" w:cs="Arial"/>
                <w:sz w:val="20"/>
                <w:szCs w:val="20"/>
              </w:rPr>
            </w:pPr>
          </w:p>
          <w:p w14:paraId="54A0FE11" w14:textId="09B04696" w:rsidR="00A90E9C" w:rsidRPr="008A26D2" w:rsidRDefault="00A90E9C" w:rsidP="0072651A">
            <w:pPr>
              <w:spacing w:after="0" w:line="240" w:lineRule="auto"/>
              <w:jc w:val="both"/>
              <w:rPr>
                <w:rFonts w:ascii="Arial" w:eastAsia="Times New Roman" w:hAnsi="Arial" w:cs="Arial"/>
                <w:sz w:val="20"/>
                <w:szCs w:val="20"/>
              </w:rPr>
            </w:pPr>
            <w:r w:rsidRPr="008A26D2">
              <w:rPr>
                <w:rFonts w:ascii="Arial" w:eastAsia="Times New Roman" w:hAnsi="Arial" w:cs="Arial"/>
                <w:sz w:val="20"/>
                <w:szCs w:val="20"/>
              </w:rPr>
              <w:t>La participación se mide por empresa única participante, pudiendo esta participar en una o varias actividades ofertadas por PROMPERU.</w:t>
            </w:r>
          </w:p>
          <w:p w14:paraId="3F3FC2B8" w14:textId="77777777" w:rsidR="00A90E9C" w:rsidRPr="008A26D2" w:rsidRDefault="00A90E9C" w:rsidP="0072651A">
            <w:pPr>
              <w:spacing w:after="0" w:line="240" w:lineRule="auto"/>
              <w:jc w:val="both"/>
              <w:rPr>
                <w:rFonts w:ascii="Arial" w:hAnsi="Arial" w:cs="Arial"/>
                <w:sz w:val="20"/>
                <w:szCs w:val="20"/>
              </w:rPr>
            </w:pPr>
          </w:p>
        </w:tc>
      </w:tr>
      <w:tr w:rsidR="008A26D2" w:rsidRPr="008A26D2" w14:paraId="3EB7ED54" w14:textId="77777777" w:rsidTr="00142E25">
        <w:trPr>
          <w:trHeight w:val="686"/>
        </w:trPr>
        <w:tc>
          <w:tcPr>
            <w:tcW w:w="2286" w:type="dxa"/>
            <w:gridSpan w:val="3"/>
            <w:shd w:val="clear" w:color="auto" w:fill="auto"/>
            <w:tcMar>
              <w:top w:w="10" w:type="dxa"/>
              <w:left w:w="93" w:type="dxa"/>
              <w:bottom w:w="0" w:type="dxa"/>
              <w:right w:w="10" w:type="dxa"/>
            </w:tcMar>
            <w:vAlign w:val="center"/>
          </w:tcPr>
          <w:p w14:paraId="7124E4E2" w14:textId="77777777" w:rsidR="00A90E9C" w:rsidRPr="008A26D2" w:rsidRDefault="00A90E9C" w:rsidP="0072651A">
            <w:pPr>
              <w:rPr>
                <w:rFonts w:ascii="Arial" w:hAnsi="Arial" w:cs="Arial"/>
                <w:sz w:val="20"/>
                <w:szCs w:val="20"/>
              </w:rPr>
            </w:pPr>
            <w:r w:rsidRPr="008A26D2">
              <w:rPr>
                <w:rFonts w:ascii="Arial" w:hAnsi="Arial" w:cs="Arial"/>
                <w:b/>
                <w:sz w:val="20"/>
                <w:szCs w:val="20"/>
              </w:rPr>
              <w:t>Sentido esperado del indicador:</w:t>
            </w:r>
          </w:p>
        </w:tc>
        <w:tc>
          <w:tcPr>
            <w:tcW w:w="1683" w:type="dxa"/>
            <w:gridSpan w:val="3"/>
            <w:shd w:val="clear" w:color="auto" w:fill="auto"/>
            <w:tcMar>
              <w:top w:w="10" w:type="dxa"/>
              <w:left w:w="283" w:type="dxa"/>
              <w:bottom w:w="0" w:type="dxa"/>
              <w:right w:w="283" w:type="dxa"/>
            </w:tcMar>
            <w:vAlign w:val="center"/>
          </w:tcPr>
          <w:p w14:paraId="2F6DA51E" w14:textId="77777777" w:rsidR="00A90E9C" w:rsidRPr="008A26D2" w:rsidRDefault="00A90E9C" w:rsidP="0072651A">
            <w:pPr>
              <w:spacing w:after="0" w:line="240" w:lineRule="auto"/>
              <w:rPr>
                <w:rFonts w:ascii="Arial" w:hAnsi="Arial" w:cs="Arial"/>
                <w:sz w:val="20"/>
                <w:szCs w:val="20"/>
              </w:rPr>
            </w:pPr>
            <w:r w:rsidRPr="008A26D2">
              <w:rPr>
                <w:rFonts w:ascii="Arial" w:eastAsia="Times New Roman" w:hAnsi="Arial" w:cs="Arial"/>
                <w:sz w:val="20"/>
                <w:szCs w:val="20"/>
              </w:rPr>
              <w:t>Ascendente</w:t>
            </w:r>
          </w:p>
        </w:tc>
        <w:tc>
          <w:tcPr>
            <w:tcW w:w="2992" w:type="dxa"/>
            <w:gridSpan w:val="5"/>
            <w:shd w:val="clear" w:color="auto" w:fill="auto"/>
            <w:tcMar>
              <w:top w:w="15" w:type="dxa"/>
              <w:left w:w="15" w:type="dxa"/>
              <w:bottom w:w="0" w:type="dxa"/>
              <w:right w:w="15" w:type="dxa"/>
            </w:tcMar>
            <w:vAlign w:val="center"/>
          </w:tcPr>
          <w:p w14:paraId="1C6442D9" w14:textId="77777777" w:rsidR="00A90E9C" w:rsidRPr="008A26D2" w:rsidRDefault="00A90E9C" w:rsidP="0072651A">
            <w:pPr>
              <w:rPr>
                <w:rFonts w:ascii="Arial" w:hAnsi="Arial" w:cs="Arial"/>
                <w:sz w:val="20"/>
                <w:szCs w:val="20"/>
              </w:rPr>
            </w:pPr>
            <w:r w:rsidRPr="008A26D2">
              <w:rPr>
                <w:rFonts w:ascii="Arial" w:hAnsi="Arial" w:cs="Arial"/>
                <w:b/>
                <w:sz w:val="20"/>
                <w:szCs w:val="20"/>
              </w:rPr>
              <w:t>Tipo de indicador de servicio:</w:t>
            </w:r>
          </w:p>
        </w:tc>
        <w:tc>
          <w:tcPr>
            <w:tcW w:w="1686" w:type="dxa"/>
            <w:gridSpan w:val="2"/>
            <w:shd w:val="clear" w:color="auto" w:fill="auto"/>
            <w:tcMar>
              <w:top w:w="15" w:type="dxa"/>
              <w:left w:w="15" w:type="dxa"/>
              <w:bottom w:w="0" w:type="dxa"/>
              <w:right w:w="15" w:type="dxa"/>
            </w:tcMar>
            <w:vAlign w:val="center"/>
          </w:tcPr>
          <w:p w14:paraId="4D65353B" w14:textId="77777777" w:rsidR="00A90E9C" w:rsidRPr="008A26D2" w:rsidRDefault="00A90E9C" w:rsidP="0072651A">
            <w:pPr>
              <w:rPr>
                <w:rFonts w:ascii="Arial" w:hAnsi="Arial" w:cs="Arial"/>
                <w:sz w:val="20"/>
                <w:szCs w:val="20"/>
              </w:rPr>
            </w:pPr>
            <w:r w:rsidRPr="008A26D2">
              <w:rPr>
                <w:rFonts w:ascii="Arial" w:eastAsia="Times New Roman" w:hAnsi="Arial" w:cs="Arial"/>
                <w:sz w:val="20"/>
                <w:szCs w:val="20"/>
              </w:rPr>
              <w:t xml:space="preserve">     Calidad - Oportunidad</w:t>
            </w:r>
          </w:p>
        </w:tc>
      </w:tr>
      <w:tr w:rsidR="008A26D2" w:rsidRPr="008A26D2" w14:paraId="6310F995" w14:textId="77777777" w:rsidTr="00142E25">
        <w:trPr>
          <w:trHeight w:val="13"/>
        </w:trPr>
        <w:tc>
          <w:tcPr>
            <w:tcW w:w="2286" w:type="dxa"/>
            <w:gridSpan w:val="3"/>
            <w:shd w:val="clear" w:color="auto" w:fill="auto"/>
            <w:tcMar>
              <w:top w:w="10" w:type="dxa"/>
              <w:left w:w="93" w:type="dxa"/>
              <w:bottom w:w="0" w:type="dxa"/>
              <w:right w:w="10" w:type="dxa"/>
            </w:tcMar>
            <w:vAlign w:val="center"/>
          </w:tcPr>
          <w:p w14:paraId="311881A3" w14:textId="77777777" w:rsidR="00A90E9C" w:rsidRPr="008A26D2" w:rsidRDefault="00A90E9C" w:rsidP="0072651A">
            <w:pPr>
              <w:spacing w:after="0" w:line="240" w:lineRule="auto"/>
              <w:rPr>
                <w:rFonts w:ascii="Arial" w:hAnsi="Arial" w:cs="Arial"/>
                <w:sz w:val="20"/>
                <w:szCs w:val="20"/>
              </w:rPr>
            </w:pPr>
            <w:r w:rsidRPr="008A26D2">
              <w:rPr>
                <w:rFonts w:ascii="Arial" w:hAnsi="Arial" w:cs="Arial"/>
                <w:b/>
                <w:sz w:val="20"/>
                <w:szCs w:val="20"/>
              </w:rPr>
              <w:t>Fuente y base de datos:</w:t>
            </w:r>
          </w:p>
        </w:tc>
        <w:tc>
          <w:tcPr>
            <w:tcW w:w="6361" w:type="dxa"/>
            <w:gridSpan w:val="10"/>
            <w:shd w:val="clear" w:color="auto" w:fill="auto"/>
            <w:tcMar>
              <w:top w:w="51" w:type="dxa"/>
              <w:left w:w="227" w:type="dxa"/>
              <w:bottom w:w="51" w:type="dxa"/>
              <w:right w:w="227" w:type="dxa"/>
            </w:tcMar>
            <w:vAlign w:val="center"/>
          </w:tcPr>
          <w:p w14:paraId="1432270E" w14:textId="2E83FBA1" w:rsidR="00A90E9C" w:rsidRPr="008A26D2" w:rsidRDefault="00A90E9C" w:rsidP="0072651A">
            <w:pPr>
              <w:spacing w:after="0" w:line="240" w:lineRule="auto"/>
              <w:rPr>
                <w:rFonts w:ascii="Arial" w:eastAsia="Arial Narrow" w:hAnsi="Arial" w:cs="Arial"/>
                <w:sz w:val="20"/>
                <w:szCs w:val="20"/>
              </w:rPr>
            </w:pPr>
            <w:r w:rsidRPr="008A26D2">
              <w:rPr>
                <w:rFonts w:ascii="Arial" w:eastAsia="Times New Roman" w:hAnsi="Arial" w:cs="Arial"/>
                <w:sz w:val="20"/>
                <w:szCs w:val="20"/>
              </w:rPr>
              <w:t xml:space="preserve">Fuente: Dirección de Promoción de las Exportaciones </w:t>
            </w:r>
            <w:r w:rsidR="00785FAD">
              <w:rPr>
                <w:rFonts w:ascii="Arial" w:eastAsia="Times New Roman" w:hAnsi="Arial" w:cs="Arial"/>
                <w:sz w:val="20"/>
                <w:szCs w:val="20"/>
              </w:rPr>
              <w:t xml:space="preserve">de la </w:t>
            </w:r>
            <w:r w:rsidR="00785FAD" w:rsidRPr="00785FAD">
              <w:rPr>
                <w:rFonts w:ascii="Arial" w:eastAsia="Times New Roman" w:hAnsi="Arial" w:cs="Arial"/>
                <w:sz w:val="20"/>
                <w:szCs w:val="20"/>
              </w:rPr>
              <w:t>Comisión de Promoción del Perú para la Exportación y el Turismo</w:t>
            </w:r>
            <w:r w:rsidRPr="008A26D2">
              <w:rPr>
                <w:rFonts w:ascii="Arial" w:eastAsia="Times New Roman" w:hAnsi="Arial" w:cs="Arial"/>
                <w:sz w:val="20"/>
                <w:szCs w:val="20"/>
              </w:rPr>
              <w:t xml:space="preserve"> </w:t>
            </w:r>
            <w:r w:rsidR="00785FAD">
              <w:rPr>
                <w:rFonts w:ascii="Arial" w:eastAsia="Times New Roman" w:hAnsi="Arial" w:cs="Arial"/>
                <w:sz w:val="20"/>
                <w:szCs w:val="20"/>
              </w:rPr>
              <w:t xml:space="preserve">- </w:t>
            </w:r>
            <w:r w:rsidRPr="008A26D2">
              <w:rPr>
                <w:rFonts w:ascii="Arial" w:eastAsia="Times New Roman" w:hAnsi="Arial" w:cs="Arial"/>
                <w:sz w:val="20"/>
                <w:szCs w:val="20"/>
              </w:rPr>
              <w:t>PROMPERU</w:t>
            </w:r>
            <w:r w:rsidRPr="008A26D2">
              <w:rPr>
                <w:rFonts w:ascii="Arial" w:eastAsia="Times New Roman" w:hAnsi="Arial" w:cs="Arial"/>
                <w:sz w:val="20"/>
                <w:szCs w:val="20"/>
              </w:rPr>
              <w:br/>
              <w:t>Base de datos: Reporte de realización de ferias y ruedas de negocio elaborado por PROMPERU</w:t>
            </w:r>
          </w:p>
        </w:tc>
      </w:tr>
      <w:tr w:rsidR="008A26D2" w:rsidRPr="008A26D2" w14:paraId="2BA706E4" w14:textId="77777777" w:rsidTr="00142E25">
        <w:trPr>
          <w:trHeight w:val="436"/>
        </w:trPr>
        <w:tc>
          <w:tcPr>
            <w:tcW w:w="2286" w:type="dxa"/>
            <w:gridSpan w:val="3"/>
            <w:shd w:val="clear" w:color="auto" w:fill="auto"/>
            <w:tcMar>
              <w:top w:w="10" w:type="dxa"/>
              <w:left w:w="93" w:type="dxa"/>
              <w:bottom w:w="0" w:type="dxa"/>
              <w:right w:w="10" w:type="dxa"/>
            </w:tcMar>
            <w:vAlign w:val="center"/>
          </w:tcPr>
          <w:p w14:paraId="1D43BD7F" w14:textId="77777777" w:rsidR="00A90E9C" w:rsidRPr="008A26D2" w:rsidRDefault="00A90E9C" w:rsidP="0072651A">
            <w:pPr>
              <w:spacing w:after="0" w:line="240" w:lineRule="auto"/>
              <w:rPr>
                <w:rFonts w:ascii="Arial" w:hAnsi="Arial" w:cs="Arial"/>
                <w:sz w:val="20"/>
                <w:szCs w:val="20"/>
              </w:rPr>
            </w:pPr>
            <w:r w:rsidRPr="008A26D2">
              <w:rPr>
                <w:rFonts w:ascii="Arial" w:hAnsi="Arial" w:cs="Arial"/>
                <w:b/>
                <w:sz w:val="20"/>
                <w:szCs w:val="20"/>
              </w:rPr>
              <w:t>Supuestos:</w:t>
            </w:r>
          </w:p>
        </w:tc>
        <w:tc>
          <w:tcPr>
            <w:tcW w:w="6361" w:type="dxa"/>
            <w:gridSpan w:val="10"/>
            <w:shd w:val="clear" w:color="auto" w:fill="auto"/>
            <w:tcMar>
              <w:top w:w="51" w:type="dxa"/>
              <w:left w:w="227" w:type="dxa"/>
              <w:bottom w:w="51" w:type="dxa"/>
              <w:right w:w="227" w:type="dxa"/>
            </w:tcMar>
            <w:vAlign w:val="center"/>
          </w:tcPr>
          <w:p w14:paraId="4AC967FC" w14:textId="77777777" w:rsidR="00A90E9C" w:rsidRPr="008A26D2" w:rsidRDefault="00A90E9C" w:rsidP="0072651A">
            <w:pPr>
              <w:spacing w:after="0" w:line="240" w:lineRule="auto"/>
              <w:rPr>
                <w:rFonts w:ascii="Arial" w:eastAsia="Arial Narrow" w:hAnsi="Arial" w:cs="Arial"/>
                <w:sz w:val="20"/>
                <w:szCs w:val="20"/>
              </w:rPr>
            </w:pPr>
            <w:r w:rsidRPr="008A26D2">
              <w:rPr>
                <w:rFonts w:ascii="Arial" w:eastAsia="Times New Roman" w:hAnsi="Arial" w:cs="Arial"/>
                <w:sz w:val="20"/>
                <w:szCs w:val="20"/>
              </w:rPr>
              <w:t>El comercio exterior retoma los niveles y hábitos que tenía antes del 2020 (inicia de la pandemia por el COVID 19)</w:t>
            </w:r>
          </w:p>
        </w:tc>
      </w:tr>
      <w:tr w:rsidR="008A26D2" w:rsidRPr="008A26D2" w14:paraId="79612924" w14:textId="77777777" w:rsidTr="000E0086">
        <w:trPr>
          <w:trHeight w:val="556"/>
        </w:trPr>
        <w:tc>
          <w:tcPr>
            <w:tcW w:w="851" w:type="dxa"/>
            <w:shd w:val="clear" w:color="auto" w:fill="auto"/>
            <w:tcMar>
              <w:top w:w="10" w:type="dxa"/>
              <w:left w:w="10" w:type="dxa"/>
              <w:bottom w:w="0" w:type="dxa"/>
              <w:right w:w="10" w:type="dxa"/>
            </w:tcMar>
            <w:vAlign w:val="center"/>
          </w:tcPr>
          <w:p w14:paraId="41C01239" w14:textId="26E12996" w:rsidR="00A90E9C" w:rsidRPr="008A26D2" w:rsidRDefault="00A90E9C" w:rsidP="000E0086">
            <w:pPr>
              <w:spacing w:after="0" w:line="240" w:lineRule="auto"/>
              <w:jc w:val="center"/>
              <w:rPr>
                <w:rFonts w:ascii="Arial" w:hAnsi="Arial" w:cs="Arial"/>
                <w:sz w:val="20"/>
                <w:szCs w:val="20"/>
              </w:rPr>
            </w:pPr>
          </w:p>
        </w:tc>
        <w:tc>
          <w:tcPr>
            <w:tcW w:w="850" w:type="dxa"/>
            <w:shd w:val="clear" w:color="auto" w:fill="auto"/>
            <w:tcMar>
              <w:top w:w="10" w:type="dxa"/>
              <w:left w:w="10" w:type="dxa"/>
              <w:bottom w:w="0" w:type="dxa"/>
              <w:right w:w="10" w:type="dxa"/>
            </w:tcMar>
            <w:vAlign w:val="center"/>
          </w:tcPr>
          <w:p w14:paraId="0087F3CC" w14:textId="77777777" w:rsidR="00A90E9C" w:rsidRPr="008A26D2" w:rsidRDefault="00A90E9C" w:rsidP="008D6566">
            <w:pPr>
              <w:spacing w:after="0" w:line="240" w:lineRule="auto"/>
              <w:jc w:val="center"/>
              <w:rPr>
                <w:rFonts w:ascii="Arial" w:hAnsi="Arial" w:cs="Arial"/>
                <w:sz w:val="20"/>
                <w:szCs w:val="20"/>
              </w:rPr>
            </w:pPr>
            <w:r w:rsidRPr="008A26D2">
              <w:rPr>
                <w:rFonts w:ascii="Arial" w:hAnsi="Arial" w:cs="Arial"/>
                <w:b/>
                <w:sz w:val="20"/>
                <w:szCs w:val="20"/>
              </w:rPr>
              <w:t>Línea de base</w:t>
            </w:r>
          </w:p>
        </w:tc>
        <w:tc>
          <w:tcPr>
            <w:tcW w:w="6946" w:type="dxa"/>
            <w:gridSpan w:val="11"/>
            <w:shd w:val="clear" w:color="auto" w:fill="auto"/>
            <w:tcMar>
              <w:top w:w="10" w:type="dxa"/>
              <w:left w:w="10" w:type="dxa"/>
              <w:bottom w:w="0" w:type="dxa"/>
              <w:right w:w="10" w:type="dxa"/>
            </w:tcMar>
            <w:vAlign w:val="center"/>
          </w:tcPr>
          <w:p w14:paraId="7AA0797A" w14:textId="27051478" w:rsidR="00A90E9C" w:rsidRPr="008A26D2" w:rsidRDefault="00A90E9C" w:rsidP="008D6566">
            <w:pPr>
              <w:spacing w:after="0" w:line="240" w:lineRule="auto"/>
              <w:jc w:val="center"/>
              <w:rPr>
                <w:rFonts w:ascii="Arial" w:hAnsi="Arial" w:cs="Arial"/>
                <w:sz w:val="20"/>
                <w:szCs w:val="20"/>
              </w:rPr>
            </w:pPr>
            <w:r w:rsidRPr="008A26D2">
              <w:rPr>
                <w:rFonts w:ascii="Arial" w:hAnsi="Arial" w:cs="Arial"/>
                <w:b/>
                <w:sz w:val="20"/>
                <w:szCs w:val="20"/>
              </w:rPr>
              <w:t>Logros esperados</w:t>
            </w:r>
          </w:p>
        </w:tc>
      </w:tr>
      <w:tr w:rsidR="008A26D2" w:rsidRPr="008A26D2" w14:paraId="090D33E1" w14:textId="77777777" w:rsidTr="000E0086">
        <w:trPr>
          <w:trHeight w:val="441"/>
        </w:trPr>
        <w:tc>
          <w:tcPr>
            <w:tcW w:w="851" w:type="dxa"/>
            <w:shd w:val="clear" w:color="auto" w:fill="auto"/>
            <w:tcMar>
              <w:top w:w="10" w:type="dxa"/>
              <w:left w:w="10" w:type="dxa"/>
              <w:bottom w:w="0" w:type="dxa"/>
              <w:right w:w="10" w:type="dxa"/>
            </w:tcMar>
            <w:vAlign w:val="center"/>
          </w:tcPr>
          <w:p w14:paraId="1F743E25" w14:textId="77777777" w:rsidR="00A90E9C" w:rsidRPr="008A26D2" w:rsidRDefault="00A90E9C" w:rsidP="008D6566">
            <w:pPr>
              <w:spacing w:after="0" w:line="240" w:lineRule="auto"/>
              <w:jc w:val="center"/>
              <w:rPr>
                <w:rFonts w:ascii="Arial" w:hAnsi="Arial" w:cs="Arial"/>
                <w:sz w:val="20"/>
                <w:szCs w:val="20"/>
              </w:rPr>
            </w:pPr>
            <w:r w:rsidRPr="008A26D2">
              <w:rPr>
                <w:rFonts w:ascii="Arial" w:hAnsi="Arial" w:cs="Arial"/>
                <w:b/>
                <w:sz w:val="20"/>
                <w:szCs w:val="20"/>
              </w:rPr>
              <w:t>Año</w:t>
            </w:r>
          </w:p>
        </w:tc>
        <w:tc>
          <w:tcPr>
            <w:tcW w:w="850" w:type="dxa"/>
            <w:shd w:val="clear" w:color="auto" w:fill="auto"/>
            <w:tcMar>
              <w:top w:w="10" w:type="dxa"/>
              <w:left w:w="10" w:type="dxa"/>
              <w:bottom w:w="0" w:type="dxa"/>
              <w:right w:w="10" w:type="dxa"/>
            </w:tcMar>
            <w:vAlign w:val="center"/>
          </w:tcPr>
          <w:p w14:paraId="4980D2DB" w14:textId="77777777" w:rsidR="00A90E9C" w:rsidRPr="008A26D2" w:rsidRDefault="00A90E9C" w:rsidP="008D6566">
            <w:pPr>
              <w:jc w:val="center"/>
              <w:rPr>
                <w:rFonts w:ascii="Arial" w:hAnsi="Arial" w:cs="Arial"/>
                <w:b/>
                <w:sz w:val="20"/>
                <w:szCs w:val="20"/>
              </w:rPr>
            </w:pPr>
            <w:r w:rsidRPr="008A26D2">
              <w:rPr>
                <w:rFonts w:ascii="Arial" w:hAnsi="Arial" w:cs="Arial"/>
                <w:b/>
                <w:sz w:val="20"/>
                <w:szCs w:val="20"/>
              </w:rPr>
              <w:t>2021</w:t>
            </w:r>
          </w:p>
        </w:tc>
        <w:tc>
          <w:tcPr>
            <w:tcW w:w="709" w:type="dxa"/>
            <w:gridSpan w:val="2"/>
            <w:shd w:val="clear" w:color="auto" w:fill="auto"/>
            <w:tcMar>
              <w:top w:w="10" w:type="dxa"/>
              <w:left w:w="10" w:type="dxa"/>
              <w:bottom w:w="0" w:type="dxa"/>
              <w:right w:w="10" w:type="dxa"/>
            </w:tcMar>
            <w:vAlign w:val="center"/>
          </w:tcPr>
          <w:p w14:paraId="6E25E4FC" w14:textId="77777777" w:rsidR="00A90E9C" w:rsidRPr="008A26D2" w:rsidRDefault="00A90E9C" w:rsidP="008D6566">
            <w:pPr>
              <w:spacing w:after="0" w:line="240" w:lineRule="auto"/>
              <w:jc w:val="center"/>
              <w:rPr>
                <w:rFonts w:ascii="Arial" w:hAnsi="Arial" w:cs="Arial"/>
                <w:b/>
                <w:sz w:val="20"/>
                <w:szCs w:val="20"/>
              </w:rPr>
            </w:pPr>
            <w:r w:rsidRPr="008A26D2">
              <w:rPr>
                <w:rFonts w:ascii="Arial" w:hAnsi="Arial" w:cs="Arial"/>
                <w:b/>
                <w:sz w:val="20"/>
                <w:szCs w:val="20"/>
              </w:rPr>
              <w:t>2023</w:t>
            </w:r>
          </w:p>
        </w:tc>
        <w:tc>
          <w:tcPr>
            <w:tcW w:w="851" w:type="dxa"/>
            <w:shd w:val="clear" w:color="auto" w:fill="auto"/>
            <w:vAlign w:val="center"/>
          </w:tcPr>
          <w:p w14:paraId="3ECE980D" w14:textId="77777777" w:rsidR="00A90E9C" w:rsidRPr="008A26D2" w:rsidRDefault="00A90E9C" w:rsidP="008D6566">
            <w:pPr>
              <w:spacing w:after="0" w:line="240" w:lineRule="auto"/>
              <w:jc w:val="center"/>
              <w:rPr>
                <w:rFonts w:ascii="Arial" w:hAnsi="Arial" w:cs="Arial"/>
                <w:b/>
                <w:sz w:val="20"/>
                <w:szCs w:val="20"/>
              </w:rPr>
            </w:pPr>
            <w:r w:rsidRPr="008A26D2">
              <w:rPr>
                <w:rFonts w:ascii="Arial" w:hAnsi="Arial" w:cs="Arial"/>
                <w:b/>
                <w:sz w:val="20"/>
                <w:szCs w:val="20"/>
              </w:rPr>
              <w:t>2024</w:t>
            </w:r>
          </w:p>
        </w:tc>
        <w:tc>
          <w:tcPr>
            <w:tcW w:w="992" w:type="dxa"/>
            <w:gridSpan w:val="2"/>
            <w:shd w:val="clear" w:color="auto" w:fill="auto"/>
            <w:vAlign w:val="center"/>
          </w:tcPr>
          <w:p w14:paraId="16ABF1FB" w14:textId="77777777" w:rsidR="00A90E9C" w:rsidRPr="008A26D2" w:rsidRDefault="00A90E9C" w:rsidP="008D6566">
            <w:pPr>
              <w:spacing w:after="0" w:line="240" w:lineRule="auto"/>
              <w:jc w:val="center"/>
              <w:rPr>
                <w:rFonts w:ascii="Arial" w:hAnsi="Arial" w:cs="Arial"/>
                <w:b/>
                <w:sz w:val="20"/>
                <w:szCs w:val="20"/>
              </w:rPr>
            </w:pPr>
            <w:r w:rsidRPr="008A26D2">
              <w:rPr>
                <w:rFonts w:ascii="Arial" w:hAnsi="Arial" w:cs="Arial"/>
                <w:b/>
                <w:sz w:val="20"/>
                <w:szCs w:val="20"/>
              </w:rPr>
              <w:t>2025</w:t>
            </w:r>
          </w:p>
        </w:tc>
        <w:tc>
          <w:tcPr>
            <w:tcW w:w="992" w:type="dxa"/>
            <w:shd w:val="clear" w:color="auto" w:fill="auto"/>
            <w:vAlign w:val="center"/>
          </w:tcPr>
          <w:p w14:paraId="5D6EFA0E" w14:textId="77777777" w:rsidR="00A90E9C" w:rsidRPr="008A26D2" w:rsidRDefault="00A90E9C" w:rsidP="008D6566">
            <w:pPr>
              <w:spacing w:after="0" w:line="240" w:lineRule="auto"/>
              <w:jc w:val="center"/>
              <w:rPr>
                <w:rFonts w:ascii="Arial" w:hAnsi="Arial" w:cs="Arial"/>
                <w:b/>
                <w:sz w:val="20"/>
                <w:szCs w:val="20"/>
              </w:rPr>
            </w:pPr>
            <w:r w:rsidRPr="008A26D2">
              <w:rPr>
                <w:rFonts w:ascii="Arial" w:hAnsi="Arial" w:cs="Arial"/>
                <w:b/>
                <w:sz w:val="20"/>
                <w:szCs w:val="20"/>
              </w:rPr>
              <w:t>2026</w:t>
            </w:r>
          </w:p>
        </w:tc>
        <w:tc>
          <w:tcPr>
            <w:tcW w:w="851" w:type="dxa"/>
            <w:shd w:val="clear" w:color="auto" w:fill="auto"/>
            <w:vAlign w:val="center"/>
          </w:tcPr>
          <w:p w14:paraId="057BDD0E" w14:textId="77777777" w:rsidR="00A90E9C" w:rsidRPr="008A26D2" w:rsidRDefault="00A90E9C" w:rsidP="008D6566">
            <w:pPr>
              <w:spacing w:after="0" w:line="240" w:lineRule="auto"/>
              <w:jc w:val="center"/>
              <w:rPr>
                <w:rFonts w:ascii="Arial" w:hAnsi="Arial" w:cs="Arial"/>
                <w:b/>
                <w:sz w:val="20"/>
                <w:szCs w:val="20"/>
              </w:rPr>
            </w:pPr>
            <w:r w:rsidRPr="008A26D2">
              <w:rPr>
                <w:rFonts w:ascii="Arial" w:hAnsi="Arial" w:cs="Arial"/>
                <w:b/>
                <w:sz w:val="20"/>
                <w:szCs w:val="20"/>
              </w:rPr>
              <w:t>2027</w:t>
            </w:r>
          </w:p>
        </w:tc>
        <w:tc>
          <w:tcPr>
            <w:tcW w:w="850" w:type="dxa"/>
            <w:shd w:val="clear" w:color="auto" w:fill="auto"/>
            <w:vAlign w:val="center"/>
          </w:tcPr>
          <w:p w14:paraId="7BDC2020" w14:textId="77777777" w:rsidR="00A90E9C" w:rsidRPr="008A26D2" w:rsidRDefault="00A90E9C" w:rsidP="008D6566">
            <w:pPr>
              <w:spacing w:after="0" w:line="240" w:lineRule="auto"/>
              <w:jc w:val="center"/>
              <w:rPr>
                <w:rFonts w:ascii="Arial" w:hAnsi="Arial" w:cs="Arial"/>
                <w:b/>
                <w:sz w:val="20"/>
                <w:szCs w:val="20"/>
              </w:rPr>
            </w:pPr>
            <w:r w:rsidRPr="008A26D2">
              <w:rPr>
                <w:rFonts w:ascii="Arial" w:hAnsi="Arial" w:cs="Arial"/>
                <w:b/>
                <w:sz w:val="20"/>
                <w:szCs w:val="20"/>
              </w:rPr>
              <w:t>2028</w:t>
            </w:r>
          </w:p>
        </w:tc>
        <w:tc>
          <w:tcPr>
            <w:tcW w:w="851" w:type="dxa"/>
            <w:gridSpan w:val="2"/>
            <w:shd w:val="clear" w:color="auto" w:fill="auto"/>
            <w:vAlign w:val="center"/>
          </w:tcPr>
          <w:p w14:paraId="46C954C0" w14:textId="77777777" w:rsidR="00A90E9C" w:rsidRPr="008A26D2" w:rsidRDefault="00A90E9C" w:rsidP="008D6566">
            <w:pPr>
              <w:spacing w:after="0" w:line="240" w:lineRule="auto"/>
              <w:jc w:val="center"/>
              <w:rPr>
                <w:rFonts w:ascii="Arial" w:hAnsi="Arial" w:cs="Arial"/>
                <w:b/>
                <w:sz w:val="20"/>
                <w:szCs w:val="20"/>
              </w:rPr>
            </w:pPr>
            <w:r w:rsidRPr="008A26D2">
              <w:rPr>
                <w:rFonts w:ascii="Arial" w:hAnsi="Arial" w:cs="Arial"/>
                <w:b/>
                <w:sz w:val="20"/>
                <w:szCs w:val="20"/>
              </w:rPr>
              <w:t>2029</w:t>
            </w:r>
          </w:p>
        </w:tc>
        <w:tc>
          <w:tcPr>
            <w:tcW w:w="850" w:type="dxa"/>
            <w:shd w:val="clear" w:color="auto" w:fill="auto"/>
            <w:tcMar>
              <w:top w:w="10" w:type="dxa"/>
              <w:left w:w="10" w:type="dxa"/>
              <w:bottom w:w="0" w:type="dxa"/>
              <w:right w:w="10" w:type="dxa"/>
            </w:tcMar>
            <w:vAlign w:val="center"/>
          </w:tcPr>
          <w:p w14:paraId="34C51D99" w14:textId="77777777" w:rsidR="00A90E9C" w:rsidRPr="008A26D2" w:rsidRDefault="00A90E9C" w:rsidP="008D6566">
            <w:pPr>
              <w:spacing w:after="0" w:line="240" w:lineRule="auto"/>
              <w:jc w:val="center"/>
              <w:rPr>
                <w:rFonts w:ascii="Arial" w:hAnsi="Arial" w:cs="Arial"/>
                <w:b/>
                <w:sz w:val="20"/>
                <w:szCs w:val="20"/>
              </w:rPr>
            </w:pPr>
            <w:r w:rsidRPr="008A26D2">
              <w:rPr>
                <w:rFonts w:ascii="Arial" w:hAnsi="Arial" w:cs="Arial"/>
                <w:b/>
                <w:sz w:val="20"/>
                <w:szCs w:val="20"/>
              </w:rPr>
              <w:t>2030</w:t>
            </w:r>
          </w:p>
        </w:tc>
      </w:tr>
      <w:tr w:rsidR="008A26D2" w:rsidRPr="008A26D2" w14:paraId="103C4504" w14:textId="77777777" w:rsidTr="000E0086">
        <w:trPr>
          <w:trHeight w:val="81"/>
        </w:trPr>
        <w:tc>
          <w:tcPr>
            <w:tcW w:w="851" w:type="dxa"/>
            <w:shd w:val="clear" w:color="auto" w:fill="auto"/>
            <w:tcMar>
              <w:top w:w="10" w:type="dxa"/>
              <w:left w:w="10" w:type="dxa"/>
              <w:bottom w:w="0" w:type="dxa"/>
              <w:right w:w="10" w:type="dxa"/>
            </w:tcMar>
            <w:vAlign w:val="center"/>
          </w:tcPr>
          <w:p w14:paraId="5A8BE22E" w14:textId="77777777" w:rsidR="00A90E9C" w:rsidRPr="008A26D2" w:rsidRDefault="00A90E9C" w:rsidP="008D6566">
            <w:pPr>
              <w:spacing w:after="0" w:line="240" w:lineRule="auto"/>
              <w:jc w:val="center"/>
              <w:rPr>
                <w:rFonts w:ascii="Arial" w:hAnsi="Arial" w:cs="Arial"/>
                <w:sz w:val="20"/>
                <w:szCs w:val="20"/>
              </w:rPr>
            </w:pPr>
            <w:r w:rsidRPr="008A26D2">
              <w:rPr>
                <w:rFonts w:ascii="Arial" w:hAnsi="Arial" w:cs="Arial"/>
                <w:b/>
                <w:sz w:val="20"/>
                <w:szCs w:val="20"/>
              </w:rPr>
              <w:lastRenderedPageBreak/>
              <w:t>Valor</w:t>
            </w:r>
          </w:p>
        </w:tc>
        <w:tc>
          <w:tcPr>
            <w:tcW w:w="850" w:type="dxa"/>
            <w:shd w:val="clear" w:color="auto" w:fill="auto"/>
            <w:tcMar>
              <w:top w:w="10" w:type="dxa"/>
              <w:left w:w="10" w:type="dxa"/>
              <w:bottom w:w="0" w:type="dxa"/>
              <w:right w:w="10" w:type="dxa"/>
            </w:tcMar>
            <w:vAlign w:val="center"/>
          </w:tcPr>
          <w:p w14:paraId="4370D554" w14:textId="77777777" w:rsidR="00A90E9C" w:rsidRPr="008A26D2" w:rsidRDefault="00A90E9C" w:rsidP="008D6566">
            <w:pPr>
              <w:spacing w:after="0" w:line="240" w:lineRule="auto"/>
              <w:jc w:val="center"/>
              <w:rPr>
                <w:rFonts w:ascii="Arial" w:hAnsi="Arial" w:cs="Arial"/>
                <w:sz w:val="20"/>
                <w:szCs w:val="20"/>
              </w:rPr>
            </w:pPr>
            <w:r w:rsidRPr="008A26D2">
              <w:rPr>
                <w:rFonts w:ascii="Arial" w:hAnsi="Arial" w:cs="Arial"/>
                <w:sz w:val="20"/>
                <w:szCs w:val="20"/>
              </w:rPr>
              <w:t>1</w:t>
            </w:r>
          </w:p>
        </w:tc>
        <w:tc>
          <w:tcPr>
            <w:tcW w:w="709" w:type="dxa"/>
            <w:gridSpan w:val="2"/>
            <w:shd w:val="clear" w:color="auto" w:fill="auto"/>
            <w:tcMar>
              <w:top w:w="10" w:type="dxa"/>
              <w:left w:w="10" w:type="dxa"/>
              <w:bottom w:w="0" w:type="dxa"/>
              <w:right w:w="10" w:type="dxa"/>
            </w:tcMar>
            <w:vAlign w:val="bottom"/>
          </w:tcPr>
          <w:p w14:paraId="5AB4D074" w14:textId="77777777" w:rsidR="00A90E9C" w:rsidRPr="008A26D2" w:rsidRDefault="00A90E9C" w:rsidP="008D6566">
            <w:pPr>
              <w:spacing w:after="0" w:line="240" w:lineRule="auto"/>
              <w:jc w:val="center"/>
              <w:rPr>
                <w:rFonts w:ascii="Arial" w:hAnsi="Arial" w:cs="Arial"/>
                <w:sz w:val="20"/>
                <w:szCs w:val="20"/>
              </w:rPr>
            </w:pPr>
            <w:r w:rsidRPr="008A26D2">
              <w:rPr>
                <w:rFonts w:ascii="Arial" w:eastAsia="Times New Roman" w:hAnsi="Arial" w:cs="Arial"/>
                <w:sz w:val="20"/>
                <w:szCs w:val="20"/>
              </w:rPr>
              <w:t>1</w:t>
            </w:r>
          </w:p>
        </w:tc>
        <w:tc>
          <w:tcPr>
            <w:tcW w:w="851" w:type="dxa"/>
            <w:shd w:val="clear" w:color="auto" w:fill="auto"/>
            <w:vAlign w:val="bottom"/>
          </w:tcPr>
          <w:p w14:paraId="65ADE348" w14:textId="77777777" w:rsidR="00A90E9C" w:rsidRPr="008A26D2" w:rsidRDefault="00A90E9C" w:rsidP="008D6566">
            <w:pPr>
              <w:spacing w:after="0" w:line="240" w:lineRule="auto"/>
              <w:jc w:val="center"/>
              <w:rPr>
                <w:rFonts w:ascii="Arial" w:hAnsi="Arial" w:cs="Arial"/>
                <w:sz w:val="20"/>
                <w:szCs w:val="20"/>
              </w:rPr>
            </w:pPr>
            <w:r w:rsidRPr="008A26D2">
              <w:rPr>
                <w:rFonts w:ascii="Arial" w:eastAsia="Times New Roman" w:hAnsi="Arial" w:cs="Arial"/>
                <w:sz w:val="20"/>
                <w:szCs w:val="20"/>
              </w:rPr>
              <w:t>1</w:t>
            </w:r>
          </w:p>
        </w:tc>
        <w:tc>
          <w:tcPr>
            <w:tcW w:w="992" w:type="dxa"/>
            <w:gridSpan w:val="2"/>
            <w:shd w:val="clear" w:color="auto" w:fill="auto"/>
            <w:vAlign w:val="bottom"/>
          </w:tcPr>
          <w:p w14:paraId="5AF525A2" w14:textId="77777777" w:rsidR="00A90E9C" w:rsidRPr="008A26D2" w:rsidRDefault="00A90E9C" w:rsidP="008D6566">
            <w:pPr>
              <w:spacing w:after="0" w:line="240" w:lineRule="auto"/>
              <w:jc w:val="center"/>
              <w:rPr>
                <w:rFonts w:ascii="Arial" w:hAnsi="Arial" w:cs="Arial"/>
                <w:sz w:val="20"/>
                <w:szCs w:val="20"/>
              </w:rPr>
            </w:pPr>
            <w:r w:rsidRPr="008A26D2">
              <w:rPr>
                <w:rFonts w:ascii="Arial" w:eastAsia="Times New Roman" w:hAnsi="Arial" w:cs="Arial"/>
                <w:sz w:val="20"/>
                <w:szCs w:val="20"/>
              </w:rPr>
              <w:t>2</w:t>
            </w:r>
          </w:p>
        </w:tc>
        <w:tc>
          <w:tcPr>
            <w:tcW w:w="992" w:type="dxa"/>
            <w:shd w:val="clear" w:color="auto" w:fill="auto"/>
            <w:vAlign w:val="bottom"/>
          </w:tcPr>
          <w:p w14:paraId="09B1A7F3" w14:textId="77777777" w:rsidR="00A90E9C" w:rsidRPr="008A26D2" w:rsidRDefault="00A90E9C" w:rsidP="008D6566">
            <w:pPr>
              <w:spacing w:after="0" w:line="240" w:lineRule="auto"/>
              <w:jc w:val="center"/>
              <w:rPr>
                <w:rFonts w:ascii="Arial" w:hAnsi="Arial" w:cs="Arial"/>
                <w:sz w:val="20"/>
                <w:szCs w:val="20"/>
              </w:rPr>
            </w:pPr>
            <w:r w:rsidRPr="008A26D2">
              <w:rPr>
                <w:rFonts w:ascii="Arial" w:eastAsia="Times New Roman" w:hAnsi="Arial" w:cs="Arial"/>
                <w:sz w:val="20"/>
                <w:szCs w:val="20"/>
              </w:rPr>
              <w:t>2</w:t>
            </w:r>
          </w:p>
        </w:tc>
        <w:tc>
          <w:tcPr>
            <w:tcW w:w="851" w:type="dxa"/>
            <w:shd w:val="clear" w:color="auto" w:fill="auto"/>
            <w:vAlign w:val="bottom"/>
          </w:tcPr>
          <w:p w14:paraId="7F84BE8F" w14:textId="77777777" w:rsidR="00A90E9C" w:rsidRPr="008A26D2" w:rsidRDefault="00A90E9C" w:rsidP="008D6566">
            <w:pPr>
              <w:spacing w:after="0" w:line="240" w:lineRule="auto"/>
              <w:jc w:val="center"/>
              <w:rPr>
                <w:rFonts w:ascii="Arial" w:hAnsi="Arial" w:cs="Arial"/>
                <w:sz w:val="20"/>
                <w:szCs w:val="20"/>
              </w:rPr>
            </w:pPr>
            <w:r w:rsidRPr="008A26D2">
              <w:rPr>
                <w:rFonts w:ascii="Arial" w:eastAsia="Times New Roman" w:hAnsi="Arial" w:cs="Arial"/>
                <w:sz w:val="20"/>
                <w:szCs w:val="20"/>
              </w:rPr>
              <w:t>3</w:t>
            </w:r>
          </w:p>
        </w:tc>
        <w:tc>
          <w:tcPr>
            <w:tcW w:w="850" w:type="dxa"/>
            <w:shd w:val="clear" w:color="auto" w:fill="auto"/>
            <w:vAlign w:val="bottom"/>
          </w:tcPr>
          <w:p w14:paraId="228F7760" w14:textId="77777777" w:rsidR="00A90E9C" w:rsidRPr="008A26D2" w:rsidRDefault="00A90E9C" w:rsidP="008D6566">
            <w:pPr>
              <w:spacing w:after="0" w:line="240" w:lineRule="auto"/>
              <w:jc w:val="center"/>
              <w:rPr>
                <w:rFonts w:ascii="Arial" w:hAnsi="Arial" w:cs="Arial"/>
                <w:sz w:val="20"/>
                <w:szCs w:val="20"/>
              </w:rPr>
            </w:pPr>
            <w:r w:rsidRPr="008A26D2">
              <w:rPr>
                <w:rFonts w:ascii="Arial" w:eastAsia="Times New Roman" w:hAnsi="Arial" w:cs="Arial"/>
                <w:sz w:val="20"/>
                <w:szCs w:val="20"/>
              </w:rPr>
              <w:t>3</w:t>
            </w:r>
          </w:p>
        </w:tc>
        <w:tc>
          <w:tcPr>
            <w:tcW w:w="851" w:type="dxa"/>
            <w:gridSpan w:val="2"/>
            <w:shd w:val="clear" w:color="auto" w:fill="auto"/>
            <w:vAlign w:val="bottom"/>
          </w:tcPr>
          <w:p w14:paraId="74E3686D" w14:textId="77777777" w:rsidR="00A90E9C" w:rsidRPr="008A26D2" w:rsidRDefault="00A90E9C" w:rsidP="008D6566">
            <w:pPr>
              <w:spacing w:after="0" w:line="240" w:lineRule="auto"/>
              <w:jc w:val="center"/>
              <w:rPr>
                <w:rFonts w:ascii="Arial" w:hAnsi="Arial" w:cs="Arial"/>
                <w:sz w:val="20"/>
                <w:szCs w:val="20"/>
              </w:rPr>
            </w:pPr>
            <w:r w:rsidRPr="008A26D2">
              <w:rPr>
                <w:rFonts w:ascii="Arial" w:eastAsia="Times New Roman" w:hAnsi="Arial" w:cs="Arial"/>
                <w:sz w:val="20"/>
                <w:szCs w:val="20"/>
              </w:rPr>
              <w:t>3</w:t>
            </w:r>
          </w:p>
        </w:tc>
        <w:tc>
          <w:tcPr>
            <w:tcW w:w="850" w:type="dxa"/>
            <w:shd w:val="clear" w:color="auto" w:fill="auto"/>
            <w:tcMar>
              <w:top w:w="10" w:type="dxa"/>
              <w:left w:w="10" w:type="dxa"/>
              <w:bottom w:w="0" w:type="dxa"/>
              <w:right w:w="10" w:type="dxa"/>
            </w:tcMar>
            <w:vAlign w:val="bottom"/>
          </w:tcPr>
          <w:p w14:paraId="532A1389" w14:textId="77777777" w:rsidR="00A90E9C" w:rsidRPr="008A26D2" w:rsidRDefault="00A90E9C" w:rsidP="008D6566">
            <w:pPr>
              <w:spacing w:after="0" w:line="240" w:lineRule="auto"/>
              <w:jc w:val="center"/>
              <w:rPr>
                <w:rFonts w:ascii="Arial" w:hAnsi="Arial" w:cs="Arial"/>
                <w:sz w:val="20"/>
                <w:szCs w:val="20"/>
              </w:rPr>
            </w:pPr>
            <w:r w:rsidRPr="008A26D2">
              <w:rPr>
                <w:rFonts w:ascii="Arial" w:eastAsia="Times New Roman" w:hAnsi="Arial" w:cs="Arial"/>
                <w:sz w:val="20"/>
                <w:szCs w:val="20"/>
              </w:rPr>
              <w:t>3</w:t>
            </w:r>
          </w:p>
        </w:tc>
      </w:tr>
    </w:tbl>
    <w:p w14:paraId="7330608C" w14:textId="77777777" w:rsidR="00A90E9C" w:rsidRPr="008A26D2" w:rsidRDefault="00A90E9C" w:rsidP="00A90E9C"/>
    <w:p w14:paraId="21F4E09C" w14:textId="36A1B717" w:rsidR="00A90E9C" w:rsidRDefault="00A90E9C" w:rsidP="00A90E9C"/>
    <w:p w14:paraId="12DFD7EB" w14:textId="77777777" w:rsidR="00BD1985" w:rsidRDefault="00BD1985" w:rsidP="00A90E9C"/>
    <w:p w14:paraId="1378F6C4" w14:textId="77777777" w:rsidR="00BD1985" w:rsidRPr="008A26D2" w:rsidRDefault="00BD1985" w:rsidP="00A90E9C"/>
    <w:tbl>
      <w:tblPr>
        <w:tblW w:w="864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3"/>
        <w:gridCol w:w="850"/>
        <w:gridCol w:w="443"/>
        <w:gridCol w:w="266"/>
        <w:gridCol w:w="992"/>
        <w:gridCol w:w="425"/>
        <w:gridCol w:w="709"/>
        <w:gridCol w:w="851"/>
        <w:gridCol w:w="850"/>
        <w:gridCol w:w="709"/>
        <w:gridCol w:w="24"/>
        <w:gridCol w:w="826"/>
        <w:gridCol w:w="709"/>
      </w:tblGrid>
      <w:tr w:rsidR="008A26D2" w:rsidRPr="008A26D2" w14:paraId="72BADC27" w14:textId="77777777" w:rsidTr="00F873ED">
        <w:trPr>
          <w:trHeight w:val="251"/>
        </w:trPr>
        <w:tc>
          <w:tcPr>
            <w:tcW w:w="8647" w:type="dxa"/>
            <w:gridSpan w:val="13"/>
            <w:shd w:val="clear" w:color="auto" w:fill="D9D9D9" w:themeFill="background1" w:themeFillShade="D9"/>
            <w:tcMar>
              <w:top w:w="10" w:type="dxa"/>
              <w:left w:w="10" w:type="dxa"/>
              <w:bottom w:w="0" w:type="dxa"/>
              <w:right w:w="10" w:type="dxa"/>
            </w:tcMar>
            <w:vAlign w:val="center"/>
          </w:tcPr>
          <w:p w14:paraId="194B2443" w14:textId="403B641F" w:rsidR="00466925" w:rsidRPr="008A26D2" w:rsidRDefault="00466925" w:rsidP="0072651A">
            <w:pPr>
              <w:jc w:val="center"/>
              <w:rPr>
                <w:rFonts w:ascii="Arial" w:hAnsi="Arial" w:cs="Arial"/>
                <w:sz w:val="20"/>
                <w:szCs w:val="20"/>
              </w:rPr>
            </w:pPr>
            <w:r w:rsidRPr="008A26D2">
              <w:rPr>
                <w:rFonts w:ascii="Arial" w:hAnsi="Arial" w:cs="Arial"/>
                <w:sz w:val="20"/>
                <w:szCs w:val="20"/>
              </w:rPr>
              <w:br w:type="page"/>
            </w:r>
            <w:r w:rsidRPr="008A26D2">
              <w:rPr>
                <w:rFonts w:ascii="Arial" w:hAnsi="Arial" w:cs="Arial"/>
                <w:b/>
                <w:sz w:val="20"/>
                <w:szCs w:val="20"/>
              </w:rPr>
              <w:t>FICHA TÉCNICA DE INDICADOR DE SERVICIO 1.7.2</w:t>
            </w:r>
            <w:r w:rsidR="00BD1985">
              <w:rPr>
                <w:rFonts w:ascii="Arial" w:hAnsi="Arial" w:cs="Arial"/>
                <w:b/>
                <w:sz w:val="20"/>
                <w:szCs w:val="20"/>
              </w:rPr>
              <w:t xml:space="preserve"> - COBERTURA</w:t>
            </w:r>
          </w:p>
        </w:tc>
      </w:tr>
      <w:tr w:rsidR="008A26D2" w:rsidRPr="008A26D2" w14:paraId="0A24D8AB" w14:textId="77777777" w:rsidTr="00F873ED">
        <w:trPr>
          <w:trHeight w:val="409"/>
        </w:trPr>
        <w:tc>
          <w:tcPr>
            <w:tcW w:w="2286" w:type="dxa"/>
            <w:gridSpan w:val="3"/>
            <w:shd w:val="clear" w:color="auto" w:fill="FFFFFF"/>
            <w:tcMar>
              <w:top w:w="10" w:type="dxa"/>
              <w:left w:w="93" w:type="dxa"/>
              <w:bottom w:w="0" w:type="dxa"/>
              <w:right w:w="10" w:type="dxa"/>
            </w:tcMar>
            <w:vAlign w:val="center"/>
          </w:tcPr>
          <w:p w14:paraId="059CBEC1" w14:textId="77777777" w:rsidR="00466925" w:rsidRPr="008A26D2" w:rsidRDefault="00466925" w:rsidP="0072651A">
            <w:pPr>
              <w:rPr>
                <w:rFonts w:ascii="Arial" w:hAnsi="Arial" w:cs="Arial"/>
                <w:sz w:val="20"/>
                <w:szCs w:val="20"/>
              </w:rPr>
            </w:pPr>
            <w:r w:rsidRPr="008A26D2">
              <w:rPr>
                <w:rFonts w:ascii="Arial" w:hAnsi="Arial" w:cs="Arial"/>
                <w:b/>
                <w:sz w:val="20"/>
                <w:szCs w:val="20"/>
              </w:rPr>
              <w:t>Objetivo prioritario:</w:t>
            </w:r>
          </w:p>
        </w:tc>
        <w:tc>
          <w:tcPr>
            <w:tcW w:w="6361" w:type="dxa"/>
            <w:gridSpan w:val="10"/>
            <w:shd w:val="clear" w:color="auto" w:fill="FFFFFF"/>
            <w:tcMar>
              <w:top w:w="51" w:type="dxa"/>
              <w:left w:w="227" w:type="dxa"/>
              <w:bottom w:w="51" w:type="dxa"/>
              <w:right w:w="227" w:type="dxa"/>
            </w:tcMar>
            <w:vAlign w:val="center"/>
          </w:tcPr>
          <w:p w14:paraId="694EABE1" w14:textId="77777777" w:rsidR="00466925" w:rsidRPr="008A26D2" w:rsidRDefault="00466925" w:rsidP="0072651A">
            <w:pPr>
              <w:spacing w:after="0" w:line="240" w:lineRule="auto"/>
              <w:jc w:val="both"/>
              <w:rPr>
                <w:rFonts w:ascii="Arial" w:hAnsi="Arial" w:cs="Arial"/>
                <w:sz w:val="20"/>
                <w:szCs w:val="20"/>
              </w:rPr>
            </w:pPr>
            <w:r w:rsidRPr="008A26D2">
              <w:rPr>
                <w:rFonts w:ascii="Arial" w:eastAsia="Times New Roman" w:hAnsi="Arial" w:cs="Arial"/>
                <w:sz w:val="20"/>
                <w:szCs w:val="20"/>
              </w:rPr>
              <w:t xml:space="preserve">OP1 </w:t>
            </w:r>
            <w:r w:rsidRPr="008A26D2">
              <w:rPr>
                <w:rFonts w:ascii="Arial" w:eastAsia="Arial Narrow" w:hAnsi="Arial" w:cs="Arial"/>
                <w:sz w:val="20"/>
                <w:szCs w:val="20"/>
              </w:rPr>
              <w:t xml:space="preserve">Mejorar las condiciones para la sostenibilidad de los ecosistemas forestales, otros ecosistemas de vegetación silvestre y de la fauna silvestre  </w:t>
            </w:r>
          </w:p>
        </w:tc>
      </w:tr>
      <w:tr w:rsidR="008A26D2" w:rsidRPr="008A26D2" w14:paraId="114FEAF9" w14:textId="77777777" w:rsidTr="00F873ED">
        <w:trPr>
          <w:trHeight w:val="436"/>
        </w:trPr>
        <w:tc>
          <w:tcPr>
            <w:tcW w:w="2286" w:type="dxa"/>
            <w:gridSpan w:val="3"/>
            <w:shd w:val="clear" w:color="auto" w:fill="auto"/>
            <w:tcMar>
              <w:top w:w="10" w:type="dxa"/>
              <w:left w:w="93" w:type="dxa"/>
              <w:bottom w:w="0" w:type="dxa"/>
              <w:right w:w="10" w:type="dxa"/>
            </w:tcMar>
            <w:vAlign w:val="center"/>
          </w:tcPr>
          <w:p w14:paraId="4298CA40" w14:textId="77777777" w:rsidR="00466925" w:rsidRPr="008A26D2" w:rsidRDefault="00466925" w:rsidP="0072651A">
            <w:pPr>
              <w:rPr>
                <w:rFonts w:ascii="Arial" w:hAnsi="Arial" w:cs="Arial"/>
                <w:sz w:val="20"/>
                <w:szCs w:val="20"/>
              </w:rPr>
            </w:pPr>
            <w:r w:rsidRPr="008A26D2">
              <w:rPr>
                <w:rFonts w:ascii="Arial" w:hAnsi="Arial" w:cs="Arial"/>
                <w:b/>
                <w:sz w:val="20"/>
                <w:szCs w:val="20"/>
              </w:rPr>
              <w:t>Lineamiento de la política:</w:t>
            </w:r>
          </w:p>
        </w:tc>
        <w:tc>
          <w:tcPr>
            <w:tcW w:w="6361" w:type="dxa"/>
            <w:gridSpan w:val="10"/>
            <w:shd w:val="clear" w:color="auto" w:fill="auto"/>
            <w:tcMar>
              <w:top w:w="51" w:type="dxa"/>
              <w:left w:w="227" w:type="dxa"/>
              <w:bottom w:w="51" w:type="dxa"/>
              <w:right w:w="227" w:type="dxa"/>
            </w:tcMar>
            <w:vAlign w:val="center"/>
          </w:tcPr>
          <w:p w14:paraId="7A93C094" w14:textId="77777777" w:rsidR="00466925" w:rsidRPr="008A26D2" w:rsidRDefault="00466925" w:rsidP="0072651A">
            <w:pPr>
              <w:spacing w:after="0" w:line="240" w:lineRule="auto"/>
              <w:jc w:val="both"/>
              <w:rPr>
                <w:rFonts w:ascii="Arial" w:hAnsi="Arial" w:cs="Arial"/>
                <w:sz w:val="20"/>
                <w:szCs w:val="20"/>
              </w:rPr>
            </w:pPr>
            <w:r w:rsidRPr="008A26D2">
              <w:rPr>
                <w:rFonts w:ascii="Arial" w:eastAsia="Times New Roman" w:hAnsi="Arial" w:cs="Arial"/>
                <w:sz w:val="20"/>
                <w:szCs w:val="20"/>
              </w:rPr>
              <w:t>L1.7 Fomentar la conservación y aprovechamiento sostenible de la vicuña como una prioridad estratégica para el desarrollo sostenible de las poblaciones altoandinas.</w:t>
            </w:r>
          </w:p>
        </w:tc>
      </w:tr>
      <w:tr w:rsidR="008A26D2" w:rsidRPr="008A26D2" w14:paraId="4C688339" w14:textId="77777777" w:rsidTr="00F873ED">
        <w:trPr>
          <w:trHeight w:val="404"/>
        </w:trPr>
        <w:tc>
          <w:tcPr>
            <w:tcW w:w="2286" w:type="dxa"/>
            <w:gridSpan w:val="3"/>
            <w:shd w:val="clear" w:color="auto" w:fill="auto"/>
            <w:tcMar>
              <w:top w:w="10" w:type="dxa"/>
              <w:left w:w="93" w:type="dxa"/>
              <w:bottom w:w="0" w:type="dxa"/>
              <w:right w:w="10" w:type="dxa"/>
            </w:tcMar>
            <w:vAlign w:val="center"/>
          </w:tcPr>
          <w:p w14:paraId="41F61A04" w14:textId="77777777" w:rsidR="00466925" w:rsidRPr="008A26D2" w:rsidRDefault="00466925" w:rsidP="0072651A">
            <w:pPr>
              <w:rPr>
                <w:rFonts w:ascii="Arial" w:hAnsi="Arial" w:cs="Arial"/>
                <w:sz w:val="20"/>
                <w:szCs w:val="20"/>
              </w:rPr>
            </w:pPr>
            <w:r w:rsidRPr="008A26D2">
              <w:rPr>
                <w:rFonts w:ascii="Arial" w:hAnsi="Arial" w:cs="Arial"/>
                <w:b/>
                <w:sz w:val="20"/>
                <w:szCs w:val="20"/>
              </w:rPr>
              <w:t>Nombre del servicio:</w:t>
            </w:r>
          </w:p>
        </w:tc>
        <w:tc>
          <w:tcPr>
            <w:tcW w:w="6361" w:type="dxa"/>
            <w:gridSpan w:val="10"/>
            <w:shd w:val="clear" w:color="auto" w:fill="auto"/>
            <w:tcMar>
              <w:top w:w="51" w:type="dxa"/>
              <w:left w:w="227" w:type="dxa"/>
              <w:bottom w:w="51" w:type="dxa"/>
              <w:right w:w="227" w:type="dxa"/>
            </w:tcMar>
            <w:vAlign w:val="center"/>
          </w:tcPr>
          <w:p w14:paraId="1950D0D7" w14:textId="69B49FC9" w:rsidR="00466925" w:rsidRPr="00F8655E" w:rsidRDefault="00466925" w:rsidP="0072651A">
            <w:pPr>
              <w:spacing w:after="0" w:line="240" w:lineRule="auto"/>
              <w:jc w:val="both"/>
              <w:rPr>
                <w:rFonts w:ascii="Arial" w:hAnsi="Arial" w:cs="Arial"/>
                <w:sz w:val="20"/>
                <w:szCs w:val="20"/>
              </w:rPr>
            </w:pPr>
            <w:r w:rsidRPr="00F8655E">
              <w:rPr>
                <w:rFonts w:ascii="Arial" w:hAnsi="Arial" w:cs="Arial"/>
                <w:sz w:val="20"/>
                <w:szCs w:val="20"/>
              </w:rPr>
              <w:t xml:space="preserve">S1.7.2 </w:t>
            </w:r>
            <w:r w:rsidR="003C5B2C" w:rsidRPr="00F8655E">
              <w:rPr>
                <w:rFonts w:ascii="Arial" w:hAnsi="Arial" w:cs="Arial"/>
                <w:sz w:val="20"/>
                <w:szCs w:val="20"/>
              </w:rPr>
              <w:t>Promoción de la oferta exportable de prendas de vestir, accesorios y textiles del hogar confeccionados con fibra de vicuña de forma oportuna para beneficio de las empresas comercializadoras de productos de fibra de vicuña</w:t>
            </w:r>
            <w:r w:rsidR="001B2BAB" w:rsidRPr="00F8655E">
              <w:rPr>
                <w:rFonts w:ascii="Arial" w:hAnsi="Arial" w:cs="Arial"/>
                <w:sz w:val="20"/>
                <w:szCs w:val="20"/>
              </w:rPr>
              <w:t>.</w:t>
            </w:r>
          </w:p>
        </w:tc>
      </w:tr>
      <w:tr w:rsidR="008A26D2" w:rsidRPr="008A26D2" w14:paraId="01DC7268" w14:textId="77777777" w:rsidTr="00F873ED">
        <w:trPr>
          <w:trHeight w:val="656"/>
        </w:trPr>
        <w:tc>
          <w:tcPr>
            <w:tcW w:w="2286" w:type="dxa"/>
            <w:gridSpan w:val="3"/>
            <w:shd w:val="clear" w:color="auto" w:fill="auto"/>
            <w:tcMar>
              <w:top w:w="10" w:type="dxa"/>
              <w:left w:w="93" w:type="dxa"/>
              <w:bottom w:w="0" w:type="dxa"/>
              <w:right w:w="10" w:type="dxa"/>
            </w:tcMar>
            <w:vAlign w:val="center"/>
          </w:tcPr>
          <w:p w14:paraId="607F079C" w14:textId="77777777" w:rsidR="00466925" w:rsidRPr="008A26D2" w:rsidRDefault="00466925" w:rsidP="0072651A">
            <w:pPr>
              <w:rPr>
                <w:rFonts w:ascii="Arial" w:hAnsi="Arial" w:cs="Arial"/>
                <w:sz w:val="20"/>
                <w:szCs w:val="20"/>
              </w:rPr>
            </w:pPr>
            <w:r w:rsidRPr="008A26D2">
              <w:rPr>
                <w:rFonts w:ascii="Arial" w:hAnsi="Arial" w:cs="Arial"/>
                <w:b/>
                <w:sz w:val="20"/>
                <w:szCs w:val="20"/>
              </w:rPr>
              <w:t>Nombre del indicador:</w:t>
            </w:r>
          </w:p>
        </w:tc>
        <w:tc>
          <w:tcPr>
            <w:tcW w:w="6361" w:type="dxa"/>
            <w:gridSpan w:val="10"/>
            <w:shd w:val="clear" w:color="auto" w:fill="auto"/>
            <w:tcMar>
              <w:top w:w="51" w:type="dxa"/>
              <w:left w:w="227" w:type="dxa"/>
              <w:bottom w:w="51" w:type="dxa"/>
              <w:right w:w="227" w:type="dxa"/>
            </w:tcMar>
            <w:vAlign w:val="center"/>
          </w:tcPr>
          <w:p w14:paraId="648FF5FA" w14:textId="4F6FF58E" w:rsidR="00466925" w:rsidRPr="00F8655E" w:rsidRDefault="00466925" w:rsidP="00F873ED">
            <w:pPr>
              <w:spacing w:after="0" w:line="240" w:lineRule="auto"/>
              <w:jc w:val="both"/>
              <w:rPr>
                <w:rFonts w:ascii="Arial" w:eastAsia="Arial Narrow" w:hAnsi="Arial" w:cs="Arial"/>
                <w:sz w:val="20"/>
                <w:szCs w:val="20"/>
              </w:rPr>
            </w:pPr>
            <w:r w:rsidRPr="00F8655E">
              <w:rPr>
                <w:rFonts w:ascii="Arial" w:hAnsi="Arial" w:cs="Arial"/>
                <w:sz w:val="20"/>
                <w:szCs w:val="20"/>
              </w:rPr>
              <w:t>Número de eventos internacionales que incluyen como parte de la oferta, la elaborada en fibra de vicuña.</w:t>
            </w:r>
          </w:p>
        </w:tc>
      </w:tr>
      <w:tr w:rsidR="008A26D2" w:rsidRPr="008A26D2" w14:paraId="7FAFDBD2" w14:textId="77777777" w:rsidTr="00F873ED">
        <w:trPr>
          <w:trHeight w:val="577"/>
        </w:trPr>
        <w:tc>
          <w:tcPr>
            <w:tcW w:w="2286" w:type="dxa"/>
            <w:gridSpan w:val="3"/>
            <w:shd w:val="clear" w:color="auto" w:fill="auto"/>
            <w:tcMar>
              <w:top w:w="10" w:type="dxa"/>
              <w:left w:w="93" w:type="dxa"/>
              <w:bottom w:w="0" w:type="dxa"/>
              <w:right w:w="10" w:type="dxa"/>
            </w:tcMar>
            <w:vAlign w:val="center"/>
          </w:tcPr>
          <w:p w14:paraId="011DB98E" w14:textId="77777777" w:rsidR="00466925" w:rsidRPr="008A26D2" w:rsidRDefault="00466925" w:rsidP="0072651A">
            <w:pPr>
              <w:rPr>
                <w:rFonts w:ascii="Arial" w:hAnsi="Arial" w:cs="Arial"/>
                <w:sz w:val="20"/>
                <w:szCs w:val="20"/>
              </w:rPr>
            </w:pPr>
            <w:r w:rsidRPr="008A26D2">
              <w:rPr>
                <w:rFonts w:ascii="Arial" w:hAnsi="Arial" w:cs="Arial"/>
                <w:b/>
                <w:sz w:val="20"/>
                <w:szCs w:val="20"/>
              </w:rPr>
              <w:t>Justificación:</w:t>
            </w:r>
          </w:p>
        </w:tc>
        <w:tc>
          <w:tcPr>
            <w:tcW w:w="6361" w:type="dxa"/>
            <w:gridSpan w:val="10"/>
            <w:shd w:val="clear" w:color="auto" w:fill="auto"/>
            <w:tcMar>
              <w:top w:w="51" w:type="dxa"/>
              <w:left w:w="227" w:type="dxa"/>
              <w:bottom w:w="51" w:type="dxa"/>
              <w:right w:w="227" w:type="dxa"/>
            </w:tcMar>
            <w:vAlign w:val="center"/>
          </w:tcPr>
          <w:p w14:paraId="5AD6DB81" w14:textId="152C3708" w:rsidR="00466925" w:rsidRPr="008A26D2" w:rsidRDefault="00466925" w:rsidP="00F873ED">
            <w:pPr>
              <w:spacing w:after="0" w:line="240" w:lineRule="auto"/>
              <w:jc w:val="both"/>
              <w:rPr>
                <w:rFonts w:ascii="Arial" w:eastAsia="Arial Narrow" w:hAnsi="Arial" w:cs="Arial"/>
                <w:strike/>
                <w:sz w:val="20"/>
                <w:szCs w:val="20"/>
              </w:rPr>
            </w:pPr>
            <w:r w:rsidRPr="008A26D2">
              <w:rPr>
                <w:rFonts w:ascii="Arial" w:eastAsia="Times New Roman" w:hAnsi="Arial" w:cs="Arial"/>
                <w:sz w:val="20"/>
                <w:szCs w:val="20"/>
              </w:rPr>
              <w:t xml:space="preserve">El indicador permite cuantificar el número de eventos internacionales que incluyen la participación de </w:t>
            </w:r>
            <w:r w:rsidRPr="008A26D2">
              <w:rPr>
                <w:rFonts w:ascii="Arial" w:hAnsi="Arial" w:cs="Arial"/>
                <w:sz w:val="20"/>
                <w:szCs w:val="20"/>
              </w:rPr>
              <w:t>empresas con potencial exportador prendas de vestir y accesorios confeccionados con fibra de vicuña</w:t>
            </w:r>
          </w:p>
        </w:tc>
      </w:tr>
      <w:tr w:rsidR="008A26D2" w:rsidRPr="008A26D2" w14:paraId="1A0281A1" w14:textId="77777777" w:rsidTr="00F873ED">
        <w:trPr>
          <w:trHeight w:val="411"/>
        </w:trPr>
        <w:tc>
          <w:tcPr>
            <w:tcW w:w="2286" w:type="dxa"/>
            <w:gridSpan w:val="3"/>
            <w:shd w:val="clear" w:color="auto" w:fill="auto"/>
            <w:tcMar>
              <w:top w:w="10" w:type="dxa"/>
              <w:left w:w="93" w:type="dxa"/>
              <w:bottom w:w="0" w:type="dxa"/>
              <w:right w:w="10" w:type="dxa"/>
            </w:tcMar>
            <w:vAlign w:val="center"/>
          </w:tcPr>
          <w:p w14:paraId="18910014" w14:textId="77777777" w:rsidR="00466925" w:rsidRPr="008A26D2" w:rsidRDefault="00466925" w:rsidP="0072651A">
            <w:pPr>
              <w:rPr>
                <w:rFonts w:ascii="Arial" w:hAnsi="Arial" w:cs="Arial"/>
                <w:sz w:val="20"/>
                <w:szCs w:val="20"/>
              </w:rPr>
            </w:pPr>
            <w:r w:rsidRPr="008A26D2">
              <w:rPr>
                <w:rFonts w:ascii="Arial" w:hAnsi="Arial" w:cs="Arial"/>
                <w:b/>
                <w:sz w:val="20"/>
                <w:szCs w:val="20"/>
              </w:rPr>
              <w:t>Responsable del indicador:</w:t>
            </w:r>
          </w:p>
        </w:tc>
        <w:tc>
          <w:tcPr>
            <w:tcW w:w="6361" w:type="dxa"/>
            <w:gridSpan w:val="10"/>
            <w:shd w:val="clear" w:color="auto" w:fill="auto"/>
            <w:tcMar>
              <w:top w:w="51" w:type="dxa"/>
              <w:left w:w="227" w:type="dxa"/>
              <w:bottom w:w="51" w:type="dxa"/>
              <w:right w:w="227" w:type="dxa"/>
            </w:tcMar>
            <w:vAlign w:val="center"/>
          </w:tcPr>
          <w:p w14:paraId="0DBCAB40" w14:textId="5FC1B769" w:rsidR="00466925" w:rsidRPr="008A26D2" w:rsidRDefault="00466925" w:rsidP="00F8655E">
            <w:pPr>
              <w:spacing w:after="0" w:line="240" w:lineRule="auto"/>
              <w:jc w:val="both"/>
              <w:rPr>
                <w:rFonts w:ascii="Arial" w:eastAsia="Arial Narrow" w:hAnsi="Arial" w:cs="Arial"/>
                <w:sz w:val="20"/>
                <w:szCs w:val="20"/>
              </w:rPr>
            </w:pPr>
            <w:r w:rsidRPr="008A26D2">
              <w:rPr>
                <w:rFonts w:ascii="Arial" w:hAnsi="Arial" w:cs="Arial"/>
                <w:sz w:val="20"/>
                <w:szCs w:val="20"/>
              </w:rPr>
              <w:t xml:space="preserve">Dirección de Promoción de las Exportaciones </w:t>
            </w:r>
            <w:r w:rsidR="002A26BD">
              <w:rPr>
                <w:rFonts w:ascii="Arial" w:hAnsi="Arial" w:cs="Arial"/>
                <w:sz w:val="20"/>
                <w:szCs w:val="20"/>
              </w:rPr>
              <w:t xml:space="preserve">de la </w:t>
            </w:r>
            <w:r w:rsidR="002A26BD" w:rsidRPr="002A26BD">
              <w:rPr>
                <w:rFonts w:ascii="Arial" w:hAnsi="Arial" w:cs="Arial"/>
                <w:sz w:val="20"/>
                <w:szCs w:val="20"/>
              </w:rPr>
              <w:t xml:space="preserve">Comisión de Promoción del Perú para la Exportación y el Turismo </w:t>
            </w:r>
            <w:r w:rsidR="002A26BD">
              <w:rPr>
                <w:rFonts w:ascii="Arial" w:hAnsi="Arial" w:cs="Arial"/>
                <w:sz w:val="20"/>
                <w:szCs w:val="20"/>
              </w:rPr>
              <w:t xml:space="preserve">- </w:t>
            </w:r>
            <w:r w:rsidRPr="008A26D2">
              <w:rPr>
                <w:rFonts w:ascii="Arial" w:hAnsi="Arial" w:cs="Arial"/>
                <w:sz w:val="20"/>
                <w:szCs w:val="20"/>
              </w:rPr>
              <w:t>PROMPERU</w:t>
            </w:r>
          </w:p>
        </w:tc>
      </w:tr>
      <w:tr w:rsidR="008A26D2" w:rsidRPr="008A26D2" w14:paraId="33388CEB" w14:textId="77777777" w:rsidTr="00F873ED">
        <w:trPr>
          <w:trHeight w:val="919"/>
        </w:trPr>
        <w:tc>
          <w:tcPr>
            <w:tcW w:w="2286" w:type="dxa"/>
            <w:gridSpan w:val="3"/>
            <w:shd w:val="clear" w:color="auto" w:fill="auto"/>
            <w:tcMar>
              <w:top w:w="10" w:type="dxa"/>
              <w:left w:w="93" w:type="dxa"/>
              <w:bottom w:w="0" w:type="dxa"/>
              <w:right w:w="10" w:type="dxa"/>
            </w:tcMar>
            <w:vAlign w:val="center"/>
          </w:tcPr>
          <w:p w14:paraId="6D33CCFC" w14:textId="77777777" w:rsidR="00466925" w:rsidRPr="008A26D2" w:rsidRDefault="00466925" w:rsidP="0072651A">
            <w:pPr>
              <w:rPr>
                <w:rFonts w:ascii="Arial" w:hAnsi="Arial" w:cs="Arial"/>
                <w:sz w:val="20"/>
                <w:szCs w:val="20"/>
              </w:rPr>
            </w:pPr>
            <w:r w:rsidRPr="008A26D2">
              <w:rPr>
                <w:rFonts w:ascii="Arial" w:hAnsi="Arial" w:cs="Arial"/>
                <w:b/>
                <w:sz w:val="20"/>
                <w:szCs w:val="20"/>
              </w:rPr>
              <w:t>Limitaciones para la medición del indicador:</w:t>
            </w:r>
          </w:p>
        </w:tc>
        <w:tc>
          <w:tcPr>
            <w:tcW w:w="6361" w:type="dxa"/>
            <w:gridSpan w:val="10"/>
            <w:shd w:val="clear" w:color="auto" w:fill="auto"/>
            <w:tcMar>
              <w:top w:w="51" w:type="dxa"/>
              <w:left w:w="227" w:type="dxa"/>
              <w:bottom w:w="51" w:type="dxa"/>
              <w:right w:w="227" w:type="dxa"/>
            </w:tcMar>
            <w:vAlign w:val="center"/>
          </w:tcPr>
          <w:p w14:paraId="774BD508" w14:textId="5C47FDB4" w:rsidR="00466925" w:rsidRPr="008A26D2" w:rsidRDefault="00466925" w:rsidP="0072651A">
            <w:pPr>
              <w:spacing w:after="0" w:line="240" w:lineRule="auto"/>
              <w:jc w:val="both"/>
              <w:rPr>
                <w:rFonts w:ascii="Arial" w:hAnsi="Arial" w:cs="Arial"/>
                <w:sz w:val="20"/>
                <w:szCs w:val="20"/>
              </w:rPr>
            </w:pPr>
            <w:r w:rsidRPr="008A26D2">
              <w:rPr>
                <w:rFonts w:ascii="Arial" w:eastAsia="Times New Roman" w:hAnsi="Arial" w:cs="Arial"/>
                <w:sz w:val="20"/>
                <w:szCs w:val="20"/>
              </w:rPr>
              <w:t>Contar con una oferta representativa de empresas con potencial exportador en la línea de prendas de vestir, accesorios y textiles del hogar confeccionados con fibra de vicuña.</w:t>
            </w:r>
          </w:p>
        </w:tc>
      </w:tr>
      <w:tr w:rsidR="008A26D2" w:rsidRPr="008A26D2" w14:paraId="4268FF92" w14:textId="77777777" w:rsidTr="00F873ED">
        <w:trPr>
          <w:trHeight w:val="231"/>
        </w:trPr>
        <w:tc>
          <w:tcPr>
            <w:tcW w:w="2286" w:type="dxa"/>
            <w:gridSpan w:val="3"/>
            <w:shd w:val="clear" w:color="auto" w:fill="auto"/>
            <w:tcMar>
              <w:top w:w="10" w:type="dxa"/>
              <w:left w:w="93" w:type="dxa"/>
              <w:bottom w:w="0" w:type="dxa"/>
              <w:right w:w="10" w:type="dxa"/>
            </w:tcMar>
            <w:vAlign w:val="center"/>
          </w:tcPr>
          <w:p w14:paraId="1B82D456" w14:textId="77777777" w:rsidR="00466925" w:rsidRPr="008A26D2" w:rsidRDefault="00466925" w:rsidP="0072651A">
            <w:pPr>
              <w:rPr>
                <w:rFonts w:ascii="Arial" w:hAnsi="Arial" w:cs="Arial"/>
                <w:sz w:val="20"/>
                <w:szCs w:val="20"/>
              </w:rPr>
            </w:pPr>
            <w:r w:rsidRPr="008A26D2">
              <w:rPr>
                <w:rFonts w:ascii="Arial" w:hAnsi="Arial" w:cs="Arial"/>
                <w:b/>
                <w:sz w:val="20"/>
                <w:szCs w:val="20"/>
              </w:rPr>
              <w:t xml:space="preserve">Método de cálculo: </w:t>
            </w:r>
          </w:p>
        </w:tc>
        <w:tc>
          <w:tcPr>
            <w:tcW w:w="6361" w:type="dxa"/>
            <w:gridSpan w:val="10"/>
            <w:shd w:val="clear" w:color="auto" w:fill="auto"/>
            <w:tcMar>
              <w:top w:w="51" w:type="dxa"/>
              <w:left w:w="227" w:type="dxa"/>
              <w:bottom w:w="51" w:type="dxa"/>
              <w:right w:w="227" w:type="dxa"/>
            </w:tcMar>
            <w:vAlign w:val="center"/>
          </w:tcPr>
          <w:p w14:paraId="0518AD3B" w14:textId="77777777" w:rsidR="00466925" w:rsidRPr="008A26D2" w:rsidRDefault="00466925" w:rsidP="0072651A">
            <w:pPr>
              <w:rPr>
                <w:rFonts w:ascii="Arial" w:eastAsia="Arial Narrow" w:hAnsi="Arial" w:cs="Arial"/>
                <w:b/>
                <w:sz w:val="20"/>
                <w:szCs w:val="20"/>
              </w:rPr>
            </w:pPr>
            <w:r w:rsidRPr="008A26D2">
              <w:rPr>
                <w:rFonts w:ascii="Arial" w:eastAsia="Arial Narrow" w:hAnsi="Arial" w:cs="Arial"/>
                <w:b/>
                <w:sz w:val="20"/>
                <w:szCs w:val="20"/>
              </w:rPr>
              <w:t>1. Fórmula:</w:t>
            </w:r>
          </w:p>
          <w:p w14:paraId="1EBA5693" w14:textId="77777777" w:rsidR="00466925" w:rsidRPr="008A26D2" w:rsidRDefault="00466925" w:rsidP="0072651A">
            <w:pPr>
              <w:spacing w:after="0" w:line="240" w:lineRule="auto"/>
              <w:rPr>
                <w:rFonts w:ascii="Arial" w:eastAsia="Arial Narrow" w:hAnsi="Arial" w:cs="Arial"/>
                <w:sz w:val="20"/>
                <w:szCs w:val="20"/>
              </w:rPr>
            </w:pPr>
            <w:r w:rsidRPr="008A26D2">
              <w:rPr>
                <w:rFonts w:ascii="Arial" w:eastAsia="Times New Roman" w:hAnsi="Arial" w:cs="Arial"/>
                <w:sz w:val="20"/>
                <w:szCs w:val="20"/>
              </w:rPr>
              <w:t xml:space="preserve">NFIRNMCV </w:t>
            </w:r>
            <w:r w:rsidRPr="008A26D2">
              <w:rPr>
                <w:rFonts w:ascii="Arial" w:eastAsia="Arial Narrow" w:hAnsi="Arial" w:cs="Arial"/>
                <w:sz w:val="20"/>
                <w:szCs w:val="20"/>
              </w:rPr>
              <w:br/>
            </w:r>
          </w:p>
          <w:p w14:paraId="6D980A55" w14:textId="77777777" w:rsidR="00466925" w:rsidRPr="008A26D2" w:rsidRDefault="00466925" w:rsidP="0072651A">
            <w:pPr>
              <w:spacing w:after="0" w:line="240" w:lineRule="auto"/>
              <w:rPr>
                <w:rFonts w:ascii="Arial" w:eastAsia="Arial Narrow" w:hAnsi="Arial" w:cs="Arial"/>
                <w:sz w:val="20"/>
                <w:szCs w:val="20"/>
              </w:rPr>
            </w:pPr>
            <w:r w:rsidRPr="008A26D2">
              <w:rPr>
                <w:rFonts w:ascii="Arial" w:eastAsia="Arial Narrow" w:hAnsi="Arial" w:cs="Arial"/>
                <w:sz w:val="20"/>
                <w:szCs w:val="20"/>
              </w:rPr>
              <w:t>Donde:</w:t>
            </w:r>
          </w:p>
          <w:p w14:paraId="277C8880" w14:textId="77777777" w:rsidR="00F873ED" w:rsidRPr="008A26D2" w:rsidRDefault="00466925" w:rsidP="00F873ED">
            <w:pPr>
              <w:ind w:left="1317" w:hanging="1317"/>
              <w:jc w:val="both"/>
              <w:rPr>
                <w:rFonts w:ascii="Arial" w:eastAsia="Times New Roman" w:hAnsi="Arial" w:cs="Arial"/>
                <w:sz w:val="20"/>
                <w:szCs w:val="20"/>
              </w:rPr>
            </w:pPr>
            <w:r w:rsidRPr="008A26D2">
              <w:rPr>
                <w:rFonts w:ascii="Arial" w:eastAsia="Times New Roman" w:hAnsi="Arial" w:cs="Arial"/>
                <w:sz w:val="20"/>
                <w:szCs w:val="20"/>
              </w:rPr>
              <w:t xml:space="preserve">NFIRNMCV = Número </w:t>
            </w:r>
            <w:r w:rsidRPr="008A26D2">
              <w:rPr>
                <w:rFonts w:ascii="Arial" w:hAnsi="Arial" w:cs="Arial"/>
                <w:sz w:val="20"/>
                <w:szCs w:val="20"/>
              </w:rPr>
              <w:t>de eventos internacionales que incluyen como parte de la oferta, la elaborada en fibra de vicuña</w:t>
            </w:r>
            <w:r w:rsidRPr="008A26D2">
              <w:rPr>
                <w:rFonts w:ascii="Arial" w:eastAsia="Times New Roman" w:hAnsi="Arial" w:cs="Arial"/>
                <w:sz w:val="20"/>
                <w:szCs w:val="20"/>
              </w:rPr>
              <w:t>.</w:t>
            </w:r>
          </w:p>
          <w:p w14:paraId="07DA7323" w14:textId="6F8D6878" w:rsidR="00466925" w:rsidRPr="008A26D2" w:rsidRDefault="00466925" w:rsidP="00F873ED">
            <w:pPr>
              <w:ind w:left="1317" w:hanging="1317"/>
              <w:jc w:val="both"/>
              <w:rPr>
                <w:rFonts w:ascii="Arial" w:eastAsia="Times New Roman" w:hAnsi="Arial" w:cs="Arial"/>
                <w:sz w:val="20"/>
                <w:szCs w:val="20"/>
              </w:rPr>
            </w:pPr>
            <w:r w:rsidRPr="008A26D2">
              <w:rPr>
                <w:rFonts w:ascii="Arial" w:eastAsia="Arial Narrow" w:hAnsi="Arial" w:cs="Arial"/>
                <w:b/>
                <w:sz w:val="20"/>
                <w:szCs w:val="20"/>
              </w:rPr>
              <w:t>2. Especificaciones técnicas:</w:t>
            </w:r>
          </w:p>
          <w:p w14:paraId="415E361B" w14:textId="4E809B16" w:rsidR="00F873ED" w:rsidRPr="008A26D2" w:rsidRDefault="005D50CE" w:rsidP="0072651A">
            <w:pPr>
              <w:spacing w:after="0" w:line="240" w:lineRule="auto"/>
              <w:jc w:val="both"/>
              <w:rPr>
                <w:rFonts w:ascii="Arial" w:eastAsia="Times New Roman" w:hAnsi="Arial" w:cs="Arial"/>
                <w:sz w:val="20"/>
                <w:szCs w:val="20"/>
              </w:rPr>
            </w:pPr>
            <w:r>
              <w:rPr>
                <w:rFonts w:ascii="Arial" w:eastAsia="Times New Roman" w:hAnsi="Arial" w:cs="Arial"/>
                <w:sz w:val="20"/>
                <w:szCs w:val="20"/>
              </w:rPr>
              <w:t>La variable NFIRNMCV se determina a partir de</w:t>
            </w:r>
            <w:r w:rsidR="00F8655E">
              <w:rPr>
                <w:rFonts w:ascii="Arial" w:eastAsia="Times New Roman" w:hAnsi="Arial" w:cs="Arial"/>
                <w:sz w:val="20"/>
                <w:szCs w:val="20"/>
              </w:rPr>
              <w:t xml:space="preserve"> la cantidad de</w:t>
            </w:r>
            <w:r w:rsidR="00F873ED" w:rsidRPr="008A26D2">
              <w:rPr>
                <w:rFonts w:ascii="Arial" w:eastAsia="Times New Roman" w:hAnsi="Arial" w:cs="Arial"/>
                <w:sz w:val="20"/>
                <w:szCs w:val="20"/>
              </w:rPr>
              <w:t xml:space="preserve"> eventos internacionales</w:t>
            </w:r>
            <w:r w:rsidR="00F8655E">
              <w:rPr>
                <w:rFonts w:ascii="Arial" w:eastAsia="Times New Roman" w:hAnsi="Arial" w:cs="Arial"/>
                <w:sz w:val="20"/>
                <w:szCs w:val="20"/>
              </w:rPr>
              <w:t xml:space="preserve">, tales como </w:t>
            </w:r>
            <w:r w:rsidR="00F8655E" w:rsidRPr="008A26D2">
              <w:rPr>
                <w:rFonts w:ascii="Arial" w:eastAsia="Times New Roman" w:hAnsi="Arial" w:cs="Arial"/>
                <w:sz w:val="20"/>
                <w:szCs w:val="20"/>
              </w:rPr>
              <w:t>ferias internacionales, ruedas de negocio y misiones comerciales</w:t>
            </w:r>
            <w:r w:rsidR="00F8655E">
              <w:rPr>
                <w:rFonts w:ascii="Arial" w:eastAsia="Times New Roman" w:hAnsi="Arial" w:cs="Arial"/>
                <w:sz w:val="20"/>
                <w:szCs w:val="20"/>
              </w:rPr>
              <w:t xml:space="preserve">, donde participen </w:t>
            </w:r>
            <w:r w:rsidR="00F8655E" w:rsidRPr="008A26D2">
              <w:rPr>
                <w:rFonts w:ascii="Arial" w:hAnsi="Arial" w:cs="Arial"/>
                <w:sz w:val="20"/>
                <w:szCs w:val="20"/>
              </w:rPr>
              <w:t>empresas con potencial exportador</w:t>
            </w:r>
            <w:r w:rsidR="00F8655E">
              <w:rPr>
                <w:rFonts w:ascii="Arial" w:hAnsi="Arial" w:cs="Arial"/>
                <w:sz w:val="20"/>
                <w:szCs w:val="20"/>
              </w:rPr>
              <w:t xml:space="preserve"> de</w:t>
            </w:r>
            <w:r w:rsidR="00F8655E" w:rsidRPr="008A26D2">
              <w:rPr>
                <w:rFonts w:ascii="Arial" w:hAnsi="Arial" w:cs="Arial"/>
                <w:sz w:val="20"/>
                <w:szCs w:val="20"/>
              </w:rPr>
              <w:t xml:space="preserve"> prendas de vestir y accesorios confeccionados con fibra de vicuña</w:t>
            </w:r>
            <w:r w:rsidR="00F8655E">
              <w:rPr>
                <w:rFonts w:ascii="Arial" w:hAnsi="Arial" w:cs="Arial"/>
                <w:sz w:val="20"/>
                <w:szCs w:val="20"/>
              </w:rPr>
              <w:t>.</w:t>
            </w:r>
            <w:r w:rsidR="00F8655E">
              <w:rPr>
                <w:rFonts w:ascii="Arial" w:eastAsia="Times New Roman" w:hAnsi="Arial" w:cs="Arial"/>
                <w:sz w:val="20"/>
                <w:szCs w:val="20"/>
              </w:rPr>
              <w:t xml:space="preserve"> </w:t>
            </w:r>
          </w:p>
          <w:p w14:paraId="24F765DD" w14:textId="77777777" w:rsidR="00F873ED" w:rsidRPr="008A26D2" w:rsidRDefault="00F873ED" w:rsidP="0072651A">
            <w:pPr>
              <w:spacing w:after="0" w:line="240" w:lineRule="auto"/>
              <w:jc w:val="both"/>
              <w:rPr>
                <w:rFonts w:ascii="Arial" w:eastAsia="Times New Roman" w:hAnsi="Arial" w:cs="Arial"/>
                <w:sz w:val="20"/>
                <w:szCs w:val="20"/>
              </w:rPr>
            </w:pPr>
          </w:p>
          <w:p w14:paraId="59D65420" w14:textId="4E738911" w:rsidR="00466925" w:rsidRPr="008A26D2" w:rsidRDefault="00466925" w:rsidP="0072651A">
            <w:pPr>
              <w:spacing w:after="0" w:line="240" w:lineRule="auto"/>
              <w:jc w:val="both"/>
              <w:rPr>
                <w:rFonts w:ascii="Arial" w:eastAsia="Times New Roman" w:hAnsi="Arial" w:cs="Arial"/>
                <w:sz w:val="20"/>
                <w:szCs w:val="20"/>
              </w:rPr>
            </w:pPr>
            <w:r w:rsidRPr="008A26D2">
              <w:rPr>
                <w:rFonts w:ascii="Arial" w:eastAsia="Times New Roman" w:hAnsi="Arial" w:cs="Arial"/>
                <w:sz w:val="20"/>
                <w:szCs w:val="20"/>
              </w:rPr>
              <w:t>Las ferias internacionales, son eventos con una duración determinada, que se lleva a cabo regularmente y en el cual una cantidad de expositores presentan una oferta principal de uno o varios sectores productivos o de servicios</w:t>
            </w:r>
          </w:p>
          <w:p w14:paraId="0E66389A" w14:textId="77777777" w:rsidR="00466925" w:rsidRPr="008A26D2" w:rsidRDefault="00466925" w:rsidP="0072651A">
            <w:pPr>
              <w:spacing w:after="0" w:line="240" w:lineRule="auto"/>
              <w:jc w:val="both"/>
              <w:rPr>
                <w:rFonts w:ascii="Arial" w:eastAsia="Times New Roman" w:hAnsi="Arial" w:cs="Arial"/>
                <w:sz w:val="20"/>
                <w:szCs w:val="20"/>
              </w:rPr>
            </w:pPr>
            <w:r w:rsidRPr="008A26D2">
              <w:rPr>
                <w:rFonts w:ascii="Arial" w:eastAsia="Times New Roman" w:hAnsi="Arial" w:cs="Arial"/>
                <w:sz w:val="20"/>
                <w:szCs w:val="20"/>
              </w:rPr>
              <w:lastRenderedPageBreak/>
              <w:br/>
              <w:t xml:space="preserve">Ruedas de negocio: Es un mecanismo que permite el encuentro entre emprendedores, empresarios, inversores e instituciones que buscan lograr acuerdos para abrir oportunidades de compra o venta de servicios, productos o procesos. </w:t>
            </w:r>
          </w:p>
          <w:p w14:paraId="029631C8" w14:textId="77777777" w:rsidR="00466925" w:rsidRPr="008A26D2" w:rsidRDefault="00466925" w:rsidP="0072651A">
            <w:pPr>
              <w:spacing w:after="0" w:line="240" w:lineRule="auto"/>
              <w:jc w:val="both"/>
              <w:rPr>
                <w:rFonts w:ascii="Arial" w:eastAsia="Times New Roman" w:hAnsi="Arial" w:cs="Arial"/>
                <w:sz w:val="20"/>
                <w:szCs w:val="20"/>
              </w:rPr>
            </w:pPr>
          </w:p>
          <w:p w14:paraId="49B51164" w14:textId="2AFD2995" w:rsidR="00466925" w:rsidRPr="008A26D2" w:rsidRDefault="00466925" w:rsidP="00F873ED">
            <w:pPr>
              <w:spacing w:after="0" w:line="240" w:lineRule="auto"/>
              <w:jc w:val="both"/>
              <w:rPr>
                <w:rFonts w:ascii="Arial" w:hAnsi="Arial" w:cs="Arial"/>
                <w:sz w:val="20"/>
                <w:szCs w:val="20"/>
              </w:rPr>
            </w:pPr>
            <w:r w:rsidRPr="008A26D2">
              <w:rPr>
                <w:rFonts w:ascii="Arial" w:eastAsia="Times New Roman" w:hAnsi="Arial" w:cs="Arial"/>
                <w:sz w:val="20"/>
                <w:szCs w:val="20"/>
              </w:rPr>
              <w:t>Misiones Comerciales: Es la actividad que consiste en la visita de empresarios exportadores a mercados externos, a fin de mostrar la oferta exportable e identificar la demanda extranjera. Las Misiones pueden incluir Ruedas de Negocios entre compradores y vendedores estableciéndose agendas de negocios.</w:t>
            </w:r>
          </w:p>
        </w:tc>
      </w:tr>
      <w:tr w:rsidR="008A26D2" w:rsidRPr="008A26D2" w14:paraId="75F4EC4D" w14:textId="77777777" w:rsidTr="00F873ED">
        <w:trPr>
          <w:trHeight w:val="484"/>
        </w:trPr>
        <w:tc>
          <w:tcPr>
            <w:tcW w:w="2286" w:type="dxa"/>
            <w:gridSpan w:val="3"/>
            <w:shd w:val="clear" w:color="auto" w:fill="auto"/>
            <w:tcMar>
              <w:top w:w="10" w:type="dxa"/>
              <w:left w:w="93" w:type="dxa"/>
              <w:bottom w:w="0" w:type="dxa"/>
              <w:right w:w="10" w:type="dxa"/>
            </w:tcMar>
            <w:vAlign w:val="center"/>
          </w:tcPr>
          <w:p w14:paraId="51216080" w14:textId="77777777" w:rsidR="00466925" w:rsidRPr="008A26D2" w:rsidRDefault="00466925" w:rsidP="0072651A">
            <w:pPr>
              <w:rPr>
                <w:rFonts w:ascii="Arial" w:hAnsi="Arial" w:cs="Arial"/>
                <w:sz w:val="20"/>
                <w:szCs w:val="20"/>
              </w:rPr>
            </w:pPr>
            <w:r w:rsidRPr="008A26D2">
              <w:rPr>
                <w:rFonts w:ascii="Arial" w:hAnsi="Arial" w:cs="Arial"/>
                <w:b/>
                <w:sz w:val="20"/>
                <w:szCs w:val="20"/>
              </w:rPr>
              <w:lastRenderedPageBreak/>
              <w:t>Sentido esperado del indicador:</w:t>
            </w:r>
          </w:p>
        </w:tc>
        <w:tc>
          <w:tcPr>
            <w:tcW w:w="1683" w:type="dxa"/>
            <w:gridSpan w:val="3"/>
            <w:shd w:val="clear" w:color="auto" w:fill="auto"/>
            <w:tcMar>
              <w:top w:w="10" w:type="dxa"/>
              <w:left w:w="283" w:type="dxa"/>
              <w:bottom w:w="0" w:type="dxa"/>
              <w:right w:w="283" w:type="dxa"/>
            </w:tcMar>
            <w:vAlign w:val="center"/>
          </w:tcPr>
          <w:p w14:paraId="087FEDE3" w14:textId="77777777" w:rsidR="00466925" w:rsidRPr="008A26D2" w:rsidRDefault="00466925" w:rsidP="0072651A">
            <w:pPr>
              <w:spacing w:after="0" w:line="240" w:lineRule="auto"/>
              <w:rPr>
                <w:rFonts w:ascii="Arial" w:hAnsi="Arial" w:cs="Arial"/>
                <w:sz w:val="20"/>
                <w:szCs w:val="20"/>
              </w:rPr>
            </w:pPr>
            <w:r w:rsidRPr="008A26D2">
              <w:rPr>
                <w:rFonts w:ascii="Arial" w:eastAsia="Times New Roman" w:hAnsi="Arial" w:cs="Arial"/>
                <w:sz w:val="20"/>
                <w:szCs w:val="20"/>
              </w:rPr>
              <w:t>Ascendente</w:t>
            </w:r>
          </w:p>
        </w:tc>
        <w:tc>
          <w:tcPr>
            <w:tcW w:w="3143" w:type="dxa"/>
            <w:gridSpan w:val="5"/>
            <w:shd w:val="clear" w:color="auto" w:fill="auto"/>
            <w:tcMar>
              <w:top w:w="15" w:type="dxa"/>
              <w:left w:w="15" w:type="dxa"/>
              <w:bottom w:w="0" w:type="dxa"/>
              <w:right w:w="15" w:type="dxa"/>
            </w:tcMar>
            <w:vAlign w:val="center"/>
          </w:tcPr>
          <w:p w14:paraId="2ED5D9B5" w14:textId="77777777" w:rsidR="00466925" w:rsidRPr="008A26D2" w:rsidRDefault="00466925" w:rsidP="0072651A">
            <w:pPr>
              <w:rPr>
                <w:rFonts w:ascii="Arial" w:hAnsi="Arial" w:cs="Arial"/>
                <w:sz w:val="20"/>
                <w:szCs w:val="20"/>
              </w:rPr>
            </w:pPr>
            <w:r w:rsidRPr="008A26D2">
              <w:rPr>
                <w:rFonts w:ascii="Arial" w:hAnsi="Arial" w:cs="Arial"/>
                <w:b/>
                <w:sz w:val="20"/>
                <w:szCs w:val="20"/>
              </w:rPr>
              <w:t>Tipo de indicador de servicio:</w:t>
            </w:r>
          </w:p>
        </w:tc>
        <w:tc>
          <w:tcPr>
            <w:tcW w:w="1535" w:type="dxa"/>
            <w:gridSpan w:val="2"/>
            <w:shd w:val="clear" w:color="auto" w:fill="auto"/>
            <w:tcMar>
              <w:top w:w="15" w:type="dxa"/>
              <w:left w:w="15" w:type="dxa"/>
              <w:bottom w:w="0" w:type="dxa"/>
              <w:right w:w="15" w:type="dxa"/>
            </w:tcMar>
            <w:vAlign w:val="center"/>
          </w:tcPr>
          <w:p w14:paraId="5D0DD017" w14:textId="77777777" w:rsidR="00466925" w:rsidRPr="008A26D2" w:rsidRDefault="00466925" w:rsidP="0072651A">
            <w:pPr>
              <w:rPr>
                <w:rFonts w:ascii="Arial" w:hAnsi="Arial" w:cs="Arial"/>
                <w:sz w:val="20"/>
                <w:szCs w:val="20"/>
              </w:rPr>
            </w:pPr>
            <w:r w:rsidRPr="008A26D2">
              <w:rPr>
                <w:rFonts w:ascii="Arial" w:eastAsia="Times New Roman" w:hAnsi="Arial" w:cs="Arial"/>
                <w:sz w:val="20"/>
                <w:szCs w:val="20"/>
              </w:rPr>
              <w:t>Cobertura</w:t>
            </w:r>
          </w:p>
        </w:tc>
      </w:tr>
      <w:tr w:rsidR="008A26D2" w:rsidRPr="008A26D2" w14:paraId="0A4CD40C" w14:textId="77777777" w:rsidTr="00F873ED">
        <w:trPr>
          <w:trHeight w:val="13"/>
        </w:trPr>
        <w:tc>
          <w:tcPr>
            <w:tcW w:w="2286" w:type="dxa"/>
            <w:gridSpan w:val="3"/>
            <w:shd w:val="clear" w:color="auto" w:fill="auto"/>
            <w:tcMar>
              <w:top w:w="10" w:type="dxa"/>
              <w:left w:w="93" w:type="dxa"/>
              <w:bottom w:w="0" w:type="dxa"/>
              <w:right w:w="10" w:type="dxa"/>
            </w:tcMar>
            <w:vAlign w:val="center"/>
          </w:tcPr>
          <w:p w14:paraId="501A4008" w14:textId="77777777" w:rsidR="00466925" w:rsidRPr="008A26D2" w:rsidRDefault="00466925" w:rsidP="0072651A">
            <w:pPr>
              <w:rPr>
                <w:rFonts w:ascii="Arial" w:hAnsi="Arial" w:cs="Arial"/>
                <w:sz w:val="20"/>
                <w:szCs w:val="20"/>
              </w:rPr>
            </w:pPr>
            <w:r w:rsidRPr="008A26D2">
              <w:rPr>
                <w:rFonts w:ascii="Arial" w:hAnsi="Arial" w:cs="Arial"/>
                <w:b/>
                <w:sz w:val="20"/>
                <w:szCs w:val="20"/>
              </w:rPr>
              <w:t>Fuente y base de datos:</w:t>
            </w:r>
          </w:p>
        </w:tc>
        <w:tc>
          <w:tcPr>
            <w:tcW w:w="6361" w:type="dxa"/>
            <w:gridSpan w:val="10"/>
            <w:shd w:val="clear" w:color="auto" w:fill="auto"/>
            <w:tcMar>
              <w:top w:w="51" w:type="dxa"/>
              <w:left w:w="227" w:type="dxa"/>
              <w:bottom w:w="51" w:type="dxa"/>
              <w:right w:w="227" w:type="dxa"/>
            </w:tcMar>
            <w:vAlign w:val="center"/>
          </w:tcPr>
          <w:p w14:paraId="19785227" w14:textId="07B8ADD3" w:rsidR="00BC7A6A" w:rsidRDefault="00466925" w:rsidP="00BC7A6A">
            <w:pPr>
              <w:spacing w:after="0" w:line="240" w:lineRule="auto"/>
              <w:jc w:val="both"/>
              <w:rPr>
                <w:rFonts w:ascii="Arial" w:eastAsia="Times New Roman" w:hAnsi="Arial" w:cs="Arial"/>
                <w:sz w:val="20"/>
                <w:szCs w:val="20"/>
              </w:rPr>
            </w:pPr>
            <w:r w:rsidRPr="008A26D2">
              <w:rPr>
                <w:rFonts w:ascii="Arial" w:eastAsia="Times New Roman" w:hAnsi="Arial" w:cs="Arial"/>
                <w:sz w:val="20"/>
                <w:szCs w:val="20"/>
              </w:rPr>
              <w:t xml:space="preserve">Fuente: Dirección de Promoción de las Exportaciones </w:t>
            </w:r>
            <w:r w:rsidR="00BC7A6A">
              <w:rPr>
                <w:rFonts w:ascii="Arial" w:eastAsia="Times New Roman" w:hAnsi="Arial" w:cs="Arial"/>
                <w:sz w:val="20"/>
                <w:szCs w:val="20"/>
              </w:rPr>
              <w:t xml:space="preserve">de la </w:t>
            </w:r>
            <w:r w:rsidR="00BC7A6A" w:rsidRPr="00BC7A6A">
              <w:rPr>
                <w:rFonts w:ascii="Arial" w:eastAsia="Times New Roman" w:hAnsi="Arial" w:cs="Arial"/>
                <w:sz w:val="20"/>
                <w:szCs w:val="20"/>
              </w:rPr>
              <w:t xml:space="preserve">Comisión de Promoción del Perú para la Exportación y el Turismo </w:t>
            </w:r>
            <w:r w:rsidR="00BC7A6A">
              <w:rPr>
                <w:rFonts w:ascii="Arial" w:eastAsia="Times New Roman" w:hAnsi="Arial" w:cs="Arial"/>
                <w:sz w:val="20"/>
                <w:szCs w:val="20"/>
              </w:rPr>
              <w:t>–</w:t>
            </w:r>
            <w:r w:rsidRPr="008A26D2">
              <w:rPr>
                <w:rFonts w:ascii="Arial" w:eastAsia="Times New Roman" w:hAnsi="Arial" w:cs="Arial"/>
                <w:sz w:val="20"/>
                <w:szCs w:val="20"/>
              </w:rPr>
              <w:t xml:space="preserve"> PROMPERU</w:t>
            </w:r>
            <w:r w:rsidR="00BC7A6A">
              <w:rPr>
                <w:rFonts w:ascii="Arial" w:eastAsia="Times New Roman" w:hAnsi="Arial" w:cs="Arial"/>
                <w:sz w:val="20"/>
                <w:szCs w:val="20"/>
              </w:rPr>
              <w:t>.</w:t>
            </w:r>
          </w:p>
          <w:p w14:paraId="1A1748B4" w14:textId="02074419" w:rsidR="00466925" w:rsidRPr="008A26D2" w:rsidRDefault="00466925" w:rsidP="00F8655E">
            <w:pPr>
              <w:spacing w:after="0" w:line="240" w:lineRule="auto"/>
              <w:jc w:val="both"/>
              <w:rPr>
                <w:rFonts w:ascii="Arial" w:eastAsia="Arial Narrow" w:hAnsi="Arial" w:cs="Arial"/>
                <w:sz w:val="20"/>
                <w:szCs w:val="20"/>
              </w:rPr>
            </w:pPr>
            <w:r w:rsidRPr="008A26D2">
              <w:rPr>
                <w:rFonts w:ascii="Arial" w:eastAsia="Times New Roman" w:hAnsi="Arial" w:cs="Arial"/>
                <w:sz w:val="20"/>
                <w:szCs w:val="20"/>
              </w:rPr>
              <w:t>Base de datos: Reporte de realización de ferias y ruedas de negocio elaborado por PROMPERU</w:t>
            </w:r>
          </w:p>
        </w:tc>
      </w:tr>
      <w:tr w:rsidR="008A26D2" w:rsidRPr="008A26D2" w14:paraId="46AD61B5" w14:textId="77777777" w:rsidTr="00F873ED">
        <w:trPr>
          <w:trHeight w:val="421"/>
        </w:trPr>
        <w:tc>
          <w:tcPr>
            <w:tcW w:w="2286" w:type="dxa"/>
            <w:gridSpan w:val="3"/>
            <w:shd w:val="clear" w:color="auto" w:fill="auto"/>
            <w:tcMar>
              <w:top w:w="10" w:type="dxa"/>
              <w:left w:w="93" w:type="dxa"/>
              <w:bottom w:w="0" w:type="dxa"/>
              <w:right w:w="10" w:type="dxa"/>
            </w:tcMar>
            <w:vAlign w:val="center"/>
          </w:tcPr>
          <w:p w14:paraId="406F7BBE" w14:textId="77777777" w:rsidR="00466925" w:rsidRPr="008A26D2" w:rsidRDefault="00466925" w:rsidP="0072651A">
            <w:pPr>
              <w:rPr>
                <w:rFonts w:ascii="Arial" w:hAnsi="Arial" w:cs="Arial"/>
                <w:sz w:val="20"/>
                <w:szCs w:val="20"/>
              </w:rPr>
            </w:pPr>
            <w:r w:rsidRPr="008A26D2">
              <w:rPr>
                <w:rFonts w:ascii="Arial" w:hAnsi="Arial" w:cs="Arial"/>
                <w:b/>
                <w:sz w:val="20"/>
                <w:szCs w:val="20"/>
              </w:rPr>
              <w:t>Supuestos:</w:t>
            </w:r>
          </w:p>
        </w:tc>
        <w:tc>
          <w:tcPr>
            <w:tcW w:w="6361" w:type="dxa"/>
            <w:gridSpan w:val="10"/>
            <w:shd w:val="clear" w:color="auto" w:fill="auto"/>
            <w:tcMar>
              <w:top w:w="51" w:type="dxa"/>
              <w:left w:w="227" w:type="dxa"/>
              <w:bottom w:w="51" w:type="dxa"/>
              <w:right w:w="227" w:type="dxa"/>
            </w:tcMar>
            <w:vAlign w:val="center"/>
          </w:tcPr>
          <w:p w14:paraId="0FEB0862" w14:textId="77777777" w:rsidR="00466925" w:rsidRPr="008A26D2" w:rsidRDefault="00466925" w:rsidP="0072651A">
            <w:pPr>
              <w:spacing w:after="0" w:line="240" w:lineRule="auto"/>
              <w:rPr>
                <w:rFonts w:ascii="Arial" w:eastAsia="Arial Narrow" w:hAnsi="Arial" w:cs="Arial"/>
                <w:sz w:val="20"/>
                <w:szCs w:val="20"/>
              </w:rPr>
            </w:pPr>
            <w:r w:rsidRPr="008A26D2">
              <w:rPr>
                <w:rFonts w:ascii="Arial" w:eastAsia="Times New Roman" w:hAnsi="Arial" w:cs="Arial"/>
                <w:sz w:val="20"/>
                <w:szCs w:val="20"/>
              </w:rPr>
              <w:t>El comercio exterior retoma los niveles y hábitos que tenía antes del 2020 (inicio de la pandemia por el COVID 19)</w:t>
            </w:r>
          </w:p>
        </w:tc>
      </w:tr>
      <w:tr w:rsidR="008A26D2" w:rsidRPr="008A26D2" w14:paraId="2B41B777" w14:textId="77777777" w:rsidTr="00F8655E">
        <w:trPr>
          <w:trHeight w:val="556"/>
        </w:trPr>
        <w:tc>
          <w:tcPr>
            <w:tcW w:w="993" w:type="dxa"/>
            <w:shd w:val="clear" w:color="auto" w:fill="auto"/>
            <w:tcMar>
              <w:top w:w="10" w:type="dxa"/>
              <w:left w:w="10" w:type="dxa"/>
              <w:bottom w:w="0" w:type="dxa"/>
              <w:right w:w="10" w:type="dxa"/>
            </w:tcMar>
            <w:vAlign w:val="center"/>
          </w:tcPr>
          <w:p w14:paraId="048A28E3" w14:textId="77777777" w:rsidR="00466925" w:rsidRPr="008A26D2" w:rsidRDefault="00466925" w:rsidP="0072651A">
            <w:pPr>
              <w:rPr>
                <w:rFonts w:ascii="Arial" w:hAnsi="Arial" w:cs="Arial"/>
                <w:sz w:val="20"/>
                <w:szCs w:val="20"/>
              </w:rPr>
            </w:pPr>
            <w:r w:rsidRPr="008A26D2">
              <w:rPr>
                <w:rFonts w:ascii="Arial" w:hAnsi="Arial" w:cs="Arial"/>
                <w:b/>
                <w:sz w:val="20"/>
                <w:szCs w:val="20"/>
              </w:rPr>
              <w:t> </w:t>
            </w:r>
          </w:p>
        </w:tc>
        <w:tc>
          <w:tcPr>
            <w:tcW w:w="850" w:type="dxa"/>
            <w:shd w:val="clear" w:color="auto" w:fill="auto"/>
            <w:tcMar>
              <w:top w:w="10" w:type="dxa"/>
              <w:left w:w="10" w:type="dxa"/>
              <w:bottom w:w="0" w:type="dxa"/>
              <w:right w:w="10" w:type="dxa"/>
            </w:tcMar>
            <w:vAlign w:val="center"/>
          </w:tcPr>
          <w:p w14:paraId="434F2E8F" w14:textId="77777777" w:rsidR="00466925" w:rsidRPr="008A26D2" w:rsidRDefault="00466925" w:rsidP="0072651A">
            <w:pPr>
              <w:jc w:val="center"/>
              <w:rPr>
                <w:rFonts w:ascii="Arial" w:hAnsi="Arial" w:cs="Arial"/>
                <w:sz w:val="20"/>
                <w:szCs w:val="20"/>
              </w:rPr>
            </w:pPr>
            <w:r w:rsidRPr="008A26D2">
              <w:rPr>
                <w:rFonts w:ascii="Arial" w:hAnsi="Arial" w:cs="Arial"/>
                <w:b/>
                <w:sz w:val="20"/>
                <w:szCs w:val="20"/>
              </w:rPr>
              <w:t>Línea de base</w:t>
            </w:r>
          </w:p>
        </w:tc>
        <w:tc>
          <w:tcPr>
            <w:tcW w:w="6804" w:type="dxa"/>
            <w:gridSpan w:val="11"/>
            <w:shd w:val="clear" w:color="auto" w:fill="auto"/>
            <w:tcMar>
              <w:top w:w="10" w:type="dxa"/>
              <w:left w:w="10" w:type="dxa"/>
              <w:bottom w:w="0" w:type="dxa"/>
              <w:right w:w="10" w:type="dxa"/>
            </w:tcMar>
            <w:vAlign w:val="center"/>
          </w:tcPr>
          <w:p w14:paraId="4FB9F03A" w14:textId="77777777" w:rsidR="00466925" w:rsidRPr="008A26D2" w:rsidRDefault="00466925" w:rsidP="0072651A">
            <w:pPr>
              <w:jc w:val="center"/>
              <w:rPr>
                <w:rFonts w:ascii="Arial" w:hAnsi="Arial" w:cs="Arial"/>
                <w:sz w:val="20"/>
                <w:szCs w:val="20"/>
              </w:rPr>
            </w:pPr>
            <w:r w:rsidRPr="008A26D2">
              <w:rPr>
                <w:rFonts w:ascii="Arial" w:hAnsi="Arial" w:cs="Arial"/>
                <w:b/>
                <w:sz w:val="20"/>
                <w:szCs w:val="20"/>
              </w:rPr>
              <w:t xml:space="preserve">Logros esperados </w:t>
            </w:r>
          </w:p>
        </w:tc>
      </w:tr>
      <w:tr w:rsidR="008A26D2" w:rsidRPr="008A26D2" w14:paraId="1FC44589" w14:textId="77777777" w:rsidTr="00F8655E">
        <w:trPr>
          <w:trHeight w:val="217"/>
        </w:trPr>
        <w:tc>
          <w:tcPr>
            <w:tcW w:w="993" w:type="dxa"/>
            <w:shd w:val="clear" w:color="auto" w:fill="auto"/>
            <w:tcMar>
              <w:top w:w="10" w:type="dxa"/>
              <w:left w:w="10" w:type="dxa"/>
              <w:bottom w:w="0" w:type="dxa"/>
              <w:right w:w="10" w:type="dxa"/>
            </w:tcMar>
            <w:vAlign w:val="center"/>
          </w:tcPr>
          <w:p w14:paraId="13281445" w14:textId="77777777" w:rsidR="00466925" w:rsidRPr="008A26D2" w:rsidRDefault="00466925" w:rsidP="0072651A">
            <w:pPr>
              <w:spacing w:after="0" w:line="240" w:lineRule="auto"/>
              <w:jc w:val="center"/>
              <w:rPr>
                <w:rFonts w:ascii="Arial" w:hAnsi="Arial" w:cs="Arial"/>
                <w:sz w:val="20"/>
                <w:szCs w:val="20"/>
              </w:rPr>
            </w:pPr>
            <w:r w:rsidRPr="008A26D2">
              <w:rPr>
                <w:rFonts w:ascii="Arial" w:hAnsi="Arial" w:cs="Arial"/>
                <w:b/>
                <w:sz w:val="20"/>
                <w:szCs w:val="20"/>
              </w:rPr>
              <w:t>Año</w:t>
            </w:r>
          </w:p>
        </w:tc>
        <w:tc>
          <w:tcPr>
            <w:tcW w:w="850" w:type="dxa"/>
            <w:shd w:val="clear" w:color="auto" w:fill="auto"/>
            <w:tcMar>
              <w:top w:w="10" w:type="dxa"/>
              <w:left w:w="10" w:type="dxa"/>
              <w:bottom w:w="0" w:type="dxa"/>
              <w:right w:w="10" w:type="dxa"/>
            </w:tcMar>
            <w:vAlign w:val="center"/>
          </w:tcPr>
          <w:p w14:paraId="039E4BD9" w14:textId="77777777" w:rsidR="00466925" w:rsidRPr="008A26D2" w:rsidRDefault="00466925" w:rsidP="0072651A">
            <w:pPr>
              <w:spacing w:after="0" w:line="240" w:lineRule="auto"/>
              <w:jc w:val="center"/>
              <w:rPr>
                <w:rFonts w:ascii="Arial" w:hAnsi="Arial" w:cs="Arial"/>
                <w:b/>
                <w:bCs/>
                <w:sz w:val="20"/>
                <w:szCs w:val="20"/>
              </w:rPr>
            </w:pPr>
            <w:r w:rsidRPr="008A26D2">
              <w:rPr>
                <w:rFonts w:ascii="Arial" w:eastAsia="Times New Roman" w:hAnsi="Arial" w:cs="Arial"/>
                <w:b/>
                <w:bCs/>
                <w:sz w:val="20"/>
                <w:szCs w:val="20"/>
              </w:rPr>
              <w:t>2021</w:t>
            </w:r>
          </w:p>
        </w:tc>
        <w:tc>
          <w:tcPr>
            <w:tcW w:w="709" w:type="dxa"/>
            <w:gridSpan w:val="2"/>
            <w:shd w:val="clear" w:color="auto" w:fill="auto"/>
            <w:tcMar>
              <w:top w:w="10" w:type="dxa"/>
              <w:left w:w="10" w:type="dxa"/>
              <w:bottom w:w="0" w:type="dxa"/>
              <w:right w:w="10" w:type="dxa"/>
            </w:tcMar>
            <w:vAlign w:val="center"/>
          </w:tcPr>
          <w:p w14:paraId="6AD080D2" w14:textId="77777777" w:rsidR="00466925" w:rsidRPr="008A26D2" w:rsidRDefault="00466925" w:rsidP="0072651A">
            <w:pPr>
              <w:spacing w:after="0" w:line="240" w:lineRule="auto"/>
              <w:jc w:val="center"/>
              <w:rPr>
                <w:rFonts w:ascii="Arial" w:hAnsi="Arial" w:cs="Arial"/>
                <w:b/>
                <w:sz w:val="20"/>
                <w:szCs w:val="20"/>
              </w:rPr>
            </w:pPr>
            <w:r w:rsidRPr="008A26D2">
              <w:rPr>
                <w:rFonts w:ascii="Arial" w:hAnsi="Arial" w:cs="Arial"/>
                <w:b/>
                <w:sz w:val="20"/>
                <w:szCs w:val="20"/>
              </w:rPr>
              <w:t>2023</w:t>
            </w:r>
          </w:p>
        </w:tc>
        <w:tc>
          <w:tcPr>
            <w:tcW w:w="992" w:type="dxa"/>
            <w:shd w:val="clear" w:color="auto" w:fill="auto"/>
            <w:vAlign w:val="center"/>
          </w:tcPr>
          <w:p w14:paraId="5BEAF2F2" w14:textId="77777777" w:rsidR="00466925" w:rsidRPr="008A26D2" w:rsidRDefault="00466925" w:rsidP="0072651A">
            <w:pPr>
              <w:spacing w:after="0" w:line="240" w:lineRule="auto"/>
              <w:jc w:val="center"/>
              <w:rPr>
                <w:rFonts w:ascii="Arial" w:hAnsi="Arial" w:cs="Arial"/>
                <w:b/>
                <w:sz w:val="20"/>
                <w:szCs w:val="20"/>
              </w:rPr>
            </w:pPr>
            <w:r w:rsidRPr="008A26D2">
              <w:rPr>
                <w:rFonts w:ascii="Arial" w:hAnsi="Arial" w:cs="Arial"/>
                <w:b/>
                <w:sz w:val="20"/>
                <w:szCs w:val="20"/>
              </w:rPr>
              <w:t>2024</w:t>
            </w:r>
          </w:p>
        </w:tc>
        <w:tc>
          <w:tcPr>
            <w:tcW w:w="1134" w:type="dxa"/>
            <w:gridSpan w:val="2"/>
            <w:shd w:val="clear" w:color="auto" w:fill="auto"/>
            <w:vAlign w:val="center"/>
          </w:tcPr>
          <w:p w14:paraId="5F771517" w14:textId="77777777" w:rsidR="00466925" w:rsidRPr="008A26D2" w:rsidRDefault="00466925" w:rsidP="0072651A">
            <w:pPr>
              <w:spacing w:after="0" w:line="240" w:lineRule="auto"/>
              <w:jc w:val="center"/>
              <w:rPr>
                <w:rFonts w:ascii="Arial" w:hAnsi="Arial" w:cs="Arial"/>
                <w:b/>
                <w:sz w:val="20"/>
                <w:szCs w:val="20"/>
              </w:rPr>
            </w:pPr>
            <w:r w:rsidRPr="008A26D2">
              <w:rPr>
                <w:rFonts w:ascii="Arial" w:hAnsi="Arial" w:cs="Arial"/>
                <w:b/>
                <w:sz w:val="20"/>
                <w:szCs w:val="20"/>
              </w:rPr>
              <w:t>2025</w:t>
            </w:r>
          </w:p>
        </w:tc>
        <w:tc>
          <w:tcPr>
            <w:tcW w:w="851" w:type="dxa"/>
            <w:shd w:val="clear" w:color="auto" w:fill="auto"/>
            <w:vAlign w:val="center"/>
          </w:tcPr>
          <w:p w14:paraId="7670F1C3" w14:textId="77777777" w:rsidR="00466925" w:rsidRPr="008A26D2" w:rsidRDefault="00466925" w:rsidP="0072651A">
            <w:pPr>
              <w:spacing w:after="0" w:line="240" w:lineRule="auto"/>
              <w:jc w:val="center"/>
              <w:rPr>
                <w:rFonts w:ascii="Arial" w:hAnsi="Arial" w:cs="Arial"/>
                <w:b/>
                <w:sz w:val="20"/>
                <w:szCs w:val="20"/>
              </w:rPr>
            </w:pPr>
            <w:r w:rsidRPr="008A26D2">
              <w:rPr>
                <w:rFonts w:ascii="Arial" w:hAnsi="Arial" w:cs="Arial"/>
                <w:b/>
                <w:sz w:val="20"/>
                <w:szCs w:val="20"/>
              </w:rPr>
              <w:t>2026</w:t>
            </w:r>
          </w:p>
        </w:tc>
        <w:tc>
          <w:tcPr>
            <w:tcW w:w="850" w:type="dxa"/>
            <w:shd w:val="clear" w:color="auto" w:fill="auto"/>
            <w:vAlign w:val="center"/>
          </w:tcPr>
          <w:p w14:paraId="65F7C0F2" w14:textId="77777777" w:rsidR="00466925" w:rsidRPr="008A26D2" w:rsidRDefault="00466925" w:rsidP="0072651A">
            <w:pPr>
              <w:spacing w:after="0" w:line="240" w:lineRule="auto"/>
              <w:jc w:val="center"/>
              <w:rPr>
                <w:rFonts w:ascii="Arial" w:hAnsi="Arial" w:cs="Arial"/>
                <w:b/>
                <w:sz w:val="20"/>
                <w:szCs w:val="20"/>
              </w:rPr>
            </w:pPr>
            <w:r w:rsidRPr="008A26D2">
              <w:rPr>
                <w:rFonts w:ascii="Arial" w:hAnsi="Arial" w:cs="Arial"/>
                <w:b/>
                <w:sz w:val="20"/>
                <w:szCs w:val="20"/>
              </w:rPr>
              <w:t>2027</w:t>
            </w:r>
          </w:p>
        </w:tc>
        <w:tc>
          <w:tcPr>
            <w:tcW w:w="709" w:type="dxa"/>
            <w:shd w:val="clear" w:color="auto" w:fill="auto"/>
            <w:vAlign w:val="center"/>
          </w:tcPr>
          <w:p w14:paraId="6CB1EE89" w14:textId="77777777" w:rsidR="00466925" w:rsidRPr="008A26D2" w:rsidRDefault="00466925" w:rsidP="0072651A">
            <w:pPr>
              <w:spacing w:after="0" w:line="240" w:lineRule="auto"/>
              <w:jc w:val="center"/>
              <w:rPr>
                <w:rFonts w:ascii="Arial" w:hAnsi="Arial" w:cs="Arial"/>
                <w:b/>
                <w:sz w:val="20"/>
                <w:szCs w:val="20"/>
              </w:rPr>
            </w:pPr>
            <w:r w:rsidRPr="008A26D2">
              <w:rPr>
                <w:rFonts w:ascii="Arial" w:hAnsi="Arial" w:cs="Arial"/>
                <w:b/>
                <w:sz w:val="20"/>
                <w:szCs w:val="20"/>
              </w:rPr>
              <w:t>2028</w:t>
            </w:r>
          </w:p>
        </w:tc>
        <w:tc>
          <w:tcPr>
            <w:tcW w:w="850" w:type="dxa"/>
            <w:gridSpan w:val="2"/>
            <w:shd w:val="clear" w:color="auto" w:fill="auto"/>
            <w:vAlign w:val="center"/>
          </w:tcPr>
          <w:p w14:paraId="0118E9D2" w14:textId="77777777" w:rsidR="00466925" w:rsidRPr="008A26D2" w:rsidRDefault="00466925" w:rsidP="0072651A">
            <w:pPr>
              <w:spacing w:after="0" w:line="240" w:lineRule="auto"/>
              <w:jc w:val="center"/>
              <w:rPr>
                <w:rFonts w:ascii="Arial" w:hAnsi="Arial" w:cs="Arial"/>
                <w:b/>
                <w:sz w:val="20"/>
                <w:szCs w:val="20"/>
              </w:rPr>
            </w:pPr>
            <w:r w:rsidRPr="008A26D2">
              <w:rPr>
                <w:rFonts w:ascii="Arial" w:hAnsi="Arial" w:cs="Arial"/>
                <w:b/>
                <w:sz w:val="20"/>
                <w:szCs w:val="20"/>
              </w:rPr>
              <w:t>2029</w:t>
            </w:r>
          </w:p>
        </w:tc>
        <w:tc>
          <w:tcPr>
            <w:tcW w:w="709" w:type="dxa"/>
            <w:shd w:val="clear" w:color="auto" w:fill="auto"/>
            <w:tcMar>
              <w:top w:w="10" w:type="dxa"/>
              <w:left w:w="10" w:type="dxa"/>
              <w:bottom w:w="0" w:type="dxa"/>
              <w:right w:w="10" w:type="dxa"/>
            </w:tcMar>
            <w:vAlign w:val="center"/>
          </w:tcPr>
          <w:p w14:paraId="33CECE12" w14:textId="77777777" w:rsidR="00466925" w:rsidRPr="008A26D2" w:rsidRDefault="00466925" w:rsidP="0072651A">
            <w:pPr>
              <w:spacing w:after="0" w:line="240" w:lineRule="auto"/>
              <w:jc w:val="center"/>
              <w:rPr>
                <w:rFonts w:ascii="Arial" w:hAnsi="Arial" w:cs="Arial"/>
                <w:b/>
                <w:sz w:val="20"/>
                <w:szCs w:val="20"/>
              </w:rPr>
            </w:pPr>
            <w:r w:rsidRPr="008A26D2">
              <w:rPr>
                <w:rFonts w:ascii="Arial" w:hAnsi="Arial" w:cs="Arial"/>
                <w:b/>
                <w:sz w:val="20"/>
                <w:szCs w:val="20"/>
              </w:rPr>
              <w:t>2030</w:t>
            </w:r>
          </w:p>
        </w:tc>
      </w:tr>
      <w:tr w:rsidR="008A26D2" w:rsidRPr="008A26D2" w14:paraId="3D5A0EC4" w14:textId="77777777" w:rsidTr="00F8655E">
        <w:trPr>
          <w:trHeight w:val="81"/>
        </w:trPr>
        <w:tc>
          <w:tcPr>
            <w:tcW w:w="993" w:type="dxa"/>
            <w:shd w:val="clear" w:color="auto" w:fill="auto"/>
            <w:tcMar>
              <w:top w:w="10" w:type="dxa"/>
              <w:left w:w="10" w:type="dxa"/>
              <w:bottom w:w="0" w:type="dxa"/>
              <w:right w:w="10" w:type="dxa"/>
            </w:tcMar>
            <w:vAlign w:val="center"/>
          </w:tcPr>
          <w:p w14:paraId="47AC5234" w14:textId="77777777" w:rsidR="00466925" w:rsidRPr="008A26D2" w:rsidRDefault="00466925" w:rsidP="0072651A">
            <w:pPr>
              <w:spacing w:after="0" w:line="240" w:lineRule="auto"/>
              <w:jc w:val="center"/>
              <w:rPr>
                <w:rFonts w:ascii="Arial" w:hAnsi="Arial" w:cs="Arial"/>
                <w:sz w:val="20"/>
                <w:szCs w:val="20"/>
              </w:rPr>
            </w:pPr>
            <w:r w:rsidRPr="008A26D2">
              <w:rPr>
                <w:rFonts w:ascii="Arial" w:hAnsi="Arial" w:cs="Arial"/>
                <w:b/>
                <w:sz w:val="20"/>
                <w:szCs w:val="20"/>
              </w:rPr>
              <w:t>Valor</w:t>
            </w:r>
          </w:p>
        </w:tc>
        <w:tc>
          <w:tcPr>
            <w:tcW w:w="850" w:type="dxa"/>
            <w:shd w:val="clear" w:color="auto" w:fill="auto"/>
            <w:tcMar>
              <w:top w:w="10" w:type="dxa"/>
              <w:left w:w="10" w:type="dxa"/>
              <w:bottom w:w="0" w:type="dxa"/>
              <w:right w:w="10" w:type="dxa"/>
            </w:tcMar>
            <w:vAlign w:val="center"/>
          </w:tcPr>
          <w:p w14:paraId="38DA6447" w14:textId="77777777" w:rsidR="00466925" w:rsidRPr="008A26D2" w:rsidRDefault="00466925" w:rsidP="0072651A">
            <w:pPr>
              <w:spacing w:after="0" w:line="240" w:lineRule="auto"/>
              <w:jc w:val="center"/>
              <w:rPr>
                <w:rFonts w:ascii="Arial" w:hAnsi="Arial" w:cs="Arial"/>
                <w:sz w:val="20"/>
                <w:szCs w:val="20"/>
              </w:rPr>
            </w:pPr>
            <w:r w:rsidRPr="008A26D2">
              <w:rPr>
                <w:rFonts w:ascii="Arial" w:hAnsi="Arial" w:cs="Arial"/>
                <w:sz w:val="20"/>
                <w:szCs w:val="20"/>
              </w:rPr>
              <w:t>4</w:t>
            </w:r>
          </w:p>
        </w:tc>
        <w:tc>
          <w:tcPr>
            <w:tcW w:w="709" w:type="dxa"/>
            <w:gridSpan w:val="2"/>
            <w:shd w:val="clear" w:color="auto" w:fill="auto"/>
            <w:tcMar>
              <w:top w:w="10" w:type="dxa"/>
              <w:left w:w="10" w:type="dxa"/>
              <w:bottom w:w="0" w:type="dxa"/>
              <w:right w:w="10" w:type="dxa"/>
            </w:tcMar>
            <w:vAlign w:val="bottom"/>
          </w:tcPr>
          <w:p w14:paraId="2D45CF9C" w14:textId="77777777" w:rsidR="00466925" w:rsidRPr="008A26D2" w:rsidRDefault="00466925" w:rsidP="0072651A">
            <w:pPr>
              <w:spacing w:after="0" w:line="240" w:lineRule="auto"/>
              <w:jc w:val="center"/>
              <w:rPr>
                <w:rFonts w:ascii="Arial" w:hAnsi="Arial" w:cs="Arial"/>
                <w:sz w:val="20"/>
                <w:szCs w:val="20"/>
              </w:rPr>
            </w:pPr>
            <w:r w:rsidRPr="008A26D2">
              <w:rPr>
                <w:rFonts w:ascii="Arial" w:eastAsia="Times New Roman" w:hAnsi="Arial" w:cs="Arial"/>
                <w:sz w:val="20"/>
                <w:szCs w:val="20"/>
              </w:rPr>
              <w:t>3</w:t>
            </w:r>
          </w:p>
        </w:tc>
        <w:tc>
          <w:tcPr>
            <w:tcW w:w="992" w:type="dxa"/>
            <w:shd w:val="clear" w:color="auto" w:fill="auto"/>
            <w:vAlign w:val="bottom"/>
          </w:tcPr>
          <w:p w14:paraId="6A3A6903" w14:textId="77777777" w:rsidR="00466925" w:rsidRPr="008A26D2" w:rsidRDefault="00466925" w:rsidP="0072651A">
            <w:pPr>
              <w:spacing w:after="0" w:line="240" w:lineRule="auto"/>
              <w:jc w:val="center"/>
              <w:rPr>
                <w:rFonts w:ascii="Arial" w:hAnsi="Arial" w:cs="Arial"/>
                <w:sz w:val="20"/>
                <w:szCs w:val="20"/>
              </w:rPr>
            </w:pPr>
            <w:r w:rsidRPr="008A26D2">
              <w:rPr>
                <w:rFonts w:ascii="Arial" w:eastAsia="Times New Roman" w:hAnsi="Arial" w:cs="Arial"/>
                <w:sz w:val="20"/>
                <w:szCs w:val="20"/>
              </w:rPr>
              <w:t>3</w:t>
            </w:r>
          </w:p>
        </w:tc>
        <w:tc>
          <w:tcPr>
            <w:tcW w:w="1134" w:type="dxa"/>
            <w:gridSpan w:val="2"/>
            <w:shd w:val="clear" w:color="auto" w:fill="auto"/>
            <w:vAlign w:val="bottom"/>
          </w:tcPr>
          <w:p w14:paraId="5DDB9405" w14:textId="77777777" w:rsidR="00466925" w:rsidRPr="008A26D2" w:rsidRDefault="00466925" w:rsidP="0072651A">
            <w:pPr>
              <w:spacing w:after="0" w:line="240" w:lineRule="auto"/>
              <w:jc w:val="center"/>
              <w:rPr>
                <w:rFonts w:ascii="Arial" w:hAnsi="Arial" w:cs="Arial"/>
                <w:sz w:val="20"/>
                <w:szCs w:val="20"/>
              </w:rPr>
            </w:pPr>
            <w:r w:rsidRPr="008A26D2">
              <w:rPr>
                <w:rFonts w:ascii="Arial" w:eastAsia="Times New Roman" w:hAnsi="Arial" w:cs="Arial"/>
                <w:sz w:val="20"/>
                <w:szCs w:val="20"/>
              </w:rPr>
              <w:t>3</w:t>
            </w:r>
          </w:p>
        </w:tc>
        <w:tc>
          <w:tcPr>
            <w:tcW w:w="851" w:type="dxa"/>
            <w:shd w:val="clear" w:color="auto" w:fill="auto"/>
            <w:vAlign w:val="bottom"/>
          </w:tcPr>
          <w:p w14:paraId="4BCA6E4A" w14:textId="77777777" w:rsidR="00466925" w:rsidRPr="008A26D2" w:rsidRDefault="00466925" w:rsidP="0072651A">
            <w:pPr>
              <w:spacing w:after="0" w:line="240" w:lineRule="auto"/>
              <w:jc w:val="center"/>
              <w:rPr>
                <w:rFonts w:ascii="Arial" w:hAnsi="Arial" w:cs="Arial"/>
                <w:sz w:val="20"/>
                <w:szCs w:val="20"/>
              </w:rPr>
            </w:pPr>
            <w:r w:rsidRPr="008A26D2">
              <w:rPr>
                <w:rFonts w:ascii="Arial" w:eastAsia="Times New Roman" w:hAnsi="Arial" w:cs="Arial"/>
                <w:sz w:val="20"/>
                <w:szCs w:val="20"/>
              </w:rPr>
              <w:t>4</w:t>
            </w:r>
          </w:p>
        </w:tc>
        <w:tc>
          <w:tcPr>
            <w:tcW w:w="850" w:type="dxa"/>
            <w:shd w:val="clear" w:color="auto" w:fill="auto"/>
            <w:vAlign w:val="bottom"/>
          </w:tcPr>
          <w:p w14:paraId="2FF5EAFE" w14:textId="77777777" w:rsidR="00466925" w:rsidRPr="008A26D2" w:rsidRDefault="00466925" w:rsidP="0072651A">
            <w:pPr>
              <w:spacing w:after="0" w:line="240" w:lineRule="auto"/>
              <w:jc w:val="center"/>
              <w:rPr>
                <w:rFonts w:ascii="Arial" w:hAnsi="Arial" w:cs="Arial"/>
                <w:sz w:val="20"/>
                <w:szCs w:val="20"/>
              </w:rPr>
            </w:pPr>
            <w:r w:rsidRPr="008A26D2">
              <w:rPr>
                <w:rFonts w:ascii="Arial" w:eastAsia="Times New Roman" w:hAnsi="Arial" w:cs="Arial"/>
                <w:sz w:val="20"/>
                <w:szCs w:val="20"/>
              </w:rPr>
              <w:t>4</w:t>
            </w:r>
          </w:p>
        </w:tc>
        <w:tc>
          <w:tcPr>
            <w:tcW w:w="709" w:type="dxa"/>
            <w:shd w:val="clear" w:color="auto" w:fill="auto"/>
            <w:vAlign w:val="bottom"/>
          </w:tcPr>
          <w:p w14:paraId="0844F183" w14:textId="77777777" w:rsidR="00466925" w:rsidRPr="008A26D2" w:rsidRDefault="00466925" w:rsidP="0072651A">
            <w:pPr>
              <w:spacing w:after="0" w:line="240" w:lineRule="auto"/>
              <w:jc w:val="center"/>
              <w:rPr>
                <w:rFonts w:ascii="Arial" w:hAnsi="Arial" w:cs="Arial"/>
                <w:sz w:val="20"/>
                <w:szCs w:val="20"/>
              </w:rPr>
            </w:pPr>
            <w:r w:rsidRPr="008A26D2">
              <w:rPr>
                <w:rFonts w:ascii="Arial" w:eastAsia="Times New Roman" w:hAnsi="Arial" w:cs="Arial"/>
                <w:sz w:val="20"/>
                <w:szCs w:val="20"/>
              </w:rPr>
              <w:t>4</w:t>
            </w:r>
          </w:p>
        </w:tc>
        <w:tc>
          <w:tcPr>
            <w:tcW w:w="850" w:type="dxa"/>
            <w:gridSpan w:val="2"/>
            <w:shd w:val="clear" w:color="auto" w:fill="auto"/>
            <w:vAlign w:val="bottom"/>
          </w:tcPr>
          <w:p w14:paraId="57F1DCE5" w14:textId="77777777" w:rsidR="00466925" w:rsidRPr="008A26D2" w:rsidRDefault="00466925" w:rsidP="0072651A">
            <w:pPr>
              <w:spacing w:after="0" w:line="240" w:lineRule="auto"/>
              <w:jc w:val="center"/>
              <w:rPr>
                <w:rFonts w:ascii="Arial" w:hAnsi="Arial" w:cs="Arial"/>
                <w:sz w:val="20"/>
                <w:szCs w:val="20"/>
              </w:rPr>
            </w:pPr>
            <w:r w:rsidRPr="008A26D2">
              <w:rPr>
                <w:rFonts w:ascii="Arial" w:eastAsia="Times New Roman" w:hAnsi="Arial" w:cs="Arial"/>
                <w:sz w:val="20"/>
                <w:szCs w:val="20"/>
              </w:rPr>
              <w:t>4</w:t>
            </w:r>
          </w:p>
        </w:tc>
        <w:tc>
          <w:tcPr>
            <w:tcW w:w="709" w:type="dxa"/>
            <w:shd w:val="clear" w:color="auto" w:fill="auto"/>
            <w:tcMar>
              <w:top w:w="10" w:type="dxa"/>
              <w:left w:w="10" w:type="dxa"/>
              <w:bottom w:w="0" w:type="dxa"/>
              <w:right w:w="10" w:type="dxa"/>
            </w:tcMar>
            <w:vAlign w:val="bottom"/>
          </w:tcPr>
          <w:p w14:paraId="74B420C5" w14:textId="77777777" w:rsidR="00466925" w:rsidRPr="008A26D2" w:rsidRDefault="00466925" w:rsidP="0072651A">
            <w:pPr>
              <w:spacing w:after="0" w:line="240" w:lineRule="auto"/>
              <w:jc w:val="center"/>
              <w:rPr>
                <w:rFonts w:ascii="Arial" w:hAnsi="Arial" w:cs="Arial"/>
                <w:sz w:val="20"/>
                <w:szCs w:val="20"/>
              </w:rPr>
            </w:pPr>
            <w:r w:rsidRPr="008A26D2">
              <w:rPr>
                <w:rFonts w:ascii="Arial" w:eastAsia="Times New Roman" w:hAnsi="Arial" w:cs="Arial"/>
                <w:sz w:val="20"/>
                <w:szCs w:val="20"/>
              </w:rPr>
              <w:t>4</w:t>
            </w:r>
          </w:p>
        </w:tc>
      </w:tr>
    </w:tbl>
    <w:p w14:paraId="74F9CED6" w14:textId="6CE146B7" w:rsidR="00466925" w:rsidRPr="008A26D2" w:rsidRDefault="00466925" w:rsidP="00A90E9C"/>
    <w:p w14:paraId="1962C182" w14:textId="77777777" w:rsidR="00E328DA" w:rsidRPr="00F8655E" w:rsidRDefault="00E328DA" w:rsidP="00A90E9C">
      <w:pPr>
        <w:rPr>
          <w:lang w:val="es-MX"/>
        </w:rPr>
      </w:pPr>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
        <w:gridCol w:w="840"/>
        <w:gridCol w:w="721"/>
        <w:gridCol w:w="959"/>
        <w:gridCol w:w="742"/>
        <w:gridCol w:w="173"/>
        <w:gridCol w:w="677"/>
        <w:gridCol w:w="851"/>
        <w:gridCol w:w="850"/>
        <w:gridCol w:w="172"/>
        <w:gridCol w:w="679"/>
        <w:gridCol w:w="850"/>
      </w:tblGrid>
      <w:tr w:rsidR="008A26D2" w:rsidRPr="008A26D2" w14:paraId="661CD837" w14:textId="77777777" w:rsidTr="00BD1985">
        <w:trPr>
          <w:trHeight w:val="251"/>
        </w:trPr>
        <w:tc>
          <w:tcPr>
            <w:tcW w:w="8505" w:type="dxa"/>
            <w:gridSpan w:val="12"/>
            <w:shd w:val="clear" w:color="auto" w:fill="D9D9D9"/>
            <w:tcMar>
              <w:top w:w="10" w:type="dxa"/>
              <w:left w:w="10" w:type="dxa"/>
              <w:bottom w:w="0" w:type="dxa"/>
              <w:right w:w="10" w:type="dxa"/>
            </w:tcMar>
            <w:vAlign w:val="center"/>
          </w:tcPr>
          <w:p w14:paraId="4A597CFD" w14:textId="77777777" w:rsidR="00A90E9C" w:rsidRPr="008A26D2" w:rsidRDefault="00A90E9C" w:rsidP="0072651A">
            <w:pPr>
              <w:jc w:val="center"/>
              <w:rPr>
                <w:rFonts w:ascii="Arial" w:eastAsia="Arial Narrow" w:hAnsi="Arial" w:cs="Arial"/>
                <w:sz w:val="20"/>
                <w:szCs w:val="20"/>
              </w:rPr>
            </w:pPr>
            <w:r w:rsidRPr="008A26D2">
              <w:rPr>
                <w:rFonts w:ascii="Arial" w:eastAsia="Arial Narrow" w:hAnsi="Arial" w:cs="Arial"/>
                <w:b/>
                <w:sz w:val="20"/>
                <w:szCs w:val="20"/>
              </w:rPr>
              <w:t>FICHA TÉCNICA DE INDICADOR DE SERVICIO 1.7.3</w:t>
            </w:r>
          </w:p>
        </w:tc>
      </w:tr>
      <w:tr w:rsidR="008A26D2" w:rsidRPr="008A26D2" w14:paraId="06FAB16B" w14:textId="77777777" w:rsidTr="00BD1985">
        <w:trPr>
          <w:trHeight w:val="409"/>
        </w:trPr>
        <w:tc>
          <w:tcPr>
            <w:tcW w:w="2552" w:type="dxa"/>
            <w:gridSpan w:val="3"/>
            <w:shd w:val="clear" w:color="auto" w:fill="FFFFFF"/>
            <w:tcMar>
              <w:top w:w="10" w:type="dxa"/>
              <w:left w:w="93" w:type="dxa"/>
              <w:bottom w:w="0" w:type="dxa"/>
              <w:right w:w="10" w:type="dxa"/>
            </w:tcMar>
            <w:vAlign w:val="center"/>
          </w:tcPr>
          <w:p w14:paraId="7B9F9BCE" w14:textId="77777777" w:rsidR="00A90E9C" w:rsidRPr="008A26D2" w:rsidRDefault="00A90E9C" w:rsidP="0072651A">
            <w:pPr>
              <w:rPr>
                <w:rFonts w:ascii="Arial" w:eastAsia="Arial Narrow" w:hAnsi="Arial" w:cs="Arial"/>
                <w:sz w:val="20"/>
                <w:szCs w:val="20"/>
              </w:rPr>
            </w:pPr>
            <w:r w:rsidRPr="008A26D2">
              <w:rPr>
                <w:rFonts w:ascii="Arial" w:eastAsia="Arial Narrow" w:hAnsi="Arial" w:cs="Arial"/>
                <w:b/>
                <w:sz w:val="20"/>
                <w:szCs w:val="20"/>
              </w:rPr>
              <w:t>Objetivo prioritario:</w:t>
            </w:r>
          </w:p>
        </w:tc>
        <w:tc>
          <w:tcPr>
            <w:tcW w:w="5953" w:type="dxa"/>
            <w:gridSpan w:val="9"/>
            <w:shd w:val="clear" w:color="auto" w:fill="FFFFFF"/>
            <w:tcMar>
              <w:top w:w="51" w:type="dxa"/>
              <w:left w:w="227" w:type="dxa"/>
              <w:bottom w:w="51" w:type="dxa"/>
              <w:right w:w="227" w:type="dxa"/>
            </w:tcMar>
            <w:vAlign w:val="center"/>
          </w:tcPr>
          <w:p w14:paraId="35292845" w14:textId="77777777" w:rsidR="00A90E9C" w:rsidRPr="008A26D2" w:rsidRDefault="00A90E9C" w:rsidP="0072651A">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r>
      <w:tr w:rsidR="008A26D2" w:rsidRPr="008A26D2" w14:paraId="56F0C3DB" w14:textId="77777777" w:rsidTr="00BD1985">
        <w:trPr>
          <w:trHeight w:val="436"/>
        </w:trPr>
        <w:tc>
          <w:tcPr>
            <w:tcW w:w="2552" w:type="dxa"/>
            <w:gridSpan w:val="3"/>
            <w:shd w:val="clear" w:color="auto" w:fill="auto"/>
            <w:tcMar>
              <w:top w:w="10" w:type="dxa"/>
              <w:left w:w="93" w:type="dxa"/>
              <w:bottom w:w="0" w:type="dxa"/>
              <w:right w:w="10" w:type="dxa"/>
            </w:tcMar>
            <w:vAlign w:val="center"/>
          </w:tcPr>
          <w:p w14:paraId="5A74FAE2" w14:textId="77777777" w:rsidR="00A90E9C" w:rsidRPr="008A26D2" w:rsidRDefault="00A90E9C" w:rsidP="0072651A">
            <w:pPr>
              <w:rPr>
                <w:rFonts w:ascii="Arial" w:eastAsia="Arial Narrow" w:hAnsi="Arial" w:cs="Arial"/>
                <w:sz w:val="20"/>
                <w:szCs w:val="20"/>
              </w:rPr>
            </w:pPr>
            <w:r w:rsidRPr="008A26D2">
              <w:rPr>
                <w:rFonts w:ascii="Arial" w:eastAsia="Arial Narrow" w:hAnsi="Arial" w:cs="Arial"/>
                <w:b/>
                <w:sz w:val="20"/>
                <w:szCs w:val="20"/>
              </w:rPr>
              <w:t>Lineamiento de la política:</w:t>
            </w:r>
          </w:p>
        </w:tc>
        <w:tc>
          <w:tcPr>
            <w:tcW w:w="5953" w:type="dxa"/>
            <w:gridSpan w:val="9"/>
            <w:shd w:val="clear" w:color="auto" w:fill="auto"/>
            <w:tcMar>
              <w:top w:w="51" w:type="dxa"/>
              <w:left w:w="227" w:type="dxa"/>
              <w:bottom w:w="51" w:type="dxa"/>
              <w:right w:w="227" w:type="dxa"/>
            </w:tcMar>
            <w:vAlign w:val="center"/>
          </w:tcPr>
          <w:p w14:paraId="54C9A5F6" w14:textId="77777777" w:rsidR="00A90E9C" w:rsidRPr="008A26D2" w:rsidRDefault="00A90E9C" w:rsidP="0072651A">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L1.7 Fomentar la conservación y aprovechamiento sostenible de la vicuña como una prioridad estratégica para el desarrollo sostenible de las poblaciones altoandinas.</w:t>
            </w:r>
          </w:p>
        </w:tc>
      </w:tr>
      <w:tr w:rsidR="008A26D2" w:rsidRPr="008A26D2" w14:paraId="6CF8879B" w14:textId="77777777" w:rsidTr="00BD1985">
        <w:trPr>
          <w:trHeight w:val="404"/>
        </w:trPr>
        <w:tc>
          <w:tcPr>
            <w:tcW w:w="2552" w:type="dxa"/>
            <w:gridSpan w:val="3"/>
            <w:shd w:val="clear" w:color="auto" w:fill="auto"/>
            <w:tcMar>
              <w:top w:w="10" w:type="dxa"/>
              <w:left w:w="93" w:type="dxa"/>
              <w:bottom w:w="0" w:type="dxa"/>
              <w:right w:w="10" w:type="dxa"/>
            </w:tcMar>
            <w:vAlign w:val="center"/>
          </w:tcPr>
          <w:p w14:paraId="6D967B34" w14:textId="77777777" w:rsidR="00A90E9C" w:rsidRPr="008A26D2" w:rsidRDefault="00A90E9C" w:rsidP="0072651A">
            <w:pPr>
              <w:rPr>
                <w:rFonts w:ascii="Arial" w:eastAsia="Arial Narrow" w:hAnsi="Arial" w:cs="Arial"/>
                <w:sz w:val="20"/>
                <w:szCs w:val="20"/>
              </w:rPr>
            </w:pPr>
            <w:r w:rsidRPr="008A26D2">
              <w:rPr>
                <w:rFonts w:ascii="Arial" w:eastAsia="Arial Narrow" w:hAnsi="Arial" w:cs="Arial"/>
                <w:b/>
                <w:sz w:val="20"/>
                <w:szCs w:val="20"/>
              </w:rPr>
              <w:t>Nombre del servicio:</w:t>
            </w:r>
          </w:p>
        </w:tc>
        <w:tc>
          <w:tcPr>
            <w:tcW w:w="5953" w:type="dxa"/>
            <w:gridSpan w:val="9"/>
            <w:shd w:val="clear" w:color="auto" w:fill="auto"/>
            <w:tcMar>
              <w:top w:w="51" w:type="dxa"/>
              <w:left w:w="227" w:type="dxa"/>
              <w:bottom w:w="51" w:type="dxa"/>
              <w:right w:w="227" w:type="dxa"/>
            </w:tcMar>
            <w:vAlign w:val="center"/>
          </w:tcPr>
          <w:p w14:paraId="41016124" w14:textId="77777777" w:rsidR="00A90E9C" w:rsidRPr="008A26D2" w:rsidRDefault="00A90E9C" w:rsidP="0072651A">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S1.7.3 Fortalecimiento de capacidades sobre el aprovechamiento sostenible de la vicuña de forma satisfactoria a los titulares de manejo, gobiernos regionales y Administraciones Técnicas Forestales y de Fauna Silvestre.</w:t>
            </w:r>
          </w:p>
        </w:tc>
      </w:tr>
      <w:tr w:rsidR="008A26D2" w:rsidRPr="008A26D2" w14:paraId="410EDE90" w14:textId="77777777" w:rsidTr="00BD1985">
        <w:trPr>
          <w:trHeight w:val="941"/>
        </w:trPr>
        <w:tc>
          <w:tcPr>
            <w:tcW w:w="2552" w:type="dxa"/>
            <w:gridSpan w:val="3"/>
            <w:shd w:val="clear" w:color="auto" w:fill="auto"/>
            <w:tcMar>
              <w:top w:w="10" w:type="dxa"/>
              <w:left w:w="93" w:type="dxa"/>
              <w:bottom w:w="0" w:type="dxa"/>
              <w:right w:w="10" w:type="dxa"/>
            </w:tcMar>
            <w:vAlign w:val="center"/>
          </w:tcPr>
          <w:p w14:paraId="157723DF" w14:textId="77777777" w:rsidR="00A90E9C" w:rsidRPr="008A26D2" w:rsidRDefault="00A90E9C" w:rsidP="0072651A">
            <w:pPr>
              <w:rPr>
                <w:rFonts w:ascii="Arial" w:eastAsia="Arial Narrow" w:hAnsi="Arial" w:cs="Arial"/>
                <w:sz w:val="20"/>
                <w:szCs w:val="20"/>
              </w:rPr>
            </w:pPr>
            <w:r w:rsidRPr="008A26D2">
              <w:rPr>
                <w:rFonts w:ascii="Arial" w:eastAsia="Arial Narrow" w:hAnsi="Arial" w:cs="Arial"/>
                <w:b/>
                <w:sz w:val="20"/>
                <w:szCs w:val="20"/>
              </w:rPr>
              <w:t>Nombre del indicador:</w:t>
            </w:r>
          </w:p>
        </w:tc>
        <w:tc>
          <w:tcPr>
            <w:tcW w:w="5953" w:type="dxa"/>
            <w:gridSpan w:val="9"/>
            <w:shd w:val="clear" w:color="auto" w:fill="auto"/>
            <w:tcMar>
              <w:top w:w="51" w:type="dxa"/>
              <w:left w:w="227" w:type="dxa"/>
              <w:bottom w:w="51" w:type="dxa"/>
              <w:right w:w="227" w:type="dxa"/>
            </w:tcMar>
            <w:vAlign w:val="bottom"/>
          </w:tcPr>
          <w:p w14:paraId="16A7DE7B" w14:textId="1F1FF26F" w:rsidR="00A90E9C" w:rsidRPr="008A26D2" w:rsidRDefault="003C5B2C" w:rsidP="00A534E3">
            <w:pPr>
              <w:spacing w:after="0" w:line="240" w:lineRule="auto"/>
              <w:jc w:val="both"/>
              <w:rPr>
                <w:rFonts w:ascii="Arial" w:eastAsia="Arial Narrow" w:hAnsi="Arial" w:cs="Arial"/>
                <w:strike/>
                <w:sz w:val="20"/>
                <w:szCs w:val="20"/>
              </w:rPr>
            </w:pPr>
            <w:r w:rsidRPr="008A26D2">
              <w:rPr>
                <w:rFonts w:ascii="Arial" w:eastAsia="Arial Narrow" w:hAnsi="Arial" w:cs="Arial"/>
                <w:sz w:val="20"/>
                <w:szCs w:val="20"/>
              </w:rPr>
              <w:t>Porcentaje de representantes de los titulares de manejo y servidores de los gobiernos regionales y Administraciones Técnicas Forestales y de Fauna Silvestre con alto grado de satisfacción sobre las capacitaciones recibidas en aprovechamiento sostenible de la vicuña</w:t>
            </w:r>
            <w:r w:rsidR="00A90E9C" w:rsidRPr="008A26D2">
              <w:rPr>
                <w:rFonts w:ascii="Arial" w:eastAsia="Arial Narrow" w:hAnsi="Arial" w:cs="Arial"/>
                <w:sz w:val="20"/>
                <w:szCs w:val="20"/>
              </w:rPr>
              <w:t>.</w:t>
            </w:r>
          </w:p>
        </w:tc>
      </w:tr>
      <w:tr w:rsidR="008A26D2" w:rsidRPr="008A26D2" w14:paraId="67C3D907" w14:textId="77777777" w:rsidTr="00BD1985">
        <w:trPr>
          <w:trHeight w:val="2112"/>
        </w:trPr>
        <w:tc>
          <w:tcPr>
            <w:tcW w:w="2552" w:type="dxa"/>
            <w:gridSpan w:val="3"/>
            <w:shd w:val="clear" w:color="auto" w:fill="auto"/>
            <w:tcMar>
              <w:top w:w="10" w:type="dxa"/>
              <w:left w:w="93" w:type="dxa"/>
              <w:bottom w:w="0" w:type="dxa"/>
              <w:right w:w="10" w:type="dxa"/>
            </w:tcMar>
            <w:vAlign w:val="center"/>
          </w:tcPr>
          <w:p w14:paraId="727D17E5" w14:textId="77777777" w:rsidR="00A90E9C" w:rsidRPr="008A26D2" w:rsidRDefault="00A90E9C" w:rsidP="0072651A">
            <w:pPr>
              <w:rPr>
                <w:rFonts w:ascii="Arial" w:eastAsia="Arial Narrow" w:hAnsi="Arial" w:cs="Arial"/>
                <w:sz w:val="20"/>
                <w:szCs w:val="20"/>
              </w:rPr>
            </w:pPr>
            <w:r w:rsidRPr="008A26D2">
              <w:rPr>
                <w:rFonts w:ascii="Arial" w:eastAsia="Arial Narrow" w:hAnsi="Arial" w:cs="Arial"/>
                <w:b/>
                <w:sz w:val="20"/>
                <w:szCs w:val="20"/>
              </w:rPr>
              <w:t>Justificación:</w:t>
            </w:r>
          </w:p>
        </w:tc>
        <w:tc>
          <w:tcPr>
            <w:tcW w:w="5953" w:type="dxa"/>
            <w:gridSpan w:val="9"/>
            <w:shd w:val="clear" w:color="auto" w:fill="auto"/>
            <w:tcMar>
              <w:top w:w="51" w:type="dxa"/>
              <w:left w:w="227" w:type="dxa"/>
              <w:bottom w:w="51" w:type="dxa"/>
              <w:right w:w="227" w:type="dxa"/>
            </w:tcMar>
            <w:vAlign w:val="center"/>
          </w:tcPr>
          <w:p w14:paraId="440AA760" w14:textId="0D6C6367" w:rsidR="00A90E9C" w:rsidRPr="008A26D2" w:rsidRDefault="00A90E9C" w:rsidP="0072651A">
            <w:pPr>
              <w:jc w:val="both"/>
              <w:rPr>
                <w:rFonts w:ascii="Arial" w:eastAsia="Arial Narrow" w:hAnsi="Arial" w:cs="Arial"/>
                <w:sz w:val="20"/>
                <w:szCs w:val="20"/>
              </w:rPr>
            </w:pPr>
            <w:r w:rsidRPr="008A26D2">
              <w:rPr>
                <w:rFonts w:ascii="Arial" w:eastAsia="Arial Narrow" w:hAnsi="Arial" w:cs="Arial"/>
                <w:sz w:val="20"/>
                <w:szCs w:val="20"/>
              </w:rPr>
              <w:t xml:space="preserve">El indicador cuantifica el porcentaje de titulares de manejo y </w:t>
            </w:r>
            <w:r w:rsidR="008D644C" w:rsidRPr="008A26D2">
              <w:rPr>
                <w:rFonts w:ascii="Arial" w:eastAsia="Arial Narrow" w:hAnsi="Arial" w:cs="Arial"/>
                <w:sz w:val="20"/>
                <w:szCs w:val="20"/>
              </w:rPr>
              <w:t>servidores</w:t>
            </w:r>
            <w:r w:rsidRPr="008A26D2">
              <w:rPr>
                <w:rFonts w:ascii="Arial" w:eastAsia="Arial Narrow" w:hAnsi="Arial" w:cs="Arial"/>
                <w:sz w:val="20"/>
                <w:szCs w:val="20"/>
              </w:rPr>
              <w:t xml:space="preserve"> de los gobiernos regionales y Administraciones Técnicas Forestales y de Fauna Silvestre que perciben un alto grado de satisfacción sobre las capacitaciones recibidas sobre información para aprovechamiento sostenible de la vicuña. De esta manera, el indicador facilitará el seguimiento de la satisfacción del servicio y establecer acciones de mejora correspondientes.</w:t>
            </w:r>
          </w:p>
        </w:tc>
      </w:tr>
      <w:tr w:rsidR="008A26D2" w:rsidRPr="008A26D2" w14:paraId="736F526E" w14:textId="77777777" w:rsidTr="00BD1985">
        <w:trPr>
          <w:trHeight w:val="950"/>
        </w:trPr>
        <w:tc>
          <w:tcPr>
            <w:tcW w:w="2552" w:type="dxa"/>
            <w:gridSpan w:val="3"/>
            <w:shd w:val="clear" w:color="auto" w:fill="auto"/>
            <w:tcMar>
              <w:top w:w="10" w:type="dxa"/>
              <w:left w:w="93" w:type="dxa"/>
              <w:bottom w:w="0" w:type="dxa"/>
              <w:right w:w="10" w:type="dxa"/>
            </w:tcMar>
            <w:vAlign w:val="center"/>
          </w:tcPr>
          <w:p w14:paraId="5F69C280" w14:textId="77777777" w:rsidR="00A90E9C" w:rsidRPr="008A26D2" w:rsidRDefault="00A90E9C" w:rsidP="0072651A">
            <w:pPr>
              <w:rPr>
                <w:rFonts w:ascii="Arial" w:eastAsia="Arial Narrow" w:hAnsi="Arial" w:cs="Arial"/>
                <w:sz w:val="20"/>
                <w:szCs w:val="20"/>
              </w:rPr>
            </w:pPr>
            <w:r w:rsidRPr="008A26D2">
              <w:rPr>
                <w:rFonts w:ascii="Arial" w:eastAsia="Arial Narrow" w:hAnsi="Arial" w:cs="Arial"/>
                <w:b/>
                <w:sz w:val="20"/>
                <w:szCs w:val="20"/>
              </w:rPr>
              <w:lastRenderedPageBreak/>
              <w:t>Responsable del indicador:</w:t>
            </w:r>
          </w:p>
        </w:tc>
        <w:tc>
          <w:tcPr>
            <w:tcW w:w="5953" w:type="dxa"/>
            <w:gridSpan w:val="9"/>
            <w:shd w:val="clear" w:color="auto" w:fill="auto"/>
            <w:tcMar>
              <w:top w:w="51" w:type="dxa"/>
              <w:left w:w="227" w:type="dxa"/>
              <w:bottom w:w="51" w:type="dxa"/>
              <w:right w:w="227" w:type="dxa"/>
            </w:tcMar>
            <w:vAlign w:val="center"/>
          </w:tcPr>
          <w:p w14:paraId="775783FC" w14:textId="122E176D" w:rsidR="00A90E9C" w:rsidRPr="008A26D2" w:rsidRDefault="00A90E9C" w:rsidP="0072651A">
            <w:pPr>
              <w:spacing w:after="0" w:line="240" w:lineRule="auto"/>
              <w:rPr>
                <w:rFonts w:ascii="Arial" w:eastAsia="Arial Narrow" w:hAnsi="Arial" w:cs="Arial"/>
                <w:sz w:val="20"/>
                <w:szCs w:val="20"/>
              </w:rPr>
            </w:pPr>
            <w:r w:rsidRPr="008A26D2">
              <w:rPr>
                <w:rFonts w:ascii="Arial" w:eastAsia="Arial Narrow" w:hAnsi="Arial" w:cs="Arial"/>
                <w:sz w:val="20"/>
                <w:szCs w:val="20"/>
              </w:rPr>
              <w:t>Dirección de Gestión Sostenible del Patrimonio de Fauna Silvestre del Servicio Nacional Forestal y de Fauna Silvestre - SERFOR.</w:t>
            </w:r>
          </w:p>
        </w:tc>
      </w:tr>
      <w:tr w:rsidR="008A26D2" w:rsidRPr="008A26D2" w14:paraId="746C1AB6" w14:textId="77777777" w:rsidTr="00BD1985">
        <w:trPr>
          <w:trHeight w:val="767"/>
        </w:trPr>
        <w:tc>
          <w:tcPr>
            <w:tcW w:w="2552" w:type="dxa"/>
            <w:gridSpan w:val="3"/>
            <w:shd w:val="clear" w:color="auto" w:fill="auto"/>
            <w:tcMar>
              <w:top w:w="10" w:type="dxa"/>
              <w:left w:w="93" w:type="dxa"/>
              <w:bottom w:w="0" w:type="dxa"/>
              <w:right w:w="10" w:type="dxa"/>
            </w:tcMar>
            <w:vAlign w:val="center"/>
          </w:tcPr>
          <w:p w14:paraId="10BA37C8" w14:textId="77777777" w:rsidR="00A90E9C" w:rsidRPr="008A26D2" w:rsidRDefault="00A90E9C" w:rsidP="0072651A">
            <w:pPr>
              <w:rPr>
                <w:rFonts w:ascii="Arial" w:eastAsia="Arial Narrow" w:hAnsi="Arial" w:cs="Arial"/>
                <w:sz w:val="20"/>
                <w:szCs w:val="20"/>
              </w:rPr>
            </w:pPr>
            <w:r w:rsidRPr="008A26D2">
              <w:rPr>
                <w:rFonts w:ascii="Arial" w:eastAsia="Arial Narrow" w:hAnsi="Arial" w:cs="Arial"/>
                <w:b/>
                <w:sz w:val="20"/>
                <w:szCs w:val="20"/>
              </w:rPr>
              <w:t>Limitaciones para la medición del indicador:</w:t>
            </w:r>
          </w:p>
        </w:tc>
        <w:tc>
          <w:tcPr>
            <w:tcW w:w="5953" w:type="dxa"/>
            <w:gridSpan w:val="9"/>
            <w:shd w:val="clear" w:color="auto" w:fill="auto"/>
            <w:tcMar>
              <w:top w:w="51" w:type="dxa"/>
              <w:left w:w="227" w:type="dxa"/>
              <w:bottom w:w="51" w:type="dxa"/>
              <w:right w:w="227" w:type="dxa"/>
            </w:tcMar>
            <w:vAlign w:val="center"/>
          </w:tcPr>
          <w:p w14:paraId="52FAA3D6" w14:textId="77777777" w:rsidR="00A90E9C" w:rsidRPr="008A26D2" w:rsidRDefault="00A90E9C" w:rsidP="0072651A">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No presenta limitaciones</w:t>
            </w:r>
          </w:p>
        </w:tc>
      </w:tr>
      <w:tr w:rsidR="008A26D2" w:rsidRPr="008A26D2" w14:paraId="258C915B" w14:textId="77777777" w:rsidTr="00BD1985">
        <w:trPr>
          <w:trHeight w:val="231"/>
        </w:trPr>
        <w:tc>
          <w:tcPr>
            <w:tcW w:w="2552" w:type="dxa"/>
            <w:gridSpan w:val="3"/>
            <w:shd w:val="clear" w:color="auto" w:fill="auto"/>
            <w:tcMar>
              <w:top w:w="10" w:type="dxa"/>
              <w:left w:w="93" w:type="dxa"/>
              <w:bottom w:w="0" w:type="dxa"/>
              <w:right w:w="10" w:type="dxa"/>
            </w:tcMar>
            <w:vAlign w:val="center"/>
          </w:tcPr>
          <w:p w14:paraId="7249AD61" w14:textId="77777777" w:rsidR="00A90E9C" w:rsidRPr="008A26D2" w:rsidRDefault="00A90E9C" w:rsidP="0072651A">
            <w:pPr>
              <w:rPr>
                <w:rFonts w:ascii="Arial" w:eastAsia="Arial Narrow" w:hAnsi="Arial" w:cs="Arial"/>
                <w:sz w:val="20"/>
                <w:szCs w:val="20"/>
              </w:rPr>
            </w:pPr>
            <w:r w:rsidRPr="008A26D2">
              <w:rPr>
                <w:rFonts w:ascii="Arial" w:eastAsia="Arial Narrow" w:hAnsi="Arial" w:cs="Arial"/>
                <w:b/>
                <w:sz w:val="20"/>
                <w:szCs w:val="20"/>
              </w:rPr>
              <w:t xml:space="preserve">Método de cálculo: </w:t>
            </w:r>
          </w:p>
        </w:tc>
        <w:tc>
          <w:tcPr>
            <w:tcW w:w="5953" w:type="dxa"/>
            <w:gridSpan w:val="9"/>
            <w:shd w:val="clear" w:color="auto" w:fill="auto"/>
            <w:tcMar>
              <w:top w:w="51" w:type="dxa"/>
              <w:left w:w="227" w:type="dxa"/>
              <w:bottom w:w="51" w:type="dxa"/>
              <w:right w:w="227" w:type="dxa"/>
            </w:tcMar>
            <w:vAlign w:val="center"/>
          </w:tcPr>
          <w:p w14:paraId="0F8D466C" w14:textId="77777777" w:rsidR="00A90E9C" w:rsidRPr="008A26D2" w:rsidRDefault="00A90E9C" w:rsidP="0072651A">
            <w:pPr>
              <w:rPr>
                <w:rFonts w:ascii="Arial" w:eastAsia="Arial Narrow" w:hAnsi="Arial" w:cs="Arial"/>
                <w:b/>
                <w:sz w:val="20"/>
                <w:szCs w:val="20"/>
              </w:rPr>
            </w:pPr>
            <w:r w:rsidRPr="008A26D2">
              <w:rPr>
                <w:rFonts w:ascii="Arial" w:eastAsia="Arial Narrow" w:hAnsi="Arial" w:cs="Arial"/>
                <w:b/>
                <w:sz w:val="20"/>
                <w:szCs w:val="20"/>
              </w:rPr>
              <w:t>1. Fórmula:</w:t>
            </w:r>
          </w:p>
          <w:p w14:paraId="39D34B2B" w14:textId="38EC4C49" w:rsidR="00A90E9C" w:rsidRPr="008A26D2" w:rsidRDefault="008D644C" w:rsidP="0072651A">
            <w:pPr>
              <w:rPr>
                <w:rFonts w:ascii="Arial" w:eastAsia="Arial Narrow" w:hAnsi="Arial" w:cs="Arial"/>
                <w:sz w:val="20"/>
                <w:szCs w:val="20"/>
              </w:rPr>
            </w:pPr>
            <w:r w:rsidRPr="008A26D2">
              <w:rPr>
                <w:rFonts w:ascii="Arial" w:eastAsia="Arial Narrow" w:hAnsi="Arial" w:cs="Arial"/>
                <w:sz w:val="20"/>
                <w:szCs w:val="20"/>
              </w:rPr>
              <w:t>(</w:t>
            </w:r>
            <w:r w:rsidR="00A90E9C" w:rsidRPr="008A26D2">
              <w:rPr>
                <w:rFonts w:ascii="Arial" w:eastAsia="Arial Narrow" w:hAnsi="Arial" w:cs="Arial"/>
                <w:sz w:val="20"/>
                <w:szCs w:val="20"/>
              </w:rPr>
              <w:t>A/B</w:t>
            </w:r>
            <w:r w:rsidRPr="008A26D2">
              <w:rPr>
                <w:rFonts w:ascii="Arial" w:eastAsia="Arial Narrow" w:hAnsi="Arial" w:cs="Arial"/>
                <w:sz w:val="20"/>
                <w:szCs w:val="20"/>
              </w:rPr>
              <w:t>)</w:t>
            </w:r>
            <w:r w:rsidR="00A90E9C" w:rsidRPr="008A26D2">
              <w:rPr>
                <w:rFonts w:ascii="Arial" w:eastAsia="Arial Narrow" w:hAnsi="Arial" w:cs="Arial"/>
                <w:sz w:val="20"/>
                <w:szCs w:val="20"/>
              </w:rPr>
              <w:t>*100</w:t>
            </w:r>
          </w:p>
          <w:p w14:paraId="79F7715B" w14:textId="77777777" w:rsidR="00A90E9C" w:rsidRPr="008A26D2" w:rsidRDefault="00A90E9C" w:rsidP="0072651A">
            <w:pPr>
              <w:rPr>
                <w:rFonts w:ascii="Arial" w:eastAsia="Arial Narrow" w:hAnsi="Arial" w:cs="Arial"/>
                <w:sz w:val="20"/>
                <w:szCs w:val="20"/>
              </w:rPr>
            </w:pPr>
            <w:r w:rsidRPr="008A26D2">
              <w:rPr>
                <w:rFonts w:ascii="Arial" w:eastAsia="Arial Narrow" w:hAnsi="Arial" w:cs="Arial"/>
                <w:sz w:val="20"/>
                <w:szCs w:val="20"/>
              </w:rPr>
              <w:t>Donde:</w:t>
            </w:r>
          </w:p>
          <w:p w14:paraId="24C4ADDD" w14:textId="0E10CCF9" w:rsidR="00A90E9C" w:rsidRPr="008A26D2" w:rsidRDefault="00A90E9C" w:rsidP="008D644C">
            <w:pPr>
              <w:ind w:left="342" w:hanging="342"/>
              <w:jc w:val="both"/>
              <w:rPr>
                <w:rFonts w:ascii="Arial" w:eastAsia="Arial Narrow" w:hAnsi="Arial" w:cs="Arial"/>
                <w:sz w:val="20"/>
                <w:szCs w:val="20"/>
              </w:rPr>
            </w:pPr>
            <w:r w:rsidRPr="008A26D2">
              <w:rPr>
                <w:rFonts w:ascii="Arial" w:eastAsia="Arial Narrow" w:hAnsi="Arial" w:cs="Arial"/>
                <w:sz w:val="20"/>
                <w:szCs w:val="20"/>
              </w:rPr>
              <w:t xml:space="preserve">A= </w:t>
            </w:r>
            <w:r w:rsidR="00A534E3" w:rsidRPr="008A26D2">
              <w:rPr>
                <w:rFonts w:ascii="Arial" w:eastAsia="Arial Narrow" w:hAnsi="Arial" w:cs="Arial"/>
                <w:sz w:val="20"/>
                <w:szCs w:val="20"/>
              </w:rPr>
              <w:t>Número de representantes de los titulares de manejo y servidores de los gobiernos regionales y Administraciones Técnicas Forestales y de Fauna Silvestre con alto grado de satisfacción sobre las capacitaciones recibidas en aprovechamiento sostenible de la vicuña</w:t>
            </w:r>
            <w:r w:rsidRPr="008A26D2">
              <w:rPr>
                <w:rFonts w:ascii="Arial" w:eastAsia="Arial Narrow" w:hAnsi="Arial" w:cs="Arial"/>
                <w:sz w:val="20"/>
                <w:szCs w:val="20"/>
              </w:rPr>
              <w:t>.</w:t>
            </w:r>
          </w:p>
          <w:p w14:paraId="284ED03A" w14:textId="5D5973A6" w:rsidR="00A90E9C" w:rsidRPr="008A26D2" w:rsidRDefault="00A90E9C" w:rsidP="008D644C">
            <w:pPr>
              <w:ind w:left="342" w:hanging="342"/>
              <w:jc w:val="both"/>
              <w:rPr>
                <w:rFonts w:ascii="Arial" w:eastAsia="Arial Narrow" w:hAnsi="Arial" w:cs="Arial"/>
                <w:sz w:val="20"/>
                <w:szCs w:val="20"/>
              </w:rPr>
            </w:pPr>
            <w:r w:rsidRPr="008A26D2">
              <w:rPr>
                <w:rFonts w:ascii="Arial" w:eastAsia="Arial Narrow" w:hAnsi="Arial" w:cs="Arial"/>
                <w:sz w:val="20"/>
                <w:szCs w:val="20"/>
              </w:rPr>
              <w:t xml:space="preserve">B= </w:t>
            </w:r>
            <w:r w:rsidR="00A534E3" w:rsidRPr="008A26D2">
              <w:rPr>
                <w:rFonts w:ascii="Arial" w:eastAsia="Arial Narrow" w:hAnsi="Arial" w:cs="Arial"/>
                <w:sz w:val="20"/>
                <w:szCs w:val="20"/>
              </w:rPr>
              <w:t>Total de representantes de los titulares de manejo y servidores de los gobiernos regionales y Administraciones Técnicas Forestales y de Fauna Silvestre que reciben capacitación en aprovechamiento sostenible de la vicuña</w:t>
            </w:r>
            <w:r w:rsidRPr="008A26D2">
              <w:rPr>
                <w:rFonts w:ascii="Arial" w:eastAsia="Arial Narrow" w:hAnsi="Arial" w:cs="Arial"/>
                <w:sz w:val="20"/>
                <w:szCs w:val="20"/>
              </w:rPr>
              <w:t>.</w:t>
            </w:r>
          </w:p>
          <w:p w14:paraId="72970BD9" w14:textId="77777777" w:rsidR="00A90E9C" w:rsidRPr="008A26D2" w:rsidRDefault="00A90E9C" w:rsidP="0072651A">
            <w:pPr>
              <w:rPr>
                <w:rFonts w:ascii="Arial" w:eastAsia="Arial Narrow" w:hAnsi="Arial" w:cs="Arial"/>
                <w:sz w:val="20"/>
                <w:szCs w:val="20"/>
              </w:rPr>
            </w:pPr>
            <w:r w:rsidRPr="008A26D2">
              <w:rPr>
                <w:rFonts w:ascii="Arial" w:eastAsia="Arial Narrow" w:hAnsi="Arial" w:cs="Arial"/>
                <w:b/>
                <w:sz w:val="20"/>
                <w:szCs w:val="20"/>
              </w:rPr>
              <w:t>2. Especificaciones técnicas:</w:t>
            </w:r>
          </w:p>
          <w:p w14:paraId="1D3B690B" w14:textId="12EA91E5" w:rsidR="00961FDF" w:rsidRPr="00961FDF" w:rsidRDefault="00961FDF" w:rsidP="00961FDF">
            <w:pPr>
              <w:jc w:val="both"/>
              <w:rPr>
                <w:rFonts w:ascii="Arial" w:hAnsi="Arial" w:cs="Arial"/>
                <w:bCs/>
                <w:sz w:val="20"/>
                <w:szCs w:val="20"/>
              </w:rPr>
            </w:pPr>
            <w:r w:rsidRPr="00961FDF">
              <w:rPr>
                <w:rFonts w:ascii="Arial" w:hAnsi="Arial" w:cs="Arial"/>
                <w:bCs/>
                <w:sz w:val="20"/>
                <w:szCs w:val="20"/>
              </w:rPr>
              <w:t>La variable A se determina a partir de los titulares de manejo y servidores de los gobiernos regionales y Administraciones Técnicas Forestales y de Fauna Silvestre que tienen un alto grado de satisfacción, al elegir los dos niveles más altos de la escala, sobre las acciones de fortalecimiento de capacidades recibidas.</w:t>
            </w:r>
          </w:p>
          <w:p w14:paraId="7FD51BF1" w14:textId="30C74777" w:rsidR="00961FDF" w:rsidRDefault="00961FDF" w:rsidP="00961FDF">
            <w:pPr>
              <w:jc w:val="both"/>
              <w:rPr>
                <w:rFonts w:ascii="Arial" w:hAnsi="Arial" w:cs="Arial"/>
                <w:bCs/>
                <w:sz w:val="20"/>
                <w:szCs w:val="20"/>
              </w:rPr>
            </w:pPr>
            <w:r w:rsidRPr="00961FDF">
              <w:rPr>
                <w:rFonts w:ascii="Arial" w:hAnsi="Arial" w:cs="Arial"/>
                <w:bCs/>
                <w:sz w:val="20"/>
                <w:szCs w:val="20"/>
              </w:rPr>
              <w:t xml:space="preserve">La variable B se determina con el total de </w:t>
            </w:r>
            <w:r w:rsidR="006C5479" w:rsidRPr="006C5479">
              <w:rPr>
                <w:rFonts w:ascii="Arial" w:hAnsi="Arial" w:cs="Arial"/>
                <w:bCs/>
                <w:sz w:val="20"/>
                <w:szCs w:val="20"/>
              </w:rPr>
              <w:t xml:space="preserve">titulares de manejo y servidores de los gobiernos regionales y Administraciones Técnicas Forestales y de Fauna Silvestre </w:t>
            </w:r>
            <w:r w:rsidRPr="00961FDF">
              <w:rPr>
                <w:rFonts w:ascii="Arial" w:hAnsi="Arial" w:cs="Arial"/>
                <w:bCs/>
                <w:sz w:val="20"/>
                <w:szCs w:val="20"/>
              </w:rPr>
              <w:t>que asisten a las capacitaciones</w:t>
            </w:r>
            <w:r w:rsidR="00F8655E">
              <w:rPr>
                <w:rFonts w:ascii="Arial" w:hAnsi="Arial" w:cs="Arial"/>
                <w:bCs/>
                <w:sz w:val="20"/>
                <w:szCs w:val="20"/>
              </w:rPr>
              <w:t xml:space="preserve"> en el año de medición</w:t>
            </w:r>
            <w:r>
              <w:rPr>
                <w:rFonts w:ascii="Arial" w:hAnsi="Arial" w:cs="Arial"/>
                <w:bCs/>
                <w:sz w:val="20"/>
                <w:szCs w:val="20"/>
              </w:rPr>
              <w:t>.</w:t>
            </w:r>
          </w:p>
          <w:p w14:paraId="27AE6850" w14:textId="5F519E46" w:rsidR="00A90E9C" w:rsidRPr="008A26D2" w:rsidRDefault="00A90E9C" w:rsidP="0087293E">
            <w:pPr>
              <w:jc w:val="both"/>
              <w:rPr>
                <w:rFonts w:ascii="Arial" w:eastAsia="Arial Narrow" w:hAnsi="Arial" w:cs="Arial"/>
                <w:sz w:val="20"/>
                <w:szCs w:val="20"/>
              </w:rPr>
            </w:pPr>
            <w:r w:rsidRPr="008A26D2">
              <w:rPr>
                <w:rFonts w:ascii="Arial" w:eastAsia="Arial Narrow" w:hAnsi="Arial" w:cs="Arial"/>
                <w:sz w:val="20"/>
                <w:szCs w:val="20"/>
              </w:rPr>
              <w:t xml:space="preserve">El indicador se calculará a partir de encuestas o entrevistas donde cuantifica el grado de satisfacción de los representantes de Titulares de manejo, </w:t>
            </w:r>
            <w:r w:rsidR="008D644C" w:rsidRPr="008A26D2">
              <w:rPr>
                <w:rFonts w:ascii="Arial" w:eastAsia="Arial Narrow" w:hAnsi="Arial" w:cs="Arial"/>
                <w:sz w:val="20"/>
                <w:szCs w:val="20"/>
              </w:rPr>
              <w:t xml:space="preserve">servidores de </w:t>
            </w:r>
            <w:r w:rsidRPr="008A26D2">
              <w:rPr>
                <w:rFonts w:ascii="Arial" w:eastAsia="Arial Narrow" w:hAnsi="Arial" w:cs="Arial"/>
                <w:sz w:val="20"/>
                <w:szCs w:val="20"/>
              </w:rPr>
              <w:t>gobiernos regionales y Administraciones Técnicas Forestales y de Fauna Silvestre que asisten a las capacitaciones, identificando aquellos aspectos del servicio que se pueden mejorar y satisfacer al receptor.</w:t>
            </w:r>
          </w:p>
          <w:p w14:paraId="1F76672A" w14:textId="77777777" w:rsidR="008D644C" w:rsidRPr="008A26D2" w:rsidRDefault="008D644C" w:rsidP="0087293E">
            <w:pPr>
              <w:jc w:val="both"/>
              <w:rPr>
                <w:rFonts w:ascii="Arial" w:hAnsi="Arial" w:cs="Arial"/>
                <w:bCs/>
                <w:sz w:val="20"/>
                <w:szCs w:val="20"/>
              </w:rPr>
            </w:pPr>
            <w:r w:rsidRPr="008A26D2">
              <w:rPr>
                <w:rFonts w:ascii="Arial" w:hAnsi="Arial" w:cs="Arial"/>
                <w:bCs/>
                <w:sz w:val="20"/>
                <w:szCs w:val="20"/>
              </w:rPr>
              <w:t>Para evaluar el grado de satisfacción se considerará los alcances metodológicos señalados en el Protocolo de Capacitación y Asistencia Técnica del SERFOR.</w:t>
            </w:r>
          </w:p>
          <w:p w14:paraId="3ACAB733" w14:textId="5D07BE5F" w:rsidR="008D644C" w:rsidRPr="008A26D2" w:rsidRDefault="00AE7509" w:rsidP="0087293E">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Se carece de</w:t>
            </w:r>
            <w:r w:rsidR="008D644C" w:rsidRPr="008A26D2">
              <w:rPr>
                <w:rFonts w:ascii="Arial" w:eastAsia="Arial Narrow" w:hAnsi="Arial" w:cs="Arial"/>
                <w:sz w:val="20"/>
                <w:szCs w:val="20"/>
              </w:rPr>
              <w:t xml:space="preserve"> línea base</w:t>
            </w:r>
            <w:r w:rsidRPr="008A26D2">
              <w:rPr>
                <w:rFonts w:ascii="Arial" w:eastAsia="Arial Narrow" w:hAnsi="Arial" w:cs="Arial"/>
                <w:sz w:val="20"/>
                <w:szCs w:val="20"/>
              </w:rPr>
              <w:t xml:space="preserve"> porque no se contaba con la metodología para la medición del estándar</w:t>
            </w:r>
            <w:r w:rsidR="008D644C" w:rsidRPr="008A26D2">
              <w:rPr>
                <w:rFonts w:ascii="Arial" w:eastAsia="Arial Narrow" w:hAnsi="Arial" w:cs="Arial"/>
                <w:sz w:val="20"/>
                <w:szCs w:val="20"/>
              </w:rPr>
              <w:t>, por ese motivo, el SERFOR determinará la línea base antes del inicio de la implementación de la presente Política Nacional.</w:t>
            </w:r>
          </w:p>
          <w:p w14:paraId="46C09264" w14:textId="77777777" w:rsidR="00AE7509" w:rsidRPr="008A26D2" w:rsidRDefault="00AE7509" w:rsidP="0087293E">
            <w:pPr>
              <w:spacing w:after="0" w:line="240" w:lineRule="auto"/>
              <w:jc w:val="both"/>
              <w:rPr>
                <w:rFonts w:ascii="Arial" w:eastAsia="Arial Narrow" w:hAnsi="Arial" w:cs="Arial"/>
                <w:sz w:val="20"/>
                <w:szCs w:val="20"/>
              </w:rPr>
            </w:pPr>
          </w:p>
          <w:p w14:paraId="5D2256A4" w14:textId="77777777" w:rsidR="00A90E9C" w:rsidRPr="008A26D2" w:rsidRDefault="00A90E9C" w:rsidP="0087293E">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Los titulares de manejo son personas naturales y jurídicas (comunidades, asociaciones, empresas de origen comunal, etc.) a las cuales se les ha otorgado la custodia y usufructo de </w:t>
            </w:r>
            <w:r w:rsidRPr="008A26D2">
              <w:rPr>
                <w:rFonts w:ascii="Arial" w:eastAsia="Arial Narrow" w:hAnsi="Arial" w:cs="Arial"/>
                <w:sz w:val="20"/>
                <w:szCs w:val="20"/>
              </w:rPr>
              <w:lastRenderedPageBreak/>
              <w:t xml:space="preserve">las poblaciones de vicuña que habitan en sus territorios para realizar el manejo y aprovechamiento sostenible de la especie. </w:t>
            </w:r>
          </w:p>
          <w:p w14:paraId="0962C2B9" w14:textId="77777777" w:rsidR="00A90E9C" w:rsidRPr="008A26D2" w:rsidRDefault="00A90E9C" w:rsidP="0087293E">
            <w:pPr>
              <w:spacing w:after="0" w:line="240" w:lineRule="auto"/>
              <w:jc w:val="both"/>
              <w:rPr>
                <w:rFonts w:ascii="Arial" w:eastAsia="Arial Narrow" w:hAnsi="Arial" w:cs="Arial"/>
                <w:sz w:val="20"/>
                <w:szCs w:val="20"/>
              </w:rPr>
            </w:pPr>
          </w:p>
          <w:p w14:paraId="2CD4F153" w14:textId="77777777" w:rsidR="00A90E9C" w:rsidRPr="008A26D2" w:rsidRDefault="00A90E9C" w:rsidP="0087293E">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Se consideran </w:t>
            </w:r>
            <w:r w:rsidRPr="008A26D2">
              <w:rPr>
                <w:rFonts w:ascii="Arial" w:eastAsia="Arial Narrow" w:hAnsi="Arial" w:cs="Arial"/>
                <w:sz w:val="20"/>
                <w:szCs w:val="20"/>
                <w:highlight w:val="white"/>
              </w:rPr>
              <w:t>15</w:t>
            </w:r>
            <w:r w:rsidRPr="008A26D2">
              <w:rPr>
                <w:rFonts w:ascii="Arial" w:eastAsia="Arial Narrow" w:hAnsi="Arial" w:cs="Arial"/>
                <w:sz w:val="20"/>
                <w:szCs w:val="20"/>
              </w:rPr>
              <w:t xml:space="preserve"> gobiernos regionales que tienen competencia en camélidos sudamericanos silvestres.</w:t>
            </w:r>
          </w:p>
          <w:p w14:paraId="003AC6E3" w14:textId="77777777" w:rsidR="00A90E9C" w:rsidRPr="008A26D2" w:rsidRDefault="00A90E9C" w:rsidP="0087293E">
            <w:pPr>
              <w:spacing w:after="0" w:line="240" w:lineRule="auto"/>
              <w:jc w:val="both"/>
              <w:rPr>
                <w:rFonts w:ascii="Arial" w:eastAsia="Arial Narrow" w:hAnsi="Arial" w:cs="Arial"/>
                <w:sz w:val="20"/>
                <w:szCs w:val="20"/>
              </w:rPr>
            </w:pPr>
          </w:p>
          <w:p w14:paraId="69EC9BC0" w14:textId="77777777" w:rsidR="00A90E9C" w:rsidRPr="008A26D2" w:rsidRDefault="00A90E9C" w:rsidP="0087293E">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Las Administraciones Técnicas Forestales y de Fauna Silvestre son oficinas desconcentradas del Servicio Nacional Forestal y de Fauna Silvestre. Son 11 Administraciones Técnicas Forestales y de Fauna Silvestre con presencia de vicuña a nivel nacional.</w:t>
            </w:r>
          </w:p>
          <w:p w14:paraId="351FF1D0" w14:textId="77777777" w:rsidR="00A90E9C" w:rsidRPr="008A26D2" w:rsidRDefault="00A90E9C" w:rsidP="0072651A">
            <w:pPr>
              <w:spacing w:after="0" w:line="240" w:lineRule="auto"/>
              <w:jc w:val="both"/>
              <w:rPr>
                <w:rFonts w:ascii="Arial" w:eastAsia="Arial Narrow" w:hAnsi="Arial" w:cs="Arial"/>
                <w:sz w:val="20"/>
                <w:szCs w:val="20"/>
              </w:rPr>
            </w:pPr>
          </w:p>
        </w:tc>
      </w:tr>
      <w:tr w:rsidR="008A26D2" w:rsidRPr="008A26D2" w14:paraId="0F6D79AC" w14:textId="77777777" w:rsidTr="00BD1985">
        <w:trPr>
          <w:trHeight w:val="738"/>
        </w:trPr>
        <w:tc>
          <w:tcPr>
            <w:tcW w:w="2552" w:type="dxa"/>
            <w:gridSpan w:val="3"/>
            <w:shd w:val="clear" w:color="auto" w:fill="auto"/>
            <w:tcMar>
              <w:top w:w="10" w:type="dxa"/>
              <w:left w:w="93" w:type="dxa"/>
              <w:bottom w:w="0" w:type="dxa"/>
              <w:right w:w="10" w:type="dxa"/>
            </w:tcMar>
            <w:vAlign w:val="center"/>
          </w:tcPr>
          <w:p w14:paraId="1CB10CE7" w14:textId="77777777" w:rsidR="00A90E9C" w:rsidRPr="008A26D2" w:rsidRDefault="00A90E9C" w:rsidP="0072651A">
            <w:pPr>
              <w:spacing w:after="0" w:line="240" w:lineRule="auto"/>
              <w:rPr>
                <w:rFonts w:ascii="Arial" w:eastAsia="Arial Narrow" w:hAnsi="Arial" w:cs="Arial"/>
                <w:sz w:val="20"/>
                <w:szCs w:val="20"/>
              </w:rPr>
            </w:pPr>
            <w:r w:rsidRPr="008A26D2">
              <w:rPr>
                <w:rFonts w:ascii="Arial" w:eastAsia="Arial Narrow" w:hAnsi="Arial" w:cs="Arial"/>
                <w:b/>
                <w:sz w:val="20"/>
                <w:szCs w:val="20"/>
              </w:rPr>
              <w:lastRenderedPageBreak/>
              <w:t>Sentido esperado del indicador:</w:t>
            </w:r>
          </w:p>
        </w:tc>
        <w:tc>
          <w:tcPr>
            <w:tcW w:w="1874" w:type="dxa"/>
            <w:gridSpan w:val="3"/>
            <w:shd w:val="clear" w:color="auto" w:fill="auto"/>
            <w:tcMar>
              <w:top w:w="10" w:type="dxa"/>
              <w:left w:w="283" w:type="dxa"/>
              <w:bottom w:w="0" w:type="dxa"/>
              <w:right w:w="283" w:type="dxa"/>
            </w:tcMar>
            <w:vAlign w:val="center"/>
          </w:tcPr>
          <w:p w14:paraId="4F48C046" w14:textId="77777777" w:rsidR="00A90E9C" w:rsidRPr="008A26D2" w:rsidRDefault="00A90E9C" w:rsidP="0072651A">
            <w:pPr>
              <w:spacing w:after="0" w:line="240" w:lineRule="auto"/>
              <w:rPr>
                <w:rFonts w:ascii="Arial" w:eastAsia="Arial Narrow" w:hAnsi="Arial" w:cs="Arial"/>
                <w:sz w:val="20"/>
                <w:szCs w:val="20"/>
              </w:rPr>
            </w:pPr>
            <w:r w:rsidRPr="008A26D2">
              <w:rPr>
                <w:rFonts w:ascii="Arial" w:eastAsia="Arial Narrow" w:hAnsi="Arial" w:cs="Arial"/>
                <w:sz w:val="20"/>
                <w:szCs w:val="20"/>
              </w:rPr>
              <w:t>Ascendente</w:t>
            </w:r>
          </w:p>
        </w:tc>
        <w:tc>
          <w:tcPr>
            <w:tcW w:w="2550" w:type="dxa"/>
            <w:gridSpan w:val="4"/>
            <w:shd w:val="clear" w:color="auto" w:fill="auto"/>
            <w:tcMar>
              <w:top w:w="15" w:type="dxa"/>
              <w:left w:w="15" w:type="dxa"/>
              <w:bottom w:w="0" w:type="dxa"/>
              <w:right w:w="15" w:type="dxa"/>
            </w:tcMar>
            <w:vAlign w:val="center"/>
          </w:tcPr>
          <w:p w14:paraId="35052CC6" w14:textId="77777777" w:rsidR="00A90E9C" w:rsidRPr="008A26D2" w:rsidRDefault="00A90E9C" w:rsidP="0072651A">
            <w:pPr>
              <w:spacing w:after="0" w:line="240" w:lineRule="auto"/>
              <w:rPr>
                <w:rFonts w:ascii="Arial" w:eastAsia="Arial Narrow" w:hAnsi="Arial" w:cs="Arial"/>
                <w:sz w:val="20"/>
                <w:szCs w:val="20"/>
              </w:rPr>
            </w:pPr>
            <w:r w:rsidRPr="008A26D2">
              <w:rPr>
                <w:rFonts w:ascii="Arial" w:eastAsia="Arial Narrow" w:hAnsi="Arial" w:cs="Arial"/>
                <w:b/>
                <w:sz w:val="20"/>
                <w:szCs w:val="20"/>
              </w:rPr>
              <w:t>Tipo de indicador de servicio:</w:t>
            </w:r>
          </w:p>
        </w:tc>
        <w:tc>
          <w:tcPr>
            <w:tcW w:w="1529" w:type="dxa"/>
            <w:gridSpan w:val="2"/>
            <w:shd w:val="clear" w:color="auto" w:fill="auto"/>
            <w:tcMar>
              <w:top w:w="15" w:type="dxa"/>
              <w:left w:w="15" w:type="dxa"/>
              <w:bottom w:w="0" w:type="dxa"/>
              <w:right w:w="15" w:type="dxa"/>
            </w:tcMar>
            <w:vAlign w:val="center"/>
          </w:tcPr>
          <w:p w14:paraId="22937EA0" w14:textId="252EBFE4" w:rsidR="00A90E9C" w:rsidRPr="008A26D2" w:rsidRDefault="00A90E9C" w:rsidP="0072651A">
            <w:pPr>
              <w:spacing w:after="0" w:line="240" w:lineRule="auto"/>
              <w:rPr>
                <w:rFonts w:ascii="Arial" w:eastAsia="Arial Narrow" w:hAnsi="Arial" w:cs="Arial"/>
                <w:sz w:val="20"/>
                <w:szCs w:val="20"/>
              </w:rPr>
            </w:pPr>
            <w:r w:rsidRPr="008A26D2">
              <w:rPr>
                <w:rFonts w:ascii="Arial" w:eastAsia="Arial Narrow" w:hAnsi="Arial" w:cs="Arial"/>
                <w:sz w:val="20"/>
                <w:szCs w:val="20"/>
              </w:rPr>
              <w:t xml:space="preserve">       Calidad </w:t>
            </w:r>
            <w:r w:rsidR="001E47C2">
              <w:rPr>
                <w:rFonts w:ascii="Arial" w:eastAsia="Arial Narrow" w:hAnsi="Arial" w:cs="Arial"/>
                <w:sz w:val="20"/>
                <w:szCs w:val="20"/>
              </w:rPr>
              <w:t>–</w:t>
            </w:r>
            <w:r w:rsidRPr="008A26D2">
              <w:rPr>
                <w:rFonts w:ascii="Arial" w:eastAsia="Arial Narrow" w:hAnsi="Arial" w:cs="Arial"/>
                <w:sz w:val="20"/>
                <w:szCs w:val="20"/>
              </w:rPr>
              <w:t xml:space="preserve"> Percepción</w:t>
            </w:r>
          </w:p>
        </w:tc>
      </w:tr>
      <w:tr w:rsidR="008A26D2" w:rsidRPr="008A26D2" w14:paraId="782911C6" w14:textId="77777777" w:rsidTr="00BD1985">
        <w:trPr>
          <w:trHeight w:val="13"/>
        </w:trPr>
        <w:tc>
          <w:tcPr>
            <w:tcW w:w="2552" w:type="dxa"/>
            <w:gridSpan w:val="3"/>
            <w:shd w:val="clear" w:color="auto" w:fill="auto"/>
            <w:tcMar>
              <w:top w:w="10" w:type="dxa"/>
              <w:left w:w="93" w:type="dxa"/>
              <w:bottom w:w="0" w:type="dxa"/>
              <w:right w:w="10" w:type="dxa"/>
            </w:tcMar>
            <w:vAlign w:val="center"/>
          </w:tcPr>
          <w:p w14:paraId="75E18224" w14:textId="77777777" w:rsidR="00A90E9C" w:rsidRPr="008A26D2" w:rsidRDefault="00A90E9C" w:rsidP="0072651A">
            <w:pPr>
              <w:spacing w:after="0" w:line="240" w:lineRule="auto"/>
              <w:rPr>
                <w:rFonts w:ascii="Arial" w:eastAsia="Arial Narrow" w:hAnsi="Arial" w:cs="Arial"/>
                <w:sz w:val="20"/>
                <w:szCs w:val="20"/>
              </w:rPr>
            </w:pPr>
            <w:r w:rsidRPr="008A26D2">
              <w:rPr>
                <w:rFonts w:ascii="Arial" w:eastAsia="Arial Narrow" w:hAnsi="Arial" w:cs="Arial"/>
                <w:b/>
                <w:sz w:val="20"/>
                <w:szCs w:val="20"/>
              </w:rPr>
              <w:t>Fuente y base de datos:</w:t>
            </w:r>
          </w:p>
        </w:tc>
        <w:tc>
          <w:tcPr>
            <w:tcW w:w="5953" w:type="dxa"/>
            <w:gridSpan w:val="9"/>
            <w:shd w:val="clear" w:color="auto" w:fill="auto"/>
            <w:tcMar>
              <w:top w:w="51" w:type="dxa"/>
              <w:left w:w="227" w:type="dxa"/>
              <w:bottom w:w="51" w:type="dxa"/>
              <w:right w:w="227" w:type="dxa"/>
            </w:tcMar>
            <w:vAlign w:val="center"/>
          </w:tcPr>
          <w:p w14:paraId="674A83EE" w14:textId="0506B9D7" w:rsidR="00A90E9C" w:rsidRPr="008A26D2" w:rsidRDefault="00A90E9C" w:rsidP="0072651A">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Fuente: Dirección de Gestión Sostenible del Patrimonio de Fauna Silvestre y las Administraciones Técnicas Forestales y de Fauna Silvestre</w:t>
            </w:r>
            <w:r w:rsidR="0017439E" w:rsidRPr="008A26D2">
              <w:rPr>
                <w:rFonts w:ascii="Arial" w:eastAsia="Arial Narrow" w:hAnsi="Arial" w:cs="Arial"/>
                <w:sz w:val="20"/>
                <w:szCs w:val="20"/>
              </w:rPr>
              <w:t xml:space="preserve"> del </w:t>
            </w:r>
            <w:r w:rsidR="008609CD">
              <w:rPr>
                <w:rFonts w:ascii="Arial" w:eastAsia="Arial Narrow" w:hAnsi="Arial" w:cs="Arial"/>
                <w:sz w:val="20"/>
                <w:szCs w:val="20"/>
              </w:rPr>
              <w:t xml:space="preserve">Servicio Nacional Forestal y de Fauna Silvestre – </w:t>
            </w:r>
            <w:r w:rsidR="0017439E" w:rsidRPr="008A26D2">
              <w:rPr>
                <w:rFonts w:ascii="Arial" w:eastAsia="Arial Narrow" w:hAnsi="Arial" w:cs="Arial"/>
                <w:sz w:val="20"/>
                <w:szCs w:val="20"/>
              </w:rPr>
              <w:t>SERFOR</w:t>
            </w:r>
            <w:r w:rsidR="008609CD">
              <w:rPr>
                <w:rFonts w:ascii="Arial" w:eastAsia="Arial Narrow" w:hAnsi="Arial" w:cs="Arial"/>
                <w:sz w:val="20"/>
                <w:szCs w:val="20"/>
              </w:rPr>
              <w:t>.</w:t>
            </w:r>
          </w:p>
          <w:p w14:paraId="30B42E2F" w14:textId="77777777" w:rsidR="00A90E9C" w:rsidRPr="008A26D2" w:rsidRDefault="00A90E9C" w:rsidP="0072651A">
            <w:pPr>
              <w:spacing w:after="0" w:line="240" w:lineRule="auto"/>
              <w:jc w:val="both"/>
              <w:rPr>
                <w:rFonts w:ascii="Arial" w:eastAsia="Arial Narrow" w:hAnsi="Arial" w:cs="Arial"/>
                <w:sz w:val="20"/>
                <w:szCs w:val="20"/>
              </w:rPr>
            </w:pPr>
          </w:p>
          <w:p w14:paraId="0B5C8A0F" w14:textId="63165B30" w:rsidR="00A90E9C" w:rsidRPr="008A26D2" w:rsidRDefault="00A90E9C" w:rsidP="0072651A">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Base de datos: Reporte de capacitaciones y asistencias técnicas de las acciones de fortalecimiento de capacidades</w:t>
            </w:r>
            <w:r w:rsidR="001E47C2">
              <w:rPr>
                <w:rFonts w:ascii="Arial" w:eastAsia="Arial Narrow" w:hAnsi="Arial" w:cs="Arial"/>
                <w:sz w:val="20"/>
                <w:szCs w:val="20"/>
              </w:rPr>
              <w:t>.</w:t>
            </w:r>
          </w:p>
        </w:tc>
      </w:tr>
      <w:tr w:rsidR="008A26D2" w:rsidRPr="008A26D2" w14:paraId="1825A3B7" w14:textId="77777777" w:rsidTr="00BD1985">
        <w:trPr>
          <w:trHeight w:val="436"/>
        </w:trPr>
        <w:tc>
          <w:tcPr>
            <w:tcW w:w="2552" w:type="dxa"/>
            <w:gridSpan w:val="3"/>
            <w:shd w:val="clear" w:color="auto" w:fill="auto"/>
            <w:tcMar>
              <w:top w:w="10" w:type="dxa"/>
              <w:left w:w="93" w:type="dxa"/>
              <w:bottom w:w="0" w:type="dxa"/>
              <w:right w:w="10" w:type="dxa"/>
            </w:tcMar>
            <w:vAlign w:val="center"/>
          </w:tcPr>
          <w:p w14:paraId="5A9BDF33" w14:textId="77777777" w:rsidR="00A90E9C" w:rsidRPr="008A26D2" w:rsidRDefault="00A90E9C" w:rsidP="0072651A">
            <w:pPr>
              <w:spacing w:after="0" w:line="240" w:lineRule="auto"/>
              <w:rPr>
                <w:rFonts w:ascii="Arial" w:eastAsia="Arial Narrow" w:hAnsi="Arial" w:cs="Arial"/>
                <w:sz w:val="20"/>
                <w:szCs w:val="20"/>
              </w:rPr>
            </w:pPr>
            <w:r w:rsidRPr="008A26D2">
              <w:rPr>
                <w:rFonts w:ascii="Arial" w:eastAsia="Arial Narrow" w:hAnsi="Arial" w:cs="Arial"/>
                <w:b/>
                <w:sz w:val="20"/>
                <w:szCs w:val="20"/>
              </w:rPr>
              <w:t>Supuestos:</w:t>
            </w:r>
          </w:p>
        </w:tc>
        <w:tc>
          <w:tcPr>
            <w:tcW w:w="5953" w:type="dxa"/>
            <w:gridSpan w:val="9"/>
            <w:shd w:val="clear" w:color="auto" w:fill="auto"/>
            <w:tcMar>
              <w:top w:w="51" w:type="dxa"/>
              <w:left w:w="227" w:type="dxa"/>
              <w:bottom w:w="51" w:type="dxa"/>
              <w:right w:w="227" w:type="dxa"/>
            </w:tcMar>
            <w:vAlign w:val="center"/>
          </w:tcPr>
          <w:p w14:paraId="28CE948D" w14:textId="77777777" w:rsidR="00A90E9C" w:rsidRPr="008A26D2" w:rsidRDefault="00A90E9C" w:rsidP="0072651A">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Existe disposición de los titulares de manejo, gobiernos regionales y Administraciones Técnicas Forestales y de Fauna Silvestre para recibir dichas asistencias técnicas y de capacitaciones para dichos ámbitos.</w:t>
            </w:r>
          </w:p>
        </w:tc>
      </w:tr>
      <w:tr w:rsidR="008A26D2" w:rsidRPr="008A26D2" w14:paraId="7DB1A913" w14:textId="77777777" w:rsidTr="00BD1985">
        <w:trPr>
          <w:trHeight w:val="556"/>
        </w:trPr>
        <w:tc>
          <w:tcPr>
            <w:tcW w:w="991" w:type="dxa"/>
            <w:shd w:val="clear" w:color="auto" w:fill="auto"/>
            <w:tcMar>
              <w:top w:w="10" w:type="dxa"/>
              <w:left w:w="10" w:type="dxa"/>
              <w:bottom w:w="0" w:type="dxa"/>
              <w:right w:w="10" w:type="dxa"/>
            </w:tcMar>
            <w:vAlign w:val="center"/>
          </w:tcPr>
          <w:p w14:paraId="770669AF" w14:textId="77777777" w:rsidR="00A90E9C" w:rsidRPr="008A26D2" w:rsidRDefault="00A90E9C" w:rsidP="0072651A">
            <w:pPr>
              <w:spacing w:after="0" w:line="240" w:lineRule="auto"/>
              <w:rPr>
                <w:rFonts w:ascii="Arial" w:eastAsia="Arial Narrow" w:hAnsi="Arial" w:cs="Arial"/>
                <w:sz w:val="20"/>
                <w:szCs w:val="20"/>
              </w:rPr>
            </w:pPr>
            <w:r w:rsidRPr="008A26D2">
              <w:rPr>
                <w:rFonts w:ascii="Arial" w:eastAsia="Arial Narrow" w:hAnsi="Arial" w:cs="Arial"/>
                <w:b/>
                <w:sz w:val="20"/>
                <w:szCs w:val="20"/>
              </w:rPr>
              <w:t> </w:t>
            </w:r>
          </w:p>
        </w:tc>
        <w:tc>
          <w:tcPr>
            <w:tcW w:w="840" w:type="dxa"/>
            <w:shd w:val="clear" w:color="auto" w:fill="auto"/>
            <w:tcMar>
              <w:top w:w="10" w:type="dxa"/>
              <w:left w:w="10" w:type="dxa"/>
              <w:bottom w:w="0" w:type="dxa"/>
              <w:right w:w="10" w:type="dxa"/>
            </w:tcMar>
            <w:vAlign w:val="center"/>
          </w:tcPr>
          <w:p w14:paraId="4C116658" w14:textId="77777777" w:rsidR="00A90E9C" w:rsidRPr="008A26D2" w:rsidRDefault="00A90E9C" w:rsidP="0072651A">
            <w:pPr>
              <w:spacing w:after="0" w:line="240" w:lineRule="auto"/>
              <w:jc w:val="center"/>
              <w:rPr>
                <w:rFonts w:ascii="Arial" w:eastAsia="Arial Narrow" w:hAnsi="Arial" w:cs="Arial"/>
                <w:sz w:val="20"/>
                <w:szCs w:val="20"/>
              </w:rPr>
            </w:pPr>
            <w:r w:rsidRPr="008A26D2">
              <w:rPr>
                <w:rFonts w:ascii="Arial" w:eastAsia="Arial Narrow" w:hAnsi="Arial" w:cs="Arial"/>
                <w:b/>
                <w:sz w:val="20"/>
                <w:szCs w:val="20"/>
              </w:rPr>
              <w:t>Línea de base</w:t>
            </w:r>
          </w:p>
        </w:tc>
        <w:tc>
          <w:tcPr>
            <w:tcW w:w="6674" w:type="dxa"/>
            <w:gridSpan w:val="10"/>
            <w:shd w:val="clear" w:color="auto" w:fill="auto"/>
            <w:tcMar>
              <w:top w:w="10" w:type="dxa"/>
              <w:left w:w="10" w:type="dxa"/>
              <w:bottom w:w="0" w:type="dxa"/>
              <w:right w:w="10" w:type="dxa"/>
            </w:tcMar>
            <w:vAlign w:val="center"/>
          </w:tcPr>
          <w:p w14:paraId="52901CE7" w14:textId="77777777" w:rsidR="00A90E9C" w:rsidRPr="008A26D2" w:rsidRDefault="00A90E9C" w:rsidP="0072651A">
            <w:pPr>
              <w:spacing w:after="0" w:line="240" w:lineRule="auto"/>
              <w:jc w:val="center"/>
              <w:rPr>
                <w:rFonts w:ascii="Arial" w:eastAsia="Arial Narrow" w:hAnsi="Arial" w:cs="Arial"/>
                <w:sz w:val="20"/>
                <w:szCs w:val="20"/>
              </w:rPr>
            </w:pPr>
            <w:r w:rsidRPr="008A26D2">
              <w:rPr>
                <w:rFonts w:ascii="Arial" w:eastAsia="Arial Narrow" w:hAnsi="Arial" w:cs="Arial"/>
                <w:b/>
                <w:sz w:val="20"/>
                <w:szCs w:val="20"/>
              </w:rPr>
              <w:t xml:space="preserve">Logros esperados </w:t>
            </w:r>
          </w:p>
        </w:tc>
      </w:tr>
      <w:tr w:rsidR="008A26D2" w:rsidRPr="008A26D2" w14:paraId="4D45DE64" w14:textId="77777777" w:rsidTr="00BD1985">
        <w:trPr>
          <w:trHeight w:val="217"/>
        </w:trPr>
        <w:tc>
          <w:tcPr>
            <w:tcW w:w="991" w:type="dxa"/>
            <w:shd w:val="clear" w:color="auto" w:fill="auto"/>
            <w:tcMar>
              <w:top w:w="10" w:type="dxa"/>
              <w:left w:w="10" w:type="dxa"/>
              <w:bottom w:w="0" w:type="dxa"/>
              <w:right w:w="10" w:type="dxa"/>
            </w:tcMar>
            <w:vAlign w:val="center"/>
          </w:tcPr>
          <w:p w14:paraId="23B031F8" w14:textId="77777777" w:rsidR="00A90E9C" w:rsidRPr="008A26D2" w:rsidRDefault="00A90E9C" w:rsidP="0072651A">
            <w:pPr>
              <w:spacing w:after="0" w:line="240" w:lineRule="auto"/>
              <w:jc w:val="center"/>
              <w:rPr>
                <w:rFonts w:ascii="Arial" w:eastAsia="Arial Narrow" w:hAnsi="Arial" w:cs="Arial"/>
                <w:sz w:val="20"/>
                <w:szCs w:val="20"/>
              </w:rPr>
            </w:pPr>
            <w:r w:rsidRPr="008A26D2">
              <w:rPr>
                <w:rFonts w:ascii="Arial" w:eastAsia="Arial Narrow" w:hAnsi="Arial" w:cs="Arial"/>
                <w:b/>
                <w:sz w:val="20"/>
                <w:szCs w:val="20"/>
              </w:rPr>
              <w:t>Año</w:t>
            </w:r>
          </w:p>
        </w:tc>
        <w:tc>
          <w:tcPr>
            <w:tcW w:w="840" w:type="dxa"/>
            <w:shd w:val="clear" w:color="auto" w:fill="auto"/>
            <w:tcMar>
              <w:top w:w="10" w:type="dxa"/>
              <w:left w:w="10" w:type="dxa"/>
              <w:bottom w:w="0" w:type="dxa"/>
              <w:right w:w="10" w:type="dxa"/>
            </w:tcMar>
            <w:vAlign w:val="center"/>
          </w:tcPr>
          <w:p w14:paraId="3979B882" w14:textId="77777777" w:rsidR="00A90E9C" w:rsidRPr="008A26D2" w:rsidRDefault="00A90E9C" w:rsidP="0072651A">
            <w:pPr>
              <w:spacing w:after="0" w:line="240" w:lineRule="auto"/>
              <w:jc w:val="center"/>
              <w:rPr>
                <w:rFonts w:ascii="Arial" w:eastAsia="Arial Narrow" w:hAnsi="Arial" w:cs="Arial"/>
                <w:b/>
                <w:sz w:val="20"/>
                <w:szCs w:val="20"/>
              </w:rPr>
            </w:pPr>
            <w:r w:rsidRPr="008A26D2">
              <w:rPr>
                <w:rFonts w:ascii="Arial" w:eastAsia="Arial Narrow" w:hAnsi="Arial" w:cs="Arial"/>
                <w:b/>
                <w:sz w:val="20"/>
                <w:szCs w:val="20"/>
              </w:rPr>
              <w:t>2022</w:t>
            </w:r>
          </w:p>
        </w:tc>
        <w:tc>
          <w:tcPr>
            <w:tcW w:w="721" w:type="dxa"/>
            <w:shd w:val="clear" w:color="auto" w:fill="auto"/>
            <w:tcMar>
              <w:top w:w="10" w:type="dxa"/>
              <w:left w:w="10" w:type="dxa"/>
              <w:bottom w:w="0" w:type="dxa"/>
              <w:right w:w="10" w:type="dxa"/>
            </w:tcMar>
            <w:vAlign w:val="center"/>
          </w:tcPr>
          <w:p w14:paraId="0DA81CA9" w14:textId="77777777" w:rsidR="00A90E9C" w:rsidRPr="008A26D2" w:rsidRDefault="00A90E9C" w:rsidP="0072651A">
            <w:pPr>
              <w:spacing w:after="0" w:line="240" w:lineRule="auto"/>
              <w:jc w:val="center"/>
              <w:rPr>
                <w:rFonts w:ascii="Arial" w:eastAsia="Arial Narrow" w:hAnsi="Arial" w:cs="Arial"/>
                <w:b/>
                <w:sz w:val="20"/>
                <w:szCs w:val="20"/>
              </w:rPr>
            </w:pPr>
            <w:r w:rsidRPr="008A26D2">
              <w:rPr>
                <w:rFonts w:ascii="Arial" w:eastAsia="Arial Narrow" w:hAnsi="Arial" w:cs="Arial"/>
                <w:b/>
                <w:sz w:val="20"/>
                <w:szCs w:val="20"/>
              </w:rPr>
              <w:t>2023</w:t>
            </w:r>
          </w:p>
        </w:tc>
        <w:tc>
          <w:tcPr>
            <w:tcW w:w="959" w:type="dxa"/>
            <w:shd w:val="clear" w:color="auto" w:fill="auto"/>
            <w:vAlign w:val="center"/>
          </w:tcPr>
          <w:p w14:paraId="0560332D" w14:textId="77777777" w:rsidR="00A90E9C" w:rsidRPr="008A26D2" w:rsidRDefault="00A90E9C" w:rsidP="0072651A">
            <w:pPr>
              <w:spacing w:after="0" w:line="240" w:lineRule="auto"/>
              <w:jc w:val="center"/>
              <w:rPr>
                <w:rFonts w:ascii="Arial" w:eastAsia="Arial Narrow" w:hAnsi="Arial" w:cs="Arial"/>
                <w:b/>
                <w:sz w:val="20"/>
                <w:szCs w:val="20"/>
              </w:rPr>
            </w:pPr>
            <w:r w:rsidRPr="008A26D2">
              <w:rPr>
                <w:rFonts w:ascii="Arial" w:eastAsia="Arial Narrow" w:hAnsi="Arial" w:cs="Arial"/>
                <w:b/>
                <w:sz w:val="20"/>
                <w:szCs w:val="20"/>
              </w:rPr>
              <w:t>2024</w:t>
            </w:r>
          </w:p>
        </w:tc>
        <w:tc>
          <w:tcPr>
            <w:tcW w:w="742" w:type="dxa"/>
            <w:shd w:val="clear" w:color="auto" w:fill="auto"/>
            <w:vAlign w:val="center"/>
          </w:tcPr>
          <w:p w14:paraId="5697E62A" w14:textId="77777777" w:rsidR="00A90E9C" w:rsidRPr="008A26D2" w:rsidRDefault="00A90E9C" w:rsidP="0072651A">
            <w:pPr>
              <w:spacing w:after="0" w:line="240" w:lineRule="auto"/>
              <w:jc w:val="center"/>
              <w:rPr>
                <w:rFonts w:ascii="Arial" w:eastAsia="Arial Narrow" w:hAnsi="Arial" w:cs="Arial"/>
                <w:b/>
                <w:sz w:val="20"/>
                <w:szCs w:val="20"/>
              </w:rPr>
            </w:pPr>
            <w:r w:rsidRPr="008A26D2">
              <w:rPr>
                <w:rFonts w:ascii="Arial" w:eastAsia="Arial Narrow" w:hAnsi="Arial" w:cs="Arial"/>
                <w:b/>
                <w:sz w:val="20"/>
                <w:szCs w:val="20"/>
              </w:rPr>
              <w:t>2025</w:t>
            </w:r>
          </w:p>
        </w:tc>
        <w:tc>
          <w:tcPr>
            <w:tcW w:w="850" w:type="dxa"/>
            <w:gridSpan w:val="2"/>
            <w:shd w:val="clear" w:color="auto" w:fill="auto"/>
            <w:vAlign w:val="center"/>
          </w:tcPr>
          <w:p w14:paraId="1C65C887" w14:textId="77777777" w:rsidR="00A90E9C" w:rsidRPr="008A26D2" w:rsidRDefault="00A90E9C" w:rsidP="0072651A">
            <w:pPr>
              <w:spacing w:after="0" w:line="240" w:lineRule="auto"/>
              <w:jc w:val="center"/>
              <w:rPr>
                <w:rFonts w:ascii="Arial" w:eastAsia="Arial Narrow" w:hAnsi="Arial" w:cs="Arial"/>
                <w:b/>
                <w:sz w:val="20"/>
                <w:szCs w:val="20"/>
              </w:rPr>
            </w:pPr>
            <w:r w:rsidRPr="008A26D2">
              <w:rPr>
                <w:rFonts w:ascii="Arial" w:eastAsia="Arial Narrow" w:hAnsi="Arial" w:cs="Arial"/>
                <w:b/>
                <w:sz w:val="20"/>
                <w:szCs w:val="20"/>
              </w:rPr>
              <w:t>2026</w:t>
            </w:r>
          </w:p>
        </w:tc>
        <w:tc>
          <w:tcPr>
            <w:tcW w:w="851" w:type="dxa"/>
            <w:shd w:val="clear" w:color="auto" w:fill="auto"/>
            <w:vAlign w:val="center"/>
          </w:tcPr>
          <w:p w14:paraId="07CAB2C5" w14:textId="77777777" w:rsidR="00A90E9C" w:rsidRPr="008A26D2" w:rsidRDefault="00A90E9C" w:rsidP="0072651A">
            <w:pPr>
              <w:spacing w:after="0" w:line="240" w:lineRule="auto"/>
              <w:jc w:val="center"/>
              <w:rPr>
                <w:rFonts w:ascii="Arial" w:eastAsia="Arial Narrow" w:hAnsi="Arial" w:cs="Arial"/>
                <w:b/>
                <w:sz w:val="20"/>
                <w:szCs w:val="20"/>
              </w:rPr>
            </w:pPr>
            <w:r w:rsidRPr="008A26D2">
              <w:rPr>
                <w:rFonts w:ascii="Arial" w:eastAsia="Arial Narrow" w:hAnsi="Arial" w:cs="Arial"/>
                <w:b/>
                <w:sz w:val="20"/>
                <w:szCs w:val="20"/>
              </w:rPr>
              <w:t>2027</w:t>
            </w:r>
          </w:p>
        </w:tc>
        <w:tc>
          <w:tcPr>
            <w:tcW w:w="850" w:type="dxa"/>
            <w:shd w:val="clear" w:color="auto" w:fill="auto"/>
            <w:vAlign w:val="center"/>
          </w:tcPr>
          <w:p w14:paraId="0638ED3C" w14:textId="77777777" w:rsidR="00A90E9C" w:rsidRPr="008A26D2" w:rsidRDefault="00A90E9C" w:rsidP="0072651A">
            <w:pPr>
              <w:spacing w:after="0" w:line="240" w:lineRule="auto"/>
              <w:jc w:val="center"/>
              <w:rPr>
                <w:rFonts w:ascii="Arial" w:eastAsia="Arial Narrow" w:hAnsi="Arial" w:cs="Arial"/>
                <w:b/>
                <w:sz w:val="20"/>
                <w:szCs w:val="20"/>
              </w:rPr>
            </w:pPr>
            <w:r w:rsidRPr="008A26D2">
              <w:rPr>
                <w:rFonts w:ascii="Arial" w:eastAsia="Arial Narrow" w:hAnsi="Arial" w:cs="Arial"/>
                <w:b/>
                <w:sz w:val="20"/>
                <w:szCs w:val="20"/>
              </w:rPr>
              <w:t>2028</w:t>
            </w:r>
          </w:p>
        </w:tc>
        <w:tc>
          <w:tcPr>
            <w:tcW w:w="851" w:type="dxa"/>
            <w:gridSpan w:val="2"/>
            <w:shd w:val="clear" w:color="auto" w:fill="auto"/>
            <w:vAlign w:val="center"/>
          </w:tcPr>
          <w:p w14:paraId="50F1DD14" w14:textId="77777777" w:rsidR="00A90E9C" w:rsidRPr="008A26D2" w:rsidRDefault="00A90E9C" w:rsidP="0072651A">
            <w:pPr>
              <w:spacing w:after="0" w:line="240" w:lineRule="auto"/>
              <w:jc w:val="center"/>
              <w:rPr>
                <w:rFonts w:ascii="Arial" w:eastAsia="Arial Narrow" w:hAnsi="Arial" w:cs="Arial"/>
                <w:b/>
                <w:sz w:val="20"/>
                <w:szCs w:val="20"/>
              </w:rPr>
            </w:pPr>
            <w:r w:rsidRPr="008A26D2">
              <w:rPr>
                <w:rFonts w:ascii="Arial" w:eastAsia="Arial Narrow" w:hAnsi="Arial" w:cs="Arial"/>
                <w:b/>
                <w:sz w:val="20"/>
                <w:szCs w:val="20"/>
              </w:rPr>
              <w:t>2029</w:t>
            </w:r>
          </w:p>
        </w:tc>
        <w:tc>
          <w:tcPr>
            <w:tcW w:w="850" w:type="dxa"/>
            <w:shd w:val="clear" w:color="auto" w:fill="auto"/>
            <w:vAlign w:val="center"/>
          </w:tcPr>
          <w:p w14:paraId="69BB30A3" w14:textId="77777777" w:rsidR="00A90E9C" w:rsidRPr="008A26D2" w:rsidRDefault="00A90E9C" w:rsidP="0072651A">
            <w:pPr>
              <w:spacing w:after="0" w:line="240" w:lineRule="auto"/>
              <w:jc w:val="center"/>
              <w:rPr>
                <w:rFonts w:ascii="Arial" w:eastAsia="Arial Narrow" w:hAnsi="Arial" w:cs="Arial"/>
                <w:b/>
                <w:sz w:val="20"/>
                <w:szCs w:val="20"/>
              </w:rPr>
            </w:pPr>
            <w:r w:rsidRPr="008A26D2">
              <w:rPr>
                <w:rFonts w:ascii="Arial" w:eastAsia="Arial Narrow" w:hAnsi="Arial" w:cs="Arial"/>
                <w:b/>
                <w:sz w:val="20"/>
                <w:szCs w:val="20"/>
              </w:rPr>
              <w:t>2030</w:t>
            </w:r>
          </w:p>
        </w:tc>
      </w:tr>
      <w:tr w:rsidR="008A26D2" w:rsidRPr="008A26D2" w14:paraId="09C12D2A" w14:textId="77777777" w:rsidTr="00BD1985">
        <w:trPr>
          <w:trHeight w:val="563"/>
        </w:trPr>
        <w:tc>
          <w:tcPr>
            <w:tcW w:w="991" w:type="dxa"/>
            <w:shd w:val="clear" w:color="auto" w:fill="auto"/>
            <w:tcMar>
              <w:top w:w="10" w:type="dxa"/>
              <w:left w:w="10" w:type="dxa"/>
              <w:bottom w:w="0" w:type="dxa"/>
              <w:right w:w="10" w:type="dxa"/>
            </w:tcMar>
            <w:vAlign w:val="center"/>
          </w:tcPr>
          <w:p w14:paraId="0C7181DD" w14:textId="77777777" w:rsidR="00A90E9C" w:rsidRPr="008A26D2" w:rsidRDefault="00A90E9C" w:rsidP="008609CD">
            <w:pPr>
              <w:spacing w:after="0" w:line="240" w:lineRule="auto"/>
              <w:jc w:val="center"/>
              <w:rPr>
                <w:rFonts w:ascii="Arial" w:eastAsia="Arial Narrow" w:hAnsi="Arial" w:cs="Arial"/>
                <w:b/>
                <w:sz w:val="20"/>
                <w:szCs w:val="20"/>
              </w:rPr>
            </w:pPr>
            <w:r w:rsidRPr="008A26D2">
              <w:rPr>
                <w:rFonts w:ascii="Arial" w:eastAsia="Arial Narrow" w:hAnsi="Arial" w:cs="Arial"/>
                <w:b/>
                <w:sz w:val="20"/>
                <w:szCs w:val="20"/>
              </w:rPr>
              <w:t>Valor</w:t>
            </w:r>
          </w:p>
        </w:tc>
        <w:tc>
          <w:tcPr>
            <w:tcW w:w="840" w:type="dxa"/>
            <w:shd w:val="clear" w:color="auto" w:fill="auto"/>
            <w:tcMar>
              <w:top w:w="10" w:type="dxa"/>
              <w:left w:w="10" w:type="dxa"/>
              <w:bottom w:w="0" w:type="dxa"/>
              <w:right w:w="10" w:type="dxa"/>
            </w:tcMar>
            <w:vAlign w:val="center"/>
          </w:tcPr>
          <w:p w14:paraId="798FC576" w14:textId="61267FD4" w:rsidR="00A90E9C" w:rsidRPr="008A26D2" w:rsidRDefault="00C40F76" w:rsidP="008609CD">
            <w:pPr>
              <w:pBdr>
                <w:top w:val="nil"/>
                <w:left w:val="nil"/>
                <w:bottom w:val="nil"/>
                <w:right w:val="nil"/>
                <w:between w:val="nil"/>
              </w:pBdr>
              <w:spacing w:after="0" w:line="240" w:lineRule="auto"/>
              <w:jc w:val="center"/>
              <w:rPr>
                <w:rFonts w:ascii="Arial" w:eastAsia="Arial Narrow" w:hAnsi="Arial" w:cs="Arial"/>
                <w:sz w:val="20"/>
                <w:szCs w:val="20"/>
              </w:rPr>
            </w:pPr>
            <w:r w:rsidRPr="00F8655E">
              <w:rPr>
                <w:rFonts w:ascii="Arial" w:eastAsia="Arial Narrow" w:hAnsi="Arial" w:cs="Arial"/>
                <w:sz w:val="20"/>
                <w:szCs w:val="20"/>
              </w:rPr>
              <w:t>ND</w:t>
            </w:r>
          </w:p>
        </w:tc>
        <w:tc>
          <w:tcPr>
            <w:tcW w:w="721" w:type="dxa"/>
            <w:shd w:val="clear" w:color="auto" w:fill="auto"/>
            <w:tcMar>
              <w:top w:w="10" w:type="dxa"/>
              <w:left w:w="10" w:type="dxa"/>
              <w:bottom w:w="0" w:type="dxa"/>
              <w:right w:w="10" w:type="dxa"/>
            </w:tcMar>
            <w:vAlign w:val="center"/>
          </w:tcPr>
          <w:p w14:paraId="1B973954" w14:textId="77777777" w:rsidR="00A90E9C" w:rsidRPr="008A26D2" w:rsidRDefault="00A90E9C" w:rsidP="008609CD">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40%</w:t>
            </w:r>
          </w:p>
        </w:tc>
        <w:tc>
          <w:tcPr>
            <w:tcW w:w="959" w:type="dxa"/>
            <w:shd w:val="clear" w:color="auto" w:fill="auto"/>
            <w:vAlign w:val="center"/>
          </w:tcPr>
          <w:p w14:paraId="137F0FEE" w14:textId="77777777" w:rsidR="00A90E9C" w:rsidRPr="008A26D2" w:rsidRDefault="00A90E9C" w:rsidP="008609CD">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50%</w:t>
            </w:r>
          </w:p>
        </w:tc>
        <w:tc>
          <w:tcPr>
            <w:tcW w:w="742" w:type="dxa"/>
            <w:shd w:val="clear" w:color="auto" w:fill="auto"/>
            <w:vAlign w:val="center"/>
          </w:tcPr>
          <w:p w14:paraId="0C92CAB9" w14:textId="77777777" w:rsidR="00A90E9C" w:rsidRPr="008A26D2" w:rsidRDefault="00A90E9C" w:rsidP="008609CD">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60%</w:t>
            </w:r>
          </w:p>
        </w:tc>
        <w:tc>
          <w:tcPr>
            <w:tcW w:w="850" w:type="dxa"/>
            <w:gridSpan w:val="2"/>
            <w:shd w:val="clear" w:color="auto" w:fill="auto"/>
            <w:vAlign w:val="center"/>
          </w:tcPr>
          <w:p w14:paraId="7677C397" w14:textId="77777777" w:rsidR="00A90E9C" w:rsidRPr="008A26D2" w:rsidRDefault="00A90E9C" w:rsidP="008609CD">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70%</w:t>
            </w:r>
          </w:p>
        </w:tc>
        <w:tc>
          <w:tcPr>
            <w:tcW w:w="851" w:type="dxa"/>
            <w:shd w:val="clear" w:color="auto" w:fill="auto"/>
            <w:vAlign w:val="center"/>
          </w:tcPr>
          <w:p w14:paraId="6B977462" w14:textId="77777777" w:rsidR="00A90E9C" w:rsidRPr="008A26D2" w:rsidRDefault="00A90E9C" w:rsidP="008609CD">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80%</w:t>
            </w:r>
          </w:p>
        </w:tc>
        <w:tc>
          <w:tcPr>
            <w:tcW w:w="850" w:type="dxa"/>
            <w:shd w:val="clear" w:color="auto" w:fill="auto"/>
            <w:vAlign w:val="center"/>
          </w:tcPr>
          <w:p w14:paraId="2C58CF9C" w14:textId="77777777" w:rsidR="00A90E9C" w:rsidRPr="008A26D2" w:rsidRDefault="00A90E9C" w:rsidP="008609CD">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80%</w:t>
            </w:r>
          </w:p>
        </w:tc>
        <w:tc>
          <w:tcPr>
            <w:tcW w:w="851" w:type="dxa"/>
            <w:gridSpan w:val="2"/>
            <w:shd w:val="clear" w:color="auto" w:fill="auto"/>
            <w:vAlign w:val="center"/>
          </w:tcPr>
          <w:p w14:paraId="66215ED3" w14:textId="77777777" w:rsidR="00A90E9C" w:rsidRPr="008A26D2" w:rsidRDefault="00A90E9C" w:rsidP="008609CD">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90%</w:t>
            </w:r>
          </w:p>
        </w:tc>
        <w:tc>
          <w:tcPr>
            <w:tcW w:w="850" w:type="dxa"/>
            <w:shd w:val="clear" w:color="auto" w:fill="auto"/>
            <w:vAlign w:val="center"/>
          </w:tcPr>
          <w:p w14:paraId="293FA59C" w14:textId="77777777" w:rsidR="00A90E9C" w:rsidRPr="008A26D2" w:rsidRDefault="00A90E9C" w:rsidP="008609CD">
            <w:pPr>
              <w:pBdr>
                <w:top w:val="nil"/>
                <w:left w:val="nil"/>
                <w:bottom w:val="nil"/>
                <w:right w:val="nil"/>
                <w:between w:val="nil"/>
              </w:pBdr>
              <w:spacing w:after="0" w:line="240" w:lineRule="auto"/>
              <w:jc w:val="center"/>
              <w:rPr>
                <w:rFonts w:ascii="Arial" w:eastAsia="Arial Narrow" w:hAnsi="Arial" w:cs="Arial"/>
                <w:sz w:val="20"/>
                <w:szCs w:val="20"/>
              </w:rPr>
            </w:pPr>
            <w:r w:rsidRPr="008A26D2">
              <w:rPr>
                <w:rFonts w:ascii="Arial" w:eastAsia="Arial Narrow" w:hAnsi="Arial" w:cs="Arial"/>
                <w:sz w:val="20"/>
                <w:szCs w:val="20"/>
              </w:rPr>
              <w:t>100%</w:t>
            </w:r>
          </w:p>
        </w:tc>
      </w:tr>
    </w:tbl>
    <w:p w14:paraId="006D72DF" w14:textId="77777777" w:rsidR="00BD1985" w:rsidRDefault="00BD1985"/>
    <w:tbl>
      <w:tblPr>
        <w:tblW w:w="8931"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0"/>
        <w:gridCol w:w="992"/>
        <w:gridCol w:w="850"/>
        <w:gridCol w:w="18"/>
        <w:gridCol w:w="975"/>
        <w:gridCol w:w="647"/>
        <w:gridCol w:w="487"/>
        <w:gridCol w:w="850"/>
        <w:gridCol w:w="992"/>
        <w:gridCol w:w="567"/>
        <w:gridCol w:w="284"/>
        <w:gridCol w:w="850"/>
        <w:gridCol w:w="709"/>
      </w:tblGrid>
      <w:tr w:rsidR="008A26D2" w:rsidRPr="008A26D2" w14:paraId="3A79519F" w14:textId="77777777" w:rsidTr="00BD1985">
        <w:trPr>
          <w:trHeight w:val="397"/>
          <w:tblHeader/>
        </w:trPr>
        <w:tc>
          <w:tcPr>
            <w:tcW w:w="8931" w:type="dxa"/>
            <w:gridSpan w:val="13"/>
            <w:shd w:val="clear" w:color="auto" w:fill="D9D9D9" w:themeFill="background1" w:themeFillShade="D9"/>
            <w:tcMar>
              <w:top w:w="10" w:type="dxa"/>
              <w:left w:w="10" w:type="dxa"/>
              <w:bottom w:w="0" w:type="dxa"/>
              <w:right w:w="10" w:type="dxa"/>
            </w:tcMar>
            <w:vAlign w:val="center"/>
          </w:tcPr>
          <w:p w14:paraId="1B698754" w14:textId="3E381C08" w:rsidR="00A90E9C" w:rsidRPr="008A26D2" w:rsidRDefault="00A90E9C" w:rsidP="0072651A">
            <w:pPr>
              <w:tabs>
                <w:tab w:val="left" w:pos="3375"/>
              </w:tabs>
              <w:spacing w:after="0"/>
              <w:jc w:val="center"/>
              <w:rPr>
                <w:rFonts w:ascii="Arial" w:hAnsi="Arial" w:cs="Arial"/>
                <w:b/>
                <w:sz w:val="20"/>
                <w:szCs w:val="20"/>
              </w:rPr>
            </w:pPr>
            <w:r w:rsidRPr="008A26D2">
              <w:rPr>
                <w:rFonts w:ascii="Arial" w:hAnsi="Arial" w:cs="Arial"/>
                <w:b/>
                <w:sz w:val="20"/>
                <w:szCs w:val="20"/>
              </w:rPr>
              <w:lastRenderedPageBreak/>
              <w:br w:type="page"/>
              <w:t>FICHA TÉCNICA DE INDICADOR DE SERVICIO 1.8.</w:t>
            </w:r>
            <w:r w:rsidR="00F92676" w:rsidRPr="008A26D2">
              <w:rPr>
                <w:rFonts w:ascii="Arial" w:hAnsi="Arial" w:cs="Arial"/>
                <w:b/>
                <w:sz w:val="20"/>
                <w:szCs w:val="20"/>
              </w:rPr>
              <w:t>1</w:t>
            </w:r>
          </w:p>
        </w:tc>
      </w:tr>
      <w:tr w:rsidR="008A26D2" w:rsidRPr="008A26D2" w14:paraId="25E23B70" w14:textId="77777777" w:rsidTr="00BD1985">
        <w:trPr>
          <w:trHeight w:val="567"/>
          <w:tblHeader/>
        </w:trPr>
        <w:tc>
          <w:tcPr>
            <w:tcW w:w="2570" w:type="dxa"/>
            <w:gridSpan w:val="4"/>
            <w:shd w:val="clear" w:color="auto" w:fill="FFFFFF"/>
            <w:tcMar>
              <w:top w:w="10" w:type="dxa"/>
              <w:left w:w="93" w:type="dxa"/>
              <w:bottom w:w="0" w:type="dxa"/>
              <w:right w:w="10" w:type="dxa"/>
            </w:tcMar>
            <w:vAlign w:val="center"/>
          </w:tcPr>
          <w:p w14:paraId="5B3D0BC3" w14:textId="77777777" w:rsidR="00A90E9C" w:rsidRPr="008A26D2" w:rsidRDefault="00A90E9C" w:rsidP="0072651A">
            <w:pPr>
              <w:spacing w:after="0"/>
              <w:rPr>
                <w:rFonts w:ascii="Arial" w:hAnsi="Arial" w:cs="Arial"/>
                <w:sz w:val="20"/>
                <w:szCs w:val="20"/>
              </w:rPr>
            </w:pPr>
            <w:r w:rsidRPr="008A26D2">
              <w:rPr>
                <w:rFonts w:ascii="Arial" w:hAnsi="Arial" w:cs="Arial"/>
                <w:b/>
                <w:sz w:val="20"/>
                <w:szCs w:val="20"/>
              </w:rPr>
              <w:t>Objetivo prioritario:</w:t>
            </w:r>
          </w:p>
        </w:tc>
        <w:tc>
          <w:tcPr>
            <w:tcW w:w="6361" w:type="dxa"/>
            <w:gridSpan w:val="9"/>
            <w:shd w:val="clear" w:color="auto" w:fill="FFFFFF"/>
            <w:tcMar>
              <w:top w:w="51" w:type="dxa"/>
              <w:left w:w="227" w:type="dxa"/>
              <w:bottom w:w="51" w:type="dxa"/>
              <w:right w:w="227" w:type="dxa"/>
            </w:tcMar>
            <w:vAlign w:val="center"/>
          </w:tcPr>
          <w:p w14:paraId="4FF93139" w14:textId="77777777" w:rsidR="00A90E9C" w:rsidRPr="008A26D2" w:rsidRDefault="00A90E9C" w:rsidP="0072651A">
            <w:pPr>
              <w:spacing w:after="0" w:line="240" w:lineRule="auto"/>
              <w:ind w:left="-102"/>
              <w:jc w:val="both"/>
              <w:rPr>
                <w:rFonts w:ascii="Arial" w:hAnsi="Arial" w:cs="Arial"/>
                <w:sz w:val="20"/>
                <w:szCs w:val="20"/>
              </w:rPr>
            </w:pPr>
            <w:r w:rsidRPr="008A26D2">
              <w:rPr>
                <w:rFonts w:ascii="Arial" w:eastAsia="Arial Narrow" w:hAnsi="Arial" w:cs="Arial"/>
                <w:sz w:val="20"/>
                <w:szCs w:val="20"/>
              </w:rPr>
              <w:t>OP1 Mejorar las condiciones para la sostenibilidad de los ecosistemas forestales, otros ecosistemas de vegetación silvestre y de la fauna silvestre.</w:t>
            </w:r>
          </w:p>
        </w:tc>
      </w:tr>
      <w:tr w:rsidR="008A26D2" w:rsidRPr="008A26D2" w14:paraId="640AEE2C" w14:textId="77777777" w:rsidTr="00BD1985">
        <w:trPr>
          <w:trHeight w:val="567"/>
          <w:tblHeader/>
        </w:trPr>
        <w:tc>
          <w:tcPr>
            <w:tcW w:w="2570" w:type="dxa"/>
            <w:gridSpan w:val="4"/>
            <w:shd w:val="clear" w:color="auto" w:fill="auto"/>
            <w:tcMar>
              <w:top w:w="10" w:type="dxa"/>
              <w:left w:w="93" w:type="dxa"/>
              <w:bottom w:w="0" w:type="dxa"/>
              <w:right w:w="10" w:type="dxa"/>
            </w:tcMar>
            <w:vAlign w:val="center"/>
          </w:tcPr>
          <w:p w14:paraId="730F0875" w14:textId="77777777" w:rsidR="00A90E9C" w:rsidRPr="008A26D2" w:rsidRDefault="00A90E9C" w:rsidP="0072651A">
            <w:pPr>
              <w:spacing w:after="0"/>
              <w:rPr>
                <w:rFonts w:ascii="Arial" w:hAnsi="Arial" w:cs="Arial"/>
                <w:sz w:val="20"/>
                <w:szCs w:val="20"/>
              </w:rPr>
            </w:pPr>
            <w:r w:rsidRPr="008A26D2">
              <w:rPr>
                <w:rFonts w:ascii="Arial" w:hAnsi="Arial" w:cs="Arial"/>
                <w:b/>
                <w:sz w:val="20"/>
                <w:szCs w:val="20"/>
              </w:rPr>
              <w:t>Lineamiento de la política:</w:t>
            </w:r>
          </w:p>
        </w:tc>
        <w:tc>
          <w:tcPr>
            <w:tcW w:w="6361" w:type="dxa"/>
            <w:gridSpan w:val="9"/>
            <w:shd w:val="clear" w:color="auto" w:fill="auto"/>
            <w:tcMar>
              <w:top w:w="51" w:type="dxa"/>
              <w:left w:w="227" w:type="dxa"/>
              <w:bottom w:w="51" w:type="dxa"/>
              <w:right w:w="227" w:type="dxa"/>
            </w:tcMar>
            <w:vAlign w:val="center"/>
          </w:tcPr>
          <w:p w14:paraId="22C4695E" w14:textId="77777777" w:rsidR="00A90E9C" w:rsidRPr="008A26D2" w:rsidRDefault="00A90E9C" w:rsidP="0072651A">
            <w:pPr>
              <w:spacing w:after="0" w:line="240" w:lineRule="auto"/>
              <w:ind w:left="-102"/>
              <w:jc w:val="both"/>
              <w:rPr>
                <w:rFonts w:ascii="Arial" w:eastAsia="Arial Narrow" w:hAnsi="Arial" w:cs="Arial"/>
                <w:sz w:val="20"/>
                <w:szCs w:val="20"/>
              </w:rPr>
            </w:pPr>
            <w:r w:rsidRPr="008A26D2">
              <w:rPr>
                <w:rFonts w:ascii="Arial" w:eastAsia="Arial Narrow" w:hAnsi="Arial" w:cs="Arial"/>
                <w:sz w:val="20"/>
                <w:szCs w:val="20"/>
              </w:rPr>
              <w:t>L1.8 Fortalecer capacidades para el cumplimiento de la legislación forestal y de fauna silvestre</w:t>
            </w:r>
          </w:p>
        </w:tc>
      </w:tr>
      <w:tr w:rsidR="008A26D2" w:rsidRPr="008A26D2" w14:paraId="6EE70382" w14:textId="77777777" w:rsidTr="00BD1985">
        <w:trPr>
          <w:trHeight w:val="1022"/>
          <w:tblHeader/>
        </w:trPr>
        <w:tc>
          <w:tcPr>
            <w:tcW w:w="2570" w:type="dxa"/>
            <w:gridSpan w:val="4"/>
            <w:shd w:val="clear" w:color="auto" w:fill="auto"/>
            <w:tcMar>
              <w:top w:w="10" w:type="dxa"/>
              <w:left w:w="93" w:type="dxa"/>
              <w:bottom w:w="0" w:type="dxa"/>
              <w:right w:w="10" w:type="dxa"/>
            </w:tcMar>
            <w:vAlign w:val="center"/>
          </w:tcPr>
          <w:p w14:paraId="12600293" w14:textId="77777777" w:rsidR="00A90E9C" w:rsidRPr="008A26D2" w:rsidRDefault="00A90E9C" w:rsidP="0072651A">
            <w:pPr>
              <w:spacing w:after="0"/>
              <w:rPr>
                <w:rFonts w:ascii="Arial" w:hAnsi="Arial" w:cs="Arial"/>
                <w:sz w:val="20"/>
                <w:szCs w:val="20"/>
              </w:rPr>
            </w:pPr>
            <w:r w:rsidRPr="008A26D2">
              <w:rPr>
                <w:rFonts w:ascii="Arial" w:hAnsi="Arial" w:cs="Arial"/>
                <w:b/>
                <w:sz w:val="20"/>
                <w:szCs w:val="20"/>
              </w:rPr>
              <w:t>Nombre del servicio:</w:t>
            </w:r>
          </w:p>
        </w:tc>
        <w:tc>
          <w:tcPr>
            <w:tcW w:w="6361" w:type="dxa"/>
            <w:gridSpan w:val="9"/>
            <w:shd w:val="clear" w:color="auto" w:fill="auto"/>
            <w:tcMar>
              <w:top w:w="51" w:type="dxa"/>
              <w:left w:w="227" w:type="dxa"/>
              <w:bottom w:w="51" w:type="dxa"/>
              <w:right w:w="227" w:type="dxa"/>
            </w:tcMar>
            <w:vAlign w:val="center"/>
          </w:tcPr>
          <w:p w14:paraId="084F8D29" w14:textId="579035F1" w:rsidR="00A90E9C" w:rsidRPr="008A26D2" w:rsidRDefault="00A90E9C" w:rsidP="0072651A">
            <w:pPr>
              <w:spacing w:after="0" w:line="240" w:lineRule="auto"/>
              <w:ind w:left="-102"/>
              <w:jc w:val="both"/>
              <w:rPr>
                <w:rFonts w:ascii="Arial" w:eastAsia="Arial Narrow" w:hAnsi="Arial" w:cs="Arial"/>
                <w:sz w:val="20"/>
                <w:szCs w:val="20"/>
              </w:rPr>
            </w:pPr>
            <w:r w:rsidRPr="008A26D2">
              <w:rPr>
                <w:rFonts w:ascii="Arial" w:eastAsia="Arial Narrow" w:hAnsi="Arial" w:cs="Arial"/>
                <w:sz w:val="20"/>
                <w:szCs w:val="20"/>
              </w:rPr>
              <w:t>S1.8.</w:t>
            </w:r>
            <w:r w:rsidR="00F92676" w:rsidRPr="008A26D2">
              <w:rPr>
                <w:rFonts w:ascii="Arial" w:eastAsia="Arial Narrow" w:hAnsi="Arial" w:cs="Arial"/>
                <w:sz w:val="20"/>
                <w:szCs w:val="20"/>
              </w:rPr>
              <w:t>1</w:t>
            </w:r>
            <w:r w:rsidRPr="008A26D2">
              <w:rPr>
                <w:rFonts w:ascii="Arial" w:eastAsia="Arial Narrow" w:hAnsi="Arial" w:cs="Arial"/>
                <w:sz w:val="20"/>
                <w:szCs w:val="20"/>
              </w:rPr>
              <w:t xml:space="preserve"> </w:t>
            </w:r>
            <w:r w:rsidR="003C5B2C" w:rsidRPr="008A26D2">
              <w:rPr>
                <w:rFonts w:ascii="Arial" w:eastAsia="Arial Narrow" w:hAnsi="Arial" w:cs="Arial"/>
                <w:sz w:val="20"/>
                <w:szCs w:val="20"/>
              </w:rPr>
              <w:t>Fortalecimiento de capacidades en la gestión, control y vigilancia de los recursos forestales y de fauna silvestre brindados de manera oportuna para los titulares de títulos habilitantes</w:t>
            </w:r>
          </w:p>
        </w:tc>
      </w:tr>
      <w:tr w:rsidR="008A26D2" w:rsidRPr="008A26D2" w14:paraId="696CB4D0" w14:textId="77777777" w:rsidTr="00BD1985">
        <w:trPr>
          <w:trHeight w:val="567"/>
          <w:tblHeader/>
        </w:trPr>
        <w:tc>
          <w:tcPr>
            <w:tcW w:w="2570" w:type="dxa"/>
            <w:gridSpan w:val="4"/>
            <w:shd w:val="clear" w:color="auto" w:fill="auto"/>
            <w:tcMar>
              <w:top w:w="10" w:type="dxa"/>
              <w:left w:w="93" w:type="dxa"/>
              <w:bottom w:w="0" w:type="dxa"/>
              <w:right w:w="10" w:type="dxa"/>
            </w:tcMar>
            <w:vAlign w:val="center"/>
          </w:tcPr>
          <w:p w14:paraId="2F7E731C" w14:textId="77777777" w:rsidR="00A90E9C" w:rsidRPr="008A26D2" w:rsidRDefault="00A90E9C" w:rsidP="0072651A">
            <w:pPr>
              <w:spacing w:after="0"/>
              <w:rPr>
                <w:rFonts w:ascii="Arial" w:hAnsi="Arial" w:cs="Arial"/>
                <w:sz w:val="20"/>
                <w:szCs w:val="20"/>
              </w:rPr>
            </w:pPr>
            <w:r w:rsidRPr="008A26D2">
              <w:rPr>
                <w:rFonts w:ascii="Arial" w:hAnsi="Arial" w:cs="Arial"/>
                <w:b/>
                <w:sz w:val="20"/>
                <w:szCs w:val="20"/>
              </w:rPr>
              <w:t>Nombre del indicador:</w:t>
            </w:r>
          </w:p>
        </w:tc>
        <w:tc>
          <w:tcPr>
            <w:tcW w:w="6361" w:type="dxa"/>
            <w:gridSpan w:val="9"/>
            <w:shd w:val="clear" w:color="auto" w:fill="auto"/>
            <w:tcMar>
              <w:top w:w="51" w:type="dxa"/>
              <w:left w:w="227" w:type="dxa"/>
              <w:bottom w:w="51" w:type="dxa"/>
              <w:right w:w="227" w:type="dxa"/>
            </w:tcMar>
            <w:vAlign w:val="center"/>
          </w:tcPr>
          <w:p w14:paraId="2112CDC5" w14:textId="522B6306" w:rsidR="00A90E9C" w:rsidRPr="008A26D2" w:rsidRDefault="00F10F5A" w:rsidP="0072651A">
            <w:pPr>
              <w:spacing w:after="0" w:line="240" w:lineRule="auto"/>
              <w:ind w:left="-102"/>
              <w:jc w:val="both"/>
              <w:rPr>
                <w:rFonts w:ascii="Arial" w:eastAsia="Arial Narrow" w:hAnsi="Arial" w:cs="Arial"/>
                <w:sz w:val="20"/>
                <w:szCs w:val="20"/>
              </w:rPr>
            </w:pPr>
            <w:r w:rsidRPr="004C10E7">
              <w:rPr>
                <w:rFonts w:ascii="Arial" w:eastAsia="Arial Narrow" w:hAnsi="Arial" w:cs="Arial"/>
                <w:sz w:val="20"/>
                <w:szCs w:val="20"/>
              </w:rPr>
              <w:t xml:space="preserve">Porcentaje de titulares de títulos habilitantes que han sido capacitados de manera </w:t>
            </w:r>
            <w:r>
              <w:rPr>
                <w:rFonts w:ascii="Arial" w:eastAsia="Arial Narrow" w:hAnsi="Arial" w:cs="Arial"/>
                <w:sz w:val="20"/>
                <w:szCs w:val="20"/>
              </w:rPr>
              <w:t>preventiva</w:t>
            </w:r>
            <w:r w:rsidRPr="004C10E7">
              <w:rPr>
                <w:rFonts w:ascii="Arial" w:eastAsia="Arial Narrow" w:hAnsi="Arial" w:cs="Arial"/>
                <w:sz w:val="20"/>
                <w:szCs w:val="20"/>
              </w:rPr>
              <w:t xml:space="preserve"> durante el año</w:t>
            </w:r>
          </w:p>
        </w:tc>
      </w:tr>
      <w:tr w:rsidR="008A26D2" w:rsidRPr="008A26D2" w14:paraId="0D7DE552" w14:textId="77777777" w:rsidTr="00BD1985">
        <w:trPr>
          <w:trHeight w:val="1094"/>
          <w:tblHeader/>
        </w:trPr>
        <w:tc>
          <w:tcPr>
            <w:tcW w:w="2570" w:type="dxa"/>
            <w:gridSpan w:val="4"/>
            <w:shd w:val="clear" w:color="auto" w:fill="auto"/>
            <w:tcMar>
              <w:top w:w="10" w:type="dxa"/>
              <w:left w:w="93" w:type="dxa"/>
              <w:bottom w:w="0" w:type="dxa"/>
              <w:right w:w="10" w:type="dxa"/>
            </w:tcMar>
            <w:vAlign w:val="center"/>
          </w:tcPr>
          <w:p w14:paraId="0A617CE3" w14:textId="77777777" w:rsidR="00A90E9C" w:rsidRPr="008A26D2" w:rsidRDefault="00A90E9C" w:rsidP="0072651A">
            <w:pPr>
              <w:spacing w:after="0"/>
              <w:rPr>
                <w:rFonts w:ascii="Arial" w:hAnsi="Arial" w:cs="Arial"/>
                <w:sz w:val="20"/>
                <w:szCs w:val="20"/>
              </w:rPr>
            </w:pPr>
            <w:r w:rsidRPr="008A26D2">
              <w:rPr>
                <w:rFonts w:ascii="Arial" w:hAnsi="Arial" w:cs="Arial"/>
                <w:b/>
                <w:sz w:val="20"/>
                <w:szCs w:val="20"/>
              </w:rPr>
              <w:t>Justificación:</w:t>
            </w:r>
          </w:p>
        </w:tc>
        <w:tc>
          <w:tcPr>
            <w:tcW w:w="6361" w:type="dxa"/>
            <w:gridSpan w:val="9"/>
            <w:shd w:val="clear" w:color="auto" w:fill="auto"/>
            <w:tcMar>
              <w:top w:w="51" w:type="dxa"/>
              <w:left w:w="227" w:type="dxa"/>
              <w:bottom w:w="51" w:type="dxa"/>
              <w:right w:w="227" w:type="dxa"/>
            </w:tcMar>
            <w:vAlign w:val="center"/>
          </w:tcPr>
          <w:p w14:paraId="5900C477" w14:textId="3E2F8536" w:rsidR="00A90E9C" w:rsidRPr="008A26D2" w:rsidRDefault="00F10F5A" w:rsidP="0072651A">
            <w:pPr>
              <w:spacing w:after="0" w:line="240" w:lineRule="auto"/>
              <w:ind w:left="-102"/>
              <w:jc w:val="both"/>
              <w:rPr>
                <w:rFonts w:ascii="Arial" w:eastAsia="Arial Narrow" w:hAnsi="Arial" w:cs="Arial"/>
                <w:sz w:val="20"/>
                <w:szCs w:val="20"/>
              </w:rPr>
            </w:pPr>
            <w:r w:rsidRPr="0017439E">
              <w:rPr>
                <w:rFonts w:ascii="Arial" w:eastAsia="Arial Narrow" w:hAnsi="Arial" w:cs="Arial"/>
                <w:sz w:val="20"/>
                <w:szCs w:val="20"/>
              </w:rPr>
              <w:t xml:space="preserve">El indicador permite medir el porcentaje de titulares de títulos habilitantes que reciben la capacitación </w:t>
            </w:r>
            <w:r>
              <w:rPr>
                <w:rFonts w:ascii="Arial" w:eastAsia="Arial Narrow" w:hAnsi="Arial" w:cs="Arial"/>
                <w:sz w:val="20"/>
                <w:szCs w:val="20"/>
              </w:rPr>
              <w:t>de manera preventiva</w:t>
            </w:r>
            <w:r w:rsidRPr="0017439E">
              <w:rPr>
                <w:rFonts w:ascii="Arial" w:eastAsia="Arial Narrow" w:hAnsi="Arial" w:cs="Arial"/>
                <w:sz w:val="20"/>
                <w:szCs w:val="20"/>
              </w:rPr>
              <w:t>. De esa forma, se asegura el avance en la provisión del servicio para aplicar las mejoras del caso.</w:t>
            </w:r>
          </w:p>
        </w:tc>
      </w:tr>
      <w:tr w:rsidR="008A26D2" w:rsidRPr="008A26D2" w14:paraId="55D02109" w14:textId="77777777" w:rsidTr="00BD1985">
        <w:trPr>
          <w:trHeight w:val="794"/>
          <w:tblHeader/>
        </w:trPr>
        <w:tc>
          <w:tcPr>
            <w:tcW w:w="2570" w:type="dxa"/>
            <w:gridSpan w:val="4"/>
            <w:shd w:val="clear" w:color="auto" w:fill="auto"/>
            <w:tcMar>
              <w:top w:w="10" w:type="dxa"/>
              <w:left w:w="93" w:type="dxa"/>
              <w:bottom w:w="0" w:type="dxa"/>
              <w:right w:w="10" w:type="dxa"/>
            </w:tcMar>
            <w:vAlign w:val="center"/>
          </w:tcPr>
          <w:p w14:paraId="31D33755" w14:textId="77777777" w:rsidR="00A90E9C" w:rsidRPr="008A26D2" w:rsidRDefault="00A90E9C" w:rsidP="0072651A">
            <w:pPr>
              <w:spacing w:after="0"/>
              <w:rPr>
                <w:rFonts w:ascii="Arial" w:hAnsi="Arial" w:cs="Arial"/>
                <w:sz w:val="20"/>
                <w:szCs w:val="20"/>
              </w:rPr>
            </w:pPr>
            <w:r w:rsidRPr="008A26D2">
              <w:rPr>
                <w:rFonts w:ascii="Arial" w:hAnsi="Arial" w:cs="Arial"/>
                <w:b/>
                <w:sz w:val="20"/>
                <w:szCs w:val="20"/>
              </w:rPr>
              <w:t>Responsable del indicador:</w:t>
            </w:r>
          </w:p>
        </w:tc>
        <w:tc>
          <w:tcPr>
            <w:tcW w:w="6361" w:type="dxa"/>
            <w:gridSpan w:val="9"/>
            <w:shd w:val="clear" w:color="auto" w:fill="auto"/>
            <w:tcMar>
              <w:top w:w="51" w:type="dxa"/>
              <w:left w:w="227" w:type="dxa"/>
              <w:bottom w:w="51" w:type="dxa"/>
              <w:right w:w="227" w:type="dxa"/>
            </w:tcMar>
            <w:vAlign w:val="center"/>
          </w:tcPr>
          <w:p w14:paraId="0EFE88BB" w14:textId="77777777" w:rsidR="00A90E9C" w:rsidRPr="008A26D2" w:rsidRDefault="00A90E9C" w:rsidP="0072651A">
            <w:pPr>
              <w:spacing w:after="0" w:line="240" w:lineRule="auto"/>
              <w:ind w:left="-102"/>
              <w:jc w:val="both"/>
              <w:rPr>
                <w:rFonts w:ascii="Arial" w:eastAsia="Arial Narrow" w:hAnsi="Arial" w:cs="Arial"/>
                <w:sz w:val="20"/>
                <w:szCs w:val="20"/>
              </w:rPr>
            </w:pPr>
            <w:r w:rsidRPr="008A26D2">
              <w:rPr>
                <w:rFonts w:ascii="Arial" w:eastAsia="Arial Narrow" w:hAnsi="Arial" w:cs="Arial"/>
                <w:sz w:val="20"/>
                <w:szCs w:val="20"/>
              </w:rPr>
              <w:t>Dirección de Evaluación y Desarrollo de Capacidades Forestales y de Fauna silvestre del Organismo de Supervisión de los Recursos Forestales y de Fauna Silvestre - OSINFOR</w:t>
            </w:r>
          </w:p>
        </w:tc>
      </w:tr>
      <w:tr w:rsidR="008A26D2" w:rsidRPr="008A26D2" w14:paraId="026559A4" w14:textId="77777777" w:rsidTr="00BD1985">
        <w:trPr>
          <w:trHeight w:val="680"/>
          <w:tblHeader/>
        </w:trPr>
        <w:tc>
          <w:tcPr>
            <w:tcW w:w="2570" w:type="dxa"/>
            <w:gridSpan w:val="4"/>
            <w:shd w:val="clear" w:color="auto" w:fill="auto"/>
            <w:tcMar>
              <w:top w:w="10" w:type="dxa"/>
              <w:left w:w="93" w:type="dxa"/>
              <w:bottom w:w="0" w:type="dxa"/>
              <w:right w:w="10" w:type="dxa"/>
            </w:tcMar>
            <w:vAlign w:val="center"/>
          </w:tcPr>
          <w:p w14:paraId="2C902B77" w14:textId="77777777" w:rsidR="00A90E9C" w:rsidRPr="008A26D2" w:rsidRDefault="00A90E9C" w:rsidP="0072651A">
            <w:pPr>
              <w:spacing w:after="0"/>
              <w:rPr>
                <w:rFonts w:ascii="Arial" w:hAnsi="Arial" w:cs="Arial"/>
                <w:sz w:val="20"/>
                <w:szCs w:val="20"/>
              </w:rPr>
            </w:pPr>
            <w:r w:rsidRPr="008A26D2">
              <w:rPr>
                <w:rFonts w:ascii="Arial" w:hAnsi="Arial" w:cs="Arial"/>
                <w:b/>
                <w:sz w:val="20"/>
                <w:szCs w:val="20"/>
              </w:rPr>
              <w:t>Limitaciones para la medición del indicador:</w:t>
            </w:r>
          </w:p>
        </w:tc>
        <w:tc>
          <w:tcPr>
            <w:tcW w:w="6361" w:type="dxa"/>
            <w:gridSpan w:val="9"/>
            <w:shd w:val="clear" w:color="auto" w:fill="auto"/>
            <w:tcMar>
              <w:top w:w="51" w:type="dxa"/>
              <w:left w:w="227" w:type="dxa"/>
              <w:bottom w:w="51" w:type="dxa"/>
              <w:right w:w="227" w:type="dxa"/>
            </w:tcMar>
            <w:vAlign w:val="center"/>
          </w:tcPr>
          <w:p w14:paraId="31E03BDD" w14:textId="77777777" w:rsidR="00A90E9C" w:rsidRPr="008A26D2" w:rsidRDefault="00A90E9C" w:rsidP="0072651A">
            <w:pPr>
              <w:spacing w:after="0" w:line="240" w:lineRule="auto"/>
              <w:ind w:left="-102"/>
              <w:jc w:val="both"/>
              <w:rPr>
                <w:rFonts w:ascii="Arial" w:eastAsia="Arial Narrow" w:hAnsi="Arial" w:cs="Arial"/>
                <w:sz w:val="20"/>
                <w:szCs w:val="20"/>
              </w:rPr>
            </w:pPr>
            <w:r w:rsidRPr="008A26D2">
              <w:rPr>
                <w:rFonts w:ascii="Arial" w:eastAsia="Arial Narrow" w:hAnsi="Arial" w:cs="Arial"/>
                <w:sz w:val="20"/>
                <w:szCs w:val="20"/>
              </w:rPr>
              <w:t>No se presenta limitaciones</w:t>
            </w:r>
          </w:p>
        </w:tc>
      </w:tr>
      <w:tr w:rsidR="008A26D2" w:rsidRPr="008A26D2" w14:paraId="3EBAFEE6" w14:textId="77777777" w:rsidTr="00BD1985">
        <w:trPr>
          <w:trHeight w:val="4577"/>
          <w:tblHeader/>
        </w:trPr>
        <w:tc>
          <w:tcPr>
            <w:tcW w:w="2570" w:type="dxa"/>
            <w:gridSpan w:val="4"/>
            <w:shd w:val="clear" w:color="auto" w:fill="auto"/>
            <w:tcMar>
              <w:top w:w="10" w:type="dxa"/>
              <w:left w:w="93" w:type="dxa"/>
              <w:bottom w:w="0" w:type="dxa"/>
              <w:right w:w="10" w:type="dxa"/>
            </w:tcMar>
            <w:vAlign w:val="center"/>
          </w:tcPr>
          <w:p w14:paraId="052C9F94" w14:textId="77777777" w:rsidR="00A90E9C" w:rsidRPr="008A26D2" w:rsidRDefault="00A90E9C" w:rsidP="0072651A">
            <w:pPr>
              <w:spacing w:after="0"/>
              <w:rPr>
                <w:rFonts w:ascii="Arial" w:hAnsi="Arial" w:cs="Arial"/>
                <w:sz w:val="20"/>
                <w:szCs w:val="20"/>
              </w:rPr>
            </w:pPr>
            <w:r w:rsidRPr="008A26D2">
              <w:rPr>
                <w:rFonts w:ascii="Arial" w:hAnsi="Arial" w:cs="Arial"/>
                <w:b/>
                <w:sz w:val="20"/>
                <w:szCs w:val="20"/>
              </w:rPr>
              <w:lastRenderedPageBreak/>
              <w:t xml:space="preserve">Método de cálculo: </w:t>
            </w:r>
          </w:p>
        </w:tc>
        <w:tc>
          <w:tcPr>
            <w:tcW w:w="6361" w:type="dxa"/>
            <w:gridSpan w:val="9"/>
            <w:shd w:val="clear" w:color="auto" w:fill="auto"/>
            <w:tcMar>
              <w:top w:w="51" w:type="dxa"/>
              <w:left w:w="227" w:type="dxa"/>
              <w:bottom w:w="51" w:type="dxa"/>
              <w:right w:w="227" w:type="dxa"/>
            </w:tcMar>
            <w:vAlign w:val="center"/>
          </w:tcPr>
          <w:p w14:paraId="1BF2B0AF" w14:textId="77777777" w:rsidR="00A90E9C" w:rsidRPr="008A26D2" w:rsidRDefault="00A90E9C" w:rsidP="00C40F76">
            <w:pPr>
              <w:pStyle w:val="Prrafodelista"/>
              <w:numPr>
                <w:ilvl w:val="0"/>
                <w:numId w:val="18"/>
              </w:numPr>
              <w:tabs>
                <w:tab w:val="left" w:pos="1665"/>
              </w:tabs>
              <w:spacing w:before="120" w:after="0" w:line="264" w:lineRule="auto"/>
              <w:ind w:left="178" w:hanging="284"/>
              <w:jc w:val="both"/>
              <w:rPr>
                <w:rFonts w:ascii="Arial" w:hAnsi="Arial" w:cs="Arial"/>
                <w:b/>
                <w:bCs/>
                <w:sz w:val="20"/>
                <w:szCs w:val="20"/>
              </w:rPr>
            </w:pPr>
            <w:r w:rsidRPr="008A26D2">
              <w:rPr>
                <w:rFonts w:ascii="Arial" w:hAnsi="Arial" w:cs="Arial"/>
                <w:b/>
                <w:bCs/>
                <w:sz w:val="20"/>
                <w:szCs w:val="20"/>
              </w:rPr>
              <w:t xml:space="preserve">Fórmula: </w:t>
            </w:r>
          </w:p>
          <w:p w14:paraId="4870F1B8" w14:textId="77777777" w:rsidR="00A90E9C" w:rsidRPr="008A26D2" w:rsidRDefault="00A90E9C" w:rsidP="0072651A">
            <w:pPr>
              <w:tabs>
                <w:tab w:val="left" w:pos="1665"/>
              </w:tabs>
              <w:spacing w:after="0"/>
              <w:jc w:val="both"/>
              <w:rPr>
                <w:rFonts w:ascii="Arial" w:hAnsi="Arial" w:cs="Arial"/>
                <w:sz w:val="20"/>
                <w:szCs w:val="20"/>
              </w:rPr>
            </w:pPr>
          </w:p>
          <w:p w14:paraId="2FF60DBA" w14:textId="776E769C" w:rsidR="00A90E9C" w:rsidRPr="008A26D2" w:rsidRDefault="003F42F7" w:rsidP="0072651A">
            <w:pPr>
              <w:tabs>
                <w:tab w:val="left" w:pos="1665"/>
              </w:tabs>
              <w:spacing w:after="0"/>
              <w:jc w:val="both"/>
              <w:rPr>
                <w:rFonts w:ascii="Arial" w:hAnsi="Arial" w:cs="Arial"/>
                <w:sz w:val="20"/>
                <w:szCs w:val="20"/>
              </w:rPr>
            </w:pPr>
            <w:r w:rsidRPr="008A26D2">
              <w:rPr>
                <w:rFonts w:ascii="Arial" w:hAnsi="Arial" w:cs="Arial"/>
                <w:sz w:val="20"/>
                <w:szCs w:val="20"/>
              </w:rPr>
              <w:t>(</w:t>
            </w:r>
            <w:r w:rsidR="00A90E9C" w:rsidRPr="008A26D2">
              <w:rPr>
                <w:rFonts w:ascii="Arial" w:hAnsi="Arial" w:cs="Arial"/>
                <w:sz w:val="20"/>
                <w:szCs w:val="20"/>
              </w:rPr>
              <w:t>A/B</w:t>
            </w:r>
            <w:r w:rsidRPr="008A26D2">
              <w:rPr>
                <w:rFonts w:ascii="Arial" w:hAnsi="Arial" w:cs="Arial"/>
                <w:sz w:val="20"/>
                <w:szCs w:val="20"/>
              </w:rPr>
              <w:t>)</w:t>
            </w:r>
            <w:r w:rsidR="00A90E9C" w:rsidRPr="008A26D2">
              <w:rPr>
                <w:rFonts w:ascii="Arial" w:hAnsi="Arial" w:cs="Arial"/>
                <w:sz w:val="20"/>
                <w:szCs w:val="20"/>
              </w:rPr>
              <w:t>*100</w:t>
            </w:r>
          </w:p>
          <w:p w14:paraId="3A332C7C" w14:textId="77777777" w:rsidR="003F42F7" w:rsidRPr="008A26D2" w:rsidRDefault="003F42F7" w:rsidP="0072651A">
            <w:pPr>
              <w:tabs>
                <w:tab w:val="left" w:pos="1665"/>
              </w:tabs>
              <w:spacing w:after="0"/>
              <w:jc w:val="both"/>
              <w:rPr>
                <w:rFonts w:ascii="Arial" w:hAnsi="Arial" w:cs="Arial"/>
                <w:sz w:val="20"/>
                <w:szCs w:val="20"/>
              </w:rPr>
            </w:pPr>
          </w:p>
          <w:p w14:paraId="25D5A59E" w14:textId="77777777" w:rsidR="00F10F5A" w:rsidRPr="00A76AA5" w:rsidRDefault="00F10F5A" w:rsidP="00F10F5A">
            <w:pPr>
              <w:tabs>
                <w:tab w:val="left" w:pos="1665"/>
              </w:tabs>
              <w:spacing w:after="0"/>
              <w:jc w:val="both"/>
              <w:rPr>
                <w:rFonts w:ascii="Arial" w:hAnsi="Arial" w:cs="Arial"/>
                <w:sz w:val="20"/>
                <w:szCs w:val="20"/>
              </w:rPr>
            </w:pPr>
            <w:r w:rsidRPr="00A76AA5">
              <w:rPr>
                <w:rFonts w:ascii="Arial" w:hAnsi="Arial" w:cs="Arial"/>
                <w:sz w:val="20"/>
                <w:szCs w:val="20"/>
              </w:rPr>
              <w:t>Donde:</w:t>
            </w:r>
          </w:p>
          <w:p w14:paraId="103F6343" w14:textId="77777777" w:rsidR="00F10F5A" w:rsidRPr="00A76AA5" w:rsidRDefault="00F10F5A" w:rsidP="00F10F5A">
            <w:pPr>
              <w:tabs>
                <w:tab w:val="left" w:pos="1665"/>
              </w:tabs>
              <w:spacing w:after="0"/>
              <w:ind w:left="325" w:hanging="325"/>
              <w:jc w:val="both"/>
              <w:rPr>
                <w:rFonts w:ascii="Arial" w:hAnsi="Arial" w:cs="Arial"/>
                <w:sz w:val="20"/>
                <w:szCs w:val="20"/>
              </w:rPr>
            </w:pPr>
            <w:r w:rsidRPr="00A76AA5">
              <w:rPr>
                <w:rFonts w:ascii="Arial" w:hAnsi="Arial" w:cs="Arial"/>
                <w:sz w:val="20"/>
                <w:szCs w:val="20"/>
              </w:rPr>
              <w:t xml:space="preserve">A = </w:t>
            </w:r>
            <w:r>
              <w:rPr>
                <w:rFonts w:ascii="Arial" w:hAnsi="Arial" w:cs="Arial"/>
                <w:sz w:val="20"/>
                <w:szCs w:val="20"/>
              </w:rPr>
              <w:t>Número de t</w:t>
            </w:r>
            <w:r w:rsidRPr="00A76AA5">
              <w:rPr>
                <w:rFonts w:ascii="Arial" w:hAnsi="Arial" w:cs="Arial"/>
                <w:sz w:val="20"/>
                <w:szCs w:val="20"/>
              </w:rPr>
              <w:t xml:space="preserve">itulares de </w:t>
            </w:r>
            <w:r>
              <w:rPr>
                <w:rFonts w:ascii="Arial" w:hAnsi="Arial" w:cs="Arial"/>
                <w:sz w:val="20"/>
                <w:szCs w:val="20"/>
              </w:rPr>
              <w:t>t</w:t>
            </w:r>
            <w:r w:rsidRPr="00A76AA5">
              <w:rPr>
                <w:rFonts w:ascii="Arial" w:hAnsi="Arial" w:cs="Arial"/>
                <w:sz w:val="20"/>
                <w:szCs w:val="20"/>
              </w:rPr>
              <w:t xml:space="preserve">ítulos </w:t>
            </w:r>
            <w:r>
              <w:rPr>
                <w:rFonts w:ascii="Arial" w:hAnsi="Arial" w:cs="Arial"/>
                <w:sz w:val="20"/>
                <w:szCs w:val="20"/>
              </w:rPr>
              <w:t>h</w:t>
            </w:r>
            <w:r w:rsidRPr="00A76AA5">
              <w:rPr>
                <w:rFonts w:ascii="Arial" w:hAnsi="Arial" w:cs="Arial"/>
                <w:sz w:val="20"/>
                <w:szCs w:val="20"/>
              </w:rPr>
              <w:t>abilitantes vigentes en el año “N” y que el OSINFOR tomó conocimiento hasta ese año, que fueron capacitados bajo la tipología de fortalecimiento de capacidades de manera preventiva</w:t>
            </w:r>
          </w:p>
          <w:p w14:paraId="63B1C2E0" w14:textId="6ACFB20A" w:rsidR="00A90E9C" w:rsidRPr="008A26D2" w:rsidRDefault="00F10F5A" w:rsidP="00F10F5A">
            <w:pPr>
              <w:tabs>
                <w:tab w:val="left" w:pos="1665"/>
              </w:tabs>
              <w:spacing w:after="0"/>
              <w:ind w:left="322" w:hanging="322"/>
              <w:jc w:val="both"/>
              <w:rPr>
                <w:rFonts w:ascii="Arial" w:hAnsi="Arial" w:cs="Arial"/>
                <w:sz w:val="20"/>
                <w:szCs w:val="20"/>
              </w:rPr>
            </w:pPr>
            <w:r w:rsidRPr="00A76AA5">
              <w:rPr>
                <w:rFonts w:ascii="Arial" w:hAnsi="Arial" w:cs="Arial"/>
                <w:sz w:val="20"/>
                <w:szCs w:val="20"/>
              </w:rPr>
              <w:t xml:space="preserve">B = Total de </w:t>
            </w:r>
            <w:r>
              <w:rPr>
                <w:rFonts w:ascii="Arial" w:hAnsi="Arial" w:cs="Arial"/>
                <w:sz w:val="20"/>
                <w:szCs w:val="20"/>
              </w:rPr>
              <w:t>t</w:t>
            </w:r>
            <w:r w:rsidRPr="00A76AA5">
              <w:rPr>
                <w:rFonts w:ascii="Arial" w:hAnsi="Arial" w:cs="Arial"/>
                <w:sz w:val="20"/>
                <w:szCs w:val="20"/>
              </w:rPr>
              <w:t xml:space="preserve">itulares de </w:t>
            </w:r>
            <w:r>
              <w:rPr>
                <w:rFonts w:ascii="Arial" w:hAnsi="Arial" w:cs="Arial"/>
                <w:sz w:val="20"/>
                <w:szCs w:val="20"/>
              </w:rPr>
              <w:t>t</w:t>
            </w:r>
            <w:r w:rsidRPr="00A76AA5">
              <w:rPr>
                <w:rFonts w:ascii="Arial" w:hAnsi="Arial" w:cs="Arial"/>
                <w:sz w:val="20"/>
                <w:szCs w:val="20"/>
              </w:rPr>
              <w:t xml:space="preserve">ítulos </w:t>
            </w:r>
            <w:r>
              <w:rPr>
                <w:rFonts w:ascii="Arial" w:hAnsi="Arial" w:cs="Arial"/>
                <w:sz w:val="20"/>
                <w:szCs w:val="20"/>
              </w:rPr>
              <w:t>h</w:t>
            </w:r>
            <w:r w:rsidRPr="00A76AA5">
              <w:rPr>
                <w:rFonts w:ascii="Arial" w:hAnsi="Arial" w:cs="Arial"/>
                <w:sz w:val="20"/>
                <w:szCs w:val="20"/>
              </w:rPr>
              <w:t>abilitantes vigentes en el año “N” y que el OSINFOR tomó conocimiento hasta ese año, que fueron capacitados bajo la tipología de fortalecimiento de capacidades</w:t>
            </w:r>
          </w:p>
          <w:p w14:paraId="358DF52D" w14:textId="77777777" w:rsidR="00A90E9C" w:rsidRPr="008A26D2" w:rsidRDefault="00A90E9C" w:rsidP="00C40F76">
            <w:pPr>
              <w:pStyle w:val="Prrafodelista"/>
              <w:numPr>
                <w:ilvl w:val="0"/>
                <w:numId w:val="18"/>
              </w:numPr>
              <w:tabs>
                <w:tab w:val="left" w:pos="1665"/>
              </w:tabs>
              <w:spacing w:before="120" w:after="0" w:line="264" w:lineRule="auto"/>
              <w:ind w:left="178" w:hanging="284"/>
              <w:jc w:val="both"/>
              <w:rPr>
                <w:rFonts w:ascii="Arial" w:hAnsi="Arial" w:cs="Arial"/>
                <w:b/>
                <w:bCs/>
                <w:sz w:val="20"/>
                <w:szCs w:val="20"/>
              </w:rPr>
            </w:pPr>
            <w:r w:rsidRPr="008A26D2">
              <w:rPr>
                <w:rFonts w:ascii="Arial" w:hAnsi="Arial" w:cs="Arial"/>
                <w:b/>
                <w:bCs/>
                <w:sz w:val="20"/>
                <w:szCs w:val="20"/>
              </w:rPr>
              <w:t>Especificaciones técnicas</w:t>
            </w:r>
          </w:p>
          <w:p w14:paraId="4BEA5ED2" w14:textId="1731FC56" w:rsidR="001A53D6" w:rsidRDefault="00727930" w:rsidP="00E4574E">
            <w:pPr>
              <w:pStyle w:val="Default"/>
              <w:jc w:val="both"/>
              <w:rPr>
                <w:rFonts w:ascii="Arial" w:hAnsi="Arial" w:cs="Arial"/>
                <w:color w:val="auto"/>
                <w:sz w:val="20"/>
                <w:szCs w:val="20"/>
              </w:rPr>
            </w:pPr>
            <w:r w:rsidRPr="00727930">
              <w:rPr>
                <w:rFonts w:ascii="Arial" w:hAnsi="Arial" w:cs="Arial"/>
                <w:color w:val="auto"/>
                <w:sz w:val="20"/>
                <w:szCs w:val="20"/>
              </w:rPr>
              <w:t xml:space="preserve">La variable A se determina a partir de </w:t>
            </w:r>
            <w:r w:rsidR="00E4574E">
              <w:rPr>
                <w:rFonts w:ascii="Arial" w:hAnsi="Arial" w:cs="Arial"/>
                <w:color w:val="auto"/>
                <w:sz w:val="20"/>
                <w:szCs w:val="20"/>
              </w:rPr>
              <w:t xml:space="preserve">los </w:t>
            </w:r>
            <w:r w:rsidR="001A53D6" w:rsidRPr="001A53D6">
              <w:rPr>
                <w:rFonts w:ascii="Arial" w:hAnsi="Arial" w:cs="Arial"/>
                <w:color w:val="auto"/>
                <w:sz w:val="20"/>
                <w:szCs w:val="20"/>
              </w:rPr>
              <w:t xml:space="preserve">titulares de títulos habilitantes </w:t>
            </w:r>
            <w:r w:rsidR="00E4574E">
              <w:rPr>
                <w:rFonts w:ascii="Arial" w:hAnsi="Arial" w:cs="Arial"/>
                <w:color w:val="auto"/>
                <w:sz w:val="20"/>
                <w:szCs w:val="20"/>
              </w:rPr>
              <w:t xml:space="preserve">que reciben capacitación </w:t>
            </w:r>
            <w:r w:rsidR="001A53D6" w:rsidRPr="001A53D6">
              <w:rPr>
                <w:rFonts w:ascii="Arial" w:hAnsi="Arial" w:cs="Arial"/>
                <w:color w:val="auto"/>
                <w:sz w:val="20"/>
                <w:szCs w:val="20"/>
              </w:rPr>
              <w:t xml:space="preserve">antes </w:t>
            </w:r>
            <w:r w:rsidR="000F6D6B">
              <w:rPr>
                <w:rFonts w:ascii="Arial" w:hAnsi="Arial" w:cs="Arial"/>
                <w:color w:val="auto"/>
                <w:sz w:val="20"/>
                <w:szCs w:val="20"/>
              </w:rPr>
              <w:t xml:space="preserve">de </w:t>
            </w:r>
            <w:r w:rsidR="001A53D6" w:rsidRPr="001A53D6">
              <w:rPr>
                <w:rFonts w:ascii="Arial" w:hAnsi="Arial" w:cs="Arial"/>
                <w:color w:val="auto"/>
                <w:sz w:val="20"/>
                <w:szCs w:val="20"/>
              </w:rPr>
              <w:t>que se ejecuten las acciones de fiscalización de los recursos forestales y de fauna silvestre a fin de promover el cambio de conducta de los diferentes actores de la cadena de valor forestal y de fauna silvestre, contribuyendo así al manejo sostenible de los recursos.</w:t>
            </w:r>
          </w:p>
          <w:p w14:paraId="0F6A515C" w14:textId="77777777" w:rsidR="00F8655E" w:rsidRPr="00727930" w:rsidRDefault="00F8655E" w:rsidP="00E4574E">
            <w:pPr>
              <w:pStyle w:val="Default"/>
              <w:jc w:val="both"/>
              <w:rPr>
                <w:rFonts w:ascii="Arial" w:hAnsi="Arial" w:cs="Arial"/>
                <w:color w:val="auto"/>
                <w:sz w:val="20"/>
                <w:szCs w:val="20"/>
              </w:rPr>
            </w:pPr>
          </w:p>
          <w:p w14:paraId="0665A3AA" w14:textId="549EF3A6" w:rsidR="000E3372" w:rsidRDefault="00727930" w:rsidP="00727930">
            <w:pPr>
              <w:pStyle w:val="Default"/>
              <w:jc w:val="both"/>
              <w:rPr>
                <w:rFonts w:ascii="Arial" w:hAnsi="Arial" w:cs="Arial"/>
                <w:color w:val="auto"/>
                <w:sz w:val="20"/>
                <w:szCs w:val="20"/>
              </w:rPr>
            </w:pPr>
            <w:r w:rsidRPr="00727930">
              <w:rPr>
                <w:rFonts w:ascii="Arial" w:hAnsi="Arial" w:cs="Arial"/>
                <w:color w:val="auto"/>
                <w:sz w:val="20"/>
                <w:szCs w:val="20"/>
              </w:rPr>
              <w:t xml:space="preserve">La variable B se determina con el total de </w:t>
            </w:r>
            <w:r w:rsidR="00AE5F16" w:rsidRPr="001A53D6">
              <w:rPr>
                <w:rFonts w:ascii="Arial" w:hAnsi="Arial" w:cs="Arial"/>
                <w:color w:val="auto"/>
                <w:sz w:val="20"/>
                <w:szCs w:val="20"/>
              </w:rPr>
              <w:t xml:space="preserve">titulares de títulos habilitantes </w:t>
            </w:r>
            <w:r w:rsidR="00AE5F16">
              <w:rPr>
                <w:rFonts w:ascii="Arial" w:hAnsi="Arial" w:cs="Arial"/>
                <w:color w:val="auto"/>
                <w:sz w:val="20"/>
                <w:szCs w:val="20"/>
              </w:rPr>
              <w:t xml:space="preserve">recibieron </w:t>
            </w:r>
            <w:r w:rsidRPr="00727930">
              <w:rPr>
                <w:rFonts w:ascii="Arial" w:hAnsi="Arial" w:cs="Arial"/>
                <w:color w:val="auto"/>
                <w:sz w:val="20"/>
                <w:szCs w:val="20"/>
              </w:rPr>
              <w:t>capacitaciones</w:t>
            </w:r>
            <w:r w:rsidR="00565C22">
              <w:rPr>
                <w:rFonts w:ascii="Arial" w:hAnsi="Arial" w:cs="Arial"/>
                <w:color w:val="auto"/>
                <w:sz w:val="20"/>
                <w:szCs w:val="20"/>
              </w:rPr>
              <w:t xml:space="preserve"> por parte del proveedor del servicio</w:t>
            </w:r>
            <w:r w:rsidR="00F8655E">
              <w:rPr>
                <w:rFonts w:ascii="Arial" w:hAnsi="Arial" w:cs="Arial"/>
                <w:color w:val="auto"/>
                <w:sz w:val="20"/>
                <w:szCs w:val="20"/>
              </w:rPr>
              <w:t xml:space="preserve"> en el año de medición</w:t>
            </w:r>
            <w:r w:rsidR="00565C22">
              <w:rPr>
                <w:rFonts w:ascii="Arial" w:hAnsi="Arial" w:cs="Arial"/>
                <w:color w:val="auto"/>
                <w:sz w:val="20"/>
                <w:szCs w:val="20"/>
              </w:rPr>
              <w:t>.</w:t>
            </w:r>
          </w:p>
          <w:p w14:paraId="7AB085C5" w14:textId="566409CD" w:rsidR="00727930" w:rsidRDefault="00BD5AF3" w:rsidP="00F8655E">
            <w:pPr>
              <w:pStyle w:val="Default"/>
              <w:jc w:val="both"/>
              <w:rPr>
                <w:rFonts w:ascii="Arial" w:hAnsi="Arial" w:cs="Arial"/>
                <w:color w:val="auto"/>
                <w:sz w:val="20"/>
                <w:szCs w:val="20"/>
              </w:rPr>
            </w:pPr>
            <w:r>
              <w:rPr>
                <w:rFonts w:ascii="Arial" w:hAnsi="Arial" w:cs="Arial"/>
                <w:color w:val="auto"/>
                <w:sz w:val="20"/>
                <w:szCs w:val="20"/>
              </w:rPr>
              <w:t>Algunas especificaciones adicionales:</w:t>
            </w:r>
          </w:p>
          <w:p w14:paraId="0BC86143" w14:textId="1D4BF794" w:rsidR="00521E88" w:rsidRPr="008A26D2" w:rsidRDefault="00521E88" w:rsidP="00C40F76">
            <w:pPr>
              <w:pStyle w:val="Default"/>
              <w:numPr>
                <w:ilvl w:val="0"/>
                <w:numId w:val="54"/>
              </w:numPr>
              <w:ind w:left="319" w:hanging="141"/>
              <w:jc w:val="both"/>
              <w:rPr>
                <w:rFonts w:ascii="Arial" w:hAnsi="Arial" w:cs="Arial"/>
                <w:color w:val="auto"/>
                <w:sz w:val="20"/>
                <w:szCs w:val="20"/>
              </w:rPr>
            </w:pPr>
            <w:r w:rsidRPr="008A26D2">
              <w:rPr>
                <w:rFonts w:ascii="Arial" w:hAnsi="Arial" w:cs="Arial"/>
                <w:color w:val="auto"/>
                <w:sz w:val="20"/>
                <w:szCs w:val="20"/>
              </w:rPr>
              <w:t xml:space="preserve">Títulos habilitantes: aplica para las comunidades nativas, comunidades campesinas, concesiones forestales y otras. </w:t>
            </w:r>
          </w:p>
          <w:p w14:paraId="2147EF34" w14:textId="77777777" w:rsidR="00521E88" w:rsidRPr="008A26D2" w:rsidRDefault="00521E88" w:rsidP="00C40F76">
            <w:pPr>
              <w:pStyle w:val="Default"/>
              <w:numPr>
                <w:ilvl w:val="0"/>
                <w:numId w:val="54"/>
              </w:numPr>
              <w:ind w:left="319" w:hanging="141"/>
              <w:jc w:val="both"/>
              <w:rPr>
                <w:rFonts w:ascii="Arial" w:hAnsi="Arial" w:cs="Arial"/>
                <w:color w:val="auto"/>
                <w:sz w:val="20"/>
                <w:szCs w:val="20"/>
              </w:rPr>
            </w:pPr>
            <w:r w:rsidRPr="008A26D2">
              <w:rPr>
                <w:rFonts w:ascii="Arial" w:hAnsi="Arial" w:cs="Arial"/>
                <w:color w:val="auto"/>
                <w:sz w:val="20"/>
                <w:szCs w:val="20"/>
              </w:rPr>
              <w:t xml:space="preserve">Títulos habilitantes vigentes: aquellos que no se encuentran caducados. </w:t>
            </w:r>
          </w:p>
          <w:p w14:paraId="5FB069A4" w14:textId="3065AA9A" w:rsidR="00521E88" w:rsidRPr="008A26D2" w:rsidRDefault="00521E88" w:rsidP="00C40F76">
            <w:pPr>
              <w:pStyle w:val="Default"/>
              <w:numPr>
                <w:ilvl w:val="0"/>
                <w:numId w:val="54"/>
              </w:numPr>
              <w:ind w:left="319" w:hanging="141"/>
              <w:jc w:val="both"/>
              <w:rPr>
                <w:rFonts w:ascii="Arial" w:hAnsi="Arial" w:cs="Arial"/>
                <w:color w:val="auto"/>
                <w:sz w:val="20"/>
                <w:szCs w:val="20"/>
              </w:rPr>
            </w:pPr>
            <w:r w:rsidRPr="008A26D2">
              <w:rPr>
                <w:rFonts w:ascii="Arial" w:hAnsi="Arial" w:cs="Arial"/>
                <w:color w:val="auto"/>
                <w:sz w:val="20"/>
                <w:szCs w:val="20"/>
              </w:rPr>
              <w:t xml:space="preserve">Títulos habilitantes que se tomó conocimiento en el año: aplica para los que se tomaron conocimiento por parte del OSINFOR hasta el mes de diciembre del año anterior a la capacitación. </w:t>
            </w:r>
          </w:p>
          <w:p w14:paraId="3B0803F1" w14:textId="0CAB9BCE" w:rsidR="00A90E9C" w:rsidRPr="008A26D2" w:rsidRDefault="00521E88" w:rsidP="00C40F76">
            <w:pPr>
              <w:pStyle w:val="Default"/>
              <w:numPr>
                <w:ilvl w:val="0"/>
                <w:numId w:val="54"/>
              </w:numPr>
              <w:ind w:left="319" w:hanging="141"/>
              <w:jc w:val="both"/>
              <w:rPr>
                <w:rFonts w:ascii="Arial" w:hAnsi="Arial" w:cs="Arial"/>
                <w:color w:val="auto"/>
                <w:sz w:val="20"/>
                <w:szCs w:val="20"/>
              </w:rPr>
            </w:pPr>
            <w:r w:rsidRPr="008A26D2">
              <w:rPr>
                <w:rFonts w:ascii="Arial" w:hAnsi="Arial" w:cs="Arial"/>
                <w:color w:val="auto"/>
                <w:sz w:val="20"/>
                <w:szCs w:val="20"/>
              </w:rPr>
              <w:t xml:space="preserve">Capacitaciones preventivas: capacitaciones finalizadas entre 1 año antes y 6 meses después de la fecha de inicio del Plan de Manejo correspondiente al </w:t>
            </w:r>
            <w:r w:rsidR="00C40F76" w:rsidRPr="008A26D2">
              <w:rPr>
                <w:rFonts w:ascii="Arial" w:hAnsi="Arial" w:cs="Arial"/>
                <w:color w:val="auto"/>
                <w:sz w:val="20"/>
                <w:szCs w:val="20"/>
              </w:rPr>
              <w:t>t</w:t>
            </w:r>
            <w:r w:rsidRPr="008A26D2">
              <w:rPr>
                <w:rFonts w:ascii="Arial" w:hAnsi="Arial" w:cs="Arial"/>
                <w:color w:val="auto"/>
                <w:sz w:val="20"/>
                <w:szCs w:val="20"/>
              </w:rPr>
              <w:t xml:space="preserve">ítulo </w:t>
            </w:r>
            <w:r w:rsidR="00F10F5A">
              <w:rPr>
                <w:rFonts w:ascii="Arial" w:hAnsi="Arial" w:cs="Arial"/>
                <w:color w:val="auto"/>
                <w:sz w:val="20"/>
                <w:szCs w:val="20"/>
              </w:rPr>
              <w:t>h</w:t>
            </w:r>
            <w:r w:rsidRPr="008A26D2">
              <w:rPr>
                <w:rFonts w:ascii="Arial" w:hAnsi="Arial" w:cs="Arial"/>
                <w:color w:val="auto"/>
                <w:sz w:val="20"/>
                <w:szCs w:val="20"/>
              </w:rPr>
              <w:t>abilitante.</w:t>
            </w:r>
          </w:p>
          <w:p w14:paraId="3D8BFECE" w14:textId="77777777" w:rsidR="00A90E9C" w:rsidRPr="008A26D2" w:rsidRDefault="00A90E9C" w:rsidP="0072651A">
            <w:pPr>
              <w:pStyle w:val="Prrafodelista"/>
              <w:tabs>
                <w:tab w:val="left" w:pos="1665"/>
              </w:tabs>
              <w:spacing w:after="0"/>
              <w:ind w:left="170"/>
              <w:jc w:val="both"/>
              <w:rPr>
                <w:rFonts w:ascii="Arial" w:hAnsi="Arial" w:cs="Arial"/>
                <w:sz w:val="20"/>
                <w:szCs w:val="20"/>
              </w:rPr>
            </w:pPr>
          </w:p>
        </w:tc>
      </w:tr>
      <w:tr w:rsidR="008A26D2" w:rsidRPr="008A26D2" w14:paraId="23498FE3" w14:textId="77777777" w:rsidTr="00BD1985">
        <w:trPr>
          <w:trHeight w:val="641"/>
          <w:tblHeader/>
        </w:trPr>
        <w:tc>
          <w:tcPr>
            <w:tcW w:w="2570" w:type="dxa"/>
            <w:gridSpan w:val="4"/>
            <w:shd w:val="clear" w:color="auto" w:fill="auto"/>
            <w:tcMar>
              <w:top w:w="10" w:type="dxa"/>
              <w:left w:w="93" w:type="dxa"/>
              <w:bottom w:w="0" w:type="dxa"/>
              <w:right w:w="10" w:type="dxa"/>
            </w:tcMar>
            <w:vAlign w:val="center"/>
          </w:tcPr>
          <w:p w14:paraId="26D1A422" w14:textId="77777777" w:rsidR="00A90E9C" w:rsidRPr="008A26D2" w:rsidRDefault="00A90E9C" w:rsidP="0072651A">
            <w:pPr>
              <w:spacing w:after="0" w:line="240" w:lineRule="auto"/>
              <w:rPr>
                <w:rFonts w:ascii="Arial" w:hAnsi="Arial" w:cs="Arial"/>
                <w:sz w:val="20"/>
                <w:szCs w:val="20"/>
              </w:rPr>
            </w:pPr>
            <w:r w:rsidRPr="008A26D2">
              <w:rPr>
                <w:rFonts w:ascii="Arial" w:hAnsi="Arial" w:cs="Arial"/>
                <w:b/>
                <w:sz w:val="20"/>
                <w:szCs w:val="20"/>
              </w:rPr>
              <w:t>Sentido esperado del indicador:</w:t>
            </w:r>
          </w:p>
        </w:tc>
        <w:tc>
          <w:tcPr>
            <w:tcW w:w="1622" w:type="dxa"/>
            <w:gridSpan w:val="2"/>
            <w:shd w:val="clear" w:color="auto" w:fill="auto"/>
            <w:tcMar>
              <w:top w:w="10" w:type="dxa"/>
              <w:left w:w="283" w:type="dxa"/>
              <w:bottom w:w="0" w:type="dxa"/>
              <w:right w:w="283" w:type="dxa"/>
            </w:tcMar>
            <w:vAlign w:val="center"/>
          </w:tcPr>
          <w:p w14:paraId="53927961" w14:textId="77777777" w:rsidR="00A90E9C" w:rsidRPr="008A26D2" w:rsidRDefault="00A90E9C" w:rsidP="0072651A">
            <w:pPr>
              <w:spacing w:after="0" w:line="240" w:lineRule="auto"/>
              <w:ind w:left="-102"/>
              <w:rPr>
                <w:rFonts w:ascii="Arial" w:hAnsi="Arial" w:cs="Arial"/>
                <w:sz w:val="20"/>
                <w:szCs w:val="20"/>
              </w:rPr>
            </w:pPr>
            <w:r w:rsidRPr="008A26D2">
              <w:rPr>
                <w:rFonts w:ascii="Arial" w:eastAsia="Arial Narrow" w:hAnsi="Arial" w:cs="Arial"/>
                <w:sz w:val="20"/>
                <w:szCs w:val="20"/>
              </w:rPr>
              <w:t>Ascendente</w:t>
            </w:r>
          </w:p>
        </w:tc>
        <w:tc>
          <w:tcPr>
            <w:tcW w:w="2896" w:type="dxa"/>
            <w:gridSpan w:val="4"/>
            <w:shd w:val="clear" w:color="auto" w:fill="auto"/>
            <w:tcMar>
              <w:top w:w="15" w:type="dxa"/>
              <w:left w:w="15" w:type="dxa"/>
              <w:bottom w:w="0" w:type="dxa"/>
              <w:right w:w="15" w:type="dxa"/>
            </w:tcMar>
            <w:vAlign w:val="center"/>
          </w:tcPr>
          <w:p w14:paraId="35474D97" w14:textId="77777777" w:rsidR="00A90E9C" w:rsidRPr="008A26D2" w:rsidRDefault="00A90E9C" w:rsidP="0072651A">
            <w:pPr>
              <w:spacing w:after="0" w:line="240" w:lineRule="auto"/>
              <w:rPr>
                <w:rFonts w:ascii="Arial" w:hAnsi="Arial" w:cs="Arial"/>
                <w:sz w:val="20"/>
                <w:szCs w:val="20"/>
              </w:rPr>
            </w:pPr>
            <w:r w:rsidRPr="008A26D2">
              <w:rPr>
                <w:rFonts w:ascii="Arial" w:hAnsi="Arial" w:cs="Arial"/>
                <w:b/>
                <w:sz w:val="20"/>
                <w:szCs w:val="20"/>
              </w:rPr>
              <w:t>Tipo de indicador de servicio:</w:t>
            </w:r>
          </w:p>
        </w:tc>
        <w:tc>
          <w:tcPr>
            <w:tcW w:w="1843" w:type="dxa"/>
            <w:gridSpan w:val="3"/>
            <w:shd w:val="clear" w:color="auto" w:fill="auto"/>
            <w:tcMar>
              <w:top w:w="15" w:type="dxa"/>
              <w:left w:w="15" w:type="dxa"/>
              <w:bottom w:w="0" w:type="dxa"/>
              <w:right w:w="15" w:type="dxa"/>
            </w:tcMar>
            <w:vAlign w:val="center"/>
          </w:tcPr>
          <w:p w14:paraId="0B785B0C" w14:textId="52F9C6F9" w:rsidR="00A90E9C" w:rsidRPr="008A26D2" w:rsidRDefault="00A90E9C" w:rsidP="00F92676">
            <w:pPr>
              <w:spacing w:after="0" w:line="240" w:lineRule="auto"/>
              <w:ind w:hanging="20"/>
              <w:rPr>
                <w:rFonts w:ascii="Arial" w:hAnsi="Arial" w:cs="Arial"/>
                <w:sz w:val="20"/>
                <w:szCs w:val="20"/>
              </w:rPr>
            </w:pPr>
            <w:r w:rsidRPr="008A26D2">
              <w:rPr>
                <w:rFonts w:ascii="Arial" w:eastAsia="Arial Narrow" w:hAnsi="Arial" w:cs="Arial"/>
                <w:sz w:val="20"/>
                <w:szCs w:val="20"/>
              </w:rPr>
              <w:t>Calidad - Oportunidad</w:t>
            </w:r>
          </w:p>
        </w:tc>
      </w:tr>
      <w:tr w:rsidR="008A26D2" w:rsidRPr="008A26D2" w14:paraId="3A65CC93" w14:textId="77777777" w:rsidTr="00BD1985">
        <w:trPr>
          <w:trHeight w:val="487"/>
          <w:tblHeader/>
        </w:trPr>
        <w:tc>
          <w:tcPr>
            <w:tcW w:w="2570" w:type="dxa"/>
            <w:gridSpan w:val="4"/>
            <w:shd w:val="clear" w:color="auto" w:fill="auto"/>
            <w:tcMar>
              <w:top w:w="10" w:type="dxa"/>
              <w:left w:w="93" w:type="dxa"/>
              <w:bottom w:w="0" w:type="dxa"/>
              <w:right w:w="10" w:type="dxa"/>
            </w:tcMar>
            <w:vAlign w:val="center"/>
          </w:tcPr>
          <w:p w14:paraId="5821B79A" w14:textId="77777777" w:rsidR="00A90E9C" w:rsidRPr="008A26D2" w:rsidRDefault="00A90E9C" w:rsidP="0072651A">
            <w:pPr>
              <w:spacing w:after="0" w:line="240" w:lineRule="auto"/>
              <w:rPr>
                <w:rFonts w:ascii="Arial" w:hAnsi="Arial" w:cs="Arial"/>
                <w:sz w:val="20"/>
                <w:szCs w:val="20"/>
              </w:rPr>
            </w:pPr>
            <w:r w:rsidRPr="008A26D2">
              <w:rPr>
                <w:rFonts w:ascii="Arial" w:hAnsi="Arial" w:cs="Arial"/>
                <w:b/>
                <w:sz w:val="20"/>
                <w:szCs w:val="20"/>
              </w:rPr>
              <w:t>Fuente y base de datos:</w:t>
            </w:r>
          </w:p>
        </w:tc>
        <w:tc>
          <w:tcPr>
            <w:tcW w:w="6361" w:type="dxa"/>
            <w:gridSpan w:val="9"/>
            <w:shd w:val="clear" w:color="auto" w:fill="auto"/>
            <w:tcMar>
              <w:top w:w="51" w:type="dxa"/>
              <w:left w:w="227" w:type="dxa"/>
              <w:bottom w:w="51" w:type="dxa"/>
              <w:right w:w="227" w:type="dxa"/>
            </w:tcMar>
            <w:vAlign w:val="center"/>
          </w:tcPr>
          <w:p w14:paraId="208D7B5E" w14:textId="5F93A034" w:rsidR="00A90E9C" w:rsidRPr="008A26D2" w:rsidRDefault="00A90E9C" w:rsidP="0072651A">
            <w:pPr>
              <w:spacing w:after="0" w:line="240" w:lineRule="auto"/>
              <w:ind w:left="-102"/>
              <w:jc w:val="both"/>
              <w:rPr>
                <w:rFonts w:ascii="Arial" w:eastAsia="Arial Narrow" w:hAnsi="Arial" w:cs="Arial"/>
                <w:sz w:val="20"/>
                <w:szCs w:val="20"/>
              </w:rPr>
            </w:pPr>
            <w:r w:rsidRPr="008A26D2">
              <w:rPr>
                <w:rFonts w:ascii="Arial" w:eastAsia="Arial Narrow" w:hAnsi="Arial" w:cs="Arial"/>
                <w:sz w:val="20"/>
                <w:szCs w:val="20"/>
              </w:rPr>
              <w:t xml:space="preserve">Fuente: Dirección de Evaluación y Desarrollo de Capacidades Forestal y de Fauna </w:t>
            </w:r>
            <w:r w:rsidR="003F42F7" w:rsidRPr="008A26D2">
              <w:rPr>
                <w:rFonts w:ascii="Arial" w:eastAsia="Arial Narrow" w:hAnsi="Arial" w:cs="Arial"/>
                <w:sz w:val="20"/>
                <w:szCs w:val="20"/>
              </w:rPr>
              <w:t>S</w:t>
            </w:r>
            <w:r w:rsidRPr="008A26D2">
              <w:rPr>
                <w:rFonts w:ascii="Arial" w:eastAsia="Arial Narrow" w:hAnsi="Arial" w:cs="Arial"/>
                <w:sz w:val="20"/>
                <w:szCs w:val="20"/>
              </w:rPr>
              <w:t>ilvestre del</w:t>
            </w:r>
            <w:r w:rsidR="005D3B22">
              <w:rPr>
                <w:rFonts w:ascii="Arial" w:eastAsia="Arial Narrow" w:hAnsi="Arial" w:cs="Arial"/>
                <w:sz w:val="20"/>
                <w:szCs w:val="20"/>
              </w:rPr>
              <w:t xml:space="preserve"> </w:t>
            </w:r>
            <w:r w:rsidR="005C76B9" w:rsidRPr="005C76B9">
              <w:rPr>
                <w:rFonts w:ascii="Arial" w:eastAsia="Arial Narrow" w:hAnsi="Arial" w:cs="Arial"/>
                <w:sz w:val="20"/>
                <w:szCs w:val="20"/>
              </w:rPr>
              <w:t xml:space="preserve">Organismo de Supervisión de los Recursos Forestales y de Fauna Silvestre </w:t>
            </w:r>
            <w:r w:rsidR="005C76B9">
              <w:rPr>
                <w:rFonts w:ascii="Arial" w:eastAsia="Arial Narrow" w:hAnsi="Arial" w:cs="Arial"/>
                <w:sz w:val="20"/>
                <w:szCs w:val="20"/>
              </w:rPr>
              <w:t xml:space="preserve">- </w:t>
            </w:r>
            <w:r w:rsidRPr="008A26D2">
              <w:rPr>
                <w:rFonts w:ascii="Arial" w:eastAsia="Arial Narrow" w:hAnsi="Arial" w:cs="Arial"/>
                <w:sz w:val="20"/>
                <w:szCs w:val="20"/>
              </w:rPr>
              <w:t>OSINFOR.</w:t>
            </w:r>
          </w:p>
          <w:p w14:paraId="6EC2989E" w14:textId="685A4D9B" w:rsidR="00A90E9C" w:rsidRPr="008A26D2" w:rsidRDefault="00A90E9C" w:rsidP="0072651A">
            <w:pPr>
              <w:spacing w:after="0" w:line="240" w:lineRule="auto"/>
              <w:ind w:left="-102"/>
              <w:jc w:val="both"/>
              <w:rPr>
                <w:rFonts w:ascii="Arial" w:eastAsia="Arial Narrow" w:hAnsi="Arial" w:cs="Arial"/>
                <w:sz w:val="20"/>
                <w:szCs w:val="20"/>
              </w:rPr>
            </w:pPr>
            <w:r w:rsidRPr="008A26D2">
              <w:rPr>
                <w:rFonts w:ascii="Arial" w:eastAsia="Arial Narrow" w:hAnsi="Arial" w:cs="Arial"/>
                <w:sz w:val="20"/>
                <w:szCs w:val="20"/>
              </w:rPr>
              <w:t xml:space="preserve">Base de datos: Sistema de Información Gerencial del OSINFOR </w:t>
            </w:r>
            <w:r w:rsidR="005C76B9">
              <w:rPr>
                <w:rFonts w:ascii="Arial" w:eastAsia="Arial Narrow" w:hAnsi="Arial" w:cs="Arial"/>
                <w:sz w:val="20"/>
                <w:szCs w:val="20"/>
              </w:rPr>
              <w:t>–</w:t>
            </w:r>
            <w:r w:rsidRPr="008A26D2">
              <w:rPr>
                <w:rFonts w:ascii="Arial" w:eastAsia="Arial Narrow" w:hAnsi="Arial" w:cs="Arial"/>
                <w:sz w:val="20"/>
                <w:szCs w:val="20"/>
              </w:rPr>
              <w:t xml:space="preserve"> SIGOSFC</w:t>
            </w:r>
          </w:p>
        </w:tc>
      </w:tr>
      <w:tr w:rsidR="008A26D2" w:rsidRPr="008A26D2" w14:paraId="2C2ECDC7" w14:textId="77777777" w:rsidTr="00BD1985">
        <w:trPr>
          <w:trHeight w:val="509"/>
          <w:tblHeader/>
        </w:trPr>
        <w:tc>
          <w:tcPr>
            <w:tcW w:w="2570" w:type="dxa"/>
            <w:gridSpan w:val="4"/>
            <w:shd w:val="clear" w:color="auto" w:fill="auto"/>
            <w:tcMar>
              <w:top w:w="10" w:type="dxa"/>
              <w:left w:w="93" w:type="dxa"/>
              <w:bottom w:w="0" w:type="dxa"/>
              <w:right w:w="10" w:type="dxa"/>
            </w:tcMar>
            <w:vAlign w:val="center"/>
          </w:tcPr>
          <w:p w14:paraId="6E6601E2" w14:textId="77777777" w:rsidR="00A90E9C" w:rsidRPr="008A26D2" w:rsidRDefault="00A90E9C" w:rsidP="0072651A">
            <w:pPr>
              <w:spacing w:after="0" w:line="240" w:lineRule="auto"/>
              <w:rPr>
                <w:rFonts w:ascii="Arial" w:hAnsi="Arial" w:cs="Arial"/>
                <w:sz w:val="20"/>
                <w:szCs w:val="20"/>
              </w:rPr>
            </w:pPr>
            <w:r w:rsidRPr="008A26D2">
              <w:rPr>
                <w:rFonts w:ascii="Arial" w:hAnsi="Arial" w:cs="Arial"/>
                <w:b/>
                <w:sz w:val="20"/>
                <w:szCs w:val="20"/>
              </w:rPr>
              <w:t>Supuestos:</w:t>
            </w:r>
          </w:p>
        </w:tc>
        <w:tc>
          <w:tcPr>
            <w:tcW w:w="6361" w:type="dxa"/>
            <w:gridSpan w:val="9"/>
            <w:shd w:val="clear" w:color="auto" w:fill="auto"/>
            <w:tcMar>
              <w:top w:w="51" w:type="dxa"/>
              <w:left w:w="227" w:type="dxa"/>
              <w:bottom w:w="51" w:type="dxa"/>
              <w:right w:w="227" w:type="dxa"/>
            </w:tcMar>
            <w:vAlign w:val="center"/>
          </w:tcPr>
          <w:p w14:paraId="5A633D2D" w14:textId="77777777" w:rsidR="00A90E9C" w:rsidRPr="008A26D2" w:rsidRDefault="00A90E9C" w:rsidP="0072651A">
            <w:pPr>
              <w:spacing w:after="0" w:line="240" w:lineRule="auto"/>
              <w:ind w:left="-102"/>
              <w:jc w:val="both"/>
              <w:rPr>
                <w:rFonts w:ascii="Arial" w:eastAsia="Arial Narrow" w:hAnsi="Arial" w:cs="Arial"/>
                <w:sz w:val="20"/>
                <w:szCs w:val="20"/>
              </w:rPr>
            </w:pPr>
            <w:r w:rsidRPr="008A26D2">
              <w:rPr>
                <w:rFonts w:ascii="Arial" w:eastAsia="Arial Narrow" w:hAnsi="Arial" w:cs="Arial"/>
                <w:sz w:val="20"/>
                <w:szCs w:val="20"/>
              </w:rPr>
              <w:t xml:space="preserve">No presenta supuestos </w:t>
            </w:r>
          </w:p>
        </w:tc>
      </w:tr>
      <w:tr w:rsidR="008A26D2" w:rsidRPr="008A26D2" w14:paraId="5EA9239A" w14:textId="77777777" w:rsidTr="00BD1985">
        <w:trPr>
          <w:trHeight w:val="408"/>
          <w:tblHeader/>
        </w:trPr>
        <w:tc>
          <w:tcPr>
            <w:tcW w:w="1702" w:type="dxa"/>
            <w:gridSpan w:val="2"/>
            <w:shd w:val="clear" w:color="auto" w:fill="auto"/>
            <w:tcMar>
              <w:top w:w="10" w:type="dxa"/>
              <w:left w:w="10" w:type="dxa"/>
              <w:bottom w:w="0" w:type="dxa"/>
              <w:right w:w="10" w:type="dxa"/>
            </w:tcMar>
            <w:vAlign w:val="center"/>
          </w:tcPr>
          <w:p w14:paraId="1A990A63" w14:textId="77777777" w:rsidR="00A90E9C" w:rsidRPr="008A26D2" w:rsidRDefault="00A90E9C" w:rsidP="0072651A">
            <w:pPr>
              <w:spacing w:after="0" w:line="240" w:lineRule="auto"/>
              <w:jc w:val="center"/>
              <w:rPr>
                <w:rFonts w:ascii="Arial" w:hAnsi="Arial" w:cs="Arial"/>
                <w:sz w:val="20"/>
                <w:szCs w:val="20"/>
              </w:rPr>
            </w:pPr>
            <w:r w:rsidRPr="008A26D2">
              <w:rPr>
                <w:rFonts w:ascii="Arial" w:hAnsi="Arial" w:cs="Arial"/>
                <w:b/>
                <w:sz w:val="20"/>
                <w:szCs w:val="20"/>
              </w:rPr>
              <w:t>Línea de base</w:t>
            </w:r>
          </w:p>
        </w:tc>
        <w:tc>
          <w:tcPr>
            <w:tcW w:w="7229" w:type="dxa"/>
            <w:gridSpan w:val="11"/>
            <w:shd w:val="clear" w:color="auto" w:fill="auto"/>
            <w:tcMar>
              <w:top w:w="10" w:type="dxa"/>
              <w:left w:w="10" w:type="dxa"/>
              <w:bottom w:w="0" w:type="dxa"/>
              <w:right w:w="10" w:type="dxa"/>
            </w:tcMar>
            <w:vAlign w:val="center"/>
          </w:tcPr>
          <w:p w14:paraId="7C302930" w14:textId="77777777" w:rsidR="00A90E9C" w:rsidRPr="008A26D2" w:rsidRDefault="00A90E9C" w:rsidP="0072651A">
            <w:pPr>
              <w:spacing w:after="0" w:line="240" w:lineRule="auto"/>
              <w:jc w:val="center"/>
              <w:rPr>
                <w:rFonts w:ascii="Arial" w:hAnsi="Arial" w:cs="Arial"/>
                <w:sz w:val="20"/>
                <w:szCs w:val="20"/>
              </w:rPr>
            </w:pPr>
            <w:r w:rsidRPr="008A26D2">
              <w:rPr>
                <w:rFonts w:ascii="Arial" w:hAnsi="Arial" w:cs="Arial"/>
                <w:b/>
                <w:sz w:val="20"/>
                <w:szCs w:val="20"/>
              </w:rPr>
              <w:t xml:space="preserve">Logros esperados </w:t>
            </w:r>
          </w:p>
        </w:tc>
      </w:tr>
      <w:tr w:rsidR="008A26D2" w:rsidRPr="008A26D2" w14:paraId="4FF11C41" w14:textId="77777777" w:rsidTr="00BD1985">
        <w:trPr>
          <w:trHeight w:val="397"/>
          <w:tblHeader/>
        </w:trPr>
        <w:tc>
          <w:tcPr>
            <w:tcW w:w="710" w:type="dxa"/>
            <w:shd w:val="clear" w:color="auto" w:fill="auto"/>
            <w:tcMar>
              <w:top w:w="10" w:type="dxa"/>
              <w:left w:w="10" w:type="dxa"/>
              <w:bottom w:w="0" w:type="dxa"/>
              <w:right w:w="10" w:type="dxa"/>
            </w:tcMar>
            <w:vAlign w:val="center"/>
          </w:tcPr>
          <w:p w14:paraId="19C7ACE1" w14:textId="77777777" w:rsidR="00A90E9C" w:rsidRPr="008A26D2" w:rsidRDefault="00A90E9C" w:rsidP="005C76B9">
            <w:pPr>
              <w:spacing w:after="0" w:line="240" w:lineRule="auto"/>
              <w:jc w:val="center"/>
              <w:rPr>
                <w:rFonts w:ascii="Arial" w:hAnsi="Arial" w:cs="Arial"/>
                <w:sz w:val="20"/>
                <w:szCs w:val="20"/>
              </w:rPr>
            </w:pPr>
            <w:r w:rsidRPr="008A26D2">
              <w:rPr>
                <w:rFonts w:ascii="Arial" w:hAnsi="Arial" w:cs="Arial"/>
                <w:b/>
                <w:sz w:val="20"/>
                <w:szCs w:val="20"/>
              </w:rPr>
              <w:t>Año</w:t>
            </w:r>
          </w:p>
        </w:tc>
        <w:tc>
          <w:tcPr>
            <w:tcW w:w="992" w:type="dxa"/>
            <w:shd w:val="clear" w:color="auto" w:fill="auto"/>
            <w:tcMar>
              <w:top w:w="10" w:type="dxa"/>
              <w:left w:w="10" w:type="dxa"/>
              <w:bottom w:w="0" w:type="dxa"/>
              <w:right w:w="10" w:type="dxa"/>
            </w:tcMar>
            <w:vAlign w:val="center"/>
          </w:tcPr>
          <w:p w14:paraId="1C3FF6BA" w14:textId="77777777" w:rsidR="00A90E9C" w:rsidRPr="008A26D2" w:rsidRDefault="00A90E9C" w:rsidP="005C76B9">
            <w:pPr>
              <w:spacing w:after="0" w:line="240" w:lineRule="auto"/>
              <w:jc w:val="center"/>
              <w:rPr>
                <w:rFonts w:ascii="Arial" w:hAnsi="Arial" w:cs="Arial"/>
                <w:b/>
                <w:bCs/>
                <w:sz w:val="20"/>
                <w:szCs w:val="20"/>
              </w:rPr>
            </w:pPr>
            <w:r w:rsidRPr="008A26D2">
              <w:rPr>
                <w:rFonts w:ascii="Arial" w:eastAsia="Arial Narrow" w:hAnsi="Arial" w:cs="Arial"/>
                <w:b/>
                <w:bCs/>
                <w:sz w:val="20"/>
                <w:szCs w:val="20"/>
              </w:rPr>
              <w:t>2021</w:t>
            </w:r>
          </w:p>
        </w:tc>
        <w:tc>
          <w:tcPr>
            <w:tcW w:w="850" w:type="dxa"/>
            <w:shd w:val="clear" w:color="auto" w:fill="auto"/>
            <w:tcMar>
              <w:top w:w="10" w:type="dxa"/>
              <w:left w:w="10" w:type="dxa"/>
              <w:bottom w:w="0" w:type="dxa"/>
              <w:right w:w="10" w:type="dxa"/>
            </w:tcMar>
            <w:vAlign w:val="center"/>
          </w:tcPr>
          <w:p w14:paraId="5CE8FFE1" w14:textId="77777777" w:rsidR="00A90E9C" w:rsidRPr="008A26D2" w:rsidRDefault="00A90E9C" w:rsidP="005C76B9">
            <w:pPr>
              <w:spacing w:after="0" w:line="240" w:lineRule="auto"/>
              <w:jc w:val="center"/>
              <w:rPr>
                <w:rFonts w:ascii="Arial" w:hAnsi="Arial" w:cs="Arial"/>
                <w:b/>
                <w:sz w:val="20"/>
                <w:szCs w:val="20"/>
              </w:rPr>
            </w:pPr>
            <w:r w:rsidRPr="008A26D2">
              <w:rPr>
                <w:rFonts w:ascii="Arial" w:hAnsi="Arial" w:cs="Arial"/>
                <w:b/>
                <w:sz w:val="20"/>
                <w:szCs w:val="20"/>
              </w:rPr>
              <w:t>2023</w:t>
            </w:r>
          </w:p>
        </w:tc>
        <w:tc>
          <w:tcPr>
            <w:tcW w:w="993" w:type="dxa"/>
            <w:gridSpan w:val="2"/>
            <w:shd w:val="clear" w:color="auto" w:fill="auto"/>
            <w:vAlign w:val="center"/>
          </w:tcPr>
          <w:p w14:paraId="71AD516C" w14:textId="77777777" w:rsidR="00A90E9C" w:rsidRPr="008A26D2" w:rsidRDefault="00A90E9C" w:rsidP="005C76B9">
            <w:pPr>
              <w:spacing w:after="0" w:line="240" w:lineRule="auto"/>
              <w:jc w:val="center"/>
              <w:rPr>
                <w:rFonts w:ascii="Arial" w:hAnsi="Arial" w:cs="Arial"/>
                <w:b/>
                <w:sz w:val="20"/>
                <w:szCs w:val="20"/>
              </w:rPr>
            </w:pPr>
            <w:r w:rsidRPr="008A26D2">
              <w:rPr>
                <w:rFonts w:ascii="Arial" w:hAnsi="Arial" w:cs="Arial"/>
                <w:b/>
                <w:sz w:val="20"/>
                <w:szCs w:val="20"/>
              </w:rPr>
              <w:t>2024</w:t>
            </w:r>
          </w:p>
        </w:tc>
        <w:tc>
          <w:tcPr>
            <w:tcW w:w="1134" w:type="dxa"/>
            <w:gridSpan w:val="2"/>
            <w:shd w:val="clear" w:color="auto" w:fill="auto"/>
            <w:vAlign w:val="center"/>
          </w:tcPr>
          <w:p w14:paraId="211991A6" w14:textId="77777777" w:rsidR="00A90E9C" w:rsidRPr="008A26D2" w:rsidRDefault="00A90E9C" w:rsidP="005C76B9">
            <w:pPr>
              <w:spacing w:after="0" w:line="240" w:lineRule="auto"/>
              <w:jc w:val="center"/>
              <w:rPr>
                <w:rFonts w:ascii="Arial" w:hAnsi="Arial" w:cs="Arial"/>
                <w:b/>
                <w:sz w:val="20"/>
                <w:szCs w:val="20"/>
              </w:rPr>
            </w:pPr>
            <w:r w:rsidRPr="008A26D2">
              <w:rPr>
                <w:rFonts w:ascii="Arial" w:hAnsi="Arial" w:cs="Arial"/>
                <w:b/>
                <w:sz w:val="20"/>
                <w:szCs w:val="20"/>
              </w:rPr>
              <w:t>2025</w:t>
            </w:r>
          </w:p>
        </w:tc>
        <w:tc>
          <w:tcPr>
            <w:tcW w:w="850" w:type="dxa"/>
            <w:shd w:val="clear" w:color="auto" w:fill="auto"/>
            <w:vAlign w:val="center"/>
          </w:tcPr>
          <w:p w14:paraId="6CF5590E" w14:textId="77777777" w:rsidR="00A90E9C" w:rsidRPr="008A26D2" w:rsidRDefault="00A90E9C" w:rsidP="005C76B9">
            <w:pPr>
              <w:spacing w:after="0" w:line="240" w:lineRule="auto"/>
              <w:jc w:val="center"/>
              <w:rPr>
                <w:rFonts w:ascii="Arial" w:hAnsi="Arial" w:cs="Arial"/>
                <w:b/>
                <w:sz w:val="20"/>
                <w:szCs w:val="20"/>
              </w:rPr>
            </w:pPr>
            <w:r w:rsidRPr="008A26D2">
              <w:rPr>
                <w:rFonts w:ascii="Arial" w:hAnsi="Arial" w:cs="Arial"/>
                <w:b/>
                <w:sz w:val="20"/>
                <w:szCs w:val="20"/>
              </w:rPr>
              <w:t>2026</w:t>
            </w:r>
          </w:p>
        </w:tc>
        <w:tc>
          <w:tcPr>
            <w:tcW w:w="992" w:type="dxa"/>
            <w:shd w:val="clear" w:color="auto" w:fill="auto"/>
            <w:vAlign w:val="center"/>
          </w:tcPr>
          <w:p w14:paraId="1B66606E" w14:textId="77777777" w:rsidR="00A90E9C" w:rsidRPr="008A26D2" w:rsidRDefault="00A90E9C" w:rsidP="005C76B9">
            <w:pPr>
              <w:spacing w:after="0" w:line="240" w:lineRule="auto"/>
              <w:jc w:val="center"/>
              <w:rPr>
                <w:rFonts w:ascii="Arial" w:hAnsi="Arial" w:cs="Arial"/>
                <w:b/>
                <w:sz w:val="20"/>
                <w:szCs w:val="20"/>
              </w:rPr>
            </w:pPr>
            <w:r w:rsidRPr="008A26D2">
              <w:rPr>
                <w:rFonts w:ascii="Arial" w:hAnsi="Arial" w:cs="Arial"/>
                <w:b/>
                <w:sz w:val="20"/>
                <w:szCs w:val="20"/>
              </w:rPr>
              <w:t>2027</w:t>
            </w:r>
          </w:p>
        </w:tc>
        <w:tc>
          <w:tcPr>
            <w:tcW w:w="851" w:type="dxa"/>
            <w:gridSpan w:val="2"/>
            <w:shd w:val="clear" w:color="auto" w:fill="auto"/>
            <w:vAlign w:val="center"/>
          </w:tcPr>
          <w:p w14:paraId="418E16A1" w14:textId="77777777" w:rsidR="00A90E9C" w:rsidRPr="008A26D2" w:rsidRDefault="00A90E9C" w:rsidP="005C76B9">
            <w:pPr>
              <w:spacing w:after="0" w:line="240" w:lineRule="auto"/>
              <w:jc w:val="center"/>
              <w:rPr>
                <w:rFonts w:ascii="Arial" w:hAnsi="Arial" w:cs="Arial"/>
                <w:b/>
                <w:sz w:val="20"/>
                <w:szCs w:val="20"/>
              </w:rPr>
            </w:pPr>
            <w:r w:rsidRPr="008A26D2">
              <w:rPr>
                <w:rFonts w:ascii="Arial" w:hAnsi="Arial" w:cs="Arial"/>
                <w:b/>
                <w:sz w:val="20"/>
                <w:szCs w:val="20"/>
              </w:rPr>
              <w:t>2028</w:t>
            </w:r>
          </w:p>
        </w:tc>
        <w:tc>
          <w:tcPr>
            <w:tcW w:w="850" w:type="dxa"/>
            <w:shd w:val="clear" w:color="auto" w:fill="auto"/>
            <w:vAlign w:val="center"/>
          </w:tcPr>
          <w:p w14:paraId="030700F3" w14:textId="77777777" w:rsidR="00A90E9C" w:rsidRPr="008A26D2" w:rsidRDefault="00A90E9C" w:rsidP="005C76B9">
            <w:pPr>
              <w:spacing w:after="0" w:line="240" w:lineRule="auto"/>
              <w:jc w:val="center"/>
              <w:rPr>
                <w:rFonts w:ascii="Arial" w:hAnsi="Arial" w:cs="Arial"/>
                <w:b/>
                <w:sz w:val="20"/>
                <w:szCs w:val="20"/>
              </w:rPr>
            </w:pPr>
            <w:r w:rsidRPr="008A26D2">
              <w:rPr>
                <w:rFonts w:ascii="Arial" w:hAnsi="Arial" w:cs="Arial"/>
                <w:b/>
                <w:sz w:val="20"/>
                <w:szCs w:val="20"/>
              </w:rPr>
              <w:t>2029</w:t>
            </w:r>
          </w:p>
        </w:tc>
        <w:tc>
          <w:tcPr>
            <w:tcW w:w="709" w:type="dxa"/>
            <w:shd w:val="clear" w:color="auto" w:fill="auto"/>
            <w:tcMar>
              <w:top w:w="10" w:type="dxa"/>
              <w:left w:w="10" w:type="dxa"/>
              <w:bottom w:w="0" w:type="dxa"/>
              <w:right w:w="10" w:type="dxa"/>
            </w:tcMar>
            <w:vAlign w:val="center"/>
          </w:tcPr>
          <w:p w14:paraId="3EBC1151" w14:textId="77777777" w:rsidR="00A90E9C" w:rsidRPr="008A26D2" w:rsidRDefault="00A90E9C" w:rsidP="005C76B9">
            <w:pPr>
              <w:spacing w:after="0" w:line="240" w:lineRule="auto"/>
              <w:jc w:val="center"/>
              <w:rPr>
                <w:rFonts w:ascii="Arial" w:hAnsi="Arial" w:cs="Arial"/>
                <w:b/>
                <w:sz w:val="20"/>
                <w:szCs w:val="20"/>
              </w:rPr>
            </w:pPr>
            <w:r w:rsidRPr="008A26D2">
              <w:rPr>
                <w:rFonts w:ascii="Arial" w:hAnsi="Arial" w:cs="Arial"/>
                <w:b/>
                <w:sz w:val="20"/>
                <w:szCs w:val="20"/>
              </w:rPr>
              <w:t>2030</w:t>
            </w:r>
          </w:p>
        </w:tc>
      </w:tr>
      <w:tr w:rsidR="008A26D2" w:rsidRPr="008A26D2" w14:paraId="76310C06" w14:textId="77777777" w:rsidTr="00BD1985">
        <w:trPr>
          <w:trHeight w:val="397"/>
          <w:tblHeader/>
        </w:trPr>
        <w:tc>
          <w:tcPr>
            <w:tcW w:w="710" w:type="dxa"/>
            <w:shd w:val="clear" w:color="auto" w:fill="auto"/>
            <w:tcMar>
              <w:top w:w="10" w:type="dxa"/>
              <w:left w:w="10" w:type="dxa"/>
              <w:bottom w:w="0" w:type="dxa"/>
              <w:right w:w="10" w:type="dxa"/>
            </w:tcMar>
            <w:vAlign w:val="center"/>
          </w:tcPr>
          <w:p w14:paraId="6FD5D38F" w14:textId="77777777" w:rsidR="00A90E9C" w:rsidRPr="008A26D2" w:rsidRDefault="00A90E9C" w:rsidP="005C76B9">
            <w:pPr>
              <w:spacing w:after="0" w:line="240" w:lineRule="auto"/>
              <w:jc w:val="center"/>
              <w:rPr>
                <w:rFonts w:ascii="Arial" w:hAnsi="Arial" w:cs="Arial"/>
                <w:sz w:val="20"/>
                <w:szCs w:val="20"/>
              </w:rPr>
            </w:pPr>
            <w:r w:rsidRPr="008A26D2">
              <w:rPr>
                <w:rFonts w:ascii="Arial" w:hAnsi="Arial" w:cs="Arial"/>
                <w:b/>
                <w:sz w:val="20"/>
                <w:szCs w:val="20"/>
              </w:rPr>
              <w:t>Valor</w:t>
            </w:r>
          </w:p>
        </w:tc>
        <w:tc>
          <w:tcPr>
            <w:tcW w:w="992" w:type="dxa"/>
            <w:shd w:val="clear" w:color="auto" w:fill="auto"/>
            <w:tcMar>
              <w:top w:w="10" w:type="dxa"/>
              <w:left w:w="10" w:type="dxa"/>
              <w:bottom w:w="0" w:type="dxa"/>
              <w:right w:w="10" w:type="dxa"/>
            </w:tcMar>
            <w:vAlign w:val="center"/>
          </w:tcPr>
          <w:p w14:paraId="79220F01" w14:textId="77777777" w:rsidR="00A90E9C" w:rsidRPr="008A26D2" w:rsidRDefault="00A90E9C" w:rsidP="005C76B9">
            <w:pPr>
              <w:spacing w:after="0" w:line="240" w:lineRule="auto"/>
              <w:jc w:val="center"/>
              <w:rPr>
                <w:rFonts w:ascii="Arial" w:hAnsi="Arial" w:cs="Arial"/>
                <w:sz w:val="20"/>
                <w:szCs w:val="20"/>
              </w:rPr>
            </w:pPr>
            <w:r w:rsidRPr="008A26D2">
              <w:rPr>
                <w:rFonts w:ascii="Arial" w:eastAsia="Arial Narrow" w:hAnsi="Arial" w:cs="Arial"/>
                <w:sz w:val="20"/>
                <w:szCs w:val="20"/>
              </w:rPr>
              <w:t>4%</w:t>
            </w:r>
          </w:p>
        </w:tc>
        <w:tc>
          <w:tcPr>
            <w:tcW w:w="850" w:type="dxa"/>
            <w:shd w:val="clear" w:color="auto" w:fill="auto"/>
            <w:tcMar>
              <w:top w:w="10" w:type="dxa"/>
              <w:left w:w="10" w:type="dxa"/>
              <w:bottom w:w="0" w:type="dxa"/>
              <w:right w:w="10" w:type="dxa"/>
            </w:tcMar>
            <w:vAlign w:val="center"/>
          </w:tcPr>
          <w:p w14:paraId="2AA69585" w14:textId="77777777" w:rsidR="00A90E9C" w:rsidRPr="008A26D2" w:rsidRDefault="00A90E9C" w:rsidP="005C76B9">
            <w:pPr>
              <w:spacing w:after="0" w:line="240" w:lineRule="auto"/>
              <w:jc w:val="center"/>
              <w:rPr>
                <w:rFonts w:ascii="Arial" w:hAnsi="Arial" w:cs="Arial"/>
                <w:sz w:val="20"/>
                <w:szCs w:val="20"/>
              </w:rPr>
            </w:pPr>
            <w:r w:rsidRPr="008A26D2">
              <w:rPr>
                <w:rFonts w:ascii="Arial" w:eastAsia="Arial Narrow" w:hAnsi="Arial" w:cs="Arial"/>
                <w:sz w:val="20"/>
                <w:szCs w:val="20"/>
              </w:rPr>
              <w:t>5%</w:t>
            </w:r>
          </w:p>
        </w:tc>
        <w:tc>
          <w:tcPr>
            <w:tcW w:w="993" w:type="dxa"/>
            <w:gridSpan w:val="2"/>
            <w:shd w:val="clear" w:color="auto" w:fill="auto"/>
            <w:vAlign w:val="center"/>
          </w:tcPr>
          <w:p w14:paraId="53C2E868" w14:textId="77777777" w:rsidR="00A90E9C" w:rsidRPr="008A26D2" w:rsidRDefault="00A90E9C" w:rsidP="005C76B9">
            <w:pPr>
              <w:spacing w:after="0" w:line="240" w:lineRule="auto"/>
              <w:jc w:val="center"/>
              <w:rPr>
                <w:rFonts w:ascii="Arial" w:hAnsi="Arial" w:cs="Arial"/>
                <w:sz w:val="20"/>
                <w:szCs w:val="20"/>
              </w:rPr>
            </w:pPr>
            <w:r w:rsidRPr="008A26D2">
              <w:rPr>
                <w:rFonts w:ascii="Arial" w:eastAsia="Arial Narrow" w:hAnsi="Arial" w:cs="Arial"/>
                <w:sz w:val="20"/>
                <w:szCs w:val="20"/>
              </w:rPr>
              <w:t>5%</w:t>
            </w:r>
          </w:p>
        </w:tc>
        <w:tc>
          <w:tcPr>
            <w:tcW w:w="1134" w:type="dxa"/>
            <w:gridSpan w:val="2"/>
            <w:shd w:val="clear" w:color="auto" w:fill="auto"/>
            <w:vAlign w:val="center"/>
          </w:tcPr>
          <w:p w14:paraId="775AB67E" w14:textId="77777777" w:rsidR="00A90E9C" w:rsidRPr="008A26D2" w:rsidRDefault="00A90E9C" w:rsidP="005C76B9">
            <w:pPr>
              <w:spacing w:after="0" w:line="240" w:lineRule="auto"/>
              <w:jc w:val="center"/>
              <w:rPr>
                <w:rFonts w:ascii="Arial" w:hAnsi="Arial" w:cs="Arial"/>
                <w:sz w:val="20"/>
                <w:szCs w:val="20"/>
              </w:rPr>
            </w:pPr>
            <w:r w:rsidRPr="008A26D2">
              <w:rPr>
                <w:rFonts w:ascii="Arial" w:eastAsia="Arial Narrow" w:hAnsi="Arial" w:cs="Arial"/>
                <w:sz w:val="20"/>
                <w:szCs w:val="20"/>
              </w:rPr>
              <w:t>6%</w:t>
            </w:r>
          </w:p>
        </w:tc>
        <w:tc>
          <w:tcPr>
            <w:tcW w:w="850" w:type="dxa"/>
            <w:shd w:val="clear" w:color="auto" w:fill="auto"/>
            <w:vAlign w:val="center"/>
          </w:tcPr>
          <w:p w14:paraId="6E18025F" w14:textId="77777777" w:rsidR="00A90E9C" w:rsidRPr="008A26D2" w:rsidRDefault="00A90E9C" w:rsidP="005C76B9">
            <w:pPr>
              <w:spacing w:after="0" w:line="240" w:lineRule="auto"/>
              <w:jc w:val="center"/>
              <w:rPr>
                <w:rFonts w:ascii="Arial" w:hAnsi="Arial" w:cs="Arial"/>
                <w:sz w:val="20"/>
                <w:szCs w:val="20"/>
              </w:rPr>
            </w:pPr>
            <w:r w:rsidRPr="008A26D2">
              <w:rPr>
                <w:rFonts w:ascii="Arial" w:eastAsia="Arial Narrow" w:hAnsi="Arial" w:cs="Arial"/>
                <w:sz w:val="20"/>
                <w:szCs w:val="20"/>
              </w:rPr>
              <w:t>6%</w:t>
            </w:r>
          </w:p>
        </w:tc>
        <w:tc>
          <w:tcPr>
            <w:tcW w:w="992" w:type="dxa"/>
            <w:shd w:val="clear" w:color="auto" w:fill="auto"/>
            <w:vAlign w:val="center"/>
          </w:tcPr>
          <w:p w14:paraId="2A1FE76E" w14:textId="77777777" w:rsidR="00A90E9C" w:rsidRPr="008A26D2" w:rsidRDefault="00A90E9C" w:rsidP="005C76B9">
            <w:pPr>
              <w:spacing w:after="0" w:line="240" w:lineRule="auto"/>
              <w:jc w:val="center"/>
              <w:rPr>
                <w:rFonts w:ascii="Arial" w:hAnsi="Arial" w:cs="Arial"/>
                <w:sz w:val="20"/>
                <w:szCs w:val="20"/>
              </w:rPr>
            </w:pPr>
            <w:r w:rsidRPr="008A26D2">
              <w:rPr>
                <w:rFonts w:ascii="Arial" w:eastAsia="Arial Narrow" w:hAnsi="Arial" w:cs="Arial"/>
                <w:sz w:val="20"/>
                <w:szCs w:val="20"/>
              </w:rPr>
              <w:t>7%</w:t>
            </w:r>
          </w:p>
        </w:tc>
        <w:tc>
          <w:tcPr>
            <w:tcW w:w="851" w:type="dxa"/>
            <w:gridSpan w:val="2"/>
            <w:shd w:val="clear" w:color="auto" w:fill="auto"/>
            <w:vAlign w:val="center"/>
          </w:tcPr>
          <w:p w14:paraId="24FE369D" w14:textId="77777777" w:rsidR="00A90E9C" w:rsidRPr="008A26D2" w:rsidRDefault="00A90E9C" w:rsidP="005C76B9">
            <w:pPr>
              <w:spacing w:after="0" w:line="240" w:lineRule="auto"/>
              <w:jc w:val="center"/>
              <w:rPr>
                <w:rFonts w:ascii="Arial" w:hAnsi="Arial" w:cs="Arial"/>
                <w:sz w:val="20"/>
                <w:szCs w:val="20"/>
              </w:rPr>
            </w:pPr>
            <w:r w:rsidRPr="008A26D2">
              <w:rPr>
                <w:rFonts w:ascii="Arial" w:eastAsia="Arial Narrow" w:hAnsi="Arial" w:cs="Arial"/>
                <w:sz w:val="20"/>
                <w:szCs w:val="20"/>
              </w:rPr>
              <w:t>7%</w:t>
            </w:r>
          </w:p>
        </w:tc>
        <w:tc>
          <w:tcPr>
            <w:tcW w:w="850" w:type="dxa"/>
            <w:shd w:val="clear" w:color="auto" w:fill="auto"/>
            <w:vAlign w:val="center"/>
          </w:tcPr>
          <w:p w14:paraId="4781DBBC" w14:textId="77777777" w:rsidR="00A90E9C" w:rsidRPr="008A26D2" w:rsidRDefault="00A90E9C" w:rsidP="005C76B9">
            <w:pPr>
              <w:spacing w:after="0" w:line="240" w:lineRule="auto"/>
              <w:jc w:val="center"/>
              <w:rPr>
                <w:rFonts w:ascii="Arial" w:hAnsi="Arial" w:cs="Arial"/>
                <w:sz w:val="20"/>
                <w:szCs w:val="20"/>
              </w:rPr>
            </w:pPr>
            <w:r w:rsidRPr="008A26D2">
              <w:rPr>
                <w:rFonts w:ascii="Arial" w:eastAsia="Arial Narrow" w:hAnsi="Arial" w:cs="Arial"/>
                <w:sz w:val="20"/>
                <w:szCs w:val="20"/>
              </w:rPr>
              <w:t>8%</w:t>
            </w:r>
          </w:p>
        </w:tc>
        <w:tc>
          <w:tcPr>
            <w:tcW w:w="709" w:type="dxa"/>
            <w:shd w:val="clear" w:color="auto" w:fill="auto"/>
            <w:tcMar>
              <w:top w:w="10" w:type="dxa"/>
              <w:left w:w="10" w:type="dxa"/>
              <w:bottom w:w="0" w:type="dxa"/>
              <w:right w:w="10" w:type="dxa"/>
            </w:tcMar>
            <w:vAlign w:val="center"/>
          </w:tcPr>
          <w:p w14:paraId="5BD785B3" w14:textId="77777777" w:rsidR="00A90E9C" w:rsidRPr="008A26D2" w:rsidRDefault="00A90E9C" w:rsidP="005C76B9">
            <w:pPr>
              <w:spacing w:after="0" w:line="240" w:lineRule="auto"/>
              <w:jc w:val="center"/>
              <w:rPr>
                <w:rFonts w:ascii="Arial" w:hAnsi="Arial" w:cs="Arial"/>
                <w:sz w:val="20"/>
                <w:szCs w:val="20"/>
              </w:rPr>
            </w:pPr>
            <w:r w:rsidRPr="008A26D2">
              <w:rPr>
                <w:rFonts w:ascii="Arial" w:eastAsia="Arial Narrow" w:hAnsi="Arial" w:cs="Arial"/>
                <w:sz w:val="20"/>
                <w:szCs w:val="20"/>
              </w:rPr>
              <w:t>8%</w:t>
            </w:r>
          </w:p>
        </w:tc>
      </w:tr>
    </w:tbl>
    <w:p w14:paraId="52A746E0" w14:textId="77777777" w:rsidR="00A90E9C" w:rsidRDefault="00A90E9C" w:rsidP="00A90E9C"/>
    <w:p w14:paraId="03927EEA" w14:textId="77777777" w:rsidR="00BD1985" w:rsidRPr="008A26D2" w:rsidRDefault="00BD1985" w:rsidP="00A90E9C"/>
    <w:p w14:paraId="7656F396" w14:textId="77777777" w:rsidR="00A90E9C" w:rsidRPr="008A26D2" w:rsidRDefault="00A90E9C" w:rsidP="00A90E9C"/>
    <w:tbl>
      <w:tblPr>
        <w:tblW w:w="8931"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7"/>
        <w:gridCol w:w="853"/>
        <w:gridCol w:w="851"/>
        <w:gridCol w:w="158"/>
        <w:gridCol w:w="976"/>
        <w:gridCol w:w="708"/>
        <w:gridCol w:w="284"/>
        <w:gridCol w:w="1134"/>
        <w:gridCol w:w="992"/>
        <w:gridCol w:w="709"/>
        <w:gridCol w:w="23"/>
        <w:gridCol w:w="686"/>
        <w:gridCol w:w="850"/>
      </w:tblGrid>
      <w:tr w:rsidR="008A26D2" w:rsidRPr="008A26D2" w14:paraId="223D4DB9" w14:textId="77777777" w:rsidTr="00DA52C7">
        <w:trPr>
          <w:trHeight w:val="251"/>
        </w:trPr>
        <w:tc>
          <w:tcPr>
            <w:tcW w:w="8931" w:type="dxa"/>
            <w:gridSpan w:val="13"/>
            <w:shd w:val="clear" w:color="auto" w:fill="D9D9D9" w:themeFill="background1" w:themeFillShade="D9"/>
            <w:tcMar>
              <w:top w:w="10" w:type="dxa"/>
              <w:left w:w="10" w:type="dxa"/>
              <w:bottom w:w="0" w:type="dxa"/>
              <w:right w:w="10" w:type="dxa"/>
            </w:tcMar>
            <w:vAlign w:val="center"/>
          </w:tcPr>
          <w:p w14:paraId="00CBB722" w14:textId="77777777" w:rsidR="00A90E9C" w:rsidRPr="008A26D2" w:rsidRDefault="00A90E9C" w:rsidP="00147D2E">
            <w:pPr>
              <w:jc w:val="center"/>
              <w:rPr>
                <w:rFonts w:ascii="Arial" w:hAnsi="Arial" w:cs="Arial"/>
                <w:sz w:val="20"/>
                <w:szCs w:val="20"/>
              </w:rPr>
            </w:pPr>
            <w:r w:rsidRPr="008A26D2">
              <w:rPr>
                <w:rFonts w:ascii="Arial" w:hAnsi="Arial" w:cs="Arial"/>
                <w:sz w:val="20"/>
                <w:szCs w:val="20"/>
              </w:rPr>
              <w:lastRenderedPageBreak/>
              <w:br w:type="page"/>
            </w:r>
            <w:r w:rsidRPr="008A26D2">
              <w:rPr>
                <w:rFonts w:ascii="Arial" w:hAnsi="Arial" w:cs="Arial"/>
                <w:b/>
                <w:sz w:val="20"/>
                <w:szCs w:val="20"/>
              </w:rPr>
              <w:t>FICHA TÉCNICA DE INDICADOR DE SERVICIO 1.9.1</w:t>
            </w:r>
          </w:p>
        </w:tc>
      </w:tr>
      <w:tr w:rsidR="008A26D2" w:rsidRPr="008A26D2" w14:paraId="62974C8B" w14:textId="77777777" w:rsidTr="00DA52C7">
        <w:trPr>
          <w:trHeight w:val="409"/>
        </w:trPr>
        <w:tc>
          <w:tcPr>
            <w:tcW w:w="2569" w:type="dxa"/>
            <w:gridSpan w:val="4"/>
            <w:shd w:val="clear" w:color="auto" w:fill="FFFFFF"/>
            <w:tcMar>
              <w:top w:w="10" w:type="dxa"/>
              <w:left w:w="93" w:type="dxa"/>
              <w:bottom w:w="0" w:type="dxa"/>
              <w:right w:w="10" w:type="dxa"/>
            </w:tcMar>
            <w:vAlign w:val="center"/>
          </w:tcPr>
          <w:p w14:paraId="24DB78CB" w14:textId="77777777" w:rsidR="00A90E9C" w:rsidRPr="008A26D2" w:rsidRDefault="00A90E9C" w:rsidP="00147D2E">
            <w:pPr>
              <w:spacing w:after="0" w:line="240" w:lineRule="auto"/>
              <w:jc w:val="both"/>
              <w:rPr>
                <w:rFonts w:ascii="Arial" w:hAnsi="Arial" w:cs="Arial"/>
                <w:sz w:val="20"/>
                <w:szCs w:val="20"/>
              </w:rPr>
            </w:pPr>
            <w:r w:rsidRPr="008A26D2">
              <w:rPr>
                <w:rFonts w:ascii="Arial" w:hAnsi="Arial" w:cs="Arial"/>
                <w:b/>
                <w:sz w:val="20"/>
                <w:szCs w:val="20"/>
              </w:rPr>
              <w:t>Objetivo prioritario:</w:t>
            </w:r>
          </w:p>
        </w:tc>
        <w:tc>
          <w:tcPr>
            <w:tcW w:w="6362" w:type="dxa"/>
            <w:gridSpan w:val="9"/>
            <w:shd w:val="clear" w:color="auto" w:fill="FFFFFF"/>
            <w:tcMar>
              <w:top w:w="51" w:type="dxa"/>
              <w:left w:w="227" w:type="dxa"/>
              <w:bottom w:w="51" w:type="dxa"/>
              <w:right w:w="227" w:type="dxa"/>
            </w:tcMar>
            <w:vAlign w:val="center"/>
          </w:tcPr>
          <w:p w14:paraId="12B5C6C6" w14:textId="77777777" w:rsidR="00A90E9C" w:rsidRPr="008A26D2" w:rsidRDefault="00A90E9C" w:rsidP="00147D2E">
            <w:pPr>
              <w:spacing w:after="0" w:line="240" w:lineRule="auto"/>
              <w:jc w:val="both"/>
              <w:rPr>
                <w:rFonts w:ascii="Arial" w:hAnsi="Arial" w:cs="Arial"/>
                <w:sz w:val="20"/>
                <w:szCs w:val="20"/>
              </w:rPr>
            </w:pPr>
            <w:r w:rsidRPr="008A26D2">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r>
      <w:tr w:rsidR="008A26D2" w:rsidRPr="008A26D2" w14:paraId="3E66D43C" w14:textId="77777777" w:rsidTr="00DA52C7">
        <w:trPr>
          <w:trHeight w:val="436"/>
        </w:trPr>
        <w:tc>
          <w:tcPr>
            <w:tcW w:w="2569" w:type="dxa"/>
            <w:gridSpan w:val="4"/>
            <w:shd w:val="clear" w:color="auto" w:fill="auto"/>
            <w:tcMar>
              <w:top w:w="10" w:type="dxa"/>
              <w:left w:w="93" w:type="dxa"/>
              <w:bottom w:w="0" w:type="dxa"/>
              <w:right w:w="10" w:type="dxa"/>
            </w:tcMar>
            <w:vAlign w:val="center"/>
          </w:tcPr>
          <w:p w14:paraId="616051F0" w14:textId="77777777" w:rsidR="00A90E9C" w:rsidRPr="008A26D2" w:rsidRDefault="00A90E9C" w:rsidP="00147D2E">
            <w:pPr>
              <w:spacing w:after="0" w:line="240" w:lineRule="auto"/>
              <w:jc w:val="both"/>
              <w:rPr>
                <w:rFonts w:ascii="Arial" w:hAnsi="Arial" w:cs="Arial"/>
                <w:sz w:val="20"/>
                <w:szCs w:val="20"/>
              </w:rPr>
            </w:pPr>
            <w:r w:rsidRPr="008A26D2">
              <w:rPr>
                <w:rFonts w:ascii="Arial" w:hAnsi="Arial" w:cs="Arial"/>
                <w:b/>
                <w:sz w:val="20"/>
                <w:szCs w:val="20"/>
              </w:rPr>
              <w:t>Lineamiento de la política:</w:t>
            </w:r>
          </w:p>
        </w:tc>
        <w:tc>
          <w:tcPr>
            <w:tcW w:w="6362" w:type="dxa"/>
            <w:gridSpan w:val="9"/>
            <w:shd w:val="clear" w:color="auto" w:fill="auto"/>
            <w:tcMar>
              <w:top w:w="51" w:type="dxa"/>
              <w:left w:w="227" w:type="dxa"/>
              <w:bottom w:w="51" w:type="dxa"/>
              <w:right w:w="227" w:type="dxa"/>
            </w:tcMar>
            <w:vAlign w:val="center"/>
          </w:tcPr>
          <w:p w14:paraId="473459D3" w14:textId="77777777" w:rsidR="00A90E9C" w:rsidRPr="008A26D2" w:rsidRDefault="00A90E9C" w:rsidP="00147D2E">
            <w:pPr>
              <w:spacing w:after="0" w:line="240" w:lineRule="auto"/>
              <w:jc w:val="both"/>
              <w:rPr>
                <w:rFonts w:ascii="Arial" w:hAnsi="Arial" w:cs="Arial"/>
                <w:sz w:val="20"/>
                <w:szCs w:val="20"/>
              </w:rPr>
            </w:pPr>
            <w:r w:rsidRPr="008A26D2">
              <w:rPr>
                <w:rFonts w:ascii="Arial" w:eastAsia="Arial Narrow" w:hAnsi="Arial" w:cs="Arial"/>
                <w:sz w:val="20"/>
                <w:szCs w:val="20"/>
              </w:rPr>
              <w:t>L1.9 Reducir los niveles de tala ilegal, caza furtiva y del tráfico ilegal forestal y de fauna silvestre.</w:t>
            </w:r>
          </w:p>
        </w:tc>
      </w:tr>
      <w:tr w:rsidR="008A26D2" w:rsidRPr="008A26D2" w14:paraId="4E67E14F" w14:textId="77777777" w:rsidTr="00DA52C7">
        <w:trPr>
          <w:trHeight w:val="404"/>
        </w:trPr>
        <w:tc>
          <w:tcPr>
            <w:tcW w:w="2569" w:type="dxa"/>
            <w:gridSpan w:val="4"/>
            <w:shd w:val="clear" w:color="auto" w:fill="auto"/>
            <w:tcMar>
              <w:top w:w="10" w:type="dxa"/>
              <w:left w:w="93" w:type="dxa"/>
              <w:bottom w:w="0" w:type="dxa"/>
              <w:right w:w="10" w:type="dxa"/>
            </w:tcMar>
            <w:vAlign w:val="center"/>
          </w:tcPr>
          <w:p w14:paraId="09E8E0CF" w14:textId="77777777" w:rsidR="00A90E9C" w:rsidRPr="008A26D2" w:rsidRDefault="00A90E9C" w:rsidP="00147D2E">
            <w:pPr>
              <w:spacing w:after="0" w:line="240" w:lineRule="auto"/>
              <w:jc w:val="both"/>
              <w:rPr>
                <w:rFonts w:ascii="Arial" w:hAnsi="Arial" w:cs="Arial"/>
                <w:sz w:val="20"/>
                <w:szCs w:val="20"/>
              </w:rPr>
            </w:pPr>
            <w:r w:rsidRPr="008A26D2">
              <w:rPr>
                <w:rFonts w:ascii="Arial" w:hAnsi="Arial" w:cs="Arial"/>
                <w:b/>
                <w:sz w:val="20"/>
                <w:szCs w:val="20"/>
              </w:rPr>
              <w:t>Nombre del servicio:</w:t>
            </w:r>
          </w:p>
        </w:tc>
        <w:tc>
          <w:tcPr>
            <w:tcW w:w="6362" w:type="dxa"/>
            <w:gridSpan w:val="9"/>
            <w:shd w:val="clear" w:color="auto" w:fill="auto"/>
            <w:tcMar>
              <w:top w:w="51" w:type="dxa"/>
              <w:left w:w="227" w:type="dxa"/>
              <w:bottom w:w="51" w:type="dxa"/>
              <w:right w:w="227" w:type="dxa"/>
            </w:tcMar>
            <w:vAlign w:val="center"/>
          </w:tcPr>
          <w:p w14:paraId="460524F7" w14:textId="77777777" w:rsidR="00A90E9C" w:rsidRPr="008A26D2" w:rsidRDefault="00A90E9C" w:rsidP="00147D2E">
            <w:pPr>
              <w:spacing w:after="0" w:line="240" w:lineRule="auto"/>
              <w:jc w:val="both"/>
              <w:rPr>
                <w:rFonts w:ascii="Arial" w:hAnsi="Arial" w:cs="Arial"/>
                <w:sz w:val="20"/>
                <w:szCs w:val="20"/>
              </w:rPr>
            </w:pPr>
            <w:r w:rsidRPr="008A26D2">
              <w:rPr>
                <w:rFonts w:ascii="Arial" w:eastAsia="Arial Narrow" w:hAnsi="Arial" w:cs="Arial"/>
                <w:sz w:val="20"/>
                <w:szCs w:val="20"/>
              </w:rPr>
              <w:t>S1.9.1 Fortalecimiento de capacidades en vigilancia y control de forma satisfactoria a las Autoridades Regionales Forestales y de Fauna Silvestre.</w:t>
            </w:r>
          </w:p>
        </w:tc>
      </w:tr>
      <w:tr w:rsidR="008A26D2" w:rsidRPr="008A26D2" w14:paraId="3A950774" w14:textId="77777777" w:rsidTr="00DA52C7">
        <w:trPr>
          <w:trHeight w:val="577"/>
        </w:trPr>
        <w:tc>
          <w:tcPr>
            <w:tcW w:w="2569" w:type="dxa"/>
            <w:gridSpan w:val="4"/>
            <w:shd w:val="clear" w:color="auto" w:fill="auto"/>
            <w:tcMar>
              <w:top w:w="10" w:type="dxa"/>
              <w:left w:w="93" w:type="dxa"/>
              <w:bottom w:w="0" w:type="dxa"/>
              <w:right w:w="10" w:type="dxa"/>
            </w:tcMar>
            <w:vAlign w:val="center"/>
          </w:tcPr>
          <w:p w14:paraId="023B7BC7" w14:textId="77777777" w:rsidR="00A90E9C" w:rsidRPr="008A26D2" w:rsidRDefault="00A90E9C" w:rsidP="00147D2E">
            <w:pPr>
              <w:spacing w:after="0" w:line="240" w:lineRule="auto"/>
              <w:jc w:val="both"/>
              <w:rPr>
                <w:rFonts w:ascii="Arial" w:hAnsi="Arial" w:cs="Arial"/>
                <w:sz w:val="20"/>
                <w:szCs w:val="20"/>
              </w:rPr>
            </w:pPr>
            <w:r w:rsidRPr="008A26D2">
              <w:rPr>
                <w:rFonts w:ascii="Arial" w:hAnsi="Arial" w:cs="Arial"/>
                <w:b/>
                <w:sz w:val="20"/>
                <w:szCs w:val="20"/>
              </w:rPr>
              <w:t>Nombre del indicador:</w:t>
            </w:r>
          </w:p>
        </w:tc>
        <w:tc>
          <w:tcPr>
            <w:tcW w:w="6362" w:type="dxa"/>
            <w:gridSpan w:val="9"/>
            <w:shd w:val="clear" w:color="auto" w:fill="auto"/>
            <w:tcMar>
              <w:top w:w="51" w:type="dxa"/>
              <w:left w:w="227" w:type="dxa"/>
              <w:bottom w:w="51" w:type="dxa"/>
              <w:right w:w="227" w:type="dxa"/>
            </w:tcMar>
            <w:vAlign w:val="center"/>
          </w:tcPr>
          <w:p w14:paraId="3EE849E3" w14:textId="77777777" w:rsidR="003C5B2C" w:rsidRPr="008A26D2" w:rsidRDefault="003C5B2C" w:rsidP="003C5B2C">
            <w:pPr>
              <w:pBdr>
                <w:top w:val="nil"/>
                <w:left w:val="nil"/>
                <w:bottom w:val="nil"/>
                <w:right w:val="nil"/>
                <w:between w:val="nil"/>
              </w:pBdr>
              <w:spacing w:after="0" w:line="240" w:lineRule="auto"/>
              <w:jc w:val="both"/>
              <w:rPr>
                <w:rFonts w:ascii="Arial" w:eastAsia="Times New Roman" w:hAnsi="Arial" w:cs="Arial"/>
                <w:sz w:val="20"/>
                <w:szCs w:val="20"/>
                <w:lang w:val="es-ES"/>
              </w:rPr>
            </w:pPr>
            <w:r w:rsidRPr="008A26D2">
              <w:rPr>
                <w:rFonts w:ascii="Arial" w:eastAsia="Times New Roman" w:hAnsi="Arial" w:cs="Arial"/>
                <w:sz w:val="20"/>
                <w:szCs w:val="20"/>
                <w:lang w:val="es-ES"/>
              </w:rPr>
              <w:t xml:space="preserve">Porcentaje de </w:t>
            </w:r>
            <w:r w:rsidRPr="008A26D2">
              <w:rPr>
                <w:rFonts w:ascii="Arial" w:eastAsia="Times New Roman" w:hAnsi="Arial" w:cs="Arial"/>
                <w:sz w:val="20"/>
                <w:szCs w:val="20"/>
              </w:rPr>
              <w:t>servidores de las Autoridades Regionales Forestales y de Fauna Silvestre</w:t>
            </w:r>
            <w:r w:rsidRPr="008A26D2">
              <w:rPr>
                <w:rFonts w:ascii="Arial" w:eastAsia="Times New Roman" w:hAnsi="Arial" w:cs="Arial"/>
                <w:sz w:val="20"/>
                <w:szCs w:val="20"/>
                <w:lang w:val="es-ES"/>
              </w:rPr>
              <w:t xml:space="preserve"> con alto grado de satisfacción sobre el fortalecimiento de capacidades recibidas </w:t>
            </w:r>
            <w:r w:rsidRPr="008A26D2">
              <w:rPr>
                <w:rFonts w:ascii="Arial" w:eastAsia="Arial Narrow" w:hAnsi="Arial" w:cs="Arial"/>
                <w:sz w:val="20"/>
                <w:szCs w:val="20"/>
              </w:rPr>
              <w:t>en vigilancia y control</w:t>
            </w:r>
          </w:p>
          <w:p w14:paraId="3F08403C" w14:textId="281202B6" w:rsidR="00A90E9C" w:rsidRPr="008A26D2" w:rsidRDefault="00A90E9C" w:rsidP="00147D2E">
            <w:pPr>
              <w:pBdr>
                <w:top w:val="nil"/>
                <w:left w:val="nil"/>
                <w:bottom w:val="nil"/>
                <w:right w:val="nil"/>
                <w:between w:val="nil"/>
              </w:pBdr>
              <w:spacing w:after="0" w:line="240" w:lineRule="auto"/>
              <w:jc w:val="both"/>
              <w:rPr>
                <w:rFonts w:ascii="Arial" w:eastAsia="Times New Roman" w:hAnsi="Arial" w:cs="Arial"/>
                <w:sz w:val="20"/>
                <w:szCs w:val="20"/>
                <w:lang w:val="es-ES"/>
              </w:rPr>
            </w:pPr>
          </w:p>
        </w:tc>
      </w:tr>
      <w:tr w:rsidR="008A26D2" w:rsidRPr="008A26D2" w14:paraId="0AF45A6D" w14:textId="77777777" w:rsidTr="00DA52C7">
        <w:trPr>
          <w:trHeight w:val="577"/>
        </w:trPr>
        <w:tc>
          <w:tcPr>
            <w:tcW w:w="2569" w:type="dxa"/>
            <w:gridSpan w:val="4"/>
            <w:shd w:val="clear" w:color="auto" w:fill="auto"/>
            <w:tcMar>
              <w:top w:w="10" w:type="dxa"/>
              <w:left w:w="93" w:type="dxa"/>
              <w:bottom w:w="0" w:type="dxa"/>
              <w:right w:w="10" w:type="dxa"/>
            </w:tcMar>
            <w:vAlign w:val="center"/>
          </w:tcPr>
          <w:p w14:paraId="024BCCD4" w14:textId="77777777" w:rsidR="00A90E9C" w:rsidRPr="008A26D2" w:rsidRDefault="00A90E9C" w:rsidP="00147D2E">
            <w:pPr>
              <w:spacing w:after="0" w:line="240" w:lineRule="auto"/>
              <w:jc w:val="both"/>
              <w:rPr>
                <w:rFonts w:ascii="Arial" w:hAnsi="Arial" w:cs="Arial"/>
                <w:sz w:val="20"/>
                <w:szCs w:val="20"/>
              </w:rPr>
            </w:pPr>
            <w:r w:rsidRPr="008A26D2">
              <w:rPr>
                <w:rFonts w:ascii="Arial" w:hAnsi="Arial" w:cs="Arial"/>
                <w:b/>
                <w:sz w:val="20"/>
                <w:szCs w:val="20"/>
              </w:rPr>
              <w:t>Justificación:</w:t>
            </w:r>
          </w:p>
        </w:tc>
        <w:tc>
          <w:tcPr>
            <w:tcW w:w="6362" w:type="dxa"/>
            <w:gridSpan w:val="9"/>
            <w:shd w:val="clear" w:color="auto" w:fill="auto"/>
            <w:tcMar>
              <w:top w:w="51" w:type="dxa"/>
              <w:left w:w="227" w:type="dxa"/>
              <w:bottom w:w="51" w:type="dxa"/>
              <w:right w:w="227" w:type="dxa"/>
            </w:tcMar>
            <w:vAlign w:val="center"/>
          </w:tcPr>
          <w:p w14:paraId="30FD92C5" w14:textId="0EC6EE9C" w:rsidR="00A90E9C" w:rsidRPr="008A26D2" w:rsidRDefault="00A90E9C" w:rsidP="00147D2E">
            <w:pPr>
              <w:spacing w:after="0" w:line="240" w:lineRule="auto"/>
              <w:jc w:val="both"/>
              <w:rPr>
                <w:rFonts w:ascii="Arial" w:eastAsia="Arial Narrow" w:hAnsi="Arial" w:cs="Arial"/>
                <w:sz w:val="20"/>
                <w:szCs w:val="20"/>
              </w:rPr>
            </w:pPr>
            <w:r w:rsidRPr="008A26D2">
              <w:rPr>
                <w:rFonts w:ascii="Arial" w:eastAsia="Times New Roman" w:hAnsi="Arial" w:cs="Arial"/>
                <w:sz w:val="20"/>
                <w:szCs w:val="20"/>
                <w:lang w:val="es-ES"/>
              </w:rPr>
              <w:t xml:space="preserve">El indicador cuantifica el porcentaje de </w:t>
            </w:r>
            <w:r w:rsidR="00720F9E" w:rsidRPr="008A26D2">
              <w:rPr>
                <w:rFonts w:ascii="Arial" w:eastAsia="Times New Roman" w:hAnsi="Arial" w:cs="Arial"/>
                <w:sz w:val="20"/>
                <w:szCs w:val="20"/>
              </w:rPr>
              <w:t>servidores</w:t>
            </w:r>
            <w:r w:rsidRPr="008A26D2">
              <w:rPr>
                <w:rFonts w:ascii="Arial" w:eastAsia="Times New Roman" w:hAnsi="Arial" w:cs="Arial"/>
                <w:sz w:val="20"/>
                <w:szCs w:val="20"/>
              </w:rPr>
              <w:t xml:space="preserve"> de las Autoridades Regionales Forestales y de Fauna Silvestre</w:t>
            </w:r>
            <w:r w:rsidRPr="008A26D2">
              <w:rPr>
                <w:rFonts w:ascii="Arial" w:eastAsia="Times New Roman" w:hAnsi="Arial" w:cs="Arial"/>
                <w:sz w:val="20"/>
                <w:szCs w:val="20"/>
                <w:lang w:val="es-ES"/>
              </w:rPr>
              <w:t xml:space="preserve"> que perciben un alto grado de satisfacción sobre las capacitaciones recibidas </w:t>
            </w:r>
            <w:r w:rsidRPr="008A26D2">
              <w:rPr>
                <w:rFonts w:ascii="Arial" w:eastAsia="Arial Narrow" w:hAnsi="Arial" w:cs="Arial"/>
                <w:sz w:val="20"/>
                <w:szCs w:val="20"/>
              </w:rPr>
              <w:t>en vigilancia y control</w:t>
            </w:r>
            <w:r w:rsidRPr="008A26D2">
              <w:rPr>
                <w:rFonts w:ascii="Arial" w:eastAsia="Times New Roman" w:hAnsi="Arial" w:cs="Arial"/>
                <w:sz w:val="20"/>
                <w:szCs w:val="20"/>
                <w:lang w:val="es-ES"/>
              </w:rPr>
              <w:t>. De esta manera, el indicador facilitará el seguimiento de la satisfacción del servicio y establecer acciones de mejora correspondientes.</w:t>
            </w:r>
          </w:p>
        </w:tc>
      </w:tr>
      <w:tr w:rsidR="008A26D2" w:rsidRPr="008A26D2" w14:paraId="6AD6DE82" w14:textId="77777777" w:rsidTr="00DA52C7">
        <w:trPr>
          <w:trHeight w:val="352"/>
        </w:trPr>
        <w:tc>
          <w:tcPr>
            <w:tcW w:w="2569" w:type="dxa"/>
            <w:gridSpan w:val="4"/>
            <w:shd w:val="clear" w:color="auto" w:fill="auto"/>
            <w:tcMar>
              <w:top w:w="10" w:type="dxa"/>
              <w:left w:w="93" w:type="dxa"/>
              <w:bottom w:w="0" w:type="dxa"/>
              <w:right w:w="10" w:type="dxa"/>
            </w:tcMar>
            <w:vAlign w:val="center"/>
          </w:tcPr>
          <w:p w14:paraId="5B3DBD52" w14:textId="77777777" w:rsidR="00A90E9C" w:rsidRPr="008A26D2" w:rsidRDefault="00A90E9C" w:rsidP="00147D2E">
            <w:pPr>
              <w:spacing w:after="0" w:line="240" w:lineRule="auto"/>
              <w:jc w:val="both"/>
              <w:rPr>
                <w:rFonts w:ascii="Arial" w:hAnsi="Arial" w:cs="Arial"/>
                <w:sz w:val="20"/>
                <w:szCs w:val="20"/>
              </w:rPr>
            </w:pPr>
            <w:r w:rsidRPr="008A26D2">
              <w:rPr>
                <w:rFonts w:ascii="Arial" w:hAnsi="Arial" w:cs="Arial"/>
                <w:b/>
                <w:sz w:val="20"/>
                <w:szCs w:val="20"/>
              </w:rPr>
              <w:t>Responsable del indicador:</w:t>
            </w:r>
          </w:p>
        </w:tc>
        <w:tc>
          <w:tcPr>
            <w:tcW w:w="6362" w:type="dxa"/>
            <w:gridSpan w:val="9"/>
            <w:shd w:val="clear" w:color="auto" w:fill="auto"/>
            <w:tcMar>
              <w:top w:w="51" w:type="dxa"/>
              <w:left w:w="227" w:type="dxa"/>
              <w:bottom w:w="51" w:type="dxa"/>
              <w:right w:w="227" w:type="dxa"/>
            </w:tcMar>
            <w:vAlign w:val="center"/>
          </w:tcPr>
          <w:p w14:paraId="6A94D5B1" w14:textId="1DD280AF" w:rsidR="00A90E9C" w:rsidRPr="008A26D2" w:rsidRDefault="00A90E9C" w:rsidP="00147D2E">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Dirección de Control Forestal y de Fauna Silvestre del Servicio Nacional Forestal y de Fauna Silvestre - SERFOR</w:t>
            </w:r>
          </w:p>
        </w:tc>
      </w:tr>
      <w:tr w:rsidR="008A26D2" w:rsidRPr="008A26D2" w14:paraId="20CFB088" w14:textId="77777777" w:rsidTr="00DA52C7">
        <w:trPr>
          <w:trHeight w:val="584"/>
        </w:trPr>
        <w:tc>
          <w:tcPr>
            <w:tcW w:w="2569" w:type="dxa"/>
            <w:gridSpan w:val="4"/>
            <w:shd w:val="clear" w:color="auto" w:fill="auto"/>
            <w:tcMar>
              <w:top w:w="10" w:type="dxa"/>
              <w:left w:w="93" w:type="dxa"/>
              <w:bottom w:w="0" w:type="dxa"/>
              <w:right w:w="10" w:type="dxa"/>
            </w:tcMar>
            <w:vAlign w:val="center"/>
          </w:tcPr>
          <w:p w14:paraId="5023210E" w14:textId="77777777" w:rsidR="00A90E9C" w:rsidRPr="008A26D2" w:rsidRDefault="00A90E9C" w:rsidP="00147D2E">
            <w:pPr>
              <w:spacing w:after="0" w:line="240" w:lineRule="auto"/>
              <w:jc w:val="both"/>
              <w:rPr>
                <w:rFonts w:ascii="Arial" w:hAnsi="Arial" w:cs="Arial"/>
                <w:sz w:val="20"/>
                <w:szCs w:val="20"/>
              </w:rPr>
            </w:pPr>
            <w:r w:rsidRPr="008A26D2">
              <w:rPr>
                <w:rFonts w:ascii="Arial" w:hAnsi="Arial" w:cs="Arial"/>
                <w:b/>
                <w:sz w:val="20"/>
                <w:szCs w:val="20"/>
              </w:rPr>
              <w:t>Limitaciones para la medición del indicador:</w:t>
            </w:r>
          </w:p>
        </w:tc>
        <w:tc>
          <w:tcPr>
            <w:tcW w:w="6362" w:type="dxa"/>
            <w:gridSpan w:val="9"/>
            <w:shd w:val="clear" w:color="auto" w:fill="auto"/>
            <w:tcMar>
              <w:top w:w="51" w:type="dxa"/>
              <w:left w:w="227" w:type="dxa"/>
              <w:bottom w:w="51" w:type="dxa"/>
              <w:right w:w="227" w:type="dxa"/>
            </w:tcMar>
            <w:vAlign w:val="center"/>
          </w:tcPr>
          <w:p w14:paraId="6EB7EB6D" w14:textId="77777777" w:rsidR="00A90E9C" w:rsidRPr="008A26D2" w:rsidRDefault="00A90E9C" w:rsidP="00147D2E">
            <w:pPr>
              <w:spacing w:after="0" w:line="240" w:lineRule="auto"/>
              <w:jc w:val="both"/>
              <w:rPr>
                <w:rFonts w:ascii="Arial" w:hAnsi="Arial" w:cs="Arial"/>
                <w:sz w:val="20"/>
                <w:szCs w:val="20"/>
              </w:rPr>
            </w:pPr>
            <w:r w:rsidRPr="008A26D2">
              <w:rPr>
                <w:rFonts w:ascii="Arial" w:eastAsia="Arial Narrow" w:hAnsi="Arial" w:cs="Arial"/>
                <w:sz w:val="20"/>
                <w:szCs w:val="20"/>
              </w:rPr>
              <w:t>No presenta limitaciones</w:t>
            </w:r>
          </w:p>
        </w:tc>
      </w:tr>
      <w:tr w:rsidR="008A26D2" w:rsidRPr="008A26D2" w14:paraId="68218DC8" w14:textId="77777777" w:rsidTr="00DA52C7">
        <w:trPr>
          <w:trHeight w:val="231"/>
        </w:trPr>
        <w:tc>
          <w:tcPr>
            <w:tcW w:w="2569" w:type="dxa"/>
            <w:gridSpan w:val="4"/>
            <w:shd w:val="clear" w:color="auto" w:fill="auto"/>
            <w:tcMar>
              <w:top w:w="10" w:type="dxa"/>
              <w:left w:w="93" w:type="dxa"/>
              <w:bottom w:w="0" w:type="dxa"/>
              <w:right w:w="10" w:type="dxa"/>
            </w:tcMar>
            <w:vAlign w:val="center"/>
          </w:tcPr>
          <w:p w14:paraId="5AB415AA" w14:textId="77777777" w:rsidR="00A90E9C" w:rsidRPr="008A26D2" w:rsidRDefault="00A90E9C" w:rsidP="00147D2E">
            <w:pPr>
              <w:jc w:val="both"/>
              <w:rPr>
                <w:rFonts w:ascii="Arial" w:hAnsi="Arial" w:cs="Arial"/>
                <w:sz w:val="20"/>
                <w:szCs w:val="20"/>
              </w:rPr>
            </w:pPr>
            <w:r w:rsidRPr="008A26D2">
              <w:rPr>
                <w:rFonts w:ascii="Arial" w:hAnsi="Arial" w:cs="Arial"/>
                <w:b/>
                <w:sz w:val="20"/>
                <w:szCs w:val="20"/>
              </w:rPr>
              <w:t xml:space="preserve">Método de cálculo: </w:t>
            </w:r>
          </w:p>
        </w:tc>
        <w:tc>
          <w:tcPr>
            <w:tcW w:w="6362" w:type="dxa"/>
            <w:gridSpan w:val="9"/>
            <w:shd w:val="clear" w:color="auto" w:fill="auto"/>
            <w:tcMar>
              <w:top w:w="51" w:type="dxa"/>
              <w:left w:w="227" w:type="dxa"/>
              <w:bottom w:w="51" w:type="dxa"/>
              <w:right w:w="227" w:type="dxa"/>
            </w:tcMar>
            <w:vAlign w:val="center"/>
          </w:tcPr>
          <w:p w14:paraId="49B006CE" w14:textId="77777777" w:rsidR="00A90E9C" w:rsidRPr="008A26D2" w:rsidRDefault="00A90E9C" w:rsidP="00147D2E">
            <w:pPr>
              <w:jc w:val="both"/>
              <w:rPr>
                <w:rFonts w:ascii="Arial" w:eastAsia="Arial Narrow" w:hAnsi="Arial" w:cs="Arial"/>
                <w:b/>
                <w:sz w:val="20"/>
                <w:szCs w:val="20"/>
              </w:rPr>
            </w:pPr>
            <w:r w:rsidRPr="008A26D2">
              <w:rPr>
                <w:rFonts w:ascii="Arial" w:eastAsia="Arial Narrow" w:hAnsi="Arial" w:cs="Arial"/>
                <w:b/>
                <w:sz w:val="20"/>
                <w:szCs w:val="20"/>
              </w:rPr>
              <w:t>1. Fórmula:</w:t>
            </w:r>
          </w:p>
          <w:p w14:paraId="0101E3D5" w14:textId="16B38905" w:rsidR="00A90E9C" w:rsidRPr="008A26D2" w:rsidRDefault="007A3A5C" w:rsidP="00147D2E">
            <w:pPr>
              <w:jc w:val="both"/>
              <w:rPr>
                <w:rFonts w:ascii="Arial" w:eastAsia="Arial Narrow" w:hAnsi="Arial" w:cs="Arial"/>
                <w:sz w:val="20"/>
                <w:szCs w:val="20"/>
                <w:lang w:val="es-MX"/>
              </w:rPr>
            </w:pPr>
            <w:r w:rsidRPr="008A26D2">
              <w:rPr>
                <w:rFonts w:ascii="Arial" w:eastAsia="Arial Narrow" w:hAnsi="Arial" w:cs="Arial"/>
                <w:sz w:val="20"/>
                <w:szCs w:val="20"/>
                <w:lang w:val="es-MX"/>
              </w:rPr>
              <w:t>(</w:t>
            </w:r>
            <w:r w:rsidR="00A90E9C" w:rsidRPr="008A26D2">
              <w:rPr>
                <w:rFonts w:ascii="Arial" w:eastAsia="Arial Narrow" w:hAnsi="Arial" w:cs="Arial"/>
                <w:sz w:val="20"/>
                <w:szCs w:val="20"/>
                <w:lang w:val="es-MX"/>
              </w:rPr>
              <w:t>A/B</w:t>
            </w:r>
            <w:r w:rsidRPr="008A26D2">
              <w:rPr>
                <w:rFonts w:ascii="Arial" w:eastAsia="Arial Narrow" w:hAnsi="Arial" w:cs="Arial"/>
                <w:sz w:val="20"/>
                <w:szCs w:val="20"/>
                <w:lang w:val="es-MX"/>
              </w:rPr>
              <w:t>)</w:t>
            </w:r>
            <w:r w:rsidR="00A90E9C" w:rsidRPr="008A26D2">
              <w:rPr>
                <w:rFonts w:ascii="Arial" w:eastAsia="Arial Narrow" w:hAnsi="Arial" w:cs="Arial"/>
                <w:sz w:val="20"/>
                <w:szCs w:val="20"/>
                <w:lang w:val="es-MX"/>
              </w:rPr>
              <w:t>*100</w:t>
            </w:r>
          </w:p>
          <w:p w14:paraId="408E116F" w14:textId="77777777" w:rsidR="00A90E9C" w:rsidRPr="008A26D2" w:rsidRDefault="00A90E9C" w:rsidP="00147D2E">
            <w:pPr>
              <w:jc w:val="both"/>
              <w:rPr>
                <w:rFonts w:ascii="Arial" w:eastAsia="Arial Narrow" w:hAnsi="Arial" w:cs="Arial"/>
                <w:sz w:val="20"/>
                <w:szCs w:val="20"/>
                <w:lang w:val="es-MX"/>
              </w:rPr>
            </w:pPr>
            <w:r w:rsidRPr="008A26D2">
              <w:rPr>
                <w:rFonts w:ascii="Arial" w:eastAsia="Arial Narrow" w:hAnsi="Arial" w:cs="Arial"/>
                <w:sz w:val="20"/>
                <w:szCs w:val="20"/>
                <w:lang w:val="es-MX"/>
              </w:rPr>
              <w:t>Donde:</w:t>
            </w:r>
          </w:p>
          <w:p w14:paraId="253FABDD" w14:textId="0257B577" w:rsidR="00A90E9C" w:rsidRPr="008A26D2" w:rsidRDefault="00A90E9C" w:rsidP="00147D2E">
            <w:pPr>
              <w:pBdr>
                <w:top w:val="nil"/>
                <w:left w:val="nil"/>
                <w:bottom w:val="nil"/>
                <w:right w:val="nil"/>
                <w:between w:val="nil"/>
              </w:pBdr>
              <w:spacing w:after="0" w:line="240" w:lineRule="auto"/>
              <w:ind w:left="330" w:hanging="330"/>
              <w:jc w:val="both"/>
              <w:rPr>
                <w:rFonts w:ascii="Arial" w:hAnsi="Arial" w:cs="Arial"/>
                <w:bCs/>
                <w:sz w:val="20"/>
                <w:szCs w:val="20"/>
              </w:rPr>
            </w:pPr>
            <w:r w:rsidRPr="008A26D2">
              <w:rPr>
                <w:rFonts w:ascii="Arial" w:hAnsi="Arial" w:cs="Arial"/>
                <w:bCs/>
                <w:sz w:val="20"/>
                <w:szCs w:val="20"/>
              </w:rPr>
              <w:t xml:space="preserve">A = </w:t>
            </w:r>
            <w:r w:rsidR="00720F9E" w:rsidRPr="008A26D2">
              <w:rPr>
                <w:rFonts w:ascii="Arial" w:hAnsi="Arial" w:cs="Arial"/>
                <w:bCs/>
                <w:sz w:val="20"/>
                <w:szCs w:val="20"/>
              </w:rPr>
              <w:t xml:space="preserve">Número </w:t>
            </w:r>
            <w:r w:rsidR="00720F9E" w:rsidRPr="008A26D2">
              <w:rPr>
                <w:rFonts w:ascii="Arial" w:eastAsia="Arial Narrow" w:hAnsi="Arial" w:cs="Arial"/>
                <w:sz w:val="20"/>
                <w:szCs w:val="20"/>
              </w:rPr>
              <w:t>de servidores de las Autoridades Regionales Forestales y de Fauna Silvestre con alto grado de satisfacción sobre el fortalecimiento de capacidades recibidas en vigilancia y control</w:t>
            </w:r>
          </w:p>
          <w:p w14:paraId="7070FFEF" w14:textId="77777777" w:rsidR="00720F9E" w:rsidRPr="008A26D2" w:rsidRDefault="00A90E9C" w:rsidP="00147D2E">
            <w:pPr>
              <w:pBdr>
                <w:top w:val="nil"/>
                <w:left w:val="nil"/>
                <w:bottom w:val="nil"/>
                <w:right w:val="nil"/>
                <w:between w:val="nil"/>
              </w:pBdr>
              <w:spacing w:after="0" w:line="240" w:lineRule="auto"/>
              <w:ind w:left="330" w:hanging="330"/>
              <w:jc w:val="both"/>
              <w:rPr>
                <w:rFonts w:ascii="Arial" w:eastAsia="Arial Narrow" w:hAnsi="Arial" w:cs="Arial"/>
                <w:sz w:val="20"/>
                <w:szCs w:val="20"/>
              </w:rPr>
            </w:pPr>
            <w:r w:rsidRPr="008A26D2">
              <w:rPr>
                <w:rFonts w:ascii="Arial" w:hAnsi="Arial" w:cs="Arial"/>
                <w:bCs/>
                <w:sz w:val="20"/>
                <w:szCs w:val="20"/>
              </w:rPr>
              <w:t xml:space="preserve">B = Total </w:t>
            </w:r>
            <w:r w:rsidR="00720F9E" w:rsidRPr="008A26D2">
              <w:rPr>
                <w:rFonts w:ascii="Arial" w:eastAsia="Arial Narrow" w:hAnsi="Arial" w:cs="Arial"/>
                <w:sz w:val="20"/>
                <w:szCs w:val="20"/>
              </w:rPr>
              <w:t>de servidores de las Autoridades Regionales Forestales y de Fauna Silvestre</w:t>
            </w:r>
            <w:r w:rsidRPr="008A26D2">
              <w:rPr>
                <w:rFonts w:ascii="Arial" w:hAnsi="Arial" w:cs="Arial"/>
                <w:bCs/>
                <w:sz w:val="20"/>
                <w:szCs w:val="20"/>
              </w:rPr>
              <w:t xml:space="preserve"> que reciben capacitación</w:t>
            </w:r>
            <w:r w:rsidR="00720F9E" w:rsidRPr="008A26D2">
              <w:rPr>
                <w:rFonts w:ascii="Arial" w:hAnsi="Arial" w:cs="Arial"/>
                <w:bCs/>
                <w:sz w:val="20"/>
                <w:szCs w:val="20"/>
              </w:rPr>
              <w:t xml:space="preserve"> </w:t>
            </w:r>
            <w:r w:rsidR="00720F9E" w:rsidRPr="008A26D2">
              <w:rPr>
                <w:rFonts w:ascii="Arial" w:eastAsia="Arial Narrow" w:hAnsi="Arial" w:cs="Arial"/>
                <w:sz w:val="20"/>
                <w:szCs w:val="20"/>
              </w:rPr>
              <w:t>en vigilancia y control</w:t>
            </w:r>
          </w:p>
          <w:p w14:paraId="46220E5C" w14:textId="77777777" w:rsidR="00720F9E" w:rsidRPr="008A26D2" w:rsidRDefault="00720F9E" w:rsidP="00147D2E">
            <w:pPr>
              <w:jc w:val="both"/>
              <w:rPr>
                <w:rFonts w:ascii="Arial" w:eastAsia="Arial Narrow" w:hAnsi="Arial" w:cs="Arial"/>
                <w:b/>
                <w:sz w:val="20"/>
                <w:szCs w:val="20"/>
              </w:rPr>
            </w:pPr>
          </w:p>
          <w:p w14:paraId="20A91121" w14:textId="2F7211CF" w:rsidR="00A90E9C" w:rsidRPr="008A26D2" w:rsidRDefault="00A90E9C" w:rsidP="00147D2E">
            <w:pPr>
              <w:jc w:val="both"/>
              <w:rPr>
                <w:rFonts w:ascii="Arial" w:eastAsia="Arial Narrow" w:hAnsi="Arial" w:cs="Arial"/>
                <w:sz w:val="20"/>
                <w:szCs w:val="20"/>
              </w:rPr>
            </w:pPr>
            <w:r w:rsidRPr="008A26D2">
              <w:rPr>
                <w:rFonts w:ascii="Arial" w:eastAsia="Arial Narrow" w:hAnsi="Arial" w:cs="Arial"/>
                <w:b/>
                <w:sz w:val="20"/>
                <w:szCs w:val="20"/>
              </w:rPr>
              <w:t>2. Especificaciones técnicas:</w:t>
            </w:r>
          </w:p>
          <w:p w14:paraId="03F1139E" w14:textId="5E177A13" w:rsidR="003E7E89" w:rsidRPr="003E7E89" w:rsidRDefault="003E7E89" w:rsidP="003E7E89">
            <w:pPr>
              <w:jc w:val="both"/>
              <w:rPr>
                <w:rFonts w:ascii="Arial" w:eastAsia="Times New Roman" w:hAnsi="Arial" w:cs="Arial"/>
                <w:sz w:val="20"/>
                <w:szCs w:val="20"/>
                <w:lang w:val="es-ES"/>
              </w:rPr>
            </w:pPr>
            <w:r w:rsidRPr="003E7E89">
              <w:rPr>
                <w:rFonts w:ascii="Arial" w:eastAsia="Times New Roman" w:hAnsi="Arial" w:cs="Arial"/>
                <w:sz w:val="20"/>
                <w:szCs w:val="20"/>
                <w:lang w:val="es-ES"/>
              </w:rPr>
              <w:t xml:space="preserve">La variable A se determina a partir </w:t>
            </w:r>
            <w:r>
              <w:rPr>
                <w:rFonts w:ascii="Arial" w:eastAsia="Times New Roman" w:hAnsi="Arial" w:cs="Arial"/>
                <w:sz w:val="20"/>
                <w:szCs w:val="20"/>
                <w:lang w:val="es-ES"/>
              </w:rPr>
              <w:t xml:space="preserve">de los </w:t>
            </w:r>
            <w:r w:rsidRPr="003E7E89">
              <w:rPr>
                <w:rFonts w:ascii="Arial" w:eastAsia="Times New Roman" w:hAnsi="Arial" w:cs="Arial"/>
                <w:sz w:val="20"/>
                <w:szCs w:val="20"/>
                <w:lang w:val="es-ES"/>
              </w:rPr>
              <w:t>servidores de las Autoridades Regionales Forestales y de Fauna Silvestre que tienen un alto grado de satisfacción, al elegir los dos niveles más altos de la escala, sobre las acciones de fortalecimiento de capacidades recibidas.</w:t>
            </w:r>
          </w:p>
          <w:p w14:paraId="05CC59D7" w14:textId="66B57BDE" w:rsidR="001617F3" w:rsidRDefault="003E7E89" w:rsidP="003E7E89">
            <w:pPr>
              <w:jc w:val="both"/>
              <w:rPr>
                <w:rFonts w:ascii="Arial" w:eastAsia="Times New Roman" w:hAnsi="Arial" w:cs="Arial"/>
                <w:sz w:val="20"/>
                <w:szCs w:val="20"/>
                <w:lang w:val="es-ES"/>
              </w:rPr>
            </w:pPr>
            <w:r w:rsidRPr="003E7E89">
              <w:rPr>
                <w:rFonts w:ascii="Arial" w:eastAsia="Times New Roman" w:hAnsi="Arial" w:cs="Arial"/>
                <w:sz w:val="20"/>
                <w:szCs w:val="20"/>
                <w:lang w:val="es-ES"/>
              </w:rPr>
              <w:t xml:space="preserve">La variable B se determina con el total de </w:t>
            </w:r>
            <w:r w:rsidR="00024C88" w:rsidRPr="00024C88">
              <w:rPr>
                <w:rFonts w:ascii="Arial" w:eastAsia="Times New Roman" w:hAnsi="Arial" w:cs="Arial"/>
                <w:sz w:val="20"/>
                <w:szCs w:val="20"/>
                <w:lang w:val="es-ES"/>
              </w:rPr>
              <w:t xml:space="preserve">servidores de las Autoridades Regionales Forestales y de Fauna Silvestre </w:t>
            </w:r>
            <w:r w:rsidRPr="003E7E89">
              <w:rPr>
                <w:rFonts w:ascii="Arial" w:eastAsia="Times New Roman" w:hAnsi="Arial" w:cs="Arial"/>
                <w:sz w:val="20"/>
                <w:szCs w:val="20"/>
                <w:lang w:val="es-ES"/>
              </w:rPr>
              <w:t>que asisten a las capacitaciones</w:t>
            </w:r>
            <w:r w:rsidR="00F8655E">
              <w:rPr>
                <w:rFonts w:ascii="Arial" w:eastAsia="Times New Roman" w:hAnsi="Arial" w:cs="Arial"/>
                <w:sz w:val="20"/>
                <w:szCs w:val="20"/>
                <w:lang w:val="es-ES"/>
              </w:rPr>
              <w:t xml:space="preserve"> en el año de medición</w:t>
            </w:r>
            <w:r>
              <w:rPr>
                <w:rFonts w:ascii="Arial" w:eastAsia="Times New Roman" w:hAnsi="Arial" w:cs="Arial"/>
                <w:sz w:val="20"/>
                <w:szCs w:val="20"/>
                <w:lang w:val="es-ES"/>
              </w:rPr>
              <w:t>.</w:t>
            </w:r>
          </w:p>
          <w:p w14:paraId="1102E9FF" w14:textId="6374757E" w:rsidR="00A90E9C" w:rsidRPr="008A26D2" w:rsidRDefault="00A90E9C" w:rsidP="00147D2E">
            <w:pPr>
              <w:jc w:val="both"/>
              <w:rPr>
                <w:rFonts w:ascii="Arial" w:eastAsia="Times New Roman" w:hAnsi="Arial" w:cs="Arial"/>
                <w:sz w:val="20"/>
                <w:szCs w:val="20"/>
                <w:lang w:val="es-ES"/>
              </w:rPr>
            </w:pPr>
            <w:r w:rsidRPr="008A26D2">
              <w:rPr>
                <w:rFonts w:ascii="Arial" w:eastAsia="Times New Roman" w:hAnsi="Arial" w:cs="Arial"/>
                <w:sz w:val="20"/>
                <w:szCs w:val="20"/>
                <w:lang w:val="es-ES"/>
              </w:rPr>
              <w:t xml:space="preserve">El indicador se calculará a partir de encuestas o entrevistas donde se pueda registrar el grado de satisfacción de los </w:t>
            </w:r>
            <w:r w:rsidR="00720F9E" w:rsidRPr="008A26D2">
              <w:rPr>
                <w:rFonts w:ascii="Arial" w:eastAsia="Times New Roman" w:hAnsi="Arial" w:cs="Arial"/>
                <w:sz w:val="20"/>
                <w:szCs w:val="20"/>
                <w:lang w:val="es-ES"/>
              </w:rPr>
              <w:t>servidores</w:t>
            </w:r>
            <w:r w:rsidRPr="008A26D2">
              <w:rPr>
                <w:rFonts w:ascii="Arial" w:eastAsia="Times New Roman" w:hAnsi="Arial" w:cs="Arial"/>
                <w:sz w:val="20"/>
                <w:szCs w:val="20"/>
                <w:lang w:val="es-ES"/>
              </w:rPr>
              <w:t xml:space="preserve"> que participan de las capacitaciones, identificando aquellos aspectos del servicio que se pueden mejorar y satisfacer al receptor.</w:t>
            </w:r>
          </w:p>
          <w:p w14:paraId="37D7884B" w14:textId="77777777" w:rsidR="00A90E9C" w:rsidRPr="008A26D2" w:rsidRDefault="00A90E9C" w:rsidP="00147D2E">
            <w:pPr>
              <w:jc w:val="both"/>
              <w:rPr>
                <w:rFonts w:ascii="Arial" w:hAnsi="Arial" w:cs="Arial"/>
                <w:bCs/>
                <w:sz w:val="20"/>
                <w:szCs w:val="20"/>
              </w:rPr>
            </w:pPr>
            <w:r w:rsidRPr="008A26D2">
              <w:rPr>
                <w:rFonts w:ascii="Arial" w:hAnsi="Arial" w:cs="Arial"/>
                <w:bCs/>
                <w:sz w:val="20"/>
                <w:szCs w:val="20"/>
              </w:rPr>
              <w:lastRenderedPageBreak/>
              <w:t>Para evaluar el grado de satisfacción se considerará los alcances metodológicos señalados en el Protocolo de Capacitación y Asistencia Técnica del SERFOR.</w:t>
            </w:r>
          </w:p>
          <w:p w14:paraId="7757AF97" w14:textId="578D1EC4" w:rsidR="00A90E9C" w:rsidRPr="008A26D2" w:rsidRDefault="00C40F76" w:rsidP="00147D2E">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Se carece de línea base porque no se contaba con la metodología para la medición del estándar</w:t>
            </w:r>
            <w:r w:rsidR="00A90E9C" w:rsidRPr="008A26D2">
              <w:rPr>
                <w:rFonts w:ascii="Arial" w:eastAsia="Arial Narrow" w:hAnsi="Arial" w:cs="Arial"/>
                <w:sz w:val="20"/>
                <w:szCs w:val="20"/>
              </w:rPr>
              <w:t>, por ese motivo, el SERFOR determinará la línea base para su cálculo antes del inicio de la implementación de la presente Política Nacional.</w:t>
            </w:r>
          </w:p>
          <w:p w14:paraId="79F82CB6" w14:textId="77777777" w:rsidR="00A90E9C" w:rsidRPr="008A26D2" w:rsidRDefault="00A90E9C" w:rsidP="00147D2E">
            <w:pPr>
              <w:spacing w:after="0" w:line="240" w:lineRule="auto"/>
              <w:jc w:val="both"/>
              <w:rPr>
                <w:rFonts w:ascii="Arial" w:eastAsia="Arial Narrow" w:hAnsi="Arial" w:cs="Arial"/>
                <w:sz w:val="20"/>
                <w:szCs w:val="20"/>
              </w:rPr>
            </w:pPr>
          </w:p>
          <w:p w14:paraId="40D841DF" w14:textId="77777777" w:rsidR="00A90E9C" w:rsidRPr="008A26D2" w:rsidRDefault="00A90E9C" w:rsidP="00147D2E">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Las Autoridades Regionales Forestales y de Fauna Silvestre comprenden a las Administraciones Técnicas Forestales y de Fauna Silvestre y los gobiernos regionales con funciones transferidas en materia forestal y de fauna silvestre.</w:t>
            </w:r>
          </w:p>
          <w:p w14:paraId="4363D650" w14:textId="77777777" w:rsidR="00A90E9C" w:rsidRPr="008A26D2" w:rsidRDefault="00A90E9C" w:rsidP="00147D2E">
            <w:pPr>
              <w:spacing w:after="0" w:line="240" w:lineRule="auto"/>
              <w:jc w:val="both"/>
              <w:rPr>
                <w:rFonts w:ascii="Arial" w:hAnsi="Arial" w:cs="Arial"/>
                <w:sz w:val="20"/>
                <w:szCs w:val="20"/>
              </w:rPr>
            </w:pPr>
          </w:p>
        </w:tc>
      </w:tr>
      <w:tr w:rsidR="008A26D2" w:rsidRPr="008A26D2" w14:paraId="6BDB9EBF" w14:textId="77777777" w:rsidTr="007A3A5C">
        <w:trPr>
          <w:trHeight w:val="686"/>
        </w:trPr>
        <w:tc>
          <w:tcPr>
            <w:tcW w:w="2569" w:type="dxa"/>
            <w:gridSpan w:val="4"/>
            <w:shd w:val="clear" w:color="auto" w:fill="auto"/>
            <w:tcMar>
              <w:top w:w="10" w:type="dxa"/>
              <w:left w:w="93" w:type="dxa"/>
              <w:bottom w:w="0" w:type="dxa"/>
              <w:right w:w="10" w:type="dxa"/>
            </w:tcMar>
            <w:vAlign w:val="center"/>
          </w:tcPr>
          <w:p w14:paraId="6A491FE0" w14:textId="77777777" w:rsidR="00A90E9C" w:rsidRPr="008A26D2" w:rsidRDefault="00A90E9C" w:rsidP="00147D2E">
            <w:pPr>
              <w:spacing w:after="0" w:line="240" w:lineRule="auto"/>
              <w:jc w:val="both"/>
              <w:rPr>
                <w:rFonts w:ascii="Arial" w:hAnsi="Arial" w:cs="Arial"/>
                <w:sz w:val="20"/>
                <w:szCs w:val="20"/>
              </w:rPr>
            </w:pPr>
            <w:r w:rsidRPr="008A26D2">
              <w:rPr>
                <w:rFonts w:ascii="Arial" w:hAnsi="Arial" w:cs="Arial"/>
                <w:b/>
                <w:sz w:val="20"/>
                <w:szCs w:val="20"/>
              </w:rPr>
              <w:lastRenderedPageBreak/>
              <w:t>Sentido esperado del indicador:</w:t>
            </w:r>
          </w:p>
        </w:tc>
        <w:tc>
          <w:tcPr>
            <w:tcW w:w="1684" w:type="dxa"/>
            <w:gridSpan w:val="2"/>
            <w:shd w:val="clear" w:color="auto" w:fill="auto"/>
            <w:tcMar>
              <w:top w:w="10" w:type="dxa"/>
              <w:left w:w="283" w:type="dxa"/>
              <w:bottom w:w="0" w:type="dxa"/>
              <w:right w:w="283" w:type="dxa"/>
            </w:tcMar>
            <w:vAlign w:val="center"/>
          </w:tcPr>
          <w:p w14:paraId="1258B5A3" w14:textId="77777777" w:rsidR="00A90E9C" w:rsidRPr="008A26D2" w:rsidRDefault="00A90E9C" w:rsidP="00147D2E">
            <w:pPr>
              <w:spacing w:after="0" w:line="240" w:lineRule="auto"/>
              <w:jc w:val="both"/>
              <w:rPr>
                <w:rFonts w:ascii="Arial" w:hAnsi="Arial" w:cs="Arial"/>
                <w:sz w:val="20"/>
                <w:szCs w:val="20"/>
              </w:rPr>
            </w:pPr>
            <w:r w:rsidRPr="008A26D2">
              <w:rPr>
                <w:rFonts w:ascii="Arial" w:eastAsia="Arial Narrow" w:hAnsi="Arial" w:cs="Arial"/>
                <w:sz w:val="20"/>
                <w:szCs w:val="20"/>
              </w:rPr>
              <w:t>Ascendente</w:t>
            </w:r>
          </w:p>
        </w:tc>
        <w:tc>
          <w:tcPr>
            <w:tcW w:w="3142" w:type="dxa"/>
            <w:gridSpan w:val="5"/>
            <w:shd w:val="clear" w:color="auto" w:fill="auto"/>
            <w:tcMar>
              <w:top w:w="15" w:type="dxa"/>
              <w:left w:w="15" w:type="dxa"/>
              <w:bottom w:w="0" w:type="dxa"/>
              <w:right w:w="15" w:type="dxa"/>
            </w:tcMar>
            <w:vAlign w:val="center"/>
          </w:tcPr>
          <w:p w14:paraId="703CD8D9" w14:textId="77777777" w:rsidR="00A90E9C" w:rsidRPr="008A26D2" w:rsidRDefault="00A90E9C" w:rsidP="00147D2E">
            <w:pPr>
              <w:spacing w:after="0" w:line="240" w:lineRule="auto"/>
              <w:jc w:val="both"/>
              <w:rPr>
                <w:rFonts w:ascii="Arial" w:hAnsi="Arial" w:cs="Arial"/>
                <w:sz w:val="20"/>
                <w:szCs w:val="20"/>
              </w:rPr>
            </w:pPr>
            <w:r w:rsidRPr="008A26D2">
              <w:rPr>
                <w:rFonts w:ascii="Arial" w:hAnsi="Arial" w:cs="Arial"/>
                <w:b/>
                <w:sz w:val="20"/>
                <w:szCs w:val="20"/>
              </w:rPr>
              <w:t>Tipo de indicador de servicio:</w:t>
            </w:r>
          </w:p>
        </w:tc>
        <w:tc>
          <w:tcPr>
            <w:tcW w:w="1536" w:type="dxa"/>
            <w:gridSpan w:val="2"/>
            <w:shd w:val="clear" w:color="auto" w:fill="auto"/>
            <w:tcMar>
              <w:top w:w="15" w:type="dxa"/>
              <w:left w:w="15" w:type="dxa"/>
              <w:bottom w:w="0" w:type="dxa"/>
              <w:right w:w="15" w:type="dxa"/>
            </w:tcMar>
            <w:vAlign w:val="center"/>
          </w:tcPr>
          <w:p w14:paraId="6957E43B" w14:textId="77777777" w:rsidR="00A90E9C" w:rsidRPr="008A26D2" w:rsidRDefault="00A90E9C" w:rsidP="00147D2E">
            <w:pPr>
              <w:spacing w:after="0" w:line="240" w:lineRule="auto"/>
              <w:jc w:val="both"/>
              <w:rPr>
                <w:rFonts w:ascii="Arial" w:hAnsi="Arial" w:cs="Arial"/>
                <w:sz w:val="20"/>
                <w:szCs w:val="20"/>
              </w:rPr>
            </w:pPr>
            <w:r w:rsidRPr="008A26D2">
              <w:rPr>
                <w:rFonts w:ascii="Arial" w:eastAsia="Arial Narrow" w:hAnsi="Arial" w:cs="Arial"/>
                <w:sz w:val="20"/>
                <w:szCs w:val="20"/>
              </w:rPr>
              <w:t>Calidad - Percepción</w:t>
            </w:r>
          </w:p>
        </w:tc>
      </w:tr>
      <w:tr w:rsidR="008A26D2" w:rsidRPr="008A26D2" w14:paraId="73A7CAA5" w14:textId="77777777" w:rsidTr="00DA52C7">
        <w:trPr>
          <w:trHeight w:val="13"/>
        </w:trPr>
        <w:tc>
          <w:tcPr>
            <w:tcW w:w="2569" w:type="dxa"/>
            <w:gridSpan w:val="4"/>
            <w:shd w:val="clear" w:color="auto" w:fill="auto"/>
            <w:tcMar>
              <w:top w:w="10" w:type="dxa"/>
              <w:left w:w="93" w:type="dxa"/>
              <w:bottom w:w="0" w:type="dxa"/>
              <w:right w:w="10" w:type="dxa"/>
            </w:tcMar>
            <w:vAlign w:val="center"/>
          </w:tcPr>
          <w:p w14:paraId="6365F421" w14:textId="77777777" w:rsidR="00A90E9C" w:rsidRPr="008A26D2" w:rsidRDefault="00A90E9C" w:rsidP="00147D2E">
            <w:pPr>
              <w:spacing w:after="0" w:line="240" w:lineRule="auto"/>
              <w:jc w:val="both"/>
              <w:rPr>
                <w:rFonts w:ascii="Arial" w:hAnsi="Arial" w:cs="Arial"/>
                <w:sz w:val="20"/>
                <w:szCs w:val="20"/>
              </w:rPr>
            </w:pPr>
            <w:r w:rsidRPr="008A26D2">
              <w:rPr>
                <w:rFonts w:ascii="Arial" w:hAnsi="Arial" w:cs="Arial"/>
                <w:b/>
                <w:sz w:val="20"/>
                <w:szCs w:val="20"/>
              </w:rPr>
              <w:t>Fuente y base de datos:</w:t>
            </w:r>
          </w:p>
        </w:tc>
        <w:tc>
          <w:tcPr>
            <w:tcW w:w="6362" w:type="dxa"/>
            <w:gridSpan w:val="9"/>
            <w:shd w:val="clear" w:color="auto" w:fill="auto"/>
            <w:tcMar>
              <w:top w:w="51" w:type="dxa"/>
              <w:left w:w="227" w:type="dxa"/>
              <w:bottom w:w="51" w:type="dxa"/>
              <w:right w:w="227" w:type="dxa"/>
            </w:tcMar>
            <w:vAlign w:val="center"/>
          </w:tcPr>
          <w:p w14:paraId="785E4992" w14:textId="77777777" w:rsidR="00024C88" w:rsidRDefault="00A90E9C" w:rsidP="00147D2E">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Fuente: </w:t>
            </w:r>
            <w:r w:rsidR="007A3A5C" w:rsidRPr="008A26D2">
              <w:rPr>
                <w:rFonts w:ascii="Arial" w:eastAsia="Arial Narrow" w:hAnsi="Arial" w:cs="Arial"/>
                <w:sz w:val="20"/>
                <w:szCs w:val="20"/>
              </w:rPr>
              <w:t>Dirección de Control Forestal y de Fauna Silvestre</w:t>
            </w:r>
            <w:r w:rsidR="00024C88">
              <w:rPr>
                <w:rFonts w:ascii="Arial" w:eastAsia="Arial Narrow" w:hAnsi="Arial" w:cs="Arial"/>
                <w:sz w:val="20"/>
                <w:szCs w:val="20"/>
              </w:rPr>
              <w:t>,</w:t>
            </w:r>
            <w:r w:rsidR="007A3A5C" w:rsidRPr="008A26D2">
              <w:rPr>
                <w:rFonts w:ascii="Arial" w:eastAsia="Arial Narrow" w:hAnsi="Arial" w:cs="Arial"/>
                <w:sz w:val="20"/>
                <w:szCs w:val="20"/>
              </w:rPr>
              <w:t xml:space="preserve"> </w:t>
            </w:r>
            <w:r w:rsidRPr="008A26D2">
              <w:rPr>
                <w:rFonts w:ascii="Arial" w:eastAsia="Arial Narrow" w:hAnsi="Arial" w:cs="Arial"/>
                <w:sz w:val="20"/>
                <w:szCs w:val="20"/>
              </w:rPr>
              <w:t xml:space="preserve">y Administraciones Técnicas Forestales y de Fauna Silvestre </w:t>
            </w:r>
            <w:r w:rsidR="007A3A5C" w:rsidRPr="008A26D2">
              <w:rPr>
                <w:rFonts w:ascii="Arial" w:eastAsia="Arial Narrow" w:hAnsi="Arial" w:cs="Arial"/>
                <w:sz w:val="20"/>
                <w:szCs w:val="20"/>
              </w:rPr>
              <w:t>del</w:t>
            </w:r>
            <w:r w:rsidRPr="008A26D2">
              <w:rPr>
                <w:rFonts w:ascii="Arial" w:eastAsia="Arial Narrow" w:hAnsi="Arial" w:cs="Arial"/>
                <w:sz w:val="20"/>
                <w:szCs w:val="20"/>
              </w:rPr>
              <w:t xml:space="preserve"> </w:t>
            </w:r>
            <w:r w:rsidR="00024C88">
              <w:rPr>
                <w:rFonts w:ascii="Arial" w:eastAsia="Arial Narrow" w:hAnsi="Arial" w:cs="Arial"/>
                <w:sz w:val="20"/>
                <w:szCs w:val="20"/>
              </w:rPr>
              <w:t xml:space="preserve">Servicio Nacional Forestal y de Fauna Silvestre – </w:t>
            </w:r>
            <w:r w:rsidRPr="008A26D2">
              <w:rPr>
                <w:rFonts w:ascii="Arial" w:eastAsia="Arial Narrow" w:hAnsi="Arial" w:cs="Arial"/>
                <w:sz w:val="20"/>
                <w:szCs w:val="20"/>
              </w:rPr>
              <w:t>SERFOR</w:t>
            </w:r>
            <w:r w:rsidR="00024C88">
              <w:rPr>
                <w:rFonts w:ascii="Arial" w:eastAsia="Arial Narrow" w:hAnsi="Arial" w:cs="Arial"/>
                <w:sz w:val="20"/>
                <w:szCs w:val="20"/>
              </w:rPr>
              <w:t>.</w:t>
            </w:r>
          </w:p>
          <w:p w14:paraId="595381CF" w14:textId="1AFB7709" w:rsidR="00A90E9C" w:rsidRPr="008A26D2" w:rsidRDefault="00A90E9C" w:rsidP="00147D2E">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Base de datos: Reporte</w:t>
            </w:r>
            <w:r w:rsidR="007A3A5C" w:rsidRPr="008A26D2">
              <w:rPr>
                <w:rFonts w:ascii="Arial" w:eastAsia="Arial Narrow" w:hAnsi="Arial" w:cs="Arial"/>
                <w:sz w:val="20"/>
                <w:szCs w:val="20"/>
              </w:rPr>
              <w:t>s</w:t>
            </w:r>
            <w:r w:rsidRPr="008A26D2">
              <w:rPr>
                <w:rFonts w:ascii="Arial" w:eastAsia="Arial Narrow" w:hAnsi="Arial" w:cs="Arial"/>
                <w:sz w:val="20"/>
                <w:szCs w:val="20"/>
              </w:rPr>
              <w:t xml:space="preserve"> de</w:t>
            </w:r>
            <w:r w:rsidR="00555665">
              <w:rPr>
                <w:rFonts w:ascii="Arial" w:eastAsia="Arial Narrow" w:hAnsi="Arial" w:cs="Arial"/>
                <w:sz w:val="20"/>
                <w:szCs w:val="20"/>
              </w:rPr>
              <w:t xml:space="preserve"> capacitación.</w:t>
            </w:r>
            <w:r w:rsidRPr="008A26D2">
              <w:rPr>
                <w:rFonts w:ascii="Arial" w:eastAsia="Arial Narrow" w:hAnsi="Arial" w:cs="Arial"/>
                <w:sz w:val="20"/>
                <w:szCs w:val="20"/>
              </w:rPr>
              <w:t xml:space="preserve"> </w:t>
            </w:r>
          </w:p>
        </w:tc>
      </w:tr>
      <w:tr w:rsidR="008A26D2" w:rsidRPr="008A26D2" w14:paraId="1ABDAF35" w14:textId="77777777" w:rsidTr="00DA52C7">
        <w:trPr>
          <w:trHeight w:val="436"/>
        </w:trPr>
        <w:tc>
          <w:tcPr>
            <w:tcW w:w="2569" w:type="dxa"/>
            <w:gridSpan w:val="4"/>
            <w:shd w:val="clear" w:color="auto" w:fill="auto"/>
            <w:tcMar>
              <w:top w:w="10" w:type="dxa"/>
              <w:left w:w="93" w:type="dxa"/>
              <w:bottom w:w="0" w:type="dxa"/>
              <w:right w:w="10" w:type="dxa"/>
            </w:tcMar>
            <w:vAlign w:val="center"/>
          </w:tcPr>
          <w:p w14:paraId="07162417" w14:textId="77777777" w:rsidR="00A90E9C" w:rsidRPr="008A26D2" w:rsidRDefault="00A90E9C" w:rsidP="00147D2E">
            <w:pPr>
              <w:spacing w:after="0" w:line="240" w:lineRule="auto"/>
              <w:jc w:val="both"/>
              <w:rPr>
                <w:rFonts w:ascii="Arial" w:hAnsi="Arial" w:cs="Arial"/>
                <w:sz w:val="20"/>
                <w:szCs w:val="20"/>
              </w:rPr>
            </w:pPr>
            <w:r w:rsidRPr="008A26D2">
              <w:rPr>
                <w:rFonts w:ascii="Arial" w:hAnsi="Arial" w:cs="Arial"/>
                <w:b/>
                <w:sz w:val="20"/>
                <w:szCs w:val="20"/>
              </w:rPr>
              <w:t>Supuestos:</w:t>
            </w:r>
          </w:p>
        </w:tc>
        <w:tc>
          <w:tcPr>
            <w:tcW w:w="6362" w:type="dxa"/>
            <w:gridSpan w:val="9"/>
            <w:shd w:val="clear" w:color="auto" w:fill="auto"/>
            <w:tcMar>
              <w:top w:w="51" w:type="dxa"/>
              <w:left w:w="227" w:type="dxa"/>
              <w:bottom w:w="51" w:type="dxa"/>
              <w:right w:w="227" w:type="dxa"/>
            </w:tcMar>
            <w:vAlign w:val="center"/>
          </w:tcPr>
          <w:p w14:paraId="77733B7A" w14:textId="77777777" w:rsidR="00A90E9C" w:rsidRPr="008A26D2" w:rsidRDefault="00A90E9C" w:rsidP="00147D2E">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Existe una coordinación estrecha entre todas las entidades públicas involucradas en los operativos</w:t>
            </w:r>
          </w:p>
        </w:tc>
      </w:tr>
      <w:tr w:rsidR="008A26D2" w:rsidRPr="008A26D2" w14:paraId="2E166AE1" w14:textId="77777777" w:rsidTr="00F8655E">
        <w:trPr>
          <w:trHeight w:val="556"/>
        </w:trPr>
        <w:tc>
          <w:tcPr>
            <w:tcW w:w="707" w:type="dxa"/>
            <w:shd w:val="clear" w:color="auto" w:fill="auto"/>
            <w:tcMar>
              <w:top w:w="10" w:type="dxa"/>
              <w:left w:w="10" w:type="dxa"/>
              <w:bottom w:w="0" w:type="dxa"/>
              <w:right w:w="10" w:type="dxa"/>
            </w:tcMar>
            <w:vAlign w:val="center"/>
          </w:tcPr>
          <w:p w14:paraId="79F74FB4" w14:textId="77777777" w:rsidR="00A90E9C" w:rsidRPr="008A26D2" w:rsidRDefault="00A90E9C" w:rsidP="00147D2E">
            <w:pPr>
              <w:spacing w:after="0" w:line="240" w:lineRule="auto"/>
              <w:jc w:val="both"/>
              <w:rPr>
                <w:rFonts w:ascii="Arial" w:hAnsi="Arial" w:cs="Arial"/>
                <w:sz w:val="20"/>
                <w:szCs w:val="20"/>
              </w:rPr>
            </w:pPr>
            <w:r w:rsidRPr="008A26D2">
              <w:rPr>
                <w:rFonts w:ascii="Arial" w:hAnsi="Arial" w:cs="Arial"/>
                <w:b/>
                <w:sz w:val="20"/>
                <w:szCs w:val="20"/>
              </w:rPr>
              <w:t> </w:t>
            </w:r>
          </w:p>
        </w:tc>
        <w:tc>
          <w:tcPr>
            <w:tcW w:w="853" w:type="dxa"/>
            <w:shd w:val="clear" w:color="auto" w:fill="auto"/>
            <w:tcMar>
              <w:top w:w="10" w:type="dxa"/>
              <w:left w:w="10" w:type="dxa"/>
              <w:bottom w:w="0" w:type="dxa"/>
              <w:right w:w="10" w:type="dxa"/>
            </w:tcMar>
            <w:vAlign w:val="center"/>
          </w:tcPr>
          <w:p w14:paraId="1FB9A939" w14:textId="77777777" w:rsidR="00A90E9C" w:rsidRPr="008A26D2" w:rsidRDefault="00A90E9C" w:rsidP="00F8655E">
            <w:pPr>
              <w:spacing w:after="0" w:line="240" w:lineRule="auto"/>
              <w:jc w:val="center"/>
              <w:rPr>
                <w:rFonts w:ascii="Arial" w:hAnsi="Arial" w:cs="Arial"/>
                <w:sz w:val="20"/>
                <w:szCs w:val="20"/>
              </w:rPr>
            </w:pPr>
            <w:r w:rsidRPr="008A26D2">
              <w:rPr>
                <w:rFonts w:ascii="Arial" w:hAnsi="Arial" w:cs="Arial"/>
                <w:b/>
                <w:sz w:val="20"/>
                <w:szCs w:val="20"/>
              </w:rPr>
              <w:t>Línea de base</w:t>
            </w:r>
          </w:p>
        </w:tc>
        <w:tc>
          <w:tcPr>
            <w:tcW w:w="7371" w:type="dxa"/>
            <w:gridSpan w:val="11"/>
            <w:shd w:val="clear" w:color="auto" w:fill="auto"/>
            <w:tcMar>
              <w:top w:w="10" w:type="dxa"/>
              <w:left w:w="10" w:type="dxa"/>
              <w:bottom w:w="0" w:type="dxa"/>
              <w:right w:w="10" w:type="dxa"/>
            </w:tcMar>
            <w:vAlign w:val="center"/>
          </w:tcPr>
          <w:p w14:paraId="309DBADD" w14:textId="1C09F318" w:rsidR="00A90E9C" w:rsidRPr="008A26D2" w:rsidRDefault="00A90E9C" w:rsidP="00F8655E">
            <w:pPr>
              <w:spacing w:after="0" w:line="240" w:lineRule="auto"/>
              <w:jc w:val="center"/>
              <w:rPr>
                <w:rFonts w:ascii="Arial" w:hAnsi="Arial" w:cs="Arial"/>
                <w:sz w:val="20"/>
                <w:szCs w:val="20"/>
              </w:rPr>
            </w:pPr>
            <w:r w:rsidRPr="008A26D2">
              <w:rPr>
                <w:rFonts w:ascii="Arial" w:hAnsi="Arial" w:cs="Arial"/>
                <w:b/>
                <w:sz w:val="20"/>
                <w:szCs w:val="20"/>
              </w:rPr>
              <w:t>Logros esperados</w:t>
            </w:r>
          </w:p>
        </w:tc>
      </w:tr>
      <w:tr w:rsidR="008A26D2" w:rsidRPr="008A26D2" w14:paraId="7523ECF8" w14:textId="77777777" w:rsidTr="00F8655E">
        <w:trPr>
          <w:trHeight w:val="217"/>
        </w:trPr>
        <w:tc>
          <w:tcPr>
            <w:tcW w:w="707" w:type="dxa"/>
            <w:shd w:val="clear" w:color="auto" w:fill="auto"/>
            <w:tcMar>
              <w:top w:w="10" w:type="dxa"/>
              <w:left w:w="10" w:type="dxa"/>
              <w:bottom w:w="0" w:type="dxa"/>
              <w:right w:w="10" w:type="dxa"/>
            </w:tcMar>
            <w:vAlign w:val="center"/>
          </w:tcPr>
          <w:p w14:paraId="2D0F153A" w14:textId="77777777" w:rsidR="00A90E9C" w:rsidRPr="008A26D2" w:rsidRDefault="00A90E9C" w:rsidP="00147D2E">
            <w:pPr>
              <w:spacing w:after="0" w:line="240" w:lineRule="auto"/>
              <w:jc w:val="both"/>
              <w:rPr>
                <w:rFonts w:ascii="Arial" w:hAnsi="Arial" w:cs="Arial"/>
                <w:sz w:val="20"/>
                <w:szCs w:val="20"/>
              </w:rPr>
            </w:pPr>
            <w:r w:rsidRPr="008A26D2">
              <w:rPr>
                <w:rFonts w:ascii="Arial" w:hAnsi="Arial" w:cs="Arial"/>
                <w:b/>
                <w:sz w:val="20"/>
                <w:szCs w:val="20"/>
              </w:rPr>
              <w:t>Año</w:t>
            </w:r>
          </w:p>
        </w:tc>
        <w:tc>
          <w:tcPr>
            <w:tcW w:w="853" w:type="dxa"/>
            <w:shd w:val="clear" w:color="auto" w:fill="auto"/>
            <w:tcMar>
              <w:top w:w="10" w:type="dxa"/>
              <w:left w:w="10" w:type="dxa"/>
              <w:bottom w:w="0" w:type="dxa"/>
              <w:right w:w="10" w:type="dxa"/>
            </w:tcMar>
            <w:vAlign w:val="center"/>
          </w:tcPr>
          <w:p w14:paraId="36AE2398" w14:textId="77777777" w:rsidR="00A90E9C" w:rsidRPr="008A26D2" w:rsidRDefault="00A90E9C" w:rsidP="00F8655E">
            <w:pPr>
              <w:spacing w:after="0" w:line="240" w:lineRule="auto"/>
              <w:jc w:val="center"/>
              <w:rPr>
                <w:rFonts w:ascii="Arial" w:hAnsi="Arial" w:cs="Arial"/>
                <w:b/>
                <w:bCs/>
                <w:sz w:val="20"/>
                <w:szCs w:val="20"/>
              </w:rPr>
            </w:pPr>
            <w:r w:rsidRPr="008A26D2">
              <w:rPr>
                <w:rFonts w:ascii="Arial" w:eastAsia="Arial Narrow" w:hAnsi="Arial" w:cs="Arial"/>
                <w:b/>
                <w:bCs/>
                <w:sz w:val="20"/>
                <w:szCs w:val="20"/>
              </w:rPr>
              <w:t>2022</w:t>
            </w:r>
          </w:p>
        </w:tc>
        <w:tc>
          <w:tcPr>
            <w:tcW w:w="851" w:type="dxa"/>
            <w:shd w:val="clear" w:color="auto" w:fill="auto"/>
            <w:tcMar>
              <w:top w:w="10" w:type="dxa"/>
              <w:left w:w="10" w:type="dxa"/>
              <w:bottom w:w="0" w:type="dxa"/>
              <w:right w:w="10" w:type="dxa"/>
            </w:tcMar>
            <w:vAlign w:val="center"/>
          </w:tcPr>
          <w:p w14:paraId="519849AC" w14:textId="77777777" w:rsidR="00A90E9C" w:rsidRPr="008A26D2" w:rsidRDefault="00A90E9C" w:rsidP="00F8655E">
            <w:pPr>
              <w:spacing w:after="0" w:line="240" w:lineRule="auto"/>
              <w:jc w:val="center"/>
              <w:rPr>
                <w:rFonts w:ascii="Arial" w:hAnsi="Arial" w:cs="Arial"/>
                <w:b/>
                <w:sz w:val="20"/>
                <w:szCs w:val="20"/>
              </w:rPr>
            </w:pPr>
            <w:r w:rsidRPr="008A26D2">
              <w:rPr>
                <w:rFonts w:ascii="Arial" w:hAnsi="Arial" w:cs="Arial"/>
                <w:b/>
                <w:sz w:val="20"/>
                <w:szCs w:val="20"/>
              </w:rPr>
              <w:t>2023</w:t>
            </w:r>
          </w:p>
        </w:tc>
        <w:tc>
          <w:tcPr>
            <w:tcW w:w="1134" w:type="dxa"/>
            <w:gridSpan w:val="2"/>
            <w:shd w:val="clear" w:color="auto" w:fill="auto"/>
            <w:vAlign w:val="center"/>
          </w:tcPr>
          <w:p w14:paraId="5A4F21F3" w14:textId="77777777" w:rsidR="00A90E9C" w:rsidRPr="008A26D2" w:rsidRDefault="00A90E9C" w:rsidP="00F8655E">
            <w:pPr>
              <w:spacing w:after="0" w:line="240" w:lineRule="auto"/>
              <w:jc w:val="center"/>
              <w:rPr>
                <w:rFonts w:ascii="Arial" w:hAnsi="Arial" w:cs="Arial"/>
                <w:b/>
                <w:sz w:val="20"/>
                <w:szCs w:val="20"/>
              </w:rPr>
            </w:pPr>
            <w:r w:rsidRPr="008A26D2">
              <w:rPr>
                <w:rFonts w:ascii="Arial" w:hAnsi="Arial" w:cs="Arial"/>
                <w:b/>
                <w:sz w:val="20"/>
                <w:szCs w:val="20"/>
              </w:rPr>
              <w:t>2024</w:t>
            </w:r>
          </w:p>
        </w:tc>
        <w:tc>
          <w:tcPr>
            <w:tcW w:w="992" w:type="dxa"/>
            <w:gridSpan w:val="2"/>
            <w:shd w:val="clear" w:color="auto" w:fill="auto"/>
            <w:vAlign w:val="center"/>
          </w:tcPr>
          <w:p w14:paraId="28D658A5" w14:textId="77777777" w:rsidR="00A90E9C" w:rsidRPr="008A26D2" w:rsidRDefault="00A90E9C" w:rsidP="00F8655E">
            <w:pPr>
              <w:spacing w:after="0" w:line="240" w:lineRule="auto"/>
              <w:jc w:val="center"/>
              <w:rPr>
                <w:rFonts w:ascii="Arial" w:hAnsi="Arial" w:cs="Arial"/>
                <w:b/>
                <w:sz w:val="20"/>
                <w:szCs w:val="20"/>
              </w:rPr>
            </w:pPr>
            <w:r w:rsidRPr="008A26D2">
              <w:rPr>
                <w:rFonts w:ascii="Arial" w:hAnsi="Arial" w:cs="Arial"/>
                <w:b/>
                <w:sz w:val="20"/>
                <w:szCs w:val="20"/>
              </w:rPr>
              <w:t>2025</w:t>
            </w:r>
          </w:p>
        </w:tc>
        <w:tc>
          <w:tcPr>
            <w:tcW w:w="1134" w:type="dxa"/>
            <w:shd w:val="clear" w:color="auto" w:fill="auto"/>
            <w:vAlign w:val="center"/>
          </w:tcPr>
          <w:p w14:paraId="421384F6" w14:textId="77777777" w:rsidR="00A90E9C" w:rsidRPr="008A26D2" w:rsidRDefault="00A90E9C" w:rsidP="00F8655E">
            <w:pPr>
              <w:spacing w:after="0" w:line="240" w:lineRule="auto"/>
              <w:jc w:val="center"/>
              <w:rPr>
                <w:rFonts w:ascii="Arial" w:hAnsi="Arial" w:cs="Arial"/>
                <w:b/>
                <w:sz w:val="20"/>
                <w:szCs w:val="20"/>
              </w:rPr>
            </w:pPr>
            <w:r w:rsidRPr="008A26D2">
              <w:rPr>
                <w:rFonts w:ascii="Arial" w:hAnsi="Arial" w:cs="Arial"/>
                <w:b/>
                <w:sz w:val="20"/>
                <w:szCs w:val="20"/>
              </w:rPr>
              <w:t>2026</w:t>
            </w:r>
          </w:p>
        </w:tc>
        <w:tc>
          <w:tcPr>
            <w:tcW w:w="992" w:type="dxa"/>
            <w:shd w:val="clear" w:color="auto" w:fill="auto"/>
            <w:vAlign w:val="center"/>
          </w:tcPr>
          <w:p w14:paraId="01E0B51A" w14:textId="77777777" w:rsidR="00A90E9C" w:rsidRPr="008A26D2" w:rsidRDefault="00A90E9C" w:rsidP="00F8655E">
            <w:pPr>
              <w:spacing w:after="0" w:line="240" w:lineRule="auto"/>
              <w:jc w:val="center"/>
              <w:rPr>
                <w:rFonts w:ascii="Arial" w:hAnsi="Arial" w:cs="Arial"/>
                <w:b/>
                <w:sz w:val="20"/>
                <w:szCs w:val="20"/>
              </w:rPr>
            </w:pPr>
            <w:r w:rsidRPr="008A26D2">
              <w:rPr>
                <w:rFonts w:ascii="Arial" w:hAnsi="Arial" w:cs="Arial"/>
                <w:b/>
                <w:sz w:val="20"/>
                <w:szCs w:val="20"/>
              </w:rPr>
              <w:t>2027</w:t>
            </w:r>
          </w:p>
        </w:tc>
        <w:tc>
          <w:tcPr>
            <w:tcW w:w="709" w:type="dxa"/>
            <w:shd w:val="clear" w:color="auto" w:fill="auto"/>
            <w:vAlign w:val="center"/>
          </w:tcPr>
          <w:p w14:paraId="249050DB" w14:textId="77777777" w:rsidR="00A90E9C" w:rsidRPr="008A26D2" w:rsidRDefault="00A90E9C" w:rsidP="00F8655E">
            <w:pPr>
              <w:spacing w:after="0" w:line="240" w:lineRule="auto"/>
              <w:jc w:val="center"/>
              <w:rPr>
                <w:rFonts w:ascii="Arial" w:hAnsi="Arial" w:cs="Arial"/>
                <w:b/>
                <w:sz w:val="20"/>
                <w:szCs w:val="20"/>
              </w:rPr>
            </w:pPr>
            <w:r w:rsidRPr="008A26D2">
              <w:rPr>
                <w:rFonts w:ascii="Arial" w:hAnsi="Arial" w:cs="Arial"/>
                <w:b/>
                <w:sz w:val="20"/>
                <w:szCs w:val="20"/>
              </w:rPr>
              <w:t>2028</w:t>
            </w:r>
          </w:p>
        </w:tc>
        <w:tc>
          <w:tcPr>
            <w:tcW w:w="709" w:type="dxa"/>
            <w:gridSpan w:val="2"/>
            <w:shd w:val="clear" w:color="auto" w:fill="auto"/>
            <w:vAlign w:val="center"/>
          </w:tcPr>
          <w:p w14:paraId="4F7AB40E" w14:textId="77777777" w:rsidR="00A90E9C" w:rsidRPr="008A26D2" w:rsidRDefault="00A90E9C" w:rsidP="00F8655E">
            <w:pPr>
              <w:spacing w:after="0" w:line="240" w:lineRule="auto"/>
              <w:jc w:val="center"/>
              <w:rPr>
                <w:rFonts w:ascii="Arial" w:hAnsi="Arial" w:cs="Arial"/>
                <w:b/>
                <w:sz w:val="20"/>
                <w:szCs w:val="20"/>
              </w:rPr>
            </w:pPr>
            <w:r w:rsidRPr="008A26D2">
              <w:rPr>
                <w:rFonts w:ascii="Arial" w:hAnsi="Arial" w:cs="Arial"/>
                <w:b/>
                <w:sz w:val="20"/>
                <w:szCs w:val="20"/>
              </w:rPr>
              <w:t>2029</w:t>
            </w:r>
          </w:p>
        </w:tc>
        <w:tc>
          <w:tcPr>
            <w:tcW w:w="850" w:type="dxa"/>
            <w:shd w:val="clear" w:color="auto" w:fill="auto"/>
            <w:tcMar>
              <w:top w:w="10" w:type="dxa"/>
              <w:left w:w="10" w:type="dxa"/>
              <w:bottom w:w="0" w:type="dxa"/>
              <w:right w:w="10" w:type="dxa"/>
            </w:tcMar>
            <w:vAlign w:val="center"/>
          </w:tcPr>
          <w:p w14:paraId="315A6D68" w14:textId="77777777" w:rsidR="00A90E9C" w:rsidRPr="008A26D2" w:rsidRDefault="00A90E9C" w:rsidP="00F8655E">
            <w:pPr>
              <w:spacing w:after="0" w:line="240" w:lineRule="auto"/>
              <w:jc w:val="center"/>
              <w:rPr>
                <w:rFonts w:ascii="Arial" w:hAnsi="Arial" w:cs="Arial"/>
                <w:b/>
                <w:sz w:val="20"/>
                <w:szCs w:val="20"/>
              </w:rPr>
            </w:pPr>
            <w:r w:rsidRPr="008A26D2">
              <w:rPr>
                <w:rFonts w:ascii="Arial" w:hAnsi="Arial" w:cs="Arial"/>
                <w:b/>
                <w:sz w:val="20"/>
                <w:szCs w:val="20"/>
              </w:rPr>
              <w:t>2030</w:t>
            </w:r>
          </w:p>
        </w:tc>
      </w:tr>
      <w:tr w:rsidR="008A26D2" w:rsidRPr="008A26D2" w14:paraId="56DDB89C" w14:textId="77777777" w:rsidTr="00F8655E">
        <w:trPr>
          <w:trHeight w:val="361"/>
        </w:trPr>
        <w:tc>
          <w:tcPr>
            <w:tcW w:w="707" w:type="dxa"/>
            <w:shd w:val="clear" w:color="auto" w:fill="auto"/>
            <w:tcMar>
              <w:top w:w="10" w:type="dxa"/>
              <w:left w:w="10" w:type="dxa"/>
              <w:bottom w:w="0" w:type="dxa"/>
              <w:right w:w="10" w:type="dxa"/>
            </w:tcMar>
            <w:vAlign w:val="center"/>
          </w:tcPr>
          <w:p w14:paraId="7E46DD27" w14:textId="77777777" w:rsidR="00A90E9C" w:rsidRPr="008A26D2" w:rsidRDefault="00A90E9C" w:rsidP="00147D2E">
            <w:pPr>
              <w:spacing w:after="0" w:line="240" w:lineRule="auto"/>
              <w:jc w:val="both"/>
              <w:rPr>
                <w:rFonts w:ascii="Arial" w:hAnsi="Arial" w:cs="Arial"/>
                <w:b/>
                <w:sz w:val="20"/>
                <w:szCs w:val="20"/>
              </w:rPr>
            </w:pPr>
            <w:r w:rsidRPr="008A26D2">
              <w:rPr>
                <w:rFonts w:ascii="Arial" w:hAnsi="Arial" w:cs="Arial"/>
                <w:b/>
                <w:sz w:val="20"/>
                <w:szCs w:val="20"/>
              </w:rPr>
              <w:t>Valor</w:t>
            </w:r>
          </w:p>
        </w:tc>
        <w:tc>
          <w:tcPr>
            <w:tcW w:w="853" w:type="dxa"/>
            <w:shd w:val="clear" w:color="auto" w:fill="auto"/>
            <w:tcMar>
              <w:top w:w="10" w:type="dxa"/>
              <w:left w:w="10" w:type="dxa"/>
              <w:bottom w:w="0" w:type="dxa"/>
              <w:right w:w="10" w:type="dxa"/>
            </w:tcMar>
            <w:vAlign w:val="center"/>
          </w:tcPr>
          <w:p w14:paraId="7F9F1321" w14:textId="78611EE3" w:rsidR="00A90E9C" w:rsidRPr="008A26D2" w:rsidRDefault="000D00B4" w:rsidP="00E275E1">
            <w:pPr>
              <w:spacing w:after="0" w:line="240" w:lineRule="auto"/>
              <w:jc w:val="center"/>
              <w:rPr>
                <w:rFonts w:ascii="Arial" w:hAnsi="Arial" w:cs="Arial"/>
                <w:sz w:val="20"/>
                <w:szCs w:val="20"/>
              </w:rPr>
            </w:pPr>
            <w:r w:rsidRPr="00F64AB6">
              <w:rPr>
                <w:rFonts w:ascii="Arial" w:hAnsi="Arial" w:cs="Arial"/>
                <w:sz w:val="20"/>
                <w:szCs w:val="20"/>
              </w:rPr>
              <w:t>ND</w:t>
            </w:r>
          </w:p>
        </w:tc>
        <w:tc>
          <w:tcPr>
            <w:tcW w:w="851" w:type="dxa"/>
            <w:shd w:val="clear" w:color="auto" w:fill="auto"/>
            <w:tcMar>
              <w:top w:w="10" w:type="dxa"/>
              <w:left w:w="10" w:type="dxa"/>
              <w:bottom w:w="0" w:type="dxa"/>
              <w:right w:w="10" w:type="dxa"/>
            </w:tcMar>
            <w:vAlign w:val="center"/>
          </w:tcPr>
          <w:p w14:paraId="174DDDB2" w14:textId="0AAC7CBD" w:rsidR="00A90E9C" w:rsidRPr="008A26D2" w:rsidRDefault="00A90E9C" w:rsidP="00E275E1">
            <w:pPr>
              <w:spacing w:after="0" w:line="240" w:lineRule="auto"/>
              <w:jc w:val="center"/>
              <w:rPr>
                <w:rFonts w:ascii="Arial" w:eastAsia="Arial Narrow" w:hAnsi="Arial" w:cs="Arial"/>
                <w:sz w:val="20"/>
                <w:szCs w:val="20"/>
              </w:rPr>
            </w:pPr>
            <w:r w:rsidRPr="008A26D2">
              <w:rPr>
                <w:rFonts w:ascii="Arial" w:eastAsia="Arial Narrow" w:hAnsi="Arial" w:cs="Arial"/>
                <w:sz w:val="20"/>
                <w:szCs w:val="20"/>
              </w:rPr>
              <w:t>40 %</w:t>
            </w:r>
          </w:p>
        </w:tc>
        <w:tc>
          <w:tcPr>
            <w:tcW w:w="1134" w:type="dxa"/>
            <w:gridSpan w:val="2"/>
            <w:shd w:val="clear" w:color="auto" w:fill="auto"/>
            <w:vAlign w:val="center"/>
          </w:tcPr>
          <w:p w14:paraId="6D75F773" w14:textId="70E9FAF9" w:rsidR="00A90E9C" w:rsidRPr="008A26D2" w:rsidRDefault="00A90E9C" w:rsidP="00E275E1">
            <w:pPr>
              <w:spacing w:after="0" w:line="240" w:lineRule="auto"/>
              <w:jc w:val="center"/>
              <w:rPr>
                <w:rFonts w:ascii="Arial" w:eastAsia="Arial Narrow" w:hAnsi="Arial" w:cs="Arial"/>
                <w:sz w:val="20"/>
                <w:szCs w:val="20"/>
              </w:rPr>
            </w:pPr>
            <w:r w:rsidRPr="008A26D2">
              <w:rPr>
                <w:rFonts w:ascii="Arial" w:eastAsia="Arial Narrow" w:hAnsi="Arial" w:cs="Arial"/>
                <w:sz w:val="20"/>
                <w:szCs w:val="20"/>
              </w:rPr>
              <w:t>50 %</w:t>
            </w:r>
          </w:p>
        </w:tc>
        <w:tc>
          <w:tcPr>
            <w:tcW w:w="992" w:type="dxa"/>
            <w:gridSpan w:val="2"/>
            <w:shd w:val="clear" w:color="auto" w:fill="auto"/>
            <w:vAlign w:val="center"/>
          </w:tcPr>
          <w:p w14:paraId="61A2E6F1" w14:textId="77777777" w:rsidR="00A90E9C" w:rsidRPr="008A26D2" w:rsidRDefault="00A90E9C" w:rsidP="00E275E1">
            <w:pPr>
              <w:spacing w:after="0" w:line="240" w:lineRule="auto"/>
              <w:jc w:val="center"/>
              <w:rPr>
                <w:rFonts w:ascii="Arial" w:eastAsia="Arial Narrow" w:hAnsi="Arial" w:cs="Arial"/>
                <w:sz w:val="20"/>
                <w:szCs w:val="20"/>
              </w:rPr>
            </w:pPr>
            <w:r w:rsidRPr="008A26D2">
              <w:rPr>
                <w:rFonts w:ascii="Arial" w:eastAsia="Arial Narrow" w:hAnsi="Arial" w:cs="Arial"/>
                <w:sz w:val="20"/>
                <w:szCs w:val="20"/>
              </w:rPr>
              <w:t>50 %</w:t>
            </w:r>
          </w:p>
        </w:tc>
        <w:tc>
          <w:tcPr>
            <w:tcW w:w="1134" w:type="dxa"/>
            <w:shd w:val="clear" w:color="auto" w:fill="auto"/>
            <w:vAlign w:val="center"/>
          </w:tcPr>
          <w:p w14:paraId="4182A89B" w14:textId="77777777" w:rsidR="00A90E9C" w:rsidRPr="008A26D2" w:rsidRDefault="00A90E9C" w:rsidP="00E275E1">
            <w:pPr>
              <w:spacing w:after="0" w:line="240" w:lineRule="auto"/>
              <w:jc w:val="center"/>
              <w:rPr>
                <w:rFonts w:ascii="Arial" w:eastAsia="Arial Narrow" w:hAnsi="Arial" w:cs="Arial"/>
                <w:sz w:val="20"/>
                <w:szCs w:val="20"/>
              </w:rPr>
            </w:pPr>
            <w:r w:rsidRPr="008A26D2">
              <w:rPr>
                <w:rFonts w:ascii="Arial" w:eastAsia="Arial Narrow" w:hAnsi="Arial" w:cs="Arial"/>
                <w:sz w:val="20"/>
                <w:szCs w:val="20"/>
              </w:rPr>
              <w:t>60 %</w:t>
            </w:r>
          </w:p>
        </w:tc>
        <w:tc>
          <w:tcPr>
            <w:tcW w:w="992" w:type="dxa"/>
            <w:shd w:val="clear" w:color="auto" w:fill="auto"/>
            <w:vAlign w:val="center"/>
          </w:tcPr>
          <w:p w14:paraId="4C8B2237" w14:textId="77777777" w:rsidR="00A90E9C" w:rsidRPr="008A26D2" w:rsidRDefault="00A90E9C" w:rsidP="00E275E1">
            <w:pPr>
              <w:spacing w:after="0" w:line="240" w:lineRule="auto"/>
              <w:jc w:val="center"/>
              <w:rPr>
                <w:rFonts w:ascii="Arial" w:eastAsia="Arial Narrow" w:hAnsi="Arial" w:cs="Arial"/>
                <w:sz w:val="20"/>
                <w:szCs w:val="20"/>
              </w:rPr>
            </w:pPr>
            <w:r w:rsidRPr="008A26D2">
              <w:rPr>
                <w:rFonts w:ascii="Arial" w:eastAsia="Arial Narrow" w:hAnsi="Arial" w:cs="Arial"/>
                <w:sz w:val="20"/>
                <w:szCs w:val="20"/>
              </w:rPr>
              <w:t>60 %</w:t>
            </w:r>
          </w:p>
        </w:tc>
        <w:tc>
          <w:tcPr>
            <w:tcW w:w="709" w:type="dxa"/>
            <w:shd w:val="clear" w:color="auto" w:fill="auto"/>
            <w:vAlign w:val="center"/>
          </w:tcPr>
          <w:p w14:paraId="10AC8501" w14:textId="77777777" w:rsidR="00A90E9C" w:rsidRPr="008A26D2" w:rsidRDefault="00A90E9C" w:rsidP="00E275E1">
            <w:pPr>
              <w:spacing w:after="0" w:line="240" w:lineRule="auto"/>
              <w:jc w:val="center"/>
              <w:rPr>
                <w:rFonts w:ascii="Arial" w:eastAsia="Arial Narrow" w:hAnsi="Arial" w:cs="Arial"/>
                <w:sz w:val="20"/>
                <w:szCs w:val="20"/>
              </w:rPr>
            </w:pPr>
            <w:r w:rsidRPr="008A26D2">
              <w:rPr>
                <w:rFonts w:ascii="Arial" w:eastAsia="Arial Narrow" w:hAnsi="Arial" w:cs="Arial"/>
                <w:sz w:val="20"/>
                <w:szCs w:val="20"/>
              </w:rPr>
              <w:t>70 %</w:t>
            </w:r>
          </w:p>
        </w:tc>
        <w:tc>
          <w:tcPr>
            <w:tcW w:w="709" w:type="dxa"/>
            <w:gridSpan w:val="2"/>
            <w:shd w:val="clear" w:color="auto" w:fill="auto"/>
            <w:vAlign w:val="center"/>
          </w:tcPr>
          <w:p w14:paraId="457735DA" w14:textId="77777777" w:rsidR="00A90E9C" w:rsidRPr="008A26D2" w:rsidRDefault="00A90E9C" w:rsidP="00E275E1">
            <w:pPr>
              <w:spacing w:after="0" w:line="240" w:lineRule="auto"/>
              <w:jc w:val="center"/>
              <w:rPr>
                <w:rFonts w:ascii="Arial" w:eastAsia="Arial Narrow" w:hAnsi="Arial" w:cs="Arial"/>
                <w:sz w:val="20"/>
                <w:szCs w:val="20"/>
              </w:rPr>
            </w:pPr>
            <w:r w:rsidRPr="008A26D2">
              <w:rPr>
                <w:rFonts w:ascii="Arial" w:eastAsia="Arial Narrow" w:hAnsi="Arial" w:cs="Arial"/>
                <w:sz w:val="20"/>
                <w:szCs w:val="20"/>
              </w:rPr>
              <w:t>80 %</w:t>
            </w:r>
          </w:p>
        </w:tc>
        <w:tc>
          <w:tcPr>
            <w:tcW w:w="850" w:type="dxa"/>
            <w:shd w:val="clear" w:color="auto" w:fill="auto"/>
            <w:tcMar>
              <w:top w:w="10" w:type="dxa"/>
              <w:left w:w="10" w:type="dxa"/>
              <w:bottom w:w="0" w:type="dxa"/>
              <w:right w:w="10" w:type="dxa"/>
            </w:tcMar>
            <w:vAlign w:val="center"/>
          </w:tcPr>
          <w:p w14:paraId="0959D8C5" w14:textId="77777777" w:rsidR="00A90E9C" w:rsidRPr="008A26D2" w:rsidRDefault="00A90E9C" w:rsidP="00E275E1">
            <w:pPr>
              <w:spacing w:after="0" w:line="240" w:lineRule="auto"/>
              <w:jc w:val="center"/>
              <w:rPr>
                <w:rFonts w:ascii="Arial" w:eastAsia="Arial Narrow" w:hAnsi="Arial" w:cs="Arial"/>
                <w:sz w:val="20"/>
                <w:szCs w:val="20"/>
              </w:rPr>
            </w:pPr>
            <w:r w:rsidRPr="008A26D2">
              <w:rPr>
                <w:rFonts w:ascii="Arial" w:eastAsia="Arial Narrow" w:hAnsi="Arial" w:cs="Arial"/>
                <w:sz w:val="20"/>
                <w:szCs w:val="20"/>
              </w:rPr>
              <w:t>90 %</w:t>
            </w:r>
          </w:p>
        </w:tc>
      </w:tr>
    </w:tbl>
    <w:p w14:paraId="1300179C" w14:textId="79D94C07" w:rsidR="00A90E9C" w:rsidRPr="008A26D2" w:rsidRDefault="00A90E9C" w:rsidP="00A90E9C"/>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851"/>
        <w:gridCol w:w="850"/>
        <w:gridCol w:w="18"/>
        <w:gridCol w:w="1116"/>
        <w:gridCol w:w="567"/>
        <w:gridCol w:w="426"/>
        <w:gridCol w:w="865"/>
        <w:gridCol w:w="992"/>
        <w:gridCol w:w="567"/>
        <w:gridCol w:w="142"/>
        <w:gridCol w:w="992"/>
        <w:gridCol w:w="552"/>
      </w:tblGrid>
      <w:tr w:rsidR="008A26D2" w:rsidRPr="008A26D2" w14:paraId="09E23DF3" w14:textId="77777777" w:rsidTr="00EE08C3">
        <w:trPr>
          <w:trHeight w:val="251"/>
          <w:tblHeader/>
        </w:trPr>
        <w:tc>
          <w:tcPr>
            <w:tcW w:w="8505" w:type="dxa"/>
            <w:gridSpan w:val="13"/>
            <w:shd w:val="clear" w:color="auto" w:fill="D9D9D9" w:themeFill="background1" w:themeFillShade="D9"/>
            <w:tcMar>
              <w:top w:w="10" w:type="dxa"/>
              <w:left w:w="10" w:type="dxa"/>
              <w:bottom w:w="0" w:type="dxa"/>
              <w:right w:w="10" w:type="dxa"/>
            </w:tcMar>
            <w:vAlign w:val="center"/>
          </w:tcPr>
          <w:p w14:paraId="77FEED4B" w14:textId="48D09F12" w:rsidR="00A90E9C" w:rsidRPr="008A26D2" w:rsidRDefault="00A90E9C" w:rsidP="0072651A">
            <w:pPr>
              <w:jc w:val="center"/>
              <w:rPr>
                <w:rFonts w:ascii="Arial" w:hAnsi="Arial" w:cs="Arial"/>
                <w:sz w:val="20"/>
                <w:szCs w:val="20"/>
              </w:rPr>
            </w:pPr>
            <w:bookmarkStart w:id="18" w:name="_Hlk135665731"/>
            <w:r w:rsidRPr="008A26D2">
              <w:rPr>
                <w:rFonts w:ascii="Arial" w:hAnsi="Arial" w:cs="Arial"/>
                <w:sz w:val="20"/>
                <w:szCs w:val="20"/>
              </w:rPr>
              <w:lastRenderedPageBreak/>
              <w:br w:type="page"/>
            </w:r>
            <w:r w:rsidRPr="008A26D2">
              <w:rPr>
                <w:rFonts w:ascii="Arial" w:hAnsi="Arial" w:cs="Arial"/>
                <w:b/>
                <w:sz w:val="20"/>
                <w:szCs w:val="20"/>
              </w:rPr>
              <w:t>FICHA TÉCNICA DE INDICADOR DE SERVICIO 1.9.</w:t>
            </w:r>
            <w:r w:rsidR="00F92676" w:rsidRPr="008A26D2">
              <w:rPr>
                <w:rFonts w:ascii="Arial" w:hAnsi="Arial" w:cs="Arial"/>
                <w:b/>
                <w:sz w:val="20"/>
                <w:szCs w:val="20"/>
              </w:rPr>
              <w:t>2</w:t>
            </w:r>
          </w:p>
        </w:tc>
      </w:tr>
      <w:tr w:rsidR="008A26D2" w:rsidRPr="008A26D2" w14:paraId="4971518B" w14:textId="77777777" w:rsidTr="00EE08C3">
        <w:trPr>
          <w:trHeight w:val="409"/>
          <w:tblHeader/>
        </w:trPr>
        <w:tc>
          <w:tcPr>
            <w:tcW w:w="2286" w:type="dxa"/>
            <w:gridSpan w:val="4"/>
            <w:shd w:val="clear" w:color="auto" w:fill="FFFFFF"/>
            <w:tcMar>
              <w:top w:w="10" w:type="dxa"/>
              <w:left w:w="93" w:type="dxa"/>
              <w:bottom w:w="0" w:type="dxa"/>
              <w:right w:w="10" w:type="dxa"/>
            </w:tcMar>
            <w:vAlign w:val="center"/>
          </w:tcPr>
          <w:p w14:paraId="476F55BD" w14:textId="77777777" w:rsidR="00A90E9C" w:rsidRPr="008A26D2" w:rsidRDefault="00A90E9C" w:rsidP="0072651A">
            <w:pPr>
              <w:spacing w:after="0" w:line="240" w:lineRule="auto"/>
              <w:rPr>
                <w:rFonts w:ascii="Arial" w:hAnsi="Arial" w:cs="Arial"/>
                <w:sz w:val="20"/>
                <w:szCs w:val="20"/>
              </w:rPr>
            </w:pPr>
            <w:r w:rsidRPr="008A26D2">
              <w:rPr>
                <w:rFonts w:ascii="Arial" w:hAnsi="Arial" w:cs="Arial"/>
                <w:b/>
                <w:sz w:val="20"/>
                <w:szCs w:val="20"/>
              </w:rPr>
              <w:t>Objetivo prioritario:</w:t>
            </w:r>
          </w:p>
        </w:tc>
        <w:tc>
          <w:tcPr>
            <w:tcW w:w="6219" w:type="dxa"/>
            <w:gridSpan w:val="9"/>
            <w:shd w:val="clear" w:color="auto" w:fill="FFFFFF"/>
            <w:tcMar>
              <w:top w:w="51" w:type="dxa"/>
              <w:left w:w="227" w:type="dxa"/>
              <w:bottom w:w="51" w:type="dxa"/>
              <w:right w:w="227" w:type="dxa"/>
            </w:tcMar>
            <w:vAlign w:val="center"/>
          </w:tcPr>
          <w:p w14:paraId="153911EC" w14:textId="77777777" w:rsidR="00A90E9C" w:rsidRPr="008A26D2" w:rsidRDefault="00A90E9C" w:rsidP="00147D2E">
            <w:pPr>
              <w:spacing w:after="0" w:line="240" w:lineRule="auto"/>
              <w:jc w:val="both"/>
              <w:rPr>
                <w:rFonts w:ascii="Arial" w:hAnsi="Arial" w:cs="Arial"/>
                <w:sz w:val="20"/>
                <w:szCs w:val="20"/>
              </w:rPr>
            </w:pPr>
            <w:r w:rsidRPr="008A26D2">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r>
      <w:tr w:rsidR="008A26D2" w:rsidRPr="008A26D2" w14:paraId="5F6876F8" w14:textId="77777777" w:rsidTr="00EE08C3">
        <w:trPr>
          <w:trHeight w:val="436"/>
          <w:tblHeader/>
        </w:trPr>
        <w:tc>
          <w:tcPr>
            <w:tcW w:w="2286" w:type="dxa"/>
            <w:gridSpan w:val="4"/>
            <w:shd w:val="clear" w:color="auto" w:fill="auto"/>
            <w:tcMar>
              <w:top w:w="10" w:type="dxa"/>
              <w:left w:w="93" w:type="dxa"/>
              <w:bottom w:w="0" w:type="dxa"/>
              <w:right w:w="10" w:type="dxa"/>
            </w:tcMar>
            <w:vAlign w:val="center"/>
          </w:tcPr>
          <w:p w14:paraId="1B520DED" w14:textId="77777777" w:rsidR="00A90E9C" w:rsidRPr="008A26D2" w:rsidRDefault="00A90E9C" w:rsidP="0072651A">
            <w:pPr>
              <w:spacing w:after="0" w:line="240" w:lineRule="auto"/>
              <w:rPr>
                <w:rFonts w:ascii="Arial" w:hAnsi="Arial" w:cs="Arial"/>
                <w:sz w:val="20"/>
                <w:szCs w:val="20"/>
              </w:rPr>
            </w:pPr>
            <w:r w:rsidRPr="008A26D2">
              <w:rPr>
                <w:rFonts w:ascii="Arial" w:hAnsi="Arial" w:cs="Arial"/>
                <w:b/>
                <w:sz w:val="20"/>
                <w:szCs w:val="20"/>
              </w:rPr>
              <w:t>Lineamiento de la política:</w:t>
            </w:r>
          </w:p>
        </w:tc>
        <w:tc>
          <w:tcPr>
            <w:tcW w:w="6219" w:type="dxa"/>
            <w:gridSpan w:val="9"/>
            <w:shd w:val="clear" w:color="auto" w:fill="auto"/>
            <w:tcMar>
              <w:top w:w="51" w:type="dxa"/>
              <w:left w:w="227" w:type="dxa"/>
              <w:bottom w:w="51" w:type="dxa"/>
              <w:right w:w="227" w:type="dxa"/>
            </w:tcMar>
            <w:vAlign w:val="center"/>
          </w:tcPr>
          <w:p w14:paraId="35ECFB10" w14:textId="77777777" w:rsidR="00A90E9C" w:rsidRPr="008A26D2" w:rsidRDefault="00A90E9C" w:rsidP="00147D2E">
            <w:pPr>
              <w:spacing w:after="0" w:line="240" w:lineRule="auto"/>
              <w:jc w:val="both"/>
              <w:rPr>
                <w:rFonts w:ascii="Arial" w:hAnsi="Arial" w:cs="Arial"/>
                <w:sz w:val="20"/>
                <w:szCs w:val="20"/>
              </w:rPr>
            </w:pPr>
            <w:r w:rsidRPr="008A26D2">
              <w:rPr>
                <w:rFonts w:ascii="Arial" w:eastAsia="Arial Narrow" w:hAnsi="Arial" w:cs="Arial"/>
                <w:sz w:val="20"/>
                <w:szCs w:val="20"/>
              </w:rPr>
              <w:t>L1.9 Reducir los niveles de tala ilegal, caza furtiva y del tráfico ilegal forestal y de fauna silvestre.</w:t>
            </w:r>
          </w:p>
        </w:tc>
      </w:tr>
      <w:tr w:rsidR="008A26D2" w:rsidRPr="008A26D2" w14:paraId="3F65A35F" w14:textId="77777777" w:rsidTr="00EE08C3">
        <w:trPr>
          <w:trHeight w:val="404"/>
          <w:tblHeader/>
        </w:trPr>
        <w:tc>
          <w:tcPr>
            <w:tcW w:w="2286" w:type="dxa"/>
            <w:gridSpan w:val="4"/>
            <w:shd w:val="clear" w:color="auto" w:fill="auto"/>
            <w:tcMar>
              <w:top w:w="10" w:type="dxa"/>
              <w:left w:w="93" w:type="dxa"/>
              <w:bottom w:w="0" w:type="dxa"/>
              <w:right w:w="10" w:type="dxa"/>
            </w:tcMar>
            <w:vAlign w:val="center"/>
          </w:tcPr>
          <w:p w14:paraId="45A8DFFC" w14:textId="77777777" w:rsidR="00A90E9C" w:rsidRPr="008A26D2" w:rsidRDefault="00A90E9C" w:rsidP="0072651A">
            <w:pPr>
              <w:spacing w:after="0" w:line="240" w:lineRule="auto"/>
              <w:rPr>
                <w:rFonts w:ascii="Arial" w:hAnsi="Arial" w:cs="Arial"/>
                <w:sz w:val="20"/>
                <w:szCs w:val="20"/>
              </w:rPr>
            </w:pPr>
            <w:r w:rsidRPr="008A26D2">
              <w:rPr>
                <w:rFonts w:ascii="Arial" w:hAnsi="Arial" w:cs="Arial"/>
                <w:b/>
                <w:sz w:val="20"/>
                <w:szCs w:val="20"/>
              </w:rPr>
              <w:t>Nombre del servicio:</w:t>
            </w:r>
          </w:p>
        </w:tc>
        <w:tc>
          <w:tcPr>
            <w:tcW w:w="6219" w:type="dxa"/>
            <w:gridSpan w:val="9"/>
            <w:shd w:val="clear" w:color="auto" w:fill="auto"/>
            <w:tcMar>
              <w:top w:w="51" w:type="dxa"/>
              <w:left w:w="227" w:type="dxa"/>
              <w:bottom w:w="51" w:type="dxa"/>
              <w:right w:w="227" w:type="dxa"/>
            </w:tcMar>
            <w:vAlign w:val="center"/>
          </w:tcPr>
          <w:p w14:paraId="7AA5A2DB" w14:textId="11B042CB" w:rsidR="00A90E9C" w:rsidRPr="008A26D2" w:rsidRDefault="00A90E9C" w:rsidP="00147D2E">
            <w:pPr>
              <w:spacing w:after="0" w:line="240" w:lineRule="auto"/>
              <w:jc w:val="both"/>
              <w:rPr>
                <w:rFonts w:ascii="Arial" w:hAnsi="Arial" w:cs="Arial"/>
                <w:sz w:val="20"/>
                <w:szCs w:val="20"/>
              </w:rPr>
            </w:pPr>
            <w:r w:rsidRPr="008A26D2">
              <w:rPr>
                <w:rFonts w:ascii="Arial" w:eastAsia="Arial Narrow" w:hAnsi="Arial" w:cs="Arial"/>
                <w:sz w:val="20"/>
                <w:szCs w:val="20"/>
              </w:rPr>
              <w:t>S1.9.</w:t>
            </w:r>
            <w:r w:rsidR="00F92676" w:rsidRPr="008A26D2">
              <w:rPr>
                <w:rFonts w:ascii="Arial" w:eastAsia="Arial Narrow" w:hAnsi="Arial" w:cs="Arial"/>
                <w:sz w:val="20"/>
                <w:szCs w:val="20"/>
              </w:rPr>
              <w:t>2</w:t>
            </w:r>
            <w:r w:rsidRPr="008A26D2">
              <w:rPr>
                <w:rFonts w:ascii="Arial" w:eastAsia="Arial Narrow" w:hAnsi="Arial" w:cs="Arial"/>
                <w:sz w:val="20"/>
                <w:szCs w:val="20"/>
              </w:rPr>
              <w:t xml:space="preserve"> Operaciones </w:t>
            </w:r>
            <w:r w:rsidR="00171672" w:rsidRPr="008A26D2">
              <w:rPr>
                <w:rFonts w:ascii="Arial" w:eastAsia="Arial Narrow" w:hAnsi="Arial" w:cs="Arial"/>
                <w:sz w:val="20"/>
                <w:szCs w:val="20"/>
              </w:rPr>
              <w:t>p</w:t>
            </w:r>
            <w:r w:rsidRPr="008A26D2">
              <w:rPr>
                <w:rFonts w:ascii="Arial" w:eastAsia="Arial Narrow" w:hAnsi="Arial" w:cs="Arial"/>
                <w:sz w:val="20"/>
                <w:szCs w:val="20"/>
              </w:rPr>
              <w:t xml:space="preserve">oliciales contra el crimen organizado en </w:t>
            </w:r>
            <w:r w:rsidR="00171672" w:rsidRPr="008A26D2">
              <w:rPr>
                <w:rFonts w:ascii="Arial" w:eastAsia="Arial Narrow" w:hAnsi="Arial" w:cs="Arial"/>
                <w:sz w:val="20"/>
                <w:szCs w:val="20"/>
              </w:rPr>
              <w:t>materia</w:t>
            </w:r>
            <w:r w:rsidRPr="008A26D2">
              <w:rPr>
                <w:rFonts w:ascii="Arial" w:eastAsia="Arial Narrow" w:hAnsi="Arial" w:cs="Arial"/>
                <w:sz w:val="20"/>
                <w:szCs w:val="20"/>
              </w:rPr>
              <w:t xml:space="preserve"> forestal de forma continua para beneficio de la población</w:t>
            </w:r>
          </w:p>
        </w:tc>
      </w:tr>
      <w:tr w:rsidR="008A26D2" w:rsidRPr="008A26D2" w14:paraId="33F64197" w14:textId="77777777" w:rsidTr="00EE08C3">
        <w:trPr>
          <w:trHeight w:val="577"/>
          <w:tblHeader/>
        </w:trPr>
        <w:tc>
          <w:tcPr>
            <w:tcW w:w="2286" w:type="dxa"/>
            <w:gridSpan w:val="4"/>
            <w:shd w:val="clear" w:color="auto" w:fill="auto"/>
            <w:tcMar>
              <w:top w:w="10" w:type="dxa"/>
              <w:left w:w="93" w:type="dxa"/>
              <w:bottom w:w="0" w:type="dxa"/>
              <w:right w:w="10" w:type="dxa"/>
            </w:tcMar>
            <w:vAlign w:val="center"/>
          </w:tcPr>
          <w:p w14:paraId="39393812" w14:textId="77777777" w:rsidR="00A90E9C" w:rsidRPr="008A26D2" w:rsidRDefault="00A90E9C" w:rsidP="0072651A">
            <w:pPr>
              <w:spacing w:after="0" w:line="240" w:lineRule="auto"/>
              <w:rPr>
                <w:rFonts w:ascii="Arial" w:hAnsi="Arial" w:cs="Arial"/>
                <w:sz w:val="20"/>
                <w:szCs w:val="20"/>
              </w:rPr>
            </w:pPr>
            <w:r w:rsidRPr="008A26D2">
              <w:rPr>
                <w:rFonts w:ascii="Arial" w:hAnsi="Arial" w:cs="Arial"/>
                <w:b/>
                <w:sz w:val="20"/>
                <w:szCs w:val="20"/>
              </w:rPr>
              <w:t>Nombre del indicador:</w:t>
            </w:r>
          </w:p>
        </w:tc>
        <w:tc>
          <w:tcPr>
            <w:tcW w:w="6219" w:type="dxa"/>
            <w:gridSpan w:val="9"/>
            <w:shd w:val="clear" w:color="auto" w:fill="auto"/>
            <w:tcMar>
              <w:top w:w="51" w:type="dxa"/>
              <w:left w:w="227" w:type="dxa"/>
              <w:bottom w:w="51" w:type="dxa"/>
              <w:right w:w="227" w:type="dxa"/>
            </w:tcMar>
            <w:vAlign w:val="center"/>
          </w:tcPr>
          <w:p w14:paraId="6328EC18" w14:textId="407D072D" w:rsidR="00A90E9C" w:rsidRPr="008A26D2" w:rsidRDefault="00A90E9C" w:rsidP="00147D2E">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Número de </w:t>
            </w:r>
            <w:r w:rsidR="00413E4E" w:rsidRPr="008A26D2">
              <w:rPr>
                <w:rFonts w:ascii="Arial" w:eastAsia="Arial Narrow" w:hAnsi="Arial" w:cs="Arial"/>
                <w:sz w:val="20"/>
                <w:szCs w:val="20"/>
              </w:rPr>
              <w:t>operativos</w:t>
            </w:r>
            <w:r w:rsidRPr="008A26D2">
              <w:rPr>
                <w:rFonts w:ascii="Arial" w:eastAsia="Arial Narrow" w:hAnsi="Arial" w:cs="Arial"/>
                <w:sz w:val="20"/>
                <w:szCs w:val="20"/>
              </w:rPr>
              <w:t xml:space="preserve"> policiales para reducir la tala ilegal forestal </w:t>
            </w:r>
            <w:r w:rsidR="005C7DC1">
              <w:rPr>
                <w:rFonts w:ascii="Arial" w:eastAsia="Arial Narrow" w:hAnsi="Arial" w:cs="Arial"/>
                <w:sz w:val="20"/>
                <w:szCs w:val="20"/>
              </w:rPr>
              <w:t xml:space="preserve">realizados </w:t>
            </w:r>
            <w:r w:rsidRPr="008A26D2">
              <w:rPr>
                <w:rFonts w:ascii="Arial" w:eastAsia="Arial Narrow" w:hAnsi="Arial" w:cs="Arial"/>
                <w:sz w:val="20"/>
                <w:szCs w:val="20"/>
              </w:rPr>
              <w:t>de forma continua</w:t>
            </w:r>
          </w:p>
        </w:tc>
      </w:tr>
      <w:tr w:rsidR="008A26D2" w:rsidRPr="008A26D2" w14:paraId="0009B503" w14:textId="77777777" w:rsidTr="00EE08C3">
        <w:trPr>
          <w:trHeight w:val="577"/>
          <w:tblHeader/>
        </w:trPr>
        <w:tc>
          <w:tcPr>
            <w:tcW w:w="2286" w:type="dxa"/>
            <w:gridSpan w:val="4"/>
            <w:shd w:val="clear" w:color="auto" w:fill="auto"/>
            <w:tcMar>
              <w:top w:w="10" w:type="dxa"/>
              <w:left w:w="93" w:type="dxa"/>
              <w:bottom w:w="0" w:type="dxa"/>
              <w:right w:w="10" w:type="dxa"/>
            </w:tcMar>
            <w:vAlign w:val="center"/>
          </w:tcPr>
          <w:p w14:paraId="093F14C7" w14:textId="77777777" w:rsidR="00A90E9C" w:rsidRPr="008A26D2" w:rsidRDefault="00A90E9C" w:rsidP="0072651A">
            <w:pPr>
              <w:spacing w:after="0" w:line="240" w:lineRule="auto"/>
              <w:rPr>
                <w:rFonts w:ascii="Arial" w:hAnsi="Arial" w:cs="Arial"/>
                <w:sz w:val="20"/>
                <w:szCs w:val="20"/>
              </w:rPr>
            </w:pPr>
            <w:r w:rsidRPr="008A26D2">
              <w:rPr>
                <w:rFonts w:ascii="Arial" w:hAnsi="Arial" w:cs="Arial"/>
                <w:b/>
                <w:sz w:val="20"/>
                <w:szCs w:val="20"/>
              </w:rPr>
              <w:t>Justificación:</w:t>
            </w:r>
          </w:p>
        </w:tc>
        <w:tc>
          <w:tcPr>
            <w:tcW w:w="6219" w:type="dxa"/>
            <w:gridSpan w:val="9"/>
            <w:shd w:val="clear" w:color="auto" w:fill="auto"/>
            <w:tcMar>
              <w:top w:w="51" w:type="dxa"/>
              <w:left w:w="227" w:type="dxa"/>
              <w:bottom w:w="51" w:type="dxa"/>
              <w:right w:w="227" w:type="dxa"/>
            </w:tcMar>
            <w:vAlign w:val="center"/>
          </w:tcPr>
          <w:p w14:paraId="540CBE61" w14:textId="6BBFA00B" w:rsidR="00A90E9C" w:rsidRPr="008A26D2" w:rsidRDefault="00A90E9C" w:rsidP="0072651A">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Mediante el presente indicador se podrá visibilizar l</w:t>
            </w:r>
            <w:r w:rsidR="00413E4E" w:rsidRPr="008A26D2">
              <w:rPr>
                <w:rFonts w:ascii="Arial" w:eastAsia="Arial Narrow" w:hAnsi="Arial" w:cs="Arial"/>
                <w:sz w:val="20"/>
                <w:szCs w:val="20"/>
              </w:rPr>
              <w:t>o</w:t>
            </w:r>
            <w:r w:rsidRPr="008A26D2">
              <w:rPr>
                <w:rFonts w:ascii="Arial" w:eastAsia="Arial Narrow" w:hAnsi="Arial" w:cs="Arial"/>
                <w:sz w:val="20"/>
                <w:szCs w:val="20"/>
              </w:rPr>
              <w:t xml:space="preserve">s </w:t>
            </w:r>
            <w:r w:rsidR="00413E4E" w:rsidRPr="008A26D2">
              <w:rPr>
                <w:rFonts w:ascii="Arial" w:eastAsia="Arial Narrow" w:hAnsi="Arial" w:cs="Arial"/>
                <w:sz w:val="20"/>
                <w:szCs w:val="20"/>
              </w:rPr>
              <w:t>operativos</w:t>
            </w:r>
            <w:r w:rsidRPr="008A26D2">
              <w:rPr>
                <w:rFonts w:ascii="Arial" w:eastAsia="Arial Narrow" w:hAnsi="Arial" w:cs="Arial"/>
                <w:sz w:val="20"/>
                <w:szCs w:val="20"/>
              </w:rPr>
              <w:t xml:space="preserve"> policiales en el periodo de un año en sectores establecidos tendientes a reducir la tala ilegal forestal.</w:t>
            </w:r>
          </w:p>
          <w:p w14:paraId="2E018A2C" w14:textId="7673286B" w:rsidR="00A90E9C" w:rsidRPr="008A26D2" w:rsidRDefault="00A90E9C" w:rsidP="0072651A">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Tiene carácter persuasivo y conlleva a la aplicación de las normas sobre las actividades humanas que generan afectación al medio ambiente.</w:t>
            </w:r>
          </w:p>
          <w:p w14:paraId="0C1E75A1" w14:textId="77777777" w:rsidR="00A90E9C" w:rsidRPr="008A26D2" w:rsidRDefault="00A90E9C" w:rsidP="0072651A">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La continuidad del servicio se encuentra sustentada por las competencias de la Policía Nacional del Perú a través de sus Unidades Especializadas y considerando que forma</w:t>
            </w:r>
          </w:p>
          <w:p w14:paraId="07936B72" w14:textId="77777777" w:rsidR="00A90E9C" w:rsidRPr="008A26D2" w:rsidRDefault="00A90E9C" w:rsidP="0072651A">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parte de la Comisión Multisectorial Permanente de Lucha Contra la Tala Ilegal (CMLTI).</w:t>
            </w:r>
          </w:p>
          <w:p w14:paraId="3D8DB29B" w14:textId="5186105A" w:rsidR="00A90E9C" w:rsidRPr="008A26D2" w:rsidRDefault="00A90E9C" w:rsidP="0072651A">
            <w:pPr>
              <w:spacing w:after="0" w:line="240" w:lineRule="auto"/>
              <w:jc w:val="both"/>
              <w:rPr>
                <w:rFonts w:ascii="Arial" w:eastAsia="Arial Narrow" w:hAnsi="Arial" w:cs="Arial"/>
                <w:sz w:val="20"/>
                <w:szCs w:val="20"/>
              </w:rPr>
            </w:pPr>
            <w:r w:rsidRPr="008A26D2">
              <w:rPr>
                <w:rFonts w:ascii="Arial" w:hAnsi="Arial" w:cs="Arial"/>
                <w:sz w:val="20"/>
                <w:szCs w:val="20"/>
              </w:rPr>
              <w:t xml:space="preserve">Las operaciones policiales se encuentran contempladas en el </w:t>
            </w:r>
            <w:r w:rsidR="003E2263" w:rsidRPr="008A26D2">
              <w:rPr>
                <w:rFonts w:ascii="Arial" w:hAnsi="Arial" w:cs="Arial"/>
                <w:sz w:val="20"/>
                <w:szCs w:val="20"/>
              </w:rPr>
              <w:t>Plan Operativo Institucional</w:t>
            </w:r>
            <w:r w:rsidRPr="008A26D2">
              <w:rPr>
                <w:rFonts w:ascii="Arial" w:hAnsi="Arial" w:cs="Arial"/>
                <w:sz w:val="20"/>
                <w:szCs w:val="20"/>
              </w:rPr>
              <w:t xml:space="preserve"> Multianual y se alinean a las acciones estratégicas del </w:t>
            </w:r>
            <w:r w:rsidR="003E2263" w:rsidRPr="008A26D2">
              <w:rPr>
                <w:rFonts w:ascii="Arial" w:hAnsi="Arial" w:cs="Arial"/>
                <w:sz w:val="20"/>
                <w:szCs w:val="20"/>
              </w:rPr>
              <w:t>Plan Estratégico Institucional</w:t>
            </w:r>
            <w:r w:rsidRPr="008A26D2">
              <w:rPr>
                <w:rFonts w:ascii="Arial" w:hAnsi="Arial" w:cs="Arial"/>
                <w:sz w:val="20"/>
                <w:szCs w:val="20"/>
              </w:rPr>
              <w:t xml:space="preserve"> vigente.  </w:t>
            </w:r>
          </w:p>
        </w:tc>
      </w:tr>
      <w:tr w:rsidR="008A26D2" w:rsidRPr="008A26D2" w14:paraId="61DF7742" w14:textId="77777777" w:rsidTr="00EE08C3">
        <w:trPr>
          <w:trHeight w:val="352"/>
          <w:tblHeader/>
        </w:trPr>
        <w:tc>
          <w:tcPr>
            <w:tcW w:w="2286" w:type="dxa"/>
            <w:gridSpan w:val="4"/>
            <w:shd w:val="clear" w:color="auto" w:fill="auto"/>
            <w:tcMar>
              <w:top w:w="10" w:type="dxa"/>
              <w:left w:w="93" w:type="dxa"/>
              <w:bottom w:w="0" w:type="dxa"/>
              <w:right w:w="10" w:type="dxa"/>
            </w:tcMar>
            <w:vAlign w:val="center"/>
          </w:tcPr>
          <w:p w14:paraId="0F71D942" w14:textId="77777777" w:rsidR="00A90E9C" w:rsidRPr="008A26D2" w:rsidRDefault="00A90E9C" w:rsidP="0072651A">
            <w:pPr>
              <w:spacing w:after="0" w:line="240" w:lineRule="auto"/>
              <w:rPr>
                <w:rFonts w:ascii="Arial" w:hAnsi="Arial" w:cs="Arial"/>
                <w:sz w:val="20"/>
                <w:szCs w:val="20"/>
              </w:rPr>
            </w:pPr>
            <w:r w:rsidRPr="008A26D2">
              <w:rPr>
                <w:rFonts w:ascii="Arial" w:hAnsi="Arial" w:cs="Arial"/>
                <w:b/>
                <w:sz w:val="20"/>
                <w:szCs w:val="20"/>
              </w:rPr>
              <w:t>Responsable del indicador:</w:t>
            </w:r>
          </w:p>
        </w:tc>
        <w:tc>
          <w:tcPr>
            <w:tcW w:w="6219" w:type="dxa"/>
            <w:gridSpan w:val="9"/>
            <w:shd w:val="clear" w:color="auto" w:fill="auto"/>
            <w:tcMar>
              <w:top w:w="51" w:type="dxa"/>
              <w:left w:w="227" w:type="dxa"/>
              <w:bottom w:w="51" w:type="dxa"/>
              <w:right w:w="227" w:type="dxa"/>
            </w:tcMar>
            <w:vAlign w:val="center"/>
          </w:tcPr>
          <w:p w14:paraId="1DA8700D" w14:textId="1FE8E1E8" w:rsidR="00A90E9C" w:rsidRPr="008A26D2" w:rsidRDefault="003E2263" w:rsidP="0072651A">
            <w:pPr>
              <w:spacing w:after="0" w:line="240" w:lineRule="auto"/>
              <w:rPr>
                <w:rFonts w:ascii="Arial" w:eastAsia="Arial Narrow" w:hAnsi="Arial" w:cs="Arial"/>
                <w:sz w:val="20"/>
                <w:szCs w:val="20"/>
              </w:rPr>
            </w:pPr>
            <w:r w:rsidRPr="008A26D2">
              <w:rPr>
                <w:rFonts w:ascii="Arial" w:eastAsia="Arial Narrow" w:hAnsi="Arial" w:cs="Arial"/>
                <w:sz w:val="20"/>
                <w:szCs w:val="20"/>
              </w:rPr>
              <w:t xml:space="preserve">Dirección de Medio Ambiente de la </w:t>
            </w:r>
            <w:r w:rsidR="00A90E9C" w:rsidRPr="008A26D2">
              <w:rPr>
                <w:rFonts w:ascii="Arial" w:eastAsia="Arial Narrow" w:hAnsi="Arial" w:cs="Arial"/>
                <w:sz w:val="20"/>
                <w:szCs w:val="20"/>
              </w:rPr>
              <w:t xml:space="preserve">Policía Nacional del Perú </w:t>
            </w:r>
            <w:r w:rsidRPr="008A26D2">
              <w:rPr>
                <w:rFonts w:ascii="Arial" w:eastAsia="Arial Narrow" w:hAnsi="Arial" w:cs="Arial"/>
                <w:sz w:val="20"/>
                <w:szCs w:val="20"/>
              </w:rPr>
              <w:t>–</w:t>
            </w:r>
            <w:r w:rsidR="00A90E9C" w:rsidRPr="008A26D2">
              <w:rPr>
                <w:rFonts w:ascii="Arial" w:eastAsia="Arial Narrow" w:hAnsi="Arial" w:cs="Arial"/>
                <w:sz w:val="20"/>
                <w:szCs w:val="20"/>
              </w:rPr>
              <w:t xml:space="preserve"> </w:t>
            </w:r>
            <w:r w:rsidRPr="008A26D2">
              <w:rPr>
                <w:rFonts w:ascii="Arial" w:eastAsia="Arial Narrow" w:hAnsi="Arial" w:cs="Arial"/>
                <w:sz w:val="20"/>
                <w:szCs w:val="20"/>
              </w:rPr>
              <w:t>Ministerio del Interior</w:t>
            </w:r>
          </w:p>
        </w:tc>
      </w:tr>
      <w:tr w:rsidR="008A26D2" w:rsidRPr="008A26D2" w14:paraId="172056DB" w14:textId="77777777" w:rsidTr="00EE08C3">
        <w:trPr>
          <w:trHeight w:val="714"/>
          <w:tblHeader/>
        </w:trPr>
        <w:tc>
          <w:tcPr>
            <w:tcW w:w="2286" w:type="dxa"/>
            <w:gridSpan w:val="4"/>
            <w:shd w:val="clear" w:color="auto" w:fill="auto"/>
            <w:tcMar>
              <w:top w:w="10" w:type="dxa"/>
              <w:left w:w="93" w:type="dxa"/>
              <w:bottom w:w="0" w:type="dxa"/>
              <w:right w:w="10" w:type="dxa"/>
            </w:tcMar>
            <w:vAlign w:val="center"/>
          </w:tcPr>
          <w:p w14:paraId="54EF131D" w14:textId="77777777" w:rsidR="00A90E9C" w:rsidRPr="008A26D2" w:rsidRDefault="00A90E9C" w:rsidP="0072651A">
            <w:pPr>
              <w:spacing w:after="0" w:line="240" w:lineRule="auto"/>
              <w:rPr>
                <w:rFonts w:ascii="Arial" w:hAnsi="Arial" w:cs="Arial"/>
                <w:sz w:val="20"/>
                <w:szCs w:val="20"/>
              </w:rPr>
            </w:pPr>
            <w:r w:rsidRPr="008A26D2">
              <w:rPr>
                <w:rFonts w:ascii="Arial" w:hAnsi="Arial" w:cs="Arial"/>
                <w:b/>
                <w:sz w:val="20"/>
                <w:szCs w:val="20"/>
              </w:rPr>
              <w:t>Limitaciones para la medición del indicador:</w:t>
            </w:r>
          </w:p>
        </w:tc>
        <w:tc>
          <w:tcPr>
            <w:tcW w:w="6219" w:type="dxa"/>
            <w:gridSpan w:val="9"/>
            <w:shd w:val="clear" w:color="auto" w:fill="auto"/>
            <w:tcMar>
              <w:top w:w="51" w:type="dxa"/>
              <w:left w:w="227" w:type="dxa"/>
              <w:bottom w:w="51" w:type="dxa"/>
              <w:right w:w="227" w:type="dxa"/>
            </w:tcMar>
            <w:vAlign w:val="center"/>
          </w:tcPr>
          <w:p w14:paraId="5EA26598" w14:textId="3A82A85D" w:rsidR="00A90E9C" w:rsidRPr="008A26D2" w:rsidRDefault="003E2263" w:rsidP="0072651A">
            <w:pPr>
              <w:spacing w:after="0" w:line="240" w:lineRule="auto"/>
              <w:rPr>
                <w:rFonts w:ascii="Arial" w:hAnsi="Arial" w:cs="Arial"/>
                <w:sz w:val="20"/>
                <w:szCs w:val="20"/>
              </w:rPr>
            </w:pPr>
            <w:r w:rsidRPr="008A26D2">
              <w:rPr>
                <w:rFonts w:ascii="Arial" w:hAnsi="Arial" w:cs="Arial"/>
                <w:sz w:val="20"/>
                <w:szCs w:val="20"/>
              </w:rPr>
              <w:t xml:space="preserve">Requiere el reporte oportuno de </w:t>
            </w:r>
            <w:r w:rsidR="00413E4E" w:rsidRPr="008A26D2">
              <w:rPr>
                <w:rFonts w:ascii="Arial" w:hAnsi="Arial" w:cs="Arial"/>
                <w:sz w:val="20"/>
                <w:szCs w:val="20"/>
              </w:rPr>
              <w:t>los operativos</w:t>
            </w:r>
            <w:r w:rsidRPr="008A26D2">
              <w:rPr>
                <w:rFonts w:ascii="Arial" w:hAnsi="Arial" w:cs="Arial"/>
                <w:sz w:val="20"/>
                <w:szCs w:val="20"/>
              </w:rPr>
              <w:t xml:space="preserve"> policiales realizados</w:t>
            </w:r>
            <w:r w:rsidR="00A90E9C" w:rsidRPr="008A26D2">
              <w:rPr>
                <w:rFonts w:ascii="Arial" w:hAnsi="Arial" w:cs="Arial"/>
                <w:sz w:val="20"/>
                <w:szCs w:val="20"/>
              </w:rPr>
              <w:t>.</w:t>
            </w:r>
          </w:p>
        </w:tc>
      </w:tr>
      <w:tr w:rsidR="008A26D2" w:rsidRPr="008A26D2" w14:paraId="10B65AE6" w14:textId="77777777" w:rsidTr="00EE08C3">
        <w:trPr>
          <w:trHeight w:val="231"/>
          <w:tblHeader/>
        </w:trPr>
        <w:tc>
          <w:tcPr>
            <w:tcW w:w="2286" w:type="dxa"/>
            <w:gridSpan w:val="4"/>
            <w:shd w:val="clear" w:color="auto" w:fill="auto"/>
            <w:tcMar>
              <w:top w:w="10" w:type="dxa"/>
              <w:left w:w="93" w:type="dxa"/>
              <w:bottom w:w="0" w:type="dxa"/>
              <w:right w:w="10" w:type="dxa"/>
            </w:tcMar>
            <w:vAlign w:val="center"/>
          </w:tcPr>
          <w:p w14:paraId="4EB0D2D8" w14:textId="77777777" w:rsidR="00A90E9C" w:rsidRPr="008A26D2" w:rsidRDefault="00A90E9C" w:rsidP="0072651A">
            <w:pPr>
              <w:rPr>
                <w:rFonts w:ascii="Arial" w:hAnsi="Arial" w:cs="Arial"/>
                <w:sz w:val="20"/>
                <w:szCs w:val="20"/>
              </w:rPr>
            </w:pPr>
            <w:r w:rsidRPr="008A26D2">
              <w:rPr>
                <w:rFonts w:ascii="Arial" w:hAnsi="Arial" w:cs="Arial"/>
                <w:b/>
                <w:sz w:val="20"/>
                <w:szCs w:val="20"/>
              </w:rPr>
              <w:lastRenderedPageBreak/>
              <w:t xml:space="preserve">Método de cálculo: </w:t>
            </w:r>
          </w:p>
        </w:tc>
        <w:tc>
          <w:tcPr>
            <w:tcW w:w="6219" w:type="dxa"/>
            <w:gridSpan w:val="9"/>
            <w:shd w:val="clear" w:color="auto" w:fill="auto"/>
            <w:tcMar>
              <w:top w:w="51" w:type="dxa"/>
              <w:left w:w="227" w:type="dxa"/>
              <w:bottom w:w="51" w:type="dxa"/>
              <w:right w:w="227" w:type="dxa"/>
            </w:tcMar>
            <w:vAlign w:val="center"/>
          </w:tcPr>
          <w:p w14:paraId="709586A7" w14:textId="77777777" w:rsidR="00A90E9C" w:rsidRPr="008A26D2" w:rsidRDefault="00A90E9C" w:rsidP="0072651A">
            <w:pPr>
              <w:rPr>
                <w:rFonts w:ascii="Arial" w:eastAsia="Arial Narrow" w:hAnsi="Arial" w:cs="Arial"/>
                <w:b/>
                <w:sz w:val="20"/>
                <w:szCs w:val="20"/>
              </w:rPr>
            </w:pPr>
            <w:r w:rsidRPr="008A26D2">
              <w:rPr>
                <w:rFonts w:ascii="Arial" w:eastAsia="Arial Narrow" w:hAnsi="Arial" w:cs="Arial"/>
                <w:b/>
                <w:sz w:val="20"/>
                <w:szCs w:val="20"/>
              </w:rPr>
              <w:t>1. Fórmula:</w:t>
            </w:r>
          </w:p>
          <w:p w14:paraId="335B9ADF" w14:textId="77777777" w:rsidR="00A90E9C" w:rsidRPr="008A26D2" w:rsidRDefault="00A90E9C" w:rsidP="0072651A">
            <w:pPr>
              <w:spacing w:after="0" w:line="240" w:lineRule="auto"/>
              <w:rPr>
                <w:rFonts w:ascii="Arial" w:eastAsia="Arial Unicode MS" w:hAnsi="Arial" w:cs="Arial"/>
                <w:sz w:val="20"/>
                <w:szCs w:val="20"/>
                <w:vertAlign w:val="subscript"/>
              </w:rPr>
            </w:pPr>
            <w:r w:rsidRPr="008A26D2">
              <w:rPr>
                <w:rFonts w:ascii="Arial" w:eastAsia="Arial Narrow" w:hAnsi="Arial" w:cs="Arial"/>
                <w:sz w:val="20"/>
                <w:szCs w:val="20"/>
              </w:rPr>
              <w:t>NOPRTI</w:t>
            </w:r>
          </w:p>
          <w:p w14:paraId="5C512D8F" w14:textId="77777777" w:rsidR="00A90E9C" w:rsidRPr="008A26D2" w:rsidRDefault="00A90E9C" w:rsidP="0072651A">
            <w:pPr>
              <w:spacing w:after="0" w:line="240" w:lineRule="auto"/>
              <w:rPr>
                <w:rFonts w:ascii="Arial" w:eastAsia="Arial Narrow" w:hAnsi="Arial" w:cs="Arial"/>
                <w:sz w:val="20"/>
                <w:szCs w:val="20"/>
              </w:rPr>
            </w:pPr>
          </w:p>
          <w:p w14:paraId="314DAAE8" w14:textId="77777777" w:rsidR="00A90E9C" w:rsidRPr="008A26D2" w:rsidRDefault="00A90E9C" w:rsidP="0072651A">
            <w:pPr>
              <w:spacing w:after="0" w:line="240" w:lineRule="auto"/>
              <w:rPr>
                <w:rFonts w:ascii="Arial" w:eastAsia="Arial Narrow" w:hAnsi="Arial" w:cs="Arial"/>
                <w:sz w:val="20"/>
                <w:szCs w:val="20"/>
              </w:rPr>
            </w:pPr>
            <w:r w:rsidRPr="008A26D2">
              <w:rPr>
                <w:rFonts w:ascii="Arial" w:eastAsia="Arial Narrow" w:hAnsi="Arial" w:cs="Arial"/>
                <w:sz w:val="20"/>
                <w:szCs w:val="20"/>
              </w:rPr>
              <w:t>Donde:</w:t>
            </w:r>
          </w:p>
          <w:p w14:paraId="0BA24599" w14:textId="5BA74E12" w:rsidR="00A90E9C" w:rsidRPr="008A26D2" w:rsidRDefault="00A90E9C" w:rsidP="0072651A">
            <w:pPr>
              <w:spacing w:after="0" w:line="240" w:lineRule="auto"/>
              <w:rPr>
                <w:rFonts w:ascii="Arial" w:eastAsia="Arial Narrow" w:hAnsi="Arial" w:cs="Arial"/>
                <w:sz w:val="20"/>
                <w:szCs w:val="20"/>
              </w:rPr>
            </w:pPr>
            <w:r w:rsidRPr="008A26D2">
              <w:rPr>
                <w:rFonts w:ascii="Arial" w:eastAsia="Arial Narrow" w:hAnsi="Arial" w:cs="Arial"/>
                <w:sz w:val="20"/>
                <w:szCs w:val="20"/>
              </w:rPr>
              <w:t>NOPRTI</w:t>
            </w:r>
            <w:r w:rsidRPr="008A26D2">
              <w:rPr>
                <w:rFonts w:ascii="Arial" w:eastAsia="Arial Unicode MS" w:hAnsi="Arial" w:cs="Arial"/>
                <w:sz w:val="20"/>
                <w:szCs w:val="20"/>
              </w:rPr>
              <w:t xml:space="preserve"> </w:t>
            </w:r>
            <w:r w:rsidRPr="008A26D2">
              <w:rPr>
                <w:rFonts w:ascii="Arial" w:eastAsia="Arial Narrow" w:hAnsi="Arial" w:cs="Arial"/>
                <w:sz w:val="20"/>
                <w:szCs w:val="20"/>
              </w:rPr>
              <w:t xml:space="preserve"> = Número de </w:t>
            </w:r>
            <w:r w:rsidR="00413E4E" w:rsidRPr="008A26D2">
              <w:rPr>
                <w:rFonts w:ascii="Arial" w:eastAsia="Arial Narrow" w:hAnsi="Arial" w:cs="Arial"/>
                <w:sz w:val="20"/>
                <w:szCs w:val="20"/>
              </w:rPr>
              <w:t>ope</w:t>
            </w:r>
            <w:r w:rsidR="00F92676" w:rsidRPr="008A26D2">
              <w:rPr>
                <w:rFonts w:ascii="Arial" w:eastAsia="Arial Narrow" w:hAnsi="Arial" w:cs="Arial"/>
                <w:sz w:val="20"/>
                <w:szCs w:val="20"/>
              </w:rPr>
              <w:t>r</w:t>
            </w:r>
            <w:r w:rsidR="00413E4E" w:rsidRPr="008A26D2">
              <w:rPr>
                <w:rFonts w:ascii="Arial" w:eastAsia="Arial Narrow" w:hAnsi="Arial" w:cs="Arial"/>
                <w:sz w:val="20"/>
                <w:szCs w:val="20"/>
              </w:rPr>
              <w:t>ativos</w:t>
            </w:r>
            <w:r w:rsidRPr="008A26D2">
              <w:rPr>
                <w:rFonts w:ascii="Arial" w:eastAsia="Arial Narrow" w:hAnsi="Arial" w:cs="Arial"/>
                <w:sz w:val="20"/>
                <w:szCs w:val="20"/>
              </w:rPr>
              <w:t xml:space="preserve"> policiales para reducir la tala ilegal forestal </w:t>
            </w:r>
            <w:r w:rsidR="00F64AB6">
              <w:rPr>
                <w:rFonts w:ascii="Arial" w:eastAsia="Arial Narrow" w:hAnsi="Arial" w:cs="Arial"/>
                <w:sz w:val="20"/>
                <w:szCs w:val="20"/>
              </w:rPr>
              <w:t xml:space="preserve">realizados </w:t>
            </w:r>
            <w:r w:rsidRPr="008A26D2">
              <w:rPr>
                <w:rFonts w:ascii="Arial" w:eastAsia="Arial Narrow" w:hAnsi="Arial" w:cs="Arial"/>
                <w:sz w:val="20"/>
                <w:szCs w:val="20"/>
              </w:rPr>
              <w:t>de forma continua</w:t>
            </w:r>
          </w:p>
          <w:p w14:paraId="6B54C4B6" w14:textId="77777777" w:rsidR="00A90E9C" w:rsidRPr="008A26D2" w:rsidRDefault="00A90E9C" w:rsidP="0072651A">
            <w:pPr>
              <w:spacing w:after="0" w:line="240" w:lineRule="auto"/>
              <w:rPr>
                <w:rFonts w:ascii="Arial" w:eastAsia="Arial Narrow" w:hAnsi="Arial" w:cs="Arial"/>
                <w:b/>
                <w:sz w:val="20"/>
                <w:szCs w:val="20"/>
              </w:rPr>
            </w:pPr>
            <w:r w:rsidRPr="008A26D2">
              <w:rPr>
                <w:rFonts w:ascii="Arial" w:eastAsia="Arial Narrow" w:hAnsi="Arial" w:cs="Arial"/>
                <w:sz w:val="20"/>
                <w:szCs w:val="20"/>
              </w:rPr>
              <w:br/>
            </w:r>
            <w:r w:rsidRPr="008A26D2">
              <w:rPr>
                <w:rFonts w:ascii="Arial" w:eastAsia="Arial Narrow" w:hAnsi="Arial" w:cs="Arial"/>
                <w:b/>
                <w:sz w:val="20"/>
                <w:szCs w:val="20"/>
              </w:rPr>
              <w:t>2. Especificaciones técnicas:</w:t>
            </w:r>
          </w:p>
          <w:p w14:paraId="2E0B7AEC" w14:textId="77777777" w:rsidR="00A90E9C" w:rsidRPr="008A26D2" w:rsidRDefault="00A90E9C" w:rsidP="0072651A">
            <w:pPr>
              <w:spacing w:after="0" w:line="240" w:lineRule="auto"/>
              <w:jc w:val="both"/>
              <w:rPr>
                <w:rFonts w:ascii="Arial" w:eastAsia="Arial Narrow" w:hAnsi="Arial" w:cs="Arial"/>
                <w:sz w:val="20"/>
                <w:szCs w:val="20"/>
              </w:rPr>
            </w:pPr>
          </w:p>
          <w:p w14:paraId="09776C81" w14:textId="0267B37F" w:rsidR="00A90E9C" w:rsidRPr="008A26D2" w:rsidRDefault="00CE5D56" w:rsidP="0072651A">
            <w:pPr>
              <w:spacing w:after="0" w:line="240" w:lineRule="auto"/>
              <w:jc w:val="both"/>
              <w:rPr>
                <w:rFonts w:ascii="Arial" w:eastAsia="Arial Narrow" w:hAnsi="Arial" w:cs="Arial"/>
                <w:sz w:val="20"/>
                <w:szCs w:val="20"/>
              </w:rPr>
            </w:pPr>
            <w:r>
              <w:rPr>
                <w:rFonts w:ascii="Arial" w:eastAsia="Arial Narrow" w:hAnsi="Arial" w:cs="Arial"/>
                <w:sz w:val="20"/>
                <w:szCs w:val="20"/>
              </w:rPr>
              <w:t>La variable NOPRTI se determina a partir de l</w:t>
            </w:r>
            <w:r w:rsidR="00413E4E" w:rsidRPr="008A26D2">
              <w:rPr>
                <w:rFonts w:ascii="Arial" w:eastAsia="Arial Narrow" w:hAnsi="Arial" w:cs="Arial"/>
                <w:sz w:val="20"/>
                <w:szCs w:val="20"/>
              </w:rPr>
              <w:t>os operativos</w:t>
            </w:r>
            <w:r w:rsidR="00A90E9C" w:rsidRPr="008A26D2">
              <w:rPr>
                <w:rFonts w:ascii="Arial" w:eastAsia="Arial Narrow" w:hAnsi="Arial" w:cs="Arial"/>
                <w:sz w:val="20"/>
                <w:szCs w:val="20"/>
              </w:rPr>
              <w:t xml:space="preserve"> policiales realiza</w:t>
            </w:r>
            <w:r w:rsidR="00A77C40">
              <w:rPr>
                <w:rFonts w:ascii="Arial" w:eastAsia="Arial Narrow" w:hAnsi="Arial" w:cs="Arial"/>
                <w:sz w:val="20"/>
                <w:szCs w:val="20"/>
              </w:rPr>
              <w:t>dos</w:t>
            </w:r>
            <w:r w:rsidR="00A90E9C" w:rsidRPr="008A26D2">
              <w:rPr>
                <w:rFonts w:ascii="Arial" w:eastAsia="Arial Narrow" w:hAnsi="Arial" w:cs="Arial"/>
                <w:sz w:val="20"/>
                <w:szCs w:val="20"/>
              </w:rPr>
              <w:t xml:space="preserve"> en la misma o mayor cantidad </w:t>
            </w:r>
            <w:r w:rsidR="00BB360E">
              <w:rPr>
                <w:rFonts w:ascii="Arial" w:eastAsia="Arial Narrow" w:hAnsi="Arial" w:cs="Arial"/>
                <w:sz w:val="20"/>
                <w:szCs w:val="20"/>
              </w:rPr>
              <w:t xml:space="preserve">respecto del </w:t>
            </w:r>
            <w:r w:rsidR="00A90E9C" w:rsidRPr="008A26D2">
              <w:rPr>
                <w:rFonts w:ascii="Arial" w:eastAsia="Arial Narrow" w:hAnsi="Arial" w:cs="Arial"/>
                <w:sz w:val="20"/>
                <w:szCs w:val="20"/>
              </w:rPr>
              <w:t>año anterior</w:t>
            </w:r>
            <w:r w:rsidR="00705ED6">
              <w:rPr>
                <w:rFonts w:ascii="Arial" w:eastAsia="Arial Narrow" w:hAnsi="Arial" w:cs="Arial"/>
                <w:sz w:val="20"/>
                <w:szCs w:val="20"/>
              </w:rPr>
              <w:t>, debiendo realizar al menos 100 operativos al mes</w:t>
            </w:r>
            <w:r w:rsidR="00A90E9C" w:rsidRPr="008A26D2">
              <w:rPr>
                <w:rFonts w:ascii="Arial" w:eastAsia="Arial Narrow" w:hAnsi="Arial" w:cs="Arial"/>
                <w:sz w:val="20"/>
                <w:szCs w:val="20"/>
              </w:rPr>
              <w:t>.</w:t>
            </w:r>
          </w:p>
          <w:p w14:paraId="458A5041" w14:textId="77777777" w:rsidR="00A90E9C" w:rsidRPr="008A26D2" w:rsidRDefault="00A90E9C" w:rsidP="0072651A">
            <w:pPr>
              <w:spacing w:after="0" w:line="240" w:lineRule="auto"/>
              <w:jc w:val="both"/>
              <w:rPr>
                <w:rFonts w:ascii="Arial" w:eastAsia="Arial Narrow" w:hAnsi="Arial" w:cs="Arial"/>
                <w:sz w:val="20"/>
                <w:szCs w:val="20"/>
              </w:rPr>
            </w:pPr>
          </w:p>
          <w:p w14:paraId="66359AB6" w14:textId="77777777" w:rsidR="00A90E9C" w:rsidRPr="008A26D2" w:rsidRDefault="00A90E9C" w:rsidP="0072651A">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Los operativos policiales buscan prevenir, investigar y denunciar los delitos ambientales en materia forestal.</w:t>
            </w:r>
          </w:p>
          <w:p w14:paraId="317D34CD" w14:textId="77777777" w:rsidR="00A90E9C" w:rsidRPr="008A26D2" w:rsidRDefault="00A90E9C" w:rsidP="0072651A">
            <w:pPr>
              <w:spacing w:after="0" w:line="240" w:lineRule="auto"/>
              <w:jc w:val="both"/>
              <w:rPr>
                <w:rFonts w:ascii="Arial" w:eastAsia="Arial Narrow" w:hAnsi="Arial" w:cs="Arial"/>
                <w:sz w:val="20"/>
                <w:szCs w:val="20"/>
              </w:rPr>
            </w:pPr>
          </w:p>
          <w:p w14:paraId="2B5F598A" w14:textId="77777777" w:rsidR="00A90E9C" w:rsidRPr="008A26D2" w:rsidRDefault="00A90E9C" w:rsidP="0072651A">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La preparación de los operativos policiales conlleva a planificar, organizar y coordinar con las autoridades y entidades competentes considerando que la Policía Nacional forma parte de la Comisión Multisectorial Permanente de Lucha Contra la Tala Ilegal (CMLTI).</w:t>
            </w:r>
          </w:p>
          <w:p w14:paraId="03FADE66" w14:textId="77777777" w:rsidR="00A90E9C" w:rsidRPr="008A26D2" w:rsidRDefault="00A90E9C" w:rsidP="0072651A">
            <w:pPr>
              <w:spacing w:after="0" w:line="240" w:lineRule="auto"/>
              <w:jc w:val="both"/>
              <w:rPr>
                <w:rFonts w:ascii="Arial" w:eastAsia="Arial Narrow" w:hAnsi="Arial" w:cs="Arial"/>
                <w:sz w:val="20"/>
                <w:szCs w:val="20"/>
              </w:rPr>
            </w:pPr>
          </w:p>
          <w:p w14:paraId="14F0BD4E" w14:textId="7679E475" w:rsidR="00A90E9C" w:rsidRPr="008A26D2" w:rsidRDefault="00413E4E" w:rsidP="0072651A">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Los operativos</w:t>
            </w:r>
            <w:r w:rsidR="00A90E9C" w:rsidRPr="008A26D2">
              <w:rPr>
                <w:rFonts w:ascii="Arial" w:eastAsia="Arial Narrow" w:hAnsi="Arial" w:cs="Arial"/>
                <w:sz w:val="20"/>
                <w:szCs w:val="20"/>
              </w:rPr>
              <w:t xml:space="preserve"> policiales para reducir la tala ilegal forestal se efectúan a través de las Unidades Desconcentradas de protección de medio ambiente a nivel Nacional. </w:t>
            </w:r>
          </w:p>
          <w:p w14:paraId="409AE0FF" w14:textId="77777777" w:rsidR="00A90E9C" w:rsidRPr="008A26D2" w:rsidRDefault="00A90E9C" w:rsidP="00413E4E">
            <w:pPr>
              <w:spacing w:after="0" w:line="240" w:lineRule="auto"/>
              <w:jc w:val="both"/>
              <w:rPr>
                <w:rFonts w:ascii="Arial" w:hAnsi="Arial" w:cs="Arial"/>
                <w:sz w:val="20"/>
                <w:szCs w:val="20"/>
              </w:rPr>
            </w:pPr>
          </w:p>
        </w:tc>
      </w:tr>
      <w:tr w:rsidR="008A26D2" w:rsidRPr="008A26D2" w14:paraId="4ABC68E5" w14:textId="77777777" w:rsidTr="00F92676">
        <w:trPr>
          <w:trHeight w:val="686"/>
          <w:tblHeader/>
        </w:trPr>
        <w:tc>
          <w:tcPr>
            <w:tcW w:w="2286" w:type="dxa"/>
            <w:gridSpan w:val="4"/>
            <w:shd w:val="clear" w:color="auto" w:fill="auto"/>
            <w:tcMar>
              <w:top w:w="10" w:type="dxa"/>
              <w:left w:w="93" w:type="dxa"/>
              <w:bottom w:w="0" w:type="dxa"/>
              <w:right w:w="10" w:type="dxa"/>
            </w:tcMar>
            <w:vAlign w:val="center"/>
          </w:tcPr>
          <w:p w14:paraId="3EC9EF3D" w14:textId="77777777" w:rsidR="00A90E9C" w:rsidRPr="008A26D2" w:rsidRDefault="00A90E9C" w:rsidP="0072651A">
            <w:pPr>
              <w:spacing w:after="0" w:line="240" w:lineRule="auto"/>
              <w:rPr>
                <w:rFonts w:ascii="Arial" w:hAnsi="Arial" w:cs="Arial"/>
                <w:sz w:val="20"/>
                <w:szCs w:val="20"/>
              </w:rPr>
            </w:pPr>
            <w:r w:rsidRPr="008A26D2">
              <w:rPr>
                <w:rFonts w:ascii="Arial" w:hAnsi="Arial" w:cs="Arial"/>
                <w:b/>
                <w:sz w:val="20"/>
                <w:szCs w:val="20"/>
              </w:rPr>
              <w:t>Sentido esperado del indicador:</w:t>
            </w:r>
          </w:p>
        </w:tc>
        <w:tc>
          <w:tcPr>
            <w:tcW w:w="1683" w:type="dxa"/>
            <w:gridSpan w:val="2"/>
            <w:shd w:val="clear" w:color="auto" w:fill="auto"/>
            <w:tcMar>
              <w:top w:w="10" w:type="dxa"/>
              <w:left w:w="283" w:type="dxa"/>
              <w:bottom w:w="0" w:type="dxa"/>
              <w:right w:w="283" w:type="dxa"/>
            </w:tcMar>
            <w:vAlign w:val="center"/>
          </w:tcPr>
          <w:p w14:paraId="63EBCE26" w14:textId="77777777" w:rsidR="00A90E9C" w:rsidRPr="008A26D2" w:rsidRDefault="00A90E9C" w:rsidP="0072651A">
            <w:pPr>
              <w:spacing w:after="0" w:line="240" w:lineRule="auto"/>
              <w:rPr>
                <w:rFonts w:ascii="Arial" w:hAnsi="Arial" w:cs="Arial"/>
                <w:sz w:val="20"/>
                <w:szCs w:val="20"/>
              </w:rPr>
            </w:pPr>
            <w:r w:rsidRPr="008A26D2">
              <w:rPr>
                <w:rFonts w:ascii="Arial" w:eastAsia="Arial Narrow" w:hAnsi="Arial" w:cs="Arial"/>
                <w:sz w:val="20"/>
                <w:szCs w:val="20"/>
              </w:rPr>
              <w:t>Ascendente</w:t>
            </w:r>
          </w:p>
        </w:tc>
        <w:tc>
          <w:tcPr>
            <w:tcW w:w="2850" w:type="dxa"/>
            <w:gridSpan w:val="4"/>
            <w:shd w:val="clear" w:color="auto" w:fill="auto"/>
            <w:tcMar>
              <w:top w:w="15" w:type="dxa"/>
              <w:left w:w="15" w:type="dxa"/>
              <w:bottom w:w="0" w:type="dxa"/>
              <w:right w:w="15" w:type="dxa"/>
            </w:tcMar>
            <w:vAlign w:val="center"/>
          </w:tcPr>
          <w:p w14:paraId="68508396" w14:textId="77777777" w:rsidR="00A90E9C" w:rsidRPr="008A26D2" w:rsidRDefault="00A90E9C" w:rsidP="0072651A">
            <w:pPr>
              <w:spacing w:after="0" w:line="240" w:lineRule="auto"/>
              <w:rPr>
                <w:rFonts w:ascii="Arial" w:hAnsi="Arial" w:cs="Arial"/>
                <w:sz w:val="20"/>
                <w:szCs w:val="20"/>
              </w:rPr>
            </w:pPr>
            <w:r w:rsidRPr="008A26D2">
              <w:rPr>
                <w:rFonts w:ascii="Arial" w:hAnsi="Arial" w:cs="Arial"/>
                <w:b/>
                <w:sz w:val="20"/>
                <w:szCs w:val="20"/>
              </w:rPr>
              <w:t>Tipo de indicador de servicio:</w:t>
            </w:r>
          </w:p>
        </w:tc>
        <w:tc>
          <w:tcPr>
            <w:tcW w:w="1686" w:type="dxa"/>
            <w:gridSpan w:val="3"/>
            <w:shd w:val="clear" w:color="auto" w:fill="auto"/>
            <w:tcMar>
              <w:top w:w="15" w:type="dxa"/>
              <w:left w:w="15" w:type="dxa"/>
              <w:bottom w:w="0" w:type="dxa"/>
              <w:right w:w="15" w:type="dxa"/>
            </w:tcMar>
            <w:vAlign w:val="center"/>
          </w:tcPr>
          <w:p w14:paraId="73D4EE07" w14:textId="2C44A32F" w:rsidR="00A90E9C" w:rsidRPr="008A26D2" w:rsidRDefault="00A90E9C" w:rsidP="0072651A">
            <w:pPr>
              <w:spacing w:after="0" w:line="240" w:lineRule="auto"/>
              <w:rPr>
                <w:rFonts w:ascii="Arial" w:hAnsi="Arial" w:cs="Arial"/>
                <w:sz w:val="20"/>
                <w:szCs w:val="20"/>
              </w:rPr>
            </w:pPr>
            <w:r w:rsidRPr="008A26D2">
              <w:rPr>
                <w:rFonts w:ascii="Arial" w:eastAsia="Arial Narrow" w:hAnsi="Arial" w:cs="Arial"/>
                <w:sz w:val="20"/>
                <w:szCs w:val="20"/>
              </w:rPr>
              <w:t>Calidad - Continuidad</w:t>
            </w:r>
          </w:p>
        </w:tc>
      </w:tr>
      <w:tr w:rsidR="008A26D2" w:rsidRPr="008A26D2" w14:paraId="340C47BC" w14:textId="77777777" w:rsidTr="00EE08C3">
        <w:trPr>
          <w:trHeight w:val="13"/>
          <w:tblHeader/>
        </w:trPr>
        <w:tc>
          <w:tcPr>
            <w:tcW w:w="2286" w:type="dxa"/>
            <w:gridSpan w:val="4"/>
            <w:shd w:val="clear" w:color="auto" w:fill="auto"/>
            <w:tcMar>
              <w:top w:w="10" w:type="dxa"/>
              <w:left w:w="93" w:type="dxa"/>
              <w:bottom w:w="0" w:type="dxa"/>
              <w:right w:w="10" w:type="dxa"/>
            </w:tcMar>
            <w:vAlign w:val="center"/>
          </w:tcPr>
          <w:p w14:paraId="3910F7D4" w14:textId="77777777" w:rsidR="00A90E9C" w:rsidRPr="008A26D2" w:rsidRDefault="00A90E9C" w:rsidP="0072651A">
            <w:pPr>
              <w:spacing w:after="0" w:line="240" w:lineRule="auto"/>
              <w:rPr>
                <w:rFonts w:ascii="Arial" w:hAnsi="Arial" w:cs="Arial"/>
                <w:sz w:val="20"/>
                <w:szCs w:val="20"/>
              </w:rPr>
            </w:pPr>
            <w:r w:rsidRPr="008A26D2">
              <w:rPr>
                <w:rFonts w:ascii="Arial" w:hAnsi="Arial" w:cs="Arial"/>
                <w:b/>
                <w:sz w:val="20"/>
                <w:szCs w:val="20"/>
              </w:rPr>
              <w:t>Fuente y base de datos:</w:t>
            </w:r>
          </w:p>
        </w:tc>
        <w:tc>
          <w:tcPr>
            <w:tcW w:w="6219" w:type="dxa"/>
            <w:gridSpan w:val="9"/>
            <w:shd w:val="clear" w:color="auto" w:fill="auto"/>
            <w:tcMar>
              <w:top w:w="51" w:type="dxa"/>
              <w:left w:w="227" w:type="dxa"/>
              <w:bottom w:w="51" w:type="dxa"/>
              <w:right w:w="227" w:type="dxa"/>
            </w:tcMar>
            <w:vAlign w:val="center"/>
          </w:tcPr>
          <w:p w14:paraId="5B00434D" w14:textId="1821D100" w:rsidR="00A90E9C" w:rsidRPr="008A26D2" w:rsidRDefault="00A90E9C" w:rsidP="0072651A">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Fuente: Dirección Ejecutiva de Investigación Criminal y Apoyo a la Justicia </w:t>
            </w:r>
            <w:r w:rsidR="003E2263" w:rsidRPr="008A26D2">
              <w:rPr>
                <w:rFonts w:ascii="Arial" w:eastAsia="Arial Narrow" w:hAnsi="Arial" w:cs="Arial"/>
                <w:sz w:val="20"/>
                <w:szCs w:val="20"/>
              </w:rPr>
              <w:t>de la Policía Nacional del Perú</w:t>
            </w:r>
            <w:r w:rsidRPr="008A26D2">
              <w:rPr>
                <w:rFonts w:ascii="Arial" w:eastAsia="Arial Narrow" w:hAnsi="Arial" w:cs="Arial"/>
                <w:sz w:val="20"/>
                <w:szCs w:val="20"/>
              </w:rPr>
              <w:t xml:space="preserve"> </w:t>
            </w:r>
          </w:p>
          <w:p w14:paraId="3422BF29" w14:textId="645BA292" w:rsidR="00A90E9C" w:rsidRPr="008A26D2" w:rsidRDefault="00A90E9C" w:rsidP="0072651A">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Base de datos: Reporte de la División Contra la Tala Ilegal y Protección de Recursos Naturales de la Dirección de Medio Ambiente de la Policía Nacional del Perú</w:t>
            </w:r>
          </w:p>
        </w:tc>
      </w:tr>
      <w:tr w:rsidR="008A26D2" w:rsidRPr="008A26D2" w14:paraId="533ED037" w14:textId="77777777" w:rsidTr="00EE08C3">
        <w:trPr>
          <w:trHeight w:val="436"/>
          <w:tblHeader/>
        </w:trPr>
        <w:tc>
          <w:tcPr>
            <w:tcW w:w="2286" w:type="dxa"/>
            <w:gridSpan w:val="4"/>
            <w:shd w:val="clear" w:color="auto" w:fill="auto"/>
            <w:tcMar>
              <w:top w:w="10" w:type="dxa"/>
              <w:left w:w="93" w:type="dxa"/>
              <w:bottom w:w="0" w:type="dxa"/>
              <w:right w:w="10" w:type="dxa"/>
            </w:tcMar>
            <w:vAlign w:val="center"/>
          </w:tcPr>
          <w:p w14:paraId="5628C7D8" w14:textId="77777777" w:rsidR="00A90E9C" w:rsidRPr="008A26D2" w:rsidRDefault="00A90E9C" w:rsidP="0072651A">
            <w:pPr>
              <w:spacing w:after="0" w:line="240" w:lineRule="auto"/>
              <w:rPr>
                <w:rFonts w:ascii="Arial" w:hAnsi="Arial" w:cs="Arial"/>
                <w:sz w:val="20"/>
                <w:szCs w:val="20"/>
              </w:rPr>
            </w:pPr>
            <w:r w:rsidRPr="008A26D2">
              <w:rPr>
                <w:rFonts w:ascii="Arial" w:hAnsi="Arial" w:cs="Arial"/>
                <w:b/>
                <w:sz w:val="20"/>
                <w:szCs w:val="20"/>
              </w:rPr>
              <w:t>Supuestos:</w:t>
            </w:r>
          </w:p>
        </w:tc>
        <w:tc>
          <w:tcPr>
            <w:tcW w:w="6219" w:type="dxa"/>
            <w:gridSpan w:val="9"/>
            <w:shd w:val="clear" w:color="auto" w:fill="auto"/>
            <w:tcMar>
              <w:top w:w="51" w:type="dxa"/>
              <w:left w:w="227" w:type="dxa"/>
              <w:bottom w:w="51" w:type="dxa"/>
              <w:right w:w="227" w:type="dxa"/>
            </w:tcMar>
            <w:vAlign w:val="center"/>
          </w:tcPr>
          <w:p w14:paraId="6C494DE9" w14:textId="34618694" w:rsidR="00A90E9C" w:rsidRPr="008A26D2" w:rsidRDefault="003E2263" w:rsidP="0072651A">
            <w:pPr>
              <w:spacing w:after="0" w:line="240" w:lineRule="auto"/>
              <w:rPr>
                <w:rFonts w:ascii="Arial" w:eastAsia="Arial Narrow" w:hAnsi="Arial" w:cs="Arial"/>
                <w:sz w:val="20"/>
                <w:szCs w:val="20"/>
              </w:rPr>
            </w:pPr>
            <w:r w:rsidRPr="008A26D2">
              <w:rPr>
                <w:rFonts w:ascii="Arial" w:eastAsia="Arial Narrow" w:hAnsi="Arial" w:cs="Arial"/>
                <w:sz w:val="20"/>
                <w:szCs w:val="20"/>
              </w:rPr>
              <w:t>No presenta supuestos</w:t>
            </w:r>
          </w:p>
        </w:tc>
      </w:tr>
      <w:tr w:rsidR="008A26D2" w:rsidRPr="008A26D2" w14:paraId="5EA88762" w14:textId="77777777" w:rsidTr="00EE08C3">
        <w:trPr>
          <w:trHeight w:val="556"/>
          <w:tblHeader/>
        </w:trPr>
        <w:tc>
          <w:tcPr>
            <w:tcW w:w="567" w:type="dxa"/>
            <w:shd w:val="clear" w:color="auto" w:fill="auto"/>
            <w:tcMar>
              <w:top w:w="10" w:type="dxa"/>
              <w:left w:w="10" w:type="dxa"/>
              <w:bottom w:w="0" w:type="dxa"/>
              <w:right w:w="10" w:type="dxa"/>
            </w:tcMar>
            <w:vAlign w:val="center"/>
          </w:tcPr>
          <w:p w14:paraId="2BC6AF77" w14:textId="77777777" w:rsidR="00A90E9C" w:rsidRPr="008A26D2" w:rsidRDefault="00A90E9C" w:rsidP="0072651A">
            <w:pPr>
              <w:spacing w:after="0" w:line="240" w:lineRule="auto"/>
              <w:rPr>
                <w:rFonts w:ascii="Arial" w:hAnsi="Arial" w:cs="Arial"/>
                <w:sz w:val="20"/>
                <w:szCs w:val="20"/>
              </w:rPr>
            </w:pPr>
            <w:r w:rsidRPr="008A26D2">
              <w:rPr>
                <w:rFonts w:ascii="Arial" w:hAnsi="Arial" w:cs="Arial"/>
                <w:b/>
                <w:sz w:val="20"/>
                <w:szCs w:val="20"/>
              </w:rPr>
              <w:t> </w:t>
            </w:r>
          </w:p>
        </w:tc>
        <w:tc>
          <w:tcPr>
            <w:tcW w:w="851" w:type="dxa"/>
            <w:shd w:val="clear" w:color="auto" w:fill="auto"/>
            <w:tcMar>
              <w:top w:w="10" w:type="dxa"/>
              <w:left w:w="10" w:type="dxa"/>
              <w:bottom w:w="0" w:type="dxa"/>
              <w:right w:w="10" w:type="dxa"/>
            </w:tcMar>
            <w:vAlign w:val="center"/>
          </w:tcPr>
          <w:p w14:paraId="004627C6" w14:textId="77777777" w:rsidR="00A90E9C" w:rsidRPr="008A26D2" w:rsidRDefault="00A90E9C" w:rsidP="0072651A">
            <w:pPr>
              <w:spacing w:after="0" w:line="240" w:lineRule="auto"/>
              <w:jc w:val="center"/>
              <w:rPr>
                <w:rFonts w:ascii="Arial" w:hAnsi="Arial" w:cs="Arial"/>
                <w:sz w:val="20"/>
                <w:szCs w:val="20"/>
              </w:rPr>
            </w:pPr>
            <w:r w:rsidRPr="008A26D2">
              <w:rPr>
                <w:rFonts w:ascii="Arial" w:hAnsi="Arial" w:cs="Arial"/>
                <w:b/>
                <w:sz w:val="20"/>
                <w:szCs w:val="20"/>
              </w:rPr>
              <w:t>Línea de base</w:t>
            </w:r>
          </w:p>
        </w:tc>
        <w:tc>
          <w:tcPr>
            <w:tcW w:w="7087" w:type="dxa"/>
            <w:gridSpan w:val="11"/>
            <w:shd w:val="clear" w:color="auto" w:fill="auto"/>
            <w:tcMar>
              <w:top w:w="10" w:type="dxa"/>
              <w:left w:w="10" w:type="dxa"/>
              <w:bottom w:w="0" w:type="dxa"/>
              <w:right w:w="10" w:type="dxa"/>
            </w:tcMar>
            <w:vAlign w:val="center"/>
          </w:tcPr>
          <w:p w14:paraId="1E708B9B" w14:textId="77777777" w:rsidR="00A90E9C" w:rsidRPr="008A26D2" w:rsidRDefault="00A90E9C" w:rsidP="0072651A">
            <w:pPr>
              <w:spacing w:after="0" w:line="240" w:lineRule="auto"/>
              <w:jc w:val="center"/>
              <w:rPr>
                <w:rFonts w:ascii="Arial" w:hAnsi="Arial" w:cs="Arial"/>
                <w:sz w:val="20"/>
                <w:szCs w:val="20"/>
              </w:rPr>
            </w:pPr>
            <w:r w:rsidRPr="008A26D2">
              <w:rPr>
                <w:rFonts w:ascii="Arial" w:hAnsi="Arial" w:cs="Arial"/>
                <w:b/>
                <w:sz w:val="20"/>
                <w:szCs w:val="20"/>
              </w:rPr>
              <w:t xml:space="preserve">Logros esperados </w:t>
            </w:r>
          </w:p>
        </w:tc>
      </w:tr>
      <w:tr w:rsidR="008A26D2" w:rsidRPr="008A26D2" w14:paraId="3147F923" w14:textId="77777777" w:rsidTr="00EE08C3">
        <w:trPr>
          <w:trHeight w:val="217"/>
          <w:tblHeader/>
        </w:trPr>
        <w:tc>
          <w:tcPr>
            <w:tcW w:w="567" w:type="dxa"/>
            <w:shd w:val="clear" w:color="auto" w:fill="auto"/>
            <w:tcMar>
              <w:top w:w="10" w:type="dxa"/>
              <w:left w:w="10" w:type="dxa"/>
              <w:bottom w:w="0" w:type="dxa"/>
              <w:right w:w="10" w:type="dxa"/>
            </w:tcMar>
            <w:vAlign w:val="center"/>
          </w:tcPr>
          <w:p w14:paraId="025EAD2C" w14:textId="77777777" w:rsidR="00A90E9C" w:rsidRPr="008A26D2" w:rsidRDefault="00A90E9C" w:rsidP="0072651A">
            <w:pPr>
              <w:spacing w:after="0" w:line="240" w:lineRule="auto"/>
              <w:jc w:val="center"/>
              <w:rPr>
                <w:rFonts w:ascii="Arial" w:hAnsi="Arial" w:cs="Arial"/>
                <w:sz w:val="20"/>
                <w:szCs w:val="20"/>
              </w:rPr>
            </w:pPr>
            <w:r w:rsidRPr="008A26D2">
              <w:rPr>
                <w:rFonts w:ascii="Arial" w:hAnsi="Arial" w:cs="Arial"/>
                <w:b/>
                <w:sz w:val="20"/>
                <w:szCs w:val="20"/>
              </w:rPr>
              <w:t>Año</w:t>
            </w:r>
          </w:p>
        </w:tc>
        <w:tc>
          <w:tcPr>
            <w:tcW w:w="851" w:type="dxa"/>
            <w:shd w:val="clear" w:color="auto" w:fill="auto"/>
            <w:tcMar>
              <w:top w:w="10" w:type="dxa"/>
              <w:left w:w="10" w:type="dxa"/>
              <w:bottom w:w="0" w:type="dxa"/>
              <w:right w:w="10" w:type="dxa"/>
            </w:tcMar>
            <w:vAlign w:val="center"/>
          </w:tcPr>
          <w:p w14:paraId="05261A0D" w14:textId="77777777" w:rsidR="00A90E9C" w:rsidRPr="008A26D2" w:rsidRDefault="00A90E9C" w:rsidP="0072651A">
            <w:pPr>
              <w:spacing w:after="0" w:line="240" w:lineRule="auto"/>
              <w:jc w:val="center"/>
              <w:rPr>
                <w:rFonts w:ascii="Arial" w:hAnsi="Arial" w:cs="Arial"/>
                <w:b/>
                <w:sz w:val="20"/>
                <w:szCs w:val="20"/>
              </w:rPr>
            </w:pPr>
            <w:r w:rsidRPr="008A26D2">
              <w:rPr>
                <w:rFonts w:ascii="Arial" w:hAnsi="Arial" w:cs="Arial"/>
                <w:b/>
                <w:sz w:val="20"/>
                <w:szCs w:val="20"/>
              </w:rPr>
              <w:t>2021</w:t>
            </w:r>
          </w:p>
        </w:tc>
        <w:tc>
          <w:tcPr>
            <w:tcW w:w="850" w:type="dxa"/>
            <w:shd w:val="clear" w:color="auto" w:fill="auto"/>
            <w:tcMar>
              <w:top w:w="10" w:type="dxa"/>
              <w:left w:w="10" w:type="dxa"/>
              <w:bottom w:w="0" w:type="dxa"/>
              <w:right w:w="10" w:type="dxa"/>
            </w:tcMar>
            <w:vAlign w:val="center"/>
          </w:tcPr>
          <w:p w14:paraId="21C20685" w14:textId="77777777" w:rsidR="00A90E9C" w:rsidRPr="008A26D2" w:rsidRDefault="00A90E9C" w:rsidP="0072651A">
            <w:pPr>
              <w:spacing w:after="0" w:line="240" w:lineRule="auto"/>
              <w:jc w:val="center"/>
              <w:rPr>
                <w:rFonts w:ascii="Arial" w:hAnsi="Arial" w:cs="Arial"/>
                <w:b/>
                <w:sz w:val="20"/>
                <w:szCs w:val="20"/>
              </w:rPr>
            </w:pPr>
            <w:r w:rsidRPr="008A26D2">
              <w:rPr>
                <w:rFonts w:ascii="Arial" w:hAnsi="Arial" w:cs="Arial"/>
                <w:b/>
                <w:sz w:val="20"/>
                <w:szCs w:val="20"/>
              </w:rPr>
              <w:t>2023</w:t>
            </w:r>
          </w:p>
        </w:tc>
        <w:tc>
          <w:tcPr>
            <w:tcW w:w="1134" w:type="dxa"/>
            <w:gridSpan w:val="2"/>
            <w:shd w:val="clear" w:color="auto" w:fill="auto"/>
            <w:vAlign w:val="center"/>
          </w:tcPr>
          <w:p w14:paraId="2B80E3B7" w14:textId="77777777" w:rsidR="00A90E9C" w:rsidRPr="008A26D2" w:rsidRDefault="00A90E9C" w:rsidP="0072651A">
            <w:pPr>
              <w:spacing w:after="0" w:line="240" w:lineRule="auto"/>
              <w:jc w:val="center"/>
              <w:rPr>
                <w:rFonts w:ascii="Arial" w:hAnsi="Arial" w:cs="Arial"/>
                <w:b/>
                <w:sz w:val="20"/>
                <w:szCs w:val="20"/>
              </w:rPr>
            </w:pPr>
            <w:r w:rsidRPr="008A26D2">
              <w:rPr>
                <w:rFonts w:ascii="Arial" w:hAnsi="Arial" w:cs="Arial"/>
                <w:b/>
                <w:sz w:val="20"/>
                <w:szCs w:val="20"/>
              </w:rPr>
              <w:t>2024</w:t>
            </w:r>
          </w:p>
        </w:tc>
        <w:tc>
          <w:tcPr>
            <w:tcW w:w="993" w:type="dxa"/>
            <w:gridSpan w:val="2"/>
            <w:shd w:val="clear" w:color="auto" w:fill="auto"/>
            <w:vAlign w:val="center"/>
          </w:tcPr>
          <w:p w14:paraId="0AACB20C" w14:textId="77777777" w:rsidR="00A90E9C" w:rsidRPr="008A26D2" w:rsidRDefault="00A90E9C" w:rsidP="0072651A">
            <w:pPr>
              <w:spacing w:after="0" w:line="240" w:lineRule="auto"/>
              <w:jc w:val="center"/>
              <w:rPr>
                <w:rFonts w:ascii="Arial" w:hAnsi="Arial" w:cs="Arial"/>
                <w:b/>
                <w:sz w:val="20"/>
                <w:szCs w:val="20"/>
              </w:rPr>
            </w:pPr>
            <w:r w:rsidRPr="008A26D2">
              <w:rPr>
                <w:rFonts w:ascii="Arial" w:hAnsi="Arial" w:cs="Arial"/>
                <w:b/>
                <w:sz w:val="20"/>
                <w:szCs w:val="20"/>
              </w:rPr>
              <w:t>2025</w:t>
            </w:r>
          </w:p>
        </w:tc>
        <w:tc>
          <w:tcPr>
            <w:tcW w:w="865" w:type="dxa"/>
            <w:shd w:val="clear" w:color="auto" w:fill="auto"/>
            <w:vAlign w:val="center"/>
          </w:tcPr>
          <w:p w14:paraId="1E3727ED" w14:textId="77777777" w:rsidR="00A90E9C" w:rsidRPr="008A26D2" w:rsidRDefault="00A90E9C" w:rsidP="0072651A">
            <w:pPr>
              <w:spacing w:after="0" w:line="240" w:lineRule="auto"/>
              <w:jc w:val="center"/>
              <w:rPr>
                <w:rFonts w:ascii="Arial" w:hAnsi="Arial" w:cs="Arial"/>
                <w:b/>
                <w:sz w:val="20"/>
                <w:szCs w:val="20"/>
              </w:rPr>
            </w:pPr>
            <w:r w:rsidRPr="008A26D2">
              <w:rPr>
                <w:rFonts w:ascii="Arial" w:hAnsi="Arial" w:cs="Arial"/>
                <w:b/>
                <w:sz w:val="20"/>
                <w:szCs w:val="20"/>
              </w:rPr>
              <w:t>2026</w:t>
            </w:r>
          </w:p>
        </w:tc>
        <w:tc>
          <w:tcPr>
            <w:tcW w:w="992" w:type="dxa"/>
            <w:shd w:val="clear" w:color="auto" w:fill="auto"/>
            <w:vAlign w:val="center"/>
          </w:tcPr>
          <w:p w14:paraId="45037BB6" w14:textId="77777777" w:rsidR="00A90E9C" w:rsidRPr="008A26D2" w:rsidRDefault="00A90E9C" w:rsidP="0072651A">
            <w:pPr>
              <w:spacing w:after="0" w:line="240" w:lineRule="auto"/>
              <w:jc w:val="center"/>
              <w:rPr>
                <w:rFonts w:ascii="Arial" w:hAnsi="Arial" w:cs="Arial"/>
                <w:b/>
                <w:sz w:val="20"/>
                <w:szCs w:val="20"/>
              </w:rPr>
            </w:pPr>
            <w:r w:rsidRPr="008A26D2">
              <w:rPr>
                <w:rFonts w:ascii="Arial" w:hAnsi="Arial" w:cs="Arial"/>
                <w:b/>
                <w:sz w:val="20"/>
                <w:szCs w:val="20"/>
              </w:rPr>
              <w:t>2027</w:t>
            </w:r>
          </w:p>
        </w:tc>
        <w:tc>
          <w:tcPr>
            <w:tcW w:w="709" w:type="dxa"/>
            <w:gridSpan w:val="2"/>
            <w:shd w:val="clear" w:color="auto" w:fill="auto"/>
            <w:vAlign w:val="center"/>
          </w:tcPr>
          <w:p w14:paraId="31ADD7B0" w14:textId="77777777" w:rsidR="00A90E9C" w:rsidRPr="008A26D2" w:rsidRDefault="00A90E9C" w:rsidP="0072651A">
            <w:pPr>
              <w:spacing w:after="0" w:line="240" w:lineRule="auto"/>
              <w:jc w:val="center"/>
              <w:rPr>
                <w:rFonts w:ascii="Arial" w:hAnsi="Arial" w:cs="Arial"/>
                <w:b/>
                <w:sz w:val="20"/>
                <w:szCs w:val="20"/>
              </w:rPr>
            </w:pPr>
            <w:r w:rsidRPr="008A26D2">
              <w:rPr>
                <w:rFonts w:ascii="Arial" w:hAnsi="Arial" w:cs="Arial"/>
                <w:b/>
                <w:sz w:val="20"/>
                <w:szCs w:val="20"/>
              </w:rPr>
              <w:t>2028</w:t>
            </w:r>
          </w:p>
        </w:tc>
        <w:tc>
          <w:tcPr>
            <w:tcW w:w="992" w:type="dxa"/>
            <w:shd w:val="clear" w:color="auto" w:fill="auto"/>
            <w:vAlign w:val="center"/>
          </w:tcPr>
          <w:p w14:paraId="75383F92" w14:textId="77777777" w:rsidR="00A90E9C" w:rsidRPr="008A26D2" w:rsidRDefault="00A90E9C" w:rsidP="0072651A">
            <w:pPr>
              <w:spacing w:after="0" w:line="240" w:lineRule="auto"/>
              <w:jc w:val="center"/>
              <w:rPr>
                <w:rFonts w:ascii="Arial" w:hAnsi="Arial" w:cs="Arial"/>
                <w:b/>
                <w:sz w:val="20"/>
                <w:szCs w:val="20"/>
              </w:rPr>
            </w:pPr>
            <w:r w:rsidRPr="008A26D2">
              <w:rPr>
                <w:rFonts w:ascii="Arial" w:hAnsi="Arial" w:cs="Arial"/>
                <w:b/>
                <w:sz w:val="20"/>
                <w:szCs w:val="20"/>
              </w:rPr>
              <w:t>2029</w:t>
            </w:r>
          </w:p>
        </w:tc>
        <w:tc>
          <w:tcPr>
            <w:tcW w:w="552" w:type="dxa"/>
            <w:shd w:val="clear" w:color="auto" w:fill="auto"/>
            <w:tcMar>
              <w:top w:w="10" w:type="dxa"/>
              <w:left w:w="10" w:type="dxa"/>
              <w:bottom w:w="0" w:type="dxa"/>
              <w:right w:w="10" w:type="dxa"/>
            </w:tcMar>
            <w:vAlign w:val="center"/>
          </w:tcPr>
          <w:p w14:paraId="09EBAC91" w14:textId="77777777" w:rsidR="00A90E9C" w:rsidRPr="008A26D2" w:rsidRDefault="00A90E9C" w:rsidP="0072651A">
            <w:pPr>
              <w:spacing w:after="0" w:line="240" w:lineRule="auto"/>
              <w:jc w:val="center"/>
              <w:rPr>
                <w:rFonts w:ascii="Arial" w:hAnsi="Arial" w:cs="Arial"/>
                <w:b/>
                <w:sz w:val="20"/>
                <w:szCs w:val="20"/>
              </w:rPr>
            </w:pPr>
            <w:r w:rsidRPr="008A26D2">
              <w:rPr>
                <w:rFonts w:ascii="Arial" w:hAnsi="Arial" w:cs="Arial"/>
                <w:b/>
                <w:sz w:val="20"/>
                <w:szCs w:val="20"/>
              </w:rPr>
              <w:t>2030</w:t>
            </w:r>
          </w:p>
        </w:tc>
      </w:tr>
      <w:tr w:rsidR="008A26D2" w:rsidRPr="008A26D2" w14:paraId="6DA22D40" w14:textId="77777777" w:rsidTr="00EE08C3">
        <w:trPr>
          <w:trHeight w:val="81"/>
          <w:tblHeader/>
        </w:trPr>
        <w:tc>
          <w:tcPr>
            <w:tcW w:w="567" w:type="dxa"/>
            <w:shd w:val="clear" w:color="auto" w:fill="auto"/>
            <w:tcMar>
              <w:top w:w="10" w:type="dxa"/>
              <w:left w:w="10" w:type="dxa"/>
              <w:bottom w:w="0" w:type="dxa"/>
              <w:right w:w="10" w:type="dxa"/>
            </w:tcMar>
            <w:vAlign w:val="center"/>
          </w:tcPr>
          <w:p w14:paraId="312D91FA" w14:textId="77777777" w:rsidR="00A90E9C" w:rsidRPr="008A26D2" w:rsidRDefault="00A90E9C" w:rsidP="0072651A">
            <w:pPr>
              <w:spacing w:after="0" w:line="240" w:lineRule="auto"/>
              <w:jc w:val="center"/>
              <w:rPr>
                <w:rFonts w:ascii="Arial" w:hAnsi="Arial" w:cs="Arial"/>
                <w:sz w:val="20"/>
                <w:szCs w:val="20"/>
              </w:rPr>
            </w:pPr>
            <w:r w:rsidRPr="008A26D2">
              <w:rPr>
                <w:rFonts w:ascii="Arial" w:hAnsi="Arial" w:cs="Arial"/>
                <w:b/>
                <w:sz w:val="20"/>
                <w:szCs w:val="20"/>
              </w:rPr>
              <w:t>Valor</w:t>
            </w:r>
          </w:p>
        </w:tc>
        <w:tc>
          <w:tcPr>
            <w:tcW w:w="851" w:type="dxa"/>
            <w:shd w:val="clear" w:color="auto" w:fill="auto"/>
            <w:tcMar>
              <w:top w:w="10" w:type="dxa"/>
              <w:left w:w="10" w:type="dxa"/>
              <w:bottom w:w="0" w:type="dxa"/>
              <w:right w:w="10" w:type="dxa"/>
            </w:tcMar>
            <w:vAlign w:val="center"/>
          </w:tcPr>
          <w:p w14:paraId="3C45EAA1" w14:textId="77777777" w:rsidR="00A90E9C" w:rsidRPr="008A26D2" w:rsidRDefault="00A90E9C" w:rsidP="0072651A">
            <w:pPr>
              <w:spacing w:after="0" w:line="240" w:lineRule="auto"/>
              <w:jc w:val="center"/>
              <w:rPr>
                <w:rFonts w:ascii="Arial" w:hAnsi="Arial" w:cs="Arial"/>
                <w:sz w:val="20"/>
                <w:szCs w:val="20"/>
              </w:rPr>
            </w:pPr>
            <w:r w:rsidRPr="008A26D2">
              <w:rPr>
                <w:rFonts w:ascii="Arial" w:eastAsia="Arial Narrow" w:hAnsi="Arial" w:cs="Arial"/>
                <w:sz w:val="20"/>
                <w:szCs w:val="20"/>
              </w:rPr>
              <w:t>1260</w:t>
            </w:r>
          </w:p>
        </w:tc>
        <w:tc>
          <w:tcPr>
            <w:tcW w:w="850" w:type="dxa"/>
            <w:shd w:val="clear" w:color="auto" w:fill="auto"/>
            <w:tcMar>
              <w:top w:w="10" w:type="dxa"/>
              <w:left w:w="10" w:type="dxa"/>
              <w:bottom w:w="0" w:type="dxa"/>
              <w:right w:w="10" w:type="dxa"/>
            </w:tcMar>
            <w:vAlign w:val="bottom"/>
          </w:tcPr>
          <w:p w14:paraId="6146EEEA" w14:textId="77777777" w:rsidR="00A90E9C" w:rsidRPr="008A26D2" w:rsidRDefault="00A90E9C" w:rsidP="0072651A">
            <w:pPr>
              <w:spacing w:after="0" w:line="240" w:lineRule="auto"/>
              <w:jc w:val="center"/>
              <w:rPr>
                <w:rFonts w:ascii="Arial" w:hAnsi="Arial" w:cs="Arial"/>
                <w:sz w:val="20"/>
                <w:szCs w:val="20"/>
              </w:rPr>
            </w:pPr>
            <w:r w:rsidRPr="008A26D2">
              <w:rPr>
                <w:rFonts w:ascii="Arial" w:eastAsia="Arial Narrow" w:hAnsi="Arial" w:cs="Arial"/>
                <w:sz w:val="20"/>
                <w:szCs w:val="20"/>
              </w:rPr>
              <w:t>1225</w:t>
            </w:r>
          </w:p>
        </w:tc>
        <w:tc>
          <w:tcPr>
            <w:tcW w:w="1134" w:type="dxa"/>
            <w:gridSpan w:val="2"/>
            <w:shd w:val="clear" w:color="auto" w:fill="auto"/>
            <w:vAlign w:val="bottom"/>
          </w:tcPr>
          <w:p w14:paraId="79486B55" w14:textId="77777777" w:rsidR="00A90E9C" w:rsidRPr="008A26D2" w:rsidRDefault="00A90E9C" w:rsidP="0072651A">
            <w:pPr>
              <w:spacing w:after="0" w:line="240" w:lineRule="auto"/>
              <w:jc w:val="center"/>
              <w:rPr>
                <w:rFonts w:ascii="Arial" w:hAnsi="Arial" w:cs="Arial"/>
                <w:sz w:val="20"/>
                <w:szCs w:val="20"/>
              </w:rPr>
            </w:pPr>
            <w:r w:rsidRPr="008A26D2">
              <w:rPr>
                <w:rFonts w:ascii="Arial" w:eastAsia="Arial Narrow" w:hAnsi="Arial" w:cs="Arial"/>
                <w:sz w:val="20"/>
                <w:szCs w:val="20"/>
              </w:rPr>
              <w:t>1250</w:t>
            </w:r>
          </w:p>
        </w:tc>
        <w:tc>
          <w:tcPr>
            <w:tcW w:w="993" w:type="dxa"/>
            <w:gridSpan w:val="2"/>
            <w:shd w:val="clear" w:color="auto" w:fill="auto"/>
            <w:vAlign w:val="bottom"/>
          </w:tcPr>
          <w:p w14:paraId="6A4AA465" w14:textId="77777777" w:rsidR="00A90E9C" w:rsidRPr="008A26D2" w:rsidRDefault="00A90E9C" w:rsidP="0072651A">
            <w:pPr>
              <w:spacing w:after="0" w:line="240" w:lineRule="auto"/>
              <w:jc w:val="center"/>
              <w:rPr>
                <w:rFonts w:ascii="Arial" w:hAnsi="Arial" w:cs="Arial"/>
                <w:sz w:val="20"/>
                <w:szCs w:val="20"/>
              </w:rPr>
            </w:pPr>
            <w:r w:rsidRPr="008A26D2">
              <w:rPr>
                <w:rFonts w:ascii="Arial" w:eastAsia="Arial Narrow" w:hAnsi="Arial" w:cs="Arial"/>
                <w:sz w:val="20"/>
                <w:szCs w:val="20"/>
              </w:rPr>
              <w:t>1275</w:t>
            </w:r>
          </w:p>
        </w:tc>
        <w:tc>
          <w:tcPr>
            <w:tcW w:w="865" w:type="dxa"/>
            <w:shd w:val="clear" w:color="auto" w:fill="auto"/>
            <w:vAlign w:val="bottom"/>
          </w:tcPr>
          <w:p w14:paraId="4C91B518" w14:textId="77777777" w:rsidR="00A90E9C" w:rsidRPr="008A26D2" w:rsidRDefault="00A90E9C" w:rsidP="0072651A">
            <w:pPr>
              <w:spacing w:after="0" w:line="240" w:lineRule="auto"/>
              <w:jc w:val="center"/>
              <w:rPr>
                <w:rFonts w:ascii="Arial" w:hAnsi="Arial" w:cs="Arial"/>
                <w:sz w:val="20"/>
                <w:szCs w:val="20"/>
              </w:rPr>
            </w:pPr>
            <w:r w:rsidRPr="008A26D2">
              <w:rPr>
                <w:rFonts w:ascii="Arial" w:eastAsia="Arial Narrow" w:hAnsi="Arial" w:cs="Arial"/>
                <w:sz w:val="20"/>
                <w:szCs w:val="20"/>
              </w:rPr>
              <w:t>1300</w:t>
            </w:r>
          </w:p>
        </w:tc>
        <w:tc>
          <w:tcPr>
            <w:tcW w:w="992" w:type="dxa"/>
            <w:shd w:val="clear" w:color="auto" w:fill="auto"/>
            <w:vAlign w:val="bottom"/>
          </w:tcPr>
          <w:p w14:paraId="0CDD43F8" w14:textId="77777777" w:rsidR="00A90E9C" w:rsidRPr="008A26D2" w:rsidRDefault="00A90E9C" w:rsidP="0072651A">
            <w:pPr>
              <w:spacing w:after="0" w:line="240" w:lineRule="auto"/>
              <w:jc w:val="center"/>
              <w:rPr>
                <w:rFonts w:ascii="Arial" w:hAnsi="Arial" w:cs="Arial"/>
                <w:sz w:val="20"/>
                <w:szCs w:val="20"/>
              </w:rPr>
            </w:pPr>
            <w:r w:rsidRPr="008A26D2">
              <w:rPr>
                <w:rFonts w:ascii="Arial" w:eastAsia="Arial Narrow" w:hAnsi="Arial" w:cs="Arial"/>
                <w:sz w:val="20"/>
                <w:szCs w:val="20"/>
              </w:rPr>
              <w:t>1325</w:t>
            </w:r>
          </w:p>
        </w:tc>
        <w:tc>
          <w:tcPr>
            <w:tcW w:w="709" w:type="dxa"/>
            <w:gridSpan w:val="2"/>
            <w:shd w:val="clear" w:color="auto" w:fill="auto"/>
            <w:vAlign w:val="bottom"/>
          </w:tcPr>
          <w:p w14:paraId="1F854A4D" w14:textId="77777777" w:rsidR="00A90E9C" w:rsidRPr="008A26D2" w:rsidRDefault="00A90E9C" w:rsidP="0072651A">
            <w:pPr>
              <w:spacing w:after="0" w:line="240" w:lineRule="auto"/>
              <w:jc w:val="center"/>
              <w:rPr>
                <w:rFonts w:ascii="Arial" w:hAnsi="Arial" w:cs="Arial"/>
                <w:sz w:val="20"/>
                <w:szCs w:val="20"/>
              </w:rPr>
            </w:pPr>
            <w:r w:rsidRPr="008A26D2">
              <w:rPr>
                <w:rFonts w:ascii="Arial" w:eastAsia="Arial Narrow" w:hAnsi="Arial" w:cs="Arial"/>
                <w:sz w:val="20"/>
                <w:szCs w:val="20"/>
              </w:rPr>
              <w:t>1350</w:t>
            </w:r>
          </w:p>
        </w:tc>
        <w:tc>
          <w:tcPr>
            <w:tcW w:w="992" w:type="dxa"/>
            <w:shd w:val="clear" w:color="auto" w:fill="auto"/>
            <w:vAlign w:val="bottom"/>
          </w:tcPr>
          <w:p w14:paraId="57803135" w14:textId="77777777" w:rsidR="00A90E9C" w:rsidRPr="008A26D2" w:rsidRDefault="00A90E9C" w:rsidP="0072651A">
            <w:pPr>
              <w:spacing w:after="0" w:line="240" w:lineRule="auto"/>
              <w:jc w:val="center"/>
              <w:rPr>
                <w:rFonts w:ascii="Arial" w:hAnsi="Arial" w:cs="Arial"/>
                <w:sz w:val="20"/>
                <w:szCs w:val="20"/>
              </w:rPr>
            </w:pPr>
            <w:r w:rsidRPr="008A26D2">
              <w:rPr>
                <w:rFonts w:ascii="Arial" w:eastAsia="Arial Narrow" w:hAnsi="Arial" w:cs="Arial"/>
                <w:sz w:val="20"/>
                <w:szCs w:val="20"/>
              </w:rPr>
              <w:t>1375</w:t>
            </w:r>
          </w:p>
        </w:tc>
        <w:tc>
          <w:tcPr>
            <w:tcW w:w="552" w:type="dxa"/>
            <w:shd w:val="clear" w:color="auto" w:fill="auto"/>
            <w:tcMar>
              <w:top w:w="10" w:type="dxa"/>
              <w:left w:w="10" w:type="dxa"/>
              <w:bottom w:w="0" w:type="dxa"/>
              <w:right w:w="10" w:type="dxa"/>
            </w:tcMar>
            <w:vAlign w:val="bottom"/>
          </w:tcPr>
          <w:p w14:paraId="6BEC91CC" w14:textId="77777777" w:rsidR="00A90E9C" w:rsidRPr="008A26D2" w:rsidRDefault="00A90E9C" w:rsidP="0072651A">
            <w:pPr>
              <w:spacing w:after="0" w:line="240" w:lineRule="auto"/>
              <w:jc w:val="center"/>
              <w:rPr>
                <w:rFonts w:ascii="Arial" w:hAnsi="Arial" w:cs="Arial"/>
                <w:sz w:val="20"/>
                <w:szCs w:val="20"/>
              </w:rPr>
            </w:pPr>
            <w:r w:rsidRPr="008A26D2">
              <w:rPr>
                <w:rFonts w:ascii="Arial" w:eastAsia="Arial Narrow" w:hAnsi="Arial" w:cs="Arial"/>
                <w:sz w:val="20"/>
                <w:szCs w:val="20"/>
              </w:rPr>
              <w:t>1400</w:t>
            </w:r>
          </w:p>
        </w:tc>
      </w:tr>
      <w:bookmarkEnd w:id="18"/>
    </w:tbl>
    <w:p w14:paraId="4F15A010" w14:textId="77777777" w:rsidR="00EE08C3" w:rsidRPr="008A26D2" w:rsidRDefault="00EE08C3"/>
    <w:tbl>
      <w:tblPr>
        <w:tblW w:w="864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851"/>
        <w:gridCol w:w="709"/>
        <w:gridCol w:w="159"/>
        <w:gridCol w:w="975"/>
        <w:gridCol w:w="850"/>
        <w:gridCol w:w="142"/>
        <w:gridCol w:w="992"/>
        <w:gridCol w:w="851"/>
        <w:gridCol w:w="723"/>
        <w:gridCol w:w="127"/>
        <w:gridCol w:w="851"/>
        <w:gridCol w:w="708"/>
      </w:tblGrid>
      <w:tr w:rsidR="008A26D2" w:rsidRPr="008A26D2" w14:paraId="6C772AF3" w14:textId="77777777" w:rsidTr="00EE08C3">
        <w:trPr>
          <w:trHeight w:val="251"/>
          <w:tblHeader/>
        </w:trPr>
        <w:tc>
          <w:tcPr>
            <w:tcW w:w="8647" w:type="dxa"/>
            <w:gridSpan w:val="13"/>
            <w:shd w:val="clear" w:color="auto" w:fill="D9D9D9" w:themeFill="background1" w:themeFillShade="D9"/>
            <w:tcMar>
              <w:top w:w="10" w:type="dxa"/>
              <w:left w:w="10" w:type="dxa"/>
              <w:bottom w:w="0" w:type="dxa"/>
              <w:right w:w="10" w:type="dxa"/>
            </w:tcMar>
            <w:vAlign w:val="center"/>
          </w:tcPr>
          <w:p w14:paraId="2F6262DB" w14:textId="4E7A9AE9" w:rsidR="00A90E9C" w:rsidRPr="008A26D2" w:rsidRDefault="00A90E9C" w:rsidP="00147D2E">
            <w:pPr>
              <w:jc w:val="center"/>
              <w:rPr>
                <w:rFonts w:ascii="Arial" w:hAnsi="Arial" w:cs="Arial"/>
                <w:sz w:val="20"/>
                <w:szCs w:val="20"/>
              </w:rPr>
            </w:pPr>
            <w:bookmarkStart w:id="19" w:name="_Hlk135665772"/>
            <w:r w:rsidRPr="008A26D2">
              <w:rPr>
                <w:rFonts w:ascii="Arial" w:hAnsi="Arial" w:cs="Arial"/>
                <w:sz w:val="20"/>
                <w:szCs w:val="20"/>
              </w:rPr>
              <w:lastRenderedPageBreak/>
              <w:br w:type="page"/>
            </w:r>
            <w:r w:rsidRPr="008A26D2">
              <w:rPr>
                <w:rFonts w:ascii="Arial" w:hAnsi="Arial" w:cs="Arial"/>
                <w:b/>
                <w:sz w:val="20"/>
                <w:szCs w:val="20"/>
              </w:rPr>
              <w:t>FICHA TÉCNICA DE INDICADOR DE SERVICIO 1.9.</w:t>
            </w:r>
            <w:r w:rsidR="00F92676" w:rsidRPr="008A26D2">
              <w:rPr>
                <w:rFonts w:ascii="Arial" w:hAnsi="Arial" w:cs="Arial"/>
                <w:b/>
                <w:sz w:val="20"/>
                <w:szCs w:val="20"/>
              </w:rPr>
              <w:t>3</w:t>
            </w:r>
          </w:p>
        </w:tc>
      </w:tr>
      <w:tr w:rsidR="008A26D2" w:rsidRPr="008A26D2" w14:paraId="5001AB73" w14:textId="77777777" w:rsidTr="00EE08C3">
        <w:trPr>
          <w:trHeight w:val="409"/>
          <w:tblHeader/>
        </w:trPr>
        <w:tc>
          <w:tcPr>
            <w:tcW w:w="2428" w:type="dxa"/>
            <w:gridSpan w:val="4"/>
            <w:shd w:val="clear" w:color="auto" w:fill="FFFFFF"/>
            <w:tcMar>
              <w:top w:w="10" w:type="dxa"/>
              <w:left w:w="93" w:type="dxa"/>
              <w:bottom w:w="0" w:type="dxa"/>
              <w:right w:w="10" w:type="dxa"/>
            </w:tcMar>
            <w:vAlign w:val="center"/>
          </w:tcPr>
          <w:p w14:paraId="32B79062" w14:textId="77777777" w:rsidR="00A90E9C" w:rsidRPr="008A26D2" w:rsidRDefault="00A90E9C" w:rsidP="00147D2E">
            <w:pPr>
              <w:spacing w:after="0" w:line="240" w:lineRule="auto"/>
              <w:jc w:val="both"/>
              <w:rPr>
                <w:rFonts w:ascii="Arial" w:hAnsi="Arial" w:cs="Arial"/>
                <w:sz w:val="20"/>
                <w:szCs w:val="20"/>
              </w:rPr>
            </w:pPr>
            <w:r w:rsidRPr="008A26D2">
              <w:rPr>
                <w:rFonts w:ascii="Arial" w:hAnsi="Arial" w:cs="Arial"/>
                <w:b/>
                <w:sz w:val="20"/>
                <w:szCs w:val="20"/>
              </w:rPr>
              <w:t>Objetivo prioritario:</w:t>
            </w:r>
          </w:p>
        </w:tc>
        <w:tc>
          <w:tcPr>
            <w:tcW w:w="6219" w:type="dxa"/>
            <w:gridSpan w:val="9"/>
            <w:shd w:val="clear" w:color="auto" w:fill="FFFFFF"/>
            <w:tcMar>
              <w:top w:w="51" w:type="dxa"/>
              <w:left w:w="227" w:type="dxa"/>
              <w:bottom w:w="51" w:type="dxa"/>
              <w:right w:w="227" w:type="dxa"/>
            </w:tcMar>
            <w:vAlign w:val="center"/>
          </w:tcPr>
          <w:p w14:paraId="472ACCDA" w14:textId="77777777" w:rsidR="00A90E9C" w:rsidRPr="008A26D2" w:rsidRDefault="00A90E9C" w:rsidP="00147D2E">
            <w:pPr>
              <w:spacing w:after="0" w:line="240" w:lineRule="auto"/>
              <w:jc w:val="both"/>
              <w:rPr>
                <w:rFonts w:ascii="Arial" w:hAnsi="Arial" w:cs="Arial"/>
                <w:sz w:val="20"/>
                <w:szCs w:val="20"/>
              </w:rPr>
            </w:pPr>
            <w:r w:rsidRPr="008A26D2">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r>
      <w:tr w:rsidR="008A26D2" w:rsidRPr="008A26D2" w14:paraId="1CDEF4F7" w14:textId="77777777" w:rsidTr="00EE08C3">
        <w:trPr>
          <w:trHeight w:val="436"/>
          <w:tblHeader/>
        </w:trPr>
        <w:tc>
          <w:tcPr>
            <w:tcW w:w="2428" w:type="dxa"/>
            <w:gridSpan w:val="4"/>
            <w:shd w:val="clear" w:color="auto" w:fill="auto"/>
            <w:tcMar>
              <w:top w:w="10" w:type="dxa"/>
              <w:left w:w="93" w:type="dxa"/>
              <w:bottom w:w="0" w:type="dxa"/>
              <w:right w:w="10" w:type="dxa"/>
            </w:tcMar>
            <w:vAlign w:val="center"/>
          </w:tcPr>
          <w:p w14:paraId="6B1B35F6" w14:textId="77777777" w:rsidR="00A90E9C" w:rsidRPr="008A26D2" w:rsidRDefault="00A90E9C" w:rsidP="00147D2E">
            <w:pPr>
              <w:spacing w:after="0" w:line="240" w:lineRule="auto"/>
              <w:jc w:val="both"/>
              <w:rPr>
                <w:rFonts w:ascii="Arial" w:hAnsi="Arial" w:cs="Arial"/>
                <w:sz w:val="20"/>
                <w:szCs w:val="20"/>
              </w:rPr>
            </w:pPr>
            <w:r w:rsidRPr="008A26D2">
              <w:rPr>
                <w:rFonts w:ascii="Arial" w:hAnsi="Arial" w:cs="Arial"/>
                <w:b/>
                <w:sz w:val="20"/>
                <w:szCs w:val="20"/>
              </w:rPr>
              <w:t>Lineamiento de la política:</w:t>
            </w:r>
          </w:p>
        </w:tc>
        <w:tc>
          <w:tcPr>
            <w:tcW w:w="6219" w:type="dxa"/>
            <w:gridSpan w:val="9"/>
            <w:shd w:val="clear" w:color="auto" w:fill="auto"/>
            <w:tcMar>
              <w:top w:w="51" w:type="dxa"/>
              <w:left w:w="227" w:type="dxa"/>
              <w:bottom w:w="51" w:type="dxa"/>
              <w:right w:w="227" w:type="dxa"/>
            </w:tcMar>
            <w:vAlign w:val="center"/>
          </w:tcPr>
          <w:p w14:paraId="0DF220BF" w14:textId="77777777" w:rsidR="00A90E9C" w:rsidRPr="008A26D2" w:rsidRDefault="00A90E9C" w:rsidP="00147D2E">
            <w:pPr>
              <w:spacing w:after="0" w:line="240" w:lineRule="auto"/>
              <w:jc w:val="both"/>
              <w:rPr>
                <w:rFonts w:ascii="Arial" w:hAnsi="Arial" w:cs="Arial"/>
                <w:sz w:val="20"/>
                <w:szCs w:val="20"/>
              </w:rPr>
            </w:pPr>
            <w:r w:rsidRPr="008A26D2">
              <w:rPr>
                <w:rFonts w:ascii="Arial" w:eastAsia="Arial Narrow" w:hAnsi="Arial" w:cs="Arial"/>
                <w:sz w:val="20"/>
                <w:szCs w:val="20"/>
              </w:rPr>
              <w:t>L1.9 Reducir los niveles de tala ilegal, caza furtiva y del tráfico ilegal forestal y de fauna silvestre.</w:t>
            </w:r>
          </w:p>
        </w:tc>
      </w:tr>
      <w:tr w:rsidR="008A26D2" w:rsidRPr="008A26D2" w14:paraId="78C46797" w14:textId="77777777" w:rsidTr="00EE08C3">
        <w:trPr>
          <w:trHeight w:val="404"/>
          <w:tblHeader/>
        </w:trPr>
        <w:tc>
          <w:tcPr>
            <w:tcW w:w="2428" w:type="dxa"/>
            <w:gridSpan w:val="4"/>
            <w:shd w:val="clear" w:color="auto" w:fill="auto"/>
            <w:tcMar>
              <w:top w:w="10" w:type="dxa"/>
              <w:left w:w="93" w:type="dxa"/>
              <w:bottom w:w="0" w:type="dxa"/>
              <w:right w:w="10" w:type="dxa"/>
            </w:tcMar>
            <w:vAlign w:val="center"/>
          </w:tcPr>
          <w:p w14:paraId="30685656" w14:textId="77777777" w:rsidR="00A90E9C" w:rsidRPr="008A26D2" w:rsidRDefault="00A90E9C" w:rsidP="00147D2E">
            <w:pPr>
              <w:spacing w:after="0" w:line="240" w:lineRule="auto"/>
              <w:jc w:val="both"/>
              <w:rPr>
                <w:rFonts w:ascii="Arial" w:hAnsi="Arial" w:cs="Arial"/>
                <w:sz w:val="20"/>
                <w:szCs w:val="20"/>
              </w:rPr>
            </w:pPr>
            <w:r w:rsidRPr="008A26D2">
              <w:rPr>
                <w:rFonts w:ascii="Arial" w:hAnsi="Arial" w:cs="Arial"/>
                <w:b/>
                <w:sz w:val="20"/>
                <w:szCs w:val="20"/>
              </w:rPr>
              <w:t>Nombre del servicio:</w:t>
            </w:r>
          </w:p>
        </w:tc>
        <w:tc>
          <w:tcPr>
            <w:tcW w:w="6219" w:type="dxa"/>
            <w:gridSpan w:val="9"/>
            <w:shd w:val="clear" w:color="auto" w:fill="auto"/>
            <w:tcMar>
              <w:top w:w="51" w:type="dxa"/>
              <w:left w:w="227" w:type="dxa"/>
              <w:bottom w:w="51" w:type="dxa"/>
              <w:right w:w="227" w:type="dxa"/>
            </w:tcMar>
            <w:vAlign w:val="center"/>
          </w:tcPr>
          <w:p w14:paraId="2DC4FA55" w14:textId="1D6C235B" w:rsidR="00A90E9C" w:rsidRPr="008A26D2" w:rsidRDefault="00A90E9C" w:rsidP="00147D2E">
            <w:pPr>
              <w:spacing w:after="0" w:line="240" w:lineRule="auto"/>
              <w:jc w:val="both"/>
              <w:rPr>
                <w:rFonts w:ascii="Arial" w:hAnsi="Arial" w:cs="Arial"/>
                <w:sz w:val="20"/>
                <w:szCs w:val="20"/>
              </w:rPr>
            </w:pPr>
            <w:r w:rsidRPr="008A26D2">
              <w:rPr>
                <w:rFonts w:ascii="Arial" w:eastAsia="Arial Narrow" w:hAnsi="Arial" w:cs="Arial"/>
                <w:sz w:val="20"/>
                <w:szCs w:val="20"/>
              </w:rPr>
              <w:t>S1.9.</w:t>
            </w:r>
            <w:r w:rsidR="00F92676" w:rsidRPr="008A26D2">
              <w:rPr>
                <w:rFonts w:ascii="Arial" w:eastAsia="Arial Narrow" w:hAnsi="Arial" w:cs="Arial"/>
                <w:sz w:val="20"/>
                <w:szCs w:val="20"/>
              </w:rPr>
              <w:t>3</w:t>
            </w:r>
            <w:r w:rsidRPr="008A26D2">
              <w:rPr>
                <w:rFonts w:ascii="Arial" w:eastAsia="Arial Narrow" w:hAnsi="Arial" w:cs="Arial"/>
                <w:sz w:val="20"/>
                <w:szCs w:val="20"/>
              </w:rPr>
              <w:t xml:space="preserve"> Operaciones policiales para contrarrestar la comisión de delitos y faltas en desmedro de la fauna silvestre de forma permanente para beneficio de la población.</w:t>
            </w:r>
          </w:p>
        </w:tc>
      </w:tr>
      <w:tr w:rsidR="008A26D2" w:rsidRPr="008A26D2" w14:paraId="62053405" w14:textId="77777777" w:rsidTr="00EE08C3">
        <w:trPr>
          <w:trHeight w:val="577"/>
          <w:tblHeader/>
        </w:trPr>
        <w:tc>
          <w:tcPr>
            <w:tcW w:w="2428" w:type="dxa"/>
            <w:gridSpan w:val="4"/>
            <w:shd w:val="clear" w:color="auto" w:fill="auto"/>
            <w:tcMar>
              <w:top w:w="10" w:type="dxa"/>
              <w:left w:w="93" w:type="dxa"/>
              <w:bottom w:w="0" w:type="dxa"/>
              <w:right w:w="10" w:type="dxa"/>
            </w:tcMar>
            <w:vAlign w:val="center"/>
          </w:tcPr>
          <w:p w14:paraId="21C70E75" w14:textId="77777777" w:rsidR="00A90E9C" w:rsidRPr="008A26D2" w:rsidRDefault="00A90E9C" w:rsidP="00147D2E">
            <w:pPr>
              <w:spacing w:after="0" w:line="240" w:lineRule="auto"/>
              <w:jc w:val="both"/>
              <w:rPr>
                <w:rFonts w:ascii="Arial" w:hAnsi="Arial" w:cs="Arial"/>
                <w:sz w:val="20"/>
                <w:szCs w:val="20"/>
              </w:rPr>
            </w:pPr>
            <w:r w:rsidRPr="008A26D2">
              <w:rPr>
                <w:rFonts w:ascii="Arial" w:hAnsi="Arial" w:cs="Arial"/>
                <w:b/>
                <w:sz w:val="20"/>
                <w:szCs w:val="20"/>
              </w:rPr>
              <w:t>Nombre del indicador:</w:t>
            </w:r>
          </w:p>
        </w:tc>
        <w:tc>
          <w:tcPr>
            <w:tcW w:w="6219" w:type="dxa"/>
            <w:gridSpan w:val="9"/>
            <w:shd w:val="clear" w:color="auto" w:fill="auto"/>
            <w:tcMar>
              <w:top w:w="51" w:type="dxa"/>
              <w:left w:w="227" w:type="dxa"/>
              <w:bottom w:w="51" w:type="dxa"/>
              <w:right w:w="227" w:type="dxa"/>
            </w:tcMar>
            <w:vAlign w:val="center"/>
          </w:tcPr>
          <w:p w14:paraId="6C82690E" w14:textId="071BA47E" w:rsidR="00A90E9C" w:rsidRPr="008A26D2" w:rsidRDefault="00A90E9C" w:rsidP="00147D2E">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Número de operativos policiales para reducir el tráfico ilegal de fauna silvestre </w:t>
            </w:r>
            <w:r w:rsidR="00930955">
              <w:rPr>
                <w:rFonts w:ascii="Arial" w:eastAsia="Arial Narrow" w:hAnsi="Arial" w:cs="Arial"/>
                <w:sz w:val="20"/>
                <w:szCs w:val="20"/>
              </w:rPr>
              <w:t xml:space="preserve">realizados </w:t>
            </w:r>
            <w:r w:rsidRPr="008A26D2">
              <w:rPr>
                <w:rFonts w:ascii="Arial" w:eastAsia="Arial Narrow" w:hAnsi="Arial" w:cs="Arial"/>
                <w:sz w:val="20"/>
                <w:szCs w:val="20"/>
              </w:rPr>
              <w:t>de forma continua</w:t>
            </w:r>
          </w:p>
        </w:tc>
      </w:tr>
      <w:tr w:rsidR="008A26D2" w:rsidRPr="008A26D2" w14:paraId="7C9A8D94" w14:textId="77777777" w:rsidTr="00EE08C3">
        <w:trPr>
          <w:trHeight w:val="577"/>
          <w:tblHeader/>
        </w:trPr>
        <w:tc>
          <w:tcPr>
            <w:tcW w:w="2428" w:type="dxa"/>
            <w:gridSpan w:val="4"/>
            <w:shd w:val="clear" w:color="auto" w:fill="auto"/>
            <w:tcMar>
              <w:top w:w="10" w:type="dxa"/>
              <w:left w:w="93" w:type="dxa"/>
              <w:bottom w:w="0" w:type="dxa"/>
              <w:right w:w="10" w:type="dxa"/>
            </w:tcMar>
            <w:vAlign w:val="center"/>
          </w:tcPr>
          <w:p w14:paraId="7CA9A06B" w14:textId="77777777" w:rsidR="00A90E9C" w:rsidRPr="008A26D2" w:rsidRDefault="00A90E9C" w:rsidP="00147D2E">
            <w:pPr>
              <w:spacing w:after="0" w:line="240" w:lineRule="auto"/>
              <w:jc w:val="both"/>
              <w:rPr>
                <w:rFonts w:ascii="Arial" w:hAnsi="Arial" w:cs="Arial"/>
                <w:sz w:val="20"/>
                <w:szCs w:val="20"/>
              </w:rPr>
            </w:pPr>
            <w:r w:rsidRPr="008A26D2">
              <w:rPr>
                <w:rFonts w:ascii="Arial" w:hAnsi="Arial" w:cs="Arial"/>
                <w:b/>
                <w:sz w:val="20"/>
                <w:szCs w:val="20"/>
              </w:rPr>
              <w:t>Justificación:</w:t>
            </w:r>
          </w:p>
        </w:tc>
        <w:tc>
          <w:tcPr>
            <w:tcW w:w="6219" w:type="dxa"/>
            <w:gridSpan w:val="9"/>
            <w:shd w:val="clear" w:color="auto" w:fill="auto"/>
            <w:tcMar>
              <w:top w:w="51" w:type="dxa"/>
              <w:left w:w="227" w:type="dxa"/>
              <w:bottom w:w="51" w:type="dxa"/>
              <w:right w:w="227" w:type="dxa"/>
            </w:tcMar>
            <w:vAlign w:val="center"/>
          </w:tcPr>
          <w:p w14:paraId="127C2BB3" w14:textId="77777777" w:rsidR="00A90E9C" w:rsidRPr="008A26D2" w:rsidRDefault="00A90E9C" w:rsidP="00147D2E">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Mediante el presente indicador se podrá visibilizar las operaciones policiales tendientes a reducir el tráfico ilegal de fauna silvestre.</w:t>
            </w:r>
          </w:p>
          <w:p w14:paraId="40A52B33" w14:textId="77777777" w:rsidR="00A90E9C" w:rsidRPr="008A26D2" w:rsidRDefault="00A90E9C" w:rsidP="00147D2E">
            <w:pPr>
              <w:spacing w:after="0" w:line="240" w:lineRule="auto"/>
              <w:jc w:val="both"/>
              <w:rPr>
                <w:rFonts w:ascii="Arial" w:eastAsia="Arial Narrow" w:hAnsi="Arial" w:cs="Arial"/>
                <w:sz w:val="20"/>
                <w:szCs w:val="20"/>
              </w:rPr>
            </w:pPr>
          </w:p>
          <w:p w14:paraId="1B770DB5" w14:textId="77777777" w:rsidR="00A90E9C" w:rsidRPr="008A26D2" w:rsidRDefault="00A90E9C" w:rsidP="00147D2E">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Tiene carácter persuasivo y conlleva a la aplicación de las normas sobre las actividades humanas que generan afectación a la fauna silvestre.</w:t>
            </w:r>
          </w:p>
          <w:p w14:paraId="4155ABDA" w14:textId="77777777" w:rsidR="00A90E9C" w:rsidRPr="008A26D2" w:rsidRDefault="00A90E9C" w:rsidP="00147D2E">
            <w:pPr>
              <w:pBdr>
                <w:top w:val="nil"/>
                <w:left w:val="nil"/>
                <w:bottom w:val="nil"/>
                <w:right w:val="nil"/>
                <w:between w:val="nil"/>
              </w:pBdr>
              <w:spacing w:after="0" w:line="240" w:lineRule="auto"/>
              <w:jc w:val="both"/>
              <w:rPr>
                <w:rFonts w:ascii="Arial" w:eastAsia="Arial Narrow" w:hAnsi="Arial" w:cs="Arial"/>
                <w:sz w:val="20"/>
                <w:szCs w:val="20"/>
              </w:rPr>
            </w:pPr>
          </w:p>
          <w:p w14:paraId="0EAE8E89" w14:textId="77777777" w:rsidR="00A90E9C" w:rsidRPr="008A26D2" w:rsidRDefault="00A90E9C" w:rsidP="00147D2E">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La continuidad del servicio se encuentra garantizada por las competencias de la Policía Nacional del Perú a través de sus Unidades Especializadas.</w:t>
            </w:r>
          </w:p>
          <w:p w14:paraId="599EC40F" w14:textId="77777777" w:rsidR="00A90E9C" w:rsidRPr="008A26D2" w:rsidRDefault="00A90E9C" w:rsidP="00147D2E">
            <w:pPr>
              <w:spacing w:after="0" w:line="240" w:lineRule="auto"/>
              <w:jc w:val="both"/>
              <w:rPr>
                <w:rFonts w:ascii="Arial" w:hAnsi="Arial" w:cs="Arial"/>
                <w:sz w:val="20"/>
                <w:szCs w:val="20"/>
              </w:rPr>
            </w:pPr>
          </w:p>
          <w:p w14:paraId="3AD44652" w14:textId="1C7D8620" w:rsidR="00A90E9C" w:rsidRPr="008A26D2" w:rsidRDefault="00A90E9C" w:rsidP="00147D2E">
            <w:pPr>
              <w:spacing w:after="0" w:line="240" w:lineRule="auto"/>
              <w:jc w:val="both"/>
              <w:rPr>
                <w:rFonts w:ascii="Arial" w:eastAsia="Arial Narrow" w:hAnsi="Arial" w:cs="Arial"/>
                <w:sz w:val="20"/>
                <w:szCs w:val="20"/>
              </w:rPr>
            </w:pPr>
            <w:r w:rsidRPr="008A26D2">
              <w:rPr>
                <w:rFonts w:ascii="Arial" w:hAnsi="Arial" w:cs="Arial"/>
                <w:sz w:val="20"/>
                <w:szCs w:val="20"/>
              </w:rPr>
              <w:t>Las operaciones policiales se encuentran contempladas en el P</w:t>
            </w:r>
            <w:r w:rsidR="00EE08C3" w:rsidRPr="008A26D2">
              <w:rPr>
                <w:rFonts w:ascii="Arial" w:hAnsi="Arial" w:cs="Arial"/>
                <w:sz w:val="20"/>
                <w:szCs w:val="20"/>
              </w:rPr>
              <w:t>lan Operativo Institucional</w:t>
            </w:r>
            <w:r w:rsidRPr="008A26D2">
              <w:rPr>
                <w:rFonts w:ascii="Arial" w:hAnsi="Arial" w:cs="Arial"/>
                <w:sz w:val="20"/>
                <w:szCs w:val="20"/>
              </w:rPr>
              <w:t xml:space="preserve"> Multianual y se alinean a las acciones estratégicas del </w:t>
            </w:r>
            <w:r w:rsidR="00EE08C3" w:rsidRPr="008A26D2">
              <w:rPr>
                <w:rFonts w:ascii="Arial" w:hAnsi="Arial" w:cs="Arial"/>
                <w:sz w:val="20"/>
                <w:szCs w:val="20"/>
              </w:rPr>
              <w:t>Plan Estratégico Institucional</w:t>
            </w:r>
            <w:r w:rsidRPr="008A26D2">
              <w:rPr>
                <w:rFonts w:ascii="Arial" w:hAnsi="Arial" w:cs="Arial"/>
                <w:sz w:val="20"/>
                <w:szCs w:val="20"/>
              </w:rPr>
              <w:t xml:space="preserve"> vigente.  </w:t>
            </w:r>
          </w:p>
        </w:tc>
      </w:tr>
      <w:tr w:rsidR="008A26D2" w:rsidRPr="008A26D2" w14:paraId="6891F0CB" w14:textId="77777777" w:rsidTr="00EE08C3">
        <w:trPr>
          <w:trHeight w:val="352"/>
          <w:tblHeader/>
        </w:trPr>
        <w:tc>
          <w:tcPr>
            <w:tcW w:w="2428" w:type="dxa"/>
            <w:gridSpan w:val="4"/>
            <w:shd w:val="clear" w:color="auto" w:fill="auto"/>
            <w:tcMar>
              <w:top w:w="10" w:type="dxa"/>
              <w:left w:w="93" w:type="dxa"/>
              <w:bottom w:w="0" w:type="dxa"/>
              <w:right w:w="10" w:type="dxa"/>
            </w:tcMar>
            <w:vAlign w:val="center"/>
          </w:tcPr>
          <w:p w14:paraId="50366625" w14:textId="77777777" w:rsidR="00A90E9C" w:rsidRPr="008A26D2" w:rsidRDefault="00A90E9C" w:rsidP="00147D2E">
            <w:pPr>
              <w:spacing w:after="0" w:line="240" w:lineRule="auto"/>
              <w:jc w:val="both"/>
              <w:rPr>
                <w:rFonts w:ascii="Arial" w:hAnsi="Arial" w:cs="Arial"/>
                <w:sz w:val="20"/>
                <w:szCs w:val="20"/>
              </w:rPr>
            </w:pPr>
            <w:r w:rsidRPr="008A26D2">
              <w:rPr>
                <w:rFonts w:ascii="Arial" w:hAnsi="Arial" w:cs="Arial"/>
                <w:b/>
                <w:sz w:val="20"/>
                <w:szCs w:val="20"/>
              </w:rPr>
              <w:t>Responsable del indicador:</w:t>
            </w:r>
          </w:p>
        </w:tc>
        <w:tc>
          <w:tcPr>
            <w:tcW w:w="6219" w:type="dxa"/>
            <w:gridSpan w:val="9"/>
            <w:shd w:val="clear" w:color="auto" w:fill="auto"/>
            <w:tcMar>
              <w:top w:w="51" w:type="dxa"/>
              <w:left w:w="227" w:type="dxa"/>
              <w:bottom w:w="51" w:type="dxa"/>
              <w:right w:w="227" w:type="dxa"/>
            </w:tcMar>
            <w:vAlign w:val="center"/>
          </w:tcPr>
          <w:p w14:paraId="51F96B30" w14:textId="57573AB6" w:rsidR="00A90E9C" w:rsidRPr="008A26D2" w:rsidRDefault="00413E4E" w:rsidP="00147D2E">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Dirección de Medio Ambiente de la </w:t>
            </w:r>
            <w:r w:rsidR="00A90E9C" w:rsidRPr="008A26D2">
              <w:rPr>
                <w:rFonts w:ascii="Arial" w:eastAsia="Arial Narrow" w:hAnsi="Arial" w:cs="Arial"/>
                <w:sz w:val="20"/>
                <w:szCs w:val="20"/>
              </w:rPr>
              <w:t xml:space="preserve">Policía Nacional del Perú </w:t>
            </w:r>
            <w:r w:rsidRPr="008A26D2">
              <w:rPr>
                <w:rFonts w:ascii="Arial" w:eastAsia="Arial Narrow" w:hAnsi="Arial" w:cs="Arial"/>
                <w:sz w:val="20"/>
                <w:szCs w:val="20"/>
              </w:rPr>
              <w:t>– Ministerio del Interior</w:t>
            </w:r>
          </w:p>
        </w:tc>
      </w:tr>
      <w:tr w:rsidR="008A26D2" w:rsidRPr="008A26D2" w14:paraId="3280B9BF" w14:textId="77777777" w:rsidTr="00EE08C3">
        <w:trPr>
          <w:trHeight w:val="503"/>
          <w:tblHeader/>
        </w:trPr>
        <w:tc>
          <w:tcPr>
            <w:tcW w:w="2428" w:type="dxa"/>
            <w:gridSpan w:val="4"/>
            <w:shd w:val="clear" w:color="auto" w:fill="auto"/>
            <w:tcMar>
              <w:top w:w="10" w:type="dxa"/>
              <w:left w:w="93" w:type="dxa"/>
              <w:bottom w:w="0" w:type="dxa"/>
              <w:right w:w="10" w:type="dxa"/>
            </w:tcMar>
            <w:vAlign w:val="center"/>
          </w:tcPr>
          <w:p w14:paraId="41CF8C37" w14:textId="77777777" w:rsidR="00A90E9C" w:rsidRPr="008A26D2" w:rsidRDefault="00A90E9C" w:rsidP="00147D2E">
            <w:pPr>
              <w:spacing w:after="0" w:line="240" w:lineRule="auto"/>
              <w:jc w:val="both"/>
              <w:rPr>
                <w:rFonts w:ascii="Arial" w:hAnsi="Arial" w:cs="Arial"/>
                <w:sz w:val="20"/>
                <w:szCs w:val="20"/>
              </w:rPr>
            </w:pPr>
            <w:r w:rsidRPr="008A26D2">
              <w:rPr>
                <w:rFonts w:ascii="Arial" w:hAnsi="Arial" w:cs="Arial"/>
                <w:b/>
                <w:sz w:val="20"/>
                <w:szCs w:val="20"/>
              </w:rPr>
              <w:t>Limitaciones para la medición del indicador:</w:t>
            </w:r>
          </w:p>
        </w:tc>
        <w:tc>
          <w:tcPr>
            <w:tcW w:w="6219" w:type="dxa"/>
            <w:gridSpan w:val="9"/>
            <w:shd w:val="clear" w:color="auto" w:fill="auto"/>
            <w:tcMar>
              <w:top w:w="51" w:type="dxa"/>
              <w:left w:w="227" w:type="dxa"/>
              <w:bottom w:w="51" w:type="dxa"/>
              <w:right w:w="227" w:type="dxa"/>
            </w:tcMar>
            <w:vAlign w:val="center"/>
          </w:tcPr>
          <w:p w14:paraId="09C054C5" w14:textId="5D76C8F9" w:rsidR="00A90E9C" w:rsidRPr="008A26D2" w:rsidRDefault="00413E4E" w:rsidP="00147D2E">
            <w:pPr>
              <w:spacing w:after="0" w:line="240" w:lineRule="auto"/>
              <w:jc w:val="both"/>
              <w:rPr>
                <w:rFonts w:ascii="Arial" w:hAnsi="Arial" w:cs="Arial"/>
                <w:sz w:val="20"/>
                <w:szCs w:val="20"/>
              </w:rPr>
            </w:pPr>
            <w:r w:rsidRPr="008A26D2">
              <w:rPr>
                <w:rFonts w:ascii="Arial" w:hAnsi="Arial" w:cs="Arial"/>
                <w:sz w:val="20"/>
                <w:szCs w:val="20"/>
              </w:rPr>
              <w:t>Requiere el reporte oportuno de las operaciones policiales realizados.</w:t>
            </w:r>
          </w:p>
        </w:tc>
      </w:tr>
      <w:tr w:rsidR="008A26D2" w:rsidRPr="008A26D2" w14:paraId="79AB5040" w14:textId="77777777" w:rsidTr="00EE08C3">
        <w:trPr>
          <w:trHeight w:val="231"/>
          <w:tblHeader/>
        </w:trPr>
        <w:tc>
          <w:tcPr>
            <w:tcW w:w="2428" w:type="dxa"/>
            <w:gridSpan w:val="4"/>
            <w:shd w:val="clear" w:color="auto" w:fill="auto"/>
            <w:tcMar>
              <w:top w:w="10" w:type="dxa"/>
              <w:left w:w="93" w:type="dxa"/>
              <w:bottom w:w="0" w:type="dxa"/>
              <w:right w:w="10" w:type="dxa"/>
            </w:tcMar>
            <w:vAlign w:val="center"/>
          </w:tcPr>
          <w:p w14:paraId="0F62A65D" w14:textId="77777777" w:rsidR="00A90E9C" w:rsidRPr="008A26D2" w:rsidRDefault="00A90E9C" w:rsidP="00147D2E">
            <w:pPr>
              <w:jc w:val="both"/>
              <w:rPr>
                <w:rFonts w:ascii="Arial" w:hAnsi="Arial" w:cs="Arial"/>
                <w:sz w:val="20"/>
                <w:szCs w:val="20"/>
              </w:rPr>
            </w:pPr>
            <w:r w:rsidRPr="008A26D2">
              <w:rPr>
                <w:rFonts w:ascii="Arial" w:hAnsi="Arial" w:cs="Arial"/>
                <w:b/>
                <w:sz w:val="20"/>
                <w:szCs w:val="20"/>
              </w:rPr>
              <w:t xml:space="preserve">Método de cálculo: </w:t>
            </w:r>
          </w:p>
        </w:tc>
        <w:tc>
          <w:tcPr>
            <w:tcW w:w="6219" w:type="dxa"/>
            <w:gridSpan w:val="9"/>
            <w:shd w:val="clear" w:color="auto" w:fill="auto"/>
            <w:tcMar>
              <w:top w:w="51" w:type="dxa"/>
              <w:left w:w="227" w:type="dxa"/>
              <w:bottom w:w="51" w:type="dxa"/>
              <w:right w:w="227" w:type="dxa"/>
            </w:tcMar>
            <w:vAlign w:val="center"/>
          </w:tcPr>
          <w:p w14:paraId="5694E652" w14:textId="77777777" w:rsidR="00A90E9C" w:rsidRPr="008A26D2" w:rsidRDefault="00A90E9C" w:rsidP="00147D2E">
            <w:pPr>
              <w:jc w:val="both"/>
              <w:rPr>
                <w:rFonts w:ascii="Arial" w:eastAsia="Arial Narrow" w:hAnsi="Arial" w:cs="Arial"/>
                <w:b/>
                <w:sz w:val="20"/>
                <w:szCs w:val="20"/>
              </w:rPr>
            </w:pPr>
            <w:r w:rsidRPr="008A26D2">
              <w:rPr>
                <w:rFonts w:ascii="Arial" w:eastAsia="Arial Narrow" w:hAnsi="Arial" w:cs="Arial"/>
                <w:b/>
                <w:sz w:val="20"/>
                <w:szCs w:val="20"/>
              </w:rPr>
              <w:t>1. Fórmula:</w:t>
            </w:r>
          </w:p>
          <w:p w14:paraId="2954BBE5" w14:textId="77777777" w:rsidR="00A90E9C" w:rsidRPr="008A26D2" w:rsidRDefault="00A90E9C" w:rsidP="00147D2E">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NOPRTIFS</w:t>
            </w:r>
          </w:p>
          <w:p w14:paraId="32B90D72" w14:textId="77777777" w:rsidR="00A90E9C" w:rsidRPr="008A26D2" w:rsidRDefault="00A90E9C" w:rsidP="00147D2E">
            <w:pPr>
              <w:spacing w:after="0" w:line="240" w:lineRule="auto"/>
              <w:jc w:val="both"/>
              <w:rPr>
                <w:rFonts w:ascii="Arial" w:eastAsia="Arial Narrow" w:hAnsi="Arial" w:cs="Arial"/>
                <w:sz w:val="20"/>
                <w:szCs w:val="20"/>
              </w:rPr>
            </w:pPr>
          </w:p>
          <w:p w14:paraId="00458C4F" w14:textId="77777777" w:rsidR="00A90E9C" w:rsidRPr="008A26D2" w:rsidRDefault="00A90E9C" w:rsidP="00147D2E">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Donde:</w:t>
            </w:r>
          </w:p>
          <w:p w14:paraId="07246787" w14:textId="2F73C6BB" w:rsidR="00A90E9C" w:rsidRPr="008A26D2" w:rsidRDefault="00A90E9C" w:rsidP="00147D2E">
            <w:pPr>
              <w:spacing w:after="0" w:line="240" w:lineRule="auto"/>
              <w:jc w:val="both"/>
              <w:rPr>
                <w:rFonts w:ascii="Arial" w:eastAsia="Arial Unicode MS" w:hAnsi="Arial" w:cs="Arial"/>
                <w:sz w:val="20"/>
                <w:szCs w:val="20"/>
              </w:rPr>
            </w:pPr>
            <w:r w:rsidRPr="008A26D2">
              <w:rPr>
                <w:rFonts w:ascii="Arial" w:eastAsia="Arial Narrow" w:hAnsi="Arial" w:cs="Arial"/>
                <w:sz w:val="20"/>
                <w:szCs w:val="20"/>
              </w:rPr>
              <w:t xml:space="preserve">NOPRTIFS = Número de operativos policiales para reducir el tráfico ilegal de fauna silvestre </w:t>
            </w:r>
            <w:r w:rsidR="00930955">
              <w:rPr>
                <w:rFonts w:ascii="Arial" w:eastAsia="Arial Narrow" w:hAnsi="Arial" w:cs="Arial"/>
                <w:sz w:val="20"/>
                <w:szCs w:val="20"/>
              </w:rPr>
              <w:t xml:space="preserve">realizados </w:t>
            </w:r>
            <w:r w:rsidRPr="008A26D2">
              <w:rPr>
                <w:rFonts w:ascii="Arial" w:eastAsia="Arial Narrow" w:hAnsi="Arial" w:cs="Arial"/>
                <w:sz w:val="20"/>
                <w:szCs w:val="20"/>
              </w:rPr>
              <w:t>de forma continua</w:t>
            </w:r>
            <w:r w:rsidRPr="008A26D2">
              <w:rPr>
                <w:rFonts w:ascii="Arial" w:eastAsia="Arial Narrow" w:hAnsi="Arial" w:cs="Arial"/>
                <w:sz w:val="20"/>
                <w:szCs w:val="20"/>
              </w:rPr>
              <w:br/>
            </w:r>
            <w:r w:rsidRPr="008A26D2">
              <w:rPr>
                <w:rFonts w:ascii="Arial" w:eastAsia="Arial Narrow" w:hAnsi="Arial" w:cs="Arial"/>
                <w:sz w:val="20"/>
                <w:szCs w:val="20"/>
              </w:rPr>
              <w:br/>
            </w:r>
            <w:r w:rsidRPr="008A26D2">
              <w:rPr>
                <w:rFonts w:ascii="Arial" w:eastAsia="Arial Narrow" w:hAnsi="Arial" w:cs="Arial"/>
                <w:b/>
                <w:sz w:val="20"/>
                <w:szCs w:val="20"/>
              </w:rPr>
              <w:t>2. Especificaciones técnicas:</w:t>
            </w:r>
          </w:p>
          <w:p w14:paraId="1AA45BB2" w14:textId="77777777" w:rsidR="00A90E9C" w:rsidRPr="008A26D2" w:rsidRDefault="00A90E9C" w:rsidP="00147D2E">
            <w:pPr>
              <w:spacing w:after="0" w:line="240" w:lineRule="auto"/>
              <w:jc w:val="both"/>
              <w:rPr>
                <w:rFonts w:ascii="Arial" w:hAnsi="Arial" w:cs="Arial"/>
                <w:sz w:val="20"/>
                <w:szCs w:val="20"/>
              </w:rPr>
            </w:pPr>
          </w:p>
          <w:p w14:paraId="2E5E7F9E" w14:textId="196537F0" w:rsidR="00A90E9C" w:rsidRDefault="00A04611" w:rsidP="00147D2E">
            <w:pPr>
              <w:spacing w:after="0" w:line="240" w:lineRule="auto"/>
              <w:jc w:val="both"/>
              <w:rPr>
                <w:rFonts w:ascii="Arial" w:eastAsia="Arial Narrow" w:hAnsi="Arial" w:cs="Arial"/>
                <w:sz w:val="20"/>
                <w:szCs w:val="20"/>
              </w:rPr>
            </w:pPr>
            <w:r w:rsidRPr="00A04611">
              <w:rPr>
                <w:rFonts w:ascii="Arial" w:eastAsia="Arial Narrow" w:hAnsi="Arial" w:cs="Arial"/>
                <w:sz w:val="20"/>
                <w:szCs w:val="20"/>
              </w:rPr>
              <w:t>La variable NOPRTI</w:t>
            </w:r>
            <w:r>
              <w:rPr>
                <w:rFonts w:ascii="Arial" w:eastAsia="Arial Narrow" w:hAnsi="Arial" w:cs="Arial"/>
                <w:sz w:val="20"/>
                <w:szCs w:val="20"/>
              </w:rPr>
              <w:t>FS</w:t>
            </w:r>
            <w:r w:rsidRPr="00A04611">
              <w:rPr>
                <w:rFonts w:ascii="Arial" w:eastAsia="Arial Narrow" w:hAnsi="Arial" w:cs="Arial"/>
                <w:sz w:val="20"/>
                <w:szCs w:val="20"/>
              </w:rPr>
              <w:t xml:space="preserve"> se determina a partir de los operativos policiales realizados en la misma o mayor cantidad </w:t>
            </w:r>
            <w:r w:rsidR="00BD59C8">
              <w:rPr>
                <w:rFonts w:ascii="Arial" w:eastAsia="Arial Narrow" w:hAnsi="Arial" w:cs="Arial"/>
                <w:sz w:val="20"/>
                <w:szCs w:val="20"/>
              </w:rPr>
              <w:t xml:space="preserve">respecto del </w:t>
            </w:r>
            <w:r w:rsidRPr="00A04611">
              <w:rPr>
                <w:rFonts w:ascii="Arial" w:eastAsia="Arial Narrow" w:hAnsi="Arial" w:cs="Arial"/>
                <w:sz w:val="20"/>
                <w:szCs w:val="20"/>
              </w:rPr>
              <w:t>año anterior</w:t>
            </w:r>
            <w:r w:rsidR="0065592A" w:rsidRPr="008A26D2">
              <w:rPr>
                <w:rFonts w:ascii="Arial" w:eastAsia="Arial Narrow" w:hAnsi="Arial" w:cs="Arial"/>
                <w:sz w:val="20"/>
                <w:szCs w:val="20"/>
              </w:rPr>
              <w:t xml:space="preserve">, debiendo realizar </w:t>
            </w:r>
            <w:r w:rsidR="00BB3B35" w:rsidRPr="008A26D2">
              <w:rPr>
                <w:rFonts w:ascii="Arial" w:eastAsia="Arial Narrow" w:hAnsi="Arial" w:cs="Arial"/>
                <w:sz w:val="20"/>
                <w:szCs w:val="20"/>
              </w:rPr>
              <w:t>aproximadamente</w:t>
            </w:r>
            <w:r w:rsidR="0065592A" w:rsidRPr="008A26D2">
              <w:rPr>
                <w:rFonts w:ascii="Arial" w:eastAsia="Arial Narrow" w:hAnsi="Arial" w:cs="Arial"/>
                <w:sz w:val="20"/>
                <w:szCs w:val="20"/>
              </w:rPr>
              <w:t xml:space="preserve"> </w:t>
            </w:r>
            <w:r w:rsidR="00BB3B35" w:rsidRPr="008A26D2">
              <w:rPr>
                <w:rFonts w:ascii="Arial" w:eastAsia="Arial Narrow" w:hAnsi="Arial" w:cs="Arial"/>
                <w:sz w:val="20"/>
                <w:szCs w:val="20"/>
              </w:rPr>
              <w:t>60</w:t>
            </w:r>
            <w:r w:rsidR="0065592A" w:rsidRPr="008A26D2">
              <w:rPr>
                <w:rFonts w:ascii="Arial" w:eastAsia="Arial Narrow" w:hAnsi="Arial" w:cs="Arial"/>
                <w:sz w:val="20"/>
                <w:szCs w:val="20"/>
              </w:rPr>
              <w:t xml:space="preserve"> operativos al mes</w:t>
            </w:r>
            <w:r w:rsidR="00A90E9C" w:rsidRPr="008A26D2">
              <w:rPr>
                <w:rFonts w:ascii="Arial" w:eastAsia="Arial Narrow" w:hAnsi="Arial" w:cs="Arial"/>
                <w:sz w:val="20"/>
                <w:szCs w:val="20"/>
              </w:rPr>
              <w:t>.</w:t>
            </w:r>
          </w:p>
          <w:p w14:paraId="047ECA7A" w14:textId="77777777" w:rsidR="0011698E" w:rsidRPr="008A26D2" w:rsidRDefault="0011698E" w:rsidP="00147D2E">
            <w:pPr>
              <w:spacing w:after="0" w:line="240" w:lineRule="auto"/>
              <w:jc w:val="both"/>
              <w:rPr>
                <w:rFonts w:ascii="Arial" w:eastAsia="Arial Narrow" w:hAnsi="Arial" w:cs="Arial"/>
                <w:sz w:val="20"/>
                <w:szCs w:val="20"/>
              </w:rPr>
            </w:pPr>
          </w:p>
          <w:p w14:paraId="4C9DF2D5" w14:textId="77777777" w:rsidR="00A90E9C" w:rsidRPr="008A26D2" w:rsidRDefault="00A90E9C" w:rsidP="00147D2E">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Los operativos policiales buscan reducir los delitos vinculados al tráfico ilegal de fauna silvestre y para prevenir ilícitos contra las especies de fauna silvestre que integran el Patrimonio Nacional Forestal y de Fauna Silvestre.</w:t>
            </w:r>
          </w:p>
          <w:p w14:paraId="72747B4E" w14:textId="4648B37C" w:rsidR="00A90E9C" w:rsidRPr="008A26D2" w:rsidRDefault="00A90E9C" w:rsidP="00147D2E">
            <w:pPr>
              <w:spacing w:after="0" w:line="240" w:lineRule="auto"/>
              <w:jc w:val="both"/>
              <w:rPr>
                <w:rFonts w:ascii="Arial" w:eastAsia="Arial Narrow" w:hAnsi="Arial" w:cs="Arial"/>
                <w:sz w:val="20"/>
                <w:szCs w:val="20"/>
              </w:rPr>
            </w:pPr>
          </w:p>
        </w:tc>
      </w:tr>
      <w:tr w:rsidR="008A26D2" w:rsidRPr="008A26D2" w14:paraId="2D6E562A" w14:textId="77777777" w:rsidTr="0011698E">
        <w:trPr>
          <w:trHeight w:val="686"/>
          <w:tblHeader/>
        </w:trPr>
        <w:tc>
          <w:tcPr>
            <w:tcW w:w="2428" w:type="dxa"/>
            <w:gridSpan w:val="4"/>
            <w:shd w:val="clear" w:color="auto" w:fill="auto"/>
            <w:tcMar>
              <w:top w:w="10" w:type="dxa"/>
              <w:left w:w="93" w:type="dxa"/>
              <w:bottom w:w="0" w:type="dxa"/>
              <w:right w:w="10" w:type="dxa"/>
            </w:tcMar>
            <w:vAlign w:val="center"/>
          </w:tcPr>
          <w:p w14:paraId="3C329D43" w14:textId="77777777" w:rsidR="00A90E9C" w:rsidRPr="008A26D2" w:rsidRDefault="00A90E9C" w:rsidP="00147D2E">
            <w:pPr>
              <w:spacing w:after="0" w:line="240" w:lineRule="auto"/>
              <w:jc w:val="both"/>
              <w:rPr>
                <w:rFonts w:ascii="Arial" w:hAnsi="Arial" w:cs="Arial"/>
                <w:sz w:val="20"/>
                <w:szCs w:val="20"/>
              </w:rPr>
            </w:pPr>
            <w:r w:rsidRPr="008A26D2">
              <w:rPr>
                <w:rFonts w:ascii="Arial" w:hAnsi="Arial" w:cs="Arial"/>
                <w:b/>
                <w:sz w:val="20"/>
                <w:szCs w:val="20"/>
              </w:rPr>
              <w:t>Sentido esperado del indicador:</w:t>
            </w:r>
          </w:p>
        </w:tc>
        <w:tc>
          <w:tcPr>
            <w:tcW w:w="1825" w:type="dxa"/>
            <w:gridSpan w:val="2"/>
            <w:shd w:val="clear" w:color="auto" w:fill="auto"/>
            <w:tcMar>
              <w:top w:w="10" w:type="dxa"/>
              <w:left w:w="283" w:type="dxa"/>
              <w:bottom w:w="0" w:type="dxa"/>
              <w:right w:w="283" w:type="dxa"/>
            </w:tcMar>
            <w:vAlign w:val="center"/>
          </w:tcPr>
          <w:p w14:paraId="7CC7F079" w14:textId="77777777" w:rsidR="00A90E9C" w:rsidRPr="008A26D2" w:rsidRDefault="00A90E9C" w:rsidP="00147D2E">
            <w:pPr>
              <w:spacing w:after="0" w:line="240" w:lineRule="auto"/>
              <w:jc w:val="both"/>
              <w:rPr>
                <w:rFonts w:ascii="Arial" w:hAnsi="Arial" w:cs="Arial"/>
                <w:sz w:val="20"/>
                <w:szCs w:val="20"/>
              </w:rPr>
            </w:pPr>
            <w:r w:rsidRPr="008A26D2">
              <w:rPr>
                <w:rFonts w:ascii="Arial" w:eastAsia="Arial Narrow" w:hAnsi="Arial" w:cs="Arial"/>
                <w:sz w:val="20"/>
                <w:szCs w:val="20"/>
              </w:rPr>
              <w:t>Ascendente</w:t>
            </w:r>
          </w:p>
        </w:tc>
        <w:tc>
          <w:tcPr>
            <w:tcW w:w="2708" w:type="dxa"/>
            <w:gridSpan w:val="4"/>
            <w:shd w:val="clear" w:color="auto" w:fill="auto"/>
            <w:tcMar>
              <w:top w:w="15" w:type="dxa"/>
              <w:left w:w="15" w:type="dxa"/>
              <w:bottom w:w="0" w:type="dxa"/>
              <w:right w:w="15" w:type="dxa"/>
            </w:tcMar>
            <w:vAlign w:val="center"/>
          </w:tcPr>
          <w:p w14:paraId="1D6149B2" w14:textId="77777777" w:rsidR="00A90E9C" w:rsidRPr="008A26D2" w:rsidRDefault="00A90E9C" w:rsidP="0011698E">
            <w:pPr>
              <w:spacing w:after="0" w:line="240" w:lineRule="auto"/>
              <w:rPr>
                <w:rFonts w:ascii="Arial" w:hAnsi="Arial" w:cs="Arial"/>
                <w:sz w:val="20"/>
                <w:szCs w:val="20"/>
              </w:rPr>
            </w:pPr>
            <w:r w:rsidRPr="008A26D2">
              <w:rPr>
                <w:rFonts w:ascii="Arial" w:hAnsi="Arial" w:cs="Arial"/>
                <w:b/>
                <w:sz w:val="20"/>
                <w:szCs w:val="20"/>
              </w:rPr>
              <w:t>Tipo de indicador de servicio:</w:t>
            </w:r>
          </w:p>
        </w:tc>
        <w:tc>
          <w:tcPr>
            <w:tcW w:w="1686" w:type="dxa"/>
            <w:gridSpan w:val="3"/>
            <w:shd w:val="clear" w:color="auto" w:fill="auto"/>
            <w:tcMar>
              <w:top w:w="15" w:type="dxa"/>
              <w:left w:w="15" w:type="dxa"/>
              <w:bottom w:w="0" w:type="dxa"/>
              <w:right w:w="15" w:type="dxa"/>
            </w:tcMar>
            <w:vAlign w:val="center"/>
          </w:tcPr>
          <w:p w14:paraId="3854EF55" w14:textId="5395AE49" w:rsidR="00A90E9C" w:rsidRPr="008A26D2" w:rsidRDefault="00A90E9C" w:rsidP="0011698E">
            <w:pPr>
              <w:spacing w:after="0" w:line="240" w:lineRule="auto"/>
              <w:jc w:val="center"/>
              <w:rPr>
                <w:rFonts w:ascii="Arial" w:hAnsi="Arial" w:cs="Arial"/>
                <w:sz w:val="20"/>
                <w:szCs w:val="20"/>
              </w:rPr>
            </w:pPr>
            <w:r w:rsidRPr="008A26D2">
              <w:rPr>
                <w:rFonts w:ascii="Arial" w:eastAsia="Arial Narrow" w:hAnsi="Arial" w:cs="Arial"/>
                <w:sz w:val="20"/>
                <w:szCs w:val="20"/>
              </w:rPr>
              <w:t>Calidad - Continuidad</w:t>
            </w:r>
          </w:p>
        </w:tc>
      </w:tr>
      <w:tr w:rsidR="008A26D2" w:rsidRPr="008A26D2" w14:paraId="61C74745" w14:textId="77777777" w:rsidTr="00EE08C3">
        <w:trPr>
          <w:trHeight w:val="13"/>
          <w:tblHeader/>
        </w:trPr>
        <w:tc>
          <w:tcPr>
            <w:tcW w:w="2428" w:type="dxa"/>
            <w:gridSpan w:val="4"/>
            <w:shd w:val="clear" w:color="auto" w:fill="auto"/>
            <w:tcMar>
              <w:top w:w="10" w:type="dxa"/>
              <w:left w:w="93" w:type="dxa"/>
              <w:bottom w:w="0" w:type="dxa"/>
              <w:right w:w="10" w:type="dxa"/>
            </w:tcMar>
            <w:vAlign w:val="center"/>
          </w:tcPr>
          <w:p w14:paraId="7CEC4B44" w14:textId="77777777" w:rsidR="00A90E9C" w:rsidRPr="008A26D2" w:rsidRDefault="00A90E9C" w:rsidP="00147D2E">
            <w:pPr>
              <w:spacing w:after="0" w:line="240" w:lineRule="auto"/>
              <w:jc w:val="both"/>
              <w:rPr>
                <w:rFonts w:ascii="Arial" w:hAnsi="Arial" w:cs="Arial"/>
                <w:sz w:val="20"/>
                <w:szCs w:val="20"/>
              </w:rPr>
            </w:pPr>
            <w:r w:rsidRPr="008A26D2">
              <w:rPr>
                <w:rFonts w:ascii="Arial" w:hAnsi="Arial" w:cs="Arial"/>
                <w:b/>
                <w:sz w:val="20"/>
                <w:szCs w:val="20"/>
              </w:rPr>
              <w:lastRenderedPageBreak/>
              <w:t>Fuente y base de datos:</w:t>
            </w:r>
          </w:p>
        </w:tc>
        <w:tc>
          <w:tcPr>
            <w:tcW w:w="6219" w:type="dxa"/>
            <w:gridSpan w:val="9"/>
            <w:shd w:val="clear" w:color="auto" w:fill="auto"/>
            <w:tcMar>
              <w:top w:w="51" w:type="dxa"/>
              <w:left w:w="227" w:type="dxa"/>
              <w:bottom w:w="51" w:type="dxa"/>
              <w:right w:w="227" w:type="dxa"/>
            </w:tcMar>
            <w:vAlign w:val="center"/>
          </w:tcPr>
          <w:p w14:paraId="101070E2" w14:textId="35FF2177" w:rsidR="00A90E9C" w:rsidRPr="008A26D2" w:rsidRDefault="00A90E9C" w:rsidP="00147D2E">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Fuente: Dirección Ejecutiva de Investigación Criminal y Apoyo a la Justicia </w:t>
            </w:r>
            <w:r w:rsidR="00E2174D" w:rsidRPr="008A26D2">
              <w:rPr>
                <w:rFonts w:ascii="Arial" w:eastAsia="Arial Narrow" w:hAnsi="Arial" w:cs="Arial"/>
                <w:sz w:val="20"/>
                <w:szCs w:val="20"/>
              </w:rPr>
              <w:t>de la Policía Nacional del Perú</w:t>
            </w:r>
            <w:r w:rsidRPr="008A26D2">
              <w:rPr>
                <w:rFonts w:ascii="Arial" w:eastAsia="Arial Narrow" w:hAnsi="Arial" w:cs="Arial"/>
                <w:sz w:val="20"/>
                <w:szCs w:val="20"/>
              </w:rPr>
              <w:t xml:space="preserve"> </w:t>
            </w:r>
            <w:r w:rsidRPr="008A26D2">
              <w:rPr>
                <w:rFonts w:ascii="Arial" w:eastAsia="Arial Narrow" w:hAnsi="Arial" w:cs="Arial"/>
                <w:sz w:val="20"/>
                <w:szCs w:val="20"/>
              </w:rPr>
              <w:br/>
              <w:t>Base de datos: Reporte de la División Contra la Tala Ilegal y Protección de Recursos Naturales de la Dirección de Medio Ambiente de la Policía Nacional del Perú</w:t>
            </w:r>
          </w:p>
        </w:tc>
      </w:tr>
      <w:tr w:rsidR="008A26D2" w:rsidRPr="008A26D2" w14:paraId="61F0F2E6" w14:textId="77777777" w:rsidTr="00EE08C3">
        <w:trPr>
          <w:trHeight w:val="436"/>
          <w:tblHeader/>
        </w:trPr>
        <w:tc>
          <w:tcPr>
            <w:tcW w:w="2428" w:type="dxa"/>
            <w:gridSpan w:val="4"/>
            <w:shd w:val="clear" w:color="auto" w:fill="auto"/>
            <w:tcMar>
              <w:top w:w="10" w:type="dxa"/>
              <w:left w:w="93" w:type="dxa"/>
              <w:bottom w:w="0" w:type="dxa"/>
              <w:right w:w="10" w:type="dxa"/>
            </w:tcMar>
            <w:vAlign w:val="center"/>
          </w:tcPr>
          <w:p w14:paraId="3506129C" w14:textId="77777777" w:rsidR="00A90E9C" w:rsidRPr="008A26D2" w:rsidRDefault="00A90E9C" w:rsidP="00147D2E">
            <w:pPr>
              <w:spacing w:after="0" w:line="240" w:lineRule="auto"/>
              <w:jc w:val="both"/>
              <w:rPr>
                <w:rFonts w:ascii="Arial" w:hAnsi="Arial" w:cs="Arial"/>
                <w:sz w:val="20"/>
                <w:szCs w:val="20"/>
              </w:rPr>
            </w:pPr>
            <w:r w:rsidRPr="008A26D2">
              <w:rPr>
                <w:rFonts w:ascii="Arial" w:hAnsi="Arial" w:cs="Arial"/>
                <w:b/>
                <w:sz w:val="20"/>
                <w:szCs w:val="20"/>
              </w:rPr>
              <w:t>Supuestos:</w:t>
            </w:r>
          </w:p>
        </w:tc>
        <w:tc>
          <w:tcPr>
            <w:tcW w:w="6219" w:type="dxa"/>
            <w:gridSpan w:val="9"/>
            <w:shd w:val="clear" w:color="auto" w:fill="auto"/>
            <w:tcMar>
              <w:top w:w="51" w:type="dxa"/>
              <w:left w:w="227" w:type="dxa"/>
              <w:bottom w:w="51" w:type="dxa"/>
              <w:right w:w="227" w:type="dxa"/>
            </w:tcMar>
            <w:vAlign w:val="center"/>
          </w:tcPr>
          <w:p w14:paraId="4504BDC4" w14:textId="768A0782" w:rsidR="00A90E9C" w:rsidRPr="008A26D2" w:rsidRDefault="00E2174D" w:rsidP="00147D2E">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No presenta supuestos</w:t>
            </w:r>
          </w:p>
        </w:tc>
      </w:tr>
      <w:tr w:rsidR="008A26D2" w:rsidRPr="008A26D2" w14:paraId="23325072" w14:textId="77777777" w:rsidTr="0011698E">
        <w:trPr>
          <w:trHeight w:val="556"/>
          <w:tblHeader/>
        </w:trPr>
        <w:tc>
          <w:tcPr>
            <w:tcW w:w="709" w:type="dxa"/>
            <w:shd w:val="clear" w:color="auto" w:fill="auto"/>
            <w:tcMar>
              <w:top w:w="10" w:type="dxa"/>
              <w:left w:w="10" w:type="dxa"/>
              <w:bottom w:w="0" w:type="dxa"/>
              <w:right w:w="10" w:type="dxa"/>
            </w:tcMar>
            <w:vAlign w:val="center"/>
          </w:tcPr>
          <w:p w14:paraId="73A35491" w14:textId="77777777" w:rsidR="00A90E9C" w:rsidRPr="008A26D2" w:rsidRDefault="00A90E9C" w:rsidP="00147D2E">
            <w:pPr>
              <w:spacing w:after="0" w:line="240" w:lineRule="auto"/>
              <w:jc w:val="both"/>
              <w:rPr>
                <w:rFonts w:ascii="Arial" w:hAnsi="Arial" w:cs="Arial"/>
                <w:sz w:val="20"/>
                <w:szCs w:val="20"/>
              </w:rPr>
            </w:pPr>
            <w:r w:rsidRPr="008A26D2">
              <w:rPr>
                <w:rFonts w:ascii="Arial" w:hAnsi="Arial" w:cs="Arial"/>
                <w:b/>
                <w:sz w:val="20"/>
                <w:szCs w:val="20"/>
              </w:rPr>
              <w:t> </w:t>
            </w:r>
          </w:p>
        </w:tc>
        <w:tc>
          <w:tcPr>
            <w:tcW w:w="851" w:type="dxa"/>
            <w:shd w:val="clear" w:color="auto" w:fill="auto"/>
            <w:tcMar>
              <w:top w:w="10" w:type="dxa"/>
              <w:left w:w="10" w:type="dxa"/>
              <w:bottom w:w="0" w:type="dxa"/>
              <w:right w:w="10" w:type="dxa"/>
            </w:tcMar>
            <w:vAlign w:val="center"/>
          </w:tcPr>
          <w:p w14:paraId="5BF037E9" w14:textId="77777777" w:rsidR="00A90E9C" w:rsidRPr="008A26D2" w:rsidRDefault="00A90E9C" w:rsidP="0011698E">
            <w:pPr>
              <w:spacing w:after="0" w:line="240" w:lineRule="auto"/>
              <w:jc w:val="center"/>
              <w:rPr>
                <w:rFonts w:ascii="Arial" w:hAnsi="Arial" w:cs="Arial"/>
                <w:sz w:val="20"/>
                <w:szCs w:val="20"/>
              </w:rPr>
            </w:pPr>
            <w:r w:rsidRPr="008A26D2">
              <w:rPr>
                <w:rFonts w:ascii="Arial" w:hAnsi="Arial" w:cs="Arial"/>
                <w:b/>
                <w:sz w:val="20"/>
                <w:szCs w:val="20"/>
              </w:rPr>
              <w:t>Línea de base</w:t>
            </w:r>
          </w:p>
        </w:tc>
        <w:tc>
          <w:tcPr>
            <w:tcW w:w="7087" w:type="dxa"/>
            <w:gridSpan w:val="11"/>
            <w:shd w:val="clear" w:color="auto" w:fill="auto"/>
            <w:tcMar>
              <w:top w:w="10" w:type="dxa"/>
              <w:left w:w="10" w:type="dxa"/>
              <w:bottom w:w="0" w:type="dxa"/>
              <w:right w:w="10" w:type="dxa"/>
            </w:tcMar>
            <w:vAlign w:val="center"/>
          </w:tcPr>
          <w:p w14:paraId="299DBB97" w14:textId="25EE2AB5" w:rsidR="00A90E9C" w:rsidRPr="008A26D2" w:rsidRDefault="00A90E9C" w:rsidP="0011698E">
            <w:pPr>
              <w:spacing w:after="0" w:line="240" w:lineRule="auto"/>
              <w:jc w:val="center"/>
              <w:rPr>
                <w:rFonts w:ascii="Arial" w:hAnsi="Arial" w:cs="Arial"/>
                <w:sz w:val="20"/>
                <w:szCs w:val="20"/>
              </w:rPr>
            </w:pPr>
            <w:r w:rsidRPr="008A26D2">
              <w:rPr>
                <w:rFonts w:ascii="Arial" w:hAnsi="Arial" w:cs="Arial"/>
                <w:b/>
                <w:sz w:val="20"/>
                <w:szCs w:val="20"/>
              </w:rPr>
              <w:t>Logros esperados</w:t>
            </w:r>
          </w:p>
        </w:tc>
      </w:tr>
      <w:tr w:rsidR="008A26D2" w:rsidRPr="008A26D2" w14:paraId="5718E428" w14:textId="77777777" w:rsidTr="0011698E">
        <w:trPr>
          <w:trHeight w:val="217"/>
          <w:tblHeader/>
        </w:trPr>
        <w:tc>
          <w:tcPr>
            <w:tcW w:w="709" w:type="dxa"/>
            <w:shd w:val="clear" w:color="auto" w:fill="auto"/>
            <w:tcMar>
              <w:top w:w="10" w:type="dxa"/>
              <w:left w:w="10" w:type="dxa"/>
              <w:bottom w:w="0" w:type="dxa"/>
              <w:right w:w="10" w:type="dxa"/>
            </w:tcMar>
            <w:vAlign w:val="center"/>
          </w:tcPr>
          <w:p w14:paraId="5C44EEEB" w14:textId="77777777" w:rsidR="00A90E9C" w:rsidRPr="008A26D2" w:rsidRDefault="00A90E9C" w:rsidP="00147D2E">
            <w:pPr>
              <w:spacing w:after="0" w:line="240" w:lineRule="auto"/>
              <w:jc w:val="both"/>
              <w:rPr>
                <w:rFonts w:ascii="Arial" w:hAnsi="Arial" w:cs="Arial"/>
                <w:sz w:val="20"/>
                <w:szCs w:val="20"/>
              </w:rPr>
            </w:pPr>
            <w:r w:rsidRPr="008A26D2">
              <w:rPr>
                <w:rFonts w:ascii="Arial" w:hAnsi="Arial" w:cs="Arial"/>
                <w:b/>
                <w:sz w:val="20"/>
                <w:szCs w:val="20"/>
              </w:rPr>
              <w:t>Año</w:t>
            </w:r>
          </w:p>
        </w:tc>
        <w:tc>
          <w:tcPr>
            <w:tcW w:w="851" w:type="dxa"/>
            <w:shd w:val="clear" w:color="auto" w:fill="auto"/>
            <w:tcMar>
              <w:top w:w="10" w:type="dxa"/>
              <w:left w:w="10" w:type="dxa"/>
              <w:bottom w:w="0" w:type="dxa"/>
              <w:right w:w="10" w:type="dxa"/>
            </w:tcMar>
            <w:vAlign w:val="center"/>
          </w:tcPr>
          <w:p w14:paraId="5B8E8E7A" w14:textId="77777777" w:rsidR="00A90E9C" w:rsidRPr="008A26D2" w:rsidRDefault="00A90E9C" w:rsidP="0011698E">
            <w:pPr>
              <w:spacing w:after="0" w:line="240" w:lineRule="auto"/>
              <w:jc w:val="center"/>
              <w:rPr>
                <w:rFonts w:ascii="Arial" w:hAnsi="Arial" w:cs="Arial"/>
                <w:b/>
                <w:sz w:val="20"/>
                <w:szCs w:val="20"/>
              </w:rPr>
            </w:pPr>
            <w:r w:rsidRPr="008A26D2">
              <w:rPr>
                <w:rFonts w:ascii="Arial" w:hAnsi="Arial" w:cs="Arial"/>
                <w:b/>
                <w:sz w:val="20"/>
                <w:szCs w:val="20"/>
              </w:rPr>
              <w:t>2021</w:t>
            </w:r>
          </w:p>
        </w:tc>
        <w:tc>
          <w:tcPr>
            <w:tcW w:w="709" w:type="dxa"/>
            <w:shd w:val="clear" w:color="auto" w:fill="auto"/>
            <w:tcMar>
              <w:top w:w="10" w:type="dxa"/>
              <w:left w:w="10" w:type="dxa"/>
              <w:bottom w:w="0" w:type="dxa"/>
              <w:right w:w="10" w:type="dxa"/>
            </w:tcMar>
            <w:vAlign w:val="center"/>
          </w:tcPr>
          <w:p w14:paraId="06FCC7C0" w14:textId="77777777" w:rsidR="00A90E9C" w:rsidRPr="008A26D2" w:rsidRDefault="00A90E9C" w:rsidP="0011698E">
            <w:pPr>
              <w:spacing w:after="0" w:line="240" w:lineRule="auto"/>
              <w:jc w:val="center"/>
              <w:rPr>
                <w:rFonts w:ascii="Arial" w:hAnsi="Arial" w:cs="Arial"/>
                <w:b/>
                <w:sz w:val="20"/>
                <w:szCs w:val="20"/>
              </w:rPr>
            </w:pPr>
            <w:r w:rsidRPr="008A26D2">
              <w:rPr>
                <w:rFonts w:ascii="Arial" w:hAnsi="Arial" w:cs="Arial"/>
                <w:b/>
                <w:sz w:val="20"/>
                <w:szCs w:val="20"/>
              </w:rPr>
              <w:t>2023</w:t>
            </w:r>
          </w:p>
        </w:tc>
        <w:tc>
          <w:tcPr>
            <w:tcW w:w="1134" w:type="dxa"/>
            <w:gridSpan w:val="2"/>
            <w:shd w:val="clear" w:color="auto" w:fill="auto"/>
            <w:vAlign w:val="center"/>
          </w:tcPr>
          <w:p w14:paraId="2A87B3AB" w14:textId="77777777" w:rsidR="00A90E9C" w:rsidRPr="008A26D2" w:rsidRDefault="00A90E9C" w:rsidP="0011698E">
            <w:pPr>
              <w:spacing w:after="0" w:line="240" w:lineRule="auto"/>
              <w:jc w:val="center"/>
              <w:rPr>
                <w:rFonts w:ascii="Arial" w:hAnsi="Arial" w:cs="Arial"/>
                <w:b/>
                <w:sz w:val="20"/>
                <w:szCs w:val="20"/>
              </w:rPr>
            </w:pPr>
            <w:r w:rsidRPr="008A26D2">
              <w:rPr>
                <w:rFonts w:ascii="Arial" w:hAnsi="Arial" w:cs="Arial"/>
                <w:b/>
                <w:sz w:val="20"/>
                <w:szCs w:val="20"/>
              </w:rPr>
              <w:t>2024</w:t>
            </w:r>
          </w:p>
        </w:tc>
        <w:tc>
          <w:tcPr>
            <w:tcW w:w="992" w:type="dxa"/>
            <w:gridSpan w:val="2"/>
            <w:shd w:val="clear" w:color="auto" w:fill="auto"/>
            <w:vAlign w:val="center"/>
          </w:tcPr>
          <w:p w14:paraId="33047353" w14:textId="77777777" w:rsidR="00A90E9C" w:rsidRPr="008A26D2" w:rsidRDefault="00A90E9C" w:rsidP="0011698E">
            <w:pPr>
              <w:spacing w:after="0" w:line="240" w:lineRule="auto"/>
              <w:jc w:val="center"/>
              <w:rPr>
                <w:rFonts w:ascii="Arial" w:hAnsi="Arial" w:cs="Arial"/>
                <w:b/>
                <w:sz w:val="20"/>
                <w:szCs w:val="20"/>
              </w:rPr>
            </w:pPr>
            <w:r w:rsidRPr="008A26D2">
              <w:rPr>
                <w:rFonts w:ascii="Arial" w:hAnsi="Arial" w:cs="Arial"/>
                <w:b/>
                <w:sz w:val="20"/>
                <w:szCs w:val="20"/>
              </w:rPr>
              <w:t>2025</w:t>
            </w:r>
          </w:p>
        </w:tc>
        <w:tc>
          <w:tcPr>
            <w:tcW w:w="992" w:type="dxa"/>
            <w:shd w:val="clear" w:color="auto" w:fill="auto"/>
            <w:vAlign w:val="center"/>
          </w:tcPr>
          <w:p w14:paraId="4CC90693" w14:textId="77777777" w:rsidR="00A90E9C" w:rsidRPr="008A26D2" w:rsidRDefault="00A90E9C" w:rsidP="0011698E">
            <w:pPr>
              <w:spacing w:after="0" w:line="240" w:lineRule="auto"/>
              <w:jc w:val="center"/>
              <w:rPr>
                <w:rFonts w:ascii="Arial" w:hAnsi="Arial" w:cs="Arial"/>
                <w:b/>
                <w:sz w:val="20"/>
                <w:szCs w:val="20"/>
              </w:rPr>
            </w:pPr>
            <w:r w:rsidRPr="008A26D2">
              <w:rPr>
                <w:rFonts w:ascii="Arial" w:hAnsi="Arial" w:cs="Arial"/>
                <w:b/>
                <w:sz w:val="20"/>
                <w:szCs w:val="20"/>
              </w:rPr>
              <w:t>2026</w:t>
            </w:r>
          </w:p>
        </w:tc>
        <w:tc>
          <w:tcPr>
            <w:tcW w:w="851" w:type="dxa"/>
            <w:shd w:val="clear" w:color="auto" w:fill="auto"/>
            <w:vAlign w:val="center"/>
          </w:tcPr>
          <w:p w14:paraId="570E23EC" w14:textId="77777777" w:rsidR="00A90E9C" w:rsidRPr="008A26D2" w:rsidRDefault="00A90E9C" w:rsidP="0011698E">
            <w:pPr>
              <w:spacing w:after="0" w:line="240" w:lineRule="auto"/>
              <w:jc w:val="center"/>
              <w:rPr>
                <w:rFonts w:ascii="Arial" w:hAnsi="Arial" w:cs="Arial"/>
                <w:b/>
                <w:sz w:val="20"/>
                <w:szCs w:val="20"/>
              </w:rPr>
            </w:pPr>
            <w:r w:rsidRPr="008A26D2">
              <w:rPr>
                <w:rFonts w:ascii="Arial" w:hAnsi="Arial" w:cs="Arial"/>
                <w:b/>
                <w:sz w:val="20"/>
                <w:szCs w:val="20"/>
              </w:rPr>
              <w:t>2027</w:t>
            </w:r>
          </w:p>
        </w:tc>
        <w:tc>
          <w:tcPr>
            <w:tcW w:w="850" w:type="dxa"/>
            <w:gridSpan w:val="2"/>
            <w:shd w:val="clear" w:color="auto" w:fill="auto"/>
            <w:vAlign w:val="center"/>
          </w:tcPr>
          <w:p w14:paraId="5484EB80" w14:textId="77777777" w:rsidR="00A90E9C" w:rsidRPr="008A26D2" w:rsidRDefault="00A90E9C" w:rsidP="0011698E">
            <w:pPr>
              <w:spacing w:after="0" w:line="240" w:lineRule="auto"/>
              <w:jc w:val="center"/>
              <w:rPr>
                <w:rFonts w:ascii="Arial" w:hAnsi="Arial" w:cs="Arial"/>
                <w:b/>
                <w:sz w:val="20"/>
                <w:szCs w:val="20"/>
              </w:rPr>
            </w:pPr>
            <w:r w:rsidRPr="008A26D2">
              <w:rPr>
                <w:rFonts w:ascii="Arial" w:hAnsi="Arial" w:cs="Arial"/>
                <w:b/>
                <w:sz w:val="20"/>
                <w:szCs w:val="20"/>
              </w:rPr>
              <w:t>2028</w:t>
            </w:r>
          </w:p>
        </w:tc>
        <w:tc>
          <w:tcPr>
            <w:tcW w:w="851" w:type="dxa"/>
            <w:shd w:val="clear" w:color="auto" w:fill="auto"/>
            <w:vAlign w:val="center"/>
          </w:tcPr>
          <w:p w14:paraId="0A4B7461" w14:textId="77777777" w:rsidR="00A90E9C" w:rsidRPr="008A26D2" w:rsidRDefault="00A90E9C" w:rsidP="0011698E">
            <w:pPr>
              <w:spacing w:after="0" w:line="240" w:lineRule="auto"/>
              <w:jc w:val="center"/>
              <w:rPr>
                <w:rFonts w:ascii="Arial" w:hAnsi="Arial" w:cs="Arial"/>
                <w:b/>
                <w:sz w:val="20"/>
                <w:szCs w:val="20"/>
              </w:rPr>
            </w:pPr>
            <w:r w:rsidRPr="008A26D2">
              <w:rPr>
                <w:rFonts w:ascii="Arial" w:hAnsi="Arial" w:cs="Arial"/>
                <w:b/>
                <w:sz w:val="20"/>
                <w:szCs w:val="20"/>
              </w:rPr>
              <w:t>2029</w:t>
            </w:r>
          </w:p>
        </w:tc>
        <w:tc>
          <w:tcPr>
            <w:tcW w:w="708" w:type="dxa"/>
            <w:shd w:val="clear" w:color="auto" w:fill="auto"/>
            <w:tcMar>
              <w:top w:w="10" w:type="dxa"/>
              <w:left w:w="10" w:type="dxa"/>
              <w:bottom w:w="0" w:type="dxa"/>
              <w:right w:w="10" w:type="dxa"/>
            </w:tcMar>
            <w:vAlign w:val="center"/>
          </w:tcPr>
          <w:p w14:paraId="0BBC6FC7" w14:textId="77777777" w:rsidR="00A90E9C" w:rsidRPr="008A26D2" w:rsidRDefault="00A90E9C" w:rsidP="0011698E">
            <w:pPr>
              <w:spacing w:after="0" w:line="240" w:lineRule="auto"/>
              <w:jc w:val="center"/>
              <w:rPr>
                <w:rFonts w:ascii="Arial" w:hAnsi="Arial" w:cs="Arial"/>
                <w:b/>
                <w:sz w:val="20"/>
                <w:szCs w:val="20"/>
              </w:rPr>
            </w:pPr>
            <w:r w:rsidRPr="008A26D2">
              <w:rPr>
                <w:rFonts w:ascii="Arial" w:hAnsi="Arial" w:cs="Arial"/>
                <w:b/>
                <w:sz w:val="20"/>
                <w:szCs w:val="20"/>
              </w:rPr>
              <w:t>2030</w:t>
            </w:r>
          </w:p>
        </w:tc>
      </w:tr>
      <w:tr w:rsidR="008A26D2" w:rsidRPr="008A26D2" w14:paraId="5381A4FF" w14:textId="77777777" w:rsidTr="0011698E">
        <w:trPr>
          <w:trHeight w:val="81"/>
          <w:tblHeader/>
        </w:trPr>
        <w:tc>
          <w:tcPr>
            <w:tcW w:w="709" w:type="dxa"/>
            <w:shd w:val="clear" w:color="auto" w:fill="auto"/>
            <w:tcMar>
              <w:top w:w="10" w:type="dxa"/>
              <w:left w:w="10" w:type="dxa"/>
              <w:bottom w:w="0" w:type="dxa"/>
              <w:right w:w="10" w:type="dxa"/>
            </w:tcMar>
            <w:vAlign w:val="center"/>
          </w:tcPr>
          <w:p w14:paraId="70F5BB94" w14:textId="77777777" w:rsidR="00A90E9C" w:rsidRPr="008A26D2" w:rsidRDefault="00A90E9C" w:rsidP="00147D2E">
            <w:pPr>
              <w:spacing w:after="0" w:line="240" w:lineRule="auto"/>
              <w:jc w:val="both"/>
              <w:rPr>
                <w:rFonts w:ascii="Arial" w:hAnsi="Arial" w:cs="Arial"/>
                <w:sz w:val="20"/>
                <w:szCs w:val="20"/>
              </w:rPr>
            </w:pPr>
            <w:r w:rsidRPr="008A26D2">
              <w:rPr>
                <w:rFonts w:ascii="Arial" w:hAnsi="Arial" w:cs="Arial"/>
                <w:b/>
                <w:sz w:val="20"/>
                <w:szCs w:val="20"/>
              </w:rPr>
              <w:t>Valor</w:t>
            </w:r>
          </w:p>
        </w:tc>
        <w:tc>
          <w:tcPr>
            <w:tcW w:w="851" w:type="dxa"/>
            <w:shd w:val="clear" w:color="auto" w:fill="auto"/>
            <w:tcMar>
              <w:top w:w="10" w:type="dxa"/>
              <w:left w:w="10" w:type="dxa"/>
              <w:bottom w:w="0" w:type="dxa"/>
              <w:right w:w="10" w:type="dxa"/>
            </w:tcMar>
            <w:vAlign w:val="center"/>
          </w:tcPr>
          <w:p w14:paraId="1E2A0FEF" w14:textId="77777777" w:rsidR="00A90E9C" w:rsidRPr="008A26D2" w:rsidRDefault="00A90E9C" w:rsidP="0011698E">
            <w:pPr>
              <w:spacing w:after="0" w:line="240" w:lineRule="auto"/>
              <w:jc w:val="center"/>
              <w:rPr>
                <w:rFonts w:ascii="Arial" w:hAnsi="Arial" w:cs="Arial"/>
                <w:sz w:val="20"/>
                <w:szCs w:val="20"/>
              </w:rPr>
            </w:pPr>
            <w:r w:rsidRPr="008A26D2">
              <w:rPr>
                <w:rFonts w:ascii="Arial" w:eastAsia="Arial Narrow" w:hAnsi="Arial" w:cs="Arial"/>
                <w:sz w:val="20"/>
                <w:szCs w:val="20"/>
              </w:rPr>
              <w:t>703</w:t>
            </w:r>
          </w:p>
        </w:tc>
        <w:tc>
          <w:tcPr>
            <w:tcW w:w="709" w:type="dxa"/>
            <w:shd w:val="clear" w:color="auto" w:fill="auto"/>
            <w:tcMar>
              <w:top w:w="10" w:type="dxa"/>
              <w:left w:w="10" w:type="dxa"/>
              <w:bottom w:w="0" w:type="dxa"/>
              <w:right w:w="10" w:type="dxa"/>
            </w:tcMar>
            <w:vAlign w:val="bottom"/>
          </w:tcPr>
          <w:p w14:paraId="4EB1FE58" w14:textId="77777777" w:rsidR="00A90E9C" w:rsidRPr="008A26D2" w:rsidRDefault="00A90E9C" w:rsidP="0011698E">
            <w:pPr>
              <w:spacing w:after="0" w:line="240" w:lineRule="auto"/>
              <w:jc w:val="center"/>
              <w:rPr>
                <w:rFonts w:ascii="Arial" w:hAnsi="Arial" w:cs="Arial"/>
                <w:sz w:val="20"/>
                <w:szCs w:val="20"/>
              </w:rPr>
            </w:pPr>
            <w:r w:rsidRPr="008A26D2">
              <w:rPr>
                <w:rFonts w:ascii="Arial" w:eastAsia="Arial Narrow" w:hAnsi="Arial" w:cs="Arial"/>
                <w:sz w:val="20"/>
                <w:szCs w:val="20"/>
              </w:rPr>
              <w:t>890</w:t>
            </w:r>
          </w:p>
        </w:tc>
        <w:tc>
          <w:tcPr>
            <w:tcW w:w="1134" w:type="dxa"/>
            <w:gridSpan w:val="2"/>
            <w:shd w:val="clear" w:color="auto" w:fill="auto"/>
            <w:vAlign w:val="bottom"/>
          </w:tcPr>
          <w:p w14:paraId="1D774A7E" w14:textId="77777777" w:rsidR="00A90E9C" w:rsidRPr="008A26D2" w:rsidRDefault="00A90E9C" w:rsidP="0011698E">
            <w:pPr>
              <w:spacing w:after="0" w:line="240" w:lineRule="auto"/>
              <w:jc w:val="center"/>
              <w:rPr>
                <w:rFonts w:ascii="Arial" w:hAnsi="Arial" w:cs="Arial"/>
                <w:sz w:val="20"/>
                <w:szCs w:val="20"/>
              </w:rPr>
            </w:pPr>
            <w:r w:rsidRPr="008A26D2">
              <w:rPr>
                <w:rFonts w:ascii="Arial" w:eastAsia="Arial Narrow" w:hAnsi="Arial" w:cs="Arial"/>
                <w:sz w:val="20"/>
                <w:szCs w:val="20"/>
              </w:rPr>
              <w:t>920</w:t>
            </w:r>
          </w:p>
        </w:tc>
        <w:tc>
          <w:tcPr>
            <w:tcW w:w="992" w:type="dxa"/>
            <w:gridSpan w:val="2"/>
            <w:shd w:val="clear" w:color="auto" w:fill="auto"/>
            <w:vAlign w:val="bottom"/>
          </w:tcPr>
          <w:p w14:paraId="0471730F" w14:textId="77777777" w:rsidR="00A90E9C" w:rsidRPr="008A26D2" w:rsidRDefault="00A90E9C" w:rsidP="0011698E">
            <w:pPr>
              <w:spacing w:after="0" w:line="240" w:lineRule="auto"/>
              <w:jc w:val="center"/>
              <w:rPr>
                <w:rFonts w:ascii="Arial" w:hAnsi="Arial" w:cs="Arial"/>
                <w:sz w:val="20"/>
                <w:szCs w:val="20"/>
              </w:rPr>
            </w:pPr>
            <w:r w:rsidRPr="008A26D2">
              <w:rPr>
                <w:rFonts w:ascii="Arial" w:hAnsi="Arial" w:cs="Arial"/>
                <w:sz w:val="20"/>
                <w:szCs w:val="20"/>
              </w:rPr>
              <w:t>950</w:t>
            </w:r>
          </w:p>
        </w:tc>
        <w:tc>
          <w:tcPr>
            <w:tcW w:w="992" w:type="dxa"/>
            <w:shd w:val="clear" w:color="auto" w:fill="auto"/>
            <w:vAlign w:val="bottom"/>
          </w:tcPr>
          <w:p w14:paraId="0F57AB2B" w14:textId="77777777" w:rsidR="00A90E9C" w:rsidRPr="008A26D2" w:rsidRDefault="00A90E9C" w:rsidP="0011698E">
            <w:pPr>
              <w:spacing w:after="0" w:line="240" w:lineRule="auto"/>
              <w:jc w:val="center"/>
              <w:rPr>
                <w:rFonts w:ascii="Arial" w:hAnsi="Arial" w:cs="Arial"/>
                <w:sz w:val="20"/>
                <w:szCs w:val="20"/>
              </w:rPr>
            </w:pPr>
            <w:r w:rsidRPr="008A26D2">
              <w:rPr>
                <w:rFonts w:ascii="Arial" w:eastAsia="Arial Narrow" w:hAnsi="Arial" w:cs="Arial"/>
                <w:sz w:val="20"/>
                <w:szCs w:val="20"/>
              </w:rPr>
              <w:t>980</w:t>
            </w:r>
          </w:p>
        </w:tc>
        <w:tc>
          <w:tcPr>
            <w:tcW w:w="851" w:type="dxa"/>
            <w:shd w:val="clear" w:color="auto" w:fill="auto"/>
            <w:vAlign w:val="bottom"/>
          </w:tcPr>
          <w:p w14:paraId="314E443F" w14:textId="11D718B5" w:rsidR="00A90E9C" w:rsidRPr="008A26D2" w:rsidRDefault="00A90E9C" w:rsidP="0011698E">
            <w:pPr>
              <w:spacing w:after="0" w:line="240" w:lineRule="auto"/>
              <w:jc w:val="center"/>
              <w:rPr>
                <w:rFonts w:ascii="Arial" w:hAnsi="Arial" w:cs="Arial"/>
                <w:sz w:val="20"/>
                <w:szCs w:val="20"/>
              </w:rPr>
            </w:pPr>
            <w:r w:rsidRPr="008A26D2">
              <w:rPr>
                <w:rFonts w:ascii="Arial" w:eastAsia="Arial Narrow" w:hAnsi="Arial" w:cs="Arial"/>
                <w:sz w:val="20"/>
                <w:szCs w:val="20"/>
              </w:rPr>
              <w:t>1</w:t>
            </w:r>
            <w:r w:rsidR="00C76AB5">
              <w:rPr>
                <w:rFonts w:ascii="Arial" w:eastAsia="Arial Narrow" w:hAnsi="Arial" w:cs="Arial"/>
                <w:sz w:val="20"/>
                <w:szCs w:val="20"/>
              </w:rPr>
              <w:t>,</w:t>
            </w:r>
            <w:r w:rsidRPr="008A26D2">
              <w:rPr>
                <w:rFonts w:ascii="Arial" w:eastAsia="Arial Narrow" w:hAnsi="Arial" w:cs="Arial"/>
                <w:sz w:val="20"/>
                <w:szCs w:val="20"/>
              </w:rPr>
              <w:t>010</w:t>
            </w:r>
          </w:p>
        </w:tc>
        <w:tc>
          <w:tcPr>
            <w:tcW w:w="850" w:type="dxa"/>
            <w:gridSpan w:val="2"/>
            <w:shd w:val="clear" w:color="auto" w:fill="auto"/>
            <w:vAlign w:val="bottom"/>
          </w:tcPr>
          <w:p w14:paraId="229D047F" w14:textId="6A3407D6" w:rsidR="00A90E9C" w:rsidRPr="008A26D2" w:rsidRDefault="00A90E9C" w:rsidP="0011698E">
            <w:pPr>
              <w:spacing w:after="0" w:line="240" w:lineRule="auto"/>
              <w:jc w:val="center"/>
              <w:rPr>
                <w:rFonts w:ascii="Arial" w:hAnsi="Arial" w:cs="Arial"/>
                <w:sz w:val="20"/>
                <w:szCs w:val="20"/>
              </w:rPr>
            </w:pPr>
            <w:r w:rsidRPr="008A26D2">
              <w:rPr>
                <w:rFonts w:ascii="Arial" w:eastAsia="Arial Narrow" w:hAnsi="Arial" w:cs="Arial"/>
                <w:sz w:val="20"/>
                <w:szCs w:val="20"/>
              </w:rPr>
              <w:t>1</w:t>
            </w:r>
            <w:r w:rsidR="00C76AB5">
              <w:rPr>
                <w:rFonts w:ascii="Arial" w:eastAsia="Arial Narrow" w:hAnsi="Arial" w:cs="Arial"/>
                <w:sz w:val="20"/>
                <w:szCs w:val="20"/>
              </w:rPr>
              <w:t>,</w:t>
            </w:r>
            <w:r w:rsidRPr="008A26D2">
              <w:rPr>
                <w:rFonts w:ascii="Arial" w:eastAsia="Arial Narrow" w:hAnsi="Arial" w:cs="Arial"/>
                <w:sz w:val="20"/>
                <w:szCs w:val="20"/>
              </w:rPr>
              <w:t>040</w:t>
            </w:r>
          </w:p>
        </w:tc>
        <w:tc>
          <w:tcPr>
            <w:tcW w:w="851" w:type="dxa"/>
            <w:shd w:val="clear" w:color="auto" w:fill="auto"/>
            <w:vAlign w:val="bottom"/>
          </w:tcPr>
          <w:p w14:paraId="7CC24D48" w14:textId="5D6C5D86" w:rsidR="00A90E9C" w:rsidRPr="008A26D2" w:rsidRDefault="00A90E9C" w:rsidP="0011698E">
            <w:pPr>
              <w:spacing w:after="0" w:line="240" w:lineRule="auto"/>
              <w:jc w:val="center"/>
              <w:rPr>
                <w:rFonts w:ascii="Arial" w:hAnsi="Arial" w:cs="Arial"/>
                <w:sz w:val="20"/>
                <w:szCs w:val="20"/>
              </w:rPr>
            </w:pPr>
            <w:r w:rsidRPr="008A26D2">
              <w:rPr>
                <w:rFonts w:ascii="Arial" w:eastAsia="Arial Narrow" w:hAnsi="Arial" w:cs="Arial"/>
                <w:sz w:val="20"/>
                <w:szCs w:val="20"/>
              </w:rPr>
              <w:t>1</w:t>
            </w:r>
            <w:r w:rsidR="00C76AB5">
              <w:rPr>
                <w:rFonts w:ascii="Arial" w:eastAsia="Arial Narrow" w:hAnsi="Arial" w:cs="Arial"/>
                <w:sz w:val="20"/>
                <w:szCs w:val="20"/>
              </w:rPr>
              <w:t>,</w:t>
            </w:r>
            <w:r w:rsidRPr="008A26D2">
              <w:rPr>
                <w:rFonts w:ascii="Arial" w:eastAsia="Arial Narrow" w:hAnsi="Arial" w:cs="Arial"/>
                <w:sz w:val="20"/>
                <w:szCs w:val="20"/>
              </w:rPr>
              <w:t>070</w:t>
            </w:r>
          </w:p>
        </w:tc>
        <w:tc>
          <w:tcPr>
            <w:tcW w:w="708" w:type="dxa"/>
            <w:shd w:val="clear" w:color="auto" w:fill="auto"/>
            <w:tcMar>
              <w:top w:w="10" w:type="dxa"/>
              <w:left w:w="10" w:type="dxa"/>
              <w:bottom w:w="0" w:type="dxa"/>
              <w:right w:w="10" w:type="dxa"/>
            </w:tcMar>
            <w:vAlign w:val="bottom"/>
          </w:tcPr>
          <w:p w14:paraId="451BB87E" w14:textId="0C265CE5" w:rsidR="00A90E9C" w:rsidRPr="008A26D2" w:rsidRDefault="00A90E9C" w:rsidP="0011698E">
            <w:pPr>
              <w:spacing w:after="0" w:line="240" w:lineRule="auto"/>
              <w:jc w:val="center"/>
              <w:rPr>
                <w:rFonts w:ascii="Arial" w:hAnsi="Arial" w:cs="Arial"/>
                <w:sz w:val="20"/>
                <w:szCs w:val="20"/>
              </w:rPr>
            </w:pPr>
            <w:r w:rsidRPr="008A26D2">
              <w:rPr>
                <w:rFonts w:ascii="Arial" w:eastAsia="Arial Narrow" w:hAnsi="Arial" w:cs="Arial"/>
                <w:sz w:val="20"/>
                <w:szCs w:val="20"/>
              </w:rPr>
              <w:t>1</w:t>
            </w:r>
            <w:r w:rsidR="00C76AB5">
              <w:rPr>
                <w:rFonts w:ascii="Arial" w:eastAsia="Arial Narrow" w:hAnsi="Arial" w:cs="Arial"/>
                <w:sz w:val="20"/>
                <w:szCs w:val="20"/>
              </w:rPr>
              <w:t>,</w:t>
            </w:r>
            <w:r w:rsidRPr="008A26D2">
              <w:rPr>
                <w:rFonts w:ascii="Arial" w:eastAsia="Arial Narrow" w:hAnsi="Arial" w:cs="Arial"/>
                <w:sz w:val="20"/>
                <w:szCs w:val="20"/>
              </w:rPr>
              <w:t>100</w:t>
            </w:r>
          </w:p>
        </w:tc>
      </w:tr>
      <w:bookmarkEnd w:id="19"/>
    </w:tbl>
    <w:p w14:paraId="2FA3A1B4" w14:textId="77777777" w:rsidR="00A90E9C" w:rsidRPr="008A26D2" w:rsidRDefault="00A90E9C" w:rsidP="00A90E9C"/>
    <w:p w14:paraId="337F52C7" w14:textId="77777777" w:rsidR="00A90E9C" w:rsidRPr="008A26D2" w:rsidRDefault="00A90E9C" w:rsidP="00A90E9C">
      <w:bookmarkStart w:id="20" w:name="_Hlk135667096"/>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851"/>
        <w:gridCol w:w="726"/>
        <w:gridCol w:w="124"/>
        <w:gridCol w:w="992"/>
        <w:gridCol w:w="709"/>
        <w:gridCol w:w="284"/>
        <w:gridCol w:w="850"/>
        <w:gridCol w:w="851"/>
        <w:gridCol w:w="723"/>
        <w:gridCol w:w="127"/>
        <w:gridCol w:w="709"/>
        <w:gridCol w:w="850"/>
      </w:tblGrid>
      <w:tr w:rsidR="008A26D2" w:rsidRPr="008A26D2" w14:paraId="6B652A7A" w14:textId="77777777" w:rsidTr="00E2174D">
        <w:trPr>
          <w:trHeight w:val="251"/>
        </w:trPr>
        <w:tc>
          <w:tcPr>
            <w:tcW w:w="8505" w:type="dxa"/>
            <w:gridSpan w:val="13"/>
            <w:shd w:val="clear" w:color="auto" w:fill="D9D9D9" w:themeFill="background1" w:themeFillShade="D9"/>
            <w:tcMar>
              <w:top w:w="10" w:type="dxa"/>
              <w:left w:w="10" w:type="dxa"/>
              <w:bottom w:w="0" w:type="dxa"/>
              <w:right w:w="10" w:type="dxa"/>
            </w:tcMar>
            <w:vAlign w:val="center"/>
          </w:tcPr>
          <w:p w14:paraId="369774B6" w14:textId="6AC78055" w:rsidR="00A90E9C" w:rsidRPr="008A26D2" w:rsidRDefault="00A90E9C" w:rsidP="00147D2E">
            <w:pPr>
              <w:jc w:val="center"/>
              <w:rPr>
                <w:rFonts w:ascii="Arial" w:hAnsi="Arial" w:cs="Arial"/>
                <w:sz w:val="20"/>
                <w:szCs w:val="20"/>
              </w:rPr>
            </w:pPr>
            <w:r w:rsidRPr="008A26D2">
              <w:rPr>
                <w:rFonts w:ascii="Arial" w:hAnsi="Arial" w:cs="Arial"/>
                <w:sz w:val="20"/>
                <w:szCs w:val="20"/>
              </w:rPr>
              <w:br w:type="page"/>
            </w:r>
            <w:r w:rsidRPr="008A26D2">
              <w:rPr>
                <w:rFonts w:ascii="Arial" w:hAnsi="Arial" w:cs="Arial"/>
                <w:b/>
                <w:sz w:val="20"/>
                <w:szCs w:val="20"/>
              </w:rPr>
              <w:t>FICHA TÉCNICA DE INDICADOR DE SERVICIO 1.9.</w:t>
            </w:r>
            <w:r w:rsidR="00F92676" w:rsidRPr="008A26D2">
              <w:rPr>
                <w:rFonts w:ascii="Arial" w:hAnsi="Arial" w:cs="Arial"/>
                <w:b/>
                <w:sz w:val="20"/>
                <w:szCs w:val="20"/>
              </w:rPr>
              <w:t>4</w:t>
            </w:r>
          </w:p>
        </w:tc>
      </w:tr>
      <w:tr w:rsidR="008A26D2" w:rsidRPr="008A26D2" w14:paraId="29D93230" w14:textId="77777777" w:rsidTr="00E2174D">
        <w:trPr>
          <w:trHeight w:val="409"/>
        </w:trPr>
        <w:tc>
          <w:tcPr>
            <w:tcW w:w="2286" w:type="dxa"/>
            <w:gridSpan w:val="3"/>
            <w:shd w:val="clear" w:color="auto" w:fill="FFFFFF"/>
            <w:tcMar>
              <w:top w:w="10" w:type="dxa"/>
              <w:left w:w="93" w:type="dxa"/>
              <w:bottom w:w="0" w:type="dxa"/>
              <w:right w:w="10" w:type="dxa"/>
            </w:tcMar>
            <w:vAlign w:val="center"/>
          </w:tcPr>
          <w:p w14:paraId="231B8BA6" w14:textId="77777777" w:rsidR="00A90E9C" w:rsidRPr="008A26D2" w:rsidRDefault="00A90E9C" w:rsidP="00147D2E">
            <w:pPr>
              <w:jc w:val="both"/>
              <w:rPr>
                <w:rFonts w:ascii="Arial" w:hAnsi="Arial" w:cs="Arial"/>
                <w:sz w:val="20"/>
                <w:szCs w:val="20"/>
              </w:rPr>
            </w:pPr>
            <w:r w:rsidRPr="008A26D2">
              <w:rPr>
                <w:rFonts w:ascii="Arial" w:hAnsi="Arial" w:cs="Arial"/>
                <w:b/>
                <w:sz w:val="20"/>
                <w:szCs w:val="20"/>
              </w:rPr>
              <w:t>Objetivo prioritario:</w:t>
            </w:r>
          </w:p>
        </w:tc>
        <w:tc>
          <w:tcPr>
            <w:tcW w:w="6219" w:type="dxa"/>
            <w:gridSpan w:val="10"/>
            <w:shd w:val="clear" w:color="auto" w:fill="FFFFFF"/>
            <w:tcMar>
              <w:top w:w="51" w:type="dxa"/>
              <w:left w:w="227" w:type="dxa"/>
              <w:bottom w:w="51" w:type="dxa"/>
              <w:right w:w="227" w:type="dxa"/>
            </w:tcMar>
            <w:vAlign w:val="center"/>
          </w:tcPr>
          <w:p w14:paraId="72C9268F" w14:textId="77777777" w:rsidR="00A90E9C" w:rsidRPr="008A26D2" w:rsidRDefault="00A90E9C" w:rsidP="00147D2E">
            <w:pPr>
              <w:spacing w:after="0" w:line="240" w:lineRule="auto"/>
              <w:jc w:val="both"/>
              <w:rPr>
                <w:rFonts w:ascii="Arial" w:hAnsi="Arial" w:cs="Arial"/>
                <w:sz w:val="20"/>
                <w:szCs w:val="20"/>
              </w:rPr>
            </w:pPr>
            <w:r w:rsidRPr="008A26D2">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r>
      <w:tr w:rsidR="008A26D2" w:rsidRPr="008A26D2" w14:paraId="6C76092C" w14:textId="77777777" w:rsidTr="00E2174D">
        <w:trPr>
          <w:trHeight w:val="436"/>
        </w:trPr>
        <w:tc>
          <w:tcPr>
            <w:tcW w:w="2286" w:type="dxa"/>
            <w:gridSpan w:val="3"/>
            <w:shd w:val="clear" w:color="auto" w:fill="auto"/>
            <w:tcMar>
              <w:top w:w="10" w:type="dxa"/>
              <w:left w:w="93" w:type="dxa"/>
              <w:bottom w:w="0" w:type="dxa"/>
              <w:right w:w="10" w:type="dxa"/>
            </w:tcMar>
            <w:vAlign w:val="center"/>
          </w:tcPr>
          <w:p w14:paraId="0C672732" w14:textId="77777777" w:rsidR="00A90E9C" w:rsidRPr="008A26D2" w:rsidRDefault="00A90E9C" w:rsidP="00147D2E">
            <w:pPr>
              <w:jc w:val="both"/>
              <w:rPr>
                <w:rFonts w:ascii="Arial" w:hAnsi="Arial" w:cs="Arial"/>
                <w:sz w:val="20"/>
                <w:szCs w:val="20"/>
              </w:rPr>
            </w:pPr>
            <w:r w:rsidRPr="008A26D2">
              <w:rPr>
                <w:rFonts w:ascii="Arial" w:hAnsi="Arial" w:cs="Arial"/>
                <w:b/>
                <w:sz w:val="20"/>
                <w:szCs w:val="20"/>
              </w:rPr>
              <w:t>Lineamiento de la política:</w:t>
            </w:r>
          </w:p>
        </w:tc>
        <w:tc>
          <w:tcPr>
            <w:tcW w:w="6219" w:type="dxa"/>
            <w:gridSpan w:val="10"/>
            <w:shd w:val="clear" w:color="auto" w:fill="auto"/>
            <w:tcMar>
              <w:top w:w="51" w:type="dxa"/>
              <w:left w:w="227" w:type="dxa"/>
              <w:bottom w:w="51" w:type="dxa"/>
              <w:right w:w="227" w:type="dxa"/>
            </w:tcMar>
            <w:vAlign w:val="center"/>
          </w:tcPr>
          <w:p w14:paraId="6C574EC7" w14:textId="77777777" w:rsidR="00A90E9C" w:rsidRPr="008A26D2" w:rsidRDefault="00A90E9C" w:rsidP="00147D2E">
            <w:pPr>
              <w:spacing w:after="0" w:line="240" w:lineRule="auto"/>
              <w:jc w:val="both"/>
              <w:rPr>
                <w:rFonts w:ascii="Arial" w:hAnsi="Arial" w:cs="Arial"/>
                <w:sz w:val="20"/>
                <w:szCs w:val="20"/>
              </w:rPr>
            </w:pPr>
            <w:r w:rsidRPr="008A26D2">
              <w:rPr>
                <w:rFonts w:ascii="Arial" w:eastAsia="Arial Narrow" w:hAnsi="Arial" w:cs="Arial"/>
                <w:sz w:val="20"/>
                <w:szCs w:val="20"/>
              </w:rPr>
              <w:t>L1.9 Reducir los niveles de tala ilegal, caza furtiva y del tráfico ilegal forestal y de fauna silvestre.</w:t>
            </w:r>
          </w:p>
        </w:tc>
      </w:tr>
      <w:tr w:rsidR="008A26D2" w:rsidRPr="008A26D2" w14:paraId="247A9316" w14:textId="77777777" w:rsidTr="00E2174D">
        <w:trPr>
          <w:trHeight w:val="404"/>
        </w:trPr>
        <w:tc>
          <w:tcPr>
            <w:tcW w:w="2286" w:type="dxa"/>
            <w:gridSpan w:val="3"/>
            <w:shd w:val="clear" w:color="auto" w:fill="auto"/>
            <w:tcMar>
              <w:top w:w="10" w:type="dxa"/>
              <w:left w:w="93" w:type="dxa"/>
              <w:bottom w:w="0" w:type="dxa"/>
              <w:right w:w="10" w:type="dxa"/>
            </w:tcMar>
            <w:vAlign w:val="center"/>
          </w:tcPr>
          <w:p w14:paraId="074AD7F2" w14:textId="77777777" w:rsidR="00A90E9C" w:rsidRPr="008A26D2" w:rsidRDefault="00A90E9C" w:rsidP="00147D2E">
            <w:pPr>
              <w:jc w:val="both"/>
              <w:rPr>
                <w:rFonts w:ascii="Arial" w:hAnsi="Arial" w:cs="Arial"/>
                <w:sz w:val="20"/>
                <w:szCs w:val="20"/>
              </w:rPr>
            </w:pPr>
            <w:r w:rsidRPr="008A26D2">
              <w:rPr>
                <w:rFonts w:ascii="Arial" w:hAnsi="Arial" w:cs="Arial"/>
                <w:b/>
                <w:sz w:val="20"/>
                <w:szCs w:val="20"/>
              </w:rPr>
              <w:t>Nombre del servicio:</w:t>
            </w:r>
          </w:p>
        </w:tc>
        <w:tc>
          <w:tcPr>
            <w:tcW w:w="6219" w:type="dxa"/>
            <w:gridSpan w:val="10"/>
            <w:shd w:val="clear" w:color="auto" w:fill="auto"/>
            <w:tcMar>
              <w:top w:w="51" w:type="dxa"/>
              <w:left w:w="227" w:type="dxa"/>
              <w:bottom w:w="51" w:type="dxa"/>
              <w:right w:w="227" w:type="dxa"/>
            </w:tcMar>
            <w:vAlign w:val="center"/>
          </w:tcPr>
          <w:p w14:paraId="5D4B153C" w14:textId="655063BC" w:rsidR="00A90E9C" w:rsidRPr="008A26D2" w:rsidRDefault="00A90E9C" w:rsidP="00147D2E">
            <w:pPr>
              <w:spacing w:after="0" w:line="240" w:lineRule="auto"/>
              <w:jc w:val="both"/>
              <w:rPr>
                <w:rFonts w:ascii="Arial" w:hAnsi="Arial" w:cs="Arial"/>
                <w:sz w:val="20"/>
                <w:szCs w:val="20"/>
              </w:rPr>
            </w:pPr>
            <w:r w:rsidRPr="008A26D2">
              <w:rPr>
                <w:rFonts w:ascii="Arial" w:eastAsia="Arial Narrow" w:hAnsi="Arial" w:cs="Arial"/>
                <w:sz w:val="20"/>
                <w:szCs w:val="20"/>
              </w:rPr>
              <w:t>S1.9.</w:t>
            </w:r>
            <w:r w:rsidR="00F92676" w:rsidRPr="008A26D2">
              <w:rPr>
                <w:rFonts w:ascii="Arial" w:eastAsia="Arial Narrow" w:hAnsi="Arial" w:cs="Arial"/>
                <w:sz w:val="20"/>
                <w:szCs w:val="20"/>
              </w:rPr>
              <w:t>4</w:t>
            </w:r>
            <w:r w:rsidRPr="008A26D2">
              <w:rPr>
                <w:rFonts w:ascii="Arial" w:eastAsia="Arial Narrow" w:hAnsi="Arial" w:cs="Arial"/>
                <w:sz w:val="20"/>
                <w:szCs w:val="20"/>
              </w:rPr>
              <w:t xml:space="preserve"> Vigilancia y control eficaz de las actividades forestales y fauna silvestre en el ámbito marítimo, fluvial y lacustre para prevenir y reprimir el tráfico ilegal forestal y de fauna silvestre de forma continua en beneficio de la población</w:t>
            </w:r>
          </w:p>
        </w:tc>
      </w:tr>
      <w:tr w:rsidR="008A26D2" w:rsidRPr="008A26D2" w14:paraId="5964865C" w14:textId="77777777" w:rsidTr="00E2174D">
        <w:trPr>
          <w:trHeight w:val="577"/>
        </w:trPr>
        <w:tc>
          <w:tcPr>
            <w:tcW w:w="2286" w:type="dxa"/>
            <w:gridSpan w:val="3"/>
            <w:shd w:val="clear" w:color="auto" w:fill="auto"/>
            <w:tcMar>
              <w:top w:w="10" w:type="dxa"/>
              <w:left w:w="93" w:type="dxa"/>
              <w:bottom w:w="0" w:type="dxa"/>
              <w:right w:w="10" w:type="dxa"/>
            </w:tcMar>
            <w:vAlign w:val="center"/>
          </w:tcPr>
          <w:p w14:paraId="0D69893D" w14:textId="77777777" w:rsidR="00A90E9C" w:rsidRPr="008A26D2" w:rsidRDefault="00A90E9C" w:rsidP="00147D2E">
            <w:pPr>
              <w:jc w:val="both"/>
              <w:rPr>
                <w:rFonts w:ascii="Arial" w:hAnsi="Arial" w:cs="Arial"/>
                <w:sz w:val="20"/>
                <w:szCs w:val="20"/>
              </w:rPr>
            </w:pPr>
            <w:r w:rsidRPr="008A26D2">
              <w:rPr>
                <w:rFonts w:ascii="Arial" w:hAnsi="Arial" w:cs="Arial"/>
                <w:b/>
                <w:sz w:val="20"/>
                <w:szCs w:val="20"/>
              </w:rPr>
              <w:t>Nombre del indicador:</w:t>
            </w:r>
          </w:p>
        </w:tc>
        <w:tc>
          <w:tcPr>
            <w:tcW w:w="6219" w:type="dxa"/>
            <w:gridSpan w:val="10"/>
            <w:shd w:val="clear" w:color="auto" w:fill="auto"/>
            <w:tcMar>
              <w:top w:w="51" w:type="dxa"/>
              <w:left w:w="227" w:type="dxa"/>
              <w:bottom w:w="51" w:type="dxa"/>
              <w:right w:w="227" w:type="dxa"/>
            </w:tcMar>
            <w:vAlign w:val="center"/>
          </w:tcPr>
          <w:p w14:paraId="24C29F43" w14:textId="09BD801F" w:rsidR="00A90E9C" w:rsidRPr="008A26D2" w:rsidRDefault="003C5B2C" w:rsidP="00147D2E">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Número de operativos efectuados a las naves y embarcaciones para reducir el tráfico ilegal de los recursos forestales y de fauna silvestre de forma continua</w:t>
            </w:r>
          </w:p>
        </w:tc>
      </w:tr>
      <w:tr w:rsidR="008A26D2" w:rsidRPr="008A26D2" w14:paraId="061936B1" w14:textId="77777777" w:rsidTr="00E2174D">
        <w:trPr>
          <w:trHeight w:val="577"/>
        </w:trPr>
        <w:tc>
          <w:tcPr>
            <w:tcW w:w="2286" w:type="dxa"/>
            <w:gridSpan w:val="3"/>
            <w:shd w:val="clear" w:color="auto" w:fill="auto"/>
            <w:tcMar>
              <w:top w:w="10" w:type="dxa"/>
              <w:left w:w="93" w:type="dxa"/>
              <w:bottom w:w="0" w:type="dxa"/>
              <w:right w:w="10" w:type="dxa"/>
            </w:tcMar>
            <w:vAlign w:val="center"/>
          </w:tcPr>
          <w:p w14:paraId="00835A08" w14:textId="77777777" w:rsidR="00A90E9C" w:rsidRPr="008A26D2" w:rsidRDefault="00A90E9C" w:rsidP="00147D2E">
            <w:pPr>
              <w:jc w:val="both"/>
              <w:rPr>
                <w:rFonts w:ascii="Arial" w:hAnsi="Arial" w:cs="Arial"/>
                <w:sz w:val="20"/>
                <w:szCs w:val="20"/>
              </w:rPr>
            </w:pPr>
            <w:r w:rsidRPr="008A26D2">
              <w:rPr>
                <w:rFonts w:ascii="Arial" w:hAnsi="Arial" w:cs="Arial"/>
                <w:b/>
                <w:sz w:val="20"/>
                <w:szCs w:val="20"/>
              </w:rPr>
              <w:t>Justificación:</w:t>
            </w:r>
          </w:p>
        </w:tc>
        <w:tc>
          <w:tcPr>
            <w:tcW w:w="6219" w:type="dxa"/>
            <w:gridSpan w:val="10"/>
            <w:shd w:val="clear" w:color="auto" w:fill="auto"/>
            <w:tcMar>
              <w:top w:w="51" w:type="dxa"/>
              <w:left w:w="227" w:type="dxa"/>
              <w:bottom w:w="51" w:type="dxa"/>
              <w:right w:w="227" w:type="dxa"/>
            </w:tcMar>
            <w:vAlign w:val="center"/>
          </w:tcPr>
          <w:p w14:paraId="4A2199E1" w14:textId="77777777" w:rsidR="00A90E9C" w:rsidRPr="008A26D2" w:rsidRDefault="00A90E9C" w:rsidP="00147D2E">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Este indicador permite cuantificar los operativos efectuados en las capitanías y puertos para la protección de las especies de flora y fauna silvestre, y sus hábitats, en el medio acuático y franja ribereña. Los operativos se realizan de conformidad con lo establecido en el Reglamento del Decreto Legislativo Nº 1147.</w:t>
            </w:r>
          </w:p>
        </w:tc>
      </w:tr>
      <w:tr w:rsidR="008A26D2" w:rsidRPr="008A26D2" w14:paraId="03F7415C" w14:textId="77777777" w:rsidTr="00E2174D">
        <w:trPr>
          <w:trHeight w:val="352"/>
        </w:trPr>
        <w:tc>
          <w:tcPr>
            <w:tcW w:w="2286" w:type="dxa"/>
            <w:gridSpan w:val="3"/>
            <w:shd w:val="clear" w:color="auto" w:fill="auto"/>
            <w:tcMar>
              <w:top w:w="10" w:type="dxa"/>
              <w:left w:w="93" w:type="dxa"/>
              <w:bottom w:w="0" w:type="dxa"/>
              <w:right w:w="10" w:type="dxa"/>
            </w:tcMar>
            <w:vAlign w:val="center"/>
          </w:tcPr>
          <w:p w14:paraId="1053DD1A" w14:textId="77777777" w:rsidR="00A90E9C" w:rsidRPr="008A26D2" w:rsidRDefault="00A90E9C" w:rsidP="00147D2E">
            <w:pPr>
              <w:jc w:val="both"/>
              <w:rPr>
                <w:rFonts w:ascii="Arial" w:hAnsi="Arial" w:cs="Arial"/>
                <w:sz w:val="20"/>
                <w:szCs w:val="20"/>
              </w:rPr>
            </w:pPr>
            <w:r w:rsidRPr="008A26D2">
              <w:rPr>
                <w:rFonts w:ascii="Arial" w:hAnsi="Arial" w:cs="Arial"/>
                <w:b/>
                <w:sz w:val="20"/>
                <w:szCs w:val="20"/>
              </w:rPr>
              <w:t>Responsable del indicador:</w:t>
            </w:r>
          </w:p>
        </w:tc>
        <w:tc>
          <w:tcPr>
            <w:tcW w:w="6219" w:type="dxa"/>
            <w:gridSpan w:val="10"/>
            <w:shd w:val="clear" w:color="auto" w:fill="auto"/>
            <w:tcMar>
              <w:top w:w="51" w:type="dxa"/>
              <w:left w:w="227" w:type="dxa"/>
              <w:bottom w:w="51" w:type="dxa"/>
              <w:right w:w="227" w:type="dxa"/>
            </w:tcMar>
            <w:vAlign w:val="center"/>
          </w:tcPr>
          <w:p w14:paraId="7C55D5C8" w14:textId="0136F3BE" w:rsidR="00A90E9C" w:rsidRPr="008A26D2" w:rsidRDefault="00A90E9C" w:rsidP="00147D2E">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Comandancia de Operaciones</w:t>
            </w:r>
            <w:r w:rsidR="00E2174D" w:rsidRPr="008A26D2">
              <w:rPr>
                <w:rFonts w:ascii="Arial" w:eastAsia="Arial Narrow" w:hAnsi="Arial" w:cs="Arial"/>
                <w:sz w:val="20"/>
                <w:szCs w:val="20"/>
              </w:rPr>
              <w:t xml:space="preserve"> </w:t>
            </w:r>
            <w:r w:rsidRPr="008A26D2">
              <w:rPr>
                <w:rFonts w:ascii="Arial" w:eastAsia="Arial Narrow" w:hAnsi="Arial" w:cs="Arial"/>
                <w:sz w:val="20"/>
                <w:szCs w:val="20"/>
              </w:rPr>
              <w:t>Guardacostas del Ministerio de Defensa -MINDEF</w:t>
            </w:r>
          </w:p>
        </w:tc>
      </w:tr>
      <w:tr w:rsidR="008A26D2" w:rsidRPr="008A26D2" w14:paraId="520F6A97" w14:textId="77777777" w:rsidTr="00E2174D">
        <w:trPr>
          <w:trHeight w:val="551"/>
        </w:trPr>
        <w:tc>
          <w:tcPr>
            <w:tcW w:w="2286" w:type="dxa"/>
            <w:gridSpan w:val="3"/>
            <w:shd w:val="clear" w:color="auto" w:fill="auto"/>
            <w:tcMar>
              <w:top w:w="10" w:type="dxa"/>
              <w:left w:w="93" w:type="dxa"/>
              <w:bottom w:w="0" w:type="dxa"/>
              <w:right w:w="10" w:type="dxa"/>
            </w:tcMar>
            <w:vAlign w:val="center"/>
          </w:tcPr>
          <w:p w14:paraId="3F9328E2" w14:textId="77777777" w:rsidR="00A90E9C" w:rsidRPr="008A26D2" w:rsidRDefault="00A90E9C" w:rsidP="00147D2E">
            <w:pPr>
              <w:jc w:val="both"/>
              <w:rPr>
                <w:rFonts w:ascii="Arial" w:hAnsi="Arial" w:cs="Arial"/>
                <w:sz w:val="20"/>
                <w:szCs w:val="20"/>
              </w:rPr>
            </w:pPr>
            <w:r w:rsidRPr="008A26D2">
              <w:rPr>
                <w:rFonts w:ascii="Arial" w:hAnsi="Arial" w:cs="Arial"/>
                <w:b/>
                <w:sz w:val="20"/>
                <w:szCs w:val="20"/>
              </w:rPr>
              <w:t>Limitaciones para la medición del indicador:</w:t>
            </w:r>
          </w:p>
        </w:tc>
        <w:tc>
          <w:tcPr>
            <w:tcW w:w="6219" w:type="dxa"/>
            <w:gridSpan w:val="10"/>
            <w:shd w:val="clear" w:color="auto" w:fill="auto"/>
            <w:tcMar>
              <w:top w:w="51" w:type="dxa"/>
              <w:left w:w="227" w:type="dxa"/>
              <w:bottom w:w="51" w:type="dxa"/>
              <w:right w:w="227" w:type="dxa"/>
            </w:tcMar>
            <w:vAlign w:val="center"/>
          </w:tcPr>
          <w:p w14:paraId="0B94445D" w14:textId="77777777" w:rsidR="00A90E9C" w:rsidRPr="008A26D2" w:rsidRDefault="00A90E9C" w:rsidP="00147D2E">
            <w:pPr>
              <w:spacing w:after="0" w:line="240" w:lineRule="auto"/>
              <w:jc w:val="both"/>
              <w:rPr>
                <w:rFonts w:ascii="Arial" w:hAnsi="Arial" w:cs="Arial"/>
                <w:sz w:val="20"/>
                <w:szCs w:val="20"/>
              </w:rPr>
            </w:pPr>
            <w:r w:rsidRPr="008A26D2">
              <w:rPr>
                <w:rFonts w:ascii="Arial" w:eastAsia="Arial Narrow" w:hAnsi="Arial" w:cs="Arial"/>
                <w:sz w:val="20"/>
                <w:szCs w:val="20"/>
              </w:rPr>
              <w:t xml:space="preserve">No presenta limitación </w:t>
            </w:r>
          </w:p>
        </w:tc>
      </w:tr>
      <w:tr w:rsidR="008A26D2" w:rsidRPr="008A26D2" w14:paraId="06390D0A" w14:textId="77777777" w:rsidTr="00E2174D">
        <w:trPr>
          <w:trHeight w:val="231"/>
        </w:trPr>
        <w:tc>
          <w:tcPr>
            <w:tcW w:w="2286" w:type="dxa"/>
            <w:gridSpan w:val="3"/>
            <w:shd w:val="clear" w:color="auto" w:fill="auto"/>
            <w:tcMar>
              <w:top w:w="10" w:type="dxa"/>
              <w:left w:w="93" w:type="dxa"/>
              <w:bottom w:w="0" w:type="dxa"/>
              <w:right w:w="10" w:type="dxa"/>
            </w:tcMar>
            <w:vAlign w:val="center"/>
          </w:tcPr>
          <w:p w14:paraId="347915A6" w14:textId="77777777" w:rsidR="00A90E9C" w:rsidRPr="008A26D2" w:rsidRDefault="00A90E9C" w:rsidP="00147D2E">
            <w:pPr>
              <w:jc w:val="both"/>
              <w:rPr>
                <w:rFonts w:ascii="Arial" w:hAnsi="Arial" w:cs="Arial"/>
                <w:sz w:val="20"/>
                <w:szCs w:val="20"/>
              </w:rPr>
            </w:pPr>
            <w:r w:rsidRPr="008A26D2">
              <w:rPr>
                <w:rFonts w:ascii="Arial" w:hAnsi="Arial" w:cs="Arial"/>
                <w:b/>
                <w:sz w:val="20"/>
                <w:szCs w:val="20"/>
              </w:rPr>
              <w:t xml:space="preserve">Método de cálculo: </w:t>
            </w:r>
          </w:p>
        </w:tc>
        <w:tc>
          <w:tcPr>
            <w:tcW w:w="6219" w:type="dxa"/>
            <w:gridSpan w:val="10"/>
            <w:shd w:val="clear" w:color="auto" w:fill="auto"/>
            <w:tcMar>
              <w:top w:w="51" w:type="dxa"/>
              <w:left w:w="227" w:type="dxa"/>
              <w:bottom w:w="51" w:type="dxa"/>
              <w:right w:w="227" w:type="dxa"/>
            </w:tcMar>
            <w:vAlign w:val="center"/>
          </w:tcPr>
          <w:p w14:paraId="24403F46" w14:textId="77777777" w:rsidR="00A90E9C" w:rsidRPr="008A26D2" w:rsidRDefault="00A90E9C" w:rsidP="00147D2E">
            <w:pPr>
              <w:jc w:val="both"/>
              <w:rPr>
                <w:rFonts w:ascii="Arial" w:eastAsia="Arial Narrow" w:hAnsi="Arial" w:cs="Arial"/>
                <w:b/>
                <w:sz w:val="20"/>
                <w:szCs w:val="20"/>
              </w:rPr>
            </w:pPr>
            <w:r w:rsidRPr="008A26D2">
              <w:rPr>
                <w:rFonts w:ascii="Arial" w:eastAsia="Arial Narrow" w:hAnsi="Arial" w:cs="Arial"/>
                <w:b/>
                <w:sz w:val="20"/>
                <w:szCs w:val="20"/>
              </w:rPr>
              <w:t>1. Fórmula:</w:t>
            </w:r>
          </w:p>
          <w:p w14:paraId="4FC81C39" w14:textId="77777777" w:rsidR="00A90E9C" w:rsidRPr="008A26D2" w:rsidRDefault="00A90E9C" w:rsidP="00147D2E">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NOEMAFRTI</w:t>
            </w:r>
          </w:p>
          <w:p w14:paraId="4AEF8E99" w14:textId="77777777" w:rsidR="00A90E9C" w:rsidRPr="008A26D2" w:rsidRDefault="00A90E9C" w:rsidP="00147D2E">
            <w:pPr>
              <w:spacing w:after="0" w:line="240" w:lineRule="auto"/>
              <w:jc w:val="both"/>
              <w:rPr>
                <w:rFonts w:ascii="Arial" w:eastAsia="Arial Narrow" w:hAnsi="Arial" w:cs="Arial"/>
                <w:sz w:val="20"/>
                <w:szCs w:val="20"/>
              </w:rPr>
            </w:pPr>
          </w:p>
          <w:p w14:paraId="633E5FE4" w14:textId="77777777" w:rsidR="00A90E9C" w:rsidRPr="008A26D2" w:rsidRDefault="00A90E9C" w:rsidP="00147D2E">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Donde:</w:t>
            </w:r>
          </w:p>
          <w:p w14:paraId="6AF1A5A3" w14:textId="77777777" w:rsidR="00A90E9C" w:rsidRPr="008A26D2" w:rsidRDefault="00A90E9C" w:rsidP="00147D2E">
            <w:pPr>
              <w:spacing w:after="0" w:line="240" w:lineRule="auto"/>
              <w:jc w:val="both"/>
              <w:rPr>
                <w:rFonts w:ascii="Arial" w:eastAsia="Arial Narrow" w:hAnsi="Arial" w:cs="Arial"/>
                <w:sz w:val="20"/>
                <w:szCs w:val="20"/>
              </w:rPr>
            </w:pPr>
          </w:p>
          <w:p w14:paraId="536C4910" w14:textId="3F071A61" w:rsidR="00A90E9C" w:rsidRPr="008A26D2" w:rsidRDefault="00A90E9C" w:rsidP="00147D2E">
            <w:pPr>
              <w:spacing w:after="0" w:line="240" w:lineRule="auto"/>
              <w:ind w:left="1317" w:hanging="1317"/>
              <w:jc w:val="both"/>
              <w:rPr>
                <w:rFonts w:ascii="Arial" w:eastAsia="Arial Narrow" w:hAnsi="Arial" w:cs="Arial"/>
                <w:sz w:val="20"/>
                <w:szCs w:val="20"/>
              </w:rPr>
            </w:pPr>
            <w:r w:rsidRPr="008A26D2">
              <w:rPr>
                <w:rFonts w:ascii="Arial" w:eastAsia="Arial Narrow" w:hAnsi="Arial" w:cs="Arial"/>
                <w:sz w:val="20"/>
                <w:szCs w:val="20"/>
              </w:rPr>
              <w:t xml:space="preserve">NOEMAFRTI = Número de operativos efectuados </w:t>
            </w:r>
            <w:r w:rsidR="003C5B2C" w:rsidRPr="008A26D2">
              <w:rPr>
                <w:rFonts w:ascii="Arial" w:eastAsia="Arial Narrow" w:hAnsi="Arial" w:cs="Arial"/>
                <w:sz w:val="20"/>
                <w:szCs w:val="20"/>
              </w:rPr>
              <w:t>a las naves y embarcaciones</w:t>
            </w:r>
            <w:r w:rsidRPr="008A26D2">
              <w:rPr>
                <w:rFonts w:ascii="Arial" w:eastAsia="Arial Narrow" w:hAnsi="Arial" w:cs="Arial"/>
                <w:sz w:val="20"/>
                <w:szCs w:val="20"/>
              </w:rPr>
              <w:t xml:space="preserve"> para prevenir el tráfico ilegal de los recursos forestales y de fauna silvestre de forma continua</w:t>
            </w:r>
          </w:p>
          <w:p w14:paraId="7C3BC58C" w14:textId="77777777" w:rsidR="00A90E9C" w:rsidRPr="008A26D2" w:rsidRDefault="00A90E9C" w:rsidP="00147D2E">
            <w:pPr>
              <w:spacing w:after="0" w:line="240" w:lineRule="auto"/>
              <w:jc w:val="both"/>
              <w:rPr>
                <w:rFonts w:ascii="Arial" w:eastAsia="Arial Unicode MS" w:hAnsi="Arial" w:cs="Arial"/>
                <w:sz w:val="20"/>
                <w:szCs w:val="20"/>
              </w:rPr>
            </w:pPr>
            <w:r w:rsidRPr="008A26D2">
              <w:rPr>
                <w:rFonts w:ascii="Arial" w:eastAsia="Arial Narrow" w:hAnsi="Arial" w:cs="Arial"/>
                <w:sz w:val="20"/>
                <w:szCs w:val="20"/>
              </w:rPr>
              <w:br/>
            </w:r>
            <w:r w:rsidRPr="008A26D2">
              <w:rPr>
                <w:rFonts w:ascii="Arial" w:eastAsia="Arial Narrow" w:hAnsi="Arial" w:cs="Arial"/>
                <w:b/>
                <w:sz w:val="20"/>
                <w:szCs w:val="20"/>
              </w:rPr>
              <w:t>2. Especificaciones técnicas:</w:t>
            </w:r>
          </w:p>
          <w:p w14:paraId="1C168ACA" w14:textId="77777777" w:rsidR="00A90E9C" w:rsidRPr="008A26D2" w:rsidRDefault="00A90E9C" w:rsidP="00147D2E">
            <w:pPr>
              <w:spacing w:after="0" w:line="240" w:lineRule="auto"/>
              <w:jc w:val="both"/>
              <w:rPr>
                <w:rFonts w:ascii="Arial" w:eastAsia="Arial Narrow" w:hAnsi="Arial" w:cs="Arial"/>
                <w:sz w:val="20"/>
                <w:szCs w:val="20"/>
              </w:rPr>
            </w:pPr>
          </w:p>
          <w:p w14:paraId="022D96DD" w14:textId="3225043B" w:rsidR="00705ED6" w:rsidRDefault="005772DA" w:rsidP="00705ED6">
            <w:pPr>
              <w:spacing w:after="0" w:line="240" w:lineRule="auto"/>
              <w:jc w:val="both"/>
              <w:rPr>
                <w:rFonts w:ascii="Arial" w:eastAsia="Arial Narrow" w:hAnsi="Arial" w:cs="Arial"/>
                <w:sz w:val="20"/>
                <w:szCs w:val="20"/>
              </w:rPr>
            </w:pPr>
            <w:r w:rsidRPr="005772DA">
              <w:rPr>
                <w:rFonts w:ascii="Arial" w:eastAsia="Arial Narrow" w:hAnsi="Arial" w:cs="Arial"/>
                <w:sz w:val="20"/>
                <w:szCs w:val="20"/>
              </w:rPr>
              <w:lastRenderedPageBreak/>
              <w:t>La variable NO</w:t>
            </w:r>
            <w:r>
              <w:rPr>
                <w:rFonts w:ascii="Arial" w:eastAsia="Arial Narrow" w:hAnsi="Arial" w:cs="Arial"/>
                <w:sz w:val="20"/>
                <w:szCs w:val="20"/>
              </w:rPr>
              <w:t>EMAF</w:t>
            </w:r>
            <w:r w:rsidRPr="005772DA">
              <w:rPr>
                <w:rFonts w:ascii="Arial" w:eastAsia="Arial Narrow" w:hAnsi="Arial" w:cs="Arial"/>
                <w:sz w:val="20"/>
                <w:szCs w:val="20"/>
              </w:rPr>
              <w:t xml:space="preserve">RTI se determina a partir de los operativos </w:t>
            </w:r>
            <w:r w:rsidR="008D05D3">
              <w:rPr>
                <w:rFonts w:ascii="Arial" w:eastAsia="Arial Narrow" w:hAnsi="Arial" w:cs="Arial"/>
                <w:sz w:val="20"/>
                <w:szCs w:val="20"/>
              </w:rPr>
              <w:t>efectuados a las naves y embarcaciones</w:t>
            </w:r>
            <w:r w:rsidRPr="005772DA">
              <w:rPr>
                <w:rFonts w:ascii="Arial" w:eastAsia="Arial Narrow" w:hAnsi="Arial" w:cs="Arial"/>
                <w:sz w:val="20"/>
                <w:szCs w:val="20"/>
              </w:rPr>
              <w:t xml:space="preserve"> realizados en la misma o mayor cantidad </w:t>
            </w:r>
            <w:r w:rsidR="008D05D3">
              <w:rPr>
                <w:rFonts w:ascii="Arial" w:eastAsia="Arial Narrow" w:hAnsi="Arial" w:cs="Arial"/>
                <w:sz w:val="20"/>
                <w:szCs w:val="20"/>
              </w:rPr>
              <w:t xml:space="preserve">respecto del </w:t>
            </w:r>
            <w:r w:rsidRPr="005772DA">
              <w:rPr>
                <w:rFonts w:ascii="Arial" w:eastAsia="Arial Narrow" w:hAnsi="Arial" w:cs="Arial"/>
                <w:sz w:val="20"/>
                <w:szCs w:val="20"/>
              </w:rPr>
              <w:t>año anterior</w:t>
            </w:r>
            <w:r w:rsidR="0011698E">
              <w:rPr>
                <w:rFonts w:ascii="Arial" w:eastAsia="Arial Narrow" w:hAnsi="Arial" w:cs="Arial"/>
                <w:sz w:val="20"/>
                <w:szCs w:val="20"/>
              </w:rPr>
              <w:t xml:space="preserve">, </w:t>
            </w:r>
            <w:r w:rsidR="00705ED6">
              <w:rPr>
                <w:rFonts w:ascii="Arial" w:eastAsia="Arial Narrow" w:hAnsi="Arial" w:cs="Arial"/>
                <w:sz w:val="20"/>
                <w:szCs w:val="20"/>
              </w:rPr>
              <w:t xml:space="preserve">debiendo </w:t>
            </w:r>
            <w:r w:rsidR="00705ED6" w:rsidRPr="008A26D2">
              <w:rPr>
                <w:rFonts w:ascii="Arial" w:eastAsia="Arial Narrow" w:hAnsi="Arial" w:cs="Arial"/>
                <w:sz w:val="20"/>
                <w:szCs w:val="20"/>
              </w:rPr>
              <w:t xml:space="preserve">realizar </w:t>
            </w:r>
            <w:r w:rsidR="00705ED6">
              <w:rPr>
                <w:rFonts w:ascii="Arial" w:eastAsia="Arial Narrow" w:hAnsi="Arial" w:cs="Arial"/>
                <w:sz w:val="20"/>
                <w:szCs w:val="20"/>
              </w:rPr>
              <w:t>al menos 1</w:t>
            </w:r>
            <w:r w:rsidR="00705ED6" w:rsidRPr="008A26D2">
              <w:rPr>
                <w:rFonts w:ascii="Arial" w:eastAsia="Arial Narrow" w:hAnsi="Arial" w:cs="Arial"/>
                <w:sz w:val="20"/>
                <w:szCs w:val="20"/>
              </w:rPr>
              <w:t xml:space="preserve"> operativo al mes.</w:t>
            </w:r>
          </w:p>
          <w:p w14:paraId="7A84078E" w14:textId="2A015395" w:rsidR="0011698E" w:rsidRDefault="0011698E" w:rsidP="00147D2E">
            <w:pPr>
              <w:spacing w:after="0" w:line="240" w:lineRule="auto"/>
              <w:jc w:val="both"/>
              <w:rPr>
                <w:rFonts w:ascii="Arial" w:eastAsia="Arial Narrow" w:hAnsi="Arial" w:cs="Arial"/>
                <w:sz w:val="20"/>
                <w:szCs w:val="20"/>
              </w:rPr>
            </w:pPr>
          </w:p>
          <w:p w14:paraId="27D735D6" w14:textId="6CB386B3" w:rsidR="00A90E9C" w:rsidRPr="008A26D2" w:rsidRDefault="00A90E9C" w:rsidP="00147D2E">
            <w:pPr>
              <w:spacing w:after="0" w:line="240" w:lineRule="auto"/>
              <w:jc w:val="both"/>
              <w:rPr>
                <w:rFonts w:ascii="Arial" w:hAnsi="Arial" w:cs="Arial"/>
                <w:sz w:val="20"/>
                <w:szCs w:val="20"/>
              </w:rPr>
            </w:pPr>
            <w:r w:rsidRPr="008A26D2">
              <w:rPr>
                <w:rFonts w:ascii="Arial" w:eastAsia="Arial Narrow" w:hAnsi="Arial" w:cs="Arial"/>
                <w:sz w:val="20"/>
                <w:szCs w:val="20"/>
              </w:rPr>
              <w:t>Los operativos consisten en el desplazamiento de personal y unidades navales en las zonas o áreas donde se esté realizando esta actividad ilícita y procediendo a tomar las acciones correspondientes según las competencias y atribuciones de la Autoridad Marítima Nacional</w:t>
            </w:r>
            <w:r w:rsidRPr="008A26D2">
              <w:rPr>
                <w:rFonts w:ascii="Arial" w:hAnsi="Arial" w:cs="Arial"/>
                <w:sz w:val="20"/>
                <w:szCs w:val="20"/>
              </w:rPr>
              <w:t>.</w:t>
            </w:r>
          </w:p>
        </w:tc>
      </w:tr>
      <w:tr w:rsidR="008A26D2" w:rsidRPr="008A26D2" w14:paraId="2F219F7C" w14:textId="77777777" w:rsidTr="00394EE8">
        <w:trPr>
          <w:trHeight w:val="686"/>
        </w:trPr>
        <w:tc>
          <w:tcPr>
            <w:tcW w:w="2286" w:type="dxa"/>
            <w:gridSpan w:val="3"/>
            <w:shd w:val="clear" w:color="auto" w:fill="auto"/>
            <w:tcMar>
              <w:top w:w="10" w:type="dxa"/>
              <w:left w:w="93" w:type="dxa"/>
              <w:bottom w:w="0" w:type="dxa"/>
              <w:right w:w="10" w:type="dxa"/>
            </w:tcMar>
            <w:vAlign w:val="center"/>
          </w:tcPr>
          <w:p w14:paraId="55B5F83F" w14:textId="77777777" w:rsidR="00A90E9C" w:rsidRPr="008A26D2" w:rsidRDefault="00A90E9C" w:rsidP="00147D2E">
            <w:pPr>
              <w:spacing w:after="0" w:line="240" w:lineRule="auto"/>
              <w:jc w:val="both"/>
              <w:rPr>
                <w:rFonts w:ascii="Arial" w:hAnsi="Arial" w:cs="Arial"/>
                <w:sz w:val="20"/>
                <w:szCs w:val="20"/>
              </w:rPr>
            </w:pPr>
            <w:r w:rsidRPr="008A26D2">
              <w:rPr>
                <w:rFonts w:ascii="Arial" w:hAnsi="Arial" w:cs="Arial"/>
                <w:b/>
                <w:sz w:val="20"/>
                <w:szCs w:val="20"/>
              </w:rPr>
              <w:lastRenderedPageBreak/>
              <w:t>Sentido esperado del indicador:</w:t>
            </w:r>
          </w:p>
        </w:tc>
        <w:tc>
          <w:tcPr>
            <w:tcW w:w="1825" w:type="dxa"/>
            <w:gridSpan w:val="3"/>
            <w:shd w:val="clear" w:color="auto" w:fill="auto"/>
            <w:tcMar>
              <w:top w:w="10" w:type="dxa"/>
              <w:left w:w="283" w:type="dxa"/>
              <w:bottom w:w="0" w:type="dxa"/>
              <w:right w:w="283" w:type="dxa"/>
            </w:tcMar>
            <w:vAlign w:val="center"/>
          </w:tcPr>
          <w:p w14:paraId="41016AE5" w14:textId="77777777" w:rsidR="00A90E9C" w:rsidRPr="008A26D2" w:rsidRDefault="00A90E9C" w:rsidP="00147D2E">
            <w:pPr>
              <w:spacing w:after="0" w:line="240" w:lineRule="auto"/>
              <w:jc w:val="both"/>
              <w:rPr>
                <w:rFonts w:ascii="Arial" w:hAnsi="Arial" w:cs="Arial"/>
                <w:sz w:val="20"/>
                <w:szCs w:val="20"/>
              </w:rPr>
            </w:pPr>
            <w:r w:rsidRPr="008A26D2">
              <w:rPr>
                <w:rFonts w:ascii="Arial" w:eastAsia="Arial Narrow" w:hAnsi="Arial" w:cs="Arial"/>
                <w:sz w:val="20"/>
                <w:szCs w:val="20"/>
              </w:rPr>
              <w:t>Descendente</w:t>
            </w:r>
          </w:p>
        </w:tc>
        <w:tc>
          <w:tcPr>
            <w:tcW w:w="2708" w:type="dxa"/>
            <w:gridSpan w:val="4"/>
            <w:shd w:val="clear" w:color="auto" w:fill="auto"/>
            <w:tcMar>
              <w:top w:w="15" w:type="dxa"/>
              <w:left w:w="15" w:type="dxa"/>
              <w:bottom w:w="0" w:type="dxa"/>
              <w:right w:w="15" w:type="dxa"/>
            </w:tcMar>
            <w:vAlign w:val="center"/>
          </w:tcPr>
          <w:p w14:paraId="6E6E9D25" w14:textId="77777777" w:rsidR="00A90E9C" w:rsidRPr="008A26D2" w:rsidRDefault="00A90E9C" w:rsidP="00147D2E">
            <w:pPr>
              <w:spacing w:after="0" w:line="240" w:lineRule="auto"/>
              <w:jc w:val="both"/>
              <w:rPr>
                <w:rFonts w:ascii="Arial" w:hAnsi="Arial" w:cs="Arial"/>
                <w:sz w:val="20"/>
                <w:szCs w:val="20"/>
              </w:rPr>
            </w:pPr>
            <w:r w:rsidRPr="008A26D2">
              <w:rPr>
                <w:rFonts w:ascii="Arial" w:hAnsi="Arial" w:cs="Arial"/>
                <w:b/>
                <w:sz w:val="20"/>
                <w:szCs w:val="20"/>
              </w:rPr>
              <w:t>Tipo de indicador de servicio:</w:t>
            </w:r>
          </w:p>
        </w:tc>
        <w:tc>
          <w:tcPr>
            <w:tcW w:w="1686" w:type="dxa"/>
            <w:gridSpan w:val="3"/>
            <w:shd w:val="clear" w:color="auto" w:fill="auto"/>
            <w:tcMar>
              <w:top w:w="15" w:type="dxa"/>
              <w:left w:w="15" w:type="dxa"/>
              <w:bottom w:w="0" w:type="dxa"/>
              <w:right w:w="15" w:type="dxa"/>
            </w:tcMar>
            <w:vAlign w:val="center"/>
          </w:tcPr>
          <w:p w14:paraId="248F78FF" w14:textId="192088BC" w:rsidR="00A90E9C" w:rsidRPr="008A26D2" w:rsidRDefault="00A90E9C" w:rsidP="0011698E">
            <w:pPr>
              <w:spacing w:after="0" w:line="240" w:lineRule="auto"/>
              <w:jc w:val="center"/>
              <w:rPr>
                <w:rFonts w:ascii="Arial" w:hAnsi="Arial" w:cs="Arial"/>
                <w:sz w:val="20"/>
                <w:szCs w:val="20"/>
              </w:rPr>
            </w:pPr>
            <w:r w:rsidRPr="008A26D2">
              <w:rPr>
                <w:rFonts w:ascii="Arial" w:eastAsia="Arial Narrow" w:hAnsi="Arial" w:cs="Arial"/>
                <w:sz w:val="20"/>
                <w:szCs w:val="20"/>
              </w:rPr>
              <w:t>Calidad – Continuidad</w:t>
            </w:r>
          </w:p>
        </w:tc>
      </w:tr>
      <w:tr w:rsidR="008A26D2" w:rsidRPr="008A26D2" w14:paraId="163D3DA7" w14:textId="77777777" w:rsidTr="00E2174D">
        <w:trPr>
          <w:trHeight w:val="13"/>
        </w:trPr>
        <w:tc>
          <w:tcPr>
            <w:tcW w:w="2286" w:type="dxa"/>
            <w:gridSpan w:val="3"/>
            <w:shd w:val="clear" w:color="auto" w:fill="auto"/>
            <w:tcMar>
              <w:top w:w="10" w:type="dxa"/>
              <w:left w:w="93" w:type="dxa"/>
              <w:bottom w:w="0" w:type="dxa"/>
              <w:right w:w="10" w:type="dxa"/>
            </w:tcMar>
            <w:vAlign w:val="center"/>
          </w:tcPr>
          <w:p w14:paraId="37F03183" w14:textId="77777777" w:rsidR="00A90E9C" w:rsidRPr="008A26D2" w:rsidRDefault="00A90E9C" w:rsidP="00147D2E">
            <w:pPr>
              <w:spacing w:after="0" w:line="240" w:lineRule="auto"/>
              <w:jc w:val="both"/>
              <w:rPr>
                <w:rFonts w:ascii="Arial" w:hAnsi="Arial" w:cs="Arial"/>
                <w:sz w:val="20"/>
                <w:szCs w:val="20"/>
              </w:rPr>
            </w:pPr>
            <w:r w:rsidRPr="008A26D2">
              <w:rPr>
                <w:rFonts w:ascii="Arial" w:hAnsi="Arial" w:cs="Arial"/>
                <w:b/>
                <w:sz w:val="20"/>
                <w:szCs w:val="20"/>
              </w:rPr>
              <w:t>Fuente y base de datos:</w:t>
            </w:r>
          </w:p>
        </w:tc>
        <w:tc>
          <w:tcPr>
            <w:tcW w:w="6219" w:type="dxa"/>
            <w:gridSpan w:val="10"/>
            <w:shd w:val="clear" w:color="auto" w:fill="auto"/>
            <w:tcMar>
              <w:top w:w="51" w:type="dxa"/>
              <w:left w:w="227" w:type="dxa"/>
              <w:bottom w:w="51" w:type="dxa"/>
              <w:right w:w="227" w:type="dxa"/>
            </w:tcMar>
            <w:vAlign w:val="center"/>
          </w:tcPr>
          <w:p w14:paraId="7977E75B" w14:textId="60CBA5D5" w:rsidR="002A3FF6" w:rsidRDefault="00A90E9C" w:rsidP="00147D2E">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Fuente: Comandancia de Operaciones Guardacostas </w:t>
            </w:r>
            <w:r w:rsidR="002A3FF6">
              <w:rPr>
                <w:rFonts w:ascii="Arial" w:eastAsia="Arial Narrow" w:hAnsi="Arial" w:cs="Arial"/>
                <w:sz w:val="20"/>
                <w:szCs w:val="20"/>
              </w:rPr>
              <w:t xml:space="preserve">del Ministerio de Defensa – </w:t>
            </w:r>
            <w:r w:rsidRPr="008A26D2">
              <w:rPr>
                <w:rFonts w:ascii="Arial" w:eastAsia="Arial Narrow" w:hAnsi="Arial" w:cs="Arial"/>
                <w:sz w:val="20"/>
                <w:szCs w:val="20"/>
              </w:rPr>
              <w:t>MINDEF</w:t>
            </w:r>
            <w:r w:rsidR="002A3FF6">
              <w:rPr>
                <w:rFonts w:ascii="Arial" w:eastAsia="Arial Narrow" w:hAnsi="Arial" w:cs="Arial"/>
                <w:sz w:val="20"/>
                <w:szCs w:val="20"/>
              </w:rPr>
              <w:t>.</w:t>
            </w:r>
          </w:p>
          <w:p w14:paraId="14A843C9" w14:textId="23E7C3B7" w:rsidR="00A90E9C" w:rsidRPr="008A26D2" w:rsidRDefault="00A90E9C" w:rsidP="00147D2E">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Base de datos:  Base de datos de la Sección de Operaciones, de la Comandancia de Operaciones Guardacostas, de la Dirección General de Capitanías y Guardacostas</w:t>
            </w:r>
          </w:p>
        </w:tc>
      </w:tr>
      <w:tr w:rsidR="008A26D2" w:rsidRPr="008A26D2" w14:paraId="2CA789A0" w14:textId="77777777" w:rsidTr="00E2174D">
        <w:trPr>
          <w:trHeight w:val="436"/>
        </w:trPr>
        <w:tc>
          <w:tcPr>
            <w:tcW w:w="2286" w:type="dxa"/>
            <w:gridSpan w:val="3"/>
            <w:shd w:val="clear" w:color="auto" w:fill="auto"/>
            <w:tcMar>
              <w:top w:w="10" w:type="dxa"/>
              <w:left w:w="93" w:type="dxa"/>
              <w:bottom w:w="0" w:type="dxa"/>
              <w:right w:w="10" w:type="dxa"/>
            </w:tcMar>
            <w:vAlign w:val="center"/>
          </w:tcPr>
          <w:p w14:paraId="4672FC05" w14:textId="77777777" w:rsidR="00A90E9C" w:rsidRPr="008A26D2" w:rsidRDefault="00A90E9C" w:rsidP="00147D2E">
            <w:pPr>
              <w:spacing w:after="0" w:line="240" w:lineRule="auto"/>
              <w:jc w:val="both"/>
              <w:rPr>
                <w:rFonts w:ascii="Arial" w:hAnsi="Arial" w:cs="Arial"/>
                <w:sz w:val="20"/>
                <w:szCs w:val="20"/>
              </w:rPr>
            </w:pPr>
            <w:r w:rsidRPr="008A26D2">
              <w:rPr>
                <w:rFonts w:ascii="Arial" w:hAnsi="Arial" w:cs="Arial"/>
                <w:b/>
                <w:sz w:val="20"/>
                <w:szCs w:val="20"/>
              </w:rPr>
              <w:t>Supuestos:</w:t>
            </w:r>
          </w:p>
        </w:tc>
        <w:tc>
          <w:tcPr>
            <w:tcW w:w="6219" w:type="dxa"/>
            <w:gridSpan w:val="10"/>
            <w:shd w:val="clear" w:color="auto" w:fill="auto"/>
            <w:tcMar>
              <w:top w:w="51" w:type="dxa"/>
              <w:left w:w="227" w:type="dxa"/>
              <w:bottom w:w="51" w:type="dxa"/>
              <w:right w:w="227" w:type="dxa"/>
            </w:tcMar>
            <w:vAlign w:val="center"/>
          </w:tcPr>
          <w:p w14:paraId="443B292D" w14:textId="699AAA36" w:rsidR="00A90E9C" w:rsidRPr="008A26D2" w:rsidRDefault="00A90E9C" w:rsidP="00147D2E">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No </w:t>
            </w:r>
            <w:r w:rsidR="00E2174D" w:rsidRPr="008A26D2">
              <w:rPr>
                <w:rFonts w:ascii="Arial" w:eastAsia="Arial Narrow" w:hAnsi="Arial" w:cs="Arial"/>
                <w:sz w:val="20"/>
                <w:szCs w:val="20"/>
              </w:rPr>
              <w:t>presenta supuestos</w:t>
            </w:r>
          </w:p>
        </w:tc>
      </w:tr>
      <w:tr w:rsidR="008A26D2" w:rsidRPr="008A26D2" w14:paraId="02BB7A25" w14:textId="77777777" w:rsidTr="0011698E">
        <w:trPr>
          <w:trHeight w:val="556"/>
        </w:trPr>
        <w:tc>
          <w:tcPr>
            <w:tcW w:w="709" w:type="dxa"/>
            <w:shd w:val="clear" w:color="auto" w:fill="auto"/>
            <w:tcMar>
              <w:top w:w="10" w:type="dxa"/>
              <w:left w:w="10" w:type="dxa"/>
              <w:bottom w:w="0" w:type="dxa"/>
              <w:right w:w="10" w:type="dxa"/>
            </w:tcMar>
            <w:vAlign w:val="center"/>
          </w:tcPr>
          <w:p w14:paraId="325796A4" w14:textId="77777777" w:rsidR="00A90E9C" w:rsidRPr="008A26D2" w:rsidRDefault="00A90E9C" w:rsidP="00147D2E">
            <w:pPr>
              <w:spacing w:after="0" w:line="240" w:lineRule="auto"/>
              <w:jc w:val="both"/>
              <w:rPr>
                <w:rFonts w:ascii="Arial" w:hAnsi="Arial" w:cs="Arial"/>
                <w:sz w:val="20"/>
                <w:szCs w:val="20"/>
              </w:rPr>
            </w:pPr>
            <w:r w:rsidRPr="008A26D2">
              <w:rPr>
                <w:rFonts w:ascii="Arial" w:hAnsi="Arial" w:cs="Arial"/>
                <w:b/>
                <w:sz w:val="20"/>
                <w:szCs w:val="20"/>
              </w:rPr>
              <w:t> </w:t>
            </w:r>
          </w:p>
        </w:tc>
        <w:tc>
          <w:tcPr>
            <w:tcW w:w="851" w:type="dxa"/>
            <w:shd w:val="clear" w:color="auto" w:fill="auto"/>
            <w:tcMar>
              <w:top w:w="10" w:type="dxa"/>
              <w:left w:w="10" w:type="dxa"/>
              <w:bottom w:w="0" w:type="dxa"/>
              <w:right w:w="10" w:type="dxa"/>
            </w:tcMar>
            <w:vAlign w:val="center"/>
          </w:tcPr>
          <w:p w14:paraId="653AF169" w14:textId="77777777" w:rsidR="00A90E9C" w:rsidRPr="008A26D2" w:rsidRDefault="00A90E9C" w:rsidP="0011698E">
            <w:pPr>
              <w:spacing w:after="0" w:line="240" w:lineRule="auto"/>
              <w:jc w:val="center"/>
              <w:rPr>
                <w:rFonts w:ascii="Arial" w:hAnsi="Arial" w:cs="Arial"/>
                <w:sz w:val="20"/>
                <w:szCs w:val="20"/>
              </w:rPr>
            </w:pPr>
            <w:r w:rsidRPr="008A26D2">
              <w:rPr>
                <w:rFonts w:ascii="Arial" w:hAnsi="Arial" w:cs="Arial"/>
                <w:b/>
                <w:sz w:val="20"/>
                <w:szCs w:val="20"/>
              </w:rPr>
              <w:t>Línea de base</w:t>
            </w:r>
          </w:p>
        </w:tc>
        <w:tc>
          <w:tcPr>
            <w:tcW w:w="6945" w:type="dxa"/>
            <w:gridSpan w:val="11"/>
            <w:shd w:val="clear" w:color="auto" w:fill="auto"/>
            <w:tcMar>
              <w:top w:w="10" w:type="dxa"/>
              <w:left w:w="10" w:type="dxa"/>
              <w:bottom w:w="0" w:type="dxa"/>
              <w:right w:w="10" w:type="dxa"/>
            </w:tcMar>
            <w:vAlign w:val="center"/>
          </w:tcPr>
          <w:p w14:paraId="214C2F33" w14:textId="0A9E6F80" w:rsidR="00A90E9C" w:rsidRPr="008A26D2" w:rsidRDefault="00A90E9C" w:rsidP="005B4694">
            <w:pPr>
              <w:spacing w:after="0" w:line="240" w:lineRule="auto"/>
              <w:jc w:val="center"/>
              <w:rPr>
                <w:rFonts w:ascii="Arial" w:hAnsi="Arial" w:cs="Arial"/>
                <w:sz w:val="20"/>
                <w:szCs w:val="20"/>
              </w:rPr>
            </w:pPr>
            <w:r w:rsidRPr="008A26D2">
              <w:rPr>
                <w:rFonts w:ascii="Arial" w:hAnsi="Arial" w:cs="Arial"/>
                <w:b/>
                <w:sz w:val="20"/>
                <w:szCs w:val="20"/>
              </w:rPr>
              <w:t>Logros esperados</w:t>
            </w:r>
          </w:p>
        </w:tc>
      </w:tr>
      <w:tr w:rsidR="008A26D2" w:rsidRPr="008A26D2" w14:paraId="2A26CE6D" w14:textId="77777777" w:rsidTr="0011698E">
        <w:trPr>
          <w:trHeight w:val="217"/>
        </w:trPr>
        <w:tc>
          <w:tcPr>
            <w:tcW w:w="709" w:type="dxa"/>
            <w:shd w:val="clear" w:color="auto" w:fill="auto"/>
            <w:tcMar>
              <w:top w:w="10" w:type="dxa"/>
              <w:left w:w="10" w:type="dxa"/>
              <w:bottom w:w="0" w:type="dxa"/>
              <w:right w:w="10" w:type="dxa"/>
            </w:tcMar>
            <w:vAlign w:val="center"/>
          </w:tcPr>
          <w:p w14:paraId="6D497CE9" w14:textId="77777777" w:rsidR="00A90E9C" w:rsidRPr="008A26D2" w:rsidRDefault="00A90E9C" w:rsidP="00147D2E">
            <w:pPr>
              <w:spacing w:after="0" w:line="240" w:lineRule="auto"/>
              <w:jc w:val="both"/>
              <w:rPr>
                <w:rFonts w:ascii="Arial" w:hAnsi="Arial" w:cs="Arial"/>
                <w:sz w:val="20"/>
                <w:szCs w:val="20"/>
              </w:rPr>
            </w:pPr>
            <w:r w:rsidRPr="008A26D2">
              <w:rPr>
                <w:rFonts w:ascii="Arial" w:hAnsi="Arial" w:cs="Arial"/>
                <w:b/>
                <w:sz w:val="20"/>
                <w:szCs w:val="20"/>
              </w:rPr>
              <w:t>Año</w:t>
            </w:r>
          </w:p>
        </w:tc>
        <w:tc>
          <w:tcPr>
            <w:tcW w:w="851" w:type="dxa"/>
            <w:shd w:val="clear" w:color="auto" w:fill="auto"/>
            <w:tcMar>
              <w:top w:w="10" w:type="dxa"/>
              <w:left w:w="10" w:type="dxa"/>
              <w:bottom w:w="0" w:type="dxa"/>
              <w:right w:w="10" w:type="dxa"/>
            </w:tcMar>
            <w:vAlign w:val="center"/>
          </w:tcPr>
          <w:p w14:paraId="3749DB93" w14:textId="77777777" w:rsidR="00A90E9C" w:rsidRPr="008A26D2" w:rsidRDefault="00A90E9C" w:rsidP="005B4694">
            <w:pPr>
              <w:spacing w:after="0" w:line="240" w:lineRule="auto"/>
              <w:jc w:val="center"/>
              <w:rPr>
                <w:rFonts w:ascii="Arial" w:hAnsi="Arial" w:cs="Arial"/>
                <w:b/>
                <w:bCs/>
                <w:sz w:val="20"/>
                <w:szCs w:val="20"/>
              </w:rPr>
            </w:pPr>
            <w:r w:rsidRPr="008A26D2">
              <w:rPr>
                <w:rFonts w:ascii="Arial" w:hAnsi="Arial" w:cs="Arial"/>
                <w:b/>
                <w:sz w:val="20"/>
                <w:szCs w:val="20"/>
              </w:rPr>
              <w:t>2021</w:t>
            </w:r>
          </w:p>
        </w:tc>
        <w:tc>
          <w:tcPr>
            <w:tcW w:w="850" w:type="dxa"/>
            <w:gridSpan w:val="2"/>
            <w:shd w:val="clear" w:color="auto" w:fill="auto"/>
            <w:tcMar>
              <w:top w:w="10" w:type="dxa"/>
              <w:left w:w="10" w:type="dxa"/>
              <w:bottom w:w="0" w:type="dxa"/>
              <w:right w:w="10" w:type="dxa"/>
            </w:tcMar>
            <w:vAlign w:val="center"/>
          </w:tcPr>
          <w:p w14:paraId="27797A95" w14:textId="77777777" w:rsidR="00A90E9C" w:rsidRPr="008A26D2" w:rsidRDefault="00A90E9C" w:rsidP="005B4694">
            <w:pPr>
              <w:spacing w:after="0" w:line="240" w:lineRule="auto"/>
              <w:jc w:val="center"/>
              <w:rPr>
                <w:rFonts w:ascii="Arial" w:hAnsi="Arial" w:cs="Arial"/>
                <w:b/>
                <w:sz w:val="20"/>
                <w:szCs w:val="20"/>
              </w:rPr>
            </w:pPr>
            <w:r w:rsidRPr="008A26D2">
              <w:rPr>
                <w:rFonts w:ascii="Arial" w:hAnsi="Arial" w:cs="Arial"/>
                <w:b/>
                <w:sz w:val="20"/>
                <w:szCs w:val="20"/>
              </w:rPr>
              <w:t>2023</w:t>
            </w:r>
          </w:p>
        </w:tc>
        <w:tc>
          <w:tcPr>
            <w:tcW w:w="992" w:type="dxa"/>
            <w:shd w:val="clear" w:color="auto" w:fill="auto"/>
            <w:vAlign w:val="center"/>
          </w:tcPr>
          <w:p w14:paraId="7A607A58" w14:textId="77777777" w:rsidR="00A90E9C" w:rsidRPr="008A26D2" w:rsidRDefault="00A90E9C" w:rsidP="005B4694">
            <w:pPr>
              <w:spacing w:after="0" w:line="240" w:lineRule="auto"/>
              <w:jc w:val="center"/>
              <w:rPr>
                <w:rFonts w:ascii="Arial" w:hAnsi="Arial" w:cs="Arial"/>
                <w:b/>
                <w:sz w:val="20"/>
                <w:szCs w:val="20"/>
              </w:rPr>
            </w:pPr>
            <w:r w:rsidRPr="008A26D2">
              <w:rPr>
                <w:rFonts w:ascii="Arial" w:hAnsi="Arial" w:cs="Arial"/>
                <w:b/>
                <w:sz w:val="20"/>
                <w:szCs w:val="20"/>
              </w:rPr>
              <w:t>2024</w:t>
            </w:r>
          </w:p>
        </w:tc>
        <w:tc>
          <w:tcPr>
            <w:tcW w:w="993" w:type="dxa"/>
            <w:gridSpan w:val="2"/>
            <w:shd w:val="clear" w:color="auto" w:fill="auto"/>
            <w:vAlign w:val="center"/>
          </w:tcPr>
          <w:p w14:paraId="62428877" w14:textId="77777777" w:rsidR="00A90E9C" w:rsidRPr="008A26D2" w:rsidRDefault="00A90E9C" w:rsidP="005B4694">
            <w:pPr>
              <w:spacing w:after="0" w:line="240" w:lineRule="auto"/>
              <w:jc w:val="center"/>
              <w:rPr>
                <w:rFonts w:ascii="Arial" w:hAnsi="Arial" w:cs="Arial"/>
                <w:b/>
                <w:sz w:val="20"/>
                <w:szCs w:val="20"/>
              </w:rPr>
            </w:pPr>
            <w:r w:rsidRPr="008A26D2">
              <w:rPr>
                <w:rFonts w:ascii="Arial" w:hAnsi="Arial" w:cs="Arial"/>
                <w:b/>
                <w:sz w:val="20"/>
                <w:szCs w:val="20"/>
              </w:rPr>
              <w:t>2025</w:t>
            </w:r>
          </w:p>
        </w:tc>
        <w:tc>
          <w:tcPr>
            <w:tcW w:w="850" w:type="dxa"/>
            <w:shd w:val="clear" w:color="auto" w:fill="auto"/>
            <w:vAlign w:val="center"/>
          </w:tcPr>
          <w:p w14:paraId="2D7A18DF" w14:textId="77777777" w:rsidR="00A90E9C" w:rsidRPr="008A26D2" w:rsidRDefault="00A90E9C" w:rsidP="005B4694">
            <w:pPr>
              <w:spacing w:after="0" w:line="240" w:lineRule="auto"/>
              <w:jc w:val="center"/>
              <w:rPr>
                <w:rFonts w:ascii="Arial" w:hAnsi="Arial" w:cs="Arial"/>
                <w:b/>
                <w:sz w:val="20"/>
                <w:szCs w:val="20"/>
              </w:rPr>
            </w:pPr>
            <w:r w:rsidRPr="008A26D2">
              <w:rPr>
                <w:rFonts w:ascii="Arial" w:hAnsi="Arial" w:cs="Arial"/>
                <w:b/>
                <w:sz w:val="20"/>
                <w:szCs w:val="20"/>
              </w:rPr>
              <w:t>2026</w:t>
            </w:r>
          </w:p>
        </w:tc>
        <w:tc>
          <w:tcPr>
            <w:tcW w:w="851" w:type="dxa"/>
            <w:shd w:val="clear" w:color="auto" w:fill="auto"/>
            <w:vAlign w:val="center"/>
          </w:tcPr>
          <w:p w14:paraId="4018DC1B" w14:textId="77777777" w:rsidR="00A90E9C" w:rsidRPr="008A26D2" w:rsidRDefault="00A90E9C" w:rsidP="005B4694">
            <w:pPr>
              <w:spacing w:after="0" w:line="240" w:lineRule="auto"/>
              <w:jc w:val="center"/>
              <w:rPr>
                <w:rFonts w:ascii="Arial" w:hAnsi="Arial" w:cs="Arial"/>
                <w:b/>
                <w:sz w:val="20"/>
                <w:szCs w:val="20"/>
              </w:rPr>
            </w:pPr>
            <w:r w:rsidRPr="008A26D2">
              <w:rPr>
                <w:rFonts w:ascii="Arial" w:hAnsi="Arial" w:cs="Arial"/>
                <w:b/>
                <w:sz w:val="20"/>
                <w:szCs w:val="20"/>
              </w:rPr>
              <w:t>2027</w:t>
            </w:r>
          </w:p>
        </w:tc>
        <w:tc>
          <w:tcPr>
            <w:tcW w:w="850" w:type="dxa"/>
            <w:gridSpan w:val="2"/>
            <w:shd w:val="clear" w:color="auto" w:fill="auto"/>
            <w:vAlign w:val="center"/>
          </w:tcPr>
          <w:p w14:paraId="14C0E163" w14:textId="77777777" w:rsidR="00A90E9C" w:rsidRPr="008A26D2" w:rsidRDefault="00A90E9C" w:rsidP="005B4694">
            <w:pPr>
              <w:spacing w:after="0" w:line="240" w:lineRule="auto"/>
              <w:jc w:val="center"/>
              <w:rPr>
                <w:rFonts w:ascii="Arial" w:hAnsi="Arial" w:cs="Arial"/>
                <w:b/>
                <w:sz w:val="20"/>
                <w:szCs w:val="20"/>
              </w:rPr>
            </w:pPr>
            <w:r w:rsidRPr="008A26D2">
              <w:rPr>
                <w:rFonts w:ascii="Arial" w:hAnsi="Arial" w:cs="Arial"/>
                <w:b/>
                <w:sz w:val="20"/>
                <w:szCs w:val="20"/>
              </w:rPr>
              <w:t>2028</w:t>
            </w:r>
          </w:p>
        </w:tc>
        <w:tc>
          <w:tcPr>
            <w:tcW w:w="709" w:type="dxa"/>
            <w:shd w:val="clear" w:color="auto" w:fill="auto"/>
            <w:vAlign w:val="center"/>
          </w:tcPr>
          <w:p w14:paraId="469343D1" w14:textId="77777777" w:rsidR="00A90E9C" w:rsidRPr="008A26D2" w:rsidRDefault="00A90E9C" w:rsidP="005B4694">
            <w:pPr>
              <w:spacing w:after="0" w:line="240" w:lineRule="auto"/>
              <w:jc w:val="center"/>
              <w:rPr>
                <w:rFonts w:ascii="Arial" w:hAnsi="Arial" w:cs="Arial"/>
                <w:b/>
                <w:sz w:val="20"/>
                <w:szCs w:val="20"/>
              </w:rPr>
            </w:pPr>
            <w:r w:rsidRPr="008A26D2">
              <w:rPr>
                <w:rFonts w:ascii="Arial" w:hAnsi="Arial" w:cs="Arial"/>
                <w:b/>
                <w:sz w:val="20"/>
                <w:szCs w:val="20"/>
              </w:rPr>
              <w:t>2029</w:t>
            </w:r>
          </w:p>
        </w:tc>
        <w:tc>
          <w:tcPr>
            <w:tcW w:w="850" w:type="dxa"/>
            <w:shd w:val="clear" w:color="auto" w:fill="auto"/>
            <w:tcMar>
              <w:top w:w="10" w:type="dxa"/>
              <w:left w:w="10" w:type="dxa"/>
              <w:bottom w:w="0" w:type="dxa"/>
              <w:right w:w="10" w:type="dxa"/>
            </w:tcMar>
            <w:vAlign w:val="center"/>
          </w:tcPr>
          <w:p w14:paraId="1A9D9340" w14:textId="77777777" w:rsidR="00A90E9C" w:rsidRPr="008A26D2" w:rsidRDefault="00A90E9C" w:rsidP="005B4694">
            <w:pPr>
              <w:spacing w:after="0" w:line="240" w:lineRule="auto"/>
              <w:jc w:val="center"/>
              <w:rPr>
                <w:rFonts w:ascii="Arial" w:hAnsi="Arial" w:cs="Arial"/>
                <w:b/>
                <w:sz w:val="20"/>
                <w:szCs w:val="20"/>
              </w:rPr>
            </w:pPr>
            <w:r w:rsidRPr="008A26D2">
              <w:rPr>
                <w:rFonts w:ascii="Arial" w:hAnsi="Arial" w:cs="Arial"/>
                <w:b/>
                <w:sz w:val="20"/>
                <w:szCs w:val="20"/>
              </w:rPr>
              <w:t>2030</w:t>
            </w:r>
          </w:p>
        </w:tc>
      </w:tr>
      <w:tr w:rsidR="008A26D2" w:rsidRPr="008A26D2" w14:paraId="2D4469F4" w14:textId="77777777" w:rsidTr="0011698E">
        <w:trPr>
          <w:trHeight w:val="81"/>
        </w:trPr>
        <w:tc>
          <w:tcPr>
            <w:tcW w:w="709" w:type="dxa"/>
            <w:shd w:val="clear" w:color="auto" w:fill="auto"/>
            <w:tcMar>
              <w:top w:w="10" w:type="dxa"/>
              <w:left w:w="10" w:type="dxa"/>
              <w:bottom w:w="0" w:type="dxa"/>
              <w:right w:w="10" w:type="dxa"/>
            </w:tcMar>
            <w:vAlign w:val="center"/>
          </w:tcPr>
          <w:p w14:paraId="2DC9ECB6" w14:textId="77777777" w:rsidR="00A90E9C" w:rsidRPr="008A26D2" w:rsidRDefault="00A90E9C" w:rsidP="00147D2E">
            <w:pPr>
              <w:spacing w:after="0" w:line="240" w:lineRule="auto"/>
              <w:jc w:val="both"/>
              <w:rPr>
                <w:rFonts w:ascii="Arial" w:hAnsi="Arial" w:cs="Arial"/>
                <w:sz w:val="20"/>
                <w:szCs w:val="20"/>
              </w:rPr>
            </w:pPr>
            <w:r w:rsidRPr="008A26D2">
              <w:rPr>
                <w:rFonts w:ascii="Arial" w:hAnsi="Arial" w:cs="Arial"/>
                <w:b/>
                <w:bCs/>
                <w:sz w:val="20"/>
                <w:szCs w:val="20"/>
              </w:rPr>
              <w:t>Valo</w:t>
            </w:r>
            <w:r w:rsidRPr="008A26D2">
              <w:rPr>
                <w:rFonts w:ascii="Arial" w:hAnsi="Arial" w:cs="Arial"/>
                <w:sz w:val="20"/>
                <w:szCs w:val="20"/>
              </w:rPr>
              <w:t>r</w:t>
            </w:r>
          </w:p>
        </w:tc>
        <w:tc>
          <w:tcPr>
            <w:tcW w:w="851" w:type="dxa"/>
            <w:shd w:val="clear" w:color="auto" w:fill="auto"/>
            <w:tcMar>
              <w:top w:w="10" w:type="dxa"/>
              <w:left w:w="10" w:type="dxa"/>
              <w:bottom w:w="0" w:type="dxa"/>
              <w:right w:w="10" w:type="dxa"/>
            </w:tcMar>
          </w:tcPr>
          <w:p w14:paraId="368AD60A" w14:textId="77777777" w:rsidR="00A90E9C" w:rsidRPr="008A26D2" w:rsidRDefault="00A90E9C" w:rsidP="005B4694">
            <w:pPr>
              <w:spacing w:after="0" w:line="240" w:lineRule="auto"/>
              <w:jc w:val="center"/>
              <w:rPr>
                <w:rFonts w:ascii="Arial" w:eastAsia="Arial Narrow" w:hAnsi="Arial" w:cs="Arial"/>
                <w:sz w:val="20"/>
                <w:szCs w:val="20"/>
              </w:rPr>
            </w:pPr>
            <w:r w:rsidRPr="008A26D2">
              <w:rPr>
                <w:rFonts w:ascii="Arial" w:eastAsia="Arial Narrow" w:hAnsi="Arial" w:cs="Arial"/>
                <w:sz w:val="20"/>
                <w:szCs w:val="20"/>
              </w:rPr>
              <w:t>23</w:t>
            </w:r>
          </w:p>
        </w:tc>
        <w:tc>
          <w:tcPr>
            <w:tcW w:w="850" w:type="dxa"/>
            <w:gridSpan w:val="2"/>
            <w:shd w:val="clear" w:color="auto" w:fill="auto"/>
            <w:tcMar>
              <w:top w:w="10" w:type="dxa"/>
              <w:left w:w="10" w:type="dxa"/>
              <w:bottom w:w="0" w:type="dxa"/>
              <w:right w:w="10" w:type="dxa"/>
            </w:tcMar>
          </w:tcPr>
          <w:p w14:paraId="074201E5" w14:textId="77777777" w:rsidR="00A90E9C" w:rsidRPr="008A26D2" w:rsidRDefault="00A90E9C" w:rsidP="005B4694">
            <w:pPr>
              <w:spacing w:after="0" w:line="240" w:lineRule="auto"/>
              <w:jc w:val="center"/>
              <w:rPr>
                <w:rFonts w:ascii="Arial" w:eastAsia="Arial Narrow" w:hAnsi="Arial" w:cs="Arial"/>
                <w:sz w:val="20"/>
                <w:szCs w:val="20"/>
              </w:rPr>
            </w:pPr>
            <w:r w:rsidRPr="008A26D2">
              <w:rPr>
                <w:rFonts w:ascii="Arial" w:eastAsia="Arial Narrow" w:hAnsi="Arial" w:cs="Arial"/>
                <w:sz w:val="20"/>
                <w:szCs w:val="20"/>
              </w:rPr>
              <w:t>22</w:t>
            </w:r>
          </w:p>
        </w:tc>
        <w:tc>
          <w:tcPr>
            <w:tcW w:w="992" w:type="dxa"/>
            <w:shd w:val="clear" w:color="auto" w:fill="auto"/>
          </w:tcPr>
          <w:p w14:paraId="0A4F73E1" w14:textId="77777777" w:rsidR="00A90E9C" w:rsidRPr="008A26D2" w:rsidRDefault="00A90E9C" w:rsidP="005B4694">
            <w:pPr>
              <w:spacing w:after="0" w:line="240" w:lineRule="auto"/>
              <w:jc w:val="center"/>
              <w:rPr>
                <w:rFonts w:ascii="Arial" w:eastAsia="Arial Narrow" w:hAnsi="Arial" w:cs="Arial"/>
                <w:sz w:val="20"/>
                <w:szCs w:val="20"/>
              </w:rPr>
            </w:pPr>
            <w:r w:rsidRPr="008A26D2">
              <w:rPr>
                <w:rFonts w:ascii="Arial" w:eastAsia="Arial Narrow" w:hAnsi="Arial" w:cs="Arial"/>
                <w:sz w:val="20"/>
                <w:szCs w:val="20"/>
              </w:rPr>
              <w:t>28</w:t>
            </w:r>
          </w:p>
        </w:tc>
        <w:tc>
          <w:tcPr>
            <w:tcW w:w="993" w:type="dxa"/>
            <w:gridSpan w:val="2"/>
            <w:shd w:val="clear" w:color="auto" w:fill="auto"/>
          </w:tcPr>
          <w:p w14:paraId="251D2F5E" w14:textId="77777777" w:rsidR="00A90E9C" w:rsidRPr="008A26D2" w:rsidRDefault="00A90E9C" w:rsidP="005B4694">
            <w:pPr>
              <w:spacing w:after="0" w:line="240" w:lineRule="auto"/>
              <w:jc w:val="center"/>
              <w:rPr>
                <w:rFonts w:ascii="Arial" w:eastAsia="Arial Narrow" w:hAnsi="Arial" w:cs="Arial"/>
                <w:sz w:val="20"/>
                <w:szCs w:val="20"/>
              </w:rPr>
            </w:pPr>
            <w:r w:rsidRPr="008A26D2">
              <w:rPr>
                <w:rFonts w:ascii="Arial" w:eastAsia="Arial Narrow" w:hAnsi="Arial" w:cs="Arial"/>
                <w:sz w:val="20"/>
                <w:szCs w:val="20"/>
              </w:rPr>
              <w:t>32</w:t>
            </w:r>
          </w:p>
        </w:tc>
        <w:tc>
          <w:tcPr>
            <w:tcW w:w="850" w:type="dxa"/>
            <w:shd w:val="clear" w:color="auto" w:fill="auto"/>
          </w:tcPr>
          <w:p w14:paraId="6BAEFE90" w14:textId="77777777" w:rsidR="00A90E9C" w:rsidRPr="008A26D2" w:rsidRDefault="00A90E9C" w:rsidP="005B4694">
            <w:pPr>
              <w:spacing w:after="0" w:line="240" w:lineRule="auto"/>
              <w:jc w:val="center"/>
              <w:rPr>
                <w:rFonts w:ascii="Arial" w:eastAsia="Arial Narrow" w:hAnsi="Arial" w:cs="Arial"/>
                <w:sz w:val="20"/>
                <w:szCs w:val="20"/>
              </w:rPr>
            </w:pPr>
            <w:r w:rsidRPr="008A26D2">
              <w:rPr>
                <w:rFonts w:ascii="Arial" w:eastAsia="Arial Narrow" w:hAnsi="Arial" w:cs="Arial"/>
                <w:sz w:val="20"/>
                <w:szCs w:val="20"/>
              </w:rPr>
              <w:t>35</w:t>
            </w:r>
          </w:p>
        </w:tc>
        <w:tc>
          <w:tcPr>
            <w:tcW w:w="851" w:type="dxa"/>
            <w:shd w:val="clear" w:color="auto" w:fill="auto"/>
          </w:tcPr>
          <w:p w14:paraId="3368DD37" w14:textId="77777777" w:rsidR="00A90E9C" w:rsidRPr="008A26D2" w:rsidRDefault="00A90E9C" w:rsidP="005B4694">
            <w:pPr>
              <w:spacing w:after="0" w:line="240" w:lineRule="auto"/>
              <w:jc w:val="center"/>
              <w:rPr>
                <w:rFonts w:ascii="Arial" w:eastAsia="Arial Narrow" w:hAnsi="Arial" w:cs="Arial"/>
                <w:sz w:val="20"/>
                <w:szCs w:val="20"/>
              </w:rPr>
            </w:pPr>
            <w:r w:rsidRPr="008A26D2">
              <w:rPr>
                <w:rFonts w:ascii="Arial" w:eastAsia="Arial Narrow" w:hAnsi="Arial" w:cs="Arial"/>
                <w:sz w:val="20"/>
                <w:szCs w:val="20"/>
              </w:rPr>
              <w:t>38</w:t>
            </w:r>
          </w:p>
        </w:tc>
        <w:tc>
          <w:tcPr>
            <w:tcW w:w="850" w:type="dxa"/>
            <w:gridSpan w:val="2"/>
            <w:shd w:val="clear" w:color="auto" w:fill="auto"/>
          </w:tcPr>
          <w:p w14:paraId="58FB470B" w14:textId="77777777" w:rsidR="00A90E9C" w:rsidRPr="008A26D2" w:rsidRDefault="00A90E9C" w:rsidP="005B4694">
            <w:pPr>
              <w:spacing w:after="0" w:line="240" w:lineRule="auto"/>
              <w:jc w:val="center"/>
              <w:rPr>
                <w:rFonts w:ascii="Arial" w:eastAsia="Arial Narrow" w:hAnsi="Arial" w:cs="Arial"/>
                <w:sz w:val="20"/>
                <w:szCs w:val="20"/>
              </w:rPr>
            </w:pPr>
            <w:r w:rsidRPr="008A26D2">
              <w:rPr>
                <w:rFonts w:ascii="Arial" w:eastAsia="Arial Narrow" w:hAnsi="Arial" w:cs="Arial"/>
                <w:sz w:val="20"/>
                <w:szCs w:val="20"/>
              </w:rPr>
              <w:t>41</w:t>
            </w:r>
          </w:p>
        </w:tc>
        <w:tc>
          <w:tcPr>
            <w:tcW w:w="709" w:type="dxa"/>
            <w:shd w:val="clear" w:color="auto" w:fill="auto"/>
          </w:tcPr>
          <w:p w14:paraId="3AE15673" w14:textId="77777777" w:rsidR="00A90E9C" w:rsidRPr="008A26D2" w:rsidRDefault="00A90E9C" w:rsidP="005B4694">
            <w:pPr>
              <w:spacing w:after="0" w:line="240" w:lineRule="auto"/>
              <w:jc w:val="center"/>
              <w:rPr>
                <w:rFonts w:ascii="Arial" w:eastAsia="Arial Narrow" w:hAnsi="Arial" w:cs="Arial"/>
                <w:sz w:val="20"/>
                <w:szCs w:val="20"/>
              </w:rPr>
            </w:pPr>
            <w:r w:rsidRPr="008A26D2">
              <w:rPr>
                <w:rFonts w:ascii="Arial" w:eastAsia="Arial Narrow" w:hAnsi="Arial" w:cs="Arial"/>
                <w:sz w:val="20"/>
                <w:szCs w:val="20"/>
              </w:rPr>
              <w:t>44</w:t>
            </w:r>
          </w:p>
        </w:tc>
        <w:tc>
          <w:tcPr>
            <w:tcW w:w="850" w:type="dxa"/>
            <w:shd w:val="clear" w:color="auto" w:fill="auto"/>
            <w:tcMar>
              <w:top w:w="10" w:type="dxa"/>
              <w:left w:w="10" w:type="dxa"/>
              <w:bottom w:w="0" w:type="dxa"/>
              <w:right w:w="10" w:type="dxa"/>
            </w:tcMar>
          </w:tcPr>
          <w:p w14:paraId="71BE515E" w14:textId="77777777" w:rsidR="00A90E9C" w:rsidRPr="008A26D2" w:rsidRDefault="00A90E9C" w:rsidP="005B4694">
            <w:pPr>
              <w:spacing w:after="0" w:line="240" w:lineRule="auto"/>
              <w:jc w:val="center"/>
              <w:rPr>
                <w:rFonts w:ascii="Arial" w:eastAsia="Arial Narrow" w:hAnsi="Arial" w:cs="Arial"/>
                <w:sz w:val="20"/>
                <w:szCs w:val="20"/>
              </w:rPr>
            </w:pPr>
            <w:r w:rsidRPr="008A26D2">
              <w:rPr>
                <w:rFonts w:ascii="Arial" w:eastAsia="Arial Narrow" w:hAnsi="Arial" w:cs="Arial"/>
                <w:sz w:val="20"/>
                <w:szCs w:val="20"/>
              </w:rPr>
              <w:t>47</w:t>
            </w:r>
          </w:p>
        </w:tc>
      </w:tr>
    </w:tbl>
    <w:p w14:paraId="34A17136" w14:textId="77777777" w:rsidR="00A90E9C" w:rsidRPr="008A26D2" w:rsidRDefault="00A90E9C" w:rsidP="00A90E9C"/>
    <w:bookmarkEnd w:id="20"/>
    <w:p w14:paraId="3080E79B" w14:textId="77777777" w:rsidR="00A90E9C" w:rsidRPr="008A26D2" w:rsidRDefault="00A90E9C" w:rsidP="00A90E9C"/>
    <w:tbl>
      <w:tblPr>
        <w:tblW w:w="8363"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
        <w:gridCol w:w="1007"/>
        <w:gridCol w:w="836"/>
        <w:gridCol w:w="850"/>
        <w:gridCol w:w="851"/>
        <w:gridCol w:w="709"/>
        <w:gridCol w:w="850"/>
        <w:gridCol w:w="730"/>
        <w:gridCol w:w="121"/>
        <w:gridCol w:w="708"/>
        <w:gridCol w:w="567"/>
      </w:tblGrid>
      <w:tr w:rsidR="008A26D2" w:rsidRPr="008A26D2" w14:paraId="675F8F15" w14:textId="77777777" w:rsidTr="00394EE8">
        <w:trPr>
          <w:trHeight w:val="251"/>
        </w:trPr>
        <w:tc>
          <w:tcPr>
            <w:tcW w:w="8363" w:type="dxa"/>
            <w:gridSpan w:val="11"/>
            <w:shd w:val="clear" w:color="auto" w:fill="D9D9D9" w:themeFill="background1" w:themeFillShade="D9"/>
            <w:tcMar>
              <w:top w:w="10" w:type="dxa"/>
              <w:left w:w="10" w:type="dxa"/>
              <w:bottom w:w="0" w:type="dxa"/>
              <w:right w:w="10" w:type="dxa"/>
            </w:tcMar>
            <w:vAlign w:val="center"/>
          </w:tcPr>
          <w:p w14:paraId="5C41E79E" w14:textId="579B30A2" w:rsidR="00A90E9C" w:rsidRPr="008A26D2" w:rsidRDefault="00A90E9C" w:rsidP="0072651A">
            <w:pPr>
              <w:jc w:val="center"/>
              <w:rPr>
                <w:rFonts w:ascii="Arial" w:hAnsi="Arial" w:cs="Arial"/>
                <w:sz w:val="20"/>
                <w:szCs w:val="20"/>
              </w:rPr>
            </w:pPr>
            <w:r w:rsidRPr="008A26D2">
              <w:rPr>
                <w:rFonts w:ascii="Arial" w:hAnsi="Arial" w:cs="Arial"/>
                <w:sz w:val="20"/>
                <w:szCs w:val="20"/>
              </w:rPr>
              <w:br w:type="page"/>
            </w:r>
            <w:r w:rsidRPr="008A26D2">
              <w:rPr>
                <w:rFonts w:ascii="Arial" w:hAnsi="Arial" w:cs="Arial"/>
                <w:b/>
                <w:sz w:val="20"/>
                <w:szCs w:val="20"/>
              </w:rPr>
              <w:t>FICHA TÉCNICA DE INDICADOR DE SERVICIO 1.9.</w:t>
            </w:r>
            <w:r w:rsidR="00F92676" w:rsidRPr="008A26D2">
              <w:rPr>
                <w:rFonts w:ascii="Arial" w:hAnsi="Arial" w:cs="Arial"/>
                <w:b/>
                <w:sz w:val="20"/>
                <w:szCs w:val="20"/>
              </w:rPr>
              <w:t>5</w:t>
            </w:r>
          </w:p>
        </w:tc>
      </w:tr>
      <w:tr w:rsidR="008A26D2" w:rsidRPr="008A26D2" w14:paraId="6655BCDB" w14:textId="77777777" w:rsidTr="00394EE8">
        <w:trPr>
          <w:trHeight w:val="409"/>
        </w:trPr>
        <w:tc>
          <w:tcPr>
            <w:tcW w:w="2141" w:type="dxa"/>
            <w:gridSpan w:val="2"/>
            <w:shd w:val="clear" w:color="auto" w:fill="FFFFFF"/>
            <w:tcMar>
              <w:top w:w="10" w:type="dxa"/>
              <w:left w:w="93" w:type="dxa"/>
              <w:bottom w:w="0" w:type="dxa"/>
              <w:right w:w="10" w:type="dxa"/>
            </w:tcMar>
            <w:vAlign w:val="center"/>
          </w:tcPr>
          <w:p w14:paraId="58010E0A" w14:textId="77777777" w:rsidR="00A90E9C" w:rsidRPr="008A26D2" w:rsidRDefault="00A90E9C" w:rsidP="0072651A">
            <w:pPr>
              <w:rPr>
                <w:rFonts w:ascii="Arial" w:hAnsi="Arial" w:cs="Arial"/>
                <w:sz w:val="20"/>
                <w:szCs w:val="20"/>
              </w:rPr>
            </w:pPr>
            <w:r w:rsidRPr="008A26D2">
              <w:rPr>
                <w:rFonts w:ascii="Arial" w:hAnsi="Arial" w:cs="Arial"/>
                <w:b/>
                <w:sz w:val="20"/>
                <w:szCs w:val="20"/>
              </w:rPr>
              <w:t>Objetivo prioritario:</w:t>
            </w:r>
          </w:p>
        </w:tc>
        <w:tc>
          <w:tcPr>
            <w:tcW w:w="6222" w:type="dxa"/>
            <w:gridSpan w:val="9"/>
            <w:shd w:val="clear" w:color="auto" w:fill="FFFFFF"/>
            <w:tcMar>
              <w:top w:w="51" w:type="dxa"/>
              <w:left w:w="227" w:type="dxa"/>
              <w:bottom w:w="51" w:type="dxa"/>
              <w:right w:w="227" w:type="dxa"/>
            </w:tcMar>
            <w:vAlign w:val="center"/>
          </w:tcPr>
          <w:p w14:paraId="3B8487AD" w14:textId="77777777" w:rsidR="00A90E9C" w:rsidRPr="008A26D2" w:rsidRDefault="00A90E9C" w:rsidP="00147D2E">
            <w:pPr>
              <w:pBdr>
                <w:top w:val="nil"/>
                <w:left w:val="nil"/>
                <w:bottom w:val="nil"/>
                <w:right w:val="nil"/>
                <w:between w:val="nil"/>
              </w:pBdr>
              <w:spacing w:after="0" w:line="240" w:lineRule="auto"/>
              <w:jc w:val="both"/>
              <w:rPr>
                <w:rFonts w:ascii="Arial" w:hAnsi="Arial" w:cs="Arial"/>
                <w:sz w:val="20"/>
                <w:szCs w:val="20"/>
              </w:rPr>
            </w:pPr>
            <w:r w:rsidRPr="008A26D2">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r>
      <w:tr w:rsidR="008A26D2" w:rsidRPr="008A26D2" w14:paraId="60DCBBAB" w14:textId="77777777" w:rsidTr="00394EE8">
        <w:trPr>
          <w:trHeight w:val="436"/>
        </w:trPr>
        <w:tc>
          <w:tcPr>
            <w:tcW w:w="2141" w:type="dxa"/>
            <w:gridSpan w:val="2"/>
            <w:shd w:val="clear" w:color="auto" w:fill="auto"/>
            <w:tcMar>
              <w:top w:w="10" w:type="dxa"/>
              <w:left w:w="93" w:type="dxa"/>
              <w:bottom w:w="0" w:type="dxa"/>
              <w:right w:w="10" w:type="dxa"/>
            </w:tcMar>
            <w:vAlign w:val="center"/>
          </w:tcPr>
          <w:p w14:paraId="023B0291" w14:textId="77777777" w:rsidR="00A90E9C" w:rsidRPr="008A26D2" w:rsidRDefault="00A90E9C" w:rsidP="0072651A">
            <w:pPr>
              <w:rPr>
                <w:rFonts w:ascii="Arial" w:hAnsi="Arial" w:cs="Arial"/>
                <w:sz w:val="20"/>
                <w:szCs w:val="20"/>
              </w:rPr>
            </w:pPr>
            <w:r w:rsidRPr="008A26D2">
              <w:rPr>
                <w:rFonts w:ascii="Arial" w:hAnsi="Arial" w:cs="Arial"/>
                <w:b/>
                <w:sz w:val="20"/>
                <w:szCs w:val="20"/>
              </w:rPr>
              <w:t>Lineamiento de la política:</w:t>
            </w:r>
          </w:p>
        </w:tc>
        <w:tc>
          <w:tcPr>
            <w:tcW w:w="6222" w:type="dxa"/>
            <w:gridSpan w:val="9"/>
            <w:shd w:val="clear" w:color="auto" w:fill="auto"/>
            <w:tcMar>
              <w:top w:w="51" w:type="dxa"/>
              <w:left w:w="227" w:type="dxa"/>
              <w:bottom w:w="51" w:type="dxa"/>
              <w:right w:w="227" w:type="dxa"/>
            </w:tcMar>
            <w:vAlign w:val="center"/>
          </w:tcPr>
          <w:p w14:paraId="2CDE2275" w14:textId="77777777" w:rsidR="00A90E9C" w:rsidRPr="008A26D2" w:rsidRDefault="00A90E9C" w:rsidP="00147D2E">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L1.9 Reducir los niveles de tala ilegal, caza furtiva y del tráfico ilegal forestal y de fauna silvestre.</w:t>
            </w:r>
          </w:p>
        </w:tc>
      </w:tr>
      <w:tr w:rsidR="008A26D2" w:rsidRPr="008A26D2" w14:paraId="2AEBD3EE" w14:textId="77777777" w:rsidTr="00394EE8">
        <w:trPr>
          <w:trHeight w:val="404"/>
        </w:trPr>
        <w:tc>
          <w:tcPr>
            <w:tcW w:w="2141" w:type="dxa"/>
            <w:gridSpan w:val="2"/>
            <w:shd w:val="clear" w:color="auto" w:fill="auto"/>
            <w:tcMar>
              <w:top w:w="10" w:type="dxa"/>
              <w:left w:w="93" w:type="dxa"/>
              <w:bottom w:w="0" w:type="dxa"/>
              <w:right w:w="10" w:type="dxa"/>
            </w:tcMar>
            <w:vAlign w:val="center"/>
          </w:tcPr>
          <w:p w14:paraId="0F1885D0" w14:textId="77777777" w:rsidR="00A90E9C" w:rsidRPr="008A26D2" w:rsidRDefault="00A90E9C" w:rsidP="0072651A">
            <w:pPr>
              <w:rPr>
                <w:rFonts w:ascii="Arial" w:hAnsi="Arial" w:cs="Arial"/>
                <w:sz w:val="20"/>
                <w:szCs w:val="20"/>
              </w:rPr>
            </w:pPr>
            <w:r w:rsidRPr="008A26D2">
              <w:rPr>
                <w:rFonts w:ascii="Arial" w:hAnsi="Arial" w:cs="Arial"/>
                <w:b/>
                <w:sz w:val="20"/>
                <w:szCs w:val="20"/>
              </w:rPr>
              <w:t>Nombre del servicio:</w:t>
            </w:r>
          </w:p>
        </w:tc>
        <w:tc>
          <w:tcPr>
            <w:tcW w:w="6222" w:type="dxa"/>
            <w:gridSpan w:val="9"/>
            <w:shd w:val="clear" w:color="auto" w:fill="auto"/>
            <w:tcMar>
              <w:top w:w="51" w:type="dxa"/>
              <w:left w:w="227" w:type="dxa"/>
              <w:bottom w:w="51" w:type="dxa"/>
              <w:right w:w="227" w:type="dxa"/>
            </w:tcMar>
            <w:vAlign w:val="center"/>
          </w:tcPr>
          <w:p w14:paraId="3AD22540" w14:textId="247BF5AF" w:rsidR="00A90E9C" w:rsidRPr="008A26D2" w:rsidRDefault="00A90E9C" w:rsidP="00147D2E">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S1.9.</w:t>
            </w:r>
            <w:r w:rsidR="00F92676" w:rsidRPr="008A26D2">
              <w:rPr>
                <w:rFonts w:ascii="Arial" w:eastAsia="Arial Narrow" w:hAnsi="Arial" w:cs="Arial"/>
                <w:sz w:val="20"/>
                <w:szCs w:val="20"/>
              </w:rPr>
              <w:t>5</w:t>
            </w:r>
            <w:r w:rsidRPr="008A26D2">
              <w:rPr>
                <w:rFonts w:ascii="Arial" w:eastAsia="Arial Narrow" w:hAnsi="Arial" w:cs="Arial"/>
                <w:sz w:val="20"/>
                <w:szCs w:val="20"/>
              </w:rPr>
              <w:t xml:space="preserve"> Vigilancia en el bosque y en la cadena productiva forestal y de fauna silvestre de forma permanente para beneficio de la población</w:t>
            </w:r>
          </w:p>
        </w:tc>
      </w:tr>
      <w:tr w:rsidR="008A26D2" w:rsidRPr="008A26D2" w14:paraId="730867B9" w14:textId="77777777" w:rsidTr="00394EE8">
        <w:trPr>
          <w:trHeight w:val="577"/>
        </w:trPr>
        <w:tc>
          <w:tcPr>
            <w:tcW w:w="2141" w:type="dxa"/>
            <w:gridSpan w:val="2"/>
            <w:shd w:val="clear" w:color="auto" w:fill="auto"/>
            <w:tcMar>
              <w:top w:w="10" w:type="dxa"/>
              <w:left w:w="93" w:type="dxa"/>
              <w:bottom w:w="0" w:type="dxa"/>
              <w:right w:w="10" w:type="dxa"/>
            </w:tcMar>
            <w:vAlign w:val="center"/>
          </w:tcPr>
          <w:p w14:paraId="342E1679" w14:textId="77777777" w:rsidR="00A90E9C" w:rsidRPr="008A26D2" w:rsidRDefault="00A90E9C" w:rsidP="0072651A">
            <w:pPr>
              <w:rPr>
                <w:rFonts w:ascii="Arial" w:hAnsi="Arial" w:cs="Arial"/>
                <w:sz w:val="20"/>
                <w:szCs w:val="20"/>
              </w:rPr>
            </w:pPr>
            <w:r w:rsidRPr="008A26D2">
              <w:rPr>
                <w:rFonts w:ascii="Arial" w:hAnsi="Arial" w:cs="Arial"/>
                <w:b/>
                <w:sz w:val="20"/>
                <w:szCs w:val="20"/>
              </w:rPr>
              <w:t>Nombre del indicador:</w:t>
            </w:r>
          </w:p>
        </w:tc>
        <w:tc>
          <w:tcPr>
            <w:tcW w:w="6222" w:type="dxa"/>
            <w:gridSpan w:val="9"/>
            <w:shd w:val="clear" w:color="auto" w:fill="auto"/>
            <w:tcMar>
              <w:top w:w="51" w:type="dxa"/>
              <w:left w:w="227" w:type="dxa"/>
              <w:bottom w:w="51" w:type="dxa"/>
              <w:right w:w="227" w:type="dxa"/>
            </w:tcMar>
            <w:vAlign w:val="center"/>
          </w:tcPr>
          <w:p w14:paraId="6720DE98" w14:textId="388B0A6C" w:rsidR="00A90E9C" w:rsidRPr="008A26D2" w:rsidRDefault="003C5B2C" w:rsidP="00147D2E">
            <w:pPr>
              <w:jc w:val="both"/>
              <w:rPr>
                <w:rFonts w:ascii="Arial" w:eastAsia="Arial Narrow" w:hAnsi="Arial" w:cs="Arial"/>
                <w:strike/>
                <w:sz w:val="20"/>
                <w:szCs w:val="20"/>
              </w:rPr>
            </w:pPr>
            <w:r w:rsidRPr="008A26D2">
              <w:rPr>
                <w:rFonts w:ascii="Arial" w:eastAsia="Arial Narrow" w:hAnsi="Arial" w:cs="Arial"/>
                <w:sz w:val="20"/>
                <w:szCs w:val="20"/>
              </w:rPr>
              <w:t>Número de operativos contra la tala ilegal, caza furtiva y del tráfico ilegal de recursos forestales y de fauna silvestre de forma continua</w:t>
            </w:r>
          </w:p>
        </w:tc>
      </w:tr>
      <w:tr w:rsidR="008A26D2" w:rsidRPr="008A26D2" w14:paraId="7035AF0A" w14:textId="77777777" w:rsidTr="00394EE8">
        <w:trPr>
          <w:trHeight w:val="577"/>
        </w:trPr>
        <w:tc>
          <w:tcPr>
            <w:tcW w:w="2141" w:type="dxa"/>
            <w:gridSpan w:val="2"/>
            <w:shd w:val="clear" w:color="auto" w:fill="auto"/>
            <w:tcMar>
              <w:top w:w="10" w:type="dxa"/>
              <w:left w:w="93" w:type="dxa"/>
              <w:bottom w:w="0" w:type="dxa"/>
              <w:right w:w="10" w:type="dxa"/>
            </w:tcMar>
            <w:vAlign w:val="center"/>
          </w:tcPr>
          <w:p w14:paraId="248023BD" w14:textId="77777777" w:rsidR="00A90E9C" w:rsidRPr="008A26D2" w:rsidRDefault="00A90E9C" w:rsidP="0072651A">
            <w:pPr>
              <w:rPr>
                <w:rFonts w:ascii="Arial" w:hAnsi="Arial" w:cs="Arial"/>
                <w:sz w:val="20"/>
                <w:szCs w:val="20"/>
              </w:rPr>
            </w:pPr>
            <w:r w:rsidRPr="008A26D2">
              <w:rPr>
                <w:rFonts w:ascii="Arial" w:hAnsi="Arial" w:cs="Arial"/>
                <w:b/>
                <w:sz w:val="20"/>
                <w:szCs w:val="20"/>
              </w:rPr>
              <w:t>Justificación:</w:t>
            </w:r>
          </w:p>
        </w:tc>
        <w:tc>
          <w:tcPr>
            <w:tcW w:w="6222" w:type="dxa"/>
            <w:gridSpan w:val="9"/>
            <w:shd w:val="clear" w:color="auto" w:fill="auto"/>
            <w:tcMar>
              <w:top w:w="51" w:type="dxa"/>
              <w:left w:w="227" w:type="dxa"/>
              <w:bottom w:w="51" w:type="dxa"/>
              <w:right w:w="227" w:type="dxa"/>
            </w:tcMar>
            <w:vAlign w:val="center"/>
          </w:tcPr>
          <w:p w14:paraId="62E7C321" w14:textId="14EE8F50" w:rsidR="00A90E9C" w:rsidRPr="008A26D2" w:rsidRDefault="00A90E9C" w:rsidP="00147D2E">
            <w:pPr>
              <w:jc w:val="both"/>
              <w:rPr>
                <w:rFonts w:ascii="Arial" w:eastAsia="Arial Narrow" w:hAnsi="Arial" w:cs="Arial"/>
                <w:strike/>
                <w:sz w:val="20"/>
                <w:szCs w:val="20"/>
              </w:rPr>
            </w:pPr>
            <w:r w:rsidRPr="008A26D2">
              <w:rPr>
                <w:rFonts w:ascii="Arial" w:eastAsia="Times New Roman" w:hAnsi="Arial" w:cs="Arial"/>
                <w:sz w:val="20"/>
                <w:szCs w:val="20"/>
              </w:rPr>
              <w:t xml:space="preserve">El indicador permite cuantificar el número de acciones (operativos) desarrolladas de forma continua por el </w:t>
            </w:r>
            <w:r w:rsidR="00394EE8" w:rsidRPr="008A26D2">
              <w:rPr>
                <w:rFonts w:ascii="Arial" w:eastAsia="Times New Roman" w:hAnsi="Arial" w:cs="Arial"/>
                <w:sz w:val="20"/>
                <w:szCs w:val="20"/>
              </w:rPr>
              <w:t>SERFOR</w:t>
            </w:r>
            <w:r w:rsidRPr="008A26D2">
              <w:rPr>
                <w:rFonts w:ascii="Arial" w:eastAsia="Times New Roman" w:hAnsi="Arial" w:cs="Arial"/>
                <w:sz w:val="20"/>
                <w:szCs w:val="20"/>
              </w:rPr>
              <w:t xml:space="preserve"> para luchar contra la </w:t>
            </w:r>
            <w:r w:rsidRPr="008A26D2">
              <w:rPr>
                <w:rFonts w:ascii="Arial" w:eastAsia="Arial Narrow" w:hAnsi="Arial" w:cs="Arial"/>
                <w:sz w:val="20"/>
                <w:szCs w:val="20"/>
              </w:rPr>
              <w:t>tala ilegal, caza furtiva y del tráfico ilegal de recursos forestales y de fauna silvestre</w:t>
            </w:r>
          </w:p>
        </w:tc>
      </w:tr>
      <w:tr w:rsidR="008A26D2" w:rsidRPr="008A26D2" w14:paraId="2CC4FAAA" w14:textId="77777777" w:rsidTr="00394EE8">
        <w:trPr>
          <w:trHeight w:val="352"/>
        </w:trPr>
        <w:tc>
          <w:tcPr>
            <w:tcW w:w="2141" w:type="dxa"/>
            <w:gridSpan w:val="2"/>
            <w:shd w:val="clear" w:color="auto" w:fill="auto"/>
            <w:tcMar>
              <w:top w:w="10" w:type="dxa"/>
              <w:left w:w="93" w:type="dxa"/>
              <w:bottom w:w="0" w:type="dxa"/>
              <w:right w:w="10" w:type="dxa"/>
            </w:tcMar>
            <w:vAlign w:val="center"/>
          </w:tcPr>
          <w:p w14:paraId="5688FB9B" w14:textId="77777777" w:rsidR="00A90E9C" w:rsidRPr="008A26D2" w:rsidRDefault="00A90E9C" w:rsidP="0072651A">
            <w:pPr>
              <w:rPr>
                <w:rFonts w:ascii="Arial" w:hAnsi="Arial" w:cs="Arial"/>
                <w:sz w:val="20"/>
                <w:szCs w:val="20"/>
              </w:rPr>
            </w:pPr>
            <w:r w:rsidRPr="008A26D2">
              <w:rPr>
                <w:rFonts w:ascii="Arial" w:hAnsi="Arial" w:cs="Arial"/>
                <w:b/>
                <w:sz w:val="20"/>
                <w:szCs w:val="20"/>
              </w:rPr>
              <w:t>Responsable del indicador:</w:t>
            </w:r>
          </w:p>
        </w:tc>
        <w:tc>
          <w:tcPr>
            <w:tcW w:w="6222" w:type="dxa"/>
            <w:gridSpan w:val="9"/>
            <w:shd w:val="clear" w:color="auto" w:fill="auto"/>
            <w:tcMar>
              <w:top w:w="51" w:type="dxa"/>
              <w:left w:w="227" w:type="dxa"/>
              <w:bottom w:w="51" w:type="dxa"/>
              <w:right w:w="227" w:type="dxa"/>
            </w:tcMar>
            <w:vAlign w:val="center"/>
          </w:tcPr>
          <w:p w14:paraId="60295594" w14:textId="1EFCBA05" w:rsidR="00A90E9C" w:rsidRPr="008A26D2" w:rsidRDefault="00A90E9C" w:rsidP="00147D2E">
            <w:pPr>
              <w:jc w:val="both"/>
              <w:rPr>
                <w:rFonts w:ascii="Arial" w:eastAsia="Arial Narrow" w:hAnsi="Arial" w:cs="Arial"/>
                <w:sz w:val="20"/>
                <w:szCs w:val="20"/>
              </w:rPr>
            </w:pPr>
            <w:r w:rsidRPr="008A26D2">
              <w:rPr>
                <w:rFonts w:ascii="Arial" w:eastAsia="Arial Narrow" w:hAnsi="Arial" w:cs="Arial"/>
                <w:sz w:val="20"/>
                <w:szCs w:val="20"/>
              </w:rPr>
              <w:t>Dirección de Control de la Gestión Sostenible del Patrimonio Forestal y de Fauna Silvestre del Servicio Nacional Forestal y de Fauna Silvestre - SERFOR</w:t>
            </w:r>
          </w:p>
        </w:tc>
      </w:tr>
      <w:tr w:rsidR="008A26D2" w:rsidRPr="008A26D2" w14:paraId="22575F7F" w14:textId="77777777" w:rsidTr="00394EE8">
        <w:trPr>
          <w:trHeight w:val="676"/>
        </w:trPr>
        <w:tc>
          <w:tcPr>
            <w:tcW w:w="2141" w:type="dxa"/>
            <w:gridSpan w:val="2"/>
            <w:shd w:val="clear" w:color="auto" w:fill="auto"/>
            <w:tcMar>
              <w:top w:w="10" w:type="dxa"/>
              <w:left w:w="93" w:type="dxa"/>
              <w:bottom w:w="0" w:type="dxa"/>
              <w:right w:w="10" w:type="dxa"/>
            </w:tcMar>
            <w:vAlign w:val="center"/>
          </w:tcPr>
          <w:p w14:paraId="1BD114D1" w14:textId="77777777" w:rsidR="00A90E9C" w:rsidRPr="008A26D2" w:rsidRDefault="00A90E9C" w:rsidP="0072651A">
            <w:pPr>
              <w:rPr>
                <w:rFonts w:ascii="Arial" w:hAnsi="Arial" w:cs="Arial"/>
                <w:sz w:val="20"/>
                <w:szCs w:val="20"/>
              </w:rPr>
            </w:pPr>
            <w:r w:rsidRPr="008A26D2">
              <w:rPr>
                <w:rFonts w:ascii="Arial" w:hAnsi="Arial" w:cs="Arial"/>
                <w:b/>
                <w:sz w:val="20"/>
                <w:szCs w:val="20"/>
              </w:rPr>
              <w:lastRenderedPageBreak/>
              <w:t>Limitaciones para la medición del indicador:</w:t>
            </w:r>
          </w:p>
        </w:tc>
        <w:tc>
          <w:tcPr>
            <w:tcW w:w="6222" w:type="dxa"/>
            <w:gridSpan w:val="9"/>
            <w:shd w:val="clear" w:color="auto" w:fill="auto"/>
            <w:tcMar>
              <w:top w:w="51" w:type="dxa"/>
              <w:left w:w="227" w:type="dxa"/>
              <w:bottom w:w="51" w:type="dxa"/>
              <w:right w:w="227" w:type="dxa"/>
            </w:tcMar>
            <w:vAlign w:val="center"/>
          </w:tcPr>
          <w:p w14:paraId="3F184D39" w14:textId="77777777" w:rsidR="00A90E9C" w:rsidRPr="008A26D2" w:rsidRDefault="00A90E9C" w:rsidP="00147D2E">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No presenta limitaciones</w:t>
            </w:r>
          </w:p>
        </w:tc>
      </w:tr>
      <w:tr w:rsidR="008A26D2" w:rsidRPr="008A26D2" w14:paraId="7A9E7749" w14:textId="77777777" w:rsidTr="00394EE8">
        <w:trPr>
          <w:trHeight w:val="231"/>
        </w:trPr>
        <w:tc>
          <w:tcPr>
            <w:tcW w:w="2141" w:type="dxa"/>
            <w:gridSpan w:val="2"/>
            <w:shd w:val="clear" w:color="auto" w:fill="auto"/>
            <w:tcMar>
              <w:top w:w="10" w:type="dxa"/>
              <w:left w:w="93" w:type="dxa"/>
              <w:bottom w:w="0" w:type="dxa"/>
              <w:right w:w="10" w:type="dxa"/>
            </w:tcMar>
            <w:vAlign w:val="center"/>
          </w:tcPr>
          <w:p w14:paraId="0CF7522C" w14:textId="77777777" w:rsidR="00A90E9C" w:rsidRPr="008A26D2" w:rsidRDefault="00A90E9C" w:rsidP="0072651A">
            <w:pPr>
              <w:rPr>
                <w:rFonts w:ascii="Arial" w:hAnsi="Arial" w:cs="Arial"/>
                <w:sz w:val="20"/>
                <w:szCs w:val="20"/>
              </w:rPr>
            </w:pPr>
            <w:r w:rsidRPr="008A26D2">
              <w:rPr>
                <w:rFonts w:ascii="Arial" w:hAnsi="Arial" w:cs="Arial"/>
                <w:b/>
                <w:sz w:val="20"/>
                <w:szCs w:val="20"/>
              </w:rPr>
              <w:t xml:space="preserve">Método de cálculo: </w:t>
            </w:r>
          </w:p>
        </w:tc>
        <w:tc>
          <w:tcPr>
            <w:tcW w:w="6222" w:type="dxa"/>
            <w:gridSpan w:val="9"/>
            <w:shd w:val="clear" w:color="auto" w:fill="auto"/>
            <w:tcMar>
              <w:top w:w="51" w:type="dxa"/>
              <w:left w:w="227" w:type="dxa"/>
              <w:bottom w:w="51" w:type="dxa"/>
              <w:right w:w="227" w:type="dxa"/>
            </w:tcMar>
            <w:vAlign w:val="center"/>
          </w:tcPr>
          <w:p w14:paraId="07181CF5" w14:textId="77777777" w:rsidR="00A90E9C" w:rsidRPr="008A26D2" w:rsidRDefault="00A90E9C" w:rsidP="00147D2E">
            <w:pPr>
              <w:jc w:val="both"/>
              <w:rPr>
                <w:rFonts w:ascii="Arial" w:eastAsia="Arial Narrow" w:hAnsi="Arial" w:cs="Arial"/>
                <w:b/>
                <w:sz w:val="20"/>
                <w:szCs w:val="20"/>
              </w:rPr>
            </w:pPr>
            <w:r w:rsidRPr="008A26D2">
              <w:rPr>
                <w:rFonts w:ascii="Arial" w:eastAsia="Arial Narrow" w:hAnsi="Arial" w:cs="Arial"/>
                <w:b/>
                <w:sz w:val="20"/>
                <w:szCs w:val="20"/>
              </w:rPr>
              <w:t>1. Fórmula:</w:t>
            </w:r>
          </w:p>
          <w:p w14:paraId="431B949B" w14:textId="77777777" w:rsidR="00A90E9C" w:rsidRPr="008A26D2" w:rsidRDefault="00A90E9C" w:rsidP="00147D2E">
            <w:pPr>
              <w:jc w:val="both"/>
              <w:rPr>
                <w:rFonts w:ascii="Arial" w:eastAsia="Times New Roman" w:hAnsi="Arial" w:cs="Arial"/>
                <w:sz w:val="20"/>
                <w:szCs w:val="20"/>
              </w:rPr>
            </w:pPr>
            <w:r w:rsidRPr="008A26D2">
              <w:rPr>
                <w:rFonts w:ascii="Arial" w:eastAsia="Times New Roman" w:hAnsi="Arial" w:cs="Arial"/>
                <w:sz w:val="20"/>
                <w:szCs w:val="20"/>
              </w:rPr>
              <w:t>NOCTCTFFS</w:t>
            </w:r>
          </w:p>
          <w:p w14:paraId="1420E197" w14:textId="77777777" w:rsidR="00A90E9C" w:rsidRPr="008A26D2" w:rsidRDefault="00A90E9C" w:rsidP="00147D2E">
            <w:pPr>
              <w:jc w:val="both"/>
              <w:rPr>
                <w:rFonts w:ascii="Arial" w:eastAsia="Times New Roman" w:hAnsi="Arial" w:cs="Arial"/>
                <w:sz w:val="20"/>
                <w:szCs w:val="20"/>
              </w:rPr>
            </w:pPr>
            <w:r w:rsidRPr="008A26D2">
              <w:rPr>
                <w:rFonts w:ascii="Arial" w:eastAsia="Times New Roman" w:hAnsi="Arial" w:cs="Arial"/>
                <w:sz w:val="20"/>
                <w:szCs w:val="20"/>
              </w:rPr>
              <w:t>Donde:</w:t>
            </w:r>
          </w:p>
          <w:p w14:paraId="4C7B2B2E" w14:textId="77777777" w:rsidR="00A90E9C" w:rsidRPr="008A26D2" w:rsidRDefault="00A90E9C" w:rsidP="00147D2E">
            <w:pPr>
              <w:jc w:val="both"/>
              <w:rPr>
                <w:rFonts w:ascii="Arial" w:eastAsia="Times New Roman" w:hAnsi="Arial" w:cs="Arial"/>
                <w:sz w:val="20"/>
                <w:szCs w:val="20"/>
              </w:rPr>
            </w:pPr>
            <w:r w:rsidRPr="008A26D2">
              <w:rPr>
                <w:rFonts w:ascii="Arial" w:eastAsia="Times New Roman" w:hAnsi="Arial" w:cs="Arial"/>
                <w:sz w:val="20"/>
                <w:szCs w:val="20"/>
              </w:rPr>
              <w:t xml:space="preserve"> NOCTCTFFS = </w:t>
            </w:r>
            <w:r w:rsidRPr="008A26D2">
              <w:rPr>
                <w:rFonts w:ascii="Arial" w:eastAsia="Arial Narrow" w:hAnsi="Arial" w:cs="Arial"/>
                <w:sz w:val="20"/>
                <w:szCs w:val="20"/>
              </w:rPr>
              <w:t>Número de operativos contra la tala ilegal, caza furtiva y del tráfico ilegal de recursos forestales y de fauna silvestre de forma continua</w:t>
            </w:r>
          </w:p>
          <w:p w14:paraId="2C346EEF" w14:textId="77777777" w:rsidR="00A90E9C" w:rsidRPr="008A26D2" w:rsidRDefault="00A90E9C" w:rsidP="00147D2E">
            <w:pPr>
              <w:jc w:val="both"/>
              <w:rPr>
                <w:rFonts w:ascii="Arial" w:eastAsia="Arial Narrow" w:hAnsi="Arial" w:cs="Arial"/>
                <w:b/>
                <w:sz w:val="20"/>
                <w:szCs w:val="20"/>
              </w:rPr>
            </w:pPr>
            <w:r w:rsidRPr="008A26D2">
              <w:rPr>
                <w:rFonts w:ascii="Arial" w:eastAsia="Arial Narrow" w:hAnsi="Arial" w:cs="Arial"/>
                <w:b/>
                <w:sz w:val="20"/>
                <w:szCs w:val="20"/>
              </w:rPr>
              <w:t>2. Especificaciones técnicas:</w:t>
            </w:r>
          </w:p>
          <w:p w14:paraId="695A8801" w14:textId="71AEECE2" w:rsidR="00432B57" w:rsidRPr="008A26D2" w:rsidRDefault="00432B57" w:rsidP="00432B57">
            <w:pPr>
              <w:spacing w:after="0" w:line="240" w:lineRule="auto"/>
              <w:jc w:val="both"/>
              <w:rPr>
                <w:rFonts w:ascii="Arial" w:eastAsia="Arial Narrow" w:hAnsi="Arial" w:cs="Arial"/>
                <w:sz w:val="20"/>
                <w:szCs w:val="20"/>
              </w:rPr>
            </w:pPr>
            <w:r>
              <w:rPr>
                <w:rFonts w:ascii="Arial" w:eastAsia="Arial Narrow" w:hAnsi="Arial" w:cs="Arial"/>
                <w:sz w:val="20"/>
                <w:szCs w:val="20"/>
              </w:rPr>
              <w:t>La variable NOCTCTFFS se determina a partir de</w:t>
            </w:r>
            <w:r w:rsidR="008E7F3D">
              <w:rPr>
                <w:rFonts w:ascii="Arial" w:eastAsia="Arial Narrow" w:hAnsi="Arial" w:cs="Arial"/>
                <w:sz w:val="20"/>
                <w:szCs w:val="20"/>
              </w:rPr>
              <w:t xml:space="preserve"> </w:t>
            </w:r>
            <w:r>
              <w:rPr>
                <w:rFonts w:ascii="Arial" w:eastAsia="Arial Narrow" w:hAnsi="Arial" w:cs="Arial"/>
                <w:sz w:val="20"/>
                <w:szCs w:val="20"/>
              </w:rPr>
              <w:t>l</w:t>
            </w:r>
            <w:r w:rsidR="008E7F3D">
              <w:rPr>
                <w:rFonts w:ascii="Arial" w:eastAsia="Arial Narrow" w:hAnsi="Arial" w:cs="Arial"/>
                <w:sz w:val="20"/>
                <w:szCs w:val="20"/>
              </w:rPr>
              <w:t>os</w:t>
            </w:r>
            <w:r>
              <w:rPr>
                <w:rFonts w:ascii="Arial" w:eastAsia="Arial Narrow" w:hAnsi="Arial" w:cs="Arial"/>
                <w:sz w:val="20"/>
                <w:szCs w:val="20"/>
              </w:rPr>
              <w:t xml:space="preserve"> </w:t>
            </w:r>
            <w:r w:rsidRPr="008A26D2">
              <w:rPr>
                <w:rFonts w:ascii="Arial" w:eastAsia="Arial Narrow" w:hAnsi="Arial" w:cs="Arial"/>
                <w:sz w:val="20"/>
                <w:szCs w:val="20"/>
              </w:rPr>
              <w:t>operativos</w:t>
            </w:r>
            <w:r w:rsidR="008E7F3D">
              <w:rPr>
                <w:rFonts w:ascii="Arial" w:eastAsia="Arial Narrow" w:hAnsi="Arial" w:cs="Arial"/>
                <w:sz w:val="20"/>
                <w:szCs w:val="20"/>
              </w:rPr>
              <w:t xml:space="preserve"> </w:t>
            </w:r>
            <w:r w:rsidR="008E7F3D" w:rsidRPr="008A26D2">
              <w:rPr>
                <w:rFonts w:ascii="Arial" w:eastAsia="Arial Narrow" w:hAnsi="Arial" w:cs="Arial"/>
                <w:sz w:val="20"/>
                <w:szCs w:val="20"/>
              </w:rPr>
              <w:t>contra la tala ilegal, caza furtiva y del tráfico ilegal de recursos forestales y de fauna silvestre</w:t>
            </w:r>
            <w:r w:rsidRPr="008A26D2">
              <w:rPr>
                <w:rFonts w:ascii="Arial" w:eastAsia="Arial Narrow" w:hAnsi="Arial" w:cs="Arial"/>
                <w:sz w:val="20"/>
                <w:szCs w:val="20"/>
              </w:rPr>
              <w:t xml:space="preserve"> realiza</w:t>
            </w:r>
            <w:r>
              <w:rPr>
                <w:rFonts w:ascii="Arial" w:eastAsia="Arial Narrow" w:hAnsi="Arial" w:cs="Arial"/>
                <w:sz w:val="20"/>
                <w:szCs w:val="20"/>
              </w:rPr>
              <w:t>dos</w:t>
            </w:r>
            <w:r w:rsidRPr="008A26D2">
              <w:rPr>
                <w:rFonts w:ascii="Arial" w:eastAsia="Arial Narrow" w:hAnsi="Arial" w:cs="Arial"/>
                <w:sz w:val="20"/>
                <w:szCs w:val="20"/>
              </w:rPr>
              <w:t xml:space="preserve"> en la misma o mayor cantidad </w:t>
            </w:r>
            <w:r w:rsidR="008E7F3D">
              <w:rPr>
                <w:rFonts w:ascii="Arial" w:eastAsia="Arial Narrow" w:hAnsi="Arial" w:cs="Arial"/>
                <w:sz w:val="20"/>
                <w:szCs w:val="20"/>
              </w:rPr>
              <w:t>respecto d</w:t>
            </w:r>
            <w:r w:rsidRPr="008A26D2">
              <w:rPr>
                <w:rFonts w:ascii="Arial" w:eastAsia="Arial Narrow" w:hAnsi="Arial" w:cs="Arial"/>
                <w:sz w:val="20"/>
                <w:szCs w:val="20"/>
              </w:rPr>
              <w:t>el año anterior</w:t>
            </w:r>
            <w:r w:rsidR="005779DE">
              <w:rPr>
                <w:rFonts w:ascii="Arial" w:eastAsia="Arial Narrow" w:hAnsi="Arial" w:cs="Arial"/>
                <w:sz w:val="20"/>
                <w:szCs w:val="20"/>
              </w:rPr>
              <w:t>, debiendo realizar al menos 1 operativo al mes</w:t>
            </w:r>
            <w:r w:rsidRPr="008A26D2">
              <w:rPr>
                <w:rFonts w:ascii="Arial" w:eastAsia="Arial Narrow" w:hAnsi="Arial" w:cs="Arial"/>
                <w:sz w:val="20"/>
                <w:szCs w:val="20"/>
              </w:rPr>
              <w:t>.</w:t>
            </w:r>
          </w:p>
          <w:p w14:paraId="232FFD2D" w14:textId="77777777" w:rsidR="00432B57" w:rsidRDefault="00432B57" w:rsidP="00147D2E">
            <w:pPr>
              <w:spacing w:after="0" w:line="240" w:lineRule="auto"/>
              <w:jc w:val="both"/>
              <w:rPr>
                <w:rFonts w:ascii="Arial" w:eastAsia="Arial Narrow" w:hAnsi="Arial" w:cs="Arial"/>
                <w:sz w:val="20"/>
                <w:szCs w:val="20"/>
              </w:rPr>
            </w:pPr>
          </w:p>
          <w:p w14:paraId="50A8E678" w14:textId="4CC724AA" w:rsidR="00A90E9C" w:rsidRPr="008A26D2" w:rsidRDefault="00A90E9C" w:rsidP="00147D2E">
            <w:pPr>
              <w:spacing w:after="0" w:line="240" w:lineRule="auto"/>
              <w:jc w:val="both"/>
              <w:rPr>
                <w:rFonts w:ascii="Arial" w:hAnsi="Arial" w:cs="Arial"/>
                <w:strike/>
                <w:sz w:val="20"/>
                <w:szCs w:val="20"/>
              </w:rPr>
            </w:pPr>
            <w:r w:rsidRPr="008A26D2">
              <w:rPr>
                <w:rFonts w:ascii="Arial" w:eastAsia="Arial Narrow" w:hAnsi="Arial" w:cs="Arial"/>
                <w:sz w:val="20"/>
                <w:szCs w:val="20"/>
              </w:rPr>
              <w:t xml:space="preserve">Se incluyen a los operativos realizados por las Administraciones Técnicas Forestales y de Fauna Silvestre las cuales son oficinas desconcentradas del </w:t>
            </w:r>
            <w:r w:rsidR="00FF3185">
              <w:rPr>
                <w:rFonts w:ascii="Arial" w:eastAsia="Arial Narrow" w:hAnsi="Arial" w:cs="Arial"/>
                <w:sz w:val="20"/>
                <w:szCs w:val="20"/>
              </w:rPr>
              <w:t xml:space="preserve">Servicio Nacional Forestal y de Fauna Silvestre - </w:t>
            </w:r>
            <w:r w:rsidR="00394EE8" w:rsidRPr="008A26D2">
              <w:rPr>
                <w:rFonts w:ascii="Arial" w:eastAsia="Arial Narrow" w:hAnsi="Arial" w:cs="Arial"/>
                <w:sz w:val="20"/>
                <w:szCs w:val="20"/>
              </w:rPr>
              <w:t>SERFOR.</w:t>
            </w:r>
          </w:p>
        </w:tc>
      </w:tr>
      <w:tr w:rsidR="008A26D2" w:rsidRPr="008A26D2" w14:paraId="6C9D192C" w14:textId="77777777" w:rsidTr="00086DE5">
        <w:trPr>
          <w:trHeight w:val="686"/>
        </w:trPr>
        <w:tc>
          <w:tcPr>
            <w:tcW w:w="2141" w:type="dxa"/>
            <w:gridSpan w:val="2"/>
            <w:shd w:val="clear" w:color="auto" w:fill="auto"/>
            <w:tcMar>
              <w:top w:w="10" w:type="dxa"/>
              <w:left w:w="93" w:type="dxa"/>
              <w:bottom w:w="0" w:type="dxa"/>
              <w:right w:w="10" w:type="dxa"/>
            </w:tcMar>
            <w:vAlign w:val="center"/>
          </w:tcPr>
          <w:p w14:paraId="2C5328BA" w14:textId="77777777" w:rsidR="00A90E9C" w:rsidRPr="008A26D2" w:rsidRDefault="00A90E9C" w:rsidP="0072651A">
            <w:pPr>
              <w:rPr>
                <w:rFonts w:ascii="Arial" w:hAnsi="Arial" w:cs="Arial"/>
                <w:sz w:val="20"/>
                <w:szCs w:val="20"/>
              </w:rPr>
            </w:pPr>
            <w:r w:rsidRPr="008A26D2">
              <w:rPr>
                <w:rFonts w:ascii="Arial" w:hAnsi="Arial" w:cs="Arial"/>
                <w:b/>
                <w:sz w:val="20"/>
                <w:szCs w:val="20"/>
              </w:rPr>
              <w:t>Sentido esperado del indicador:</w:t>
            </w:r>
          </w:p>
        </w:tc>
        <w:tc>
          <w:tcPr>
            <w:tcW w:w="1686" w:type="dxa"/>
            <w:gridSpan w:val="2"/>
            <w:shd w:val="clear" w:color="auto" w:fill="auto"/>
            <w:tcMar>
              <w:top w:w="10" w:type="dxa"/>
              <w:left w:w="283" w:type="dxa"/>
              <w:bottom w:w="0" w:type="dxa"/>
              <w:right w:w="283" w:type="dxa"/>
            </w:tcMar>
            <w:vAlign w:val="center"/>
          </w:tcPr>
          <w:p w14:paraId="0D4E2F21" w14:textId="54A46865" w:rsidR="00A90E9C" w:rsidRPr="008A26D2" w:rsidRDefault="00086DE5" w:rsidP="00147D2E">
            <w:pPr>
              <w:jc w:val="both"/>
              <w:rPr>
                <w:rFonts w:ascii="Arial" w:hAnsi="Arial" w:cs="Arial"/>
                <w:sz w:val="20"/>
                <w:szCs w:val="20"/>
              </w:rPr>
            </w:pPr>
            <w:r w:rsidRPr="008A26D2">
              <w:rPr>
                <w:rFonts w:ascii="Arial" w:eastAsia="Times New Roman" w:hAnsi="Arial" w:cs="Arial"/>
                <w:sz w:val="20"/>
                <w:szCs w:val="20"/>
              </w:rPr>
              <w:t>No determinado</w:t>
            </w:r>
          </w:p>
        </w:tc>
        <w:tc>
          <w:tcPr>
            <w:tcW w:w="3140" w:type="dxa"/>
            <w:gridSpan w:val="4"/>
            <w:shd w:val="clear" w:color="auto" w:fill="auto"/>
            <w:tcMar>
              <w:top w:w="15" w:type="dxa"/>
              <w:left w:w="15" w:type="dxa"/>
              <w:bottom w:w="0" w:type="dxa"/>
              <w:right w:w="15" w:type="dxa"/>
            </w:tcMar>
            <w:vAlign w:val="center"/>
          </w:tcPr>
          <w:p w14:paraId="0B72CA60" w14:textId="77777777" w:rsidR="00A90E9C" w:rsidRPr="008A26D2" w:rsidRDefault="00A90E9C" w:rsidP="00147D2E">
            <w:pPr>
              <w:jc w:val="both"/>
              <w:rPr>
                <w:rFonts w:ascii="Arial" w:hAnsi="Arial" w:cs="Arial"/>
                <w:sz w:val="20"/>
                <w:szCs w:val="20"/>
              </w:rPr>
            </w:pPr>
            <w:r w:rsidRPr="008A26D2">
              <w:rPr>
                <w:rFonts w:ascii="Arial" w:hAnsi="Arial" w:cs="Arial"/>
                <w:b/>
                <w:sz w:val="20"/>
                <w:szCs w:val="20"/>
              </w:rPr>
              <w:t>Tipo de indicador de servicio:</w:t>
            </w:r>
          </w:p>
        </w:tc>
        <w:tc>
          <w:tcPr>
            <w:tcW w:w="1396" w:type="dxa"/>
            <w:gridSpan w:val="3"/>
            <w:shd w:val="clear" w:color="auto" w:fill="auto"/>
            <w:tcMar>
              <w:top w:w="15" w:type="dxa"/>
              <w:left w:w="15" w:type="dxa"/>
              <w:bottom w:w="0" w:type="dxa"/>
              <w:right w:w="15" w:type="dxa"/>
            </w:tcMar>
            <w:vAlign w:val="center"/>
          </w:tcPr>
          <w:p w14:paraId="4DCA7FFE" w14:textId="77777777" w:rsidR="00A90E9C" w:rsidRPr="008A26D2" w:rsidRDefault="00A90E9C" w:rsidP="00147D2E">
            <w:pPr>
              <w:jc w:val="both"/>
              <w:rPr>
                <w:rFonts w:ascii="Arial" w:hAnsi="Arial" w:cs="Arial"/>
                <w:sz w:val="20"/>
                <w:szCs w:val="20"/>
              </w:rPr>
            </w:pPr>
            <w:r w:rsidRPr="008A26D2">
              <w:rPr>
                <w:rFonts w:ascii="Arial" w:eastAsia="Arial Narrow" w:hAnsi="Arial" w:cs="Arial"/>
                <w:sz w:val="20"/>
                <w:szCs w:val="20"/>
              </w:rPr>
              <w:t xml:space="preserve">Calidad – Continuidad </w:t>
            </w:r>
          </w:p>
        </w:tc>
      </w:tr>
      <w:tr w:rsidR="008A26D2" w:rsidRPr="008A26D2" w14:paraId="656575AE" w14:textId="77777777" w:rsidTr="00394EE8">
        <w:trPr>
          <w:trHeight w:val="13"/>
        </w:trPr>
        <w:tc>
          <w:tcPr>
            <w:tcW w:w="2141" w:type="dxa"/>
            <w:gridSpan w:val="2"/>
            <w:shd w:val="clear" w:color="auto" w:fill="auto"/>
            <w:tcMar>
              <w:top w:w="10" w:type="dxa"/>
              <w:left w:w="93" w:type="dxa"/>
              <w:bottom w:w="0" w:type="dxa"/>
              <w:right w:w="10" w:type="dxa"/>
            </w:tcMar>
            <w:vAlign w:val="center"/>
          </w:tcPr>
          <w:p w14:paraId="61DBAE62" w14:textId="77777777" w:rsidR="00A90E9C" w:rsidRPr="008A26D2" w:rsidRDefault="00A90E9C" w:rsidP="0072651A">
            <w:pPr>
              <w:rPr>
                <w:rFonts w:ascii="Arial" w:hAnsi="Arial" w:cs="Arial"/>
                <w:sz w:val="20"/>
                <w:szCs w:val="20"/>
              </w:rPr>
            </w:pPr>
            <w:r w:rsidRPr="008A26D2">
              <w:rPr>
                <w:rFonts w:ascii="Arial" w:hAnsi="Arial" w:cs="Arial"/>
                <w:b/>
                <w:sz w:val="20"/>
                <w:szCs w:val="20"/>
              </w:rPr>
              <w:t>Fuente y base de datos:</w:t>
            </w:r>
          </w:p>
        </w:tc>
        <w:tc>
          <w:tcPr>
            <w:tcW w:w="6222" w:type="dxa"/>
            <w:gridSpan w:val="9"/>
            <w:shd w:val="clear" w:color="auto" w:fill="auto"/>
            <w:tcMar>
              <w:top w:w="51" w:type="dxa"/>
              <w:left w:w="227" w:type="dxa"/>
              <w:bottom w:w="51" w:type="dxa"/>
              <w:right w:w="227" w:type="dxa"/>
            </w:tcMar>
            <w:vAlign w:val="center"/>
          </w:tcPr>
          <w:p w14:paraId="53C20788" w14:textId="06B954D2" w:rsidR="00BE2A56" w:rsidRDefault="00A90E9C" w:rsidP="00147D2E">
            <w:pPr>
              <w:jc w:val="both"/>
              <w:rPr>
                <w:rFonts w:ascii="Arial" w:eastAsia="Times New Roman" w:hAnsi="Arial" w:cs="Arial"/>
                <w:sz w:val="20"/>
                <w:szCs w:val="20"/>
              </w:rPr>
            </w:pPr>
            <w:r w:rsidRPr="008A26D2">
              <w:rPr>
                <w:rFonts w:ascii="Arial" w:eastAsia="Times New Roman" w:hAnsi="Arial" w:cs="Arial"/>
                <w:sz w:val="20"/>
                <w:szCs w:val="20"/>
              </w:rPr>
              <w:t xml:space="preserve">Fuente: Dirección General de Gestión Sostenible del Patrimonio Forestal y de Fauna Silvestre </w:t>
            </w:r>
            <w:r w:rsidR="00FF3185">
              <w:rPr>
                <w:rFonts w:ascii="Arial" w:eastAsia="Times New Roman" w:hAnsi="Arial" w:cs="Arial"/>
                <w:sz w:val="20"/>
                <w:szCs w:val="20"/>
              </w:rPr>
              <w:t xml:space="preserve">- </w:t>
            </w:r>
            <w:r w:rsidRPr="008A26D2">
              <w:rPr>
                <w:rFonts w:ascii="Arial" w:eastAsia="Times New Roman" w:hAnsi="Arial" w:cs="Arial"/>
                <w:sz w:val="20"/>
                <w:szCs w:val="20"/>
              </w:rPr>
              <w:t>DGGSPFFS</w:t>
            </w:r>
            <w:r w:rsidR="00BE2A56">
              <w:rPr>
                <w:rFonts w:ascii="Arial" w:eastAsia="Times New Roman" w:hAnsi="Arial" w:cs="Arial"/>
                <w:sz w:val="20"/>
                <w:szCs w:val="20"/>
              </w:rPr>
              <w:t xml:space="preserve"> del Servicio Nacional Forestal y de Fauna Silvestre.</w:t>
            </w:r>
          </w:p>
          <w:p w14:paraId="43BDDA1D" w14:textId="2465CECC" w:rsidR="00A90E9C" w:rsidRPr="008A26D2" w:rsidRDefault="00A90E9C" w:rsidP="00147D2E">
            <w:pPr>
              <w:jc w:val="both"/>
              <w:rPr>
                <w:rFonts w:ascii="Arial" w:eastAsia="Arial Narrow" w:hAnsi="Arial" w:cs="Arial"/>
                <w:sz w:val="20"/>
                <w:szCs w:val="20"/>
              </w:rPr>
            </w:pPr>
            <w:r w:rsidRPr="008A26D2">
              <w:rPr>
                <w:rFonts w:ascii="Arial" w:eastAsia="Times New Roman" w:hAnsi="Arial" w:cs="Arial"/>
                <w:sz w:val="20"/>
                <w:szCs w:val="20"/>
              </w:rPr>
              <w:t>Base de datos: Reporte de operativos para la detección de actividades ilegales</w:t>
            </w:r>
            <w:r w:rsidR="00BE2A56">
              <w:rPr>
                <w:rFonts w:ascii="Arial" w:eastAsia="Times New Roman" w:hAnsi="Arial" w:cs="Arial"/>
                <w:sz w:val="20"/>
                <w:szCs w:val="20"/>
              </w:rPr>
              <w:t>.</w:t>
            </w:r>
          </w:p>
        </w:tc>
      </w:tr>
      <w:tr w:rsidR="008A26D2" w:rsidRPr="008A26D2" w14:paraId="3C8F9051" w14:textId="77777777" w:rsidTr="00394EE8">
        <w:trPr>
          <w:trHeight w:val="436"/>
        </w:trPr>
        <w:tc>
          <w:tcPr>
            <w:tcW w:w="2141" w:type="dxa"/>
            <w:gridSpan w:val="2"/>
            <w:shd w:val="clear" w:color="auto" w:fill="auto"/>
            <w:tcMar>
              <w:top w:w="10" w:type="dxa"/>
              <w:left w:w="93" w:type="dxa"/>
              <w:bottom w:w="0" w:type="dxa"/>
              <w:right w:w="10" w:type="dxa"/>
            </w:tcMar>
            <w:vAlign w:val="center"/>
          </w:tcPr>
          <w:p w14:paraId="00608AAD" w14:textId="77777777" w:rsidR="00A90E9C" w:rsidRPr="008A26D2" w:rsidRDefault="00A90E9C" w:rsidP="0072651A">
            <w:pPr>
              <w:rPr>
                <w:rFonts w:ascii="Arial" w:hAnsi="Arial" w:cs="Arial"/>
                <w:sz w:val="20"/>
                <w:szCs w:val="20"/>
              </w:rPr>
            </w:pPr>
            <w:r w:rsidRPr="008A26D2">
              <w:rPr>
                <w:rFonts w:ascii="Arial" w:hAnsi="Arial" w:cs="Arial"/>
                <w:b/>
                <w:sz w:val="20"/>
                <w:szCs w:val="20"/>
              </w:rPr>
              <w:t>Supuestos:</w:t>
            </w:r>
          </w:p>
        </w:tc>
        <w:tc>
          <w:tcPr>
            <w:tcW w:w="6222" w:type="dxa"/>
            <w:gridSpan w:val="9"/>
            <w:shd w:val="clear" w:color="auto" w:fill="auto"/>
            <w:tcMar>
              <w:top w:w="51" w:type="dxa"/>
              <w:left w:w="227" w:type="dxa"/>
              <w:bottom w:w="51" w:type="dxa"/>
              <w:right w:w="227" w:type="dxa"/>
            </w:tcMar>
            <w:vAlign w:val="center"/>
          </w:tcPr>
          <w:p w14:paraId="12B4C8FF" w14:textId="5BE23E21" w:rsidR="00A90E9C" w:rsidRPr="008A26D2" w:rsidRDefault="00A90E9C" w:rsidP="00147D2E">
            <w:pPr>
              <w:jc w:val="both"/>
              <w:rPr>
                <w:rFonts w:ascii="Arial" w:eastAsia="Arial Narrow" w:hAnsi="Arial" w:cs="Arial"/>
                <w:sz w:val="20"/>
                <w:szCs w:val="20"/>
              </w:rPr>
            </w:pPr>
            <w:r w:rsidRPr="008A26D2">
              <w:rPr>
                <w:rFonts w:ascii="Arial" w:eastAsia="Arial Narrow" w:hAnsi="Arial" w:cs="Arial"/>
                <w:sz w:val="20"/>
                <w:szCs w:val="20"/>
              </w:rPr>
              <w:t>Se cuenta con el financiamiento adecuado para implementar el servicio y cada uno de los mecanismos propuestos</w:t>
            </w:r>
            <w:r w:rsidR="00C07CFA">
              <w:rPr>
                <w:rFonts w:ascii="Arial" w:eastAsia="Arial Narrow" w:hAnsi="Arial" w:cs="Arial"/>
                <w:sz w:val="20"/>
                <w:szCs w:val="20"/>
              </w:rPr>
              <w:t>.</w:t>
            </w:r>
          </w:p>
        </w:tc>
      </w:tr>
      <w:tr w:rsidR="008A26D2" w:rsidRPr="008A26D2" w14:paraId="345ABFDF" w14:textId="77777777" w:rsidTr="00A258D6">
        <w:trPr>
          <w:trHeight w:val="556"/>
        </w:trPr>
        <w:tc>
          <w:tcPr>
            <w:tcW w:w="1134" w:type="dxa"/>
            <w:shd w:val="clear" w:color="auto" w:fill="auto"/>
            <w:tcMar>
              <w:top w:w="10" w:type="dxa"/>
              <w:left w:w="10" w:type="dxa"/>
              <w:bottom w:w="0" w:type="dxa"/>
              <w:right w:w="10" w:type="dxa"/>
            </w:tcMar>
            <w:vAlign w:val="center"/>
          </w:tcPr>
          <w:p w14:paraId="6AA045AD" w14:textId="77777777" w:rsidR="00A90E9C" w:rsidRPr="008A26D2" w:rsidRDefault="00A90E9C" w:rsidP="0072651A">
            <w:pPr>
              <w:spacing w:after="0" w:line="240" w:lineRule="auto"/>
              <w:rPr>
                <w:rFonts w:ascii="Arial" w:hAnsi="Arial" w:cs="Arial"/>
                <w:sz w:val="20"/>
                <w:szCs w:val="20"/>
              </w:rPr>
            </w:pPr>
            <w:r w:rsidRPr="008A26D2">
              <w:rPr>
                <w:rFonts w:ascii="Arial" w:hAnsi="Arial" w:cs="Arial"/>
                <w:b/>
                <w:sz w:val="20"/>
                <w:szCs w:val="20"/>
              </w:rPr>
              <w:t> </w:t>
            </w:r>
          </w:p>
        </w:tc>
        <w:tc>
          <w:tcPr>
            <w:tcW w:w="1007" w:type="dxa"/>
            <w:shd w:val="clear" w:color="auto" w:fill="auto"/>
            <w:tcMar>
              <w:top w:w="10" w:type="dxa"/>
              <w:left w:w="10" w:type="dxa"/>
              <w:bottom w:w="0" w:type="dxa"/>
              <w:right w:w="10" w:type="dxa"/>
            </w:tcMar>
            <w:vAlign w:val="center"/>
          </w:tcPr>
          <w:p w14:paraId="219DF07D" w14:textId="77777777" w:rsidR="00A90E9C" w:rsidRPr="008A26D2" w:rsidRDefault="00A90E9C" w:rsidP="0072651A">
            <w:pPr>
              <w:spacing w:after="0" w:line="240" w:lineRule="auto"/>
              <w:jc w:val="center"/>
              <w:rPr>
                <w:rFonts w:ascii="Arial" w:hAnsi="Arial" w:cs="Arial"/>
                <w:sz w:val="20"/>
                <w:szCs w:val="20"/>
              </w:rPr>
            </w:pPr>
            <w:r w:rsidRPr="008A26D2">
              <w:rPr>
                <w:rFonts w:ascii="Arial" w:hAnsi="Arial" w:cs="Arial"/>
                <w:b/>
                <w:sz w:val="20"/>
                <w:szCs w:val="20"/>
              </w:rPr>
              <w:t>Línea de base</w:t>
            </w:r>
          </w:p>
        </w:tc>
        <w:tc>
          <w:tcPr>
            <w:tcW w:w="6222" w:type="dxa"/>
            <w:gridSpan w:val="9"/>
            <w:shd w:val="clear" w:color="auto" w:fill="auto"/>
            <w:tcMar>
              <w:top w:w="10" w:type="dxa"/>
              <w:left w:w="10" w:type="dxa"/>
              <w:bottom w:w="0" w:type="dxa"/>
              <w:right w:w="10" w:type="dxa"/>
            </w:tcMar>
            <w:vAlign w:val="center"/>
          </w:tcPr>
          <w:p w14:paraId="431FC1CD" w14:textId="77777777" w:rsidR="00A90E9C" w:rsidRPr="008A26D2" w:rsidRDefault="00A90E9C" w:rsidP="0072651A">
            <w:pPr>
              <w:spacing w:after="0" w:line="240" w:lineRule="auto"/>
              <w:jc w:val="center"/>
              <w:rPr>
                <w:rFonts w:ascii="Arial" w:hAnsi="Arial" w:cs="Arial"/>
                <w:sz w:val="20"/>
                <w:szCs w:val="20"/>
              </w:rPr>
            </w:pPr>
            <w:r w:rsidRPr="008A26D2">
              <w:rPr>
                <w:rFonts w:ascii="Arial" w:hAnsi="Arial" w:cs="Arial"/>
                <w:b/>
                <w:sz w:val="20"/>
                <w:szCs w:val="20"/>
              </w:rPr>
              <w:t xml:space="preserve">Logros esperados </w:t>
            </w:r>
          </w:p>
        </w:tc>
      </w:tr>
      <w:tr w:rsidR="008A26D2" w:rsidRPr="008A26D2" w14:paraId="6332DA5B" w14:textId="77777777" w:rsidTr="00A258D6">
        <w:trPr>
          <w:trHeight w:val="217"/>
        </w:trPr>
        <w:tc>
          <w:tcPr>
            <w:tcW w:w="1134" w:type="dxa"/>
            <w:shd w:val="clear" w:color="auto" w:fill="auto"/>
            <w:tcMar>
              <w:top w:w="10" w:type="dxa"/>
              <w:left w:w="10" w:type="dxa"/>
              <w:bottom w:w="0" w:type="dxa"/>
              <w:right w:w="10" w:type="dxa"/>
            </w:tcMar>
            <w:vAlign w:val="center"/>
          </w:tcPr>
          <w:p w14:paraId="187FA528" w14:textId="77777777" w:rsidR="00A90E9C" w:rsidRPr="008A26D2" w:rsidRDefault="00A90E9C" w:rsidP="0072651A">
            <w:pPr>
              <w:spacing w:after="0" w:line="240" w:lineRule="auto"/>
              <w:jc w:val="center"/>
              <w:rPr>
                <w:rFonts w:ascii="Arial" w:hAnsi="Arial" w:cs="Arial"/>
                <w:sz w:val="20"/>
                <w:szCs w:val="20"/>
              </w:rPr>
            </w:pPr>
            <w:r w:rsidRPr="008A26D2">
              <w:rPr>
                <w:rFonts w:ascii="Arial" w:hAnsi="Arial" w:cs="Arial"/>
                <w:b/>
                <w:sz w:val="20"/>
                <w:szCs w:val="20"/>
              </w:rPr>
              <w:t>Año</w:t>
            </w:r>
          </w:p>
        </w:tc>
        <w:tc>
          <w:tcPr>
            <w:tcW w:w="1007" w:type="dxa"/>
            <w:shd w:val="clear" w:color="auto" w:fill="auto"/>
            <w:tcMar>
              <w:top w:w="10" w:type="dxa"/>
              <w:left w:w="10" w:type="dxa"/>
              <w:bottom w:w="0" w:type="dxa"/>
              <w:right w:w="10" w:type="dxa"/>
            </w:tcMar>
            <w:vAlign w:val="center"/>
          </w:tcPr>
          <w:p w14:paraId="73EFAC85" w14:textId="77777777" w:rsidR="00A90E9C" w:rsidRPr="008A26D2" w:rsidRDefault="00A90E9C" w:rsidP="0072651A">
            <w:pPr>
              <w:spacing w:after="0" w:line="240" w:lineRule="auto"/>
              <w:jc w:val="center"/>
              <w:rPr>
                <w:rFonts w:ascii="Arial" w:hAnsi="Arial" w:cs="Arial"/>
                <w:b/>
                <w:bCs/>
                <w:sz w:val="20"/>
                <w:szCs w:val="20"/>
              </w:rPr>
            </w:pPr>
            <w:r w:rsidRPr="008A26D2">
              <w:rPr>
                <w:rFonts w:ascii="Arial" w:eastAsia="Arial Narrow" w:hAnsi="Arial" w:cs="Arial"/>
                <w:b/>
                <w:bCs/>
                <w:sz w:val="20"/>
                <w:szCs w:val="20"/>
              </w:rPr>
              <w:t>2021</w:t>
            </w:r>
          </w:p>
        </w:tc>
        <w:tc>
          <w:tcPr>
            <w:tcW w:w="836" w:type="dxa"/>
            <w:shd w:val="clear" w:color="auto" w:fill="auto"/>
            <w:tcMar>
              <w:top w:w="10" w:type="dxa"/>
              <w:left w:w="10" w:type="dxa"/>
              <w:bottom w:w="0" w:type="dxa"/>
              <w:right w:w="10" w:type="dxa"/>
            </w:tcMar>
            <w:vAlign w:val="center"/>
          </w:tcPr>
          <w:p w14:paraId="4CBA64F9" w14:textId="77777777" w:rsidR="00A90E9C" w:rsidRPr="008A26D2" w:rsidRDefault="00A90E9C" w:rsidP="0072651A">
            <w:pPr>
              <w:spacing w:after="0" w:line="240" w:lineRule="auto"/>
              <w:jc w:val="center"/>
              <w:rPr>
                <w:rFonts w:ascii="Arial" w:hAnsi="Arial" w:cs="Arial"/>
                <w:b/>
                <w:sz w:val="20"/>
                <w:szCs w:val="20"/>
              </w:rPr>
            </w:pPr>
            <w:r w:rsidRPr="008A26D2">
              <w:rPr>
                <w:rFonts w:ascii="Arial" w:hAnsi="Arial" w:cs="Arial"/>
                <w:b/>
                <w:sz w:val="20"/>
                <w:szCs w:val="20"/>
              </w:rPr>
              <w:t>2023</w:t>
            </w:r>
          </w:p>
        </w:tc>
        <w:tc>
          <w:tcPr>
            <w:tcW w:w="850" w:type="dxa"/>
            <w:shd w:val="clear" w:color="auto" w:fill="auto"/>
            <w:vAlign w:val="center"/>
          </w:tcPr>
          <w:p w14:paraId="25C08BA3" w14:textId="77777777" w:rsidR="00A90E9C" w:rsidRPr="008A26D2" w:rsidRDefault="00A90E9C" w:rsidP="0072651A">
            <w:pPr>
              <w:spacing w:after="0" w:line="240" w:lineRule="auto"/>
              <w:jc w:val="center"/>
              <w:rPr>
                <w:rFonts w:ascii="Arial" w:hAnsi="Arial" w:cs="Arial"/>
                <w:b/>
                <w:sz w:val="20"/>
                <w:szCs w:val="20"/>
              </w:rPr>
            </w:pPr>
            <w:r w:rsidRPr="008A26D2">
              <w:rPr>
                <w:rFonts w:ascii="Arial" w:hAnsi="Arial" w:cs="Arial"/>
                <w:b/>
                <w:sz w:val="20"/>
                <w:szCs w:val="20"/>
              </w:rPr>
              <w:t>2024</w:t>
            </w:r>
          </w:p>
        </w:tc>
        <w:tc>
          <w:tcPr>
            <w:tcW w:w="851" w:type="dxa"/>
            <w:shd w:val="clear" w:color="auto" w:fill="auto"/>
            <w:vAlign w:val="center"/>
          </w:tcPr>
          <w:p w14:paraId="66B9A442" w14:textId="77777777" w:rsidR="00A90E9C" w:rsidRPr="008A26D2" w:rsidRDefault="00A90E9C" w:rsidP="0072651A">
            <w:pPr>
              <w:spacing w:after="0" w:line="240" w:lineRule="auto"/>
              <w:jc w:val="center"/>
              <w:rPr>
                <w:rFonts w:ascii="Arial" w:hAnsi="Arial" w:cs="Arial"/>
                <w:b/>
                <w:sz w:val="20"/>
                <w:szCs w:val="20"/>
              </w:rPr>
            </w:pPr>
            <w:r w:rsidRPr="008A26D2">
              <w:rPr>
                <w:rFonts w:ascii="Arial" w:hAnsi="Arial" w:cs="Arial"/>
                <w:b/>
                <w:sz w:val="20"/>
                <w:szCs w:val="20"/>
              </w:rPr>
              <w:t>2025</w:t>
            </w:r>
          </w:p>
        </w:tc>
        <w:tc>
          <w:tcPr>
            <w:tcW w:w="709" w:type="dxa"/>
            <w:shd w:val="clear" w:color="auto" w:fill="auto"/>
            <w:vAlign w:val="center"/>
          </w:tcPr>
          <w:p w14:paraId="7ADF7315" w14:textId="77777777" w:rsidR="00A90E9C" w:rsidRPr="008A26D2" w:rsidRDefault="00A90E9C" w:rsidP="0072651A">
            <w:pPr>
              <w:spacing w:after="0" w:line="240" w:lineRule="auto"/>
              <w:jc w:val="center"/>
              <w:rPr>
                <w:rFonts w:ascii="Arial" w:hAnsi="Arial" w:cs="Arial"/>
                <w:b/>
                <w:sz w:val="20"/>
                <w:szCs w:val="20"/>
              </w:rPr>
            </w:pPr>
            <w:r w:rsidRPr="008A26D2">
              <w:rPr>
                <w:rFonts w:ascii="Arial" w:hAnsi="Arial" w:cs="Arial"/>
                <w:b/>
                <w:sz w:val="20"/>
                <w:szCs w:val="20"/>
              </w:rPr>
              <w:t>2026</w:t>
            </w:r>
          </w:p>
        </w:tc>
        <w:tc>
          <w:tcPr>
            <w:tcW w:w="850" w:type="dxa"/>
            <w:shd w:val="clear" w:color="auto" w:fill="auto"/>
            <w:vAlign w:val="center"/>
          </w:tcPr>
          <w:p w14:paraId="694ED72D" w14:textId="77777777" w:rsidR="00A90E9C" w:rsidRPr="008A26D2" w:rsidRDefault="00A90E9C" w:rsidP="0072651A">
            <w:pPr>
              <w:spacing w:after="0" w:line="240" w:lineRule="auto"/>
              <w:jc w:val="center"/>
              <w:rPr>
                <w:rFonts w:ascii="Arial" w:hAnsi="Arial" w:cs="Arial"/>
                <w:b/>
                <w:sz w:val="20"/>
                <w:szCs w:val="20"/>
              </w:rPr>
            </w:pPr>
            <w:r w:rsidRPr="008A26D2">
              <w:rPr>
                <w:rFonts w:ascii="Arial" w:hAnsi="Arial" w:cs="Arial"/>
                <w:b/>
                <w:sz w:val="20"/>
                <w:szCs w:val="20"/>
              </w:rPr>
              <w:t>2027</w:t>
            </w:r>
          </w:p>
        </w:tc>
        <w:tc>
          <w:tcPr>
            <w:tcW w:w="851" w:type="dxa"/>
            <w:gridSpan w:val="2"/>
            <w:shd w:val="clear" w:color="auto" w:fill="auto"/>
            <w:vAlign w:val="center"/>
          </w:tcPr>
          <w:p w14:paraId="10A1BE94" w14:textId="77777777" w:rsidR="00A90E9C" w:rsidRPr="008A26D2" w:rsidRDefault="00A90E9C" w:rsidP="0072651A">
            <w:pPr>
              <w:spacing w:after="0" w:line="240" w:lineRule="auto"/>
              <w:jc w:val="center"/>
              <w:rPr>
                <w:rFonts w:ascii="Arial" w:hAnsi="Arial" w:cs="Arial"/>
                <w:b/>
                <w:sz w:val="20"/>
                <w:szCs w:val="20"/>
              </w:rPr>
            </w:pPr>
            <w:r w:rsidRPr="008A26D2">
              <w:rPr>
                <w:rFonts w:ascii="Arial" w:hAnsi="Arial" w:cs="Arial"/>
                <w:b/>
                <w:sz w:val="20"/>
                <w:szCs w:val="20"/>
              </w:rPr>
              <w:t>2028</w:t>
            </w:r>
          </w:p>
        </w:tc>
        <w:tc>
          <w:tcPr>
            <w:tcW w:w="708" w:type="dxa"/>
            <w:shd w:val="clear" w:color="auto" w:fill="auto"/>
            <w:vAlign w:val="center"/>
          </w:tcPr>
          <w:p w14:paraId="2818F674" w14:textId="77777777" w:rsidR="00A90E9C" w:rsidRPr="008A26D2" w:rsidRDefault="00A90E9C" w:rsidP="0072651A">
            <w:pPr>
              <w:spacing w:after="0" w:line="240" w:lineRule="auto"/>
              <w:jc w:val="center"/>
              <w:rPr>
                <w:rFonts w:ascii="Arial" w:hAnsi="Arial" w:cs="Arial"/>
                <w:b/>
                <w:sz w:val="20"/>
                <w:szCs w:val="20"/>
              </w:rPr>
            </w:pPr>
            <w:r w:rsidRPr="008A26D2">
              <w:rPr>
                <w:rFonts w:ascii="Arial" w:hAnsi="Arial" w:cs="Arial"/>
                <w:b/>
                <w:sz w:val="20"/>
                <w:szCs w:val="20"/>
              </w:rPr>
              <w:t>2029</w:t>
            </w:r>
          </w:p>
        </w:tc>
        <w:tc>
          <w:tcPr>
            <w:tcW w:w="567" w:type="dxa"/>
            <w:shd w:val="clear" w:color="auto" w:fill="auto"/>
            <w:tcMar>
              <w:top w:w="10" w:type="dxa"/>
              <w:left w:w="10" w:type="dxa"/>
              <w:bottom w:w="0" w:type="dxa"/>
              <w:right w:w="10" w:type="dxa"/>
            </w:tcMar>
            <w:vAlign w:val="center"/>
          </w:tcPr>
          <w:p w14:paraId="60B38CF1" w14:textId="77777777" w:rsidR="00A90E9C" w:rsidRPr="008A26D2" w:rsidRDefault="00A90E9C" w:rsidP="0072651A">
            <w:pPr>
              <w:spacing w:after="0" w:line="240" w:lineRule="auto"/>
              <w:jc w:val="center"/>
              <w:rPr>
                <w:rFonts w:ascii="Arial" w:hAnsi="Arial" w:cs="Arial"/>
                <w:b/>
                <w:sz w:val="20"/>
                <w:szCs w:val="20"/>
              </w:rPr>
            </w:pPr>
            <w:r w:rsidRPr="008A26D2">
              <w:rPr>
                <w:rFonts w:ascii="Arial" w:hAnsi="Arial" w:cs="Arial"/>
                <w:b/>
                <w:sz w:val="20"/>
                <w:szCs w:val="20"/>
              </w:rPr>
              <w:t>2030</w:t>
            </w:r>
          </w:p>
        </w:tc>
      </w:tr>
      <w:tr w:rsidR="00A90E9C" w:rsidRPr="008A26D2" w14:paraId="4963044F" w14:textId="77777777" w:rsidTr="00A258D6">
        <w:trPr>
          <w:trHeight w:val="81"/>
        </w:trPr>
        <w:tc>
          <w:tcPr>
            <w:tcW w:w="1134" w:type="dxa"/>
            <w:shd w:val="clear" w:color="auto" w:fill="auto"/>
            <w:tcMar>
              <w:top w:w="10" w:type="dxa"/>
              <w:left w:w="10" w:type="dxa"/>
              <w:bottom w:w="0" w:type="dxa"/>
              <w:right w:w="10" w:type="dxa"/>
            </w:tcMar>
            <w:vAlign w:val="center"/>
          </w:tcPr>
          <w:p w14:paraId="30EFC8F9" w14:textId="77777777" w:rsidR="00A90E9C" w:rsidRPr="008A26D2" w:rsidRDefault="00A90E9C" w:rsidP="0072651A">
            <w:pPr>
              <w:spacing w:after="0" w:line="240" w:lineRule="auto"/>
              <w:jc w:val="center"/>
              <w:rPr>
                <w:rFonts w:ascii="Arial" w:hAnsi="Arial" w:cs="Arial"/>
                <w:b/>
                <w:sz w:val="20"/>
                <w:szCs w:val="20"/>
              </w:rPr>
            </w:pPr>
            <w:r w:rsidRPr="008A26D2">
              <w:rPr>
                <w:rFonts w:ascii="Arial" w:hAnsi="Arial" w:cs="Arial"/>
                <w:b/>
                <w:sz w:val="20"/>
                <w:szCs w:val="20"/>
              </w:rPr>
              <w:t>Valor</w:t>
            </w:r>
          </w:p>
        </w:tc>
        <w:tc>
          <w:tcPr>
            <w:tcW w:w="1007" w:type="dxa"/>
            <w:shd w:val="clear" w:color="auto" w:fill="auto"/>
            <w:tcMar>
              <w:top w:w="10" w:type="dxa"/>
              <w:left w:w="10" w:type="dxa"/>
              <w:bottom w:w="0" w:type="dxa"/>
              <w:right w:w="10" w:type="dxa"/>
            </w:tcMar>
            <w:vAlign w:val="center"/>
          </w:tcPr>
          <w:p w14:paraId="79FDD238" w14:textId="77777777" w:rsidR="00A90E9C" w:rsidRPr="008A26D2" w:rsidRDefault="00A90E9C" w:rsidP="0072651A">
            <w:pPr>
              <w:spacing w:after="0" w:line="240" w:lineRule="auto"/>
              <w:jc w:val="center"/>
              <w:rPr>
                <w:rFonts w:ascii="Arial" w:hAnsi="Arial" w:cs="Arial"/>
                <w:sz w:val="20"/>
                <w:szCs w:val="20"/>
              </w:rPr>
            </w:pPr>
            <w:r w:rsidRPr="008A26D2">
              <w:rPr>
                <w:rFonts w:ascii="Arial" w:hAnsi="Arial" w:cs="Arial"/>
                <w:sz w:val="20"/>
                <w:szCs w:val="20"/>
              </w:rPr>
              <w:t>20</w:t>
            </w:r>
          </w:p>
        </w:tc>
        <w:tc>
          <w:tcPr>
            <w:tcW w:w="836" w:type="dxa"/>
            <w:shd w:val="clear" w:color="auto" w:fill="auto"/>
            <w:tcMar>
              <w:top w:w="10" w:type="dxa"/>
              <w:left w:w="10" w:type="dxa"/>
              <w:bottom w:w="0" w:type="dxa"/>
              <w:right w:w="10" w:type="dxa"/>
            </w:tcMar>
            <w:vAlign w:val="bottom"/>
          </w:tcPr>
          <w:p w14:paraId="19769F6A" w14:textId="77777777" w:rsidR="00A90E9C" w:rsidRPr="008A26D2" w:rsidRDefault="00A90E9C" w:rsidP="0072651A">
            <w:pPr>
              <w:spacing w:after="0" w:line="240" w:lineRule="auto"/>
              <w:jc w:val="center"/>
              <w:rPr>
                <w:rFonts w:ascii="Arial" w:hAnsi="Arial" w:cs="Arial"/>
                <w:sz w:val="20"/>
                <w:szCs w:val="20"/>
              </w:rPr>
            </w:pPr>
            <w:r w:rsidRPr="008A26D2">
              <w:rPr>
                <w:rFonts w:ascii="Arial" w:hAnsi="Arial" w:cs="Arial"/>
                <w:sz w:val="20"/>
                <w:szCs w:val="20"/>
              </w:rPr>
              <w:t>20</w:t>
            </w:r>
          </w:p>
        </w:tc>
        <w:tc>
          <w:tcPr>
            <w:tcW w:w="850" w:type="dxa"/>
            <w:shd w:val="clear" w:color="auto" w:fill="auto"/>
            <w:vAlign w:val="bottom"/>
          </w:tcPr>
          <w:p w14:paraId="76CE5CBA" w14:textId="77777777" w:rsidR="00A90E9C" w:rsidRPr="008A26D2" w:rsidRDefault="00A90E9C" w:rsidP="0072651A">
            <w:pPr>
              <w:spacing w:after="0" w:line="240" w:lineRule="auto"/>
              <w:jc w:val="center"/>
              <w:rPr>
                <w:rFonts w:ascii="Arial" w:hAnsi="Arial" w:cs="Arial"/>
                <w:sz w:val="20"/>
                <w:szCs w:val="20"/>
              </w:rPr>
            </w:pPr>
            <w:r w:rsidRPr="008A26D2">
              <w:rPr>
                <w:rFonts w:ascii="Arial" w:hAnsi="Arial" w:cs="Arial"/>
                <w:sz w:val="20"/>
                <w:szCs w:val="20"/>
              </w:rPr>
              <w:t>20</w:t>
            </w:r>
          </w:p>
        </w:tc>
        <w:tc>
          <w:tcPr>
            <w:tcW w:w="851" w:type="dxa"/>
            <w:shd w:val="clear" w:color="auto" w:fill="auto"/>
            <w:vAlign w:val="bottom"/>
          </w:tcPr>
          <w:p w14:paraId="65C846C0" w14:textId="77777777" w:rsidR="00A90E9C" w:rsidRPr="008A26D2" w:rsidRDefault="00A90E9C" w:rsidP="0072651A">
            <w:pPr>
              <w:spacing w:after="0" w:line="240" w:lineRule="auto"/>
              <w:jc w:val="center"/>
              <w:rPr>
                <w:rFonts w:ascii="Arial" w:hAnsi="Arial" w:cs="Arial"/>
                <w:sz w:val="20"/>
                <w:szCs w:val="20"/>
              </w:rPr>
            </w:pPr>
            <w:r w:rsidRPr="008A26D2">
              <w:rPr>
                <w:rFonts w:ascii="Arial" w:hAnsi="Arial" w:cs="Arial"/>
                <w:sz w:val="20"/>
                <w:szCs w:val="20"/>
              </w:rPr>
              <w:t>20</w:t>
            </w:r>
          </w:p>
        </w:tc>
        <w:tc>
          <w:tcPr>
            <w:tcW w:w="709" w:type="dxa"/>
            <w:shd w:val="clear" w:color="auto" w:fill="auto"/>
            <w:vAlign w:val="bottom"/>
          </w:tcPr>
          <w:p w14:paraId="4F4F2544" w14:textId="77777777" w:rsidR="00A90E9C" w:rsidRPr="008A26D2" w:rsidRDefault="00A90E9C" w:rsidP="0072651A">
            <w:pPr>
              <w:spacing w:after="0" w:line="240" w:lineRule="auto"/>
              <w:jc w:val="center"/>
              <w:rPr>
                <w:rFonts w:ascii="Arial" w:hAnsi="Arial" w:cs="Arial"/>
                <w:sz w:val="20"/>
                <w:szCs w:val="20"/>
              </w:rPr>
            </w:pPr>
            <w:r w:rsidRPr="008A26D2">
              <w:rPr>
                <w:rFonts w:ascii="Arial" w:hAnsi="Arial" w:cs="Arial"/>
                <w:sz w:val="20"/>
                <w:szCs w:val="20"/>
              </w:rPr>
              <w:t>20</w:t>
            </w:r>
          </w:p>
        </w:tc>
        <w:tc>
          <w:tcPr>
            <w:tcW w:w="850" w:type="dxa"/>
            <w:shd w:val="clear" w:color="auto" w:fill="auto"/>
            <w:vAlign w:val="bottom"/>
          </w:tcPr>
          <w:p w14:paraId="2A5582A9" w14:textId="77777777" w:rsidR="00A90E9C" w:rsidRPr="008A26D2" w:rsidRDefault="00A90E9C" w:rsidP="0072651A">
            <w:pPr>
              <w:spacing w:after="0" w:line="240" w:lineRule="auto"/>
              <w:jc w:val="center"/>
              <w:rPr>
                <w:rFonts w:ascii="Arial" w:hAnsi="Arial" w:cs="Arial"/>
                <w:sz w:val="20"/>
                <w:szCs w:val="20"/>
              </w:rPr>
            </w:pPr>
            <w:r w:rsidRPr="008A26D2">
              <w:rPr>
                <w:rFonts w:ascii="Arial" w:hAnsi="Arial" w:cs="Arial"/>
                <w:sz w:val="20"/>
                <w:szCs w:val="20"/>
              </w:rPr>
              <w:t>20</w:t>
            </w:r>
          </w:p>
        </w:tc>
        <w:tc>
          <w:tcPr>
            <w:tcW w:w="851" w:type="dxa"/>
            <w:gridSpan w:val="2"/>
            <w:shd w:val="clear" w:color="auto" w:fill="auto"/>
            <w:vAlign w:val="bottom"/>
          </w:tcPr>
          <w:p w14:paraId="2D8268E2" w14:textId="77777777" w:rsidR="00A90E9C" w:rsidRPr="008A26D2" w:rsidRDefault="00A90E9C" w:rsidP="0072651A">
            <w:pPr>
              <w:spacing w:after="0" w:line="240" w:lineRule="auto"/>
              <w:jc w:val="center"/>
              <w:rPr>
                <w:rFonts w:ascii="Arial" w:hAnsi="Arial" w:cs="Arial"/>
                <w:sz w:val="20"/>
                <w:szCs w:val="20"/>
              </w:rPr>
            </w:pPr>
            <w:r w:rsidRPr="008A26D2">
              <w:rPr>
                <w:rFonts w:ascii="Arial" w:hAnsi="Arial" w:cs="Arial"/>
                <w:sz w:val="20"/>
                <w:szCs w:val="20"/>
              </w:rPr>
              <w:t>20</w:t>
            </w:r>
          </w:p>
        </w:tc>
        <w:tc>
          <w:tcPr>
            <w:tcW w:w="708" w:type="dxa"/>
            <w:shd w:val="clear" w:color="auto" w:fill="auto"/>
            <w:vAlign w:val="bottom"/>
          </w:tcPr>
          <w:p w14:paraId="7EFE779F" w14:textId="77777777" w:rsidR="00A90E9C" w:rsidRPr="008A26D2" w:rsidRDefault="00A90E9C" w:rsidP="0072651A">
            <w:pPr>
              <w:spacing w:after="0" w:line="240" w:lineRule="auto"/>
              <w:jc w:val="center"/>
              <w:rPr>
                <w:rFonts w:ascii="Arial" w:hAnsi="Arial" w:cs="Arial"/>
                <w:sz w:val="20"/>
                <w:szCs w:val="20"/>
              </w:rPr>
            </w:pPr>
            <w:r w:rsidRPr="008A26D2">
              <w:rPr>
                <w:rFonts w:ascii="Arial" w:hAnsi="Arial" w:cs="Arial"/>
                <w:sz w:val="20"/>
                <w:szCs w:val="20"/>
              </w:rPr>
              <w:t>20</w:t>
            </w:r>
          </w:p>
        </w:tc>
        <w:tc>
          <w:tcPr>
            <w:tcW w:w="567" w:type="dxa"/>
            <w:shd w:val="clear" w:color="auto" w:fill="auto"/>
            <w:tcMar>
              <w:top w:w="10" w:type="dxa"/>
              <w:left w:w="10" w:type="dxa"/>
              <w:bottom w:w="0" w:type="dxa"/>
              <w:right w:w="10" w:type="dxa"/>
            </w:tcMar>
            <w:vAlign w:val="bottom"/>
          </w:tcPr>
          <w:p w14:paraId="03400095" w14:textId="77777777" w:rsidR="00A90E9C" w:rsidRPr="008A26D2" w:rsidRDefault="00A90E9C" w:rsidP="0072651A">
            <w:pPr>
              <w:spacing w:after="0" w:line="240" w:lineRule="auto"/>
              <w:jc w:val="center"/>
              <w:rPr>
                <w:rFonts w:ascii="Arial" w:hAnsi="Arial" w:cs="Arial"/>
                <w:sz w:val="20"/>
                <w:szCs w:val="20"/>
              </w:rPr>
            </w:pPr>
            <w:r w:rsidRPr="008A26D2">
              <w:rPr>
                <w:rFonts w:ascii="Arial" w:hAnsi="Arial" w:cs="Arial"/>
                <w:sz w:val="20"/>
                <w:szCs w:val="20"/>
              </w:rPr>
              <w:t>20</w:t>
            </w:r>
          </w:p>
        </w:tc>
      </w:tr>
    </w:tbl>
    <w:p w14:paraId="76A91CAC" w14:textId="77777777" w:rsidR="00A90E9C" w:rsidRDefault="00A90E9C" w:rsidP="00A90E9C"/>
    <w:p w14:paraId="4F4AA871" w14:textId="77777777" w:rsidR="007C046C" w:rsidRPr="008A26D2" w:rsidRDefault="007C046C" w:rsidP="00A90E9C"/>
    <w:tbl>
      <w:tblPr>
        <w:tblW w:w="864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
        <w:gridCol w:w="1136"/>
        <w:gridCol w:w="708"/>
        <w:gridCol w:w="18"/>
        <w:gridCol w:w="1116"/>
        <w:gridCol w:w="567"/>
        <w:gridCol w:w="284"/>
        <w:gridCol w:w="992"/>
        <w:gridCol w:w="851"/>
        <w:gridCol w:w="723"/>
        <w:gridCol w:w="127"/>
        <w:gridCol w:w="851"/>
        <w:gridCol w:w="708"/>
      </w:tblGrid>
      <w:tr w:rsidR="007C046C" w:rsidRPr="00007C5C" w14:paraId="0E9EC9A4" w14:textId="77777777" w:rsidTr="007C046C">
        <w:trPr>
          <w:trHeight w:val="397"/>
          <w:tblHeader/>
        </w:trPr>
        <w:tc>
          <w:tcPr>
            <w:tcW w:w="8647" w:type="dxa"/>
            <w:gridSpan w:val="13"/>
            <w:shd w:val="clear" w:color="auto" w:fill="D9D9D9" w:themeFill="background1" w:themeFillShade="D9"/>
            <w:tcMar>
              <w:top w:w="10" w:type="dxa"/>
              <w:left w:w="10" w:type="dxa"/>
              <w:bottom w:w="0" w:type="dxa"/>
              <w:right w:w="10" w:type="dxa"/>
            </w:tcMar>
            <w:vAlign w:val="center"/>
          </w:tcPr>
          <w:p w14:paraId="585D4EA4" w14:textId="4D8F33DB" w:rsidR="007C046C" w:rsidRPr="00007C5C" w:rsidRDefault="007C046C" w:rsidP="00160C8B">
            <w:pPr>
              <w:spacing w:after="0"/>
              <w:jc w:val="center"/>
              <w:rPr>
                <w:rFonts w:ascii="Arial" w:hAnsi="Arial" w:cs="Arial"/>
                <w:sz w:val="20"/>
                <w:szCs w:val="20"/>
              </w:rPr>
            </w:pPr>
            <w:r w:rsidRPr="00007C5C">
              <w:rPr>
                <w:rFonts w:ascii="Arial" w:hAnsi="Arial" w:cs="Arial"/>
                <w:sz w:val="20"/>
                <w:szCs w:val="20"/>
              </w:rPr>
              <w:br w:type="page"/>
            </w:r>
            <w:r w:rsidRPr="00007C5C">
              <w:rPr>
                <w:rFonts w:ascii="Arial" w:hAnsi="Arial" w:cs="Arial"/>
                <w:b/>
                <w:sz w:val="20"/>
                <w:szCs w:val="20"/>
              </w:rPr>
              <w:t>FICHA TÉCNICA DE INDICADOR DE SERVICIO</w:t>
            </w:r>
            <w:r>
              <w:rPr>
                <w:rFonts w:ascii="Arial" w:hAnsi="Arial" w:cs="Arial"/>
                <w:b/>
                <w:sz w:val="20"/>
                <w:szCs w:val="20"/>
              </w:rPr>
              <w:t xml:space="preserve"> 1.9.6</w:t>
            </w:r>
          </w:p>
        </w:tc>
      </w:tr>
      <w:tr w:rsidR="007C046C" w:rsidRPr="00007C5C" w14:paraId="4EE1A585" w14:textId="77777777" w:rsidTr="007C046C">
        <w:trPr>
          <w:trHeight w:val="409"/>
        </w:trPr>
        <w:tc>
          <w:tcPr>
            <w:tcW w:w="2428" w:type="dxa"/>
            <w:gridSpan w:val="4"/>
            <w:shd w:val="clear" w:color="auto" w:fill="FFFFFF"/>
            <w:tcMar>
              <w:top w:w="10" w:type="dxa"/>
              <w:left w:w="93" w:type="dxa"/>
              <w:bottom w:w="0" w:type="dxa"/>
              <w:right w:w="10" w:type="dxa"/>
            </w:tcMar>
            <w:vAlign w:val="center"/>
          </w:tcPr>
          <w:p w14:paraId="7CAA46CE" w14:textId="77777777" w:rsidR="007C046C" w:rsidRPr="00007C5C" w:rsidRDefault="007C046C" w:rsidP="00160C8B">
            <w:pPr>
              <w:spacing w:after="0"/>
              <w:rPr>
                <w:rFonts w:ascii="Arial" w:hAnsi="Arial" w:cs="Arial"/>
                <w:sz w:val="20"/>
                <w:szCs w:val="20"/>
              </w:rPr>
            </w:pPr>
            <w:r w:rsidRPr="00007C5C">
              <w:rPr>
                <w:rFonts w:ascii="Arial" w:hAnsi="Arial" w:cs="Arial"/>
                <w:b/>
                <w:sz w:val="20"/>
                <w:szCs w:val="20"/>
              </w:rPr>
              <w:t>Objetivo prioritario:</w:t>
            </w:r>
          </w:p>
        </w:tc>
        <w:tc>
          <w:tcPr>
            <w:tcW w:w="6219" w:type="dxa"/>
            <w:gridSpan w:val="9"/>
            <w:shd w:val="clear" w:color="auto" w:fill="FFFFFF"/>
            <w:tcMar>
              <w:top w:w="51" w:type="dxa"/>
              <w:left w:w="227" w:type="dxa"/>
              <w:bottom w:w="51" w:type="dxa"/>
              <w:right w:w="227" w:type="dxa"/>
            </w:tcMar>
            <w:vAlign w:val="center"/>
          </w:tcPr>
          <w:p w14:paraId="2B6B4FD0" w14:textId="77777777" w:rsidR="007C046C" w:rsidRPr="00007C5C" w:rsidRDefault="007C046C" w:rsidP="00160C8B">
            <w:pPr>
              <w:spacing w:after="0" w:line="240" w:lineRule="auto"/>
              <w:jc w:val="both"/>
              <w:rPr>
                <w:rFonts w:ascii="Arial" w:hAnsi="Arial" w:cs="Arial"/>
                <w:sz w:val="20"/>
                <w:szCs w:val="20"/>
              </w:rPr>
            </w:pPr>
            <w:r w:rsidRPr="00007C5C">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r>
      <w:tr w:rsidR="007C046C" w:rsidRPr="00007C5C" w14:paraId="4A6C5A84" w14:textId="77777777" w:rsidTr="007C046C">
        <w:trPr>
          <w:trHeight w:val="436"/>
        </w:trPr>
        <w:tc>
          <w:tcPr>
            <w:tcW w:w="2428" w:type="dxa"/>
            <w:gridSpan w:val="4"/>
            <w:shd w:val="clear" w:color="auto" w:fill="auto"/>
            <w:tcMar>
              <w:top w:w="10" w:type="dxa"/>
              <w:left w:w="93" w:type="dxa"/>
              <w:bottom w:w="0" w:type="dxa"/>
              <w:right w:w="10" w:type="dxa"/>
            </w:tcMar>
            <w:vAlign w:val="center"/>
          </w:tcPr>
          <w:p w14:paraId="4197B9AE" w14:textId="77777777" w:rsidR="007C046C" w:rsidRPr="00007C5C" w:rsidRDefault="007C046C" w:rsidP="00160C8B">
            <w:pPr>
              <w:spacing w:after="0"/>
              <w:rPr>
                <w:rFonts w:ascii="Arial" w:hAnsi="Arial" w:cs="Arial"/>
                <w:sz w:val="20"/>
                <w:szCs w:val="20"/>
              </w:rPr>
            </w:pPr>
            <w:r w:rsidRPr="00007C5C">
              <w:rPr>
                <w:rFonts w:ascii="Arial" w:hAnsi="Arial" w:cs="Arial"/>
                <w:b/>
                <w:sz w:val="20"/>
                <w:szCs w:val="20"/>
              </w:rPr>
              <w:t>Lineamiento de la política:</w:t>
            </w:r>
          </w:p>
        </w:tc>
        <w:tc>
          <w:tcPr>
            <w:tcW w:w="6219" w:type="dxa"/>
            <w:gridSpan w:val="9"/>
            <w:shd w:val="clear" w:color="auto" w:fill="auto"/>
            <w:tcMar>
              <w:top w:w="51" w:type="dxa"/>
              <w:left w:w="227" w:type="dxa"/>
              <w:bottom w:w="51" w:type="dxa"/>
              <w:right w:w="227" w:type="dxa"/>
            </w:tcMar>
            <w:vAlign w:val="center"/>
          </w:tcPr>
          <w:p w14:paraId="74BB244B" w14:textId="77777777" w:rsidR="007C046C" w:rsidRPr="0072013F" w:rsidRDefault="007C046C" w:rsidP="00160C8B">
            <w:pPr>
              <w:spacing w:after="0" w:line="240" w:lineRule="auto"/>
              <w:jc w:val="both"/>
              <w:rPr>
                <w:rFonts w:ascii="Arial" w:hAnsi="Arial" w:cs="Arial"/>
                <w:sz w:val="20"/>
                <w:szCs w:val="20"/>
              </w:rPr>
            </w:pPr>
            <w:r w:rsidRPr="0072013F">
              <w:rPr>
                <w:rFonts w:ascii="Arial" w:eastAsia="Arial Narrow" w:hAnsi="Arial" w:cs="Arial"/>
                <w:sz w:val="20"/>
                <w:szCs w:val="20"/>
              </w:rPr>
              <w:t xml:space="preserve">L1.9 </w:t>
            </w:r>
            <w:r w:rsidRPr="0072013F">
              <w:rPr>
                <w:rFonts w:ascii="Arial" w:eastAsia="Times New Roman" w:hAnsi="Arial" w:cs="Arial"/>
                <w:sz w:val="20"/>
                <w:szCs w:val="20"/>
              </w:rPr>
              <w:t>Reducir los niveles de tala ilegal, caza furtiva y del tráfico ilegal forestal y de fauna silvestre.</w:t>
            </w:r>
          </w:p>
        </w:tc>
      </w:tr>
      <w:tr w:rsidR="007C046C" w:rsidRPr="00007C5C" w14:paraId="7EC79361" w14:textId="77777777" w:rsidTr="007C046C">
        <w:trPr>
          <w:trHeight w:val="404"/>
        </w:trPr>
        <w:tc>
          <w:tcPr>
            <w:tcW w:w="2428" w:type="dxa"/>
            <w:gridSpan w:val="4"/>
            <w:shd w:val="clear" w:color="auto" w:fill="auto"/>
            <w:tcMar>
              <w:top w:w="10" w:type="dxa"/>
              <w:left w:w="93" w:type="dxa"/>
              <w:bottom w:w="0" w:type="dxa"/>
              <w:right w:w="10" w:type="dxa"/>
            </w:tcMar>
            <w:vAlign w:val="center"/>
          </w:tcPr>
          <w:p w14:paraId="39D94ACD" w14:textId="77777777" w:rsidR="007C046C" w:rsidRPr="00007C5C" w:rsidRDefault="007C046C" w:rsidP="00160C8B">
            <w:pPr>
              <w:spacing w:after="0"/>
              <w:rPr>
                <w:rFonts w:ascii="Arial" w:hAnsi="Arial" w:cs="Arial"/>
                <w:sz w:val="20"/>
                <w:szCs w:val="20"/>
              </w:rPr>
            </w:pPr>
            <w:r w:rsidRPr="00007C5C">
              <w:rPr>
                <w:rFonts w:ascii="Arial" w:hAnsi="Arial" w:cs="Arial"/>
                <w:b/>
                <w:sz w:val="20"/>
                <w:szCs w:val="20"/>
              </w:rPr>
              <w:t>Nombre del servicio:</w:t>
            </w:r>
          </w:p>
        </w:tc>
        <w:tc>
          <w:tcPr>
            <w:tcW w:w="6219" w:type="dxa"/>
            <w:gridSpan w:val="9"/>
            <w:shd w:val="clear" w:color="auto" w:fill="auto"/>
            <w:tcMar>
              <w:top w:w="51" w:type="dxa"/>
              <w:left w:w="227" w:type="dxa"/>
              <w:bottom w:w="51" w:type="dxa"/>
              <w:right w:w="227" w:type="dxa"/>
            </w:tcMar>
            <w:vAlign w:val="center"/>
          </w:tcPr>
          <w:p w14:paraId="601773EF" w14:textId="77777777" w:rsidR="007C046C" w:rsidRPr="00007C5C" w:rsidRDefault="007C046C" w:rsidP="00160C8B">
            <w:pPr>
              <w:spacing w:after="0" w:line="240" w:lineRule="auto"/>
              <w:jc w:val="both"/>
              <w:rPr>
                <w:rFonts w:ascii="Arial" w:hAnsi="Arial" w:cs="Arial"/>
                <w:sz w:val="20"/>
                <w:szCs w:val="20"/>
              </w:rPr>
            </w:pPr>
            <w:r>
              <w:rPr>
                <w:rFonts w:ascii="Arial" w:eastAsia="Times New Roman" w:hAnsi="Arial" w:cs="Arial"/>
                <w:sz w:val="20"/>
                <w:szCs w:val="20"/>
              </w:rPr>
              <w:t xml:space="preserve">S1.9.6 </w:t>
            </w:r>
            <w:r w:rsidRPr="00007C5C">
              <w:rPr>
                <w:rFonts w:ascii="Arial" w:eastAsia="Times New Roman" w:hAnsi="Arial" w:cs="Arial"/>
                <w:sz w:val="20"/>
                <w:szCs w:val="20"/>
              </w:rPr>
              <w:t>Fiscalización del cumplimiento de las obligaciones para la gestión forestal de manera oportuna a</w:t>
            </w:r>
            <w:r>
              <w:rPr>
                <w:rFonts w:ascii="Arial" w:eastAsia="Times New Roman" w:hAnsi="Arial" w:cs="Arial"/>
                <w:sz w:val="20"/>
                <w:szCs w:val="20"/>
              </w:rPr>
              <w:t xml:space="preserve"> titulares de</w:t>
            </w:r>
            <w:r w:rsidRPr="00007C5C">
              <w:rPr>
                <w:rFonts w:ascii="Arial" w:eastAsia="Times New Roman" w:hAnsi="Arial" w:cs="Arial"/>
                <w:sz w:val="20"/>
                <w:szCs w:val="20"/>
              </w:rPr>
              <w:t xml:space="preserve"> títulos habilitantes.</w:t>
            </w:r>
          </w:p>
        </w:tc>
      </w:tr>
      <w:tr w:rsidR="007C046C" w:rsidRPr="00007C5C" w14:paraId="14223F2B" w14:textId="77777777" w:rsidTr="007C046C">
        <w:trPr>
          <w:trHeight w:val="351"/>
        </w:trPr>
        <w:tc>
          <w:tcPr>
            <w:tcW w:w="2428" w:type="dxa"/>
            <w:gridSpan w:val="4"/>
            <w:shd w:val="clear" w:color="auto" w:fill="auto"/>
            <w:tcMar>
              <w:top w:w="10" w:type="dxa"/>
              <w:left w:w="93" w:type="dxa"/>
              <w:bottom w:w="0" w:type="dxa"/>
              <w:right w:w="10" w:type="dxa"/>
            </w:tcMar>
            <w:vAlign w:val="center"/>
          </w:tcPr>
          <w:p w14:paraId="496DDE3C" w14:textId="77777777" w:rsidR="007C046C" w:rsidRPr="00007C5C" w:rsidRDefault="007C046C" w:rsidP="00160C8B">
            <w:pPr>
              <w:spacing w:after="0"/>
              <w:rPr>
                <w:rFonts w:ascii="Arial" w:hAnsi="Arial" w:cs="Arial"/>
                <w:sz w:val="20"/>
                <w:szCs w:val="20"/>
              </w:rPr>
            </w:pPr>
            <w:r w:rsidRPr="00007C5C">
              <w:rPr>
                <w:rFonts w:ascii="Arial" w:hAnsi="Arial" w:cs="Arial"/>
                <w:b/>
                <w:sz w:val="20"/>
                <w:szCs w:val="20"/>
              </w:rPr>
              <w:lastRenderedPageBreak/>
              <w:t>Nombre del indicador:</w:t>
            </w:r>
          </w:p>
        </w:tc>
        <w:tc>
          <w:tcPr>
            <w:tcW w:w="6219" w:type="dxa"/>
            <w:gridSpan w:val="9"/>
            <w:shd w:val="clear" w:color="auto" w:fill="auto"/>
            <w:tcMar>
              <w:top w:w="51" w:type="dxa"/>
              <w:left w:w="227" w:type="dxa"/>
              <w:bottom w:w="51" w:type="dxa"/>
              <w:right w:w="227" w:type="dxa"/>
            </w:tcMar>
            <w:vAlign w:val="center"/>
          </w:tcPr>
          <w:p w14:paraId="16F37027" w14:textId="3BFFEA67" w:rsidR="007C046C" w:rsidRPr="00007C5C" w:rsidRDefault="007C046C" w:rsidP="00160C8B">
            <w:pPr>
              <w:spacing w:after="0" w:line="240" w:lineRule="auto"/>
              <w:jc w:val="both"/>
              <w:rPr>
                <w:rFonts w:ascii="Arial" w:eastAsia="Arial Narrow" w:hAnsi="Arial" w:cs="Arial"/>
                <w:sz w:val="20"/>
                <w:szCs w:val="20"/>
              </w:rPr>
            </w:pPr>
            <w:r w:rsidRPr="00007C5C">
              <w:rPr>
                <w:rFonts w:ascii="Arial" w:eastAsia="Arial Narrow" w:hAnsi="Arial" w:cs="Arial"/>
                <w:sz w:val="20"/>
                <w:szCs w:val="20"/>
              </w:rPr>
              <w:t xml:space="preserve">Porcentaje de títulos habilitantes </w:t>
            </w:r>
            <w:r>
              <w:rPr>
                <w:rFonts w:ascii="Arial" w:eastAsia="Arial Narrow" w:hAnsi="Arial" w:cs="Arial"/>
                <w:sz w:val="20"/>
                <w:szCs w:val="20"/>
              </w:rPr>
              <w:t>en materia forestal fiscalizados</w:t>
            </w:r>
            <w:r w:rsidRPr="00007C5C">
              <w:rPr>
                <w:rFonts w:ascii="Arial" w:eastAsia="Arial Narrow" w:hAnsi="Arial" w:cs="Arial"/>
                <w:sz w:val="20"/>
                <w:szCs w:val="20"/>
              </w:rPr>
              <w:t xml:space="preserve"> antes o durante la extracción y/o movilización</w:t>
            </w:r>
          </w:p>
        </w:tc>
      </w:tr>
      <w:tr w:rsidR="007C046C" w:rsidRPr="00007C5C" w14:paraId="7973075A" w14:textId="77777777" w:rsidTr="007C046C">
        <w:trPr>
          <w:trHeight w:val="577"/>
        </w:trPr>
        <w:tc>
          <w:tcPr>
            <w:tcW w:w="2428" w:type="dxa"/>
            <w:gridSpan w:val="4"/>
            <w:shd w:val="clear" w:color="auto" w:fill="auto"/>
            <w:tcMar>
              <w:top w:w="10" w:type="dxa"/>
              <w:left w:w="93" w:type="dxa"/>
              <w:bottom w:w="0" w:type="dxa"/>
              <w:right w:w="10" w:type="dxa"/>
            </w:tcMar>
            <w:vAlign w:val="center"/>
          </w:tcPr>
          <w:p w14:paraId="00DE148A" w14:textId="77777777" w:rsidR="007C046C" w:rsidRPr="00007C5C" w:rsidRDefault="007C046C" w:rsidP="00160C8B">
            <w:pPr>
              <w:spacing w:after="0"/>
              <w:rPr>
                <w:rFonts w:ascii="Arial" w:hAnsi="Arial" w:cs="Arial"/>
                <w:sz w:val="20"/>
                <w:szCs w:val="20"/>
              </w:rPr>
            </w:pPr>
            <w:r w:rsidRPr="00007C5C">
              <w:rPr>
                <w:rFonts w:ascii="Arial" w:hAnsi="Arial" w:cs="Arial"/>
                <w:b/>
                <w:sz w:val="20"/>
                <w:szCs w:val="20"/>
              </w:rPr>
              <w:t>Justificación:</w:t>
            </w:r>
          </w:p>
        </w:tc>
        <w:tc>
          <w:tcPr>
            <w:tcW w:w="6219" w:type="dxa"/>
            <w:gridSpan w:val="9"/>
            <w:shd w:val="clear" w:color="auto" w:fill="auto"/>
            <w:tcMar>
              <w:top w:w="51" w:type="dxa"/>
              <w:left w:w="227" w:type="dxa"/>
              <w:bottom w:w="51" w:type="dxa"/>
              <w:right w:w="227" w:type="dxa"/>
            </w:tcMar>
            <w:vAlign w:val="center"/>
          </w:tcPr>
          <w:p w14:paraId="62C6A349" w14:textId="77777777" w:rsidR="007C046C" w:rsidRPr="0072013F" w:rsidRDefault="007C046C" w:rsidP="00160C8B">
            <w:pPr>
              <w:spacing w:after="0" w:line="240" w:lineRule="auto"/>
              <w:jc w:val="both"/>
              <w:rPr>
                <w:rFonts w:ascii="Arial" w:eastAsia="Arial Narrow" w:hAnsi="Arial" w:cs="Arial"/>
                <w:sz w:val="20"/>
                <w:szCs w:val="20"/>
              </w:rPr>
            </w:pPr>
            <w:r w:rsidRPr="0072013F">
              <w:rPr>
                <w:rFonts w:ascii="Arial" w:eastAsia="Arial Narrow" w:hAnsi="Arial" w:cs="Arial"/>
                <w:sz w:val="20"/>
                <w:szCs w:val="20"/>
              </w:rPr>
              <w:t xml:space="preserve">El indicador es de utilidad para medir las fiscalizaciones con enfoque preventivo y promotor, las mismas que permiten advertir posibles deficiencias en la planificación y/o implementación de los planes de manejo a los </w:t>
            </w:r>
            <w:r>
              <w:rPr>
                <w:rFonts w:ascii="Arial" w:eastAsia="Arial Narrow" w:hAnsi="Arial" w:cs="Arial"/>
                <w:sz w:val="20"/>
                <w:szCs w:val="20"/>
              </w:rPr>
              <w:t>t</w:t>
            </w:r>
            <w:r w:rsidRPr="0072013F">
              <w:rPr>
                <w:rFonts w:ascii="Arial" w:eastAsia="Arial Narrow" w:hAnsi="Arial" w:cs="Arial"/>
                <w:sz w:val="20"/>
                <w:szCs w:val="20"/>
              </w:rPr>
              <w:t>itulares de títulos habilitantes.</w:t>
            </w:r>
          </w:p>
        </w:tc>
      </w:tr>
      <w:tr w:rsidR="007C046C" w:rsidRPr="00007C5C" w14:paraId="6D415BC2" w14:textId="77777777" w:rsidTr="007C046C">
        <w:trPr>
          <w:trHeight w:val="616"/>
        </w:trPr>
        <w:tc>
          <w:tcPr>
            <w:tcW w:w="2428" w:type="dxa"/>
            <w:gridSpan w:val="4"/>
            <w:shd w:val="clear" w:color="auto" w:fill="auto"/>
            <w:tcMar>
              <w:top w:w="10" w:type="dxa"/>
              <w:left w:w="93" w:type="dxa"/>
              <w:bottom w:w="0" w:type="dxa"/>
              <w:right w:w="10" w:type="dxa"/>
            </w:tcMar>
            <w:vAlign w:val="center"/>
          </w:tcPr>
          <w:p w14:paraId="4CEDF936" w14:textId="77777777" w:rsidR="007C046C" w:rsidRPr="00007C5C" w:rsidRDefault="007C046C" w:rsidP="00160C8B">
            <w:pPr>
              <w:spacing w:after="0"/>
              <w:rPr>
                <w:rFonts w:ascii="Arial" w:hAnsi="Arial" w:cs="Arial"/>
                <w:sz w:val="20"/>
                <w:szCs w:val="20"/>
              </w:rPr>
            </w:pPr>
            <w:r w:rsidRPr="00007C5C">
              <w:rPr>
                <w:rFonts w:ascii="Arial" w:hAnsi="Arial" w:cs="Arial"/>
                <w:b/>
                <w:sz w:val="20"/>
                <w:szCs w:val="20"/>
              </w:rPr>
              <w:t>Responsable del indicador:</w:t>
            </w:r>
          </w:p>
        </w:tc>
        <w:tc>
          <w:tcPr>
            <w:tcW w:w="6219" w:type="dxa"/>
            <w:gridSpan w:val="9"/>
            <w:shd w:val="clear" w:color="auto" w:fill="auto"/>
            <w:tcMar>
              <w:top w:w="51" w:type="dxa"/>
              <w:left w:w="227" w:type="dxa"/>
              <w:bottom w:w="51" w:type="dxa"/>
              <w:right w:w="227" w:type="dxa"/>
            </w:tcMar>
            <w:vAlign w:val="center"/>
          </w:tcPr>
          <w:p w14:paraId="607E6DA6" w14:textId="77777777" w:rsidR="007C046C" w:rsidRPr="00007C5C" w:rsidRDefault="007C046C" w:rsidP="00160C8B">
            <w:pPr>
              <w:spacing w:after="0" w:line="240" w:lineRule="auto"/>
              <w:jc w:val="both"/>
              <w:rPr>
                <w:rFonts w:ascii="Arial" w:eastAsia="Arial Narrow" w:hAnsi="Arial" w:cs="Arial"/>
                <w:sz w:val="20"/>
                <w:szCs w:val="20"/>
              </w:rPr>
            </w:pPr>
            <w:r w:rsidRPr="00007C5C">
              <w:rPr>
                <w:rFonts w:ascii="Arial" w:eastAsia="Arial Narrow" w:hAnsi="Arial" w:cs="Arial"/>
                <w:sz w:val="20"/>
                <w:szCs w:val="20"/>
              </w:rPr>
              <w:t xml:space="preserve">Dirección de Supervisión y Fiscalización </w:t>
            </w:r>
            <w:r>
              <w:rPr>
                <w:rFonts w:ascii="Arial" w:eastAsia="Arial Narrow" w:hAnsi="Arial" w:cs="Arial"/>
                <w:sz w:val="20"/>
                <w:szCs w:val="20"/>
              </w:rPr>
              <w:t>Forestal y de Fauna S</w:t>
            </w:r>
            <w:r w:rsidRPr="00007C5C">
              <w:rPr>
                <w:rFonts w:ascii="Arial" w:eastAsia="Arial Narrow" w:hAnsi="Arial" w:cs="Arial"/>
                <w:sz w:val="20"/>
                <w:szCs w:val="20"/>
              </w:rPr>
              <w:t>ilvestre del Organismo de Supervisión de los Recursos Forestales y de Fauna Silvestre - OSINFOR</w:t>
            </w:r>
          </w:p>
        </w:tc>
      </w:tr>
      <w:tr w:rsidR="007C046C" w:rsidRPr="00007C5C" w14:paraId="4032AA96" w14:textId="77777777" w:rsidTr="007C046C">
        <w:trPr>
          <w:trHeight w:val="512"/>
        </w:trPr>
        <w:tc>
          <w:tcPr>
            <w:tcW w:w="2428" w:type="dxa"/>
            <w:gridSpan w:val="4"/>
            <w:shd w:val="clear" w:color="auto" w:fill="auto"/>
            <w:tcMar>
              <w:top w:w="10" w:type="dxa"/>
              <w:left w:w="93" w:type="dxa"/>
              <w:bottom w:w="0" w:type="dxa"/>
              <w:right w:w="10" w:type="dxa"/>
            </w:tcMar>
            <w:vAlign w:val="center"/>
          </w:tcPr>
          <w:p w14:paraId="7F6A153D" w14:textId="77777777" w:rsidR="007C046C" w:rsidRPr="00007C5C" w:rsidRDefault="007C046C" w:rsidP="00160C8B">
            <w:pPr>
              <w:spacing w:after="0"/>
              <w:rPr>
                <w:rFonts w:ascii="Arial" w:hAnsi="Arial" w:cs="Arial"/>
                <w:sz w:val="20"/>
                <w:szCs w:val="20"/>
              </w:rPr>
            </w:pPr>
            <w:r w:rsidRPr="00007C5C">
              <w:rPr>
                <w:rFonts w:ascii="Arial" w:hAnsi="Arial" w:cs="Arial"/>
                <w:b/>
                <w:sz w:val="20"/>
                <w:szCs w:val="20"/>
              </w:rPr>
              <w:t>Limitaciones para la medición del indicador:</w:t>
            </w:r>
          </w:p>
        </w:tc>
        <w:tc>
          <w:tcPr>
            <w:tcW w:w="6219" w:type="dxa"/>
            <w:gridSpan w:val="9"/>
            <w:shd w:val="clear" w:color="auto" w:fill="auto"/>
            <w:tcMar>
              <w:top w:w="51" w:type="dxa"/>
              <w:left w:w="227" w:type="dxa"/>
              <w:bottom w:w="51" w:type="dxa"/>
              <w:right w:w="227" w:type="dxa"/>
            </w:tcMar>
            <w:vAlign w:val="center"/>
          </w:tcPr>
          <w:p w14:paraId="23BDB76E" w14:textId="77777777" w:rsidR="007C046C" w:rsidRPr="00007C5C" w:rsidRDefault="007C046C" w:rsidP="00160C8B">
            <w:pPr>
              <w:spacing w:after="0" w:line="240" w:lineRule="auto"/>
              <w:rPr>
                <w:rFonts w:ascii="Arial" w:hAnsi="Arial" w:cs="Arial"/>
                <w:sz w:val="20"/>
                <w:szCs w:val="20"/>
              </w:rPr>
            </w:pPr>
            <w:r w:rsidRPr="00007C5C">
              <w:rPr>
                <w:rFonts w:ascii="Arial" w:eastAsia="Arial Narrow" w:hAnsi="Arial" w:cs="Arial"/>
                <w:sz w:val="20"/>
                <w:szCs w:val="20"/>
              </w:rPr>
              <w:t xml:space="preserve">No se </w:t>
            </w:r>
            <w:r>
              <w:rPr>
                <w:rFonts w:ascii="Arial" w:eastAsia="Arial Narrow" w:hAnsi="Arial" w:cs="Arial"/>
                <w:sz w:val="20"/>
                <w:szCs w:val="20"/>
              </w:rPr>
              <w:t>presenta</w:t>
            </w:r>
            <w:r w:rsidRPr="00007C5C">
              <w:rPr>
                <w:rFonts w:ascii="Arial" w:eastAsia="Arial Narrow" w:hAnsi="Arial" w:cs="Arial"/>
                <w:sz w:val="20"/>
                <w:szCs w:val="20"/>
              </w:rPr>
              <w:t xml:space="preserve"> limitaciones</w:t>
            </w:r>
          </w:p>
        </w:tc>
      </w:tr>
      <w:tr w:rsidR="007C046C" w:rsidRPr="00007C5C" w14:paraId="3DAD8268" w14:textId="77777777" w:rsidTr="007C046C">
        <w:trPr>
          <w:trHeight w:val="231"/>
        </w:trPr>
        <w:tc>
          <w:tcPr>
            <w:tcW w:w="2428" w:type="dxa"/>
            <w:gridSpan w:val="4"/>
            <w:shd w:val="clear" w:color="auto" w:fill="auto"/>
            <w:tcMar>
              <w:top w:w="10" w:type="dxa"/>
              <w:left w:w="93" w:type="dxa"/>
              <w:bottom w:w="0" w:type="dxa"/>
              <w:right w:w="10" w:type="dxa"/>
            </w:tcMar>
            <w:vAlign w:val="center"/>
          </w:tcPr>
          <w:p w14:paraId="72C71C19" w14:textId="77777777" w:rsidR="007C046C" w:rsidRPr="00007C5C" w:rsidRDefault="007C046C" w:rsidP="00160C8B">
            <w:pPr>
              <w:spacing w:after="0"/>
              <w:rPr>
                <w:rFonts w:ascii="Arial" w:hAnsi="Arial" w:cs="Arial"/>
                <w:sz w:val="20"/>
                <w:szCs w:val="20"/>
              </w:rPr>
            </w:pPr>
            <w:r w:rsidRPr="00007C5C">
              <w:rPr>
                <w:rFonts w:ascii="Arial" w:hAnsi="Arial" w:cs="Arial"/>
                <w:b/>
                <w:sz w:val="20"/>
                <w:szCs w:val="20"/>
              </w:rPr>
              <w:t xml:space="preserve">Método de cálculo: </w:t>
            </w:r>
          </w:p>
        </w:tc>
        <w:tc>
          <w:tcPr>
            <w:tcW w:w="6219" w:type="dxa"/>
            <w:gridSpan w:val="9"/>
            <w:shd w:val="clear" w:color="auto" w:fill="auto"/>
            <w:tcMar>
              <w:top w:w="51" w:type="dxa"/>
              <w:left w:w="227" w:type="dxa"/>
              <w:bottom w:w="51" w:type="dxa"/>
              <w:right w:w="227" w:type="dxa"/>
            </w:tcMar>
            <w:vAlign w:val="center"/>
          </w:tcPr>
          <w:p w14:paraId="5B8DE297" w14:textId="77777777" w:rsidR="007C046C" w:rsidRPr="00007C5C" w:rsidRDefault="007C046C" w:rsidP="00160C8B">
            <w:pPr>
              <w:spacing w:after="0"/>
              <w:jc w:val="both"/>
              <w:rPr>
                <w:rFonts w:ascii="Arial" w:eastAsia="Arial Narrow" w:hAnsi="Arial" w:cs="Arial"/>
                <w:b/>
                <w:sz w:val="20"/>
                <w:szCs w:val="20"/>
              </w:rPr>
            </w:pPr>
            <w:r w:rsidRPr="00007C5C">
              <w:rPr>
                <w:rFonts w:ascii="Arial" w:eastAsia="Arial Narrow" w:hAnsi="Arial" w:cs="Arial"/>
                <w:b/>
                <w:sz w:val="20"/>
                <w:szCs w:val="20"/>
              </w:rPr>
              <w:t>1. Fórmula:</w:t>
            </w:r>
          </w:p>
          <w:p w14:paraId="6D3AB044" w14:textId="77777777" w:rsidR="007C046C" w:rsidRDefault="007C046C" w:rsidP="00160C8B">
            <w:pPr>
              <w:spacing w:after="0" w:line="240" w:lineRule="auto"/>
              <w:rPr>
                <w:rFonts w:ascii="Arial" w:eastAsia="Arial Narrow" w:hAnsi="Arial" w:cs="Arial"/>
                <w:sz w:val="20"/>
                <w:szCs w:val="20"/>
              </w:rPr>
            </w:pPr>
            <w:r w:rsidRPr="00007C5C">
              <w:rPr>
                <w:rFonts w:ascii="Arial" w:eastAsia="Arial Narrow" w:hAnsi="Arial" w:cs="Arial"/>
                <w:sz w:val="20"/>
                <w:szCs w:val="20"/>
              </w:rPr>
              <w:t>(A/B)*100</w:t>
            </w:r>
            <w:r w:rsidRPr="00007C5C">
              <w:rPr>
                <w:rFonts w:ascii="Arial" w:eastAsia="Arial Narrow" w:hAnsi="Arial" w:cs="Arial"/>
                <w:sz w:val="20"/>
                <w:szCs w:val="20"/>
              </w:rPr>
              <w:br/>
            </w:r>
          </w:p>
          <w:p w14:paraId="7F8912BE" w14:textId="77777777" w:rsidR="007C046C" w:rsidRDefault="007C046C" w:rsidP="00160C8B">
            <w:pPr>
              <w:spacing w:after="0" w:line="240" w:lineRule="auto"/>
              <w:rPr>
                <w:rFonts w:ascii="Arial" w:eastAsia="Arial Narrow" w:hAnsi="Arial" w:cs="Arial"/>
                <w:sz w:val="20"/>
                <w:szCs w:val="20"/>
              </w:rPr>
            </w:pPr>
            <w:r>
              <w:rPr>
                <w:rFonts w:ascii="Arial" w:eastAsia="Arial Narrow" w:hAnsi="Arial" w:cs="Arial"/>
                <w:sz w:val="20"/>
                <w:szCs w:val="20"/>
              </w:rPr>
              <w:t>Donde:</w:t>
            </w:r>
          </w:p>
          <w:p w14:paraId="48A0EE8C" w14:textId="6F6C3449" w:rsidR="007C046C" w:rsidRDefault="007C046C" w:rsidP="007C046C">
            <w:pPr>
              <w:spacing w:after="0" w:line="240" w:lineRule="auto"/>
              <w:ind w:left="464" w:hanging="425"/>
              <w:jc w:val="both"/>
              <w:rPr>
                <w:rFonts w:ascii="Arial" w:eastAsia="Arial Narrow" w:hAnsi="Arial" w:cs="Arial"/>
                <w:sz w:val="20"/>
                <w:szCs w:val="20"/>
              </w:rPr>
            </w:pPr>
            <w:r w:rsidRPr="00007C5C">
              <w:rPr>
                <w:rFonts w:ascii="Arial" w:eastAsia="Arial Narrow" w:hAnsi="Arial" w:cs="Arial"/>
                <w:sz w:val="20"/>
                <w:szCs w:val="20"/>
              </w:rPr>
              <w:t xml:space="preserve">A = </w:t>
            </w:r>
            <w:r w:rsidRPr="00E57938">
              <w:rPr>
                <w:rFonts w:ascii="Arial" w:eastAsia="Arial Narrow" w:hAnsi="Arial" w:cs="Arial"/>
                <w:sz w:val="20"/>
                <w:szCs w:val="20"/>
              </w:rPr>
              <w:t xml:space="preserve">Total de títulos habilitantes </w:t>
            </w:r>
            <w:r>
              <w:rPr>
                <w:rFonts w:ascii="Arial" w:eastAsia="Arial Narrow" w:hAnsi="Arial" w:cs="Arial"/>
                <w:sz w:val="20"/>
                <w:szCs w:val="20"/>
              </w:rPr>
              <w:t>en materia forestal fiscalizados</w:t>
            </w:r>
            <w:r w:rsidRPr="00E57938">
              <w:rPr>
                <w:rFonts w:ascii="Arial" w:eastAsia="Arial Narrow" w:hAnsi="Arial" w:cs="Arial"/>
                <w:sz w:val="20"/>
                <w:szCs w:val="20"/>
              </w:rPr>
              <w:t xml:space="preserve"> </w:t>
            </w:r>
            <w:r w:rsidRPr="00370ED5">
              <w:rPr>
                <w:rFonts w:ascii="Arial" w:eastAsia="Arial Narrow" w:hAnsi="Arial" w:cs="Arial"/>
                <w:sz w:val="20"/>
                <w:szCs w:val="20"/>
              </w:rPr>
              <w:t>antes o durante la extracción y/o movilización en el año “N”</w:t>
            </w:r>
          </w:p>
          <w:p w14:paraId="0139091D" w14:textId="77777777" w:rsidR="00833756" w:rsidRPr="00007C5C" w:rsidRDefault="00833756" w:rsidP="007C046C">
            <w:pPr>
              <w:spacing w:after="0" w:line="240" w:lineRule="auto"/>
              <w:ind w:left="464" w:hanging="425"/>
              <w:jc w:val="both"/>
              <w:rPr>
                <w:rFonts w:ascii="Arial" w:eastAsia="Arial Narrow" w:hAnsi="Arial" w:cs="Arial"/>
                <w:sz w:val="20"/>
                <w:szCs w:val="20"/>
              </w:rPr>
            </w:pPr>
          </w:p>
          <w:p w14:paraId="60EC3D82" w14:textId="77777777" w:rsidR="007C046C" w:rsidRDefault="007C046C" w:rsidP="007C046C">
            <w:pPr>
              <w:spacing w:after="0"/>
              <w:ind w:left="464" w:hanging="425"/>
              <w:jc w:val="both"/>
              <w:rPr>
                <w:rFonts w:ascii="Arial" w:eastAsia="Arial Narrow" w:hAnsi="Arial" w:cs="Arial"/>
                <w:sz w:val="20"/>
                <w:szCs w:val="20"/>
              </w:rPr>
            </w:pPr>
            <w:r w:rsidRPr="00007C5C">
              <w:rPr>
                <w:rFonts w:ascii="Arial" w:eastAsia="Arial Narrow" w:hAnsi="Arial" w:cs="Arial"/>
                <w:sz w:val="20"/>
                <w:szCs w:val="20"/>
              </w:rPr>
              <w:t xml:space="preserve">B = </w:t>
            </w:r>
            <w:r w:rsidRPr="00E57938">
              <w:rPr>
                <w:rFonts w:ascii="Arial" w:eastAsia="Arial Narrow" w:hAnsi="Arial" w:cs="Arial"/>
                <w:sz w:val="20"/>
                <w:szCs w:val="20"/>
              </w:rPr>
              <w:t>Total de títulos habilitantes</w:t>
            </w:r>
            <w:r>
              <w:rPr>
                <w:rFonts w:ascii="Arial" w:eastAsia="Arial Narrow" w:hAnsi="Arial" w:cs="Arial"/>
                <w:sz w:val="20"/>
                <w:szCs w:val="20"/>
              </w:rPr>
              <w:t xml:space="preserve"> en materia forestal</w:t>
            </w:r>
            <w:r w:rsidRPr="00E57938">
              <w:rPr>
                <w:rFonts w:ascii="Arial" w:eastAsia="Arial Narrow" w:hAnsi="Arial" w:cs="Arial"/>
                <w:sz w:val="20"/>
                <w:szCs w:val="20"/>
              </w:rPr>
              <w:t xml:space="preserve"> </w:t>
            </w:r>
            <w:r>
              <w:rPr>
                <w:rFonts w:ascii="Arial" w:eastAsia="Arial Narrow" w:hAnsi="Arial" w:cs="Arial"/>
                <w:sz w:val="20"/>
                <w:szCs w:val="20"/>
              </w:rPr>
              <w:t>fiscalizados</w:t>
            </w:r>
            <w:r w:rsidRPr="00E57938">
              <w:rPr>
                <w:rFonts w:ascii="Arial" w:eastAsia="Arial Narrow" w:hAnsi="Arial" w:cs="Arial"/>
                <w:sz w:val="20"/>
                <w:szCs w:val="20"/>
              </w:rPr>
              <w:t xml:space="preserve"> en el año “N”</w:t>
            </w:r>
          </w:p>
          <w:p w14:paraId="62009D75" w14:textId="77777777" w:rsidR="007C046C" w:rsidRPr="00E57938" w:rsidRDefault="007C046C" w:rsidP="00160C8B">
            <w:pPr>
              <w:spacing w:after="0"/>
              <w:jc w:val="both"/>
              <w:rPr>
                <w:rFonts w:ascii="Arial" w:eastAsia="Arial Narrow" w:hAnsi="Arial" w:cs="Arial"/>
                <w:sz w:val="20"/>
                <w:szCs w:val="20"/>
              </w:rPr>
            </w:pPr>
          </w:p>
          <w:p w14:paraId="4CA58DA9" w14:textId="77777777" w:rsidR="007C046C" w:rsidRDefault="007C046C" w:rsidP="00833756">
            <w:pPr>
              <w:spacing w:after="0" w:line="240" w:lineRule="auto"/>
              <w:jc w:val="both"/>
              <w:rPr>
                <w:rFonts w:ascii="Arial" w:eastAsia="Arial Narrow" w:hAnsi="Arial" w:cs="Arial"/>
                <w:b/>
                <w:sz w:val="20"/>
                <w:szCs w:val="20"/>
              </w:rPr>
            </w:pPr>
            <w:r w:rsidRPr="00007C5C">
              <w:rPr>
                <w:rFonts w:ascii="Arial" w:eastAsia="Arial Narrow" w:hAnsi="Arial" w:cs="Arial"/>
                <w:b/>
                <w:sz w:val="20"/>
                <w:szCs w:val="20"/>
              </w:rPr>
              <w:t>2. Especificaciones técnicas:</w:t>
            </w:r>
          </w:p>
          <w:p w14:paraId="095852EE" w14:textId="77777777" w:rsidR="00581D34" w:rsidRDefault="00581D34" w:rsidP="00833756">
            <w:pPr>
              <w:spacing w:after="0" w:line="240" w:lineRule="auto"/>
              <w:jc w:val="both"/>
              <w:rPr>
                <w:rFonts w:ascii="Arial" w:eastAsia="Arial Narrow" w:hAnsi="Arial" w:cs="Arial"/>
                <w:b/>
                <w:sz w:val="20"/>
                <w:szCs w:val="20"/>
              </w:rPr>
            </w:pPr>
          </w:p>
          <w:p w14:paraId="7F85860A" w14:textId="206AD5B8" w:rsidR="002C5E78" w:rsidRDefault="002C5E78" w:rsidP="00833756">
            <w:pPr>
              <w:spacing w:after="0" w:line="240" w:lineRule="auto"/>
              <w:jc w:val="both"/>
              <w:rPr>
                <w:rFonts w:ascii="Arial" w:eastAsia="Arial Narrow" w:hAnsi="Arial" w:cs="Arial"/>
                <w:sz w:val="20"/>
                <w:szCs w:val="20"/>
              </w:rPr>
            </w:pPr>
            <w:r>
              <w:rPr>
                <w:rFonts w:ascii="Arial" w:eastAsia="Arial Narrow" w:hAnsi="Arial" w:cs="Arial"/>
                <w:sz w:val="20"/>
                <w:szCs w:val="20"/>
              </w:rPr>
              <w:t xml:space="preserve">La variable A se determina a partir de los títulos habilitantes fiscalizados </w:t>
            </w:r>
            <w:r w:rsidR="00833756">
              <w:rPr>
                <w:rFonts w:ascii="Arial" w:eastAsia="Arial Narrow" w:hAnsi="Arial" w:cs="Arial"/>
                <w:sz w:val="20"/>
                <w:szCs w:val="20"/>
              </w:rPr>
              <w:t xml:space="preserve">oportunamente, es decir, </w:t>
            </w:r>
            <w:r w:rsidRPr="00370ED5">
              <w:rPr>
                <w:rFonts w:ascii="Arial" w:eastAsia="Arial Narrow" w:hAnsi="Arial" w:cs="Arial"/>
                <w:sz w:val="20"/>
                <w:szCs w:val="20"/>
              </w:rPr>
              <w:t>antes o durante la extracción y/o movilización</w:t>
            </w:r>
            <w:r w:rsidR="00EC2E06">
              <w:rPr>
                <w:rFonts w:ascii="Arial" w:eastAsia="Arial Narrow" w:hAnsi="Arial" w:cs="Arial"/>
                <w:sz w:val="20"/>
                <w:szCs w:val="20"/>
              </w:rPr>
              <w:t xml:space="preserve"> del recurso aprovechado.</w:t>
            </w:r>
          </w:p>
          <w:p w14:paraId="638D6EDF" w14:textId="77777777" w:rsidR="00833756" w:rsidRDefault="00833756" w:rsidP="00833756">
            <w:pPr>
              <w:spacing w:after="0" w:line="240" w:lineRule="auto"/>
              <w:jc w:val="both"/>
              <w:rPr>
                <w:rFonts w:ascii="Arial" w:eastAsia="Arial Narrow" w:hAnsi="Arial" w:cs="Arial"/>
                <w:sz w:val="20"/>
                <w:szCs w:val="20"/>
              </w:rPr>
            </w:pPr>
          </w:p>
          <w:p w14:paraId="56DFEBF2" w14:textId="4D514261" w:rsidR="00EC2E06" w:rsidRDefault="00EC2E06" w:rsidP="00833756">
            <w:pPr>
              <w:spacing w:after="0" w:line="240" w:lineRule="auto"/>
              <w:jc w:val="both"/>
              <w:rPr>
                <w:rFonts w:ascii="Arial" w:eastAsia="Arial Narrow" w:hAnsi="Arial" w:cs="Arial"/>
                <w:sz w:val="20"/>
                <w:szCs w:val="20"/>
              </w:rPr>
            </w:pPr>
            <w:r>
              <w:rPr>
                <w:rFonts w:ascii="Arial" w:eastAsia="Arial Narrow" w:hAnsi="Arial" w:cs="Arial"/>
                <w:sz w:val="20"/>
                <w:szCs w:val="20"/>
              </w:rPr>
              <w:t>La variable B se determina</w:t>
            </w:r>
            <w:r w:rsidR="00EF2851">
              <w:rPr>
                <w:rFonts w:ascii="Arial" w:eastAsia="Arial Narrow" w:hAnsi="Arial" w:cs="Arial"/>
                <w:sz w:val="20"/>
                <w:szCs w:val="20"/>
              </w:rPr>
              <w:t xml:space="preserve"> con el total de </w:t>
            </w:r>
            <w:r w:rsidR="00EF2851" w:rsidRPr="00EF2851">
              <w:rPr>
                <w:rFonts w:ascii="Arial" w:eastAsia="Arial Narrow" w:hAnsi="Arial" w:cs="Arial"/>
                <w:sz w:val="20"/>
                <w:szCs w:val="20"/>
              </w:rPr>
              <w:t>títulos habilitantes en materia forestal fiscalizados</w:t>
            </w:r>
            <w:r w:rsidR="00833756">
              <w:rPr>
                <w:rFonts w:ascii="Arial" w:eastAsia="Arial Narrow" w:hAnsi="Arial" w:cs="Arial"/>
                <w:sz w:val="20"/>
                <w:szCs w:val="20"/>
              </w:rPr>
              <w:t xml:space="preserve"> en el año de medición</w:t>
            </w:r>
            <w:r w:rsidR="00EF2851">
              <w:rPr>
                <w:rFonts w:ascii="Arial" w:eastAsia="Arial Narrow" w:hAnsi="Arial" w:cs="Arial"/>
                <w:sz w:val="20"/>
                <w:szCs w:val="20"/>
              </w:rPr>
              <w:t>.</w:t>
            </w:r>
          </w:p>
          <w:p w14:paraId="428EFDF5" w14:textId="77777777" w:rsidR="00833756" w:rsidRDefault="00833756" w:rsidP="00160C8B">
            <w:pPr>
              <w:spacing w:after="0" w:line="240" w:lineRule="auto"/>
              <w:rPr>
                <w:rFonts w:ascii="Arial" w:eastAsia="Arial Narrow" w:hAnsi="Arial" w:cs="Arial"/>
                <w:sz w:val="20"/>
                <w:szCs w:val="20"/>
              </w:rPr>
            </w:pPr>
          </w:p>
          <w:p w14:paraId="41035D19" w14:textId="14FA3DB3" w:rsidR="00EF2851" w:rsidRPr="00007C5C" w:rsidRDefault="00EF2851" w:rsidP="00160C8B">
            <w:pPr>
              <w:spacing w:after="0" w:line="240" w:lineRule="auto"/>
              <w:rPr>
                <w:rFonts w:ascii="Arial" w:eastAsia="Arial Narrow" w:hAnsi="Arial" w:cs="Arial"/>
                <w:sz w:val="20"/>
                <w:szCs w:val="20"/>
              </w:rPr>
            </w:pPr>
            <w:r>
              <w:rPr>
                <w:rFonts w:ascii="Arial" w:eastAsia="Arial Narrow" w:hAnsi="Arial" w:cs="Arial"/>
                <w:sz w:val="20"/>
                <w:szCs w:val="20"/>
              </w:rPr>
              <w:t>Algunas especificaciones adicionales:</w:t>
            </w:r>
          </w:p>
          <w:p w14:paraId="0638656A" w14:textId="77777777" w:rsidR="007C046C" w:rsidRPr="00E57938" w:rsidRDefault="007C046C" w:rsidP="007C046C">
            <w:pPr>
              <w:pStyle w:val="Default"/>
              <w:numPr>
                <w:ilvl w:val="0"/>
                <w:numId w:val="55"/>
              </w:numPr>
              <w:ind w:left="465" w:hanging="283"/>
              <w:jc w:val="both"/>
              <w:rPr>
                <w:rFonts w:ascii="Arial" w:eastAsia="Arial Narrow" w:hAnsi="Arial" w:cs="Arial"/>
                <w:sz w:val="20"/>
                <w:szCs w:val="20"/>
              </w:rPr>
            </w:pPr>
            <w:r w:rsidRPr="00E57938">
              <w:rPr>
                <w:rFonts w:ascii="Arial" w:eastAsia="Arial Narrow" w:hAnsi="Arial" w:cs="Arial"/>
                <w:sz w:val="20"/>
                <w:szCs w:val="20"/>
              </w:rPr>
              <w:t xml:space="preserve">Título habilitante </w:t>
            </w:r>
            <w:r>
              <w:rPr>
                <w:rFonts w:ascii="Arial" w:eastAsia="Arial Narrow" w:hAnsi="Arial" w:cs="Arial"/>
                <w:sz w:val="20"/>
                <w:szCs w:val="20"/>
              </w:rPr>
              <w:t>fiscalizado</w:t>
            </w:r>
            <w:r w:rsidRPr="00E57938">
              <w:rPr>
                <w:rFonts w:ascii="Arial" w:eastAsia="Arial Narrow" w:hAnsi="Arial" w:cs="Arial"/>
                <w:sz w:val="20"/>
                <w:szCs w:val="20"/>
              </w:rPr>
              <w:t xml:space="preserve">: Aquel título habilitante que cuenta con al menos una </w:t>
            </w:r>
            <w:r>
              <w:rPr>
                <w:rFonts w:ascii="Arial" w:eastAsia="Arial Narrow" w:hAnsi="Arial" w:cs="Arial"/>
                <w:sz w:val="20"/>
                <w:szCs w:val="20"/>
              </w:rPr>
              <w:t>fiscalización</w:t>
            </w:r>
            <w:r w:rsidRPr="00E57938">
              <w:rPr>
                <w:rFonts w:ascii="Arial" w:eastAsia="Arial Narrow" w:hAnsi="Arial" w:cs="Arial"/>
                <w:sz w:val="20"/>
                <w:szCs w:val="20"/>
              </w:rPr>
              <w:t xml:space="preserve"> a su Plan de Manejo asociado. </w:t>
            </w:r>
          </w:p>
          <w:p w14:paraId="3C973EE4" w14:textId="77777777" w:rsidR="007C046C" w:rsidRPr="00E57938" w:rsidRDefault="007C046C" w:rsidP="007C046C">
            <w:pPr>
              <w:pStyle w:val="Default"/>
              <w:numPr>
                <w:ilvl w:val="0"/>
                <w:numId w:val="55"/>
              </w:numPr>
              <w:ind w:left="465" w:hanging="283"/>
              <w:jc w:val="both"/>
              <w:rPr>
                <w:rFonts w:ascii="Arial" w:eastAsia="Arial Narrow" w:hAnsi="Arial" w:cs="Arial"/>
                <w:sz w:val="20"/>
                <w:szCs w:val="20"/>
              </w:rPr>
            </w:pPr>
            <w:r>
              <w:rPr>
                <w:rFonts w:ascii="Arial" w:eastAsia="Arial Narrow" w:hAnsi="Arial" w:cs="Arial"/>
                <w:sz w:val="20"/>
                <w:szCs w:val="20"/>
              </w:rPr>
              <w:t>Fiscalización</w:t>
            </w:r>
            <w:r w:rsidRPr="00E57938">
              <w:rPr>
                <w:rFonts w:ascii="Arial" w:eastAsia="Arial Narrow" w:hAnsi="Arial" w:cs="Arial"/>
                <w:sz w:val="20"/>
                <w:szCs w:val="20"/>
              </w:rPr>
              <w:t xml:space="preserve"> antes de la extracción: tiene por finalidad advertir posibles deficiencias en la planificación y se realiza previ</w:t>
            </w:r>
            <w:r>
              <w:rPr>
                <w:rFonts w:ascii="Arial" w:eastAsia="Arial Narrow" w:hAnsi="Arial" w:cs="Arial"/>
                <w:sz w:val="20"/>
                <w:szCs w:val="20"/>
              </w:rPr>
              <w:t>o</w:t>
            </w:r>
            <w:r w:rsidRPr="00E57938">
              <w:rPr>
                <w:rFonts w:ascii="Arial" w:eastAsia="Arial Narrow" w:hAnsi="Arial" w:cs="Arial"/>
                <w:sz w:val="20"/>
                <w:szCs w:val="20"/>
              </w:rPr>
              <w:t xml:space="preserve"> </w:t>
            </w:r>
            <w:r>
              <w:rPr>
                <w:rFonts w:ascii="Arial" w:eastAsia="Arial Narrow" w:hAnsi="Arial" w:cs="Arial"/>
                <w:sz w:val="20"/>
                <w:szCs w:val="20"/>
              </w:rPr>
              <w:t>al uso del recurso</w:t>
            </w:r>
            <w:r w:rsidRPr="00E57938">
              <w:rPr>
                <w:rFonts w:ascii="Arial" w:eastAsia="Arial Narrow" w:hAnsi="Arial" w:cs="Arial"/>
                <w:sz w:val="20"/>
                <w:szCs w:val="20"/>
              </w:rPr>
              <w:t xml:space="preserve">, luego de aprobado el plan de manejo del título habilitante. </w:t>
            </w:r>
          </w:p>
          <w:p w14:paraId="11549130" w14:textId="77777777" w:rsidR="007C046C" w:rsidRPr="00581D34" w:rsidRDefault="007C046C" w:rsidP="007C046C">
            <w:pPr>
              <w:pStyle w:val="Default"/>
              <w:numPr>
                <w:ilvl w:val="0"/>
                <w:numId w:val="55"/>
              </w:numPr>
              <w:ind w:left="465" w:hanging="283"/>
              <w:jc w:val="both"/>
              <w:rPr>
                <w:rFonts w:ascii="Arial" w:eastAsia="Arial Narrow" w:hAnsi="Arial" w:cs="Arial"/>
                <w:sz w:val="20"/>
                <w:szCs w:val="20"/>
              </w:rPr>
            </w:pPr>
            <w:r>
              <w:rPr>
                <w:rFonts w:ascii="Arial" w:eastAsia="Arial Narrow" w:hAnsi="Arial" w:cs="Arial"/>
                <w:sz w:val="20"/>
                <w:szCs w:val="20"/>
              </w:rPr>
              <w:t>Fiscalización</w:t>
            </w:r>
            <w:r w:rsidRPr="00E57938">
              <w:rPr>
                <w:rFonts w:ascii="Arial" w:eastAsia="Arial Narrow" w:hAnsi="Arial" w:cs="Arial"/>
                <w:sz w:val="20"/>
                <w:szCs w:val="20"/>
              </w:rPr>
              <w:t xml:space="preserve"> durante la extracción: Se realiza durante las </w:t>
            </w:r>
            <w:r w:rsidRPr="00061A11">
              <w:rPr>
                <w:rFonts w:ascii="Arial" w:eastAsia="Arial Narrow" w:hAnsi="Arial" w:cs="Arial"/>
                <w:sz w:val="20"/>
                <w:szCs w:val="20"/>
              </w:rPr>
              <w:t>actividades de uso del recurso,</w:t>
            </w:r>
            <w:r w:rsidRPr="00E57938">
              <w:rPr>
                <w:rFonts w:ascii="Arial" w:eastAsia="Arial Narrow" w:hAnsi="Arial" w:cs="Arial"/>
                <w:sz w:val="20"/>
                <w:szCs w:val="20"/>
              </w:rPr>
              <w:t xml:space="preserve"> con la finalidad de evaluar la implementación </w:t>
            </w:r>
            <w:r w:rsidRPr="00581D34">
              <w:rPr>
                <w:rFonts w:ascii="Arial" w:eastAsia="Arial Narrow" w:hAnsi="Arial" w:cs="Arial"/>
                <w:sz w:val="20"/>
                <w:szCs w:val="20"/>
              </w:rPr>
              <w:t>de las obligaciones fiscalizables durante el periodo de vigencia del plan de manejo.</w:t>
            </w:r>
          </w:p>
          <w:p w14:paraId="01070C6B" w14:textId="77777777" w:rsidR="00581D34" w:rsidRPr="00581D34" w:rsidRDefault="00581D34" w:rsidP="00581D34">
            <w:pPr>
              <w:pStyle w:val="Default"/>
              <w:numPr>
                <w:ilvl w:val="0"/>
                <w:numId w:val="55"/>
              </w:numPr>
              <w:ind w:left="465" w:hanging="283"/>
              <w:jc w:val="both"/>
              <w:rPr>
                <w:rFonts w:ascii="Arial" w:eastAsia="Arial Narrow" w:hAnsi="Arial" w:cs="Arial"/>
                <w:sz w:val="20"/>
                <w:szCs w:val="20"/>
              </w:rPr>
            </w:pPr>
            <w:r w:rsidRPr="00581D34">
              <w:rPr>
                <w:rFonts w:ascii="Arial" w:eastAsia="Arial Narrow" w:hAnsi="Arial" w:cs="Arial"/>
                <w:sz w:val="20"/>
                <w:szCs w:val="20"/>
              </w:rPr>
              <w:t>En la fiscalización del aprovechamiento de los recursos maderables, la oportunidad de la fiscalización se hace efectiva durante la etapa antes y/o durante extracción y/o movilización de los recursos.</w:t>
            </w:r>
          </w:p>
          <w:p w14:paraId="06741966" w14:textId="77777777" w:rsidR="00581D34" w:rsidRPr="00581D34" w:rsidRDefault="00581D34" w:rsidP="00581D34">
            <w:pPr>
              <w:pStyle w:val="Default"/>
              <w:numPr>
                <w:ilvl w:val="0"/>
                <w:numId w:val="55"/>
              </w:numPr>
              <w:ind w:left="465" w:hanging="283"/>
              <w:jc w:val="both"/>
              <w:rPr>
                <w:rFonts w:ascii="Arial" w:eastAsia="Arial Narrow" w:hAnsi="Arial" w:cs="Arial"/>
                <w:sz w:val="20"/>
                <w:szCs w:val="20"/>
              </w:rPr>
            </w:pPr>
            <w:r w:rsidRPr="00581D34">
              <w:rPr>
                <w:rFonts w:ascii="Arial" w:eastAsia="Arial Narrow" w:hAnsi="Arial" w:cs="Arial"/>
                <w:sz w:val="20"/>
                <w:szCs w:val="20"/>
              </w:rPr>
              <w:t>En la fiscalización del aprovechamiento de los recursos no maderables, la oportunidad de la fiscalización se hace efectiva durante la extracción de los recursos.</w:t>
            </w:r>
          </w:p>
          <w:p w14:paraId="7452A88A" w14:textId="77777777" w:rsidR="007C046C" w:rsidRDefault="007C046C" w:rsidP="00160C8B">
            <w:pPr>
              <w:spacing w:after="0" w:line="240" w:lineRule="auto"/>
              <w:jc w:val="both"/>
              <w:rPr>
                <w:rFonts w:ascii="Arial" w:eastAsia="Arial Narrow" w:hAnsi="Arial" w:cs="Arial"/>
                <w:sz w:val="20"/>
                <w:szCs w:val="20"/>
              </w:rPr>
            </w:pPr>
          </w:p>
          <w:p w14:paraId="2218A8A0" w14:textId="77777777" w:rsidR="007C046C" w:rsidRDefault="007C046C" w:rsidP="00160C8B">
            <w:pPr>
              <w:spacing w:after="0" w:line="240" w:lineRule="auto"/>
              <w:jc w:val="both"/>
              <w:rPr>
                <w:rFonts w:ascii="Arial" w:eastAsia="Arial Narrow" w:hAnsi="Arial" w:cs="Arial"/>
                <w:sz w:val="20"/>
                <w:szCs w:val="20"/>
              </w:rPr>
            </w:pPr>
            <w:r>
              <w:rPr>
                <w:rFonts w:ascii="Arial" w:eastAsia="Arial Narrow" w:hAnsi="Arial" w:cs="Arial"/>
                <w:sz w:val="20"/>
                <w:szCs w:val="20"/>
              </w:rPr>
              <w:t>Se carece de línea base debido a que no se venía aplicando el estándar propuesto como parte de la entrega del servicio. El OSINFOR</w:t>
            </w:r>
            <w:r w:rsidRPr="00DD5FAB">
              <w:rPr>
                <w:rFonts w:ascii="Arial" w:eastAsia="Arial Narrow" w:hAnsi="Arial" w:cs="Arial"/>
                <w:sz w:val="20"/>
                <w:szCs w:val="20"/>
              </w:rPr>
              <w:t xml:space="preserve"> determinará la línea base antes del inicio de la implementación de la presente Política Nacional.</w:t>
            </w:r>
          </w:p>
          <w:p w14:paraId="2709CA95" w14:textId="77777777" w:rsidR="007C046C" w:rsidRPr="00007C5C" w:rsidRDefault="007C046C" w:rsidP="00160C8B">
            <w:pPr>
              <w:pStyle w:val="Default"/>
              <w:jc w:val="both"/>
              <w:rPr>
                <w:rFonts w:ascii="Arial" w:eastAsia="Arial Narrow" w:hAnsi="Arial" w:cs="Arial"/>
                <w:sz w:val="20"/>
                <w:szCs w:val="20"/>
              </w:rPr>
            </w:pPr>
          </w:p>
        </w:tc>
      </w:tr>
      <w:tr w:rsidR="007C046C" w:rsidRPr="00007C5C" w14:paraId="0F070F89" w14:textId="77777777" w:rsidTr="007C046C">
        <w:trPr>
          <w:trHeight w:val="686"/>
        </w:trPr>
        <w:tc>
          <w:tcPr>
            <w:tcW w:w="2428" w:type="dxa"/>
            <w:gridSpan w:val="4"/>
            <w:shd w:val="clear" w:color="auto" w:fill="auto"/>
            <w:tcMar>
              <w:top w:w="10" w:type="dxa"/>
              <w:left w:w="93" w:type="dxa"/>
              <w:bottom w:w="0" w:type="dxa"/>
              <w:right w:w="10" w:type="dxa"/>
            </w:tcMar>
            <w:vAlign w:val="center"/>
          </w:tcPr>
          <w:p w14:paraId="4470A62C" w14:textId="77777777" w:rsidR="007C046C" w:rsidRPr="00007C5C" w:rsidRDefault="007C046C" w:rsidP="00160C8B">
            <w:pPr>
              <w:spacing w:after="0" w:line="240" w:lineRule="auto"/>
              <w:rPr>
                <w:rFonts w:ascii="Arial" w:hAnsi="Arial" w:cs="Arial"/>
                <w:sz w:val="20"/>
                <w:szCs w:val="20"/>
              </w:rPr>
            </w:pPr>
            <w:r w:rsidRPr="00007C5C">
              <w:rPr>
                <w:rFonts w:ascii="Arial" w:hAnsi="Arial" w:cs="Arial"/>
                <w:b/>
                <w:sz w:val="20"/>
                <w:szCs w:val="20"/>
              </w:rPr>
              <w:lastRenderedPageBreak/>
              <w:t>Sentido esperado del indicador:</w:t>
            </w:r>
          </w:p>
        </w:tc>
        <w:tc>
          <w:tcPr>
            <w:tcW w:w="1683" w:type="dxa"/>
            <w:gridSpan w:val="2"/>
            <w:shd w:val="clear" w:color="auto" w:fill="auto"/>
            <w:tcMar>
              <w:top w:w="10" w:type="dxa"/>
              <w:left w:w="283" w:type="dxa"/>
              <w:bottom w:w="0" w:type="dxa"/>
              <w:right w:w="283" w:type="dxa"/>
            </w:tcMar>
            <w:vAlign w:val="center"/>
          </w:tcPr>
          <w:p w14:paraId="30A3D062" w14:textId="77777777" w:rsidR="007C046C" w:rsidRPr="00007C5C" w:rsidRDefault="007C046C" w:rsidP="00160C8B">
            <w:pPr>
              <w:spacing w:after="0" w:line="240" w:lineRule="auto"/>
              <w:rPr>
                <w:rFonts w:ascii="Arial" w:hAnsi="Arial" w:cs="Arial"/>
                <w:sz w:val="20"/>
                <w:szCs w:val="20"/>
              </w:rPr>
            </w:pPr>
            <w:r w:rsidRPr="00007C5C">
              <w:rPr>
                <w:rFonts w:ascii="Arial" w:eastAsia="Arial Narrow" w:hAnsi="Arial" w:cs="Arial"/>
                <w:sz w:val="20"/>
                <w:szCs w:val="20"/>
              </w:rPr>
              <w:t>Ascendente</w:t>
            </w:r>
          </w:p>
        </w:tc>
        <w:tc>
          <w:tcPr>
            <w:tcW w:w="2850" w:type="dxa"/>
            <w:gridSpan w:val="4"/>
            <w:shd w:val="clear" w:color="auto" w:fill="auto"/>
            <w:tcMar>
              <w:top w:w="15" w:type="dxa"/>
              <w:left w:w="15" w:type="dxa"/>
              <w:bottom w:w="0" w:type="dxa"/>
              <w:right w:w="15" w:type="dxa"/>
            </w:tcMar>
            <w:vAlign w:val="center"/>
          </w:tcPr>
          <w:p w14:paraId="177E16BF" w14:textId="77777777" w:rsidR="007C046C" w:rsidRPr="00007C5C" w:rsidRDefault="007C046C" w:rsidP="00160C8B">
            <w:pPr>
              <w:spacing w:after="0" w:line="240" w:lineRule="auto"/>
              <w:rPr>
                <w:rFonts w:ascii="Arial" w:hAnsi="Arial" w:cs="Arial"/>
                <w:sz w:val="20"/>
                <w:szCs w:val="20"/>
              </w:rPr>
            </w:pPr>
            <w:r w:rsidRPr="00007C5C">
              <w:rPr>
                <w:rFonts w:ascii="Arial" w:hAnsi="Arial" w:cs="Arial"/>
                <w:b/>
                <w:sz w:val="20"/>
                <w:szCs w:val="20"/>
              </w:rPr>
              <w:t>Tipo de indicador de servicio:</w:t>
            </w:r>
          </w:p>
        </w:tc>
        <w:tc>
          <w:tcPr>
            <w:tcW w:w="1686" w:type="dxa"/>
            <w:gridSpan w:val="3"/>
            <w:shd w:val="clear" w:color="auto" w:fill="auto"/>
            <w:tcMar>
              <w:top w:w="15" w:type="dxa"/>
              <w:left w:w="15" w:type="dxa"/>
              <w:bottom w:w="0" w:type="dxa"/>
              <w:right w:w="15" w:type="dxa"/>
            </w:tcMar>
            <w:vAlign w:val="center"/>
          </w:tcPr>
          <w:p w14:paraId="5B3B5A61" w14:textId="73E8822E" w:rsidR="007C046C" w:rsidRPr="00007C5C" w:rsidRDefault="007C046C" w:rsidP="00160C8B">
            <w:pPr>
              <w:spacing w:after="0" w:line="240" w:lineRule="auto"/>
              <w:rPr>
                <w:rFonts w:ascii="Arial" w:hAnsi="Arial" w:cs="Arial"/>
                <w:sz w:val="20"/>
                <w:szCs w:val="20"/>
              </w:rPr>
            </w:pPr>
            <w:r>
              <w:rPr>
                <w:rFonts w:ascii="Arial" w:eastAsia="Arial Narrow" w:hAnsi="Arial" w:cs="Arial"/>
                <w:sz w:val="20"/>
                <w:szCs w:val="20"/>
              </w:rPr>
              <w:t>Calidad - Oportunidad</w:t>
            </w:r>
          </w:p>
        </w:tc>
      </w:tr>
      <w:tr w:rsidR="007C046C" w:rsidRPr="00007C5C" w14:paraId="053515FD" w14:textId="77777777" w:rsidTr="007C046C">
        <w:trPr>
          <w:trHeight w:val="897"/>
        </w:trPr>
        <w:tc>
          <w:tcPr>
            <w:tcW w:w="2428" w:type="dxa"/>
            <w:gridSpan w:val="4"/>
            <w:shd w:val="clear" w:color="auto" w:fill="auto"/>
            <w:tcMar>
              <w:top w:w="10" w:type="dxa"/>
              <w:left w:w="93" w:type="dxa"/>
              <w:bottom w:w="0" w:type="dxa"/>
              <w:right w:w="10" w:type="dxa"/>
            </w:tcMar>
            <w:vAlign w:val="center"/>
          </w:tcPr>
          <w:p w14:paraId="1CEBBB83" w14:textId="77777777" w:rsidR="007C046C" w:rsidRPr="00007C5C" w:rsidRDefault="007C046C" w:rsidP="00160C8B">
            <w:pPr>
              <w:spacing w:after="0" w:line="240" w:lineRule="auto"/>
              <w:rPr>
                <w:rFonts w:ascii="Arial" w:hAnsi="Arial" w:cs="Arial"/>
                <w:sz w:val="20"/>
                <w:szCs w:val="20"/>
              </w:rPr>
            </w:pPr>
            <w:r w:rsidRPr="00007C5C">
              <w:rPr>
                <w:rFonts w:ascii="Arial" w:hAnsi="Arial" w:cs="Arial"/>
                <w:b/>
                <w:sz w:val="20"/>
                <w:szCs w:val="20"/>
              </w:rPr>
              <w:t>Fuente y base de datos:</w:t>
            </w:r>
          </w:p>
        </w:tc>
        <w:tc>
          <w:tcPr>
            <w:tcW w:w="6219" w:type="dxa"/>
            <w:gridSpan w:val="9"/>
            <w:shd w:val="clear" w:color="auto" w:fill="auto"/>
            <w:tcMar>
              <w:top w:w="51" w:type="dxa"/>
              <w:left w:w="227" w:type="dxa"/>
              <w:bottom w:w="51" w:type="dxa"/>
              <w:right w:w="227" w:type="dxa"/>
            </w:tcMar>
            <w:vAlign w:val="center"/>
          </w:tcPr>
          <w:p w14:paraId="1A8541AC" w14:textId="2A6345E7" w:rsidR="007C046C" w:rsidRPr="00007C5C" w:rsidRDefault="007C046C" w:rsidP="00160C8B">
            <w:pPr>
              <w:spacing w:after="0" w:line="240" w:lineRule="auto"/>
              <w:rPr>
                <w:rFonts w:ascii="Arial" w:eastAsia="Arial Narrow" w:hAnsi="Arial" w:cs="Arial"/>
                <w:sz w:val="20"/>
                <w:szCs w:val="20"/>
              </w:rPr>
            </w:pPr>
            <w:r w:rsidRPr="00007C5C">
              <w:rPr>
                <w:rFonts w:ascii="Arial" w:eastAsia="Arial Narrow" w:hAnsi="Arial" w:cs="Arial"/>
                <w:sz w:val="20"/>
                <w:szCs w:val="20"/>
              </w:rPr>
              <w:t xml:space="preserve">Fuente: Dirección de Supervisión y Fiscalización Forestal y de Fauna Silvestre </w:t>
            </w:r>
            <w:r w:rsidR="00795A3B">
              <w:rPr>
                <w:rFonts w:ascii="Arial" w:eastAsia="Arial Narrow" w:hAnsi="Arial" w:cs="Arial"/>
                <w:sz w:val="20"/>
                <w:szCs w:val="20"/>
              </w:rPr>
              <w:t xml:space="preserve">del </w:t>
            </w:r>
            <w:r w:rsidR="00795A3B" w:rsidRPr="00795A3B">
              <w:rPr>
                <w:rFonts w:ascii="Arial" w:eastAsia="Arial Narrow" w:hAnsi="Arial" w:cs="Arial"/>
                <w:sz w:val="20"/>
                <w:szCs w:val="20"/>
              </w:rPr>
              <w:t xml:space="preserve">Organismo de Supervisión de los Recursos Forestales y de Fauna Silvestre </w:t>
            </w:r>
            <w:r w:rsidRPr="00007C5C">
              <w:rPr>
                <w:rFonts w:ascii="Arial" w:eastAsia="Arial Narrow" w:hAnsi="Arial" w:cs="Arial"/>
                <w:sz w:val="20"/>
                <w:szCs w:val="20"/>
              </w:rPr>
              <w:t xml:space="preserve">- OSINFOR </w:t>
            </w:r>
            <w:r w:rsidRPr="00007C5C">
              <w:rPr>
                <w:rFonts w:ascii="Arial" w:eastAsia="Arial Narrow" w:hAnsi="Arial" w:cs="Arial"/>
                <w:sz w:val="20"/>
                <w:szCs w:val="20"/>
              </w:rPr>
              <w:br/>
              <w:t xml:space="preserve">Base de datos: Sistema de Información Gerencial del OSINFOR </w:t>
            </w:r>
            <w:r w:rsidR="00795A3B">
              <w:rPr>
                <w:rFonts w:ascii="Arial" w:eastAsia="Arial Narrow" w:hAnsi="Arial" w:cs="Arial"/>
                <w:sz w:val="20"/>
                <w:szCs w:val="20"/>
              </w:rPr>
              <w:t>–</w:t>
            </w:r>
            <w:r w:rsidRPr="00007C5C">
              <w:rPr>
                <w:rFonts w:ascii="Arial" w:eastAsia="Arial Narrow" w:hAnsi="Arial" w:cs="Arial"/>
                <w:sz w:val="20"/>
                <w:szCs w:val="20"/>
              </w:rPr>
              <w:t xml:space="preserve"> SIGOSFC</w:t>
            </w:r>
          </w:p>
        </w:tc>
      </w:tr>
      <w:tr w:rsidR="007C046C" w:rsidRPr="00007C5C" w14:paraId="3408CBC5" w14:textId="77777777" w:rsidTr="007C046C">
        <w:trPr>
          <w:trHeight w:val="436"/>
        </w:trPr>
        <w:tc>
          <w:tcPr>
            <w:tcW w:w="2428" w:type="dxa"/>
            <w:gridSpan w:val="4"/>
            <w:shd w:val="clear" w:color="auto" w:fill="auto"/>
            <w:tcMar>
              <w:top w:w="10" w:type="dxa"/>
              <w:left w:w="93" w:type="dxa"/>
              <w:bottom w:w="0" w:type="dxa"/>
              <w:right w:w="10" w:type="dxa"/>
            </w:tcMar>
            <w:vAlign w:val="center"/>
          </w:tcPr>
          <w:p w14:paraId="60994EB8" w14:textId="77777777" w:rsidR="007C046C" w:rsidRPr="00007C5C" w:rsidRDefault="007C046C" w:rsidP="00160C8B">
            <w:pPr>
              <w:spacing w:after="0" w:line="240" w:lineRule="auto"/>
              <w:rPr>
                <w:rFonts w:ascii="Arial" w:hAnsi="Arial" w:cs="Arial"/>
                <w:sz w:val="20"/>
                <w:szCs w:val="20"/>
              </w:rPr>
            </w:pPr>
            <w:r w:rsidRPr="00007C5C">
              <w:rPr>
                <w:rFonts w:ascii="Arial" w:hAnsi="Arial" w:cs="Arial"/>
                <w:b/>
                <w:sz w:val="20"/>
                <w:szCs w:val="20"/>
              </w:rPr>
              <w:t>Supuestos:</w:t>
            </w:r>
          </w:p>
        </w:tc>
        <w:tc>
          <w:tcPr>
            <w:tcW w:w="6219" w:type="dxa"/>
            <w:gridSpan w:val="9"/>
            <w:shd w:val="clear" w:color="auto" w:fill="auto"/>
            <w:tcMar>
              <w:top w:w="51" w:type="dxa"/>
              <w:left w:w="227" w:type="dxa"/>
              <w:bottom w:w="51" w:type="dxa"/>
              <w:right w:w="227" w:type="dxa"/>
            </w:tcMar>
            <w:vAlign w:val="center"/>
          </w:tcPr>
          <w:p w14:paraId="746DD171" w14:textId="77777777" w:rsidR="007C046C" w:rsidRPr="00007C5C" w:rsidRDefault="007C046C" w:rsidP="00160C8B">
            <w:pPr>
              <w:spacing w:after="0" w:line="240" w:lineRule="auto"/>
              <w:rPr>
                <w:rFonts w:ascii="Arial" w:eastAsia="Arial Narrow" w:hAnsi="Arial" w:cs="Arial"/>
                <w:sz w:val="20"/>
                <w:szCs w:val="20"/>
              </w:rPr>
            </w:pPr>
            <w:r>
              <w:rPr>
                <w:rFonts w:ascii="Arial" w:eastAsia="Arial Narrow" w:hAnsi="Arial" w:cs="Arial"/>
                <w:sz w:val="20"/>
                <w:szCs w:val="20"/>
              </w:rPr>
              <w:t>No presenta supuestos</w:t>
            </w:r>
          </w:p>
        </w:tc>
      </w:tr>
      <w:tr w:rsidR="007C046C" w:rsidRPr="00007C5C" w14:paraId="74B0CE26" w14:textId="77777777" w:rsidTr="008B2FF3">
        <w:trPr>
          <w:trHeight w:val="397"/>
        </w:trPr>
        <w:tc>
          <w:tcPr>
            <w:tcW w:w="1702" w:type="dxa"/>
            <w:gridSpan w:val="2"/>
            <w:shd w:val="clear" w:color="auto" w:fill="auto"/>
            <w:tcMar>
              <w:top w:w="10" w:type="dxa"/>
              <w:left w:w="10" w:type="dxa"/>
              <w:bottom w:w="0" w:type="dxa"/>
              <w:right w:w="10" w:type="dxa"/>
            </w:tcMar>
            <w:vAlign w:val="center"/>
          </w:tcPr>
          <w:p w14:paraId="507E17D0" w14:textId="77777777" w:rsidR="007C046C" w:rsidRPr="00007C5C" w:rsidRDefault="007C046C" w:rsidP="00795A3B">
            <w:pPr>
              <w:spacing w:after="0" w:line="240" w:lineRule="auto"/>
              <w:jc w:val="center"/>
              <w:rPr>
                <w:rFonts w:ascii="Arial" w:hAnsi="Arial" w:cs="Arial"/>
                <w:sz w:val="20"/>
                <w:szCs w:val="20"/>
              </w:rPr>
            </w:pPr>
            <w:r w:rsidRPr="00007C5C">
              <w:rPr>
                <w:rFonts w:ascii="Arial" w:hAnsi="Arial" w:cs="Arial"/>
                <w:b/>
                <w:sz w:val="20"/>
                <w:szCs w:val="20"/>
              </w:rPr>
              <w:t>Línea de base</w:t>
            </w:r>
          </w:p>
        </w:tc>
        <w:tc>
          <w:tcPr>
            <w:tcW w:w="6945" w:type="dxa"/>
            <w:gridSpan w:val="11"/>
            <w:shd w:val="clear" w:color="auto" w:fill="auto"/>
            <w:tcMar>
              <w:top w:w="10" w:type="dxa"/>
              <w:left w:w="10" w:type="dxa"/>
              <w:bottom w:w="0" w:type="dxa"/>
              <w:right w:w="10" w:type="dxa"/>
            </w:tcMar>
            <w:vAlign w:val="center"/>
          </w:tcPr>
          <w:p w14:paraId="106458D6" w14:textId="326D4428" w:rsidR="007C046C" w:rsidRPr="00007C5C" w:rsidRDefault="007C046C" w:rsidP="00795A3B">
            <w:pPr>
              <w:spacing w:after="0" w:line="240" w:lineRule="auto"/>
              <w:jc w:val="center"/>
              <w:rPr>
                <w:rFonts w:ascii="Arial" w:hAnsi="Arial" w:cs="Arial"/>
                <w:sz w:val="20"/>
                <w:szCs w:val="20"/>
              </w:rPr>
            </w:pPr>
            <w:r w:rsidRPr="00007C5C">
              <w:rPr>
                <w:rFonts w:ascii="Arial" w:hAnsi="Arial" w:cs="Arial"/>
                <w:b/>
                <w:sz w:val="20"/>
                <w:szCs w:val="20"/>
              </w:rPr>
              <w:t>Logros esperados</w:t>
            </w:r>
          </w:p>
        </w:tc>
      </w:tr>
      <w:tr w:rsidR="007C046C" w:rsidRPr="00007C5C" w14:paraId="5268F584" w14:textId="77777777" w:rsidTr="008B2FF3">
        <w:trPr>
          <w:trHeight w:val="340"/>
        </w:trPr>
        <w:tc>
          <w:tcPr>
            <w:tcW w:w="566" w:type="dxa"/>
            <w:shd w:val="clear" w:color="auto" w:fill="auto"/>
            <w:tcMar>
              <w:top w:w="10" w:type="dxa"/>
              <w:left w:w="10" w:type="dxa"/>
              <w:bottom w:w="0" w:type="dxa"/>
              <w:right w:w="10" w:type="dxa"/>
            </w:tcMar>
            <w:vAlign w:val="center"/>
          </w:tcPr>
          <w:p w14:paraId="3DE181CA" w14:textId="77777777" w:rsidR="007C046C" w:rsidRPr="00007C5C" w:rsidRDefault="007C046C" w:rsidP="00795A3B">
            <w:pPr>
              <w:spacing w:after="0" w:line="240" w:lineRule="auto"/>
              <w:jc w:val="center"/>
              <w:rPr>
                <w:rFonts w:ascii="Arial" w:hAnsi="Arial" w:cs="Arial"/>
                <w:sz w:val="20"/>
                <w:szCs w:val="20"/>
              </w:rPr>
            </w:pPr>
            <w:r w:rsidRPr="00007C5C">
              <w:rPr>
                <w:rFonts w:ascii="Arial" w:hAnsi="Arial" w:cs="Arial"/>
                <w:b/>
                <w:sz w:val="20"/>
                <w:szCs w:val="20"/>
              </w:rPr>
              <w:t>Año</w:t>
            </w:r>
          </w:p>
        </w:tc>
        <w:tc>
          <w:tcPr>
            <w:tcW w:w="1136" w:type="dxa"/>
            <w:shd w:val="clear" w:color="auto" w:fill="auto"/>
            <w:tcMar>
              <w:top w:w="10" w:type="dxa"/>
              <w:left w:w="10" w:type="dxa"/>
              <w:bottom w:w="0" w:type="dxa"/>
              <w:right w:w="10" w:type="dxa"/>
            </w:tcMar>
            <w:vAlign w:val="center"/>
          </w:tcPr>
          <w:p w14:paraId="0F3CF123" w14:textId="77777777" w:rsidR="007C046C" w:rsidRPr="00116CDF" w:rsidRDefault="007C046C" w:rsidP="00795A3B">
            <w:pPr>
              <w:spacing w:after="0" w:line="240" w:lineRule="auto"/>
              <w:jc w:val="center"/>
              <w:rPr>
                <w:rFonts w:ascii="Arial" w:hAnsi="Arial" w:cs="Arial"/>
                <w:b/>
                <w:bCs/>
                <w:sz w:val="20"/>
                <w:szCs w:val="20"/>
              </w:rPr>
            </w:pPr>
            <w:r w:rsidRPr="00116CDF">
              <w:rPr>
                <w:rFonts w:ascii="Arial" w:eastAsia="Arial Narrow" w:hAnsi="Arial" w:cs="Arial"/>
                <w:b/>
                <w:bCs/>
                <w:sz w:val="20"/>
                <w:szCs w:val="20"/>
              </w:rPr>
              <w:t>2022</w:t>
            </w:r>
          </w:p>
        </w:tc>
        <w:tc>
          <w:tcPr>
            <w:tcW w:w="708" w:type="dxa"/>
            <w:shd w:val="clear" w:color="auto" w:fill="auto"/>
            <w:tcMar>
              <w:top w:w="10" w:type="dxa"/>
              <w:left w:w="10" w:type="dxa"/>
              <w:bottom w:w="0" w:type="dxa"/>
              <w:right w:w="10" w:type="dxa"/>
            </w:tcMar>
            <w:vAlign w:val="center"/>
          </w:tcPr>
          <w:p w14:paraId="2FFB7B85" w14:textId="77777777" w:rsidR="007C046C" w:rsidRPr="00007C5C" w:rsidRDefault="007C046C" w:rsidP="00795A3B">
            <w:pPr>
              <w:spacing w:after="0" w:line="240" w:lineRule="auto"/>
              <w:jc w:val="center"/>
              <w:rPr>
                <w:rFonts w:ascii="Arial" w:hAnsi="Arial" w:cs="Arial"/>
                <w:b/>
                <w:sz w:val="20"/>
                <w:szCs w:val="20"/>
              </w:rPr>
            </w:pPr>
            <w:r w:rsidRPr="00007C5C">
              <w:rPr>
                <w:rFonts w:ascii="Arial" w:hAnsi="Arial" w:cs="Arial"/>
                <w:b/>
                <w:sz w:val="20"/>
                <w:szCs w:val="20"/>
              </w:rPr>
              <w:t>2023</w:t>
            </w:r>
          </w:p>
        </w:tc>
        <w:tc>
          <w:tcPr>
            <w:tcW w:w="1134" w:type="dxa"/>
            <w:gridSpan w:val="2"/>
            <w:shd w:val="clear" w:color="auto" w:fill="auto"/>
            <w:vAlign w:val="center"/>
          </w:tcPr>
          <w:p w14:paraId="5DBE72CF" w14:textId="77777777" w:rsidR="007C046C" w:rsidRPr="00007C5C" w:rsidRDefault="007C046C" w:rsidP="00795A3B">
            <w:pPr>
              <w:spacing w:after="0" w:line="240" w:lineRule="auto"/>
              <w:jc w:val="center"/>
              <w:rPr>
                <w:rFonts w:ascii="Arial" w:hAnsi="Arial" w:cs="Arial"/>
                <w:b/>
                <w:sz w:val="20"/>
                <w:szCs w:val="20"/>
              </w:rPr>
            </w:pPr>
            <w:r w:rsidRPr="00007C5C">
              <w:rPr>
                <w:rFonts w:ascii="Arial" w:hAnsi="Arial" w:cs="Arial"/>
                <w:b/>
                <w:sz w:val="20"/>
                <w:szCs w:val="20"/>
              </w:rPr>
              <w:t>2024</w:t>
            </w:r>
          </w:p>
        </w:tc>
        <w:tc>
          <w:tcPr>
            <w:tcW w:w="851" w:type="dxa"/>
            <w:gridSpan w:val="2"/>
            <w:shd w:val="clear" w:color="auto" w:fill="auto"/>
            <w:vAlign w:val="center"/>
          </w:tcPr>
          <w:p w14:paraId="6E4752B4" w14:textId="77777777" w:rsidR="007C046C" w:rsidRPr="00007C5C" w:rsidRDefault="007C046C" w:rsidP="00795A3B">
            <w:pPr>
              <w:spacing w:after="0" w:line="240" w:lineRule="auto"/>
              <w:jc w:val="center"/>
              <w:rPr>
                <w:rFonts w:ascii="Arial" w:hAnsi="Arial" w:cs="Arial"/>
                <w:b/>
                <w:sz w:val="20"/>
                <w:szCs w:val="20"/>
              </w:rPr>
            </w:pPr>
            <w:r w:rsidRPr="00007C5C">
              <w:rPr>
                <w:rFonts w:ascii="Arial" w:hAnsi="Arial" w:cs="Arial"/>
                <w:b/>
                <w:sz w:val="20"/>
                <w:szCs w:val="20"/>
              </w:rPr>
              <w:t>2025</w:t>
            </w:r>
          </w:p>
        </w:tc>
        <w:tc>
          <w:tcPr>
            <w:tcW w:w="992" w:type="dxa"/>
            <w:shd w:val="clear" w:color="auto" w:fill="auto"/>
            <w:vAlign w:val="center"/>
          </w:tcPr>
          <w:p w14:paraId="413CA59F" w14:textId="77777777" w:rsidR="007C046C" w:rsidRPr="00007C5C" w:rsidRDefault="007C046C" w:rsidP="00795A3B">
            <w:pPr>
              <w:spacing w:after="0" w:line="240" w:lineRule="auto"/>
              <w:jc w:val="center"/>
              <w:rPr>
                <w:rFonts w:ascii="Arial" w:hAnsi="Arial" w:cs="Arial"/>
                <w:b/>
                <w:sz w:val="20"/>
                <w:szCs w:val="20"/>
              </w:rPr>
            </w:pPr>
            <w:r w:rsidRPr="00007C5C">
              <w:rPr>
                <w:rFonts w:ascii="Arial" w:hAnsi="Arial" w:cs="Arial"/>
                <w:b/>
                <w:sz w:val="20"/>
                <w:szCs w:val="20"/>
              </w:rPr>
              <w:t>2026</w:t>
            </w:r>
          </w:p>
        </w:tc>
        <w:tc>
          <w:tcPr>
            <w:tcW w:w="851" w:type="dxa"/>
            <w:shd w:val="clear" w:color="auto" w:fill="auto"/>
            <w:vAlign w:val="center"/>
          </w:tcPr>
          <w:p w14:paraId="4EAAA3B2" w14:textId="77777777" w:rsidR="007C046C" w:rsidRPr="00007C5C" w:rsidRDefault="007C046C" w:rsidP="00795A3B">
            <w:pPr>
              <w:spacing w:after="0" w:line="240" w:lineRule="auto"/>
              <w:jc w:val="center"/>
              <w:rPr>
                <w:rFonts w:ascii="Arial" w:hAnsi="Arial" w:cs="Arial"/>
                <w:b/>
                <w:sz w:val="20"/>
                <w:szCs w:val="20"/>
              </w:rPr>
            </w:pPr>
            <w:r w:rsidRPr="00007C5C">
              <w:rPr>
                <w:rFonts w:ascii="Arial" w:hAnsi="Arial" w:cs="Arial"/>
                <w:b/>
                <w:sz w:val="20"/>
                <w:szCs w:val="20"/>
              </w:rPr>
              <w:t>2027</w:t>
            </w:r>
          </w:p>
        </w:tc>
        <w:tc>
          <w:tcPr>
            <w:tcW w:w="850" w:type="dxa"/>
            <w:gridSpan w:val="2"/>
            <w:shd w:val="clear" w:color="auto" w:fill="auto"/>
            <w:vAlign w:val="center"/>
          </w:tcPr>
          <w:p w14:paraId="0356C2D4" w14:textId="77777777" w:rsidR="007C046C" w:rsidRPr="00007C5C" w:rsidRDefault="007C046C" w:rsidP="00795A3B">
            <w:pPr>
              <w:spacing w:after="0" w:line="240" w:lineRule="auto"/>
              <w:jc w:val="center"/>
              <w:rPr>
                <w:rFonts w:ascii="Arial" w:hAnsi="Arial" w:cs="Arial"/>
                <w:b/>
                <w:sz w:val="20"/>
                <w:szCs w:val="20"/>
              </w:rPr>
            </w:pPr>
            <w:r w:rsidRPr="00007C5C">
              <w:rPr>
                <w:rFonts w:ascii="Arial" w:hAnsi="Arial" w:cs="Arial"/>
                <w:b/>
                <w:sz w:val="20"/>
                <w:szCs w:val="20"/>
              </w:rPr>
              <w:t>2028</w:t>
            </w:r>
          </w:p>
        </w:tc>
        <w:tc>
          <w:tcPr>
            <w:tcW w:w="851" w:type="dxa"/>
            <w:shd w:val="clear" w:color="auto" w:fill="auto"/>
            <w:vAlign w:val="center"/>
          </w:tcPr>
          <w:p w14:paraId="327CE65B" w14:textId="77777777" w:rsidR="007C046C" w:rsidRPr="00007C5C" w:rsidRDefault="007C046C" w:rsidP="00795A3B">
            <w:pPr>
              <w:spacing w:after="0" w:line="240" w:lineRule="auto"/>
              <w:jc w:val="center"/>
              <w:rPr>
                <w:rFonts w:ascii="Arial" w:hAnsi="Arial" w:cs="Arial"/>
                <w:b/>
                <w:sz w:val="20"/>
                <w:szCs w:val="20"/>
              </w:rPr>
            </w:pPr>
            <w:r w:rsidRPr="00007C5C">
              <w:rPr>
                <w:rFonts w:ascii="Arial" w:hAnsi="Arial" w:cs="Arial"/>
                <w:b/>
                <w:sz w:val="20"/>
                <w:szCs w:val="20"/>
              </w:rPr>
              <w:t>2029</w:t>
            </w:r>
          </w:p>
        </w:tc>
        <w:tc>
          <w:tcPr>
            <w:tcW w:w="708" w:type="dxa"/>
            <w:shd w:val="clear" w:color="auto" w:fill="auto"/>
            <w:tcMar>
              <w:top w:w="10" w:type="dxa"/>
              <w:left w:w="10" w:type="dxa"/>
              <w:bottom w:w="0" w:type="dxa"/>
              <w:right w:w="10" w:type="dxa"/>
            </w:tcMar>
            <w:vAlign w:val="center"/>
          </w:tcPr>
          <w:p w14:paraId="7C9DF265" w14:textId="77777777" w:rsidR="007C046C" w:rsidRPr="00007C5C" w:rsidRDefault="007C046C" w:rsidP="00795A3B">
            <w:pPr>
              <w:spacing w:after="0" w:line="240" w:lineRule="auto"/>
              <w:jc w:val="center"/>
              <w:rPr>
                <w:rFonts w:ascii="Arial" w:hAnsi="Arial" w:cs="Arial"/>
                <w:b/>
                <w:sz w:val="20"/>
                <w:szCs w:val="20"/>
              </w:rPr>
            </w:pPr>
            <w:r w:rsidRPr="00007C5C">
              <w:rPr>
                <w:rFonts w:ascii="Arial" w:hAnsi="Arial" w:cs="Arial"/>
                <w:b/>
                <w:sz w:val="20"/>
                <w:szCs w:val="20"/>
              </w:rPr>
              <w:t>2030</w:t>
            </w:r>
          </w:p>
        </w:tc>
      </w:tr>
      <w:tr w:rsidR="007C046C" w:rsidRPr="00007C5C" w14:paraId="0C782488" w14:textId="77777777" w:rsidTr="008B2FF3">
        <w:trPr>
          <w:trHeight w:val="340"/>
        </w:trPr>
        <w:tc>
          <w:tcPr>
            <w:tcW w:w="566" w:type="dxa"/>
            <w:shd w:val="clear" w:color="auto" w:fill="auto"/>
            <w:tcMar>
              <w:top w:w="10" w:type="dxa"/>
              <w:left w:w="10" w:type="dxa"/>
              <w:bottom w:w="0" w:type="dxa"/>
              <w:right w:w="10" w:type="dxa"/>
            </w:tcMar>
            <w:vAlign w:val="center"/>
          </w:tcPr>
          <w:p w14:paraId="1F9FA74A" w14:textId="77777777" w:rsidR="007C046C" w:rsidRPr="00007C5C" w:rsidRDefault="007C046C" w:rsidP="00795A3B">
            <w:pPr>
              <w:spacing w:after="0" w:line="240" w:lineRule="auto"/>
              <w:jc w:val="center"/>
              <w:rPr>
                <w:rFonts w:ascii="Arial" w:hAnsi="Arial" w:cs="Arial"/>
                <w:sz w:val="20"/>
                <w:szCs w:val="20"/>
              </w:rPr>
            </w:pPr>
            <w:r w:rsidRPr="00007C5C">
              <w:rPr>
                <w:rFonts w:ascii="Arial" w:hAnsi="Arial" w:cs="Arial"/>
                <w:b/>
                <w:sz w:val="20"/>
                <w:szCs w:val="20"/>
              </w:rPr>
              <w:t>Valor</w:t>
            </w:r>
          </w:p>
        </w:tc>
        <w:tc>
          <w:tcPr>
            <w:tcW w:w="1136" w:type="dxa"/>
            <w:shd w:val="clear" w:color="auto" w:fill="auto"/>
            <w:tcMar>
              <w:top w:w="10" w:type="dxa"/>
              <w:left w:w="10" w:type="dxa"/>
              <w:bottom w:w="0" w:type="dxa"/>
              <w:right w:w="10" w:type="dxa"/>
            </w:tcMar>
            <w:vAlign w:val="center"/>
          </w:tcPr>
          <w:p w14:paraId="4AE18FA8" w14:textId="77777777" w:rsidR="007C046C" w:rsidRPr="00116CDF" w:rsidRDefault="007C046C" w:rsidP="00795A3B">
            <w:pPr>
              <w:spacing w:after="0" w:line="240" w:lineRule="auto"/>
              <w:jc w:val="center"/>
              <w:rPr>
                <w:rFonts w:ascii="Arial" w:hAnsi="Arial" w:cs="Arial"/>
                <w:sz w:val="20"/>
                <w:szCs w:val="20"/>
              </w:rPr>
            </w:pPr>
            <w:r w:rsidRPr="00116CDF">
              <w:rPr>
                <w:rFonts w:ascii="Arial" w:hAnsi="Arial" w:cs="Arial"/>
                <w:sz w:val="20"/>
                <w:szCs w:val="20"/>
              </w:rPr>
              <w:t>62%</w:t>
            </w:r>
          </w:p>
        </w:tc>
        <w:tc>
          <w:tcPr>
            <w:tcW w:w="708" w:type="dxa"/>
            <w:shd w:val="clear" w:color="auto" w:fill="auto"/>
            <w:tcMar>
              <w:top w:w="10" w:type="dxa"/>
              <w:left w:w="10" w:type="dxa"/>
              <w:bottom w:w="0" w:type="dxa"/>
              <w:right w:w="10" w:type="dxa"/>
            </w:tcMar>
            <w:vAlign w:val="center"/>
          </w:tcPr>
          <w:p w14:paraId="4A510EB3" w14:textId="77777777" w:rsidR="007C046C" w:rsidRPr="00E57938" w:rsidRDefault="007C046C" w:rsidP="00795A3B">
            <w:pPr>
              <w:spacing w:after="0" w:line="240" w:lineRule="auto"/>
              <w:jc w:val="center"/>
              <w:rPr>
                <w:rFonts w:ascii="Arial" w:hAnsi="Arial" w:cs="Arial"/>
                <w:sz w:val="20"/>
                <w:szCs w:val="20"/>
              </w:rPr>
            </w:pPr>
            <w:r w:rsidRPr="00E57938">
              <w:rPr>
                <w:rFonts w:ascii="Arial" w:hAnsi="Arial" w:cs="Arial"/>
                <w:color w:val="000000"/>
                <w:sz w:val="20"/>
                <w:szCs w:val="20"/>
              </w:rPr>
              <w:t>66%</w:t>
            </w:r>
          </w:p>
        </w:tc>
        <w:tc>
          <w:tcPr>
            <w:tcW w:w="1134" w:type="dxa"/>
            <w:gridSpan w:val="2"/>
            <w:shd w:val="clear" w:color="auto" w:fill="auto"/>
            <w:vAlign w:val="center"/>
          </w:tcPr>
          <w:p w14:paraId="22ADCDBC" w14:textId="77777777" w:rsidR="007C046C" w:rsidRPr="00E57938" w:rsidRDefault="007C046C" w:rsidP="00795A3B">
            <w:pPr>
              <w:spacing w:after="0" w:line="240" w:lineRule="auto"/>
              <w:jc w:val="center"/>
              <w:rPr>
                <w:rFonts w:ascii="Arial" w:hAnsi="Arial" w:cs="Arial"/>
                <w:sz w:val="20"/>
                <w:szCs w:val="20"/>
              </w:rPr>
            </w:pPr>
            <w:r w:rsidRPr="00E57938">
              <w:rPr>
                <w:rFonts w:ascii="Arial" w:hAnsi="Arial" w:cs="Arial"/>
                <w:color w:val="000000"/>
                <w:sz w:val="20"/>
                <w:szCs w:val="20"/>
              </w:rPr>
              <w:t>69%</w:t>
            </w:r>
          </w:p>
        </w:tc>
        <w:tc>
          <w:tcPr>
            <w:tcW w:w="851" w:type="dxa"/>
            <w:gridSpan w:val="2"/>
            <w:shd w:val="clear" w:color="auto" w:fill="auto"/>
            <w:vAlign w:val="center"/>
          </w:tcPr>
          <w:p w14:paraId="00BA5D92" w14:textId="77777777" w:rsidR="007C046C" w:rsidRPr="00E57938" w:rsidRDefault="007C046C" w:rsidP="00795A3B">
            <w:pPr>
              <w:spacing w:after="0" w:line="240" w:lineRule="auto"/>
              <w:jc w:val="center"/>
              <w:rPr>
                <w:rFonts w:ascii="Arial" w:hAnsi="Arial" w:cs="Arial"/>
                <w:sz w:val="20"/>
                <w:szCs w:val="20"/>
              </w:rPr>
            </w:pPr>
            <w:r w:rsidRPr="00E57938">
              <w:rPr>
                <w:rFonts w:ascii="Arial" w:hAnsi="Arial" w:cs="Arial"/>
                <w:color w:val="000000"/>
                <w:sz w:val="20"/>
                <w:szCs w:val="20"/>
              </w:rPr>
              <w:t>72%</w:t>
            </w:r>
          </w:p>
        </w:tc>
        <w:tc>
          <w:tcPr>
            <w:tcW w:w="992" w:type="dxa"/>
            <w:shd w:val="clear" w:color="auto" w:fill="auto"/>
            <w:vAlign w:val="center"/>
          </w:tcPr>
          <w:p w14:paraId="08A46D54" w14:textId="77777777" w:rsidR="007C046C" w:rsidRPr="00E57938" w:rsidRDefault="007C046C" w:rsidP="00795A3B">
            <w:pPr>
              <w:spacing w:after="0" w:line="240" w:lineRule="auto"/>
              <w:jc w:val="center"/>
              <w:rPr>
                <w:rFonts w:ascii="Arial" w:hAnsi="Arial" w:cs="Arial"/>
                <w:sz w:val="20"/>
                <w:szCs w:val="20"/>
              </w:rPr>
            </w:pPr>
            <w:r w:rsidRPr="00E57938">
              <w:rPr>
                <w:rFonts w:ascii="Arial" w:hAnsi="Arial" w:cs="Arial"/>
                <w:color w:val="000000"/>
                <w:sz w:val="20"/>
                <w:szCs w:val="20"/>
              </w:rPr>
              <w:t>75%</w:t>
            </w:r>
          </w:p>
        </w:tc>
        <w:tc>
          <w:tcPr>
            <w:tcW w:w="851" w:type="dxa"/>
            <w:shd w:val="clear" w:color="auto" w:fill="auto"/>
            <w:vAlign w:val="center"/>
          </w:tcPr>
          <w:p w14:paraId="2702E757" w14:textId="77777777" w:rsidR="007C046C" w:rsidRPr="00E57938" w:rsidRDefault="007C046C" w:rsidP="00795A3B">
            <w:pPr>
              <w:spacing w:after="0" w:line="240" w:lineRule="auto"/>
              <w:jc w:val="center"/>
              <w:rPr>
                <w:rFonts w:ascii="Arial" w:hAnsi="Arial" w:cs="Arial"/>
                <w:sz w:val="20"/>
                <w:szCs w:val="20"/>
              </w:rPr>
            </w:pPr>
            <w:r w:rsidRPr="00E57938">
              <w:rPr>
                <w:rFonts w:ascii="Arial" w:hAnsi="Arial" w:cs="Arial"/>
                <w:color w:val="000000"/>
                <w:sz w:val="20"/>
                <w:szCs w:val="20"/>
              </w:rPr>
              <w:t>78%</w:t>
            </w:r>
          </w:p>
        </w:tc>
        <w:tc>
          <w:tcPr>
            <w:tcW w:w="850" w:type="dxa"/>
            <w:gridSpan w:val="2"/>
            <w:shd w:val="clear" w:color="auto" w:fill="auto"/>
            <w:vAlign w:val="center"/>
          </w:tcPr>
          <w:p w14:paraId="3571BFF2" w14:textId="77777777" w:rsidR="007C046C" w:rsidRPr="00E57938" w:rsidRDefault="007C046C" w:rsidP="00795A3B">
            <w:pPr>
              <w:spacing w:after="0" w:line="240" w:lineRule="auto"/>
              <w:jc w:val="center"/>
              <w:rPr>
                <w:rFonts w:ascii="Arial" w:hAnsi="Arial" w:cs="Arial"/>
                <w:sz w:val="20"/>
                <w:szCs w:val="20"/>
              </w:rPr>
            </w:pPr>
            <w:r w:rsidRPr="00E57938">
              <w:rPr>
                <w:rFonts w:ascii="Arial" w:hAnsi="Arial" w:cs="Arial"/>
                <w:color w:val="000000"/>
                <w:sz w:val="20"/>
                <w:szCs w:val="20"/>
              </w:rPr>
              <w:t>81%</w:t>
            </w:r>
          </w:p>
        </w:tc>
        <w:tc>
          <w:tcPr>
            <w:tcW w:w="851" w:type="dxa"/>
            <w:shd w:val="clear" w:color="auto" w:fill="auto"/>
            <w:vAlign w:val="center"/>
          </w:tcPr>
          <w:p w14:paraId="67DD861C" w14:textId="77777777" w:rsidR="007C046C" w:rsidRPr="00E57938" w:rsidRDefault="007C046C" w:rsidP="00795A3B">
            <w:pPr>
              <w:spacing w:after="0" w:line="240" w:lineRule="auto"/>
              <w:jc w:val="center"/>
              <w:rPr>
                <w:rFonts w:ascii="Arial" w:hAnsi="Arial" w:cs="Arial"/>
                <w:sz w:val="20"/>
                <w:szCs w:val="20"/>
              </w:rPr>
            </w:pPr>
            <w:r w:rsidRPr="00E57938">
              <w:rPr>
                <w:rFonts w:ascii="Arial" w:hAnsi="Arial" w:cs="Arial"/>
                <w:color w:val="000000"/>
                <w:sz w:val="20"/>
                <w:szCs w:val="20"/>
              </w:rPr>
              <w:t>83%</w:t>
            </w:r>
          </w:p>
        </w:tc>
        <w:tc>
          <w:tcPr>
            <w:tcW w:w="708" w:type="dxa"/>
            <w:shd w:val="clear" w:color="auto" w:fill="auto"/>
            <w:tcMar>
              <w:top w:w="10" w:type="dxa"/>
              <w:left w:w="10" w:type="dxa"/>
              <w:bottom w:w="0" w:type="dxa"/>
              <w:right w:w="10" w:type="dxa"/>
            </w:tcMar>
            <w:vAlign w:val="center"/>
          </w:tcPr>
          <w:p w14:paraId="386EC494" w14:textId="77777777" w:rsidR="007C046C" w:rsidRPr="00E57938" w:rsidRDefault="007C046C" w:rsidP="00795A3B">
            <w:pPr>
              <w:spacing w:after="0" w:line="240" w:lineRule="auto"/>
              <w:jc w:val="center"/>
              <w:rPr>
                <w:rFonts w:ascii="Arial" w:hAnsi="Arial" w:cs="Arial"/>
                <w:sz w:val="20"/>
                <w:szCs w:val="20"/>
              </w:rPr>
            </w:pPr>
            <w:r w:rsidRPr="00E57938">
              <w:rPr>
                <w:rFonts w:ascii="Arial" w:hAnsi="Arial" w:cs="Arial"/>
                <w:color w:val="000000"/>
                <w:sz w:val="20"/>
                <w:szCs w:val="20"/>
              </w:rPr>
              <w:t>85%</w:t>
            </w:r>
          </w:p>
        </w:tc>
      </w:tr>
    </w:tbl>
    <w:p w14:paraId="50BDD863" w14:textId="77777777" w:rsidR="00A90E9C" w:rsidRDefault="00A90E9C" w:rsidP="00A90E9C"/>
    <w:p w14:paraId="652CF3F0" w14:textId="77777777" w:rsidR="007C046C" w:rsidRPr="008A26D2" w:rsidRDefault="007C046C" w:rsidP="00A90E9C"/>
    <w:tbl>
      <w:tblPr>
        <w:tblW w:w="8222"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866"/>
        <w:gridCol w:w="711"/>
        <w:gridCol w:w="124"/>
        <w:gridCol w:w="851"/>
        <w:gridCol w:w="708"/>
        <w:gridCol w:w="284"/>
        <w:gridCol w:w="850"/>
        <w:gridCol w:w="851"/>
        <w:gridCol w:w="850"/>
        <w:gridCol w:w="709"/>
        <w:gridCol w:w="851"/>
      </w:tblGrid>
      <w:tr w:rsidR="008A26D2" w:rsidRPr="008A26D2" w14:paraId="45E8D970" w14:textId="77777777" w:rsidTr="00354D04">
        <w:trPr>
          <w:trHeight w:val="251"/>
        </w:trPr>
        <w:tc>
          <w:tcPr>
            <w:tcW w:w="8222" w:type="dxa"/>
            <w:gridSpan w:val="12"/>
            <w:shd w:val="clear" w:color="auto" w:fill="D9D9D9" w:themeFill="background1" w:themeFillShade="D9"/>
            <w:tcMar>
              <w:top w:w="10" w:type="dxa"/>
              <w:left w:w="10" w:type="dxa"/>
              <w:bottom w:w="0" w:type="dxa"/>
              <w:right w:w="10" w:type="dxa"/>
            </w:tcMar>
            <w:vAlign w:val="center"/>
          </w:tcPr>
          <w:p w14:paraId="1E232901" w14:textId="77777777" w:rsidR="00A90E9C" w:rsidRPr="008A26D2" w:rsidRDefault="00A90E9C" w:rsidP="00147D2E">
            <w:pPr>
              <w:jc w:val="center"/>
              <w:rPr>
                <w:rFonts w:ascii="Arial" w:hAnsi="Arial" w:cs="Arial"/>
                <w:sz w:val="20"/>
                <w:szCs w:val="20"/>
              </w:rPr>
            </w:pPr>
            <w:r w:rsidRPr="008A26D2">
              <w:rPr>
                <w:rFonts w:ascii="Arial" w:hAnsi="Arial" w:cs="Arial"/>
                <w:sz w:val="20"/>
                <w:szCs w:val="20"/>
              </w:rPr>
              <w:br w:type="page"/>
            </w:r>
            <w:r w:rsidRPr="008A26D2">
              <w:rPr>
                <w:rFonts w:ascii="Arial" w:hAnsi="Arial" w:cs="Arial"/>
                <w:b/>
                <w:sz w:val="20"/>
                <w:szCs w:val="20"/>
              </w:rPr>
              <w:t>FICHA TÉCNICA DE INDICADOR DE SERVICIO 1.10.1</w:t>
            </w:r>
          </w:p>
        </w:tc>
      </w:tr>
      <w:tr w:rsidR="008A26D2" w:rsidRPr="008A26D2" w14:paraId="7AD925C7" w14:textId="77777777" w:rsidTr="00354D04">
        <w:trPr>
          <w:trHeight w:val="409"/>
        </w:trPr>
        <w:tc>
          <w:tcPr>
            <w:tcW w:w="2144" w:type="dxa"/>
            <w:gridSpan w:val="3"/>
            <w:shd w:val="clear" w:color="auto" w:fill="FFFFFF"/>
            <w:tcMar>
              <w:top w:w="10" w:type="dxa"/>
              <w:left w:w="93" w:type="dxa"/>
              <w:bottom w:w="0" w:type="dxa"/>
              <w:right w:w="10" w:type="dxa"/>
            </w:tcMar>
            <w:vAlign w:val="center"/>
          </w:tcPr>
          <w:p w14:paraId="10EA81DF" w14:textId="77777777" w:rsidR="00A90E9C" w:rsidRPr="008A26D2" w:rsidRDefault="00A90E9C" w:rsidP="00147D2E">
            <w:pPr>
              <w:spacing w:after="0" w:line="240" w:lineRule="auto"/>
              <w:jc w:val="both"/>
              <w:rPr>
                <w:rFonts w:ascii="Arial" w:hAnsi="Arial" w:cs="Arial"/>
                <w:sz w:val="20"/>
                <w:szCs w:val="20"/>
              </w:rPr>
            </w:pPr>
            <w:r w:rsidRPr="008A26D2">
              <w:rPr>
                <w:rFonts w:ascii="Arial" w:hAnsi="Arial" w:cs="Arial"/>
                <w:b/>
                <w:sz w:val="20"/>
                <w:szCs w:val="20"/>
              </w:rPr>
              <w:t>Objetivo prioritario:</w:t>
            </w:r>
          </w:p>
        </w:tc>
        <w:tc>
          <w:tcPr>
            <w:tcW w:w="6078" w:type="dxa"/>
            <w:gridSpan w:val="9"/>
            <w:shd w:val="clear" w:color="auto" w:fill="FFFFFF"/>
            <w:tcMar>
              <w:top w:w="51" w:type="dxa"/>
              <w:left w:w="227" w:type="dxa"/>
              <w:bottom w:w="51" w:type="dxa"/>
              <w:right w:w="227" w:type="dxa"/>
            </w:tcMar>
            <w:vAlign w:val="center"/>
          </w:tcPr>
          <w:p w14:paraId="0F84F5DF" w14:textId="77777777" w:rsidR="00A90E9C" w:rsidRPr="008A26D2" w:rsidRDefault="00A90E9C" w:rsidP="00147D2E">
            <w:pPr>
              <w:spacing w:after="0" w:line="240" w:lineRule="auto"/>
              <w:jc w:val="both"/>
              <w:rPr>
                <w:rFonts w:ascii="Arial" w:hAnsi="Arial" w:cs="Arial"/>
                <w:sz w:val="20"/>
                <w:szCs w:val="20"/>
              </w:rPr>
            </w:pPr>
            <w:r w:rsidRPr="008A26D2">
              <w:rPr>
                <w:rFonts w:ascii="Arial" w:eastAsia="Arial Narrow" w:hAnsi="Arial" w:cs="Arial"/>
                <w:sz w:val="20"/>
                <w:szCs w:val="20"/>
              </w:rPr>
              <w:t xml:space="preserve">OP1 Mejorar las condiciones para la sostenibilidad de los ecosistemas forestales, otros ecosistemas de vegetación silvestre y de la fauna silvestre  </w:t>
            </w:r>
          </w:p>
        </w:tc>
      </w:tr>
      <w:tr w:rsidR="008A26D2" w:rsidRPr="008A26D2" w14:paraId="421B91E4" w14:textId="77777777" w:rsidTr="00354D04">
        <w:trPr>
          <w:trHeight w:val="436"/>
        </w:trPr>
        <w:tc>
          <w:tcPr>
            <w:tcW w:w="2144" w:type="dxa"/>
            <w:gridSpan w:val="3"/>
            <w:shd w:val="clear" w:color="auto" w:fill="auto"/>
            <w:tcMar>
              <w:top w:w="10" w:type="dxa"/>
              <w:left w:w="93" w:type="dxa"/>
              <w:bottom w:w="0" w:type="dxa"/>
              <w:right w:w="10" w:type="dxa"/>
            </w:tcMar>
            <w:vAlign w:val="center"/>
          </w:tcPr>
          <w:p w14:paraId="778B4537" w14:textId="77777777" w:rsidR="00A90E9C" w:rsidRPr="008A26D2" w:rsidRDefault="00A90E9C" w:rsidP="00147D2E">
            <w:pPr>
              <w:spacing w:after="0" w:line="240" w:lineRule="auto"/>
              <w:jc w:val="both"/>
              <w:rPr>
                <w:rFonts w:ascii="Arial" w:hAnsi="Arial" w:cs="Arial"/>
                <w:sz w:val="20"/>
                <w:szCs w:val="20"/>
              </w:rPr>
            </w:pPr>
            <w:r w:rsidRPr="008A26D2">
              <w:rPr>
                <w:rFonts w:ascii="Arial" w:hAnsi="Arial" w:cs="Arial"/>
                <w:b/>
                <w:sz w:val="20"/>
                <w:szCs w:val="20"/>
              </w:rPr>
              <w:t>Lineamiento de la política:</w:t>
            </w:r>
          </w:p>
        </w:tc>
        <w:tc>
          <w:tcPr>
            <w:tcW w:w="6078" w:type="dxa"/>
            <w:gridSpan w:val="9"/>
            <w:shd w:val="clear" w:color="auto" w:fill="auto"/>
            <w:tcMar>
              <w:top w:w="51" w:type="dxa"/>
              <w:left w:w="227" w:type="dxa"/>
              <w:bottom w:w="51" w:type="dxa"/>
              <w:right w:w="227" w:type="dxa"/>
            </w:tcMar>
            <w:vAlign w:val="center"/>
          </w:tcPr>
          <w:p w14:paraId="34EB4DFC" w14:textId="77777777" w:rsidR="00A90E9C" w:rsidRPr="008A26D2" w:rsidRDefault="00A90E9C" w:rsidP="00147D2E">
            <w:pPr>
              <w:spacing w:after="0" w:line="240" w:lineRule="auto"/>
              <w:jc w:val="both"/>
              <w:rPr>
                <w:rFonts w:ascii="Arial" w:hAnsi="Arial" w:cs="Arial"/>
                <w:sz w:val="20"/>
                <w:szCs w:val="20"/>
              </w:rPr>
            </w:pPr>
            <w:r w:rsidRPr="008A26D2">
              <w:rPr>
                <w:rFonts w:ascii="Arial" w:eastAsia="Arial Narrow" w:hAnsi="Arial" w:cs="Arial"/>
                <w:sz w:val="20"/>
                <w:szCs w:val="20"/>
              </w:rPr>
              <w:t>L1.10 Desarrollar programas de fortalecimiento de capacidades para la gestión eficiente del uso del territorio en los ecosistemas forestales y otros ecosistemas de vegetación silvestre contribuyendo a la adaptación del cambio climático.</w:t>
            </w:r>
          </w:p>
        </w:tc>
      </w:tr>
      <w:tr w:rsidR="008A26D2" w:rsidRPr="008A26D2" w14:paraId="7FEAB75D" w14:textId="77777777" w:rsidTr="00354D04">
        <w:trPr>
          <w:trHeight w:val="404"/>
        </w:trPr>
        <w:tc>
          <w:tcPr>
            <w:tcW w:w="2144" w:type="dxa"/>
            <w:gridSpan w:val="3"/>
            <w:shd w:val="clear" w:color="auto" w:fill="auto"/>
            <w:tcMar>
              <w:top w:w="10" w:type="dxa"/>
              <w:left w:w="93" w:type="dxa"/>
              <w:bottom w:w="0" w:type="dxa"/>
              <w:right w:w="10" w:type="dxa"/>
            </w:tcMar>
            <w:vAlign w:val="center"/>
          </w:tcPr>
          <w:p w14:paraId="36B8AD66" w14:textId="77777777" w:rsidR="00A90E9C" w:rsidRPr="008A26D2" w:rsidRDefault="00A90E9C" w:rsidP="00147D2E">
            <w:pPr>
              <w:spacing w:after="0" w:line="240" w:lineRule="auto"/>
              <w:jc w:val="both"/>
              <w:rPr>
                <w:rFonts w:ascii="Arial" w:hAnsi="Arial" w:cs="Arial"/>
                <w:sz w:val="20"/>
                <w:szCs w:val="20"/>
              </w:rPr>
            </w:pPr>
            <w:r w:rsidRPr="008A26D2">
              <w:rPr>
                <w:rFonts w:ascii="Arial" w:hAnsi="Arial" w:cs="Arial"/>
                <w:b/>
                <w:sz w:val="20"/>
                <w:szCs w:val="20"/>
              </w:rPr>
              <w:t>Nombre del servicio:</w:t>
            </w:r>
          </w:p>
        </w:tc>
        <w:tc>
          <w:tcPr>
            <w:tcW w:w="6078" w:type="dxa"/>
            <w:gridSpan w:val="9"/>
            <w:shd w:val="clear" w:color="auto" w:fill="auto"/>
            <w:tcMar>
              <w:top w:w="51" w:type="dxa"/>
              <w:left w:w="227" w:type="dxa"/>
              <w:bottom w:w="51" w:type="dxa"/>
              <w:right w:w="227" w:type="dxa"/>
            </w:tcMar>
            <w:vAlign w:val="center"/>
          </w:tcPr>
          <w:p w14:paraId="65E0E62A" w14:textId="683DFF73" w:rsidR="00A90E9C" w:rsidRPr="008A26D2" w:rsidRDefault="00A90E9C" w:rsidP="00147D2E">
            <w:pPr>
              <w:spacing w:after="0" w:line="240" w:lineRule="auto"/>
              <w:jc w:val="both"/>
              <w:rPr>
                <w:rFonts w:ascii="Arial" w:hAnsi="Arial" w:cs="Arial"/>
                <w:sz w:val="20"/>
                <w:szCs w:val="20"/>
              </w:rPr>
            </w:pPr>
            <w:r w:rsidRPr="008A26D2">
              <w:rPr>
                <w:rFonts w:ascii="Arial" w:eastAsia="Arial Narrow" w:hAnsi="Arial" w:cs="Arial"/>
                <w:sz w:val="20"/>
                <w:szCs w:val="20"/>
              </w:rPr>
              <w:t xml:space="preserve">S1.10.1 </w:t>
            </w:r>
            <w:r w:rsidR="00C31FC1" w:rsidRPr="008A26D2">
              <w:rPr>
                <w:rFonts w:ascii="Arial" w:eastAsia="Arial Narrow" w:hAnsi="Arial" w:cs="Arial"/>
                <w:sz w:val="20"/>
                <w:szCs w:val="20"/>
              </w:rPr>
              <w:t>Fortalecimiento de capacidades en gestión del uso del territorio para la conservación y aprovechamiento de los ecosistemas forestales y otros ecosistemas de vegetación silvestre de forma satisfactoria dirigida a las Autoridades Regionales Forestales y de Fauna Silvestre</w:t>
            </w:r>
            <w:r w:rsidRPr="008A26D2">
              <w:rPr>
                <w:rFonts w:ascii="Arial" w:eastAsia="Arial Narrow" w:hAnsi="Arial" w:cs="Arial"/>
                <w:sz w:val="20"/>
                <w:szCs w:val="20"/>
              </w:rPr>
              <w:t>.</w:t>
            </w:r>
          </w:p>
        </w:tc>
      </w:tr>
      <w:tr w:rsidR="008A26D2" w:rsidRPr="008A26D2" w14:paraId="3749FE85" w14:textId="77777777" w:rsidTr="00354D04">
        <w:trPr>
          <w:trHeight w:val="378"/>
        </w:trPr>
        <w:tc>
          <w:tcPr>
            <w:tcW w:w="2144" w:type="dxa"/>
            <w:gridSpan w:val="3"/>
            <w:shd w:val="clear" w:color="auto" w:fill="auto"/>
            <w:tcMar>
              <w:top w:w="10" w:type="dxa"/>
              <w:left w:w="93" w:type="dxa"/>
              <w:bottom w:w="0" w:type="dxa"/>
              <w:right w:w="10" w:type="dxa"/>
            </w:tcMar>
            <w:vAlign w:val="center"/>
          </w:tcPr>
          <w:p w14:paraId="6A897061" w14:textId="77777777" w:rsidR="00A90E9C" w:rsidRPr="008A26D2" w:rsidRDefault="00A90E9C" w:rsidP="00147D2E">
            <w:pPr>
              <w:spacing w:after="0" w:line="240" w:lineRule="auto"/>
              <w:jc w:val="both"/>
              <w:rPr>
                <w:rFonts w:ascii="Arial" w:hAnsi="Arial" w:cs="Arial"/>
                <w:sz w:val="20"/>
                <w:szCs w:val="20"/>
              </w:rPr>
            </w:pPr>
            <w:r w:rsidRPr="008A26D2">
              <w:rPr>
                <w:rFonts w:ascii="Arial" w:hAnsi="Arial" w:cs="Arial"/>
                <w:b/>
                <w:sz w:val="20"/>
                <w:szCs w:val="20"/>
              </w:rPr>
              <w:t>Nombre del indicador:</w:t>
            </w:r>
          </w:p>
        </w:tc>
        <w:tc>
          <w:tcPr>
            <w:tcW w:w="6078" w:type="dxa"/>
            <w:gridSpan w:val="9"/>
            <w:shd w:val="clear" w:color="auto" w:fill="auto"/>
            <w:tcMar>
              <w:top w:w="51" w:type="dxa"/>
              <w:left w:w="227" w:type="dxa"/>
              <w:bottom w:w="51" w:type="dxa"/>
              <w:right w:w="227" w:type="dxa"/>
            </w:tcMar>
            <w:vAlign w:val="bottom"/>
          </w:tcPr>
          <w:p w14:paraId="35A93459" w14:textId="05C14134" w:rsidR="00A90E9C" w:rsidRPr="008A26D2" w:rsidRDefault="00C31FC1" w:rsidP="00147D2E">
            <w:pPr>
              <w:pBdr>
                <w:top w:val="nil"/>
                <w:left w:val="nil"/>
                <w:bottom w:val="nil"/>
                <w:right w:val="nil"/>
                <w:between w:val="nil"/>
              </w:pBdr>
              <w:spacing w:after="0" w:line="240" w:lineRule="auto"/>
              <w:jc w:val="both"/>
              <w:rPr>
                <w:rFonts w:ascii="Arial" w:eastAsia="Arial Narrow" w:hAnsi="Arial" w:cs="Arial"/>
                <w:strike/>
                <w:sz w:val="20"/>
                <w:szCs w:val="20"/>
              </w:rPr>
            </w:pPr>
            <w:r w:rsidRPr="008A26D2">
              <w:rPr>
                <w:rFonts w:ascii="Arial" w:eastAsia="Times New Roman" w:hAnsi="Arial" w:cs="Arial"/>
                <w:sz w:val="20"/>
                <w:szCs w:val="20"/>
              </w:rPr>
              <w:t xml:space="preserve">Porcentaje de servidores de las </w:t>
            </w:r>
            <w:r w:rsidRPr="008A26D2">
              <w:rPr>
                <w:rFonts w:ascii="Arial" w:eastAsia="Arial Narrow" w:hAnsi="Arial" w:cs="Arial"/>
                <w:sz w:val="20"/>
                <w:szCs w:val="20"/>
              </w:rPr>
              <w:t xml:space="preserve">Autoridades Regionales Forestales y de Fauna Silvestre </w:t>
            </w:r>
            <w:r w:rsidRPr="008A26D2">
              <w:rPr>
                <w:rFonts w:ascii="Arial" w:eastAsia="Times New Roman" w:hAnsi="Arial" w:cs="Arial"/>
                <w:sz w:val="20"/>
                <w:szCs w:val="20"/>
                <w:lang w:val="es-ES"/>
              </w:rPr>
              <w:t>con alto grado de satisfacción sobre las capacitaciones recibidas</w:t>
            </w:r>
            <w:r w:rsidRPr="008A26D2">
              <w:rPr>
                <w:rFonts w:ascii="Arial" w:hAnsi="Arial" w:cs="Arial"/>
                <w:sz w:val="20"/>
                <w:szCs w:val="20"/>
              </w:rPr>
              <w:t xml:space="preserve"> en g</w:t>
            </w:r>
            <w:r w:rsidRPr="008A26D2">
              <w:rPr>
                <w:rFonts w:ascii="Arial" w:eastAsia="Arial Narrow" w:hAnsi="Arial" w:cs="Arial"/>
                <w:sz w:val="20"/>
                <w:szCs w:val="20"/>
              </w:rPr>
              <w:t>estión del uso del territorio para la conservación y aprovechamiento de los ecosistemas forestales y otros ecosistemas de vegetación silvestre</w:t>
            </w:r>
          </w:p>
        </w:tc>
      </w:tr>
      <w:tr w:rsidR="008A26D2" w:rsidRPr="008A26D2" w14:paraId="51D958FB" w14:textId="77777777" w:rsidTr="00354D04">
        <w:trPr>
          <w:trHeight w:val="577"/>
        </w:trPr>
        <w:tc>
          <w:tcPr>
            <w:tcW w:w="2144" w:type="dxa"/>
            <w:gridSpan w:val="3"/>
            <w:shd w:val="clear" w:color="auto" w:fill="auto"/>
            <w:tcMar>
              <w:top w:w="10" w:type="dxa"/>
              <w:left w:w="93" w:type="dxa"/>
              <w:bottom w:w="0" w:type="dxa"/>
              <w:right w:w="10" w:type="dxa"/>
            </w:tcMar>
            <w:vAlign w:val="center"/>
          </w:tcPr>
          <w:p w14:paraId="2CB5F308" w14:textId="77777777" w:rsidR="00A90E9C" w:rsidRPr="008A26D2" w:rsidRDefault="00A90E9C" w:rsidP="00147D2E">
            <w:pPr>
              <w:spacing w:after="0" w:line="240" w:lineRule="auto"/>
              <w:jc w:val="both"/>
              <w:rPr>
                <w:rFonts w:ascii="Arial" w:hAnsi="Arial" w:cs="Arial"/>
                <w:sz w:val="20"/>
                <w:szCs w:val="20"/>
              </w:rPr>
            </w:pPr>
            <w:r w:rsidRPr="008A26D2">
              <w:rPr>
                <w:rFonts w:ascii="Arial" w:hAnsi="Arial" w:cs="Arial"/>
                <w:b/>
                <w:sz w:val="20"/>
                <w:szCs w:val="20"/>
              </w:rPr>
              <w:t>Justificación:</w:t>
            </w:r>
          </w:p>
        </w:tc>
        <w:tc>
          <w:tcPr>
            <w:tcW w:w="6078" w:type="dxa"/>
            <w:gridSpan w:val="9"/>
            <w:shd w:val="clear" w:color="auto" w:fill="auto"/>
            <w:tcMar>
              <w:top w:w="51" w:type="dxa"/>
              <w:left w:w="227" w:type="dxa"/>
              <w:bottom w:w="51" w:type="dxa"/>
              <w:right w:w="227" w:type="dxa"/>
            </w:tcMar>
            <w:vAlign w:val="center"/>
          </w:tcPr>
          <w:p w14:paraId="5B395505" w14:textId="77777777" w:rsidR="00A90E9C" w:rsidRPr="008A26D2" w:rsidRDefault="00A90E9C" w:rsidP="00147D2E">
            <w:pPr>
              <w:spacing w:after="0" w:line="240" w:lineRule="auto"/>
              <w:jc w:val="both"/>
              <w:rPr>
                <w:rFonts w:ascii="Arial" w:eastAsia="Arial Narrow" w:hAnsi="Arial" w:cs="Arial"/>
                <w:sz w:val="20"/>
                <w:szCs w:val="20"/>
              </w:rPr>
            </w:pPr>
          </w:p>
          <w:p w14:paraId="417F75DC" w14:textId="2F850534" w:rsidR="00A90E9C" w:rsidRPr="008A26D2" w:rsidRDefault="00A90E9C" w:rsidP="00147D2E">
            <w:pPr>
              <w:jc w:val="both"/>
              <w:rPr>
                <w:rFonts w:ascii="Arial" w:eastAsia="Arial Narrow" w:hAnsi="Arial" w:cs="Arial"/>
                <w:strike/>
                <w:sz w:val="20"/>
                <w:szCs w:val="20"/>
              </w:rPr>
            </w:pPr>
            <w:r w:rsidRPr="008A26D2">
              <w:rPr>
                <w:rFonts w:ascii="Arial" w:eastAsia="Times New Roman" w:hAnsi="Arial" w:cs="Arial"/>
                <w:sz w:val="20"/>
                <w:szCs w:val="20"/>
                <w:lang w:val="es-ES"/>
              </w:rPr>
              <w:t xml:space="preserve">El indicador cuantifica el porcentaje de </w:t>
            </w:r>
            <w:r w:rsidR="00F040E1" w:rsidRPr="008A26D2">
              <w:rPr>
                <w:rFonts w:ascii="Arial" w:eastAsia="Times New Roman" w:hAnsi="Arial" w:cs="Arial"/>
                <w:sz w:val="20"/>
                <w:szCs w:val="20"/>
              </w:rPr>
              <w:t>servidores</w:t>
            </w:r>
            <w:r w:rsidRPr="008A26D2">
              <w:rPr>
                <w:rFonts w:ascii="Arial" w:eastAsia="Times New Roman" w:hAnsi="Arial" w:cs="Arial"/>
                <w:sz w:val="20"/>
                <w:szCs w:val="20"/>
              </w:rPr>
              <w:t xml:space="preserve"> de las Autoridades Regionales Forestales y de Fauna Silvestre</w:t>
            </w:r>
            <w:r w:rsidRPr="008A26D2">
              <w:rPr>
                <w:rFonts w:ascii="Arial" w:eastAsia="Times New Roman" w:hAnsi="Arial" w:cs="Arial"/>
                <w:sz w:val="20"/>
                <w:szCs w:val="20"/>
                <w:lang w:val="es-ES"/>
              </w:rPr>
              <w:t xml:space="preserve"> que perciben un alto grado de satisfacción sobre las capacitaciones recibidas en </w:t>
            </w:r>
            <w:r w:rsidRPr="008A26D2">
              <w:rPr>
                <w:rFonts w:ascii="Arial" w:eastAsia="Arial Narrow" w:hAnsi="Arial" w:cs="Arial"/>
                <w:sz w:val="20"/>
                <w:szCs w:val="20"/>
              </w:rPr>
              <w:t>en gestión del uso del territorio para la conservación y aprovechamiento de los ecosistemas forestales y otros ecosistemas de vegetación silvestre</w:t>
            </w:r>
            <w:r w:rsidRPr="008A26D2">
              <w:rPr>
                <w:rFonts w:ascii="Arial" w:eastAsia="Times New Roman" w:hAnsi="Arial" w:cs="Arial"/>
                <w:sz w:val="20"/>
                <w:szCs w:val="20"/>
                <w:lang w:val="es-ES"/>
              </w:rPr>
              <w:t>. De esta manera, el indicador facilitará el seguimiento de la satisfacción del servicio y establecer acciones de mejora correspondientes.</w:t>
            </w:r>
            <w:r w:rsidRPr="008A26D2">
              <w:rPr>
                <w:rFonts w:ascii="Arial" w:eastAsia="Arial Narrow" w:hAnsi="Arial" w:cs="Arial"/>
                <w:strike/>
                <w:sz w:val="20"/>
                <w:szCs w:val="20"/>
              </w:rPr>
              <w:t xml:space="preserve"> </w:t>
            </w:r>
          </w:p>
        </w:tc>
      </w:tr>
      <w:tr w:rsidR="008A26D2" w:rsidRPr="008A26D2" w14:paraId="248B323E" w14:textId="77777777" w:rsidTr="00354D04">
        <w:trPr>
          <w:trHeight w:val="352"/>
        </w:trPr>
        <w:tc>
          <w:tcPr>
            <w:tcW w:w="2144" w:type="dxa"/>
            <w:gridSpan w:val="3"/>
            <w:shd w:val="clear" w:color="auto" w:fill="auto"/>
            <w:tcMar>
              <w:top w:w="10" w:type="dxa"/>
              <w:left w:w="93" w:type="dxa"/>
              <w:bottom w:w="0" w:type="dxa"/>
              <w:right w:w="10" w:type="dxa"/>
            </w:tcMar>
            <w:vAlign w:val="center"/>
          </w:tcPr>
          <w:p w14:paraId="1A3769C8" w14:textId="77777777" w:rsidR="00A90E9C" w:rsidRPr="008A26D2" w:rsidRDefault="00A90E9C" w:rsidP="00147D2E">
            <w:pPr>
              <w:spacing w:after="0" w:line="240" w:lineRule="auto"/>
              <w:jc w:val="both"/>
              <w:rPr>
                <w:rFonts w:ascii="Arial" w:hAnsi="Arial" w:cs="Arial"/>
                <w:sz w:val="20"/>
                <w:szCs w:val="20"/>
              </w:rPr>
            </w:pPr>
            <w:r w:rsidRPr="008A26D2">
              <w:rPr>
                <w:rFonts w:ascii="Arial" w:hAnsi="Arial" w:cs="Arial"/>
                <w:b/>
                <w:sz w:val="20"/>
                <w:szCs w:val="20"/>
              </w:rPr>
              <w:t>Responsable del indicador:</w:t>
            </w:r>
          </w:p>
        </w:tc>
        <w:tc>
          <w:tcPr>
            <w:tcW w:w="6078" w:type="dxa"/>
            <w:gridSpan w:val="9"/>
            <w:shd w:val="clear" w:color="auto" w:fill="auto"/>
            <w:tcMar>
              <w:top w:w="51" w:type="dxa"/>
              <w:left w:w="227" w:type="dxa"/>
              <w:bottom w:w="51" w:type="dxa"/>
              <w:right w:w="227" w:type="dxa"/>
            </w:tcMar>
            <w:vAlign w:val="center"/>
          </w:tcPr>
          <w:p w14:paraId="5AE1D3E7" w14:textId="7849ADC9" w:rsidR="00A90E9C" w:rsidRPr="008A26D2" w:rsidRDefault="00A90E9C" w:rsidP="00147D2E">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Dirección de Gestión Sostenible del Patrimonio Forestal del</w:t>
            </w:r>
            <w:r w:rsidRPr="008A26D2">
              <w:rPr>
                <w:rFonts w:ascii="Arial" w:eastAsia="Arial Narrow" w:hAnsi="Arial" w:cs="Arial"/>
                <w:i/>
                <w:sz w:val="20"/>
                <w:szCs w:val="20"/>
              </w:rPr>
              <w:t xml:space="preserve"> </w:t>
            </w:r>
            <w:r w:rsidRPr="008A26D2">
              <w:rPr>
                <w:rFonts w:ascii="Arial" w:eastAsia="Arial Narrow" w:hAnsi="Arial" w:cs="Arial"/>
                <w:sz w:val="20"/>
                <w:szCs w:val="20"/>
              </w:rPr>
              <w:t>Servicio Nacional Forestal y de Fauna Silvestre - SERFOR</w:t>
            </w:r>
          </w:p>
        </w:tc>
      </w:tr>
      <w:tr w:rsidR="008A26D2" w:rsidRPr="008A26D2" w14:paraId="0853DA1D" w14:textId="77777777" w:rsidTr="00354D04">
        <w:trPr>
          <w:trHeight w:val="535"/>
        </w:trPr>
        <w:tc>
          <w:tcPr>
            <w:tcW w:w="2144" w:type="dxa"/>
            <w:gridSpan w:val="3"/>
            <w:shd w:val="clear" w:color="auto" w:fill="auto"/>
            <w:tcMar>
              <w:top w:w="10" w:type="dxa"/>
              <w:left w:w="93" w:type="dxa"/>
              <w:bottom w:w="0" w:type="dxa"/>
              <w:right w:w="10" w:type="dxa"/>
            </w:tcMar>
            <w:vAlign w:val="center"/>
          </w:tcPr>
          <w:p w14:paraId="0B132887" w14:textId="77777777" w:rsidR="00A90E9C" w:rsidRPr="008A26D2" w:rsidRDefault="00A90E9C" w:rsidP="00147D2E">
            <w:pPr>
              <w:spacing w:after="0" w:line="240" w:lineRule="auto"/>
              <w:jc w:val="both"/>
              <w:rPr>
                <w:rFonts w:ascii="Arial" w:hAnsi="Arial" w:cs="Arial"/>
                <w:sz w:val="20"/>
                <w:szCs w:val="20"/>
              </w:rPr>
            </w:pPr>
            <w:r w:rsidRPr="008A26D2">
              <w:rPr>
                <w:rFonts w:ascii="Arial" w:hAnsi="Arial" w:cs="Arial"/>
                <w:b/>
                <w:sz w:val="20"/>
                <w:szCs w:val="20"/>
              </w:rPr>
              <w:t>Limitaciones para la medición del indicador:</w:t>
            </w:r>
          </w:p>
        </w:tc>
        <w:tc>
          <w:tcPr>
            <w:tcW w:w="6078" w:type="dxa"/>
            <w:gridSpan w:val="9"/>
            <w:shd w:val="clear" w:color="auto" w:fill="auto"/>
            <w:tcMar>
              <w:top w:w="51" w:type="dxa"/>
              <w:left w:w="227" w:type="dxa"/>
              <w:bottom w:w="51" w:type="dxa"/>
              <w:right w:w="227" w:type="dxa"/>
            </w:tcMar>
            <w:vAlign w:val="center"/>
          </w:tcPr>
          <w:p w14:paraId="790678C3" w14:textId="77777777" w:rsidR="00A90E9C" w:rsidRPr="008A26D2" w:rsidRDefault="00A90E9C" w:rsidP="00147D2E">
            <w:pPr>
              <w:spacing w:after="0" w:line="240" w:lineRule="auto"/>
              <w:jc w:val="both"/>
              <w:rPr>
                <w:rFonts w:ascii="Arial" w:hAnsi="Arial" w:cs="Arial"/>
                <w:sz w:val="20"/>
                <w:szCs w:val="20"/>
              </w:rPr>
            </w:pPr>
            <w:r w:rsidRPr="008A26D2">
              <w:rPr>
                <w:rFonts w:ascii="Arial" w:eastAsia="Arial Narrow" w:hAnsi="Arial" w:cs="Arial"/>
                <w:sz w:val="20"/>
                <w:szCs w:val="20"/>
              </w:rPr>
              <w:t>Falta de información sobre el otorgamiento de derechos otorgados dentro de los plazos establecidos</w:t>
            </w:r>
          </w:p>
        </w:tc>
      </w:tr>
      <w:tr w:rsidR="008A26D2" w:rsidRPr="008A26D2" w14:paraId="6655CE45" w14:textId="77777777" w:rsidTr="00354D04">
        <w:trPr>
          <w:trHeight w:val="231"/>
        </w:trPr>
        <w:tc>
          <w:tcPr>
            <w:tcW w:w="2144" w:type="dxa"/>
            <w:gridSpan w:val="3"/>
            <w:shd w:val="clear" w:color="auto" w:fill="auto"/>
            <w:tcMar>
              <w:top w:w="10" w:type="dxa"/>
              <w:left w:w="93" w:type="dxa"/>
              <w:bottom w:w="0" w:type="dxa"/>
              <w:right w:w="10" w:type="dxa"/>
            </w:tcMar>
            <w:vAlign w:val="center"/>
          </w:tcPr>
          <w:p w14:paraId="13E33506" w14:textId="77777777" w:rsidR="00A90E9C" w:rsidRPr="008A26D2" w:rsidRDefault="00A90E9C" w:rsidP="00147D2E">
            <w:pPr>
              <w:jc w:val="both"/>
              <w:rPr>
                <w:rFonts w:ascii="Arial" w:hAnsi="Arial" w:cs="Arial"/>
                <w:sz w:val="20"/>
                <w:szCs w:val="20"/>
              </w:rPr>
            </w:pPr>
            <w:r w:rsidRPr="008A26D2">
              <w:rPr>
                <w:rFonts w:ascii="Arial" w:hAnsi="Arial" w:cs="Arial"/>
                <w:b/>
                <w:sz w:val="20"/>
                <w:szCs w:val="20"/>
              </w:rPr>
              <w:lastRenderedPageBreak/>
              <w:t xml:space="preserve">Método de cálculo: </w:t>
            </w:r>
          </w:p>
        </w:tc>
        <w:tc>
          <w:tcPr>
            <w:tcW w:w="6078" w:type="dxa"/>
            <w:gridSpan w:val="9"/>
            <w:shd w:val="clear" w:color="auto" w:fill="auto"/>
            <w:tcMar>
              <w:top w:w="51" w:type="dxa"/>
              <w:left w:w="227" w:type="dxa"/>
              <w:bottom w:w="51" w:type="dxa"/>
              <w:right w:w="227" w:type="dxa"/>
            </w:tcMar>
            <w:vAlign w:val="center"/>
          </w:tcPr>
          <w:p w14:paraId="0E75DA49" w14:textId="77777777" w:rsidR="00A90E9C" w:rsidRPr="008A26D2" w:rsidRDefault="00A90E9C" w:rsidP="00147D2E">
            <w:pPr>
              <w:jc w:val="both"/>
              <w:rPr>
                <w:rFonts w:ascii="Arial" w:eastAsia="Arial Narrow" w:hAnsi="Arial" w:cs="Arial"/>
                <w:b/>
                <w:sz w:val="20"/>
                <w:szCs w:val="20"/>
              </w:rPr>
            </w:pPr>
            <w:r w:rsidRPr="008A26D2">
              <w:rPr>
                <w:rFonts w:ascii="Arial" w:eastAsia="Arial Narrow" w:hAnsi="Arial" w:cs="Arial"/>
                <w:b/>
                <w:sz w:val="20"/>
                <w:szCs w:val="20"/>
              </w:rPr>
              <w:t>1. Fórmula:</w:t>
            </w:r>
          </w:p>
          <w:p w14:paraId="5A43D159" w14:textId="496A1A59" w:rsidR="00A90E9C" w:rsidRPr="008A26D2" w:rsidRDefault="00354D04" w:rsidP="00147D2E">
            <w:pPr>
              <w:jc w:val="both"/>
              <w:rPr>
                <w:rFonts w:ascii="Arial" w:eastAsia="Arial Unicode MS" w:hAnsi="Arial" w:cs="Arial"/>
                <w:sz w:val="20"/>
                <w:szCs w:val="20"/>
              </w:rPr>
            </w:pPr>
            <w:r w:rsidRPr="008A26D2">
              <w:rPr>
                <w:rFonts w:ascii="Arial" w:eastAsia="Arial Unicode MS" w:hAnsi="Arial" w:cs="Arial"/>
                <w:sz w:val="20"/>
                <w:szCs w:val="20"/>
              </w:rPr>
              <w:t>(</w:t>
            </w:r>
            <w:r w:rsidR="00A90E9C" w:rsidRPr="008A26D2">
              <w:rPr>
                <w:rFonts w:ascii="Arial" w:eastAsia="Arial Unicode MS" w:hAnsi="Arial" w:cs="Arial"/>
                <w:sz w:val="20"/>
                <w:szCs w:val="20"/>
              </w:rPr>
              <w:t>A/B</w:t>
            </w:r>
            <w:r w:rsidRPr="008A26D2">
              <w:rPr>
                <w:rFonts w:ascii="Arial" w:eastAsia="Arial Unicode MS" w:hAnsi="Arial" w:cs="Arial"/>
                <w:sz w:val="20"/>
                <w:szCs w:val="20"/>
              </w:rPr>
              <w:t>)</w:t>
            </w:r>
            <w:r w:rsidR="00A90E9C" w:rsidRPr="008A26D2">
              <w:rPr>
                <w:rFonts w:ascii="Arial" w:eastAsia="Arial Unicode MS" w:hAnsi="Arial" w:cs="Arial"/>
                <w:sz w:val="20"/>
                <w:szCs w:val="20"/>
              </w:rPr>
              <w:t>*100</w:t>
            </w:r>
          </w:p>
          <w:p w14:paraId="76C33153" w14:textId="77777777" w:rsidR="00A90E9C" w:rsidRPr="008A26D2" w:rsidRDefault="00A90E9C" w:rsidP="00147D2E">
            <w:pPr>
              <w:jc w:val="both"/>
              <w:rPr>
                <w:rFonts w:ascii="Arial" w:eastAsia="Arial Unicode MS" w:hAnsi="Arial" w:cs="Arial"/>
                <w:sz w:val="20"/>
                <w:szCs w:val="20"/>
              </w:rPr>
            </w:pPr>
            <w:r w:rsidRPr="008A26D2">
              <w:rPr>
                <w:rFonts w:ascii="Arial" w:eastAsia="Arial Unicode MS" w:hAnsi="Arial" w:cs="Arial"/>
                <w:sz w:val="20"/>
                <w:szCs w:val="20"/>
              </w:rPr>
              <w:t>Donde:</w:t>
            </w:r>
          </w:p>
          <w:p w14:paraId="39482FDE" w14:textId="5221E4BD" w:rsidR="00A90E9C" w:rsidRPr="008A26D2" w:rsidRDefault="00A90E9C" w:rsidP="00147D2E">
            <w:pPr>
              <w:ind w:left="315" w:hanging="315"/>
              <w:jc w:val="both"/>
              <w:rPr>
                <w:rFonts w:ascii="Arial" w:hAnsi="Arial" w:cs="Arial"/>
                <w:bCs/>
                <w:sz w:val="20"/>
                <w:szCs w:val="20"/>
              </w:rPr>
            </w:pPr>
            <w:r w:rsidRPr="008A26D2">
              <w:rPr>
                <w:rFonts w:ascii="Arial" w:hAnsi="Arial" w:cs="Arial"/>
                <w:bCs/>
                <w:sz w:val="20"/>
                <w:szCs w:val="20"/>
              </w:rPr>
              <w:t xml:space="preserve">A = </w:t>
            </w:r>
            <w:r w:rsidR="00F040E1" w:rsidRPr="008A26D2">
              <w:rPr>
                <w:rFonts w:ascii="Arial" w:hAnsi="Arial" w:cs="Arial"/>
                <w:bCs/>
                <w:sz w:val="20"/>
                <w:szCs w:val="20"/>
              </w:rPr>
              <w:t xml:space="preserve">Número de </w:t>
            </w:r>
            <w:r w:rsidR="00F040E1" w:rsidRPr="008A26D2">
              <w:rPr>
                <w:rFonts w:ascii="Arial" w:eastAsia="Arial Narrow" w:hAnsi="Arial" w:cs="Arial"/>
                <w:sz w:val="20"/>
                <w:szCs w:val="20"/>
              </w:rPr>
              <w:t>servidores de las Autoridades Regionales Forestales y de Fauna Silvestre con alto grado de satisfacción sobre las capacitaciones recibidas en gestión del uso del territorio para la conservación y aprovechamiento de los ecosistemas forestales y otros ecosistemas de vegetación silvestre</w:t>
            </w:r>
          </w:p>
          <w:p w14:paraId="6D4CA908" w14:textId="77777777" w:rsidR="00354D04" w:rsidRPr="008A26D2" w:rsidRDefault="00A90E9C" w:rsidP="00147D2E">
            <w:pPr>
              <w:ind w:left="315" w:hanging="315"/>
              <w:jc w:val="both"/>
              <w:rPr>
                <w:rFonts w:ascii="Arial" w:eastAsia="Arial Narrow" w:hAnsi="Arial" w:cs="Arial"/>
                <w:sz w:val="20"/>
                <w:szCs w:val="20"/>
              </w:rPr>
            </w:pPr>
            <w:r w:rsidRPr="008A26D2">
              <w:rPr>
                <w:rFonts w:ascii="Arial" w:hAnsi="Arial" w:cs="Arial"/>
                <w:bCs/>
                <w:sz w:val="20"/>
                <w:szCs w:val="20"/>
              </w:rPr>
              <w:t xml:space="preserve">B = Total de </w:t>
            </w:r>
            <w:r w:rsidR="00F040E1" w:rsidRPr="008A26D2">
              <w:rPr>
                <w:rFonts w:ascii="Arial" w:eastAsia="Arial Narrow" w:hAnsi="Arial" w:cs="Arial"/>
                <w:sz w:val="20"/>
                <w:szCs w:val="20"/>
              </w:rPr>
              <w:t>servidores de las Autoridades Regionales Forestales y de Fauna Silvestre que recibieron capacitación en gestión del uso del territorio para la conservación y aprovechamiento de los ecosistemas forestales y otros ecosistemas de vegetación silvestre</w:t>
            </w:r>
          </w:p>
          <w:p w14:paraId="293E53E0" w14:textId="30FD89B9" w:rsidR="00A90E9C" w:rsidRPr="008A26D2" w:rsidRDefault="00A90E9C" w:rsidP="00147D2E">
            <w:pPr>
              <w:ind w:left="315" w:hanging="315"/>
              <w:jc w:val="both"/>
              <w:rPr>
                <w:rFonts w:ascii="Arial" w:eastAsia="Arial Narrow" w:hAnsi="Arial" w:cs="Arial"/>
                <w:sz w:val="20"/>
                <w:szCs w:val="20"/>
              </w:rPr>
            </w:pPr>
            <w:r w:rsidRPr="008A26D2">
              <w:rPr>
                <w:rFonts w:ascii="Arial" w:eastAsia="Arial Narrow" w:hAnsi="Arial" w:cs="Arial"/>
                <w:b/>
                <w:sz w:val="20"/>
                <w:szCs w:val="20"/>
              </w:rPr>
              <w:t>2. Especificaciones técnicas:</w:t>
            </w:r>
          </w:p>
          <w:p w14:paraId="3B60AB1B" w14:textId="1836BE02" w:rsidR="00F6721B" w:rsidRPr="00F6721B" w:rsidRDefault="00F6721B" w:rsidP="00F6721B">
            <w:pPr>
              <w:jc w:val="both"/>
              <w:rPr>
                <w:rFonts w:ascii="Arial" w:eastAsia="Times New Roman" w:hAnsi="Arial" w:cs="Arial"/>
                <w:sz w:val="20"/>
                <w:szCs w:val="20"/>
                <w:lang w:val="es-ES"/>
              </w:rPr>
            </w:pPr>
            <w:r w:rsidRPr="00F6721B">
              <w:rPr>
                <w:rFonts w:ascii="Arial" w:eastAsia="Times New Roman" w:hAnsi="Arial" w:cs="Arial"/>
                <w:sz w:val="20"/>
                <w:szCs w:val="20"/>
                <w:lang w:val="es-ES"/>
              </w:rPr>
              <w:t xml:space="preserve">La variable A se determina a partir de los </w:t>
            </w:r>
            <w:r w:rsidR="00E869EA" w:rsidRPr="00E869EA">
              <w:rPr>
                <w:rFonts w:ascii="Arial" w:eastAsia="Times New Roman" w:hAnsi="Arial" w:cs="Arial"/>
                <w:sz w:val="20"/>
                <w:szCs w:val="20"/>
                <w:lang w:val="es-ES"/>
              </w:rPr>
              <w:t xml:space="preserve">servidores de las Autoridades Regionales Forestales y de Fauna Silvestre </w:t>
            </w:r>
            <w:r w:rsidRPr="00F6721B">
              <w:rPr>
                <w:rFonts w:ascii="Arial" w:eastAsia="Times New Roman" w:hAnsi="Arial" w:cs="Arial"/>
                <w:sz w:val="20"/>
                <w:szCs w:val="20"/>
                <w:lang w:val="es-ES"/>
              </w:rPr>
              <w:t>que tienen un alto grado de satisfacción, al elegir los dos niveles más altos de la escala, sobre las acciones de fortalecimiento de capacidades recibidas.</w:t>
            </w:r>
          </w:p>
          <w:p w14:paraId="17A4ED8B" w14:textId="1F92822B" w:rsidR="00F6721B" w:rsidRDefault="00F6721B" w:rsidP="00F6721B">
            <w:pPr>
              <w:jc w:val="both"/>
              <w:rPr>
                <w:rFonts w:ascii="Arial" w:eastAsia="Times New Roman" w:hAnsi="Arial" w:cs="Arial"/>
                <w:sz w:val="20"/>
                <w:szCs w:val="20"/>
                <w:lang w:val="es-ES"/>
              </w:rPr>
            </w:pPr>
            <w:r w:rsidRPr="00F6721B">
              <w:rPr>
                <w:rFonts w:ascii="Arial" w:eastAsia="Times New Roman" w:hAnsi="Arial" w:cs="Arial"/>
                <w:sz w:val="20"/>
                <w:szCs w:val="20"/>
                <w:lang w:val="es-ES"/>
              </w:rPr>
              <w:t xml:space="preserve">La variable B se determina con el total de </w:t>
            </w:r>
            <w:r w:rsidR="00E869EA" w:rsidRPr="00E869EA">
              <w:rPr>
                <w:rFonts w:ascii="Arial" w:eastAsia="Times New Roman" w:hAnsi="Arial" w:cs="Arial"/>
                <w:sz w:val="20"/>
                <w:szCs w:val="20"/>
                <w:lang w:val="es-ES"/>
              </w:rPr>
              <w:t xml:space="preserve">servidores de las Autoridades Regionales Forestales y de Fauna Silvestre </w:t>
            </w:r>
            <w:r w:rsidRPr="00F6721B">
              <w:rPr>
                <w:rFonts w:ascii="Arial" w:eastAsia="Times New Roman" w:hAnsi="Arial" w:cs="Arial"/>
                <w:sz w:val="20"/>
                <w:szCs w:val="20"/>
                <w:lang w:val="es-ES"/>
              </w:rPr>
              <w:t>que asisten a las capacitaciones</w:t>
            </w:r>
            <w:r w:rsidR="008B2FF3">
              <w:rPr>
                <w:rFonts w:ascii="Arial" w:eastAsia="Times New Roman" w:hAnsi="Arial" w:cs="Arial"/>
                <w:sz w:val="20"/>
                <w:szCs w:val="20"/>
                <w:lang w:val="es-ES"/>
              </w:rPr>
              <w:t xml:space="preserve"> en el año de medición</w:t>
            </w:r>
            <w:r>
              <w:rPr>
                <w:rFonts w:ascii="Arial" w:eastAsia="Times New Roman" w:hAnsi="Arial" w:cs="Arial"/>
                <w:sz w:val="20"/>
                <w:szCs w:val="20"/>
                <w:lang w:val="es-ES"/>
              </w:rPr>
              <w:t>.</w:t>
            </w:r>
          </w:p>
          <w:p w14:paraId="57248BC5" w14:textId="48FFC7E8" w:rsidR="00A90E9C" w:rsidRPr="008A26D2" w:rsidRDefault="00A90E9C" w:rsidP="00147D2E">
            <w:pPr>
              <w:jc w:val="both"/>
              <w:rPr>
                <w:rFonts w:ascii="Arial" w:eastAsia="Times New Roman" w:hAnsi="Arial" w:cs="Arial"/>
                <w:sz w:val="20"/>
                <w:szCs w:val="20"/>
                <w:lang w:val="es-ES"/>
              </w:rPr>
            </w:pPr>
            <w:r w:rsidRPr="008A26D2">
              <w:rPr>
                <w:rFonts w:ascii="Arial" w:eastAsia="Times New Roman" w:hAnsi="Arial" w:cs="Arial"/>
                <w:sz w:val="20"/>
                <w:szCs w:val="20"/>
                <w:lang w:val="es-ES"/>
              </w:rPr>
              <w:t xml:space="preserve">El indicador se calculará a partir de encuestas o entrevistas donde se pueda registrar el grado de satisfacción de los </w:t>
            </w:r>
            <w:r w:rsidR="00F040E1" w:rsidRPr="008A26D2">
              <w:rPr>
                <w:rFonts w:ascii="Arial" w:eastAsia="Times New Roman" w:hAnsi="Arial" w:cs="Arial"/>
                <w:sz w:val="20"/>
                <w:szCs w:val="20"/>
                <w:lang w:val="es-ES"/>
              </w:rPr>
              <w:t>servidores</w:t>
            </w:r>
            <w:r w:rsidRPr="008A26D2">
              <w:rPr>
                <w:rFonts w:ascii="Arial" w:eastAsia="Times New Roman" w:hAnsi="Arial" w:cs="Arial"/>
                <w:sz w:val="20"/>
                <w:szCs w:val="20"/>
                <w:lang w:val="es-ES"/>
              </w:rPr>
              <w:t xml:space="preserve"> que reciben la capacitación, identificando aquellos aspectos del servicio que se pueden mejorar y satisfacer al receptor.</w:t>
            </w:r>
          </w:p>
          <w:p w14:paraId="3012E4C7" w14:textId="77777777" w:rsidR="00A90E9C" w:rsidRPr="008A26D2" w:rsidRDefault="00A90E9C" w:rsidP="00147D2E">
            <w:pPr>
              <w:jc w:val="both"/>
              <w:rPr>
                <w:rFonts w:ascii="Arial" w:hAnsi="Arial" w:cs="Arial"/>
                <w:bCs/>
                <w:sz w:val="20"/>
                <w:szCs w:val="20"/>
              </w:rPr>
            </w:pPr>
            <w:r w:rsidRPr="008A26D2">
              <w:rPr>
                <w:rFonts w:ascii="Arial" w:hAnsi="Arial" w:cs="Arial"/>
                <w:bCs/>
                <w:sz w:val="20"/>
                <w:szCs w:val="20"/>
              </w:rPr>
              <w:t>Para evaluar el grado de satisfacción se considerará los alcances metodológicos señalados en el Protocolo de Capacitación y Asistencia Técnica del SERFOR.</w:t>
            </w:r>
          </w:p>
          <w:p w14:paraId="17D11D3D" w14:textId="1710838B" w:rsidR="00A90E9C" w:rsidRPr="008A26D2" w:rsidRDefault="00C40F76" w:rsidP="00147D2E">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Se carece de línea base porque no se contaba con la metodología para la medición del estándar</w:t>
            </w:r>
            <w:r w:rsidR="00A90E9C" w:rsidRPr="008A26D2">
              <w:rPr>
                <w:rFonts w:ascii="Arial" w:eastAsia="Arial Narrow" w:hAnsi="Arial" w:cs="Arial"/>
                <w:sz w:val="20"/>
                <w:szCs w:val="20"/>
              </w:rPr>
              <w:t>, por ese motivo, el SERFOR determinará la línea base antes del inicio de la implementación de la presente Política Nacional.</w:t>
            </w:r>
          </w:p>
          <w:p w14:paraId="4C5B74DE" w14:textId="77777777" w:rsidR="00A90E9C" w:rsidRPr="008A26D2" w:rsidRDefault="00A90E9C" w:rsidP="00147D2E">
            <w:pPr>
              <w:spacing w:after="0" w:line="240" w:lineRule="auto"/>
              <w:jc w:val="both"/>
              <w:rPr>
                <w:rFonts w:ascii="Arial" w:eastAsia="Arial Narrow" w:hAnsi="Arial" w:cs="Arial"/>
                <w:sz w:val="20"/>
                <w:szCs w:val="20"/>
              </w:rPr>
            </w:pPr>
          </w:p>
          <w:p w14:paraId="56CC7255" w14:textId="099954C1" w:rsidR="00A90E9C" w:rsidRPr="008A26D2" w:rsidRDefault="00A90E9C" w:rsidP="00147D2E">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Las Autoridades Regionales Forestales y de Fauna Silvestre comprenden a las Administraciones Técnicas Forestales y de Fauna Silvestre y los gobiernos regionales con funciones transferidas en materia forestal y de fauna silvestre.</w:t>
            </w:r>
          </w:p>
          <w:p w14:paraId="7C4B0D9A" w14:textId="77777777" w:rsidR="00A90E9C" w:rsidRPr="008A26D2" w:rsidRDefault="00A90E9C" w:rsidP="00147D2E">
            <w:pPr>
              <w:spacing w:after="0" w:line="240" w:lineRule="auto"/>
              <w:jc w:val="both"/>
              <w:rPr>
                <w:rFonts w:ascii="Arial" w:eastAsia="Arial Narrow" w:hAnsi="Arial" w:cs="Arial"/>
                <w:strike/>
                <w:sz w:val="20"/>
                <w:szCs w:val="20"/>
              </w:rPr>
            </w:pPr>
          </w:p>
        </w:tc>
      </w:tr>
      <w:tr w:rsidR="008A26D2" w:rsidRPr="008A26D2" w14:paraId="7E866384" w14:textId="77777777" w:rsidTr="00354D04">
        <w:trPr>
          <w:trHeight w:val="686"/>
        </w:trPr>
        <w:tc>
          <w:tcPr>
            <w:tcW w:w="2144" w:type="dxa"/>
            <w:gridSpan w:val="3"/>
            <w:shd w:val="clear" w:color="auto" w:fill="auto"/>
            <w:tcMar>
              <w:top w:w="10" w:type="dxa"/>
              <w:left w:w="93" w:type="dxa"/>
              <w:bottom w:w="0" w:type="dxa"/>
              <w:right w:w="10" w:type="dxa"/>
            </w:tcMar>
            <w:vAlign w:val="center"/>
          </w:tcPr>
          <w:p w14:paraId="04D71AB1" w14:textId="77777777" w:rsidR="00A90E9C" w:rsidRPr="008A26D2" w:rsidRDefault="00A90E9C" w:rsidP="00147D2E">
            <w:pPr>
              <w:spacing w:after="0" w:line="240" w:lineRule="auto"/>
              <w:jc w:val="both"/>
              <w:rPr>
                <w:rFonts w:ascii="Arial" w:hAnsi="Arial" w:cs="Arial"/>
                <w:sz w:val="20"/>
                <w:szCs w:val="20"/>
              </w:rPr>
            </w:pPr>
            <w:r w:rsidRPr="008A26D2">
              <w:rPr>
                <w:rFonts w:ascii="Arial" w:hAnsi="Arial" w:cs="Arial"/>
                <w:b/>
                <w:sz w:val="20"/>
                <w:szCs w:val="20"/>
              </w:rPr>
              <w:t>Sentido esperado del indicador:</w:t>
            </w:r>
          </w:p>
        </w:tc>
        <w:tc>
          <w:tcPr>
            <w:tcW w:w="1683" w:type="dxa"/>
            <w:gridSpan w:val="3"/>
            <w:shd w:val="clear" w:color="auto" w:fill="auto"/>
            <w:tcMar>
              <w:top w:w="10" w:type="dxa"/>
              <w:left w:w="283" w:type="dxa"/>
              <w:bottom w:w="0" w:type="dxa"/>
              <w:right w:w="283" w:type="dxa"/>
            </w:tcMar>
            <w:vAlign w:val="center"/>
          </w:tcPr>
          <w:p w14:paraId="4B27A1D0" w14:textId="77777777" w:rsidR="00A90E9C" w:rsidRPr="008A26D2" w:rsidRDefault="00A90E9C" w:rsidP="00147D2E">
            <w:pPr>
              <w:spacing w:after="0" w:line="240" w:lineRule="auto"/>
              <w:jc w:val="both"/>
              <w:rPr>
                <w:rFonts w:ascii="Arial" w:hAnsi="Arial" w:cs="Arial"/>
                <w:sz w:val="20"/>
                <w:szCs w:val="20"/>
              </w:rPr>
            </w:pPr>
            <w:r w:rsidRPr="008A26D2">
              <w:rPr>
                <w:rFonts w:ascii="Arial" w:eastAsia="Arial Narrow" w:hAnsi="Arial" w:cs="Arial"/>
                <w:sz w:val="20"/>
                <w:szCs w:val="20"/>
              </w:rPr>
              <w:t>Ascendente</w:t>
            </w:r>
          </w:p>
        </w:tc>
        <w:tc>
          <w:tcPr>
            <w:tcW w:w="2835" w:type="dxa"/>
            <w:gridSpan w:val="4"/>
            <w:shd w:val="clear" w:color="auto" w:fill="auto"/>
            <w:tcMar>
              <w:top w:w="15" w:type="dxa"/>
              <w:left w:w="15" w:type="dxa"/>
              <w:bottom w:w="0" w:type="dxa"/>
              <w:right w:w="15" w:type="dxa"/>
            </w:tcMar>
            <w:vAlign w:val="center"/>
          </w:tcPr>
          <w:p w14:paraId="4A77742A" w14:textId="77777777" w:rsidR="00A90E9C" w:rsidRPr="008A26D2" w:rsidRDefault="00A90E9C" w:rsidP="00147D2E">
            <w:pPr>
              <w:spacing w:after="0" w:line="240" w:lineRule="auto"/>
              <w:jc w:val="both"/>
              <w:rPr>
                <w:rFonts w:ascii="Arial" w:hAnsi="Arial" w:cs="Arial"/>
                <w:sz w:val="20"/>
                <w:szCs w:val="20"/>
              </w:rPr>
            </w:pPr>
            <w:r w:rsidRPr="008A26D2">
              <w:rPr>
                <w:rFonts w:ascii="Arial" w:hAnsi="Arial" w:cs="Arial"/>
                <w:b/>
                <w:sz w:val="20"/>
                <w:szCs w:val="20"/>
              </w:rPr>
              <w:t>Tipo de indicador de servicio:</w:t>
            </w:r>
          </w:p>
        </w:tc>
        <w:tc>
          <w:tcPr>
            <w:tcW w:w="1560" w:type="dxa"/>
            <w:gridSpan w:val="2"/>
            <w:shd w:val="clear" w:color="auto" w:fill="auto"/>
            <w:tcMar>
              <w:top w:w="15" w:type="dxa"/>
              <w:left w:w="15" w:type="dxa"/>
              <w:bottom w:w="0" w:type="dxa"/>
              <w:right w:w="15" w:type="dxa"/>
            </w:tcMar>
            <w:vAlign w:val="center"/>
          </w:tcPr>
          <w:p w14:paraId="63B053A9" w14:textId="77777777" w:rsidR="00A90E9C" w:rsidRPr="008A26D2" w:rsidRDefault="00A90E9C" w:rsidP="00147D2E">
            <w:pPr>
              <w:spacing w:after="0" w:line="240" w:lineRule="auto"/>
              <w:jc w:val="both"/>
              <w:rPr>
                <w:rFonts w:ascii="Arial" w:hAnsi="Arial" w:cs="Arial"/>
                <w:sz w:val="20"/>
                <w:szCs w:val="20"/>
              </w:rPr>
            </w:pPr>
            <w:r w:rsidRPr="008A26D2">
              <w:rPr>
                <w:rFonts w:ascii="Arial" w:hAnsi="Arial" w:cs="Arial"/>
                <w:sz w:val="20"/>
                <w:szCs w:val="20"/>
              </w:rPr>
              <w:t xml:space="preserve">    </w:t>
            </w:r>
            <w:r w:rsidRPr="008A26D2">
              <w:rPr>
                <w:rFonts w:ascii="Arial" w:eastAsia="Arial Narrow" w:hAnsi="Arial" w:cs="Arial"/>
                <w:sz w:val="20"/>
                <w:szCs w:val="20"/>
              </w:rPr>
              <w:t>Calidad - Percepción</w:t>
            </w:r>
          </w:p>
        </w:tc>
      </w:tr>
      <w:tr w:rsidR="008A26D2" w:rsidRPr="008A26D2" w14:paraId="1EE569E1" w14:textId="77777777" w:rsidTr="00354D04">
        <w:trPr>
          <w:trHeight w:val="13"/>
        </w:trPr>
        <w:tc>
          <w:tcPr>
            <w:tcW w:w="2144" w:type="dxa"/>
            <w:gridSpan w:val="3"/>
            <w:shd w:val="clear" w:color="auto" w:fill="auto"/>
            <w:tcMar>
              <w:top w:w="10" w:type="dxa"/>
              <w:left w:w="93" w:type="dxa"/>
              <w:bottom w:w="0" w:type="dxa"/>
              <w:right w:w="10" w:type="dxa"/>
            </w:tcMar>
            <w:vAlign w:val="center"/>
          </w:tcPr>
          <w:p w14:paraId="04A4B917" w14:textId="77777777" w:rsidR="00A90E9C" w:rsidRPr="008A26D2" w:rsidRDefault="00A90E9C" w:rsidP="00147D2E">
            <w:pPr>
              <w:spacing w:after="0" w:line="240" w:lineRule="auto"/>
              <w:jc w:val="both"/>
              <w:rPr>
                <w:rFonts w:ascii="Arial" w:hAnsi="Arial" w:cs="Arial"/>
                <w:sz w:val="20"/>
                <w:szCs w:val="20"/>
              </w:rPr>
            </w:pPr>
            <w:r w:rsidRPr="008A26D2">
              <w:rPr>
                <w:rFonts w:ascii="Arial" w:hAnsi="Arial" w:cs="Arial"/>
                <w:b/>
                <w:sz w:val="20"/>
                <w:szCs w:val="20"/>
              </w:rPr>
              <w:t>Fuente y base de datos:</w:t>
            </w:r>
          </w:p>
        </w:tc>
        <w:tc>
          <w:tcPr>
            <w:tcW w:w="6078" w:type="dxa"/>
            <w:gridSpan w:val="9"/>
            <w:shd w:val="clear" w:color="auto" w:fill="auto"/>
            <w:tcMar>
              <w:top w:w="51" w:type="dxa"/>
              <w:left w:w="227" w:type="dxa"/>
              <w:bottom w:w="51" w:type="dxa"/>
              <w:right w:w="227" w:type="dxa"/>
            </w:tcMar>
            <w:vAlign w:val="center"/>
          </w:tcPr>
          <w:p w14:paraId="0193DCEA" w14:textId="77777777" w:rsidR="00E869EA" w:rsidRDefault="00A90E9C" w:rsidP="00147D2E">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Fuente: Dirección General de Gestión Sostenible del Patrimonio Forestal y Fauna Silvestre</w:t>
            </w:r>
            <w:r w:rsidR="00354D04" w:rsidRPr="008A26D2">
              <w:rPr>
                <w:rFonts w:ascii="Arial" w:eastAsia="Arial Narrow" w:hAnsi="Arial" w:cs="Arial"/>
                <w:sz w:val="20"/>
                <w:szCs w:val="20"/>
              </w:rPr>
              <w:t xml:space="preserve"> del </w:t>
            </w:r>
            <w:r w:rsidR="00E869EA">
              <w:rPr>
                <w:rFonts w:ascii="Arial" w:eastAsia="Arial Narrow" w:hAnsi="Arial" w:cs="Arial"/>
                <w:sz w:val="20"/>
                <w:szCs w:val="20"/>
              </w:rPr>
              <w:t xml:space="preserve">Servicio Nacional Forestal y de Fauna Silvestre – </w:t>
            </w:r>
            <w:r w:rsidR="00354D04" w:rsidRPr="008A26D2">
              <w:rPr>
                <w:rFonts w:ascii="Arial" w:eastAsia="Arial Narrow" w:hAnsi="Arial" w:cs="Arial"/>
                <w:sz w:val="20"/>
                <w:szCs w:val="20"/>
              </w:rPr>
              <w:t>SERFOR</w:t>
            </w:r>
            <w:r w:rsidR="00E869EA">
              <w:rPr>
                <w:rFonts w:ascii="Arial" w:eastAsia="Arial Narrow" w:hAnsi="Arial" w:cs="Arial"/>
                <w:sz w:val="20"/>
                <w:szCs w:val="20"/>
              </w:rPr>
              <w:t>.</w:t>
            </w:r>
          </w:p>
          <w:p w14:paraId="3E5D5DD4" w14:textId="68730A45" w:rsidR="00A90E9C" w:rsidRPr="008A26D2" w:rsidRDefault="00A90E9C" w:rsidP="00147D2E">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Base de datos: Reporte </w:t>
            </w:r>
            <w:r w:rsidR="00354D04" w:rsidRPr="008A26D2">
              <w:rPr>
                <w:rFonts w:ascii="Arial" w:eastAsia="Arial Narrow" w:hAnsi="Arial" w:cs="Arial"/>
                <w:sz w:val="20"/>
                <w:szCs w:val="20"/>
              </w:rPr>
              <w:t xml:space="preserve">de capacitaciones </w:t>
            </w:r>
            <w:r w:rsidR="00403324">
              <w:rPr>
                <w:rFonts w:ascii="Arial" w:eastAsia="Arial Narrow" w:hAnsi="Arial" w:cs="Arial"/>
                <w:sz w:val="20"/>
                <w:szCs w:val="20"/>
              </w:rPr>
              <w:t xml:space="preserve">y </w:t>
            </w:r>
            <w:r w:rsidRPr="008A26D2">
              <w:rPr>
                <w:rFonts w:ascii="Arial" w:eastAsia="Arial Narrow" w:hAnsi="Arial" w:cs="Arial"/>
                <w:sz w:val="20"/>
                <w:szCs w:val="20"/>
              </w:rPr>
              <w:t xml:space="preserve">Componente </w:t>
            </w:r>
            <w:r w:rsidR="00403324">
              <w:rPr>
                <w:rFonts w:ascii="Arial" w:eastAsia="Arial Narrow" w:hAnsi="Arial" w:cs="Arial"/>
                <w:sz w:val="20"/>
                <w:szCs w:val="20"/>
              </w:rPr>
              <w:t xml:space="preserve">de </w:t>
            </w:r>
            <w:r w:rsidRPr="008A26D2">
              <w:rPr>
                <w:rFonts w:ascii="Arial" w:eastAsia="Arial Narrow" w:hAnsi="Arial" w:cs="Arial"/>
                <w:sz w:val="20"/>
                <w:szCs w:val="20"/>
              </w:rPr>
              <w:t xml:space="preserve">Capacidades del </w:t>
            </w:r>
            <w:r w:rsidR="00354D04" w:rsidRPr="008A26D2">
              <w:rPr>
                <w:rFonts w:ascii="Arial" w:eastAsia="Arial Narrow" w:hAnsi="Arial" w:cs="Arial"/>
                <w:sz w:val="20"/>
                <w:szCs w:val="20"/>
              </w:rPr>
              <w:t>Sistema Nacional de Información Forestal y de Fauna Silvestre</w:t>
            </w:r>
          </w:p>
        </w:tc>
      </w:tr>
      <w:tr w:rsidR="008A26D2" w:rsidRPr="008A26D2" w14:paraId="6058D05A" w14:textId="77777777" w:rsidTr="00354D04">
        <w:trPr>
          <w:trHeight w:val="436"/>
        </w:trPr>
        <w:tc>
          <w:tcPr>
            <w:tcW w:w="2144" w:type="dxa"/>
            <w:gridSpan w:val="3"/>
            <w:shd w:val="clear" w:color="auto" w:fill="auto"/>
            <w:tcMar>
              <w:top w:w="10" w:type="dxa"/>
              <w:left w:w="93" w:type="dxa"/>
              <w:bottom w:w="0" w:type="dxa"/>
              <w:right w:w="10" w:type="dxa"/>
            </w:tcMar>
            <w:vAlign w:val="center"/>
          </w:tcPr>
          <w:p w14:paraId="621BAABD" w14:textId="77777777" w:rsidR="00A90E9C" w:rsidRPr="008A26D2" w:rsidRDefault="00A90E9C" w:rsidP="00147D2E">
            <w:pPr>
              <w:spacing w:after="0" w:line="240" w:lineRule="auto"/>
              <w:jc w:val="both"/>
              <w:rPr>
                <w:rFonts w:ascii="Arial" w:hAnsi="Arial" w:cs="Arial"/>
                <w:sz w:val="20"/>
                <w:szCs w:val="20"/>
              </w:rPr>
            </w:pPr>
            <w:r w:rsidRPr="008A26D2">
              <w:rPr>
                <w:rFonts w:ascii="Arial" w:hAnsi="Arial" w:cs="Arial"/>
                <w:b/>
                <w:sz w:val="20"/>
                <w:szCs w:val="20"/>
              </w:rPr>
              <w:lastRenderedPageBreak/>
              <w:t>Supuestos:</w:t>
            </w:r>
          </w:p>
        </w:tc>
        <w:tc>
          <w:tcPr>
            <w:tcW w:w="6078" w:type="dxa"/>
            <w:gridSpan w:val="9"/>
            <w:shd w:val="clear" w:color="auto" w:fill="auto"/>
            <w:tcMar>
              <w:top w:w="51" w:type="dxa"/>
              <w:left w:w="227" w:type="dxa"/>
              <w:bottom w:w="51" w:type="dxa"/>
              <w:right w:w="227" w:type="dxa"/>
            </w:tcMar>
            <w:vAlign w:val="center"/>
          </w:tcPr>
          <w:p w14:paraId="5A71F1DF" w14:textId="77777777" w:rsidR="00A90E9C" w:rsidRPr="008A26D2" w:rsidRDefault="00A90E9C" w:rsidP="00147D2E">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Se cuenta con el financiamiento y los recursos humanos disponibles para implementar las metas propuestas</w:t>
            </w:r>
          </w:p>
        </w:tc>
      </w:tr>
      <w:tr w:rsidR="008A26D2" w:rsidRPr="008A26D2" w14:paraId="18F5844C" w14:textId="77777777" w:rsidTr="00354D04">
        <w:trPr>
          <w:trHeight w:val="556"/>
        </w:trPr>
        <w:tc>
          <w:tcPr>
            <w:tcW w:w="567" w:type="dxa"/>
            <w:shd w:val="clear" w:color="auto" w:fill="auto"/>
            <w:tcMar>
              <w:top w:w="10" w:type="dxa"/>
              <w:left w:w="10" w:type="dxa"/>
              <w:bottom w:w="0" w:type="dxa"/>
              <w:right w:w="10" w:type="dxa"/>
            </w:tcMar>
            <w:vAlign w:val="center"/>
          </w:tcPr>
          <w:p w14:paraId="4A3DEC74" w14:textId="77777777" w:rsidR="00A90E9C" w:rsidRPr="008A26D2" w:rsidRDefault="00A90E9C" w:rsidP="00147D2E">
            <w:pPr>
              <w:jc w:val="both"/>
              <w:rPr>
                <w:rFonts w:ascii="Arial" w:hAnsi="Arial" w:cs="Arial"/>
                <w:sz w:val="20"/>
                <w:szCs w:val="20"/>
              </w:rPr>
            </w:pPr>
            <w:r w:rsidRPr="008A26D2">
              <w:rPr>
                <w:rFonts w:ascii="Arial" w:hAnsi="Arial" w:cs="Arial"/>
                <w:b/>
                <w:sz w:val="20"/>
                <w:szCs w:val="20"/>
              </w:rPr>
              <w:t> </w:t>
            </w:r>
          </w:p>
        </w:tc>
        <w:tc>
          <w:tcPr>
            <w:tcW w:w="866" w:type="dxa"/>
            <w:shd w:val="clear" w:color="auto" w:fill="auto"/>
            <w:tcMar>
              <w:top w:w="10" w:type="dxa"/>
              <w:left w:w="10" w:type="dxa"/>
              <w:bottom w:w="0" w:type="dxa"/>
              <w:right w:w="10" w:type="dxa"/>
            </w:tcMar>
            <w:vAlign w:val="center"/>
          </w:tcPr>
          <w:p w14:paraId="44A4FD3A" w14:textId="77777777" w:rsidR="00A90E9C" w:rsidRPr="008A26D2" w:rsidRDefault="00A90E9C" w:rsidP="009A1630">
            <w:pPr>
              <w:jc w:val="center"/>
              <w:rPr>
                <w:rFonts w:ascii="Arial" w:hAnsi="Arial" w:cs="Arial"/>
                <w:sz w:val="20"/>
                <w:szCs w:val="20"/>
              </w:rPr>
            </w:pPr>
            <w:r w:rsidRPr="008A26D2">
              <w:rPr>
                <w:rFonts w:ascii="Arial" w:hAnsi="Arial" w:cs="Arial"/>
                <w:b/>
                <w:sz w:val="20"/>
                <w:szCs w:val="20"/>
              </w:rPr>
              <w:t>Línea de base</w:t>
            </w:r>
          </w:p>
        </w:tc>
        <w:tc>
          <w:tcPr>
            <w:tcW w:w="6789" w:type="dxa"/>
            <w:gridSpan w:val="10"/>
            <w:shd w:val="clear" w:color="auto" w:fill="auto"/>
            <w:tcMar>
              <w:top w:w="10" w:type="dxa"/>
              <w:left w:w="10" w:type="dxa"/>
              <w:bottom w:w="0" w:type="dxa"/>
              <w:right w:w="10" w:type="dxa"/>
            </w:tcMar>
            <w:vAlign w:val="center"/>
          </w:tcPr>
          <w:p w14:paraId="089360CE" w14:textId="7B2838A5" w:rsidR="00A90E9C" w:rsidRPr="008A26D2" w:rsidRDefault="00A90E9C" w:rsidP="00403324">
            <w:pPr>
              <w:jc w:val="center"/>
              <w:rPr>
                <w:rFonts w:ascii="Arial" w:hAnsi="Arial" w:cs="Arial"/>
                <w:sz w:val="20"/>
                <w:szCs w:val="20"/>
              </w:rPr>
            </w:pPr>
            <w:r w:rsidRPr="008A26D2">
              <w:rPr>
                <w:rFonts w:ascii="Arial" w:hAnsi="Arial" w:cs="Arial"/>
                <w:b/>
                <w:sz w:val="20"/>
                <w:szCs w:val="20"/>
              </w:rPr>
              <w:t>Logros esperados</w:t>
            </w:r>
          </w:p>
        </w:tc>
      </w:tr>
      <w:tr w:rsidR="008A26D2" w:rsidRPr="008A26D2" w14:paraId="54ECCED1" w14:textId="77777777" w:rsidTr="00354D04">
        <w:trPr>
          <w:trHeight w:val="217"/>
        </w:trPr>
        <w:tc>
          <w:tcPr>
            <w:tcW w:w="567" w:type="dxa"/>
            <w:shd w:val="clear" w:color="auto" w:fill="auto"/>
            <w:tcMar>
              <w:top w:w="10" w:type="dxa"/>
              <w:left w:w="10" w:type="dxa"/>
              <w:bottom w:w="0" w:type="dxa"/>
              <w:right w:w="10" w:type="dxa"/>
            </w:tcMar>
            <w:vAlign w:val="center"/>
          </w:tcPr>
          <w:p w14:paraId="1DE119B3" w14:textId="77777777" w:rsidR="00A90E9C" w:rsidRPr="008A26D2" w:rsidRDefault="00A90E9C" w:rsidP="00147D2E">
            <w:pPr>
              <w:jc w:val="both"/>
              <w:rPr>
                <w:rFonts w:ascii="Arial" w:hAnsi="Arial" w:cs="Arial"/>
                <w:sz w:val="20"/>
                <w:szCs w:val="20"/>
              </w:rPr>
            </w:pPr>
            <w:r w:rsidRPr="008A26D2">
              <w:rPr>
                <w:rFonts w:ascii="Arial" w:hAnsi="Arial" w:cs="Arial"/>
                <w:b/>
                <w:sz w:val="20"/>
                <w:szCs w:val="20"/>
              </w:rPr>
              <w:t>Año</w:t>
            </w:r>
          </w:p>
        </w:tc>
        <w:tc>
          <w:tcPr>
            <w:tcW w:w="866" w:type="dxa"/>
            <w:shd w:val="clear" w:color="auto" w:fill="auto"/>
            <w:tcMar>
              <w:top w:w="10" w:type="dxa"/>
              <w:left w:w="10" w:type="dxa"/>
              <w:bottom w:w="0" w:type="dxa"/>
              <w:right w:w="10" w:type="dxa"/>
            </w:tcMar>
            <w:vAlign w:val="center"/>
          </w:tcPr>
          <w:p w14:paraId="5FA3A372" w14:textId="77777777" w:rsidR="00A90E9C" w:rsidRPr="008A26D2" w:rsidRDefault="00A90E9C" w:rsidP="009A1630">
            <w:pPr>
              <w:jc w:val="center"/>
              <w:rPr>
                <w:rFonts w:ascii="Arial" w:hAnsi="Arial" w:cs="Arial"/>
                <w:b/>
                <w:sz w:val="20"/>
                <w:szCs w:val="20"/>
              </w:rPr>
            </w:pPr>
            <w:r w:rsidRPr="008A26D2">
              <w:rPr>
                <w:rFonts w:ascii="Arial" w:hAnsi="Arial" w:cs="Arial"/>
                <w:b/>
                <w:sz w:val="20"/>
                <w:szCs w:val="20"/>
              </w:rPr>
              <w:t>2021</w:t>
            </w:r>
          </w:p>
        </w:tc>
        <w:tc>
          <w:tcPr>
            <w:tcW w:w="835" w:type="dxa"/>
            <w:gridSpan w:val="2"/>
            <w:shd w:val="clear" w:color="auto" w:fill="auto"/>
            <w:tcMar>
              <w:top w:w="10" w:type="dxa"/>
              <w:left w:w="10" w:type="dxa"/>
              <w:bottom w:w="0" w:type="dxa"/>
              <w:right w:w="10" w:type="dxa"/>
            </w:tcMar>
            <w:vAlign w:val="center"/>
          </w:tcPr>
          <w:p w14:paraId="23C227D4" w14:textId="77777777" w:rsidR="00A90E9C" w:rsidRPr="008A26D2" w:rsidRDefault="00A90E9C" w:rsidP="009A1630">
            <w:pPr>
              <w:jc w:val="center"/>
              <w:rPr>
                <w:rFonts w:ascii="Arial" w:hAnsi="Arial" w:cs="Arial"/>
                <w:b/>
                <w:sz w:val="20"/>
                <w:szCs w:val="20"/>
              </w:rPr>
            </w:pPr>
            <w:r w:rsidRPr="008A26D2">
              <w:rPr>
                <w:rFonts w:ascii="Arial" w:hAnsi="Arial" w:cs="Arial"/>
                <w:b/>
                <w:sz w:val="20"/>
                <w:szCs w:val="20"/>
              </w:rPr>
              <w:t>2023</w:t>
            </w:r>
          </w:p>
        </w:tc>
        <w:tc>
          <w:tcPr>
            <w:tcW w:w="851" w:type="dxa"/>
            <w:shd w:val="clear" w:color="auto" w:fill="auto"/>
            <w:vAlign w:val="center"/>
          </w:tcPr>
          <w:p w14:paraId="6A7EBA91" w14:textId="77777777" w:rsidR="00A90E9C" w:rsidRPr="008A26D2" w:rsidRDefault="00A90E9C" w:rsidP="009A1630">
            <w:pPr>
              <w:jc w:val="center"/>
              <w:rPr>
                <w:rFonts w:ascii="Arial" w:hAnsi="Arial" w:cs="Arial"/>
                <w:b/>
                <w:sz w:val="20"/>
                <w:szCs w:val="20"/>
              </w:rPr>
            </w:pPr>
            <w:r w:rsidRPr="008A26D2">
              <w:rPr>
                <w:rFonts w:ascii="Arial" w:hAnsi="Arial" w:cs="Arial"/>
                <w:b/>
                <w:sz w:val="20"/>
                <w:szCs w:val="20"/>
              </w:rPr>
              <w:t>2024</w:t>
            </w:r>
          </w:p>
        </w:tc>
        <w:tc>
          <w:tcPr>
            <w:tcW w:w="992" w:type="dxa"/>
            <w:gridSpan w:val="2"/>
            <w:shd w:val="clear" w:color="auto" w:fill="auto"/>
            <w:vAlign w:val="center"/>
          </w:tcPr>
          <w:p w14:paraId="1AC8429E" w14:textId="77777777" w:rsidR="00A90E9C" w:rsidRPr="008A26D2" w:rsidRDefault="00A90E9C" w:rsidP="009A1630">
            <w:pPr>
              <w:jc w:val="center"/>
              <w:rPr>
                <w:rFonts w:ascii="Arial" w:hAnsi="Arial" w:cs="Arial"/>
                <w:b/>
                <w:sz w:val="20"/>
                <w:szCs w:val="20"/>
              </w:rPr>
            </w:pPr>
            <w:r w:rsidRPr="008A26D2">
              <w:rPr>
                <w:rFonts w:ascii="Arial" w:hAnsi="Arial" w:cs="Arial"/>
                <w:b/>
                <w:sz w:val="20"/>
                <w:szCs w:val="20"/>
              </w:rPr>
              <w:t>2025</w:t>
            </w:r>
          </w:p>
        </w:tc>
        <w:tc>
          <w:tcPr>
            <w:tcW w:w="850" w:type="dxa"/>
            <w:shd w:val="clear" w:color="auto" w:fill="auto"/>
            <w:vAlign w:val="center"/>
          </w:tcPr>
          <w:p w14:paraId="0FB05722" w14:textId="77777777" w:rsidR="00A90E9C" w:rsidRPr="008A26D2" w:rsidRDefault="00A90E9C" w:rsidP="009A1630">
            <w:pPr>
              <w:jc w:val="center"/>
              <w:rPr>
                <w:rFonts w:ascii="Arial" w:hAnsi="Arial" w:cs="Arial"/>
                <w:b/>
                <w:sz w:val="20"/>
                <w:szCs w:val="20"/>
              </w:rPr>
            </w:pPr>
            <w:r w:rsidRPr="008A26D2">
              <w:rPr>
                <w:rFonts w:ascii="Arial" w:hAnsi="Arial" w:cs="Arial"/>
                <w:b/>
                <w:sz w:val="20"/>
                <w:szCs w:val="20"/>
              </w:rPr>
              <w:t>2026</w:t>
            </w:r>
          </w:p>
        </w:tc>
        <w:tc>
          <w:tcPr>
            <w:tcW w:w="851" w:type="dxa"/>
            <w:shd w:val="clear" w:color="auto" w:fill="auto"/>
            <w:vAlign w:val="center"/>
          </w:tcPr>
          <w:p w14:paraId="7B0B5B83" w14:textId="77777777" w:rsidR="00A90E9C" w:rsidRPr="008A26D2" w:rsidRDefault="00A90E9C" w:rsidP="009A1630">
            <w:pPr>
              <w:jc w:val="center"/>
              <w:rPr>
                <w:rFonts w:ascii="Arial" w:hAnsi="Arial" w:cs="Arial"/>
                <w:b/>
                <w:sz w:val="20"/>
                <w:szCs w:val="20"/>
              </w:rPr>
            </w:pPr>
            <w:r w:rsidRPr="008A26D2">
              <w:rPr>
                <w:rFonts w:ascii="Arial" w:hAnsi="Arial" w:cs="Arial"/>
                <w:b/>
                <w:sz w:val="20"/>
                <w:szCs w:val="20"/>
              </w:rPr>
              <w:t>2027</w:t>
            </w:r>
          </w:p>
        </w:tc>
        <w:tc>
          <w:tcPr>
            <w:tcW w:w="850" w:type="dxa"/>
            <w:shd w:val="clear" w:color="auto" w:fill="auto"/>
            <w:vAlign w:val="center"/>
          </w:tcPr>
          <w:p w14:paraId="7DC29836" w14:textId="77777777" w:rsidR="00A90E9C" w:rsidRPr="008A26D2" w:rsidRDefault="00A90E9C" w:rsidP="009A1630">
            <w:pPr>
              <w:jc w:val="center"/>
              <w:rPr>
                <w:rFonts w:ascii="Arial" w:hAnsi="Arial" w:cs="Arial"/>
                <w:b/>
                <w:sz w:val="20"/>
                <w:szCs w:val="20"/>
              </w:rPr>
            </w:pPr>
            <w:r w:rsidRPr="008A26D2">
              <w:rPr>
                <w:rFonts w:ascii="Arial" w:hAnsi="Arial" w:cs="Arial"/>
                <w:b/>
                <w:sz w:val="20"/>
                <w:szCs w:val="20"/>
              </w:rPr>
              <w:t>2028</w:t>
            </w:r>
          </w:p>
        </w:tc>
        <w:tc>
          <w:tcPr>
            <w:tcW w:w="709" w:type="dxa"/>
            <w:shd w:val="clear" w:color="auto" w:fill="auto"/>
            <w:vAlign w:val="center"/>
          </w:tcPr>
          <w:p w14:paraId="2D5657EA" w14:textId="77777777" w:rsidR="00A90E9C" w:rsidRPr="008A26D2" w:rsidRDefault="00A90E9C" w:rsidP="009A1630">
            <w:pPr>
              <w:jc w:val="center"/>
              <w:rPr>
                <w:rFonts w:ascii="Arial" w:hAnsi="Arial" w:cs="Arial"/>
                <w:b/>
                <w:sz w:val="20"/>
                <w:szCs w:val="20"/>
              </w:rPr>
            </w:pPr>
            <w:r w:rsidRPr="008A26D2">
              <w:rPr>
                <w:rFonts w:ascii="Arial" w:hAnsi="Arial" w:cs="Arial"/>
                <w:b/>
                <w:sz w:val="20"/>
                <w:szCs w:val="20"/>
              </w:rPr>
              <w:t>2029</w:t>
            </w:r>
          </w:p>
        </w:tc>
        <w:tc>
          <w:tcPr>
            <w:tcW w:w="851" w:type="dxa"/>
            <w:shd w:val="clear" w:color="auto" w:fill="auto"/>
            <w:tcMar>
              <w:top w:w="10" w:type="dxa"/>
              <w:left w:w="10" w:type="dxa"/>
              <w:bottom w:w="0" w:type="dxa"/>
              <w:right w:w="10" w:type="dxa"/>
            </w:tcMar>
            <w:vAlign w:val="center"/>
          </w:tcPr>
          <w:p w14:paraId="64776F11" w14:textId="77777777" w:rsidR="00A90E9C" w:rsidRPr="008A26D2" w:rsidRDefault="00A90E9C" w:rsidP="009A1630">
            <w:pPr>
              <w:jc w:val="center"/>
              <w:rPr>
                <w:rFonts w:ascii="Arial" w:hAnsi="Arial" w:cs="Arial"/>
                <w:b/>
                <w:sz w:val="20"/>
                <w:szCs w:val="20"/>
              </w:rPr>
            </w:pPr>
            <w:r w:rsidRPr="008A26D2">
              <w:rPr>
                <w:rFonts w:ascii="Arial" w:hAnsi="Arial" w:cs="Arial"/>
                <w:b/>
                <w:sz w:val="20"/>
                <w:szCs w:val="20"/>
              </w:rPr>
              <w:t>2030</w:t>
            </w:r>
          </w:p>
        </w:tc>
      </w:tr>
      <w:tr w:rsidR="00A90E9C" w:rsidRPr="008A26D2" w14:paraId="5880CC41" w14:textId="77777777" w:rsidTr="00354D04">
        <w:trPr>
          <w:trHeight w:val="81"/>
        </w:trPr>
        <w:tc>
          <w:tcPr>
            <w:tcW w:w="567" w:type="dxa"/>
            <w:shd w:val="clear" w:color="auto" w:fill="auto"/>
            <w:tcMar>
              <w:top w:w="10" w:type="dxa"/>
              <w:left w:w="10" w:type="dxa"/>
              <w:bottom w:w="0" w:type="dxa"/>
              <w:right w:w="10" w:type="dxa"/>
            </w:tcMar>
            <w:vAlign w:val="center"/>
          </w:tcPr>
          <w:p w14:paraId="1BC71A7E" w14:textId="77777777" w:rsidR="00A90E9C" w:rsidRPr="008A26D2" w:rsidRDefault="00A90E9C" w:rsidP="00147D2E">
            <w:pPr>
              <w:jc w:val="both"/>
              <w:rPr>
                <w:rFonts w:ascii="Arial" w:hAnsi="Arial" w:cs="Arial"/>
                <w:b/>
                <w:sz w:val="20"/>
                <w:szCs w:val="20"/>
              </w:rPr>
            </w:pPr>
            <w:r w:rsidRPr="008A26D2">
              <w:rPr>
                <w:rFonts w:ascii="Arial" w:hAnsi="Arial" w:cs="Arial"/>
                <w:b/>
                <w:sz w:val="20"/>
                <w:szCs w:val="20"/>
              </w:rPr>
              <w:t>Valor</w:t>
            </w:r>
          </w:p>
        </w:tc>
        <w:tc>
          <w:tcPr>
            <w:tcW w:w="866" w:type="dxa"/>
            <w:shd w:val="clear" w:color="auto" w:fill="auto"/>
            <w:tcMar>
              <w:top w:w="10" w:type="dxa"/>
              <w:left w:w="10" w:type="dxa"/>
              <w:bottom w:w="0" w:type="dxa"/>
              <w:right w:w="10" w:type="dxa"/>
            </w:tcMar>
            <w:vAlign w:val="center"/>
          </w:tcPr>
          <w:p w14:paraId="40502333" w14:textId="4433BCF2" w:rsidR="00A90E9C" w:rsidRPr="008A26D2" w:rsidRDefault="000D00B4" w:rsidP="00403324">
            <w:pPr>
              <w:jc w:val="center"/>
              <w:rPr>
                <w:rFonts w:ascii="Arial" w:hAnsi="Arial" w:cs="Arial"/>
                <w:sz w:val="20"/>
                <w:szCs w:val="20"/>
              </w:rPr>
            </w:pPr>
            <w:r w:rsidRPr="008A26D2">
              <w:rPr>
                <w:rFonts w:ascii="Arial" w:hAnsi="Arial" w:cs="Arial"/>
                <w:sz w:val="20"/>
                <w:szCs w:val="20"/>
              </w:rPr>
              <w:t>ND</w:t>
            </w:r>
          </w:p>
        </w:tc>
        <w:tc>
          <w:tcPr>
            <w:tcW w:w="835" w:type="dxa"/>
            <w:gridSpan w:val="2"/>
            <w:shd w:val="clear" w:color="auto" w:fill="auto"/>
            <w:tcMar>
              <w:top w:w="10" w:type="dxa"/>
              <w:left w:w="10" w:type="dxa"/>
              <w:bottom w:w="0" w:type="dxa"/>
              <w:right w:w="10" w:type="dxa"/>
            </w:tcMar>
            <w:vAlign w:val="bottom"/>
          </w:tcPr>
          <w:p w14:paraId="5D6323AF" w14:textId="77777777" w:rsidR="00A90E9C" w:rsidRPr="008A26D2" w:rsidRDefault="00A90E9C" w:rsidP="00403324">
            <w:pPr>
              <w:jc w:val="center"/>
              <w:rPr>
                <w:rFonts w:ascii="Arial" w:eastAsia="Arial Narrow" w:hAnsi="Arial" w:cs="Arial"/>
                <w:sz w:val="20"/>
                <w:szCs w:val="20"/>
              </w:rPr>
            </w:pPr>
            <w:r w:rsidRPr="008A26D2">
              <w:rPr>
                <w:rFonts w:ascii="Arial" w:hAnsi="Arial" w:cs="Arial"/>
                <w:sz w:val="20"/>
                <w:szCs w:val="20"/>
              </w:rPr>
              <w:t>70%</w:t>
            </w:r>
          </w:p>
        </w:tc>
        <w:tc>
          <w:tcPr>
            <w:tcW w:w="851" w:type="dxa"/>
            <w:shd w:val="clear" w:color="auto" w:fill="auto"/>
            <w:vAlign w:val="bottom"/>
          </w:tcPr>
          <w:p w14:paraId="3F5CC757" w14:textId="77777777" w:rsidR="00A90E9C" w:rsidRPr="008A26D2" w:rsidRDefault="00A90E9C" w:rsidP="00403324">
            <w:pPr>
              <w:jc w:val="center"/>
              <w:rPr>
                <w:rFonts w:ascii="Arial" w:eastAsia="Arial Narrow" w:hAnsi="Arial" w:cs="Arial"/>
                <w:sz w:val="20"/>
                <w:szCs w:val="20"/>
              </w:rPr>
            </w:pPr>
            <w:r w:rsidRPr="008A26D2">
              <w:rPr>
                <w:rFonts w:ascii="Arial" w:hAnsi="Arial" w:cs="Arial"/>
                <w:sz w:val="20"/>
                <w:szCs w:val="20"/>
              </w:rPr>
              <w:t>70%</w:t>
            </w:r>
          </w:p>
        </w:tc>
        <w:tc>
          <w:tcPr>
            <w:tcW w:w="992" w:type="dxa"/>
            <w:gridSpan w:val="2"/>
            <w:shd w:val="clear" w:color="auto" w:fill="auto"/>
            <w:vAlign w:val="bottom"/>
          </w:tcPr>
          <w:p w14:paraId="65583B7B" w14:textId="77777777" w:rsidR="00A90E9C" w:rsidRPr="008A26D2" w:rsidRDefault="00A90E9C" w:rsidP="00403324">
            <w:pPr>
              <w:jc w:val="center"/>
              <w:rPr>
                <w:rFonts w:ascii="Arial" w:eastAsia="Arial Narrow" w:hAnsi="Arial" w:cs="Arial"/>
                <w:sz w:val="20"/>
                <w:szCs w:val="20"/>
              </w:rPr>
            </w:pPr>
            <w:r w:rsidRPr="008A26D2">
              <w:rPr>
                <w:rFonts w:ascii="Arial" w:hAnsi="Arial" w:cs="Arial"/>
                <w:sz w:val="20"/>
                <w:szCs w:val="20"/>
              </w:rPr>
              <w:t>70%</w:t>
            </w:r>
          </w:p>
        </w:tc>
        <w:tc>
          <w:tcPr>
            <w:tcW w:w="850" w:type="dxa"/>
            <w:shd w:val="clear" w:color="auto" w:fill="auto"/>
            <w:vAlign w:val="bottom"/>
          </w:tcPr>
          <w:p w14:paraId="04EEC696" w14:textId="77777777" w:rsidR="00A90E9C" w:rsidRPr="008A26D2" w:rsidRDefault="00A90E9C" w:rsidP="00403324">
            <w:pPr>
              <w:jc w:val="center"/>
              <w:rPr>
                <w:rFonts w:ascii="Arial" w:eastAsia="Arial Narrow" w:hAnsi="Arial" w:cs="Arial"/>
                <w:sz w:val="20"/>
                <w:szCs w:val="20"/>
              </w:rPr>
            </w:pPr>
            <w:r w:rsidRPr="008A26D2">
              <w:rPr>
                <w:rFonts w:ascii="Arial" w:hAnsi="Arial" w:cs="Arial"/>
                <w:sz w:val="20"/>
                <w:szCs w:val="20"/>
              </w:rPr>
              <w:t>80%</w:t>
            </w:r>
          </w:p>
        </w:tc>
        <w:tc>
          <w:tcPr>
            <w:tcW w:w="851" w:type="dxa"/>
            <w:shd w:val="clear" w:color="auto" w:fill="auto"/>
            <w:vAlign w:val="bottom"/>
          </w:tcPr>
          <w:p w14:paraId="5745275B" w14:textId="77777777" w:rsidR="00A90E9C" w:rsidRPr="008A26D2" w:rsidRDefault="00A90E9C" w:rsidP="00403324">
            <w:pPr>
              <w:jc w:val="center"/>
              <w:rPr>
                <w:rFonts w:ascii="Arial" w:eastAsia="Arial Narrow" w:hAnsi="Arial" w:cs="Arial"/>
                <w:sz w:val="20"/>
                <w:szCs w:val="20"/>
              </w:rPr>
            </w:pPr>
            <w:r w:rsidRPr="008A26D2">
              <w:rPr>
                <w:rFonts w:ascii="Arial" w:hAnsi="Arial" w:cs="Arial"/>
                <w:sz w:val="20"/>
                <w:szCs w:val="20"/>
              </w:rPr>
              <w:t>80%</w:t>
            </w:r>
          </w:p>
        </w:tc>
        <w:tc>
          <w:tcPr>
            <w:tcW w:w="850" w:type="dxa"/>
            <w:shd w:val="clear" w:color="auto" w:fill="auto"/>
            <w:vAlign w:val="bottom"/>
          </w:tcPr>
          <w:p w14:paraId="1303B71C" w14:textId="77777777" w:rsidR="00A90E9C" w:rsidRPr="008A26D2" w:rsidRDefault="00A90E9C" w:rsidP="00403324">
            <w:pPr>
              <w:jc w:val="center"/>
              <w:rPr>
                <w:rFonts w:ascii="Arial" w:eastAsia="Arial Narrow" w:hAnsi="Arial" w:cs="Arial"/>
                <w:sz w:val="20"/>
                <w:szCs w:val="20"/>
              </w:rPr>
            </w:pPr>
            <w:r w:rsidRPr="008A26D2">
              <w:rPr>
                <w:rFonts w:ascii="Arial" w:hAnsi="Arial" w:cs="Arial"/>
                <w:sz w:val="20"/>
                <w:szCs w:val="20"/>
              </w:rPr>
              <w:t>90%</w:t>
            </w:r>
          </w:p>
        </w:tc>
        <w:tc>
          <w:tcPr>
            <w:tcW w:w="709" w:type="dxa"/>
            <w:shd w:val="clear" w:color="auto" w:fill="auto"/>
            <w:vAlign w:val="bottom"/>
          </w:tcPr>
          <w:p w14:paraId="109479FA" w14:textId="77777777" w:rsidR="00A90E9C" w:rsidRPr="008A26D2" w:rsidRDefault="00A90E9C" w:rsidP="00403324">
            <w:pPr>
              <w:jc w:val="center"/>
              <w:rPr>
                <w:rFonts w:ascii="Arial" w:eastAsia="Arial Narrow" w:hAnsi="Arial" w:cs="Arial"/>
                <w:sz w:val="20"/>
                <w:szCs w:val="20"/>
              </w:rPr>
            </w:pPr>
            <w:r w:rsidRPr="008A26D2">
              <w:rPr>
                <w:rFonts w:ascii="Arial" w:hAnsi="Arial" w:cs="Arial"/>
                <w:sz w:val="20"/>
                <w:szCs w:val="20"/>
              </w:rPr>
              <w:t>90%</w:t>
            </w:r>
          </w:p>
        </w:tc>
        <w:tc>
          <w:tcPr>
            <w:tcW w:w="851" w:type="dxa"/>
            <w:shd w:val="clear" w:color="auto" w:fill="auto"/>
            <w:tcMar>
              <w:top w:w="10" w:type="dxa"/>
              <w:left w:w="10" w:type="dxa"/>
              <w:bottom w:w="0" w:type="dxa"/>
              <w:right w:w="10" w:type="dxa"/>
            </w:tcMar>
            <w:vAlign w:val="bottom"/>
          </w:tcPr>
          <w:p w14:paraId="2B182644" w14:textId="77777777" w:rsidR="00A90E9C" w:rsidRPr="008A26D2" w:rsidRDefault="00A90E9C" w:rsidP="00403324">
            <w:pPr>
              <w:jc w:val="center"/>
              <w:rPr>
                <w:rFonts w:ascii="Arial" w:eastAsia="Arial Narrow" w:hAnsi="Arial" w:cs="Arial"/>
                <w:sz w:val="20"/>
                <w:szCs w:val="20"/>
              </w:rPr>
            </w:pPr>
            <w:r w:rsidRPr="008A26D2">
              <w:rPr>
                <w:rFonts w:ascii="Arial" w:hAnsi="Arial" w:cs="Arial"/>
                <w:sz w:val="20"/>
                <w:szCs w:val="20"/>
              </w:rPr>
              <w:t>100%</w:t>
            </w:r>
          </w:p>
        </w:tc>
      </w:tr>
    </w:tbl>
    <w:p w14:paraId="6028B360" w14:textId="77777777" w:rsidR="00A90E9C" w:rsidRPr="008A26D2" w:rsidRDefault="00A90E9C" w:rsidP="00A90E9C"/>
    <w:p w14:paraId="14765AF2" w14:textId="15E2594B" w:rsidR="00A90E9C" w:rsidRPr="008A26D2" w:rsidRDefault="00A90E9C" w:rsidP="00A90E9C"/>
    <w:tbl>
      <w:tblPr>
        <w:tblW w:w="8505"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866"/>
        <w:gridCol w:w="711"/>
        <w:gridCol w:w="124"/>
        <w:gridCol w:w="1276"/>
        <w:gridCol w:w="425"/>
        <w:gridCol w:w="567"/>
        <w:gridCol w:w="851"/>
        <w:gridCol w:w="992"/>
        <w:gridCol w:w="425"/>
        <w:gridCol w:w="284"/>
        <w:gridCol w:w="708"/>
        <w:gridCol w:w="709"/>
      </w:tblGrid>
      <w:tr w:rsidR="008A26D2" w:rsidRPr="008A26D2" w14:paraId="116B3D61" w14:textId="77777777" w:rsidTr="00086DE5">
        <w:trPr>
          <w:trHeight w:val="251"/>
        </w:trPr>
        <w:tc>
          <w:tcPr>
            <w:tcW w:w="8505" w:type="dxa"/>
            <w:gridSpan w:val="13"/>
            <w:shd w:val="clear" w:color="auto" w:fill="D9D9D9" w:themeFill="background1" w:themeFillShade="D9"/>
            <w:tcMar>
              <w:top w:w="10" w:type="dxa"/>
              <w:left w:w="10" w:type="dxa"/>
              <w:bottom w:w="0" w:type="dxa"/>
              <w:right w:w="10" w:type="dxa"/>
            </w:tcMar>
            <w:vAlign w:val="center"/>
          </w:tcPr>
          <w:p w14:paraId="3B6449AD" w14:textId="1ED9417C" w:rsidR="00086DE5" w:rsidRPr="008A26D2" w:rsidRDefault="00086DE5" w:rsidP="00086DE5">
            <w:pPr>
              <w:jc w:val="center"/>
              <w:rPr>
                <w:rFonts w:ascii="Arial" w:hAnsi="Arial" w:cs="Arial"/>
                <w:sz w:val="20"/>
                <w:szCs w:val="20"/>
              </w:rPr>
            </w:pPr>
            <w:r w:rsidRPr="008A26D2">
              <w:rPr>
                <w:rFonts w:ascii="Arial" w:hAnsi="Arial" w:cs="Arial"/>
                <w:sz w:val="20"/>
                <w:szCs w:val="20"/>
              </w:rPr>
              <w:br w:type="page"/>
            </w:r>
            <w:r w:rsidRPr="008A26D2">
              <w:rPr>
                <w:rFonts w:ascii="Arial" w:hAnsi="Arial" w:cs="Arial"/>
                <w:b/>
                <w:sz w:val="20"/>
                <w:szCs w:val="20"/>
              </w:rPr>
              <w:t>FICHA TÉCNICA DE INDICADOR DE SERVICIO 2.1.1</w:t>
            </w:r>
          </w:p>
        </w:tc>
      </w:tr>
      <w:tr w:rsidR="008A26D2" w:rsidRPr="008A26D2" w14:paraId="2C875F50" w14:textId="77777777" w:rsidTr="00086DE5">
        <w:trPr>
          <w:trHeight w:val="409"/>
        </w:trPr>
        <w:tc>
          <w:tcPr>
            <w:tcW w:w="2144" w:type="dxa"/>
            <w:gridSpan w:val="3"/>
            <w:shd w:val="clear" w:color="auto" w:fill="FFFFFF"/>
            <w:tcMar>
              <w:top w:w="10" w:type="dxa"/>
              <w:left w:w="93" w:type="dxa"/>
              <w:bottom w:w="0" w:type="dxa"/>
              <w:right w:w="10" w:type="dxa"/>
            </w:tcMar>
            <w:vAlign w:val="center"/>
          </w:tcPr>
          <w:p w14:paraId="5A1E694F" w14:textId="77777777" w:rsidR="00086DE5" w:rsidRPr="008A26D2" w:rsidRDefault="00086DE5" w:rsidP="00086DE5">
            <w:pPr>
              <w:spacing w:after="0" w:line="240" w:lineRule="auto"/>
              <w:rPr>
                <w:rFonts w:ascii="Arial" w:hAnsi="Arial" w:cs="Arial"/>
                <w:sz w:val="20"/>
                <w:szCs w:val="20"/>
              </w:rPr>
            </w:pPr>
            <w:r w:rsidRPr="008A26D2">
              <w:rPr>
                <w:rFonts w:ascii="Arial" w:hAnsi="Arial" w:cs="Arial"/>
                <w:b/>
                <w:sz w:val="20"/>
                <w:szCs w:val="20"/>
              </w:rPr>
              <w:t>Objetivo prioritario:</w:t>
            </w:r>
          </w:p>
        </w:tc>
        <w:tc>
          <w:tcPr>
            <w:tcW w:w="6361" w:type="dxa"/>
            <w:gridSpan w:val="10"/>
            <w:shd w:val="clear" w:color="auto" w:fill="FFFFFF"/>
            <w:tcMar>
              <w:top w:w="51" w:type="dxa"/>
              <w:left w:w="227" w:type="dxa"/>
              <w:bottom w:w="51" w:type="dxa"/>
              <w:right w:w="227" w:type="dxa"/>
            </w:tcMar>
            <w:vAlign w:val="center"/>
          </w:tcPr>
          <w:p w14:paraId="5BBAE8F1" w14:textId="77777777" w:rsidR="00086DE5" w:rsidRPr="008A26D2" w:rsidRDefault="00086DE5" w:rsidP="00086DE5">
            <w:pPr>
              <w:spacing w:after="0" w:line="240" w:lineRule="auto"/>
              <w:jc w:val="both"/>
              <w:rPr>
                <w:rFonts w:ascii="Arial" w:hAnsi="Arial" w:cs="Arial"/>
                <w:sz w:val="20"/>
                <w:szCs w:val="20"/>
              </w:rPr>
            </w:pPr>
            <w:r w:rsidRPr="008A26D2">
              <w:rPr>
                <w:rFonts w:ascii="Arial" w:eastAsia="Arial Narrow" w:hAnsi="Arial" w:cs="Arial"/>
                <w:sz w:val="20"/>
                <w:szCs w:val="20"/>
              </w:rPr>
              <w:t>OP2 Incrementar la productividad de los ecosistemas forestales, otros ecosistemas de vegetación silvestre y de la fauna silvestre</w:t>
            </w:r>
          </w:p>
        </w:tc>
      </w:tr>
      <w:tr w:rsidR="008A26D2" w:rsidRPr="008A26D2" w14:paraId="4AC10EEE" w14:textId="77777777" w:rsidTr="00086DE5">
        <w:trPr>
          <w:trHeight w:val="436"/>
        </w:trPr>
        <w:tc>
          <w:tcPr>
            <w:tcW w:w="2144" w:type="dxa"/>
            <w:gridSpan w:val="3"/>
            <w:shd w:val="clear" w:color="auto" w:fill="auto"/>
            <w:tcMar>
              <w:top w:w="10" w:type="dxa"/>
              <w:left w:w="93" w:type="dxa"/>
              <w:bottom w:w="0" w:type="dxa"/>
              <w:right w:w="10" w:type="dxa"/>
            </w:tcMar>
            <w:vAlign w:val="center"/>
          </w:tcPr>
          <w:p w14:paraId="606039E8" w14:textId="77777777" w:rsidR="00086DE5" w:rsidRPr="008A26D2" w:rsidRDefault="00086DE5" w:rsidP="00086DE5">
            <w:pPr>
              <w:spacing w:after="0" w:line="240" w:lineRule="auto"/>
              <w:rPr>
                <w:rFonts w:ascii="Arial" w:hAnsi="Arial" w:cs="Arial"/>
                <w:sz w:val="20"/>
                <w:szCs w:val="20"/>
              </w:rPr>
            </w:pPr>
            <w:r w:rsidRPr="008A26D2">
              <w:rPr>
                <w:rFonts w:ascii="Arial" w:hAnsi="Arial" w:cs="Arial"/>
                <w:b/>
                <w:sz w:val="20"/>
                <w:szCs w:val="20"/>
              </w:rPr>
              <w:t>Lineamiento de la política:</w:t>
            </w:r>
          </w:p>
        </w:tc>
        <w:tc>
          <w:tcPr>
            <w:tcW w:w="6361" w:type="dxa"/>
            <w:gridSpan w:val="10"/>
            <w:shd w:val="clear" w:color="auto" w:fill="auto"/>
            <w:tcMar>
              <w:top w:w="51" w:type="dxa"/>
              <w:left w:w="227" w:type="dxa"/>
              <w:bottom w:w="51" w:type="dxa"/>
              <w:right w:w="227" w:type="dxa"/>
            </w:tcMar>
            <w:vAlign w:val="center"/>
          </w:tcPr>
          <w:p w14:paraId="669A5BCF" w14:textId="77777777" w:rsidR="00086DE5" w:rsidRPr="008A26D2" w:rsidRDefault="00086DE5" w:rsidP="00086DE5">
            <w:pPr>
              <w:spacing w:after="0" w:line="240" w:lineRule="auto"/>
              <w:jc w:val="both"/>
              <w:rPr>
                <w:rFonts w:ascii="Arial" w:hAnsi="Arial" w:cs="Arial"/>
                <w:sz w:val="20"/>
                <w:szCs w:val="20"/>
              </w:rPr>
            </w:pPr>
            <w:r w:rsidRPr="008A26D2">
              <w:rPr>
                <w:rFonts w:ascii="Arial" w:eastAsia="Arial Narrow" w:hAnsi="Arial" w:cs="Arial"/>
                <w:sz w:val="20"/>
                <w:szCs w:val="20"/>
              </w:rPr>
              <w:t>L2.1 Mejorar la formación académica y laboral de acuerdo a las necesidades de las actividades forestales y de fauna silvestre y las exigencias del mercado</w:t>
            </w:r>
          </w:p>
        </w:tc>
      </w:tr>
      <w:tr w:rsidR="008A26D2" w:rsidRPr="008A26D2" w14:paraId="58053ACF" w14:textId="77777777" w:rsidTr="00086DE5">
        <w:trPr>
          <w:trHeight w:val="404"/>
        </w:trPr>
        <w:tc>
          <w:tcPr>
            <w:tcW w:w="2144" w:type="dxa"/>
            <w:gridSpan w:val="3"/>
            <w:shd w:val="clear" w:color="auto" w:fill="auto"/>
            <w:tcMar>
              <w:top w:w="10" w:type="dxa"/>
              <w:left w:w="93" w:type="dxa"/>
              <w:bottom w:w="0" w:type="dxa"/>
              <w:right w:w="10" w:type="dxa"/>
            </w:tcMar>
            <w:vAlign w:val="center"/>
          </w:tcPr>
          <w:p w14:paraId="6B66AE87" w14:textId="77777777" w:rsidR="00086DE5" w:rsidRPr="008A26D2" w:rsidRDefault="00086DE5" w:rsidP="00086DE5">
            <w:pPr>
              <w:spacing w:after="0" w:line="240" w:lineRule="auto"/>
              <w:rPr>
                <w:rFonts w:ascii="Arial" w:hAnsi="Arial" w:cs="Arial"/>
                <w:sz w:val="20"/>
                <w:szCs w:val="20"/>
              </w:rPr>
            </w:pPr>
            <w:r w:rsidRPr="008A26D2">
              <w:rPr>
                <w:rFonts w:ascii="Arial" w:hAnsi="Arial" w:cs="Arial"/>
                <w:b/>
                <w:sz w:val="20"/>
                <w:szCs w:val="20"/>
              </w:rPr>
              <w:t>Nombre del servicio:</w:t>
            </w:r>
          </w:p>
        </w:tc>
        <w:tc>
          <w:tcPr>
            <w:tcW w:w="6361" w:type="dxa"/>
            <w:gridSpan w:val="10"/>
            <w:shd w:val="clear" w:color="auto" w:fill="auto"/>
            <w:tcMar>
              <w:top w:w="51" w:type="dxa"/>
              <w:left w:w="227" w:type="dxa"/>
              <w:bottom w:w="51" w:type="dxa"/>
              <w:right w:w="227" w:type="dxa"/>
            </w:tcMar>
            <w:vAlign w:val="center"/>
          </w:tcPr>
          <w:p w14:paraId="5D426ABA" w14:textId="77EB3AC9" w:rsidR="00086DE5" w:rsidRPr="008A26D2" w:rsidRDefault="00086DE5" w:rsidP="00086DE5">
            <w:pPr>
              <w:spacing w:after="0" w:line="240" w:lineRule="auto"/>
              <w:jc w:val="both"/>
              <w:rPr>
                <w:rFonts w:ascii="Arial" w:hAnsi="Arial" w:cs="Arial"/>
                <w:sz w:val="20"/>
                <w:szCs w:val="20"/>
              </w:rPr>
            </w:pPr>
            <w:r w:rsidRPr="008A26D2">
              <w:rPr>
                <w:rFonts w:ascii="Arial" w:eastAsia="Arial Narrow" w:hAnsi="Arial" w:cs="Arial"/>
                <w:sz w:val="20"/>
                <w:szCs w:val="20"/>
              </w:rPr>
              <w:t xml:space="preserve">S2.1.1 </w:t>
            </w:r>
            <w:r w:rsidR="00C31FC1" w:rsidRPr="008A26D2">
              <w:rPr>
                <w:rFonts w:ascii="Arial" w:eastAsia="Arial Narrow" w:hAnsi="Arial" w:cs="Arial"/>
                <w:sz w:val="20"/>
                <w:szCs w:val="20"/>
              </w:rPr>
              <w:t>Fortalecimiento de capacidades en actividades productivas de la cadena forestal y fauna silvestre de forma satisfactoria dirigido a</w:t>
            </w:r>
            <w:r w:rsidR="00C31FC1" w:rsidRPr="008A26D2">
              <w:rPr>
                <w:rFonts w:ascii="Arial" w:hAnsi="Arial" w:cs="Arial"/>
                <w:sz w:val="20"/>
                <w:szCs w:val="20"/>
              </w:rPr>
              <w:t xml:space="preserve"> profesionales y técnicos forestales y de fauna silvestre</w:t>
            </w:r>
          </w:p>
        </w:tc>
      </w:tr>
      <w:tr w:rsidR="008A26D2" w:rsidRPr="008A26D2" w14:paraId="6DD9EB07" w14:textId="77777777" w:rsidTr="00086DE5">
        <w:trPr>
          <w:trHeight w:val="577"/>
        </w:trPr>
        <w:tc>
          <w:tcPr>
            <w:tcW w:w="2144" w:type="dxa"/>
            <w:gridSpan w:val="3"/>
            <w:shd w:val="clear" w:color="auto" w:fill="auto"/>
            <w:tcMar>
              <w:top w:w="10" w:type="dxa"/>
              <w:left w:w="93" w:type="dxa"/>
              <w:bottom w:w="0" w:type="dxa"/>
              <w:right w:w="10" w:type="dxa"/>
            </w:tcMar>
            <w:vAlign w:val="center"/>
          </w:tcPr>
          <w:p w14:paraId="5BADFDDA" w14:textId="77777777" w:rsidR="00086DE5" w:rsidRPr="008A26D2" w:rsidRDefault="00086DE5" w:rsidP="00086DE5">
            <w:pPr>
              <w:spacing w:after="0" w:line="240" w:lineRule="auto"/>
              <w:rPr>
                <w:rFonts w:ascii="Arial" w:hAnsi="Arial" w:cs="Arial"/>
                <w:sz w:val="20"/>
                <w:szCs w:val="20"/>
              </w:rPr>
            </w:pPr>
            <w:r w:rsidRPr="008A26D2">
              <w:rPr>
                <w:rFonts w:ascii="Arial" w:hAnsi="Arial" w:cs="Arial"/>
                <w:b/>
                <w:sz w:val="20"/>
                <w:szCs w:val="20"/>
              </w:rPr>
              <w:t>Nombre del indicador:</w:t>
            </w:r>
          </w:p>
        </w:tc>
        <w:tc>
          <w:tcPr>
            <w:tcW w:w="6361" w:type="dxa"/>
            <w:gridSpan w:val="10"/>
            <w:shd w:val="clear" w:color="auto" w:fill="auto"/>
            <w:tcMar>
              <w:top w:w="51" w:type="dxa"/>
              <w:left w:w="227" w:type="dxa"/>
              <w:bottom w:w="51" w:type="dxa"/>
              <w:right w:w="227" w:type="dxa"/>
            </w:tcMar>
            <w:vAlign w:val="bottom"/>
          </w:tcPr>
          <w:p w14:paraId="3CF06831" w14:textId="105E19B8" w:rsidR="00086DE5" w:rsidRPr="008A26D2" w:rsidRDefault="00C31FC1" w:rsidP="00086DE5">
            <w:pPr>
              <w:spacing w:after="0" w:line="240" w:lineRule="auto"/>
              <w:jc w:val="both"/>
              <w:rPr>
                <w:rFonts w:ascii="Arial" w:eastAsia="Arial Narrow" w:hAnsi="Arial" w:cs="Arial"/>
                <w:sz w:val="20"/>
                <w:szCs w:val="20"/>
              </w:rPr>
            </w:pPr>
            <w:r w:rsidRPr="008A26D2">
              <w:rPr>
                <w:rFonts w:ascii="Arial" w:eastAsia="Times New Roman" w:hAnsi="Arial" w:cs="Arial"/>
                <w:sz w:val="20"/>
                <w:szCs w:val="20"/>
              </w:rPr>
              <w:t xml:space="preserve">Porcentaje de </w:t>
            </w:r>
            <w:r w:rsidRPr="008A26D2">
              <w:rPr>
                <w:rFonts w:ascii="Arial" w:hAnsi="Arial" w:cs="Arial"/>
                <w:sz w:val="20"/>
                <w:szCs w:val="20"/>
              </w:rPr>
              <w:t xml:space="preserve">profesionales y técnicos forestales y de fauna silvestre </w:t>
            </w:r>
            <w:r w:rsidRPr="008A26D2">
              <w:rPr>
                <w:rFonts w:ascii="Arial" w:eastAsia="Times New Roman" w:hAnsi="Arial" w:cs="Arial"/>
                <w:sz w:val="20"/>
                <w:szCs w:val="20"/>
                <w:lang w:val="es-ES"/>
              </w:rPr>
              <w:t>con alto grado de satisfacción sobre las capacitaciones recibidas</w:t>
            </w:r>
            <w:r w:rsidRPr="008A26D2">
              <w:rPr>
                <w:rFonts w:ascii="Arial" w:eastAsia="Arial Narrow" w:hAnsi="Arial" w:cs="Arial"/>
                <w:sz w:val="20"/>
                <w:szCs w:val="20"/>
              </w:rPr>
              <w:t xml:space="preserve"> en actividades productivas de la cadena forestal y fauna silvestre</w:t>
            </w:r>
          </w:p>
        </w:tc>
      </w:tr>
      <w:tr w:rsidR="008A26D2" w:rsidRPr="008A26D2" w14:paraId="35850423" w14:textId="77777777" w:rsidTr="00086DE5">
        <w:trPr>
          <w:trHeight w:val="577"/>
        </w:trPr>
        <w:tc>
          <w:tcPr>
            <w:tcW w:w="2144" w:type="dxa"/>
            <w:gridSpan w:val="3"/>
            <w:shd w:val="clear" w:color="auto" w:fill="auto"/>
            <w:tcMar>
              <w:top w:w="10" w:type="dxa"/>
              <w:left w:w="93" w:type="dxa"/>
              <w:bottom w:w="0" w:type="dxa"/>
              <w:right w:w="10" w:type="dxa"/>
            </w:tcMar>
            <w:vAlign w:val="center"/>
          </w:tcPr>
          <w:p w14:paraId="5C1A5378" w14:textId="77777777" w:rsidR="00086DE5" w:rsidRPr="008A26D2" w:rsidRDefault="00086DE5" w:rsidP="00086DE5">
            <w:pPr>
              <w:spacing w:after="0" w:line="240" w:lineRule="auto"/>
              <w:rPr>
                <w:rFonts w:ascii="Arial" w:hAnsi="Arial" w:cs="Arial"/>
                <w:sz w:val="20"/>
                <w:szCs w:val="20"/>
              </w:rPr>
            </w:pPr>
            <w:r w:rsidRPr="008A26D2">
              <w:rPr>
                <w:rFonts w:ascii="Arial" w:hAnsi="Arial" w:cs="Arial"/>
                <w:b/>
                <w:sz w:val="20"/>
                <w:szCs w:val="20"/>
              </w:rPr>
              <w:t>Justificación:</w:t>
            </w:r>
          </w:p>
        </w:tc>
        <w:tc>
          <w:tcPr>
            <w:tcW w:w="6361" w:type="dxa"/>
            <w:gridSpan w:val="10"/>
            <w:shd w:val="clear" w:color="auto" w:fill="auto"/>
            <w:tcMar>
              <w:top w:w="51" w:type="dxa"/>
              <w:left w:w="227" w:type="dxa"/>
              <w:bottom w:w="51" w:type="dxa"/>
              <w:right w:w="227" w:type="dxa"/>
            </w:tcMar>
            <w:vAlign w:val="center"/>
          </w:tcPr>
          <w:p w14:paraId="7900FA08" w14:textId="77777777" w:rsidR="00086DE5" w:rsidRPr="008A26D2" w:rsidRDefault="00086DE5" w:rsidP="00086DE5">
            <w:pPr>
              <w:spacing w:after="0" w:line="240" w:lineRule="auto"/>
              <w:jc w:val="both"/>
              <w:rPr>
                <w:rFonts w:ascii="Arial" w:eastAsia="Arial Narrow" w:hAnsi="Arial" w:cs="Arial"/>
                <w:sz w:val="20"/>
                <w:szCs w:val="20"/>
              </w:rPr>
            </w:pPr>
            <w:r w:rsidRPr="008A26D2">
              <w:rPr>
                <w:rFonts w:ascii="Arial" w:eastAsia="Times New Roman" w:hAnsi="Arial" w:cs="Arial"/>
                <w:sz w:val="20"/>
                <w:szCs w:val="20"/>
                <w:lang w:val="es-ES"/>
              </w:rPr>
              <w:t xml:space="preserve">El indicador cuantifica el porcentaje de </w:t>
            </w:r>
            <w:r w:rsidRPr="008A26D2">
              <w:rPr>
                <w:rFonts w:ascii="Arial" w:hAnsi="Arial" w:cs="Arial"/>
                <w:sz w:val="20"/>
                <w:szCs w:val="20"/>
              </w:rPr>
              <w:t>profesionales y técnicos forestales y de fauna silvestre</w:t>
            </w:r>
            <w:r w:rsidRPr="008A26D2">
              <w:rPr>
                <w:rFonts w:ascii="Arial" w:eastAsia="Times New Roman" w:hAnsi="Arial" w:cs="Arial"/>
                <w:sz w:val="20"/>
                <w:szCs w:val="20"/>
                <w:lang w:val="es-ES"/>
              </w:rPr>
              <w:t xml:space="preserve"> que perciben un alto grado de satisfacción sobre las capacitaciones recibidas en </w:t>
            </w:r>
            <w:r w:rsidRPr="008A26D2">
              <w:rPr>
                <w:rFonts w:ascii="Arial" w:eastAsia="Arial Narrow" w:hAnsi="Arial" w:cs="Arial"/>
                <w:sz w:val="20"/>
                <w:szCs w:val="20"/>
              </w:rPr>
              <w:t>en actividades productivas de la cadena forestal y fauna silvestre</w:t>
            </w:r>
            <w:r w:rsidRPr="008A26D2">
              <w:rPr>
                <w:rFonts w:ascii="Arial" w:eastAsia="Times New Roman" w:hAnsi="Arial" w:cs="Arial"/>
                <w:sz w:val="20"/>
                <w:szCs w:val="20"/>
                <w:lang w:val="es-ES"/>
              </w:rPr>
              <w:t>. De esta manera, el indicador facilitará el seguimiento de la satisfacción del servicio y establecer acciones de mejora correspondientes.</w:t>
            </w:r>
          </w:p>
        </w:tc>
      </w:tr>
      <w:tr w:rsidR="008A26D2" w:rsidRPr="008A26D2" w14:paraId="0584F64C" w14:textId="77777777" w:rsidTr="00086DE5">
        <w:trPr>
          <w:trHeight w:val="352"/>
        </w:trPr>
        <w:tc>
          <w:tcPr>
            <w:tcW w:w="2144" w:type="dxa"/>
            <w:gridSpan w:val="3"/>
            <w:shd w:val="clear" w:color="auto" w:fill="auto"/>
            <w:tcMar>
              <w:top w:w="10" w:type="dxa"/>
              <w:left w:w="93" w:type="dxa"/>
              <w:bottom w:w="0" w:type="dxa"/>
              <w:right w:w="10" w:type="dxa"/>
            </w:tcMar>
            <w:vAlign w:val="center"/>
          </w:tcPr>
          <w:p w14:paraId="4AFC76AD" w14:textId="77777777" w:rsidR="00086DE5" w:rsidRPr="008A26D2" w:rsidRDefault="00086DE5" w:rsidP="00086DE5">
            <w:pPr>
              <w:spacing w:after="0" w:line="240" w:lineRule="auto"/>
              <w:rPr>
                <w:rFonts w:ascii="Arial" w:hAnsi="Arial" w:cs="Arial"/>
                <w:sz w:val="20"/>
                <w:szCs w:val="20"/>
              </w:rPr>
            </w:pPr>
            <w:r w:rsidRPr="008A26D2">
              <w:rPr>
                <w:rFonts w:ascii="Arial" w:hAnsi="Arial" w:cs="Arial"/>
                <w:b/>
                <w:sz w:val="20"/>
                <w:szCs w:val="20"/>
              </w:rPr>
              <w:t>Responsable del indicador:</w:t>
            </w:r>
          </w:p>
        </w:tc>
        <w:tc>
          <w:tcPr>
            <w:tcW w:w="6361" w:type="dxa"/>
            <w:gridSpan w:val="10"/>
            <w:shd w:val="clear" w:color="auto" w:fill="auto"/>
            <w:tcMar>
              <w:top w:w="51" w:type="dxa"/>
              <w:left w:w="227" w:type="dxa"/>
              <w:bottom w:w="51" w:type="dxa"/>
              <w:right w:w="227" w:type="dxa"/>
            </w:tcMar>
            <w:vAlign w:val="center"/>
          </w:tcPr>
          <w:p w14:paraId="52619B05" w14:textId="77777777" w:rsidR="00086DE5" w:rsidRPr="008A26D2" w:rsidRDefault="00086DE5" w:rsidP="00086DE5">
            <w:pPr>
              <w:spacing w:after="0" w:line="240" w:lineRule="auto"/>
              <w:rPr>
                <w:rFonts w:ascii="Arial" w:eastAsia="Arial Narrow" w:hAnsi="Arial" w:cs="Arial"/>
                <w:sz w:val="20"/>
                <w:szCs w:val="20"/>
              </w:rPr>
            </w:pPr>
            <w:r w:rsidRPr="008A26D2">
              <w:rPr>
                <w:rFonts w:ascii="Arial" w:eastAsia="Arial Narrow" w:hAnsi="Arial" w:cs="Arial"/>
                <w:sz w:val="20"/>
                <w:szCs w:val="20"/>
              </w:rPr>
              <w:t>Dirección de Fortalecimiento de Capacidades del Servicio Nacional Forestal y de Fauna Silvestre - SERFOR</w:t>
            </w:r>
          </w:p>
        </w:tc>
      </w:tr>
      <w:tr w:rsidR="008A26D2" w:rsidRPr="008A26D2" w14:paraId="42420BC9" w14:textId="77777777" w:rsidTr="00086DE5">
        <w:trPr>
          <w:trHeight w:val="484"/>
        </w:trPr>
        <w:tc>
          <w:tcPr>
            <w:tcW w:w="2144" w:type="dxa"/>
            <w:gridSpan w:val="3"/>
            <w:shd w:val="clear" w:color="auto" w:fill="auto"/>
            <w:tcMar>
              <w:top w:w="10" w:type="dxa"/>
              <w:left w:w="93" w:type="dxa"/>
              <w:bottom w:w="0" w:type="dxa"/>
              <w:right w:w="10" w:type="dxa"/>
            </w:tcMar>
            <w:vAlign w:val="center"/>
          </w:tcPr>
          <w:p w14:paraId="58E96F2A" w14:textId="77777777" w:rsidR="00086DE5" w:rsidRPr="008A26D2" w:rsidRDefault="00086DE5" w:rsidP="00086DE5">
            <w:pPr>
              <w:spacing w:after="0" w:line="240" w:lineRule="auto"/>
              <w:rPr>
                <w:rFonts w:ascii="Arial" w:hAnsi="Arial" w:cs="Arial"/>
                <w:sz w:val="20"/>
                <w:szCs w:val="20"/>
              </w:rPr>
            </w:pPr>
            <w:r w:rsidRPr="008A26D2">
              <w:rPr>
                <w:rFonts w:ascii="Arial" w:hAnsi="Arial" w:cs="Arial"/>
                <w:b/>
                <w:sz w:val="20"/>
                <w:szCs w:val="20"/>
              </w:rPr>
              <w:t>Limitaciones para la medición del indicador:</w:t>
            </w:r>
          </w:p>
        </w:tc>
        <w:tc>
          <w:tcPr>
            <w:tcW w:w="6361" w:type="dxa"/>
            <w:gridSpan w:val="10"/>
            <w:shd w:val="clear" w:color="auto" w:fill="auto"/>
            <w:tcMar>
              <w:top w:w="51" w:type="dxa"/>
              <w:left w:w="227" w:type="dxa"/>
              <w:bottom w:w="51" w:type="dxa"/>
              <w:right w:w="227" w:type="dxa"/>
            </w:tcMar>
            <w:vAlign w:val="center"/>
          </w:tcPr>
          <w:p w14:paraId="0E5A88E2" w14:textId="77777777" w:rsidR="00086DE5" w:rsidRPr="008A26D2" w:rsidRDefault="00086DE5" w:rsidP="00086DE5">
            <w:pPr>
              <w:spacing w:after="0" w:line="240" w:lineRule="auto"/>
              <w:rPr>
                <w:rFonts w:ascii="Arial" w:hAnsi="Arial" w:cs="Arial"/>
                <w:sz w:val="20"/>
                <w:szCs w:val="20"/>
              </w:rPr>
            </w:pPr>
            <w:r w:rsidRPr="008A26D2">
              <w:rPr>
                <w:rFonts w:ascii="Arial" w:eastAsia="Arial Narrow" w:hAnsi="Arial" w:cs="Arial"/>
                <w:sz w:val="20"/>
                <w:szCs w:val="20"/>
              </w:rPr>
              <w:t>No presenta limitaciones</w:t>
            </w:r>
          </w:p>
        </w:tc>
      </w:tr>
      <w:tr w:rsidR="008A26D2" w:rsidRPr="008A26D2" w14:paraId="23289B4B" w14:textId="77777777" w:rsidTr="00086DE5">
        <w:trPr>
          <w:trHeight w:val="231"/>
        </w:trPr>
        <w:tc>
          <w:tcPr>
            <w:tcW w:w="2144" w:type="dxa"/>
            <w:gridSpan w:val="3"/>
            <w:shd w:val="clear" w:color="auto" w:fill="auto"/>
            <w:tcMar>
              <w:top w:w="10" w:type="dxa"/>
              <w:left w:w="93" w:type="dxa"/>
              <w:bottom w:w="0" w:type="dxa"/>
              <w:right w:w="10" w:type="dxa"/>
            </w:tcMar>
            <w:vAlign w:val="center"/>
          </w:tcPr>
          <w:p w14:paraId="7ACAF502" w14:textId="77777777" w:rsidR="00086DE5" w:rsidRPr="008A26D2" w:rsidRDefault="00086DE5" w:rsidP="00086DE5">
            <w:pPr>
              <w:rPr>
                <w:rFonts w:ascii="Arial" w:hAnsi="Arial" w:cs="Arial"/>
                <w:sz w:val="20"/>
                <w:szCs w:val="20"/>
              </w:rPr>
            </w:pPr>
            <w:r w:rsidRPr="008A26D2">
              <w:rPr>
                <w:rFonts w:ascii="Arial" w:hAnsi="Arial" w:cs="Arial"/>
                <w:b/>
                <w:sz w:val="20"/>
                <w:szCs w:val="20"/>
              </w:rPr>
              <w:t xml:space="preserve">Método de cálculo: </w:t>
            </w:r>
          </w:p>
        </w:tc>
        <w:tc>
          <w:tcPr>
            <w:tcW w:w="6361" w:type="dxa"/>
            <w:gridSpan w:val="10"/>
            <w:shd w:val="clear" w:color="auto" w:fill="auto"/>
            <w:tcMar>
              <w:top w:w="51" w:type="dxa"/>
              <w:left w:w="227" w:type="dxa"/>
              <w:bottom w:w="51" w:type="dxa"/>
              <w:right w:w="227" w:type="dxa"/>
            </w:tcMar>
            <w:vAlign w:val="center"/>
          </w:tcPr>
          <w:p w14:paraId="57264982" w14:textId="77777777" w:rsidR="00086DE5" w:rsidRPr="008A26D2" w:rsidRDefault="00086DE5" w:rsidP="00086DE5">
            <w:pPr>
              <w:rPr>
                <w:rFonts w:ascii="Arial" w:eastAsia="Arial Narrow" w:hAnsi="Arial" w:cs="Arial"/>
                <w:b/>
                <w:sz w:val="20"/>
                <w:szCs w:val="20"/>
              </w:rPr>
            </w:pPr>
            <w:r w:rsidRPr="008A26D2">
              <w:rPr>
                <w:rFonts w:ascii="Arial" w:eastAsia="Arial Narrow" w:hAnsi="Arial" w:cs="Arial"/>
                <w:b/>
                <w:sz w:val="20"/>
                <w:szCs w:val="20"/>
              </w:rPr>
              <w:t>1. Fórmula:</w:t>
            </w:r>
          </w:p>
          <w:p w14:paraId="72DEDCC3" w14:textId="77777777" w:rsidR="00086DE5" w:rsidRPr="008A26D2" w:rsidRDefault="00086DE5" w:rsidP="00086DE5">
            <w:pPr>
              <w:rPr>
                <w:rFonts w:ascii="Arial" w:eastAsia="Arial Unicode MS" w:hAnsi="Arial" w:cs="Arial"/>
                <w:sz w:val="20"/>
                <w:szCs w:val="20"/>
              </w:rPr>
            </w:pPr>
            <w:r w:rsidRPr="008A26D2">
              <w:rPr>
                <w:rFonts w:ascii="Arial" w:eastAsia="Arial Unicode MS" w:hAnsi="Arial" w:cs="Arial"/>
                <w:sz w:val="20"/>
                <w:szCs w:val="20"/>
              </w:rPr>
              <w:t>(A/B)*100</w:t>
            </w:r>
          </w:p>
          <w:p w14:paraId="6AC80B31" w14:textId="77777777" w:rsidR="00086DE5" w:rsidRPr="008A26D2" w:rsidRDefault="00086DE5" w:rsidP="00086DE5">
            <w:pPr>
              <w:rPr>
                <w:rFonts w:ascii="Arial" w:eastAsia="Arial Unicode MS" w:hAnsi="Arial" w:cs="Arial"/>
                <w:sz w:val="20"/>
                <w:szCs w:val="20"/>
              </w:rPr>
            </w:pPr>
            <w:r w:rsidRPr="008A26D2">
              <w:rPr>
                <w:rFonts w:ascii="Arial" w:eastAsia="Arial Unicode MS" w:hAnsi="Arial" w:cs="Arial"/>
                <w:sz w:val="20"/>
                <w:szCs w:val="20"/>
              </w:rPr>
              <w:t>Donde:</w:t>
            </w:r>
          </w:p>
          <w:p w14:paraId="17623570" w14:textId="77777777" w:rsidR="00086DE5" w:rsidRPr="008A26D2" w:rsidRDefault="00086DE5" w:rsidP="008C0008">
            <w:pPr>
              <w:ind w:left="322" w:hanging="322"/>
              <w:rPr>
                <w:rFonts w:ascii="Arial" w:hAnsi="Arial" w:cs="Arial"/>
                <w:bCs/>
                <w:sz w:val="20"/>
                <w:szCs w:val="20"/>
              </w:rPr>
            </w:pPr>
            <w:r w:rsidRPr="008A26D2">
              <w:rPr>
                <w:rFonts w:ascii="Arial" w:hAnsi="Arial" w:cs="Arial"/>
                <w:bCs/>
                <w:sz w:val="20"/>
                <w:szCs w:val="20"/>
              </w:rPr>
              <w:t xml:space="preserve">A = Número de </w:t>
            </w:r>
            <w:r w:rsidRPr="008A26D2">
              <w:rPr>
                <w:rFonts w:ascii="Arial" w:hAnsi="Arial" w:cs="Arial"/>
                <w:sz w:val="20"/>
                <w:szCs w:val="20"/>
              </w:rPr>
              <w:t xml:space="preserve">profesionales y técnicos forestales y de fauna silvestre </w:t>
            </w:r>
            <w:r w:rsidRPr="008A26D2">
              <w:rPr>
                <w:rFonts w:ascii="Arial" w:eastAsia="Times New Roman" w:hAnsi="Arial" w:cs="Arial"/>
                <w:sz w:val="20"/>
                <w:szCs w:val="20"/>
                <w:lang w:val="es-ES"/>
              </w:rPr>
              <w:t>con alto grado de satisfacción sobre las capacitaciones recibidas</w:t>
            </w:r>
            <w:r w:rsidRPr="008A26D2">
              <w:rPr>
                <w:rFonts w:ascii="Arial" w:eastAsia="Arial Narrow" w:hAnsi="Arial" w:cs="Arial"/>
                <w:sz w:val="20"/>
                <w:szCs w:val="20"/>
              </w:rPr>
              <w:t xml:space="preserve"> en actividades productivas de la cadena forestal y fauna silvestre</w:t>
            </w:r>
            <w:r w:rsidRPr="008A26D2">
              <w:rPr>
                <w:rFonts w:ascii="Arial" w:hAnsi="Arial" w:cs="Arial"/>
                <w:bCs/>
                <w:sz w:val="20"/>
                <w:szCs w:val="20"/>
              </w:rPr>
              <w:t xml:space="preserve"> </w:t>
            </w:r>
          </w:p>
          <w:p w14:paraId="5380DAD2" w14:textId="77777777" w:rsidR="00147D2E" w:rsidRPr="008A26D2" w:rsidRDefault="00086DE5" w:rsidP="00147D2E">
            <w:pPr>
              <w:ind w:left="322" w:hanging="322"/>
              <w:rPr>
                <w:rFonts w:ascii="Arial" w:eastAsia="Arial Narrow" w:hAnsi="Arial" w:cs="Arial"/>
                <w:sz w:val="20"/>
                <w:szCs w:val="20"/>
              </w:rPr>
            </w:pPr>
            <w:r w:rsidRPr="008A26D2">
              <w:rPr>
                <w:rFonts w:ascii="Arial" w:hAnsi="Arial" w:cs="Arial"/>
                <w:bCs/>
                <w:sz w:val="20"/>
                <w:szCs w:val="20"/>
              </w:rPr>
              <w:t xml:space="preserve">B = Total de </w:t>
            </w:r>
            <w:r w:rsidRPr="008A26D2">
              <w:rPr>
                <w:rFonts w:ascii="Arial" w:hAnsi="Arial" w:cs="Arial"/>
                <w:sz w:val="20"/>
                <w:szCs w:val="20"/>
              </w:rPr>
              <w:t xml:space="preserve">profesionales y técnicos forestales y de fauna silvestre </w:t>
            </w:r>
            <w:r w:rsidRPr="008A26D2">
              <w:rPr>
                <w:rFonts w:ascii="Arial" w:eastAsia="Times New Roman" w:hAnsi="Arial" w:cs="Arial"/>
                <w:sz w:val="20"/>
                <w:szCs w:val="20"/>
                <w:lang w:val="es-ES"/>
              </w:rPr>
              <w:t>que reciben capacitación</w:t>
            </w:r>
            <w:r w:rsidRPr="008A26D2">
              <w:rPr>
                <w:rFonts w:ascii="Arial" w:eastAsia="Arial Narrow" w:hAnsi="Arial" w:cs="Arial"/>
                <w:sz w:val="20"/>
                <w:szCs w:val="20"/>
              </w:rPr>
              <w:t xml:space="preserve"> en actividades productivas de la cadena forestal y fauna silvestre</w:t>
            </w:r>
          </w:p>
          <w:p w14:paraId="3FCF2A83" w14:textId="33AEC9CF" w:rsidR="00086DE5" w:rsidRPr="008A26D2" w:rsidRDefault="00086DE5" w:rsidP="00147D2E">
            <w:pPr>
              <w:ind w:left="322" w:hanging="322"/>
              <w:jc w:val="both"/>
              <w:rPr>
                <w:rFonts w:ascii="Arial" w:eastAsia="Arial Narrow" w:hAnsi="Arial" w:cs="Arial"/>
                <w:sz w:val="20"/>
                <w:szCs w:val="20"/>
              </w:rPr>
            </w:pPr>
            <w:r w:rsidRPr="008A26D2">
              <w:rPr>
                <w:rFonts w:ascii="Arial" w:eastAsia="Arial Narrow" w:hAnsi="Arial" w:cs="Arial"/>
                <w:sz w:val="20"/>
                <w:szCs w:val="20"/>
              </w:rPr>
              <w:br/>
            </w:r>
            <w:r w:rsidRPr="008A26D2">
              <w:rPr>
                <w:rFonts w:ascii="Arial" w:eastAsia="Arial Narrow" w:hAnsi="Arial" w:cs="Arial"/>
                <w:b/>
                <w:sz w:val="20"/>
                <w:szCs w:val="20"/>
              </w:rPr>
              <w:t>2. Especificaciones técnicas:</w:t>
            </w:r>
          </w:p>
          <w:p w14:paraId="1B2CFA81" w14:textId="44AB4510" w:rsidR="006B79A4" w:rsidRPr="006B79A4" w:rsidRDefault="006B79A4" w:rsidP="006B79A4">
            <w:pPr>
              <w:jc w:val="both"/>
              <w:rPr>
                <w:rFonts w:ascii="Arial" w:eastAsia="Times New Roman" w:hAnsi="Arial" w:cs="Arial"/>
                <w:sz w:val="20"/>
                <w:szCs w:val="20"/>
                <w:lang w:val="es-ES"/>
              </w:rPr>
            </w:pPr>
            <w:r w:rsidRPr="006B79A4">
              <w:rPr>
                <w:rFonts w:ascii="Arial" w:eastAsia="Times New Roman" w:hAnsi="Arial" w:cs="Arial"/>
                <w:sz w:val="20"/>
                <w:szCs w:val="20"/>
                <w:lang w:val="es-ES"/>
              </w:rPr>
              <w:lastRenderedPageBreak/>
              <w:t xml:space="preserve">La variable A se determina a partir de los </w:t>
            </w:r>
            <w:r w:rsidR="006145FB" w:rsidRPr="006145FB">
              <w:rPr>
                <w:rFonts w:ascii="Arial" w:eastAsia="Times New Roman" w:hAnsi="Arial" w:cs="Arial"/>
                <w:sz w:val="20"/>
                <w:szCs w:val="20"/>
                <w:lang w:val="es-ES"/>
              </w:rPr>
              <w:t xml:space="preserve">profesionales y técnicos forestales y de fauna silvestre </w:t>
            </w:r>
            <w:r w:rsidRPr="006B79A4">
              <w:rPr>
                <w:rFonts w:ascii="Arial" w:eastAsia="Times New Roman" w:hAnsi="Arial" w:cs="Arial"/>
                <w:sz w:val="20"/>
                <w:szCs w:val="20"/>
                <w:lang w:val="es-ES"/>
              </w:rPr>
              <w:t>que tienen un alto grado de satisfacción, al elegir los dos niveles más altos de la escala, sobre las acciones de fortalecimiento de capacidades recibidas.</w:t>
            </w:r>
          </w:p>
          <w:p w14:paraId="21187D38" w14:textId="00FA219E" w:rsidR="00B235E4" w:rsidRDefault="006B79A4" w:rsidP="006B79A4">
            <w:pPr>
              <w:jc w:val="both"/>
              <w:rPr>
                <w:rFonts w:ascii="Arial" w:eastAsia="Times New Roman" w:hAnsi="Arial" w:cs="Arial"/>
                <w:sz w:val="20"/>
                <w:szCs w:val="20"/>
                <w:lang w:val="es-ES"/>
              </w:rPr>
            </w:pPr>
            <w:r w:rsidRPr="006B79A4">
              <w:rPr>
                <w:rFonts w:ascii="Arial" w:eastAsia="Times New Roman" w:hAnsi="Arial" w:cs="Arial"/>
                <w:sz w:val="20"/>
                <w:szCs w:val="20"/>
                <w:lang w:val="es-ES"/>
              </w:rPr>
              <w:t xml:space="preserve">La variable B se determina con el total de </w:t>
            </w:r>
            <w:r w:rsidR="006145FB" w:rsidRPr="006145FB">
              <w:rPr>
                <w:rFonts w:ascii="Arial" w:eastAsia="Times New Roman" w:hAnsi="Arial" w:cs="Arial"/>
                <w:sz w:val="20"/>
                <w:szCs w:val="20"/>
                <w:lang w:val="es-ES"/>
              </w:rPr>
              <w:t xml:space="preserve">profesionales y técnicos forestales y de fauna silvestre </w:t>
            </w:r>
            <w:r w:rsidRPr="006B79A4">
              <w:rPr>
                <w:rFonts w:ascii="Arial" w:eastAsia="Times New Roman" w:hAnsi="Arial" w:cs="Arial"/>
                <w:sz w:val="20"/>
                <w:szCs w:val="20"/>
                <w:lang w:val="es-ES"/>
              </w:rPr>
              <w:t>que asisten a las capacitaciones</w:t>
            </w:r>
            <w:r w:rsidR="009A1630">
              <w:rPr>
                <w:rFonts w:ascii="Arial" w:eastAsia="Times New Roman" w:hAnsi="Arial" w:cs="Arial"/>
                <w:sz w:val="20"/>
                <w:szCs w:val="20"/>
                <w:lang w:val="es-ES"/>
              </w:rPr>
              <w:t xml:space="preserve"> en el año de medición</w:t>
            </w:r>
            <w:r>
              <w:rPr>
                <w:rFonts w:ascii="Arial" w:eastAsia="Times New Roman" w:hAnsi="Arial" w:cs="Arial"/>
                <w:sz w:val="20"/>
                <w:szCs w:val="20"/>
                <w:lang w:val="es-ES"/>
              </w:rPr>
              <w:t>.</w:t>
            </w:r>
          </w:p>
          <w:p w14:paraId="099EC5AD" w14:textId="2DE764F3" w:rsidR="00086DE5" w:rsidRPr="008A26D2" w:rsidRDefault="00086DE5" w:rsidP="00147D2E">
            <w:pPr>
              <w:jc w:val="both"/>
              <w:rPr>
                <w:rFonts w:ascii="Arial" w:eastAsia="Times New Roman" w:hAnsi="Arial" w:cs="Arial"/>
                <w:sz w:val="20"/>
                <w:szCs w:val="20"/>
                <w:lang w:val="es-ES"/>
              </w:rPr>
            </w:pPr>
            <w:r w:rsidRPr="008A26D2">
              <w:rPr>
                <w:rFonts w:ascii="Arial" w:eastAsia="Times New Roman" w:hAnsi="Arial" w:cs="Arial"/>
                <w:sz w:val="20"/>
                <w:szCs w:val="20"/>
                <w:lang w:val="es-ES"/>
              </w:rPr>
              <w:t xml:space="preserve">El indicador se calculará a partir de encuestas o entrevistas donde se pueda registrar el grado de satisfacción de los </w:t>
            </w:r>
            <w:r w:rsidRPr="008A26D2">
              <w:rPr>
                <w:rFonts w:ascii="Arial" w:hAnsi="Arial" w:cs="Arial"/>
                <w:sz w:val="20"/>
                <w:szCs w:val="20"/>
              </w:rPr>
              <w:t>profesionales y técnicos forestales y de fauna silvestre</w:t>
            </w:r>
            <w:r w:rsidRPr="008A26D2">
              <w:rPr>
                <w:rFonts w:ascii="Arial" w:eastAsia="Times New Roman" w:hAnsi="Arial" w:cs="Arial"/>
                <w:sz w:val="20"/>
                <w:szCs w:val="20"/>
                <w:lang w:val="es-ES"/>
              </w:rPr>
              <w:t xml:space="preserve"> que reciben la capacitación, identificando aquellos aspectos del servicio que se pueden mejorar y satisfacer al receptor.</w:t>
            </w:r>
          </w:p>
          <w:p w14:paraId="2B122869" w14:textId="77777777" w:rsidR="00086DE5" w:rsidRPr="008A26D2" w:rsidRDefault="00086DE5" w:rsidP="00147D2E">
            <w:pPr>
              <w:jc w:val="both"/>
              <w:rPr>
                <w:rFonts w:ascii="Arial" w:hAnsi="Arial" w:cs="Arial"/>
                <w:bCs/>
                <w:sz w:val="20"/>
                <w:szCs w:val="20"/>
              </w:rPr>
            </w:pPr>
            <w:r w:rsidRPr="008A26D2">
              <w:rPr>
                <w:rFonts w:ascii="Arial" w:hAnsi="Arial" w:cs="Arial"/>
                <w:bCs/>
                <w:sz w:val="20"/>
                <w:szCs w:val="20"/>
              </w:rPr>
              <w:t>Para evaluar el grado de satisfacción se considerará los alcances metodológicos señalados en el Protocolo de Capacitación y Asistencia Técnica del SERFOR.</w:t>
            </w:r>
          </w:p>
          <w:p w14:paraId="3EB9550E" w14:textId="731348B0" w:rsidR="00086DE5" w:rsidRPr="008A26D2" w:rsidRDefault="00C40F76" w:rsidP="00147D2E">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Se carece de línea base porque no se contaba con la metodología para la medición del estándar</w:t>
            </w:r>
            <w:r w:rsidR="00086DE5" w:rsidRPr="008A26D2">
              <w:rPr>
                <w:rFonts w:ascii="Arial" w:eastAsia="Arial Narrow" w:hAnsi="Arial" w:cs="Arial"/>
                <w:sz w:val="20"/>
                <w:szCs w:val="20"/>
              </w:rPr>
              <w:t>, por ese motivo, el SERFOR determinará la línea base para su cálculo antes del inicio de la implementación de la presente Política Nacional.</w:t>
            </w:r>
          </w:p>
          <w:p w14:paraId="6700C23D" w14:textId="77777777" w:rsidR="00086DE5" w:rsidRPr="008A26D2" w:rsidRDefault="00086DE5" w:rsidP="00086DE5">
            <w:pPr>
              <w:spacing w:after="0" w:line="240" w:lineRule="auto"/>
              <w:jc w:val="both"/>
              <w:rPr>
                <w:rFonts w:ascii="Arial" w:hAnsi="Arial" w:cs="Arial"/>
                <w:sz w:val="20"/>
                <w:szCs w:val="20"/>
              </w:rPr>
            </w:pPr>
          </w:p>
        </w:tc>
      </w:tr>
      <w:tr w:rsidR="008A26D2" w:rsidRPr="008A26D2" w14:paraId="661825F0" w14:textId="77777777" w:rsidTr="009A1630">
        <w:trPr>
          <w:trHeight w:val="686"/>
        </w:trPr>
        <w:tc>
          <w:tcPr>
            <w:tcW w:w="2144" w:type="dxa"/>
            <w:gridSpan w:val="3"/>
            <w:shd w:val="clear" w:color="auto" w:fill="auto"/>
            <w:tcMar>
              <w:top w:w="10" w:type="dxa"/>
              <w:left w:w="93" w:type="dxa"/>
              <w:bottom w:w="0" w:type="dxa"/>
              <w:right w:w="10" w:type="dxa"/>
            </w:tcMar>
            <w:vAlign w:val="center"/>
          </w:tcPr>
          <w:p w14:paraId="67DA4CC2" w14:textId="77777777" w:rsidR="00086DE5" w:rsidRPr="008A26D2" w:rsidRDefault="00086DE5" w:rsidP="00086DE5">
            <w:pPr>
              <w:spacing w:after="0" w:line="240" w:lineRule="auto"/>
              <w:rPr>
                <w:rFonts w:ascii="Arial" w:hAnsi="Arial" w:cs="Arial"/>
                <w:sz w:val="20"/>
                <w:szCs w:val="20"/>
              </w:rPr>
            </w:pPr>
            <w:r w:rsidRPr="008A26D2">
              <w:rPr>
                <w:rFonts w:ascii="Arial" w:hAnsi="Arial" w:cs="Arial"/>
                <w:b/>
                <w:sz w:val="20"/>
                <w:szCs w:val="20"/>
              </w:rPr>
              <w:lastRenderedPageBreak/>
              <w:t>Sentido esperado del indicador:</w:t>
            </w:r>
          </w:p>
        </w:tc>
        <w:tc>
          <w:tcPr>
            <w:tcW w:w="1825" w:type="dxa"/>
            <w:gridSpan w:val="3"/>
            <w:shd w:val="clear" w:color="auto" w:fill="auto"/>
            <w:tcMar>
              <w:top w:w="10" w:type="dxa"/>
              <w:left w:w="283" w:type="dxa"/>
              <w:bottom w:w="0" w:type="dxa"/>
              <w:right w:w="283" w:type="dxa"/>
            </w:tcMar>
            <w:vAlign w:val="center"/>
          </w:tcPr>
          <w:p w14:paraId="3CBF9760" w14:textId="77777777" w:rsidR="00086DE5" w:rsidRPr="008A26D2" w:rsidRDefault="00086DE5" w:rsidP="00086DE5">
            <w:pPr>
              <w:spacing w:after="0" w:line="240" w:lineRule="auto"/>
              <w:rPr>
                <w:rFonts w:ascii="Arial" w:hAnsi="Arial" w:cs="Arial"/>
                <w:sz w:val="20"/>
                <w:szCs w:val="20"/>
              </w:rPr>
            </w:pPr>
            <w:r w:rsidRPr="008A26D2">
              <w:rPr>
                <w:rFonts w:ascii="Arial" w:eastAsia="Arial Narrow" w:hAnsi="Arial" w:cs="Arial"/>
                <w:sz w:val="20"/>
                <w:szCs w:val="20"/>
              </w:rPr>
              <w:t>Ascendente</w:t>
            </w:r>
          </w:p>
        </w:tc>
        <w:tc>
          <w:tcPr>
            <w:tcW w:w="2835" w:type="dxa"/>
            <w:gridSpan w:val="4"/>
            <w:shd w:val="clear" w:color="auto" w:fill="auto"/>
            <w:tcMar>
              <w:top w:w="15" w:type="dxa"/>
              <w:left w:w="15" w:type="dxa"/>
              <w:bottom w:w="0" w:type="dxa"/>
              <w:right w:w="15" w:type="dxa"/>
            </w:tcMar>
            <w:vAlign w:val="center"/>
          </w:tcPr>
          <w:p w14:paraId="1D1F231B" w14:textId="77777777" w:rsidR="00086DE5" w:rsidRPr="008A26D2" w:rsidRDefault="00086DE5" w:rsidP="00086DE5">
            <w:pPr>
              <w:spacing w:after="0" w:line="240" w:lineRule="auto"/>
              <w:rPr>
                <w:rFonts w:ascii="Arial" w:hAnsi="Arial" w:cs="Arial"/>
                <w:sz w:val="20"/>
                <w:szCs w:val="20"/>
              </w:rPr>
            </w:pPr>
            <w:r w:rsidRPr="008A26D2">
              <w:rPr>
                <w:rFonts w:ascii="Arial" w:hAnsi="Arial" w:cs="Arial"/>
                <w:b/>
                <w:sz w:val="20"/>
                <w:szCs w:val="20"/>
              </w:rPr>
              <w:t>Tipo de indicador de servicio:</w:t>
            </w:r>
          </w:p>
        </w:tc>
        <w:tc>
          <w:tcPr>
            <w:tcW w:w="1701" w:type="dxa"/>
            <w:gridSpan w:val="3"/>
            <w:shd w:val="clear" w:color="auto" w:fill="auto"/>
            <w:tcMar>
              <w:top w:w="15" w:type="dxa"/>
              <w:left w:w="15" w:type="dxa"/>
              <w:bottom w:w="0" w:type="dxa"/>
              <w:right w:w="15" w:type="dxa"/>
            </w:tcMar>
            <w:vAlign w:val="center"/>
          </w:tcPr>
          <w:p w14:paraId="4E92857F" w14:textId="77777777" w:rsidR="00086DE5" w:rsidRPr="008A26D2" w:rsidRDefault="00086DE5" w:rsidP="00086DE5">
            <w:pPr>
              <w:spacing w:after="0" w:line="240" w:lineRule="auto"/>
              <w:rPr>
                <w:rFonts w:ascii="Arial" w:hAnsi="Arial" w:cs="Arial"/>
                <w:sz w:val="20"/>
                <w:szCs w:val="20"/>
              </w:rPr>
            </w:pPr>
            <w:r w:rsidRPr="008A26D2">
              <w:rPr>
                <w:rFonts w:ascii="Arial" w:eastAsia="Arial Narrow" w:hAnsi="Arial" w:cs="Arial"/>
                <w:sz w:val="20"/>
                <w:szCs w:val="20"/>
              </w:rPr>
              <w:t>Calidad – Percepción</w:t>
            </w:r>
          </w:p>
        </w:tc>
      </w:tr>
      <w:tr w:rsidR="008A26D2" w:rsidRPr="008A26D2" w14:paraId="01862099" w14:textId="77777777" w:rsidTr="00086DE5">
        <w:trPr>
          <w:trHeight w:val="13"/>
        </w:trPr>
        <w:tc>
          <w:tcPr>
            <w:tcW w:w="2144" w:type="dxa"/>
            <w:gridSpan w:val="3"/>
            <w:shd w:val="clear" w:color="auto" w:fill="auto"/>
            <w:tcMar>
              <w:top w:w="10" w:type="dxa"/>
              <w:left w:w="93" w:type="dxa"/>
              <w:bottom w:w="0" w:type="dxa"/>
              <w:right w:w="10" w:type="dxa"/>
            </w:tcMar>
            <w:vAlign w:val="center"/>
          </w:tcPr>
          <w:p w14:paraId="477448FF" w14:textId="77777777" w:rsidR="00086DE5" w:rsidRPr="008A26D2" w:rsidRDefault="00086DE5" w:rsidP="00086DE5">
            <w:pPr>
              <w:spacing w:after="0" w:line="240" w:lineRule="auto"/>
              <w:rPr>
                <w:rFonts w:ascii="Arial" w:hAnsi="Arial" w:cs="Arial"/>
                <w:sz w:val="20"/>
                <w:szCs w:val="20"/>
              </w:rPr>
            </w:pPr>
            <w:r w:rsidRPr="008A26D2">
              <w:rPr>
                <w:rFonts w:ascii="Arial" w:hAnsi="Arial" w:cs="Arial"/>
                <w:b/>
                <w:sz w:val="20"/>
                <w:szCs w:val="20"/>
              </w:rPr>
              <w:t>Fuente y base de datos:</w:t>
            </w:r>
          </w:p>
        </w:tc>
        <w:tc>
          <w:tcPr>
            <w:tcW w:w="6361" w:type="dxa"/>
            <w:gridSpan w:val="10"/>
            <w:shd w:val="clear" w:color="auto" w:fill="auto"/>
            <w:tcMar>
              <w:top w:w="51" w:type="dxa"/>
              <w:left w:w="227" w:type="dxa"/>
              <w:bottom w:w="51" w:type="dxa"/>
              <w:right w:w="227" w:type="dxa"/>
            </w:tcMar>
            <w:vAlign w:val="center"/>
          </w:tcPr>
          <w:p w14:paraId="53212C30" w14:textId="37E6F8DD" w:rsidR="00086DE5" w:rsidRPr="008A26D2" w:rsidRDefault="00086DE5" w:rsidP="00086DE5">
            <w:pPr>
              <w:spacing w:after="0" w:line="240" w:lineRule="auto"/>
              <w:rPr>
                <w:rFonts w:ascii="Arial" w:eastAsia="Arial Narrow" w:hAnsi="Arial" w:cs="Arial"/>
                <w:sz w:val="20"/>
                <w:szCs w:val="20"/>
              </w:rPr>
            </w:pPr>
            <w:r w:rsidRPr="008A26D2">
              <w:rPr>
                <w:rFonts w:ascii="Arial" w:eastAsia="Arial Narrow" w:hAnsi="Arial" w:cs="Arial"/>
                <w:sz w:val="20"/>
                <w:szCs w:val="20"/>
              </w:rPr>
              <w:t xml:space="preserve">Fuente: Dirección de Fortalecimiento de Capacidades del </w:t>
            </w:r>
            <w:r w:rsidR="001B7D66">
              <w:rPr>
                <w:rFonts w:ascii="Arial" w:eastAsia="Arial Narrow" w:hAnsi="Arial" w:cs="Arial"/>
                <w:sz w:val="20"/>
                <w:szCs w:val="20"/>
              </w:rPr>
              <w:t xml:space="preserve">Servicio Nacional Forestal y de Fauna Silvestre – </w:t>
            </w:r>
            <w:r w:rsidRPr="008A26D2">
              <w:rPr>
                <w:rFonts w:ascii="Arial" w:eastAsia="Arial Narrow" w:hAnsi="Arial" w:cs="Arial"/>
                <w:sz w:val="20"/>
                <w:szCs w:val="20"/>
              </w:rPr>
              <w:t>SERFOR</w:t>
            </w:r>
            <w:r w:rsidR="001B7D66">
              <w:rPr>
                <w:rFonts w:ascii="Arial" w:eastAsia="Arial Narrow" w:hAnsi="Arial" w:cs="Arial"/>
                <w:sz w:val="20"/>
                <w:szCs w:val="20"/>
              </w:rPr>
              <w:t>.</w:t>
            </w:r>
          </w:p>
          <w:p w14:paraId="3AA90734" w14:textId="1F181FDB" w:rsidR="00086DE5" w:rsidRPr="008A26D2" w:rsidRDefault="00086DE5" w:rsidP="00086DE5">
            <w:pPr>
              <w:spacing w:after="0" w:line="240" w:lineRule="auto"/>
              <w:rPr>
                <w:rFonts w:ascii="Arial" w:eastAsia="Arial Narrow" w:hAnsi="Arial" w:cs="Arial"/>
                <w:sz w:val="20"/>
                <w:szCs w:val="20"/>
              </w:rPr>
            </w:pPr>
            <w:r w:rsidRPr="008A26D2">
              <w:rPr>
                <w:rFonts w:ascii="Arial" w:eastAsia="Arial Narrow" w:hAnsi="Arial" w:cs="Arial"/>
                <w:sz w:val="20"/>
                <w:szCs w:val="20"/>
              </w:rPr>
              <w:t>Base de datos: Reporte de fortalecimiento de capacidades</w:t>
            </w:r>
            <w:r w:rsidR="001B7D66">
              <w:rPr>
                <w:rFonts w:ascii="Arial" w:eastAsia="Arial Narrow" w:hAnsi="Arial" w:cs="Arial"/>
                <w:sz w:val="20"/>
                <w:szCs w:val="20"/>
              </w:rPr>
              <w:t>.</w:t>
            </w:r>
            <w:r w:rsidRPr="008A26D2">
              <w:rPr>
                <w:rFonts w:ascii="Arial" w:eastAsia="Arial Narrow" w:hAnsi="Arial" w:cs="Arial"/>
                <w:sz w:val="20"/>
                <w:szCs w:val="20"/>
              </w:rPr>
              <w:t xml:space="preserve"> </w:t>
            </w:r>
          </w:p>
        </w:tc>
      </w:tr>
      <w:tr w:rsidR="008A26D2" w:rsidRPr="008A26D2" w14:paraId="7FC4CEF0" w14:textId="77777777" w:rsidTr="00086DE5">
        <w:trPr>
          <w:trHeight w:val="436"/>
        </w:trPr>
        <w:tc>
          <w:tcPr>
            <w:tcW w:w="2144" w:type="dxa"/>
            <w:gridSpan w:val="3"/>
            <w:shd w:val="clear" w:color="auto" w:fill="auto"/>
            <w:tcMar>
              <w:top w:w="10" w:type="dxa"/>
              <w:left w:w="93" w:type="dxa"/>
              <w:bottom w:w="0" w:type="dxa"/>
              <w:right w:w="10" w:type="dxa"/>
            </w:tcMar>
            <w:vAlign w:val="center"/>
          </w:tcPr>
          <w:p w14:paraId="119D44BB" w14:textId="77777777" w:rsidR="00086DE5" w:rsidRPr="008A26D2" w:rsidRDefault="00086DE5" w:rsidP="00086DE5">
            <w:pPr>
              <w:spacing w:after="0" w:line="240" w:lineRule="auto"/>
              <w:rPr>
                <w:rFonts w:ascii="Arial" w:hAnsi="Arial" w:cs="Arial"/>
                <w:sz w:val="20"/>
                <w:szCs w:val="20"/>
              </w:rPr>
            </w:pPr>
            <w:r w:rsidRPr="008A26D2">
              <w:rPr>
                <w:rFonts w:ascii="Arial" w:hAnsi="Arial" w:cs="Arial"/>
                <w:b/>
                <w:sz w:val="20"/>
                <w:szCs w:val="20"/>
              </w:rPr>
              <w:t>Supuestos:</w:t>
            </w:r>
          </w:p>
        </w:tc>
        <w:tc>
          <w:tcPr>
            <w:tcW w:w="6361" w:type="dxa"/>
            <w:gridSpan w:val="10"/>
            <w:shd w:val="clear" w:color="auto" w:fill="auto"/>
            <w:tcMar>
              <w:top w:w="51" w:type="dxa"/>
              <w:left w:w="227" w:type="dxa"/>
              <w:bottom w:w="51" w:type="dxa"/>
              <w:right w:w="227" w:type="dxa"/>
            </w:tcMar>
            <w:vAlign w:val="center"/>
          </w:tcPr>
          <w:p w14:paraId="340004CC" w14:textId="397FEDEA" w:rsidR="00086DE5" w:rsidRPr="009A1630" w:rsidRDefault="00086DE5" w:rsidP="009A1630">
            <w:pPr>
              <w:spacing w:after="0" w:line="240" w:lineRule="auto"/>
              <w:rPr>
                <w:rFonts w:ascii="Arial" w:eastAsia="Arial Narrow" w:hAnsi="Arial" w:cs="Arial"/>
                <w:sz w:val="20"/>
                <w:szCs w:val="20"/>
              </w:rPr>
            </w:pPr>
            <w:r w:rsidRPr="009A1630">
              <w:rPr>
                <w:rFonts w:ascii="Arial" w:eastAsia="Arial Narrow" w:hAnsi="Arial" w:cs="Arial"/>
                <w:sz w:val="20"/>
                <w:szCs w:val="20"/>
              </w:rPr>
              <w:t>Interés por parte de los profesionales y técnicos forestales y de fauna silvestre en recibir las capacitaciones</w:t>
            </w:r>
          </w:p>
        </w:tc>
      </w:tr>
      <w:tr w:rsidR="008A26D2" w:rsidRPr="008A26D2" w14:paraId="73B15A36" w14:textId="77777777" w:rsidTr="00147D2E">
        <w:trPr>
          <w:trHeight w:val="556"/>
        </w:trPr>
        <w:tc>
          <w:tcPr>
            <w:tcW w:w="567" w:type="dxa"/>
            <w:shd w:val="clear" w:color="auto" w:fill="auto"/>
            <w:tcMar>
              <w:top w:w="10" w:type="dxa"/>
              <w:left w:w="10" w:type="dxa"/>
              <w:bottom w:w="0" w:type="dxa"/>
              <w:right w:w="10" w:type="dxa"/>
            </w:tcMar>
            <w:vAlign w:val="center"/>
          </w:tcPr>
          <w:p w14:paraId="3C43BC4F" w14:textId="77777777" w:rsidR="00086DE5" w:rsidRPr="008A26D2" w:rsidRDefault="00086DE5" w:rsidP="00086DE5">
            <w:pPr>
              <w:rPr>
                <w:rFonts w:ascii="Arial" w:hAnsi="Arial" w:cs="Arial"/>
                <w:sz w:val="20"/>
                <w:szCs w:val="20"/>
              </w:rPr>
            </w:pPr>
            <w:r w:rsidRPr="008A26D2">
              <w:rPr>
                <w:rFonts w:ascii="Arial" w:hAnsi="Arial" w:cs="Arial"/>
                <w:b/>
                <w:sz w:val="20"/>
                <w:szCs w:val="20"/>
              </w:rPr>
              <w:t> </w:t>
            </w:r>
          </w:p>
        </w:tc>
        <w:tc>
          <w:tcPr>
            <w:tcW w:w="866" w:type="dxa"/>
            <w:shd w:val="clear" w:color="auto" w:fill="auto"/>
            <w:tcMar>
              <w:top w:w="10" w:type="dxa"/>
              <w:left w:w="10" w:type="dxa"/>
              <w:bottom w:w="0" w:type="dxa"/>
              <w:right w:w="10" w:type="dxa"/>
            </w:tcMar>
            <w:vAlign w:val="center"/>
          </w:tcPr>
          <w:p w14:paraId="0D9BE491" w14:textId="77777777" w:rsidR="00086DE5" w:rsidRPr="008A26D2" w:rsidRDefault="00086DE5" w:rsidP="00086DE5">
            <w:pPr>
              <w:jc w:val="center"/>
              <w:rPr>
                <w:rFonts w:ascii="Arial" w:hAnsi="Arial" w:cs="Arial"/>
                <w:sz w:val="20"/>
                <w:szCs w:val="20"/>
              </w:rPr>
            </w:pPr>
            <w:r w:rsidRPr="008A26D2">
              <w:rPr>
                <w:rFonts w:ascii="Arial" w:hAnsi="Arial" w:cs="Arial"/>
                <w:b/>
                <w:sz w:val="20"/>
                <w:szCs w:val="20"/>
              </w:rPr>
              <w:t>Línea de base</w:t>
            </w:r>
          </w:p>
        </w:tc>
        <w:tc>
          <w:tcPr>
            <w:tcW w:w="7072" w:type="dxa"/>
            <w:gridSpan w:val="11"/>
            <w:shd w:val="clear" w:color="auto" w:fill="auto"/>
            <w:tcMar>
              <w:top w:w="10" w:type="dxa"/>
              <w:left w:w="10" w:type="dxa"/>
              <w:bottom w:w="0" w:type="dxa"/>
              <w:right w:w="10" w:type="dxa"/>
            </w:tcMar>
            <w:vAlign w:val="center"/>
          </w:tcPr>
          <w:p w14:paraId="309C3531" w14:textId="77777777" w:rsidR="00086DE5" w:rsidRPr="008A26D2" w:rsidRDefault="00086DE5" w:rsidP="00086DE5">
            <w:pPr>
              <w:jc w:val="center"/>
              <w:rPr>
                <w:rFonts w:ascii="Arial" w:hAnsi="Arial" w:cs="Arial"/>
                <w:sz w:val="20"/>
                <w:szCs w:val="20"/>
              </w:rPr>
            </w:pPr>
            <w:r w:rsidRPr="008A26D2">
              <w:rPr>
                <w:rFonts w:ascii="Arial" w:hAnsi="Arial" w:cs="Arial"/>
                <w:b/>
                <w:sz w:val="20"/>
                <w:szCs w:val="20"/>
              </w:rPr>
              <w:t xml:space="preserve">Logros esperados </w:t>
            </w:r>
          </w:p>
        </w:tc>
      </w:tr>
      <w:tr w:rsidR="008A26D2" w:rsidRPr="008A26D2" w14:paraId="7BC5D658" w14:textId="77777777" w:rsidTr="00147D2E">
        <w:trPr>
          <w:trHeight w:val="217"/>
        </w:trPr>
        <w:tc>
          <w:tcPr>
            <w:tcW w:w="567" w:type="dxa"/>
            <w:shd w:val="clear" w:color="auto" w:fill="auto"/>
            <w:tcMar>
              <w:top w:w="10" w:type="dxa"/>
              <w:left w:w="10" w:type="dxa"/>
              <w:bottom w:w="0" w:type="dxa"/>
              <w:right w:w="10" w:type="dxa"/>
            </w:tcMar>
            <w:vAlign w:val="center"/>
          </w:tcPr>
          <w:p w14:paraId="75DEB968" w14:textId="77777777" w:rsidR="00086DE5" w:rsidRPr="008A26D2" w:rsidRDefault="00086DE5" w:rsidP="00086DE5">
            <w:pPr>
              <w:jc w:val="center"/>
              <w:rPr>
                <w:rFonts w:ascii="Arial" w:hAnsi="Arial" w:cs="Arial"/>
                <w:sz w:val="20"/>
                <w:szCs w:val="20"/>
              </w:rPr>
            </w:pPr>
            <w:r w:rsidRPr="008A26D2">
              <w:rPr>
                <w:rFonts w:ascii="Arial" w:hAnsi="Arial" w:cs="Arial"/>
                <w:b/>
                <w:sz w:val="20"/>
                <w:szCs w:val="20"/>
              </w:rPr>
              <w:t>Año</w:t>
            </w:r>
          </w:p>
        </w:tc>
        <w:tc>
          <w:tcPr>
            <w:tcW w:w="866" w:type="dxa"/>
            <w:shd w:val="clear" w:color="auto" w:fill="auto"/>
            <w:tcMar>
              <w:top w:w="10" w:type="dxa"/>
              <w:left w:w="10" w:type="dxa"/>
              <w:bottom w:w="0" w:type="dxa"/>
              <w:right w:w="10" w:type="dxa"/>
            </w:tcMar>
            <w:vAlign w:val="center"/>
          </w:tcPr>
          <w:p w14:paraId="7C7BCB48" w14:textId="77777777" w:rsidR="00086DE5" w:rsidRPr="008A26D2" w:rsidRDefault="00086DE5" w:rsidP="00086DE5">
            <w:pPr>
              <w:jc w:val="center"/>
              <w:rPr>
                <w:rFonts w:ascii="Arial" w:hAnsi="Arial" w:cs="Arial"/>
                <w:b/>
                <w:sz w:val="20"/>
                <w:szCs w:val="20"/>
              </w:rPr>
            </w:pPr>
            <w:r w:rsidRPr="008A26D2">
              <w:rPr>
                <w:rFonts w:ascii="Arial" w:hAnsi="Arial" w:cs="Arial"/>
                <w:b/>
                <w:sz w:val="20"/>
                <w:szCs w:val="20"/>
              </w:rPr>
              <w:t>2022</w:t>
            </w:r>
          </w:p>
        </w:tc>
        <w:tc>
          <w:tcPr>
            <w:tcW w:w="835" w:type="dxa"/>
            <w:gridSpan w:val="2"/>
            <w:shd w:val="clear" w:color="auto" w:fill="auto"/>
            <w:tcMar>
              <w:top w:w="10" w:type="dxa"/>
              <w:left w:w="10" w:type="dxa"/>
              <w:bottom w:w="0" w:type="dxa"/>
              <w:right w:w="10" w:type="dxa"/>
            </w:tcMar>
            <w:vAlign w:val="center"/>
          </w:tcPr>
          <w:p w14:paraId="343276C7" w14:textId="77777777" w:rsidR="00086DE5" w:rsidRPr="008A26D2" w:rsidRDefault="00086DE5" w:rsidP="00086DE5">
            <w:pPr>
              <w:jc w:val="center"/>
              <w:rPr>
                <w:rFonts w:ascii="Arial" w:hAnsi="Arial" w:cs="Arial"/>
                <w:b/>
                <w:sz w:val="20"/>
                <w:szCs w:val="20"/>
              </w:rPr>
            </w:pPr>
            <w:r w:rsidRPr="008A26D2">
              <w:rPr>
                <w:rFonts w:ascii="Arial" w:hAnsi="Arial" w:cs="Arial"/>
                <w:b/>
                <w:sz w:val="20"/>
                <w:szCs w:val="20"/>
              </w:rPr>
              <w:t>2023</w:t>
            </w:r>
          </w:p>
        </w:tc>
        <w:tc>
          <w:tcPr>
            <w:tcW w:w="1276" w:type="dxa"/>
            <w:shd w:val="clear" w:color="auto" w:fill="auto"/>
            <w:vAlign w:val="center"/>
          </w:tcPr>
          <w:p w14:paraId="0F03803F" w14:textId="77777777" w:rsidR="00086DE5" w:rsidRPr="008A26D2" w:rsidRDefault="00086DE5" w:rsidP="00086DE5">
            <w:pPr>
              <w:jc w:val="center"/>
              <w:rPr>
                <w:rFonts w:ascii="Arial" w:hAnsi="Arial" w:cs="Arial"/>
                <w:b/>
                <w:sz w:val="20"/>
                <w:szCs w:val="20"/>
              </w:rPr>
            </w:pPr>
            <w:r w:rsidRPr="008A26D2">
              <w:rPr>
                <w:rFonts w:ascii="Arial" w:hAnsi="Arial" w:cs="Arial"/>
                <w:b/>
                <w:sz w:val="20"/>
                <w:szCs w:val="20"/>
              </w:rPr>
              <w:t>2024</w:t>
            </w:r>
          </w:p>
        </w:tc>
        <w:tc>
          <w:tcPr>
            <w:tcW w:w="992" w:type="dxa"/>
            <w:gridSpan w:val="2"/>
            <w:shd w:val="clear" w:color="auto" w:fill="auto"/>
            <w:vAlign w:val="center"/>
          </w:tcPr>
          <w:p w14:paraId="145B9D19" w14:textId="77777777" w:rsidR="00086DE5" w:rsidRPr="008A26D2" w:rsidRDefault="00086DE5" w:rsidP="00086DE5">
            <w:pPr>
              <w:jc w:val="center"/>
              <w:rPr>
                <w:rFonts w:ascii="Arial" w:hAnsi="Arial" w:cs="Arial"/>
                <w:b/>
                <w:sz w:val="20"/>
                <w:szCs w:val="20"/>
              </w:rPr>
            </w:pPr>
            <w:r w:rsidRPr="008A26D2">
              <w:rPr>
                <w:rFonts w:ascii="Arial" w:hAnsi="Arial" w:cs="Arial"/>
                <w:b/>
                <w:sz w:val="20"/>
                <w:szCs w:val="20"/>
              </w:rPr>
              <w:t>2025</w:t>
            </w:r>
          </w:p>
        </w:tc>
        <w:tc>
          <w:tcPr>
            <w:tcW w:w="851" w:type="dxa"/>
            <w:shd w:val="clear" w:color="auto" w:fill="auto"/>
            <w:vAlign w:val="center"/>
          </w:tcPr>
          <w:p w14:paraId="19A68201" w14:textId="77777777" w:rsidR="00086DE5" w:rsidRPr="008A26D2" w:rsidRDefault="00086DE5" w:rsidP="00086DE5">
            <w:pPr>
              <w:jc w:val="center"/>
              <w:rPr>
                <w:rFonts w:ascii="Arial" w:hAnsi="Arial" w:cs="Arial"/>
                <w:b/>
                <w:sz w:val="20"/>
                <w:szCs w:val="20"/>
              </w:rPr>
            </w:pPr>
            <w:r w:rsidRPr="008A26D2">
              <w:rPr>
                <w:rFonts w:ascii="Arial" w:hAnsi="Arial" w:cs="Arial"/>
                <w:b/>
                <w:sz w:val="20"/>
                <w:szCs w:val="20"/>
              </w:rPr>
              <w:t>2026</w:t>
            </w:r>
          </w:p>
        </w:tc>
        <w:tc>
          <w:tcPr>
            <w:tcW w:w="992" w:type="dxa"/>
            <w:shd w:val="clear" w:color="auto" w:fill="auto"/>
            <w:vAlign w:val="center"/>
          </w:tcPr>
          <w:p w14:paraId="23D62380" w14:textId="77777777" w:rsidR="00086DE5" w:rsidRPr="008A26D2" w:rsidRDefault="00086DE5" w:rsidP="00086DE5">
            <w:pPr>
              <w:jc w:val="center"/>
              <w:rPr>
                <w:rFonts w:ascii="Arial" w:hAnsi="Arial" w:cs="Arial"/>
                <w:b/>
                <w:sz w:val="20"/>
                <w:szCs w:val="20"/>
              </w:rPr>
            </w:pPr>
            <w:r w:rsidRPr="008A26D2">
              <w:rPr>
                <w:rFonts w:ascii="Arial" w:hAnsi="Arial" w:cs="Arial"/>
                <w:b/>
                <w:sz w:val="20"/>
                <w:szCs w:val="20"/>
              </w:rPr>
              <w:t>2027</w:t>
            </w:r>
          </w:p>
        </w:tc>
        <w:tc>
          <w:tcPr>
            <w:tcW w:w="709" w:type="dxa"/>
            <w:gridSpan w:val="2"/>
            <w:shd w:val="clear" w:color="auto" w:fill="auto"/>
            <w:vAlign w:val="center"/>
          </w:tcPr>
          <w:p w14:paraId="691CB5BF" w14:textId="77777777" w:rsidR="00086DE5" w:rsidRPr="008A26D2" w:rsidRDefault="00086DE5" w:rsidP="00086DE5">
            <w:pPr>
              <w:jc w:val="center"/>
              <w:rPr>
                <w:rFonts w:ascii="Arial" w:hAnsi="Arial" w:cs="Arial"/>
                <w:b/>
                <w:sz w:val="20"/>
                <w:szCs w:val="20"/>
              </w:rPr>
            </w:pPr>
            <w:r w:rsidRPr="008A26D2">
              <w:rPr>
                <w:rFonts w:ascii="Arial" w:hAnsi="Arial" w:cs="Arial"/>
                <w:b/>
                <w:sz w:val="20"/>
                <w:szCs w:val="20"/>
              </w:rPr>
              <w:t>2028</w:t>
            </w:r>
          </w:p>
        </w:tc>
        <w:tc>
          <w:tcPr>
            <w:tcW w:w="708" w:type="dxa"/>
            <w:shd w:val="clear" w:color="auto" w:fill="auto"/>
            <w:vAlign w:val="center"/>
          </w:tcPr>
          <w:p w14:paraId="0D754ED6" w14:textId="77777777" w:rsidR="00086DE5" w:rsidRPr="008A26D2" w:rsidRDefault="00086DE5" w:rsidP="00086DE5">
            <w:pPr>
              <w:jc w:val="center"/>
              <w:rPr>
                <w:rFonts w:ascii="Arial" w:hAnsi="Arial" w:cs="Arial"/>
                <w:b/>
                <w:sz w:val="20"/>
                <w:szCs w:val="20"/>
              </w:rPr>
            </w:pPr>
            <w:r w:rsidRPr="008A26D2">
              <w:rPr>
                <w:rFonts w:ascii="Arial" w:hAnsi="Arial" w:cs="Arial"/>
                <w:b/>
                <w:sz w:val="20"/>
                <w:szCs w:val="20"/>
              </w:rPr>
              <w:t>2029</w:t>
            </w:r>
          </w:p>
        </w:tc>
        <w:tc>
          <w:tcPr>
            <w:tcW w:w="709" w:type="dxa"/>
            <w:shd w:val="clear" w:color="auto" w:fill="auto"/>
            <w:tcMar>
              <w:top w:w="10" w:type="dxa"/>
              <w:left w:w="10" w:type="dxa"/>
              <w:bottom w:w="0" w:type="dxa"/>
              <w:right w:w="10" w:type="dxa"/>
            </w:tcMar>
            <w:vAlign w:val="center"/>
          </w:tcPr>
          <w:p w14:paraId="685E112D" w14:textId="77777777" w:rsidR="00086DE5" w:rsidRPr="008A26D2" w:rsidRDefault="00086DE5" w:rsidP="00086DE5">
            <w:pPr>
              <w:jc w:val="center"/>
              <w:rPr>
                <w:rFonts w:ascii="Arial" w:hAnsi="Arial" w:cs="Arial"/>
                <w:b/>
                <w:sz w:val="20"/>
                <w:szCs w:val="20"/>
              </w:rPr>
            </w:pPr>
            <w:r w:rsidRPr="008A26D2">
              <w:rPr>
                <w:rFonts w:ascii="Arial" w:hAnsi="Arial" w:cs="Arial"/>
                <w:b/>
                <w:sz w:val="20"/>
                <w:szCs w:val="20"/>
              </w:rPr>
              <w:t>2030</w:t>
            </w:r>
          </w:p>
        </w:tc>
      </w:tr>
      <w:tr w:rsidR="00086DE5" w:rsidRPr="008A26D2" w14:paraId="345513AD" w14:textId="77777777" w:rsidTr="00147D2E">
        <w:trPr>
          <w:trHeight w:val="81"/>
        </w:trPr>
        <w:tc>
          <w:tcPr>
            <w:tcW w:w="567" w:type="dxa"/>
            <w:shd w:val="clear" w:color="auto" w:fill="auto"/>
            <w:tcMar>
              <w:top w:w="10" w:type="dxa"/>
              <w:left w:w="10" w:type="dxa"/>
              <w:bottom w:w="0" w:type="dxa"/>
              <w:right w:w="10" w:type="dxa"/>
            </w:tcMar>
            <w:vAlign w:val="center"/>
          </w:tcPr>
          <w:p w14:paraId="6FBCD67E" w14:textId="77777777" w:rsidR="00086DE5" w:rsidRPr="008A26D2" w:rsidRDefault="00086DE5" w:rsidP="00086DE5">
            <w:pPr>
              <w:jc w:val="center"/>
              <w:rPr>
                <w:rFonts w:ascii="Arial" w:hAnsi="Arial" w:cs="Arial"/>
                <w:sz w:val="20"/>
                <w:szCs w:val="20"/>
              </w:rPr>
            </w:pPr>
            <w:r w:rsidRPr="008A26D2">
              <w:rPr>
                <w:rFonts w:ascii="Arial" w:hAnsi="Arial" w:cs="Arial"/>
                <w:b/>
                <w:sz w:val="20"/>
                <w:szCs w:val="20"/>
              </w:rPr>
              <w:t>Valor</w:t>
            </w:r>
          </w:p>
        </w:tc>
        <w:tc>
          <w:tcPr>
            <w:tcW w:w="866" w:type="dxa"/>
            <w:shd w:val="clear" w:color="auto" w:fill="auto"/>
            <w:tcMar>
              <w:top w:w="10" w:type="dxa"/>
              <w:left w:w="10" w:type="dxa"/>
              <w:bottom w:w="0" w:type="dxa"/>
              <w:right w:w="10" w:type="dxa"/>
            </w:tcMar>
            <w:vAlign w:val="center"/>
          </w:tcPr>
          <w:p w14:paraId="3A7D8899" w14:textId="6E52F59E" w:rsidR="00086DE5" w:rsidRPr="008A26D2" w:rsidRDefault="000D00B4" w:rsidP="00086DE5">
            <w:pPr>
              <w:jc w:val="center"/>
              <w:rPr>
                <w:rFonts w:ascii="Arial" w:hAnsi="Arial" w:cs="Arial"/>
                <w:sz w:val="20"/>
                <w:szCs w:val="20"/>
              </w:rPr>
            </w:pPr>
            <w:r w:rsidRPr="009A1630">
              <w:rPr>
                <w:rFonts w:ascii="Arial" w:hAnsi="Arial" w:cs="Arial"/>
                <w:sz w:val="20"/>
                <w:szCs w:val="20"/>
              </w:rPr>
              <w:t>ND</w:t>
            </w:r>
          </w:p>
        </w:tc>
        <w:tc>
          <w:tcPr>
            <w:tcW w:w="835" w:type="dxa"/>
            <w:gridSpan w:val="2"/>
            <w:shd w:val="clear" w:color="auto" w:fill="auto"/>
            <w:tcMar>
              <w:top w:w="10" w:type="dxa"/>
              <w:left w:w="10" w:type="dxa"/>
              <w:bottom w:w="0" w:type="dxa"/>
              <w:right w:w="10" w:type="dxa"/>
            </w:tcMar>
            <w:vAlign w:val="bottom"/>
          </w:tcPr>
          <w:p w14:paraId="7CEE33EA" w14:textId="77777777" w:rsidR="00086DE5" w:rsidRPr="008A26D2" w:rsidRDefault="00086DE5" w:rsidP="00086DE5">
            <w:pPr>
              <w:jc w:val="center"/>
              <w:rPr>
                <w:rFonts w:ascii="Arial" w:hAnsi="Arial" w:cs="Arial"/>
                <w:sz w:val="20"/>
                <w:szCs w:val="20"/>
              </w:rPr>
            </w:pPr>
            <w:r w:rsidRPr="008A26D2">
              <w:rPr>
                <w:rFonts w:ascii="Arial" w:hAnsi="Arial" w:cs="Arial"/>
                <w:sz w:val="20"/>
                <w:szCs w:val="20"/>
              </w:rPr>
              <w:t>35%</w:t>
            </w:r>
          </w:p>
        </w:tc>
        <w:tc>
          <w:tcPr>
            <w:tcW w:w="1276" w:type="dxa"/>
            <w:shd w:val="clear" w:color="auto" w:fill="auto"/>
            <w:vAlign w:val="bottom"/>
          </w:tcPr>
          <w:p w14:paraId="594A8C25" w14:textId="77777777" w:rsidR="00086DE5" w:rsidRPr="008A26D2" w:rsidRDefault="00086DE5" w:rsidP="00086DE5">
            <w:pPr>
              <w:jc w:val="center"/>
              <w:rPr>
                <w:rFonts w:ascii="Arial" w:hAnsi="Arial" w:cs="Arial"/>
                <w:sz w:val="20"/>
                <w:szCs w:val="20"/>
              </w:rPr>
            </w:pPr>
            <w:r w:rsidRPr="008A26D2">
              <w:rPr>
                <w:rFonts w:ascii="Arial" w:hAnsi="Arial" w:cs="Arial"/>
                <w:sz w:val="20"/>
                <w:szCs w:val="20"/>
              </w:rPr>
              <w:t>40%</w:t>
            </w:r>
          </w:p>
        </w:tc>
        <w:tc>
          <w:tcPr>
            <w:tcW w:w="992" w:type="dxa"/>
            <w:gridSpan w:val="2"/>
            <w:shd w:val="clear" w:color="auto" w:fill="auto"/>
            <w:vAlign w:val="bottom"/>
          </w:tcPr>
          <w:p w14:paraId="1BEF5643" w14:textId="77777777" w:rsidR="00086DE5" w:rsidRPr="008A26D2" w:rsidRDefault="00086DE5" w:rsidP="00086DE5">
            <w:pPr>
              <w:jc w:val="center"/>
              <w:rPr>
                <w:rFonts w:ascii="Arial" w:hAnsi="Arial" w:cs="Arial"/>
                <w:sz w:val="20"/>
                <w:szCs w:val="20"/>
              </w:rPr>
            </w:pPr>
            <w:r w:rsidRPr="008A26D2">
              <w:rPr>
                <w:rFonts w:ascii="Arial" w:hAnsi="Arial" w:cs="Arial"/>
                <w:sz w:val="20"/>
                <w:szCs w:val="20"/>
              </w:rPr>
              <w:t>50%</w:t>
            </w:r>
          </w:p>
        </w:tc>
        <w:tc>
          <w:tcPr>
            <w:tcW w:w="851" w:type="dxa"/>
            <w:shd w:val="clear" w:color="auto" w:fill="auto"/>
            <w:vAlign w:val="bottom"/>
          </w:tcPr>
          <w:p w14:paraId="47CD149E" w14:textId="77777777" w:rsidR="00086DE5" w:rsidRPr="008A26D2" w:rsidRDefault="00086DE5" w:rsidP="00086DE5">
            <w:pPr>
              <w:jc w:val="center"/>
              <w:rPr>
                <w:rFonts w:ascii="Arial" w:hAnsi="Arial" w:cs="Arial"/>
                <w:sz w:val="20"/>
                <w:szCs w:val="20"/>
              </w:rPr>
            </w:pPr>
            <w:r w:rsidRPr="008A26D2">
              <w:rPr>
                <w:rFonts w:ascii="Arial" w:hAnsi="Arial" w:cs="Arial"/>
                <w:sz w:val="20"/>
                <w:szCs w:val="20"/>
              </w:rPr>
              <w:t>60%</w:t>
            </w:r>
          </w:p>
        </w:tc>
        <w:tc>
          <w:tcPr>
            <w:tcW w:w="992" w:type="dxa"/>
            <w:shd w:val="clear" w:color="auto" w:fill="auto"/>
            <w:vAlign w:val="bottom"/>
          </w:tcPr>
          <w:p w14:paraId="219CC7CB" w14:textId="77777777" w:rsidR="00086DE5" w:rsidRPr="008A26D2" w:rsidRDefault="00086DE5" w:rsidP="00086DE5">
            <w:pPr>
              <w:jc w:val="center"/>
              <w:rPr>
                <w:rFonts w:ascii="Arial" w:hAnsi="Arial" w:cs="Arial"/>
                <w:sz w:val="20"/>
                <w:szCs w:val="20"/>
              </w:rPr>
            </w:pPr>
            <w:r w:rsidRPr="008A26D2">
              <w:rPr>
                <w:rFonts w:ascii="Arial" w:hAnsi="Arial" w:cs="Arial"/>
                <w:sz w:val="20"/>
                <w:szCs w:val="20"/>
              </w:rPr>
              <w:t>70%</w:t>
            </w:r>
          </w:p>
        </w:tc>
        <w:tc>
          <w:tcPr>
            <w:tcW w:w="709" w:type="dxa"/>
            <w:gridSpan w:val="2"/>
            <w:shd w:val="clear" w:color="auto" w:fill="auto"/>
            <w:vAlign w:val="bottom"/>
          </w:tcPr>
          <w:p w14:paraId="16A97AC9" w14:textId="77777777" w:rsidR="00086DE5" w:rsidRPr="008A26D2" w:rsidRDefault="00086DE5" w:rsidP="00086DE5">
            <w:pPr>
              <w:jc w:val="center"/>
              <w:rPr>
                <w:rFonts w:ascii="Arial" w:hAnsi="Arial" w:cs="Arial"/>
                <w:sz w:val="20"/>
                <w:szCs w:val="20"/>
              </w:rPr>
            </w:pPr>
            <w:r w:rsidRPr="008A26D2">
              <w:rPr>
                <w:rFonts w:ascii="Arial" w:hAnsi="Arial" w:cs="Arial"/>
                <w:sz w:val="20"/>
                <w:szCs w:val="20"/>
              </w:rPr>
              <w:t>75%</w:t>
            </w:r>
          </w:p>
        </w:tc>
        <w:tc>
          <w:tcPr>
            <w:tcW w:w="708" w:type="dxa"/>
            <w:shd w:val="clear" w:color="auto" w:fill="auto"/>
            <w:vAlign w:val="bottom"/>
          </w:tcPr>
          <w:p w14:paraId="7ED821CB" w14:textId="77777777" w:rsidR="00086DE5" w:rsidRPr="008A26D2" w:rsidRDefault="00086DE5" w:rsidP="00086DE5">
            <w:pPr>
              <w:jc w:val="center"/>
              <w:rPr>
                <w:rFonts w:ascii="Arial" w:hAnsi="Arial" w:cs="Arial"/>
                <w:sz w:val="20"/>
                <w:szCs w:val="20"/>
              </w:rPr>
            </w:pPr>
            <w:r w:rsidRPr="008A26D2">
              <w:rPr>
                <w:rFonts w:ascii="Arial" w:hAnsi="Arial" w:cs="Arial"/>
                <w:sz w:val="20"/>
                <w:szCs w:val="20"/>
              </w:rPr>
              <w:t>80%</w:t>
            </w:r>
          </w:p>
        </w:tc>
        <w:tc>
          <w:tcPr>
            <w:tcW w:w="709" w:type="dxa"/>
            <w:shd w:val="clear" w:color="auto" w:fill="auto"/>
            <w:tcMar>
              <w:top w:w="10" w:type="dxa"/>
              <w:left w:w="10" w:type="dxa"/>
              <w:bottom w:w="0" w:type="dxa"/>
              <w:right w:w="10" w:type="dxa"/>
            </w:tcMar>
            <w:vAlign w:val="bottom"/>
          </w:tcPr>
          <w:p w14:paraId="44957277" w14:textId="77777777" w:rsidR="00086DE5" w:rsidRPr="008A26D2" w:rsidRDefault="00086DE5" w:rsidP="00086DE5">
            <w:pPr>
              <w:jc w:val="center"/>
              <w:rPr>
                <w:rFonts w:ascii="Arial" w:hAnsi="Arial" w:cs="Arial"/>
                <w:sz w:val="20"/>
                <w:szCs w:val="20"/>
              </w:rPr>
            </w:pPr>
            <w:r w:rsidRPr="008A26D2">
              <w:rPr>
                <w:rFonts w:ascii="Arial" w:hAnsi="Arial" w:cs="Arial"/>
                <w:sz w:val="20"/>
                <w:szCs w:val="20"/>
              </w:rPr>
              <w:t>80%</w:t>
            </w:r>
          </w:p>
        </w:tc>
      </w:tr>
    </w:tbl>
    <w:p w14:paraId="3FFC52A2" w14:textId="77777777" w:rsidR="00147D2E" w:rsidRPr="008A26D2" w:rsidRDefault="00147D2E" w:rsidP="00BD0FD3"/>
    <w:tbl>
      <w:tblPr>
        <w:tblW w:w="8222"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
        <w:gridCol w:w="866"/>
        <w:gridCol w:w="692"/>
        <w:gridCol w:w="13"/>
        <w:gridCol w:w="838"/>
        <w:gridCol w:w="782"/>
        <w:gridCol w:w="210"/>
        <w:gridCol w:w="992"/>
        <w:gridCol w:w="709"/>
        <w:gridCol w:w="851"/>
        <w:gridCol w:w="710"/>
        <w:gridCol w:w="993"/>
      </w:tblGrid>
      <w:tr w:rsidR="008A26D2" w:rsidRPr="008A26D2" w14:paraId="6D9E2944" w14:textId="77777777" w:rsidTr="00086DE5">
        <w:trPr>
          <w:trHeight w:val="251"/>
        </w:trPr>
        <w:tc>
          <w:tcPr>
            <w:tcW w:w="8222" w:type="dxa"/>
            <w:gridSpan w:val="12"/>
            <w:shd w:val="clear" w:color="auto" w:fill="D9D9D9"/>
            <w:tcMar>
              <w:top w:w="10" w:type="dxa"/>
              <w:left w:w="10" w:type="dxa"/>
              <w:bottom w:w="0" w:type="dxa"/>
              <w:right w:w="10" w:type="dxa"/>
            </w:tcMar>
            <w:vAlign w:val="center"/>
          </w:tcPr>
          <w:p w14:paraId="054971C4" w14:textId="6B5E5399" w:rsidR="00BD0FD3" w:rsidRPr="008A26D2" w:rsidRDefault="00BD0FD3" w:rsidP="00086DE5">
            <w:pPr>
              <w:jc w:val="center"/>
              <w:rPr>
                <w:rFonts w:ascii="Arial" w:eastAsia="Arial Narrow" w:hAnsi="Arial" w:cs="Arial"/>
                <w:sz w:val="20"/>
                <w:szCs w:val="20"/>
              </w:rPr>
            </w:pPr>
            <w:r w:rsidRPr="008A26D2">
              <w:rPr>
                <w:rFonts w:ascii="Arial" w:eastAsia="Arial Narrow" w:hAnsi="Arial" w:cs="Arial"/>
                <w:b/>
                <w:sz w:val="20"/>
                <w:szCs w:val="20"/>
              </w:rPr>
              <w:t>FICHA TÉCNICA DE INDICADOR DE SERVICIO 2.2.</w:t>
            </w:r>
            <w:r w:rsidR="002F0C3D">
              <w:rPr>
                <w:rFonts w:ascii="Arial" w:eastAsia="Arial Narrow" w:hAnsi="Arial" w:cs="Arial"/>
                <w:b/>
                <w:sz w:val="20"/>
                <w:szCs w:val="20"/>
              </w:rPr>
              <w:t>1</w:t>
            </w:r>
          </w:p>
        </w:tc>
      </w:tr>
      <w:tr w:rsidR="008A26D2" w:rsidRPr="008A26D2" w14:paraId="6D9BA3B1" w14:textId="77777777" w:rsidTr="00086DE5">
        <w:trPr>
          <w:trHeight w:val="409"/>
        </w:trPr>
        <w:tc>
          <w:tcPr>
            <w:tcW w:w="2137" w:type="dxa"/>
            <w:gridSpan w:val="4"/>
            <w:shd w:val="clear" w:color="auto" w:fill="FFFFFF"/>
            <w:tcMar>
              <w:top w:w="10" w:type="dxa"/>
              <w:left w:w="93" w:type="dxa"/>
              <w:bottom w:w="0" w:type="dxa"/>
              <w:right w:w="10" w:type="dxa"/>
            </w:tcMar>
            <w:vAlign w:val="center"/>
          </w:tcPr>
          <w:p w14:paraId="67A21754" w14:textId="77777777" w:rsidR="00BD0FD3" w:rsidRPr="008A26D2" w:rsidRDefault="00BD0FD3" w:rsidP="00086DE5">
            <w:pPr>
              <w:spacing w:after="0" w:line="240" w:lineRule="auto"/>
              <w:rPr>
                <w:rFonts w:ascii="Arial" w:eastAsia="Arial Narrow" w:hAnsi="Arial" w:cs="Arial"/>
                <w:sz w:val="20"/>
                <w:szCs w:val="20"/>
              </w:rPr>
            </w:pPr>
            <w:r w:rsidRPr="008A26D2">
              <w:rPr>
                <w:rFonts w:ascii="Arial" w:eastAsia="Arial Narrow" w:hAnsi="Arial" w:cs="Arial"/>
                <w:b/>
                <w:sz w:val="20"/>
                <w:szCs w:val="20"/>
              </w:rPr>
              <w:t>Objetivo prioritario:</w:t>
            </w:r>
          </w:p>
        </w:tc>
        <w:tc>
          <w:tcPr>
            <w:tcW w:w="6085" w:type="dxa"/>
            <w:gridSpan w:val="8"/>
            <w:shd w:val="clear" w:color="auto" w:fill="FFFFFF"/>
            <w:tcMar>
              <w:top w:w="51" w:type="dxa"/>
              <w:left w:w="227" w:type="dxa"/>
              <w:bottom w:w="51" w:type="dxa"/>
              <w:right w:w="227" w:type="dxa"/>
            </w:tcMar>
            <w:vAlign w:val="center"/>
          </w:tcPr>
          <w:p w14:paraId="5065D4A5" w14:textId="77777777" w:rsidR="00BD0FD3" w:rsidRPr="008A26D2" w:rsidRDefault="00BD0FD3" w:rsidP="00086DE5">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OP2 Incrementar la productividad de los ecosistemas forestales, otros ecosistemas de vegetación silvestre y de la fauna silvestre</w:t>
            </w:r>
          </w:p>
        </w:tc>
      </w:tr>
      <w:tr w:rsidR="008A26D2" w:rsidRPr="008A26D2" w14:paraId="0F0C229F" w14:textId="77777777" w:rsidTr="00086DE5">
        <w:trPr>
          <w:trHeight w:val="436"/>
        </w:trPr>
        <w:tc>
          <w:tcPr>
            <w:tcW w:w="2137" w:type="dxa"/>
            <w:gridSpan w:val="4"/>
            <w:shd w:val="clear" w:color="auto" w:fill="auto"/>
            <w:tcMar>
              <w:top w:w="10" w:type="dxa"/>
              <w:left w:w="93" w:type="dxa"/>
              <w:bottom w:w="0" w:type="dxa"/>
              <w:right w:w="10" w:type="dxa"/>
            </w:tcMar>
            <w:vAlign w:val="center"/>
          </w:tcPr>
          <w:p w14:paraId="06E3B0C5" w14:textId="77777777" w:rsidR="00BD0FD3" w:rsidRPr="008A26D2" w:rsidRDefault="00BD0FD3" w:rsidP="00086DE5">
            <w:pPr>
              <w:spacing w:after="0" w:line="240" w:lineRule="auto"/>
              <w:rPr>
                <w:rFonts w:ascii="Arial" w:eastAsia="Arial Narrow" w:hAnsi="Arial" w:cs="Arial"/>
                <w:sz w:val="20"/>
                <w:szCs w:val="20"/>
              </w:rPr>
            </w:pPr>
            <w:r w:rsidRPr="008A26D2">
              <w:rPr>
                <w:rFonts w:ascii="Arial" w:eastAsia="Arial Narrow" w:hAnsi="Arial" w:cs="Arial"/>
                <w:b/>
                <w:sz w:val="20"/>
                <w:szCs w:val="20"/>
              </w:rPr>
              <w:t>Lineamiento de la política:</w:t>
            </w:r>
          </w:p>
        </w:tc>
        <w:tc>
          <w:tcPr>
            <w:tcW w:w="6085" w:type="dxa"/>
            <w:gridSpan w:val="8"/>
            <w:shd w:val="clear" w:color="auto" w:fill="auto"/>
            <w:tcMar>
              <w:top w:w="51" w:type="dxa"/>
              <w:left w:w="227" w:type="dxa"/>
              <w:bottom w:w="51" w:type="dxa"/>
              <w:right w:w="227" w:type="dxa"/>
            </w:tcMar>
            <w:vAlign w:val="center"/>
          </w:tcPr>
          <w:p w14:paraId="68012598" w14:textId="77777777" w:rsidR="00BD0FD3" w:rsidRPr="008A26D2" w:rsidRDefault="00BD0FD3" w:rsidP="00086DE5">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L2.2 Incrementar el acceso a financiamiento e incentivos para el desarrollo de las actividades forestales y de fauna silvestre</w:t>
            </w:r>
          </w:p>
        </w:tc>
      </w:tr>
      <w:tr w:rsidR="008A26D2" w:rsidRPr="008A26D2" w14:paraId="7EC38AB3" w14:textId="77777777" w:rsidTr="00086DE5">
        <w:trPr>
          <w:trHeight w:val="404"/>
        </w:trPr>
        <w:tc>
          <w:tcPr>
            <w:tcW w:w="2137" w:type="dxa"/>
            <w:gridSpan w:val="4"/>
            <w:shd w:val="clear" w:color="auto" w:fill="auto"/>
            <w:tcMar>
              <w:top w:w="10" w:type="dxa"/>
              <w:left w:w="93" w:type="dxa"/>
              <w:bottom w:w="0" w:type="dxa"/>
              <w:right w:w="10" w:type="dxa"/>
            </w:tcMar>
            <w:vAlign w:val="center"/>
          </w:tcPr>
          <w:p w14:paraId="5F98DE8A" w14:textId="77777777" w:rsidR="00BD0FD3" w:rsidRPr="008A26D2" w:rsidRDefault="00BD0FD3" w:rsidP="00086DE5">
            <w:pPr>
              <w:spacing w:after="0" w:line="240" w:lineRule="auto"/>
              <w:rPr>
                <w:rFonts w:ascii="Arial" w:eastAsia="Arial Narrow" w:hAnsi="Arial" w:cs="Arial"/>
                <w:sz w:val="20"/>
                <w:szCs w:val="20"/>
              </w:rPr>
            </w:pPr>
            <w:r w:rsidRPr="008A26D2">
              <w:rPr>
                <w:rFonts w:ascii="Arial" w:eastAsia="Arial Narrow" w:hAnsi="Arial" w:cs="Arial"/>
                <w:b/>
                <w:sz w:val="20"/>
                <w:szCs w:val="20"/>
              </w:rPr>
              <w:t>Nombre del servicio:</w:t>
            </w:r>
          </w:p>
        </w:tc>
        <w:tc>
          <w:tcPr>
            <w:tcW w:w="6085" w:type="dxa"/>
            <w:gridSpan w:val="8"/>
            <w:shd w:val="clear" w:color="auto" w:fill="auto"/>
            <w:tcMar>
              <w:top w:w="51" w:type="dxa"/>
              <w:left w:w="227" w:type="dxa"/>
              <w:bottom w:w="51" w:type="dxa"/>
              <w:right w:w="227" w:type="dxa"/>
            </w:tcMar>
            <w:vAlign w:val="center"/>
          </w:tcPr>
          <w:p w14:paraId="069E377E" w14:textId="04F9CA86" w:rsidR="00BD0FD3" w:rsidRPr="008A26D2" w:rsidRDefault="00BD0FD3" w:rsidP="00086DE5">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S2.2.</w:t>
            </w:r>
            <w:r w:rsidR="002F0C3D">
              <w:rPr>
                <w:rFonts w:ascii="Arial" w:eastAsia="Arial Narrow" w:hAnsi="Arial" w:cs="Arial"/>
                <w:sz w:val="20"/>
                <w:szCs w:val="20"/>
              </w:rPr>
              <w:t>1</w:t>
            </w:r>
            <w:r w:rsidRPr="008A26D2">
              <w:rPr>
                <w:rFonts w:ascii="Arial" w:eastAsia="Arial Narrow" w:hAnsi="Arial" w:cs="Arial"/>
                <w:sz w:val="20"/>
                <w:szCs w:val="20"/>
              </w:rPr>
              <w:t xml:space="preserve"> </w:t>
            </w:r>
            <w:r w:rsidR="00C31FC1" w:rsidRPr="008A26D2">
              <w:rPr>
                <w:rFonts w:ascii="Arial" w:eastAsia="Arial Narrow" w:hAnsi="Arial" w:cs="Arial"/>
                <w:sz w:val="20"/>
                <w:szCs w:val="20"/>
              </w:rPr>
              <w:t>Promoción de mecanismos de financiamiento e incentivos para el desarrollo de actividades productivas en las cadenas forestales y de fauna silvestre de forma satisfactoria dirigido a los usuarios forestales y de fauna silvestre</w:t>
            </w:r>
          </w:p>
        </w:tc>
      </w:tr>
      <w:tr w:rsidR="008A26D2" w:rsidRPr="008A26D2" w14:paraId="0961DDD9" w14:textId="77777777" w:rsidTr="00086DE5">
        <w:trPr>
          <w:trHeight w:val="577"/>
        </w:trPr>
        <w:tc>
          <w:tcPr>
            <w:tcW w:w="2137" w:type="dxa"/>
            <w:gridSpan w:val="4"/>
            <w:shd w:val="clear" w:color="auto" w:fill="auto"/>
            <w:tcMar>
              <w:top w:w="10" w:type="dxa"/>
              <w:left w:w="93" w:type="dxa"/>
              <w:bottom w:w="0" w:type="dxa"/>
              <w:right w:w="10" w:type="dxa"/>
            </w:tcMar>
            <w:vAlign w:val="center"/>
          </w:tcPr>
          <w:p w14:paraId="2EAD027E" w14:textId="77777777" w:rsidR="00BD0FD3" w:rsidRPr="008A26D2" w:rsidRDefault="00BD0FD3" w:rsidP="00086DE5">
            <w:pPr>
              <w:spacing w:after="0" w:line="240" w:lineRule="auto"/>
              <w:rPr>
                <w:rFonts w:ascii="Arial" w:eastAsia="Arial Narrow" w:hAnsi="Arial" w:cs="Arial"/>
                <w:sz w:val="20"/>
                <w:szCs w:val="20"/>
              </w:rPr>
            </w:pPr>
            <w:r w:rsidRPr="008A26D2">
              <w:rPr>
                <w:rFonts w:ascii="Arial" w:eastAsia="Arial Narrow" w:hAnsi="Arial" w:cs="Arial"/>
                <w:b/>
                <w:sz w:val="20"/>
                <w:szCs w:val="20"/>
              </w:rPr>
              <w:t>Nombre del indicador:</w:t>
            </w:r>
          </w:p>
        </w:tc>
        <w:tc>
          <w:tcPr>
            <w:tcW w:w="6085" w:type="dxa"/>
            <w:gridSpan w:val="8"/>
            <w:shd w:val="clear" w:color="auto" w:fill="auto"/>
            <w:tcMar>
              <w:top w:w="51" w:type="dxa"/>
              <w:left w:w="227" w:type="dxa"/>
              <w:bottom w:w="51" w:type="dxa"/>
              <w:right w:w="227" w:type="dxa"/>
            </w:tcMar>
            <w:vAlign w:val="center"/>
          </w:tcPr>
          <w:p w14:paraId="3E457337" w14:textId="2E541C0D" w:rsidR="00BD0FD3" w:rsidRPr="008A26D2" w:rsidRDefault="00C31FC1" w:rsidP="00086DE5">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Porcentaje de usuarios forestales y de fauna silvestre con alto grado de satisfacción sobre las actividades de promoción en las que han participado</w:t>
            </w:r>
          </w:p>
        </w:tc>
      </w:tr>
      <w:tr w:rsidR="008A26D2" w:rsidRPr="008A26D2" w14:paraId="4F609311" w14:textId="77777777" w:rsidTr="00086DE5">
        <w:trPr>
          <w:trHeight w:val="577"/>
        </w:trPr>
        <w:tc>
          <w:tcPr>
            <w:tcW w:w="2137" w:type="dxa"/>
            <w:gridSpan w:val="4"/>
            <w:shd w:val="clear" w:color="auto" w:fill="auto"/>
            <w:tcMar>
              <w:top w:w="10" w:type="dxa"/>
              <w:left w:w="93" w:type="dxa"/>
              <w:bottom w:w="0" w:type="dxa"/>
              <w:right w:w="10" w:type="dxa"/>
            </w:tcMar>
            <w:vAlign w:val="center"/>
          </w:tcPr>
          <w:p w14:paraId="0A8891A5" w14:textId="77777777" w:rsidR="00BD0FD3" w:rsidRPr="008A26D2" w:rsidRDefault="00BD0FD3" w:rsidP="00086DE5">
            <w:pPr>
              <w:spacing w:after="0" w:line="240" w:lineRule="auto"/>
              <w:rPr>
                <w:rFonts w:ascii="Arial" w:eastAsia="Arial Narrow" w:hAnsi="Arial" w:cs="Arial"/>
                <w:sz w:val="20"/>
                <w:szCs w:val="20"/>
              </w:rPr>
            </w:pPr>
            <w:r w:rsidRPr="008A26D2">
              <w:rPr>
                <w:rFonts w:ascii="Arial" w:eastAsia="Arial Narrow" w:hAnsi="Arial" w:cs="Arial"/>
                <w:b/>
                <w:sz w:val="20"/>
                <w:szCs w:val="20"/>
              </w:rPr>
              <w:t>Justificación:</w:t>
            </w:r>
          </w:p>
        </w:tc>
        <w:tc>
          <w:tcPr>
            <w:tcW w:w="6085" w:type="dxa"/>
            <w:gridSpan w:val="8"/>
            <w:shd w:val="clear" w:color="auto" w:fill="auto"/>
            <w:tcMar>
              <w:top w:w="51" w:type="dxa"/>
              <w:left w:w="227" w:type="dxa"/>
              <w:bottom w:w="51" w:type="dxa"/>
              <w:right w:w="227" w:type="dxa"/>
            </w:tcMar>
            <w:vAlign w:val="center"/>
          </w:tcPr>
          <w:p w14:paraId="3448292E" w14:textId="77777777" w:rsidR="00BD0FD3" w:rsidRPr="008A26D2" w:rsidRDefault="00BD0FD3" w:rsidP="00086DE5">
            <w:pPr>
              <w:spacing w:after="0" w:line="240" w:lineRule="auto"/>
              <w:jc w:val="both"/>
              <w:rPr>
                <w:rFonts w:ascii="Arial" w:eastAsia="Arial Narrow" w:hAnsi="Arial" w:cs="Arial"/>
                <w:strike/>
                <w:sz w:val="20"/>
                <w:szCs w:val="20"/>
              </w:rPr>
            </w:pPr>
            <w:r w:rsidRPr="008A26D2">
              <w:rPr>
                <w:rFonts w:ascii="Arial" w:eastAsia="Arial Narrow" w:hAnsi="Arial" w:cs="Arial"/>
                <w:sz w:val="20"/>
                <w:szCs w:val="20"/>
              </w:rPr>
              <w:t xml:space="preserve">El indicador cuantifica el porcentaje de usuarios forestales y de fauna silvestre que perciben un alto grado de satisfacción sobre las actividades de promoción en las que han participado, para </w:t>
            </w:r>
            <w:r w:rsidRPr="008A26D2">
              <w:rPr>
                <w:rFonts w:ascii="Arial" w:eastAsia="Arial Narrow" w:hAnsi="Arial" w:cs="Arial"/>
                <w:sz w:val="20"/>
                <w:szCs w:val="20"/>
              </w:rPr>
              <w:lastRenderedPageBreak/>
              <w:t>incentivar el acceso a los mecanismos de financiamiento e incentivos disponibles. El participar no solo asegura el conocimiento del fondo, sino que incorpora componentes que motiven a los usuarios a acceder a los mecanismos e incentivos. E</w:t>
            </w:r>
            <w:r w:rsidRPr="008A26D2">
              <w:rPr>
                <w:rFonts w:ascii="Arial" w:eastAsia="Times New Roman" w:hAnsi="Arial" w:cs="Arial"/>
                <w:sz w:val="20"/>
                <w:szCs w:val="20"/>
                <w:lang w:val="es-ES"/>
              </w:rPr>
              <w:t>l indicador facilitará el seguimiento de la satisfacción del servicio y establecer acciones de mejora correspondientes.</w:t>
            </w:r>
          </w:p>
        </w:tc>
      </w:tr>
      <w:tr w:rsidR="008A26D2" w:rsidRPr="008A26D2" w14:paraId="7678A8BE" w14:textId="77777777" w:rsidTr="00086DE5">
        <w:trPr>
          <w:trHeight w:val="352"/>
        </w:trPr>
        <w:tc>
          <w:tcPr>
            <w:tcW w:w="2137" w:type="dxa"/>
            <w:gridSpan w:val="4"/>
            <w:shd w:val="clear" w:color="auto" w:fill="auto"/>
            <w:tcMar>
              <w:top w:w="10" w:type="dxa"/>
              <w:left w:w="93" w:type="dxa"/>
              <w:bottom w:w="0" w:type="dxa"/>
              <w:right w:w="10" w:type="dxa"/>
            </w:tcMar>
            <w:vAlign w:val="center"/>
          </w:tcPr>
          <w:p w14:paraId="46F6C659" w14:textId="77777777" w:rsidR="00BD0FD3" w:rsidRPr="008A26D2" w:rsidRDefault="00BD0FD3" w:rsidP="00086DE5">
            <w:pPr>
              <w:spacing w:after="0" w:line="240" w:lineRule="auto"/>
              <w:rPr>
                <w:rFonts w:ascii="Arial" w:eastAsia="Arial Narrow" w:hAnsi="Arial" w:cs="Arial"/>
                <w:sz w:val="20"/>
                <w:szCs w:val="20"/>
              </w:rPr>
            </w:pPr>
            <w:r w:rsidRPr="008A26D2">
              <w:rPr>
                <w:rFonts w:ascii="Arial" w:eastAsia="Arial Narrow" w:hAnsi="Arial" w:cs="Arial"/>
                <w:b/>
                <w:sz w:val="20"/>
                <w:szCs w:val="20"/>
              </w:rPr>
              <w:lastRenderedPageBreak/>
              <w:t>Responsable del indicador:</w:t>
            </w:r>
          </w:p>
        </w:tc>
        <w:tc>
          <w:tcPr>
            <w:tcW w:w="6085" w:type="dxa"/>
            <w:gridSpan w:val="8"/>
            <w:shd w:val="clear" w:color="auto" w:fill="auto"/>
            <w:tcMar>
              <w:top w:w="51" w:type="dxa"/>
              <w:left w:w="227" w:type="dxa"/>
              <w:bottom w:w="51" w:type="dxa"/>
              <w:right w:w="227" w:type="dxa"/>
            </w:tcMar>
            <w:vAlign w:val="center"/>
          </w:tcPr>
          <w:p w14:paraId="04240FA4" w14:textId="77777777" w:rsidR="00BD0FD3" w:rsidRPr="008A26D2" w:rsidRDefault="00BD0FD3" w:rsidP="00086DE5">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Dirección de Promoción y Competitividad del Servicio Nacional Forestal y de Fauna Silvestre - SERFOR</w:t>
            </w:r>
          </w:p>
        </w:tc>
      </w:tr>
      <w:tr w:rsidR="008A26D2" w:rsidRPr="008A26D2" w14:paraId="7F944EE7" w14:textId="77777777" w:rsidTr="00086DE5">
        <w:trPr>
          <w:trHeight w:val="675"/>
        </w:trPr>
        <w:tc>
          <w:tcPr>
            <w:tcW w:w="2137" w:type="dxa"/>
            <w:gridSpan w:val="4"/>
            <w:shd w:val="clear" w:color="auto" w:fill="auto"/>
            <w:tcMar>
              <w:top w:w="10" w:type="dxa"/>
              <w:left w:w="93" w:type="dxa"/>
              <w:bottom w:w="0" w:type="dxa"/>
              <w:right w:w="10" w:type="dxa"/>
            </w:tcMar>
            <w:vAlign w:val="center"/>
          </w:tcPr>
          <w:p w14:paraId="0DEE7AA3" w14:textId="77777777" w:rsidR="00BD0FD3" w:rsidRPr="008A26D2" w:rsidRDefault="00BD0FD3" w:rsidP="00086DE5">
            <w:pPr>
              <w:spacing w:after="0" w:line="240" w:lineRule="auto"/>
              <w:rPr>
                <w:rFonts w:ascii="Arial" w:eastAsia="Arial Narrow" w:hAnsi="Arial" w:cs="Arial"/>
                <w:sz w:val="20"/>
                <w:szCs w:val="20"/>
              </w:rPr>
            </w:pPr>
            <w:r w:rsidRPr="008A26D2">
              <w:rPr>
                <w:rFonts w:ascii="Arial" w:eastAsia="Arial Narrow" w:hAnsi="Arial" w:cs="Arial"/>
                <w:b/>
                <w:sz w:val="20"/>
                <w:szCs w:val="20"/>
              </w:rPr>
              <w:t>Limitaciones para la medición del indicador:</w:t>
            </w:r>
          </w:p>
        </w:tc>
        <w:tc>
          <w:tcPr>
            <w:tcW w:w="6085" w:type="dxa"/>
            <w:gridSpan w:val="8"/>
            <w:shd w:val="clear" w:color="auto" w:fill="auto"/>
            <w:tcMar>
              <w:top w:w="51" w:type="dxa"/>
              <w:left w:w="227" w:type="dxa"/>
              <w:bottom w:w="51" w:type="dxa"/>
              <w:right w:w="227" w:type="dxa"/>
            </w:tcMar>
            <w:vAlign w:val="center"/>
          </w:tcPr>
          <w:p w14:paraId="10E36B33" w14:textId="77777777" w:rsidR="00BD0FD3" w:rsidRPr="008A26D2" w:rsidRDefault="00BD0FD3" w:rsidP="00086DE5">
            <w:pPr>
              <w:spacing w:after="0" w:line="240" w:lineRule="auto"/>
              <w:rPr>
                <w:rFonts w:ascii="Arial" w:eastAsia="Arial Narrow" w:hAnsi="Arial" w:cs="Arial"/>
                <w:sz w:val="20"/>
                <w:szCs w:val="20"/>
              </w:rPr>
            </w:pPr>
            <w:r w:rsidRPr="008A26D2">
              <w:rPr>
                <w:rFonts w:ascii="Arial" w:eastAsia="Arial Narrow" w:hAnsi="Arial" w:cs="Arial"/>
                <w:sz w:val="20"/>
                <w:szCs w:val="20"/>
              </w:rPr>
              <w:t>Presupuesto para realizar talleres</w:t>
            </w:r>
          </w:p>
        </w:tc>
      </w:tr>
      <w:tr w:rsidR="008A26D2" w:rsidRPr="008A26D2" w14:paraId="51F66C95" w14:textId="77777777" w:rsidTr="00086DE5">
        <w:trPr>
          <w:trHeight w:val="231"/>
        </w:trPr>
        <w:tc>
          <w:tcPr>
            <w:tcW w:w="2137" w:type="dxa"/>
            <w:gridSpan w:val="4"/>
            <w:shd w:val="clear" w:color="auto" w:fill="auto"/>
            <w:tcMar>
              <w:top w:w="10" w:type="dxa"/>
              <w:left w:w="93" w:type="dxa"/>
              <w:bottom w:w="0" w:type="dxa"/>
              <w:right w:w="10" w:type="dxa"/>
            </w:tcMar>
            <w:vAlign w:val="center"/>
          </w:tcPr>
          <w:p w14:paraId="77A3E9C7" w14:textId="77777777" w:rsidR="00BD0FD3" w:rsidRPr="008A26D2" w:rsidRDefault="00BD0FD3" w:rsidP="00086DE5">
            <w:pPr>
              <w:rPr>
                <w:rFonts w:ascii="Arial" w:eastAsia="Arial Narrow" w:hAnsi="Arial" w:cs="Arial"/>
                <w:sz w:val="20"/>
                <w:szCs w:val="20"/>
              </w:rPr>
            </w:pPr>
            <w:r w:rsidRPr="008A26D2">
              <w:rPr>
                <w:rFonts w:ascii="Arial" w:eastAsia="Arial Narrow" w:hAnsi="Arial" w:cs="Arial"/>
                <w:b/>
                <w:sz w:val="20"/>
                <w:szCs w:val="20"/>
              </w:rPr>
              <w:t xml:space="preserve">Método de cálculo: </w:t>
            </w:r>
          </w:p>
        </w:tc>
        <w:tc>
          <w:tcPr>
            <w:tcW w:w="6085" w:type="dxa"/>
            <w:gridSpan w:val="8"/>
            <w:shd w:val="clear" w:color="auto" w:fill="auto"/>
            <w:tcMar>
              <w:top w:w="51" w:type="dxa"/>
              <w:left w:w="227" w:type="dxa"/>
              <w:bottom w:w="51" w:type="dxa"/>
              <w:right w:w="227" w:type="dxa"/>
            </w:tcMar>
            <w:vAlign w:val="center"/>
          </w:tcPr>
          <w:p w14:paraId="664C6CDA" w14:textId="77777777" w:rsidR="00BD0FD3" w:rsidRPr="008A26D2" w:rsidRDefault="00BD0FD3" w:rsidP="00086DE5">
            <w:pPr>
              <w:rPr>
                <w:rFonts w:ascii="Arial" w:eastAsia="Arial Narrow" w:hAnsi="Arial" w:cs="Arial"/>
                <w:b/>
                <w:sz w:val="20"/>
                <w:szCs w:val="20"/>
              </w:rPr>
            </w:pPr>
            <w:r w:rsidRPr="008A26D2">
              <w:rPr>
                <w:rFonts w:ascii="Arial" w:eastAsia="Arial Narrow" w:hAnsi="Arial" w:cs="Arial"/>
                <w:b/>
                <w:sz w:val="20"/>
                <w:szCs w:val="20"/>
              </w:rPr>
              <w:t>1. Fórmula:</w:t>
            </w:r>
          </w:p>
          <w:p w14:paraId="1CF8E740" w14:textId="77777777" w:rsidR="00BD0FD3" w:rsidRPr="008A26D2" w:rsidRDefault="00BD0FD3" w:rsidP="00086DE5">
            <w:pPr>
              <w:spacing w:before="240" w:after="240" w:line="240" w:lineRule="auto"/>
              <w:jc w:val="both"/>
              <w:rPr>
                <w:rFonts w:ascii="Arial" w:eastAsia="Arial Narrow" w:hAnsi="Arial" w:cs="Arial"/>
                <w:sz w:val="20"/>
                <w:szCs w:val="20"/>
              </w:rPr>
            </w:pPr>
            <w:r w:rsidRPr="008A26D2">
              <w:rPr>
                <w:rFonts w:ascii="Arial" w:eastAsia="Arial Narrow" w:hAnsi="Arial" w:cs="Arial"/>
                <w:sz w:val="20"/>
                <w:szCs w:val="20"/>
              </w:rPr>
              <w:t>(A/B)*100</w:t>
            </w:r>
          </w:p>
          <w:p w14:paraId="13CC45FD" w14:textId="77777777" w:rsidR="00BD0FD3" w:rsidRPr="008A26D2" w:rsidRDefault="00BD0FD3" w:rsidP="00086DE5">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Donde:</w:t>
            </w:r>
          </w:p>
          <w:p w14:paraId="1EA5B62E" w14:textId="77777777" w:rsidR="00BD0FD3" w:rsidRPr="008A26D2" w:rsidRDefault="00BD0FD3" w:rsidP="00086DE5">
            <w:pPr>
              <w:pBdr>
                <w:top w:val="nil"/>
                <w:left w:val="nil"/>
                <w:bottom w:val="nil"/>
                <w:right w:val="nil"/>
                <w:between w:val="nil"/>
              </w:pBdr>
              <w:spacing w:after="0" w:line="240" w:lineRule="auto"/>
              <w:jc w:val="both"/>
              <w:rPr>
                <w:rFonts w:ascii="Arial" w:eastAsia="Arial Narrow" w:hAnsi="Arial" w:cs="Arial"/>
                <w:sz w:val="20"/>
                <w:szCs w:val="20"/>
              </w:rPr>
            </w:pPr>
          </w:p>
          <w:p w14:paraId="564AD030" w14:textId="77777777" w:rsidR="00BD0FD3" w:rsidRPr="008A26D2" w:rsidRDefault="00BD0FD3" w:rsidP="00086DE5">
            <w:pPr>
              <w:pBdr>
                <w:top w:val="nil"/>
                <w:left w:val="nil"/>
                <w:bottom w:val="nil"/>
                <w:right w:val="nil"/>
                <w:between w:val="nil"/>
              </w:pBdr>
              <w:spacing w:after="0" w:line="240" w:lineRule="auto"/>
              <w:ind w:left="324" w:hanging="324"/>
              <w:jc w:val="both"/>
              <w:rPr>
                <w:rFonts w:ascii="Arial" w:eastAsia="Arial Narrow" w:hAnsi="Arial" w:cs="Arial"/>
                <w:sz w:val="20"/>
                <w:szCs w:val="20"/>
              </w:rPr>
            </w:pPr>
            <w:r w:rsidRPr="008A26D2">
              <w:rPr>
                <w:rFonts w:ascii="Arial" w:eastAsia="Arial Narrow" w:hAnsi="Arial" w:cs="Arial"/>
                <w:sz w:val="20"/>
                <w:szCs w:val="20"/>
              </w:rPr>
              <w:t>A = Número de usuarios forestales y de fauna silvestre con alto grado de satisfacción sobre las actividades de promoción en mecanismos de financiamiento e incentivos para el desarrollo de actividades productivas de cadenas forestales y de fauna silvestre</w:t>
            </w:r>
          </w:p>
          <w:p w14:paraId="0F21943D" w14:textId="77777777" w:rsidR="00BD0FD3" w:rsidRPr="008A26D2" w:rsidRDefault="00BD0FD3" w:rsidP="00086DE5">
            <w:pPr>
              <w:pBdr>
                <w:top w:val="nil"/>
                <w:left w:val="nil"/>
                <w:bottom w:val="nil"/>
                <w:right w:val="nil"/>
                <w:between w:val="nil"/>
              </w:pBdr>
              <w:spacing w:after="0" w:line="240" w:lineRule="auto"/>
              <w:ind w:left="324" w:hanging="324"/>
              <w:jc w:val="both"/>
              <w:rPr>
                <w:rFonts w:ascii="Arial" w:eastAsia="Arial Narrow" w:hAnsi="Arial" w:cs="Arial"/>
                <w:sz w:val="20"/>
                <w:szCs w:val="20"/>
              </w:rPr>
            </w:pPr>
          </w:p>
          <w:p w14:paraId="164090A0" w14:textId="77777777" w:rsidR="00BD0FD3" w:rsidRPr="008A26D2" w:rsidRDefault="00BD0FD3" w:rsidP="00086DE5">
            <w:pPr>
              <w:pBdr>
                <w:top w:val="nil"/>
                <w:left w:val="nil"/>
                <w:bottom w:val="nil"/>
                <w:right w:val="nil"/>
                <w:between w:val="nil"/>
              </w:pBdr>
              <w:spacing w:after="0" w:line="240" w:lineRule="auto"/>
              <w:ind w:left="324" w:hanging="324"/>
              <w:jc w:val="both"/>
              <w:rPr>
                <w:rFonts w:ascii="Arial" w:eastAsia="Arial Narrow" w:hAnsi="Arial" w:cs="Arial"/>
                <w:sz w:val="20"/>
                <w:szCs w:val="20"/>
              </w:rPr>
            </w:pPr>
            <w:r w:rsidRPr="008A26D2">
              <w:rPr>
                <w:rFonts w:ascii="Arial" w:eastAsia="Arial Narrow" w:hAnsi="Arial" w:cs="Arial"/>
                <w:sz w:val="20"/>
                <w:szCs w:val="20"/>
              </w:rPr>
              <w:t>B = Total de usuarios forestales y de fauna silvestre que han participado en las actividades de promoción en mecanismos de financiamiento e incentivos para el desarrollo de actividades productivas de cadenas forestales y de fauna silvestre.</w:t>
            </w:r>
          </w:p>
          <w:p w14:paraId="45F900E6" w14:textId="77777777" w:rsidR="00BD0FD3" w:rsidRPr="008A26D2" w:rsidRDefault="00BD0FD3" w:rsidP="00086DE5">
            <w:pPr>
              <w:rPr>
                <w:rFonts w:ascii="Arial" w:eastAsia="Arial Narrow" w:hAnsi="Arial" w:cs="Arial"/>
                <w:sz w:val="20"/>
                <w:szCs w:val="20"/>
              </w:rPr>
            </w:pPr>
            <w:r w:rsidRPr="008A26D2">
              <w:rPr>
                <w:rFonts w:ascii="Arial" w:eastAsia="Arial Narrow" w:hAnsi="Arial" w:cs="Arial"/>
                <w:sz w:val="20"/>
                <w:szCs w:val="20"/>
              </w:rPr>
              <w:br/>
            </w:r>
            <w:r w:rsidRPr="008A26D2">
              <w:rPr>
                <w:rFonts w:ascii="Arial" w:eastAsia="Arial Narrow" w:hAnsi="Arial" w:cs="Arial"/>
                <w:b/>
                <w:sz w:val="20"/>
                <w:szCs w:val="20"/>
              </w:rPr>
              <w:t>2. Especificaciones técnicas:</w:t>
            </w:r>
          </w:p>
          <w:p w14:paraId="6581CC10" w14:textId="756477BE" w:rsidR="00AB11B4" w:rsidRDefault="00AB11B4" w:rsidP="00AB11B4">
            <w:pPr>
              <w:spacing w:after="0" w:line="240" w:lineRule="auto"/>
              <w:jc w:val="both"/>
              <w:rPr>
                <w:rFonts w:ascii="Arial" w:eastAsia="Arial Narrow" w:hAnsi="Arial" w:cs="Arial"/>
                <w:sz w:val="20"/>
                <w:szCs w:val="20"/>
              </w:rPr>
            </w:pPr>
            <w:r w:rsidRPr="00AB11B4">
              <w:rPr>
                <w:rFonts w:ascii="Arial" w:eastAsia="Arial Narrow" w:hAnsi="Arial" w:cs="Arial"/>
                <w:sz w:val="20"/>
                <w:szCs w:val="20"/>
              </w:rPr>
              <w:t>La variable A se determina a partir de los usuarios forestales y de fauna silvestre que tienen un alto grado de satisfacción, al elegir los dos niveles más altos de la escala, sobre las acciones de fortalecimiento de capacidades recibidas.</w:t>
            </w:r>
          </w:p>
          <w:p w14:paraId="6DBC0EE3" w14:textId="77777777" w:rsidR="009A1630" w:rsidRPr="00AB11B4" w:rsidRDefault="009A1630" w:rsidP="00AB11B4">
            <w:pPr>
              <w:spacing w:after="0" w:line="240" w:lineRule="auto"/>
              <w:jc w:val="both"/>
              <w:rPr>
                <w:rFonts w:ascii="Arial" w:eastAsia="Arial Narrow" w:hAnsi="Arial" w:cs="Arial"/>
                <w:sz w:val="20"/>
                <w:szCs w:val="20"/>
              </w:rPr>
            </w:pPr>
          </w:p>
          <w:p w14:paraId="7BFF45F4" w14:textId="46FB04CC" w:rsidR="00AB11B4" w:rsidRDefault="00AB11B4" w:rsidP="00AB11B4">
            <w:pPr>
              <w:spacing w:after="0" w:line="240" w:lineRule="auto"/>
              <w:jc w:val="both"/>
              <w:rPr>
                <w:rFonts w:ascii="Arial" w:eastAsia="Arial Narrow" w:hAnsi="Arial" w:cs="Arial"/>
                <w:sz w:val="20"/>
                <w:szCs w:val="20"/>
              </w:rPr>
            </w:pPr>
            <w:r w:rsidRPr="00AB11B4">
              <w:rPr>
                <w:rFonts w:ascii="Arial" w:eastAsia="Arial Narrow" w:hAnsi="Arial" w:cs="Arial"/>
                <w:sz w:val="20"/>
                <w:szCs w:val="20"/>
              </w:rPr>
              <w:t xml:space="preserve">La variable B se determina con el total de </w:t>
            </w:r>
            <w:r w:rsidR="00086C80" w:rsidRPr="00086C80">
              <w:rPr>
                <w:rFonts w:ascii="Arial" w:eastAsia="Arial Narrow" w:hAnsi="Arial" w:cs="Arial"/>
                <w:sz w:val="20"/>
                <w:szCs w:val="20"/>
              </w:rPr>
              <w:t xml:space="preserve">usuarios forestales y de fauna silvestre </w:t>
            </w:r>
            <w:r w:rsidRPr="00AB11B4">
              <w:rPr>
                <w:rFonts w:ascii="Arial" w:eastAsia="Arial Narrow" w:hAnsi="Arial" w:cs="Arial"/>
                <w:sz w:val="20"/>
                <w:szCs w:val="20"/>
              </w:rPr>
              <w:t>que asisten a las capacitaciones</w:t>
            </w:r>
            <w:r w:rsidR="009A1630">
              <w:rPr>
                <w:rFonts w:ascii="Arial" w:eastAsia="Arial Narrow" w:hAnsi="Arial" w:cs="Arial"/>
                <w:sz w:val="20"/>
                <w:szCs w:val="20"/>
              </w:rPr>
              <w:t xml:space="preserve"> en el año de medición</w:t>
            </w:r>
            <w:r>
              <w:rPr>
                <w:rFonts w:ascii="Arial" w:eastAsia="Arial Narrow" w:hAnsi="Arial" w:cs="Arial"/>
                <w:sz w:val="20"/>
                <w:szCs w:val="20"/>
              </w:rPr>
              <w:t>.</w:t>
            </w:r>
          </w:p>
          <w:p w14:paraId="5F9C6A14" w14:textId="77777777" w:rsidR="00AB11B4" w:rsidRDefault="00AB11B4" w:rsidP="00AB11B4">
            <w:pPr>
              <w:spacing w:after="0" w:line="240" w:lineRule="auto"/>
              <w:jc w:val="both"/>
              <w:rPr>
                <w:rFonts w:ascii="Arial" w:eastAsia="Arial Narrow" w:hAnsi="Arial" w:cs="Arial"/>
                <w:sz w:val="20"/>
                <w:szCs w:val="20"/>
              </w:rPr>
            </w:pPr>
          </w:p>
          <w:p w14:paraId="7CA448EC" w14:textId="4B8D04D5" w:rsidR="00BD0FD3" w:rsidRPr="008A26D2" w:rsidRDefault="00BD0FD3" w:rsidP="00147D2E">
            <w:pPr>
              <w:spacing w:after="0" w:line="240" w:lineRule="auto"/>
              <w:jc w:val="both"/>
              <w:rPr>
                <w:rFonts w:ascii="Arial" w:hAnsi="Arial" w:cs="Arial"/>
                <w:bCs/>
                <w:sz w:val="20"/>
                <w:szCs w:val="20"/>
              </w:rPr>
            </w:pPr>
            <w:r w:rsidRPr="008A26D2">
              <w:rPr>
                <w:rFonts w:ascii="Arial" w:eastAsia="Arial Narrow" w:hAnsi="Arial" w:cs="Arial"/>
                <w:sz w:val="20"/>
                <w:szCs w:val="20"/>
              </w:rPr>
              <w:t>El indicador se calculará a partir de encuestas o entrevistas donde se pueda registrar el grado de satisfacción de los participantes.</w:t>
            </w:r>
          </w:p>
          <w:p w14:paraId="458E8FFA" w14:textId="77777777" w:rsidR="00BD0FD3" w:rsidRPr="008A26D2" w:rsidRDefault="00BD0FD3" w:rsidP="00147D2E">
            <w:pPr>
              <w:jc w:val="both"/>
              <w:rPr>
                <w:rFonts w:ascii="Arial" w:hAnsi="Arial" w:cs="Arial"/>
                <w:bCs/>
                <w:sz w:val="20"/>
                <w:szCs w:val="20"/>
              </w:rPr>
            </w:pPr>
            <w:r w:rsidRPr="008A26D2">
              <w:rPr>
                <w:rFonts w:ascii="Arial" w:hAnsi="Arial" w:cs="Arial"/>
                <w:bCs/>
                <w:sz w:val="20"/>
                <w:szCs w:val="20"/>
              </w:rPr>
              <w:t>Para evaluar el grado de satisfacción se considerará los alcances metodológicos señalados en el Protocolo de Capacitación y Asistencia Técnica del SERFOR.</w:t>
            </w:r>
          </w:p>
          <w:p w14:paraId="73104348" w14:textId="77777777" w:rsidR="00BD0FD3" w:rsidRPr="008A26D2" w:rsidRDefault="00BD0FD3" w:rsidP="00147D2E">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Los mecanismos de financiamiento e incentivos son aquellos instrumentos que permiten a un usuario forestal y de fauna silvestre contar con los recursos financieros necesarios para el desarrollo de sus actividades productivas de cadenas forestales y de fauna silvestre.</w:t>
            </w:r>
          </w:p>
          <w:p w14:paraId="51F22807" w14:textId="77777777" w:rsidR="00BD0FD3" w:rsidRPr="008A26D2" w:rsidRDefault="00BD0FD3" w:rsidP="00086DE5">
            <w:pPr>
              <w:spacing w:after="0" w:line="240" w:lineRule="auto"/>
              <w:jc w:val="both"/>
              <w:rPr>
                <w:rFonts w:ascii="Arial" w:eastAsia="Arial Narrow" w:hAnsi="Arial" w:cs="Arial"/>
                <w:sz w:val="20"/>
                <w:szCs w:val="20"/>
              </w:rPr>
            </w:pPr>
          </w:p>
        </w:tc>
      </w:tr>
      <w:tr w:rsidR="008A26D2" w:rsidRPr="008A26D2" w14:paraId="44DC41DE" w14:textId="77777777" w:rsidTr="00086DE5">
        <w:trPr>
          <w:trHeight w:val="464"/>
        </w:trPr>
        <w:tc>
          <w:tcPr>
            <w:tcW w:w="2137" w:type="dxa"/>
            <w:gridSpan w:val="4"/>
            <w:shd w:val="clear" w:color="auto" w:fill="auto"/>
            <w:tcMar>
              <w:top w:w="10" w:type="dxa"/>
              <w:left w:w="93" w:type="dxa"/>
              <w:bottom w:w="0" w:type="dxa"/>
              <w:right w:w="10" w:type="dxa"/>
            </w:tcMar>
            <w:vAlign w:val="center"/>
          </w:tcPr>
          <w:p w14:paraId="75B07A60" w14:textId="77777777" w:rsidR="00BD0FD3" w:rsidRPr="008A26D2" w:rsidRDefault="00BD0FD3" w:rsidP="00086DE5">
            <w:pPr>
              <w:spacing w:after="0" w:line="240" w:lineRule="auto"/>
              <w:rPr>
                <w:rFonts w:ascii="Arial" w:eastAsia="Arial Narrow" w:hAnsi="Arial" w:cs="Arial"/>
                <w:sz w:val="20"/>
                <w:szCs w:val="20"/>
              </w:rPr>
            </w:pPr>
            <w:r w:rsidRPr="008A26D2">
              <w:rPr>
                <w:rFonts w:ascii="Arial" w:eastAsia="Arial Narrow" w:hAnsi="Arial" w:cs="Arial"/>
                <w:b/>
                <w:sz w:val="20"/>
                <w:szCs w:val="20"/>
              </w:rPr>
              <w:t>Sentido esperado del indicador:</w:t>
            </w:r>
          </w:p>
        </w:tc>
        <w:tc>
          <w:tcPr>
            <w:tcW w:w="1620" w:type="dxa"/>
            <w:gridSpan w:val="2"/>
            <w:shd w:val="clear" w:color="auto" w:fill="auto"/>
            <w:tcMar>
              <w:top w:w="10" w:type="dxa"/>
              <w:left w:w="283" w:type="dxa"/>
              <w:bottom w:w="0" w:type="dxa"/>
              <w:right w:w="283" w:type="dxa"/>
            </w:tcMar>
            <w:vAlign w:val="center"/>
          </w:tcPr>
          <w:p w14:paraId="0E53A472" w14:textId="77777777" w:rsidR="00BD0FD3" w:rsidRPr="008A26D2" w:rsidRDefault="00BD0FD3" w:rsidP="00086DE5">
            <w:pPr>
              <w:spacing w:after="0" w:line="240" w:lineRule="auto"/>
              <w:ind w:left="-12"/>
              <w:rPr>
                <w:rFonts w:ascii="Arial" w:eastAsia="Arial Narrow" w:hAnsi="Arial" w:cs="Arial"/>
                <w:sz w:val="20"/>
                <w:szCs w:val="20"/>
              </w:rPr>
            </w:pPr>
            <w:r w:rsidRPr="008A26D2">
              <w:rPr>
                <w:rFonts w:ascii="Arial" w:eastAsia="Arial Narrow" w:hAnsi="Arial" w:cs="Arial"/>
                <w:sz w:val="20"/>
                <w:szCs w:val="20"/>
              </w:rPr>
              <w:t>Ascendente</w:t>
            </w:r>
          </w:p>
        </w:tc>
        <w:tc>
          <w:tcPr>
            <w:tcW w:w="2762" w:type="dxa"/>
            <w:gridSpan w:val="4"/>
            <w:shd w:val="clear" w:color="auto" w:fill="auto"/>
            <w:tcMar>
              <w:top w:w="15" w:type="dxa"/>
              <w:left w:w="15" w:type="dxa"/>
              <w:bottom w:w="0" w:type="dxa"/>
              <w:right w:w="15" w:type="dxa"/>
            </w:tcMar>
            <w:vAlign w:val="center"/>
          </w:tcPr>
          <w:p w14:paraId="39D86EB9" w14:textId="77777777" w:rsidR="00BD0FD3" w:rsidRPr="009A1630" w:rsidRDefault="00BD0FD3" w:rsidP="00086DE5">
            <w:pPr>
              <w:spacing w:after="0" w:line="240" w:lineRule="auto"/>
              <w:rPr>
                <w:rFonts w:ascii="Arial" w:eastAsia="Arial Narrow" w:hAnsi="Arial" w:cs="Arial"/>
                <w:b/>
                <w:bCs/>
                <w:sz w:val="20"/>
                <w:szCs w:val="20"/>
              </w:rPr>
            </w:pPr>
            <w:r w:rsidRPr="009A1630">
              <w:rPr>
                <w:rFonts w:ascii="Arial" w:eastAsia="Arial Narrow" w:hAnsi="Arial" w:cs="Arial"/>
                <w:b/>
                <w:bCs/>
                <w:sz w:val="20"/>
                <w:szCs w:val="20"/>
              </w:rPr>
              <w:t>Tipo de indicador de servicio:</w:t>
            </w:r>
          </w:p>
        </w:tc>
        <w:tc>
          <w:tcPr>
            <w:tcW w:w="1703" w:type="dxa"/>
            <w:gridSpan w:val="2"/>
            <w:shd w:val="clear" w:color="auto" w:fill="auto"/>
            <w:tcMar>
              <w:top w:w="15" w:type="dxa"/>
              <w:left w:w="15" w:type="dxa"/>
              <w:bottom w:w="0" w:type="dxa"/>
              <w:right w:w="15" w:type="dxa"/>
            </w:tcMar>
            <w:vAlign w:val="center"/>
          </w:tcPr>
          <w:p w14:paraId="3F1C89B9" w14:textId="488C31A2" w:rsidR="00BD0FD3" w:rsidRPr="008A26D2" w:rsidRDefault="00BD0FD3" w:rsidP="00086DE5">
            <w:pPr>
              <w:spacing w:after="0" w:line="240" w:lineRule="auto"/>
              <w:rPr>
                <w:rFonts w:ascii="Arial" w:eastAsia="Arial Narrow" w:hAnsi="Arial" w:cs="Arial"/>
                <w:sz w:val="20"/>
                <w:szCs w:val="20"/>
              </w:rPr>
            </w:pPr>
            <w:r w:rsidRPr="008A26D2">
              <w:rPr>
                <w:rFonts w:ascii="Arial" w:eastAsia="Arial Narrow" w:hAnsi="Arial" w:cs="Arial"/>
                <w:sz w:val="20"/>
                <w:szCs w:val="20"/>
              </w:rPr>
              <w:t xml:space="preserve">Calidad – Percepción </w:t>
            </w:r>
          </w:p>
        </w:tc>
      </w:tr>
      <w:tr w:rsidR="008A26D2" w:rsidRPr="008A26D2" w14:paraId="7D2BFF45" w14:textId="77777777" w:rsidTr="00086DE5">
        <w:trPr>
          <w:trHeight w:val="13"/>
        </w:trPr>
        <w:tc>
          <w:tcPr>
            <w:tcW w:w="2137" w:type="dxa"/>
            <w:gridSpan w:val="4"/>
            <w:shd w:val="clear" w:color="auto" w:fill="auto"/>
            <w:tcMar>
              <w:top w:w="10" w:type="dxa"/>
              <w:left w:w="93" w:type="dxa"/>
              <w:bottom w:w="0" w:type="dxa"/>
              <w:right w:w="10" w:type="dxa"/>
            </w:tcMar>
            <w:vAlign w:val="center"/>
          </w:tcPr>
          <w:p w14:paraId="50D7BC50" w14:textId="77777777" w:rsidR="00BD0FD3" w:rsidRPr="008A26D2" w:rsidRDefault="00BD0FD3" w:rsidP="00086DE5">
            <w:pPr>
              <w:spacing w:after="0" w:line="240" w:lineRule="auto"/>
              <w:rPr>
                <w:rFonts w:ascii="Arial" w:eastAsia="Arial Narrow" w:hAnsi="Arial" w:cs="Arial"/>
                <w:sz w:val="20"/>
                <w:szCs w:val="20"/>
              </w:rPr>
            </w:pPr>
            <w:r w:rsidRPr="008A26D2">
              <w:rPr>
                <w:rFonts w:ascii="Arial" w:eastAsia="Arial Narrow" w:hAnsi="Arial" w:cs="Arial"/>
                <w:b/>
                <w:sz w:val="20"/>
                <w:szCs w:val="20"/>
              </w:rPr>
              <w:t>Fuente y base de datos:</w:t>
            </w:r>
          </w:p>
        </w:tc>
        <w:tc>
          <w:tcPr>
            <w:tcW w:w="6085" w:type="dxa"/>
            <w:gridSpan w:val="8"/>
            <w:shd w:val="clear" w:color="auto" w:fill="auto"/>
            <w:tcMar>
              <w:top w:w="51" w:type="dxa"/>
              <w:left w:w="227" w:type="dxa"/>
              <w:bottom w:w="51" w:type="dxa"/>
              <w:right w:w="227" w:type="dxa"/>
            </w:tcMar>
            <w:vAlign w:val="center"/>
          </w:tcPr>
          <w:p w14:paraId="7F601AA8" w14:textId="21E35561" w:rsidR="00BD0FD3" w:rsidRPr="008A26D2" w:rsidRDefault="00BD0FD3" w:rsidP="00086DE5">
            <w:pPr>
              <w:spacing w:after="0" w:line="240" w:lineRule="auto"/>
              <w:rPr>
                <w:rFonts w:ascii="Arial" w:eastAsia="Arial Narrow" w:hAnsi="Arial" w:cs="Arial"/>
                <w:sz w:val="20"/>
                <w:szCs w:val="20"/>
              </w:rPr>
            </w:pPr>
            <w:r w:rsidRPr="008A26D2">
              <w:rPr>
                <w:rFonts w:ascii="Arial" w:eastAsia="Arial Narrow" w:hAnsi="Arial" w:cs="Arial"/>
                <w:sz w:val="20"/>
                <w:szCs w:val="20"/>
              </w:rPr>
              <w:t xml:space="preserve">Fuente: Dirección de Promoción y Competitividad del </w:t>
            </w:r>
            <w:r w:rsidR="00EB5097">
              <w:rPr>
                <w:rFonts w:ascii="Arial" w:eastAsia="Arial Narrow" w:hAnsi="Arial" w:cs="Arial"/>
                <w:sz w:val="20"/>
                <w:szCs w:val="20"/>
              </w:rPr>
              <w:t xml:space="preserve">Servicio Nacional Forestal y de Fauna Silvestre – </w:t>
            </w:r>
            <w:r w:rsidRPr="008A26D2">
              <w:rPr>
                <w:rFonts w:ascii="Arial" w:eastAsia="Arial Narrow" w:hAnsi="Arial" w:cs="Arial"/>
                <w:sz w:val="20"/>
                <w:szCs w:val="20"/>
              </w:rPr>
              <w:t>SERFOR</w:t>
            </w:r>
            <w:r w:rsidR="00EB5097">
              <w:rPr>
                <w:rFonts w:ascii="Arial" w:eastAsia="Arial Narrow" w:hAnsi="Arial" w:cs="Arial"/>
                <w:sz w:val="20"/>
                <w:szCs w:val="20"/>
              </w:rPr>
              <w:t>.</w:t>
            </w:r>
          </w:p>
          <w:p w14:paraId="24EB97D1" w14:textId="12FF2388" w:rsidR="00BD0FD3" w:rsidRPr="008A26D2" w:rsidRDefault="00BD0FD3" w:rsidP="00086DE5">
            <w:pPr>
              <w:spacing w:after="0" w:line="240" w:lineRule="auto"/>
              <w:rPr>
                <w:rFonts w:ascii="Arial" w:eastAsia="Arial Narrow" w:hAnsi="Arial" w:cs="Arial"/>
                <w:sz w:val="20"/>
                <w:szCs w:val="20"/>
              </w:rPr>
            </w:pPr>
            <w:r w:rsidRPr="008A26D2">
              <w:rPr>
                <w:rFonts w:ascii="Arial" w:eastAsia="Arial Narrow" w:hAnsi="Arial" w:cs="Arial"/>
                <w:sz w:val="20"/>
                <w:szCs w:val="20"/>
              </w:rPr>
              <w:t>Base de datos: Reporte actividades de promoción</w:t>
            </w:r>
            <w:r w:rsidR="007737D5">
              <w:rPr>
                <w:rFonts w:ascii="Arial" w:eastAsia="Arial Narrow" w:hAnsi="Arial" w:cs="Arial"/>
                <w:sz w:val="20"/>
                <w:szCs w:val="20"/>
              </w:rPr>
              <w:t>.</w:t>
            </w:r>
          </w:p>
        </w:tc>
      </w:tr>
      <w:tr w:rsidR="008A26D2" w:rsidRPr="008A26D2" w14:paraId="683763BE" w14:textId="77777777" w:rsidTr="00086DE5">
        <w:trPr>
          <w:trHeight w:val="436"/>
        </w:trPr>
        <w:tc>
          <w:tcPr>
            <w:tcW w:w="2137" w:type="dxa"/>
            <w:gridSpan w:val="4"/>
            <w:shd w:val="clear" w:color="auto" w:fill="auto"/>
            <w:tcMar>
              <w:top w:w="10" w:type="dxa"/>
              <w:left w:w="93" w:type="dxa"/>
              <w:bottom w:w="0" w:type="dxa"/>
              <w:right w:w="10" w:type="dxa"/>
            </w:tcMar>
            <w:vAlign w:val="center"/>
          </w:tcPr>
          <w:p w14:paraId="1BECEBCF" w14:textId="77777777" w:rsidR="00BD0FD3" w:rsidRPr="008A26D2" w:rsidRDefault="00BD0FD3" w:rsidP="00086DE5">
            <w:pPr>
              <w:spacing w:after="0" w:line="240" w:lineRule="auto"/>
              <w:rPr>
                <w:rFonts w:ascii="Arial" w:eastAsia="Arial Narrow" w:hAnsi="Arial" w:cs="Arial"/>
                <w:sz w:val="20"/>
                <w:szCs w:val="20"/>
              </w:rPr>
            </w:pPr>
            <w:r w:rsidRPr="008A26D2">
              <w:rPr>
                <w:rFonts w:ascii="Arial" w:eastAsia="Arial Narrow" w:hAnsi="Arial" w:cs="Arial"/>
                <w:b/>
                <w:sz w:val="20"/>
                <w:szCs w:val="20"/>
              </w:rPr>
              <w:lastRenderedPageBreak/>
              <w:t>Supuestos:</w:t>
            </w:r>
          </w:p>
        </w:tc>
        <w:tc>
          <w:tcPr>
            <w:tcW w:w="6085" w:type="dxa"/>
            <w:gridSpan w:val="8"/>
            <w:shd w:val="clear" w:color="auto" w:fill="auto"/>
            <w:tcMar>
              <w:top w:w="51" w:type="dxa"/>
              <w:left w:w="227" w:type="dxa"/>
              <w:bottom w:w="51" w:type="dxa"/>
              <w:right w:w="227" w:type="dxa"/>
            </w:tcMar>
            <w:vAlign w:val="center"/>
          </w:tcPr>
          <w:p w14:paraId="6B1F33D8" w14:textId="77777777" w:rsidR="00BD0FD3" w:rsidRPr="008A26D2" w:rsidRDefault="00BD0FD3" w:rsidP="00086DE5">
            <w:pPr>
              <w:spacing w:after="0" w:line="240" w:lineRule="auto"/>
              <w:rPr>
                <w:rFonts w:ascii="Arial" w:eastAsia="Arial Narrow" w:hAnsi="Arial" w:cs="Arial"/>
                <w:sz w:val="20"/>
                <w:szCs w:val="20"/>
              </w:rPr>
            </w:pPr>
            <w:r w:rsidRPr="008A26D2">
              <w:rPr>
                <w:rFonts w:ascii="Arial" w:eastAsia="Arial Narrow" w:hAnsi="Arial" w:cs="Arial"/>
                <w:sz w:val="20"/>
                <w:szCs w:val="20"/>
              </w:rPr>
              <w:t>Existe apoyo de entidades de cooperación internacional.</w:t>
            </w:r>
          </w:p>
          <w:p w14:paraId="2714E8E5" w14:textId="77777777" w:rsidR="00BD0FD3" w:rsidRPr="008A26D2" w:rsidRDefault="00BD0FD3" w:rsidP="00086DE5">
            <w:pPr>
              <w:spacing w:after="0" w:line="240" w:lineRule="auto"/>
              <w:rPr>
                <w:rFonts w:ascii="Arial" w:eastAsia="Arial Narrow" w:hAnsi="Arial" w:cs="Arial"/>
                <w:sz w:val="20"/>
                <w:szCs w:val="20"/>
              </w:rPr>
            </w:pPr>
            <w:r w:rsidRPr="008A26D2">
              <w:rPr>
                <w:rFonts w:ascii="Arial" w:eastAsia="Arial Narrow" w:hAnsi="Arial" w:cs="Arial"/>
                <w:sz w:val="20"/>
                <w:szCs w:val="20"/>
              </w:rPr>
              <w:t>Se cuenta con financiamiento para realizar las asistencias técnicas</w:t>
            </w:r>
          </w:p>
        </w:tc>
      </w:tr>
      <w:tr w:rsidR="008A26D2" w:rsidRPr="008A26D2" w14:paraId="61B5D0F4" w14:textId="77777777" w:rsidTr="00086DE5">
        <w:trPr>
          <w:trHeight w:val="556"/>
        </w:trPr>
        <w:tc>
          <w:tcPr>
            <w:tcW w:w="566" w:type="dxa"/>
            <w:shd w:val="clear" w:color="auto" w:fill="auto"/>
            <w:tcMar>
              <w:top w:w="10" w:type="dxa"/>
              <w:left w:w="10" w:type="dxa"/>
              <w:bottom w:w="0" w:type="dxa"/>
              <w:right w:w="10" w:type="dxa"/>
            </w:tcMar>
            <w:vAlign w:val="center"/>
          </w:tcPr>
          <w:p w14:paraId="2FFA65F6" w14:textId="77777777" w:rsidR="00BD0FD3" w:rsidRPr="008A26D2" w:rsidRDefault="00BD0FD3" w:rsidP="00086DE5">
            <w:pPr>
              <w:rPr>
                <w:rFonts w:ascii="Arial" w:eastAsia="Arial Narrow" w:hAnsi="Arial" w:cs="Arial"/>
                <w:sz w:val="20"/>
                <w:szCs w:val="20"/>
              </w:rPr>
            </w:pPr>
            <w:r w:rsidRPr="008A26D2">
              <w:rPr>
                <w:rFonts w:ascii="Arial" w:eastAsia="Arial Narrow" w:hAnsi="Arial" w:cs="Arial"/>
                <w:b/>
                <w:sz w:val="20"/>
                <w:szCs w:val="20"/>
              </w:rPr>
              <w:t> </w:t>
            </w:r>
          </w:p>
        </w:tc>
        <w:tc>
          <w:tcPr>
            <w:tcW w:w="866" w:type="dxa"/>
            <w:shd w:val="clear" w:color="auto" w:fill="auto"/>
            <w:tcMar>
              <w:top w:w="10" w:type="dxa"/>
              <w:left w:w="10" w:type="dxa"/>
              <w:bottom w:w="0" w:type="dxa"/>
              <w:right w:w="10" w:type="dxa"/>
            </w:tcMar>
            <w:vAlign w:val="center"/>
          </w:tcPr>
          <w:p w14:paraId="34266476" w14:textId="77777777" w:rsidR="00BD0FD3" w:rsidRPr="008A26D2" w:rsidRDefault="00BD0FD3" w:rsidP="00086DE5">
            <w:pPr>
              <w:jc w:val="center"/>
              <w:rPr>
                <w:rFonts w:ascii="Arial" w:eastAsia="Arial Narrow" w:hAnsi="Arial" w:cs="Arial"/>
                <w:sz w:val="20"/>
                <w:szCs w:val="20"/>
              </w:rPr>
            </w:pPr>
            <w:r w:rsidRPr="008A26D2">
              <w:rPr>
                <w:rFonts w:ascii="Arial" w:eastAsia="Arial Narrow" w:hAnsi="Arial" w:cs="Arial"/>
                <w:b/>
                <w:sz w:val="20"/>
                <w:szCs w:val="20"/>
              </w:rPr>
              <w:t>Línea de base</w:t>
            </w:r>
          </w:p>
        </w:tc>
        <w:tc>
          <w:tcPr>
            <w:tcW w:w="6790" w:type="dxa"/>
            <w:gridSpan w:val="10"/>
            <w:shd w:val="clear" w:color="auto" w:fill="auto"/>
            <w:tcMar>
              <w:top w:w="10" w:type="dxa"/>
              <w:left w:w="10" w:type="dxa"/>
              <w:bottom w:w="0" w:type="dxa"/>
              <w:right w:w="10" w:type="dxa"/>
            </w:tcMar>
            <w:vAlign w:val="center"/>
          </w:tcPr>
          <w:p w14:paraId="3FE8D164" w14:textId="77777777" w:rsidR="00BD0FD3" w:rsidRPr="008A26D2" w:rsidRDefault="00BD0FD3" w:rsidP="00086DE5">
            <w:pPr>
              <w:jc w:val="center"/>
              <w:rPr>
                <w:rFonts w:ascii="Arial" w:eastAsia="Arial Narrow" w:hAnsi="Arial" w:cs="Arial"/>
                <w:sz w:val="20"/>
                <w:szCs w:val="20"/>
              </w:rPr>
            </w:pPr>
            <w:r w:rsidRPr="008A26D2">
              <w:rPr>
                <w:rFonts w:ascii="Arial" w:eastAsia="Arial Narrow" w:hAnsi="Arial" w:cs="Arial"/>
                <w:b/>
                <w:sz w:val="20"/>
                <w:szCs w:val="20"/>
              </w:rPr>
              <w:t xml:space="preserve">Logros esperados </w:t>
            </w:r>
          </w:p>
        </w:tc>
      </w:tr>
      <w:tr w:rsidR="008A26D2" w:rsidRPr="008A26D2" w14:paraId="5044BC3F" w14:textId="77777777" w:rsidTr="00086DE5">
        <w:trPr>
          <w:trHeight w:val="217"/>
        </w:trPr>
        <w:tc>
          <w:tcPr>
            <w:tcW w:w="566" w:type="dxa"/>
            <w:shd w:val="clear" w:color="auto" w:fill="auto"/>
            <w:tcMar>
              <w:top w:w="10" w:type="dxa"/>
              <w:left w:w="10" w:type="dxa"/>
              <w:bottom w:w="0" w:type="dxa"/>
              <w:right w:w="10" w:type="dxa"/>
            </w:tcMar>
            <w:vAlign w:val="center"/>
          </w:tcPr>
          <w:p w14:paraId="171E0280" w14:textId="77777777" w:rsidR="00BD0FD3" w:rsidRPr="008A26D2" w:rsidRDefault="00BD0FD3" w:rsidP="00086DE5">
            <w:pPr>
              <w:jc w:val="center"/>
              <w:rPr>
                <w:rFonts w:ascii="Arial" w:eastAsia="Arial Narrow" w:hAnsi="Arial" w:cs="Arial"/>
                <w:sz w:val="20"/>
                <w:szCs w:val="20"/>
              </w:rPr>
            </w:pPr>
            <w:r w:rsidRPr="008A26D2">
              <w:rPr>
                <w:rFonts w:ascii="Arial" w:eastAsia="Arial Narrow" w:hAnsi="Arial" w:cs="Arial"/>
                <w:b/>
                <w:sz w:val="20"/>
                <w:szCs w:val="20"/>
              </w:rPr>
              <w:t>Año</w:t>
            </w:r>
          </w:p>
        </w:tc>
        <w:tc>
          <w:tcPr>
            <w:tcW w:w="866" w:type="dxa"/>
            <w:shd w:val="clear" w:color="auto" w:fill="auto"/>
            <w:tcMar>
              <w:top w:w="10" w:type="dxa"/>
              <w:left w:w="10" w:type="dxa"/>
              <w:bottom w:w="0" w:type="dxa"/>
              <w:right w:w="10" w:type="dxa"/>
            </w:tcMar>
            <w:vAlign w:val="center"/>
          </w:tcPr>
          <w:p w14:paraId="7552A484" w14:textId="77777777" w:rsidR="00BD0FD3" w:rsidRPr="008A26D2" w:rsidRDefault="00BD0FD3" w:rsidP="00086DE5">
            <w:pPr>
              <w:jc w:val="center"/>
              <w:rPr>
                <w:rFonts w:ascii="Arial" w:eastAsia="Arial Narrow" w:hAnsi="Arial" w:cs="Arial"/>
                <w:b/>
                <w:sz w:val="20"/>
                <w:szCs w:val="20"/>
              </w:rPr>
            </w:pPr>
            <w:r w:rsidRPr="008A26D2">
              <w:rPr>
                <w:rFonts w:ascii="Arial" w:eastAsia="Arial Narrow" w:hAnsi="Arial" w:cs="Arial"/>
                <w:b/>
                <w:sz w:val="20"/>
                <w:szCs w:val="20"/>
              </w:rPr>
              <w:t>2022</w:t>
            </w:r>
          </w:p>
        </w:tc>
        <w:tc>
          <w:tcPr>
            <w:tcW w:w="692" w:type="dxa"/>
            <w:shd w:val="clear" w:color="auto" w:fill="auto"/>
            <w:tcMar>
              <w:top w:w="10" w:type="dxa"/>
              <w:left w:w="10" w:type="dxa"/>
              <w:bottom w:w="0" w:type="dxa"/>
              <w:right w:w="10" w:type="dxa"/>
            </w:tcMar>
            <w:vAlign w:val="center"/>
          </w:tcPr>
          <w:p w14:paraId="7E7E48BF" w14:textId="77777777" w:rsidR="00BD0FD3" w:rsidRPr="008A26D2" w:rsidRDefault="00BD0FD3" w:rsidP="00086DE5">
            <w:pPr>
              <w:jc w:val="center"/>
              <w:rPr>
                <w:rFonts w:ascii="Arial" w:eastAsia="Arial Narrow" w:hAnsi="Arial" w:cs="Arial"/>
                <w:b/>
                <w:sz w:val="20"/>
                <w:szCs w:val="20"/>
              </w:rPr>
            </w:pPr>
            <w:r w:rsidRPr="008A26D2">
              <w:rPr>
                <w:rFonts w:ascii="Arial" w:eastAsia="Arial Narrow" w:hAnsi="Arial" w:cs="Arial"/>
                <w:b/>
                <w:sz w:val="20"/>
                <w:szCs w:val="20"/>
              </w:rPr>
              <w:t>2023</w:t>
            </w:r>
          </w:p>
        </w:tc>
        <w:tc>
          <w:tcPr>
            <w:tcW w:w="851" w:type="dxa"/>
            <w:gridSpan w:val="2"/>
            <w:shd w:val="clear" w:color="auto" w:fill="auto"/>
            <w:vAlign w:val="center"/>
          </w:tcPr>
          <w:p w14:paraId="4DB9BDB3" w14:textId="77777777" w:rsidR="00BD0FD3" w:rsidRPr="008A26D2" w:rsidRDefault="00BD0FD3" w:rsidP="00086DE5">
            <w:pPr>
              <w:jc w:val="center"/>
              <w:rPr>
                <w:rFonts w:ascii="Arial" w:eastAsia="Arial Narrow" w:hAnsi="Arial" w:cs="Arial"/>
                <w:b/>
                <w:sz w:val="20"/>
                <w:szCs w:val="20"/>
              </w:rPr>
            </w:pPr>
            <w:r w:rsidRPr="008A26D2">
              <w:rPr>
                <w:rFonts w:ascii="Arial" w:eastAsia="Arial Narrow" w:hAnsi="Arial" w:cs="Arial"/>
                <w:b/>
                <w:sz w:val="20"/>
                <w:szCs w:val="20"/>
              </w:rPr>
              <w:t>2024</w:t>
            </w:r>
          </w:p>
        </w:tc>
        <w:tc>
          <w:tcPr>
            <w:tcW w:w="992" w:type="dxa"/>
            <w:gridSpan w:val="2"/>
            <w:shd w:val="clear" w:color="auto" w:fill="auto"/>
            <w:vAlign w:val="center"/>
          </w:tcPr>
          <w:p w14:paraId="69AF4EAC" w14:textId="77777777" w:rsidR="00BD0FD3" w:rsidRPr="008A26D2" w:rsidRDefault="00BD0FD3" w:rsidP="00086DE5">
            <w:pPr>
              <w:jc w:val="center"/>
              <w:rPr>
                <w:rFonts w:ascii="Arial" w:eastAsia="Arial Narrow" w:hAnsi="Arial" w:cs="Arial"/>
                <w:b/>
                <w:sz w:val="20"/>
                <w:szCs w:val="20"/>
              </w:rPr>
            </w:pPr>
            <w:r w:rsidRPr="008A26D2">
              <w:rPr>
                <w:rFonts w:ascii="Arial" w:eastAsia="Arial Narrow" w:hAnsi="Arial" w:cs="Arial"/>
                <w:b/>
                <w:sz w:val="20"/>
                <w:szCs w:val="20"/>
              </w:rPr>
              <w:t>2025</w:t>
            </w:r>
          </w:p>
        </w:tc>
        <w:tc>
          <w:tcPr>
            <w:tcW w:w="992" w:type="dxa"/>
            <w:shd w:val="clear" w:color="auto" w:fill="auto"/>
            <w:vAlign w:val="center"/>
          </w:tcPr>
          <w:p w14:paraId="056A03BD" w14:textId="77777777" w:rsidR="00BD0FD3" w:rsidRPr="008A26D2" w:rsidRDefault="00BD0FD3" w:rsidP="00086DE5">
            <w:pPr>
              <w:jc w:val="center"/>
              <w:rPr>
                <w:rFonts w:ascii="Arial" w:eastAsia="Arial Narrow" w:hAnsi="Arial" w:cs="Arial"/>
                <w:b/>
                <w:sz w:val="20"/>
                <w:szCs w:val="20"/>
              </w:rPr>
            </w:pPr>
            <w:r w:rsidRPr="008A26D2">
              <w:rPr>
                <w:rFonts w:ascii="Arial" w:eastAsia="Arial Narrow" w:hAnsi="Arial" w:cs="Arial"/>
                <w:b/>
                <w:sz w:val="20"/>
                <w:szCs w:val="20"/>
              </w:rPr>
              <w:t>2026</w:t>
            </w:r>
          </w:p>
        </w:tc>
        <w:tc>
          <w:tcPr>
            <w:tcW w:w="709" w:type="dxa"/>
            <w:shd w:val="clear" w:color="auto" w:fill="auto"/>
            <w:vAlign w:val="center"/>
          </w:tcPr>
          <w:p w14:paraId="4F1E28AD" w14:textId="77777777" w:rsidR="00BD0FD3" w:rsidRPr="008A26D2" w:rsidRDefault="00BD0FD3" w:rsidP="00086DE5">
            <w:pPr>
              <w:jc w:val="center"/>
              <w:rPr>
                <w:rFonts w:ascii="Arial" w:eastAsia="Arial Narrow" w:hAnsi="Arial" w:cs="Arial"/>
                <w:b/>
                <w:sz w:val="20"/>
                <w:szCs w:val="20"/>
              </w:rPr>
            </w:pPr>
            <w:r w:rsidRPr="008A26D2">
              <w:rPr>
                <w:rFonts w:ascii="Arial" w:eastAsia="Arial Narrow" w:hAnsi="Arial" w:cs="Arial"/>
                <w:b/>
                <w:sz w:val="20"/>
                <w:szCs w:val="20"/>
              </w:rPr>
              <w:t>2027</w:t>
            </w:r>
          </w:p>
        </w:tc>
        <w:tc>
          <w:tcPr>
            <w:tcW w:w="851" w:type="dxa"/>
            <w:shd w:val="clear" w:color="auto" w:fill="auto"/>
            <w:vAlign w:val="center"/>
          </w:tcPr>
          <w:p w14:paraId="530B4578" w14:textId="77777777" w:rsidR="00BD0FD3" w:rsidRPr="008A26D2" w:rsidRDefault="00BD0FD3" w:rsidP="00086DE5">
            <w:pPr>
              <w:jc w:val="center"/>
              <w:rPr>
                <w:rFonts w:ascii="Arial" w:eastAsia="Arial Narrow" w:hAnsi="Arial" w:cs="Arial"/>
                <w:b/>
                <w:sz w:val="20"/>
                <w:szCs w:val="20"/>
              </w:rPr>
            </w:pPr>
            <w:r w:rsidRPr="008A26D2">
              <w:rPr>
                <w:rFonts w:ascii="Arial" w:eastAsia="Arial Narrow" w:hAnsi="Arial" w:cs="Arial"/>
                <w:b/>
                <w:sz w:val="20"/>
                <w:szCs w:val="20"/>
              </w:rPr>
              <w:t>2028</w:t>
            </w:r>
          </w:p>
        </w:tc>
        <w:tc>
          <w:tcPr>
            <w:tcW w:w="710" w:type="dxa"/>
            <w:shd w:val="clear" w:color="auto" w:fill="auto"/>
            <w:vAlign w:val="center"/>
          </w:tcPr>
          <w:p w14:paraId="7274F783" w14:textId="77777777" w:rsidR="00BD0FD3" w:rsidRPr="008A26D2" w:rsidRDefault="00BD0FD3" w:rsidP="00086DE5">
            <w:pPr>
              <w:jc w:val="center"/>
              <w:rPr>
                <w:rFonts w:ascii="Arial" w:eastAsia="Arial Narrow" w:hAnsi="Arial" w:cs="Arial"/>
                <w:b/>
                <w:sz w:val="20"/>
                <w:szCs w:val="20"/>
              </w:rPr>
            </w:pPr>
            <w:r w:rsidRPr="008A26D2">
              <w:rPr>
                <w:rFonts w:ascii="Arial" w:eastAsia="Arial Narrow" w:hAnsi="Arial" w:cs="Arial"/>
                <w:b/>
                <w:sz w:val="20"/>
                <w:szCs w:val="20"/>
              </w:rPr>
              <w:t>2029</w:t>
            </w:r>
          </w:p>
        </w:tc>
        <w:tc>
          <w:tcPr>
            <w:tcW w:w="993" w:type="dxa"/>
            <w:shd w:val="clear" w:color="auto" w:fill="auto"/>
            <w:tcMar>
              <w:top w:w="10" w:type="dxa"/>
              <w:left w:w="10" w:type="dxa"/>
              <w:bottom w:w="0" w:type="dxa"/>
              <w:right w:w="10" w:type="dxa"/>
            </w:tcMar>
            <w:vAlign w:val="center"/>
          </w:tcPr>
          <w:p w14:paraId="0C486483" w14:textId="77777777" w:rsidR="00BD0FD3" w:rsidRPr="008A26D2" w:rsidRDefault="00BD0FD3" w:rsidP="00086DE5">
            <w:pPr>
              <w:jc w:val="center"/>
              <w:rPr>
                <w:rFonts w:ascii="Arial" w:eastAsia="Arial Narrow" w:hAnsi="Arial" w:cs="Arial"/>
                <w:b/>
                <w:sz w:val="20"/>
                <w:szCs w:val="20"/>
              </w:rPr>
            </w:pPr>
            <w:r w:rsidRPr="008A26D2">
              <w:rPr>
                <w:rFonts w:ascii="Arial" w:eastAsia="Arial Narrow" w:hAnsi="Arial" w:cs="Arial"/>
                <w:b/>
                <w:sz w:val="20"/>
                <w:szCs w:val="20"/>
              </w:rPr>
              <w:t>2030</w:t>
            </w:r>
          </w:p>
        </w:tc>
      </w:tr>
      <w:tr w:rsidR="00BD0FD3" w:rsidRPr="008A26D2" w14:paraId="3122ACD4" w14:textId="77777777" w:rsidTr="00086DE5">
        <w:trPr>
          <w:trHeight w:val="81"/>
        </w:trPr>
        <w:tc>
          <w:tcPr>
            <w:tcW w:w="566" w:type="dxa"/>
            <w:shd w:val="clear" w:color="auto" w:fill="auto"/>
            <w:tcMar>
              <w:top w:w="10" w:type="dxa"/>
              <w:left w:w="10" w:type="dxa"/>
              <w:bottom w:w="0" w:type="dxa"/>
              <w:right w:w="10" w:type="dxa"/>
            </w:tcMar>
            <w:vAlign w:val="center"/>
          </w:tcPr>
          <w:p w14:paraId="77F6A1BD" w14:textId="77777777" w:rsidR="00BD0FD3" w:rsidRPr="008A26D2" w:rsidRDefault="00BD0FD3" w:rsidP="00086DE5">
            <w:pPr>
              <w:jc w:val="center"/>
              <w:rPr>
                <w:rFonts w:ascii="Arial" w:eastAsia="Arial Narrow" w:hAnsi="Arial" w:cs="Arial"/>
                <w:sz w:val="20"/>
                <w:szCs w:val="20"/>
              </w:rPr>
            </w:pPr>
            <w:r w:rsidRPr="008A26D2">
              <w:rPr>
                <w:rFonts w:ascii="Arial" w:eastAsia="Arial Narrow" w:hAnsi="Arial" w:cs="Arial"/>
                <w:b/>
                <w:sz w:val="20"/>
                <w:szCs w:val="20"/>
              </w:rPr>
              <w:t>Valor</w:t>
            </w:r>
          </w:p>
        </w:tc>
        <w:tc>
          <w:tcPr>
            <w:tcW w:w="866" w:type="dxa"/>
            <w:shd w:val="clear" w:color="auto" w:fill="auto"/>
            <w:tcMar>
              <w:top w:w="10" w:type="dxa"/>
              <w:left w:w="10" w:type="dxa"/>
              <w:bottom w:w="0" w:type="dxa"/>
              <w:right w:w="10" w:type="dxa"/>
            </w:tcMar>
            <w:vAlign w:val="center"/>
          </w:tcPr>
          <w:p w14:paraId="4BA7BC3B" w14:textId="33A1AFAA" w:rsidR="00BD0FD3" w:rsidRPr="008A26D2" w:rsidRDefault="00044215" w:rsidP="00086DE5">
            <w:pPr>
              <w:jc w:val="center"/>
              <w:rPr>
                <w:rFonts w:ascii="Arial" w:eastAsia="Arial Narrow" w:hAnsi="Arial" w:cs="Arial"/>
                <w:sz w:val="20"/>
                <w:szCs w:val="20"/>
              </w:rPr>
            </w:pPr>
            <w:r w:rsidRPr="008A26D2">
              <w:rPr>
                <w:rFonts w:ascii="Arial" w:eastAsia="Arial Narrow" w:hAnsi="Arial" w:cs="Arial"/>
                <w:sz w:val="20"/>
                <w:szCs w:val="20"/>
              </w:rPr>
              <w:t>50%</w:t>
            </w:r>
          </w:p>
        </w:tc>
        <w:tc>
          <w:tcPr>
            <w:tcW w:w="692" w:type="dxa"/>
            <w:shd w:val="clear" w:color="auto" w:fill="auto"/>
            <w:tcMar>
              <w:top w:w="10" w:type="dxa"/>
              <w:left w:w="10" w:type="dxa"/>
              <w:bottom w:w="0" w:type="dxa"/>
              <w:right w:w="10" w:type="dxa"/>
            </w:tcMar>
            <w:vAlign w:val="bottom"/>
          </w:tcPr>
          <w:p w14:paraId="7CED04E9" w14:textId="77777777" w:rsidR="00BD0FD3" w:rsidRPr="008A26D2" w:rsidRDefault="00BD0FD3" w:rsidP="00086DE5">
            <w:pPr>
              <w:jc w:val="center"/>
              <w:rPr>
                <w:rFonts w:ascii="Arial" w:eastAsia="Arial Narrow" w:hAnsi="Arial" w:cs="Arial"/>
                <w:sz w:val="20"/>
                <w:szCs w:val="20"/>
              </w:rPr>
            </w:pPr>
            <w:r w:rsidRPr="008A26D2">
              <w:rPr>
                <w:rFonts w:ascii="Arial" w:eastAsia="Arial Narrow" w:hAnsi="Arial" w:cs="Arial"/>
                <w:sz w:val="20"/>
                <w:szCs w:val="20"/>
              </w:rPr>
              <w:t>60%</w:t>
            </w:r>
          </w:p>
        </w:tc>
        <w:tc>
          <w:tcPr>
            <w:tcW w:w="851" w:type="dxa"/>
            <w:gridSpan w:val="2"/>
            <w:shd w:val="clear" w:color="auto" w:fill="auto"/>
            <w:vAlign w:val="bottom"/>
          </w:tcPr>
          <w:p w14:paraId="2BE26AE9" w14:textId="77777777" w:rsidR="00BD0FD3" w:rsidRPr="008A26D2" w:rsidRDefault="00BD0FD3" w:rsidP="00086DE5">
            <w:pPr>
              <w:jc w:val="center"/>
              <w:rPr>
                <w:rFonts w:ascii="Arial" w:eastAsia="Arial Narrow" w:hAnsi="Arial" w:cs="Arial"/>
                <w:sz w:val="20"/>
                <w:szCs w:val="20"/>
              </w:rPr>
            </w:pPr>
            <w:r w:rsidRPr="008A26D2">
              <w:rPr>
                <w:rFonts w:ascii="Arial" w:eastAsia="Arial Narrow" w:hAnsi="Arial" w:cs="Arial"/>
                <w:sz w:val="20"/>
                <w:szCs w:val="20"/>
              </w:rPr>
              <w:t>60%</w:t>
            </w:r>
          </w:p>
        </w:tc>
        <w:tc>
          <w:tcPr>
            <w:tcW w:w="992" w:type="dxa"/>
            <w:gridSpan w:val="2"/>
            <w:shd w:val="clear" w:color="auto" w:fill="auto"/>
            <w:vAlign w:val="bottom"/>
          </w:tcPr>
          <w:p w14:paraId="282C47AF" w14:textId="77777777" w:rsidR="00BD0FD3" w:rsidRPr="008A26D2" w:rsidRDefault="00BD0FD3" w:rsidP="00086DE5">
            <w:pPr>
              <w:jc w:val="center"/>
              <w:rPr>
                <w:rFonts w:ascii="Arial" w:eastAsia="Arial Narrow" w:hAnsi="Arial" w:cs="Arial"/>
                <w:sz w:val="20"/>
                <w:szCs w:val="20"/>
              </w:rPr>
            </w:pPr>
            <w:r w:rsidRPr="008A26D2">
              <w:rPr>
                <w:rFonts w:ascii="Arial" w:eastAsia="Arial Narrow" w:hAnsi="Arial" w:cs="Arial"/>
                <w:sz w:val="20"/>
                <w:szCs w:val="20"/>
              </w:rPr>
              <w:t>65%</w:t>
            </w:r>
          </w:p>
        </w:tc>
        <w:tc>
          <w:tcPr>
            <w:tcW w:w="992" w:type="dxa"/>
            <w:shd w:val="clear" w:color="auto" w:fill="auto"/>
            <w:vAlign w:val="bottom"/>
          </w:tcPr>
          <w:p w14:paraId="45C6D2A6" w14:textId="77777777" w:rsidR="00BD0FD3" w:rsidRPr="008A26D2" w:rsidRDefault="00BD0FD3" w:rsidP="00086DE5">
            <w:pPr>
              <w:jc w:val="center"/>
              <w:rPr>
                <w:rFonts w:ascii="Arial" w:eastAsia="Arial Narrow" w:hAnsi="Arial" w:cs="Arial"/>
                <w:sz w:val="20"/>
                <w:szCs w:val="20"/>
              </w:rPr>
            </w:pPr>
            <w:r w:rsidRPr="008A26D2">
              <w:rPr>
                <w:rFonts w:ascii="Arial" w:eastAsia="Arial Narrow" w:hAnsi="Arial" w:cs="Arial"/>
                <w:sz w:val="20"/>
                <w:szCs w:val="20"/>
              </w:rPr>
              <w:t>65%</w:t>
            </w:r>
          </w:p>
        </w:tc>
        <w:tc>
          <w:tcPr>
            <w:tcW w:w="709" w:type="dxa"/>
            <w:shd w:val="clear" w:color="auto" w:fill="auto"/>
            <w:vAlign w:val="bottom"/>
          </w:tcPr>
          <w:p w14:paraId="778C0E7B" w14:textId="77777777" w:rsidR="00BD0FD3" w:rsidRPr="008A26D2" w:rsidRDefault="00BD0FD3" w:rsidP="00086DE5">
            <w:pPr>
              <w:jc w:val="center"/>
              <w:rPr>
                <w:rFonts w:ascii="Arial" w:eastAsia="Arial Narrow" w:hAnsi="Arial" w:cs="Arial"/>
                <w:sz w:val="20"/>
                <w:szCs w:val="20"/>
              </w:rPr>
            </w:pPr>
            <w:r w:rsidRPr="008A26D2">
              <w:rPr>
                <w:rFonts w:ascii="Arial" w:eastAsia="Arial Narrow" w:hAnsi="Arial" w:cs="Arial"/>
                <w:sz w:val="20"/>
                <w:szCs w:val="20"/>
              </w:rPr>
              <w:t>70%</w:t>
            </w:r>
          </w:p>
        </w:tc>
        <w:tc>
          <w:tcPr>
            <w:tcW w:w="851" w:type="dxa"/>
            <w:shd w:val="clear" w:color="auto" w:fill="auto"/>
            <w:vAlign w:val="bottom"/>
          </w:tcPr>
          <w:p w14:paraId="53147F44" w14:textId="77777777" w:rsidR="00BD0FD3" w:rsidRPr="008A26D2" w:rsidRDefault="00BD0FD3" w:rsidP="00086DE5">
            <w:pPr>
              <w:jc w:val="center"/>
              <w:rPr>
                <w:rFonts w:ascii="Arial" w:eastAsia="Arial Narrow" w:hAnsi="Arial" w:cs="Arial"/>
                <w:sz w:val="20"/>
                <w:szCs w:val="20"/>
              </w:rPr>
            </w:pPr>
            <w:r w:rsidRPr="008A26D2">
              <w:rPr>
                <w:rFonts w:ascii="Arial" w:eastAsia="Arial Narrow" w:hAnsi="Arial" w:cs="Arial"/>
                <w:sz w:val="20"/>
                <w:szCs w:val="20"/>
              </w:rPr>
              <w:t>70%</w:t>
            </w:r>
          </w:p>
        </w:tc>
        <w:tc>
          <w:tcPr>
            <w:tcW w:w="710" w:type="dxa"/>
            <w:shd w:val="clear" w:color="auto" w:fill="auto"/>
            <w:vAlign w:val="bottom"/>
          </w:tcPr>
          <w:p w14:paraId="546333D6" w14:textId="77777777" w:rsidR="00BD0FD3" w:rsidRPr="008A26D2" w:rsidRDefault="00BD0FD3" w:rsidP="00086DE5">
            <w:pPr>
              <w:jc w:val="center"/>
              <w:rPr>
                <w:rFonts w:ascii="Arial" w:eastAsia="Arial Narrow" w:hAnsi="Arial" w:cs="Arial"/>
                <w:sz w:val="20"/>
                <w:szCs w:val="20"/>
              </w:rPr>
            </w:pPr>
            <w:r w:rsidRPr="008A26D2">
              <w:rPr>
                <w:rFonts w:ascii="Arial" w:eastAsia="Arial Narrow" w:hAnsi="Arial" w:cs="Arial"/>
                <w:sz w:val="20"/>
                <w:szCs w:val="20"/>
              </w:rPr>
              <w:t>75%</w:t>
            </w:r>
          </w:p>
        </w:tc>
        <w:tc>
          <w:tcPr>
            <w:tcW w:w="993" w:type="dxa"/>
            <w:shd w:val="clear" w:color="auto" w:fill="auto"/>
            <w:tcMar>
              <w:top w:w="10" w:type="dxa"/>
              <w:left w:w="10" w:type="dxa"/>
              <w:bottom w:w="0" w:type="dxa"/>
              <w:right w:w="10" w:type="dxa"/>
            </w:tcMar>
            <w:vAlign w:val="bottom"/>
          </w:tcPr>
          <w:p w14:paraId="7CC8744D" w14:textId="77777777" w:rsidR="00BD0FD3" w:rsidRPr="008A26D2" w:rsidRDefault="00BD0FD3" w:rsidP="00086DE5">
            <w:pPr>
              <w:jc w:val="center"/>
              <w:rPr>
                <w:rFonts w:ascii="Arial" w:eastAsia="Arial Narrow" w:hAnsi="Arial" w:cs="Arial"/>
                <w:sz w:val="20"/>
                <w:szCs w:val="20"/>
              </w:rPr>
            </w:pPr>
            <w:r w:rsidRPr="008A26D2">
              <w:rPr>
                <w:rFonts w:ascii="Arial" w:eastAsia="Arial Narrow" w:hAnsi="Arial" w:cs="Arial"/>
                <w:sz w:val="20"/>
                <w:szCs w:val="20"/>
              </w:rPr>
              <w:t>75%</w:t>
            </w:r>
          </w:p>
        </w:tc>
      </w:tr>
    </w:tbl>
    <w:p w14:paraId="1A4D086D" w14:textId="77777777" w:rsidR="00BD0FD3" w:rsidRPr="008A26D2" w:rsidRDefault="00BD0FD3" w:rsidP="00BD0FD3"/>
    <w:p w14:paraId="76F0C40C" w14:textId="41685A4B" w:rsidR="00A90E9C" w:rsidRPr="008A26D2" w:rsidRDefault="00A90E9C" w:rsidP="00A90E9C"/>
    <w:tbl>
      <w:tblPr>
        <w:tblW w:w="85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909"/>
        <w:gridCol w:w="83"/>
        <w:gridCol w:w="626"/>
        <w:gridCol w:w="896"/>
        <w:gridCol w:w="179"/>
        <w:gridCol w:w="829"/>
        <w:gridCol w:w="992"/>
        <w:gridCol w:w="425"/>
        <w:gridCol w:w="567"/>
        <w:gridCol w:w="731"/>
        <w:gridCol w:w="851"/>
        <w:gridCol w:w="708"/>
      </w:tblGrid>
      <w:tr w:rsidR="008A26D2" w:rsidRPr="008A26D2" w14:paraId="0366A04E" w14:textId="77777777" w:rsidTr="00ED41F3">
        <w:trPr>
          <w:trHeight w:val="251"/>
          <w:jc w:val="center"/>
        </w:trPr>
        <w:tc>
          <w:tcPr>
            <w:tcW w:w="8500" w:type="dxa"/>
            <w:gridSpan w:val="13"/>
            <w:shd w:val="clear" w:color="auto" w:fill="D9D9D9" w:themeFill="background1" w:themeFillShade="D9"/>
            <w:tcMar>
              <w:top w:w="10" w:type="dxa"/>
              <w:left w:w="10" w:type="dxa"/>
              <w:bottom w:w="0" w:type="dxa"/>
              <w:right w:w="10" w:type="dxa"/>
            </w:tcMar>
            <w:vAlign w:val="center"/>
          </w:tcPr>
          <w:p w14:paraId="734A45DA" w14:textId="0C42286D" w:rsidR="00A90E9C" w:rsidRPr="00847C7A" w:rsidRDefault="00A90E9C" w:rsidP="0072651A">
            <w:pPr>
              <w:jc w:val="center"/>
              <w:rPr>
                <w:rFonts w:ascii="Arial" w:hAnsi="Arial" w:cs="Arial"/>
                <w:sz w:val="20"/>
                <w:szCs w:val="20"/>
              </w:rPr>
            </w:pPr>
            <w:r w:rsidRPr="00847C7A">
              <w:rPr>
                <w:rFonts w:ascii="Arial" w:hAnsi="Arial" w:cs="Arial"/>
                <w:sz w:val="20"/>
                <w:szCs w:val="20"/>
              </w:rPr>
              <w:br w:type="page"/>
            </w:r>
            <w:r w:rsidRPr="00847C7A">
              <w:rPr>
                <w:rFonts w:ascii="Arial" w:hAnsi="Arial" w:cs="Arial"/>
                <w:b/>
                <w:sz w:val="20"/>
                <w:szCs w:val="20"/>
              </w:rPr>
              <w:t xml:space="preserve">FICHA TÉCNICA DE INDICADOR DE SERVICIO </w:t>
            </w:r>
            <w:r w:rsidRPr="009A1630">
              <w:rPr>
                <w:rFonts w:ascii="Arial" w:hAnsi="Arial" w:cs="Arial"/>
                <w:b/>
                <w:sz w:val="20"/>
                <w:szCs w:val="20"/>
              </w:rPr>
              <w:t>2.2.</w:t>
            </w:r>
            <w:r w:rsidR="002F0C3D" w:rsidRPr="00847C7A">
              <w:rPr>
                <w:rFonts w:ascii="Arial" w:hAnsi="Arial" w:cs="Arial"/>
                <w:b/>
                <w:sz w:val="20"/>
                <w:szCs w:val="20"/>
              </w:rPr>
              <w:t>2</w:t>
            </w:r>
          </w:p>
        </w:tc>
      </w:tr>
      <w:tr w:rsidR="008A26D2" w:rsidRPr="008A26D2" w14:paraId="65A71D8E" w14:textId="77777777" w:rsidTr="00ED41F3">
        <w:trPr>
          <w:trHeight w:val="409"/>
          <w:jc w:val="center"/>
        </w:trPr>
        <w:tc>
          <w:tcPr>
            <w:tcW w:w="1696" w:type="dxa"/>
            <w:gridSpan w:val="3"/>
            <w:shd w:val="clear" w:color="auto" w:fill="FFFFFF"/>
            <w:tcMar>
              <w:top w:w="10" w:type="dxa"/>
              <w:left w:w="93" w:type="dxa"/>
              <w:bottom w:w="0" w:type="dxa"/>
              <w:right w:w="10" w:type="dxa"/>
            </w:tcMar>
            <w:vAlign w:val="center"/>
          </w:tcPr>
          <w:p w14:paraId="1320773A" w14:textId="77777777" w:rsidR="00A90E9C" w:rsidRPr="008A26D2" w:rsidRDefault="00A90E9C" w:rsidP="0072651A">
            <w:pPr>
              <w:rPr>
                <w:rFonts w:ascii="Arial" w:hAnsi="Arial" w:cs="Arial"/>
                <w:sz w:val="20"/>
                <w:szCs w:val="20"/>
              </w:rPr>
            </w:pPr>
            <w:r w:rsidRPr="008A26D2">
              <w:rPr>
                <w:rFonts w:ascii="Arial" w:hAnsi="Arial" w:cs="Arial"/>
                <w:b/>
                <w:sz w:val="20"/>
                <w:szCs w:val="20"/>
              </w:rPr>
              <w:t>Objetivo prioritario:</w:t>
            </w:r>
          </w:p>
        </w:tc>
        <w:tc>
          <w:tcPr>
            <w:tcW w:w="6804" w:type="dxa"/>
            <w:gridSpan w:val="10"/>
            <w:shd w:val="clear" w:color="auto" w:fill="FFFFFF"/>
            <w:tcMar>
              <w:top w:w="51" w:type="dxa"/>
              <w:left w:w="227" w:type="dxa"/>
              <w:bottom w:w="51" w:type="dxa"/>
              <w:right w:w="227" w:type="dxa"/>
            </w:tcMar>
            <w:vAlign w:val="center"/>
          </w:tcPr>
          <w:p w14:paraId="5F8AA9F6" w14:textId="77777777" w:rsidR="00A90E9C" w:rsidRPr="00847C7A" w:rsidRDefault="00A90E9C" w:rsidP="0072651A">
            <w:pPr>
              <w:jc w:val="both"/>
              <w:rPr>
                <w:rFonts w:ascii="Arial" w:hAnsi="Arial" w:cs="Arial"/>
                <w:sz w:val="20"/>
                <w:szCs w:val="20"/>
              </w:rPr>
            </w:pPr>
            <w:r w:rsidRPr="00847C7A">
              <w:rPr>
                <w:rFonts w:ascii="Arial" w:hAnsi="Arial" w:cs="Arial"/>
                <w:sz w:val="20"/>
                <w:szCs w:val="20"/>
              </w:rPr>
              <w:t>OP2 Incrementar la productividad de los ecosistemas forestales, otros ecosistemas de vegetación silvestre y de la fauna silvestre</w:t>
            </w:r>
          </w:p>
        </w:tc>
      </w:tr>
      <w:tr w:rsidR="008A26D2" w:rsidRPr="008A26D2" w14:paraId="5786D449" w14:textId="77777777" w:rsidTr="00ED41F3">
        <w:trPr>
          <w:trHeight w:val="436"/>
          <w:jc w:val="center"/>
        </w:trPr>
        <w:tc>
          <w:tcPr>
            <w:tcW w:w="1696" w:type="dxa"/>
            <w:gridSpan w:val="3"/>
            <w:shd w:val="clear" w:color="auto" w:fill="auto"/>
            <w:tcMar>
              <w:top w:w="10" w:type="dxa"/>
              <w:left w:w="93" w:type="dxa"/>
              <w:bottom w:w="0" w:type="dxa"/>
              <w:right w:w="10" w:type="dxa"/>
            </w:tcMar>
            <w:vAlign w:val="center"/>
          </w:tcPr>
          <w:p w14:paraId="5725AC99" w14:textId="77777777" w:rsidR="00A90E9C" w:rsidRPr="008A26D2" w:rsidRDefault="00A90E9C" w:rsidP="0072651A">
            <w:pPr>
              <w:rPr>
                <w:rFonts w:ascii="Arial" w:hAnsi="Arial" w:cs="Arial"/>
                <w:sz w:val="20"/>
                <w:szCs w:val="20"/>
              </w:rPr>
            </w:pPr>
            <w:r w:rsidRPr="008A26D2">
              <w:rPr>
                <w:rFonts w:ascii="Arial" w:hAnsi="Arial" w:cs="Arial"/>
                <w:b/>
                <w:sz w:val="20"/>
                <w:szCs w:val="20"/>
              </w:rPr>
              <w:t>Lineamiento de la política:</w:t>
            </w:r>
          </w:p>
        </w:tc>
        <w:tc>
          <w:tcPr>
            <w:tcW w:w="6804" w:type="dxa"/>
            <w:gridSpan w:val="10"/>
            <w:shd w:val="clear" w:color="auto" w:fill="auto"/>
            <w:tcMar>
              <w:top w:w="51" w:type="dxa"/>
              <w:left w:w="227" w:type="dxa"/>
              <w:bottom w:w="51" w:type="dxa"/>
              <w:right w:w="227" w:type="dxa"/>
            </w:tcMar>
            <w:vAlign w:val="center"/>
          </w:tcPr>
          <w:p w14:paraId="5B5B4585" w14:textId="77777777" w:rsidR="00A90E9C" w:rsidRPr="00847C7A" w:rsidRDefault="00A90E9C" w:rsidP="0072651A">
            <w:pPr>
              <w:jc w:val="both"/>
              <w:rPr>
                <w:rFonts w:ascii="Arial" w:hAnsi="Arial" w:cs="Arial"/>
                <w:sz w:val="20"/>
                <w:szCs w:val="20"/>
              </w:rPr>
            </w:pPr>
            <w:r w:rsidRPr="00847C7A">
              <w:rPr>
                <w:rFonts w:ascii="Arial" w:hAnsi="Arial" w:cs="Arial"/>
                <w:sz w:val="20"/>
                <w:szCs w:val="20"/>
              </w:rPr>
              <w:t>L2.2 Incrementar el acceso a financiamiento e incentivos para el desarrollo de las actividades forestales y de fauna silvestre</w:t>
            </w:r>
          </w:p>
        </w:tc>
      </w:tr>
      <w:tr w:rsidR="008A26D2" w:rsidRPr="008A26D2" w14:paraId="6B0E5C33" w14:textId="77777777" w:rsidTr="00ED41F3">
        <w:trPr>
          <w:trHeight w:val="404"/>
          <w:jc w:val="center"/>
        </w:trPr>
        <w:tc>
          <w:tcPr>
            <w:tcW w:w="1696" w:type="dxa"/>
            <w:gridSpan w:val="3"/>
            <w:shd w:val="clear" w:color="auto" w:fill="auto"/>
            <w:tcMar>
              <w:top w:w="10" w:type="dxa"/>
              <w:left w:w="93" w:type="dxa"/>
              <w:bottom w:w="0" w:type="dxa"/>
              <w:right w:w="10" w:type="dxa"/>
            </w:tcMar>
            <w:vAlign w:val="center"/>
          </w:tcPr>
          <w:p w14:paraId="6A8ACD9B" w14:textId="77777777" w:rsidR="00A90E9C" w:rsidRPr="008A26D2" w:rsidRDefault="00A90E9C" w:rsidP="0072651A">
            <w:pPr>
              <w:rPr>
                <w:rFonts w:ascii="Arial" w:hAnsi="Arial" w:cs="Arial"/>
                <w:sz w:val="20"/>
                <w:szCs w:val="20"/>
              </w:rPr>
            </w:pPr>
            <w:r w:rsidRPr="008A26D2">
              <w:rPr>
                <w:rFonts w:ascii="Arial" w:hAnsi="Arial" w:cs="Arial"/>
                <w:b/>
                <w:sz w:val="20"/>
                <w:szCs w:val="20"/>
              </w:rPr>
              <w:t>Nombre del servicio:</w:t>
            </w:r>
          </w:p>
        </w:tc>
        <w:tc>
          <w:tcPr>
            <w:tcW w:w="6804" w:type="dxa"/>
            <w:gridSpan w:val="10"/>
            <w:shd w:val="clear" w:color="auto" w:fill="auto"/>
            <w:tcMar>
              <w:top w:w="51" w:type="dxa"/>
              <w:left w:w="227" w:type="dxa"/>
              <w:bottom w:w="51" w:type="dxa"/>
              <w:right w:w="227" w:type="dxa"/>
            </w:tcMar>
            <w:vAlign w:val="center"/>
          </w:tcPr>
          <w:p w14:paraId="69FEB262" w14:textId="589741EE" w:rsidR="00041FB9" w:rsidRPr="00847C7A" w:rsidRDefault="00A90E9C" w:rsidP="004941CB">
            <w:pPr>
              <w:jc w:val="both"/>
              <w:rPr>
                <w:rFonts w:ascii="Arial" w:hAnsi="Arial" w:cs="Arial"/>
                <w:sz w:val="20"/>
                <w:szCs w:val="20"/>
              </w:rPr>
            </w:pPr>
            <w:r w:rsidRPr="009A1630">
              <w:rPr>
                <w:rFonts w:ascii="Arial" w:eastAsia="Arial Narrow" w:hAnsi="Arial" w:cs="Arial"/>
                <w:sz w:val="20"/>
                <w:szCs w:val="20"/>
              </w:rPr>
              <w:t>S2.2.</w:t>
            </w:r>
            <w:r w:rsidR="002F0C3D" w:rsidRPr="00847C7A">
              <w:rPr>
                <w:rFonts w:ascii="Arial" w:eastAsia="Arial Narrow" w:hAnsi="Arial" w:cs="Arial"/>
                <w:sz w:val="20"/>
                <w:szCs w:val="20"/>
              </w:rPr>
              <w:t>2</w:t>
            </w:r>
            <w:r w:rsidRPr="00847C7A">
              <w:rPr>
                <w:rFonts w:ascii="Arial" w:eastAsia="Arial Narrow" w:hAnsi="Arial" w:cs="Arial"/>
                <w:sz w:val="20"/>
                <w:szCs w:val="20"/>
              </w:rPr>
              <w:t xml:space="preserve"> </w:t>
            </w:r>
            <w:r w:rsidR="004941CB" w:rsidRPr="00847C7A">
              <w:rPr>
                <w:rFonts w:ascii="Arial" w:eastAsia="Arial Narrow" w:hAnsi="Arial" w:cs="Arial"/>
                <w:sz w:val="20"/>
                <w:szCs w:val="20"/>
              </w:rPr>
              <w:t>Atención de solicitudes de cartas de no objeción a los programas que contribuyan a la mitigación y adaptación al cambio climático para las actividades forestales y de fauna silvestre, de forma oportuna, de entidades acreditadas ante el Fondo Verde para el Clima</w:t>
            </w:r>
          </w:p>
        </w:tc>
      </w:tr>
      <w:tr w:rsidR="008A26D2" w:rsidRPr="008A26D2" w14:paraId="39F7B2DB" w14:textId="77777777" w:rsidTr="00ED41F3">
        <w:trPr>
          <w:trHeight w:val="577"/>
          <w:jc w:val="center"/>
        </w:trPr>
        <w:tc>
          <w:tcPr>
            <w:tcW w:w="1696" w:type="dxa"/>
            <w:gridSpan w:val="3"/>
            <w:shd w:val="clear" w:color="auto" w:fill="auto"/>
            <w:tcMar>
              <w:top w:w="10" w:type="dxa"/>
              <w:left w:w="93" w:type="dxa"/>
              <w:bottom w:w="0" w:type="dxa"/>
              <w:right w:w="10" w:type="dxa"/>
            </w:tcMar>
            <w:vAlign w:val="center"/>
          </w:tcPr>
          <w:p w14:paraId="20F4015F" w14:textId="77777777" w:rsidR="00A90E9C" w:rsidRPr="008A26D2" w:rsidRDefault="00A90E9C" w:rsidP="0072651A">
            <w:pPr>
              <w:rPr>
                <w:rFonts w:ascii="Arial" w:hAnsi="Arial" w:cs="Arial"/>
                <w:sz w:val="20"/>
                <w:szCs w:val="20"/>
              </w:rPr>
            </w:pPr>
            <w:r w:rsidRPr="008A26D2">
              <w:rPr>
                <w:rFonts w:ascii="Arial" w:hAnsi="Arial" w:cs="Arial"/>
                <w:b/>
                <w:sz w:val="20"/>
                <w:szCs w:val="20"/>
              </w:rPr>
              <w:t>Nombre del indicador:</w:t>
            </w:r>
          </w:p>
        </w:tc>
        <w:tc>
          <w:tcPr>
            <w:tcW w:w="6804" w:type="dxa"/>
            <w:gridSpan w:val="10"/>
            <w:shd w:val="clear" w:color="auto" w:fill="auto"/>
            <w:tcMar>
              <w:top w:w="51" w:type="dxa"/>
              <w:left w:w="227" w:type="dxa"/>
              <w:bottom w:w="51" w:type="dxa"/>
              <w:right w:w="227" w:type="dxa"/>
            </w:tcMar>
            <w:vAlign w:val="center"/>
          </w:tcPr>
          <w:p w14:paraId="4BE56244" w14:textId="77777777" w:rsidR="00A90E9C" w:rsidRPr="008A26D2" w:rsidRDefault="00A90E9C" w:rsidP="0072651A">
            <w:pPr>
              <w:jc w:val="both"/>
              <w:rPr>
                <w:rFonts w:ascii="Arial" w:eastAsia="Arial Narrow" w:hAnsi="Arial" w:cs="Arial"/>
                <w:sz w:val="20"/>
                <w:szCs w:val="20"/>
              </w:rPr>
            </w:pPr>
            <w:r w:rsidRPr="008A26D2">
              <w:rPr>
                <w:rFonts w:ascii="Arial" w:hAnsi="Arial" w:cs="Arial"/>
                <w:sz w:val="20"/>
                <w:szCs w:val="20"/>
              </w:rPr>
              <w:t xml:space="preserve">Porcentaje de solicitudes de </w:t>
            </w:r>
            <w:r w:rsidRPr="008A26D2">
              <w:rPr>
                <w:rFonts w:ascii="Arial" w:eastAsia="Arial Narrow" w:hAnsi="Arial" w:cs="Arial"/>
                <w:sz w:val="20"/>
                <w:szCs w:val="20"/>
              </w:rPr>
              <w:t xml:space="preserve">cartas de </w:t>
            </w:r>
            <w:r w:rsidRPr="008A26D2">
              <w:rPr>
                <w:rFonts w:ascii="Arial" w:hAnsi="Arial" w:cs="Arial"/>
                <w:sz w:val="20"/>
                <w:szCs w:val="20"/>
              </w:rPr>
              <w:t>no objeción a proyectos resueltas de forma oportuna</w:t>
            </w:r>
          </w:p>
        </w:tc>
      </w:tr>
      <w:tr w:rsidR="008A26D2" w:rsidRPr="008A26D2" w14:paraId="0910E10C" w14:textId="77777777" w:rsidTr="00ED41F3">
        <w:trPr>
          <w:trHeight w:val="577"/>
          <w:jc w:val="center"/>
        </w:trPr>
        <w:tc>
          <w:tcPr>
            <w:tcW w:w="1696" w:type="dxa"/>
            <w:gridSpan w:val="3"/>
            <w:shd w:val="clear" w:color="auto" w:fill="auto"/>
            <w:tcMar>
              <w:top w:w="10" w:type="dxa"/>
              <w:left w:w="93" w:type="dxa"/>
              <w:bottom w:w="0" w:type="dxa"/>
              <w:right w:w="10" w:type="dxa"/>
            </w:tcMar>
            <w:vAlign w:val="center"/>
          </w:tcPr>
          <w:p w14:paraId="6E954177" w14:textId="77777777" w:rsidR="00A90E9C" w:rsidRPr="008A26D2" w:rsidRDefault="00A90E9C" w:rsidP="0072651A">
            <w:pPr>
              <w:rPr>
                <w:rFonts w:ascii="Arial" w:hAnsi="Arial" w:cs="Arial"/>
                <w:sz w:val="20"/>
                <w:szCs w:val="20"/>
              </w:rPr>
            </w:pPr>
            <w:r w:rsidRPr="008A26D2">
              <w:rPr>
                <w:rFonts w:ascii="Arial" w:hAnsi="Arial" w:cs="Arial"/>
                <w:b/>
                <w:sz w:val="20"/>
                <w:szCs w:val="20"/>
              </w:rPr>
              <w:t>Justificación:</w:t>
            </w:r>
          </w:p>
        </w:tc>
        <w:tc>
          <w:tcPr>
            <w:tcW w:w="6804" w:type="dxa"/>
            <w:gridSpan w:val="10"/>
            <w:shd w:val="clear" w:color="auto" w:fill="auto"/>
            <w:tcMar>
              <w:top w:w="51" w:type="dxa"/>
              <w:left w:w="227" w:type="dxa"/>
              <w:bottom w:w="51" w:type="dxa"/>
              <w:right w:w="227" w:type="dxa"/>
            </w:tcMar>
            <w:vAlign w:val="center"/>
          </w:tcPr>
          <w:p w14:paraId="6EFD5E20" w14:textId="306BF6C0" w:rsidR="00A90E9C" w:rsidRPr="008A26D2" w:rsidRDefault="00ED41F3" w:rsidP="0072651A">
            <w:pPr>
              <w:jc w:val="both"/>
              <w:rPr>
                <w:rFonts w:ascii="Arial" w:eastAsia="Arial Narrow" w:hAnsi="Arial" w:cs="Arial"/>
                <w:sz w:val="20"/>
                <w:szCs w:val="20"/>
              </w:rPr>
            </w:pPr>
            <w:r w:rsidRPr="008A26D2">
              <w:rPr>
                <w:rFonts w:ascii="Arial" w:eastAsia="Arial Narrow" w:hAnsi="Arial" w:cs="Arial"/>
                <w:sz w:val="20"/>
                <w:szCs w:val="20"/>
              </w:rPr>
              <w:t>El indicador</w:t>
            </w:r>
            <w:r w:rsidR="00A90E9C" w:rsidRPr="008A26D2">
              <w:rPr>
                <w:rFonts w:ascii="Arial" w:eastAsia="Arial Narrow" w:hAnsi="Arial" w:cs="Arial"/>
                <w:sz w:val="20"/>
                <w:szCs w:val="20"/>
              </w:rPr>
              <w:t xml:space="preserve"> permite llevar un control de gestión, pues permite monitorear que el total de procedimientos recibidos se esté evaluando oportunamente. </w:t>
            </w:r>
          </w:p>
        </w:tc>
      </w:tr>
      <w:tr w:rsidR="008A26D2" w:rsidRPr="008A26D2" w14:paraId="0DABD137" w14:textId="77777777" w:rsidTr="00ED41F3">
        <w:trPr>
          <w:trHeight w:val="352"/>
          <w:jc w:val="center"/>
        </w:trPr>
        <w:tc>
          <w:tcPr>
            <w:tcW w:w="1696" w:type="dxa"/>
            <w:gridSpan w:val="3"/>
            <w:shd w:val="clear" w:color="auto" w:fill="auto"/>
            <w:tcMar>
              <w:top w:w="10" w:type="dxa"/>
              <w:left w:w="93" w:type="dxa"/>
              <w:bottom w:w="0" w:type="dxa"/>
              <w:right w:w="10" w:type="dxa"/>
            </w:tcMar>
            <w:vAlign w:val="center"/>
          </w:tcPr>
          <w:p w14:paraId="679640BB" w14:textId="77777777" w:rsidR="00A90E9C" w:rsidRPr="008A26D2" w:rsidRDefault="00A90E9C" w:rsidP="0072651A">
            <w:pPr>
              <w:rPr>
                <w:rFonts w:ascii="Arial" w:hAnsi="Arial" w:cs="Arial"/>
                <w:sz w:val="20"/>
                <w:szCs w:val="20"/>
              </w:rPr>
            </w:pPr>
            <w:r w:rsidRPr="008A26D2">
              <w:rPr>
                <w:rFonts w:ascii="Arial" w:hAnsi="Arial" w:cs="Arial"/>
                <w:b/>
                <w:sz w:val="20"/>
                <w:szCs w:val="20"/>
              </w:rPr>
              <w:t>Responsable del indicador:</w:t>
            </w:r>
          </w:p>
        </w:tc>
        <w:tc>
          <w:tcPr>
            <w:tcW w:w="6804" w:type="dxa"/>
            <w:gridSpan w:val="10"/>
            <w:shd w:val="clear" w:color="auto" w:fill="auto"/>
            <w:tcMar>
              <w:top w:w="51" w:type="dxa"/>
              <w:left w:w="227" w:type="dxa"/>
              <w:bottom w:w="51" w:type="dxa"/>
              <w:right w:w="227" w:type="dxa"/>
            </w:tcMar>
            <w:vAlign w:val="center"/>
          </w:tcPr>
          <w:p w14:paraId="0A3E28B1" w14:textId="53918001" w:rsidR="00A90E9C" w:rsidRPr="008A26D2" w:rsidRDefault="00A90E9C" w:rsidP="0072651A">
            <w:pPr>
              <w:jc w:val="both"/>
              <w:rPr>
                <w:rFonts w:ascii="Arial" w:eastAsia="Arial Narrow" w:hAnsi="Arial" w:cs="Arial"/>
                <w:sz w:val="20"/>
                <w:szCs w:val="20"/>
              </w:rPr>
            </w:pPr>
            <w:r w:rsidRPr="008A26D2">
              <w:rPr>
                <w:rFonts w:ascii="Arial" w:eastAsia="Arial Narrow" w:hAnsi="Arial" w:cs="Arial"/>
                <w:sz w:val="20"/>
                <w:szCs w:val="20"/>
              </w:rPr>
              <w:t xml:space="preserve">Dirección General de Asuntos de Economía Internacional, Competencia y Productividad del Ministerio de Economía y Finanzas </w:t>
            </w:r>
            <w:r w:rsidR="00147D2E" w:rsidRPr="008A26D2">
              <w:rPr>
                <w:rFonts w:ascii="Arial" w:eastAsia="Arial Narrow" w:hAnsi="Arial" w:cs="Arial"/>
                <w:sz w:val="20"/>
                <w:szCs w:val="20"/>
              </w:rPr>
              <w:t>–</w:t>
            </w:r>
            <w:r w:rsidRPr="008A26D2">
              <w:rPr>
                <w:rFonts w:ascii="Arial" w:eastAsia="Arial Narrow" w:hAnsi="Arial" w:cs="Arial"/>
                <w:sz w:val="20"/>
                <w:szCs w:val="20"/>
              </w:rPr>
              <w:t xml:space="preserve"> MEF</w:t>
            </w:r>
          </w:p>
        </w:tc>
      </w:tr>
      <w:tr w:rsidR="008A26D2" w:rsidRPr="008A26D2" w14:paraId="7E51E12C" w14:textId="77777777" w:rsidTr="00ED41F3">
        <w:trPr>
          <w:trHeight w:val="1072"/>
          <w:jc w:val="center"/>
        </w:trPr>
        <w:tc>
          <w:tcPr>
            <w:tcW w:w="1696" w:type="dxa"/>
            <w:gridSpan w:val="3"/>
            <w:shd w:val="clear" w:color="auto" w:fill="auto"/>
            <w:tcMar>
              <w:top w:w="10" w:type="dxa"/>
              <w:left w:w="93" w:type="dxa"/>
              <w:bottom w:w="0" w:type="dxa"/>
              <w:right w:w="10" w:type="dxa"/>
            </w:tcMar>
            <w:vAlign w:val="center"/>
          </w:tcPr>
          <w:p w14:paraId="1385E654" w14:textId="77777777" w:rsidR="00A90E9C" w:rsidRPr="008A26D2" w:rsidRDefault="00A90E9C" w:rsidP="0072651A">
            <w:pPr>
              <w:rPr>
                <w:rFonts w:ascii="Arial" w:hAnsi="Arial" w:cs="Arial"/>
                <w:sz w:val="20"/>
                <w:szCs w:val="20"/>
              </w:rPr>
            </w:pPr>
            <w:r w:rsidRPr="008A26D2">
              <w:rPr>
                <w:rFonts w:ascii="Arial" w:hAnsi="Arial" w:cs="Arial"/>
                <w:b/>
                <w:sz w:val="20"/>
                <w:szCs w:val="20"/>
              </w:rPr>
              <w:t>Limitaciones para la medición del indicador:</w:t>
            </w:r>
          </w:p>
        </w:tc>
        <w:tc>
          <w:tcPr>
            <w:tcW w:w="6804" w:type="dxa"/>
            <w:gridSpan w:val="10"/>
            <w:shd w:val="clear" w:color="auto" w:fill="auto"/>
            <w:tcMar>
              <w:top w:w="51" w:type="dxa"/>
              <w:left w:w="227" w:type="dxa"/>
              <w:bottom w:w="51" w:type="dxa"/>
              <w:right w:w="227" w:type="dxa"/>
            </w:tcMar>
            <w:vAlign w:val="center"/>
          </w:tcPr>
          <w:p w14:paraId="12E1D299" w14:textId="77777777" w:rsidR="00A90E9C" w:rsidRPr="008A26D2" w:rsidRDefault="00A90E9C" w:rsidP="0072651A">
            <w:pPr>
              <w:jc w:val="both"/>
              <w:rPr>
                <w:rFonts w:ascii="Arial" w:hAnsi="Arial" w:cs="Arial"/>
                <w:sz w:val="20"/>
                <w:szCs w:val="20"/>
              </w:rPr>
            </w:pPr>
            <w:r w:rsidRPr="008A26D2">
              <w:rPr>
                <w:rFonts w:ascii="Arial" w:hAnsi="Arial" w:cs="Arial"/>
                <w:sz w:val="20"/>
                <w:szCs w:val="20"/>
              </w:rPr>
              <w:t xml:space="preserve">• No permite conocer de primera mano la cantidad de procesos evaluados oportunamente, así como la cantidad total de procedimientos recibidos en cada periodo. </w:t>
            </w:r>
          </w:p>
          <w:p w14:paraId="7C590641" w14:textId="77777777" w:rsidR="00A90E9C" w:rsidRPr="008A26D2" w:rsidRDefault="00A90E9C" w:rsidP="0072651A">
            <w:pPr>
              <w:jc w:val="both"/>
              <w:rPr>
                <w:rFonts w:ascii="Arial" w:hAnsi="Arial" w:cs="Arial"/>
                <w:sz w:val="20"/>
                <w:szCs w:val="20"/>
              </w:rPr>
            </w:pPr>
            <w:r w:rsidRPr="008A26D2">
              <w:rPr>
                <w:rFonts w:ascii="Arial" w:hAnsi="Arial" w:cs="Arial"/>
                <w:sz w:val="20"/>
                <w:szCs w:val="20"/>
              </w:rPr>
              <w:t>• El indicador no es altamente informativo para un escenario de reducida cantidad de procedimientos recibidos durante el ejercicio anual, pues la oportunidad de atención de un (1) procedimiento puede afectar (positiva o negativamente) al indicador de forma significativa (por ejemplo, si de 2 procedimientos no se atendió 1 oportunamente por razones extraordinarias / específicas que impidieron la atención a tiempo de ese caso en particular, el indicador se reducirá en 50%).</w:t>
            </w:r>
          </w:p>
        </w:tc>
      </w:tr>
      <w:tr w:rsidR="008A26D2" w:rsidRPr="008A26D2" w14:paraId="652B7429" w14:textId="77777777" w:rsidTr="00ED41F3">
        <w:trPr>
          <w:trHeight w:val="231"/>
          <w:jc w:val="center"/>
        </w:trPr>
        <w:tc>
          <w:tcPr>
            <w:tcW w:w="1696" w:type="dxa"/>
            <w:gridSpan w:val="3"/>
            <w:shd w:val="clear" w:color="auto" w:fill="auto"/>
            <w:tcMar>
              <w:top w:w="10" w:type="dxa"/>
              <w:left w:w="93" w:type="dxa"/>
              <w:bottom w:w="0" w:type="dxa"/>
              <w:right w:w="10" w:type="dxa"/>
            </w:tcMar>
            <w:vAlign w:val="center"/>
          </w:tcPr>
          <w:p w14:paraId="2638550A" w14:textId="77777777" w:rsidR="00A90E9C" w:rsidRPr="008A26D2" w:rsidRDefault="00A90E9C" w:rsidP="0072651A">
            <w:pPr>
              <w:rPr>
                <w:rFonts w:ascii="Arial" w:hAnsi="Arial" w:cs="Arial"/>
                <w:sz w:val="20"/>
                <w:szCs w:val="20"/>
              </w:rPr>
            </w:pPr>
            <w:r w:rsidRPr="008A26D2">
              <w:rPr>
                <w:rFonts w:ascii="Arial" w:hAnsi="Arial" w:cs="Arial"/>
                <w:b/>
                <w:sz w:val="20"/>
                <w:szCs w:val="20"/>
              </w:rPr>
              <w:t xml:space="preserve">Método de cálculo: </w:t>
            </w:r>
          </w:p>
        </w:tc>
        <w:tc>
          <w:tcPr>
            <w:tcW w:w="6804" w:type="dxa"/>
            <w:gridSpan w:val="10"/>
            <w:shd w:val="clear" w:color="auto" w:fill="auto"/>
            <w:tcMar>
              <w:top w:w="51" w:type="dxa"/>
              <w:left w:w="227" w:type="dxa"/>
              <w:bottom w:w="51" w:type="dxa"/>
              <w:right w:w="227" w:type="dxa"/>
            </w:tcMar>
            <w:vAlign w:val="center"/>
          </w:tcPr>
          <w:p w14:paraId="5A232471" w14:textId="0FE87D6F" w:rsidR="00A90E9C" w:rsidRPr="00846D49" w:rsidRDefault="00A90E9C" w:rsidP="003C58DC">
            <w:pPr>
              <w:pStyle w:val="Prrafodelista"/>
              <w:numPr>
                <w:ilvl w:val="0"/>
                <w:numId w:val="19"/>
              </w:numPr>
              <w:ind w:left="200" w:hanging="200"/>
              <w:rPr>
                <w:rFonts w:ascii="Arial" w:eastAsia="Arial Narrow" w:hAnsi="Arial" w:cs="Arial"/>
                <w:b/>
                <w:sz w:val="20"/>
                <w:szCs w:val="20"/>
              </w:rPr>
            </w:pPr>
            <w:r w:rsidRPr="00846D49">
              <w:rPr>
                <w:rFonts w:ascii="Arial" w:eastAsia="Arial Narrow" w:hAnsi="Arial" w:cs="Arial"/>
                <w:b/>
                <w:sz w:val="20"/>
                <w:szCs w:val="20"/>
              </w:rPr>
              <w:t>Fórmula:</w:t>
            </w:r>
          </w:p>
          <w:p w14:paraId="1139EBA7" w14:textId="69EB0AC7" w:rsidR="00A90E9C" w:rsidRPr="00846D49" w:rsidRDefault="00ED41F3" w:rsidP="0072651A">
            <w:pPr>
              <w:rPr>
                <w:rFonts w:ascii="Arial" w:eastAsia="Arial Narrow" w:hAnsi="Arial" w:cs="Arial"/>
                <w:sz w:val="20"/>
                <w:szCs w:val="20"/>
              </w:rPr>
            </w:pPr>
            <w:r w:rsidRPr="00846D49">
              <w:rPr>
                <w:rFonts w:ascii="Arial" w:eastAsia="Arial Narrow" w:hAnsi="Arial" w:cs="Arial"/>
                <w:sz w:val="20"/>
                <w:szCs w:val="20"/>
              </w:rPr>
              <w:t>(</w:t>
            </w:r>
            <w:r w:rsidR="00A90E9C" w:rsidRPr="00846D49">
              <w:rPr>
                <w:rFonts w:ascii="Arial" w:eastAsia="Arial Narrow" w:hAnsi="Arial" w:cs="Arial"/>
                <w:sz w:val="20"/>
                <w:szCs w:val="20"/>
              </w:rPr>
              <w:t>A/B</w:t>
            </w:r>
            <w:r w:rsidRPr="00846D49">
              <w:rPr>
                <w:rFonts w:ascii="Arial" w:eastAsia="Arial Narrow" w:hAnsi="Arial" w:cs="Arial"/>
                <w:sz w:val="20"/>
                <w:szCs w:val="20"/>
              </w:rPr>
              <w:t>)</w:t>
            </w:r>
            <w:r w:rsidR="00A90E9C" w:rsidRPr="00846D49">
              <w:rPr>
                <w:rFonts w:ascii="Arial" w:eastAsia="Arial Narrow" w:hAnsi="Arial" w:cs="Arial"/>
                <w:sz w:val="20"/>
                <w:szCs w:val="20"/>
              </w:rPr>
              <w:t xml:space="preserve">*100     </w:t>
            </w:r>
          </w:p>
          <w:p w14:paraId="76122F05" w14:textId="77777777" w:rsidR="00A90E9C" w:rsidRPr="00846D49" w:rsidRDefault="00A90E9C" w:rsidP="0072651A">
            <w:pPr>
              <w:rPr>
                <w:rFonts w:ascii="Arial" w:eastAsia="Arial Narrow" w:hAnsi="Arial" w:cs="Arial"/>
                <w:sz w:val="20"/>
                <w:szCs w:val="20"/>
              </w:rPr>
            </w:pPr>
            <w:r w:rsidRPr="00846D49">
              <w:rPr>
                <w:rFonts w:ascii="Arial" w:eastAsia="Arial Narrow" w:hAnsi="Arial" w:cs="Arial"/>
                <w:sz w:val="20"/>
                <w:szCs w:val="20"/>
              </w:rPr>
              <w:t>Donde</w:t>
            </w:r>
          </w:p>
          <w:p w14:paraId="32A2CC5A" w14:textId="675BFF76" w:rsidR="00A90E9C" w:rsidRPr="00846D49" w:rsidRDefault="00A90E9C" w:rsidP="00ED41F3">
            <w:pPr>
              <w:ind w:left="340" w:hanging="340"/>
              <w:rPr>
                <w:rFonts w:ascii="Arial" w:eastAsia="Arial Narrow" w:hAnsi="Arial" w:cs="Arial"/>
                <w:sz w:val="20"/>
                <w:szCs w:val="20"/>
              </w:rPr>
            </w:pPr>
            <w:r w:rsidRPr="00846D49">
              <w:rPr>
                <w:rFonts w:ascii="Arial" w:eastAsia="Arial Narrow" w:hAnsi="Arial" w:cs="Arial"/>
                <w:sz w:val="20"/>
                <w:szCs w:val="20"/>
              </w:rPr>
              <w:t xml:space="preserve">A= </w:t>
            </w:r>
            <w:r w:rsidRPr="00846D49">
              <w:rPr>
                <w:rFonts w:ascii="Arial" w:hAnsi="Arial" w:cs="Arial"/>
                <w:sz w:val="20"/>
                <w:szCs w:val="20"/>
              </w:rPr>
              <w:t xml:space="preserve">Número de solicitudes de </w:t>
            </w:r>
            <w:r w:rsidRPr="00846D49">
              <w:rPr>
                <w:rFonts w:ascii="Arial" w:eastAsia="Arial Narrow" w:hAnsi="Arial" w:cs="Arial"/>
                <w:sz w:val="20"/>
                <w:szCs w:val="20"/>
              </w:rPr>
              <w:t xml:space="preserve">cartas de </w:t>
            </w:r>
            <w:r w:rsidRPr="00846D49">
              <w:rPr>
                <w:rFonts w:ascii="Arial" w:hAnsi="Arial" w:cs="Arial"/>
                <w:sz w:val="20"/>
                <w:szCs w:val="20"/>
              </w:rPr>
              <w:t xml:space="preserve">no objeción a proyectos </w:t>
            </w:r>
            <w:r w:rsidR="00E67F2F" w:rsidRPr="00846D49">
              <w:rPr>
                <w:rFonts w:ascii="Arial" w:hAnsi="Arial" w:cs="Arial"/>
                <w:sz w:val="20"/>
                <w:szCs w:val="20"/>
              </w:rPr>
              <w:t xml:space="preserve">en materia forestal y de fauna silvestre </w:t>
            </w:r>
            <w:r w:rsidRPr="00846D49">
              <w:rPr>
                <w:rFonts w:ascii="Arial" w:hAnsi="Arial" w:cs="Arial"/>
                <w:sz w:val="20"/>
                <w:szCs w:val="20"/>
              </w:rPr>
              <w:t>resueltas de forma oportuna</w:t>
            </w:r>
          </w:p>
          <w:p w14:paraId="2A866426" w14:textId="469FA3F9" w:rsidR="00A90E9C" w:rsidRPr="00846D49" w:rsidRDefault="00A90E9C" w:rsidP="00ED41F3">
            <w:pPr>
              <w:ind w:left="340" w:hanging="340"/>
              <w:rPr>
                <w:rFonts w:ascii="Arial" w:eastAsia="Arial Narrow" w:hAnsi="Arial" w:cs="Arial"/>
                <w:sz w:val="20"/>
                <w:szCs w:val="20"/>
              </w:rPr>
            </w:pPr>
            <w:r w:rsidRPr="00846D49">
              <w:rPr>
                <w:rFonts w:ascii="Arial" w:eastAsia="Arial Narrow" w:hAnsi="Arial" w:cs="Arial"/>
                <w:sz w:val="20"/>
                <w:szCs w:val="20"/>
              </w:rPr>
              <w:lastRenderedPageBreak/>
              <w:t xml:space="preserve">B= Total de solicitudes de cartas de </w:t>
            </w:r>
            <w:r w:rsidRPr="00846D49">
              <w:rPr>
                <w:rFonts w:ascii="Arial" w:hAnsi="Arial" w:cs="Arial"/>
                <w:sz w:val="20"/>
                <w:szCs w:val="20"/>
              </w:rPr>
              <w:t xml:space="preserve">no objeción a proyectos </w:t>
            </w:r>
            <w:r w:rsidR="00E67F2F" w:rsidRPr="00846D49">
              <w:rPr>
                <w:rFonts w:ascii="Arial" w:hAnsi="Arial" w:cs="Arial"/>
                <w:sz w:val="20"/>
                <w:szCs w:val="20"/>
              </w:rPr>
              <w:t>en materia forestal y de fauna silvestre</w:t>
            </w:r>
          </w:p>
          <w:p w14:paraId="00BCDC47" w14:textId="0A4D6AD1" w:rsidR="00A90E9C" w:rsidRPr="00846D49" w:rsidRDefault="00A90E9C" w:rsidP="0072651A">
            <w:pPr>
              <w:rPr>
                <w:rFonts w:ascii="Arial" w:eastAsia="Arial Narrow" w:hAnsi="Arial" w:cs="Arial"/>
                <w:b/>
                <w:sz w:val="20"/>
                <w:szCs w:val="20"/>
              </w:rPr>
            </w:pPr>
            <w:r w:rsidRPr="00846D49">
              <w:rPr>
                <w:rFonts w:ascii="Arial" w:eastAsia="Arial Narrow" w:hAnsi="Arial" w:cs="Arial"/>
                <w:b/>
                <w:sz w:val="20"/>
                <w:szCs w:val="20"/>
              </w:rPr>
              <w:t>2</w:t>
            </w:r>
            <w:r w:rsidR="003C58DC" w:rsidRPr="00846D49">
              <w:rPr>
                <w:rFonts w:ascii="Arial" w:eastAsia="Arial Narrow" w:hAnsi="Arial" w:cs="Arial"/>
                <w:b/>
                <w:sz w:val="20"/>
                <w:szCs w:val="20"/>
              </w:rPr>
              <w:t>.</w:t>
            </w:r>
            <w:r w:rsidRPr="00846D49">
              <w:rPr>
                <w:rFonts w:ascii="Arial" w:eastAsia="Arial Narrow" w:hAnsi="Arial" w:cs="Arial"/>
                <w:b/>
                <w:sz w:val="20"/>
                <w:szCs w:val="20"/>
              </w:rPr>
              <w:t xml:space="preserve"> Especificaciones técnicas:</w:t>
            </w:r>
          </w:p>
          <w:p w14:paraId="2EB45A08" w14:textId="28B941DC" w:rsidR="009F4970" w:rsidRPr="00846D49" w:rsidRDefault="005D20AC" w:rsidP="005D20AC">
            <w:pPr>
              <w:jc w:val="both"/>
              <w:rPr>
                <w:rFonts w:ascii="Arial" w:eastAsia="Arial Narrow" w:hAnsi="Arial" w:cs="Arial"/>
                <w:sz w:val="20"/>
                <w:szCs w:val="20"/>
              </w:rPr>
            </w:pPr>
            <w:r w:rsidRPr="00846D49">
              <w:rPr>
                <w:rFonts w:ascii="Arial" w:eastAsia="Arial Narrow" w:hAnsi="Arial" w:cs="Arial"/>
                <w:sz w:val="20"/>
                <w:szCs w:val="20"/>
              </w:rPr>
              <w:t xml:space="preserve">La variable A se determina a partir de </w:t>
            </w:r>
            <w:r w:rsidR="00313351" w:rsidRPr="00846D49">
              <w:rPr>
                <w:rFonts w:ascii="Arial" w:eastAsia="Arial Narrow" w:hAnsi="Arial" w:cs="Arial"/>
                <w:sz w:val="20"/>
                <w:szCs w:val="20"/>
              </w:rPr>
              <w:t>la resolución de las solicitudes</w:t>
            </w:r>
            <w:r w:rsidR="00265726" w:rsidRPr="00846D49">
              <w:rPr>
                <w:rFonts w:ascii="Arial" w:eastAsia="Arial Narrow" w:hAnsi="Arial" w:cs="Arial"/>
                <w:sz w:val="20"/>
                <w:szCs w:val="20"/>
              </w:rPr>
              <w:t xml:space="preserve"> </w:t>
            </w:r>
            <w:r w:rsidR="00313351" w:rsidRPr="00846D49">
              <w:rPr>
                <w:rFonts w:ascii="Arial" w:eastAsia="Arial Narrow" w:hAnsi="Arial" w:cs="Arial"/>
                <w:sz w:val="20"/>
                <w:szCs w:val="20"/>
              </w:rPr>
              <w:t>de cartas de no objeción a proyecto</w:t>
            </w:r>
            <w:r w:rsidR="00DE29FE" w:rsidRPr="00846D49">
              <w:rPr>
                <w:rFonts w:ascii="Arial" w:eastAsia="Arial Narrow" w:hAnsi="Arial" w:cs="Arial"/>
                <w:sz w:val="20"/>
                <w:szCs w:val="20"/>
              </w:rPr>
              <w:t>s</w:t>
            </w:r>
            <w:r w:rsidR="00313351" w:rsidRPr="00846D49">
              <w:rPr>
                <w:rFonts w:ascii="Arial" w:eastAsia="Arial Narrow" w:hAnsi="Arial" w:cs="Arial"/>
                <w:sz w:val="20"/>
                <w:szCs w:val="20"/>
              </w:rPr>
              <w:t xml:space="preserve"> en materia forestal y de fauna silvestre</w:t>
            </w:r>
            <w:r w:rsidR="009F4970" w:rsidRPr="00846D49">
              <w:rPr>
                <w:rFonts w:ascii="Arial" w:eastAsia="Arial Narrow" w:hAnsi="Arial" w:cs="Arial"/>
                <w:sz w:val="20"/>
                <w:szCs w:val="20"/>
              </w:rPr>
              <w:t xml:space="preserve"> dentro de los plazos establecidos en la normativa.</w:t>
            </w:r>
          </w:p>
          <w:p w14:paraId="0E21D426" w14:textId="3E9B93E5" w:rsidR="00DE29FE" w:rsidRPr="00846D49" w:rsidRDefault="005D20AC" w:rsidP="00DE29FE">
            <w:pPr>
              <w:jc w:val="both"/>
              <w:rPr>
                <w:rFonts w:ascii="Arial" w:eastAsia="Arial Narrow" w:hAnsi="Arial" w:cs="Arial"/>
                <w:sz w:val="20"/>
                <w:szCs w:val="20"/>
              </w:rPr>
            </w:pPr>
            <w:r w:rsidRPr="00846D49">
              <w:rPr>
                <w:rFonts w:ascii="Arial" w:eastAsia="Arial Narrow" w:hAnsi="Arial" w:cs="Arial"/>
                <w:sz w:val="20"/>
                <w:szCs w:val="20"/>
              </w:rPr>
              <w:t xml:space="preserve">La variable B se determina con el total </w:t>
            </w:r>
            <w:r w:rsidR="00DE29FE" w:rsidRPr="00846D49">
              <w:rPr>
                <w:rFonts w:ascii="Arial" w:eastAsia="Arial Narrow" w:hAnsi="Arial" w:cs="Arial"/>
                <w:sz w:val="20"/>
                <w:szCs w:val="20"/>
              </w:rPr>
              <w:t>solicitudes de cartas de no objeción a proyectos en materia forestal y de fauna silvestre</w:t>
            </w:r>
            <w:r w:rsidR="009A1630" w:rsidRPr="00846D49">
              <w:rPr>
                <w:rFonts w:ascii="Arial" w:eastAsia="Arial Narrow" w:hAnsi="Arial" w:cs="Arial"/>
                <w:sz w:val="20"/>
                <w:szCs w:val="20"/>
              </w:rPr>
              <w:t xml:space="preserve"> recibidas en el año de medición</w:t>
            </w:r>
            <w:r w:rsidR="00DE29FE" w:rsidRPr="00846D49">
              <w:rPr>
                <w:rFonts w:ascii="Arial" w:eastAsia="Arial Narrow" w:hAnsi="Arial" w:cs="Arial"/>
                <w:sz w:val="20"/>
                <w:szCs w:val="20"/>
              </w:rPr>
              <w:t>.</w:t>
            </w:r>
          </w:p>
          <w:p w14:paraId="0DF75959" w14:textId="44B2EF95" w:rsidR="00A90E9C" w:rsidRPr="00846D49" w:rsidRDefault="009F4970" w:rsidP="00DE29FE">
            <w:pPr>
              <w:jc w:val="both"/>
              <w:rPr>
                <w:rFonts w:ascii="Arial" w:eastAsia="Arial Narrow" w:hAnsi="Arial" w:cs="Arial"/>
                <w:sz w:val="20"/>
                <w:szCs w:val="20"/>
              </w:rPr>
            </w:pPr>
            <w:r w:rsidRPr="00846D49">
              <w:rPr>
                <w:rFonts w:ascii="Arial" w:eastAsia="Arial Narrow" w:hAnsi="Arial" w:cs="Arial"/>
                <w:sz w:val="20"/>
                <w:szCs w:val="20"/>
              </w:rPr>
              <w:t xml:space="preserve">El </w:t>
            </w:r>
            <w:r w:rsidR="00A90E9C" w:rsidRPr="00846D49">
              <w:rPr>
                <w:rFonts w:ascii="Arial" w:eastAsia="Arial Narrow" w:hAnsi="Arial" w:cs="Arial"/>
                <w:sz w:val="20"/>
                <w:szCs w:val="20"/>
              </w:rPr>
              <w:t xml:space="preserve">plazo legal </w:t>
            </w:r>
            <w:r w:rsidR="006A500E" w:rsidRPr="00846D49">
              <w:rPr>
                <w:rFonts w:ascii="Arial" w:eastAsia="Arial Narrow" w:hAnsi="Arial" w:cs="Arial"/>
                <w:sz w:val="20"/>
                <w:szCs w:val="20"/>
              </w:rPr>
              <w:t xml:space="preserve">para la atención de las solicitudes de cartas de no objeción </w:t>
            </w:r>
            <w:r w:rsidR="007A4401" w:rsidRPr="00846D49">
              <w:rPr>
                <w:rFonts w:ascii="Arial" w:eastAsia="Arial Narrow" w:hAnsi="Arial" w:cs="Arial"/>
                <w:sz w:val="20"/>
                <w:szCs w:val="20"/>
              </w:rPr>
              <w:t xml:space="preserve">es establecido </w:t>
            </w:r>
            <w:r w:rsidR="00A90E9C" w:rsidRPr="00846D49">
              <w:rPr>
                <w:rFonts w:ascii="Arial" w:eastAsia="Arial Narrow" w:hAnsi="Arial" w:cs="Arial"/>
                <w:sz w:val="20"/>
                <w:szCs w:val="20"/>
              </w:rPr>
              <w:t xml:space="preserve">en el artículo 4 del Decreto Supremo Nº 219-2020-EF </w:t>
            </w:r>
            <w:r w:rsidR="007A4401" w:rsidRPr="00846D49">
              <w:rPr>
                <w:rFonts w:ascii="Arial" w:eastAsia="Arial Narrow" w:hAnsi="Arial" w:cs="Arial"/>
                <w:sz w:val="20"/>
                <w:szCs w:val="20"/>
              </w:rPr>
              <w:t xml:space="preserve">el cual </w:t>
            </w:r>
            <w:r w:rsidR="00E67F2F" w:rsidRPr="00846D49">
              <w:rPr>
                <w:rFonts w:ascii="Arial" w:eastAsia="Arial Narrow" w:hAnsi="Arial" w:cs="Arial"/>
                <w:sz w:val="20"/>
                <w:szCs w:val="20"/>
              </w:rPr>
              <w:t>es de 22 días hábiles</w:t>
            </w:r>
            <w:r w:rsidR="00EE1B5C" w:rsidRPr="00846D49">
              <w:rPr>
                <w:rFonts w:ascii="Arial" w:eastAsia="Arial Narrow" w:hAnsi="Arial" w:cs="Arial"/>
                <w:sz w:val="20"/>
                <w:szCs w:val="20"/>
              </w:rPr>
              <w:t xml:space="preserve"> de presentada la solicitud</w:t>
            </w:r>
            <w:r w:rsidR="00DE16D6" w:rsidRPr="00846D49">
              <w:rPr>
                <w:rFonts w:ascii="Arial" w:eastAsia="Arial Narrow" w:hAnsi="Arial" w:cs="Arial"/>
                <w:sz w:val="20"/>
                <w:szCs w:val="20"/>
              </w:rPr>
              <w:t>. De existir observaciones</w:t>
            </w:r>
            <w:r w:rsidR="007A4401" w:rsidRPr="00846D49">
              <w:rPr>
                <w:rFonts w:ascii="Arial" w:eastAsia="Arial Narrow" w:hAnsi="Arial" w:cs="Arial"/>
                <w:sz w:val="20"/>
                <w:szCs w:val="20"/>
              </w:rPr>
              <w:t>,</w:t>
            </w:r>
            <w:r w:rsidR="00DE16D6" w:rsidRPr="00846D49">
              <w:rPr>
                <w:rFonts w:ascii="Arial" w:eastAsia="Arial Narrow" w:hAnsi="Arial" w:cs="Arial"/>
                <w:sz w:val="20"/>
                <w:szCs w:val="20"/>
              </w:rPr>
              <w:t xml:space="preserve"> el plazo </w:t>
            </w:r>
            <w:r w:rsidR="00AA50AF" w:rsidRPr="00846D49">
              <w:rPr>
                <w:rFonts w:ascii="Arial" w:eastAsia="Arial Narrow" w:hAnsi="Arial" w:cs="Arial"/>
                <w:sz w:val="20"/>
                <w:szCs w:val="20"/>
              </w:rPr>
              <w:t>se extiende hasta los</w:t>
            </w:r>
            <w:r w:rsidR="00A90E9C" w:rsidRPr="00846D49">
              <w:rPr>
                <w:rFonts w:ascii="Arial" w:eastAsia="Arial Narrow" w:hAnsi="Arial" w:cs="Arial"/>
                <w:sz w:val="20"/>
                <w:szCs w:val="20"/>
              </w:rPr>
              <w:t xml:space="preserve"> 47 días hábiles. </w:t>
            </w:r>
          </w:p>
        </w:tc>
      </w:tr>
      <w:tr w:rsidR="008A26D2" w:rsidRPr="008A26D2" w14:paraId="79AD3AF9" w14:textId="77777777" w:rsidTr="00ED41F3">
        <w:trPr>
          <w:trHeight w:val="686"/>
          <w:jc w:val="center"/>
        </w:trPr>
        <w:tc>
          <w:tcPr>
            <w:tcW w:w="1696" w:type="dxa"/>
            <w:gridSpan w:val="3"/>
            <w:shd w:val="clear" w:color="auto" w:fill="auto"/>
            <w:tcMar>
              <w:top w:w="10" w:type="dxa"/>
              <w:left w:w="93" w:type="dxa"/>
              <w:bottom w:w="0" w:type="dxa"/>
              <w:right w:w="10" w:type="dxa"/>
            </w:tcMar>
            <w:vAlign w:val="center"/>
          </w:tcPr>
          <w:p w14:paraId="4F143803" w14:textId="77777777" w:rsidR="00A90E9C" w:rsidRPr="008A26D2" w:rsidRDefault="00A90E9C" w:rsidP="0072651A">
            <w:pPr>
              <w:rPr>
                <w:rFonts w:ascii="Arial" w:hAnsi="Arial" w:cs="Arial"/>
                <w:sz w:val="20"/>
                <w:szCs w:val="20"/>
              </w:rPr>
            </w:pPr>
            <w:r w:rsidRPr="008A26D2">
              <w:rPr>
                <w:rFonts w:ascii="Arial" w:hAnsi="Arial" w:cs="Arial"/>
                <w:b/>
                <w:sz w:val="20"/>
                <w:szCs w:val="20"/>
              </w:rPr>
              <w:lastRenderedPageBreak/>
              <w:t>Sentido esperado del indicador:</w:t>
            </w:r>
          </w:p>
        </w:tc>
        <w:tc>
          <w:tcPr>
            <w:tcW w:w="1701" w:type="dxa"/>
            <w:gridSpan w:val="3"/>
            <w:shd w:val="clear" w:color="auto" w:fill="auto"/>
            <w:tcMar>
              <w:top w:w="10" w:type="dxa"/>
              <w:left w:w="283" w:type="dxa"/>
              <w:bottom w:w="0" w:type="dxa"/>
              <w:right w:w="283" w:type="dxa"/>
            </w:tcMar>
            <w:vAlign w:val="center"/>
          </w:tcPr>
          <w:p w14:paraId="55B5B33D" w14:textId="77777777" w:rsidR="00A90E9C" w:rsidRPr="008A26D2" w:rsidRDefault="00A90E9C" w:rsidP="0072651A">
            <w:pPr>
              <w:rPr>
                <w:rFonts w:ascii="Arial" w:hAnsi="Arial" w:cs="Arial"/>
                <w:sz w:val="20"/>
                <w:szCs w:val="20"/>
              </w:rPr>
            </w:pPr>
            <w:r w:rsidRPr="008A26D2">
              <w:rPr>
                <w:rFonts w:ascii="Arial" w:hAnsi="Arial" w:cs="Arial"/>
                <w:sz w:val="20"/>
                <w:szCs w:val="20"/>
              </w:rPr>
              <w:t>Ascendente</w:t>
            </w:r>
          </w:p>
        </w:tc>
        <w:tc>
          <w:tcPr>
            <w:tcW w:w="2246" w:type="dxa"/>
            <w:gridSpan w:val="3"/>
            <w:shd w:val="clear" w:color="auto" w:fill="auto"/>
            <w:tcMar>
              <w:top w:w="15" w:type="dxa"/>
              <w:left w:w="15" w:type="dxa"/>
              <w:bottom w:w="0" w:type="dxa"/>
              <w:right w:w="15" w:type="dxa"/>
            </w:tcMar>
            <w:vAlign w:val="center"/>
          </w:tcPr>
          <w:p w14:paraId="36AA176F" w14:textId="77777777" w:rsidR="00A90E9C" w:rsidRPr="008A26D2" w:rsidRDefault="00A90E9C" w:rsidP="0072651A">
            <w:pPr>
              <w:jc w:val="center"/>
              <w:rPr>
                <w:rFonts w:ascii="Arial" w:hAnsi="Arial" w:cs="Arial"/>
                <w:sz w:val="20"/>
                <w:szCs w:val="20"/>
              </w:rPr>
            </w:pPr>
            <w:r w:rsidRPr="008A26D2">
              <w:rPr>
                <w:rFonts w:ascii="Arial" w:hAnsi="Arial" w:cs="Arial"/>
                <w:b/>
                <w:sz w:val="20"/>
                <w:szCs w:val="20"/>
              </w:rPr>
              <w:t>Tipo de indicador de servicio:</w:t>
            </w:r>
          </w:p>
        </w:tc>
        <w:tc>
          <w:tcPr>
            <w:tcW w:w="2857" w:type="dxa"/>
            <w:gridSpan w:val="4"/>
            <w:shd w:val="clear" w:color="auto" w:fill="auto"/>
            <w:tcMar>
              <w:top w:w="15" w:type="dxa"/>
              <w:left w:w="15" w:type="dxa"/>
              <w:bottom w:w="0" w:type="dxa"/>
              <w:right w:w="15" w:type="dxa"/>
            </w:tcMar>
            <w:vAlign w:val="center"/>
          </w:tcPr>
          <w:p w14:paraId="3651C2DC" w14:textId="7C4EBF83" w:rsidR="00A90E9C" w:rsidRPr="00846D49" w:rsidRDefault="00A90E9C" w:rsidP="0072651A">
            <w:pPr>
              <w:jc w:val="center"/>
              <w:rPr>
                <w:rFonts w:ascii="Arial" w:hAnsi="Arial" w:cs="Arial"/>
                <w:sz w:val="20"/>
                <w:szCs w:val="20"/>
              </w:rPr>
            </w:pPr>
            <w:r w:rsidRPr="00846D49">
              <w:rPr>
                <w:rFonts w:ascii="Arial" w:hAnsi="Arial" w:cs="Arial"/>
                <w:sz w:val="20"/>
                <w:szCs w:val="20"/>
              </w:rPr>
              <w:t xml:space="preserve">Calidad </w:t>
            </w:r>
            <w:r w:rsidR="00147D2E" w:rsidRPr="00846D49">
              <w:rPr>
                <w:rFonts w:ascii="Arial" w:hAnsi="Arial" w:cs="Arial"/>
                <w:sz w:val="20"/>
                <w:szCs w:val="20"/>
              </w:rPr>
              <w:t>–</w:t>
            </w:r>
            <w:r w:rsidRPr="00846D49">
              <w:rPr>
                <w:rFonts w:ascii="Arial" w:hAnsi="Arial" w:cs="Arial"/>
                <w:sz w:val="20"/>
                <w:szCs w:val="20"/>
              </w:rPr>
              <w:t xml:space="preserve"> Oportunidad</w:t>
            </w:r>
          </w:p>
        </w:tc>
      </w:tr>
      <w:tr w:rsidR="008A26D2" w:rsidRPr="008A26D2" w14:paraId="61FAFF06" w14:textId="77777777" w:rsidTr="00ED41F3">
        <w:trPr>
          <w:trHeight w:val="13"/>
          <w:jc w:val="center"/>
        </w:trPr>
        <w:tc>
          <w:tcPr>
            <w:tcW w:w="1696" w:type="dxa"/>
            <w:gridSpan w:val="3"/>
            <w:shd w:val="clear" w:color="auto" w:fill="auto"/>
            <w:tcMar>
              <w:top w:w="10" w:type="dxa"/>
              <w:left w:w="93" w:type="dxa"/>
              <w:bottom w:w="0" w:type="dxa"/>
              <w:right w:w="10" w:type="dxa"/>
            </w:tcMar>
            <w:vAlign w:val="center"/>
          </w:tcPr>
          <w:p w14:paraId="05BC667C" w14:textId="77777777" w:rsidR="00A90E9C" w:rsidRPr="008A26D2" w:rsidRDefault="00A90E9C" w:rsidP="0072651A">
            <w:pPr>
              <w:rPr>
                <w:rFonts w:ascii="Arial" w:hAnsi="Arial" w:cs="Arial"/>
                <w:sz w:val="20"/>
                <w:szCs w:val="20"/>
              </w:rPr>
            </w:pPr>
            <w:r w:rsidRPr="008A26D2">
              <w:rPr>
                <w:rFonts w:ascii="Arial" w:hAnsi="Arial" w:cs="Arial"/>
                <w:b/>
                <w:sz w:val="20"/>
                <w:szCs w:val="20"/>
              </w:rPr>
              <w:t>Fuente y base de datos:</w:t>
            </w:r>
          </w:p>
        </w:tc>
        <w:tc>
          <w:tcPr>
            <w:tcW w:w="6804" w:type="dxa"/>
            <w:gridSpan w:val="10"/>
            <w:shd w:val="clear" w:color="auto" w:fill="auto"/>
            <w:tcMar>
              <w:top w:w="51" w:type="dxa"/>
              <w:left w:w="227" w:type="dxa"/>
              <w:bottom w:w="51" w:type="dxa"/>
              <w:right w:w="227" w:type="dxa"/>
            </w:tcMar>
            <w:vAlign w:val="center"/>
          </w:tcPr>
          <w:p w14:paraId="27B4589F" w14:textId="783CBD89" w:rsidR="00A90E9C" w:rsidRDefault="00A90E9C" w:rsidP="0072651A">
            <w:pPr>
              <w:rPr>
                <w:rFonts w:ascii="Arial" w:eastAsia="Arial Narrow" w:hAnsi="Arial" w:cs="Arial"/>
                <w:sz w:val="20"/>
                <w:szCs w:val="20"/>
              </w:rPr>
            </w:pPr>
            <w:r w:rsidRPr="008A26D2">
              <w:rPr>
                <w:rFonts w:ascii="Arial" w:eastAsia="Arial Narrow" w:hAnsi="Arial" w:cs="Arial"/>
                <w:sz w:val="20"/>
                <w:szCs w:val="20"/>
              </w:rPr>
              <w:t xml:space="preserve">Fuente: Dirección General de Asuntos de Economía Internacional, Competencia y Productividad </w:t>
            </w:r>
            <w:r w:rsidR="00ED41F3" w:rsidRPr="008A26D2">
              <w:rPr>
                <w:rFonts w:ascii="Arial" w:eastAsia="Arial Narrow" w:hAnsi="Arial" w:cs="Arial"/>
                <w:sz w:val="20"/>
                <w:szCs w:val="20"/>
              </w:rPr>
              <w:t xml:space="preserve">del </w:t>
            </w:r>
            <w:r w:rsidR="00841EF3">
              <w:rPr>
                <w:rFonts w:ascii="Arial" w:eastAsia="Arial Narrow" w:hAnsi="Arial" w:cs="Arial"/>
                <w:sz w:val="20"/>
                <w:szCs w:val="20"/>
              </w:rPr>
              <w:t>Ministerio de Economía y Finanzas -</w:t>
            </w:r>
            <w:r w:rsidR="00ED41F3" w:rsidRPr="008A26D2">
              <w:rPr>
                <w:rFonts w:ascii="Arial" w:eastAsia="Arial Narrow" w:hAnsi="Arial" w:cs="Arial"/>
                <w:sz w:val="20"/>
                <w:szCs w:val="20"/>
              </w:rPr>
              <w:t>MEF</w:t>
            </w:r>
            <w:r w:rsidR="00841EF3">
              <w:rPr>
                <w:rFonts w:ascii="Arial" w:eastAsia="Arial Narrow" w:hAnsi="Arial" w:cs="Arial"/>
                <w:sz w:val="20"/>
                <w:szCs w:val="20"/>
              </w:rPr>
              <w:t>.</w:t>
            </w:r>
          </w:p>
          <w:p w14:paraId="4CB8A0BB" w14:textId="3B4832F5" w:rsidR="00A90E9C" w:rsidRPr="008A26D2" w:rsidRDefault="00A90E9C" w:rsidP="0072651A">
            <w:pPr>
              <w:rPr>
                <w:rFonts w:ascii="Arial" w:eastAsia="Arial Narrow" w:hAnsi="Arial" w:cs="Arial"/>
                <w:sz w:val="20"/>
                <w:szCs w:val="20"/>
              </w:rPr>
            </w:pPr>
            <w:r w:rsidRPr="008A26D2">
              <w:rPr>
                <w:rFonts w:ascii="Arial" w:eastAsia="Arial Narrow" w:hAnsi="Arial" w:cs="Arial"/>
                <w:sz w:val="20"/>
                <w:szCs w:val="20"/>
              </w:rPr>
              <w:t xml:space="preserve">Base de datos: Registros de la </w:t>
            </w:r>
            <w:r w:rsidR="00ED41F3" w:rsidRPr="008A26D2">
              <w:rPr>
                <w:rFonts w:ascii="Arial" w:eastAsia="Arial Narrow" w:hAnsi="Arial" w:cs="Arial"/>
                <w:sz w:val="20"/>
                <w:szCs w:val="20"/>
              </w:rPr>
              <w:t>Dirección General de Asuntos de Economía Internacional, Competencia y Productividad</w:t>
            </w:r>
            <w:r w:rsidR="00C65ADC">
              <w:rPr>
                <w:rFonts w:ascii="Arial" w:eastAsia="Arial Narrow" w:hAnsi="Arial" w:cs="Arial"/>
                <w:sz w:val="20"/>
                <w:szCs w:val="20"/>
              </w:rPr>
              <w:t xml:space="preserve"> del MEF.</w:t>
            </w:r>
          </w:p>
        </w:tc>
      </w:tr>
      <w:tr w:rsidR="008A26D2" w:rsidRPr="008A26D2" w14:paraId="4F1DC884" w14:textId="77777777" w:rsidTr="00ED41F3">
        <w:trPr>
          <w:trHeight w:val="436"/>
          <w:jc w:val="center"/>
        </w:trPr>
        <w:tc>
          <w:tcPr>
            <w:tcW w:w="1696" w:type="dxa"/>
            <w:gridSpan w:val="3"/>
            <w:shd w:val="clear" w:color="auto" w:fill="auto"/>
            <w:tcMar>
              <w:top w:w="10" w:type="dxa"/>
              <w:left w:w="93" w:type="dxa"/>
              <w:bottom w:w="0" w:type="dxa"/>
              <w:right w:w="10" w:type="dxa"/>
            </w:tcMar>
            <w:vAlign w:val="center"/>
          </w:tcPr>
          <w:p w14:paraId="751661E4" w14:textId="77777777" w:rsidR="00A90E9C" w:rsidRPr="008A26D2" w:rsidRDefault="00A90E9C" w:rsidP="0072651A">
            <w:pPr>
              <w:rPr>
                <w:rFonts w:ascii="Arial" w:hAnsi="Arial" w:cs="Arial"/>
                <w:sz w:val="20"/>
                <w:szCs w:val="20"/>
              </w:rPr>
            </w:pPr>
            <w:r w:rsidRPr="008A26D2">
              <w:rPr>
                <w:rFonts w:ascii="Arial" w:hAnsi="Arial" w:cs="Arial"/>
                <w:b/>
                <w:sz w:val="20"/>
                <w:szCs w:val="20"/>
              </w:rPr>
              <w:t>Supuestos:</w:t>
            </w:r>
          </w:p>
        </w:tc>
        <w:tc>
          <w:tcPr>
            <w:tcW w:w="6804" w:type="dxa"/>
            <w:gridSpan w:val="10"/>
            <w:shd w:val="clear" w:color="auto" w:fill="auto"/>
            <w:tcMar>
              <w:top w:w="51" w:type="dxa"/>
              <w:left w:w="227" w:type="dxa"/>
              <w:bottom w:w="51" w:type="dxa"/>
              <w:right w:w="227" w:type="dxa"/>
            </w:tcMar>
            <w:vAlign w:val="center"/>
          </w:tcPr>
          <w:p w14:paraId="76B66A6D" w14:textId="77777777" w:rsidR="00A90E9C" w:rsidRPr="008A26D2" w:rsidRDefault="00A90E9C" w:rsidP="0072651A">
            <w:pPr>
              <w:jc w:val="both"/>
              <w:rPr>
                <w:rFonts w:ascii="Arial" w:eastAsia="Arial Narrow" w:hAnsi="Arial" w:cs="Arial"/>
                <w:sz w:val="20"/>
                <w:szCs w:val="20"/>
              </w:rPr>
            </w:pPr>
            <w:r w:rsidRPr="008A26D2">
              <w:rPr>
                <w:rFonts w:ascii="Arial" w:eastAsia="Arial Narrow" w:hAnsi="Arial" w:cs="Arial"/>
                <w:sz w:val="20"/>
                <w:szCs w:val="20"/>
              </w:rPr>
              <w:t>Los tiempos de la evaluación dependen principalmente de que el Ministerio del Ambiente y demás sectores competentes remitan su evaluación dentro del plazo legal establecido en la norma, caso contrario los tiempos de respuesta a la entidad acreditada se alargan.</w:t>
            </w:r>
          </w:p>
        </w:tc>
      </w:tr>
      <w:tr w:rsidR="008A26D2" w:rsidRPr="008A26D2" w14:paraId="0CC5A8FE" w14:textId="77777777" w:rsidTr="00ED41F3">
        <w:trPr>
          <w:trHeight w:val="556"/>
          <w:jc w:val="center"/>
        </w:trPr>
        <w:tc>
          <w:tcPr>
            <w:tcW w:w="704" w:type="dxa"/>
            <w:shd w:val="clear" w:color="auto" w:fill="auto"/>
            <w:tcMar>
              <w:top w:w="10" w:type="dxa"/>
              <w:left w:w="10" w:type="dxa"/>
              <w:bottom w:w="0" w:type="dxa"/>
              <w:right w:w="10" w:type="dxa"/>
            </w:tcMar>
            <w:vAlign w:val="center"/>
          </w:tcPr>
          <w:p w14:paraId="44A23F9A" w14:textId="77777777" w:rsidR="00A90E9C" w:rsidRPr="008A26D2" w:rsidRDefault="00A90E9C" w:rsidP="0072651A">
            <w:pPr>
              <w:rPr>
                <w:rFonts w:ascii="Arial" w:hAnsi="Arial" w:cs="Arial"/>
                <w:sz w:val="20"/>
                <w:szCs w:val="20"/>
              </w:rPr>
            </w:pPr>
            <w:r w:rsidRPr="008A26D2">
              <w:rPr>
                <w:rFonts w:ascii="Arial" w:hAnsi="Arial" w:cs="Arial"/>
                <w:b/>
                <w:sz w:val="20"/>
                <w:szCs w:val="20"/>
              </w:rPr>
              <w:t> </w:t>
            </w:r>
          </w:p>
        </w:tc>
        <w:tc>
          <w:tcPr>
            <w:tcW w:w="909" w:type="dxa"/>
            <w:shd w:val="clear" w:color="auto" w:fill="auto"/>
            <w:tcMar>
              <w:top w:w="10" w:type="dxa"/>
              <w:left w:w="10" w:type="dxa"/>
              <w:bottom w:w="0" w:type="dxa"/>
              <w:right w:w="10" w:type="dxa"/>
            </w:tcMar>
            <w:vAlign w:val="center"/>
          </w:tcPr>
          <w:p w14:paraId="1F6ED402" w14:textId="77777777" w:rsidR="00A90E9C" w:rsidRPr="008A26D2" w:rsidRDefault="00A90E9C" w:rsidP="0072651A">
            <w:pPr>
              <w:jc w:val="center"/>
              <w:rPr>
                <w:rFonts w:ascii="Arial" w:hAnsi="Arial" w:cs="Arial"/>
                <w:sz w:val="20"/>
                <w:szCs w:val="20"/>
              </w:rPr>
            </w:pPr>
            <w:r w:rsidRPr="008A26D2">
              <w:rPr>
                <w:rFonts w:ascii="Arial" w:hAnsi="Arial" w:cs="Arial"/>
                <w:b/>
                <w:sz w:val="20"/>
                <w:szCs w:val="20"/>
              </w:rPr>
              <w:t>Línea de base</w:t>
            </w:r>
          </w:p>
        </w:tc>
        <w:tc>
          <w:tcPr>
            <w:tcW w:w="6887" w:type="dxa"/>
            <w:gridSpan w:val="11"/>
            <w:shd w:val="clear" w:color="auto" w:fill="auto"/>
            <w:tcMar>
              <w:top w:w="10" w:type="dxa"/>
              <w:left w:w="10" w:type="dxa"/>
              <w:bottom w:w="0" w:type="dxa"/>
              <w:right w:w="10" w:type="dxa"/>
            </w:tcMar>
            <w:vAlign w:val="center"/>
          </w:tcPr>
          <w:p w14:paraId="79C81B21" w14:textId="77777777" w:rsidR="00A90E9C" w:rsidRPr="008A26D2" w:rsidRDefault="00A90E9C" w:rsidP="0072651A">
            <w:pPr>
              <w:jc w:val="center"/>
              <w:rPr>
                <w:rFonts w:ascii="Arial" w:hAnsi="Arial" w:cs="Arial"/>
                <w:sz w:val="20"/>
                <w:szCs w:val="20"/>
              </w:rPr>
            </w:pPr>
            <w:r w:rsidRPr="008A26D2">
              <w:rPr>
                <w:rFonts w:ascii="Arial" w:hAnsi="Arial" w:cs="Arial"/>
                <w:b/>
                <w:sz w:val="20"/>
                <w:szCs w:val="20"/>
              </w:rPr>
              <w:t xml:space="preserve">Logros esperados </w:t>
            </w:r>
          </w:p>
        </w:tc>
      </w:tr>
      <w:tr w:rsidR="008A26D2" w:rsidRPr="008A26D2" w14:paraId="57D6F8F4" w14:textId="77777777" w:rsidTr="00ED41F3">
        <w:trPr>
          <w:trHeight w:val="217"/>
          <w:jc w:val="center"/>
        </w:trPr>
        <w:tc>
          <w:tcPr>
            <w:tcW w:w="704" w:type="dxa"/>
            <w:shd w:val="clear" w:color="auto" w:fill="auto"/>
            <w:tcMar>
              <w:top w:w="10" w:type="dxa"/>
              <w:left w:w="10" w:type="dxa"/>
              <w:bottom w:w="0" w:type="dxa"/>
              <w:right w:w="10" w:type="dxa"/>
            </w:tcMar>
            <w:vAlign w:val="center"/>
          </w:tcPr>
          <w:p w14:paraId="15F0D03F" w14:textId="77777777" w:rsidR="00A90E9C" w:rsidRPr="008A26D2" w:rsidRDefault="00A90E9C" w:rsidP="0072651A">
            <w:pPr>
              <w:jc w:val="center"/>
              <w:rPr>
                <w:rFonts w:ascii="Arial" w:hAnsi="Arial" w:cs="Arial"/>
                <w:sz w:val="20"/>
                <w:szCs w:val="20"/>
              </w:rPr>
            </w:pPr>
            <w:r w:rsidRPr="008A26D2">
              <w:rPr>
                <w:rFonts w:ascii="Arial" w:hAnsi="Arial" w:cs="Arial"/>
                <w:b/>
                <w:sz w:val="20"/>
                <w:szCs w:val="20"/>
              </w:rPr>
              <w:t>Año</w:t>
            </w:r>
          </w:p>
        </w:tc>
        <w:tc>
          <w:tcPr>
            <w:tcW w:w="909" w:type="dxa"/>
            <w:shd w:val="clear" w:color="auto" w:fill="auto"/>
            <w:tcMar>
              <w:top w:w="10" w:type="dxa"/>
              <w:left w:w="10" w:type="dxa"/>
              <w:bottom w:w="0" w:type="dxa"/>
              <w:right w:w="10" w:type="dxa"/>
            </w:tcMar>
            <w:vAlign w:val="center"/>
          </w:tcPr>
          <w:p w14:paraId="5271CEA9" w14:textId="77777777" w:rsidR="00A90E9C" w:rsidRPr="008A26D2" w:rsidRDefault="00A90E9C" w:rsidP="0072651A">
            <w:pPr>
              <w:jc w:val="center"/>
              <w:rPr>
                <w:rFonts w:ascii="Arial" w:hAnsi="Arial" w:cs="Arial"/>
                <w:b/>
                <w:sz w:val="20"/>
                <w:szCs w:val="20"/>
              </w:rPr>
            </w:pPr>
            <w:r w:rsidRPr="008A26D2">
              <w:rPr>
                <w:rFonts w:ascii="Arial" w:hAnsi="Arial" w:cs="Arial"/>
                <w:b/>
                <w:sz w:val="20"/>
                <w:szCs w:val="20"/>
              </w:rPr>
              <w:t>2020</w:t>
            </w:r>
          </w:p>
        </w:tc>
        <w:tc>
          <w:tcPr>
            <w:tcW w:w="709" w:type="dxa"/>
            <w:gridSpan w:val="2"/>
            <w:shd w:val="clear" w:color="auto" w:fill="auto"/>
            <w:tcMar>
              <w:top w:w="10" w:type="dxa"/>
              <w:left w:w="10" w:type="dxa"/>
              <w:bottom w:w="0" w:type="dxa"/>
              <w:right w:w="10" w:type="dxa"/>
            </w:tcMar>
            <w:vAlign w:val="center"/>
          </w:tcPr>
          <w:p w14:paraId="73121810" w14:textId="77777777" w:rsidR="00A90E9C" w:rsidRPr="008A26D2" w:rsidRDefault="00A90E9C" w:rsidP="0072651A">
            <w:pPr>
              <w:jc w:val="center"/>
              <w:rPr>
                <w:rFonts w:ascii="Arial" w:hAnsi="Arial" w:cs="Arial"/>
                <w:b/>
                <w:sz w:val="20"/>
                <w:szCs w:val="20"/>
              </w:rPr>
            </w:pPr>
            <w:r w:rsidRPr="008A26D2">
              <w:rPr>
                <w:rFonts w:ascii="Arial" w:hAnsi="Arial" w:cs="Arial"/>
                <w:b/>
                <w:sz w:val="20"/>
                <w:szCs w:val="20"/>
              </w:rPr>
              <w:t>2023</w:t>
            </w:r>
          </w:p>
        </w:tc>
        <w:tc>
          <w:tcPr>
            <w:tcW w:w="896" w:type="dxa"/>
            <w:shd w:val="clear" w:color="auto" w:fill="auto"/>
            <w:vAlign w:val="center"/>
          </w:tcPr>
          <w:p w14:paraId="18320285" w14:textId="77777777" w:rsidR="00A90E9C" w:rsidRPr="008A26D2" w:rsidRDefault="00A90E9C" w:rsidP="0072651A">
            <w:pPr>
              <w:jc w:val="center"/>
              <w:rPr>
                <w:rFonts w:ascii="Arial" w:hAnsi="Arial" w:cs="Arial"/>
                <w:b/>
                <w:sz w:val="20"/>
                <w:szCs w:val="20"/>
              </w:rPr>
            </w:pPr>
            <w:r w:rsidRPr="008A26D2">
              <w:rPr>
                <w:rFonts w:ascii="Arial" w:hAnsi="Arial" w:cs="Arial"/>
                <w:b/>
                <w:sz w:val="20"/>
                <w:szCs w:val="20"/>
              </w:rPr>
              <w:t>2024</w:t>
            </w:r>
          </w:p>
        </w:tc>
        <w:tc>
          <w:tcPr>
            <w:tcW w:w="1008" w:type="dxa"/>
            <w:gridSpan w:val="2"/>
            <w:shd w:val="clear" w:color="auto" w:fill="auto"/>
            <w:vAlign w:val="center"/>
          </w:tcPr>
          <w:p w14:paraId="51976096" w14:textId="77777777" w:rsidR="00A90E9C" w:rsidRPr="008A26D2" w:rsidRDefault="00A90E9C" w:rsidP="0072651A">
            <w:pPr>
              <w:jc w:val="center"/>
              <w:rPr>
                <w:rFonts w:ascii="Arial" w:hAnsi="Arial" w:cs="Arial"/>
                <w:b/>
                <w:sz w:val="20"/>
                <w:szCs w:val="20"/>
              </w:rPr>
            </w:pPr>
            <w:r w:rsidRPr="008A26D2">
              <w:rPr>
                <w:rFonts w:ascii="Arial" w:hAnsi="Arial" w:cs="Arial"/>
                <w:b/>
                <w:sz w:val="20"/>
                <w:szCs w:val="20"/>
              </w:rPr>
              <w:t>2025</w:t>
            </w:r>
          </w:p>
        </w:tc>
        <w:tc>
          <w:tcPr>
            <w:tcW w:w="992" w:type="dxa"/>
            <w:shd w:val="clear" w:color="auto" w:fill="auto"/>
            <w:vAlign w:val="center"/>
          </w:tcPr>
          <w:p w14:paraId="37614424" w14:textId="77777777" w:rsidR="00A90E9C" w:rsidRPr="008A26D2" w:rsidRDefault="00A90E9C" w:rsidP="0072651A">
            <w:pPr>
              <w:jc w:val="center"/>
              <w:rPr>
                <w:rFonts w:ascii="Arial" w:hAnsi="Arial" w:cs="Arial"/>
                <w:b/>
                <w:sz w:val="20"/>
                <w:szCs w:val="20"/>
              </w:rPr>
            </w:pPr>
            <w:r w:rsidRPr="008A26D2">
              <w:rPr>
                <w:rFonts w:ascii="Arial" w:hAnsi="Arial" w:cs="Arial"/>
                <w:b/>
                <w:sz w:val="20"/>
                <w:szCs w:val="20"/>
              </w:rPr>
              <w:t>2026</w:t>
            </w:r>
          </w:p>
        </w:tc>
        <w:tc>
          <w:tcPr>
            <w:tcW w:w="992" w:type="dxa"/>
            <w:gridSpan w:val="2"/>
            <w:shd w:val="clear" w:color="auto" w:fill="auto"/>
            <w:vAlign w:val="center"/>
          </w:tcPr>
          <w:p w14:paraId="297FF744" w14:textId="77777777" w:rsidR="00A90E9C" w:rsidRPr="008A26D2" w:rsidRDefault="00A90E9C" w:rsidP="0072651A">
            <w:pPr>
              <w:jc w:val="center"/>
              <w:rPr>
                <w:rFonts w:ascii="Arial" w:hAnsi="Arial" w:cs="Arial"/>
                <w:b/>
                <w:sz w:val="20"/>
                <w:szCs w:val="20"/>
              </w:rPr>
            </w:pPr>
            <w:r w:rsidRPr="008A26D2">
              <w:rPr>
                <w:rFonts w:ascii="Arial" w:hAnsi="Arial" w:cs="Arial"/>
                <w:b/>
                <w:sz w:val="20"/>
                <w:szCs w:val="20"/>
              </w:rPr>
              <w:t>2027</w:t>
            </w:r>
          </w:p>
        </w:tc>
        <w:tc>
          <w:tcPr>
            <w:tcW w:w="731" w:type="dxa"/>
            <w:shd w:val="clear" w:color="auto" w:fill="auto"/>
            <w:vAlign w:val="center"/>
          </w:tcPr>
          <w:p w14:paraId="2D3DAB8B" w14:textId="77777777" w:rsidR="00A90E9C" w:rsidRPr="008A26D2" w:rsidRDefault="00A90E9C" w:rsidP="0072651A">
            <w:pPr>
              <w:jc w:val="center"/>
              <w:rPr>
                <w:rFonts w:ascii="Arial" w:hAnsi="Arial" w:cs="Arial"/>
                <w:b/>
                <w:sz w:val="20"/>
                <w:szCs w:val="20"/>
              </w:rPr>
            </w:pPr>
            <w:r w:rsidRPr="008A26D2">
              <w:rPr>
                <w:rFonts w:ascii="Arial" w:hAnsi="Arial" w:cs="Arial"/>
                <w:b/>
                <w:sz w:val="20"/>
                <w:szCs w:val="20"/>
              </w:rPr>
              <w:t>2028</w:t>
            </w:r>
          </w:p>
        </w:tc>
        <w:tc>
          <w:tcPr>
            <w:tcW w:w="851" w:type="dxa"/>
            <w:shd w:val="clear" w:color="auto" w:fill="auto"/>
            <w:vAlign w:val="center"/>
          </w:tcPr>
          <w:p w14:paraId="31EAC40C" w14:textId="77777777" w:rsidR="00A90E9C" w:rsidRPr="008A26D2" w:rsidRDefault="00A90E9C" w:rsidP="0072651A">
            <w:pPr>
              <w:jc w:val="center"/>
              <w:rPr>
                <w:rFonts w:ascii="Arial" w:hAnsi="Arial" w:cs="Arial"/>
                <w:b/>
                <w:sz w:val="20"/>
                <w:szCs w:val="20"/>
              </w:rPr>
            </w:pPr>
            <w:r w:rsidRPr="008A26D2">
              <w:rPr>
                <w:rFonts w:ascii="Arial" w:hAnsi="Arial" w:cs="Arial"/>
                <w:b/>
                <w:sz w:val="20"/>
                <w:szCs w:val="20"/>
              </w:rPr>
              <w:t>2029</w:t>
            </w:r>
          </w:p>
        </w:tc>
        <w:tc>
          <w:tcPr>
            <w:tcW w:w="708" w:type="dxa"/>
            <w:shd w:val="clear" w:color="auto" w:fill="auto"/>
            <w:tcMar>
              <w:top w:w="10" w:type="dxa"/>
              <w:left w:w="10" w:type="dxa"/>
              <w:bottom w:w="0" w:type="dxa"/>
              <w:right w:w="10" w:type="dxa"/>
            </w:tcMar>
            <w:vAlign w:val="center"/>
          </w:tcPr>
          <w:p w14:paraId="166FBDF4" w14:textId="77777777" w:rsidR="00A90E9C" w:rsidRPr="008A26D2" w:rsidRDefault="00A90E9C" w:rsidP="0072651A">
            <w:pPr>
              <w:jc w:val="center"/>
              <w:rPr>
                <w:rFonts w:ascii="Arial" w:hAnsi="Arial" w:cs="Arial"/>
                <w:b/>
                <w:sz w:val="20"/>
                <w:szCs w:val="20"/>
              </w:rPr>
            </w:pPr>
            <w:r w:rsidRPr="008A26D2">
              <w:rPr>
                <w:rFonts w:ascii="Arial" w:hAnsi="Arial" w:cs="Arial"/>
                <w:b/>
                <w:sz w:val="20"/>
                <w:szCs w:val="20"/>
              </w:rPr>
              <w:t>2030</w:t>
            </w:r>
          </w:p>
        </w:tc>
      </w:tr>
      <w:tr w:rsidR="00A90E9C" w:rsidRPr="008A26D2" w14:paraId="759758D0" w14:textId="77777777" w:rsidTr="00ED41F3">
        <w:trPr>
          <w:trHeight w:val="81"/>
          <w:jc w:val="center"/>
        </w:trPr>
        <w:tc>
          <w:tcPr>
            <w:tcW w:w="704" w:type="dxa"/>
            <w:shd w:val="clear" w:color="auto" w:fill="auto"/>
            <w:tcMar>
              <w:top w:w="10" w:type="dxa"/>
              <w:left w:w="10" w:type="dxa"/>
              <w:bottom w:w="0" w:type="dxa"/>
              <w:right w:w="10" w:type="dxa"/>
            </w:tcMar>
            <w:vAlign w:val="center"/>
          </w:tcPr>
          <w:p w14:paraId="6D199522" w14:textId="77777777" w:rsidR="00A90E9C" w:rsidRPr="008A26D2" w:rsidRDefault="00A90E9C" w:rsidP="0072651A">
            <w:pPr>
              <w:jc w:val="center"/>
              <w:rPr>
                <w:rFonts w:ascii="Arial" w:hAnsi="Arial" w:cs="Arial"/>
                <w:sz w:val="20"/>
                <w:szCs w:val="20"/>
              </w:rPr>
            </w:pPr>
            <w:r w:rsidRPr="008A26D2">
              <w:rPr>
                <w:rFonts w:ascii="Arial" w:hAnsi="Arial" w:cs="Arial"/>
                <w:b/>
                <w:sz w:val="20"/>
                <w:szCs w:val="20"/>
              </w:rPr>
              <w:t>Valor</w:t>
            </w:r>
          </w:p>
        </w:tc>
        <w:tc>
          <w:tcPr>
            <w:tcW w:w="909" w:type="dxa"/>
            <w:shd w:val="clear" w:color="auto" w:fill="auto"/>
            <w:tcMar>
              <w:top w:w="10" w:type="dxa"/>
              <w:left w:w="10" w:type="dxa"/>
              <w:bottom w:w="0" w:type="dxa"/>
              <w:right w:w="10" w:type="dxa"/>
            </w:tcMar>
          </w:tcPr>
          <w:p w14:paraId="097B3A28" w14:textId="77777777" w:rsidR="00A90E9C" w:rsidRPr="008A26D2" w:rsidRDefault="00A90E9C" w:rsidP="0072651A">
            <w:pPr>
              <w:jc w:val="center"/>
              <w:rPr>
                <w:rFonts w:ascii="Arial" w:hAnsi="Arial" w:cs="Arial"/>
                <w:sz w:val="20"/>
                <w:szCs w:val="20"/>
              </w:rPr>
            </w:pPr>
            <w:r w:rsidRPr="008A26D2">
              <w:rPr>
                <w:rFonts w:ascii="Arial" w:hAnsi="Arial" w:cs="Arial"/>
                <w:sz w:val="20"/>
                <w:szCs w:val="20"/>
              </w:rPr>
              <w:t>50%</w:t>
            </w:r>
          </w:p>
        </w:tc>
        <w:tc>
          <w:tcPr>
            <w:tcW w:w="709" w:type="dxa"/>
            <w:gridSpan w:val="2"/>
            <w:shd w:val="clear" w:color="auto" w:fill="auto"/>
            <w:tcMar>
              <w:top w:w="10" w:type="dxa"/>
              <w:left w:w="10" w:type="dxa"/>
              <w:bottom w:w="0" w:type="dxa"/>
              <w:right w:w="10" w:type="dxa"/>
            </w:tcMar>
          </w:tcPr>
          <w:p w14:paraId="5772CD4C" w14:textId="77777777" w:rsidR="00A90E9C" w:rsidRPr="008A26D2" w:rsidRDefault="00A90E9C" w:rsidP="0072651A">
            <w:pPr>
              <w:jc w:val="center"/>
              <w:rPr>
                <w:rFonts w:ascii="Arial" w:hAnsi="Arial" w:cs="Arial"/>
                <w:sz w:val="20"/>
                <w:szCs w:val="20"/>
              </w:rPr>
            </w:pPr>
            <w:r w:rsidRPr="008A26D2">
              <w:rPr>
                <w:rFonts w:ascii="Arial" w:hAnsi="Arial" w:cs="Arial"/>
                <w:sz w:val="20"/>
                <w:szCs w:val="20"/>
              </w:rPr>
              <w:t>50%</w:t>
            </w:r>
          </w:p>
        </w:tc>
        <w:tc>
          <w:tcPr>
            <w:tcW w:w="896" w:type="dxa"/>
            <w:shd w:val="clear" w:color="auto" w:fill="auto"/>
          </w:tcPr>
          <w:p w14:paraId="6A3AC25C" w14:textId="77777777" w:rsidR="00A90E9C" w:rsidRPr="008A26D2" w:rsidRDefault="00A90E9C" w:rsidP="0072651A">
            <w:pPr>
              <w:jc w:val="center"/>
              <w:rPr>
                <w:rFonts w:ascii="Arial" w:hAnsi="Arial" w:cs="Arial"/>
                <w:sz w:val="20"/>
                <w:szCs w:val="20"/>
              </w:rPr>
            </w:pPr>
            <w:r w:rsidRPr="008A26D2">
              <w:rPr>
                <w:rFonts w:ascii="Arial" w:hAnsi="Arial" w:cs="Arial"/>
                <w:sz w:val="20"/>
                <w:szCs w:val="20"/>
              </w:rPr>
              <w:t>60%</w:t>
            </w:r>
          </w:p>
        </w:tc>
        <w:tc>
          <w:tcPr>
            <w:tcW w:w="1008" w:type="dxa"/>
            <w:gridSpan w:val="2"/>
            <w:shd w:val="clear" w:color="auto" w:fill="auto"/>
          </w:tcPr>
          <w:p w14:paraId="6B3F36E2" w14:textId="77777777" w:rsidR="00A90E9C" w:rsidRPr="008A26D2" w:rsidRDefault="00A90E9C" w:rsidP="0072651A">
            <w:pPr>
              <w:jc w:val="center"/>
              <w:rPr>
                <w:rFonts w:ascii="Arial" w:hAnsi="Arial" w:cs="Arial"/>
                <w:sz w:val="20"/>
                <w:szCs w:val="20"/>
              </w:rPr>
            </w:pPr>
            <w:r w:rsidRPr="008A26D2">
              <w:rPr>
                <w:rFonts w:ascii="Arial" w:hAnsi="Arial" w:cs="Arial"/>
                <w:sz w:val="20"/>
                <w:szCs w:val="20"/>
              </w:rPr>
              <w:t>70%</w:t>
            </w:r>
          </w:p>
        </w:tc>
        <w:tc>
          <w:tcPr>
            <w:tcW w:w="992" w:type="dxa"/>
            <w:shd w:val="clear" w:color="auto" w:fill="auto"/>
          </w:tcPr>
          <w:p w14:paraId="732978C8" w14:textId="77777777" w:rsidR="00A90E9C" w:rsidRPr="008A26D2" w:rsidRDefault="00A90E9C" w:rsidP="0072651A">
            <w:pPr>
              <w:jc w:val="center"/>
              <w:rPr>
                <w:rFonts w:ascii="Arial" w:hAnsi="Arial" w:cs="Arial"/>
                <w:sz w:val="20"/>
                <w:szCs w:val="20"/>
              </w:rPr>
            </w:pPr>
            <w:r w:rsidRPr="008A26D2">
              <w:rPr>
                <w:rFonts w:ascii="Arial" w:hAnsi="Arial" w:cs="Arial"/>
                <w:sz w:val="20"/>
                <w:szCs w:val="20"/>
              </w:rPr>
              <w:t>80%</w:t>
            </w:r>
          </w:p>
        </w:tc>
        <w:tc>
          <w:tcPr>
            <w:tcW w:w="992" w:type="dxa"/>
            <w:gridSpan w:val="2"/>
            <w:shd w:val="clear" w:color="auto" w:fill="auto"/>
          </w:tcPr>
          <w:p w14:paraId="190B7417" w14:textId="77777777" w:rsidR="00A90E9C" w:rsidRPr="008A26D2" w:rsidRDefault="00A90E9C" w:rsidP="0072651A">
            <w:pPr>
              <w:jc w:val="center"/>
              <w:rPr>
                <w:rFonts w:ascii="Arial" w:hAnsi="Arial" w:cs="Arial"/>
                <w:sz w:val="20"/>
                <w:szCs w:val="20"/>
              </w:rPr>
            </w:pPr>
            <w:r w:rsidRPr="008A26D2">
              <w:rPr>
                <w:rFonts w:ascii="Arial" w:hAnsi="Arial" w:cs="Arial"/>
                <w:sz w:val="20"/>
                <w:szCs w:val="20"/>
              </w:rPr>
              <w:t>90%</w:t>
            </w:r>
          </w:p>
        </w:tc>
        <w:tc>
          <w:tcPr>
            <w:tcW w:w="731" w:type="dxa"/>
            <w:shd w:val="clear" w:color="auto" w:fill="auto"/>
          </w:tcPr>
          <w:p w14:paraId="67714B54" w14:textId="77777777" w:rsidR="00A90E9C" w:rsidRPr="008A26D2" w:rsidRDefault="00A90E9C" w:rsidP="0072651A">
            <w:pPr>
              <w:jc w:val="center"/>
              <w:rPr>
                <w:rFonts w:ascii="Arial" w:hAnsi="Arial" w:cs="Arial"/>
                <w:sz w:val="20"/>
                <w:szCs w:val="20"/>
              </w:rPr>
            </w:pPr>
            <w:r w:rsidRPr="008A26D2">
              <w:rPr>
                <w:rFonts w:ascii="Arial" w:hAnsi="Arial" w:cs="Arial"/>
                <w:sz w:val="20"/>
                <w:szCs w:val="20"/>
              </w:rPr>
              <w:t>100%</w:t>
            </w:r>
          </w:p>
        </w:tc>
        <w:tc>
          <w:tcPr>
            <w:tcW w:w="851" w:type="dxa"/>
            <w:shd w:val="clear" w:color="auto" w:fill="auto"/>
          </w:tcPr>
          <w:p w14:paraId="0063BF78" w14:textId="77777777" w:rsidR="00A90E9C" w:rsidRPr="008A26D2" w:rsidRDefault="00A90E9C" w:rsidP="0072651A">
            <w:pPr>
              <w:jc w:val="center"/>
              <w:rPr>
                <w:rFonts w:ascii="Arial" w:hAnsi="Arial" w:cs="Arial"/>
                <w:sz w:val="20"/>
                <w:szCs w:val="20"/>
              </w:rPr>
            </w:pPr>
            <w:r w:rsidRPr="008A26D2">
              <w:rPr>
                <w:rFonts w:ascii="Arial" w:hAnsi="Arial" w:cs="Arial"/>
                <w:sz w:val="20"/>
                <w:szCs w:val="20"/>
              </w:rPr>
              <w:t>100%</w:t>
            </w:r>
          </w:p>
        </w:tc>
        <w:tc>
          <w:tcPr>
            <w:tcW w:w="708" w:type="dxa"/>
            <w:shd w:val="clear" w:color="auto" w:fill="auto"/>
            <w:tcMar>
              <w:top w:w="10" w:type="dxa"/>
              <w:left w:w="10" w:type="dxa"/>
              <w:bottom w:w="0" w:type="dxa"/>
              <w:right w:w="10" w:type="dxa"/>
            </w:tcMar>
          </w:tcPr>
          <w:p w14:paraId="0DB50BEE" w14:textId="77777777" w:rsidR="00A90E9C" w:rsidRPr="008A26D2" w:rsidRDefault="00A90E9C" w:rsidP="0072651A">
            <w:pPr>
              <w:jc w:val="center"/>
              <w:rPr>
                <w:rFonts w:ascii="Arial" w:hAnsi="Arial" w:cs="Arial"/>
                <w:sz w:val="20"/>
                <w:szCs w:val="20"/>
              </w:rPr>
            </w:pPr>
            <w:r w:rsidRPr="008A26D2">
              <w:rPr>
                <w:rFonts w:ascii="Arial" w:hAnsi="Arial" w:cs="Arial"/>
                <w:sz w:val="20"/>
                <w:szCs w:val="20"/>
              </w:rPr>
              <w:t>100%</w:t>
            </w:r>
          </w:p>
        </w:tc>
      </w:tr>
    </w:tbl>
    <w:p w14:paraId="4A372A57" w14:textId="77777777" w:rsidR="00A90E9C" w:rsidRPr="008A26D2" w:rsidRDefault="00A90E9C" w:rsidP="00A90E9C"/>
    <w:p w14:paraId="1E4E924B" w14:textId="77777777" w:rsidR="004941CB" w:rsidRPr="008A26D2" w:rsidRDefault="004941CB" w:rsidP="00E94846"/>
    <w:tbl>
      <w:tblPr>
        <w:tblW w:w="8222"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850"/>
        <w:gridCol w:w="443"/>
        <w:gridCol w:w="266"/>
        <w:gridCol w:w="851"/>
        <w:gridCol w:w="567"/>
        <w:gridCol w:w="283"/>
        <w:gridCol w:w="709"/>
        <w:gridCol w:w="709"/>
        <w:gridCol w:w="850"/>
        <w:gridCol w:w="591"/>
        <w:gridCol w:w="401"/>
        <w:gridCol w:w="993"/>
      </w:tblGrid>
      <w:tr w:rsidR="008A26D2" w:rsidRPr="008A26D2" w14:paraId="548B17D5" w14:textId="77777777" w:rsidTr="00655F3E">
        <w:trPr>
          <w:trHeight w:val="251"/>
        </w:trPr>
        <w:tc>
          <w:tcPr>
            <w:tcW w:w="8222" w:type="dxa"/>
            <w:gridSpan w:val="13"/>
            <w:shd w:val="clear" w:color="auto" w:fill="D9D9D9" w:themeFill="background1" w:themeFillShade="D9"/>
            <w:tcMar>
              <w:top w:w="10" w:type="dxa"/>
              <w:left w:w="10" w:type="dxa"/>
              <w:bottom w:w="0" w:type="dxa"/>
              <w:right w:w="10" w:type="dxa"/>
            </w:tcMar>
            <w:vAlign w:val="center"/>
          </w:tcPr>
          <w:p w14:paraId="6156A880" w14:textId="506CA877" w:rsidR="00E94846" w:rsidRPr="008A26D2" w:rsidRDefault="00E94846" w:rsidP="00655F3E">
            <w:pPr>
              <w:ind w:left="-297"/>
              <w:jc w:val="center"/>
              <w:rPr>
                <w:rFonts w:ascii="Arial" w:hAnsi="Arial" w:cs="Arial"/>
                <w:sz w:val="20"/>
                <w:szCs w:val="20"/>
              </w:rPr>
            </w:pPr>
            <w:r w:rsidRPr="008A26D2">
              <w:rPr>
                <w:rFonts w:ascii="Arial" w:hAnsi="Arial" w:cs="Arial"/>
                <w:sz w:val="20"/>
                <w:szCs w:val="20"/>
              </w:rPr>
              <w:br w:type="page"/>
            </w:r>
            <w:r w:rsidRPr="008A26D2">
              <w:rPr>
                <w:rFonts w:ascii="Arial" w:hAnsi="Arial" w:cs="Arial"/>
                <w:b/>
                <w:sz w:val="20"/>
                <w:szCs w:val="20"/>
              </w:rPr>
              <w:t>FICHA TÉCNICA DE INDICADOR DE SERVICIO 2.</w:t>
            </w:r>
            <w:r w:rsidR="003A517E">
              <w:rPr>
                <w:rFonts w:ascii="Arial" w:hAnsi="Arial" w:cs="Arial"/>
                <w:b/>
                <w:sz w:val="20"/>
                <w:szCs w:val="20"/>
              </w:rPr>
              <w:t>3</w:t>
            </w:r>
            <w:r w:rsidRPr="008A26D2">
              <w:rPr>
                <w:rFonts w:ascii="Arial" w:hAnsi="Arial" w:cs="Arial"/>
                <w:b/>
                <w:sz w:val="20"/>
                <w:szCs w:val="20"/>
              </w:rPr>
              <w:t>.</w:t>
            </w:r>
            <w:r w:rsidR="003A517E">
              <w:rPr>
                <w:rFonts w:ascii="Arial" w:hAnsi="Arial" w:cs="Arial"/>
                <w:b/>
                <w:sz w:val="20"/>
                <w:szCs w:val="20"/>
              </w:rPr>
              <w:t>1</w:t>
            </w:r>
          </w:p>
        </w:tc>
      </w:tr>
      <w:tr w:rsidR="008A26D2" w:rsidRPr="008A26D2" w14:paraId="772CD9A6" w14:textId="77777777" w:rsidTr="00655F3E">
        <w:trPr>
          <w:trHeight w:val="409"/>
        </w:trPr>
        <w:tc>
          <w:tcPr>
            <w:tcW w:w="2002" w:type="dxa"/>
            <w:gridSpan w:val="3"/>
            <w:shd w:val="clear" w:color="auto" w:fill="FFFFFF"/>
            <w:tcMar>
              <w:top w:w="10" w:type="dxa"/>
              <w:left w:w="93" w:type="dxa"/>
              <w:bottom w:w="0" w:type="dxa"/>
              <w:right w:w="10" w:type="dxa"/>
            </w:tcMar>
            <w:vAlign w:val="center"/>
          </w:tcPr>
          <w:p w14:paraId="771E1E57" w14:textId="77777777" w:rsidR="00E94846" w:rsidRPr="008A26D2" w:rsidRDefault="00E94846" w:rsidP="00655F3E">
            <w:pPr>
              <w:rPr>
                <w:rFonts w:ascii="Arial" w:hAnsi="Arial" w:cs="Arial"/>
                <w:sz w:val="20"/>
                <w:szCs w:val="20"/>
              </w:rPr>
            </w:pPr>
            <w:r w:rsidRPr="008A26D2">
              <w:rPr>
                <w:rFonts w:ascii="Arial" w:hAnsi="Arial" w:cs="Arial"/>
                <w:b/>
                <w:sz w:val="20"/>
                <w:szCs w:val="20"/>
              </w:rPr>
              <w:t>Objetivo prioritario:</w:t>
            </w:r>
          </w:p>
        </w:tc>
        <w:tc>
          <w:tcPr>
            <w:tcW w:w="6220" w:type="dxa"/>
            <w:gridSpan w:val="10"/>
            <w:shd w:val="clear" w:color="auto" w:fill="FFFFFF"/>
            <w:tcMar>
              <w:top w:w="51" w:type="dxa"/>
              <w:left w:w="227" w:type="dxa"/>
              <w:bottom w:w="51" w:type="dxa"/>
              <w:right w:w="227" w:type="dxa"/>
            </w:tcMar>
            <w:vAlign w:val="center"/>
          </w:tcPr>
          <w:p w14:paraId="597EF93F" w14:textId="77777777" w:rsidR="00E94846" w:rsidRPr="008A26D2" w:rsidRDefault="00E94846" w:rsidP="00655F3E">
            <w:pPr>
              <w:pBdr>
                <w:top w:val="nil"/>
                <w:left w:val="nil"/>
                <w:bottom w:val="nil"/>
                <w:right w:val="nil"/>
                <w:between w:val="nil"/>
              </w:pBdr>
              <w:spacing w:after="0" w:line="240" w:lineRule="auto"/>
              <w:jc w:val="both"/>
              <w:rPr>
                <w:rFonts w:ascii="Arial" w:hAnsi="Arial" w:cs="Arial"/>
                <w:sz w:val="20"/>
                <w:szCs w:val="20"/>
              </w:rPr>
            </w:pPr>
            <w:r w:rsidRPr="008A26D2">
              <w:rPr>
                <w:rFonts w:ascii="Arial" w:hAnsi="Arial" w:cs="Arial"/>
                <w:sz w:val="20"/>
                <w:szCs w:val="20"/>
              </w:rPr>
              <w:t>OP2 Incrementar la productividad de los ecosistemas forestales, otros ecosistemas de vegetación silvestre y de la fauna silvestre</w:t>
            </w:r>
          </w:p>
        </w:tc>
      </w:tr>
      <w:tr w:rsidR="008A26D2" w:rsidRPr="008A26D2" w14:paraId="5348B064" w14:textId="77777777" w:rsidTr="00655F3E">
        <w:trPr>
          <w:trHeight w:val="436"/>
        </w:trPr>
        <w:tc>
          <w:tcPr>
            <w:tcW w:w="2002" w:type="dxa"/>
            <w:gridSpan w:val="3"/>
            <w:shd w:val="clear" w:color="auto" w:fill="auto"/>
            <w:tcMar>
              <w:top w:w="10" w:type="dxa"/>
              <w:left w:w="93" w:type="dxa"/>
              <w:bottom w:w="0" w:type="dxa"/>
              <w:right w:w="10" w:type="dxa"/>
            </w:tcMar>
            <w:vAlign w:val="center"/>
          </w:tcPr>
          <w:p w14:paraId="0EA6A780" w14:textId="77777777" w:rsidR="00E94846" w:rsidRPr="008A26D2" w:rsidRDefault="00E94846" w:rsidP="00655F3E">
            <w:pPr>
              <w:rPr>
                <w:rFonts w:ascii="Arial" w:hAnsi="Arial" w:cs="Arial"/>
                <w:sz w:val="20"/>
                <w:szCs w:val="20"/>
              </w:rPr>
            </w:pPr>
            <w:r w:rsidRPr="008A26D2">
              <w:rPr>
                <w:rFonts w:ascii="Arial" w:hAnsi="Arial" w:cs="Arial"/>
                <w:b/>
                <w:sz w:val="20"/>
                <w:szCs w:val="20"/>
              </w:rPr>
              <w:t>Lineamiento de la política:</w:t>
            </w:r>
          </w:p>
        </w:tc>
        <w:tc>
          <w:tcPr>
            <w:tcW w:w="6220" w:type="dxa"/>
            <w:gridSpan w:val="10"/>
            <w:shd w:val="clear" w:color="auto" w:fill="auto"/>
            <w:tcMar>
              <w:top w:w="51" w:type="dxa"/>
              <w:left w:w="227" w:type="dxa"/>
              <w:bottom w:w="51" w:type="dxa"/>
              <w:right w:w="227" w:type="dxa"/>
            </w:tcMar>
            <w:vAlign w:val="center"/>
          </w:tcPr>
          <w:p w14:paraId="2A748615" w14:textId="1E2CD1A7" w:rsidR="00E94846" w:rsidRPr="008A26D2" w:rsidRDefault="003A517E" w:rsidP="00655F3E">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L2.3 Mejorar la infraestructura, equipamiento y servicios para las actividades forestales y de fauna silvestre</w:t>
            </w:r>
          </w:p>
        </w:tc>
      </w:tr>
      <w:tr w:rsidR="008A26D2" w:rsidRPr="008A26D2" w14:paraId="58A696DA" w14:textId="77777777" w:rsidTr="00655F3E">
        <w:trPr>
          <w:trHeight w:val="404"/>
        </w:trPr>
        <w:tc>
          <w:tcPr>
            <w:tcW w:w="2002" w:type="dxa"/>
            <w:gridSpan w:val="3"/>
            <w:shd w:val="clear" w:color="auto" w:fill="auto"/>
            <w:tcMar>
              <w:top w:w="10" w:type="dxa"/>
              <w:left w:w="93" w:type="dxa"/>
              <w:bottom w:w="0" w:type="dxa"/>
              <w:right w:w="10" w:type="dxa"/>
            </w:tcMar>
            <w:vAlign w:val="center"/>
          </w:tcPr>
          <w:p w14:paraId="26A3C139" w14:textId="77777777" w:rsidR="00E94846" w:rsidRPr="008A26D2" w:rsidRDefault="00E94846" w:rsidP="00655F3E">
            <w:pPr>
              <w:rPr>
                <w:rFonts w:ascii="Arial" w:hAnsi="Arial" w:cs="Arial"/>
                <w:sz w:val="20"/>
                <w:szCs w:val="20"/>
              </w:rPr>
            </w:pPr>
            <w:r w:rsidRPr="008A26D2">
              <w:rPr>
                <w:rFonts w:ascii="Arial" w:hAnsi="Arial" w:cs="Arial"/>
                <w:b/>
                <w:sz w:val="20"/>
                <w:szCs w:val="20"/>
              </w:rPr>
              <w:t>Nombre del servicio:</w:t>
            </w:r>
          </w:p>
        </w:tc>
        <w:tc>
          <w:tcPr>
            <w:tcW w:w="6220" w:type="dxa"/>
            <w:gridSpan w:val="10"/>
            <w:shd w:val="clear" w:color="auto" w:fill="auto"/>
            <w:tcMar>
              <w:top w:w="51" w:type="dxa"/>
              <w:left w:w="227" w:type="dxa"/>
              <w:bottom w:w="51" w:type="dxa"/>
              <w:right w:w="227" w:type="dxa"/>
            </w:tcMar>
            <w:vAlign w:val="center"/>
          </w:tcPr>
          <w:p w14:paraId="733879D3" w14:textId="1A675DDB" w:rsidR="00E94846" w:rsidRPr="008A26D2" w:rsidRDefault="00E94846" w:rsidP="00655F3E">
            <w:pPr>
              <w:pBdr>
                <w:top w:val="nil"/>
                <w:left w:val="nil"/>
                <w:bottom w:val="nil"/>
                <w:right w:val="nil"/>
                <w:between w:val="nil"/>
              </w:pBdr>
              <w:spacing w:after="0" w:line="240" w:lineRule="auto"/>
              <w:jc w:val="both"/>
              <w:rPr>
                <w:rFonts w:ascii="Arial" w:eastAsia="Arial Narrow" w:hAnsi="Arial" w:cs="Arial"/>
                <w:sz w:val="20"/>
                <w:szCs w:val="20"/>
              </w:rPr>
            </w:pPr>
            <w:r w:rsidRPr="008A26D2">
              <w:rPr>
                <w:rFonts w:ascii="Arial" w:eastAsia="Arial Narrow" w:hAnsi="Arial" w:cs="Arial"/>
                <w:sz w:val="20"/>
                <w:szCs w:val="20"/>
              </w:rPr>
              <w:t>S2.</w:t>
            </w:r>
            <w:r w:rsidR="00FF105A">
              <w:rPr>
                <w:rFonts w:ascii="Arial" w:eastAsia="Arial Narrow" w:hAnsi="Arial" w:cs="Arial"/>
                <w:sz w:val="20"/>
                <w:szCs w:val="20"/>
              </w:rPr>
              <w:t>3</w:t>
            </w:r>
            <w:r w:rsidRPr="008A26D2">
              <w:rPr>
                <w:rFonts w:ascii="Arial" w:eastAsia="Arial Narrow" w:hAnsi="Arial" w:cs="Arial"/>
                <w:sz w:val="20"/>
                <w:szCs w:val="20"/>
              </w:rPr>
              <w:t>.</w:t>
            </w:r>
            <w:r w:rsidR="00FF105A">
              <w:rPr>
                <w:rFonts w:ascii="Arial" w:eastAsia="Arial Narrow" w:hAnsi="Arial" w:cs="Arial"/>
                <w:sz w:val="20"/>
                <w:szCs w:val="20"/>
              </w:rPr>
              <w:t>1</w:t>
            </w:r>
            <w:r w:rsidRPr="008A26D2">
              <w:rPr>
                <w:rFonts w:ascii="Arial" w:eastAsia="Arial Narrow" w:hAnsi="Arial" w:cs="Arial"/>
                <w:sz w:val="20"/>
                <w:szCs w:val="20"/>
              </w:rPr>
              <w:t xml:space="preserve"> </w:t>
            </w:r>
            <w:r w:rsidR="004941CB" w:rsidRPr="008A26D2">
              <w:rPr>
                <w:rFonts w:ascii="Arial" w:eastAsia="Arial Narrow" w:hAnsi="Arial" w:cs="Arial"/>
                <w:sz w:val="20"/>
                <w:szCs w:val="20"/>
              </w:rPr>
              <w:t>Cofinanciamiento de planes de negocio para mejorar las capacidades productivas y empresariales de forma oportuna a los pequeños y medianos productores forestales y de fauna silvestre organizados</w:t>
            </w:r>
            <w:r w:rsidRPr="008A26D2">
              <w:rPr>
                <w:rFonts w:ascii="Arial" w:eastAsia="Arial Narrow" w:hAnsi="Arial" w:cs="Arial"/>
                <w:sz w:val="20"/>
                <w:szCs w:val="20"/>
              </w:rPr>
              <w:t>.</w:t>
            </w:r>
          </w:p>
        </w:tc>
      </w:tr>
      <w:tr w:rsidR="008A26D2" w:rsidRPr="008A26D2" w14:paraId="48A528E1" w14:textId="77777777" w:rsidTr="00655F3E">
        <w:trPr>
          <w:trHeight w:val="577"/>
        </w:trPr>
        <w:tc>
          <w:tcPr>
            <w:tcW w:w="2002" w:type="dxa"/>
            <w:gridSpan w:val="3"/>
            <w:shd w:val="clear" w:color="auto" w:fill="auto"/>
            <w:tcMar>
              <w:top w:w="10" w:type="dxa"/>
              <w:left w:w="93" w:type="dxa"/>
              <w:bottom w:w="0" w:type="dxa"/>
              <w:right w:w="10" w:type="dxa"/>
            </w:tcMar>
            <w:vAlign w:val="center"/>
          </w:tcPr>
          <w:p w14:paraId="09F60523" w14:textId="77777777" w:rsidR="00E94846" w:rsidRPr="008A26D2" w:rsidRDefault="00E94846" w:rsidP="00655F3E">
            <w:pPr>
              <w:rPr>
                <w:rFonts w:ascii="Arial" w:hAnsi="Arial" w:cs="Arial"/>
                <w:sz w:val="20"/>
                <w:szCs w:val="20"/>
              </w:rPr>
            </w:pPr>
            <w:r w:rsidRPr="008A26D2">
              <w:rPr>
                <w:rFonts w:ascii="Arial" w:hAnsi="Arial" w:cs="Arial"/>
                <w:b/>
                <w:sz w:val="20"/>
                <w:szCs w:val="20"/>
              </w:rPr>
              <w:lastRenderedPageBreak/>
              <w:t>Nombre del indicador:</w:t>
            </w:r>
          </w:p>
        </w:tc>
        <w:tc>
          <w:tcPr>
            <w:tcW w:w="6220" w:type="dxa"/>
            <w:gridSpan w:val="10"/>
            <w:shd w:val="clear" w:color="auto" w:fill="auto"/>
            <w:tcMar>
              <w:top w:w="51" w:type="dxa"/>
              <w:left w:w="227" w:type="dxa"/>
              <w:bottom w:w="51" w:type="dxa"/>
              <w:right w:w="227" w:type="dxa"/>
            </w:tcMar>
            <w:vAlign w:val="center"/>
          </w:tcPr>
          <w:p w14:paraId="3E2FBE52" w14:textId="0BDEB301" w:rsidR="00E94846" w:rsidRPr="008A26D2" w:rsidRDefault="004941CB" w:rsidP="00655F3E">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Porcentaje de organizaciones agrarias que recibieron oportunamente el primer desembolso para implementar sus planes de negocio del incentivo de adopción de tecnología</w:t>
            </w:r>
            <w:r w:rsidR="00E94846" w:rsidRPr="008A26D2">
              <w:rPr>
                <w:rFonts w:ascii="Arial" w:eastAsia="Arial Narrow" w:hAnsi="Arial" w:cs="Arial"/>
                <w:sz w:val="20"/>
                <w:szCs w:val="20"/>
              </w:rPr>
              <w:t xml:space="preserve">. </w:t>
            </w:r>
          </w:p>
        </w:tc>
      </w:tr>
      <w:tr w:rsidR="008A26D2" w:rsidRPr="008A26D2" w14:paraId="04A4B1B9" w14:textId="77777777" w:rsidTr="00655F3E">
        <w:trPr>
          <w:trHeight w:val="577"/>
        </w:trPr>
        <w:tc>
          <w:tcPr>
            <w:tcW w:w="2002" w:type="dxa"/>
            <w:gridSpan w:val="3"/>
            <w:shd w:val="clear" w:color="auto" w:fill="auto"/>
            <w:tcMar>
              <w:top w:w="10" w:type="dxa"/>
              <w:left w:w="93" w:type="dxa"/>
              <w:bottom w:w="0" w:type="dxa"/>
              <w:right w:w="10" w:type="dxa"/>
            </w:tcMar>
            <w:vAlign w:val="center"/>
          </w:tcPr>
          <w:p w14:paraId="031E1875" w14:textId="77777777" w:rsidR="00E94846" w:rsidRPr="008A26D2" w:rsidRDefault="00E94846" w:rsidP="00655F3E">
            <w:pPr>
              <w:rPr>
                <w:rFonts w:ascii="Arial" w:hAnsi="Arial" w:cs="Arial"/>
                <w:sz w:val="20"/>
                <w:szCs w:val="20"/>
              </w:rPr>
            </w:pPr>
            <w:r w:rsidRPr="008A26D2">
              <w:rPr>
                <w:rFonts w:ascii="Arial" w:hAnsi="Arial" w:cs="Arial"/>
                <w:b/>
                <w:sz w:val="20"/>
                <w:szCs w:val="20"/>
              </w:rPr>
              <w:t>Justificación:</w:t>
            </w:r>
          </w:p>
        </w:tc>
        <w:tc>
          <w:tcPr>
            <w:tcW w:w="6220" w:type="dxa"/>
            <w:gridSpan w:val="10"/>
            <w:shd w:val="clear" w:color="auto" w:fill="auto"/>
            <w:tcMar>
              <w:top w:w="51" w:type="dxa"/>
              <w:left w:w="227" w:type="dxa"/>
              <w:bottom w:w="51" w:type="dxa"/>
              <w:right w:w="227" w:type="dxa"/>
            </w:tcMar>
            <w:vAlign w:val="center"/>
          </w:tcPr>
          <w:p w14:paraId="349CF661" w14:textId="77777777" w:rsidR="00E94846" w:rsidRPr="008A26D2" w:rsidRDefault="00E94846" w:rsidP="00655F3E">
            <w:pPr>
              <w:jc w:val="both"/>
              <w:rPr>
                <w:rFonts w:ascii="Arial" w:eastAsia="Arial Narrow" w:hAnsi="Arial" w:cs="Arial"/>
                <w:sz w:val="20"/>
                <w:szCs w:val="20"/>
              </w:rPr>
            </w:pPr>
            <w:r w:rsidRPr="008A26D2">
              <w:rPr>
                <w:rFonts w:ascii="Arial" w:eastAsia="Arial Narrow" w:hAnsi="Arial" w:cs="Arial"/>
                <w:sz w:val="20"/>
                <w:szCs w:val="20"/>
              </w:rPr>
              <w:t>El indicador permite medir el avance del desembolso oportuno para la implementación de los planes de negocio, el cual debe ejecutarse en el mismo año en el que se firmó el convenio de adjudicación de recursos no reembolsables.</w:t>
            </w:r>
          </w:p>
        </w:tc>
      </w:tr>
      <w:tr w:rsidR="008A26D2" w:rsidRPr="008A26D2" w14:paraId="520D63DB" w14:textId="77777777" w:rsidTr="00655F3E">
        <w:trPr>
          <w:trHeight w:val="352"/>
        </w:trPr>
        <w:tc>
          <w:tcPr>
            <w:tcW w:w="2002" w:type="dxa"/>
            <w:gridSpan w:val="3"/>
            <w:shd w:val="clear" w:color="auto" w:fill="auto"/>
            <w:tcMar>
              <w:top w:w="10" w:type="dxa"/>
              <w:left w:w="93" w:type="dxa"/>
              <w:bottom w:w="0" w:type="dxa"/>
              <w:right w:w="10" w:type="dxa"/>
            </w:tcMar>
            <w:vAlign w:val="center"/>
          </w:tcPr>
          <w:p w14:paraId="3D42BF74" w14:textId="77777777" w:rsidR="00E94846" w:rsidRPr="008A26D2" w:rsidRDefault="00E94846" w:rsidP="00655F3E">
            <w:pPr>
              <w:rPr>
                <w:rFonts w:ascii="Arial" w:hAnsi="Arial" w:cs="Arial"/>
                <w:sz w:val="20"/>
                <w:szCs w:val="20"/>
              </w:rPr>
            </w:pPr>
            <w:r w:rsidRPr="008A26D2">
              <w:rPr>
                <w:rFonts w:ascii="Arial" w:hAnsi="Arial" w:cs="Arial"/>
                <w:b/>
                <w:sz w:val="20"/>
                <w:szCs w:val="20"/>
              </w:rPr>
              <w:t>Responsable del indicador:</w:t>
            </w:r>
          </w:p>
        </w:tc>
        <w:tc>
          <w:tcPr>
            <w:tcW w:w="6220" w:type="dxa"/>
            <w:gridSpan w:val="10"/>
            <w:shd w:val="clear" w:color="auto" w:fill="auto"/>
            <w:tcMar>
              <w:top w:w="51" w:type="dxa"/>
              <w:left w:w="227" w:type="dxa"/>
              <w:bottom w:w="51" w:type="dxa"/>
              <w:right w:w="227" w:type="dxa"/>
            </w:tcMar>
            <w:vAlign w:val="center"/>
          </w:tcPr>
          <w:p w14:paraId="44B7964A" w14:textId="77777777" w:rsidR="00E94846" w:rsidRPr="008A26D2" w:rsidRDefault="00E94846" w:rsidP="00655F3E">
            <w:pPr>
              <w:rPr>
                <w:rFonts w:ascii="Arial" w:eastAsia="Arial Narrow" w:hAnsi="Arial" w:cs="Arial"/>
                <w:sz w:val="20"/>
                <w:szCs w:val="20"/>
              </w:rPr>
            </w:pPr>
            <w:r w:rsidRPr="008A26D2">
              <w:rPr>
                <w:rFonts w:ascii="Arial" w:eastAsia="Arial Narrow" w:hAnsi="Arial" w:cs="Arial"/>
                <w:sz w:val="20"/>
                <w:szCs w:val="20"/>
              </w:rPr>
              <w:t>Programa de Compensaciones para la Competitividad - AGROIDEAS del Ministerio de Desarrollo Agrario y Riego -MIDAGRI</w:t>
            </w:r>
          </w:p>
        </w:tc>
      </w:tr>
      <w:tr w:rsidR="008A26D2" w:rsidRPr="008A26D2" w14:paraId="7F327FCF" w14:textId="77777777" w:rsidTr="00655F3E">
        <w:trPr>
          <w:trHeight w:val="1072"/>
        </w:trPr>
        <w:tc>
          <w:tcPr>
            <w:tcW w:w="2002" w:type="dxa"/>
            <w:gridSpan w:val="3"/>
            <w:shd w:val="clear" w:color="auto" w:fill="auto"/>
            <w:tcMar>
              <w:top w:w="10" w:type="dxa"/>
              <w:left w:w="93" w:type="dxa"/>
              <w:bottom w:w="0" w:type="dxa"/>
              <w:right w:w="10" w:type="dxa"/>
            </w:tcMar>
            <w:vAlign w:val="center"/>
          </w:tcPr>
          <w:p w14:paraId="66BCB3A1" w14:textId="77777777" w:rsidR="00E94846" w:rsidRPr="008A26D2" w:rsidRDefault="00E94846" w:rsidP="00655F3E">
            <w:pPr>
              <w:rPr>
                <w:rFonts w:ascii="Arial" w:hAnsi="Arial" w:cs="Arial"/>
                <w:sz w:val="20"/>
                <w:szCs w:val="20"/>
              </w:rPr>
            </w:pPr>
            <w:r w:rsidRPr="008A26D2">
              <w:rPr>
                <w:rFonts w:ascii="Arial" w:hAnsi="Arial" w:cs="Arial"/>
                <w:b/>
                <w:sz w:val="20"/>
                <w:szCs w:val="20"/>
              </w:rPr>
              <w:t>Limitaciones para la medición del indicador:</w:t>
            </w:r>
          </w:p>
        </w:tc>
        <w:tc>
          <w:tcPr>
            <w:tcW w:w="6220" w:type="dxa"/>
            <w:gridSpan w:val="10"/>
            <w:shd w:val="clear" w:color="auto" w:fill="auto"/>
            <w:tcMar>
              <w:top w:w="51" w:type="dxa"/>
              <w:left w:w="227" w:type="dxa"/>
              <w:bottom w:w="51" w:type="dxa"/>
              <w:right w:w="227" w:type="dxa"/>
            </w:tcMar>
            <w:vAlign w:val="center"/>
          </w:tcPr>
          <w:p w14:paraId="704416FB" w14:textId="77777777" w:rsidR="00E94846" w:rsidRPr="008A26D2" w:rsidRDefault="00E94846" w:rsidP="00655F3E">
            <w:pPr>
              <w:jc w:val="both"/>
              <w:rPr>
                <w:rFonts w:ascii="Arial" w:hAnsi="Arial" w:cs="Arial"/>
                <w:sz w:val="20"/>
                <w:szCs w:val="20"/>
              </w:rPr>
            </w:pPr>
            <w:r w:rsidRPr="008A26D2">
              <w:rPr>
                <w:rFonts w:ascii="Arial" w:hAnsi="Arial" w:cs="Arial"/>
                <w:sz w:val="20"/>
                <w:szCs w:val="20"/>
              </w:rPr>
              <w:t>La intervención del Programa de Compensaciones para la Competitividad – AGROIDEAS es a demanda de las Organizaciones Agrarias, por lo que podría no existir un plan de negocio del incentivo de adopción de tecnología relacionado a las cadenas forestales no maderables y de fauna silvestre en determinado año si es que no ha sido solicitado.</w:t>
            </w:r>
          </w:p>
        </w:tc>
      </w:tr>
      <w:tr w:rsidR="008A26D2" w:rsidRPr="008A26D2" w14:paraId="642A08BA" w14:textId="77777777" w:rsidTr="00655F3E">
        <w:trPr>
          <w:trHeight w:val="231"/>
        </w:trPr>
        <w:tc>
          <w:tcPr>
            <w:tcW w:w="2002" w:type="dxa"/>
            <w:gridSpan w:val="3"/>
            <w:shd w:val="clear" w:color="auto" w:fill="auto"/>
            <w:tcMar>
              <w:top w:w="10" w:type="dxa"/>
              <w:left w:w="93" w:type="dxa"/>
              <w:bottom w:w="0" w:type="dxa"/>
              <w:right w:w="10" w:type="dxa"/>
            </w:tcMar>
            <w:vAlign w:val="center"/>
          </w:tcPr>
          <w:p w14:paraId="4F5E264E" w14:textId="77777777" w:rsidR="00E94846" w:rsidRPr="008A26D2" w:rsidRDefault="00E94846" w:rsidP="00655F3E">
            <w:pPr>
              <w:rPr>
                <w:rFonts w:ascii="Arial" w:hAnsi="Arial" w:cs="Arial"/>
                <w:sz w:val="20"/>
                <w:szCs w:val="20"/>
              </w:rPr>
            </w:pPr>
            <w:r w:rsidRPr="008A26D2">
              <w:rPr>
                <w:rFonts w:ascii="Arial" w:hAnsi="Arial" w:cs="Arial"/>
                <w:b/>
                <w:sz w:val="20"/>
                <w:szCs w:val="20"/>
              </w:rPr>
              <w:t xml:space="preserve">Método de cálculo: </w:t>
            </w:r>
          </w:p>
        </w:tc>
        <w:tc>
          <w:tcPr>
            <w:tcW w:w="6220" w:type="dxa"/>
            <w:gridSpan w:val="10"/>
            <w:shd w:val="clear" w:color="auto" w:fill="auto"/>
            <w:tcMar>
              <w:top w:w="51" w:type="dxa"/>
              <w:left w:w="227" w:type="dxa"/>
              <w:bottom w:w="51" w:type="dxa"/>
              <w:right w:w="227" w:type="dxa"/>
            </w:tcMar>
            <w:vAlign w:val="center"/>
          </w:tcPr>
          <w:p w14:paraId="69F04CC9" w14:textId="77777777" w:rsidR="00E94846" w:rsidRPr="008A26D2" w:rsidRDefault="00E94846" w:rsidP="003C58DC">
            <w:pPr>
              <w:pStyle w:val="Prrafodelista"/>
              <w:numPr>
                <w:ilvl w:val="0"/>
                <w:numId w:val="49"/>
              </w:numPr>
              <w:spacing w:before="120" w:after="200" w:line="264" w:lineRule="auto"/>
              <w:ind w:left="328" w:hanging="284"/>
              <w:rPr>
                <w:rFonts w:ascii="Arial" w:eastAsia="Arial Narrow" w:hAnsi="Arial" w:cs="Arial"/>
                <w:b/>
                <w:sz w:val="20"/>
                <w:szCs w:val="20"/>
              </w:rPr>
            </w:pPr>
            <w:r w:rsidRPr="008A26D2">
              <w:rPr>
                <w:rFonts w:ascii="Arial" w:eastAsia="Arial Narrow" w:hAnsi="Arial" w:cs="Arial"/>
                <w:b/>
                <w:sz w:val="20"/>
                <w:szCs w:val="20"/>
              </w:rPr>
              <w:t>Fórmula:</w:t>
            </w:r>
          </w:p>
          <w:p w14:paraId="42BE9BAD" w14:textId="77777777" w:rsidR="00E94846" w:rsidRPr="008A26D2" w:rsidRDefault="00E94846" w:rsidP="00655F3E">
            <w:pPr>
              <w:ind w:left="183"/>
              <w:rPr>
                <w:rFonts w:ascii="Arial" w:eastAsia="Arial Narrow" w:hAnsi="Arial" w:cs="Arial"/>
                <w:sz w:val="20"/>
                <w:szCs w:val="20"/>
              </w:rPr>
            </w:pPr>
            <w:r w:rsidRPr="008A26D2">
              <w:rPr>
                <w:rFonts w:ascii="Arial" w:eastAsia="Arial Narrow" w:hAnsi="Arial" w:cs="Arial"/>
                <w:sz w:val="20"/>
                <w:szCs w:val="20"/>
              </w:rPr>
              <w:t>(A/B)*100</w:t>
            </w:r>
          </w:p>
          <w:p w14:paraId="256721D4" w14:textId="77777777" w:rsidR="00E94846" w:rsidRPr="008A26D2" w:rsidRDefault="00E94846" w:rsidP="00655F3E">
            <w:pPr>
              <w:ind w:left="183"/>
              <w:rPr>
                <w:rFonts w:ascii="Arial" w:eastAsia="Arial Narrow" w:hAnsi="Arial" w:cs="Arial"/>
                <w:sz w:val="20"/>
                <w:szCs w:val="20"/>
              </w:rPr>
            </w:pPr>
            <w:r w:rsidRPr="008A26D2">
              <w:rPr>
                <w:rFonts w:ascii="Arial" w:eastAsia="Arial Narrow" w:hAnsi="Arial" w:cs="Arial"/>
                <w:sz w:val="20"/>
                <w:szCs w:val="20"/>
              </w:rPr>
              <w:t>Donde:</w:t>
            </w:r>
          </w:p>
          <w:p w14:paraId="00897DAA" w14:textId="2E19BAF9" w:rsidR="00E94846" w:rsidRPr="008A26D2" w:rsidRDefault="00E94846" w:rsidP="00655F3E">
            <w:pPr>
              <w:ind w:left="604" w:hanging="421"/>
              <w:rPr>
                <w:rFonts w:ascii="Arial" w:eastAsia="Arial Narrow" w:hAnsi="Arial" w:cs="Arial"/>
                <w:sz w:val="20"/>
                <w:szCs w:val="20"/>
              </w:rPr>
            </w:pPr>
            <w:r w:rsidRPr="008A26D2">
              <w:rPr>
                <w:rFonts w:ascii="Arial" w:eastAsia="Arial Narrow" w:hAnsi="Arial" w:cs="Arial"/>
                <w:sz w:val="20"/>
                <w:szCs w:val="20"/>
              </w:rPr>
              <w:t>A = Número de organizaciones agrarias que recibieron</w:t>
            </w:r>
            <w:r w:rsidR="00DB562C" w:rsidRPr="00DB562C">
              <w:rPr>
                <w:rFonts w:ascii="Arial" w:eastAsia="Arial Narrow" w:hAnsi="Arial" w:cs="Arial"/>
                <w:sz w:val="20"/>
                <w:szCs w:val="20"/>
              </w:rPr>
              <w:t xml:space="preserve"> oportunamente el primer desembolso para implementar sus planes de negocio del incentivo de adopción de tecnología</w:t>
            </w:r>
            <w:r w:rsidRPr="008A26D2">
              <w:rPr>
                <w:rFonts w:ascii="Arial" w:eastAsia="Arial Narrow" w:hAnsi="Arial" w:cs="Arial"/>
                <w:sz w:val="20"/>
                <w:szCs w:val="20"/>
              </w:rPr>
              <w:t>.</w:t>
            </w:r>
          </w:p>
          <w:p w14:paraId="35A6865A" w14:textId="77777777" w:rsidR="00E94846" w:rsidRPr="008A26D2" w:rsidRDefault="00E94846" w:rsidP="00655F3E">
            <w:pPr>
              <w:ind w:left="604" w:hanging="421"/>
              <w:rPr>
                <w:rFonts w:ascii="Arial" w:eastAsia="Arial Narrow" w:hAnsi="Arial" w:cs="Arial"/>
                <w:sz w:val="20"/>
                <w:szCs w:val="20"/>
              </w:rPr>
            </w:pPr>
            <w:r w:rsidRPr="008A26D2">
              <w:rPr>
                <w:rFonts w:ascii="Arial" w:eastAsia="Arial Narrow" w:hAnsi="Arial" w:cs="Arial"/>
                <w:sz w:val="20"/>
                <w:szCs w:val="20"/>
              </w:rPr>
              <w:t xml:space="preserve">B = Total de organizaciones agrarias que firmaron convenio en el año </w:t>
            </w:r>
          </w:p>
          <w:p w14:paraId="507CE8E3" w14:textId="77777777" w:rsidR="00E94846" w:rsidRPr="008A26D2" w:rsidRDefault="00E94846" w:rsidP="003C58DC">
            <w:pPr>
              <w:pStyle w:val="Prrafodelista"/>
              <w:numPr>
                <w:ilvl w:val="0"/>
                <w:numId w:val="49"/>
              </w:numPr>
              <w:spacing w:before="120" w:after="200" w:line="264" w:lineRule="auto"/>
              <w:ind w:left="179" w:hanging="179"/>
              <w:rPr>
                <w:rFonts w:ascii="Arial" w:eastAsia="Arial Narrow" w:hAnsi="Arial" w:cs="Arial"/>
                <w:b/>
                <w:sz w:val="20"/>
                <w:szCs w:val="20"/>
              </w:rPr>
            </w:pPr>
            <w:r w:rsidRPr="008A26D2">
              <w:rPr>
                <w:rFonts w:ascii="Arial" w:eastAsia="Arial Narrow" w:hAnsi="Arial" w:cs="Arial"/>
                <w:b/>
                <w:sz w:val="20"/>
                <w:szCs w:val="20"/>
              </w:rPr>
              <w:t>Especificaciones técnicas:</w:t>
            </w:r>
          </w:p>
          <w:p w14:paraId="70F59AB9" w14:textId="2279C548" w:rsidR="00323524" w:rsidRDefault="00323524" w:rsidP="00655F3E">
            <w:pPr>
              <w:jc w:val="both"/>
              <w:rPr>
                <w:rFonts w:ascii="Arial" w:eastAsia="Arial Narrow" w:hAnsi="Arial" w:cs="Arial"/>
                <w:sz w:val="20"/>
                <w:szCs w:val="20"/>
              </w:rPr>
            </w:pPr>
            <w:r>
              <w:rPr>
                <w:rFonts w:ascii="Arial" w:eastAsia="Arial Narrow" w:hAnsi="Arial" w:cs="Arial"/>
                <w:sz w:val="20"/>
                <w:szCs w:val="20"/>
              </w:rPr>
              <w:t>La variable A se determina a partir de</w:t>
            </w:r>
            <w:r w:rsidR="00A839A5">
              <w:rPr>
                <w:rFonts w:ascii="Arial" w:eastAsia="Arial Narrow" w:hAnsi="Arial" w:cs="Arial"/>
                <w:sz w:val="20"/>
                <w:szCs w:val="20"/>
              </w:rPr>
              <w:t xml:space="preserve"> las </w:t>
            </w:r>
            <w:r w:rsidR="00A839A5" w:rsidRPr="00A839A5">
              <w:rPr>
                <w:rFonts w:ascii="Arial" w:eastAsia="Arial Narrow" w:hAnsi="Arial" w:cs="Arial"/>
                <w:sz w:val="20"/>
                <w:szCs w:val="20"/>
              </w:rPr>
              <w:t>organizaciones agrarias que recibieron el primer desembolso</w:t>
            </w:r>
            <w:r w:rsidR="00A839A5">
              <w:rPr>
                <w:rFonts w:ascii="Arial" w:eastAsia="Arial Narrow" w:hAnsi="Arial" w:cs="Arial"/>
                <w:sz w:val="20"/>
                <w:szCs w:val="20"/>
              </w:rPr>
              <w:t xml:space="preserve"> para implementar sus planes de negocio del incentivo de adopción de tecnología en el </w:t>
            </w:r>
            <w:r w:rsidR="00D66CED">
              <w:rPr>
                <w:rFonts w:ascii="Arial" w:eastAsia="Arial Narrow" w:hAnsi="Arial" w:cs="Arial"/>
                <w:sz w:val="20"/>
                <w:szCs w:val="20"/>
              </w:rPr>
              <w:t>año de la firma del convenio.</w:t>
            </w:r>
          </w:p>
          <w:p w14:paraId="422C01A6" w14:textId="2C6BB504" w:rsidR="00D66CED" w:rsidRDefault="001420B5" w:rsidP="00655F3E">
            <w:pPr>
              <w:jc w:val="both"/>
              <w:rPr>
                <w:rFonts w:ascii="Arial" w:eastAsia="Arial Narrow" w:hAnsi="Arial" w:cs="Arial"/>
                <w:sz w:val="20"/>
                <w:szCs w:val="20"/>
              </w:rPr>
            </w:pPr>
            <w:r>
              <w:rPr>
                <w:rFonts w:ascii="Arial" w:eastAsia="Arial Narrow" w:hAnsi="Arial" w:cs="Arial"/>
                <w:sz w:val="20"/>
                <w:szCs w:val="20"/>
              </w:rPr>
              <w:t xml:space="preserve">La variable B se determina del total de </w:t>
            </w:r>
            <w:r w:rsidRPr="001420B5">
              <w:rPr>
                <w:rFonts w:ascii="Arial" w:eastAsia="Arial Narrow" w:hAnsi="Arial" w:cs="Arial"/>
                <w:sz w:val="20"/>
                <w:szCs w:val="20"/>
              </w:rPr>
              <w:t>organizaciones agrarias que firmaron convenio en el año</w:t>
            </w:r>
            <w:r w:rsidR="009A1630">
              <w:rPr>
                <w:rFonts w:ascii="Arial" w:eastAsia="Arial Narrow" w:hAnsi="Arial" w:cs="Arial"/>
                <w:sz w:val="20"/>
                <w:szCs w:val="20"/>
              </w:rPr>
              <w:t xml:space="preserve"> de medición</w:t>
            </w:r>
            <w:r>
              <w:rPr>
                <w:rFonts w:ascii="Arial" w:eastAsia="Arial Narrow" w:hAnsi="Arial" w:cs="Arial"/>
                <w:sz w:val="20"/>
                <w:szCs w:val="20"/>
              </w:rPr>
              <w:t>.</w:t>
            </w:r>
          </w:p>
          <w:p w14:paraId="62FF28A0" w14:textId="6E489128" w:rsidR="00E94846" w:rsidRPr="008A26D2" w:rsidRDefault="00E94846" w:rsidP="00655F3E">
            <w:pPr>
              <w:jc w:val="both"/>
              <w:rPr>
                <w:rFonts w:ascii="Arial" w:eastAsia="Arial Narrow" w:hAnsi="Arial" w:cs="Arial"/>
                <w:sz w:val="20"/>
                <w:szCs w:val="20"/>
              </w:rPr>
            </w:pPr>
            <w:r w:rsidRPr="008A26D2">
              <w:rPr>
                <w:rFonts w:ascii="Arial" w:eastAsia="Arial Narrow" w:hAnsi="Arial" w:cs="Arial"/>
                <w:sz w:val="20"/>
                <w:szCs w:val="20"/>
              </w:rPr>
              <w:t>Para la medición del indicador se considera todas las organizaciones agrarias vinculadas con las actividades forestales y de fauna silvestre que han firmado convenio para ejecutar planes de negocio del incentivo de adopción de tecnología.</w:t>
            </w:r>
          </w:p>
          <w:p w14:paraId="57101B20" w14:textId="77777777" w:rsidR="00E94846" w:rsidRDefault="00E94846" w:rsidP="00655F3E">
            <w:pPr>
              <w:jc w:val="both"/>
              <w:rPr>
                <w:rFonts w:ascii="Arial" w:eastAsia="Arial Narrow" w:hAnsi="Arial" w:cs="Arial"/>
                <w:sz w:val="20"/>
                <w:szCs w:val="20"/>
              </w:rPr>
            </w:pPr>
            <w:r w:rsidRPr="008A26D2">
              <w:rPr>
                <w:rFonts w:ascii="Arial" w:eastAsia="Arial Narrow" w:hAnsi="Arial" w:cs="Arial"/>
                <w:sz w:val="20"/>
                <w:szCs w:val="20"/>
              </w:rPr>
              <w:t>Posterior a la firma de convenio, la organización agraria debe elaborar su Plan Operativo Anual, presentar solicitudes de no objeción a los proveedores seleccionados para la adquisición de los bienes, servicios y obras conexas, solicitudes de desembolsos, entre otros documentos.</w:t>
            </w:r>
          </w:p>
          <w:p w14:paraId="71C66BFF" w14:textId="49C971C9" w:rsidR="004941CB" w:rsidRPr="008A26D2" w:rsidRDefault="004941CB" w:rsidP="004941CB">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Se carece de línea base debido a que no se </w:t>
            </w:r>
            <w:r>
              <w:rPr>
                <w:rFonts w:ascii="Arial" w:eastAsia="Arial Narrow" w:hAnsi="Arial" w:cs="Arial"/>
                <w:sz w:val="20"/>
                <w:szCs w:val="20"/>
              </w:rPr>
              <w:t>tomaba en cuenta el estándar</w:t>
            </w:r>
            <w:r w:rsidRPr="008A26D2">
              <w:rPr>
                <w:rFonts w:ascii="Arial" w:eastAsia="Arial Narrow" w:hAnsi="Arial" w:cs="Arial"/>
                <w:sz w:val="20"/>
                <w:szCs w:val="20"/>
              </w:rPr>
              <w:t xml:space="preserve"> como parte de la entrega del servicio. </w:t>
            </w:r>
            <w:r w:rsidR="00272149">
              <w:rPr>
                <w:rFonts w:ascii="Arial" w:eastAsia="Arial Narrow" w:hAnsi="Arial" w:cs="Arial"/>
                <w:sz w:val="20"/>
                <w:szCs w:val="20"/>
              </w:rPr>
              <w:t xml:space="preserve">EL programa de Compensación para la Competitividad - </w:t>
            </w:r>
            <w:r>
              <w:rPr>
                <w:rFonts w:ascii="Arial" w:eastAsia="Arial Narrow" w:hAnsi="Arial" w:cs="Arial"/>
                <w:sz w:val="20"/>
                <w:szCs w:val="20"/>
              </w:rPr>
              <w:t>AGROIDEAS</w:t>
            </w:r>
            <w:r w:rsidRPr="008A26D2">
              <w:rPr>
                <w:rFonts w:ascii="Arial" w:eastAsia="Arial Narrow" w:hAnsi="Arial" w:cs="Arial"/>
                <w:sz w:val="20"/>
                <w:szCs w:val="20"/>
              </w:rPr>
              <w:t xml:space="preserve"> </w:t>
            </w:r>
            <w:r w:rsidRPr="008A26D2">
              <w:rPr>
                <w:rFonts w:ascii="Arial" w:eastAsia="Arial Narrow" w:hAnsi="Arial" w:cs="Arial"/>
                <w:sz w:val="20"/>
                <w:szCs w:val="20"/>
              </w:rPr>
              <w:lastRenderedPageBreak/>
              <w:t>determinará la línea base antes del inicio de la implementación de la presente Política Nacional.</w:t>
            </w:r>
          </w:p>
        </w:tc>
      </w:tr>
      <w:tr w:rsidR="008A26D2" w:rsidRPr="008A26D2" w14:paraId="7196546B" w14:textId="77777777" w:rsidTr="00655F3E">
        <w:trPr>
          <w:trHeight w:val="686"/>
        </w:trPr>
        <w:tc>
          <w:tcPr>
            <w:tcW w:w="2002" w:type="dxa"/>
            <w:gridSpan w:val="3"/>
            <w:shd w:val="clear" w:color="auto" w:fill="auto"/>
            <w:tcMar>
              <w:top w:w="10" w:type="dxa"/>
              <w:left w:w="93" w:type="dxa"/>
              <w:bottom w:w="0" w:type="dxa"/>
              <w:right w:w="10" w:type="dxa"/>
            </w:tcMar>
            <w:vAlign w:val="center"/>
          </w:tcPr>
          <w:p w14:paraId="3B9DA169" w14:textId="77777777" w:rsidR="00E94846" w:rsidRPr="008A26D2" w:rsidRDefault="00E94846" w:rsidP="00655F3E">
            <w:pPr>
              <w:rPr>
                <w:rFonts w:ascii="Arial" w:hAnsi="Arial" w:cs="Arial"/>
                <w:sz w:val="20"/>
                <w:szCs w:val="20"/>
              </w:rPr>
            </w:pPr>
            <w:r w:rsidRPr="008A26D2">
              <w:rPr>
                <w:rFonts w:ascii="Arial" w:hAnsi="Arial" w:cs="Arial"/>
                <w:b/>
                <w:sz w:val="20"/>
                <w:szCs w:val="20"/>
              </w:rPr>
              <w:lastRenderedPageBreak/>
              <w:t>Sentido esperado del indicador:</w:t>
            </w:r>
          </w:p>
        </w:tc>
        <w:tc>
          <w:tcPr>
            <w:tcW w:w="1684" w:type="dxa"/>
            <w:gridSpan w:val="3"/>
            <w:shd w:val="clear" w:color="auto" w:fill="auto"/>
            <w:tcMar>
              <w:top w:w="10" w:type="dxa"/>
              <w:left w:w="283" w:type="dxa"/>
              <w:bottom w:w="0" w:type="dxa"/>
              <w:right w:w="283" w:type="dxa"/>
            </w:tcMar>
            <w:vAlign w:val="center"/>
          </w:tcPr>
          <w:p w14:paraId="29460AD1" w14:textId="77777777" w:rsidR="00E94846" w:rsidRPr="008A26D2" w:rsidRDefault="00E94846" w:rsidP="00655F3E">
            <w:pPr>
              <w:rPr>
                <w:rFonts w:ascii="Arial" w:hAnsi="Arial" w:cs="Arial"/>
                <w:sz w:val="20"/>
                <w:szCs w:val="20"/>
              </w:rPr>
            </w:pPr>
            <w:r w:rsidRPr="008A26D2">
              <w:rPr>
                <w:rFonts w:ascii="Arial" w:hAnsi="Arial" w:cs="Arial"/>
                <w:sz w:val="20"/>
                <w:szCs w:val="20"/>
              </w:rPr>
              <w:t>Ascendente</w:t>
            </w:r>
          </w:p>
        </w:tc>
        <w:tc>
          <w:tcPr>
            <w:tcW w:w="3142" w:type="dxa"/>
            <w:gridSpan w:val="5"/>
            <w:shd w:val="clear" w:color="auto" w:fill="auto"/>
            <w:tcMar>
              <w:top w:w="15" w:type="dxa"/>
              <w:left w:w="15" w:type="dxa"/>
              <w:bottom w:w="0" w:type="dxa"/>
              <w:right w:w="15" w:type="dxa"/>
            </w:tcMar>
            <w:vAlign w:val="center"/>
          </w:tcPr>
          <w:p w14:paraId="7F19CD50" w14:textId="77777777" w:rsidR="00E94846" w:rsidRPr="008A26D2" w:rsidRDefault="00E94846" w:rsidP="00655F3E">
            <w:pPr>
              <w:rPr>
                <w:rFonts w:ascii="Arial" w:hAnsi="Arial" w:cs="Arial"/>
                <w:sz w:val="20"/>
                <w:szCs w:val="20"/>
              </w:rPr>
            </w:pPr>
            <w:r w:rsidRPr="008A26D2">
              <w:rPr>
                <w:rFonts w:ascii="Arial" w:hAnsi="Arial" w:cs="Arial"/>
                <w:b/>
                <w:sz w:val="20"/>
                <w:szCs w:val="20"/>
              </w:rPr>
              <w:t xml:space="preserve"> Tipo de indicador de servicio:</w:t>
            </w:r>
          </w:p>
        </w:tc>
        <w:tc>
          <w:tcPr>
            <w:tcW w:w="1394" w:type="dxa"/>
            <w:gridSpan w:val="2"/>
            <w:shd w:val="clear" w:color="auto" w:fill="auto"/>
            <w:tcMar>
              <w:top w:w="15" w:type="dxa"/>
              <w:left w:w="15" w:type="dxa"/>
              <w:bottom w:w="0" w:type="dxa"/>
              <w:right w:w="15" w:type="dxa"/>
            </w:tcMar>
            <w:vAlign w:val="center"/>
          </w:tcPr>
          <w:p w14:paraId="1BE66AA7" w14:textId="77777777" w:rsidR="00E94846" w:rsidRPr="008A26D2" w:rsidRDefault="00E94846" w:rsidP="00655F3E">
            <w:pPr>
              <w:rPr>
                <w:rFonts w:ascii="Arial" w:hAnsi="Arial" w:cs="Arial"/>
                <w:sz w:val="20"/>
                <w:szCs w:val="20"/>
              </w:rPr>
            </w:pPr>
            <w:r w:rsidRPr="008A26D2">
              <w:rPr>
                <w:rFonts w:ascii="Arial" w:hAnsi="Arial" w:cs="Arial"/>
                <w:sz w:val="20"/>
                <w:szCs w:val="20"/>
              </w:rPr>
              <w:t>Calidad – Oportunidad</w:t>
            </w:r>
          </w:p>
        </w:tc>
      </w:tr>
      <w:tr w:rsidR="008A26D2" w:rsidRPr="008A26D2" w14:paraId="1D6BB33E" w14:textId="77777777" w:rsidTr="00655F3E">
        <w:trPr>
          <w:trHeight w:val="13"/>
        </w:trPr>
        <w:tc>
          <w:tcPr>
            <w:tcW w:w="2002" w:type="dxa"/>
            <w:gridSpan w:val="3"/>
            <w:shd w:val="clear" w:color="auto" w:fill="auto"/>
            <w:tcMar>
              <w:top w:w="10" w:type="dxa"/>
              <w:left w:w="93" w:type="dxa"/>
              <w:bottom w:w="0" w:type="dxa"/>
              <w:right w:w="10" w:type="dxa"/>
            </w:tcMar>
            <w:vAlign w:val="center"/>
          </w:tcPr>
          <w:p w14:paraId="2F317F37" w14:textId="77777777" w:rsidR="00E94846" w:rsidRPr="008A26D2" w:rsidRDefault="00E94846" w:rsidP="00655F3E">
            <w:pPr>
              <w:rPr>
                <w:rFonts w:ascii="Arial" w:hAnsi="Arial" w:cs="Arial"/>
                <w:sz w:val="20"/>
                <w:szCs w:val="20"/>
              </w:rPr>
            </w:pPr>
            <w:r w:rsidRPr="008A26D2">
              <w:rPr>
                <w:rFonts w:ascii="Arial" w:hAnsi="Arial" w:cs="Arial"/>
                <w:b/>
                <w:sz w:val="20"/>
                <w:szCs w:val="20"/>
              </w:rPr>
              <w:t>Fuente y base de datos:</w:t>
            </w:r>
          </w:p>
        </w:tc>
        <w:tc>
          <w:tcPr>
            <w:tcW w:w="6220" w:type="dxa"/>
            <w:gridSpan w:val="10"/>
            <w:shd w:val="clear" w:color="auto" w:fill="auto"/>
            <w:tcMar>
              <w:top w:w="51" w:type="dxa"/>
              <w:left w:w="227" w:type="dxa"/>
              <w:bottom w:w="51" w:type="dxa"/>
              <w:right w:w="227" w:type="dxa"/>
            </w:tcMar>
            <w:vAlign w:val="center"/>
          </w:tcPr>
          <w:p w14:paraId="18EA1BA7" w14:textId="6E5B6F51" w:rsidR="00E94846" w:rsidRPr="008A26D2" w:rsidRDefault="00E94846" w:rsidP="00655F3E">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Fuente: </w:t>
            </w:r>
            <w:r w:rsidR="00854906" w:rsidRPr="00854906">
              <w:rPr>
                <w:rFonts w:ascii="Arial" w:eastAsia="Arial Narrow" w:hAnsi="Arial" w:cs="Arial"/>
                <w:sz w:val="20"/>
                <w:szCs w:val="20"/>
              </w:rPr>
              <w:t xml:space="preserve">Unidad de Planeamiento, Presupuesto y Seguimiento </w:t>
            </w:r>
            <w:r w:rsidR="00854906">
              <w:rPr>
                <w:rFonts w:ascii="Arial" w:eastAsia="Arial Narrow" w:hAnsi="Arial" w:cs="Arial"/>
                <w:sz w:val="20"/>
                <w:szCs w:val="20"/>
              </w:rPr>
              <w:t xml:space="preserve">del </w:t>
            </w:r>
            <w:r w:rsidRPr="008A26D2">
              <w:rPr>
                <w:rFonts w:ascii="Arial" w:eastAsia="Arial Narrow" w:hAnsi="Arial" w:cs="Arial"/>
                <w:sz w:val="20"/>
                <w:szCs w:val="20"/>
              </w:rPr>
              <w:t xml:space="preserve">Programa de Compensación para la Competitividad – AGROIDEAS. </w:t>
            </w:r>
          </w:p>
          <w:p w14:paraId="683391C2" w14:textId="77777777" w:rsidR="00E94846" w:rsidRPr="008A26D2" w:rsidRDefault="00E94846" w:rsidP="00655F3E">
            <w:pPr>
              <w:jc w:val="both"/>
              <w:rPr>
                <w:rFonts w:ascii="Arial" w:eastAsia="Arial Narrow" w:hAnsi="Arial" w:cs="Arial"/>
                <w:sz w:val="20"/>
                <w:szCs w:val="20"/>
              </w:rPr>
            </w:pPr>
            <w:r w:rsidRPr="008A26D2">
              <w:rPr>
                <w:rFonts w:ascii="Arial" w:eastAsia="Arial Narrow" w:hAnsi="Arial" w:cs="Arial"/>
                <w:sz w:val="20"/>
                <w:szCs w:val="20"/>
              </w:rPr>
              <w:t>Base de datos: Base de datos de la Unidad de Planeamiento, Presupuesto y Seguimiento, Sistema en Línea (SEL) V02.</w:t>
            </w:r>
          </w:p>
        </w:tc>
      </w:tr>
      <w:tr w:rsidR="008A26D2" w:rsidRPr="008A26D2" w14:paraId="17F5E858" w14:textId="77777777" w:rsidTr="00655F3E">
        <w:trPr>
          <w:trHeight w:val="436"/>
        </w:trPr>
        <w:tc>
          <w:tcPr>
            <w:tcW w:w="2002" w:type="dxa"/>
            <w:gridSpan w:val="3"/>
            <w:shd w:val="clear" w:color="auto" w:fill="auto"/>
            <w:tcMar>
              <w:top w:w="10" w:type="dxa"/>
              <w:left w:w="93" w:type="dxa"/>
              <w:bottom w:w="0" w:type="dxa"/>
              <w:right w:w="10" w:type="dxa"/>
            </w:tcMar>
            <w:vAlign w:val="center"/>
          </w:tcPr>
          <w:p w14:paraId="47C81D5A" w14:textId="77777777" w:rsidR="00E94846" w:rsidRPr="008A26D2" w:rsidRDefault="00E94846" w:rsidP="00655F3E">
            <w:pPr>
              <w:rPr>
                <w:rFonts w:ascii="Arial" w:hAnsi="Arial" w:cs="Arial"/>
                <w:sz w:val="20"/>
                <w:szCs w:val="20"/>
              </w:rPr>
            </w:pPr>
            <w:r w:rsidRPr="008A26D2">
              <w:rPr>
                <w:rFonts w:ascii="Arial" w:hAnsi="Arial" w:cs="Arial"/>
                <w:b/>
                <w:sz w:val="20"/>
                <w:szCs w:val="20"/>
              </w:rPr>
              <w:t>Supuestos:</w:t>
            </w:r>
          </w:p>
        </w:tc>
        <w:tc>
          <w:tcPr>
            <w:tcW w:w="6220" w:type="dxa"/>
            <w:gridSpan w:val="10"/>
            <w:shd w:val="clear" w:color="auto" w:fill="FFFFFF" w:themeFill="background1"/>
            <w:tcMar>
              <w:top w:w="51" w:type="dxa"/>
              <w:left w:w="227" w:type="dxa"/>
              <w:bottom w:w="51" w:type="dxa"/>
              <w:right w:w="227" w:type="dxa"/>
            </w:tcMar>
            <w:vAlign w:val="center"/>
          </w:tcPr>
          <w:p w14:paraId="631AD8A4" w14:textId="77777777" w:rsidR="00E94846" w:rsidRPr="008A26D2" w:rsidRDefault="00E94846" w:rsidP="00655F3E">
            <w:pPr>
              <w:jc w:val="both"/>
              <w:rPr>
                <w:rFonts w:ascii="Arial" w:eastAsia="Arial Narrow" w:hAnsi="Arial" w:cs="Arial"/>
                <w:sz w:val="20"/>
                <w:szCs w:val="20"/>
              </w:rPr>
            </w:pPr>
            <w:r w:rsidRPr="008A26D2">
              <w:rPr>
                <w:rFonts w:ascii="Arial" w:eastAsia="Arial Narrow" w:hAnsi="Arial" w:cs="Arial"/>
                <w:sz w:val="20"/>
                <w:szCs w:val="20"/>
              </w:rPr>
              <w:t>Todos los años las organizaciones agrarias de las cadenas productivas de la actividad forestal no maderable y fauna silvestre firmaran convenio.</w:t>
            </w:r>
          </w:p>
        </w:tc>
      </w:tr>
      <w:tr w:rsidR="008A26D2" w:rsidRPr="008A26D2" w14:paraId="0CC37773" w14:textId="77777777" w:rsidTr="009A1630">
        <w:trPr>
          <w:trHeight w:val="556"/>
        </w:trPr>
        <w:tc>
          <w:tcPr>
            <w:tcW w:w="709" w:type="dxa"/>
            <w:shd w:val="clear" w:color="auto" w:fill="auto"/>
            <w:tcMar>
              <w:top w:w="10" w:type="dxa"/>
              <w:left w:w="10" w:type="dxa"/>
              <w:bottom w:w="0" w:type="dxa"/>
              <w:right w:w="10" w:type="dxa"/>
            </w:tcMar>
            <w:vAlign w:val="center"/>
          </w:tcPr>
          <w:p w14:paraId="4FDF2680" w14:textId="77777777" w:rsidR="00E94846" w:rsidRPr="008A26D2" w:rsidRDefault="00E94846" w:rsidP="00655F3E">
            <w:pPr>
              <w:rPr>
                <w:rFonts w:ascii="Arial" w:hAnsi="Arial" w:cs="Arial"/>
                <w:sz w:val="20"/>
                <w:szCs w:val="20"/>
              </w:rPr>
            </w:pPr>
            <w:r w:rsidRPr="008A26D2">
              <w:rPr>
                <w:rFonts w:ascii="Arial" w:hAnsi="Arial" w:cs="Arial"/>
                <w:b/>
                <w:sz w:val="20"/>
                <w:szCs w:val="20"/>
              </w:rPr>
              <w:t> </w:t>
            </w:r>
          </w:p>
        </w:tc>
        <w:tc>
          <w:tcPr>
            <w:tcW w:w="850" w:type="dxa"/>
            <w:shd w:val="clear" w:color="auto" w:fill="auto"/>
            <w:tcMar>
              <w:top w:w="10" w:type="dxa"/>
              <w:left w:w="10" w:type="dxa"/>
              <w:bottom w:w="0" w:type="dxa"/>
              <w:right w:w="10" w:type="dxa"/>
            </w:tcMar>
            <w:vAlign w:val="center"/>
          </w:tcPr>
          <w:p w14:paraId="3ED4CE9F" w14:textId="77777777" w:rsidR="00E94846" w:rsidRPr="008A26D2" w:rsidRDefault="00E94846" w:rsidP="00655F3E">
            <w:pPr>
              <w:jc w:val="center"/>
              <w:rPr>
                <w:rFonts w:ascii="Arial" w:hAnsi="Arial" w:cs="Arial"/>
                <w:sz w:val="20"/>
                <w:szCs w:val="20"/>
              </w:rPr>
            </w:pPr>
            <w:r w:rsidRPr="008A26D2">
              <w:rPr>
                <w:rFonts w:ascii="Arial" w:hAnsi="Arial" w:cs="Arial"/>
                <w:b/>
                <w:sz w:val="20"/>
                <w:szCs w:val="20"/>
              </w:rPr>
              <w:t>Línea de base</w:t>
            </w:r>
          </w:p>
        </w:tc>
        <w:tc>
          <w:tcPr>
            <w:tcW w:w="6663" w:type="dxa"/>
            <w:gridSpan w:val="11"/>
            <w:shd w:val="clear" w:color="auto" w:fill="auto"/>
            <w:tcMar>
              <w:top w:w="10" w:type="dxa"/>
              <w:left w:w="10" w:type="dxa"/>
              <w:bottom w:w="0" w:type="dxa"/>
              <w:right w:w="10" w:type="dxa"/>
            </w:tcMar>
            <w:vAlign w:val="center"/>
          </w:tcPr>
          <w:p w14:paraId="0507869A" w14:textId="77777777" w:rsidR="00E94846" w:rsidRPr="008A26D2" w:rsidRDefault="00E94846" w:rsidP="00655F3E">
            <w:pPr>
              <w:jc w:val="center"/>
              <w:rPr>
                <w:rFonts w:ascii="Arial" w:hAnsi="Arial" w:cs="Arial"/>
                <w:sz w:val="20"/>
                <w:szCs w:val="20"/>
              </w:rPr>
            </w:pPr>
            <w:r w:rsidRPr="008A26D2">
              <w:rPr>
                <w:rFonts w:ascii="Arial" w:hAnsi="Arial" w:cs="Arial"/>
                <w:b/>
                <w:sz w:val="20"/>
                <w:szCs w:val="20"/>
              </w:rPr>
              <w:t xml:space="preserve">Logros esperados </w:t>
            </w:r>
          </w:p>
        </w:tc>
      </w:tr>
      <w:tr w:rsidR="008A26D2" w:rsidRPr="008A26D2" w14:paraId="2F88931A" w14:textId="77777777" w:rsidTr="009A1630">
        <w:trPr>
          <w:trHeight w:val="217"/>
        </w:trPr>
        <w:tc>
          <w:tcPr>
            <w:tcW w:w="709" w:type="dxa"/>
            <w:shd w:val="clear" w:color="auto" w:fill="auto"/>
            <w:tcMar>
              <w:top w:w="10" w:type="dxa"/>
              <w:left w:w="10" w:type="dxa"/>
              <w:bottom w:w="0" w:type="dxa"/>
              <w:right w:w="10" w:type="dxa"/>
            </w:tcMar>
            <w:vAlign w:val="center"/>
          </w:tcPr>
          <w:p w14:paraId="41CA1E6A" w14:textId="77777777" w:rsidR="00E94846" w:rsidRPr="008A26D2" w:rsidRDefault="00E94846" w:rsidP="00655F3E">
            <w:pPr>
              <w:jc w:val="center"/>
              <w:rPr>
                <w:rFonts w:ascii="Arial" w:hAnsi="Arial" w:cs="Arial"/>
                <w:sz w:val="20"/>
                <w:szCs w:val="20"/>
              </w:rPr>
            </w:pPr>
            <w:r w:rsidRPr="008A26D2">
              <w:rPr>
                <w:rFonts w:ascii="Arial" w:hAnsi="Arial" w:cs="Arial"/>
                <w:b/>
                <w:sz w:val="20"/>
                <w:szCs w:val="20"/>
              </w:rPr>
              <w:t>Año</w:t>
            </w:r>
          </w:p>
        </w:tc>
        <w:tc>
          <w:tcPr>
            <w:tcW w:w="850" w:type="dxa"/>
            <w:shd w:val="clear" w:color="auto" w:fill="auto"/>
            <w:tcMar>
              <w:top w:w="10" w:type="dxa"/>
              <w:left w:w="10" w:type="dxa"/>
              <w:bottom w:w="0" w:type="dxa"/>
              <w:right w:w="10" w:type="dxa"/>
            </w:tcMar>
            <w:vAlign w:val="center"/>
          </w:tcPr>
          <w:p w14:paraId="01FDA5B9" w14:textId="77777777" w:rsidR="00E94846" w:rsidRPr="008A26D2" w:rsidRDefault="00E94846" w:rsidP="00655F3E">
            <w:pPr>
              <w:jc w:val="center"/>
              <w:rPr>
                <w:rFonts w:ascii="Arial" w:hAnsi="Arial" w:cs="Arial"/>
                <w:b/>
                <w:sz w:val="20"/>
                <w:szCs w:val="20"/>
              </w:rPr>
            </w:pPr>
            <w:r w:rsidRPr="008A26D2">
              <w:rPr>
                <w:rFonts w:ascii="Arial" w:hAnsi="Arial" w:cs="Arial"/>
                <w:b/>
                <w:sz w:val="20"/>
                <w:szCs w:val="20"/>
              </w:rPr>
              <w:t>2022</w:t>
            </w:r>
          </w:p>
        </w:tc>
        <w:tc>
          <w:tcPr>
            <w:tcW w:w="709" w:type="dxa"/>
            <w:gridSpan w:val="2"/>
            <w:shd w:val="clear" w:color="auto" w:fill="auto"/>
            <w:tcMar>
              <w:top w:w="10" w:type="dxa"/>
              <w:left w:w="10" w:type="dxa"/>
              <w:bottom w:w="0" w:type="dxa"/>
              <w:right w:w="10" w:type="dxa"/>
            </w:tcMar>
            <w:vAlign w:val="center"/>
          </w:tcPr>
          <w:p w14:paraId="7ACB5C2E" w14:textId="77777777" w:rsidR="00E94846" w:rsidRPr="008A26D2" w:rsidRDefault="00E94846" w:rsidP="00655F3E">
            <w:pPr>
              <w:jc w:val="center"/>
              <w:rPr>
                <w:rFonts w:ascii="Arial" w:hAnsi="Arial" w:cs="Arial"/>
                <w:b/>
                <w:sz w:val="20"/>
                <w:szCs w:val="20"/>
              </w:rPr>
            </w:pPr>
            <w:r w:rsidRPr="008A26D2">
              <w:rPr>
                <w:rFonts w:ascii="Arial" w:hAnsi="Arial" w:cs="Arial"/>
                <w:b/>
                <w:sz w:val="20"/>
                <w:szCs w:val="20"/>
              </w:rPr>
              <w:t>2023</w:t>
            </w:r>
          </w:p>
        </w:tc>
        <w:tc>
          <w:tcPr>
            <w:tcW w:w="851" w:type="dxa"/>
            <w:shd w:val="clear" w:color="auto" w:fill="auto"/>
            <w:vAlign w:val="center"/>
          </w:tcPr>
          <w:p w14:paraId="669C56D5" w14:textId="77777777" w:rsidR="00E94846" w:rsidRPr="008A26D2" w:rsidRDefault="00E94846" w:rsidP="00655F3E">
            <w:pPr>
              <w:jc w:val="center"/>
              <w:rPr>
                <w:rFonts w:ascii="Arial" w:hAnsi="Arial" w:cs="Arial"/>
                <w:b/>
                <w:sz w:val="20"/>
                <w:szCs w:val="20"/>
              </w:rPr>
            </w:pPr>
            <w:r w:rsidRPr="008A26D2">
              <w:rPr>
                <w:rFonts w:ascii="Arial" w:hAnsi="Arial" w:cs="Arial"/>
                <w:b/>
                <w:sz w:val="20"/>
                <w:szCs w:val="20"/>
              </w:rPr>
              <w:t>2024</w:t>
            </w:r>
          </w:p>
        </w:tc>
        <w:tc>
          <w:tcPr>
            <w:tcW w:w="850" w:type="dxa"/>
            <w:gridSpan w:val="2"/>
            <w:shd w:val="clear" w:color="auto" w:fill="auto"/>
            <w:vAlign w:val="center"/>
          </w:tcPr>
          <w:p w14:paraId="16BC1F8B" w14:textId="77777777" w:rsidR="00E94846" w:rsidRPr="008A26D2" w:rsidRDefault="00E94846" w:rsidP="00655F3E">
            <w:pPr>
              <w:jc w:val="center"/>
              <w:rPr>
                <w:rFonts w:ascii="Arial" w:hAnsi="Arial" w:cs="Arial"/>
                <w:b/>
                <w:sz w:val="20"/>
                <w:szCs w:val="20"/>
              </w:rPr>
            </w:pPr>
            <w:r w:rsidRPr="008A26D2">
              <w:rPr>
                <w:rFonts w:ascii="Arial" w:hAnsi="Arial" w:cs="Arial"/>
                <w:b/>
                <w:sz w:val="20"/>
                <w:szCs w:val="20"/>
              </w:rPr>
              <w:t>2025</w:t>
            </w:r>
          </w:p>
        </w:tc>
        <w:tc>
          <w:tcPr>
            <w:tcW w:w="709" w:type="dxa"/>
            <w:shd w:val="clear" w:color="auto" w:fill="auto"/>
            <w:vAlign w:val="center"/>
          </w:tcPr>
          <w:p w14:paraId="4A12DC21" w14:textId="77777777" w:rsidR="00E94846" w:rsidRPr="008A26D2" w:rsidRDefault="00E94846" w:rsidP="00655F3E">
            <w:pPr>
              <w:jc w:val="center"/>
              <w:rPr>
                <w:rFonts w:ascii="Arial" w:hAnsi="Arial" w:cs="Arial"/>
                <w:b/>
                <w:sz w:val="20"/>
                <w:szCs w:val="20"/>
              </w:rPr>
            </w:pPr>
            <w:r w:rsidRPr="008A26D2">
              <w:rPr>
                <w:rFonts w:ascii="Arial" w:hAnsi="Arial" w:cs="Arial"/>
                <w:b/>
                <w:sz w:val="20"/>
                <w:szCs w:val="20"/>
              </w:rPr>
              <w:t>2026</w:t>
            </w:r>
          </w:p>
        </w:tc>
        <w:tc>
          <w:tcPr>
            <w:tcW w:w="709" w:type="dxa"/>
            <w:shd w:val="clear" w:color="auto" w:fill="auto"/>
            <w:vAlign w:val="center"/>
          </w:tcPr>
          <w:p w14:paraId="5093C683" w14:textId="77777777" w:rsidR="00E94846" w:rsidRPr="008A26D2" w:rsidRDefault="00E94846" w:rsidP="00655F3E">
            <w:pPr>
              <w:jc w:val="center"/>
              <w:rPr>
                <w:rFonts w:ascii="Arial" w:hAnsi="Arial" w:cs="Arial"/>
                <w:b/>
                <w:sz w:val="20"/>
                <w:szCs w:val="20"/>
              </w:rPr>
            </w:pPr>
            <w:r w:rsidRPr="008A26D2">
              <w:rPr>
                <w:rFonts w:ascii="Arial" w:hAnsi="Arial" w:cs="Arial"/>
                <w:b/>
                <w:sz w:val="20"/>
                <w:szCs w:val="20"/>
              </w:rPr>
              <w:t>2027</w:t>
            </w:r>
          </w:p>
        </w:tc>
        <w:tc>
          <w:tcPr>
            <w:tcW w:w="850" w:type="dxa"/>
            <w:shd w:val="clear" w:color="auto" w:fill="auto"/>
            <w:vAlign w:val="center"/>
          </w:tcPr>
          <w:p w14:paraId="50337857" w14:textId="77777777" w:rsidR="00E94846" w:rsidRPr="008A26D2" w:rsidRDefault="00E94846" w:rsidP="00655F3E">
            <w:pPr>
              <w:jc w:val="center"/>
              <w:rPr>
                <w:rFonts w:ascii="Arial" w:hAnsi="Arial" w:cs="Arial"/>
                <w:b/>
                <w:sz w:val="20"/>
                <w:szCs w:val="20"/>
              </w:rPr>
            </w:pPr>
            <w:r w:rsidRPr="008A26D2">
              <w:rPr>
                <w:rFonts w:ascii="Arial" w:hAnsi="Arial" w:cs="Arial"/>
                <w:b/>
                <w:sz w:val="20"/>
                <w:szCs w:val="20"/>
              </w:rPr>
              <w:t>2028</w:t>
            </w:r>
          </w:p>
        </w:tc>
        <w:tc>
          <w:tcPr>
            <w:tcW w:w="992" w:type="dxa"/>
            <w:gridSpan w:val="2"/>
            <w:shd w:val="clear" w:color="auto" w:fill="auto"/>
            <w:vAlign w:val="center"/>
          </w:tcPr>
          <w:p w14:paraId="619C78E5" w14:textId="77777777" w:rsidR="00E94846" w:rsidRPr="008A26D2" w:rsidRDefault="00E94846" w:rsidP="00655F3E">
            <w:pPr>
              <w:jc w:val="center"/>
              <w:rPr>
                <w:rFonts w:ascii="Arial" w:hAnsi="Arial" w:cs="Arial"/>
                <w:b/>
                <w:sz w:val="20"/>
                <w:szCs w:val="20"/>
              </w:rPr>
            </w:pPr>
            <w:r w:rsidRPr="008A26D2">
              <w:rPr>
                <w:rFonts w:ascii="Arial" w:hAnsi="Arial" w:cs="Arial"/>
                <w:b/>
                <w:sz w:val="20"/>
                <w:szCs w:val="20"/>
              </w:rPr>
              <w:t>2029</w:t>
            </w:r>
          </w:p>
        </w:tc>
        <w:tc>
          <w:tcPr>
            <w:tcW w:w="993" w:type="dxa"/>
            <w:shd w:val="clear" w:color="auto" w:fill="auto"/>
            <w:tcMar>
              <w:top w:w="10" w:type="dxa"/>
              <w:left w:w="10" w:type="dxa"/>
              <w:bottom w:w="0" w:type="dxa"/>
              <w:right w:w="10" w:type="dxa"/>
            </w:tcMar>
            <w:vAlign w:val="center"/>
          </w:tcPr>
          <w:p w14:paraId="4AD6DA7C" w14:textId="77777777" w:rsidR="00E94846" w:rsidRPr="008A26D2" w:rsidRDefault="00E94846" w:rsidP="00655F3E">
            <w:pPr>
              <w:jc w:val="center"/>
              <w:rPr>
                <w:rFonts w:ascii="Arial" w:hAnsi="Arial" w:cs="Arial"/>
                <w:b/>
                <w:sz w:val="20"/>
                <w:szCs w:val="20"/>
              </w:rPr>
            </w:pPr>
            <w:r w:rsidRPr="008A26D2">
              <w:rPr>
                <w:rFonts w:ascii="Arial" w:hAnsi="Arial" w:cs="Arial"/>
                <w:b/>
                <w:sz w:val="20"/>
                <w:szCs w:val="20"/>
              </w:rPr>
              <w:t>2030</w:t>
            </w:r>
          </w:p>
        </w:tc>
      </w:tr>
      <w:tr w:rsidR="00E94846" w:rsidRPr="008A26D2" w14:paraId="197ED099" w14:textId="77777777" w:rsidTr="009A1630">
        <w:trPr>
          <w:trHeight w:val="81"/>
        </w:trPr>
        <w:tc>
          <w:tcPr>
            <w:tcW w:w="709" w:type="dxa"/>
            <w:shd w:val="clear" w:color="auto" w:fill="auto"/>
            <w:tcMar>
              <w:top w:w="10" w:type="dxa"/>
              <w:left w:w="10" w:type="dxa"/>
              <w:bottom w:w="0" w:type="dxa"/>
              <w:right w:w="10" w:type="dxa"/>
            </w:tcMar>
            <w:vAlign w:val="center"/>
          </w:tcPr>
          <w:p w14:paraId="25800DEF" w14:textId="77777777" w:rsidR="00E94846" w:rsidRPr="008A26D2" w:rsidRDefault="00E94846" w:rsidP="00655F3E">
            <w:pPr>
              <w:jc w:val="center"/>
              <w:rPr>
                <w:rFonts w:ascii="Arial" w:hAnsi="Arial" w:cs="Arial"/>
                <w:sz w:val="20"/>
                <w:szCs w:val="20"/>
              </w:rPr>
            </w:pPr>
            <w:r w:rsidRPr="008A26D2">
              <w:rPr>
                <w:rFonts w:ascii="Arial" w:hAnsi="Arial" w:cs="Arial"/>
                <w:b/>
                <w:sz w:val="20"/>
                <w:szCs w:val="20"/>
              </w:rPr>
              <w:t>Valor</w:t>
            </w:r>
          </w:p>
        </w:tc>
        <w:tc>
          <w:tcPr>
            <w:tcW w:w="850" w:type="dxa"/>
            <w:shd w:val="clear" w:color="auto" w:fill="auto"/>
            <w:tcMar>
              <w:top w:w="10" w:type="dxa"/>
              <w:left w:w="10" w:type="dxa"/>
              <w:bottom w:w="0" w:type="dxa"/>
              <w:right w:w="10" w:type="dxa"/>
            </w:tcMar>
            <w:vAlign w:val="center"/>
          </w:tcPr>
          <w:p w14:paraId="3CA35A39" w14:textId="6AAAECC7" w:rsidR="00E94846" w:rsidRPr="008A26D2" w:rsidRDefault="009A1630" w:rsidP="00655F3E">
            <w:pPr>
              <w:jc w:val="center"/>
              <w:rPr>
                <w:rFonts w:ascii="Arial" w:hAnsi="Arial" w:cs="Arial"/>
                <w:sz w:val="20"/>
                <w:szCs w:val="20"/>
              </w:rPr>
            </w:pPr>
            <w:r>
              <w:rPr>
                <w:rFonts w:ascii="Arial" w:hAnsi="Arial" w:cs="Arial"/>
                <w:sz w:val="20"/>
                <w:szCs w:val="20"/>
              </w:rPr>
              <w:t>ND</w:t>
            </w:r>
          </w:p>
        </w:tc>
        <w:tc>
          <w:tcPr>
            <w:tcW w:w="709" w:type="dxa"/>
            <w:gridSpan w:val="2"/>
            <w:shd w:val="clear" w:color="auto" w:fill="auto"/>
            <w:tcMar>
              <w:top w:w="10" w:type="dxa"/>
              <w:left w:w="10" w:type="dxa"/>
              <w:bottom w:w="0" w:type="dxa"/>
              <w:right w:w="10" w:type="dxa"/>
            </w:tcMar>
          </w:tcPr>
          <w:p w14:paraId="61C912B9" w14:textId="77777777" w:rsidR="00E94846" w:rsidRPr="008A26D2" w:rsidRDefault="00E94846" w:rsidP="00655F3E">
            <w:pPr>
              <w:jc w:val="center"/>
              <w:rPr>
                <w:rFonts w:ascii="Arial" w:hAnsi="Arial" w:cs="Arial"/>
                <w:sz w:val="20"/>
                <w:szCs w:val="20"/>
              </w:rPr>
            </w:pPr>
            <w:r w:rsidRPr="008A26D2">
              <w:rPr>
                <w:rFonts w:ascii="Arial" w:hAnsi="Arial" w:cs="Arial"/>
                <w:sz w:val="20"/>
                <w:szCs w:val="20"/>
              </w:rPr>
              <w:t>0%</w:t>
            </w:r>
          </w:p>
        </w:tc>
        <w:tc>
          <w:tcPr>
            <w:tcW w:w="851" w:type="dxa"/>
            <w:shd w:val="clear" w:color="auto" w:fill="auto"/>
          </w:tcPr>
          <w:p w14:paraId="79E03120" w14:textId="77777777" w:rsidR="00E94846" w:rsidRPr="008A26D2" w:rsidRDefault="00E94846" w:rsidP="00655F3E">
            <w:pPr>
              <w:jc w:val="center"/>
              <w:rPr>
                <w:rFonts w:ascii="Arial" w:hAnsi="Arial" w:cs="Arial"/>
                <w:sz w:val="20"/>
                <w:szCs w:val="20"/>
              </w:rPr>
            </w:pPr>
            <w:r w:rsidRPr="008A26D2">
              <w:rPr>
                <w:rFonts w:ascii="Arial" w:hAnsi="Arial" w:cs="Arial"/>
                <w:sz w:val="20"/>
                <w:szCs w:val="20"/>
              </w:rPr>
              <w:t>25%</w:t>
            </w:r>
          </w:p>
        </w:tc>
        <w:tc>
          <w:tcPr>
            <w:tcW w:w="850" w:type="dxa"/>
            <w:gridSpan w:val="2"/>
            <w:shd w:val="clear" w:color="auto" w:fill="auto"/>
          </w:tcPr>
          <w:p w14:paraId="28C98460" w14:textId="77777777" w:rsidR="00E94846" w:rsidRPr="008A26D2" w:rsidRDefault="00E94846" w:rsidP="00655F3E">
            <w:pPr>
              <w:jc w:val="center"/>
              <w:rPr>
                <w:rFonts w:ascii="Arial" w:hAnsi="Arial" w:cs="Arial"/>
                <w:sz w:val="20"/>
                <w:szCs w:val="20"/>
              </w:rPr>
            </w:pPr>
            <w:r w:rsidRPr="008A26D2">
              <w:rPr>
                <w:rFonts w:ascii="Arial" w:hAnsi="Arial" w:cs="Arial"/>
                <w:sz w:val="20"/>
                <w:szCs w:val="20"/>
              </w:rPr>
              <w:t>50%</w:t>
            </w:r>
          </w:p>
        </w:tc>
        <w:tc>
          <w:tcPr>
            <w:tcW w:w="709" w:type="dxa"/>
            <w:shd w:val="clear" w:color="auto" w:fill="auto"/>
          </w:tcPr>
          <w:p w14:paraId="55E81224" w14:textId="77777777" w:rsidR="00E94846" w:rsidRPr="008A26D2" w:rsidRDefault="00E94846" w:rsidP="00655F3E">
            <w:pPr>
              <w:jc w:val="center"/>
              <w:rPr>
                <w:rFonts w:ascii="Arial" w:hAnsi="Arial" w:cs="Arial"/>
                <w:sz w:val="20"/>
                <w:szCs w:val="20"/>
              </w:rPr>
            </w:pPr>
            <w:r w:rsidRPr="008A26D2">
              <w:rPr>
                <w:rFonts w:ascii="Arial" w:hAnsi="Arial" w:cs="Arial"/>
                <w:sz w:val="20"/>
                <w:szCs w:val="20"/>
              </w:rPr>
              <w:t>50%</w:t>
            </w:r>
          </w:p>
        </w:tc>
        <w:tc>
          <w:tcPr>
            <w:tcW w:w="709" w:type="dxa"/>
            <w:shd w:val="clear" w:color="auto" w:fill="auto"/>
          </w:tcPr>
          <w:p w14:paraId="430CE2EB" w14:textId="77777777" w:rsidR="00E94846" w:rsidRPr="008A26D2" w:rsidRDefault="00E94846" w:rsidP="00655F3E">
            <w:pPr>
              <w:jc w:val="center"/>
              <w:rPr>
                <w:rFonts w:ascii="Arial" w:hAnsi="Arial" w:cs="Arial"/>
                <w:sz w:val="20"/>
                <w:szCs w:val="20"/>
              </w:rPr>
            </w:pPr>
            <w:r w:rsidRPr="008A26D2">
              <w:rPr>
                <w:rFonts w:ascii="Arial" w:hAnsi="Arial" w:cs="Arial"/>
                <w:sz w:val="20"/>
                <w:szCs w:val="20"/>
              </w:rPr>
              <w:t>75%</w:t>
            </w:r>
          </w:p>
        </w:tc>
        <w:tc>
          <w:tcPr>
            <w:tcW w:w="850" w:type="dxa"/>
            <w:shd w:val="clear" w:color="auto" w:fill="auto"/>
          </w:tcPr>
          <w:p w14:paraId="606A242A" w14:textId="77777777" w:rsidR="00E94846" w:rsidRPr="008A26D2" w:rsidRDefault="00E94846" w:rsidP="00655F3E">
            <w:pPr>
              <w:jc w:val="center"/>
              <w:rPr>
                <w:rFonts w:ascii="Arial" w:hAnsi="Arial" w:cs="Arial"/>
                <w:sz w:val="20"/>
                <w:szCs w:val="20"/>
              </w:rPr>
            </w:pPr>
            <w:r w:rsidRPr="008A26D2">
              <w:rPr>
                <w:rFonts w:ascii="Arial" w:hAnsi="Arial" w:cs="Arial"/>
                <w:sz w:val="20"/>
                <w:szCs w:val="20"/>
              </w:rPr>
              <w:t>75%</w:t>
            </w:r>
          </w:p>
        </w:tc>
        <w:tc>
          <w:tcPr>
            <w:tcW w:w="992" w:type="dxa"/>
            <w:gridSpan w:val="2"/>
            <w:shd w:val="clear" w:color="auto" w:fill="auto"/>
          </w:tcPr>
          <w:p w14:paraId="62FA5472" w14:textId="77777777" w:rsidR="00E94846" w:rsidRPr="008A26D2" w:rsidRDefault="00E94846" w:rsidP="00655F3E">
            <w:pPr>
              <w:jc w:val="center"/>
              <w:rPr>
                <w:rFonts w:ascii="Arial" w:hAnsi="Arial" w:cs="Arial"/>
                <w:sz w:val="20"/>
                <w:szCs w:val="20"/>
              </w:rPr>
            </w:pPr>
            <w:r w:rsidRPr="008A26D2">
              <w:rPr>
                <w:rFonts w:ascii="Arial" w:hAnsi="Arial" w:cs="Arial"/>
                <w:sz w:val="20"/>
                <w:szCs w:val="20"/>
              </w:rPr>
              <w:t>100%</w:t>
            </w:r>
          </w:p>
        </w:tc>
        <w:tc>
          <w:tcPr>
            <w:tcW w:w="993" w:type="dxa"/>
            <w:shd w:val="clear" w:color="auto" w:fill="auto"/>
            <w:tcMar>
              <w:top w:w="10" w:type="dxa"/>
              <w:left w:w="10" w:type="dxa"/>
              <w:bottom w:w="0" w:type="dxa"/>
              <w:right w:w="10" w:type="dxa"/>
            </w:tcMar>
          </w:tcPr>
          <w:p w14:paraId="3886768D" w14:textId="77777777" w:rsidR="00E94846" w:rsidRPr="008A26D2" w:rsidRDefault="00E94846" w:rsidP="00655F3E">
            <w:pPr>
              <w:jc w:val="center"/>
              <w:rPr>
                <w:rFonts w:ascii="Arial" w:hAnsi="Arial" w:cs="Arial"/>
                <w:sz w:val="20"/>
                <w:szCs w:val="20"/>
              </w:rPr>
            </w:pPr>
            <w:r w:rsidRPr="008A26D2">
              <w:rPr>
                <w:rFonts w:ascii="Arial" w:hAnsi="Arial" w:cs="Arial"/>
                <w:sz w:val="20"/>
                <w:szCs w:val="20"/>
              </w:rPr>
              <w:t>100%</w:t>
            </w:r>
          </w:p>
        </w:tc>
      </w:tr>
    </w:tbl>
    <w:p w14:paraId="31153B19" w14:textId="77777777" w:rsidR="00E94846" w:rsidRPr="008A26D2" w:rsidRDefault="00E94846" w:rsidP="00E94846"/>
    <w:p w14:paraId="58245FBE" w14:textId="77777777" w:rsidR="00A90E9C" w:rsidRPr="008A26D2" w:rsidRDefault="00A90E9C" w:rsidP="00A90E9C"/>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851"/>
        <w:gridCol w:w="850"/>
        <w:gridCol w:w="18"/>
        <w:gridCol w:w="975"/>
        <w:gridCol w:w="708"/>
        <w:gridCol w:w="142"/>
        <w:gridCol w:w="992"/>
        <w:gridCol w:w="851"/>
        <w:gridCol w:w="850"/>
        <w:gridCol w:w="851"/>
        <w:gridCol w:w="850"/>
      </w:tblGrid>
      <w:tr w:rsidR="008A26D2" w:rsidRPr="008A26D2" w14:paraId="0A229B91" w14:textId="77777777" w:rsidTr="00B93313">
        <w:trPr>
          <w:trHeight w:val="251"/>
        </w:trPr>
        <w:tc>
          <w:tcPr>
            <w:tcW w:w="8505" w:type="dxa"/>
            <w:gridSpan w:val="12"/>
            <w:shd w:val="clear" w:color="auto" w:fill="D9D9D9" w:themeFill="background1" w:themeFillShade="D9"/>
            <w:tcMar>
              <w:top w:w="10" w:type="dxa"/>
              <w:left w:w="10" w:type="dxa"/>
              <w:bottom w:w="0" w:type="dxa"/>
              <w:right w:w="10" w:type="dxa"/>
            </w:tcMar>
            <w:vAlign w:val="center"/>
          </w:tcPr>
          <w:p w14:paraId="0679CFB9" w14:textId="4FB1EB1A" w:rsidR="00A90E9C" w:rsidRPr="008A26D2" w:rsidRDefault="00A90E9C" w:rsidP="00147D2E">
            <w:pPr>
              <w:tabs>
                <w:tab w:val="left" w:pos="3375"/>
              </w:tabs>
              <w:spacing w:after="0" w:line="240" w:lineRule="auto"/>
              <w:jc w:val="center"/>
              <w:rPr>
                <w:rFonts w:ascii="Arial" w:hAnsi="Arial" w:cs="Arial"/>
                <w:sz w:val="20"/>
                <w:szCs w:val="20"/>
              </w:rPr>
            </w:pPr>
            <w:r w:rsidRPr="008A26D2">
              <w:rPr>
                <w:rFonts w:ascii="Arial" w:hAnsi="Arial" w:cs="Arial"/>
                <w:sz w:val="20"/>
                <w:szCs w:val="20"/>
              </w:rPr>
              <w:br w:type="page"/>
            </w:r>
            <w:r w:rsidRPr="008A26D2">
              <w:rPr>
                <w:rFonts w:ascii="Arial" w:hAnsi="Arial" w:cs="Arial"/>
                <w:b/>
                <w:sz w:val="20"/>
                <w:szCs w:val="20"/>
              </w:rPr>
              <w:t>FICHA TÉCNICA DE INDICADOR DE SERVICIO 2.4.</w:t>
            </w:r>
            <w:r w:rsidR="00C63F93" w:rsidRPr="008A26D2">
              <w:rPr>
                <w:rFonts w:ascii="Arial" w:hAnsi="Arial" w:cs="Arial"/>
                <w:b/>
                <w:sz w:val="20"/>
                <w:szCs w:val="20"/>
              </w:rPr>
              <w:t>1</w:t>
            </w:r>
          </w:p>
        </w:tc>
      </w:tr>
      <w:tr w:rsidR="008A26D2" w:rsidRPr="008A26D2" w14:paraId="3172D704" w14:textId="77777777" w:rsidTr="00B93313">
        <w:trPr>
          <w:trHeight w:val="409"/>
        </w:trPr>
        <w:tc>
          <w:tcPr>
            <w:tcW w:w="2286" w:type="dxa"/>
            <w:gridSpan w:val="4"/>
            <w:shd w:val="clear" w:color="auto" w:fill="FFFFFF"/>
            <w:tcMar>
              <w:top w:w="10" w:type="dxa"/>
              <w:left w:w="93" w:type="dxa"/>
              <w:bottom w:w="0" w:type="dxa"/>
              <w:right w:w="10" w:type="dxa"/>
            </w:tcMar>
            <w:vAlign w:val="center"/>
          </w:tcPr>
          <w:p w14:paraId="6CB6B55B" w14:textId="77777777" w:rsidR="00A90E9C" w:rsidRPr="008A26D2" w:rsidRDefault="00A90E9C" w:rsidP="00147D2E">
            <w:pPr>
              <w:tabs>
                <w:tab w:val="left" w:pos="3375"/>
              </w:tabs>
              <w:jc w:val="both"/>
              <w:rPr>
                <w:rFonts w:ascii="Arial" w:hAnsi="Arial" w:cs="Arial"/>
                <w:sz w:val="20"/>
                <w:szCs w:val="20"/>
              </w:rPr>
            </w:pPr>
            <w:r w:rsidRPr="008A26D2">
              <w:rPr>
                <w:rFonts w:ascii="Arial" w:hAnsi="Arial" w:cs="Arial"/>
                <w:b/>
                <w:sz w:val="20"/>
                <w:szCs w:val="20"/>
              </w:rPr>
              <w:t>Objetivo prioritario:</w:t>
            </w:r>
          </w:p>
        </w:tc>
        <w:tc>
          <w:tcPr>
            <w:tcW w:w="6219" w:type="dxa"/>
            <w:gridSpan w:val="8"/>
            <w:shd w:val="clear" w:color="auto" w:fill="FFFFFF"/>
            <w:tcMar>
              <w:top w:w="51" w:type="dxa"/>
              <w:left w:w="227" w:type="dxa"/>
              <w:bottom w:w="51" w:type="dxa"/>
              <w:right w:w="227" w:type="dxa"/>
            </w:tcMar>
            <w:vAlign w:val="center"/>
          </w:tcPr>
          <w:p w14:paraId="3858604A" w14:textId="77777777" w:rsidR="00A90E9C" w:rsidRPr="008A26D2" w:rsidRDefault="00A90E9C" w:rsidP="00147D2E">
            <w:pPr>
              <w:tabs>
                <w:tab w:val="left" w:pos="3375"/>
              </w:tabs>
              <w:spacing w:after="0" w:line="240" w:lineRule="auto"/>
              <w:jc w:val="both"/>
              <w:rPr>
                <w:rFonts w:ascii="Arial" w:hAnsi="Arial" w:cs="Arial"/>
                <w:sz w:val="20"/>
                <w:szCs w:val="20"/>
              </w:rPr>
            </w:pPr>
            <w:r w:rsidRPr="008A26D2">
              <w:rPr>
                <w:rFonts w:ascii="Arial" w:eastAsia="Arial Narrow" w:hAnsi="Arial" w:cs="Arial"/>
                <w:sz w:val="20"/>
                <w:szCs w:val="20"/>
              </w:rPr>
              <w:t>OP2 Incrementar la productividad de los ecosistemas forestales, otros ecosistemas de vegetación silvestre y de la fauna silvestre</w:t>
            </w:r>
          </w:p>
        </w:tc>
      </w:tr>
      <w:tr w:rsidR="008A26D2" w:rsidRPr="008A26D2" w14:paraId="4A01283F" w14:textId="77777777" w:rsidTr="00B93313">
        <w:trPr>
          <w:trHeight w:val="436"/>
        </w:trPr>
        <w:tc>
          <w:tcPr>
            <w:tcW w:w="2286" w:type="dxa"/>
            <w:gridSpan w:val="4"/>
            <w:shd w:val="clear" w:color="auto" w:fill="auto"/>
            <w:tcMar>
              <w:top w:w="10" w:type="dxa"/>
              <w:left w:w="93" w:type="dxa"/>
              <w:bottom w:w="0" w:type="dxa"/>
              <w:right w:w="10" w:type="dxa"/>
            </w:tcMar>
            <w:vAlign w:val="center"/>
          </w:tcPr>
          <w:p w14:paraId="1DAF9005" w14:textId="77777777" w:rsidR="00A90E9C" w:rsidRPr="008A26D2" w:rsidRDefault="00A90E9C" w:rsidP="00147D2E">
            <w:pPr>
              <w:tabs>
                <w:tab w:val="left" w:pos="3375"/>
              </w:tabs>
              <w:jc w:val="both"/>
              <w:rPr>
                <w:rFonts w:ascii="Arial" w:hAnsi="Arial" w:cs="Arial"/>
                <w:sz w:val="20"/>
                <w:szCs w:val="20"/>
              </w:rPr>
            </w:pPr>
            <w:r w:rsidRPr="008A26D2">
              <w:rPr>
                <w:rFonts w:ascii="Arial" w:hAnsi="Arial" w:cs="Arial"/>
                <w:b/>
                <w:sz w:val="20"/>
                <w:szCs w:val="20"/>
              </w:rPr>
              <w:t>Lineamiento de la política:</w:t>
            </w:r>
          </w:p>
        </w:tc>
        <w:tc>
          <w:tcPr>
            <w:tcW w:w="6219" w:type="dxa"/>
            <w:gridSpan w:val="8"/>
            <w:tcBorders>
              <w:top w:val="single" w:sz="4" w:space="0" w:color="000000"/>
              <w:left w:val="single" w:sz="4" w:space="0" w:color="000000"/>
              <w:bottom w:val="single" w:sz="4" w:space="0" w:color="000000"/>
              <w:right w:val="single" w:sz="4" w:space="0" w:color="000000"/>
            </w:tcBorders>
            <w:shd w:val="clear" w:color="auto" w:fill="auto"/>
            <w:tcMar>
              <w:top w:w="51" w:type="dxa"/>
              <w:left w:w="227" w:type="dxa"/>
              <w:bottom w:w="51" w:type="dxa"/>
              <w:right w:w="227" w:type="dxa"/>
            </w:tcMar>
            <w:vAlign w:val="center"/>
          </w:tcPr>
          <w:p w14:paraId="7334C1F1" w14:textId="77777777" w:rsidR="00A90E9C" w:rsidRPr="008A26D2" w:rsidRDefault="00A90E9C" w:rsidP="00147D2E">
            <w:pPr>
              <w:tabs>
                <w:tab w:val="left" w:pos="3375"/>
              </w:tabs>
              <w:spacing w:after="0" w:line="240" w:lineRule="auto"/>
              <w:jc w:val="both"/>
              <w:rPr>
                <w:rFonts w:ascii="Arial" w:hAnsi="Arial" w:cs="Arial"/>
                <w:sz w:val="20"/>
                <w:szCs w:val="20"/>
              </w:rPr>
            </w:pPr>
            <w:r w:rsidRPr="008A26D2">
              <w:rPr>
                <w:rFonts w:ascii="Arial" w:eastAsia="Arial Narrow" w:hAnsi="Arial" w:cs="Arial"/>
                <w:sz w:val="20"/>
                <w:szCs w:val="20"/>
              </w:rPr>
              <w:t>L2.4 Incrementar la generación de investigaciones e innovación, así como el desarrollo y transferencia de tecnologías en materia forestal y de fauna silvestre, y sus microorganismos asociados, incluyendo sus recursos genéticos</w:t>
            </w:r>
          </w:p>
        </w:tc>
      </w:tr>
      <w:tr w:rsidR="008A26D2" w:rsidRPr="008A26D2" w14:paraId="088BC74A" w14:textId="77777777" w:rsidTr="00B93313">
        <w:trPr>
          <w:trHeight w:val="404"/>
        </w:trPr>
        <w:tc>
          <w:tcPr>
            <w:tcW w:w="2286" w:type="dxa"/>
            <w:gridSpan w:val="4"/>
            <w:shd w:val="clear" w:color="auto" w:fill="auto"/>
            <w:tcMar>
              <w:top w:w="10" w:type="dxa"/>
              <w:left w:w="93" w:type="dxa"/>
              <w:bottom w:w="0" w:type="dxa"/>
              <w:right w:w="10" w:type="dxa"/>
            </w:tcMar>
            <w:vAlign w:val="center"/>
          </w:tcPr>
          <w:p w14:paraId="2971CFBB" w14:textId="77777777" w:rsidR="00A90E9C" w:rsidRPr="008A26D2" w:rsidRDefault="00A90E9C" w:rsidP="00147D2E">
            <w:pPr>
              <w:tabs>
                <w:tab w:val="left" w:pos="3375"/>
              </w:tabs>
              <w:jc w:val="both"/>
              <w:rPr>
                <w:rFonts w:ascii="Arial" w:hAnsi="Arial" w:cs="Arial"/>
                <w:sz w:val="20"/>
                <w:szCs w:val="20"/>
              </w:rPr>
            </w:pPr>
            <w:r w:rsidRPr="008A26D2">
              <w:rPr>
                <w:rFonts w:ascii="Arial" w:hAnsi="Arial" w:cs="Arial"/>
                <w:b/>
                <w:sz w:val="20"/>
                <w:szCs w:val="20"/>
              </w:rPr>
              <w:t>Nombre del servicio:</w:t>
            </w:r>
          </w:p>
        </w:tc>
        <w:tc>
          <w:tcPr>
            <w:tcW w:w="6219" w:type="dxa"/>
            <w:gridSpan w:val="8"/>
            <w:shd w:val="clear" w:color="auto" w:fill="auto"/>
            <w:tcMar>
              <w:top w:w="51" w:type="dxa"/>
              <w:left w:w="227" w:type="dxa"/>
              <w:bottom w:w="51" w:type="dxa"/>
              <w:right w:w="227" w:type="dxa"/>
            </w:tcMar>
            <w:vAlign w:val="center"/>
          </w:tcPr>
          <w:p w14:paraId="0E3B006B" w14:textId="3E5071D1" w:rsidR="00A90E9C" w:rsidRPr="008A26D2" w:rsidRDefault="00A90E9C" w:rsidP="00147D2E">
            <w:pPr>
              <w:tabs>
                <w:tab w:val="left" w:pos="3375"/>
              </w:tabs>
              <w:spacing w:after="0" w:line="240" w:lineRule="auto"/>
              <w:jc w:val="both"/>
              <w:rPr>
                <w:rFonts w:ascii="Arial" w:eastAsia="Arial Narrow" w:hAnsi="Arial" w:cs="Arial"/>
                <w:sz w:val="20"/>
                <w:szCs w:val="20"/>
              </w:rPr>
            </w:pPr>
            <w:r w:rsidRPr="008A26D2">
              <w:rPr>
                <w:rFonts w:ascii="Arial" w:eastAsia="Arial Narrow" w:hAnsi="Arial" w:cs="Arial"/>
                <w:sz w:val="20"/>
                <w:szCs w:val="20"/>
              </w:rPr>
              <w:t>S 2.4.</w:t>
            </w:r>
            <w:r w:rsidR="00C63F93" w:rsidRPr="008A26D2">
              <w:rPr>
                <w:rFonts w:ascii="Arial" w:eastAsia="Arial Narrow" w:hAnsi="Arial" w:cs="Arial"/>
                <w:sz w:val="20"/>
                <w:szCs w:val="20"/>
              </w:rPr>
              <w:t>1</w:t>
            </w:r>
            <w:r w:rsidRPr="008A26D2">
              <w:rPr>
                <w:rFonts w:ascii="Arial" w:eastAsia="Arial Narrow" w:hAnsi="Arial" w:cs="Arial"/>
                <w:sz w:val="20"/>
                <w:szCs w:val="20"/>
              </w:rPr>
              <w:t xml:space="preserve"> Transferencia de tecnologías agrarias liberadas de forma </w:t>
            </w:r>
            <w:r w:rsidR="00E014D8" w:rsidRPr="008A26D2">
              <w:rPr>
                <w:rFonts w:ascii="Arial" w:eastAsia="Arial Narrow" w:hAnsi="Arial" w:cs="Arial"/>
                <w:sz w:val="20"/>
                <w:szCs w:val="20"/>
              </w:rPr>
              <w:t xml:space="preserve">satisfactoria </w:t>
            </w:r>
            <w:r w:rsidRPr="008A26D2">
              <w:rPr>
                <w:rFonts w:ascii="Arial" w:eastAsia="Arial Narrow" w:hAnsi="Arial" w:cs="Arial"/>
                <w:sz w:val="20"/>
                <w:szCs w:val="20"/>
              </w:rPr>
              <w:t>para los usuarios forestales y de fauna silvestre</w:t>
            </w:r>
          </w:p>
        </w:tc>
      </w:tr>
      <w:tr w:rsidR="008A26D2" w:rsidRPr="008A26D2" w14:paraId="76EE2F04" w14:textId="77777777" w:rsidTr="00B93313">
        <w:trPr>
          <w:trHeight w:val="577"/>
        </w:trPr>
        <w:tc>
          <w:tcPr>
            <w:tcW w:w="2286" w:type="dxa"/>
            <w:gridSpan w:val="4"/>
            <w:shd w:val="clear" w:color="auto" w:fill="auto"/>
            <w:tcMar>
              <w:top w:w="10" w:type="dxa"/>
              <w:left w:w="93" w:type="dxa"/>
              <w:bottom w:w="0" w:type="dxa"/>
              <w:right w:w="10" w:type="dxa"/>
            </w:tcMar>
            <w:vAlign w:val="center"/>
          </w:tcPr>
          <w:p w14:paraId="7569211F" w14:textId="77777777" w:rsidR="00E014D8" w:rsidRPr="008A26D2" w:rsidRDefault="00E014D8" w:rsidP="00E014D8">
            <w:pPr>
              <w:tabs>
                <w:tab w:val="left" w:pos="3375"/>
              </w:tabs>
              <w:jc w:val="both"/>
              <w:rPr>
                <w:rFonts w:ascii="Arial" w:hAnsi="Arial" w:cs="Arial"/>
                <w:sz w:val="20"/>
                <w:szCs w:val="20"/>
              </w:rPr>
            </w:pPr>
            <w:r w:rsidRPr="008A26D2">
              <w:rPr>
                <w:rFonts w:ascii="Arial" w:hAnsi="Arial" w:cs="Arial"/>
                <w:b/>
                <w:sz w:val="20"/>
                <w:szCs w:val="20"/>
              </w:rPr>
              <w:t>Nombre del indicador:</w:t>
            </w:r>
          </w:p>
        </w:tc>
        <w:tc>
          <w:tcPr>
            <w:tcW w:w="6219" w:type="dxa"/>
            <w:gridSpan w:val="8"/>
            <w:shd w:val="clear" w:color="auto" w:fill="auto"/>
            <w:tcMar>
              <w:top w:w="51" w:type="dxa"/>
              <w:left w:w="227" w:type="dxa"/>
              <w:bottom w:w="51" w:type="dxa"/>
              <w:right w:w="227" w:type="dxa"/>
            </w:tcMar>
            <w:vAlign w:val="center"/>
          </w:tcPr>
          <w:p w14:paraId="5D2887CA" w14:textId="6E014CAC" w:rsidR="00E014D8" w:rsidRPr="008A26D2" w:rsidRDefault="0063579E" w:rsidP="00E014D8">
            <w:pPr>
              <w:tabs>
                <w:tab w:val="left" w:pos="3375"/>
              </w:tabs>
              <w:spacing w:after="0" w:line="240" w:lineRule="auto"/>
              <w:jc w:val="both"/>
              <w:rPr>
                <w:rFonts w:ascii="Arial" w:eastAsia="Arial Narrow" w:hAnsi="Arial" w:cs="Arial"/>
                <w:sz w:val="20"/>
                <w:szCs w:val="20"/>
              </w:rPr>
            </w:pPr>
            <w:r w:rsidRPr="008A26D2">
              <w:rPr>
                <w:rFonts w:ascii="Arial" w:eastAsia="Times New Roman" w:hAnsi="Arial" w:cs="Arial"/>
                <w:sz w:val="20"/>
                <w:szCs w:val="20"/>
                <w:lang w:eastAsia="es-ES"/>
              </w:rPr>
              <w:t xml:space="preserve">Porcentaje de </w:t>
            </w:r>
            <w:r w:rsidRPr="008A26D2">
              <w:rPr>
                <w:rFonts w:ascii="Arial" w:eastAsia="Arial Narrow" w:hAnsi="Arial" w:cs="Arial"/>
                <w:sz w:val="20"/>
                <w:szCs w:val="20"/>
              </w:rPr>
              <w:t>usuarios forestales y de fauna silvestre</w:t>
            </w:r>
            <w:r w:rsidRPr="008A26D2">
              <w:rPr>
                <w:rFonts w:ascii="Arial" w:eastAsia="Times New Roman" w:hAnsi="Arial" w:cs="Arial"/>
                <w:sz w:val="20"/>
                <w:szCs w:val="20"/>
                <w:lang w:eastAsia="es-ES"/>
              </w:rPr>
              <w:t xml:space="preserve"> con alto grado de satisfacción sobre la </w:t>
            </w:r>
            <w:r w:rsidRPr="008A26D2">
              <w:rPr>
                <w:rFonts w:ascii="Arial" w:hAnsi="Arial" w:cs="Arial"/>
                <w:sz w:val="20"/>
                <w:szCs w:val="20"/>
              </w:rPr>
              <w:t>transferencia de conocimientos y tecnologías agrarias</w:t>
            </w:r>
          </w:p>
        </w:tc>
      </w:tr>
      <w:tr w:rsidR="008A26D2" w:rsidRPr="008A26D2" w14:paraId="05E56370" w14:textId="77777777" w:rsidTr="00B93313">
        <w:trPr>
          <w:trHeight w:val="577"/>
        </w:trPr>
        <w:tc>
          <w:tcPr>
            <w:tcW w:w="2286" w:type="dxa"/>
            <w:gridSpan w:val="4"/>
            <w:shd w:val="clear" w:color="auto" w:fill="auto"/>
            <w:tcMar>
              <w:top w:w="10" w:type="dxa"/>
              <w:left w:w="93" w:type="dxa"/>
              <w:bottom w:w="0" w:type="dxa"/>
              <w:right w:w="10" w:type="dxa"/>
            </w:tcMar>
            <w:vAlign w:val="center"/>
          </w:tcPr>
          <w:p w14:paraId="2A8E961B" w14:textId="77777777" w:rsidR="00E014D8" w:rsidRPr="008A26D2" w:rsidRDefault="00E014D8" w:rsidP="00E014D8">
            <w:pPr>
              <w:tabs>
                <w:tab w:val="left" w:pos="3375"/>
              </w:tabs>
              <w:jc w:val="both"/>
              <w:rPr>
                <w:rFonts w:ascii="Arial" w:hAnsi="Arial" w:cs="Arial"/>
                <w:sz w:val="20"/>
                <w:szCs w:val="20"/>
              </w:rPr>
            </w:pPr>
            <w:r w:rsidRPr="008A26D2">
              <w:rPr>
                <w:rFonts w:ascii="Arial" w:hAnsi="Arial" w:cs="Arial"/>
                <w:b/>
                <w:sz w:val="20"/>
                <w:szCs w:val="20"/>
              </w:rPr>
              <w:t>Justificación:</w:t>
            </w:r>
          </w:p>
        </w:tc>
        <w:tc>
          <w:tcPr>
            <w:tcW w:w="6219" w:type="dxa"/>
            <w:gridSpan w:val="8"/>
            <w:shd w:val="clear" w:color="auto" w:fill="auto"/>
            <w:tcMar>
              <w:top w:w="51" w:type="dxa"/>
              <w:left w:w="227" w:type="dxa"/>
              <w:bottom w:w="51" w:type="dxa"/>
              <w:right w:w="227" w:type="dxa"/>
            </w:tcMar>
            <w:vAlign w:val="center"/>
          </w:tcPr>
          <w:p w14:paraId="3B2141C8" w14:textId="6BBF7CCC" w:rsidR="00E014D8" w:rsidRPr="008A26D2" w:rsidRDefault="00E014D8" w:rsidP="00E014D8">
            <w:pPr>
              <w:tabs>
                <w:tab w:val="left" w:pos="3375"/>
              </w:tabs>
              <w:spacing w:after="0" w:line="240" w:lineRule="auto"/>
              <w:jc w:val="both"/>
              <w:rPr>
                <w:rFonts w:ascii="Arial" w:eastAsia="Arial Narrow" w:hAnsi="Arial" w:cs="Arial"/>
                <w:sz w:val="20"/>
                <w:szCs w:val="20"/>
              </w:rPr>
            </w:pPr>
            <w:r w:rsidRPr="008A26D2">
              <w:rPr>
                <w:rFonts w:ascii="Arial" w:eastAsia="Arial Narrow" w:hAnsi="Arial" w:cs="Arial"/>
                <w:sz w:val="20"/>
                <w:szCs w:val="20"/>
              </w:rPr>
              <w:t>El indicador cuantifica el porcentaje de usuarios forestales y de fauna silvestre que perciben un alto grado de satisfacción sobre la transferencia de conocimientos y tecnologías agrarias. De esta manera, el indicador facilitará el seguimiento de la satisfacción del servicio y establecer acciones de mejora correspondientes.</w:t>
            </w:r>
          </w:p>
        </w:tc>
      </w:tr>
      <w:tr w:rsidR="008A26D2" w:rsidRPr="008A26D2" w14:paraId="7972306F" w14:textId="77777777" w:rsidTr="00B93313">
        <w:trPr>
          <w:trHeight w:val="352"/>
        </w:trPr>
        <w:tc>
          <w:tcPr>
            <w:tcW w:w="2286" w:type="dxa"/>
            <w:gridSpan w:val="4"/>
            <w:shd w:val="clear" w:color="auto" w:fill="auto"/>
            <w:tcMar>
              <w:top w:w="10" w:type="dxa"/>
              <w:left w:w="93" w:type="dxa"/>
              <w:bottom w:w="0" w:type="dxa"/>
              <w:right w:w="10" w:type="dxa"/>
            </w:tcMar>
            <w:vAlign w:val="center"/>
          </w:tcPr>
          <w:p w14:paraId="4C2461A1" w14:textId="77777777" w:rsidR="00A90E9C" w:rsidRPr="008A26D2" w:rsidRDefault="00A90E9C" w:rsidP="00147D2E">
            <w:pPr>
              <w:tabs>
                <w:tab w:val="left" w:pos="3375"/>
              </w:tabs>
              <w:jc w:val="both"/>
              <w:rPr>
                <w:rFonts w:ascii="Arial" w:hAnsi="Arial" w:cs="Arial"/>
                <w:sz w:val="20"/>
                <w:szCs w:val="20"/>
              </w:rPr>
            </w:pPr>
            <w:r w:rsidRPr="008A26D2">
              <w:rPr>
                <w:rFonts w:ascii="Arial" w:hAnsi="Arial" w:cs="Arial"/>
                <w:b/>
                <w:sz w:val="20"/>
                <w:szCs w:val="20"/>
              </w:rPr>
              <w:t>Responsable del indicador:</w:t>
            </w:r>
          </w:p>
        </w:tc>
        <w:tc>
          <w:tcPr>
            <w:tcW w:w="6219" w:type="dxa"/>
            <w:gridSpan w:val="8"/>
            <w:shd w:val="clear" w:color="auto" w:fill="auto"/>
            <w:tcMar>
              <w:top w:w="51" w:type="dxa"/>
              <w:left w:w="227" w:type="dxa"/>
              <w:bottom w:w="51" w:type="dxa"/>
              <w:right w:w="227" w:type="dxa"/>
            </w:tcMar>
            <w:vAlign w:val="center"/>
          </w:tcPr>
          <w:p w14:paraId="2AC24232" w14:textId="1352F3E5" w:rsidR="00A90E9C" w:rsidRPr="008A26D2" w:rsidRDefault="00A90E9C" w:rsidP="00147D2E">
            <w:pPr>
              <w:tabs>
                <w:tab w:val="left" w:pos="3375"/>
              </w:tabs>
              <w:spacing w:after="0" w:line="240" w:lineRule="auto"/>
              <w:jc w:val="both"/>
              <w:rPr>
                <w:rFonts w:ascii="Arial" w:hAnsi="Arial" w:cs="Arial"/>
                <w:sz w:val="20"/>
                <w:szCs w:val="20"/>
              </w:rPr>
            </w:pPr>
            <w:r w:rsidRPr="008A26D2">
              <w:rPr>
                <w:rFonts w:ascii="Arial" w:eastAsia="Arial Narrow" w:hAnsi="Arial" w:cs="Arial"/>
                <w:sz w:val="20"/>
                <w:szCs w:val="20"/>
              </w:rPr>
              <w:t>Dirección de Desarrollo Tecnológico Agrario del</w:t>
            </w:r>
            <w:r w:rsidR="00147ABA">
              <w:rPr>
                <w:rFonts w:ascii="Arial" w:eastAsia="Arial Narrow" w:hAnsi="Arial" w:cs="Arial"/>
                <w:sz w:val="20"/>
                <w:szCs w:val="20"/>
              </w:rPr>
              <w:t xml:space="preserve"> Instituto Nacional de In</w:t>
            </w:r>
            <w:r w:rsidR="00DF1D90">
              <w:rPr>
                <w:rFonts w:ascii="Arial" w:eastAsia="Arial Narrow" w:hAnsi="Arial" w:cs="Arial"/>
                <w:sz w:val="20"/>
                <w:szCs w:val="20"/>
              </w:rPr>
              <w:t>novación</w:t>
            </w:r>
            <w:r w:rsidR="00147ABA">
              <w:rPr>
                <w:rFonts w:ascii="Arial" w:eastAsia="Arial Narrow" w:hAnsi="Arial" w:cs="Arial"/>
                <w:sz w:val="20"/>
                <w:szCs w:val="20"/>
              </w:rPr>
              <w:t xml:space="preserve"> Agraria - </w:t>
            </w:r>
            <w:r w:rsidRPr="008A26D2">
              <w:rPr>
                <w:rFonts w:ascii="Arial" w:eastAsia="Arial Narrow" w:hAnsi="Arial" w:cs="Arial"/>
                <w:sz w:val="20"/>
                <w:szCs w:val="20"/>
              </w:rPr>
              <w:t xml:space="preserve"> INIA</w:t>
            </w:r>
          </w:p>
        </w:tc>
      </w:tr>
      <w:tr w:rsidR="008A26D2" w:rsidRPr="008A26D2" w14:paraId="62C60285" w14:textId="77777777" w:rsidTr="00B93313">
        <w:trPr>
          <w:trHeight w:val="771"/>
        </w:trPr>
        <w:tc>
          <w:tcPr>
            <w:tcW w:w="2286" w:type="dxa"/>
            <w:gridSpan w:val="4"/>
            <w:shd w:val="clear" w:color="auto" w:fill="auto"/>
            <w:tcMar>
              <w:top w:w="10" w:type="dxa"/>
              <w:left w:w="93" w:type="dxa"/>
              <w:bottom w:w="0" w:type="dxa"/>
              <w:right w:w="10" w:type="dxa"/>
            </w:tcMar>
            <w:vAlign w:val="center"/>
          </w:tcPr>
          <w:p w14:paraId="2CB8FBFA" w14:textId="77777777" w:rsidR="00A90E9C" w:rsidRPr="008A26D2" w:rsidRDefault="00A90E9C" w:rsidP="00147D2E">
            <w:pPr>
              <w:tabs>
                <w:tab w:val="left" w:pos="3375"/>
              </w:tabs>
              <w:jc w:val="both"/>
              <w:rPr>
                <w:rFonts w:ascii="Arial" w:hAnsi="Arial" w:cs="Arial"/>
                <w:sz w:val="20"/>
                <w:szCs w:val="20"/>
              </w:rPr>
            </w:pPr>
            <w:r w:rsidRPr="008A26D2">
              <w:rPr>
                <w:rFonts w:ascii="Arial" w:hAnsi="Arial" w:cs="Arial"/>
                <w:b/>
                <w:sz w:val="20"/>
                <w:szCs w:val="20"/>
              </w:rPr>
              <w:t>Limitaciones para la medición del indicador:</w:t>
            </w:r>
          </w:p>
        </w:tc>
        <w:tc>
          <w:tcPr>
            <w:tcW w:w="6219" w:type="dxa"/>
            <w:gridSpan w:val="8"/>
            <w:shd w:val="clear" w:color="auto" w:fill="auto"/>
            <w:tcMar>
              <w:top w:w="51" w:type="dxa"/>
              <w:left w:w="227" w:type="dxa"/>
              <w:bottom w:w="51" w:type="dxa"/>
              <w:right w:w="227" w:type="dxa"/>
            </w:tcMar>
            <w:vAlign w:val="center"/>
          </w:tcPr>
          <w:p w14:paraId="4FA75DCB" w14:textId="77777777" w:rsidR="00A90E9C" w:rsidRPr="008A26D2" w:rsidRDefault="00A90E9C" w:rsidP="00147D2E">
            <w:pPr>
              <w:tabs>
                <w:tab w:val="left" w:pos="3375"/>
              </w:tabs>
              <w:spacing w:after="0" w:line="240" w:lineRule="auto"/>
              <w:jc w:val="both"/>
              <w:rPr>
                <w:rFonts w:ascii="Arial" w:hAnsi="Arial" w:cs="Arial"/>
                <w:sz w:val="20"/>
                <w:szCs w:val="20"/>
              </w:rPr>
            </w:pPr>
            <w:r w:rsidRPr="008A26D2">
              <w:rPr>
                <w:rFonts w:ascii="Arial" w:hAnsi="Arial" w:cs="Arial"/>
                <w:sz w:val="20"/>
                <w:szCs w:val="20"/>
              </w:rPr>
              <w:t>No Presenta limitaciones.</w:t>
            </w:r>
          </w:p>
        </w:tc>
      </w:tr>
      <w:tr w:rsidR="008A26D2" w:rsidRPr="008A26D2" w14:paraId="5E62B0A5" w14:textId="77777777" w:rsidTr="00B93313">
        <w:trPr>
          <w:trHeight w:val="231"/>
        </w:trPr>
        <w:tc>
          <w:tcPr>
            <w:tcW w:w="2286" w:type="dxa"/>
            <w:gridSpan w:val="4"/>
            <w:shd w:val="clear" w:color="auto" w:fill="auto"/>
            <w:tcMar>
              <w:top w:w="10" w:type="dxa"/>
              <w:left w:w="93" w:type="dxa"/>
              <w:bottom w:w="0" w:type="dxa"/>
              <w:right w:w="10" w:type="dxa"/>
            </w:tcMar>
            <w:vAlign w:val="center"/>
          </w:tcPr>
          <w:p w14:paraId="615B96FC" w14:textId="77777777" w:rsidR="00A90E9C" w:rsidRPr="008A26D2" w:rsidRDefault="00A90E9C" w:rsidP="00147D2E">
            <w:pPr>
              <w:tabs>
                <w:tab w:val="left" w:pos="3375"/>
              </w:tabs>
              <w:jc w:val="both"/>
              <w:rPr>
                <w:rFonts w:ascii="Arial" w:hAnsi="Arial" w:cs="Arial"/>
                <w:sz w:val="20"/>
                <w:szCs w:val="20"/>
              </w:rPr>
            </w:pPr>
            <w:r w:rsidRPr="008A26D2">
              <w:rPr>
                <w:rFonts w:ascii="Arial" w:hAnsi="Arial" w:cs="Arial"/>
                <w:b/>
                <w:sz w:val="20"/>
                <w:szCs w:val="20"/>
              </w:rPr>
              <w:t xml:space="preserve">Método de cálculo: </w:t>
            </w:r>
          </w:p>
        </w:tc>
        <w:tc>
          <w:tcPr>
            <w:tcW w:w="6219" w:type="dxa"/>
            <w:gridSpan w:val="8"/>
            <w:shd w:val="clear" w:color="auto" w:fill="auto"/>
            <w:tcMar>
              <w:top w:w="51" w:type="dxa"/>
              <w:left w:w="227" w:type="dxa"/>
              <w:bottom w:w="51" w:type="dxa"/>
              <w:right w:w="227" w:type="dxa"/>
            </w:tcMar>
            <w:vAlign w:val="center"/>
          </w:tcPr>
          <w:p w14:paraId="11BC2641" w14:textId="77777777" w:rsidR="00A90E9C" w:rsidRPr="008A26D2" w:rsidRDefault="00A90E9C" w:rsidP="00147D2E">
            <w:pPr>
              <w:tabs>
                <w:tab w:val="left" w:pos="3375"/>
              </w:tabs>
              <w:jc w:val="both"/>
              <w:rPr>
                <w:rFonts w:ascii="Arial" w:hAnsi="Arial" w:cs="Arial"/>
                <w:b/>
                <w:sz w:val="20"/>
                <w:szCs w:val="20"/>
              </w:rPr>
            </w:pPr>
            <w:r w:rsidRPr="008A26D2">
              <w:rPr>
                <w:rFonts w:ascii="Arial" w:hAnsi="Arial" w:cs="Arial"/>
                <w:b/>
                <w:sz w:val="20"/>
                <w:szCs w:val="20"/>
              </w:rPr>
              <w:t>1. Fórmula:</w:t>
            </w:r>
          </w:p>
          <w:p w14:paraId="7A1443E2" w14:textId="3DDAE38A" w:rsidR="00A90E9C" w:rsidRPr="008A26D2" w:rsidRDefault="00DD0D51" w:rsidP="00147D2E">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w:t>
            </w:r>
            <w:r w:rsidR="00E014D8" w:rsidRPr="008A26D2">
              <w:rPr>
                <w:rFonts w:ascii="Arial" w:eastAsia="Arial Narrow" w:hAnsi="Arial" w:cs="Arial"/>
                <w:sz w:val="20"/>
                <w:szCs w:val="20"/>
              </w:rPr>
              <w:t>A/B</w:t>
            </w:r>
            <w:r w:rsidRPr="008A26D2">
              <w:rPr>
                <w:rFonts w:ascii="Arial" w:eastAsia="Arial Narrow" w:hAnsi="Arial" w:cs="Arial"/>
                <w:sz w:val="20"/>
                <w:szCs w:val="20"/>
              </w:rPr>
              <w:t>)</w:t>
            </w:r>
            <w:r w:rsidR="00E014D8" w:rsidRPr="008A26D2">
              <w:rPr>
                <w:rFonts w:ascii="Arial" w:eastAsia="Arial Narrow" w:hAnsi="Arial" w:cs="Arial"/>
                <w:sz w:val="20"/>
                <w:szCs w:val="20"/>
              </w:rPr>
              <w:t>*100</w:t>
            </w:r>
          </w:p>
          <w:p w14:paraId="2928D698" w14:textId="77777777" w:rsidR="00E014D8" w:rsidRPr="008A26D2" w:rsidRDefault="00E014D8" w:rsidP="00147D2E">
            <w:pPr>
              <w:spacing w:after="0" w:line="240" w:lineRule="auto"/>
              <w:jc w:val="both"/>
              <w:rPr>
                <w:rFonts w:ascii="Arial" w:eastAsia="Arial Narrow" w:hAnsi="Arial" w:cs="Arial"/>
                <w:sz w:val="20"/>
                <w:szCs w:val="20"/>
              </w:rPr>
            </w:pPr>
          </w:p>
          <w:p w14:paraId="767D1EBF" w14:textId="77777777" w:rsidR="00A90E9C" w:rsidRPr="008A26D2" w:rsidRDefault="00A90E9C" w:rsidP="00147D2E">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Donde:</w:t>
            </w:r>
          </w:p>
          <w:p w14:paraId="39118A16" w14:textId="77777777" w:rsidR="00A90E9C" w:rsidRPr="008A26D2" w:rsidRDefault="00A90E9C" w:rsidP="00147D2E">
            <w:pPr>
              <w:spacing w:after="0" w:line="240" w:lineRule="auto"/>
              <w:jc w:val="both"/>
              <w:rPr>
                <w:rFonts w:ascii="Arial" w:eastAsia="Arial Narrow" w:hAnsi="Arial" w:cs="Arial"/>
                <w:sz w:val="20"/>
                <w:szCs w:val="20"/>
              </w:rPr>
            </w:pPr>
          </w:p>
          <w:p w14:paraId="56D88FA0" w14:textId="5C6B4ADB" w:rsidR="00E014D8" w:rsidRPr="008A26D2" w:rsidRDefault="00E014D8" w:rsidP="00E014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rPr>
            </w:pPr>
            <w:r w:rsidRPr="008A26D2">
              <w:rPr>
                <w:rFonts w:ascii="Arial" w:hAnsi="Arial" w:cs="Arial"/>
                <w:sz w:val="20"/>
                <w:szCs w:val="20"/>
              </w:rPr>
              <w:lastRenderedPageBreak/>
              <w:t>A = Número de usuarios forestales y de fauna silvestre encuestados satisfechos con la capacitación para la transferencia de conocimientos y tecnologías agrarias</w:t>
            </w:r>
          </w:p>
          <w:p w14:paraId="4D0ACFCE" w14:textId="77777777" w:rsidR="00E014D8" w:rsidRPr="008A26D2" w:rsidRDefault="00E014D8" w:rsidP="00E014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rPr>
            </w:pPr>
          </w:p>
          <w:p w14:paraId="32D2F425" w14:textId="68B1B312" w:rsidR="00E014D8" w:rsidRPr="008A26D2" w:rsidRDefault="00E014D8" w:rsidP="00E014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rPr>
            </w:pPr>
            <w:r w:rsidRPr="008A26D2">
              <w:rPr>
                <w:rFonts w:ascii="Arial" w:eastAsiaTheme="minorEastAsia" w:hAnsi="Arial" w:cs="Arial"/>
                <w:sz w:val="20"/>
                <w:szCs w:val="20"/>
              </w:rPr>
              <w:t xml:space="preserve">B = Número de </w:t>
            </w:r>
            <w:r w:rsidRPr="008A26D2">
              <w:rPr>
                <w:rFonts w:ascii="Arial" w:hAnsi="Arial" w:cs="Arial"/>
                <w:sz w:val="20"/>
                <w:szCs w:val="20"/>
              </w:rPr>
              <w:t xml:space="preserve">usuarios forestales y de fauna silvestre encuestados. </w:t>
            </w:r>
          </w:p>
          <w:p w14:paraId="0B639CBF" w14:textId="77777777" w:rsidR="00A90E9C" w:rsidRPr="008A26D2" w:rsidRDefault="00A90E9C" w:rsidP="00147D2E">
            <w:pPr>
              <w:spacing w:after="0" w:line="240" w:lineRule="auto"/>
              <w:jc w:val="both"/>
              <w:rPr>
                <w:rFonts w:ascii="Arial" w:eastAsia="Arial Narrow" w:hAnsi="Arial" w:cs="Arial"/>
                <w:sz w:val="20"/>
                <w:szCs w:val="20"/>
              </w:rPr>
            </w:pPr>
          </w:p>
          <w:p w14:paraId="078105C2" w14:textId="77777777" w:rsidR="00A90E9C" w:rsidRPr="008A26D2" w:rsidRDefault="00A90E9C" w:rsidP="00147D2E">
            <w:pPr>
              <w:tabs>
                <w:tab w:val="left" w:pos="3375"/>
              </w:tabs>
              <w:jc w:val="both"/>
              <w:rPr>
                <w:rFonts w:ascii="Arial" w:hAnsi="Arial" w:cs="Arial"/>
                <w:sz w:val="20"/>
                <w:szCs w:val="20"/>
              </w:rPr>
            </w:pPr>
            <w:r w:rsidRPr="008A26D2">
              <w:rPr>
                <w:rFonts w:ascii="Arial" w:hAnsi="Arial" w:cs="Arial"/>
                <w:b/>
                <w:sz w:val="20"/>
                <w:szCs w:val="20"/>
              </w:rPr>
              <w:t>2. Especificaciones técnicas:</w:t>
            </w:r>
          </w:p>
          <w:p w14:paraId="26EF0D76" w14:textId="38643546" w:rsidR="00871CF6" w:rsidRPr="00871CF6" w:rsidRDefault="00871CF6" w:rsidP="00871CF6">
            <w:pPr>
              <w:jc w:val="both"/>
              <w:rPr>
                <w:rFonts w:ascii="Arial" w:eastAsia="Arial Narrow" w:hAnsi="Arial" w:cs="Arial"/>
                <w:sz w:val="20"/>
                <w:szCs w:val="20"/>
              </w:rPr>
            </w:pPr>
            <w:r w:rsidRPr="00871CF6">
              <w:rPr>
                <w:rFonts w:ascii="Arial" w:eastAsia="Arial Narrow" w:hAnsi="Arial" w:cs="Arial"/>
                <w:sz w:val="20"/>
                <w:szCs w:val="20"/>
              </w:rPr>
              <w:t>La variable A se determina a partir de los usuarios forestales y de fauna silvestre que tienen un alto grado de satisfacción, al elegir los dos niveles más altos de la escala, sobre las acciones de fortalecimiento de capacidades recibidas.</w:t>
            </w:r>
          </w:p>
          <w:p w14:paraId="3990B1F8" w14:textId="21D5A388" w:rsidR="00871CF6" w:rsidRDefault="00871CF6" w:rsidP="00871CF6">
            <w:pPr>
              <w:jc w:val="both"/>
              <w:rPr>
                <w:rFonts w:ascii="Arial" w:eastAsia="Arial Narrow" w:hAnsi="Arial" w:cs="Arial"/>
                <w:sz w:val="20"/>
                <w:szCs w:val="20"/>
              </w:rPr>
            </w:pPr>
            <w:r w:rsidRPr="00871CF6">
              <w:rPr>
                <w:rFonts w:ascii="Arial" w:eastAsia="Arial Narrow" w:hAnsi="Arial" w:cs="Arial"/>
                <w:sz w:val="20"/>
                <w:szCs w:val="20"/>
              </w:rPr>
              <w:t xml:space="preserve">La variable B se determina con el total de </w:t>
            </w:r>
            <w:r w:rsidR="00897A61" w:rsidRPr="00897A61">
              <w:rPr>
                <w:rFonts w:ascii="Arial" w:eastAsia="Arial Narrow" w:hAnsi="Arial" w:cs="Arial"/>
                <w:sz w:val="20"/>
                <w:szCs w:val="20"/>
              </w:rPr>
              <w:t xml:space="preserve">usuarios forestales y de fauna silvestre </w:t>
            </w:r>
            <w:r w:rsidRPr="00871CF6">
              <w:rPr>
                <w:rFonts w:ascii="Arial" w:eastAsia="Arial Narrow" w:hAnsi="Arial" w:cs="Arial"/>
                <w:sz w:val="20"/>
                <w:szCs w:val="20"/>
              </w:rPr>
              <w:t>que asisten a las capacitaciones</w:t>
            </w:r>
            <w:r w:rsidR="009A1630">
              <w:rPr>
                <w:rFonts w:ascii="Arial" w:eastAsia="Arial Narrow" w:hAnsi="Arial" w:cs="Arial"/>
                <w:sz w:val="20"/>
                <w:szCs w:val="20"/>
              </w:rPr>
              <w:t xml:space="preserve"> en el año de medición.</w:t>
            </w:r>
          </w:p>
          <w:p w14:paraId="73FAD479" w14:textId="378662FF" w:rsidR="00E014D8" w:rsidRPr="008A26D2" w:rsidRDefault="00E014D8" w:rsidP="00E014D8">
            <w:pPr>
              <w:jc w:val="both"/>
              <w:rPr>
                <w:rFonts w:ascii="Arial" w:eastAsia="Arial Narrow" w:hAnsi="Arial" w:cs="Arial"/>
                <w:sz w:val="20"/>
                <w:szCs w:val="20"/>
              </w:rPr>
            </w:pPr>
            <w:r w:rsidRPr="008A26D2">
              <w:rPr>
                <w:rFonts w:ascii="Arial" w:eastAsia="Arial Narrow" w:hAnsi="Arial" w:cs="Arial"/>
                <w:sz w:val="20"/>
                <w:szCs w:val="20"/>
              </w:rPr>
              <w:t>El indicador se calculará a partir de encuestas o entrevistas donde se cuantifica el grado de satisfacción de los usuarios forestales y de fauna silvestre que reciben transferencia de conocimientos y tecnologías agrarias.</w:t>
            </w:r>
          </w:p>
          <w:p w14:paraId="7E308CA8" w14:textId="77777777" w:rsidR="00E014D8" w:rsidRPr="008A26D2" w:rsidRDefault="00E014D8" w:rsidP="00E014D8">
            <w:pPr>
              <w:tabs>
                <w:tab w:val="left" w:pos="3375"/>
              </w:tabs>
              <w:jc w:val="both"/>
              <w:rPr>
                <w:rFonts w:ascii="Arial" w:eastAsia="Arial Narrow" w:hAnsi="Arial" w:cs="Arial"/>
                <w:sz w:val="20"/>
                <w:szCs w:val="20"/>
              </w:rPr>
            </w:pPr>
            <w:r w:rsidRPr="008A26D2">
              <w:rPr>
                <w:rFonts w:ascii="Arial" w:eastAsia="Arial Narrow" w:hAnsi="Arial" w:cs="Arial"/>
                <w:sz w:val="20"/>
                <w:szCs w:val="20"/>
              </w:rPr>
              <w:t>La liberación de tecnologías se hace a través del cumplimiento de una serie de procedimientos y protocolos establecidos, así como el detalle de los atributos deseables por los usuarios forestales y de fauna silvestre.</w:t>
            </w:r>
          </w:p>
          <w:p w14:paraId="0F76DF56" w14:textId="1195D465" w:rsidR="00A90E9C" w:rsidRPr="008A26D2" w:rsidRDefault="003140F3" w:rsidP="0063579E">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Se carece de línea base debido a que no se ha venido aplicando encuestas de satisfacción como parte de la entrega del servicio. El </w:t>
            </w:r>
            <w:r w:rsidR="00147ABA">
              <w:rPr>
                <w:rFonts w:ascii="Arial" w:eastAsia="Arial Narrow" w:hAnsi="Arial" w:cs="Arial"/>
                <w:sz w:val="20"/>
                <w:szCs w:val="20"/>
              </w:rPr>
              <w:t>Instituto Nacional de In</w:t>
            </w:r>
            <w:r w:rsidR="00DF1D90">
              <w:rPr>
                <w:rFonts w:ascii="Arial" w:eastAsia="Arial Narrow" w:hAnsi="Arial" w:cs="Arial"/>
                <w:sz w:val="20"/>
                <w:szCs w:val="20"/>
              </w:rPr>
              <w:t>novación</w:t>
            </w:r>
            <w:r w:rsidR="00147ABA">
              <w:rPr>
                <w:rFonts w:ascii="Arial" w:eastAsia="Arial Narrow" w:hAnsi="Arial" w:cs="Arial"/>
                <w:sz w:val="20"/>
                <w:szCs w:val="20"/>
              </w:rPr>
              <w:t xml:space="preserve"> Agraria - </w:t>
            </w:r>
            <w:r w:rsidRPr="008A26D2">
              <w:rPr>
                <w:rFonts w:ascii="Arial" w:eastAsia="Arial Narrow" w:hAnsi="Arial" w:cs="Arial"/>
                <w:sz w:val="20"/>
                <w:szCs w:val="20"/>
              </w:rPr>
              <w:t>INIA determinará la línea base antes del inicio de la implementación de la presente Política Nacional.</w:t>
            </w:r>
          </w:p>
        </w:tc>
      </w:tr>
      <w:tr w:rsidR="008A26D2" w:rsidRPr="008A26D2" w14:paraId="64D35DCB" w14:textId="77777777" w:rsidTr="009A1630">
        <w:trPr>
          <w:trHeight w:val="483"/>
        </w:trPr>
        <w:tc>
          <w:tcPr>
            <w:tcW w:w="2286" w:type="dxa"/>
            <w:gridSpan w:val="4"/>
            <w:shd w:val="clear" w:color="auto" w:fill="auto"/>
            <w:tcMar>
              <w:top w:w="10" w:type="dxa"/>
              <w:left w:w="93" w:type="dxa"/>
              <w:bottom w:w="0" w:type="dxa"/>
              <w:right w:w="10" w:type="dxa"/>
            </w:tcMar>
            <w:vAlign w:val="center"/>
          </w:tcPr>
          <w:p w14:paraId="0B1F91F2" w14:textId="77777777" w:rsidR="00A90E9C" w:rsidRPr="008A26D2" w:rsidRDefault="00A90E9C" w:rsidP="00147D2E">
            <w:pPr>
              <w:tabs>
                <w:tab w:val="left" w:pos="3375"/>
              </w:tabs>
              <w:spacing w:after="0" w:line="240" w:lineRule="auto"/>
              <w:jc w:val="both"/>
              <w:rPr>
                <w:rFonts w:ascii="Arial" w:hAnsi="Arial" w:cs="Arial"/>
                <w:sz w:val="20"/>
                <w:szCs w:val="20"/>
              </w:rPr>
            </w:pPr>
            <w:r w:rsidRPr="008A26D2">
              <w:rPr>
                <w:rFonts w:ascii="Arial" w:hAnsi="Arial" w:cs="Arial"/>
                <w:b/>
                <w:sz w:val="20"/>
                <w:szCs w:val="20"/>
              </w:rPr>
              <w:lastRenderedPageBreak/>
              <w:t>Sentido esperado del indicador:</w:t>
            </w:r>
          </w:p>
        </w:tc>
        <w:tc>
          <w:tcPr>
            <w:tcW w:w="1683" w:type="dxa"/>
            <w:gridSpan w:val="2"/>
            <w:shd w:val="clear" w:color="auto" w:fill="auto"/>
            <w:tcMar>
              <w:top w:w="10" w:type="dxa"/>
              <w:left w:w="283" w:type="dxa"/>
              <w:bottom w:w="0" w:type="dxa"/>
              <w:right w:w="283" w:type="dxa"/>
            </w:tcMar>
            <w:vAlign w:val="center"/>
          </w:tcPr>
          <w:p w14:paraId="552EA8E2" w14:textId="77777777" w:rsidR="00A90E9C" w:rsidRPr="008A26D2" w:rsidRDefault="00A90E9C" w:rsidP="00147D2E">
            <w:pPr>
              <w:tabs>
                <w:tab w:val="left" w:pos="3375"/>
              </w:tabs>
              <w:spacing w:after="0" w:line="240" w:lineRule="auto"/>
              <w:jc w:val="both"/>
              <w:rPr>
                <w:rFonts w:ascii="Arial" w:hAnsi="Arial" w:cs="Arial"/>
                <w:sz w:val="20"/>
                <w:szCs w:val="20"/>
              </w:rPr>
            </w:pPr>
            <w:r w:rsidRPr="008A26D2">
              <w:rPr>
                <w:rFonts w:ascii="Arial" w:hAnsi="Arial" w:cs="Arial"/>
                <w:sz w:val="20"/>
                <w:szCs w:val="20"/>
              </w:rPr>
              <w:t>Ascendente</w:t>
            </w:r>
          </w:p>
        </w:tc>
        <w:tc>
          <w:tcPr>
            <w:tcW w:w="2835" w:type="dxa"/>
            <w:gridSpan w:val="4"/>
            <w:shd w:val="clear" w:color="auto" w:fill="auto"/>
            <w:tcMar>
              <w:top w:w="15" w:type="dxa"/>
              <w:left w:w="15" w:type="dxa"/>
              <w:bottom w:w="0" w:type="dxa"/>
              <w:right w:w="15" w:type="dxa"/>
            </w:tcMar>
            <w:vAlign w:val="center"/>
          </w:tcPr>
          <w:p w14:paraId="7A11DA3D" w14:textId="77777777" w:rsidR="00A90E9C" w:rsidRPr="008A26D2" w:rsidRDefault="00A90E9C" w:rsidP="00147D2E">
            <w:pPr>
              <w:tabs>
                <w:tab w:val="left" w:pos="3375"/>
              </w:tabs>
              <w:spacing w:after="0" w:line="240" w:lineRule="auto"/>
              <w:jc w:val="both"/>
              <w:rPr>
                <w:rFonts w:ascii="Arial" w:hAnsi="Arial" w:cs="Arial"/>
                <w:sz w:val="20"/>
                <w:szCs w:val="20"/>
              </w:rPr>
            </w:pPr>
            <w:r w:rsidRPr="008A26D2">
              <w:rPr>
                <w:rFonts w:ascii="Arial" w:hAnsi="Arial" w:cs="Arial"/>
                <w:b/>
                <w:sz w:val="20"/>
                <w:szCs w:val="20"/>
              </w:rPr>
              <w:t>Tipo de indicador de servicio:</w:t>
            </w:r>
          </w:p>
        </w:tc>
        <w:tc>
          <w:tcPr>
            <w:tcW w:w="1701" w:type="dxa"/>
            <w:gridSpan w:val="2"/>
            <w:shd w:val="clear" w:color="auto" w:fill="auto"/>
            <w:tcMar>
              <w:top w:w="15" w:type="dxa"/>
              <w:left w:w="15" w:type="dxa"/>
              <w:bottom w:w="0" w:type="dxa"/>
              <w:right w:w="15" w:type="dxa"/>
            </w:tcMar>
            <w:vAlign w:val="center"/>
          </w:tcPr>
          <w:p w14:paraId="19EE44D5" w14:textId="18A9F14B" w:rsidR="00A90E9C" w:rsidRPr="008A26D2" w:rsidRDefault="00A90E9C" w:rsidP="00147D2E">
            <w:pPr>
              <w:tabs>
                <w:tab w:val="left" w:pos="3375"/>
              </w:tabs>
              <w:spacing w:after="0" w:line="240" w:lineRule="auto"/>
              <w:jc w:val="both"/>
              <w:rPr>
                <w:rFonts w:ascii="Arial" w:hAnsi="Arial" w:cs="Arial"/>
                <w:sz w:val="20"/>
                <w:szCs w:val="20"/>
              </w:rPr>
            </w:pPr>
            <w:r w:rsidRPr="008A26D2">
              <w:rPr>
                <w:rFonts w:ascii="Arial" w:hAnsi="Arial" w:cs="Arial"/>
                <w:sz w:val="20"/>
                <w:szCs w:val="20"/>
              </w:rPr>
              <w:t>Calidad – Per</w:t>
            </w:r>
            <w:r w:rsidR="00E014D8" w:rsidRPr="008A26D2">
              <w:rPr>
                <w:rFonts w:ascii="Arial" w:hAnsi="Arial" w:cs="Arial"/>
                <w:sz w:val="20"/>
                <w:szCs w:val="20"/>
              </w:rPr>
              <w:t>cepción</w:t>
            </w:r>
            <w:r w:rsidRPr="008A26D2">
              <w:rPr>
                <w:rFonts w:ascii="Arial" w:hAnsi="Arial" w:cs="Arial"/>
                <w:sz w:val="20"/>
                <w:szCs w:val="20"/>
              </w:rPr>
              <w:t xml:space="preserve"> </w:t>
            </w:r>
          </w:p>
        </w:tc>
      </w:tr>
      <w:tr w:rsidR="008A26D2" w:rsidRPr="008A26D2" w14:paraId="570FAF7B" w14:textId="77777777" w:rsidTr="00B93313">
        <w:trPr>
          <w:trHeight w:val="13"/>
        </w:trPr>
        <w:tc>
          <w:tcPr>
            <w:tcW w:w="2286" w:type="dxa"/>
            <w:gridSpan w:val="4"/>
            <w:shd w:val="clear" w:color="auto" w:fill="auto"/>
            <w:tcMar>
              <w:top w:w="10" w:type="dxa"/>
              <w:left w:w="93" w:type="dxa"/>
              <w:bottom w:w="0" w:type="dxa"/>
              <w:right w:w="10" w:type="dxa"/>
            </w:tcMar>
            <w:vAlign w:val="center"/>
          </w:tcPr>
          <w:p w14:paraId="1BC21A5A" w14:textId="77777777" w:rsidR="00A90E9C" w:rsidRPr="008A26D2" w:rsidRDefault="00A90E9C" w:rsidP="00147D2E">
            <w:pPr>
              <w:tabs>
                <w:tab w:val="left" w:pos="3375"/>
              </w:tabs>
              <w:spacing w:after="0" w:line="240" w:lineRule="auto"/>
              <w:jc w:val="both"/>
              <w:rPr>
                <w:rFonts w:ascii="Arial" w:hAnsi="Arial" w:cs="Arial"/>
                <w:sz w:val="20"/>
                <w:szCs w:val="20"/>
              </w:rPr>
            </w:pPr>
            <w:r w:rsidRPr="008A26D2">
              <w:rPr>
                <w:rFonts w:ascii="Arial" w:hAnsi="Arial" w:cs="Arial"/>
                <w:b/>
                <w:sz w:val="20"/>
                <w:szCs w:val="20"/>
              </w:rPr>
              <w:t>Fuente y base de datos:</w:t>
            </w:r>
          </w:p>
        </w:tc>
        <w:tc>
          <w:tcPr>
            <w:tcW w:w="6219" w:type="dxa"/>
            <w:gridSpan w:val="8"/>
            <w:shd w:val="clear" w:color="auto" w:fill="auto"/>
            <w:tcMar>
              <w:top w:w="51" w:type="dxa"/>
              <w:left w:w="227" w:type="dxa"/>
              <w:bottom w:w="51" w:type="dxa"/>
              <w:right w:w="227" w:type="dxa"/>
            </w:tcMar>
            <w:vAlign w:val="center"/>
          </w:tcPr>
          <w:p w14:paraId="159D3A73" w14:textId="5639B0DA" w:rsidR="00DF1D90" w:rsidRDefault="00A90E9C" w:rsidP="00147D2E">
            <w:pPr>
              <w:tabs>
                <w:tab w:val="left" w:pos="3375"/>
              </w:tabs>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Fuente: </w:t>
            </w:r>
            <w:r w:rsidR="00E014D8" w:rsidRPr="008A26D2">
              <w:rPr>
                <w:rFonts w:ascii="Arial" w:eastAsia="Arial Narrow" w:hAnsi="Arial" w:cs="Arial"/>
                <w:sz w:val="20"/>
                <w:szCs w:val="20"/>
              </w:rPr>
              <w:t>Dirección de Desarrollo Tecnológico Agrario</w:t>
            </w:r>
            <w:r w:rsidRPr="008A26D2">
              <w:rPr>
                <w:rFonts w:ascii="Arial" w:eastAsia="Arial Narrow" w:hAnsi="Arial" w:cs="Arial"/>
                <w:sz w:val="20"/>
                <w:szCs w:val="20"/>
              </w:rPr>
              <w:t xml:space="preserve"> del</w:t>
            </w:r>
            <w:r w:rsidR="00DF1D90">
              <w:rPr>
                <w:rFonts w:ascii="Arial" w:eastAsia="Arial Narrow" w:hAnsi="Arial" w:cs="Arial"/>
                <w:sz w:val="20"/>
                <w:szCs w:val="20"/>
              </w:rPr>
              <w:t xml:space="preserve"> Instituto Nacional de Innovación Agraria - </w:t>
            </w:r>
            <w:r w:rsidR="00B93313" w:rsidRPr="008A26D2">
              <w:rPr>
                <w:rFonts w:ascii="Arial" w:eastAsia="Arial Narrow" w:hAnsi="Arial" w:cs="Arial"/>
                <w:sz w:val="20"/>
                <w:szCs w:val="20"/>
              </w:rPr>
              <w:t>INIA</w:t>
            </w:r>
            <w:r w:rsidRPr="008A26D2">
              <w:rPr>
                <w:rFonts w:ascii="Arial" w:eastAsia="Arial Narrow" w:hAnsi="Arial" w:cs="Arial"/>
                <w:sz w:val="20"/>
                <w:szCs w:val="20"/>
              </w:rPr>
              <w:t>.</w:t>
            </w:r>
          </w:p>
          <w:p w14:paraId="0079ADDD" w14:textId="1CE58F99" w:rsidR="00A90E9C" w:rsidRPr="008A26D2" w:rsidRDefault="00A90E9C" w:rsidP="00147D2E">
            <w:pPr>
              <w:tabs>
                <w:tab w:val="left" w:pos="3375"/>
              </w:tabs>
              <w:spacing w:after="0" w:line="240" w:lineRule="auto"/>
              <w:jc w:val="both"/>
              <w:rPr>
                <w:rFonts w:ascii="Arial" w:hAnsi="Arial" w:cs="Arial"/>
                <w:sz w:val="20"/>
                <w:szCs w:val="20"/>
              </w:rPr>
            </w:pPr>
            <w:r w:rsidRPr="008A26D2">
              <w:rPr>
                <w:rFonts w:ascii="Arial" w:eastAsia="Arial Narrow" w:hAnsi="Arial" w:cs="Arial"/>
                <w:sz w:val="20"/>
                <w:szCs w:val="20"/>
              </w:rPr>
              <w:t>Base de datos: Reporte de tecnologías para los productores forestales o de fauna silvestre liberadas</w:t>
            </w:r>
            <w:r w:rsidR="00D82C97">
              <w:rPr>
                <w:rFonts w:ascii="Arial" w:eastAsia="Arial Narrow" w:hAnsi="Arial" w:cs="Arial"/>
                <w:sz w:val="20"/>
                <w:szCs w:val="20"/>
              </w:rPr>
              <w:t>.</w:t>
            </w:r>
          </w:p>
        </w:tc>
      </w:tr>
      <w:tr w:rsidR="008A26D2" w:rsidRPr="008A26D2" w14:paraId="7B1C7265" w14:textId="77777777" w:rsidTr="00B93313">
        <w:trPr>
          <w:trHeight w:val="436"/>
        </w:trPr>
        <w:tc>
          <w:tcPr>
            <w:tcW w:w="2286" w:type="dxa"/>
            <w:gridSpan w:val="4"/>
            <w:shd w:val="clear" w:color="auto" w:fill="auto"/>
            <w:tcMar>
              <w:top w:w="10" w:type="dxa"/>
              <w:left w:w="93" w:type="dxa"/>
              <w:bottom w:w="0" w:type="dxa"/>
              <w:right w:w="10" w:type="dxa"/>
            </w:tcMar>
            <w:vAlign w:val="center"/>
          </w:tcPr>
          <w:p w14:paraId="0FCBE45E" w14:textId="77777777" w:rsidR="00A90E9C" w:rsidRPr="008A26D2" w:rsidRDefault="00A90E9C" w:rsidP="00147D2E">
            <w:pPr>
              <w:tabs>
                <w:tab w:val="left" w:pos="3375"/>
              </w:tabs>
              <w:jc w:val="both"/>
              <w:rPr>
                <w:rFonts w:ascii="Arial" w:hAnsi="Arial" w:cs="Arial"/>
                <w:sz w:val="20"/>
                <w:szCs w:val="20"/>
              </w:rPr>
            </w:pPr>
            <w:r w:rsidRPr="008A26D2">
              <w:rPr>
                <w:rFonts w:ascii="Arial" w:hAnsi="Arial" w:cs="Arial"/>
                <w:b/>
                <w:sz w:val="20"/>
                <w:szCs w:val="20"/>
              </w:rPr>
              <w:t>Supuestos:</w:t>
            </w:r>
          </w:p>
        </w:tc>
        <w:tc>
          <w:tcPr>
            <w:tcW w:w="6219" w:type="dxa"/>
            <w:gridSpan w:val="8"/>
            <w:shd w:val="clear" w:color="auto" w:fill="auto"/>
            <w:tcMar>
              <w:top w:w="51" w:type="dxa"/>
              <w:left w:w="227" w:type="dxa"/>
              <w:bottom w:w="51" w:type="dxa"/>
              <w:right w:w="227" w:type="dxa"/>
            </w:tcMar>
            <w:vAlign w:val="center"/>
          </w:tcPr>
          <w:p w14:paraId="1C04B18F" w14:textId="48D3AAB4" w:rsidR="00A90E9C" w:rsidRPr="008A26D2" w:rsidRDefault="00A90E9C" w:rsidP="00147D2E">
            <w:pPr>
              <w:tabs>
                <w:tab w:val="left" w:pos="3375"/>
              </w:tabs>
              <w:spacing w:after="0" w:line="240" w:lineRule="auto"/>
              <w:jc w:val="both"/>
              <w:rPr>
                <w:rFonts w:ascii="Arial" w:hAnsi="Arial" w:cs="Arial"/>
                <w:sz w:val="20"/>
                <w:szCs w:val="20"/>
              </w:rPr>
            </w:pPr>
            <w:r w:rsidRPr="008A26D2">
              <w:rPr>
                <w:rFonts w:ascii="Arial" w:eastAsia="Arial Narrow" w:hAnsi="Arial" w:cs="Arial"/>
                <w:sz w:val="20"/>
                <w:szCs w:val="20"/>
              </w:rPr>
              <w:t xml:space="preserve">Existen diversas tecnologías que pueden liberarse y que se encuentran en dominio del </w:t>
            </w:r>
            <w:r w:rsidR="0068070A">
              <w:rPr>
                <w:rFonts w:ascii="Arial" w:eastAsia="Arial Narrow" w:hAnsi="Arial" w:cs="Arial"/>
                <w:sz w:val="20"/>
                <w:szCs w:val="20"/>
              </w:rPr>
              <w:t xml:space="preserve">Instituto Nacional de Innovación Agraria - </w:t>
            </w:r>
            <w:r w:rsidRPr="008A26D2">
              <w:rPr>
                <w:rFonts w:ascii="Arial" w:eastAsia="Arial Narrow" w:hAnsi="Arial" w:cs="Arial"/>
                <w:sz w:val="20"/>
                <w:szCs w:val="20"/>
              </w:rPr>
              <w:t>INIA</w:t>
            </w:r>
          </w:p>
        </w:tc>
      </w:tr>
      <w:tr w:rsidR="008A26D2" w:rsidRPr="008A26D2" w14:paraId="1CAB5123" w14:textId="77777777" w:rsidTr="00B93313">
        <w:trPr>
          <w:trHeight w:val="556"/>
        </w:trPr>
        <w:tc>
          <w:tcPr>
            <w:tcW w:w="567" w:type="dxa"/>
            <w:shd w:val="clear" w:color="auto" w:fill="auto"/>
            <w:tcMar>
              <w:top w:w="10" w:type="dxa"/>
              <w:left w:w="10" w:type="dxa"/>
              <w:bottom w:w="0" w:type="dxa"/>
              <w:right w:w="10" w:type="dxa"/>
            </w:tcMar>
            <w:vAlign w:val="center"/>
          </w:tcPr>
          <w:p w14:paraId="0D5D766B" w14:textId="77777777" w:rsidR="00A90E9C" w:rsidRPr="008A26D2" w:rsidRDefault="00A90E9C" w:rsidP="00147D2E">
            <w:pPr>
              <w:tabs>
                <w:tab w:val="left" w:pos="3375"/>
              </w:tabs>
              <w:jc w:val="both"/>
              <w:rPr>
                <w:rFonts w:ascii="Arial" w:hAnsi="Arial" w:cs="Arial"/>
                <w:sz w:val="20"/>
                <w:szCs w:val="20"/>
              </w:rPr>
            </w:pPr>
            <w:r w:rsidRPr="008A26D2">
              <w:rPr>
                <w:rFonts w:ascii="Arial" w:hAnsi="Arial" w:cs="Arial"/>
                <w:b/>
                <w:sz w:val="20"/>
                <w:szCs w:val="20"/>
              </w:rPr>
              <w:t> </w:t>
            </w:r>
          </w:p>
        </w:tc>
        <w:tc>
          <w:tcPr>
            <w:tcW w:w="851" w:type="dxa"/>
            <w:shd w:val="clear" w:color="auto" w:fill="auto"/>
            <w:tcMar>
              <w:top w:w="10" w:type="dxa"/>
              <w:left w:w="10" w:type="dxa"/>
              <w:bottom w:w="0" w:type="dxa"/>
              <w:right w:w="10" w:type="dxa"/>
            </w:tcMar>
            <w:vAlign w:val="center"/>
          </w:tcPr>
          <w:p w14:paraId="5594A5BC" w14:textId="77777777" w:rsidR="00A90E9C" w:rsidRPr="008A26D2" w:rsidRDefault="00A90E9C" w:rsidP="009A1630">
            <w:pPr>
              <w:tabs>
                <w:tab w:val="left" w:pos="3375"/>
              </w:tabs>
              <w:jc w:val="center"/>
              <w:rPr>
                <w:rFonts w:ascii="Arial" w:hAnsi="Arial" w:cs="Arial"/>
                <w:sz w:val="20"/>
                <w:szCs w:val="20"/>
              </w:rPr>
            </w:pPr>
            <w:r w:rsidRPr="008A26D2">
              <w:rPr>
                <w:rFonts w:ascii="Arial" w:hAnsi="Arial" w:cs="Arial"/>
                <w:b/>
                <w:sz w:val="20"/>
                <w:szCs w:val="20"/>
              </w:rPr>
              <w:t>Línea de base</w:t>
            </w:r>
          </w:p>
        </w:tc>
        <w:tc>
          <w:tcPr>
            <w:tcW w:w="7087" w:type="dxa"/>
            <w:gridSpan w:val="10"/>
            <w:shd w:val="clear" w:color="auto" w:fill="auto"/>
            <w:tcMar>
              <w:top w:w="10" w:type="dxa"/>
              <w:left w:w="10" w:type="dxa"/>
              <w:bottom w:w="0" w:type="dxa"/>
              <w:right w:w="10" w:type="dxa"/>
            </w:tcMar>
            <w:vAlign w:val="center"/>
          </w:tcPr>
          <w:p w14:paraId="42A70659" w14:textId="77777777" w:rsidR="00A90E9C" w:rsidRPr="008A26D2" w:rsidRDefault="00A90E9C" w:rsidP="009A1630">
            <w:pPr>
              <w:tabs>
                <w:tab w:val="left" w:pos="3375"/>
              </w:tabs>
              <w:jc w:val="center"/>
              <w:rPr>
                <w:rFonts w:ascii="Arial" w:hAnsi="Arial" w:cs="Arial"/>
                <w:sz w:val="20"/>
                <w:szCs w:val="20"/>
              </w:rPr>
            </w:pPr>
            <w:r w:rsidRPr="008A26D2">
              <w:rPr>
                <w:rFonts w:ascii="Arial" w:hAnsi="Arial" w:cs="Arial"/>
                <w:b/>
                <w:sz w:val="20"/>
                <w:szCs w:val="20"/>
              </w:rPr>
              <w:t>Logros esperados</w:t>
            </w:r>
          </w:p>
        </w:tc>
      </w:tr>
      <w:tr w:rsidR="008A26D2" w:rsidRPr="008A26D2" w14:paraId="6B1C5735" w14:textId="77777777" w:rsidTr="009A1630">
        <w:trPr>
          <w:trHeight w:val="217"/>
        </w:trPr>
        <w:tc>
          <w:tcPr>
            <w:tcW w:w="567" w:type="dxa"/>
            <w:shd w:val="clear" w:color="auto" w:fill="auto"/>
            <w:tcMar>
              <w:top w:w="10" w:type="dxa"/>
              <w:left w:w="10" w:type="dxa"/>
              <w:bottom w:w="0" w:type="dxa"/>
              <w:right w:w="10" w:type="dxa"/>
            </w:tcMar>
            <w:vAlign w:val="center"/>
          </w:tcPr>
          <w:p w14:paraId="73546628" w14:textId="77777777" w:rsidR="00A90E9C" w:rsidRPr="008A26D2" w:rsidRDefault="00A90E9C" w:rsidP="00147D2E">
            <w:pPr>
              <w:tabs>
                <w:tab w:val="left" w:pos="3375"/>
              </w:tabs>
              <w:jc w:val="both"/>
              <w:rPr>
                <w:rFonts w:ascii="Arial" w:hAnsi="Arial" w:cs="Arial"/>
                <w:sz w:val="20"/>
                <w:szCs w:val="20"/>
              </w:rPr>
            </w:pPr>
            <w:r w:rsidRPr="008A26D2">
              <w:rPr>
                <w:rFonts w:ascii="Arial" w:hAnsi="Arial" w:cs="Arial"/>
                <w:b/>
                <w:sz w:val="20"/>
                <w:szCs w:val="20"/>
              </w:rPr>
              <w:t>Año</w:t>
            </w:r>
          </w:p>
        </w:tc>
        <w:tc>
          <w:tcPr>
            <w:tcW w:w="851" w:type="dxa"/>
            <w:shd w:val="clear" w:color="auto" w:fill="auto"/>
            <w:tcMar>
              <w:top w:w="10" w:type="dxa"/>
              <w:left w:w="10" w:type="dxa"/>
              <w:bottom w:w="0" w:type="dxa"/>
              <w:right w:w="10" w:type="dxa"/>
            </w:tcMar>
            <w:vAlign w:val="center"/>
          </w:tcPr>
          <w:p w14:paraId="07E00073" w14:textId="67E46C64" w:rsidR="00A90E9C" w:rsidRPr="008A26D2" w:rsidRDefault="00E014D8" w:rsidP="009A1630">
            <w:pPr>
              <w:tabs>
                <w:tab w:val="left" w:pos="3375"/>
              </w:tabs>
              <w:jc w:val="center"/>
              <w:rPr>
                <w:rFonts w:ascii="Arial" w:hAnsi="Arial" w:cs="Arial"/>
                <w:b/>
                <w:sz w:val="20"/>
                <w:szCs w:val="20"/>
              </w:rPr>
            </w:pPr>
            <w:r w:rsidRPr="008A26D2">
              <w:rPr>
                <w:rFonts w:ascii="Arial" w:hAnsi="Arial" w:cs="Arial"/>
                <w:b/>
                <w:sz w:val="20"/>
                <w:szCs w:val="20"/>
              </w:rPr>
              <w:t>2022</w:t>
            </w:r>
          </w:p>
        </w:tc>
        <w:tc>
          <w:tcPr>
            <w:tcW w:w="850" w:type="dxa"/>
            <w:shd w:val="clear" w:color="auto" w:fill="auto"/>
            <w:tcMar>
              <w:top w:w="10" w:type="dxa"/>
              <w:left w:w="10" w:type="dxa"/>
              <w:bottom w:w="0" w:type="dxa"/>
              <w:right w:w="10" w:type="dxa"/>
            </w:tcMar>
            <w:vAlign w:val="center"/>
          </w:tcPr>
          <w:p w14:paraId="377DEF41" w14:textId="77777777" w:rsidR="00A90E9C" w:rsidRPr="008A26D2" w:rsidRDefault="00A90E9C" w:rsidP="009A1630">
            <w:pPr>
              <w:tabs>
                <w:tab w:val="left" w:pos="3375"/>
              </w:tabs>
              <w:jc w:val="center"/>
              <w:rPr>
                <w:rFonts w:ascii="Arial" w:hAnsi="Arial" w:cs="Arial"/>
                <w:b/>
                <w:sz w:val="20"/>
                <w:szCs w:val="20"/>
              </w:rPr>
            </w:pPr>
            <w:r w:rsidRPr="008A26D2">
              <w:rPr>
                <w:rFonts w:ascii="Arial" w:hAnsi="Arial" w:cs="Arial"/>
                <w:b/>
                <w:sz w:val="20"/>
                <w:szCs w:val="20"/>
              </w:rPr>
              <w:t>2023</w:t>
            </w:r>
          </w:p>
        </w:tc>
        <w:tc>
          <w:tcPr>
            <w:tcW w:w="993" w:type="dxa"/>
            <w:gridSpan w:val="2"/>
            <w:shd w:val="clear" w:color="auto" w:fill="auto"/>
            <w:vAlign w:val="center"/>
          </w:tcPr>
          <w:p w14:paraId="75506248" w14:textId="77777777" w:rsidR="00A90E9C" w:rsidRPr="008A26D2" w:rsidRDefault="00A90E9C" w:rsidP="009A1630">
            <w:pPr>
              <w:tabs>
                <w:tab w:val="left" w:pos="3375"/>
              </w:tabs>
              <w:jc w:val="center"/>
              <w:rPr>
                <w:rFonts w:ascii="Arial" w:hAnsi="Arial" w:cs="Arial"/>
                <w:b/>
                <w:sz w:val="20"/>
                <w:szCs w:val="20"/>
              </w:rPr>
            </w:pPr>
            <w:r w:rsidRPr="008A26D2">
              <w:rPr>
                <w:rFonts w:ascii="Arial" w:hAnsi="Arial" w:cs="Arial"/>
                <w:b/>
                <w:sz w:val="20"/>
                <w:szCs w:val="20"/>
              </w:rPr>
              <w:t>2024</w:t>
            </w:r>
          </w:p>
        </w:tc>
        <w:tc>
          <w:tcPr>
            <w:tcW w:w="850" w:type="dxa"/>
            <w:gridSpan w:val="2"/>
            <w:shd w:val="clear" w:color="auto" w:fill="auto"/>
            <w:vAlign w:val="center"/>
          </w:tcPr>
          <w:p w14:paraId="27D763E9" w14:textId="77777777" w:rsidR="00A90E9C" w:rsidRPr="008A26D2" w:rsidRDefault="00A90E9C" w:rsidP="009A1630">
            <w:pPr>
              <w:tabs>
                <w:tab w:val="left" w:pos="3375"/>
              </w:tabs>
              <w:jc w:val="center"/>
              <w:rPr>
                <w:rFonts w:ascii="Arial" w:hAnsi="Arial" w:cs="Arial"/>
                <w:b/>
                <w:sz w:val="20"/>
                <w:szCs w:val="20"/>
              </w:rPr>
            </w:pPr>
            <w:r w:rsidRPr="008A26D2">
              <w:rPr>
                <w:rFonts w:ascii="Arial" w:hAnsi="Arial" w:cs="Arial"/>
                <w:b/>
                <w:sz w:val="20"/>
                <w:szCs w:val="20"/>
              </w:rPr>
              <w:t>2025</w:t>
            </w:r>
          </w:p>
        </w:tc>
        <w:tc>
          <w:tcPr>
            <w:tcW w:w="992" w:type="dxa"/>
            <w:shd w:val="clear" w:color="auto" w:fill="auto"/>
            <w:vAlign w:val="center"/>
          </w:tcPr>
          <w:p w14:paraId="0D20AFF3" w14:textId="77777777" w:rsidR="00A90E9C" w:rsidRPr="008A26D2" w:rsidRDefault="00A90E9C" w:rsidP="009A1630">
            <w:pPr>
              <w:tabs>
                <w:tab w:val="left" w:pos="3375"/>
              </w:tabs>
              <w:jc w:val="center"/>
              <w:rPr>
                <w:rFonts w:ascii="Arial" w:hAnsi="Arial" w:cs="Arial"/>
                <w:b/>
                <w:sz w:val="20"/>
                <w:szCs w:val="20"/>
              </w:rPr>
            </w:pPr>
            <w:r w:rsidRPr="008A26D2">
              <w:rPr>
                <w:rFonts w:ascii="Arial" w:hAnsi="Arial" w:cs="Arial"/>
                <w:b/>
                <w:sz w:val="20"/>
                <w:szCs w:val="20"/>
              </w:rPr>
              <w:t>2026</w:t>
            </w:r>
          </w:p>
        </w:tc>
        <w:tc>
          <w:tcPr>
            <w:tcW w:w="851" w:type="dxa"/>
            <w:shd w:val="clear" w:color="auto" w:fill="auto"/>
            <w:vAlign w:val="center"/>
          </w:tcPr>
          <w:p w14:paraId="3A0AA9A3" w14:textId="77777777" w:rsidR="00A90E9C" w:rsidRPr="008A26D2" w:rsidRDefault="00A90E9C" w:rsidP="009A1630">
            <w:pPr>
              <w:tabs>
                <w:tab w:val="left" w:pos="3375"/>
              </w:tabs>
              <w:jc w:val="center"/>
              <w:rPr>
                <w:rFonts w:ascii="Arial" w:hAnsi="Arial" w:cs="Arial"/>
                <w:b/>
                <w:sz w:val="20"/>
                <w:szCs w:val="20"/>
              </w:rPr>
            </w:pPr>
            <w:r w:rsidRPr="008A26D2">
              <w:rPr>
                <w:rFonts w:ascii="Arial" w:hAnsi="Arial" w:cs="Arial"/>
                <w:b/>
                <w:sz w:val="20"/>
                <w:szCs w:val="20"/>
              </w:rPr>
              <w:t>2027</w:t>
            </w:r>
          </w:p>
        </w:tc>
        <w:tc>
          <w:tcPr>
            <w:tcW w:w="850" w:type="dxa"/>
            <w:shd w:val="clear" w:color="auto" w:fill="auto"/>
            <w:vAlign w:val="center"/>
          </w:tcPr>
          <w:p w14:paraId="461A9A12" w14:textId="77777777" w:rsidR="00A90E9C" w:rsidRPr="008A26D2" w:rsidRDefault="00A90E9C" w:rsidP="009A1630">
            <w:pPr>
              <w:tabs>
                <w:tab w:val="left" w:pos="3375"/>
              </w:tabs>
              <w:jc w:val="center"/>
              <w:rPr>
                <w:rFonts w:ascii="Arial" w:hAnsi="Arial" w:cs="Arial"/>
                <w:b/>
                <w:sz w:val="20"/>
                <w:szCs w:val="20"/>
              </w:rPr>
            </w:pPr>
            <w:r w:rsidRPr="008A26D2">
              <w:rPr>
                <w:rFonts w:ascii="Arial" w:hAnsi="Arial" w:cs="Arial"/>
                <w:b/>
                <w:sz w:val="20"/>
                <w:szCs w:val="20"/>
              </w:rPr>
              <w:t>2028</w:t>
            </w:r>
          </w:p>
        </w:tc>
        <w:tc>
          <w:tcPr>
            <w:tcW w:w="851" w:type="dxa"/>
            <w:shd w:val="clear" w:color="auto" w:fill="auto"/>
            <w:vAlign w:val="center"/>
          </w:tcPr>
          <w:p w14:paraId="059585CD" w14:textId="77777777" w:rsidR="00A90E9C" w:rsidRPr="008A26D2" w:rsidRDefault="00A90E9C" w:rsidP="009A1630">
            <w:pPr>
              <w:tabs>
                <w:tab w:val="left" w:pos="3375"/>
              </w:tabs>
              <w:jc w:val="center"/>
              <w:rPr>
                <w:rFonts w:ascii="Arial" w:hAnsi="Arial" w:cs="Arial"/>
                <w:b/>
                <w:sz w:val="20"/>
                <w:szCs w:val="20"/>
              </w:rPr>
            </w:pPr>
            <w:r w:rsidRPr="008A26D2">
              <w:rPr>
                <w:rFonts w:ascii="Arial" w:hAnsi="Arial" w:cs="Arial"/>
                <w:b/>
                <w:sz w:val="20"/>
                <w:szCs w:val="20"/>
              </w:rPr>
              <w:t>2029</w:t>
            </w:r>
          </w:p>
        </w:tc>
        <w:tc>
          <w:tcPr>
            <w:tcW w:w="850" w:type="dxa"/>
            <w:shd w:val="clear" w:color="auto" w:fill="auto"/>
            <w:tcMar>
              <w:top w:w="10" w:type="dxa"/>
              <w:left w:w="10" w:type="dxa"/>
              <w:bottom w:w="0" w:type="dxa"/>
              <w:right w:w="10" w:type="dxa"/>
            </w:tcMar>
            <w:vAlign w:val="center"/>
          </w:tcPr>
          <w:p w14:paraId="543AB41B" w14:textId="77777777" w:rsidR="00A90E9C" w:rsidRPr="008A26D2" w:rsidRDefault="00A90E9C" w:rsidP="009A1630">
            <w:pPr>
              <w:tabs>
                <w:tab w:val="left" w:pos="3375"/>
              </w:tabs>
              <w:jc w:val="center"/>
              <w:rPr>
                <w:rFonts w:ascii="Arial" w:hAnsi="Arial" w:cs="Arial"/>
                <w:b/>
                <w:sz w:val="20"/>
                <w:szCs w:val="20"/>
              </w:rPr>
            </w:pPr>
            <w:r w:rsidRPr="008A26D2">
              <w:rPr>
                <w:rFonts w:ascii="Arial" w:hAnsi="Arial" w:cs="Arial"/>
                <w:b/>
                <w:sz w:val="20"/>
                <w:szCs w:val="20"/>
              </w:rPr>
              <w:t>2030</w:t>
            </w:r>
          </w:p>
        </w:tc>
      </w:tr>
      <w:tr w:rsidR="008A26D2" w:rsidRPr="008A26D2" w14:paraId="0B7D4F18" w14:textId="77777777" w:rsidTr="009A1630">
        <w:trPr>
          <w:trHeight w:val="81"/>
        </w:trPr>
        <w:tc>
          <w:tcPr>
            <w:tcW w:w="567" w:type="dxa"/>
            <w:shd w:val="clear" w:color="auto" w:fill="auto"/>
            <w:tcMar>
              <w:top w:w="10" w:type="dxa"/>
              <w:left w:w="10" w:type="dxa"/>
              <w:bottom w:w="0" w:type="dxa"/>
              <w:right w:w="10" w:type="dxa"/>
            </w:tcMar>
            <w:vAlign w:val="center"/>
          </w:tcPr>
          <w:p w14:paraId="394A7F92" w14:textId="77777777" w:rsidR="00A90E9C" w:rsidRPr="008A26D2" w:rsidRDefault="00A90E9C" w:rsidP="00147D2E">
            <w:pPr>
              <w:tabs>
                <w:tab w:val="left" w:pos="3375"/>
              </w:tabs>
              <w:jc w:val="both"/>
              <w:rPr>
                <w:rFonts w:ascii="Arial" w:hAnsi="Arial" w:cs="Arial"/>
                <w:b/>
                <w:sz w:val="20"/>
                <w:szCs w:val="20"/>
              </w:rPr>
            </w:pPr>
            <w:r w:rsidRPr="008A26D2">
              <w:rPr>
                <w:rFonts w:ascii="Arial" w:hAnsi="Arial" w:cs="Arial"/>
                <w:b/>
                <w:sz w:val="20"/>
                <w:szCs w:val="20"/>
              </w:rPr>
              <w:t>Valor</w:t>
            </w:r>
          </w:p>
        </w:tc>
        <w:tc>
          <w:tcPr>
            <w:tcW w:w="851" w:type="dxa"/>
            <w:shd w:val="clear" w:color="auto" w:fill="auto"/>
            <w:tcMar>
              <w:top w:w="10" w:type="dxa"/>
              <w:left w:w="10" w:type="dxa"/>
              <w:bottom w:w="0" w:type="dxa"/>
              <w:right w:w="10" w:type="dxa"/>
            </w:tcMar>
            <w:vAlign w:val="center"/>
          </w:tcPr>
          <w:p w14:paraId="7A0CCC7E" w14:textId="4CE73004" w:rsidR="00A90E9C" w:rsidRPr="008A26D2" w:rsidRDefault="00E014D8" w:rsidP="009A1630">
            <w:pPr>
              <w:tabs>
                <w:tab w:val="left" w:pos="3375"/>
              </w:tabs>
              <w:jc w:val="center"/>
              <w:rPr>
                <w:rFonts w:ascii="Arial" w:hAnsi="Arial" w:cs="Arial"/>
                <w:sz w:val="20"/>
                <w:szCs w:val="20"/>
              </w:rPr>
            </w:pPr>
            <w:r w:rsidRPr="009A1630">
              <w:rPr>
                <w:rFonts w:ascii="Arial" w:hAnsi="Arial" w:cs="Arial"/>
                <w:sz w:val="20"/>
                <w:szCs w:val="20"/>
              </w:rPr>
              <w:t>ND</w:t>
            </w:r>
          </w:p>
        </w:tc>
        <w:tc>
          <w:tcPr>
            <w:tcW w:w="850" w:type="dxa"/>
            <w:shd w:val="clear" w:color="auto" w:fill="auto"/>
            <w:tcMar>
              <w:top w:w="10" w:type="dxa"/>
              <w:left w:w="10" w:type="dxa"/>
              <w:bottom w:w="0" w:type="dxa"/>
              <w:right w:w="10" w:type="dxa"/>
            </w:tcMar>
            <w:vAlign w:val="center"/>
          </w:tcPr>
          <w:p w14:paraId="580DF06A" w14:textId="213350ED" w:rsidR="00A90E9C" w:rsidRPr="008A26D2" w:rsidRDefault="00E014D8" w:rsidP="009A1630">
            <w:pPr>
              <w:tabs>
                <w:tab w:val="left" w:pos="3375"/>
              </w:tabs>
              <w:jc w:val="center"/>
              <w:rPr>
                <w:rFonts w:ascii="Arial" w:hAnsi="Arial" w:cs="Arial"/>
                <w:sz w:val="20"/>
                <w:szCs w:val="20"/>
              </w:rPr>
            </w:pPr>
            <w:r w:rsidRPr="008A26D2">
              <w:rPr>
                <w:rFonts w:ascii="Arial" w:hAnsi="Arial" w:cs="Arial"/>
                <w:sz w:val="20"/>
                <w:szCs w:val="20"/>
              </w:rPr>
              <w:t>15%</w:t>
            </w:r>
          </w:p>
        </w:tc>
        <w:tc>
          <w:tcPr>
            <w:tcW w:w="993" w:type="dxa"/>
            <w:gridSpan w:val="2"/>
            <w:shd w:val="clear" w:color="auto" w:fill="auto"/>
            <w:vAlign w:val="center"/>
          </w:tcPr>
          <w:p w14:paraId="29CCE90D" w14:textId="3B91F12E" w:rsidR="00A90E9C" w:rsidRPr="008A26D2" w:rsidRDefault="00E014D8" w:rsidP="009A1630">
            <w:pPr>
              <w:tabs>
                <w:tab w:val="left" w:pos="3375"/>
              </w:tabs>
              <w:jc w:val="center"/>
              <w:rPr>
                <w:rFonts w:ascii="Arial" w:hAnsi="Arial" w:cs="Arial"/>
                <w:sz w:val="20"/>
                <w:szCs w:val="20"/>
              </w:rPr>
            </w:pPr>
            <w:r w:rsidRPr="008A26D2">
              <w:rPr>
                <w:rFonts w:ascii="Arial" w:hAnsi="Arial" w:cs="Arial"/>
                <w:sz w:val="20"/>
                <w:szCs w:val="20"/>
              </w:rPr>
              <w:t>20%</w:t>
            </w:r>
          </w:p>
        </w:tc>
        <w:tc>
          <w:tcPr>
            <w:tcW w:w="850" w:type="dxa"/>
            <w:gridSpan w:val="2"/>
            <w:shd w:val="clear" w:color="auto" w:fill="auto"/>
            <w:vAlign w:val="center"/>
          </w:tcPr>
          <w:p w14:paraId="351569B2" w14:textId="539001DD" w:rsidR="00A90E9C" w:rsidRPr="008A26D2" w:rsidRDefault="00E014D8" w:rsidP="009A1630">
            <w:pPr>
              <w:tabs>
                <w:tab w:val="left" w:pos="3375"/>
              </w:tabs>
              <w:jc w:val="center"/>
              <w:rPr>
                <w:rFonts w:ascii="Arial" w:hAnsi="Arial" w:cs="Arial"/>
                <w:sz w:val="20"/>
                <w:szCs w:val="20"/>
              </w:rPr>
            </w:pPr>
            <w:r w:rsidRPr="008A26D2">
              <w:rPr>
                <w:rFonts w:ascii="Arial" w:hAnsi="Arial" w:cs="Arial"/>
                <w:sz w:val="20"/>
                <w:szCs w:val="20"/>
              </w:rPr>
              <w:t>25%</w:t>
            </w:r>
          </w:p>
        </w:tc>
        <w:tc>
          <w:tcPr>
            <w:tcW w:w="992" w:type="dxa"/>
            <w:shd w:val="clear" w:color="auto" w:fill="auto"/>
            <w:vAlign w:val="center"/>
          </w:tcPr>
          <w:p w14:paraId="1184A091" w14:textId="3036099C" w:rsidR="00A90E9C" w:rsidRPr="008A26D2" w:rsidRDefault="00E014D8" w:rsidP="009A1630">
            <w:pPr>
              <w:tabs>
                <w:tab w:val="left" w:pos="3375"/>
              </w:tabs>
              <w:jc w:val="center"/>
              <w:rPr>
                <w:rFonts w:ascii="Arial" w:hAnsi="Arial" w:cs="Arial"/>
                <w:sz w:val="20"/>
                <w:szCs w:val="20"/>
              </w:rPr>
            </w:pPr>
            <w:r w:rsidRPr="008A26D2">
              <w:rPr>
                <w:rFonts w:ascii="Arial" w:hAnsi="Arial" w:cs="Arial"/>
                <w:sz w:val="20"/>
                <w:szCs w:val="20"/>
              </w:rPr>
              <w:t>30%</w:t>
            </w:r>
          </w:p>
        </w:tc>
        <w:tc>
          <w:tcPr>
            <w:tcW w:w="851" w:type="dxa"/>
            <w:shd w:val="clear" w:color="auto" w:fill="auto"/>
            <w:vAlign w:val="center"/>
          </w:tcPr>
          <w:p w14:paraId="2810986B" w14:textId="074E9A6C" w:rsidR="00A90E9C" w:rsidRPr="008A26D2" w:rsidRDefault="00E014D8" w:rsidP="009A1630">
            <w:pPr>
              <w:tabs>
                <w:tab w:val="left" w:pos="3375"/>
              </w:tabs>
              <w:jc w:val="center"/>
              <w:rPr>
                <w:rFonts w:ascii="Arial" w:hAnsi="Arial" w:cs="Arial"/>
                <w:sz w:val="20"/>
                <w:szCs w:val="20"/>
              </w:rPr>
            </w:pPr>
            <w:r w:rsidRPr="008A26D2">
              <w:rPr>
                <w:rFonts w:ascii="Arial" w:hAnsi="Arial" w:cs="Arial"/>
                <w:sz w:val="20"/>
                <w:szCs w:val="20"/>
              </w:rPr>
              <w:t>35%</w:t>
            </w:r>
          </w:p>
        </w:tc>
        <w:tc>
          <w:tcPr>
            <w:tcW w:w="850" w:type="dxa"/>
            <w:shd w:val="clear" w:color="auto" w:fill="auto"/>
            <w:vAlign w:val="center"/>
          </w:tcPr>
          <w:p w14:paraId="1FB40E20" w14:textId="3D35D066" w:rsidR="00A90E9C" w:rsidRPr="008A26D2" w:rsidRDefault="00E014D8" w:rsidP="009A1630">
            <w:pPr>
              <w:tabs>
                <w:tab w:val="left" w:pos="3375"/>
              </w:tabs>
              <w:jc w:val="center"/>
              <w:rPr>
                <w:rFonts w:ascii="Arial" w:hAnsi="Arial" w:cs="Arial"/>
                <w:sz w:val="20"/>
                <w:szCs w:val="20"/>
              </w:rPr>
            </w:pPr>
            <w:r w:rsidRPr="008A26D2">
              <w:rPr>
                <w:rFonts w:ascii="Arial" w:hAnsi="Arial" w:cs="Arial"/>
                <w:sz w:val="20"/>
                <w:szCs w:val="20"/>
              </w:rPr>
              <w:t>40%</w:t>
            </w:r>
          </w:p>
        </w:tc>
        <w:tc>
          <w:tcPr>
            <w:tcW w:w="851" w:type="dxa"/>
            <w:shd w:val="clear" w:color="auto" w:fill="auto"/>
            <w:vAlign w:val="center"/>
          </w:tcPr>
          <w:p w14:paraId="598E9F84" w14:textId="166857A4" w:rsidR="00A90E9C" w:rsidRPr="008A26D2" w:rsidRDefault="00E014D8" w:rsidP="009A1630">
            <w:pPr>
              <w:tabs>
                <w:tab w:val="left" w:pos="3375"/>
              </w:tabs>
              <w:jc w:val="center"/>
              <w:rPr>
                <w:rFonts w:ascii="Arial" w:hAnsi="Arial" w:cs="Arial"/>
                <w:sz w:val="20"/>
                <w:szCs w:val="20"/>
              </w:rPr>
            </w:pPr>
            <w:r w:rsidRPr="008A26D2">
              <w:rPr>
                <w:rFonts w:ascii="Arial" w:hAnsi="Arial" w:cs="Arial"/>
                <w:sz w:val="20"/>
                <w:szCs w:val="20"/>
              </w:rPr>
              <w:t>45%</w:t>
            </w:r>
          </w:p>
        </w:tc>
        <w:tc>
          <w:tcPr>
            <w:tcW w:w="850" w:type="dxa"/>
            <w:shd w:val="clear" w:color="auto" w:fill="auto"/>
            <w:tcMar>
              <w:top w:w="10" w:type="dxa"/>
              <w:left w:w="10" w:type="dxa"/>
              <w:bottom w:w="0" w:type="dxa"/>
              <w:right w:w="10" w:type="dxa"/>
            </w:tcMar>
            <w:vAlign w:val="center"/>
          </w:tcPr>
          <w:p w14:paraId="4F8A6624" w14:textId="1D98A153" w:rsidR="00A90E9C" w:rsidRPr="008A26D2" w:rsidRDefault="00E014D8" w:rsidP="009A1630">
            <w:pPr>
              <w:tabs>
                <w:tab w:val="left" w:pos="3375"/>
              </w:tabs>
              <w:jc w:val="center"/>
              <w:rPr>
                <w:rFonts w:ascii="Arial" w:hAnsi="Arial" w:cs="Arial"/>
                <w:sz w:val="20"/>
                <w:szCs w:val="20"/>
              </w:rPr>
            </w:pPr>
            <w:r w:rsidRPr="008A26D2">
              <w:rPr>
                <w:rFonts w:ascii="Arial" w:hAnsi="Arial" w:cs="Arial"/>
                <w:sz w:val="20"/>
                <w:szCs w:val="20"/>
              </w:rPr>
              <w:t>50%</w:t>
            </w:r>
          </w:p>
        </w:tc>
      </w:tr>
    </w:tbl>
    <w:p w14:paraId="6150014A" w14:textId="77777777" w:rsidR="00A90E9C" w:rsidRPr="008A26D2" w:rsidRDefault="00A90E9C" w:rsidP="00A90E9C"/>
    <w:p w14:paraId="554E6F37" w14:textId="77777777" w:rsidR="00A90E9C" w:rsidRDefault="00A90E9C" w:rsidP="00A90E9C"/>
    <w:p w14:paraId="0C35E3CA" w14:textId="77777777" w:rsidR="00BD1985" w:rsidRDefault="00BD1985" w:rsidP="00A90E9C"/>
    <w:p w14:paraId="17F5CBC9" w14:textId="77777777" w:rsidR="00BD1985" w:rsidRDefault="00BD1985" w:rsidP="00A90E9C"/>
    <w:p w14:paraId="10D80543" w14:textId="77777777" w:rsidR="00BD1985" w:rsidRPr="008A26D2" w:rsidRDefault="00BD1985" w:rsidP="00A90E9C"/>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851"/>
        <w:gridCol w:w="726"/>
        <w:gridCol w:w="266"/>
        <w:gridCol w:w="1007"/>
        <w:gridCol w:w="656"/>
        <w:gridCol w:w="180"/>
        <w:gridCol w:w="850"/>
        <w:gridCol w:w="851"/>
        <w:gridCol w:w="850"/>
        <w:gridCol w:w="157"/>
        <w:gridCol w:w="694"/>
        <w:gridCol w:w="708"/>
      </w:tblGrid>
      <w:tr w:rsidR="008A26D2" w:rsidRPr="008A26D2" w14:paraId="46AB0D41" w14:textId="77777777" w:rsidTr="00B93313">
        <w:trPr>
          <w:trHeight w:val="251"/>
        </w:trPr>
        <w:tc>
          <w:tcPr>
            <w:tcW w:w="8505" w:type="dxa"/>
            <w:gridSpan w:val="13"/>
            <w:shd w:val="clear" w:color="auto" w:fill="D9D9D9" w:themeFill="background1" w:themeFillShade="D9"/>
            <w:tcMar>
              <w:top w:w="10" w:type="dxa"/>
              <w:left w:w="10" w:type="dxa"/>
              <w:bottom w:w="0" w:type="dxa"/>
              <w:right w:w="10" w:type="dxa"/>
            </w:tcMar>
            <w:vAlign w:val="center"/>
          </w:tcPr>
          <w:p w14:paraId="3D0D6A12" w14:textId="5AD067F5" w:rsidR="00A90E9C" w:rsidRPr="008A26D2" w:rsidRDefault="00A90E9C" w:rsidP="0072651A">
            <w:pPr>
              <w:tabs>
                <w:tab w:val="left" w:pos="3375"/>
              </w:tabs>
              <w:jc w:val="center"/>
              <w:rPr>
                <w:rFonts w:ascii="Arial" w:hAnsi="Arial" w:cs="Arial"/>
                <w:sz w:val="20"/>
                <w:szCs w:val="20"/>
              </w:rPr>
            </w:pPr>
            <w:r w:rsidRPr="008A26D2">
              <w:rPr>
                <w:rFonts w:ascii="Arial" w:hAnsi="Arial" w:cs="Arial"/>
                <w:sz w:val="20"/>
                <w:szCs w:val="20"/>
              </w:rPr>
              <w:lastRenderedPageBreak/>
              <w:br w:type="page"/>
            </w:r>
            <w:r w:rsidRPr="008A26D2">
              <w:rPr>
                <w:rFonts w:ascii="Arial" w:hAnsi="Arial" w:cs="Arial"/>
                <w:b/>
                <w:sz w:val="20"/>
                <w:szCs w:val="20"/>
              </w:rPr>
              <w:t>FICHA TÉCNICA DE INDICADOR DE SERVICIO 2.4.</w:t>
            </w:r>
            <w:r w:rsidR="00C63F93" w:rsidRPr="008A26D2">
              <w:rPr>
                <w:rFonts w:ascii="Arial" w:hAnsi="Arial" w:cs="Arial"/>
                <w:b/>
                <w:sz w:val="20"/>
                <w:szCs w:val="20"/>
              </w:rPr>
              <w:t>2</w:t>
            </w:r>
            <w:r w:rsidRPr="008A26D2">
              <w:rPr>
                <w:rFonts w:ascii="Arial" w:hAnsi="Arial" w:cs="Arial"/>
                <w:b/>
                <w:sz w:val="20"/>
                <w:szCs w:val="20"/>
              </w:rPr>
              <w:t xml:space="preserve"> - CALIDAD</w:t>
            </w:r>
          </w:p>
        </w:tc>
      </w:tr>
      <w:tr w:rsidR="008A26D2" w:rsidRPr="008A26D2" w14:paraId="0F3A9875" w14:textId="77777777" w:rsidTr="00B93313">
        <w:trPr>
          <w:trHeight w:val="409"/>
        </w:trPr>
        <w:tc>
          <w:tcPr>
            <w:tcW w:w="2286" w:type="dxa"/>
            <w:gridSpan w:val="3"/>
            <w:shd w:val="clear" w:color="auto" w:fill="FFFFFF"/>
            <w:tcMar>
              <w:top w:w="10" w:type="dxa"/>
              <w:left w:w="93" w:type="dxa"/>
              <w:bottom w:w="0" w:type="dxa"/>
              <w:right w:w="10" w:type="dxa"/>
            </w:tcMar>
            <w:vAlign w:val="center"/>
          </w:tcPr>
          <w:p w14:paraId="2B2852DA" w14:textId="77777777" w:rsidR="00A90E9C" w:rsidRPr="008A26D2" w:rsidRDefault="00A90E9C" w:rsidP="0072651A">
            <w:pPr>
              <w:tabs>
                <w:tab w:val="left" w:pos="3375"/>
              </w:tabs>
              <w:rPr>
                <w:rFonts w:ascii="Arial" w:hAnsi="Arial" w:cs="Arial"/>
                <w:sz w:val="20"/>
                <w:szCs w:val="20"/>
              </w:rPr>
            </w:pPr>
            <w:r w:rsidRPr="008A26D2">
              <w:rPr>
                <w:rFonts w:ascii="Arial" w:hAnsi="Arial" w:cs="Arial"/>
                <w:b/>
                <w:sz w:val="20"/>
                <w:szCs w:val="20"/>
              </w:rPr>
              <w:t>Objetivo prioritario:</w:t>
            </w:r>
          </w:p>
        </w:tc>
        <w:tc>
          <w:tcPr>
            <w:tcW w:w="6219" w:type="dxa"/>
            <w:gridSpan w:val="10"/>
            <w:shd w:val="clear" w:color="auto" w:fill="FFFFFF"/>
            <w:tcMar>
              <w:top w:w="51" w:type="dxa"/>
              <w:left w:w="227" w:type="dxa"/>
              <w:bottom w:w="51" w:type="dxa"/>
              <w:right w:w="227" w:type="dxa"/>
            </w:tcMar>
            <w:vAlign w:val="center"/>
          </w:tcPr>
          <w:p w14:paraId="44FF3FAD" w14:textId="77777777" w:rsidR="00A90E9C" w:rsidRPr="008A26D2" w:rsidRDefault="00A90E9C" w:rsidP="0072651A">
            <w:pPr>
              <w:tabs>
                <w:tab w:val="left" w:pos="3375"/>
              </w:tabs>
              <w:ind w:left="-103"/>
              <w:jc w:val="both"/>
              <w:rPr>
                <w:rFonts w:ascii="Arial" w:hAnsi="Arial" w:cs="Arial"/>
                <w:sz w:val="20"/>
                <w:szCs w:val="20"/>
              </w:rPr>
            </w:pPr>
            <w:r w:rsidRPr="008A26D2">
              <w:rPr>
                <w:rFonts w:ascii="Arial" w:hAnsi="Arial" w:cs="Arial"/>
                <w:sz w:val="20"/>
                <w:szCs w:val="20"/>
              </w:rPr>
              <w:t>OP2 Incrementar la productividad de los ecosistemas forestales, otros ecosistemas de vegetación silvestre y de la fauna silvestre</w:t>
            </w:r>
          </w:p>
        </w:tc>
      </w:tr>
      <w:tr w:rsidR="008A26D2" w:rsidRPr="008A26D2" w14:paraId="1C63FD67" w14:textId="77777777" w:rsidTr="00B93313">
        <w:trPr>
          <w:trHeight w:val="436"/>
        </w:trPr>
        <w:tc>
          <w:tcPr>
            <w:tcW w:w="2286" w:type="dxa"/>
            <w:gridSpan w:val="3"/>
            <w:shd w:val="clear" w:color="auto" w:fill="auto"/>
            <w:tcMar>
              <w:top w:w="10" w:type="dxa"/>
              <w:left w:w="93" w:type="dxa"/>
              <w:bottom w:w="0" w:type="dxa"/>
              <w:right w:w="10" w:type="dxa"/>
            </w:tcMar>
            <w:vAlign w:val="center"/>
          </w:tcPr>
          <w:p w14:paraId="55F7745A" w14:textId="77777777" w:rsidR="00A90E9C" w:rsidRPr="008A26D2" w:rsidRDefault="00A90E9C" w:rsidP="0072651A">
            <w:pPr>
              <w:tabs>
                <w:tab w:val="left" w:pos="3375"/>
              </w:tabs>
              <w:rPr>
                <w:rFonts w:ascii="Arial" w:hAnsi="Arial" w:cs="Arial"/>
                <w:sz w:val="20"/>
                <w:szCs w:val="20"/>
              </w:rPr>
            </w:pPr>
            <w:r w:rsidRPr="008A26D2">
              <w:rPr>
                <w:rFonts w:ascii="Arial" w:hAnsi="Arial" w:cs="Arial"/>
                <w:b/>
                <w:sz w:val="20"/>
                <w:szCs w:val="20"/>
              </w:rPr>
              <w:t>Lineamiento de la política:</w:t>
            </w:r>
          </w:p>
        </w:tc>
        <w:tc>
          <w:tcPr>
            <w:tcW w:w="6219" w:type="dxa"/>
            <w:gridSpan w:val="10"/>
            <w:shd w:val="clear" w:color="auto" w:fill="auto"/>
            <w:tcMar>
              <w:top w:w="51" w:type="dxa"/>
              <w:left w:w="227" w:type="dxa"/>
              <w:bottom w:w="51" w:type="dxa"/>
              <w:right w:w="227" w:type="dxa"/>
            </w:tcMar>
            <w:vAlign w:val="center"/>
          </w:tcPr>
          <w:p w14:paraId="11379536" w14:textId="77777777" w:rsidR="00A90E9C" w:rsidRPr="008A26D2" w:rsidRDefault="00A90E9C" w:rsidP="00147D2E">
            <w:pPr>
              <w:tabs>
                <w:tab w:val="left" w:pos="3375"/>
              </w:tabs>
              <w:ind w:left="-103"/>
              <w:jc w:val="both"/>
              <w:rPr>
                <w:rFonts w:ascii="Arial" w:hAnsi="Arial" w:cs="Arial"/>
                <w:sz w:val="20"/>
                <w:szCs w:val="20"/>
              </w:rPr>
            </w:pPr>
            <w:r w:rsidRPr="008A26D2">
              <w:rPr>
                <w:rFonts w:ascii="Arial" w:eastAsia="Times New Roman" w:hAnsi="Arial" w:cs="Arial"/>
                <w:sz w:val="20"/>
                <w:szCs w:val="20"/>
              </w:rPr>
              <w:t>L2.4 Incrementar la generación de investigaciones e innovación, así como el desarrollo y transferencia de tecnologías en materia forestal y de fauna silvestre, y sus microorganismos asociados, incluyendo sus recursos genéticos</w:t>
            </w:r>
          </w:p>
        </w:tc>
      </w:tr>
      <w:tr w:rsidR="008A26D2" w:rsidRPr="008A26D2" w14:paraId="2637F6E9" w14:textId="77777777" w:rsidTr="00B93313">
        <w:trPr>
          <w:trHeight w:val="404"/>
        </w:trPr>
        <w:tc>
          <w:tcPr>
            <w:tcW w:w="2286" w:type="dxa"/>
            <w:gridSpan w:val="3"/>
            <w:shd w:val="clear" w:color="auto" w:fill="auto"/>
            <w:tcMar>
              <w:top w:w="10" w:type="dxa"/>
              <w:left w:w="93" w:type="dxa"/>
              <w:bottom w:w="0" w:type="dxa"/>
              <w:right w:w="10" w:type="dxa"/>
            </w:tcMar>
            <w:vAlign w:val="center"/>
          </w:tcPr>
          <w:p w14:paraId="42FD2884" w14:textId="77777777" w:rsidR="00A90E9C" w:rsidRPr="008A26D2" w:rsidRDefault="00A90E9C" w:rsidP="0072651A">
            <w:pPr>
              <w:tabs>
                <w:tab w:val="left" w:pos="3375"/>
              </w:tabs>
              <w:rPr>
                <w:rFonts w:ascii="Arial" w:hAnsi="Arial" w:cs="Arial"/>
                <w:sz w:val="20"/>
                <w:szCs w:val="20"/>
              </w:rPr>
            </w:pPr>
            <w:r w:rsidRPr="008A26D2">
              <w:rPr>
                <w:rFonts w:ascii="Arial" w:hAnsi="Arial" w:cs="Arial"/>
                <w:b/>
                <w:sz w:val="20"/>
                <w:szCs w:val="20"/>
              </w:rPr>
              <w:t>Nombre del servicio:</w:t>
            </w:r>
          </w:p>
        </w:tc>
        <w:tc>
          <w:tcPr>
            <w:tcW w:w="6219" w:type="dxa"/>
            <w:gridSpan w:val="10"/>
            <w:shd w:val="clear" w:color="auto" w:fill="auto"/>
            <w:tcMar>
              <w:top w:w="51" w:type="dxa"/>
              <w:left w:w="227" w:type="dxa"/>
              <w:bottom w:w="51" w:type="dxa"/>
              <w:right w:w="227" w:type="dxa"/>
            </w:tcMar>
            <w:vAlign w:val="center"/>
          </w:tcPr>
          <w:p w14:paraId="05083077" w14:textId="65239D6F" w:rsidR="00A90E9C" w:rsidRPr="008A26D2" w:rsidRDefault="00A90E9C" w:rsidP="00147D2E">
            <w:pPr>
              <w:pStyle w:val="Default"/>
              <w:ind w:left="-103"/>
              <w:jc w:val="both"/>
              <w:rPr>
                <w:rFonts w:ascii="Arial" w:hAnsi="Arial" w:cs="Arial"/>
                <w:color w:val="auto"/>
                <w:sz w:val="20"/>
                <w:szCs w:val="20"/>
              </w:rPr>
            </w:pPr>
            <w:r w:rsidRPr="008A26D2">
              <w:rPr>
                <w:rFonts w:ascii="Arial" w:hAnsi="Arial" w:cs="Arial"/>
                <w:color w:val="auto"/>
                <w:sz w:val="20"/>
                <w:szCs w:val="20"/>
              </w:rPr>
              <w:t>S2.4.</w:t>
            </w:r>
            <w:r w:rsidR="00C63F93" w:rsidRPr="008A26D2">
              <w:rPr>
                <w:rFonts w:ascii="Arial" w:hAnsi="Arial" w:cs="Arial"/>
                <w:color w:val="auto"/>
                <w:sz w:val="20"/>
                <w:szCs w:val="20"/>
              </w:rPr>
              <w:t>2</w:t>
            </w:r>
            <w:r w:rsidRPr="008A26D2">
              <w:rPr>
                <w:rFonts w:ascii="Arial" w:hAnsi="Arial" w:cs="Arial"/>
                <w:color w:val="auto"/>
                <w:sz w:val="20"/>
                <w:szCs w:val="20"/>
              </w:rPr>
              <w:t xml:space="preserve"> </w:t>
            </w:r>
            <w:r w:rsidR="0063579E" w:rsidRPr="008A26D2">
              <w:rPr>
                <w:rFonts w:ascii="Arial" w:hAnsi="Arial" w:cs="Arial"/>
                <w:color w:val="auto"/>
                <w:sz w:val="20"/>
                <w:szCs w:val="20"/>
              </w:rPr>
              <w:t>Captación de fondos para proyectos de investigación, desarrollo e innovación (I+D+í) en temas forestales y de fauna silvestre de forma oportuna dirigido a entidades públicas y privadas del Sistema Nacional de Ciencia, Tecnología e Innovación</w:t>
            </w:r>
          </w:p>
        </w:tc>
      </w:tr>
      <w:tr w:rsidR="008A26D2" w:rsidRPr="008A26D2" w14:paraId="7999FA44" w14:textId="77777777" w:rsidTr="00B93313">
        <w:trPr>
          <w:trHeight w:val="577"/>
        </w:trPr>
        <w:tc>
          <w:tcPr>
            <w:tcW w:w="2286" w:type="dxa"/>
            <w:gridSpan w:val="3"/>
            <w:shd w:val="clear" w:color="auto" w:fill="auto"/>
            <w:tcMar>
              <w:top w:w="10" w:type="dxa"/>
              <w:left w:w="93" w:type="dxa"/>
              <w:bottom w:w="0" w:type="dxa"/>
              <w:right w:w="10" w:type="dxa"/>
            </w:tcMar>
            <w:vAlign w:val="center"/>
          </w:tcPr>
          <w:p w14:paraId="4C080C87" w14:textId="77777777" w:rsidR="00A90E9C" w:rsidRPr="008A26D2" w:rsidRDefault="00A90E9C" w:rsidP="0072651A">
            <w:pPr>
              <w:tabs>
                <w:tab w:val="left" w:pos="3375"/>
              </w:tabs>
              <w:rPr>
                <w:rFonts w:ascii="Arial" w:hAnsi="Arial" w:cs="Arial"/>
                <w:sz w:val="20"/>
                <w:szCs w:val="20"/>
              </w:rPr>
            </w:pPr>
            <w:r w:rsidRPr="008A26D2">
              <w:rPr>
                <w:rFonts w:ascii="Arial" w:hAnsi="Arial" w:cs="Arial"/>
                <w:b/>
                <w:sz w:val="20"/>
                <w:szCs w:val="20"/>
              </w:rPr>
              <w:t>Nombre del indicador:</w:t>
            </w:r>
          </w:p>
        </w:tc>
        <w:tc>
          <w:tcPr>
            <w:tcW w:w="6219" w:type="dxa"/>
            <w:gridSpan w:val="10"/>
            <w:shd w:val="clear" w:color="auto" w:fill="auto"/>
            <w:tcMar>
              <w:top w:w="51" w:type="dxa"/>
              <w:left w:w="227" w:type="dxa"/>
              <w:bottom w:w="51" w:type="dxa"/>
              <w:right w:w="227" w:type="dxa"/>
            </w:tcMar>
            <w:vAlign w:val="center"/>
          </w:tcPr>
          <w:p w14:paraId="6BD5869C" w14:textId="40D2212B" w:rsidR="00A90E9C" w:rsidRPr="008A26D2" w:rsidRDefault="00CF3DD2" w:rsidP="00147D2E">
            <w:pPr>
              <w:pStyle w:val="Default"/>
              <w:ind w:left="-103"/>
              <w:jc w:val="both"/>
              <w:rPr>
                <w:rFonts w:ascii="Arial" w:hAnsi="Arial" w:cs="Arial"/>
                <w:color w:val="auto"/>
                <w:sz w:val="20"/>
                <w:szCs w:val="20"/>
              </w:rPr>
            </w:pPr>
            <w:r w:rsidRPr="008A26D2">
              <w:rPr>
                <w:rFonts w:ascii="Arial" w:eastAsia="Times New Roman" w:hAnsi="Arial" w:cs="Arial"/>
                <w:color w:val="auto"/>
                <w:sz w:val="20"/>
                <w:szCs w:val="20"/>
                <w:lang w:eastAsia="es-PE"/>
              </w:rPr>
              <w:t xml:space="preserve">Porcentaje de fondos captados oportunamente para la subvención de proyectos de I+D+i en temas </w:t>
            </w:r>
            <w:r w:rsidR="00D52BCC" w:rsidRPr="008A26D2">
              <w:rPr>
                <w:rFonts w:ascii="Arial" w:eastAsia="Times New Roman" w:hAnsi="Arial" w:cs="Arial"/>
                <w:color w:val="auto"/>
                <w:sz w:val="20"/>
                <w:szCs w:val="20"/>
                <w:lang w:eastAsia="es-PE"/>
              </w:rPr>
              <w:t>forestales</w:t>
            </w:r>
            <w:r w:rsidRPr="008A26D2">
              <w:rPr>
                <w:rFonts w:ascii="Arial" w:eastAsia="Times New Roman" w:hAnsi="Arial" w:cs="Arial"/>
                <w:color w:val="auto"/>
                <w:sz w:val="20"/>
                <w:szCs w:val="20"/>
                <w:lang w:eastAsia="es-PE"/>
              </w:rPr>
              <w:t xml:space="preserve"> y </w:t>
            </w:r>
            <w:r w:rsidR="00D52BCC" w:rsidRPr="008A26D2">
              <w:rPr>
                <w:rFonts w:ascii="Arial" w:eastAsia="Times New Roman" w:hAnsi="Arial" w:cs="Arial"/>
                <w:color w:val="auto"/>
                <w:sz w:val="20"/>
                <w:szCs w:val="20"/>
                <w:lang w:eastAsia="es-PE"/>
              </w:rPr>
              <w:t xml:space="preserve">de </w:t>
            </w:r>
            <w:r w:rsidRPr="008A26D2">
              <w:rPr>
                <w:rFonts w:ascii="Arial" w:eastAsia="Times New Roman" w:hAnsi="Arial" w:cs="Arial"/>
                <w:color w:val="auto"/>
                <w:sz w:val="20"/>
                <w:szCs w:val="20"/>
                <w:lang w:eastAsia="es-PE"/>
              </w:rPr>
              <w:t xml:space="preserve">fauna silvestre </w:t>
            </w:r>
            <w:r w:rsidR="00A90E9C" w:rsidRPr="008A26D2">
              <w:rPr>
                <w:rFonts w:ascii="Arial" w:hAnsi="Arial" w:cs="Arial"/>
                <w:color w:val="auto"/>
                <w:sz w:val="20"/>
                <w:szCs w:val="20"/>
              </w:rPr>
              <w:t xml:space="preserve"> </w:t>
            </w:r>
          </w:p>
        </w:tc>
      </w:tr>
      <w:tr w:rsidR="008A26D2" w:rsidRPr="008A26D2" w14:paraId="49773E16" w14:textId="77777777" w:rsidTr="00B93313">
        <w:trPr>
          <w:trHeight w:val="577"/>
        </w:trPr>
        <w:tc>
          <w:tcPr>
            <w:tcW w:w="2286" w:type="dxa"/>
            <w:gridSpan w:val="3"/>
            <w:shd w:val="clear" w:color="auto" w:fill="auto"/>
            <w:tcMar>
              <w:top w:w="10" w:type="dxa"/>
              <w:left w:w="93" w:type="dxa"/>
              <w:bottom w:w="0" w:type="dxa"/>
              <w:right w:w="10" w:type="dxa"/>
            </w:tcMar>
            <w:vAlign w:val="center"/>
          </w:tcPr>
          <w:p w14:paraId="2322FC9D" w14:textId="77777777" w:rsidR="00A90E9C" w:rsidRPr="008A26D2" w:rsidRDefault="00A90E9C" w:rsidP="0072651A">
            <w:pPr>
              <w:tabs>
                <w:tab w:val="left" w:pos="3375"/>
              </w:tabs>
              <w:rPr>
                <w:rFonts w:ascii="Arial" w:hAnsi="Arial" w:cs="Arial"/>
                <w:sz w:val="20"/>
                <w:szCs w:val="20"/>
              </w:rPr>
            </w:pPr>
            <w:r w:rsidRPr="008A26D2">
              <w:rPr>
                <w:rFonts w:ascii="Arial" w:hAnsi="Arial" w:cs="Arial"/>
                <w:b/>
                <w:sz w:val="20"/>
                <w:szCs w:val="20"/>
              </w:rPr>
              <w:t>Justificación:</w:t>
            </w:r>
          </w:p>
        </w:tc>
        <w:tc>
          <w:tcPr>
            <w:tcW w:w="6219" w:type="dxa"/>
            <w:gridSpan w:val="10"/>
            <w:tcBorders>
              <w:top w:val="single" w:sz="4" w:space="0" w:color="auto"/>
              <w:left w:val="single" w:sz="4" w:space="0" w:color="auto"/>
              <w:bottom w:val="single" w:sz="4" w:space="0" w:color="auto"/>
              <w:right w:val="single" w:sz="4" w:space="0" w:color="auto"/>
            </w:tcBorders>
            <w:shd w:val="clear" w:color="auto" w:fill="auto"/>
            <w:tcMar>
              <w:top w:w="51" w:type="dxa"/>
              <w:left w:w="227" w:type="dxa"/>
              <w:bottom w:w="51" w:type="dxa"/>
              <w:right w:w="227" w:type="dxa"/>
            </w:tcMar>
            <w:vAlign w:val="center"/>
          </w:tcPr>
          <w:p w14:paraId="1041DAE5" w14:textId="77777777" w:rsidR="00A90E9C" w:rsidRPr="008A26D2" w:rsidRDefault="00A90E9C" w:rsidP="00147D2E">
            <w:pPr>
              <w:pStyle w:val="Default"/>
              <w:ind w:left="-103"/>
              <w:jc w:val="both"/>
              <w:rPr>
                <w:rFonts w:ascii="Arial" w:hAnsi="Arial" w:cs="Arial"/>
                <w:color w:val="auto"/>
                <w:sz w:val="20"/>
                <w:szCs w:val="20"/>
              </w:rPr>
            </w:pPr>
            <w:r w:rsidRPr="008A26D2">
              <w:rPr>
                <w:rFonts w:ascii="Arial" w:hAnsi="Arial" w:cs="Arial"/>
                <w:color w:val="auto"/>
                <w:sz w:val="20"/>
                <w:szCs w:val="20"/>
              </w:rPr>
              <w:t xml:space="preserve">El indicador permitirá evidenciar el porcentaje de fondos captados de manera oportuna para subvencionar las actividades y proyectos de I+D+i en la temática forestal y de fauna silvestre. </w:t>
            </w:r>
          </w:p>
        </w:tc>
      </w:tr>
      <w:tr w:rsidR="008A26D2" w:rsidRPr="008A26D2" w14:paraId="54BA06D5" w14:textId="77777777" w:rsidTr="00B93313">
        <w:trPr>
          <w:trHeight w:val="352"/>
        </w:trPr>
        <w:tc>
          <w:tcPr>
            <w:tcW w:w="2286" w:type="dxa"/>
            <w:gridSpan w:val="3"/>
            <w:shd w:val="clear" w:color="auto" w:fill="auto"/>
            <w:tcMar>
              <w:top w:w="10" w:type="dxa"/>
              <w:left w:w="93" w:type="dxa"/>
              <w:bottom w:w="0" w:type="dxa"/>
              <w:right w:w="10" w:type="dxa"/>
            </w:tcMar>
            <w:vAlign w:val="center"/>
          </w:tcPr>
          <w:p w14:paraId="7E95A2FC" w14:textId="77777777" w:rsidR="00A90E9C" w:rsidRPr="008A26D2" w:rsidRDefault="00A90E9C" w:rsidP="0072651A">
            <w:pPr>
              <w:tabs>
                <w:tab w:val="left" w:pos="3375"/>
              </w:tabs>
              <w:rPr>
                <w:rFonts w:ascii="Arial" w:hAnsi="Arial" w:cs="Arial"/>
                <w:sz w:val="20"/>
                <w:szCs w:val="20"/>
              </w:rPr>
            </w:pPr>
            <w:r w:rsidRPr="008A26D2">
              <w:rPr>
                <w:rFonts w:ascii="Arial" w:hAnsi="Arial" w:cs="Arial"/>
                <w:b/>
                <w:sz w:val="20"/>
                <w:szCs w:val="20"/>
              </w:rPr>
              <w:t>Responsable del indicador:</w:t>
            </w:r>
          </w:p>
        </w:tc>
        <w:tc>
          <w:tcPr>
            <w:tcW w:w="6219" w:type="dxa"/>
            <w:gridSpan w:val="10"/>
            <w:tcBorders>
              <w:top w:val="single" w:sz="4" w:space="0" w:color="auto"/>
              <w:left w:val="single" w:sz="4" w:space="0" w:color="auto"/>
              <w:bottom w:val="single" w:sz="4" w:space="0" w:color="auto"/>
              <w:right w:val="single" w:sz="4" w:space="0" w:color="auto"/>
            </w:tcBorders>
            <w:shd w:val="clear" w:color="auto" w:fill="auto"/>
            <w:tcMar>
              <w:top w:w="51" w:type="dxa"/>
              <w:left w:w="227" w:type="dxa"/>
              <w:bottom w:w="51" w:type="dxa"/>
              <w:right w:w="227" w:type="dxa"/>
            </w:tcMar>
            <w:vAlign w:val="center"/>
          </w:tcPr>
          <w:p w14:paraId="41AAE904" w14:textId="55C76FA6" w:rsidR="00A90E9C" w:rsidRPr="008A26D2" w:rsidRDefault="00A90E9C" w:rsidP="00147D2E">
            <w:pPr>
              <w:pStyle w:val="Default"/>
              <w:ind w:left="-103"/>
              <w:jc w:val="both"/>
              <w:rPr>
                <w:rFonts w:ascii="Arial" w:hAnsi="Arial" w:cs="Arial"/>
                <w:color w:val="auto"/>
                <w:sz w:val="20"/>
                <w:szCs w:val="20"/>
              </w:rPr>
            </w:pPr>
            <w:r w:rsidRPr="008A26D2">
              <w:rPr>
                <w:rFonts w:ascii="Arial" w:hAnsi="Arial" w:cs="Arial"/>
                <w:color w:val="auto"/>
                <w:sz w:val="20"/>
                <w:szCs w:val="20"/>
              </w:rPr>
              <w:t>Consejo Nacional de Ciencia, Tecnología e Innovación Tecnológica (CONCYTEC)</w:t>
            </w:r>
            <w:r w:rsidR="000C589A">
              <w:rPr>
                <w:rFonts w:ascii="Arial" w:hAnsi="Arial" w:cs="Arial"/>
                <w:color w:val="auto"/>
                <w:sz w:val="20"/>
                <w:szCs w:val="20"/>
              </w:rPr>
              <w:t xml:space="preserve"> </w:t>
            </w:r>
            <w:r w:rsidRPr="008A26D2">
              <w:rPr>
                <w:rFonts w:ascii="Arial" w:hAnsi="Arial" w:cs="Arial"/>
                <w:color w:val="auto"/>
                <w:sz w:val="20"/>
                <w:szCs w:val="20"/>
              </w:rPr>
              <w:t>/</w:t>
            </w:r>
            <w:r w:rsidR="000C589A">
              <w:rPr>
                <w:rFonts w:ascii="Arial" w:hAnsi="Arial" w:cs="Arial"/>
                <w:color w:val="auto"/>
                <w:sz w:val="20"/>
                <w:szCs w:val="20"/>
              </w:rPr>
              <w:t xml:space="preserve"> </w:t>
            </w:r>
            <w:r w:rsidRPr="008A26D2">
              <w:rPr>
                <w:rFonts w:ascii="Arial" w:hAnsi="Arial" w:cs="Arial"/>
                <w:color w:val="auto"/>
                <w:sz w:val="20"/>
                <w:szCs w:val="20"/>
              </w:rPr>
              <w:t>Programa Nacional de Investigación Científica y Estudios Avanzados (PROCIENCIA)</w:t>
            </w:r>
            <w:r w:rsidRPr="008A26D2">
              <w:rPr>
                <w:rFonts w:ascii="Arial" w:hAnsi="Arial" w:cs="Arial"/>
                <w:strike/>
                <w:color w:val="auto"/>
                <w:sz w:val="20"/>
                <w:szCs w:val="20"/>
              </w:rPr>
              <w:t xml:space="preserve"> </w:t>
            </w:r>
          </w:p>
        </w:tc>
      </w:tr>
      <w:tr w:rsidR="008A26D2" w:rsidRPr="008A26D2" w14:paraId="6A264DD1" w14:textId="77777777" w:rsidTr="00B93313">
        <w:trPr>
          <w:trHeight w:val="858"/>
        </w:trPr>
        <w:tc>
          <w:tcPr>
            <w:tcW w:w="2286" w:type="dxa"/>
            <w:gridSpan w:val="3"/>
            <w:shd w:val="clear" w:color="auto" w:fill="auto"/>
            <w:tcMar>
              <w:top w:w="10" w:type="dxa"/>
              <w:left w:w="93" w:type="dxa"/>
              <w:bottom w:w="0" w:type="dxa"/>
              <w:right w:w="10" w:type="dxa"/>
            </w:tcMar>
            <w:vAlign w:val="center"/>
          </w:tcPr>
          <w:p w14:paraId="7FA5050C" w14:textId="77777777" w:rsidR="00A90E9C" w:rsidRPr="008A26D2" w:rsidRDefault="00A90E9C" w:rsidP="0072651A">
            <w:pPr>
              <w:tabs>
                <w:tab w:val="left" w:pos="3375"/>
              </w:tabs>
              <w:rPr>
                <w:rFonts w:ascii="Arial" w:hAnsi="Arial" w:cs="Arial"/>
                <w:sz w:val="20"/>
                <w:szCs w:val="20"/>
              </w:rPr>
            </w:pPr>
            <w:r w:rsidRPr="008A26D2">
              <w:rPr>
                <w:rFonts w:ascii="Arial" w:hAnsi="Arial" w:cs="Arial"/>
                <w:b/>
                <w:sz w:val="20"/>
                <w:szCs w:val="20"/>
              </w:rPr>
              <w:t>Limitaciones para la medición del indicador:</w:t>
            </w:r>
          </w:p>
        </w:tc>
        <w:tc>
          <w:tcPr>
            <w:tcW w:w="6219" w:type="dxa"/>
            <w:gridSpan w:val="10"/>
            <w:shd w:val="clear" w:color="auto" w:fill="auto"/>
            <w:tcMar>
              <w:top w:w="51" w:type="dxa"/>
              <w:left w:w="227" w:type="dxa"/>
              <w:bottom w:w="51" w:type="dxa"/>
              <w:right w:w="227" w:type="dxa"/>
            </w:tcMar>
            <w:vAlign w:val="center"/>
          </w:tcPr>
          <w:p w14:paraId="78BF9E3C" w14:textId="77777777" w:rsidR="00A90E9C" w:rsidRPr="008A26D2" w:rsidRDefault="00A90E9C" w:rsidP="00147D2E">
            <w:pPr>
              <w:tabs>
                <w:tab w:val="left" w:pos="3375"/>
              </w:tabs>
              <w:ind w:left="-103"/>
              <w:jc w:val="both"/>
              <w:rPr>
                <w:rFonts w:ascii="Arial" w:hAnsi="Arial" w:cs="Arial"/>
                <w:sz w:val="20"/>
                <w:szCs w:val="20"/>
              </w:rPr>
            </w:pPr>
            <w:r w:rsidRPr="008A26D2">
              <w:rPr>
                <w:rFonts w:ascii="Arial" w:hAnsi="Arial" w:cs="Arial"/>
                <w:sz w:val="20"/>
                <w:szCs w:val="20"/>
              </w:rPr>
              <w:t>Ninguna</w:t>
            </w:r>
          </w:p>
        </w:tc>
      </w:tr>
      <w:tr w:rsidR="008A26D2" w:rsidRPr="008A26D2" w14:paraId="19397A52" w14:textId="77777777" w:rsidTr="00B93313">
        <w:trPr>
          <w:trHeight w:val="231"/>
        </w:trPr>
        <w:tc>
          <w:tcPr>
            <w:tcW w:w="2286" w:type="dxa"/>
            <w:gridSpan w:val="3"/>
            <w:shd w:val="clear" w:color="auto" w:fill="auto"/>
            <w:tcMar>
              <w:top w:w="10" w:type="dxa"/>
              <w:left w:w="93" w:type="dxa"/>
              <w:bottom w:w="0" w:type="dxa"/>
              <w:right w:w="10" w:type="dxa"/>
            </w:tcMar>
            <w:vAlign w:val="center"/>
          </w:tcPr>
          <w:p w14:paraId="5A844C07" w14:textId="77777777" w:rsidR="00A90E9C" w:rsidRPr="008A26D2" w:rsidRDefault="00A90E9C" w:rsidP="0072651A">
            <w:pPr>
              <w:tabs>
                <w:tab w:val="left" w:pos="3375"/>
              </w:tabs>
              <w:rPr>
                <w:rFonts w:ascii="Arial" w:hAnsi="Arial" w:cs="Arial"/>
                <w:sz w:val="20"/>
                <w:szCs w:val="20"/>
              </w:rPr>
            </w:pPr>
            <w:r w:rsidRPr="008A26D2">
              <w:rPr>
                <w:rFonts w:ascii="Arial" w:hAnsi="Arial" w:cs="Arial"/>
                <w:b/>
                <w:sz w:val="20"/>
                <w:szCs w:val="20"/>
              </w:rPr>
              <w:t xml:space="preserve">Método de cálculo: </w:t>
            </w:r>
          </w:p>
        </w:tc>
        <w:tc>
          <w:tcPr>
            <w:tcW w:w="6219" w:type="dxa"/>
            <w:gridSpan w:val="10"/>
            <w:shd w:val="clear" w:color="auto" w:fill="auto"/>
            <w:tcMar>
              <w:top w:w="51" w:type="dxa"/>
              <w:left w:w="227" w:type="dxa"/>
              <w:bottom w:w="51" w:type="dxa"/>
              <w:right w:w="227" w:type="dxa"/>
            </w:tcMar>
            <w:vAlign w:val="center"/>
          </w:tcPr>
          <w:p w14:paraId="2065811C" w14:textId="77777777" w:rsidR="00A90E9C" w:rsidRPr="008A26D2" w:rsidRDefault="00A90E9C" w:rsidP="0072651A">
            <w:pPr>
              <w:tabs>
                <w:tab w:val="left" w:pos="3375"/>
              </w:tabs>
              <w:ind w:left="-103"/>
              <w:rPr>
                <w:rFonts w:ascii="Arial" w:hAnsi="Arial" w:cs="Arial"/>
                <w:b/>
                <w:sz w:val="20"/>
                <w:szCs w:val="20"/>
              </w:rPr>
            </w:pPr>
            <w:r w:rsidRPr="008A26D2">
              <w:rPr>
                <w:rFonts w:ascii="Arial" w:hAnsi="Arial" w:cs="Arial"/>
                <w:b/>
                <w:sz w:val="20"/>
                <w:szCs w:val="20"/>
              </w:rPr>
              <w:t>1. Fórmula:</w:t>
            </w:r>
          </w:p>
          <w:p w14:paraId="7116DD78" w14:textId="0E8C0BDF" w:rsidR="00A90E9C" w:rsidRPr="008A26D2" w:rsidRDefault="00A90E9C" w:rsidP="0072651A">
            <w:pPr>
              <w:spacing w:after="0" w:line="240" w:lineRule="auto"/>
              <w:ind w:left="-103"/>
              <w:rPr>
                <w:rFonts w:ascii="Arial" w:hAnsi="Arial" w:cs="Arial"/>
                <w:sz w:val="20"/>
                <w:szCs w:val="20"/>
              </w:rPr>
            </w:pPr>
            <w:r w:rsidRPr="008A26D2">
              <w:rPr>
                <w:rFonts w:ascii="Arial" w:eastAsia="Times New Roman" w:hAnsi="Arial" w:cs="Arial"/>
                <w:sz w:val="20"/>
                <w:szCs w:val="20"/>
              </w:rPr>
              <w:t xml:space="preserve"> </w:t>
            </w:r>
            <w:r w:rsidR="00B93313" w:rsidRPr="008A26D2">
              <w:rPr>
                <w:rFonts w:ascii="Arial" w:eastAsia="Times New Roman" w:hAnsi="Arial" w:cs="Arial"/>
                <w:sz w:val="20"/>
                <w:szCs w:val="20"/>
              </w:rPr>
              <w:t>(</w:t>
            </w:r>
            <w:r w:rsidRPr="008A26D2">
              <w:rPr>
                <w:rFonts w:ascii="Arial" w:hAnsi="Arial" w:cs="Arial"/>
                <w:sz w:val="20"/>
                <w:szCs w:val="20"/>
              </w:rPr>
              <w:t>A/B</w:t>
            </w:r>
            <w:r w:rsidR="00B93313" w:rsidRPr="008A26D2">
              <w:rPr>
                <w:rFonts w:ascii="Arial" w:hAnsi="Arial" w:cs="Arial"/>
                <w:sz w:val="20"/>
                <w:szCs w:val="20"/>
              </w:rPr>
              <w:t>)</w:t>
            </w:r>
            <w:r w:rsidRPr="008A26D2">
              <w:rPr>
                <w:rFonts w:ascii="Arial" w:hAnsi="Arial" w:cs="Arial"/>
                <w:sz w:val="20"/>
                <w:szCs w:val="20"/>
              </w:rPr>
              <w:t xml:space="preserve"> * 100 </w:t>
            </w:r>
          </w:p>
          <w:p w14:paraId="153B3DAE" w14:textId="77777777" w:rsidR="00A90E9C" w:rsidRPr="008A26D2" w:rsidRDefault="00A90E9C" w:rsidP="0072651A">
            <w:pPr>
              <w:spacing w:after="0" w:line="240" w:lineRule="auto"/>
              <w:ind w:left="-103"/>
              <w:rPr>
                <w:rFonts w:ascii="Arial" w:hAnsi="Arial" w:cs="Arial"/>
                <w:sz w:val="20"/>
                <w:szCs w:val="20"/>
              </w:rPr>
            </w:pPr>
          </w:p>
          <w:p w14:paraId="1CBA0412" w14:textId="77777777" w:rsidR="00A90E9C" w:rsidRPr="008A26D2" w:rsidRDefault="00A90E9C" w:rsidP="0072651A">
            <w:pPr>
              <w:spacing w:after="0" w:line="240" w:lineRule="auto"/>
              <w:ind w:left="-103"/>
              <w:rPr>
                <w:rFonts w:ascii="Arial" w:hAnsi="Arial" w:cs="Arial"/>
                <w:sz w:val="20"/>
                <w:szCs w:val="20"/>
              </w:rPr>
            </w:pPr>
            <w:r w:rsidRPr="008A26D2">
              <w:rPr>
                <w:rFonts w:ascii="Arial" w:hAnsi="Arial" w:cs="Arial"/>
                <w:sz w:val="20"/>
                <w:szCs w:val="20"/>
              </w:rPr>
              <w:t>Donde:</w:t>
            </w:r>
          </w:p>
          <w:p w14:paraId="273AE16F" w14:textId="457B265A" w:rsidR="00A90E9C" w:rsidRPr="008A26D2" w:rsidRDefault="00A90E9C" w:rsidP="0072651A">
            <w:pPr>
              <w:pStyle w:val="Default"/>
              <w:ind w:left="178" w:hanging="281"/>
              <w:jc w:val="both"/>
              <w:rPr>
                <w:rFonts w:ascii="Arial" w:hAnsi="Arial" w:cs="Arial"/>
                <w:color w:val="auto"/>
                <w:sz w:val="20"/>
                <w:szCs w:val="20"/>
              </w:rPr>
            </w:pPr>
            <w:r w:rsidRPr="008A26D2">
              <w:rPr>
                <w:rFonts w:ascii="Arial" w:hAnsi="Arial" w:cs="Arial"/>
                <w:color w:val="auto"/>
                <w:sz w:val="20"/>
                <w:szCs w:val="20"/>
              </w:rPr>
              <w:t xml:space="preserve">A= Monto total de fondos captados </w:t>
            </w:r>
            <w:r w:rsidR="00D52BCC" w:rsidRPr="008A26D2">
              <w:rPr>
                <w:rFonts w:ascii="Arial" w:hAnsi="Arial" w:cs="Arial"/>
                <w:color w:val="auto"/>
                <w:sz w:val="20"/>
                <w:szCs w:val="20"/>
              </w:rPr>
              <w:t xml:space="preserve">oportunamente </w:t>
            </w:r>
            <w:r w:rsidRPr="008A26D2">
              <w:rPr>
                <w:rFonts w:ascii="Arial" w:hAnsi="Arial" w:cs="Arial"/>
                <w:color w:val="auto"/>
                <w:sz w:val="20"/>
                <w:szCs w:val="20"/>
              </w:rPr>
              <w:t>para subvencionar actividades y proyectos de I+D+i en temas forestal</w:t>
            </w:r>
            <w:r w:rsidR="00D52BCC" w:rsidRPr="008A26D2">
              <w:rPr>
                <w:rFonts w:ascii="Arial" w:hAnsi="Arial" w:cs="Arial"/>
                <w:color w:val="auto"/>
                <w:sz w:val="20"/>
                <w:szCs w:val="20"/>
              </w:rPr>
              <w:t>es</w:t>
            </w:r>
            <w:r w:rsidRPr="008A26D2">
              <w:rPr>
                <w:rFonts w:ascii="Arial" w:hAnsi="Arial" w:cs="Arial"/>
                <w:color w:val="auto"/>
                <w:sz w:val="20"/>
                <w:szCs w:val="20"/>
              </w:rPr>
              <w:t xml:space="preserve"> y </w:t>
            </w:r>
            <w:r w:rsidR="00D52BCC" w:rsidRPr="008A26D2">
              <w:rPr>
                <w:rFonts w:ascii="Arial" w:hAnsi="Arial" w:cs="Arial"/>
                <w:color w:val="auto"/>
                <w:sz w:val="20"/>
                <w:szCs w:val="20"/>
              </w:rPr>
              <w:t xml:space="preserve">de </w:t>
            </w:r>
            <w:r w:rsidRPr="008A26D2">
              <w:rPr>
                <w:rFonts w:ascii="Arial" w:hAnsi="Arial" w:cs="Arial"/>
                <w:color w:val="auto"/>
                <w:sz w:val="20"/>
                <w:szCs w:val="20"/>
              </w:rPr>
              <w:t xml:space="preserve">fauna silvestre. </w:t>
            </w:r>
          </w:p>
          <w:p w14:paraId="18E73053" w14:textId="77777777" w:rsidR="00A90E9C" w:rsidRPr="008A26D2" w:rsidRDefault="00A90E9C" w:rsidP="0072651A">
            <w:pPr>
              <w:tabs>
                <w:tab w:val="left" w:pos="3375"/>
              </w:tabs>
              <w:ind w:left="178" w:hanging="281"/>
              <w:jc w:val="both"/>
              <w:rPr>
                <w:rFonts w:ascii="Arial" w:hAnsi="Arial" w:cs="Arial"/>
                <w:sz w:val="20"/>
                <w:szCs w:val="20"/>
              </w:rPr>
            </w:pPr>
            <w:r w:rsidRPr="008A26D2">
              <w:rPr>
                <w:rFonts w:ascii="Arial" w:hAnsi="Arial" w:cs="Arial"/>
                <w:sz w:val="20"/>
                <w:szCs w:val="20"/>
              </w:rPr>
              <w:t>B= Monto total de fondos concursables de PROCIENCIA para subvencionar actividades y proyectos de I+D+i.</w:t>
            </w:r>
          </w:p>
          <w:p w14:paraId="7835A130" w14:textId="77777777" w:rsidR="00A90E9C" w:rsidRPr="008A26D2" w:rsidRDefault="00A90E9C" w:rsidP="0072651A">
            <w:pPr>
              <w:tabs>
                <w:tab w:val="left" w:pos="3375"/>
              </w:tabs>
              <w:ind w:left="-103"/>
              <w:rPr>
                <w:rFonts w:ascii="Arial" w:hAnsi="Arial" w:cs="Arial"/>
                <w:sz w:val="20"/>
                <w:szCs w:val="20"/>
              </w:rPr>
            </w:pPr>
            <w:r w:rsidRPr="008A26D2">
              <w:rPr>
                <w:rFonts w:ascii="Arial" w:hAnsi="Arial" w:cs="Arial"/>
                <w:b/>
                <w:sz w:val="20"/>
                <w:szCs w:val="20"/>
              </w:rPr>
              <w:t>2. Especificaciones técnicas:</w:t>
            </w:r>
          </w:p>
          <w:p w14:paraId="798D0504" w14:textId="09F7158D" w:rsidR="00D802A7" w:rsidRDefault="00D802A7" w:rsidP="0072651A">
            <w:pPr>
              <w:pStyle w:val="Default"/>
              <w:ind w:left="-103"/>
              <w:jc w:val="both"/>
              <w:rPr>
                <w:rFonts w:ascii="Arial" w:hAnsi="Arial" w:cs="Arial"/>
                <w:color w:val="auto"/>
                <w:sz w:val="20"/>
                <w:szCs w:val="20"/>
              </w:rPr>
            </w:pPr>
            <w:r>
              <w:rPr>
                <w:rFonts w:ascii="Arial" w:hAnsi="Arial" w:cs="Arial"/>
                <w:color w:val="auto"/>
                <w:sz w:val="20"/>
                <w:szCs w:val="20"/>
              </w:rPr>
              <w:t>La variable A se determina a partir de los fondos captados</w:t>
            </w:r>
            <w:r w:rsidR="00FB269C">
              <w:t xml:space="preserve"> </w:t>
            </w:r>
            <w:r w:rsidR="00FB269C" w:rsidRPr="00FB269C">
              <w:rPr>
                <w:rFonts w:ascii="Arial" w:hAnsi="Arial" w:cs="Arial"/>
                <w:color w:val="auto"/>
                <w:sz w:val="20"/>
                <w:szCs w:val="20"/>
              </w:rPr>
              <w:t xml:space="preserve">para subvencionar actividades y proyectos de </w:t>
            </w:r>
            <w:r w:rsidR="00FB269C">
              <w:rPr>
                <w:rFonts w:ascii="Arial" w:hAnsi="Arial" w:cs="Arial"/>
                <w:color w:val="auto"/>
                <w:sz w:val="20"/>
                <w:szCs w:val="20"/>
              </w:rPr>
              <w:t>investigación, desarrollo e innovación (</w:t>
            </w:r>
            <w:r w:rsidR="00FB269C" w:rsidRPr="00FB269C">
              <w:rPr>
                <w:rFonts w:ascii="Arial" w:hAnsi="Arial" w:cs="Arial"/>
                <w:color w:val="auto"/>
                <w:sz w:val="20"/>
                <w:szCs w:val="20"/>
              </w:rPr>
              <w:t>I+D+i</w:t>
            </w:r>
            <w:r w:rsidR="00FB269C">
              <w:rPr>
                <w:rFonts w:ascii="Arial" w:hAnsi="Arial" w:cs="Arial"/>
                <w:color w:val="auto"/>
                <w:sz w:val="20"/>
                <w:szCs w:val="20"/>
              </w:rPr>
              <w:t>)</w:t>
            </w:r>
            <w:r w:rsidR="00FB269C" w:rsidRPr="00FB269C">
              <w:rPr>
                <w:rFonts w:ascii="Arial" w:hAnsi="Arial" w:cs="Arial"/>
                <w:color w:val="auto"/>
                <w:sz w:val="20"/>
                <w:szCs w:val="20"/>
              </w:rPr>
              <w:t xml:space="preserve"> en temas forestales y de fauna silvestre</w:t>
            </w:r>
            <w:r w:rsidR="00DD0202">
              <w:rPr>
                <w:rFonts w:ascii="Arial" w:hAnsi="Arial" w:cs="Arial"/>
                <w:color w:val="auto"/>
                <w:sz w:val="20"/>
                <w:szCs w:val="20"/>
              </w:rPr>
              <w:t xml:space="preserve"> </w:t>
            </w:r>
            <w:r w:rsidR="00DD0202" w:rsidRPr="00DD0202">
              <w:rPr>
                <w:rFonts w:ascii="Arial" w:hAnsi="Arial" w:cs="Arial"/>
                <w:color w:val="auto"/>
                <w:sz w:val="20"/>
                <w:szCs w:val="20"/>
              </w:rPr>
              <w:t>antes de la aprobación del Plan Anual de Concursos.</w:t>
            </w:r>
          </w:p>
          <w:p w14:paraId="1129FDE0" w14:textId="77777777" w:rsidR="009A1630" w:rsidRDefault="009A1630" w:rsidP="0072651A">
            <w:pPr>
              <w:pStyle w:val="Default"/>
              <w:ind w:left="-103"/>
              <w:jc w:val="both"/>
              <w:rPr>
                <w:rFonts w:ascii="Arial" w:hAnsi="Arial" w:cs="Arial"/>
                <w:color w:val="auto"/>
                <w:sz w:val="20"/>
                <w:szCs w:val="20"/>
              </w:rPr>
            </w:pPr>
          </w:p>
          <w:p w14:paraId="2279DF29" w14:textId="1D6AFA2C" w:rsidR="00442C2F" w:rsidRDefault="00442C2F" w:rsidP="0072651A">
            <w:pPr>
              <w:pStyle w:val="Default"/>
              <w:ind w:left="-103"/>
              <w:jc w:val="both"/>
              <w:rPr>
                <w:rFonts w:ascii="Arial" w:hAnsi="Arial" w:cs="Arial"/>
                <w:color w:val="auto"/>
                <w:sz w:val="20"/>
                <w:szCs w:val="20"/>
              </w:rPr>
            </w:pPr>
            <w:r>
              <w:rPr>
                <w:rFonts w:ascii="Arial" w:hAnsi="Arial" w:cs="Arial"/>
                <w:color w:val="auto"/>
                <w:sz w:val="20"/>
                <w:szCs w:val="20"/>
              </w:rPr>
              <w:t xml:space="preserve">La variable B se determina </w:t>
            </w:r>
            <w:r w:rsidR="009A1630">
              <w:rPr>
                <w:rFonts w:ascii="Arial" w:hAnsi="Arial" w:cs="Arial"/>
                <w:color w:val="auto"/>
                <w:sz w:val="20"/>
                <w:szCs w:val="20"/>
              </w:rPr>
              <w:t>en base al</w:t>
            </w:r>
            <w:r>
              <w:rPr>
                <w:rFonts w:ascii="Arial" w:hAnsi="Arial" w:cs="Arial"/>
                <w:color w:val="auto"/>
                <w:sz w:val="20"/>
                <w:szCs w:val="20"/>
              </w:rPr>
              <w:t xml:space="preserve"> total de </w:t>
            </w:r>
            <w:r w:rsidR="003B6EC0" w:rsidRPr="003B6EC0">
              <w:rPr>
                <w:rFonts w:ascii="Arial" w:hAnsi="Arial" w:cs="Arial"/>
                <w:color w:val="auto"/>
                <w:sz w:val="20"/>
                <w:szCs w:val="20"/>
              </w:rPr>
              <w:t>fondos concursables de</w:t>
            </w:r>
            <w:r w:rsidR="00D32EC0">
              <w:rPr>
                <w:rFonts w:ascii="Arial" w:hAnsi="Arial" w:cs="Arial"/>
                <w:color w:val="auto"/>
                <w:sz w:val="20"/>
                <w:szCs w:val="20"/>
              </w:rPr>
              <w:t xml:space="preserve"> </w:t>
            </w:r>
            <w:r w:rsidR="00D32EC0" w:rsidRPr="008A26D2">
              <w:rPr>
                <w:rFonts w:ascii="Arial" w:hAnsi="Arial" w:cs="Arial"/>
                <w:color w:val="auto"/>
                <w:sz w:val="20"/>
                <w:szCs w:val="20"/>
              </w:rPr>
              <w:t>Programa Nacional de Investigación Científica y Estudios Avanzados</w:t>
            </w:r>
            <w:r w:rsidR="00D32EC0">
              <w:rPr>
                <w:rFonts w:ascii="Arial" w:hAnsi="Arial" w:cs="Arial"/>
                <w:color w:val="auto"/>
                <w:sz w:val="20"/>
                <w:szCs w:val="20"/>
              </w:rPr>
              <w:t xml:space="preserve"> -</w:t>
            </w:r>
            <w:r w:rsidR="003B6EC0" w:rsidRPr="003B6EC0">
              <w:rPr>
                <w:rFonts w:ascii="Arial" w:hAnsi="Arial" w:cs="Arial"/>
                <w:color w:val="auto"/>
                <w:sz w:val="20"/>
                <w:szCs w:val="20"/>
              </w:rPr>
              <w:t xml:space="preserve"> PROCIENCIA para subvencionar actividades y proyectos de I+D+i.</w:t>
            </w:r>
          </w:p>
          <w:p w14:paraId="5C2466EA" w14:textId="77777777" w:rsidR="00C118EC" w:rsidRDefault="00C118EC" w:rsidP="0072651A">
            <w:pPr>
              <w:pStyle w:val="Default"/>
              <w:ind w:left="-103"/>
              <w:jc w:val="both"/>
              <w:rPr>
                <w:rFonts w:ascii="Arial" w:hAnsi="Arial" w:cs="Arial"/>
                <w:color w:val="auto"/>
                <w:sz w:val="20"/>
                <w:szCs w:val="20"/>
              </w:rPr>
            </w:pPr>
          </w:p>
          <w:p w14:paraId="3C75A1C1" w14:textId="01ECEEAD" w:rsidR="00A90E9C" w:rsidRDefault="00A90E9C" w:rsidP="0072651A">
            <w:pPr>
              <w:pStyle w:val="Default"/>
              <w:ind w:left="-103"/>
              <w:jc w:val="both"/>
              <w:rPr>
                <w:rFonts w:ascii="Arial" w:hAnsi="Arial" w:cs="Arial"/>
                <w:color w:val="auto"/>
                <w:sz w:val="20"/>
                <w:szCs w:val="20"/>
              </w:rPr>
            </w:pPr>
            <w:r w:rsidRPr="008A26D2">
              <w:rPr>
                <w:rFonts w:ascii="Arial" w:hAnsi="Arial" w:cs="Arial"/>
                <w:color w:val="auto"/>
                <w:sz w:val="20"/>
                <w:szCs w:val="20"/>
              </w:rPr>
              <w:t xml:space="preserve">Los proyectos de I+D+i (Investigación, Desarrollo e innovación) son aquellos orientados a la creación y/o mejora significativa de un proceso productivo, producto o servicio que pueden comprender tanto actividades de investigación industrial como de desarrollo experimental. </w:t>
            </w:r>
          </w:p>
          <w:p w14:paraId="20886258" w14:textId="77777777" w:rsidR="00B4731C" w:rsidRPr="008A26D2" w:rsidRDefault="00B4731C" w:rsidP="0072651A">
            <w:pPr>
              <w:pStyle w:val="Default"/>
              <w:ind w:left="-103"/>
              <w:jc w:val="both"/>
              <w:rPr>
                <w:rFonts w:ascii="Arial" w:hAnsi="Arial" w:cs="Arial"/>
                <w:color w:val="auto"/>
                <w:sz w:val="20"/>
                <w:szCs w:val="20"/>
              </w:rPr>
            </w:pPr>
          </w:p>
          <w:p w14:paraId="07CB3193" w14:textId="6C192386" w:rsidR="00442534" w:rsidRPr="008A26D2" w:rsidRDefault="00B21E49" w:rsidP="00B36209">
            <w:pPr>
              <w:pStyle w:val="Default"/>
              <w:ind w:left="-103"/>
              <w:jc w:val="both"/>
            </w:pPr>
            <w:r w:rsidRPr="008A26D2">
              <w:rPr>
                <w:rFonts w:ascii="Arial" w:hAnsi="Arial" w:cs="Arial"/>
                <w:color w:val="auto"/>
                <w:sz w:val="20"/>
                <w:szCs w:val="20"/>
              </w:rPr>
              <w:lastRenderedPageBreak/>
              <w:t>La línea de base es cero “0”, puesto que los fondos captados no subvencionaban, en mayor medida, proyectos orientados a los temas forestales o de fauna silvestre.</w:t>
            </w:r>
          </w:p>
        </w:tc>
      </w:tr>
      <w:tr w:rsidR="008A26D2" w:rsidRPr="008A26D2" w14:paraId="430B8E2F" w14:textId="77777777" w:rsidTr="00B93313">
        <w:trPr>
          <w:trHeight w:val="686"/>
        </w:trPr>
        <w:tc>
          <w:tcPr>
            <w:tcW w:w="2286" w:type="dxa"/>
            <w:gridSpan w:val="3"/>
            <w:shd w:val="clear" w:color="auto" w:fill="auto"/>
            <w:tcMar>
              <w:top w:w="10" w:type="dxa"/>
              <w:left w:w="93" w:type="dxa"/>
              <w:bottom w:w="0" w:type="dxa"/>
              <w:right w:w="10" w:type="dxa"/>
            </w:tcMar>
            <w:vAlign w:val="center"/>
          </w:tcPr>
          <w:p w14:paraId="4D164BD1" w14:textId="77777777" w:rsidR="00A90E9C" w:rsidRPr="008A26D2" w:rsidRDefault="00A90E9C" w:rsidP="0072651A">
            <w:pPr>
              <w:tabs>
                <w:tab w:val="left" w:pos="3375"/>
              </w:tabs>
              <w:rPr>
                <w:rFonts w:ascii="Arial" w:hAnsi="Arial" w:cs="Arial"/>
                <w:sz w:val="20"/>
                <w:szCs w:val="20"/>
              </w:rPr>
            </w:pPr>
            <w:r w:rsidRPr="008A26D2">
              <w:rPr>
                <w:rFonts w:ascii="Arial" w:hAnsi="Arial" w:cs="Arial"/>
                <w:b/>
                <w:sz w:val="20"/>
                <w:szCs w:val="20"/>
              </w:rPr>
              <w:lastRenderedPageBreak/>
              <w:t>Sentido esperado del indicador:</w:t>
            </w:r>
          </w:p>
        </w:tc>
        <w:tc>
          <w:tcPr>
            <w:tcW w:w="1929" w:type="dxa"/>
            <w:gridSpan w:val="3"/>
            <w:shd w:val="clear" w:color="auto" w:fill="auto"/>
            <w:tcMar>
              <w:top w:w="10" w:type="dxa"/>
              <w:left w:w="283" w:type="dxa"/>
              <w:bottom w:w="0" w:type="dxa"/>
              <w:right w:w="283" w:type="dxa"/>
            </w:tcMar>
            <w:vAlign w:val="center"/>
          </w:tcPr>
          <w:p w14:paraId="6B677B52" w14:textId="77777777" w:rsidR="00A90E9C" w:rsidRPr="008A26D2" w:rsidRDefault="00A90E9C" w:rsidP="0072651A">
            <w:pPr>
              <w:tabs>
                <w:tab w:val="left" w:pos="3375"/>
              </w:tabs>
              <w:rPr>
                <w:rFonts w:ascii="Arial" w:hAnsi="Arial" w:cs="Arial"/>
                <w:sz w:val="20"/>
                <w:szCs w:val="20"/>
              </w:rPr>
            </w:pPr>
            <w:r w:rsidRPr="008A26D2">
              <w:rPr>
                <w:rFonts w:ascii="Arial" w:hAnsi="Arial" w:cs="Arial"/>
                <w:sz w:val="20"/>
                <w:szCs w:val="20"/>
              </w:rPr>
              <w:t>Ascendente</w:t>
            </w:r>
          </w:p>
        </w:tc>
        <w:tc>
          <w:tcPr>
            <w:tcW w:w="2888" w:type="dxa"/>
            <w:gridSpan w:val="5"/>
            <w:shd w:val="clear" w:color="auto" w:fill="auto"/>
            <w:tcMar>
              <w:top w:w="15" w:type="dxa"/>
              <w:left w:w="15" w:type="dxa"/>
              <w:bottom w:w="0" w:type="dxa"/>
              <w:right w:w="15" w:type="dxa"/>
            </w:tcMar>
            <w:vAlign w:val="center"/>
          </w:tcPr>
          <w:p w14:paraId="7BF2F64A" w14:textId="77777777" w:rsidR="00A90E9C" w:rsidRPr="008A26D2" w:rsidRDefault="00A90E9C" w:rsidP="0072651A">
            <w:pPr>
              <w:tabs>
                <w:tab w:val="left" w:pos="3375"/>
              </w:tabs>
              <w:jc w:val="center"/>
              <w:rPr>
                <w:rFonts w:ascii="Arial" w:hAnsi="Arial" w:cs="Arial"/>
                <w:sz w:val="20"/>
                <w:szCs w:val="20"/>
              </w:rPr>
            </w:pPr>
            <w:r w:rsidRPr="008A26D2">
              <w:rPr>
                <w:rFonts w:ascii="Arial" w:hAnsi="Arial" w:cs="Arial"/>
                <w:b/>
                <w:sz w:val="20"/>
                <w:szCs w:val="20"/>
              </w:rPr>
              <w:t>Tipo de indicador de servicio:</w:t>
            </w:r>
          </w:p>
        </w:tc>
        <w:tc>
          <w:tcPr>
            <w:tcW w:w="1402" w:type="dxa"/>
            <w:gridSpan w:val="2"/>
            <w:shd w:val="clear" w:color="auto" w:fill="auto"/>
            <w:tcMar>
              <w:top w:w="15" w:type="dxa"/>
              <w:left w:w="15" w:type="dxa"/>
              <w:bottom w:w="0" w:type="dxa"/>
              <w:right w:w="15" w:type="dxa"/>
            </w:tcMar>
            <w:vAlign w:val="center"/>
          </w:tcPr>
          <w:p w14:paraId="32DF7EAD" w14:textId="77777777" w:rsidR="00A90E9C" w:rsidRPr="008A26D2" w:rsidRDefault="00A90E9C" w:rsidP="0072651A">
            <w:pPr>
              <w:tabs>
                <w:tab w:val="left" w:pos="3375"/>
              </w:tabs>
              <w:jc w:val="center"/>
              <w:rPr>
                <w:rFonts w:ascii="Arial" w:hAnsi="Arial" w:cs="Arial"/>
                <w:sz w:val="20"/>
                <w:szCs w:val="20"/>
              </w:rPr>
            </w:pPr>
            <w:r w:rsidRPr="008A26D2">
              <w:rPr>
                <w:rFonts w:ascii="Arial" w:hAnsi="Arial" w:cs="Arial"/>
                <w:sz w:val="20"/>
                <w:szCs w:val="20"/>
              </w:rPr>
              <w:t>Calidad - Oportunidad</w:t>
            </w:r>
          </w:p>
        </w:tc>
      </w:tr>
      <w:tr w:rsidR="008A26D2" w:rsidRPr="008A26D2" w14:paraId="2256BF18" w14:textId="77777777" w:rsidTr="00B93313">
        <w:trPr>
          <w:trHeight w:val="557"/>
        </w:trPr>
        <w:tc>
          <w:tcPr>
            <w:tcW w:w="2286" w:type="dxa"/>
            <w:gridSpan w:val="3"/>
            <w:shd w:val="clear" w:color="auto" w:fill="auto"/>
            <w:tcMar>
              <w:top w:w="10" w:type="dxa"/>
              <w:left w:w="93" w:type="dxa"/>
              <w:bottom w:w="0" w:type="dxa"/>
              <w:right w:w="10" w:type="dxa"/>
            </w:tcMar>
            <w:vAlign w:val="center"/>
          </w:tcPr>
          <w:p w14:paraId="2D5A8B06" w14:textId="77777777" w:rsidR="00A90E9C" w:rsidRPr="008A26D2" w:rsidRDefault="00A90E9C" w:rsidP="0072651A">
            <w:pPr>
              <w:tabs>
                <w:tab w:val="left" w:pos="3375"/>
              </w:tabs>
              <w:rPr>
                <w:rFonts w:ascii="Arial" w:hAnsi="Arial" w:cs="Arial"/>
                <w:sz w:val="20"/>
                <w:szCs w:val="20"/>
              </w:rPr>
            </w:pPr>
            <w:r w:rsidRPr="008A26D2">
              <w:rPr>
                <w:rFonts w:ascii="Arial" w:hAnsi="Arial" w:cs="Arial"/>
                <w:b/>
                <w:sz w:val="20"/>
                <w:szCs w:val="20"/>
              </w:rPr>
              <w:t>Fuente y base de datos:</w:t>
            </w:r>
          </w:p>
        </w:tc>
        <w:tc>
          <w:tcPr>
            <w:tcW w:w="6219" w:type="dxa"/>
            <w:gridSpan w:val="10"/>
            <w:shd w:val="clear" w:color="auto" w:fill="auto"/>
            <w:tcMar>
              <w:top w:w="51" w:type="dxa"/>
              <w:left w:w="227" w:type="dxa"/>
              <w:bottom w:w="51" w:type="dxa"/>
              <w:right w:w="227" w:type="dxa"/>
            </w:tcMar>
            <w:vAlign w:val="center"/>
          </w:tcPr>
          <w:p w14:paraId="2268D9E1" w14:textId="5B133DA2" w:rsidR="00A90E9C" w:rsidRPr="008A26D2" w:rsidRDefault="00A90E9C" w:rsidP="0072651A">
            <w:pPr>
              <w:tabs>
                <w:tab w:val="left" w:pos="3375"/>
              </w:tabs>
              <w:ind w:left="-103"/>
              <w:rPr>
                <w:rFonts w:ascii="Arial" w:hAnsi="Arial" w:cs="Arial"/>
                <w:sz w:val="20"/>
                <w:szCs w:val="20"/>
              </w:rPr>
            </w:pPr>
            <w:r w:rsidRPr="008A26D2">
              <w:rPr>
                <w:rFonts w:ascii="Arial" w:eastAsia="Times New Roman" w:hAnsi="Arial" w:cs="Arial"/>
                <w:sz w:val="20"/>
                <w:szCs w:val="20"/>
              </w:rPr>
              <w:t xml:space="preserve">Fuente: </w:t>
            </w:r>
            <w:r w:rsidRPr="008A26D2">
              <w:rPr>
                <w:rFonts w:ascii="Arial" w:hAnsi="Arial" w:cs="Arial"/>
                <w:sz w:val="20"/>
                <w:szCs w:val="20"/>
              </w:rPr>
              <w:t xml:space="preserve">Programa Nacional de Investigación Científica y Estudios Avanzados </w:t>
            </w:r>
            <w:r w:rsidR="00C118EC">
              <w:rPr>
                <w:rFonts w:ascii="Arial" w:hAnsi="Arial" w:cs="Arial"/>
                <w:sz w:val="20"/>
                <w:szCs w:val="20"/>
              </w:rPr>
              <w:t xml:space="preserve">- </w:t>
            </w:r>
            <w:r w:rsidRPr="008A26D2">
              <w:rPr>
                <w:rFonts w:ascii="Arial" w:hAnsi="Arial" w:cs="Arial"/>
                <w:sz w:val="20"/>
                <w:szCs w:val="20"/>
              </w:rPr>
              <w:t>PROCIENCIA</w:t>
            </w:r>
            <w:r w:rsidR="00B93313" w:rsidRPr="008A26D2">
              <w:rPr>
                <w:rFonts w:ascii="Arial" w:hAnsi="Arial" w:cs="Arial"/>
                <w:sz w:val="20"/>
                <w:szCs w:val="20"/>
              </w:rPr>
              <w:t xml:space="preserve"> del </w:t>
            </w:r>
            <w:r w:rsidR="00C118EC" w:rsidRPr="00C118EC">
              <w:rPr>
                <w:rFonts w:ascii="Arial" w:hAnsi="Arial" w:cs="Arial"/>
                <w:sz w:val="20"/>
                <w:szCs w:val="20"/>
              </w:rPr>
              <w:t xml:space="preserve">Consejo Nacional de Ciencia, Tecnología e Innovación Tecnológica </w:t>
            </w:r>
            <w:r w:rsidR="00C118EC">
              <w:rPr>
                <w:rFonts w:ascii="Arial" w:hAnsi="Arial" w:cs="Arial"/>
                <w:sz w:val="20"/>
                <w:szCs w:val="20"/>
              </w:rPr>
              <w:t xml:space="preserve">- </w:t>
            </w:r>
            <w:r w:rsidR="00B93313" w:rsidRPr="008A26D2">
              <w:rPr>
                <w:rFonts w:ascii="Arial" w:hAnsi="Arial" w:cs="Arial"/>
                <w:sz w:val="20"/>
                <w:szCs w:val="20"/>
              </w:rPr>
              <w:t>CONCYTEC</w:t>
            </w:r>
          </w:p>
          <w:p w14:paraId="059438E1" w14:textId="1C0B8F62" w:rsidR="00B93313" w:rsidRPr="008A26D2" w:rsidRDefault="00B93313" w:rsidP="00583091">
            <w:pPr>
              <w:tabs>
                <w:tab w:val="left" w:pos="3375"/>
              </w:tabs>
              <w:ind w:left="-103"/>
              <w:rPr>
                <w:rFonts w:ascii="Arial" w:hAnsi="Arial" w:cs="Arial"/>
                <w:sz w:val="20"/>
                <w:szCs w:val="20"/>
              </w:rPr>
            </w:pPr>
            <w:r w:rsidRPr="008A26D2">
              <w:rPr>
                <w:rFonts w:ascii="Arial" w:hAnsi="Arial" w:cs="Arial"/>
                <w:sz w:val="20"/>
                <w:szCs w:val="20"/>
              </w:rPr>
              <w:t xml:space="preserve">Base de datos: </w:t>
            </w:r>
            <w:r w:rsidR="00583091" w:rsidRPr="008A26D2">
              <w:rPr>
                <w:rFonts w:ascii="Arial" w:hAnsi="Arial" w:cs="Arial"/>
                <w:sz w:val="20"/>
                <w:szCs w:val="20"/>
              </w:rPr>
              <w:t>Reporte del Programa Nacional de Investigación Científica y Estudios Avanzados</w:t>
            </w:r>
            <w:r w:rsidR="00C85EDF">
              <w:rPr>
                <w:rFonts w:ascii="Arial" w:hAnsi="Arial" w:cs="Arial"/>
                <w:sz w:val="20"/>
                <w:szCs w:val="20"/>
              </w:rPr>
              <w:t xml:space="preserve"> – PROCIENCIA.</w:t>
            </w:r>
          </w:p>
        </w:tc>
      </w:tr>
      <w:tr w:rsidR="008A26D2" w:rsidRPr="008A26D2" w14:paraId="43F1E0B1" w14:textId="77777777" w:rsidTr="00B93313">
        <w:trPr>
          <w:trHeight w:val="436"/>
        </w:trPr>
        <w:tc>
          <w:tcPr>
            <w:tcW w:w="2286" w:type="dxa"/>
            <w:gridSpan w:val="3"/>
            <w:shd w:val="clear" w:color="auto" w:fill="auto"/>
            <w:tcMar>
              <w:top w:w="10" w:type="dxa"/>
              <w:left w:w="93" w:type="dxa"/>
              <w:bottom w:w="0" w:type="dxa"/>
              <w:right w:w="10" w:type="dxa"/>
            </w:tcMar>
            <w:vAlign w:val="center"/>
          </w:tcPr>
          <w:p w14:paraId="74EDCDC3" w14:textId="77777777" w:rsidR="00A90E9C" w:rsidRPr="008A26D2" w:rsidRDefault="00A90E9C" w:rsidP="0072651A">
            <w:pPr>
              <w:tabs>
                <w:tab w:val="left" w:pos="3375"/>
              </w:tabs>
              <w:rPr>
                <w:rFonts w:ascii="Arial" w:hAnsi="Arial" w:cs="Arial"/>
                <w:sz w:val="20"/>
                <w:szCs w:val="20"/>
              </w:rPr>
            </w:pPr>
            <w:r w:rsidRPr="008A26D2">
              <w:rPr>
                <w:rFonts w:ascii="Arial" w:hAnsi="Arial" w:cs="Arial"/>
                <w:b/>
                <w:sz w:val="20"/>
                <w:szCs w:val="20"/>
              </w:rPr>
              <w:t>Supuestos:</w:t>
            </w:r>
          </w:p>
        </w:tc>
        <w:tc>
          <w:tcPr>
            <w:tcW w:w="6219" w:type="dxa"/>
            <w:gridSpan w:val="10"/>
            <w:shd w:val="clear" w:color="auto" w:fill="auto"/>
            <w:tcMar>
              <w:top w:w="51" w:type="dxa"/>
              <w:left w:w="227" w:type="dxa"/>
              <w:bottom w:w="51" w:type="dxa"/>
              <w:right w:w="227" w:type="dxa"/>
            </w:tcMar>
            <w:vAlign w:val="center"/>
          </w:tcPr>
          <w:p w14:paraId="61FBAE12" w14:textId="73B28692" w:rsidR="00A90E9C" w:rsidRPr="008A26D2" w:rsidRDefault="00A90E9C" w:rsidP="0072651A">
            <w:pPr>
              <w:pStyle w:val="Default"/>
              <w:ind w:left="-103"/>
              <w:jc w:val="both"/>
              <w:rPr>
                <w:rFonts w:ascii="Arial" w:hAnsi="Arial" w:cs="Arial"/>
                <w:color w:val="auto"/>
                <w:sz w:val="20"/>
                <w:szCs w:val="20"/>
              </w:rPr>
            </w:pPr>
            <w:r w:rsidRPr="008A26D2">
              <w:rPr>
                <w:rFonts w:ascii="Arial" w:hAnsi="Arial" w:cs="Arial"/>
                <w:color w:val="auto"/>
                <w:sz w:val="20"/>
                <w:szCs w:val="20"/>
              </w:rPr>
              <w:t xml:space="preserve">Coordinación efectiva entre el </w:t>
            </w:r>
            <w:r w:rsidR="00C85EDF">
              <w:rPr>
                <w:rFonts w:ascii="Arial" w:hAnsi="Arial" w:cs="Arial"/>
                <w:color w:val="auto"/>
                <w:sz w:val="20"/>
                <w:szCs w:val="20"/>
              </w:rPr>
              <w:t xml:space="preserve">Servicio Nacional Forestal y de Fauna Silvestre - </w:t>
            </w:r>
            <w:r w:rsidRPr="008A26D2">
              <w:rPr>
                <w:rFonts w:ascii="Arial" w:hAnsi="Arial" w:cs="Arial"/>
                <w:color w:val="auto"/>
                <w:sz w:val="20"/>
                <w:szCs w:val="20"/>
              </w:rPr>
              <w:t xml:space="preserve">SERFOR, </w:t>
            </w:r>
            <w:r w:rsidR="001228F2">
              <w:rPr>
                <w:rFonts w:ascii="Arial" w:hAnsi="Arial" w:cs="Arial"/>
                <w:color w:val="auto"/>
                <w:sz w:val="20"/>
                <w:szCs w:val="20"/>
              </w:rPr>
              <w:t xml:space="preserve">el </w:t>
            </w:r>
            <w:r w:rsidR="001228F2" w:rsidRPr="008A26D2">
              <w:rPr>
                <w:rFonts w:ascii="Arial" w:hAnsi="Arial" w:cs="Arial"/>
                <w:sz w:val="20"/>
                <w:szCs w:val="20"/>
              </w:rPr>
              <w:t>Programa Nacional de Investigación Científica y Estudios Avanzados</w:t>
            </w:r>
            <w:r w:rsidR="001228F2">
              <w:rPr>
                <w:rFonts w:ascii="Arial" w:hAnsi="Arial" w:cs="Arial"/>
                <w:sz w:val="20"/>
                <w:szCs w:val="20"/>
              </w:rPr>
              <w:t xml:space="preserve"> – PROCIENCIA</w:t>
            </w:r>
            <w:r w:rsidR="001228F2">
              <w:rPr>
                <w:rFonts w:ascii="Arial" w:hAnsi="Arial" w:cs="Arial"/>
                <w:color w:val="auto"/>
                <w:sz w:val="20"/>
                <w:szCs w:val="20"/>
              </w:rPr>
              <w:t xml:space="preserve"> y </w:t>
            </w:r>
            <w:r w:rsidR="00C85EDF" w:rsidRPr="008A26D2">
              <w:rPr>
                <w:rFonts w:ascii="Arial" w:hAnsi="Arial" w:cs="Arial"/>
                <w:color w:val="auto"/>
                <w:sz w:val="20"/>
                <w:szCs w:val="20"/>
              </w:rPr>
              <w:t xml:space="preserve">Consejo Nacional de Ciencia, Tecnología e Innovación Tecnológica </w:t>
            </w:r>
            <w:r w:rsidR="00C85EDF">
              <w:rPr>
                <w:rFonts w:ascii="Arial" w:hAnsi="Arial" w:cs="Arial"/>
                <w:color w:val="auto"/>
                <w:sz w:val="20"/>
                <w:szCs w:val="20"/>
              </w:rPr>
              <w:t>-</w:t>
            </w:r>
            <w:r w:rsidRPr="008A26D2">
              <w:rPr>
                <w:rFonts w:ascii="Arial" w:hAnsi="Arial" w:cs="Arial"/>
                <w:color w:val="auto"/>
                <w:sz w:val="20"/>
                <w:szCs w:val="20"/>
              </w:rPr>
              <w:t xml:space="preserve"> CONCYTEC. </w:t>
            </w:r>
          </w:p>
          <w:p w14:paraId="0F51C8AD" w14:textId="77777777" w:rsidR="00A90E9C" w:rsidRPr="008A26D2" w:rsidRDefault="00A90E9C" w:rsidP="0072651A">
            <w:pPr>
              <w:pStyle w:val="Default"/>
              <w:ind w:left="-103"/>
              <w:jc w:val="both"/>
              <w:rPr>
                <w:rFonts w:ascii="Arial" w:hAnsi="Arial" w:cs="Arial"/>
                <w:color w:val="auto"/>
                <w:sz w:val="20"/>
                <w:szCs w:val="20"/>
              </w:rPr>
            </w:pPr>
          </w:p>
          <w:p w14:paraId="4F8C4A0C" w14:textId="77777777" w:rsidR="00A90E9C" w:rsidRPr="008A26D2" w:rsidRDefault="00A90E9C" w:rsidP="0072651A">
            <w:pPr>
              <w:pStyle w:val="Default"/>
              <w:ind w:left="-103"/>
              <w:jc w:val="both"/>
              <w:rPr>
                <w:rFonts w:ascii="Arial" w:hAnsi="Arial" w:cs="Arial"/>
                <w:color w:val="auto"/>
                <w:sz w:val="20"/>
                <w:szCs w:val="20"/>
              </w:rPr>
            </w:pPr>
            <w:r w:rsidRPr="008A26D2">
              <w:rPr>
                <w:rFonts w:ascii="Arial" w:hAnsi="Arial" w:cs="Arial"/>
                <w:color w:val="auto"/>
                <w:sz w:val="20"/>
                <w:szCs w:val="20"/>
              </w:rPr>
              <w:t xml:space="preserve">Disponibilidad de las entidades públicas y privadas nacionales y extranjeras para transferir o donar fondos al CONCYTEC y PROCIENCIA para la subvención de actividades y proyectos de I+D+i en temas forestales y de fauna silvestre. </w:t>
            </w:r>
          </w:p>
          <w:p w14:paraId="540186D9" w14:textId="77777777" w:rsidR="00A90E9C" w:rsidRPr="008A26D2" w:rsidRDefault="00A90E9C" w:rsidP="0072651A">
            <w:pPr>
              <w:pStyle w:val="Default"/>
              <w:ind w:left="-103"/>
              <w:jc w:val="both"/>
              <w:rPr>
                <w:rFonts w:ascii="Arial" w:hAnsi="Arial" w:cs="Arial"/>
                <w:color w:val="auto"/>
                <w:sz w:val="20"/>
                <w:szCs w:val="20"/>
              </w:rPr>
            </w:pPr>
          </w:p>
          <w:p w14:paraId="599F2087" w14:textId="567DAC0F" w:rsidR="00A90E9C" w:rsidRPr="008A26D2" w:rsidRDefault="00A90E9C" w:rsidP="0072651A">
            <w:pPr>
              <w:pStyle w:val="Default"/>
              <w:ind w:left="-103"/>
              <w:jc w:val="both"/>
              <w:rPr>
                <w:rFonts w:ascii="Arial" w:hAnsi="Arial" w:cs="Arial"/>
                <w:color w:val="auto"/>
                <w:sz w:val="20"/>
                <w:szCs w:val="20"/>
              </w:rPr>
            </w:pPr>
            <w:r w:rsidRPr="008A26D2">
              <w:rPr>
                <w:rFonts w:ascii="Arial" w:hAnsi="Arial" w:cs="Arial"/>
                <w:color w:val="auto"/>
                <w:sz w:val="20"/>
                <w:szCs w:val="20"/>
              </w:rPr>
              <w:t xml:space="preserve">Interés de las entidades públicas y privadas del </w:t>
            </w:r>
            <w:r w:rsidR="001228F2">
              <w:rPr>
                <w:rFonts w:ascii="Arial" w:hAnsi="Arial" w:cs="Arial"/>
                <w:color w:val="auto"/>
                <w:sz w:val="20"/>
                <w:szCs w:val="20"/>
              </w:rPr>
              <w:t xml:space="preserve">Sistema Nacional de </w:t>
            </w:r>
            <w:r w:rsidR="00477014">
              <w:rPr>
                <w:rFonts w:ascii="Arial" w:hAnsi="Arial" w:cs="Arial"/>
                <w:color w:val="auto"/>
                <w:sz w:val="20"/>
                <w:szCs w:val="20"/>
              </w:rPr>
              <w:t xml:space="preserve">Ciencia, Tecnología e Innovación - </w:t>
            </w:r>
            <w:r w:rsidRPr="008A26D2">
              <w:rPr>
                <w:rFonts w:ascii="Arial" w:hAnsi="Arial" w:cs="Arial"/>
                <w:color w:val="auto"/>
                <w:sz w:val="20"/>
                <w:szCs w:val="20"/>
              </w:rPr>
              <w:t>SINACTI en realizar proyectos de</w:t>
            </w:r>
            <w:r w:rsidR="00477014">
              <w:rPr>
                <w:rFonts w:ascii="Arial" w:hAnsi="Arial" w:cs="Arial"/>
                <w:color w:val="auto"/>
                <w:sz w:val="20"/>
                <w:szCs w:val="20"/>
              </w:rPr>
              <w:t xml:space="preserve"> investigación, desarrollo e innovación -</w:t>
            </w:r>
            <w:r w:rsidRPr="008A26D2">
              <w:rPr>
                <w:rFonts w:ascii="Arial" w:hAnsi="Arial" w:cs="Arial"/>
                <w:color w:val="auto"/>
                <w:sz w:val="20"/>
                <w:szCs w:val="20"/>
              </w:rPr>
              <w:t xml:space="preserve"> I+D+i </w:t>
            </w:r>
            <w:r w:rsidR="0085513F">
              <w:rPr>
                <w:rFonts w:ascii="Arial" w:hAnsi="Arial" w:cs="Arial"/>
                <w:color w:val="auto"/>
                <w:sz w:val="20"/>
                <w:szCs w:val="20"/>
              </w:rPr>
              <w:t xml:space="preserve">en temas </w:t>
            </w:r>
            <w:r w:rsidRPr="008A26D2">
              <w:rPr>
                <w:rFonts w:ascii="Arial" w:hAnsi="Arial" w:cs="Arial"/>
                <w:color w:val="auto"/>
                <w:sz w:val="20"/>
                <w:szCs w:val="20"/>
              </w:rPr>
              <w:t xml:space="preserve">forestales y de fauna silvestre. </w:t>
            </w:r>
          </w:p>
          <w:p w14:paraId="48AFB1E2" w14:textId="77777777" w:rsidR="00A90E9C" w:rsidRPr="008A26D2" w:rsidRDefault="00A90E9C" w:rsidP="0072651A">
            <w:pPr>
              <w:pStyle w:val="Default"/>
              <w:ind w:left="-103"/>
              <w:jc w:val="both"/>
              <w:rPr>
                <w:rFonts w:ascii="Arial" w:hAnsi="Arial" w:cs="Arial"/>
                <w:color w:val="auto"/>
                <w:sz w:val="20"/>
                <w:szCs w:val="20"/>
              </w:rPr>
            </w:pPr>
          </w:p>
          <w:p w14:paraId="174818F3" w14:textId="77777777" w:rsidR="00A90E9C" w:rsidRPr="008A26D2" w:rsidRDefault="00A90E9C" w:rsidP="0072651A">
            <w:pPr>
              <w:pStyle w:val="Default"/>
              <w:ind w:left="-103"/>
              <w:jc w:val="both"/>
              <w:rPr>
                <w:rFonts w:ascii="Arial" w:hAnsi="Arial" w:cs="Arial"/>
                <w:color w:val="auto"/>
                <w:sz w:val="20"/>
                <w:szCs w:val="20"/>
              </w:rPr>
            </w:pPr>
            <w:r w:rsidRPr="008A26D2">
              <w:rPr>
                <w:rFonts w:ascii="Arial" w:hAnsi="Arial" w:cs="Arial"/>
                <w:color w:val="auto"/>
                <w:sz w:val="20"/>
                <w:szCs w:val="20"/>
              </w:rPr>
              <w:t xml:space="preserve">El presupuesto de PROCIENCIA destinado al financiamiento de fondos concursables no debería ser afectado en su disminución. </w:t>
            </w:r>
          </w:p>
        </w:tc>
      </w:tr>
      <w:tr w:rsidR="008A26D2" w:rsidRPr="008A26D2" w14:paraId="5E1F4C23" w14:textId="77777777" w:rsidTr="00583091">
        <w:trPr>
          <w:trHeight w:val="556"/>
        </w:trPr>
        <w:tc>
          <w:tcPr>
            <w:tcW w:w="709" w:type="dxa"/>
            <w:shd w:val="clear" w:color="auto" w:fill="auto"/>
            <w:tcMar>
              <w:top w:w="10" w:type="dxa"/>
              <w:left w:w="10" w:type="dxa"/>
              <w:bottom w:w="0" w:type="dxa"/>
              <w:right w:w="10" w:type="dxa"/>
            </w:tcMar>
            <w:vAlign w:val="center"/>
          </w:tcPr>
          <w:p w14:paraId="3145CBE8" w14:textId="77777777" w:rsidR="00A90E9C" w:rsidRPr="008A26D2" w:rsidRDefault="00A90E9C" w:rsidP="0072651A">
            <w:pPr>
              <w:tabs>
                <w:tab w:val="left" w:pos="3375"/>
              </w:tabs>
              <w:rPr>
                <w:rFonts w:ascii="Arial" w:hAnsi="Arial" w:cs="Arial"/>
                <w:sz w:val="20"/>
                <w:szCs w:val="20"/>
              </w:rPr>
            </w:pPr>
            <w:r w:rsidRPr="008A26D2">
              <w:rPr>
                <w:rFonts w:ascii="Arial" w:hAnsi="Arial" w:cs="Arial"/>
                <w:b/>
                <w:sz w:val="20"/>
                <w:szCs w:val="20"/>
              </w:rPr>
              <w:t> </w:t>
            </w:r>
          </w:p>
        </w:tc>
        <w:tc>
          <w:tcPr>
            <w:tcW w:w="851" w:type="dxa"/>
            <w:shd w:val="clear" w:color="auto" w:fill="auto"/>
            <w:tcMar>
              <w:top w:w="10" w:type="dxa"/>
              <w:left w:w="10" w:type="dxa"/>
              <w:bottom w:w="0" w:type="dxa"/>
              <w:right w:w="10" w:type="dxa"/>
            </w:tcMar>
            <w:vAlign w:val="center"/>
          </w:tcPr>
          <w:p w14:paraId="5DAC4272" w14:textId="77777777" w:rsidR="00A90E9C" w:rsidRPr="008A26D2" w:rsidRDefault="00A90E9C" w:rsidP="0072651A">
            <w:pPr>
              <w:tabs>
                <w:tab w:val="left" w:pos="3375"/>
              </w:tabs>
              <w:jc w:val="center"/>
              <w:rPr>
                <w:rFonts w:ascii="Arial" w:hAnsi="Arial" w:cs="Arial"/>
                <w:sz w:val="20"/>
                <w:szCs w:val="20"/>
              </w:rPr>
            </w:pPr>
            <w:r w:rsidRPr="008A26D2">
              <w:rPr>
                <w:rFonts w:ascii="Arial" w:hAnsi="Arial" w:cs="Arial"/>
                <w:b/>
                <w:sz w:val="20"/>
                <w:szCs w:val="20"/>
              </w:rPr>
              <w:t>Línea de base</w:t>
            </w:r>
          </w:p>
        </w:tc>
        <w:tc>
          <w:tcPr>
            <w:tcW w:w="6945" w:type="dxa"/>
            <w:gridSpan w:val="11"/>
            <w:shd w:val="clear" w:color="auto" w:fill="auto"/>
            <w:tcMar>
              <w:top w:w="10" w:type="dxa"/>
              <w:left w:w="10" w:type="dxa"/>
              <w:bottom w:w="0" w:type="dxa"/>
              <w:right w:w="10" w:type="dxa"/>
            </w:tcMar>
            <w:vAlign w:val="center"/>
          </w:tcPr>
          <w:p w14:paraId="347DEDF9" w14:textId="77777777" w:rsidR="00A90E9C" w:rsidRPr="008A26D2" w:rsidRDefault="00A90E9C" w:rsidP="0072651A">
            <w:pPr>
              <w:tabs>
                <w:tab w:val="left" w:pos="3375"/>
              </w:tabs>
              <w:jc w:val="center"/>
              <w:rPr>
                <w:rFonts w:ascii="Arial" w:hAnsi="Arial" w:cs="Arial"/>
                <w:sz w:val="20"/>
                <w:szCs w:val="20"/>
              </w:rPr>
            </w:pPr>
            <w:r w:rsidRPr="008A26D2">
              <w:rPr>
                <w:rFonts w:ascii="Arial" w:hAnsi="Arial" w:cs="Arial"/>
                <w:b/>
                <w:sz w:val="20"/>
                <w:szCs w:val="20"/>
              </w:rPr>
              <w:t>Logros esperados</w:t>
            </w:r>
          </w:p>
        </w:tc>
      </w:tr>
      <w:tr w:rsidR="008A26D2" w:rsidRPr="008A26D2" w14:paraId="711F5291" w14:textId="77777777" w:rsidTr="00583091">
        <w:trPr>
          <w:trHeight w:val="217"/>
        </w:trPr>
        <w:tc>
          <w:tcPr>
            <w:tcW w:w="709" w:type="dxa"/>
            <w:shd w:val="clear" w:color="auto" w:fill="auto"/>
            <w:tcMar>
              <w:top w:w="10" w:type="dxa"/>
              <w:left w:w="10" w:type="dxa"/>
              <w:bottom w:w="0" w:type="dxa"/>
              <w:right w:w="10" w:type="dxa"/>
            </w:tcMar>
            <w:vAlign w:val="center"/>
          </w:tcPr>
          <w:p w14:paraId="71B8BD05" w14:textId="77777777" w:rsidR="00A90E9C" w:rsidRPr="008A26D2" w:rsidRDefault="00A90E9C" w:rsidP="0072651A">
            <w:pPr>
              <w:tabs>
                <w:tab w:val="left" w:pos="3375"/>
              </w:tabs>
              <w:rPr>
                <w:rFonts w:ascii="Arial" w:hAnsi="Arial" w:cs="Arial"/>
                <w:sz w:val="20"/>
                <w:szCs w:val="20"/>
              </w:rPr>
            </w:pPr>
            <w:r w:rsidRPr="008A26D2">
              <w:rPr>
                <w:rFonts w:ascii="Arial" w:hAnsi="Arial" w:cs="Arial"/>
                <w:b/>
                <w:sz w:val="20"/>
                <w:szCs w:val="20"/>
              </w:rPr>
              <w:t>Año</w:t>
            </w:r>
          </w:p>
        </w:tc>
        <w:tc>
          <w:tcPr>
            <w:tcW w:w="851" w:type="dxa"/>
            <w:shd w:val="clear" w:color="auto" w:fill="auto"/>
            <w:tcMar>
              <w:top w:w="10" w:type="dxa"/>
              <w:left w:w="10" w:type="dxa"/>
              <w:bottom w:w="0" w:type="dxa"/>
              <w:right w:w="10" w:type="dxa"/>
            </w:tcMar>
            <w:vAlign w:val="center"/>
          </w:tcPr>
          <w:p w14:paraId="57384EA5" w14:textId="77777777" w:rsidR="00A90E9C" w:rsidRPr="008A26D2" w:rsidRDefault="00A90E9C" w:rsidP="0072651A">
            <w:pPr>
              <w:tabs>
                <w:tab w:val="left" w:pos="3375"/>
              </w:tabs>
              <w:jc w:val="center"/>
              <w:rPr>
                <w:rFonts w:ascii="Arial" w:hAnsi="Arial" w:cs="Arial"/>
                <w:b/>
                <w:sz w:val="20"/>
                <w:szCs w:val="20"/>
              </w:rPr>
            </w:pPr>
            <w:r w:rsidRPr="008A26D2">
              <w:rPr>
                <w:rFonts w:ascii="Arial" w:hAnsi="Arial" w:cs="Arial"/>
                <w:b/>
                <w:sz w:val="20"/>
                <w:szCs w:val="20"/>
              </w:rPr>
              <w:t>2021</w:t>
            </w:r>
          </w:p>
        </w:tc>
        <w:tc>
          <w:tcPr>
            <w:tcW w:w="992" w:type="dxa"/>
            <w:gridSpan w:val="2"/>
            <w:shd w:val="clear" w:color="auto" w:fill="auto"/>
            <w:tcMar>
              <w:top w:w="10" w:type="dxa"/>
              <w:left w:w="10" w:type="dxa"/>
              <w:bottom w:w="0" w:type="dxa"/>
              <w:right w:w="10" w:type="dxa"/>
            </w:tcMar>
            <w:vAlign w:val="center"/>
          </w:tcPr>
          <w:p w14:paraId="262DE416" w14:textId="77777777" w:rsidR="00A90E9C" w:rsidRPr="008A26D2" w:rsidRDefault="00A90E9C" w:rsidP="0072651A">
            <w:pPr>
              <w:tabs>
                <w:tab w:val="left" w:pos="3375"/>
              </w:tabs>
              <w:jc w:val="center"/>
              <w:rPr>
                <w:rFonts w:ascii="Arial" w:hAnsi="Arial" w:cs="Arial"/>
                <w:b/>
                <w:sz w:val="20"/>
                <w:szCs w:val="20"/>
              </w:rPr>
            </w:pPr>
            <w:r w:rsidRPr="008A26D2">
              <w:rPr>
                <w:rFonts w:ascii="Arial" w:hAnsi="Arial" w:cs="Arial"/>
                <w:b/>
                <w:sz w:val="20"/>
                <w:szCs w:val="20"/>
              </w:rPr>
              <w:t>2023</w:t>
            </w:r>
          </w:p>
        </w:tc>
        <w:tc>
          <w:tcPr>
            <w:tcW w:w="1007" w:type="dxa"/>
            <w:shd w:val="clear" w:color="auto" w:fill="auto"/>
            <w:vAlign w:val="center"/>
          </w:tcPr>
          <w:p w14:paraId="4993F928" w14:textId="77777777" w:rsidR="00A90E9C" w:rsidRPr="008A26D2" w:rsidRDefault="00A90E9C" w:rsidP="0072651A">
            <w:pPr>
              <w:tabs>
                <w:tab w:val="left" w:pos="3375"/>
              </w:tabs>
              <w:jc w:val="center"/>
              <w:rPr>
                <w:rFonts w:ascii="Arial" w:hAnsi="Arial" w:cs="Arial"/>
                <w:b/>
                <w:sz w:val="20"/>
                <w:szCs w:val="20"/>
              </w:rPr>
            </w:pPr>
            <w:r w:rsidRPr="008A26D2">
              <w:rPr>
                <w:rFonts w:ascii="Arial" w:hAnsi="Arial" w:cs="Arial"/>
                <w:b/>
                <w:sz w:val="20"/>
                <w:szCs w:val="20"/>
              </w:rPr>
              <w:t>2024</w:t>
            </w:r>
          </w:p>
        </w:tc>
        <w:tc>
          <w:tcPr>
            <w:tcW w:w="836" w:type="dxa"/>
            <w:gridSpan w:val="2"/>
            <w:shd w:val="clear" w:color="auto" w:fill="auto"/>
            <w:vAlign w:val="center"/>
          </w:tcPr>
          <w:p w14:paraId="4CCA5337" w14:textId="77777777" w:rsidR="00A90E9C" w:rsidRPr="008A26D2" w:rsidRDefault="00A90E9C" w:rsidP="0072651A">
            <w:pPr>
              <w:tabs>
                <w:tab w:val="left" w:pos="3375"/>
              </w:tabs>
              <w:jc w:val="center"/>
              <w:rPr>
                <w:rFonts w:ascii="Arial" w:hAnsi="Arial" w:cs="Arial"/>
                <w:b/>
                <w:sz w:val="20"/>
                <w:szCs w:val="20"/>
              </w:rPr>
            </w:pPr>
            <w:r w:rsidRPr="008A26D2">
              <w:rPr>
                <w:rFonts w:ascii="Arial" w:hAnsi="Arial" w:cs="Arial"/>
                <w:b/>
                <w:sz w:val="20"/>
                <w:szCs w:val="20"/>
              </w:rPr>
              <w:t>2025</w:t>
            </w:r>
          </w:p>
        </w:tc>
        <w:tc>
          <w:tcPr>
            <w:tcW w:w="850" w:type="dxa"/>
            <w:shd w:val="clear" w:color="auto" w:fill="auto"/>
            <w:vAlign w:val="center"/>
          </w:tcPr>
          <w:p w14:paraId="08E73D1A" w14:textId="77777777" w:rsidR="00A90E9C" w:rsidRPr="008A26D2" w:rsidRDefault="00A90E9C" w:rsidP="0072651A">
            <w:pPr>
              <w:tabs>
                <w:tab w:val="left" w:pos="3375"/>
              </w:tabs>
              <w:jc w:val="center"/>
              <w:rPr>
                <w:rFonts w:ascii="Arial" w:hAnsi="Arial" w:cs="Arial"/>
                <w:b/>
                <w:sz w:val="20"/>
                <w:szCs w:val="20"/>
              </w:rPr>
            </w:pPr>
            <w:r w:rsidRPr="008A26D2">
              <w:rPr>
                <w:rFonts w:ascii="Arial" w:hAnsi="Arial" w:cs="Arial"/>
                <w:b/>
                <w:sz w:val="20"/>
                <w:szCs w:val="20"/>
              </w:rPr>
              <w:t>2026</w:t>
            </w:r>
          </w:p>
        </w:tc>
        <w:tc>
          <w:tcPr>
            <w:tcW w:w="851" w:type="dxa"/>
            <w:shd w:val="clear" w:color="auto" w:fill="auto"/>
            <w:vAlign w:val="center"/>
          </w:tcPr>
          <w:p w14:paraId="2A1FB2F0" w14:textId="77777777" w:rsidR="00A90E9C" w:rsidRPr="008A26D2" w:rsidRDefault="00A90E9C" w:rsidP="0072651A">
            <w:pPr>
              <w:tabs>
                <w:tab w:val="left" w:pos="3375"/>
              </w:tabs>
              <w:jc w:val="center"/>
              <w:rPr>
                <w:rFonts w:ascii="Arial" w:hAnsi="Arial" w:cs="Arial"/>
                <w:b/>
                <w:sz w:val="20"/>
                <w:szCs w:val="20"/>
              </w:rPr>
            </w:pPr>
            <w:r w:rsidRPr="008A26D2">
              <w:rPr>
                <w:rFonts w:ascii="Arial" w:hAnsi="Arial" w:cs="Arial"/>
                <w:b/>
                <w:sz w:val="20"/>
                <w:szCs w:val="20"/>
              </w:rPr>
              <w:t>2027</w:t>
            </w:r>
          </w:p>
        </w:tc>
        <w:tc>
          <w:tcPr>
            <w:tcW w:w="850" w:type="dxa"/>
            <w:shd w:val="clear" w:color="auto" w:fill="auto"/>
            <w:vAlign w:val="center"/>
          </w:tcPr>
          <w:p w14:paraId="1D206646" w14:textId="77777777" w:rsidR="00A90E9C" w:rsidRPr="008A26D2" w:rsidRDefault="00A90E9C" w:rsidP="0072651A">
            <w:pPr>
              <w:tabs>
                <w:tab w:val="left" w:pos="3375"/>
              </w:tabs>
              <w:jc w:val="center"/>
              <w:rPr>
                <w:rFonts w:ascii="Arial" w:hAnsi="Arial" w:cs="Arial"/>
                <w:b/>
                <w:sz w:val="20"/>
                <w:szCs w:val="20"/>
              </w:rPr>
            </w:pPr>
            <w:r w:rsidRPr="008A26D2">
              <w:rPr>
                <w:rFonts w:ascii="Arial" w:hAnsi="Arial" w:cs="Arial"/>
                <w:b/>
                <w:sz w:val="20"/>
                <w:szCs w:val="20"/>
              </w:rPr>
              <w:t>2028</w:t>
            </w:r>
          </w:p>
        </w:tc>
        <w:tc>
          <w:tcPr>
            <w:tcW w:w="851" w:type="dxa"/>
            <w:gridSpan w:val="2"/>
            <w:shd w:val="clear" w:color="auto" w:fill="auto"/>
            <w:vAlign w:val="center"/>
          </w:tcPr>
          <w:p w14:paraId="7F005109" w14:textId="77777777" w:rsidR="00A90E9C" w:rsidRPr="008A26D2" w:rsidRDefault="00A90E9C" w:rsidP="0072651A">
            <w:pPr>
              <w:tabs>
                <w:tab w:val="left" w:pos="3375"/>
              </w:tabs>
              <w:jc w:val="center"/>
              <w:rPr>
                <w:rFonts w:ascii="Arial" w:hAnsi="Arial" w:cs="Arial"/>
                <w:b/>
                <w:sz w:val="20"/>
                <w:szCs w:val="20"/>
              </w:rPr>
            </w:pPr>
            <w:r w:rsidRPr="008A26D2">
              <w:rPr>
                <w:rFonts w:ascii="Arial" w:hAnsi="Arial" w:cs="Arial"/>
                <w:b/>
                <w:sz w:val="20"/>
                <w:szCs w:val="20"/>
              </w:rPr>
              <w:t>2029</w:t>
            </w:r>
          </w:p>
        </w:tc>
        <w:tc>
          <w:tcPr>
            <w:tcW w:w="708" w:type="dxa"/>
            <w:shd w:val="clear" w:color="auto" w:fill="auto"/>
            <w:tcMar>
              <w:top w:w="10" w:type="dxa"/>
              <w:left w:w="10" w:type="dxa"/>
              <w:bottom w:w="0" w:type="dxa"/>
              <w:right w:w="10" w:type="dxa"/>
            </w:tcMar>
            <w:vAlign w:val="center"/>
          </w:tcPr>
          <w:p w14:paraId="4A31BCA8" w14:textId="77777777" w:rsidR="00A90E9C" w:rsidRPr="008A26D2" w:rsidRDefault="00A90E9C" w:rsidP="0072651A">
            <w:pPr>
              <w:tabs>
                <w:tab w:val="left" w:pos="3375"/>
              </w:tabs>
              <w:jc w:val="center"/>
              <w:rPr>
                <w:rFonts w:ascii="Arial" w:hAnsi="Arial" w:cs="Arial"/>
                <w:b/>
                <w:sz w:val="20"/>
                <w:szCs w:val="20"/>
              </w:rPr>
            </w:pPr>
            <w:r w:rsidRPr="008A26D2">
              <w:rPr>
                <w:rFonts w:ascii="Arial" w:hAnsi="Arial" w:cs="Arial"/>
                <w:b/>
                <w:sz w:val="20"/>
                <w:szCs w:val="20"/>
              </w:rPr>
              <w:t>2030</w:t>
            </w:r>
          </w:p>
        </w:tc>
      </w:tr>
      <w:tr w:rsidR="008A26D2" w:rsidRPr="008A26D2" w14:paraId="0AEA95A3" w14:textId="77777777" w:rsidTr="00583091">
        <w:trPr>
          <w:trHeight w:val="81"/>
        </w:trPr>
        <w:tc>
          <w:tcPr>
            <w:tcW w:w="709" w:type="dxa"/>
            <w:shd w:val="clear" w:color="auto" w:fill="auto"/>
            <w:tcMar>
              <w:top w:w="10" w:type="dxa"/>
              <w:left w:w="10" w:type="dxa"/>
              <w:bottom w:w="0" w:type="dxa"/>
              <w:right w:w="10" w:type="dxa"/>
            </w:tcMar>
            <w:vAlign w:val="center"/>
          </w:tcPr>
          <w:p w14:paraId="59AF8733" w14:textId="77777777" w:rsidR="00A90E9C" w:rsidRPr="008A26D2" w:rsidRDefault="00A90E9C" w:rsidP="0072651A">
            <w:pPr>
              <w:tabs>
                <w:tab w:val="left" w:pos="3375"/>
              </w:tabs>
              <w:rPr>
                <w:rFonts w:ascii="Arial" w:hAnsi="Arial" w:cs="Arial"/>
                <w:sz w:val="20"/>
                <w:szCs w:val="20"/>
              </w:rPr>
            </w:pPr>
            <w:r w:rsidRPr="008A26D2">
              <w:rPr>
                <w:rFonts w:ascii="Arial" w:hAnsi="Arial" w:cs="Arial"/>
                <w:b/>
                <w:sz w:val="20"/>
                <w:szCs w:val="20"/>
              </w:rPr>
              <w:t>Valor</w:t>
            </w:r>
          </w:p>
        </w:tc>
        <w:tc>
          <w:tcPr>
            <w:tcW w:w="851" w:type="dxa"/>
            <w:shd w:val="clear" w:color="auto" w:fill="auto"/>
            <w:tcMar>
              <w:top w:w="10" w:type="dxa"/>
              <w:left w:w="10" w:type="dxa"/>
              <w:bottom w:w="0" w:type="dxa"/>
              <w:right w:w="10" w:type="dxa"/>
            </w:tcMar>
            <w:vAlign w:val="center"/>
          </w:tcPr>
          <w:p w14:paraId="3DE2998D" w14:textId="0A39F92C" w:rsidR="00A90E9C" w:rsidRPr="008A26D2" w:rsidRDefault="00A90E9C" w:rsidP="0072651A">
            <w:pPr>
              <w:tabs>
                <w:tab w:val="left" w:pos="3375"/>
              </w:tabs>
              <w:jc w:val="center"/>
              <w:rPr>
                <w:rFonts w:ascii="Arial" w:hAnsi="Arial" w:cs="Arial"/>
                <w:sz w:val="20"/>
                <w:szCs w:val="20"/>
              </w:rPr>
            </w:pPr>
            <w:r w:rsidRPr="008A26D2">
              <w:rPr>
                <w:rFonts w:ascii="Arial" w:hAnsi="Arial" w:cs="Arial"/>
                <w:sz w:val="20"/>
                <w:szCs w:val="20"/>
              </w:rPr>
              <w:t>0</w:t>
            </w:r>
            <w:r w:rsidR="00AF2EB1" w:rsidRPr="008A26D2">
              <w:rPr>
                <w:rFonts w:ascii="Arial" w:hAnsi="Arial" w:cs="Arial"/>
                <w:sz w:val="20"/>
                <w:szCs w:val="20"/>
              </w:rPr>
              <w:t>%</w:t>
            </w:r>
          </w:p>
        </w:tc>
        <w:tc>
          <w:tcPr>
            <w:tcW w:w="992" w:type="dxa"/>
            <w:gridSpan w:val="2"/>
            <w:shd w:val="clear" w:color="auto" w:fill="auto"/>
            <w:tcMar>
              <w:top w:w="10" w:type="dxa"/>
              <w:left w:w="10" w:type="dxa"/>
              <w:bottom w:w="0" w:type="dxa"/>
              <w:right w:w="10" w:type="dxa"/>
            </w:tcMar>
            <w:vAlign w:val="center"/>
          </w:tcPr>
          <w:p w14:paraId="392990E3" w14:textId="77777777" w:rsidR="00A90E9C" w:rsidRPr="008A26D2" w:rsidRDefault="00A90E9C" w:rsidP="0072651A">
            <w:pPr>
              <w:tabs>
                <w:tab w:val="left" w:pos="3375"/>
              </w:tabs>
              <w:jc w:val="center"/>
              <w:rPr>
                <w:rFonts w:ascii="Arial" w:hAnsi="Arial" w:cs="Arial"/>
                <w:sz w:val="20"/>
                <w:szCs w:val="20"/>
              </w:rPr>
            </w:pPr>
            <w:r w:rsidRPr="008A26D2">
              <w:rPr>
                <w:rFonts w:ascii="Arial" w:hAnsi="Arial" w:cs="Arial"/>
                <w:sz w:val="20"/>
                <w:szCs w:val="20"/>
              </w:rPr>
              <w:t>0.1%</w:t>
            </w:r>
          </w:p>
        </w:tc>
        <w:tc>
          <w:tcPr>
            <w:tcW w:w="1007" w:type="dxa"/>
            <w:shd w:val="clear" w:color="auto" w:fill="auto"/>
            <w:vAlign w:val="center"/>
          </w:tcPr>
          <w:p w14:paraId="0AA82611" w14:textId="77777777" w:rsidR="00A90E9C" w:rsidRPr="008A26D2" w:rsidRDefault="00A90E9C" w:rsidP="0072651A">
            <w:pPr>
              <w:tabs>
                <w:tab w:val="left" w:pos="3375"/>
              </w:tabs>
              <w:jc w:val="center"/>
              <w:rPr>
                <w:rFonts w:ascii="Arial" w:hAnsi="Arial" w:cs="Arial"/>
                <w:sz w:val="20"/>
                <w:szCs w:val="20"/>
              </w:rPr>
            </w:pPr>
            <w:r w:rsidRPr="008A26D2">
              <w:rPr>
                <w:rFonts w:ascii="Arial" w:hAnsi="Arial" w:cs="Arial"/>
                <w:sz w:val="20"/>
                <w:szCs w:val="20"/>
              </w:rPr>
              <w:t>0.15%</w:t>
            </w:r>
          </w:p>
        </w:tc>
        <w:tc>
          <w:tcPr>
            <w:tcW w:w="836" w:type="dxa"/>
            <w:gridSpan w:val="2"/>
            <w:shd w:val="clear" w:color="auto" w:fill="auto"/>
            <w:vAlign w:val="center"/>
          </w:tcPr>
          <w:p w14:paraId="6FC9063B" w14:textId="77777777" w:rsidR="00A90E9C" w:rsidRPr="008A26D2" w:rsidRDefault="00A90E9C" w:rsidP="0072651A">
            <w:pPr>
              <w:tabs>
                <w:tab w:val="left" w:pos="3375"/>
              </w:tabs>
              <w:jc w:val="center"/>
              <w:rPr>
                <w:rFonts w:ascii="Arial" w:hAnsi="Arial" w:cs="Arial"/>
                <w:sz w:val="20"/>
                <w:szCs w:val="20"/>
              </w:rPr>
            </w:pPr>
            <w:r w:rsidRPr="008A26D2">
              <w:rPr>
                <w:rFonts w:ascii="Arial" w:hAnsi="Arial" w:cs="Arial"/>
                <w:sz w:val="20"/>
                <w:szCs w:val="20"/>
              </w:rPr>
              <w:t>0.2%</w:t>
            </w:r>
          </w:p>
        </w:tc>
        <w:tc>
          <w:tcPr>
            <w:tcW w:w="850" w:type="dxa"/>
            <w:shd w:val="clear" w:color="auto" w:fill="auto"/>
            <w:vAlign w:val="center"/>
          </w:tcPr>
          <w:p w14:paraId="0E00FE25" w14:textId="77777777" w:rsidR="00A90E9C" w:rsidRPr="008A26D2" w:rsidRDefault="00A90E9C" w:rsidP="0072651A">
            <w:pPr>
              <w:tabs>
                <w:tab w:val="left" w:pos="3375"/>
              </w:tabs>
              <w:jc w:val="center"/>
              <w:rPr>
                <w:rFonts w:ascii="Arial" w:hAnsi="Arial" w:cs="Arial"/>
                <w:sz w:val="20"/>
                <w:szCs w:val="20"/>
              </w:rPr>
            </w:pPr>
            <w:r w:rsidRPr="008A26D2">
              <w:rPr>
                <w:rFonts w:ascii="Arial" w:hAnsi="Arial" w:cs="Arial"/>
                <w:sz w:val="20"/>
                <w:szCs w:val="20"/>
              </w:rPr>
              <w:t>0.25%</w:t>
            </w:r>
          </w:p>
        </w:tc>
        <w:tc>
          <w:tcPr>
            <w:tcW w:w="851" w:type="dxa"/>
            <w:shd w:val="clear" w:color="auto" w:fill="auto"/>
            <w:vAlign w:val="center"/>
          </w:tcPr>
          <w:p w14:paraId="57229CE5" w14:textId="77777777" w:rsidR="00A90E9C" w:rsidRPr="008A26D2" w:rsidRDefault="00A90E9C" w:rsidP="0072651A">
            <w:pPr>
              <w:tabs>
                <w:tab w:val="left" w:pos="3375"/>
              </w:tabs>
              <w:jc w:val="center"/>
              <w:rPr>
                <w:rFonts w:ascii="Arial" w:hAnsi="Arial" w:cs="Arial"/>
                <w:sz w:val="20"/>
                <w:szCs w:val="20"/>
              </w:rPr>
            </w:pPr>
            <w:r w:rsidRPr="008A26D2">
              <w:rPr>
                <w:rFonts w:ascii="Arial" w:hAnsi="Arial" w:cs="Arial"/>
                <w:sz w:val="20"/>
                <w:szCs w:val="20"/>
              </w:rPr>
              <w:t>0.3%</w:t>
            </w:r>
          </w:p>
        </w:tc>
        <w:tc>
          <w:tcPr>
            <w:tcW w:w="850" w:type="dxa"/>
            <w:shd w:val="clear" w:color="auto" w:fill="auto"/>
            <w:vAlign w:val="center"/>
          </w:tcPr>
          <w:p w14:paraId="65E9D3A8" w14:textId="77777777" w:rsidR="00A90E9C" w:rsidRPr="008A26D2" w:rsidRDefault="00A90E9C" w:rsidP="0072651A">
            <w:pPr>
              <w:tabs>
                <w:tab w:val="left" w:pos="3375"/>
              </w:tabs>
              <w:jc w:val="center"/>
              <w:rPr>
                <w:rFonts w:ascii="Arial" w:hAnsi="Arial" w:cs="Arial"/>
                <w:sz w:val="20"/>
                <w:szCs w:val="20"/>
              </w:rPr>
            </w:pPr>
            <w:r w:rsidRPr="008A26D2">
              <w:rPr>
                <w:rFonts w:ascii="Arial" w:hAnsi="Arial" w:cs="Arial"/>
                <w:sz w:val="20"/>
                <w:szCs w:val="20"/>
              </w:rPr>
              <w:t>0.35%</w:t>
            </w:r>
          </w:p>
        </w:tc>
        <w:tc>
          <w:tcPr>
            <w:tcW w:w="851" w:type="dxa"/>
            <w:gridSpan w:val="2"/>
            <w:shd w:val="clear" w:color="auto" w:fill="auto"/>
            <w:vAlign w:val="center"/>
          </w:tcPr>
          <w:p w14:paraId="5669C566" w14:textId="77777777" w:rsidR="00A90E9C" w:rsidRPr="008A26D2" w:rsidRDefault="00A90E9C" w:rsidP="0072651A">
            <w:pPr>
              <w:tabs>
                <w:tab w:val="left" w:pos="3375"/>
              </w:tabs>
              <w:jc w:val="center"/>
              <w:rPr>
                <w:rFonts w:ascii="Arial" w:hAnsi="Arial" w:cs="Arial"/>
                <w:sz w:val="20"/>
                <w:szCs w:val="20"/>
              </w:rPr>
            </w:pPr>
            <w:r w:rsidRPr="008A26D2">
              <w:rPr>
                <w:rFonts w:ascii="Arial" w:hAnsi="Arial" w:cs="Arial"/>
                <w:sz w:val="20"/>
                <w:szCs w:val="20"/>
              </w:rPr>
              <w:t>0.4%</w:t>
            </w:r>
          </w:p>
        </w:tc>
        <w:tc>
          <w:tcPr>
            <w:tcW w:w="708" w:type="dxa"/>
            <w:shd w:val="clear" w:color="auto" w:fill="auto"/>
            <w:tcMar>
              <w:top w:w="10" w:type="dxa"/>
              <w:left w:w="10" w:type="dxa"/>
              <w:bottom w:w="0" w:type="dxa"/>
              <w:right w:w="10" w:type="dxa"/>
            </w:tcMar>
            <w:vAlign w:val="center"/>
          </w:tcPr>
          <w:p w14:paraId="32C6AD14" w14:textId="77777777" w:rsidR="00A90E9C" w:rsidRPr="008A26D2" w:rsidRDefault="00A90E9C" w:rsidP="0072651A">
            <w:pPr>
              <w:tabs>
                <w:tab w:val="left" w:pos="3375"/>
              </w:tabs>
              <w:jc w:val="center"/>
              <w:rPr>
                <w:rFonts w:ascii="Arial" w:hAnsi="Arial" w:cs="Arial"/>
                <w:sz w:val="20"/>
                <w:szCs w:val="20"/>
              </w:rPr>
            </w:pPr>
            <w:r w:rsidRPr="008A26D2">
              <w:rPr>
                <w:rFonts w:ascii="Arial" w:hAnsi="Arial" w:cs="Arial"/>
                <w:sz w:val="20"/>
                <w:szCs w:val="20"/>
              </w:rPr>
              <w:t>0.45%</w:t>
            </w:r>
          </w:p>
        </w:tc>
      </w:tr>
    </w:tbl>
    <w:p w14:paraId="647B389F" w14:textId="77777777" w:rsidR="00A90E9C" w:rsidRPr="008A26D2" w:rsidRDefault="00A90E9C" w:rsidP="00A90E9C"/>
    <w:p w14:paraId="6638249E" w14:textId="77777777" w:rsidR="00A90E9C" w:rsidRPr="008A26D2" w:rsidRDefault="00A90E9C" w:rsidP="00A90E9C"/>
    <w:tbl>
      <w:tblPr>
        <w:tblW w:w="8931"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994"/>
        <w:gridCol w:w="709"/>
        <w:gridCol w:w="283"/>
        <w:gridCol w:w="1007"/>
        <w:gridCol w:w="798"/>
        <w:gridCol w:w="195"/>
        <w:gridCol w:w="992"/>
        <w:gridCol w:w="992"/>
        <w:gridCol w:w="836"/>
        <w:gridCol w:w="865"/>
        <w:gridCol w:w="552"/>
      </w:tblGrid>
      <w:tr w:rsidR="008A26D2" w:rsidRPr="008A26D2" w14:paraId="79B8E385" w14:textId="77777777" w:rsidTr="00583091">
        <w:trPr>
          <w:trHeight w:val="251"/>
        </w:trPr>
        <w:tc>
          <w:tcPr>
            <w:tcW w:w="8931" w:type="dxa"/>
            <w:gridSpan w:val="12"/>
            <w:shd w:val="clear" w:color="auto" w:fill="D9D9D9" w:themeFill="background1" w:themeFillShade="D9"/>
            <w:tcMar>
              <w:top w:w="10" w:type="dxa"/>
              <w:left w:w="10" w:type="dxa"/>
              <w:bottom w:w="0" w:type="dxa"/>
              <w:right w:w="10" w:type="dxa"/>
            </w:tcMar>
            <w:vAlign w:val="center"/>
          </w:tcPr>
          <w:p w14:paraId="12E1C114" w14:textId="70524669" w:rsidR="00A90E9C" w:rsidRPr="008A26D2" w:rsidRDefault="00A90E9C" w:rsidP="0072651A">
            <w:pPr>
              <w:tabs>
                <w:tab w:val="left" w:pos="3375"/>
              </w:tabs>
              <w:jc w:val="center"/>
              <w:rPr>
                <w:rFonts w:ascii="Arial" w:hAnsi="Arial" w:cs="Arial"/>
                <w:sz w:val="20"/>
                <w:szCs w:val="20"/>
              </w:rPr>
            </w:pPr>
            <w:r w:rsidRPr="008A26D2">
              <w:rPr>
                <w:rFonts w:ascii="Arial" w:hAnsi="Arial" w:cs="Arial"/>
                <w:sz w:val="20"/>
                <w:szCs w:val="20"/>
              </w:rPr>
              <w:br w:type="page"/>
            </w:r>
            <w:r w:rsidRPr="008A26D2">
              <w:rPr>
                <w:rFonts w:ascii="Arial" w:hAnsi="Arial" w:cs="Arial"/>
                <w:b/>
                <w:sz w:val="20"/>
                <w:szCs w:val="20"/>
              </w:rPr>
              <w:t>FICHA TÉCNICA DE INDICADOR DE SERVICIO 2.4.</w:t>
            </w:r>
            <w:r w:rsidR="00C63F93" w:rsidRPr="008A26D2">
              <w:rPr>
                <w:rFonts w:ascii="Arial" w:hAnsi="Arial" w:cs="Arial"/>
                <w:b/>
                <w:sz w:val="20"/>
                <w:szCs w:val="20"/>
              </w:rPr>
              <w:t>2</w:t>
            </w:r>
            <w:r w:rsidRPr="008A26D2">
              <w:rPr>
                <w:rFonts w:ascii="Arial" w:hAnsi="Arial" w:cs="Arial"/>
                <w:b/>
                <w:sz w:val="20"/>
                <w:szCs w:val="20"/>
              </w:rPr>
              <w:t xml:space="preserve"> - COBERTURA</w:t>
            </w:r>
          </w:p>
        </w:tc>
      </w:tr>
      <w:tr w:rsidR="008A26D2" w:rsidRPr="008A26D2" w14:paraId="21682F96" w14:textId="77777777" w:rsidTr="00147D2E">
        <w:trPr>
          <w:trHeight w:val="409"/>
        </w:trPr>
        <w:tc>
          <w:tcPr>
            <w:tcW w:w="2411" w:type="dxa"/>
            <w:gridSpan w:val="3"/>
            <w:shd w:val="clear" w:color="auto" w:fill="FFFFFF"/>
            <w:tcMar>
              <w:top w:w="10" w:type="dxa"/>
              <w:left w:w="93" w:type="dxa"/>
              <w:bottom w:w="0" w:type="dxa"/>
              <w:right w:w="10" w:type="dxa"/>
            </w:tcMar>
            <w:vAlign w:val="center"/>
          </w:tcPr>
          <w:p w14:paraId="44FD5B8E" w14:textId="77777777" w:rsidR="00A90E9C" w:rsidRPr="008A26D2" w:rsidRDefault="00A90E9C" w:rsidP="0072651A">
            <w:pPr>
              <w:tabs>
                <w:tab w:val="left" w:pos="3375"/>
              </w:tabs>
              <w:rPr>
                <w:rFonts w:ascii="Arial" w:hAnsi="Arial" w:cs="Arial"/>
                <w:sz w:val="20"/>
                <w:szCs w:val="20"/>
              </w:rPr>
            </w:pPr>
            <w:r w:rsidRPr="008A26D2">
              <w:rPr>
                <w:rFonts w:ascii="Arial" w:hAnsi="Arial" w:cs="Arial"/>
                <w:b/>
                <w:sz w:val="20"/>
                <w:szCs w:val="20"/>
              </w:rPr>
              <w:t>Objetivo prioritario:</w:t>
            </w:r>
          </w:p>
        </w:tc>
        <w:tc>
          <w:tcPr>
            <w:tcW w:w="6520" w:type="dxa"/>
            <w:gridSpan w:val="9"/>
            <w:shd w:val="clear" w:color="auto" w:fill="FFFFFF"/>
            <w:tcMar>
              <w:top w:w="51" w:type="dxa"/>
              <w:left w:w="227" w:type="dxa"/>
              <w:bottom w:w="51" w:type="dxa"/>
              <w:right w:w="227" w:type="dxa"/>
            </w:tcMar>
            <w:vAlign w:val="center"/>
          </w:tcPr>
          <w:p w14:paraId="46AE2257" w14:textId="77777777" w:rsidR="00A90E9C" w:rsidRPr="008A26D2" w:rsidRDefault="00A90E9C" w:rsidP="0072651A">
            <w:pPr>
              <w:tabs>
                <w:tab w:val="left" w:pos="3375"/>
              </w:tabs>
              <w:ind w:left="-103"/>
              <w:jc w:val="both"/>
              <w:rPr>
                <w:rFonts w:ascii="Arial" w:hAnsi="Arial" w:cs="Arial"/>
                <w:sz w:val="20"/>
                <w:szCs w:val="20"/>
              </w:rPr>
            </w:pPr>
            <w:r w:rsidRPr="008A26D2">
              <w:rPr>
                <w:rFonts w:ascii="Arial" w:hAnsi="Arial" w:cs="Arial"/>
                <w:sz w:val="20"/>
                <w:szCs w:val="20"/>
              </w:rPr>
              <w:t>OP2 Incrementar la productividad de los ecosistemas forestales, otros ecosistemas de vegetación silvestre y de la fauna silvestre</w:t>
            </w:r>
          </w:p>
        </w:tc>
      </w:tr>
      <w:tr w:rsidR="008A26D2" w:rsidRPr="008A26D2" w14:paraId="08078952" w14:textId="77777777" w:rsidTr="00147D2E">
        <w:trPr>
          <w:trHeight w:val="436"/>
        </w:trPr>
        <w:tc>
          <w:tcPr>
            <w:tcW w:w="2411" w:type="dxa"/>
            <w:gridSpan w:val="3"/>
            <w:shd w:val="clear" w:color="auto" w:fill="auto"/>
            <w:tcMar>
              <w:top w:w="10" w:type="dxa"/>
              <w:left w:w="93" w:type="dxa"/>
              <w:bottom w:w="0" w:type="dxa"/>
              <w:right w:w="10" w:type="dxa"/>
            </w:tcMar>
            <w:vAlign w:val="center"/>
          </w:tcPr>
          <w:p w14:paraId="34F64803" w14:textId="77777777" w:rsidR="00A90E9C" w:rsidRPr="008A26D2" w:rsidRDefault="00A90E9C" w:rsidP="0072651A">
            <w:pPr>
              <w:tabs>
                <w:tab w:val="left" w:pos="3375"/>
              </w:tabs>
              <w:rPr>
                <w:rFonts w:ascii="Arial" w:hAnsi="Arial" w:cs="Arial"/>
                <w:sz w:val="20"/>
                <w:szCs w:val="20"/>
              </w:rPr>
            </w:pPr>
            <w:r w:rsidRPr="008A26D2">
              <w:rPr>
                <w:rFonts w:ascii="Arial" w:hAnsi="Arial" w:cs="Arial"/>
                <w:b/>
                <w:sz w:val="20"/>
                <w:szCs w:val="20"/>
              </w:rPr>
              <w:t>Lineamiento de la política:</w:t>
            </w:r>
          </w:p>
        </w:tc>
        <w:tc>
          <w:tcPr>
            <w:tcW w:w="6520" w:type="dxa"/>
            <w:gridSpan w:val="9"/>
            <w:shd w:val="clear" w:color="auto" w:fill="auto"/>
            <w:tcMar>
              <w:top w:w="51" w:type="dxa"/>
              <w:left w:w="227" w:type="dxa"/>
              <w:bottom w:w="51" w:type="dxa"/>
              <w:right w:w="227" w:type="dxa"/>
            </w:tcMar>
            <w:vAlign w:val="center"/>
          </w:tcPr>
          <w:p w14:paraId="67356F9B" w14:textId="77777777" w:rsidR="00A90E9C" w:rsidRPr="008A26D2" w:rsidRDefault="00A90E9C" w:rsidP="0072651A">
            <w:pPr>
              <w:tabs>
                <w:tab w:val="left" w:pos="3375"/>
              </w:tabs>
              <w:ind w:left="-103"/>
              <w:jc w:val="both"/>
              <w:rPr>
                <w:rFonts w:ascii="Arial" w:hAnsi="Arial" w:cs="Arial"/>
                <w:sz w:val="20"/>
                <w:szCs w:val="20"/>
              </w:rPr>
            </w:pPr>
            <w:r w:rsidRPr="008A26D2">
              <w:rPr>
                <w:rFonts w:ascii="Arial" w:eastAsia="Times New Roman" w:hAnsi="Arial" w:cs="Arial"/>
                <w:sz w:val="20"/>
                <w:szCs w:val="20"/>
              </w:rPr>
              <w:t>L2.4 Incrementar la generación de investigaciones e innovación, así como el desarrollo y transferencia de tecnologías en materia forestal y de fauna silvestre, y sus microorganismos asociados, incluyendo sus recursos genéticos</w:t>
            </w:r>
          </w:p>
        </w:tc>
      </w:tr>
      <w:tr w:rsidR="008A26D2" w:rsidRPr="008A26D2" w14:paraId="7328CBCD" w14:textId="77777777" w:rsidTr="00147D2E">
        <w:trPr>
          <w:trHeight w:val="404"/>
        </w:trPr>
        <w:tc>
          <w:tcPr>
            <w:tcW w:w="2411" w:type="dxa"/>
            <w:gridSpan w:val="3"/>
            <w:shd w:val="clear" w:color="auto" w:fill="auto"/>
            <w:tcMar>
              <w:top w:w="10" w:type="dxa"/>
              <w:left w:w="93" w:type="dxa"/>
              <w:bottom w:w="0" w:type="dxa"/>
              <w:right w:w="10" w:type="dxa"/>
            </w:tcMar>
            <w:vAlign w:val="center"/>
          </w:tcPr>
          <w:p w14:paraId="242BB382" w14:textId="77777777" w:rsidR="00A90E9C" w:rsidRPr="008A26D2" w:rsidRDefault="00A90E9C" w:rsidP="0072651A">
            <w:pPr>
              <w:tabs>
                <w:tab w:val="left" w:pos="3375"/>
              </w:tabs>
              <w:rPr>
                <w:rFonts w:ascii="Arial" w:hAnsi="Arial" w:cs="Arial"/>
                <w:sz w:val="20"/>
                <w:szCs w:val="20"/>
              </w:rPr>
            </w:pPr>
            <w:r w:rsidRPr="008A26D2">
              <w:rPr>
                <w:rFonts w:ascii="Arial" w:hAnsi="Arial" w:cs="Arial"/>
                <w:b/>
                <w:sz w:val="20"/>
                <w:szCs w:val="20"/>
              </w:rPr>
              <w:t>Nombre del servicio:</w:t>
            </w:r>
          </w:p>
        </w:tc>
        <w:tc>
          <w:tcPr>
            <w:tcW w:w="6520" w:type="dxa"/>
            <w:gridSpan w:val="9"/>
            <w:shd w:val="clear" w:color="auto" w:fill="auto"/>
            <w:tcMar>
              <w:top w:w="51" w:type="dxa"/>
              <w:left w:w="227" w:type="dxa"/>
              <w:bottom w:w="51" w:type="dxa"/>
              <w:right w:w="227" w:type="dxa"/>
            </w:tcMar>
            <w:vAlign w:val="center"/>
          </w:tcPr>
          <w:p w14:paraId="3B9235DA" w14:textId="5FAB363C" w:rsidR="00A90E9C" w:rsidRPr="008A26D2" w:rsidRDefault="00A90E9C" w:rsidP="0072651A">
            <w:pPr>
              <w:tabs>
                <w:tab w:val="left" w:pos="3375"/>
              </w:tabs>
              <w:ind w:left="-103"/>
              <w:jc w:val="both"/>
              <w:rPr>
                <w:rFonts w:ascii="Arial" w:hAnsi="Arial" w:cs="Arial"/>
                <w:sz w:val="20"/>
                <w:szCs w:val="20"/>
              </w:rPr>
            </w:pPr>
            <w:r w:rsidRPr="008A26D2">
              <w:rPr>
                <w:rFonts w:ascii="Arial" w:eastAsia="Times New Roman" w:hAnsi="Arial" w:cs="Arial"/>
                <w:sz w:val="20"/>
                <w:szCs w:val="20"/>
              </w:rPr>
              <w:t>S2.4.</w:t>
            </w:r>
            <w:r w:rsidR="00C63F93" w:rsidRPr="008A26D2">
              <w:rPr>
                <w:rFonts w:ascii="Arial" w:eastAsia="Times New Roman" w:hAnsi="Arial" w:cs="Arial"/>
                <w:sz w:val="20"/>
                <w:szCs w:val="20"/>
              </w:rPr>
              <w:t>2</w:t>
            </w:r>
            <w:r w:rsidRPr="008A26D2">
              <w:rPr>
                <w:rFonts w:ascii="Arial" w:eastAsia="Times New Roman" w:hAnsi="Arial" w:cs="Arial"/>
                <w:sz w:val="20"/>
                <w:szCs w:val="20"/>
              </w:rPr>
              <w:t xml:space="preserve"> </w:t>
            </w:r>
            <w:r w:rsidR="009B3845" w:rsidRPr="008A26D2">
              <w:rPr>
                <w:rFonts w:ascii="Arial" w:eastAsia="Times New Roman" w:hAnsi="Arial" w:cs="Arial"/>
                <w:sz w:val="20"/>
                <w:szCs w:val="20"/>
              </w:rPr>
              <w:t>Captación de fondos para proyectos de investigación, desarrollo e innovación (I+D+í) en temas forestales y de fauna silvestre de forma oportuna dirigido a entidades públicas y privadas del Sistema Nacional de Ciencia, Tecnología e Innovación</w:t>
            </w:r>
          </w:p>
        </w:tc>
      </w:tr>
      <w:tr w:rsidR="008A26D2" w:rsidRPr="008A26D2" w14:paraId="14122156" w14:textId="77777777" w:rsidTr="00147D2E">
        <w:trPr>
          <w:trHeight w:val="577"/>
        </w:trPr>
        <w:tc>
          <w:tcPr>
            <w:tcW w:w="2411" w:type="dxa"/>
            <w:gridSpan w:val="3"/>
            <w:shd w:val="clear" w:color="auto" w:fill="auto"/>
            <w:tcMar>
              <w:top w:w="10" w:type="dxa"/>
              <w:left w:w="93" w:type="dxa"/>
              <w:bottom w:w="0" w:type="dxa"/>
              <w:right w:w="10" w:type="dxa"/>
            </w:tcMar>
            <w:vAlign w:val="center"/>
          </w:tcPr>
          <w:p w14:paraId="7F1F6EFB" w14:textId="77777777" w:rsidR="00A90E9C" w:rsidRPr="008A26D2" w:rsidRDefault="00A90E9C" w:rsidP="0072651A">
            <w:pPr>
              <w:tabs>
                <w:tab w:val="left" w:pos="3375"/>
              </w:tabs>
              <w:rPr>
                <w:rFonts w:ascii="Arial" w:hAnsi="Arial" w:cs="Arial"/>
                <w:sz w:val="20"/>
                <w:szCs w:val="20"/>
              </w:rPr>
            </w:pPr>
            <w:r w:rsidRPr="008A26D2">
              <w:rPr>
                <w:rFonts w:ascii="Arial" w:hAnsi="Arial" w:cs="Arial"/>
                <w:b/>
                <w:sz w:val="20"/>
                <w:szCs w:val="20"/>
              </w:rPr>
              <w:lastRenderedPageBreak/>
              <w:t>Nombre del indicador:</w:t>
            </w:r>
          </w:p>
        </w:tc>
        <w:tc>
          <w:tcPr>
            <w:tcW w:w="6520" w:type="dxa"/>
            <w:gridSpan w:val="9"/>
            <w:shd w:val="clear" w:color="auto" w:fill="auto"/>
            <w:tcMar>
              <w:top w:w="51" w:type="dxa"/>
              <w:left w:w="227" w:type="dxa"/>
              <w:bottom w:w="51" w:type="dxa"/>
              <w:right w:w="227" w:type="dxa"/>
            </w:tcMar>
            <w:vAlign w:val="center"/>
          </w:tcPr>
          <w:p w14:paraId="73F18898" w14:textId="49479D41" w:rsidR="00A90E9C" w:rsidRPr="00B4731C" w:rsidRDefault="0063579E" w:rsidP="0072651A">
            <w:pPr>
              <w:pStyle w:val="Default"/>
              <w:ind w:left="-103"/>
              <w:jc w:val="both"/>
              <w:rPr>
                <w:rFonts w:ascii="Arial" w:hAnsi="Arial" w:cs="Arial"/>
                <w:color w:val="auto"/>
                <w:sz w:val="20"/>
                <w:szCs w:val="20"/>
                <w:highlight w:val="yellow"/>
              </w:rPr>
            </w:pPr>
            <w:r w:rsidRPr="00B4731C">
              <w:rPr>
                <w:rFonts w:ascii="Arial" w:hAnsi="Arial" w:cs="Arial"/>
                <w:color w:val="auto"/>
                <w:sz w:val="20"/>
                <w:szCs w:val="20"/>
              </w:rPr>
              <w:t xml:space="preserve">Porcentaje de entidades públicas y privadas integrantes del </w:t>
            </w:r>
            <w:r w:rsidR="00B4731C" w:rsidRPr="00B4731C">
              <w:rPr>
                <w:rFonts w:ascii="Arial" w:hAnsi="Arial" w:cs="Arial"/>
                <w:color w:val="auto"/>
                <w:sz w:val="20"/>
                <w:szCs w:val="20"/>
              </w:rPr>
              <w:t>Sistema Nacional de Ciencia, Tecnología e Innovación</w:t>
            </w:r>
            <w:r w:rsidRPr="00B4731C">
              <w:rPr>
                <w:rFonts w:ascii="Arial" w:hAnsi="Arial" w:cs="Arial"/>
                <w:color w:val="auto"/>
                <w:sz w:val="20"/>
                <w:szCs w:val="20"/>
              </w:rPr>
              <w:t xml:space="preserve"> que acceden a los fondos concursables de PROCIENCIA en temas forestales y de fauna silvestre y sus microorganismos asociados, incluyendo sus recursos genéticos</w:t>
            </w:r>
            <w:r w:rsidR="00A90E9C" w:rsidRPr="00B4731C">
              <w:rPr>
                <w:rFonts w:ascii="Arial" w:hAnsi="Arial" w:cs="Arial"/>
                <w:color w:val="auto"/>
                <w:sz w:val="20"/>
                <w:szCs w:val="20"/>
              </w:rPr>
              <w:t xml:space="preserve">. </w:t>
            </w:r>
          </w:p>
        </w:tc>
      </w:tr>
      <w:tr w:rsidR="008A26D2" w:rsidRPr="008A26D2" w14:paraId="4FF4E0F2" w14:textId="77777777" w:rsidTr="00147D2E">
        <w:trPr>
          <w:trHeight w:val="577"/>
        </w:trPr>
        <w:tc>
          <w:tcPr>
            <w:tcW w:w="2411" w:type="dxa"/>
            <w:gridSpan w:val="3"/>
            <w:shd w:val="clear" w:color="auto" w:fill="auto"/>
            <w:tcMar>
              <w:top w:w="10" w:type="dxa"/>
              <w:left w:w="93" w:type="dxa"/>
              <w:bottom w:w="0" w:type="dxa"/>
              <w:right w:w="10" w:type="dxa"/>
            </w:tcMar>
            <w:vAlign w:val="center"/>
          </w:tcPr>
          <w:p w14:paraId="1695AC4C" w14:textId="77777777" w:rsidR="00A90E9C" w:rsidRPr="008A26D2" w:rsidRDefault="00A90E9C" w:rsidP="0072651A">
            <w:pPr>
              <w:tabs>
                <w:tab w:val="left" w:pos="3375"/>
              </w:tabs>
              <w:rPr>
                <w:rFonts w:ascii="Arial" w:hAnsi="Arial" w:cs="Arial"/>
                <w:sz w:val="20"/>
                <w:szCs w:val="20"/>
              </w:rPr>
            </w:pPr>
            <w:r w:rsidRPr="008A26D2">
              <w:rPr>
                <w:rFonts w:ascii="Arial" w:hAnsi="Arial" w:cs="Arial"/>
                <w:b/>
                <w:sz w:val="20"/>
                <w:szCs w:val="20"/>
              </w:rPr>
              <w:t>Justificación:</w:t>
            </w:r>
          </w:p>
        </w:tc>
        <w:tc>
          <w:tcPr>
            <w:tcW w:w="6520" w:type="dxa"/>
            <w:gridSpan w:val="9"/>
            <w:tcBorders>
              <w:top w:val="single" w:sz="4" w:space="0" w:color="auto"/>
              <w:left w:val="single" w:sz="4" w:space="0" w:color="auto"/>
              <w:bottom w:val="single" w:sz="4" w:space="0" w:color="auto"/>
              <w:right w:val="single" w:sz="4" w:space="0" w:color="auto"/>
            </w:tcBorders>
            <w:shd w:val="clear" w:color="auto" w:fill="auto"/>
            <w:tcMar>
              <w:top w:w="51" w:type="dxa"/>
              <w:left w:w="227" w:type="dxa"/>
              <w:bottom w:w="51" w:type="dxa"/>
              <w:right w:w="227" w:type="dxa"/>
            </w:tcMar>
            <w:vAlign w:val="center"/>
          </w:tcPr>
          <w:p w14:paraId="06FFA11A" w14:textId="519C3BA4" w:rsidR="00583091" w:rsidRPr="008A26D2" w:rsidRDefault="00A90E9C" w:rsidP="00583091">
            <w:pPr>
              <w:pStyle w:val="Default"/>
              <w:ind w:left="-103"/>
              <w:jc w:val="both"/>
              <w:rPr>
                <w:rFonts w:ascii="Arial" w:hAnsi="Arial" w:cs="Arial"/>
                <w:color w:val="auto"/>
                <w:sz w:val="20"/>
                <w:szCs w:val="20"/>
              </w:rPr>
            </w:pPr>
            <w:r w:rsidRPr="008A26D2">
              <w:rPr>
                <w:rFonts w:ascii="Arial" w:hAnsi="Arial" w:cs="Arial"/>
                <w:color w:val="auto"/>
                <w:sz w:val="20"/>
                <w:szCs w:val="20"/>
              </w:rPr>
              <w:t xml:space="preserve">La medición del indicador permitirá evidenciar el número entidades públicas y privadas que son parte del Sistema Nacional de Ciencia, Tecnología e </w:t>
            </w:r>
            <w:r w:rsidR="00C437DD" w:rsidRPr="008A26D2">
              <w:rPr>
                <w:rFonts w:ascii="Arial" w:hAnsi="Arial" w:cs="Arial"/>
                <w:color w:val="auto"/>
                <w:sz w:val="20"/>
                <w:szCs w:val="20"/>
              </w:rPr>
              <w:t xml:space="preserve">Innovación </w:t>
            </w:r>
            <w:r w:rsidR="00C437DD">
              <w:rPr>
                <w:rFonts w:ascii="Arial" w:hAnsi="Arial" w:cs="Arial"/>
                <w:color w:val="auto"/>
                <w:sz w:val="20"/>
                <w:szCs w:val="20"/>
              </w:rPr>
              <w:t>-</w:t>
            </w:r>
            <w:r w:rsidR="002D25BC">
              <w:rPr>
                <w:rFonts w:ascii="Arial" w:hAnsi="Arial" w:cs="Arial"/>
                <w:color w:val="auto"/>
                <w:sz w:val="20"/>
                <w:szCs w:val="20"/>
              </w:rPr>
              <w:t xml:space="preserve"> </w:t>
            </w:r>
            <w:r w:rsidRPr="008A26D2">
              <w:rPr>
                <w:rFonts w:ascii="Arial" w:hAnsi="Arial" w:cs="Arial"/>
                <w:color w:val="auto"/>
                <w:sz w:val="20"/>
                <w:szCs w:val="20"/>
              </w:rPr>
              <w:t xml:space="preserve">SINACTI que han sido beneficiarias de la captación de fondos entre el </w:t>
            </w:r>
            <w:r w:rsidR="00455777" w:rsidRPr="008A26D2">
              <w:rPr>
                <w:rFonts w:ascii="Arial" w:hAnsi="Arial" w:cs="Arial"/>
                <w:color w:val="auto"/>
                <w:sz w:val="20"/>
                <w:szCs w:val="20"/>
              </w:rPr>
              <w:t xml:space="preserve">Consejo Nacional de Ciencia, Tecnología e Innovación Tecnológica </w:t>
            </w:r>
            <w:r w:rsidR="00455777">
              <w:rPr>
                <w:rFonts w:ascii="Arial" w:hAnsi="Arial" w:cs="Arial"/>
                <w:color w:val="auto"/>
                <w:sz w:val="20"/>
                <w:szCs w:val="20"/>
              </w:rPr>
              <w:t xml:space="preserve">- </w:t>
            </w:r>
            <w:r w:rsidRPr="008A26D2">
              <w:rPr>
                <w:rFonts w:ascii="Arial" w:hAnsi="Arial" w:cs="Arial"/>
                <w:color w:val="auto"/>
                <w:sz w:val="20"/>
                <w:szCs w:val="20"/>
              </w:rPr>
              <w:t xml:space="preserve">CONCYTEC y el Servicio Nacional Forestal y de Fauna Silvestre </w:t>
            </w:r>
            <w:r w:rsidR="00455777">
              <w:rPr>
                <w:rFonts w:ascii="Arial" w:hAnsi="Arial" w:cs="Arial"/>
                <w:color w:val="auto"/>
                <w:sz w:val="20"/>
                <w:szCs w:val="20"/>
              </w:rPr>
              <w:t xml:space="preserve">- </w:t>
            </w:r>
            <w:r w:rsidRPr="008A26D2">
              <w:rPr>
                <w:rFonts w:ascii="Arial" w:hAnsi="Arial" w:cs="Arial"/>
                <w:color w:val="auto"/>
                <w:sz w:val="20"/>
                <w:szCs w:val="20"/>
              </w:rPr>
              <w:t xml:space="preserve">SERFOR. </w:t>
            </w:r>
          </w:p>
          <w:p w14:paraId="3CEFA0B4" w14:textId="48954262" w:rsidR="00A90E9C" w:rsidRPr="008A26D2" w:rsidRDefault="00A90E9C" w:rsidP="0072651A">
            <w:pPr>
              <w:pStyle w:val="Default"/>
              <w:ind w:left="-103"/>
              <w:jc w:val="both"/>
              <w:rPr>
                <w:rFonts w:ascii="Arial" w:hAnsi="Arial" w:cs="Arial"/>
                <w:color w:val="auto"/>
                <w:sz w:val="20"/>
                <w:szCs w:val="20"/>
              </w:rPr>
            </w:pPr>
          </w:p>
        </w:tc>
      </w:tr>
      <w:tr w:rsidR="008A26D2" w:rsidRPr="008A26D2" w14:paraId="5CE0A247" w14:textId="77777777" w:rsidTr="00147D2E">
        <w:trPr>
          <w:trHeight w:val="352"/>
        </w:trPr>
        <w:tc>
          <w:tcPr>
            <w:tcW w:w="2411" w:type="dxa"/>
            <w:gridSpan w:val="3"/>
            <w:shd w:val="clear" w:color="auto" w:fill="auto"/>
            <w:tcMar>
              <w:top w:w="10" w:type="dxa"/>
              <w:left w:w="93" w:type="dxa"/>
              <w:bottom w:w="0" w:type="dxa"/>
              <w:right w:w="10" w:type="dxa"/>
            </w:tcMar>
            <w:vAlign w:val="center"/>
          </w:tcPr>
          <w:p w14:paraId="00668FAA" w14:textId="77777777" w:rsidR="00A90E9C" w:rsidRPr="008A26D2" w:rsidRDefault="00A90E9C" w:rsidP="0072651A">
            <w:pPr>
              <w:tabs>
                <w:tab w:val="left" w:pos="3375"/>
              </w:tabs>
              <w:rPr>
                <w:rFonts w:ascii="Arial" w:hAnsi="Arial" w:cs="Arial"/>
                <w:sz w:val="20"/>
                <w:szCs w:val="20"/>
              </w:rPr>
            </w:pPr>
            <w:r w:rsidRPr="008A26D2">
              <w:rPr>
                <w:rFonts w:ascii="Arial" w:hAnsi="Arial" w:cs="Arial"/>
                <w:b/>
                <w:sz w:val="20"/>
                <w:szCs w:val="20"/>
              </w:rPr>
              <w:t>Responsable del indicador:</w:t>
            </w:r>
          </w:p>
        </w:tc>
        <w:tc>
          <w:tcPr>
            <w:tcW w:w="6520" w:type="dxa"/>
            <w:gridSpan w:val="9"/>
            <w:tcBorders>
              <w:top w:val="single" w:sz="4" w:space="0" w:color="auto"/>
              <w:left w:val="single" w:sz="4" w:space="0" w:color="auto"/>
              <w:bottom w:val="single" w:sz="4" w:space="0" w:color="auto"/>
              <w:right w:val="single" w:sz="4" w:space="0" w:color="auto"/>
            </w:tcBorders>
            <w:shd w:val="clear" w:color="auto" w:fill="auto"/>
            <w:tcMar>
              <w:top w:w="51" w:type="dxa"/>
              <w:left w:w="227" w:type="dxa"/>
              <w:bottom w:w="51" w:type="dxa"/>
              <w:right w:w="227" w:type="dxa"/>
            </w:tcMar>
            <w:vAlign w:val="center"/>
          </w:tcPr>
          <w:p w14:paraId="79A227DF" w14:textId="1995C000" w:rsidR="00A90E9C" w:rsidRPr="008A26D2" w:rsidRDefault="00A90E9C" w:rsidP="0072651A">
            <w:pPr>
              <w:pStyle w:val="Default"/>
              <w:ind w:left="-103"/>
              <w:jc w:val="both"/>
              <w:rPr>
                <w:rFonts w:ascii="Arial" w:hAnsi="Arial" w:cs="Arial"/>
                <w:color w:val="auto"/>
                <w:sz w:val="20"/>
                <w:szCs w:val="20"/>
              </w:rPr>
            </w:pPr>
            <w:r w:rsidRPr="008A26D2">
              <w:rPr>
                <w:rFonts w:ascii="Arial" w:hAnsi="Arial" w:cs="Arial"/>
                <w:color w:val="auto"/>
                <w:sz w:val="20"/>
                <w:szCs w:val="20"/>
              </w:rPr>
              <w:t>Consejo Nacional de Ciencia, Tecnología e Innovación Tecnológica (CONCYTEC)</w:t>
            </w:r>
            <w:r w:rsidR="00B764DD">
              <w:rPr>
                <w:rFonts w:ascii="Arial" w:hAnsi="Arial" w:cs="Arial"/>
                <w:color w:val="auto"/>
                <w:sz w:val="20"/>
                <w:szCs w:val="20"/>
              </w:rPr>
              <w:t xml:space="preserve"> </w:t>
            </w:r>
            <w:r w:rsidRPr="008A26D2">
              <w:rPr>
                <w:rFonts w:ascii="Arial" w:hAnsi="Arial" w:cs="Arial"/>
                <w:color w:val="auto"/>
                <w:sz w:val="20"/>
                <w:szCs w:val="20"/>
              </w:rPr>
              <w:t>/</w:t>
            </w:r>
            <w:r w:rsidR="00B764DD">
              <w:rPr>
                <w:rFonts w:ascii="Arial" w:hAnsi="Arial" w:cs="Arial"/>
                <w:color w:val="auto"/>
                <w:sz w:val="20"/>
                <w:szCs w:val="20"/>
              </w:rPr>
              <w:t xml:space="preserve"> </w:t>
            </w:r>
            <w:r w:rsidRPr="008A26D2">
              <w:rPr>
                <w:rFonts w:ascii="Arial" w:hAnsi="Arial" w:cs="Arial"/>
                <w:color w:val="auto"/>
                <w:sz w:val="20"/>
                <w:szCs w:val="20"/>
              </w:rPr>
              <w:t xml:space="preserve">Programa Nacional de Investigación Científica y Estudios Avanzados (PROCIENCIA) </w:t>
            </w:r>
          </w:p>
        </w:tc>
      </w:tr>
      <w:tr w:rsidR="008A26D2" w:rsidRPr="008A26D2" w14:paraId="470DFE54" w14:textId="77777777" w:rsidTr="00147D2E">
        <w:trPr>
          <w:trHeight w:val="1072"/>
        </w:trPr>
        <w:tc>
          <w:tcPr>
            <w:tcW w:w="2411" w:type="dxa"/>
            <w:gridSpan w:val="3"/>
            <w:shd w:val="clear" w:color="auto" w:fill="auto"/>
            <w:tcMar>
              <w:top w:w="10" w:type="dxa"/>
              <w:left w:w="93" w:type="dxa"/>
              <w:bottom w:w="0" w:type="dxa"/>
              <w:right w:w="10" w:type="dxa"/>
            </w:tcMar>
            <w:vAlign w:val="center"/>
          </w:tcPr>
          <w:p w14:paraId="30BE6738" w14:textId="77777777" w:rsidR="00A90E9C" w:rsidRPr="008A26D2" w:rsidRDefault="00A90E9C" w:rsidP="0072651A">
            <w:pPr>
              <w:tabs>
                <w:tab w:val="left" w:pos="3375"/>
              </w:tabs>
              <w:rPr>
                <w:rFonts w:ascii="Arial" w:hAnsi="Arial" w:cs="Arial"/>
                <w:sz w:val="20"/>
                <w:szCs w:val="20"/>
              </w:rPr>
            </w:pPr>
            <w:r w:rsidRPr="008A26D2">
              <w:rPr>
                <w:rFonts w:ascii="Arial" w:hAnsi="Arial" w:cs="Arial"/>
                <w:b/>
                <w:sz w:val="20"/>
                <w:szCs w:val="20"/>
              </w:rPr>
              <w:t>Limitaciones para la medición del indicador:</w:t>
            </w:r>
          </w:p>
        </w:tc>
        <w:tc>
          <w:tcPr>
            <w:tcW w:w="6520" w:type="dxa"/>
            <w:gridSpan w:val="9"/>
            <w:shd w:val="clear" w:color="auto" w:fill="auto"/>
            <w:tcMar>
              <w:top w:w="51" w:type="dxa"/>
              <w:left w:w="227" w:type="dxa"/>
              <w:bottom w:w="51" w:type="dxa"/>
              <w:right w:w="227" w:type="dxa"/>
            </w:tcMar>
            <w:vAlign w:val="center"/>
          </w:tcPr>
          <w:p w14:paraId="138A98A0" w14:textId="06562888" w:rsidR="00A90E9C" w:rsidRPr="008A26D2" w:rsidRDefault="00A90E9C" w:rsidP="0072651A">
            <w:pPr>
              <w:pStyle w:val="Default"/>
              <w:ind w:left="-103"/>
              <w:jc w:val="both"/>
              <w:rPr>
                <w:rFonts w:ascii="Arial" w:hAnsi="Arial" w:cs="Arial"/>
                <w:color w:val="auto"/>
                <w:sz w:val="20"/>
                <w:szCs w:val="20"/>
              </w:rPr>
            </w:pPr>
            <w:r w:rsidRPr="008A26D2">
              <w:rPr>
                <w:rFonts w:ascii="Arial" w:hAnsi="Arial" w:cs="Arial"/>
                <w:color w:val="auto"/>
                <w:sz w:val="20"/>
                <w:szCs w:val="20"/>
              </w:rPr>
              <w:t>El indicador es dependiente del interés y capacidades de las entidades en las investigaciones y actividades en temas de materia forestal y de fauna silvestre. También es dependiente de los fondos que hayan sido captados para subvencionar las actividades y proyectos y que la estructura de colaboración institucional de</w:t>
            </w:r>
            <w:r w:rsidR="00124528">
              <w:rPr>
                <w:rFonts w:ascii="Arial" w:hAnsi="Arial" w:cs="Arial"/>
                <w:color w:val="auto"/>
                <w:sz w:val="20"/>
                <w:szCs w:val="20"/>
              </w:rPr>
              <w:t xml:space="preserve">l </w:t>
            </w:r>
            <w:r w:rsidR="00124528" w:rsidRPr="008A26D2">
              <w:rPr>
                <w:rFonts w:ascii="Arial" w:hAnsi="Arial" w:cs="Arial"/>
                <w:color w:val="auto"/>
                <w:sz w:val="20"/>
                <w:szCs w:val="20"/>
              </w:rPr>
              <w:t xml:space="preserve">Consejo Nacional de Ciencia, Tecnología e Innovación Tecnológica </w:t>
            </w:r>
            <w:r w:rsidR="00124528">
              <w:rPr>
                <w:rFonts w:ascii="Arial" w:hAnsi="Arial" w:cs="Arial"/>
                <w:color w:val="auto"/>
                <w:sz w:val="20"/>
                <w:szCs w:val="20"/>
              </w:rPr>
              <w:t xml:space="preserve">– </w:t>
            </w:r>
            <w:r w:rsidRPr="008A26D2">
              <w:rPr>
                <w:rFonts w:ascii="Arial" w:hAnsi="Arial" w:cs="Arial"/>
                <w:color w:val="auto"/>
                <w:sz w:val="20"/>
                <w:szCs w:val="20"/>
              </w:rPr>
              <w:t xml:space="preserve">CONCYTEC </w:t>
            </w:r>
            <w:r w:rsidR="00124528">
              <w:rPr>
                <w:rFonts w:ascii="Arial" w:hAnsi="Arial" w:cs="Arial"/>
                <w:color w:val="auto"/>
                <w:sz w:val="20"/>
                <w:szCs w:val="20"/>
              </w:rPr>
              <w:t>/</w:t>
            </w:r>
            <w:r w:rsidRPr="008A26D2">
              <w:rPr>
                <w:rFonts w:ascii="Arial" w:hAnsi="Arial" w:cs="Arial"/>
                <w:color w:val="auto"/>
                <w:sz w:val="20"/>
                <w:szCs w:val="20"/>
              </w:rPr>
              <w:t xml:space="preserve"> </w:t>
            </w:r>
            <w:r w:rsidR="00124528" w:rsidRPr="008A26D2">
              <w:rPr>
                <w:rFonts w:ascii="Arial" w:hAnsi="Arial" w:cs="Arial"/>
                <w:color w:val="auto"/>
                <w:sz w:val="20"/>
                <w:szCs w:val="20"/>
              </w:rPr>
              <w:t>Programa Nacional de Investigación Científica y Estudios Avanzados</w:t>
            </w:r>
            <w:r w:rsidR="00124528">
              <w:rPr>
                <w:rFonts w:ascii="Arial" w:hAnsi="Arial" w:cs="Arial"/>
                <w:color w:val="auto"/>
                <w:sz w:val="20"/>
                <w:szCs w:val="20"/>
              </w:rPr>
              <w:t xml:space="preserve"> -</w:t>
            </w:r>
            <w:r w:rsidR="00124528" w:rsidRPr="008A26D2">
              <w:rPr>
                <w:rFonts w:ascii="Arial" w:hAnsi="Arial" w:cs="Arial"/>
                <w:color w:val="auto"/>
                <w:sz w:val="20"/>
                <w:szCs w:val="20"/>
              </w:rPr>
              <w:t xml:space="preserve"> </w:t>
            </w:r>
            <w:r w:rsidRPr="008A26D2">
              <w:rPr>
                <w:rFonts w:ascii="Arial" w:hAnsi="Arial" w:cs="Arial"/>
                <w:color w:val="auto"/>
                <w:sz w:val="20"/>
                <w:szCs w:val="20"/>
              </w:rPr>
              <w:t xml:space="preserve">PROCIENCIA se mantengan. </w:t>
            </w:r>
          </w:p>
        </w:tc>
      </w:tr>
      <w:tr w:rsidR="008A26D2" w:rsidRPr="008A26D2" w14:paraId="2FC335EA" w14:textId="77777777" w:rsidTr="00147D2E">
        <w:trPr>
          <w:trHeight w:val="231"/>
        </w:trPr>
        <w:tc>
          <w:tcPr>
            <w:tcW w:w="2411" w:type="dxa"/>
            <w:gridSpan w:val="3"/>
            <w:shd w:val="clear" w:color="auto" w:fill="auto"/>
            <w:tcMar>
              <w:top w:w="10" w:type="dxa"/>
              <w:left w:w="93" w:type="dxa"/>
              <w:bottom w:w="0" w:type="dxa"/>
              <w:right w:w="10" w:type="dxa"/>
            </w:tcMar>
            <w:vAlign w:val="center"/>
          </w:tcPr>
          <w:p w14:paraId="7EE2ABF0" w14:textId="77777777" w:rsidR="00A90E9C" w:rsidRPr="008A26D2" w:rsidRDefault="00A90E9C" w:rsidP="0072651A">
            <w:pPr>
              <w:tabs>
                <w:tab w:val="left" w:pos="3375"/>
              </w:tabs>
              <w:rPr>
                <w:rFonts w:ascii="Arial" w:hAnsi="Arial" w:cs="Arial"/>
                <w:sz w:val="20"/>
                <w:szCs w:val="20"/>
              </w:rPr>
            </w:pPr>
            <w:r w:rsidRPr="008A26D2">
              <w:rPr>
                <w:rFonts w:ascii="Arial" w:hAnsi="Arial" w:cs="Arial"/>
                <w:b/>
                <w:sz w:val="20"/>
                <w:szCs w:val="20"/>
              </w:rPr>
              <w:t xml:space="preserve">Método de cálculo: </w:t>
            </w:r>
          </w:p>
        </w:tc>
        <w:tc>
          <w:tcPr>
            <w:tcW w:w="6520" w:type="dxa"/>
            <w:gridSpan w:val="9"/>
            <w:shd w:val="clear" w:color="auto" w:fill="auto"/>
            <w:tcMar>
              <w:top w:w="51" w:type="dxa"/>
              <w:left w:w="227" w:type="dxa"/>
              <w:bottom w:w="51" w:type="dxa"/>
              <w:right w:w="227" w:type="dxa"/>
            </w:tcMar>
            <w:vAlign w:val="center"/>
          </w:tcPr>
          <w:p w14:paraId="58EB04B5" w14:textId="77777777" w:rsidR="00A90E9C" w:rsidRPr="008A26D2" w:rsidRDefault="00A90E9C" w:rsidP="0072651A">
            <w:pPr>
              <w:tabs>
                <w:tab w:val="left" w:pos="3375"/>
              </w:tabs>
              <w:ind w:hanging="103"/>
              <w:jc w:val="both"/>
              <w:rPr>
                <w:rFonts w:ascii="Arial" w:hAnsi="Arial" w:cs="Arial"/>
                <w:b/>
                <w:sz w:val="20"/>
                <w:szCs w:val="20"/>
              </w:rPr>
            </w:pPr>
            <w:r w:rsidRPr="008A26D2">
              <w:rPr>
                <w:rFonts w:ascii="Arial" w:hAnsi="Arial" w:cs="Arial"/>
                <w:b/>
                <w:sz w:val="20"/>
                <w:szCs w:val="20"/>
              </w:rPr>
              <w:t>1. Fórmula:</w:t>
            </w:r>
          </w:p>
          <w:p w14:paraId="4B206A98" w14:textId="14F0A1C1" w:rsidR="00A90E9C" w:rsidRPr="008A26D2" w:rsidRDefault="00A90E9C" w:rsidP="0072651A">
            <w:pPr>
              <w:spacing w:after="0" w:line="240" w:lineRule="auto"/>
              <w:ind w:hanging="103"/>
              <w:jc w:val="both"/>
              <w:rPr>
                <w:rFonts w:ascii="Arial" w:hAnsi="Arial" w:cs="Arial"/>
                <w:sz w:val="20"/>
                <w:szCs w:val="20"/>
              </w:rPr>
            </w:pPr>
            <w:r w:rsidRPr="008A26D2">
              <w:rPr>
                <w:rFonts w:ascii="Arial" w:eastAsia="Times New Roman" w:hAnsi="Arial" w:cs="Arial"/>
                <w:sz w:val="20"/>
                <w:szCs w:val="20"/>
              </w:rPr>
              <w:t xml:space="preserve"> </w:t>
            </w:r>
            <w:r w:rsidRPr="008A26D2">
              <w:rPr>
                <w:rFonts w:ascii="Arial" w:hAnsi="Arial" w:cs="Arial"/>
                <w:sz w:val="20"/>
                <w:szCs w:val="20"/>
              </w:rPr>
              <w:t xml:space="preserve"> (A/B) * 100 </w:t>
            </w:r>
          </w:p>
          <w:p w14:paraId="5C9C1424" w14:textId="77777777" w:rsidR="00583091" w:rsidRPr="008A26D2" w:rsidRDefault="00583091" w:rsidP="0072651A">
            <w:pPr>
              <w:spacing w:after="0" w:line="240" w:lineRule="auto"/>
              <w:ind w:hanging="103"/>
              <w:jc w:val="both"/>
              <w:rPr>
                <w:rFonts w:ascii="Arial" w:hAnsi="Arial" w:cs="Arial"/>
                <w:sz w:val="20"/>
                <w:szCs w:val="20"/>
              </w:rPr>
            </w:pPr>
          </w:p>
          <w:p w14:paraId="6E7A2B7F" w14:textId="448C7CC9" w:rsidR="00583091" w:rsidRPr="008A26D2" w:rsidRDefault="00583091" w:rsidP="00583091">
            <w:pPr>
              <w:spacing w:after="0" w:line="240" w:lineRule="auto"/>
              <w:jc w:val="both"/>
              <w:rPr>
                <w:rFonts w:ascii="Arial" w:hAnsi="Arial" w:cs="Arial"/>
                <w:sz w:val="20"/>
                <w:szCs w:val="20"/>
              </w:rPr>
            </w:pPr>
            <w:r w:rsidRPr="008A26D2">
              <w:rPr>
                <w:rFonts w:ascii="Arial" w:hAnsi="Arial" w:cs="Arial"/>
                <w:sz w:val="20"/>
                <w:szCs w:val="20"/>
              </w:rPr>
              <w:t>Donde:</w:t>
            </w:r>
          </w:p>
          <w:p w14:paraId="166091F0" w14:textId="1F5FB1BA" w:rsidR="00583091" w:rsidRPr="008A26D2" w:rsidRDefault="00583091" w:rsidP="00147D2E">
            <w:pPr>
              <w:pStyle w:val="Default"/>
              <w:ind w:left="343" w:hanging="283"/>
              <w:jc w:val="both"/>
              <w:rPr>
                <w:rFonts w:ascii="Arial" w:hAnsi="Arial" w:cs="Arial"/>
                <w:color w:val="auto"/>
                <w:sz w:val="20"/>
                <w:szCs w:val="20"/>
              </w:rPr>
            </w:pPr>
            <w:r w:rsidRPr="008A26D2">
              <w:rPr>
                <w:rFonts w:ascii="Arial" w:hAnsi="Arial" w:cs="Arial"/>
                <w:color w:val="auto"/>
                <w:sz w:val="20"/>
                <w:szCs w:val="20"/>
              </w:rPr>
              <w:t xml:space="preserve">A= Número de entidades públicas y privadas integrantes </w:t>
            </w:r>
            <w:r w:rsidR="00A400BA" w:rsidRPr="008A26D2">
              <w:rPr>
                <w:rFonts w:ascii="Arial" w:hAnsi="Arial" w:cs="Arial"/>
                <w:color w:val="auto"/>
                <w:sz w:val="20"/>
                <w:szCs w:val="20"/>
              </w:rPr>
              <w:t>del</w:t>
            </w:r>
            <w:r w:rsidR="00A400BA">
              <w:rPr>
                <w:rFonts w:ascii="Arial" w:hAnsi="Arial" w:cs="Arial"/>
                <w:color w:val="auto"/>
                <w:sz w:val="20"/>
                <w:szCs w:val="20"/>
              </w:rPr>
              <w:t xml:space="preserve"> </w:t>
            </w:r>
            <w:r w:rsidR="00A400BA" w:rsidRPr="00A400BA">
              <w:rPr>
                <w:rFonts w:ascii="Arial" w:hAnsi="Arial" w:cs="Arial"/>
                <w:color w:val="auto"/>
                <w:sz w:val="20"/>
                <w:szCs w:val="20"/>
              </w:rPr>
              <w:t xml:space="preserve">Sistema Nacional de Ciencia, Tecnología e Innovación </w:t>
            </w:r>
            <w:r w:rsidR="00A400BA">
              <w:rPr>
                <w:rFonts w:ascii="Arial" w:hAnsi="Arial" w:cs="Arial"/>
                <w:color w:val="auto"/>
                <w:sz w:val="20"/>
                <w:szCs w:val="20"/>
              </w:rPr>
              <w:t xml:space="preserve">- </w:t>
            </w:r>
            <w:r w:rsidR="00A400BA" w:rsidRPr="008A26D2">
              <w:rPr>
                <w:rFonts w:ascii="Arial" w:hAnsi="Arial" w:cs="Arial"/>
                <w:color w:val="auto"/>
                <w:sz w:val="20"/>
                <w:szCs w:val="20"/>
              </w:rPr>
              <w:t>SINACTI</w:t>
            </w:r>
            <w:r w:rsidRPr="008A26D2">
              <w:rPr>
                <w:rFonts w:ascii="Arial" w:hAnsi="Arial" w:cs="Arial"/>
                <w:color w:val="auto"/>
                <w:sz w:val="20"/>
                <w:szCs w:val="20"/>
              </w:rPr>
              <w:t xml:space="preserve"> que acceden a los fondos concursables </w:t>
            </w:r>
            <w:r w:rsidR="00A400BA" w:rsidRPr="00A400BA">
              <w:rPr>
                <w:rFonts w:ascii="Arial" w:hAnsi="Arial" w:cs="Arial"/>
                <w:color w:val="auto"/>
                <w:sz w:val="20"/>
                <w:szCs w:val="20"/>
              </w:rPr>
              <w:t>del Programa Nacional de Investigación Científica y Estudios Avanzados</w:t>
            </w:r>
            <w:r w:rsidR="00A400BA">
              <w:rPr>
                <w:rFonts w:ascii="Arial" w:hAnsi="Arial" w:cs="Arial"/>
                <w:color w:val="auto"/>
                <w:sz w:val="20"/>
                <w:szCs w:val="20"/>
              </w:rPr>
              <w:t xml:space="preserve"> -</w:t>
            </w:r>
            <w:r w:rsidRPr="008A26D2">
              <w:rPr>
                <w:rFonts w:ascii="Arial" w:hAnsi="Arial" w:cs="Arial"/>
                <w:color w:val="auto"/>
                <w:sz w:val="20"/>
                <w:szCs w:val="20"/>
              </w:rPr>
              <w:t xml:space="preserve"> PROCIENCIA en materia forestal y fauna silvestre.</w:t>
            </w:r>
          </w:p>
          <w:p w14:paraId="11CB6FCB" w14:textId="37CD911C" w:rsidR="00583091" w:rsidRPr="008A26D2" w:rsidRDefault="00583091" w:rsidP="00147D2E">
            <w:pPr>
              <w:pStyle w:val="Default"/>
              <w:ind w:left="343" w:hanging="283"/>
              <w:jc w:val="both"/>
              <w:rPr>
                <w:rFonts w:ascii="Arial" w:eastAsia="Times New Roman" w:hAnsi="Arial" w:cs="Arial"/>
                <w:color w:val="auto"/>
                <w:sz w:val="20"/>
                <w:szCs w:val="20"/>
              </w:rPr>
            </w:pPr>
            <w:r w:rsidRPr="008A26D2">
              <w:rPr>
                <w:rFonts w:ascii="Arial" w:hAnsi="Arial" w:cs="Arial"/>
                <w:color w:val="auto"/>
                <w:sz w:val="20"/>
                <w:szCs w:val="20"/>
              </w:rPr>
              <w:t xml:space="preserve">B= Número de entidades públicas y privadas integrantes del </w:t>
            </w:r>
            <w:r w:rsidR="00A400BA" w:rsidRPr="00A400BA">
              <w:rPr>
                <w:rFonts w:ascii="Arial" w:hAnsi="Arial" w:cs="Arial"/>
                <w:color w:val="auto"/>
                <w:sz w:val="20"/>
                <w:szCs w:val="20"/>
              </w:rPr>
              <w:t xml:space="preserve">Sistema Nacional de Ciencia, Tecnología e Innovación </w:t>
            </w:r>
            <w:r w:rsidR="00A400BA">
              <w:rPr>
                <w:rFonts w:ascii="Arial" w:hAnsi="Arial" w:cs="Arial"/>
                <w:color w:val="auto"/>
                <w:sz w:val="20"/>
                <w:szCs w:val="20"/>
              </w:rPr>
              <w:t xml:space="preserve">– </w:t>
            </w:r>
            <w:r w:rsidRPr="008A26D2">
              <w:rPr>
                <w:rFonts w:ascii="Arial" w:hAnsi="Arial" w:cs="Arial"/>
                <w:color w:val="auto"/>
                <w:sz w:val="20"/>
                <w:szCs w:val="20"/>
              </w:rPr>
              <w:t>SINACTI.</w:t>
            </w:r>
          </w:p>
          <w:p w14:paraId="35A63711" w14:textId="77777777" w:rsidR="00A90E9C" w:rsidRPr="008A26D2" w:rsidRDefault="00A90E9C" w:rsidP="0072651A">
            <w:pPr>
              <w:spacing w:after="0" w:line="240" w:lineRule="auto"/>
              <w:ind w:hanging="103"/>
              <w:jc w:val="both"/>
              <w:rPr>
                <w:rFonts w:ascii="Arial" w:eastAsia="Times New Roman" w:hAnsi="Arial" w:cs="Arial"/>
                <w:sz w:val="20"/>
                <w:szCs w:val="20"/>
              </w:rPr>
            </w:pPr>
          </w:p>
          <w:p w14:paraId="449B4597" w14:textId="44DD7A6F" w:rsidR="00A90E9C" w:rsidRPr="00B4731C" w:rsidRDefault="00A90E9C" w:rsidP="00B4731C">
            <w:pPr>
              <w:pStyle w:val="Prrafodelista"/>
              <w:numPr>
                <w:ilvl w:val="0"/>
                <w:numId w:val="19"/>
              </w:numPr>
              <w:tabs>
                <w:tab w:val="left" w:pos="3375"/>
              </w:tabs>
              <w:ind w:left="199" w:hanging="284"/>
              <w:jc w:val="both"/>
              <w:rPr>
                <w:rFonts w:ascii="Arial" w:hAnsi="Arial" w:cs="Arial"/>
                <w:sz w:val="20"/>
                <w:szCs w:val="20"/>
              </w:rPr>
            </w:pPr>
            <w:r w:rsidRPr="00B4731C">
              <w:rPr>
                <w:rFonts w:ascii="Arial" w:hAnsi="Arial" w:cs="Arial"/>
                <w:b/>
                <w:sz w:val="20"/>
                <w:szCs w:val="20"/>
              </w:rPr>
              <w:t>Especificaciones técnicas:</w:t>
            </w:r>
          </w:p>
          <w:p w14:paraId="04E6951F" w14:textId="2A48B35F" w:rsidR="005E0123" w:rsidRDefault="005E0123" w:rsidP="00583091">
            <w:pPr>
              <w:pStyle w:val="Default"/>
              <w:ind w:left="-103"/>
              <w:jc w:val="both"/>
              <w:rPr>
                <w:rFonts w:ascii="Arial" w:hAnsi="Arial" w:cs="Arial"/>
                <w:color w:val="auto"/>
                <w:sz w:val="20"/>
                <w:szCs w:val="20"/>
              </w:rPr>
            </w:pPr>
            <w:r>
              <w:rPr>
                <w:rFonts w:ascii="Arial" w:hAnsi="Arial" w:cs="Arial"/>
                <w:color w:val="auto"/>
                <w:sz w:val="20"/>
                <w:szCs w:val="20"/>
              </w:rPr>
              <w:t xml:space="preserve">La variable A se determina a partir de </w:t>
            </w:r>
            <w:r w:rsidR="00B4731C">
              <w:rPr>
                <w:rFonts w:ascii="Arial" w:hAnsi="Arial" w:cs="Arial"/>
                <w:color w:val="auto"/>
                <w:sz w:val="20"/>
                <w:szCs w:val="20"/>
              </w:rPr>
              <w:t>la cantidad de</w:t>
            </w:r>
            <w:r>
              <w:rPr>
                <w:rFonts w:ascii="Arial" w:hAnsi="Arial" w:cs="Arial"/>
                <w:color w:val="auto"/>
                <w:sz w:val="20"/>
                <w:szCs w:val="20"/>
              </w:rPr>
              <w:t xml:space="preserve"> entidades públicas y privadas </w:t>
            </w:r>
            <w:r w:rsidR="00A400BA">
              <w:rPr>
                <w:rFonts w:ascii="Arial" w:hAnsi="Arial" w:cs="Arial"/>
                <w:color w:val="auto"/>
                <w:sz w:val="20"/>
                <w:szCs w:val="20"/>
              </w:rPr>
              <w:t xml:space="preserve">integrantes del </w:t>
            </w:r>
            <w:r w:rsidRPr="008A26D2">
              <w:rPr>
                <w:rFonts w:ascii="Arial" w:hAnsi="Arial" w:cs="Arial"/>
                <w:color w:val="auto"/>
                <w:sz w:val="20"/>
                <w:szCs w:val="20"/>
              </w:rPr>
              <w:t xml:space="preserve">Sistema Nacional de Ciencia, Tecnología e Innovación </w:t>
            </w:r>
            <w:r w:rsidR="00A400BA">
              <w:rPr>
                <w:rFonts w:ascii="Arial" w:hAnsi="Arial" w:cs="Arial"/>
                <w:color w:val="auto"/>
                <w:sz w:val="20"/>
                <w:szCs w:val="20"/>
              </w:rPr>
              <w:t>–</w:t>
            </w:r>
            <w:r>
              <w:rPr>
                <w:rFonts w:ascii="Arial" w:hAnsi="Arial" w:cs="Arial"/>
                <w:color w:val="auto"/>
                <w:sz w:val="20"/>
                <w:szCs w:val="20"/>
              </w:rPr>
              <w:t xml:space="preserve"> </w:t>
            </w:r>
            <w:r w:rsidRPr="008A26D2">
              <w:rPr>
                <w:rFonts w:ascii="Arial" w:hAnsi="Arial" w:cs="Arial"/>
                <w:color w:val="auto"/>
                <w:sz w:val="20"/>
                <w:szCs w:val="20"/>
              </w:rPr>
              <w:t xml:space="preserve">SINACTI </w:t>
            </w:r>
            <w:r>
              <w:rPr>
                <w:rFonts w:ascii="Arial" w:hAnsi="Arial" w:cs="Arial"/>
                <w:color w:val="auto"/>
                <w:sz w:val="20"/>
                <w:szCs w:val="20"/>
              </w:rPr>
              <w:t xml:space="preserve">que acceden a los fondos concursables del </w:t>
            </w:r>
            <w:r w:rsidRPr="008A26D2">
              <w:rPr>
                <w:rFonts w:ascii="Arial" w:hAnsi="Arial" w:cs="Arial"/>
                <w:color w:val="auto"/>
                <w:sz w:val="20"/>
                <w:szCs w:val="20"/>
              </w:rPr>
              <w:t>Programa Nacional de Investigación Científica y Estudios Avanzados</w:t>
            </w:r>
            <w:r>
              <w:rPr>
                <w:rFonts w:ascii="Arial" w:hAnsi="Arial" w:cs="Arial"/>
                <w:color w:val="auto"/>
                <w:sz w:val="20"/>
                <w:szCs w:val="20"/>
              </w:rPr>
              <w:t xml:space="preserve"> </w:t>
            </w:r>
            <w:r w:rsidR="00A400BA">
              <w:rPr>
                <w:rFonts w:ascii="Arial" w:hAnsi="Arial" w:cs="Arial"/>
                <w:color w:val="auto"/>
                <w:sz w:val="20"/>
                <w:szCs w:val="20"/>
              </w:rPr>
              <w:t>–</w:t>
            </w:r>
            <w:r w:rsidRPr="008A26D2">
              <w:rPr>
                <w:rFonts w:ascii="Arial" w:hAnsi="Arial" w:cs="Arial"/>
                <w:color w:val="auto"/>
                <w:sz w:val="20"/>
                <w:szCs w:val="20"/>
              </w:rPr>
              <w:t xml:space="preserve"> PROCIENCIA</w:t>
            </w:r>
            <w:r w:rsidR="00A400BA">
              <w:rPr>
                <w:rFonts w:ascii="Arial" w:hAnsi="Arial" w:cs="Arial"/>
                <w:color w:val="auto"/>
                <w:sz w:val="20"/>
                <w:szCs w:val="20"/>
              </w:rPr>
              <w:t>.</w:t>
            </w:r>
          </w:p>
          <w:p w14:paraId="1A97D1F4" w14:textId="77777777" w:rsidR="00B4731C" w:rsidRDefault="00B4731C" w:rsidP="00583091">
            <w:pPr>
              <w:pStyle w:val="Default"/>
              <w:ind w:left="-103"/>
              <w:jc w:val="both"/>
              <w:rPr>
                <w:rFonts w:ascii="Arial" w:hAnsi="Arial" w:cs="Arial"/>
                <w:color w:val="auto"/>
                <w:sz w:val="20"/>
                <w:szCs w:val="20"/>
              </w:rPr>
            </w:pPr>
          </w:p>
          <w:p w14:paraId="58F1E929" w14:textId="7D514859" w:rsidR="00A400BA" w:rsidRDefault="00A400BA" w:rsidP="00583091">
            <w:pPr>
              <w:pStyle w:val="Default"/>
              <w:ind w:left="-103"/>
              <w:jc w:val="both"/>
              <w:rPr>
                <w:rFonts w:ascii="Arial" w:hAnsi="Arial" w:cs="Arial"/>
                <w:color w:val="auto"/>
                <w:sz w:val="20"/>
                <w:szCs w:val="20"/>
              </w:rPr>
            </w:pPr>
            <w:r>
              <w:rPr>
                <w:rFonts w:ascii="Arial" w:hAnsi="Arial" w:cs="Arial"/>
                <w:color w:val="auto"/>
                <w:sz w:val="20"/>
                <w:szCs w:val="20"/>
              </w:rPr>
              <w:t xml:space="preserve">La variable B consiste en el número total de entidades públicas y privadas integrantes del </w:t>
            </w:r>
            <w:r w:rsidRPr="008A26D2">
              <w:rPr>
                <w:rFonts w:ascii="Arial" w:hAnsi="Arial" w:cs="Arial"/>
                <w:color w:val="auto"/>
                <w:sz w:val="20"/>
                <w:szCs w:val="20"/>
              </w:rPr>
              <w:t xml:space="preserve">Sistema Nacional de Ciencia, Tecnología e Innovación </w:t>
            </w:r>
            <w:r>
              <w:rPr>
                <w:rFonts w:ascii="Arial" w:hAnsi="Arial" w:cs="Arial"/>
                <w:color w:val="auto"/>
                <w:sz w:val="20"/>
                <w:szCs w:val="20"/>
              </w:rPr>
              <w:t xml:space="preserve">– </w:t>
            </w:r>
            <w:r w:rsidRPr="008A26D2">
              <w:rPr>
                <w:rFonts w:ascii="Arial" w:hAnsi="Arial" w:cs="Arial"/>
                <w:color w:val="auto"/>
                <w:sz w:val="20"/>
                <w:szCs w:val="20"/>
              </w:rPr>
              <w:t>SINACTI</w:t>
            </w:r>
            <w:r w:rsidR="00B4731C">
              <w:rPr>
                <w:rFonts w:ascii="Arial" w:hAnsi="Arial" w:cs="Arial"/>
                <w:color w:val="auto"/>
                <w:sz w:val="20"/>
                <w:szCs w:val="20"/>
              </w:rPr>
              <w:t xml:space="preserve"> en el año de medición.</w:t>
            </w:r>
          </w:p>
          <w:p w14:paraId="0AEA8384" w14:textId="77777777" w:rsidR="00A400BA" w:rsidRDefault="00A400BA" w:rsidP="00583091">
            <w:pPr>
              <w:pStyle w:val="Default"/>
              <w:ind w:left="-103"/>
              <w:jc w:val="both"/>
              <w:rPr>
                <w:rFonts w:ascii="Arial" w:hAnsi="Arial" w:cs="Arial"/>
                <w:color w:val="auto"/>
                <w:sz w:val="20"/>
                <w:szCs w:val="20"/>
              </w:rPr>
            </w:pPr>
          </w:p>
          <w:p w14:paraId="7BB186E5" w14:textId="67DE1429" w:rsidR="00583091" w:rsidRPr="008A26D2" w:rsidRDefault="00583091" w:rsidP="00583091">
            <w:pPr>
              <w:pStyle w:val="Default"/>
              <w:ind w:left="-103"/>
              <w:jc w:val="both"/>
              <w:rPr>
                <w:rFonts w:ascii="Arial" w:hAnsi="Arial" w:cs="Arial"/>
                <w:color w:val="auto"/>
                <w:sz w:val="20"/>
                <w:szCs w:val="20"/>
              </w:rPr>
            </w:pPr>
            <w:r w:rsidRPr="008A26D2">
              <w:rPr>
                <w:rFonts w:ascii="Arial" w:hAnsi="Arial" w:cs="Arial"/>
                <w:color w:val="auto"/>
                <w:sz w:val="20"/>
                <w:szCs w:val="20"/>
              </w:rPr>
              <w:t>Los proyectos de</w:t>
            </w:r>
            <w:r w:rsidR="00F07E3A">
              <w:rPr>
                <w:rFonts w:ascii="Arial" w:hAnsi="Arial" w:cs="Arial"/>
                <w:color w:val="auto"/>
                <w:sz w:val="20"/>
                <w:szCs w:val="20"/>
              </w:rPr>
              <w:t xml:space="preserve"> </w:t>
            </w:r>
            <w:r w:rsidRPr="008A26D2">
              <w:rPr>
                <w:rFonts w:ascii="Arial" w:hAnsi="Arial" w:cs="Arial"/>
                <w:color w:val="auto"/>
                <w:sz w:val="20"/>
                <w:szCs w:val="20"/>
              </w:rPr>
              <w:t xml:space="preserve">I+D+i (Investigación, Desarrollo e innovación) son aquellos orientados a la creación y/o mejora significativa de un proceso productivo, producto o servicio que pueden comprender tanto actividades de investigación industrial como de desarrollo experimental. </w:t>
            </w:r>
          </w:p>
          <w:p w14:paraId="208FDD76" w14:textId="77777777" w:rsidR="00DD274D" w:rsidRPr="008A26D2" w:rsidRDefault="00DD274D" w:rsidP="00583091">
            <w:pPr>
              <w:pStyle w:val="Default"/>
              <w:ind w:left="-103"/>
              <w:jc w:val="both"/>
              <w:rPr>
                <w:rFonts w:ascii="Arial" w:hAnsi="Arial" w:cs="Arial"/>
                <w:color w:val="auto"/>
                <w:sz w:val="20"/>
                <w:szCs w:val="20"/>
              </w:rPr>
            </w:pPr>
          </w:p>
          <w:p w14:paraId="3C10EFEF" w14:textId="77777777" w:rsidR="00DD274D" w:rsidRPr="008A26D2" w:rsidRDefault="00DD274D" w:rsidP="00DD274D">
            <w:pPr>
              <w:pStyle w:val="Default"/>
              <w:ind w:left="-103"/>
              <w:jc w:val="both"/>
              <w:rPr>
                <w:rFonts w:ascii="Arial" w:hAnsi="Arial" w:cs="Arial"/>
                <w:color w:val="auto"/>
                <w:sz w:val="20"/>
                <w:szCs w:val="20"/>
              </w:rPr>
            </w:pPr>
            <w:r w:rsidRPr="008A26D2">
              <w:rPr>
                <w:rFonts w:ascii="Arial" w:hAnsi="Arial" w:cs="Arial"/>
                <w:color w:val="auto"/>
                <w:sz w:val="20"/>
                <w:szCs w:val="20"/>
              </w:rPr>
              <w:t>La línea de base es cero “0”, puesto que los fondos captados no subvencionaban, en mayor medida, proyectos orientados a los temas forestales o de fauna silvestre.</w:t>
            </w:r>
          </w:p>
          <w:p w14:paraId="00329678" w14:textId="77777777" w:rsidR="00A90E9C" w:rsidRPr="008A26D2" w:rsidRDefault="00A90E9C" w:rsidP="00583091">
            <w:pPr>
              <w:pStyle w:val="Default"/>
              <w:ind w:hanging="103"/>
              <w:jc w:val="both"/>
              <w:rPr>
                <w:rFonts w:ascii="Arial" w:hAnsi="Arial" w:cs="Arial"/>
                <w:color w:val="auto"/>
                <w:sz w:val="20"/>
                <w:szCs w:val="20"/>
              </w:rPr>
            </w:pPr>
          </w:p>
        </w:tc>
      </w:tr>
      <w:tr w:rsidR="008A26D2" w:rsidRPr="008A26D2" w14:paraId="65074E73" w14:textId="77777777" w:rsidTr="00147D2E">
        <w:trPr>
          <w:trHeight w:val="544"/>
        </w:trPr>
        <w:tc>
          <w:tcPr>
            <w:tcW w:w="2411" w:type="dxa"/>
            <w:gridSpan w:val="3"/>
            <w:shd w:val="clear" w:color="auto" w:fill="auto"/>
            <w:tcMar>
              <w:top w:w="10" w:type="dxa"/>
              <w:left w:w="93" w:type="dxa"/>
              <w:bottom w:w="0" w:type="dxa"/>
              <w:right w:w="10" w:type="dxa"/>
            </w:tcMar>
            <w:vAlign w:val="center"/>
          </w:tcPr>
          <w:p w14:paraId="6EF80DF3" w14:textId="77777777" w:rsidR="00A90E9C" w:rsidRPr="008A26D2" w:rsidRDefault="00A90E9C" w:rsidP="0072651A">
            <w:pPr>
              <w:tabs>
                <w:tab w:val="left" w:pos="3375"/>
              </w:tabs>
              <w:rPr>
                <w:rFonts w:ascii="Arial" w:hAnsi="Arial" w:cs="Arial"/>
                <w:sz w:val="20"/>
                <w:szCs w:val="20"/>
              </w:rPr>
            </w:pPr>
            <w:r w:rsidRPr="008A26D2">
              <w:rPr>
                <w:rFonts w:ascii="Arial" w:hAnsi="Arial" w:cs="Arial"/>
                <w:b/>
                <w:sz w:val="20"/>
                <w:szCs w:val="20"/>
              </w:rPr>
              <w:lastRenderedPageBreak/>
              <w:t>Sentido esperado del indicador:</w:t>
            </w:r>
          </w:p>
        </w:tc>
        <w:tc>
          <w:tcPr>
            <w:tcW w:w="2088" w:type="dxa"/>
            <w:gridSpan w:val="3"/>
            <w:shd w:val="clear" w:color="auto" w:fill="auto"/>
            <w:tcMar>
              <w:top w:w="10" w:type="dxa"/>
              <w:left w:w="283" w:type="dxa"/>
              <w:bottom w:w="0" w:type="dxa"/>
              <w:right w:w="283" w:type="dxa"/>
            </w:tcMar>
            <w:vAlign w:val="center"/>
          </w:tcPr>
          <w:p w14:paraId="3D3C177E" w14:textId="77777777" w:rsidR="00A90E9C" w:rsidRPr="008A26D2" w:rsidRDefault="00A90E9C" w:rsidP="0072651A">
            <w:pPr>
              <w:tabs>
                <w:tab w:val="left" w:pos="3375"/>
              </w:tabs>
              <w:rPr>
                <w:rFonts w:ascii="Arial" w:hAnsi="Arial" w:cs="Arial"/>
                <w:sz w:val="20"/>
                <w:szCs w:val="20"/>
              </w:rPr>
            </w:pPr>
            <w:r w:rsidRPr="008A26D2">
              <w:rPr>
                <w:rFonts w:ascii="Arial" w:hAnsi="Arial" w:cs="Arial"/>
                <w:sz w:val="20"/>
                <w:szCs w:val="20"/>
              </w:rPr>
              <w:t>Ascendente</w:t>
            </w:r>
          </w:p>
        </w:tc>
        <w:tc>
          <w:tcPr>
            <w:tcW w:w="3015" w:type="dxa"/>
            <w:gridSpan w:val="4"/>
            <w:shd w:val="clear" w:color="auto" w:fill="auto"/>
            <w:tcMar>
              <w:top w:w="15" w:type="dxa"/>
              <w:left w:w="15" w:type="dxa"/>
              <w:bottom w:w="0" w:type="dxa"/>
              <w:right w:w="15" w:type="dxa"/>
            </w:tcMar>
            <w:vAlign w:val="center"/>
          </w:tcPr>
          <w:p w14:paraId="455E0C1F" w14:textId="77777777" w:rsidR="00A90E9C" w:rsidRPr="008A26D2" w:rsidRDefault="00A90E9C" w:rsidP="0072651A">
            <w:pPr>
              <w:tabs>
                <w:tab w:val="left" w:pos="3375"/>
              </w:tabs>
              <w:jc w:val="center"/>
              <w:rPr>
                <w:rFonts w:ascii="Arial" w:hAnsi="Arial" w:cs="Arial"/>
                <w:sz w:val="20"/>
                <w:szCs w:val="20"/>
              </w:rPr>
            </w:pPr>
            <w:r w:rsidRPr="008A26D2">
              <w:rPr>
                <w:rFonts w:ascii="Arial" w:hAnsi="Arial" w:cs="Arial"/>
                <w:b/>
                <w:sz w:val="20"/>
                <w:szCs w:val="20"/>
              </w:rPr>
              <w:t>Tipo de indicador de servicio:</w:t>
            </w:r>
          </w:p>
        </w:tc>
        <w:tc>
          <w:tcPr>
            <w:tcW w:w="1417" w:type="dxa"/>
            <w:gridSpan w:val="2"/>
            <w:shd w:val="clear" w:color="auto" w:fill="auto"/>
            <w:tcMar>
              <w:top w:w="15" w:type="dxa"/>
              <w:left w:w="15" w:type="dxa"/>
              <w:bottom w:w="0" w:type="dxa"/>
              <w:right w:w="15" w:type="dxa"/>
            </w:tcMar>
            <w:vAlign w:val="center"/>
          </w:tcPr>
          <w:p w14:paraId="4403E8D0" w14:textId="77777777" w:rsidR="00A90E9C" w:rsidRPr="008A26D2" w:rsidRDefault="00A90E9C" w:rsidP="0072651A">
            <w:pPr>
              <w:tabs>
                <w:tab w:val="left" w:pos="3375"/>
              </w:tabs>
              <w:jc w:val="center"/>
              <w:rPr>
                <w:rFonts w:ascii="Arial" w:hAnsi="Arial" w:cs="Arial"/>
                <w:sz w:val="20"/>
                <w:szCs w:val="20"/>
              </w:rPr>
            </w:pPr>
            <w:r w:rsidRPr="008A26D2">
              <w:rPr>
                <w:rFonts w:ascii="Arial" w:hAnsi="Arial" w:cs="Arial"/>
                <w:sz w:val="20"/>
                <w:szCs w:val="20"/>
              </w:rPr>
              <w:t>Cobertura</w:t>
            </w:r>
          </w:p>
        </w:tc>
      </w:tr>
      <w:tr w:rsidR="008A26D2" w:rsidRPr="008A26D2" w14:paraId="51DB9973" w14:textId="77777777" w:rsidTr="00147D2E">
        <w:trPr>
          <w:trHeight w:val="13"/>
        </w:trPr>
        <w:tc>
          <w:tcPr>
            <w:tcW w:w="2411" w:type="dxa"/>
            <w:gridSpan w:val="3"/>
            <w:shd w:val="clear" w:color="auto" w:fill="auto"/>
            <w:tcMar>
              <w:top w:w="10" w:type="dxa"/>
              <w:left w:w="93" w:type="dxa"/>
              <w:bottom w:w="0" w:type="dxa"/>
              <w:right w:w="10" w:type="dxa"/>
            </w:tcMar>
            <w:vAlign w:val="center"/>
          </w:tcPr>
          <w:p w14:paraId="64597847" w14:textId="77777777" w:rsidR="00A90E9C" w:rsidRPr="008A26D2" w:rsidRDefault="00A90E9C" w:rsidP="0072651A">
            <w:pPr>
              <w:tabs>
                <w:tab w:val="left" w:pos="3375"/>
              </w:tabs>
              <w:rPr>
                <w:rFonts w:ascii="Arial" w:hAnsi="Arial" w:cs="Arial"/>
                <w:sz w:val="20"/>
                <w:szCs w:val="20"/>
              </w:rPr>
            </w:pPr>
            <w:r w:rsidRPr="008A26D2">
              <w:rPr>
                <w:rFonts w:ascii="Arial" w:hAnsi="Arial" w:cs="Arial"/>
                <w:b/>
                <w:sz w:val="20"/>
                <w:szCs w:val="20"/>
              </w:rPr>
              <w:t>Fuente y base de datos:</w:t>
            </w:r>
          </w:p>
        </w:tc>
        <w:tc>
          <w:tcPr>
            <w:tcW w:w="6520" w:type="dxa"/>
            <w:gridSpan w:val="9"/>
            <w:shd w:val="clear" w:color="auto" w:fill="auto"/>
            <w:tcMar>
              <w:top w:w="51" w:type="dxa"/>
              <w:left w:w="227" w:type="dxa"/>
              <w:bottom w:w="51" w:type="dxa"/>
              <w:right w:w="227" w:type="dxa"/>
            </w:tcMar>
            <w:vAlign w:val="center"/>
          </w:tcPr>
          <w:p w14:paraId="57682837" w14:textId="77777777" w:rsidR="00A90E9C" w:rsidRPr="008A26D2" w:rsidRDefault="00A90E9C" w:rsidP="0072651A">
            <w:pPr>
              <w:tabs>
                <w:tab w:val="left" w:pos="3375"/>
              </w:tabs>
              <w:ind w:left="-103"/>
              <w:jc w:val="both"/>
              <w:rPr>
                <w:rFonts w:ascii="Arial" w:hAnsi="Arial" w:cs="Arial"/>
                <w:sz w:val="20"/>
                <w:szCs w:val="20"/>
              </w:rPr>
            </w:pPr>
            <w:r w:rsidRPr="008A26D2">
              <w:rPr>
                <w:rFonts w:ascii="Arial" w:eastAsia="Times New Roman" w:hAnsi="Arial" w:cs="Arial"/>
                <w:sz w:val="20"/>
                <w:szCs w:val="20"/>
              </w:rPr>
              <w:t xml:space="preserve">Fuente: </w:t>
            </w:r>
            <w:r w:rsidRPr="008A26D2">
              <w:rPr>
                <w:rFonts w:ascii="Arial" w:hAnsi="Arial" w:cs="Arial"/>
                <w:sz w:val="20"/>
                <w:szCs w:val="20"/>
              </w:rPr>
              <w:t xml:space="preserve">Portal del FONDECYT-CONCYTEC. </w:t>
            </w:r>
          </w:p>
        </w:tc>
      </w:tr>
      <w:tr w:rsidR="008A26D2" w:rsidRPr="008A26D2" w14:paraId="67A46743" w14:textId="77777777" w:rsidTr="00147D2E">
        <w:trPr>
          <w:trHeight w:val="436"/>
        </w:trPr>
        <w:tc>
          <w:tcPr>
            <w:tcW w:w="2411" w:type="dxa"/>
            <w:gridSpan w:val="3"/>
            <w:shd w:val="clear" w:color="auto" w:fill="auto"/>
            <w:tcMar>
              <w:top w:w="10" w:type="dxa"/>
              <w:left w:w="93" w:type="dxa"/>
              <w:bottom w:w="0" w:type="dxa"/>
              <w:right w:w="10" w:type="dxa"/>
            </w:tcMar>
            <w:vAlign w:val="center"/>
          </w:tcPr>
          <w:p w14:paraId="709AB7F3" w14:textId="77777777" w:rsidR="00A90E9C" w:rsidRPr="008A26D2" w:rsidRDefault="00A90E9C" w:rsidP="0072651A">
            <w:pPr>
              <w:tabs>
                <w:tab w:val="left" w:pos="3375"/>
              </w:tabs>
              <w:rPr>
                <w:rFonts w:ascii="Arial" w:hAnsi="Arial" w:cs="Arial"/>
                <w:sz w:val="20"/>
                <w:szCs w:val="20"/>
              </w:rPr>
            </w:pPr>
            <w:r w:rsidRPr="008A26D2">
              <w:rPr>
                <w:rFonts w:ascii="Arial" w:hAnsi="Arial" w:cs="Arial"/>
                <w:b/>
                <w:sz w:val="20"/>
                <w:szCs w:val="20"/>
              </w:rPr>
              <w:t>Supuestos:</w:t>
            </w:r>
          </w:p>
        </w:tc>
        <w:tc>
          <w:tcPr>
            <w:tcW w:w="6520" w:type="dxa"/>
            <w:gridSpan w:val="9"/>
            <w:shd w:val="clear" w:color="auto" w:fill="auto"/>
            <w:tcMar>
              <w:top w:w="51" w:type="dxa"/>
              <w:left w:w="227" w:type="dxa"/>
              <w:bottom w:w="51" w:type="dxa"/>
              <w:right w:w="227" w:type="dxa"/>
            </w:tcMar>
            <w:vAlign w:val="center"/>
          </w:tcPr>
          <w:p w14:paraId="7A8FEA0C" w14:textId="77777777" w:rsidR="00A90E9C" w:rsidRPr="008A26D2" w:rsidRDefault="00A90E9C" w:rsidP="0072651A">
            <w:pPr>
              <w:pStyle w:val="Default"/>
              <w:ind w:left="-103"/>
              <w:jc w:val="both"/>
              <w:rPr>
                <w:rFonts w:ascii="Arial" w:hAnsi="Arial" w:cs="Arial"/>
                <w:color w:val="auto"/>
                <w:sz w:val="20"/>
                <w:szCs w:val="20"/>
              </w:rPr>
            </w:pPr>
            <w:r w:rsidRPr="008A26D2">
              <w:rPr>
                <w:rFonts w:ascii="Arial" w:hAnsi="Arial" w:cs="Arial"/>
                <w:color w:val="auto"/>
                <w:sz w:val="20"/>
                <w:szCs w:val="20"/>
              </w:rPr>
              <w:t xml:space="preserve">Adecuada coordinación entre el CONCYTEC, SERFOR y PROCIENCIA para la búsqueda del financiamiento y captar más fondos de fuentes nacionales e internacionales. </w:t>
            </w:r>
          </w:p>
          <w:p w14:paraId="7E12C977" w14:textId="77777777" w:rsidR="00A90E9C" w:rsidRPr="008A26D2" w:rsidRDefault="00A90E9C" w:rsidP="0072651A">
            <w:pPr>
              <w:pStyle w:val="Default"/>
              <w:ind w:left="-103"/>
              <w:jc w:val="both"/>
              <w:rPr>
                <w:rFonts w:ascii="Arial" w:hAnsi="Arial" w:cs="Arial"/>
                <w:color w:val="auto"/>
                <w:sz w:val="20"/>
                <w:szCs w:val="20"/>
              </w:rPr>
            </w:pPr>
          </w:p>
          <w:p w14:paraId="31C7C4DB" w14:textId="77777777" w:rsidR="00A90E9C" w:rsidRPr="008A26D2" w:rsidRDefault="00A90E9C" w:rsidP="0072651A">
            <w:pPr>
              <w:pStyle w:val="Default"/>
              <w:ind w:left="-103"/>
              <w:jc w:val="both"/>
              <w:rPr>
                <w:rFonts w:ascii="Arial" w:hAnsi="Arial" w:cs="Arial"/>
                <w:color w:val="auto"/>
                <w:sz w:val="20"/>
                <w:szCs w:val="20"/>
              </w:rPr>
            </w:pPr>
            <w:r w:rsidRPr="008A26D2">
              <w:rPr>
                <w:rFonts w:ascii="Arial" w:hAnsi="Arial" w:cs="Arial"/>
                <w:color w:val="auto"/>
                <w:sz w:val="20"/>
                <w:szCs w:val="20"/>
              </w:rPr>
              <w:t xml:space="preserve">Disponibilidad de las entidades públicas y privadas nacionales y extranjeras para transferir o donar fondos al CONCYTEC para la subvención de actividades y proyectos de I+D+i en temas de forestal y fauna silvestre. </w:t>
            </w:r>
          </w:p>
          <w:p w14:paraId="57D7CB51" w14:textId="77777777" w:rsidR="00A90E9C" w:rsidRPr="008A26D2" w:rsidRDefault="00A90E9C" w:rsidP="0072651A">
            <w:pPr>
              <w:pStyle w:val="Default"/>
              <w:ind w:left="-103"/>
              <w:jc w:val="both"/>
              <w:rPr>
                <w:rFonts w:ascii="Arial" w:hAnsi="Arial" w:cs="Arial"/>
                <w:color w:val="auto"/>
                <w:sz w:val="20"/>
                <w:szCs w:val="20"/>
              </w:rPr>
            </w:pPr>
          </w:p>
          <w:p w14:paraId="0C9FC064" w14:textId="77777777" w:rsidR="00A90E9C" w:rsidRPr="008A26D2" w:rsidRDefault="00A90E9C" w:rsidP="0072651A">
            <w:pPr>
              <w:pStyle w:val="Default"/>
              <w:ind w:left="-103"/>
              <w:jc w:val="both"/>
              <w:rPr>
                <w:rFonts w:ascii="Arial" w:hAnsi="Arial" w:cs="Arial"/>
                <w:color w:val="auto"/>
                <w:sz w:val="20"/>
                <w:szCs w:val="20"/>
              </w:rPr>
            </w:pPr>
            <w:r w:rsidRPr="008A26D2">
              <w:rPr>
                <w:rFonts w:ascii="Arial" w:hAnsi="Arial" w:cs="Arial"/>
                <w:color w:val="auto"/>
                <w:sz w:val="20"/>
                <w:szCs w:val="20"/>
              </w:rPr>
              <w:t xml:space="preserve">Interés de las entidades públicas y privadas del SINACYT en realizar actividades y proyectos de I+D+i en temas de forestal y fauna silvestre. </w:t>
            </w:r>
          </w:p>
        </w:tc>
      </w:tr>
      <w:tr w:rsidR="008A26D2" w:rsidRPr="008A26D2" w14:paraId="23AF8FF7" w14:textId="77777777" w:rsidTr="00583091">
        <w:trPr>
          <w:trHeight w:val="556"/>
        </w:trPr>
        <w:tc>
          <w:tcPr>
            <w:tcW w:w="708" w:type="dxa"/>
            <w:shd w:val="clear" w:color="auto" w:fill="auto"/>
            <w:tcMar>
              <w:top w:w="10" w:type="dxa"/>
              <w:left w:w="10" w:type="dxa"/>
              <w:bottom w:w="0" w:type="dxa"/>
              <w:right w:w="10" w:type="dxa"/>
            </w:tcMar>
            <w:vAlign w:val="center"/>
          </w:tcPr>
          <w:p w14:paraId="291A5241" w14:textId="77777777" w:rsidR="00A90E9C" w:rsidRPr="008A26D2" w:rsidRDefault="00A90E9C" w:rsidP="0072651A">
            <w:pPr>
              <w:tabs>
                <w:tab w:val="left" w:pos="3375"/>
              </w:tabs>
              <w:rPr>
                <w:rFonts w:ascii="Arial" w:hAnsi="Arial" w:cs="Arial"/>
                <w:sz w:val="20"/>
                <w:szCs w:val="20"/>
              </w:rPr>
            </w:pPr>
            <w:r w:rsidRPr="008A26D2">
              <w:rPr>
                <w:rFonts w:ascii="Arial" w:hAnsi="Arial" w:cs="Arial"/>
                <w:b/>
                <w:sz w:val="20"/>
                <w:szCs w:val="20"/>
              </w:rPr>
              <w:t> </w:t>
            </w:r>
          </w:p>
        </w:tc>
        <w:tc>
          <w:tcPr>
            <w:tcW w:w="994" w:type="dxa"/>
            <w:shd w:val="clear" w:color="auto" w:fill="auto"/>
            <w:tcMar>
              <w:top w:w="10" w:type="dxa"/>
              <w:left w:w="10" w:type="dxa"/>
              <w:bottom w:w="0" w:type="dxa"/>
              <w:right w:w="10" w:type="dxa"/>
            </w:tcMar>
            <w:vAlign w:val="center"/>
          </w:tcPr>
          <w:p w14:paraId="71D24414" w14:textId="77777777" w:rsidR="00A90E9C" w:rsidRPr="008A26D2" w:rsidRDefault="00A90E9C" w:rsidP="00421113">
            <w:pPr>
              <w:tabs>
                <w:tab w:val="left" w:pos="3375"/>
              </w:tabs>
              <w:jc w:val="center"/>
              <w:rPr>
                <w:rFonts w:ascii="Arial" w:hAnsi="Arial" w:cs="Arial"/>
                <w:sz w:val="20"/>
                <w:szCs w:val="20"/>
              </w:rPr>
            </w:pPr>
            <w:r w:rsidRPr="008A26D2">
              <w:rPr>
                <w:rFonts w:ascii="Arial" w:hAnsi="Arial" w:cs="Arial"/>
                <w:b/>
                <w:sz w:val="20"/>
                <w:szCs w:val="20"/>
              </w:rPr>
              <w:t>Línea de base</w:t>
            </w:r>
          </w:p>
        </w:tc>
        <w:tc>
          <w:tcPr>
            <w:tcW w:w="7229" w:type="dxa"/>
            <w:gridSpan w:val="10"/>
            <w:shd w:val="clear" w:color="auto" w:fill="auto"/>
            <w:tcMar>
              <w:top w:w="10" w:type="dxa"/>
              <w:left w:w="10" w:type="dxa"/>
              <w:bottom w:w="0" w:type="dxa"/>
              <w:right w:w="10" w:type="dxa"/>
            </w:tcMar>
            <w:vAlign w:val="center"/>
          </w:tcPr>
          <w:p w14:paraId="2A8AA383" w14:textId="77777777" w:rsidR="00A90E9C" w:rsidRPr="008A26D2" w:rsidRDefault="00A90E9C" w:rsidP="008C34CF">
            <w:pPr>
              <w:tabs>
                <w:tab w:val="left" w:pos="3375"/>
              </w:tabs>
              <w:jc w:val="center"/>
              <w:rPr>
                <w:rFonts w:ascii="Arial" w:hAnsi="Arial" w:cs="Arial"/>
                <w:sz w:val="20"/>
                <w:szCs w:val="20"/>
              </w:rPr>
            </w:pPr>
            <w:r w:rsidRPr="008A26D2">
              <w:rPr>
                <w:rFonts w:ascii="Arial" w:hAnsi="Arial" w:cs="Arial"/>
                <w:b/>
                <w:sz w:val="20"/>
                <w:szCs w:val="20"/>
              </w:rPr>
              <w:t>Logros esperados</w:t>
            </w:r>
          </w:p>
        </w:tc>
      </w:tr>
      <w:tr w:rsidR="008A26D2" w:rsidRPr="008A26D2" w14:paraId="2B983359" w14:textId="77777777" w:rsidTr="00583091">
        <w:trPr>
          <w:trHeight w:val="217"/>
        </w:trPr>
        <w:tc>
          <w:tcPr>
            <w:tcW w:w="708" w:type="dxa"/>
            <w:shd w:val="clear" w:color="auto" w:fill="auto"/>
            <w:tcMar>
              <w:top w:w="10" w:type="dxa"/>
              <w:left w:w="10" w:type="dxa"/>
              <w:bottom w:w="0" w:type="dxa"/>
              <w:right w:w="10" w:type="dxa"/>
            </w:tcMar>
            <w:vAlign w:val="center"/>
          </w:tcPr>
          <w:p w14:paraId="2132B320" w14:textId="77777777" w:rsidR="00A90E9C" w:rsidRPr="008A26D2" w:rsidRDefault="00A90E9C" w:rsidP="0072651A">
            <w:pPr>
              <w:tabs>
                <w:tab w:val="left" w:pos="3375"/>
              </w:tabs>
              <w:rPr>
                <w:rFonts w:ascii="Arial" w:hAnsi="Arial" w:cs="Arial"/>
                <w:sz w:val="20"/>
                <w:szCs w:val="20"/>
              </w:rPr>
            </w:pPr>
            <w:r w:rsidRPr="008A26D2">
              <w:rPr>
                <w:rFonts w:ascii="Arial" w:hAnsi="Arial" w:cs="Arial"/>
                <w:b/>
                <w:sz w:val="20"/>
                <w:szCs w:val="20"/>
              </w:rPr>
              <w:t>Año</w:t>
            </w:r>
          </w:p>
        </w:tc>
        <w:tc>
          <w:tcPr>
            <w:tcW w:w="994" w:type="dxa"/>
            <w:shd w:val="clear" w:color="auto" w:fill="auto"/>
            <w:tcMar>
              <w:top w:w="10" w:type="dxa"/>
              <w:left w:w="10" w:type="dxa"/>
              <w:bottom w:w="0" w:type="dxa"/>
              <w:right w:w="10" w:type="dxa"/>
            </w:tcMar>
            <w:vAlign w:val="center"/>
          </w:tcPr>
          <w:p w14:paraId="310E958A" w14:textId="77777777" w:rsidR="00A90E9C" w:rsidRPr="008A26D2" w:rsidRDefault="00A90E9C" w:rsidP="00421113">
            <w:pPr>
              <w:tabs>
                <w:tab w:val="left" w:pos="3375"/>
              </w:tabs>
              <w:jc w:val="center"/>
              <w:rPr>
                <w:rFonts w:ascii="Arial" w:hAnsi="Arial" w:cs="Arial"/>
                <w:b/>
                <w:sz w:val="20"/>
                <w:szCs w:val="20"/>
              </w:rPr>
            </w:pPr>
            <w:r w:rsidRPr="008A26D2">
              <w:rPr>
                <w:rFonts w:ascii="Arial" w:hAnsi="Arial" w:cs="Arial"/>
                <w:b/>
                <w:sz w:val="20"/>
                <w:szCs w:val="20"/>
              </w:rPr>
              <w:t>2021</w:t>
            </w:r>
          </w:p>
        </w:tc>
        <w:tc>
          <w:tcPr>
            <w:tcW w:w="992" w:type="dxa"/>
            <w:gridSpan w:val="2"/>
            <w:shd w:val="clear" w:color="auto" w:fill="auto"/>
            <w:tcMar>
              <w:top w:w="10" w:type="dxa"/>
              <w:left w:w="10" w:type="dxa"/>
              <w:bottom w:w="0" w:type="dxa"/>
              <w:right w:w="10" w:type="dxa"/>
            </w:tcMar>
            <w:vAlign w:val="center"/>
          </w:tcPr>
          <w:p w14:paraId="178B8A7B" w14:textId="77777777" w:rsidR="00A90E9C" w:rsidRPr="008A26D2" w:rsidRDefault="00A90E9C" w:rsidP="008C34CF">
            <w:pPr>
              <w:tabs>
                <w:tab w:val="left" w:pos="3375"/>
              </w:tabs>
              <w:jc w:val="center"/>
              <w:rPr>
                <w:rFonts w:ascii="Arial" w:hAnsi="Arial" w:cs="Arial"/>
                <w:b/>
                <w:sz w:val="20"/>
                <w:szCs w:val="20"/>
              </w:rPr>
            </w:pPr>
            <w:r w:rsidRPr="008A26D2">
              <w:rPr>
                <w:rFonts w:ascii="Arial" w:hAnsi="Arial" w:cs="Arial"/>
                <w:b/>
                <w:sz w:val="20"/>
                <w:szCs w:val="20"/>
              </w:rPr>
              <w:t>2023</w:t>
            </w:r>
          </w:p>
        </w:tc>
        <w:tc>
          <w:tcPr>
            <w:tcW w:w="1007" w:type="dxa"/>
            <w:shd w:val="clear" w:color="auto" w:fill="auto"/>
            <w:vAlign w:val="center"/>
          </w:tcPr>
          <w:p w14:paraId="5F4C3EC3" w14:textId="77777777" w:rsidR="00A90E9C" w:rsidRPr="008A26D2" w:rsidRDefault="00A90E9C" w:rsidP="008C34CF">
            <w:pPr>
              <w:tabs>
                <w:tab w:val="left" w:pos="3375"/>
              </w:tabs>
              <w:jc w:val="center"/>
              <w:rPr>
                <w:rFonts w:ascii="Arial" w:hAnsi="Arial" w:cs="Arial"/>
                <w:b/>
                <w:sz w:val="20"/>
                <w:szCs w:val="20"/>
              </w:rPr>
            </w:pPr>
            <w:r w:rsidRPr="008A26D2">
              <w:rPr>
                <w:rFonts w:ascii="Arial" w:hAnsi="Arial" w:cs="Arial"/>
                <w:b/>
                <w:sz w:val="20"/>
                <w:szCs w:val="20"/>
              </w:rPr>
              <w:t>2024</w:t>
            </w:r>
          </w:p>
        </w:tc>
        <w:tc>
          <w:tcPr>
            <w:tcW w:w="993" w:type="dxa"/>
            <w:gridSpan w:val="2"/>
            <w:shd w:val="clear" w:color="auto" w:fill="auto"/>
            <w:vAlign w:val="center"/>
          </w:tcPr>
          <w:p w14:paraId="0B10B3E2" w14:textId="77777777" w:rsidR="00A90E9C" w:rsidRPr="008A26D2" w:rsidRDefault="00A90E9C" w:rsidP="008C34CF">
            <w:pPr>
              <w:tabs>
                <w:tab w:val="left" w:pos="3375"/>
              </w:tabs>
              <w:jc w:val="center"/>
              <w:rPr>
                <w:rFonts w:ascii="Arial" w:hAnsi="Arial" w:cs="Arial"/>
                <w:b/>
                <w:sz w:val="20"/>
                <w:szCs w:val="20"/>
              </w:rPr>
            </w:pPr>
            <w:r w:rsidRPr="008A26D2">
              <w:rPr>
                <w:rFonts w:ascii="Arial" w:hAnsi="Arial" w:cs="Arial"/>
                <w:b/>
                <w:sz w:val="20"/>
                <w:szCs w:val="20"/>
              </w:rPr>
              <w:t>2025</w:t>
            </w:r>
          </w:p>
        </w:tc>
        <w:tc>
          <w:tcPr>
            <w:tcW w:w="992" w:type="dxa"/>
            <w:shd w:val="clear" w:color="auto" w:fill="auto"/>
            <w:vAlign w:val="center"/>
          </w:tcPr>
          <w:p w14:paraId="1AD18DF1" w14:textId="77777777" w:rsidR="00A90E9C" w:rsidRPr="008A26D2" w:rsidRDefault="00A90E9C" w:rsidP="008C34CF">
            <w:pPr>
              <w:tabs>
                <w:tab w:val="left" w:pos="3375"/>
              </w:tabs>
              <w:jc w:val="center"/>
              <w:rPr>
                <w:rFonts w:ascii="Arial" w:hAnsi="Arial" w:cs="Arial"/>
                <w:b/>
                <w:sz w:val="20"/>
                <w:szCs w:val="20"/>
              </w:rPr>
            </w:pPr>
            <w:r w:rsidRPr="008A26D2">
              <w:rPr>
                <w:rFonts w:ascii="Arial" w:hAnsi="Arial" w:cs="Arial"/>
                <w:b/>
                <w:sz w:val="20"/>
                <w:szCs w:val="20"/>
              </w:rPr>
              <w:t>2026</w:t>
            </w:r>
          </w:p>
        </w:tc>
        <w:tc>
          <w:tcPr>
            <w:tcW w:w="992" w:type="dxa"/>
            <w:shd w:val="clear" w:color="auto" w:fill="auto"/>
            <w:vAlign w:val="center"/>
          </w:tcPr>
          <w:p w14:paraId="743F09CD" w14:textId="77777777" w:rsidR="00A90E9C" w:rsidRPr="008A26D2" w:rsidRDefault="00A90E9C" w:rsidP="008C34CF">
            <w:pPr>
              <w:tabs>
                <w:tab w:val="left" w:pos="3375"/>
              </w:tabs>
              <w:jc w:val="center"/>
              <w:rPr>
                <w:rFonts w:ascii="Arial" w:hAnsi="Arial" w:cs="Arial"/>
                <w:b/>
                <w:sz w:val="20"/>
                <w:szCs w:val="20"/>
              </w:rPr>
            </w:pPr>
            <w:r w:rsidRPr="008A26D2">
              <w:rPr>
                <w:rFonts w:ascii="Arial" w:hAnsi="Arial" w:cs="Arial"/>
                <w:b/>
                <w:sz w:val="20"/>
                <w:szCs w:val="20"/>
              </w:rPr>
              <w:t>2027</w:t>
            </w:r>
          </w:p>
        </w:tc>
        <w:tc>
          <w:tcPr>
            <w:tcW w:w="836" w:type="dxa"/>
            <w:shd w:val="clear" w:color="auto" w:fill="auto"/>
            <w:vAlign w:val="center"/>
          </w:tcPr>
          <w:p w14:paraId="3167E09B" w14:textId="77777777" w:rsidR="00A90E9C" w:rsidRPr="008A26D2" w:rsidRDefault="00A90E9C" w:rsidP="008C34CF">
            <w:pPr>
              <w:tabs>
                <w:tab w:val="left" w:pos="3375"/>
              </w:tabs>
              <w:jc w:val="center"/>
              <w:rPr>
                <w:rFonts w:ascii="Arial" w:hAnsi="Arial" w:cs="Arial"/>
                <w:b/>
                <w:sz w:val="20"/>
                <w:szCs w:val="20"/>
              </w:rPr>
            </w:pPr>
            <w:r w:rsidRPr="008A26D2">
              <w:rPr>
                <w:rFonts w:ascii="Arial" w:hAnsi="Arial" w:cs="Arial"/>
                <w:b/>
                <w:sz w:val="20"/>
                <w:szCs w:val="20"/>
              </w:rPr>
              <w:t>2028</w:t>
            </w:r>
          </w:p>
        </w:tc>
        <w:tc>
          <w:tcPr>
            <w:tcW w:w="865" w:type="dxa"/>
            <w:shd w:val="clear" w:color="auto" w:fill="auto"/>
            <w:vAlign w:val="center"/>
          </w:tcPr>
          <w:p w14:paraId="792059C5" w14:textId="77777777" w:rsidR="00A90E9C" w:rsidRPr="008A26D2" w:rsidRDefault="00A90E9C" w:rsidP="008C34CF">
            <w:pPr>
              <w:tabs>
                <w:tab w:val="left" w:pos="3375"/>
              </w:tabs>
              <w:jc w:val="center"/>
              <w:rPr>
                <w:rFonts w:ascii="Arial" w:hAnsi="Arial" w:cs="Arial"/>
                <w:b/>
                <w:sz w:val="20"/>
                <w:szCs w:val="20"/>
              </w:rPr>
            </w:pPr>
            <w:r w:rsidRPr="008A26D2">
              <w:rPr>
                <w:rFonts w:ascii="Arial" w:hAnsi="Arial" w:cs="Arial"/>
                <w:b/>
                <w:sz w:val="20"/>
                <w:szCs w:val="20"/>
              </w:rPr>
              <w:t>2029</w:t>
            </w:r>
          </w:p>
        </w:tc>
        <w:tc>
          <w:tcPr>
            <w:tcW w:w="552" w:type="dxa"/>
            <w:shd w:val="clear" w:color="auto" w:fill="auto"/>
            <w:tcMar>
              <w:top w:w="10" w:type="dxa"/>
              <w:left w:w="10" w:type="dxa"/>
              <w:bottom w:w="0" w:type="dxa"/>
              <w:right w:w="10" w:type="dxa"/>
            </w:tcMar>
            <w:vAlign w:val="center"/>
          </w:tcPr>
          <w:p w14:paraId="6920D4FF" w14:textId="77777777" w:rsidR="00A90E9C" w:rsidRPr="008A26D2" w:rsidRDefault="00A90E9C" w:rsidP="008C34CF">
            <w:pPr>
              <w:tabs>
                <w:tab w:val="left" w:pos="3375"/>
              </w:tabs>
              <w:jc w:val="center"/>
              <w:rPr>
                <w:rFonts w:ascii="Arial" w:hAnsi="Arial" w:cs="Arial"/>
                <w:b/>
                <w:sz w:val="20"/>
                <w:szCs w:val="20"/>
              </w:rPr>
            </w:pPr>
            <w:r w:rsidRPr="008A26D2">
              <w:rPr>
                <w:rFonts w:ascii="Arial" w:hAnsi="Arial" w:cs="Arial"/>
                <w:b/>
                <w:sz w:val="20"/>
                <w:szCs w:val="20"/>
              </w:rPr>
              <w:t>2030</w:t>
            </w:r>
          </w:p>
        </w:tc>
      </w:tr>
      <w:tr w:rsidR="008A26D2" w:rsidRPr="008A26D2" w14:paraId="50637F97" w14:textId="77777777" w:rsidTr="00583091">
        <w:trPr>
          <w:trHeight w:val="81"/>
        </w:trPr>
        <w:tc>
          <w:tcPr>
            <w:tcW w:w="708" w:type="dxa"/>
            <w:shd w:val="clear" w:color="auto" w:fill="auto"/>
            <w:tcMar>
              <w:top w:w="10" w:type="dxa"/>
              <w:left w:w="10" w:type="dxa"/>
              <w:bottom w:w="0" w:type="dxa"/>
              <w:right w:w="10" w:type="dxa"/>
            </w:tcMar>
            <w:vAlign w:val="center"/>
          </w:tcPr>
          <w:p w14:paraId="08F6A8B7" w14:textId="77777777" w:rsidR="00A90E9C" w:rsidRPr="008A26D2" w:rsidRDefault="00A90E9C" w:rsidP="0072651A">
            <w:pPr>
              <w:tabs>
                <w:tab w:val="left" w:pos="3375"/>
              </w:tabs>
              <w:rPr>
                <w:rFonts w:ascii="Arial" w:hAnsi="Arial" w:cs="Arial"/>
                <w:sz w:val="20"/>
                <w:szCs w:val="20"/>
              </w:rPr>
            </w:pPr>
            <w:r w:rsidRPr="008A26D2">
              <w:rPr>
                <w:rFonts w:ascii="Arial" w:hAnsi="Arial" w:cs="Arial"/>
                <w:b/>
                <w:sz w:val="20"/>
                <w:szCs w:val="20"/>
              </w:rPr>
              <w:t>Valor</w:t>
            </w:r>
          </w:p>
        </w:tc>
        <w:tc>
          <w:tcPr>
            <w:tcW w:w="994" w:type="dxa"/>
            <w:shd w:val="clear" w:color="auto" w:fill="auto"/>
            <w:tcMar>
              <w:top w:w="10" w:type="dxa"/>
              <w:left w:w="10" w:type="dxa"/>
              <w:bottom w:w="0" w:type="dxa"/>
              <w:right w:w="10" w:type="dxa"/>
            </w:tcMar>
            <w:vAlign w:val="center"/>
          </w:tcPr>
          <w:p w14:paraId="79B31D9D" w14:textId="414F0D4E" w:rsidR="00A90E9C" w:rsidRPr="008A26D2" w:rsidRDefault="00A90E9C" w:rsidP="008C34CF">
            <w:pPr>
              <w:tabs>
                <w:tab w:val="left" w:pos="3375"/>
              </w:tabs>
              <w:jc w:val="center"/>
              <w:rPr>
                <w:rFonts w:ascii="Arial" w:hAnsi="Arial" w:cs="Arial"/>
                <w:sz w:val="20"/>
                <w:szCs w:val="20"/>
              </w:rPr>
            </w:pPr>
            <w:r w:rsidRPr="008A26D2">
              <w:rPr>
                <w:rFonts w:ascii="Arial" w:hAnsi="Arial" w:cs="Arial"/>
                <w:sz w:val="20"/>
                <w:szCs w:val="20"/>
              </w:rPr>
              <w:t>0</w:t>
            </w:r>
            <w:r w:rsidR="00AF2EB1" w:rsidRPr="008A26D2">
              <w:rPr>
                <w:rFonts w:ascii="Arial" w:hAnsi="Arial" w:cs="Arial"/>
                <w:sz w:val="20"/>
                <w:szCs w:val="20"/>
              </w:rPr>
              <w:t>%</w:t>
            </w:r>
          </w:p>
        </w:tc>
        <w:tc>
          <w:tcPr>
            <w:tcW w:w="992" w:type="dxa"/>
            <w:gridSpan w:val="2"/>
            <w:shd w:val="clear" w:color="auto" w:fill="auto"/>
            <w:tcMar>
              <w:top w:w="10" w:type="dxa"/>
              <w:left w:w="10" w:type="dxa"/>
              <w:bottom w:w="0" w:type="dxa"/>
              <w:right w:w="10" w:type="dxa"/>
            </w:tcMar>
            <w:vAlign w:val="center"/>
          </w:tcPr>
          <w:p w14:paraId="67840585" w14:textId="77777777" w:rsidR="00A90E9C" w:rsidRPr="008A26D2" w:rsidRDefault="00A90E9C" w:rsidP="008C34CF">
            <w:pPr>
              <w:tabs>
                <w:tab w:val="left" w:pos="3375"/>
              </w:tabs>
              <w:jc w:val="center"/>
              <w:rPr>
                <w:rFonts w:ascii="Arial" w:hAnsi="Arial" w:cs="Arial"/>
                <w:sz w:val="20"/>
                <w:szCs w:val="20"/>
              </w:rPr>
            </w:pPr>
            <w:r w:rsidRPr="008A26D2">
              <w:rPr>
                <w:rFonts w:ascii="Arial" w:hAnsi="Arial" w:cs="Arial"/>
                <w:sz w:val="20"/>
                <w:szCs w:val="20"/>
              </w:rPr>
              <w:t>1%</w:t>
            </w:r>
          </w:p>
        </w:tc>
        <w:tc>
          <w:tcPr>
            <w:tcW w:w="1007" w:type="dxa"/>
            <w:shd w:val="clear" w:color="auto" w:fill="auto"/>
            <w:vAlign w:val="center"/>
          </w:tcPr>
          <w:p w14:paraId="4ED4B853" w14:textId="77777777" w:rsidR="00A90E9C" w:rsidRPr="008A26D2" w:rsidRDefault="00A90E9C" w:rsidP="008C34CF">
            <w:pPr>
              <w:tabs>
                <w:tab w:val="left" w:pos="3375"/>
              </w:tabs>
              <w:jc w:val="center"/>
              <w:rPr>
                <w:rFonts w:ascii="Arial" w:hAnsi="Arial" w:cs="Arial"/>
                <w:sz w:val="20"/>
                <w:szCs w:val="20"/>
              </w:rPr>
            </w:pPr>
            <w:r w:rsidRPr="008A26D2">
              <w:rPr>
                <w:rFonts w:ascii="Arial" w:hAnsi="Arial" w:cs="Arial"/>
                <w:sz w:val="20"/>
                <w:szCs w:val="20"/>
              </w:rPr>
              <w:t>1.1%</w:t>
            </w:r>
          </w:p>
        </w:tc>
        <w:tc>
          <w:tcPr>
            <w:tcW w:w="993" w:type="dxa"/>
            <w:gridSpan w:val="2"/>
            <w:shd w:val="clear" w:color="auto" w:fill="auto"/>
            <w:vAlign w:val="center"/>
          </w:tcPr>
          <w:p w14:paraId="51B02F67" w14:textId="77777777" w:rsidR="00A90E9C" w:rsidRPr="008A26D2" w:rsidRDefault="00A90E9C" w:rsidP="008C34CF">
            <w:pPr>
              <w:tabs>
                <w:tab w:val="left" w:pos="3375"/>
              </w:tabs>
              <w:jc w:val="center"/>
              <w:rPr>
                <w:rFonts w:ascii="Arial" w:hAnsi="Arial" w:cs="Arial"/>
                <w:sz w:val="20"/>
                <w:szCs w:val="20"/>
              </w:rPr>
            </w:pPr>
            <w:r w:rsidRPr="008A26D2">
              <w:rPr>
                <w:rFonts w:ascii="Arial" w:hAnsi="Arial" w:cs="Arial"/>
                <w:sz w:val="20"/>
                <w:szCs w:val="20"/>
              </w:rPr>
              <w:t>1.25%</w:t>
            </w:r>
          </w:p>
        </w:tc>
        <w:tc>
          <w:tcPr>
            <w:tcW w:w="992" w:type="dxa"/>
            <w:shd w:val="clear" w:color="auto" w:fill="auto"/>
            <w:vAlign w:val="center"/>
          </w:tcPr>
          <w:p w14:paraId="6F1767CB" w14:textId="77777777" w:rsidR="00A90E9C" w:rsidRPr="008A26D2" w:rsidRDefault="00A90E9C" w:rsidP="008C34CF">
            <w:pPr>
              <w:tabs>
                <w:tab w:val="left" w:pos="3375"/>
              </w:tabs>
              <w:jc w:val="center"/>
              <w:rPr>
                <w:rFonts w:ascii="Arial" w:hAnsi="Arial" w:cs="Arial"/>
                <w:sz w:val="20"/>
                <w:szCs w:val="20"/>
              </w:rPr>
            </w:pPr>
            <w:r w:rsidRPr="008A26D2">
              <w:rPr>
                <w:rFonts w:ascii="Arial" w:hAnsi="Arial" w:cs="Arial"/>
                <w:sz w:val="20"/>
                <w:szCs w:val="20"/>
              </w:rPr>
              <w:t>1.4%</w:t>
            </w:r>
          </w:p>
        </w:tc>
        <w:tc>
          <w:tcPr>
            <w:tcW w:w="992" w:type="dxa"/>
            <w:shd w:val="clear" w:color="auto" w:fill="auto"/>
            <w:vAlign w:val="center"/>
          </w:tcPr>
          <w:p w14:paraId="6FF5CDBB" w14:textId="77777777" w:rsidR="00A90E9C" w:rsidRPr="008A26D2" w:rsidRDefault="00A90E9C" w:rsidP="008C34CF">
            <w:pPr>
              <w:tabs>
                <w:tab w:val="left" w:pos="3375"/>
              </w:tabs>
              <w:jc w:val="center"/>
              <w:rPr>
                <w:rFonts w:ascii="Arial" w:hAnsi="Arial" w:cs="Arial"/>
                <w:sz w:val="20"/>
                <w:szCs w:val="20"/>
              </w:rPr>
            </w:pPr>
            <w:r w:rsidRPr="008A26D2">
              <w:rPr>
                <w:rFonts w:ascii="Arial" w:hAnsi="Arial" w:cs="Arial"/>
                <w:sz w:val="20"/>
                <w:szCs w:val="20"/>
              </w:rPr>
              <w:t>1.55%</w:t>
            </w:r>
          </w:p>
        </w:tc>
        <w:tc>
          <w:tcPr>
            <w:tcW w:w="836" w:type="dxa"/>
            <w:shd w:val="clear" w:color="auto" w:fill="auto"/>
            <w:vAlign w:val="center"/>
          </w:tcPr>
          <w:p w14:paraId="43E269DB" w14:textId="77777777" w:rsidR="00A90E9C" w:rsidRPr="008A26D2" w:rsidRDefault="00A90E9C" w:rsidP="008C34CF">
            <w:pPr>
              <w:tabs>
                <w:tab w:val="left" w:pos="3375"/>
              </w:tabs>
              <w:jc w:val="center"/>
              <w:rPr>
                <w:rFonts w:ascii="Arial" w:hAnsi="Arial" w:cs="Arial"/>
                <w:sz w:val="20"/>
                <w:szCs w:val="20"/>
              </w:rPr>
            </w:pPr>
            <w:r w:rsidRPr="008A26D2">
              <w:rPr>
                <w:rFonts w:ascii="Arial" w:hAnsi="Arial" w:cs="Arial"/>
                <w:sz w:val="20"/>
                <w:szCs w:val="20"/>
              </w:rPr>
              <w:t>1,7%</w:t>
            </w:r>
          </w:p>
        </w:tc>
        <w:tc>
          <w:tcPr>
            <w:tcW w:w="865" w:type="dxa"/>
            <w:shd w:val="clear" w:color="auto" w:fill="auto"/>
            <w:vAlign w:val="center"/>
          </w:tcPr>
          <w:p w14:paraId="6003D830" w14:textId="77777777" w:rsidR="00A90E9C" w:rsidRPr="008A26D2" w:rsidRDefault="00A90E9C" w:rsidP="008C34CF">
            <w:pPr>
              <w:tabs>
                <w:tab w:val="left" w:pos="3375"/>
              </w:tabs>
              <w:jc w:val="center"/>
              <w:rPr>
                <w:rFonts w:ascii="Arial" w:hAnsi="Arial" w:cs="Arial"/>
                <w:sz w:val="20"/>
                <w:szCs w:val="20"/>
              </w:rPr>
            </w:pPr>
            <w:r w:rsidRPr="008A26D2">
              <w:rPr>
                <w:rFonts w:ascii="Arial" w:hAnsi="Arial" w:cs="Arial"/>
                <w:sz w:val="20"/>
                <w:szCs w:val="20"/>
              </w:rPr>
              <w:t>1.85%</w:t>
            </w:r>
          </w:p>
        </w:tc>
        <w:tc>
          <w:tcPr>
            <w:tcW w:w="552" w:type="dxa"/>
            <w:shd w:val="clear" w:color="auto" w:fill="auto"/>
            <w:tcMar>
              <w:top w:w="10" w:type="dxa"/>
              <w:left w:w="10" w:type="dxa"/>
              <w:bottom w:w="0" w:type="dxa"/>
              <w:right w:w="10" w:type="dxa"/>
            </w:tcMar>
            <w:vAlign w:val="center"/>
          </w:tcPr>
          <w:p w14:paraId="0E899D48" w14:textId="77777777" w:rsidR="00A90E9C" w:rsidRPr="008A26D2" w:rsidRDefault="00A90E9C" w:rsidP="008C34CF">
            <w:pPr>
              <w:tabs>
                <w:tab w:val="left" w:pos="3375"/>
              </w:tabs>
              <w:jc w:val="center"/>
              <w:rPr>
                <w:rFonts w:ascii="Arial" w:hAnsi="Arial" w:cs="Arial"/>
                <w:sz w:val="20"/>
                <w:szCs w:val="20"/>
              </w:rPr>
            </w:pPr>
            <w:r w:rsidRPr="008A26D2">
              <w:rPr>
                <w:rFonts w:ascii="Arial" w:hAnsi="Arial" w:cs="Arial"/>
                <w:sz w:val="20"/>
                <w:szCs w:val="20"/>
              </w:rPr>
              <w:t>2%</w:t>
            </w:r>
          </w:p>
        </w:tc>
      </w:tr>
    </w:tbl>
    <w:p w14:paraId="142292AF" w14:textId="77777777" w:rsidR="00A90E9C" w:rsidRPr="008A26D2" w:rsidRDefault="00A90E9C" w:rsidP="00A90E9C"/>
    <w:p w14:paraId="78C96D98" w14:textId="684325FC" w:rsidR="009B3845" w:rsidRPr="008A26D2" w:rsidRDefault="009B3845" w:rsidP="009B3845"/>
    <w:tbl>
      <w:tblPr>
        <w:tblW w:w="8931"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2"/>
        <w:gridCol w:w="1260"/>
        <w:gridCol w:w="976"/>
        <w:gridCol w:w="725"/>
        <w:gridCol w:w="126"/>
        <w:gridCol w:w="850"/>
        <w:gridCol w:w="851"/>
        <w:gridCol w:w="725"/>
        <w:gridCol w:w="573"/>
        <w:gridCol w:w="136"/>
        <w:gridCol w:w="708"/>
        <w:gridCol w:w="709"/>
      </w:tblGrid>
      <w:tr w:rsidR="008A26D2" w:rsidRPr="008A26D2" w14:paraId="23ECF081" w14:textId="77777777" w:rsidTr="00583091">
        <w:trPr>
          <w:trHeight w:val="251"/>
        </w:trPr>
        <w:tc>
          <w:tcPr>
            <w:tcW w:w="8931" w:type="dxa"/>
            <w:gridSpan w:val="12"/>
            <w:shd w:val="clear" w:color="auto" w:fill="D9D9D9" w:themeFill="background1" w:themeFillShade="D9"/>
            <w:tcMar>
              <w:top w:w="10" w:type="dxa"/>
              <w:left w:w="10" w:type="dxa"/>
              <w:bottom w:w="0" w:type="dxa"/>
              <w:right w:w="10" w:type="dxa"/>
            </w:tcMar>
            <w:vAlign w:val="center"/>
          </w:tcPr>
          <w:p w14:paraId="627E576E" w14:textId="7FD38E2A" w:rsidR="009B3845" w:rsidRPr="008A26D2" w:rsidRDefault="009B3845" w:rsidP="009B3845">
            <w:pPr>
              <w:tabs>
                <w:tab w:val="left" w:pos="3375"/>
              </w:tabs>
              <w:spacing w:after="0" w:line="240" w:lineRule="auto"/>
              <w:jc w:val="center"/>
              <w:rPr>
                <w:rFonts w:ascii="Arial" w:hAnsi="Arial" w:cs="Arial"/>
                <w:sz w:val="20"/>
                <w:szCs w:val="20"/>
              </w:rPr>
            </w:pPr>
            <w:r w:rsidRPr="008A26D2">
              <w:rPr>
                <w:rFonts w:ascii="Arial" w:hAnsi="Arial" w:cs="Arial"/>
                <w:sz w:val="20"/>
                <w:szCs w:val="20"/>
              </w:rPr>
              <w:br w:type="page"/>
            </w:r>
            <w:r w:rsidRPr="008A26D2">
              <w:rPr>
                <w:rFonts w:ascii="Arial" w:hAnsi="Arial" w:cs="Arial"/>
                <w:b/>
                <w:sz w:val="20"/>
                <w:szCs w:val="20"/>
              </w:rPr>
              <w:t>FICHA TÉCNICA DE INDICADOR DE SERVICIO 2.4.</w:t>
            </w:r>
            <w:r w:rsidR="00C63F93" w:rsidRPr="008A26D2">
              <w:rPr>
                <w:rFonts w:ascii="Arial" w:hAnsi="Arial" w:cs="Arial"/>
                <w:b/>
                <w:sz w:val="20"/>
                <w:szCs w:val="20"/>
              </w:rPr>
              <w:t>3</w:t>
            </w:r>
            <w:r w:rsidRPr="008A26D2">
              <w:rPr>
                <w:rFonts w:ascii="Arial" w:hAnsi="Arial" w:cs="Arial"/>
                <w:b/>
                <w:sz w:val="20"/>
                <w:szCs w:val="20"/>
              </w:rPr>
              <w:t xml:space="preserve"> - CALIDAD</w:t>
            </w:r>
          </w:p>
        </w:tc>
      </w:tr>
      <w:tr w:rsidR="008A26D2" w:rsidRPr="008A26D2" w14:paraId="2DB3D6CB" w14:textId="77777777" w:rsidTr="00583091">
        <w:trPr>
          <w:trHeight w:val="409"/>
        </w:trPr>
        <w:tc>
          <w:tcPr>
            <w:tcW w:w="2552" w:type="dxa"/>
            <w:gridSpan w:val="2"/>
            <w:shd w:val="clear" w:color="auto" w:fill="FFFFFF"/>
            <w:tcMar>
              <w:top w:w="10" w:type="dxa"/>
              <w:left w:w="93" w:type="dxa"/>
              <w:bottom w:w="0" w:type="dxa"/>
              <w:right w:w="10" w:type="dxa"/>
            </w:tcMar>
            <w:vAlign w:val="center"/>
          </w:tcPr>
          <w:p w14:paraId="53D33AA9" w14:textId="77777777" w:rsidR="009B3845" w:rsidRPr="008A26D2" w:rsidRDefault="009B3845" w:rsidP="0072651A">
            <w:pPr>
              <w:tabs>
                <w:tab w:val="left" w:pos="3375"/>
              </w:tabs>
              <w:spacing w:after="0" w:line="240" w:lineRule="auto"/>
              <w:jc w:val="both"/>
              <w:rPr>
                <w:rFonts w:ascii="Arial" w:hAnsi="Arial" w:cs="Arial"/>
                <w:sz w:val="20"/>
                <w:szCs w:val="20"/>
              </w:rPr>
            </w:pPr>
            <w:r w:rsidRPr="008A26D2">
              <w:rPr>
                <w:rFonts w:ascii="Arial" w:hAnsi="Arial" w:cs="Arial"/>
                <w:b/>
                <w:sz w:val="20"/>
                <w:szCs w:val="20"/>
              </w:rPr>
              <w:t>Objetivo prioritario:</w:t>
            </w:r>
          </w:p>
        </w:tc>
        <w:tc>
          <w:tcPr>
            <w:tcW w:w="6379" w:type="dxa"/>
            <w:gridSpan w:val="10"/>
            <w:shd w:val="clear" w:color="auto" w:fill="FFFFFF"/>
            <w:tcMar>
              <w:top w:w="51" w:type="dxa"/>
              <w:left w:w="227" w:type="dxa"/>
              <w:bottom w:w="51" w:type="dxa"/>
              <w:right w:w="227" w:type="dxa"/>
            </w:tcMar>
            <w:vAlign w:val="center"/>
          </w:tcPr>
          <w:p w14:paraId="697E4F44" w14:textId="77777777" w:rsidR="009B3845" w:rsidRPr="008A26D2" w:rsidRDefault="009B3845" w:rsidP="0072651A">
            <w:pPr>
              <w:tabs>
                <w:tab w:val="left" w:pos="3375"/>
              </w:tabs>
              <w:spacing w:after="0" w:line="240" w:lineRule="auto"/>
              <w:jc w:val="both"/>
              <w:rPr>
                <w:rFonts w:ascii="Arial" w:hAnsi="Arial" w:cs="Arial"/>
                <w:sz w:val="20"/>
                <w:szCs w:val="20"/>
              </w:rPr>
            </w:pPr>
            <w:r w:rsidRPr="008A26D2">
              <w:rPr>
                <w:rFonts w:ascii="Arial" w:eastAsia="Arial Narrow" w:hAnsi="Arial" w:cs="Arial"/>
                <w:sz w:val="20"/>
                <w:szCs w:val="20"/>
              </w:rPr>
              <w:t>OP2 Incrementar la productividad de los ecosistemas forestales, otros ecosistemas de vegetación silvestre y de la fauna silvestre.</w:t>
            </w:r>
          </w:p>
        </w:tc>
      </w:tr>
      <w:tr w:rsidR="008A26D2" w:rsidRPr="008A26D2" w14:paraId="3BCB1BA6" w14:textId="77777777" w:rsidTr="00583091">
        <w:trPr>
          <w:trHeight w:val="436"/>
        </w:trPr>
        <w:tc>
          <w:tcPr>
            <w:tcW w:w="2552" w:type="dxa"/>
            <w:gridSpan w:val="2"/>
            <w:shd w:val="clear" w:color="auto" w:fill="auto"/>
            <w:tcMar>
              <w:top w:w="10" w:type="dxa"/>
              <w:left w:w="93" w:type="dxa"/>
              <w:bottom w:w="0" w:type="dxa"/>
              <w:right w:w="10" w:type="dxa"/>
            </w:tcMar>
            <w:vAlign w:val="center"/>
          </w:tcPr>
          <w:p w14:paraId="67440395" w14:textId="77777777" w:rsidR="009B3845" w:rsidRPr="008A26D2" w:rsidRDefault="009B3845" w:rsidP="0072651A">
            <w:pPr>
              <w:tabs>
                <w:tab w:val="left" w:pos="3375"/>
              </w:tabs>
              <w:spacing w:after="0" w:line="240" w:lineRule="auto"/>
              <w:jc w:val="both"/>
              <w:rPr>
                <w:rFonts w:ascii="Arial" w:hAnsi="Arial" w:cs="Arial"/>
                <w:sz w:val="20"/>
                <w:szCs w:val="20"/>
              </w:rPr>
            </w:pPr>
            <w:r w:rsidRPr="008A26D2">
              <w:rPr>
                <w:rFonts w:ascii="Arial" w:hAnsi="Arial" w:cs="Arial"/>
                <w:b/>
                <w:sz w:val="20"/>
                <w:szCs w:val="20"/>
              </w:rPr>
              <w:t>Lineamiento de la política:</w:t>
            </w:r>
          </w:p>
        </w:tc>
        <w:tc>
          <w:tcPr>
            <w:tcW w:w="6379" w:type="dxa"/>
            <w:gridSpan w:val="10"/>
            <w:shd w:val="clear" w:color="auto" w:fill="auto"/>
            <w:tcMar>
              <w:top w:w="51" w:type="dxa"/>
              <w:left w:w="227" w:type="dxa"/>
              <w:bottom w:w="51" w:type="dxa"/>
              <w:right w:w="227" w:type="dxa"/>
            </w:tcMar>
            <w:vAlign w:val="center"/>
          </w:tcPr>
          <w:p w14:paraId="374A632A" w14:textId="77777777" w:rsidR="009B3845" w:rsidRPr="008A26D2" w:rsidRDefault="009B3845" w:rsidP="0072651A">
            <w:pPr>
              <w:tabs>
                <w:tab w:val="left" w:pos="3375"/>
              </w:tabs>
              <w:spacing w:after="0" w:line="240" w:lineRule="auto"/>
              <w:jc w:val="both"/>
              <w:rPr>
                <w:rFonts w:ascii="Arial" w:hAnsi="Arial" w:cs="Arial"/>
                <w:sz w:val="20"/>
                <w:szCs w:val="20"/>
              </w:rPr>
            </w:pPr>
            <w:r w:rsidRPr="008A26D2">
              <w:rPr>
                <w:rFonts w:ascii="Arial" w:eastAsia="Arial Narrow" w:hAnsi="Arial" w:cs="Arial"/>
                <w:sz w:val="20"/>
                <w:szCs w:val="20"/>
              </w:rPr>
              <w:t>L2.4 Incrementar la generación de investigaciones e innovación, así como el desarrollo y transferencia de tecnologías en materia forestal y de fauna silvestre, y sus microorganismos asociados, incluyendo sus recursos genéticos</w:t>
            </w:r>
          </w:p>
        </w:tc>
      </w:tr>
      <w:tr w:rsidR="008A26D2" w:rsidRPr="008A26D2" w14:paraId="6FE96EF2" w14:textId="77777777" w:rsidTr="00583091">
        <w:trPr>
          <w:trHeight w:val="404"/>
        </w:trPr>
        <w:tc>
          <w:tcPr>
            <w:tcW w:w="2552" w:type="dxa"/>
            <w:gridSpan w:val="2"/>
            <w:shd w:val="clear" w:color="auto" w:fill="auto"/>
            <w:tcMar>
              <w:top w:w="10" w:type="dxa"/>
              <w:left w:w="93" w:type="dxa"/>
              <w:bottom w:w="0" w:type="dxa"/>
              <w:right w:w="10" w:type="dxa"/>
            </w:tcMar>
            <w:vAlign w:val="center"/>
          </w:tcPr>
          <w:p w14:paraId="79F07D87" w14:textId="77777777" w:rsidR="009B3845" w:rsidRPr="008A26D2" w:rsidRDefault="009B3845" w:rsidP="0072651A">
            <w:pPr>
              <w:tabs>
                <w:tab w:val="left" w:pos="3375"/>
              </w:tabs>
              <w:spacing w:after="0" w:line="240" w:lineRule="auto"/>
              <w:jc w:val="both"/>
              <w:rPr>
                <w:rFonts w:ascii="Arial" w:hAnsi="Arial" w:cs="Arial"/>
                <w:sz w:val="20"/>
                <w:szCs w:val="20"/>
              </w:rPr>
            </w:pPr>
            <w:r w:rsidRPr="008A26D2">
              <w:rPr>
                <w:rFonts w:ascii="Arial" w:hAnsi="Arial" w:cs="Arial"/>
                <w:b/>
                <w:sz w:val="20"/>
                <w:szCs w:val="20"/>
              </w:rPr>
              <w:t>Nombre del servicio:</w:t>
            </w:r>
          </w:p>
        </w:tc>
        <w:tc>
          <w:tcPr>
            <w:tcW w:w="6379" w:type="dxa"/>
            <w:gridSpan w:val="10"/>
            <w:shd w:val="clear" w:color="auto" w:fill="auto"/>
            <w:tcMar>
              <w:top w:w="51" w:type="dxa"/>
              <w:left w:w="227" w:type="dxa"/>
              <w:bottom w:w="51" w:type="dxa"/>
              <w:right w:w="227" w:type="dxa"/>
            </w:tcMar>
            <w:vAlign w:val="center"/>
          </w:tcPr>
          <w:p w14:paraId="1A0C9629" w14:textId="4EC2CBB6" w:rsidR="009B3845" w:rsidRPr="008A26D2" w:rsidRDefault="009B3845" w:rsidP="0072651A">
            <w:pPr>
              <w:tabs>
                <w:tab w:val="left" w:pos="3375"/>
              </w:tabs>
              <w:spacing w:after="0" w:line="240" w:lineRule="auto"/>
              <w:jc w:val="both"/>
              <w:rPr>
                <w:rFonts w:ascii="Arial" w:hAnsi="Arial" w:cs="Arial"/>
                <w:strike/>
                <w:sz w:val="20"/>
                <w:szCs w:val="20"/>
              </w:rPr>
            </w:pPr>
            <w:r w:rsidRPr="008A26D2">
              <w:rPr>
                <w:rFonts w:ascii="Arial" w:eastAsia="Arial Narrow" w:hAnsi="Arial" w:cs="Arial"/>
                <w:sz w:val="20"/>
                <w:szCs w:val="20"/>
              </w:rPr>
              <w:t>2.4.</w:t>
            </w:r>
            <w:r w:rsidR="00C63F93" w:rsidRPr="008A26D2">
              <w:rPr>
                <w:rFonts w:ascii="Arial" w:eastAsia="Arial Narrow" w:hAnsi="Arial" w:cs="Arial"/>
                <w:sz w:val="20"/>
                <w:szCs w:val="20"/>
              </w:rPr>
              <w:t>3</w:t>
            </w:r>
            <w:r w:rsidRPr="008A26D2">
              <w:rPr>
                <w:rFonts w:ascii="Arial" w:eastAsia="Arial Narrow" w:hAnsi="Arial" w:cs="Arial"/>
                <w:sz w:val="20"/>
                <w:szCs w:val="20"/>
              </w:rPr>
              <w:t xml:space="preserve"> Asistencia técnica en la identificación de las necesidades de investigación forestal y de fauna silvestre de forma satisfactoria para las Autoridades Regionales Forestales y de Fauna Silvestre</w:t>
            </w:r>
          </w:p>
        </w:tc>
      </w:tr>
      <w:tr w:rsidR="008A26D2" w:rsidRPr="008A26D2" w14:paraId="2F4FA5B5" w14:textId="77777777" w:rsidTr="00583091">
        <w:trPr>
          <w:trHeight w:val="577"/>
        </w:trPr>
        <w:tc>
          <w:tcPr>
            <w:tcW w:w="2552" w:type="dxa"/>
            <w:gridSpan w:val="2"/>
            <w:shd w:val="clear" w:color="auto" w:fill="auto"/>
            <w:tcMar>
              <w:top w:w="10" w:type="dxa"/>
              <w:left w:w="93" w:type="dxa"/>
              <w:bottom w:w="0" w:type="dxa"/>
              <w:right w:w="10" w:type="dxa"/>
            </w:tcMar>
            <w:vAlign w:val="center"/>
          </w:tcPr>
          <w:p w14:paraId="695221C3" w14:textId="77777777" w:rsidR="009B3845" w:rsidRPr="008A26D2" w:rsidRDefault="009B3845" w:rsidP="0072651A">
            <w:pPr>
              <w:tabs>
                <w:tab w:val="left" w:pos="3375"/>
              </w:tabs>
              <w:spacing w:after="0" w:line="240" w:lineRule="auto"/>
              <w:jc w:val="both"/>
              <w:rPr>
                <w:rFonts w:ascii="Arial" w:hAnsi="Arial" w:cs="Arial"/>
                <w:sz w:val="20"/>
                <w:szCs w:val="20"/>
              </w:rPr>
            </w:pPr>
            <w:r w:rsidRPr="008A26D2">
              <w:rPr>
                <w:rFonts w:ascii="Arial" w:hAnsi="Arial" w:cs="Arial"/>
                <w:b/>
                <w:sz w:val="20"/>
                <w:szCs w:val="20"/>
              </w:rPr>
              <w:t>Nombre del indicador:</w:t>
            </w:r>
          </w:p>
        </w:tc>
        <w:tc>
          <w:tcPr>
            <w:tcW w:w="6379" w:type="dxa"/>
            <w:gridSpan w:val="10"/>
            <w:shd w:val="clear" w:color="auto" w:fill="auto"/>
            <w:tcMar>
              <w:top w:w="51" w:type="dxa"/>
              <w:left w:w="227" w:type="dxa"/>
              <w:bottom w:w="51" w:type="dxa"/>
              <w:right w:w="227" w:type="dxa"/>
            </w:tcMar>
            <w:vAlign w:val="center"/>
          </w:tcPr>
          <w:p w14:paraId="0EE62CC1" w14:textId="3376E1A6" w:rsidR="009B3845" w:rsidRPr="008A26D2" w:rsidRDefault="0063579E" w:rsidP="0072651A">
            <w:pPr>
              <w:tabs>
                <w:tab w:val="left" w:pos="3375"/>
              </w:tabs>
              <w:spacing w:after="0" w:line="240" w:lineRule="auto"/>
              <w:jc w:val="both"/>
              <w:rPr>
                <w:rFonts w:ascii="Arial" w:hAnsi="Arial" w:cs="Arial"/>
                <w:sz w:val="20"/>
                <w:szCs w:val="20"/>
              </w:rPr>
            </w:pPr>
            <w:r w:rsidRPr="008A26D2">
              <w:rPr>
                <w:rFonts w:ascii="Arial" w:eastAsia="Arial Narrow" w:hAnsi="Arial" w:cs="Arial"/>
                <w:sz w:val="20"/>
                <w:szCs w:val="20"/>
              </w:rPr>
              <w:t>Porcentaje de servidores de las Autoridades Regionales Forestales y de Fauna Silvestre con alto grado de satisfacción sobre la asistencia técnica recibida en la identificación de las necesidades de investigación forestal y de fauna silvestre</w:t>
            </w:r>
            <w:r w:rsidR="009B3845" w:rsidRPr="008A26D2">
              <w:rPr>
                <w:rFonts w:ascii="Arial" w:eastAsia="Arial Narrow" w:hAnsi="Arial" w:cs="Arial"/>
                <w:sz w:val="20"/>
                <w:szCs w:val="20"/>
              </w:rPr>
              <w:t>.</w:t>
            </w:r>
          </w:p>
        </w:tc>
      </w:tr>
      <w:tr w:rsidR="00846D49" w:rsidRPr="00846D49" w14:paraId="02FC88ED" w14:textId="77777777" w:rsidTr="00583091">
        <w:trPr>
          <w:trHeight w:val="577"/>
        </w:trPr>
        <w:tc>
          <w:tcPr>
            <w:tcW w:w="2552" w:type="dxa"/>
            <w:gridSpan w:val="2"/>
            <w:shd w:val="clear" w:color="auto" w:fill="auto"/>
            <w:tcMar>
              <w:top w:w="10" w:type="dxa"/>
              <w:left w:w="93" w:type="dxa"/>
              <w:bottom w:w="0" w:type="dxa"/>
              <w:right w:w="10" w:type="dxa"/>
            </w:tcMar>
            <w:vAlign w:val="center"/>
          </w:tcPr>
          <w:p w14:paraId="1D94D012" w14:textId="77777777" w:rsidR="009B3845" w:rsidRPr="00846D49" w:rsidRDefault="009B3845" w:rsidP="0072651A">
            <w:pPr>
              <w:tabs>
                <w:tab w:val="left" w:pos="3375"/>
              </w:tabs>
              <w:spacing w:after="0" w:line="240" w:lineRule="auto"/>
              <w:jc w:val="both"/>
              <w:rPr>
                <w:rFonts w:ascii="Arial" w:hAnsi="Arial" w:cs="Arial"/>
                <w:sz w:val="20"/>
                <w:szCs w:val="20"/>
              </w:rPr>
            </w:pPr>
            <w:r w:rsidRPr="00846D49">
              <w:rPr>
                <w:rFonts w:ascii="Arial" w:hAnsi="Arial" w:cs="Arial"/>
                <w:b/>
                <w:sz w:val="20"/>
                <w:szCs w:val="20"/>
              </w:rPr>
              <w:t>Justificación:</w:t>
            </w:r>
          </w:p>
        </w:tc>
        <w:tc>
          <w:tcPr>
            <w:tcW w:w="6379" w:type="dxa"/>
            <w:gridSpan w:val="10"/>
            <w:shd w:val="clear" w:color="auto" w:fill="auto"/>
            <w:tcMar>
              <w:top w:w="51" w:type="dxa"/>
              <w:left w:w="227" w:type="dxa"/>
              <w:bottom w:w="51" w:type="dxa"/>
              <w:right w:w="227" w:type="dxa"/>
            </w:tcMar>
            <w:vAlign w:val="center"/>
          </w:tcPr>
          <w:p w14:paraId="70FF08AB" w14:textId="123D5D6D" w:rsidR="009B3845" w:rsidRPr="00846D49" w:rsidRDefault="009B3845" w:rsidP="0072651A">
            <w:pPr>
              <w:tabs>
                <w:tab w:val="left" w:pos="3375"/>
              </w:tabs>
              <w:spacing w:after="0" w:line="240" w:lineRule="auto"/>
              <w:jc w:val="both"/>
              <w:rPr>
                <w:rFonts w:ascii="Arial" w:eastAsia="Arial Narrow" w:hAnsi="Arial" w:cs="Arial"/>
                <w:sz w:val="20"/>
                <w:szCs w:val="20"/>
              </w:rPr>
            </w:pPr>
            <w:r w:rsidRPr="00846D49">
              <w:rPr>
                <w:rFonts w:ascii="Arial" w:eastAsia="Arial Narrow" w:hAnsi="Arial" w:cs="Arial"/>
                <w:sz w:val="20"/>
                <w:szCs w:val="20"/>
              </w:rPr>
              <w:t>El indicador cuantifica el porcentaje de servidores de las Autoridades Regionales Forestales y de Fauna Silvestre que perciben con un alto grado de satisfacción la asistencia técnica recibida en la identificación de las necesidades regionales de investigación forestal y de fauna silvestre. De esta manera, el indicador facilitará el seguimiento de la satisfacción del servicio y establece acciones de mejora correspondiente.</w:t>
            </w:r>
          </w:p>
        </w:tc>
      </w:tr>
      <w:tr w:rsidR="00846D49" w:rsidRPr="00846D49" w14:paraId="78AEBFBC" w14:textId="77777777" w:rsidTr="00583091">
        <w:trPr>
          <w:trHeight w:val="352"/>
        </w:trPr>
        <w:tc>
          <w:tcPr>
            <w:tcW w:w="2552" w:type="dxa"/>
            <w:gridSpan w:val="2"/>
            <w:shd w:val="clear" w:color="auto" w:fill="auto"/>
            <w:tcMar>
              <w:top w:w="10" w:type="dxa"/>
              <w:left w:w="93" w:type="dxa"/>
              <w:bottom w:w="0" w:type="dxa"/>
              <w:right w:w="10" w:type="dxa"/>
            </w:tcMar>
            <w:vAlign w:val="center"/>
          </w:tcPr>
          <w:p w14:paraId="2D1DA8DE" w14:textId="77777777" w:rsidR="009B3845" w:rsidRPr="00846D49" w:rsidRDefault="009B3845" w:rsidP="0072651A">
            <w:pPr>
              <w:tabs>
                <w:tab w:val="left" w:pos="3375"/>
              </w:tabs>
              <w:spacing w:after="0" w:line="240" w:lineRule="auto"/>
              <w:ind w:right="138"/>
              <w:jc w:val="both"/>
              <w:rPr>
                <w:rFonts w:ascii="Arial" w:hAnsi="Arial" w:cs="Arial"/>
                <w:sz w:val="20"/>
                <w:szCs w:val="20"/>
              </w:rPr>
            </w:pPr>
            <w:r w:rsidRPr="00846D49">
              <w:rPr>
                <w:rFonts w:ascii="Arial" w:hAnsi="Arial" w:cs="Arial"/>
                <w:b/>
                <w:sz w:val="20"/>
                <w:szCs w:val="20"/>
              </w:rPr>
              <w:t>Responsable del indicador:</w:t>
            </w:r>
          </w:p>
        </w:tc>
        <w:tc>
          <w:tcPr>
            <w:tcW w:w="6379" w:type="dxa"/>
            <w:gridSpan w:val="10"/>
            <w:shd w:val="clear" w:color="auto" w:fill="auto"/>
            <w:tcMar>
              <w:top w:w="51" w:type="dxa"/>
              <w:left w:w="227" w:type="dxa"/>
              <w:bottom w:w="51" w:type="dxa"/>
              <w:right w:w="227" w:type="dxa"/>
            </w:tcMar>
            <w:vAlign w:val="center"/>
          </w:tcPr>
          <w:p w14:paraId="65E40C0A" w14:textId="1869C6ED" w:rsidR="009B3845" w:rsidRPr="00846D49" w:rsidRDefault="009B3845" w:rsidP="0072651A">
            <w:pPr>
              <w:tabs>
                <w:tab w:val="left" w:pos="3375"/>
              </w:tabs>
              <w:spacing w:after="0" w:line="240" w:lineRule="auto"/>
              <w:jc w:val="both"/>
              <w:rPr>
                <w:rFonts w:ascii="Arial" w:hAnsi="Arial" w:cs="Arial"/>
                <w:sz w:val="20"/>
                <w:szCs w:val="20"/>
              </w:rPr>
            </w:pPr>
            <w:r w:rsidRPr="00846D49">
              <w:rPr>
                <w:rFonts w:ascii="Arial" w:eastAsia="Arial Narrow" w:hAnsi="Arial" w:cs="Arial"/>
                <w:sz w:val="20"/>
                <w:szCs w:val="20"/>
              </w:rPr>
              <w:t>Dirección de Estudios e Investigación del Servicio Nacional Forestal</w:t>
            </w:r>
            <w:r w:rsidR="0020551C" w:rsidRPr="00846D49">
              <w:rPr>
                <w:rFonts w:ascii="Arial" w:eastAsia="Arial Narrow" w:hAnsi="Arial" w:cs="Arial"/>
                <w:sz w:val="20"/>
                <w:szCs w:val="20"/>
              </w:rPr>
              <w:t xml:space="preserve"> y de Fauna Silvestre - SERFOR</w:t>
            </w:r>
          </w:p>
        </w:tc>
      </w:tr>
      <w:tr w:rsidR="00846D49" w:rsidRPr="00846D49" w14:paraId="31F21A9D" w14:textId="77777777" w:rsidTr="00583091">
        <w:trPr>
          <w:trHeight w:val="286"/>
        </w:trPr>
        <w:tc>
          <w:tcPr>
            <w:tcW w:w="2552" w:type="dxa"/>
            <w:gridSpan w:val="2"/>
            <w:shd w:val="clear" w:color="auto" w:fill="auto"/>
            <w:tcMar>
              <w:top w:w="10" w:type="dxa"/>
              <w:left w:w="93" w:type="dxa"/>
              <w:bottom w:w="0" w:type="dxa"/>
              <w:right w:w="10" w:type="dxa"/>
            </w:tcMar>
            <w:vAlign w:val="center"/>
          </w:tcPr>
          <w:p w14:paraId="62FE82E9" w14:textId="77777777" w:rsidR="009B3845" w:rsidRPr="00846D49" w:rsidRDefault="009B3845" w:rsidP="0072651A">
            <w:pPr>
              <w:tabs>
                <w:tab w:val="left" w:pos="3375"/>
              </w:tabs>
              <w:spacing w:after="0" w:line="240" w:lineRule="auto"/>
              <w:ind w:right="138"/>
              <w:jc w:val="both"/>
              <w:rPr>
                <w:rFonts w:ascii="Arial" w:hAnsi="Arial" w:cs="Arial"/>
                <w:sz w:val="20"/>
                <w:szCs w:val="20"/>
              </w:rPr>
            </w:pPr>
            <w:r w:rsidRPr="00846D49">
              <w:rPr>
                <w:rFonts w:ascii="Arial" w:hAnsi="Arial" w:cs="Arial"/>
                <w:b/>
                <w:sz w:val="20"/>
                <w:szCs w:val="20"/>
              </w:rPr>
              <w:t>Limitaciones para la medición del indicador:</w:t>
            </w:r>
          </w:p>
        </w:tc>
        <w:tc>
          <w:tcPr>
            <w:tcW w:w="6379" w:type="dxa"/>
            <w:gridSpan w:val="10"/>
            <w:shd w:val="clear" w:color="auto" w:fill="auto"/>
            <w:tcMar>
              <w:top w:w="51" w:type="dxa"/>
              <w:left w:w="227" w:type="dxa"/>
              <w:bottom w:w="51" w:type="dxa"/>
              <w:right w:w="227" w:type="dxa"/>
            </w:tcMar>
            <w:vAlign w:val="center"/>
          </w:tcPr>
          <w:p w14:paraId="58F108F9" w14:textId="77777777" w:rsidR="009B3845" w:rsidRPr="00846D49" w:rsidRDefault="009B3845" w:rsidP="0072651A">
            <w:pPr>
              <w:tabs>
                <w:tab w:val="left" w:pos="3375"/>
              </w:tabs>
              <w:spacing w:after="0" w:line="240" w:lineRule="auto"/>
              <w:jc w:val="both"/>
              <w:rPr>
                <w:rFonts w:ascii="Arial" w:hAnsi="Arial" w:cs="Arial"/>
                <w:sz w:val="20"/>
                <w:szCs w:val="20"/>
              </w:rPr>
            </w:pPr>
            <w:r w:rsidRPr="00846D49">
              <w:rPr>
                <w:rFonts w:ascii="Arial" w:eastAsia="Arial Narrow" w:hAnsi="Arial" w:cs="Arial"/>
                <w:sz w:val="20"/>
                <w:szCs w:val="20"/>
              </w:rPr>
              <w:t>No presenta limitaciones</w:t>
            </w:r>
          </w:p>
        </w:tc>
      </w:tr>
      <w:tr w:rsidR="00846D49" w:rsidRPr="00846D49" w14:paraId="3607D53B" w14:textId="77777777" w:rsidTr="00583091">
        <w:trPr>
          <w:trHeight w:val="231"/>
        </w:trPr>
        <w:tc>
          <w:tcPr>
            <w:tcW w:w="2552" w:type="dxa"/>
            <w:gridSpan w:val="2"/>
            <w:shd w:val="clear" w:color="auto" w:fill="auto"/>
            <w:tcMar>
              <w:top w:w="10" w:type="dxa"/>
              <w:left w:w="93" w:type="dxa"/>
              <w:bottom w:w="0" w:type="dxa"/>
              <w:right w:w="10" w:type="dxa"/>
            </w:tcMar>
            <w:vAlign w:val="center"/>
          </w:tcPr>
          <w:p w14:paraId="2FF3D0ED" w14:textId="77777777" w:rsidR="009B3845" w:rsidRPr="00846D49" w:rsidRDefault="009B3845" w:rsidP="0072651A">
            <w:pPr>
              <w:tabs>
                <w:tab w:val="left" w:pos="3375"/>
              </w:tabs>
              <w:spacing w:after="0" w:line="240" w:lineRule="auto"/>
              <w:jc w:val="both"/>
              <w:rPr>
                <w:rFonts w:ascii="Arial" w:hAnsi="Arial" w:cs="Arial"/>
                <w:sz w:val="20"/>
                <w:szCs w:val="20"/>
              </w:rPr>
            </w:pPr>
            <w:r w:rsidRPr="00846D49">
              <w:rPr>
                <w:rFonts w:ascii="Arial" w:hAnsi="Arial" w:cs="Arial"/>
                <w:b/>
                <w:sz w:val="20"/>
                <w:szCs w:val="20"/>
              </w:rPr>
              <w:t xml:space="preserve">Método de cálculo: </w:t>
            </w:r>
          </w:p>
        </w:tc>
        <w:tc>
          <w:tcPr>
            <w:tcW w:w="6379" w:type="dxa"/>
            <w:gridSpan w:val="10"/>
            <w:shd w:val="clear" w:color="auto" w:fill="auto"/>
            <w:tcMar>
              <w:top w:w="51" w:type="dxa"/>
              <w:left w:w="227" w:type="dxa"/>
              <w:bottom w:w="51" w:type="dxa"/>
              <w:right w:w="227" w:type="dxa"/>
            </w:tcMar>
            <w:vAlign w:val="center"/>
          </w:tcPr>
          <w:p w14:paraId="37A2F069" w14:textId="77777777" w:rsidR="009B3845" w:rsidRPr="00846D49" w:rsidRDefault="009B3845" w:rsidP="00147D2E">
            <w:pPr>
              <w:jc w:val="both"/>
              <w:rPr>
                <w:rFonts w:ascii="Arial" w:eastAsia="Arial Narrow" w:hAnsi="Arial" w:cs="Arial"/>
                <w:b/>
                <w:sz w:val="20"/>
                <w:szCs w:val="20"/>
              </w:rPr>
            </w:pPr>
            <w:r w:rsidRPr="00846D49">
              <w:rPr>
                <w:rFonts w:ascii="Arial" w:eastAsia="Arial Narrow" w:hAnsi="Arial" w:cs="Arial"/>
                <w:b/>
                <w:sz w:val="20"/>
                <w:szCs w:val="20"/>
              </w:rPr>
              <w:t>1. Fórmula:</w:t>
            </w:r>
          </w:p>
          <w:p w14:paraId="00EDBD99" w14:textId="0B9C12BF" w:rsidR="009B3845" w:rsidRPr="00846D49" w:rsidRDefault="00C63F93" w:rsidP="00147D2E">
            <w:pPr>
              <w:jc w:val="both"/>
              <w:rPr>
                <w:rFonts w:ascii="Arial" w:eastAsia="Arial Narrow" w:hAnsi="Arial" w:cs="Arial"/>
                <w:sz w:val="20"/>
                <w:szCs w:val="20"/>
              </w:rPr>
            </w:pPr>
            <w:r w:rsidRPr="00846D49">
              <w:rPr>
                <w:rFonts w:ascii="Arial" w:eastAsia="Arial Narrow" w:hAnsi="Arial" w:cs="Arial"/>
                <w:sz w:val="20"/>
                <w:szCs w:val="20"/>
              </w:rPr>
              <w:t>(</w:t>
            </w:r>
            <w:r w:rsidR="009B3845" w:rsidRPr="00846D49">
              <w:rPr>
                <w:rFonts w:ascii="Arial" w:eastAsia="Arial Narrow" w:hAnsi="Arial" w:cs="Arial"/>
                <w:sz w:val="20"/>
                <w:szCs w:val="20"/>
              </w:rPr>
              <w:t>A/B</w:t>
            </w:r>
            <w:r w:rsidRPr="00846D49">
              <w:rPr>
                <w:rFonts w:ascii="Arial" w:eastAsia="Arial Narrow" w:hAnsi="Arial" w:cs="Arial"/>
                <w:sz w:val="20"/>
                <w:szCs w:val="20"/>
              </w:rPr>
              <w:t>)</w:t>
            </w:r>
            <w:r w:rsidR="009B3845" w:rsidRPr="00846D49">
              <w:rPr>
                <w:rFonts w:ascii="Arial" w:eastAsia="Arial Narrow" w:hAnsi="Arial" w:cs="Arial"/>
                <w:sz w:val="20"/>
                <w:szCs w:val="20"/>
              </w:rPr>
              <w:t>*100</w:t>
            </w:r>
          </w:p>
          <w:p w14:paraId="3B8F34B4" w14:textId="77777777" w:rsidR="009B3845" w:rsidRPr="00846D49" w:rsidRDefault="009B3845" w:rsidP="00147D2E">
            <w:pPr>
              <w:jc w:val="both"/>
              <w:rPr>
                <w:rFonts w:ascii="Arial" w:hAnsi="Arial" w:cs="Arial"/>
                <w:bCs/>
                <w:sz w:val="20"/>
                <w:szCs w:val="20"/>
              </w:rPr>
            </w:pPr>
            <w:r w:rsidRPr="00846D49">
              <w:rPr>
                <w:rFonts w:ascii="Arial" w:hAnsi="Arial" w:cs="Arial"/>
                <w:bCs/>
                <w:sz w:val="20"/>
                <w:szCs w:val="20"/>
              </w:rPr>
              <w:lastRenderedPageBreak/>
              <w:t>Donde:</w:t>
            </w:r>
          </w:p>
          <w:p w14:paraId="7FE5B7FA" w14:textId="175DAD2E" w:rsidR="009B3845" w:rsidRPr="00846D49" w:rsidRDefault="009B3845" w:rsidP="00147D2E">
            <w:pPr>
              <w:ind w:left="324" w:hanging="324"/>
              <w:jc w:val="both"/>
              <w:rPr>
                <w:rFonts w:ascii="Arial" w:hAnsi="Arial" w:cs="Arial"/>
                <w:bCs/>
                <w:sz w:val="20"/>
                <w:szCs w:val="20"/>
              </w:rPr>
            </w:pPr>
            <w:r w:rsidRPr="00846D49">
              <w:rPr>
                <w:rFonts w:ascii="Arial" w:hAnsi="Arial" w:cs="Arial"/>
                <w:bCs/>
                <w:sz w:val="20"/>
                <w:szCs w:val="20"/>
              </w:rPr>
              <w:t xml:space="preserve">A = Número de </w:t>
            </w:r>
            <w:r w:rsidRPr="00846D49">
              <w:rPr>
                <w:rFonts w:ascii="Arial" w:eastAsia="Arial Narrow" w:hAnsi="Arial" w:cs="Arial"/>
                <w:sz w:val="20"/>
                <w:szCs w:val="20"/>
              </w:rPr>
              <w:t>servidores de las Autoridades Regionales Forestales y de Fauna Silvestre con alto grado de satisfacción sobre la asistencia técnica recibida en la identificación de las necesidades de investigación forestal y de fauna silvestre</w:t>
            </w:r>
          </w:p>
          <w:p w14:paraId="2ACFEE47" w14:textId="26D7A34A" w:rsidR="009B3845" w:rsidRPr="00846D49" w:rsidRDefault="009B3845" w:rsidP="00147D2E">
            <w:pPr>
              <w:ind w:left="324" w:hanging="324"/>
              <w:jc w:val="both"/>
              <w:rPr>
                <w:rFonts w:ascii="Arial" w:eastAsia="Times New Roman" w:hAnsi="Arial" w:cs="Arial"/>
                <w:sz w:val="20"/>
                <w:szCs w:val="20"/>
                <w:lang w:val="es-ES"/>
              </w:rPr>
            </w:pPr>
            <w:r w:rsidRPr="00846D49">
              <w:rPr>
                <w:rFonts w:ascii="Arial" w:hAnsi="Arial" w:cs="Arial"/>
                <w:bCs/>
                <w:sz w:val="20"/>
                <w:szCs w:val="20"/>
              </w:rPr>
              <w:t xml:space="preserve">B = Total de </w:t>
            </w:r>
            <w:r w:rsidRPr="00846D49">
              <w:rPr>
                <w:rFonts w:ascii="Arial" w:eastAsia="Times New Roman" w:hAnsi="Arial" w:cs="Arial"/>
                <w:sz w:val="20"/>
                <w:szCs w:val="20"/>
              </w:rPr>
              <w:t>servidores de las Autoridades Regionales Forestales y de Fauna Silvestre</w:t>
            </w:r>
            <w:r w:rsidRPr="00846D49">
              <w:rPr>
                <w:rFonts w:ascii="Arial" w:hAnsi="Arial" w:cs="Arial"/>
                <w:bCs/>
                <w:sz w:val="20"/>
                <w:szCs w:val="20"/>
              </w:rPr>
              <w:t xml:space="preserve"> que reciben la asistencia técnica </w:t>
            </w:r>
            <w:r w:rsidRPr="00846D49">
              <w:rPr>
                <w:rFonts w:ascii="Arial" w:eastAsia="Arial Narrow" w:hAnsi="Arial" w:cs="Arial"/>
                <w:sz w:val="20"/>
                <w:szCs w:val="20"/>
              </w:rPr>
              <w:t>en la identificación de las necesidades de investigación forestal y de fauna silvestre</w:t>
            </w:r>
          </w:p>
          <w:p w14:paraId="05F4E866" w14:textId="77777777" w:rsidR="009B3845" w:rsidRPr="00846D49" w:rsidRDefault="009B3845" w:rsidP="00147D2E">
            <w:pPr>
              <w:jc w:val="both"/>
              <w:rPr>
                <w:rFonts w:ascii="Arial" w:eastAsia="Arial Narrow" w:hAnsi="Arial" w:cs="Arial"/>
                <w:sz w:val="20"/>
                <w:szCs w:val="20"/>
              </w:rPr>
            </w:pPr>
            <w:r w:rsidRPr="00846D49">
              <w:rPr>
                <w:rFonts w:ascii="Arial" w:eastAsia="Arial Narrow" w:hAnsi="Arial" w:cs="Arial"/>
                <w:sz w:val="20"/>
                <w:szCs w:val="20"/>
              </w:rPr>
              <w:br/>
            </w:r>
            <w:r w:rsidRPr="00846D49">
              <w:rPr>
                <w:rFonts w:ascii="Arial" w:eastAsia="Arial Narrow" w:hAnsi="Arial" w:cs="Arial"/>
                <w:b/>
                <w:sz w:val="20"/>
                <w:szCs w:val="20"/>
              </w:rPr>
              <w:t>2. Especificaciones técnicas:</w:t>
            </w:r>
          </w:p>
          <w:p w14:paraId="1289FA0E" w14:textId="4B38A3DF" w:rsidR="00403B1D" w:rsidRPr="00846D49" w:rsidRDefault="00403B1D" w:rsidP="00403B1D">
            <w:pPr>
              <w:jc w:val="both"/>
              <w:rPr>
                <w:rFonts w:ascii="Arial" w:eastAsia="Arial Narrow" w:hAnsi="Arial" w:cs="Arial"/>
                <w:sz w:val="20"/>
                <w:szCs w:val="20"/>
              </w:rPr>
            </w:pPr>
            <w:r w:rsidRPr="00846D49">
              <w:rPr>
                <w:rFonts w:ascii="Arial" w:eastAsia="Arial Narrow" w:hAnsi="Arial" w:cs="Arial"/>
                <w:sz w:val="20"/>
                <w:szCs w:val="20"/>
              </w:rPr>
              <w:t xml:space="preserve">La variable A se determina a partir de los </w:t>
            </w:r>
            <w:r w:rsidR="000771C8" w:rsidRPr="00846D49">
              <w:rPr>
                <w:rFonts w:ascii="Arial" w:eastAsia="Arial Narrow" w:hAnsi="Arial" w:cs="Arial"/>
                <w:sz w:val="20"/>
                <w:szCs w:val="20"/>
              </w:rPr>
              <w:t xml:space="preserve">servidores de las Autoridades Regionales Forestales y de Fauna Silvestre </w:t>
            </w:r>
            <w:r w:rsidRPr="00846D49">
              <w:rPr>
                <w:rFonts w:ascii="Arial" w:eastAsia="Arial Narrow" w:hAnsi="Arial" w:cs="Arial"/>
                <w:sz w:val="20"/>
                <w:szCs w:val="20"/>
              </w:rPr>
              <w:t xml:space="preserve">que tienen un alto grado de satisfacción, al elegir los dos niveles más altos de la escala, sobre las acciones de </w:t>
            </w:r>
            <w:r w:rsidR="0072512A" w:rsidRPr="00846D49">
              <w:rPr>
                <w:rFonts w:ascii="Arial" w:eastAsia="Arial Narrow" w:hAnsi="Arial" w:cs="Arial"/>
                <w:sz w:val="20"/>
                <w:szCs w:val="20"/>
              </w:rPr>
              <w:t xml:space="preserve">asistencia técnica </w:t>
            </w:r>
            <w:r w:rsidRPr="00846D49">
              <w:rPr>
                <w:rFonts w:ascii="Arial" w:eastAsia="Arial Narrow" w:hAnsi="Arial" w:cs="Arial"/>
                <w:sz w:val="20"/>
                <w:szCs w:val="20"/>
              </w:rPr>
              <w:t>recibidas.</w:t>
            </w:r>
          </w:p>
          <w:p w14:paraId="11BC523D" w14:textId="63B48BC9" w:rsidR="00403B1D" w:rsidRPr="00846D49" w:rsidRDefault="00403B1D" w:rsidP="00403B1D">
            <w:pPr>
              <w:jc w:val="both"/>
              <w:rPr>
                <w:rFonts w:ascii="Arial" w:eastAsia="Arial Narrow" w:hAnsi="Arial" w:cs="Arial"/>
                <w:sz w:val="20"/>
                <w:szCs w:val="20"/>
              </w:rPr>
            </w:pPr>
            <w:r w:rsidRPr="00846D49">
              <w:rPr>
                <w:rFonts w:ascii="Arial" w:eastAsia="Arial Narrow" w:hAnsi="Arial" w:cs="Arial"/>
                <w:sz w:val="20"/>
                <w:szCs w:val="20"/>
              </w:rPr>
              <w:t xml:space="preserve">La variable B se determina con el total de </w:t>
            </w:r>
            <w:r w:rsidR="003226AF" w:rsidRPr="00846D49">
              <w:rPr>
                <w:rFonts w:ascii="Arial" w:eastAsia="Arial Narrow" w:hAnsi="Arial" w:cs="Arial"/>
                <w:sz w:val="20"/>
                <w:szCs w:val="20"/>
              </w:rPr>
              <w:t xml:space="preserve">servidores de las Autoridades Regionales Forestales y de Fauna Silvestre </w:t>
            </w:r>
            <w:r w:rsidRPr="00846D49">
              <w:rPr>
                <w:rFonts w:ascii="Arial" w:eastAsia="Arial Narrow" w:hAnsi="Arial" w:cs="Arial"/>
                <w:sz w:val="20"/>
                <w:szCs w:val="20"/>
              </w:rPr>
              <w:t xml:space="preserve">que </w:t>
            </w:r>
            <w:r w:rsidR="0072512A" w:rsidRPr="00846D49">
              <w:rPr>
                <w:rFonts w:ascii="Arial" w:eastAsia="Arial Narrow" w:hAnsi="Arial" w:cs="Arial"/>
                <w:sz w:val="20"/>
                <w:szCs w:val="20"/>
              </w:rPr>
              <w:t>recibieron asistencia técnica</w:t>
            </w:r>
            <w:r w:rsidR="00421113" w:rsidRPr="00846D49">
              <w:rPr>
                <w:rFonts w:ascii="Arial" w:eastAsia="Arial Narrow" w:hAnsi="Arial" w:cs="Arial"/>
                <w:sz w:val="20"/>
                <w:szCs w:val="20"/>
              </w:rPr>
              <w:t xml:space="preserve"> en el año de medición</w:t>
            </w:r>
            <w:r w:rsidR="0072512A" w:rsidRPr="00846D49">
              <w:rPr>
                <w:rFonts w:ascii="Arial" w:eastAsia="Arial Narrow" w:hAnsi="Arial" w:cs="Arial"/>
                <w:sz w:val="20"/>
                <w:szCs w:val="20"/>
              </w:rPr>
              <w:t>.</w:t>
            </w:r>
          </w:p>
          <w:p w14:paraId="1F8432ED" w14:textId="532A1D8B" w:rsidR="009B3845" w:rsidRPr="00846D49" w:rsidRDefault="009B3845" w:rsidP="00147D2E">
            <w:pPr>
              <w:jc w:val="both"/>
              <w:rPr>
                <w:rFonts w:ascii="Arial" w:eastAsia="Times New Roman" w:hAnsi="Arial" w:cs="Arial"/>
                <w:sz w:val="20"/>
                <w:szCs w:val="20"/>
                <w:lang w:val="es-ES"/>
              </w:rPr>
            </w:pPr>
            <w:r w:rsidRPr="00846D49">
              <w:rPr>
                <w:rFonts w:ascii="Arial" w:eastAsia="Arial Narrow" w:hAnsi="Arial" w:cs="Arial"/>
                <w:sz w:val="20"/>
                <w:szCs w:val="20"/>
              </w:rPr>
              <w:t>La asistencia técnica inicia desde la solicitud de interés de la Autoridad Regional Forestal y de Fauna Silvestre por identificar las necesidades de investigación hasta la formulación de la herramienta estratégica que orienten las investigaciones forestales y de fauna silvestre. Asimismo, se considera a la actualización de estas herramientas como un nuevo proceso del servicio.</w:t>
            </w:r>
          </w:p>
          <w:p w14:paraId="2DA26579" w14:textId="47C12C21" w:rsidR="009B3845" w:rsidRPr="00846D49" w:rsidRDefault="009B3845" w:rsidP="00147D2E">
            <w:pPr>
              <w:jc w:val="both"/>
              <w:rPr>
                <w:rFonts w:ascii="Arial" w:eastAsia="Times New Roman" w:hAnsi="Arial" w:cs="Arial"/>
                <w:sz w:val="20"/>
                <w:szCs w:val="20"/>
                <w:lang w:val="es-ES"/>
              </w:rPr>
            </w:pPr>
            <w:r w:rsidRPr="00846D49">
              <w:rPr>
                <w:rFonts w:ascii="Arial" w:eastAsia="Times New Roman" w:hAnsi="Arial" w:cs="Arial"/>
                <w:sz w:val="20"/>
                <w:szCs w:val="20"/>
                <w:lang w:val="es-ES"/>
              </w:rPr>
              <w:t xml:space="preserve">El indicador se calculará a partir de encuestas o entrevistas donde se pueda registrar el grado de satisfacción de los servidores </w:t>
            </w:r>
            <w:r w:rsidR="0082173C" w:rsidRPr="00846D49">
              <w:rPr>
                <w:rFonts w:ascii="Arial" w:eastAsia="Times New Roman" w:hAnsi="Arial" w:cs="Arial"/>
                <w:sz w:val="20"/>
                <w:szCs w:val="20"/>
                <w:lang w:val="es-ES"/>
              </w:rPr>
              <w:t>designados para recibir</w:t>
            </w:r>
            <w:r w:rsidRPr="00846D49">
              <w:rPr>
                <w:rFonts w:ascii="Arial" w:eastAsia="Times New Roman" w:hAnsi="Arial" w:cs="Arial"/>
                <w:sz w:val="20"/>
                <w:szCs w:val="20"/>
                <w:lang w:val="es-ES"/>
              </w:rPr>
              <w:t xml:space="preserve"> asistencia técnica, identificando aquellos aspectos del servicio que se pueden mejorar.</w:t>
            </w:r>
          </w:p>
          <w:p w14:paraId="4A1B8F59" w14:textId="77777777" w:rsidR="009B3845" w:rsidRPr="00846D49" w:rsidRDefault="009B3845" w:rsidP="00147D2E">
            <w:pPr>
              <w:jc w:val="both"/>
              <w:rPr>
                <w:rFonts w:ascii="Arial" w:hAnsi="Arial" w:cs="Arial"/>
                <w:bCs/>
                <w:sz w:val="20"/>
                <w:szCs w:val="20"/>
              </w:rPr>
            </w:pPr>
            <w:r w:rsidRPr="00846D49">
              <w:rPr>
                <w:rFonts w:ascii="Arial" w:hAnsi="Arial" w:cs="Arial"/>
                <w:bCs/>
                <w:sz w:val="20"/>
                <w:szCs w:val="20"/>
              </w:rPr>
              <w:t>Para evaluar el grado de satisfacción se considerará los alcances metodológicos señalados en el Protocolo de Capacitación y Asistencia Técnica del SERFOR.</w:t>
            </w:r>
          </w:p>
          <w:p w14:paraId="123D4605" w14:textId="77777777" w:rsidR="009B3845" w:rsidRPr="00846D49" w:rsidRDefault="009B3845" w:rsidP="00147D2E">
            <w:pPr>
              <w:spacing w:after="0" w:line="240" w:lineRule="auto"/>
              <w:jc w:val="both"/>
              <w:rPr>
                <w:rFonts w:ascii="Arial" w:eastAsia="Arial Narrow" w:hAnsi="Arial" w:cs="Arial"/>
                <w:sz w:val="20"/>
                <w:szCs w:val="20"/>
              </w:rPr>
            </w:pPr>
            <w:r w:rsidRPr="00846D49">
              <w:rPr>
                <w:rFonts w:ascii="Arial" w:eastAsia="Arial Narrow" w:hAnsi="Arial" w:cs="Arial"/>
                <w:sz w:val="20"/>
                <w:szCs w:val="20"/>
              </w:rPr>
              <w:t>Las Autoridades Regionales Forestales y de Fauna Silvestre comprenden a las Administraciones Técnicas Forestales y de Fauna Silvestre y los gobiernos regionales con funciones transferidas en materia forestal y de fauna silvestre.</w:t>
            </w:r>
          </w:p>
          <w:p w14:paraId="60F0FFD8" w14:textId="77777777" w:rsidR="005B0D35" w:rsidRPr="00846D49" w:rsidRDefault="005B0D35" w:rsidP="00147D2E">
            <w:pPr>
              <w:spacing w:after="0" w:line="240" w:lineRule="auto"/>
              <w:jc w:val="both"/>
              <w:rPr>
                <w:rFonts w:ascii="Arial" w:eastAsia="Arial Narrow" w:hAnsi="Arial" w:cs="Arial"/>
                <w:sz w:val="20"/>
                <w:szCs w:val="20"/>
              </w:rPr>
            </w:pPr>
          </w:p>
          <w:p w14:paraId="431BF729" w14:textId="12546B06" w:rsidR="005B0D35" w:rsidRPr="00846D49" w:rsidRDefault="005B0D35" w:rsidP="005B0D35">
            <w:pPr>
              <w:spacing w:after="0" w:line="240" w:lineRule="auto"/>
              <w:jc w:val="both"/>
              <w:rPr>
                <w:rFonts w:ascii="Arial" w:hAnsi="Arial" w:cs="Arial"/>
                <w:sz w:val="20"/>
                <w:szCs w:val="20"/>
              </w:rPr>
            </w:pPr>
            <w:r w:rsidRPr="00846D49">
              <w:rPr>
                <w:rFonts w:ascii="Arial" w:eastAsia="Arial Narrow" w:hAnsi="Arial" w:cs="Arial"/>
                <w:sz w:val="20"/>
                <w:szCs w:val="20"/>
              </w:rPr>
              <w:t xml:space="preserve">Se carece de línea base debido a que no se ha venido aplicando encuestas de satisfacción como parte de la entrega del servicio. El </w:t>
            </w:r>
            <w:r w:rsidR="00B7292A" w:rsidRPr="00846D49">
              <w:rPr>
                <w:rFonts w:ascii="Arial" w:eastAsia="Arial Narrow" w:hAnsi="Arial" w:cs="Arial"/>
                <w:sz w:val="20"/>
                <w:szCs w:val="20"/>
              </w:rPr>
              <w:t>SERFOR</w:t>
            </w:r>
            <w:r w:rsidRPr="00846D49">
              <w:rPr>
                <w:rFonts w:ascii="Arial" w:eastAsia="Arial Narrow" w:hAnsi="Arial" w:cs="Arial"/>
                <w:sz w:val="20"/>
                <w:szCs w:val="20"/>
              </w:rPr>
              <w:t xml:space="preserve"> determinará la línea base antes del inicio de la implementación de la presente Política Nacional.</w:t>
            </w:r>
          </w:p>
          <w:p w14:paraId="53B3DBE5" w14:textId="77777777" w:rsidR="009B3845" w:rsidRPr="00846D49" w:rsidRDefault="009B3845" w:rsidP="0072651A">
            <w:pPr>
              <w:spacing w:after="0" w:line="240" w:lineRule="auto"/>
              <w:rPr>
                <w:rFonts w:ascii="Arial" w:eastAsia="Arial Narrow" w:hAnsi="Arial" w:cs="Arial"/>
                <w:sz w:val="20"/>
                <w:szCs w:val="20"/>
              </w:rPr>
            </w:pPr>
          </w:p>
        </w:tc>
      </w:tr>
      <w:tr w:rsidR="00846D49" w:rsidRPr="00846D49" w14:paraId="3191ED73" w14:textId="77777777" w:rsidTr="00583091">
        <w:trPr>
          <w:trHeight w:val="686"/>
        </w:trPr>
        <w:tc>
          <w:tcPr>
            <w:tcW w:w="2552" w:type="dxa"/>
            <w:gridSpan w:val="2"/>
            <w:shd w:val="clear" w:color="auto" w:fill="auto"/>
            <w:tcMar>
              <w:top w:w="10" w:type="dxa"/>
              <w:left w:w="93" w:type="dxa"/>
              <w:bottom w:w="0" w:type="dxa"/>
              <w:right w:w="10" w:type="dxa"/>
            </w:tcMar>
            <w:vAlign w:val="center"/>
          </w:tcPr>
          <w:p w14:paraId="658C07A1" w14:textId="77777777" w:rsidR="009B3845" w:rsidRPr="00846D49" w:rsidRDefault="009B3845" w:rsidP="0072651A">
            <w:pPr>
              <w:tabs>
                <w:tab w:val="left" w:pos="3375"/>
              </w:tabs>
              <w:spacing w:after="0" w:line="240" w:lineRule="auto"/>
              <w:jc w:val="both"/>
              <w:rPr>
                <w:rFonts w:ascii="Arial" w:hAnsi="Arial" w:cs="Arial"/>
                <w:sz w:val="20"/>
                <w:szCs w:val="20"/>
              </w:rPr>
            </w:pPr>
            <w:r w:rsidRPr="00846D49">
              <w:rPr>
                <w:rFonts w:ascii="Arial" w:hAnsi="Arial" w:cs="Arial"/>
                <w:b/>
                <w:sz w:val="20"/>
                <w:szCs w:val="20"/>
              </w:rPr>
              <w:lastRenderedPageBreak/>
              <w:t>Sentido esperado del indicador:</w:t>
            </w:r>
          </w:p>
        </w:tc>
        <w:tc>
          <w:tcPr>
            <w:tcW w:w="1701" w:type="dxa"/>
            <w:gridSpan w:val="2"/>
            <w:shd w:val="clear" w:color="auto" w:fill="auto"/>
            <w:tcMar>
              <w:top w:w="10" w:type="dxa"/>
              <w:left w:w="283" w:type="dxa"/>
              <w:bottom w:w="0" w:type="dxa"/>
              <w:right w:w="283" w:type="dxa"/>
            </w:tcMar>
            <w:vAlign w:val="center"/>
          </w:tcPr>
          <w:p w14:paraId="480DAB77" w14:textId="77777777" w:rsidR="009B3845" w:rsidRPr="00846D49" w:rsidRDefault="009B3845" w:rsidP="0072651A">
            <w:pPr>
              <w:tabs>
                <w:tab w:val="left" w:pos="3375"/>
              </w:tabs>
              <w:spacing w:after="0" w:line="240" w:lineRule="auto"/>
              <w:jc w:val="both"/>
              <w:rPr>
                <w:rFonts w:ascii="Arial" w:hAnsi="Arial" w:cs="Arial"/>
                <w:sz w:val="20"/>
                <w:szCs w:val="20"/>
              </w:rPr>
            </w:pPr>
            <w:r w:rsidRPr="00846D49">
              <w:rPr>
                <w:rFonts w:ascii="Arial" w:hAnsi="Arial" w:cs="Arial"/>
                <w:sz w:val="20"/>
                <w:szCs w:val="20"/>
              </w:rPr>
              <w:t>Ascendente</w:t>
            </w:r>
          </w:p>
        </w:tc>
        <w:tc>
          <w:tcPr>
            <w:tcW w:w="3125" w:type="dxa"/>
            <w:gridSpan w:val="5"/>
            <w:shd w:val="clear" w:color="auto" w:fill="auto"/>
            <w:tcMar>
              <w:top w:w="15" w:type="dxa"/>
              <w:left w:w="15" w:type="dxa"/>
              <w:bottom w:w="0" w:type="dxa"/>
              <w:right w:w="15" w:type="dxa"/>
            </w:tcMar>
            <w:vAlign w:val="center"/>
          </w:tcPr>
          <w:p w14:paraId="4F77D75C" w14:textId="77777777" w:rsidR="009B3845" w:rsidRPr="00846D49" w:rsidRDefault="009B3845" w:rsidP="0072651A">
            <w:pPr>
              <w:tabs>
                <w:tab w:val="left" w:pos="3375"/>
              </w:tabs>
              <w:spacing w:after="0" w:line="240" w:lineRule="auto"/>
              <w:jc w:val="both"/>
              <w:rPr>
                <w:rFonts w:ascii="Arial" w:hAnsi="Arial" w:cs="Arial"/>
                <w:sz w:val="20"/>
                <w:szCs w:val="20"/>
              </w:rPr>
            </w:pPr>
            <w:r w:rsidRPr="00846D49">
              <w:rPr>
                <w:rFonts w:ascii="Arial" w:hAnsi="Arial" w:cs="Arial"/>
                <w:b/>
                <w:sz w:val="20"/>
                <w:szCs w:val="20"/>
              </w:rPr>
              <w:t>Tipo de indicador de servicio:</w:t>
            </w:r>
          </w:p>
        </w:tc>
        <w:tc>
          <w:tcPr>
            <w:tcW w:w="1553" w:type="dxa"/>
            <w:gridSpan w:val="3"/>
            <w:shd w:val="clear" w:color="auto" w:fill="auto"/>
            <w:tcMar>
              <w:top w:w="15" w:type="dxa"/>
              <w:left w:w="15" w:type="dxa"/>
              <w:bottom w:w="0" w:type="dxa"/>
              <w:right w:w="15" w:type="dxa"/>
            </w:tcMar>
            <w:vAlign w:val="center"/>
          </w:tcPr>
          <w:p w14:paraId="438DCA2D" w14:textId="77777777" w:rsidR="009B3845" w:rsidRPr="00846D49" w:rsidRDefault="009B3845" w:rsidP="0072651A">
            <w:pPr>
              <w:tabs>
                <w:tab w:val="left" w:pos="3375"/>
              </w:tabs>
              <w:spacing w:after="0" w:line="240" w:lineRule="auto"/>
              <w:jc w:val="both"/>
              <w:rPr>
                <w:rFonts w:ascii="Arial" w:hAnsi="Arial" w:cs="Arial"/>
                <w:sz w:val="20"/>
                <w:szCs w:val="20"/>
              </w:rPr>
            </w:pPr>
            <w:r w:rsidRPr="00846D49">
              <w:rPr>
                <w:rFonts w:ascii="Arial" w:hAnsi="Arial" w:cs="Arial"/>
                <w:sz w:val="20"/>
                <w:szCs w:val="20"/>
              </w:rPr>
              <w:t>Calidad-Percepción</w:t>
            </w:r>
          </w:p>
        </w:tc>
      </w:tr>
      <w:tr w:rsidR="00846D49" w:rsidRPr="00846D49" w14:paraId="66B5AE6A" w14:textId="77777777" w:rsidTr="00583091">
        <w:trPr>
          <w:trHeight w:val="13"/>
        </w:trPr>
        <w:tc>
          <w:tcPr>
            <w:tcW w:w="2552" w:type="dxa"/>
            <w:gridSpan w:val="2"/>
            <w:shd w:val="clear" w:color="auto" w:fill="auto"/>
            <w:tcMar>
              <w:top w:w="10" w:type="dxa"/>
              <w:left w:w="93" w:type="dxa"/>
              <w:bottom w:w="0" w:type="dxa"/>
              <w:right w:w="10" w:type="dxa"/>
            </w:tcMar>
            <w:vAlign w:val="center"/>
          </w:tcPr>
          <w:p w14:paraId="464F2B18" w14:textId="77777777" w:rsidR="009B3845" w:rsidRPr="00846D49" w:rsidRDefault="009B3845" w:rsidP="0072651A">
            <w:pPr>
              <w:tabs>
                <w:tab w:val="left" w:pos="3375"/>
              </w:tabs>
              <w:spacing w:after="0" w:line="240" w:lineRule="auto"/>
              <w:jc w:val="both"/>
              <w:rPr>
                <w:rFonts w:ascii="Arial" w:hAnsi="Arial" w:cs="Arial"/>
                <w:sz w:val="20"/>
                <w:szCs w:val="20"/>
              </w:rPr>
            </w:pPr>
            <w:r w:rsidRPr="00846D49">
              <w:rPr>
                <w:rFonts w:ascii="Arial" w:hAnsi="Arial" w:cs="Arial"/>
                <w:b/>
                <w:sz w:val="20"/>
                <w:szCs w:val="20"/>
              </w:rPr>
              <w:t>Fuente y base de datos:</w:t>
            </w:r>
          </w:p>
        </w:tc>
        <w:tc>
          <w:tcPr>
            <w:tcW w:w="6379" w:type="dxa"/>
            <w:gridSpan w:val="10"/>
            <w:shd w:val="clear" w:color="auto" w:fill="auto"/>
            <w:tcMar>
              <w:top w:w="51" w:type="dxa"/>
              <w:left w:w="227" w:type="dxa"/>
              <w:bottom w:w="51" w:type="dxa"/>
              <w:right w:w="227" w:type="dxa"/>
            </w:tcMar>
            <w:vAlign w:val="center"/>
          </w:tcPr>
          <w:p w14:paraId="1E5F5C12" w14:textId="7697CD4C" w:rsidR="009B3845" w:rsidRPr="00846D49" w:rsidRDefault="009B3845" w:rsidP="00DD0D51">
            <w:pPr>
              <w:tabs>
                <w:tab w:val="left" w:pos="3375"/>
              </w:tabs>
              <w:spacing w:after="0" w:line="240" w:lineRule="auto"/>
              <w:jc w:val="both"/>
              <w:rPr>
                <w:rFonts w:ascii="Arial" w:eastAsia="Arial Narrow" w:hAnsi="Arial" w:cs="Arial"/>
                <w:sz w:val="20"/>
                <w:szCs w:val="20"/>
              </w:rPr>
            </w:pPr>
            <w:r w:rsidRPr="00846D49">
              <w:rPr>
                <w:rFonts w:ascii="Arial" w:eastAsia="Arial Narrow" w:hAnsi="Arial" w:cs="Arial"/>
                <w:sz w:val="20"/>
                <w:szCs w:val="20"/>
              </w:rPr>
              <w:t xml:space="preserve">Fuente: Dirección de Estudios e Investigación </w:t>
            </w:r>
            <w:r w:rsidR="000176BF" w:rsidRPr="00846D49">
              <w:rPr>
                <w:rFonts w:ascii="Arial" w:eastAsia="Arial Narrow" w:hAnsi="Arial" w:cs="Arial"/>
                <w:sz w:val="20"/>
                <w:szCs w:val="20"/>
              </w:rPr>
              <w:t xml:space="preserve">- </w:t>
            </w:r>
            <w:r w:rsidRPr="00846D49">
              <w:rPr>
                <w:rFonts w:ascii="Arial" w:eastAsia="Arial Narrow" w:hAnsi="Arial" w:cs="Arial"/>
                <w:sz w:val="20"/>
                <w:szCs w:val="20"/>
              </w:rPr>
              <w:t>DEI del Servicio Nacional Forestal y de Fauna Silvestre</w:t>
            </w:r>
            <w:r w:rsidR="000176BF" w:rsidRPr="00846D49">
              <w:rPr>
                <w:rFonts w:ascii="Arial" w:eastAsia="Arial Narrow" w:hAnsi="Arial" w:cs="Arial"/>
                <w:sz w:val="20"/>
                <w:szCs w:val="20"/>
              </w:rPr>
              <w:t xml:space="preserve"> – SERFOR.</w:t>
            </w:r>
            <w:r w:rsidRPr="00846D49">
              <w:rPr>
                <w:rFonts w:ascii="Arial" w:eastAsia="Arial Narrow" w:hAnsi="Arial" w:cs="Arial"/>
                <w:sz w:val="20"/>
                <w:szCs w:val="20"/>
              </w:rPr>
              <w:t xml:space="preserve"> </w:t>
            </w:r>
          </w:p>
          <w:p w14:paraId="1D83DCAE" w14:textId="0B847F97" w:rsidR="009B3845" w:rsidRPr="00846D49" w:rsidRDefault="009B3845" w:rsidP="00421113">
            <w:pPr>
              <w:tabs>
                <w:tab w:val="left" w:pos="3375"/>
              </w:tabs>
              <w:spacing w:after="0" w:line="240" w:lineRule="auto"/>
              <w:jc w:val="both"/>
              <w:rPr>
                <w:rFonts w:ascii="Arial" w:eastAsia="Arial Narrow" w:hAnsi="Arial" w:cs="Arial"/>
                <w:sz w:val="20"/>
                <w:szCs w:val="20"/>
              </w:rPr>
            </w:pPr>
            <w:r w:rsidRPr="00846D49">
              <w:rPr>
                <w:rFonts w:ascii="Arial" w:eastAsia="Arial Narrow" w:hAnsi="Arial" w:cs="Arial"/>
                <w:sz w:val="20"/>
                <w:szCs w:val="20"/>
              </w:rPr>
              <w:t>Base de datos: Reporte de la Dirección de Estudios e Investigación</w:t>
            </w:r>
            <w:r w:rsidR="000176BF" w:rsidRPr="00846D49">
              <w:rPr>
                <w:rFonts w:ascii="Arial" w:eastAsia="Arial Narrow" w:hAnsi="Arial" w:cs="Arial"/>
                <w:sz w:val="20"/>
                <w:szCs w:val="20"/>
              </w:rPr>
              <w:t>.</w:t>
            </w:r>
          </w:p>
        </w:tc>
      </w:tr>
      <w:tr w:rsidR="00846D49" w:rsidRPr="00846D49" w14:paraId="49C00C5A" w14:textId="77777777" w:rsidTr="00583091">
        <w:trPr>
          <w:trHeight w:val="436"/>
        </w:trPr>
        <w:tc>
          <w:tcPr>
            <w:tcW w:w="2552" w:type="dxa"/>
            <w:gridSpan w:val="2"/>
            <w:shd w:val="clear" w:color="auto" w:fill="auto"/>
            <w:tcMar>
              <w:top w:w="10" w:type="dxa"/>
              <w:left w:w="93" w:type="dxa"/>
              <w:bottom w:w="0" w:type="dxa"/>
              <w:right w:w="10" w:type="dxa"/>
            </w:tcMar>
            <w:vAlign w:val="center"/>
          </w:tcPr>
          <w:p w14:paraId="62F102FB" w14:textId="77777777" w:rsidR="009B3845" w:rsidRPr="00846D49" w:rsidRDefault="009B3845" w:rsidP="0072651A">
            <w:pPr>
              <w:tabs>
                <w:tab w:val="left" w:pos="3375"/>
              </w:tabs>
              <w:spacing w:after="0" w:line="240" w:lineRule="auto"/>
              <w:jc w:val="both"/>
              <w:rPr>
                <w:rFonts w:ascii="Arial" w:hAnsi="Arial" w:cs="Arial"/>
                <w:sz w:val="20"/>
                <w:szCs w:val="20"/>
              </w:rPr>
            </w:pPr>
            <w:r w:rsidRPr="00846D49">
              <w:rPr>
                <w:rFonts w:ascii="Arial" w:hAnsi="Arial" w:cs="Arial"/>
                <w:b/>
                <w:sz w:val="20"/>
                <w:szCs w:val="20"/>
              </w:rPr>
              <w:t>Supuestos:</w:t>
            </w:r>
          </w:p>
        </w:tc>
        <w:tc>
          <w:tcPr>
            <w:tcW w:w="6379" w:type="dxa"/>
            <w:gridSpan w:val="10"/>
            <w:shd w:val="clear" w:color="auto" w:fill="auto"/>
            <w:tcMar>
              <w:top w:w="51" w:type="dxa"/>
              <w:left w:w="227" w:type="dxa"/>
              <w:bottom w:w="51" w:type="dxa"/>
              <w:right w:w="227" w:type="dxa"/>
            </w:tcMar>
            <w:vAlign w:val="center"/>
          </w:tcPr>
          <w:p w14:paraId="530C354B" w14:textId="77777777" w:rsidR="009B3845" w:rsidRPr="00846D49" w:rsidRDefault="009B3845" w:rsidP="0072651A">
            <w:pPr>
              <w:tabs>
                <w:tab w:val="left" w:pos="3375"/>
              </w:tabs>
              <w:spacing w:after="0" w:line="240" w:lineRule="auto"/>
              <w:jc w:val="both"/>
              <w:rPr>
                <w:rFonts w:ascii="Arial" w:eastAsia="Arial Narrow" w:hAnsi="Arial" w:cs="Arial"/>
                <w:sz w:val="20"/>
                <w:szCs w:val="20"/>
              </w:rPr>
            </w:pPr>
            <w:r w:rsidRPr="00846D49">
              <w:rPr>
                <w:rFonts w:ascii="Arial" w:eastAsia="Arial Narrow" w:hAnsi="Arial" w:cs="Arial"/>
                <w:sz w:val="20"/>
                <w:szCs w:val="20"/>
              </w:rPr>
              <w:t>Interés de las Autoridades Regionales Forestales y de Fauna Silvestre para identificar las necesidades regionales de investigación forestal y de fauna silvestre.</w:t>
            </w:r>
          </w:p>
          <w:p w14:paraId="16655D7C" w14:textId="77777777" w:rsidR="009B3845" w:rsidRPr="00846D49" w:rsidRDefault="009B3845" w:rsidP="0072651A">
            <w:pPr>
              <w:tabs>
                <w:tab w:val="left" w:pos="3375"/>
              </w:tabs>
              <w:spacing w:after="0" w:line="240" w:lineRule="auto"/>
              <w:jc w:val="both"/>
              <w:rPr>
                <w:rFonts w:ascii="Arial" w:hAnsi="Arial" w:cs="Arial"/>
                <w:sz w:val="20"/>
                <w:szCs w:val="20"/>
              </w:rPr>
            </w:pPr>
            <w:r w:rsidRPr="00846D49">
              <w:rPr>
                <w:rFonts w:ascii="Arial" w:eastAsia="Arial Narrow" w:hAnsi="Arial" w:cs="Arial"/>
                <w:sz w:val="20"/>
                <w:szCs w:val="20"/>
              </w:rPr>
              <w:lastRenderedPageBreak/>
              <w:t>Interés de las Autoridades Regionales Forestales y de Fauna Silvestre para acceder a los servicios de asistencia técnica.</w:t>
            </w:r>
          </w:p>
        </w:tc>
      </w:tr>
      <w:tr w:rsidR="00846D49" w:rsidRPr="00846D49" w14:paraId="57957AA3" w14:textId="77777777" w:rsidTr="00583091">
        <w:trPr>
          <w:trHeight w:val="556"/>
        </w:trPr>
        <w:tc>
          <w:tcPr>
            <w:tcW w:w="1292" w:type="dxa"/>
            <w:shd w:val="clear" w:color="auto" w:fill="auto"/>
            <w:tcMar>
              <w:top w:w="10" w:type="dxa"/>
              <w:left w:w="10" w:type="dxa"/>
              <w:bottom w:w="0" w:type="dxa"/>
              <w:right w:w="10" w:type="dxa"/>
            </w:tcMar>
            <w:vAlign w:val="center"/>
          </w:tcPr>
          <w:p w14:paraId="67A6BC46" w14:textId="77777777" w:rsidR="009B3845" w:rsidRPr="00846D49" w:rsidRDefault="009B3845" w:rsidP="0072651A">
            <w:pPr>
              <w:tabs>
                <w:tab w:val="left" w:pos="3375"/>
              </w:tabs>
              <w:spacing w:after="0" w:line="240" w:lineRule="auto"/>
              <w:jc w:val="both"/>
              <w:rPr>
                <w:rFonts w:ascii="Arial" w:hAnsi="Arial" w:cs="Arial"/>
                <w:sz w:val="20"/>
                <w:szCs w:val="20"/>
              </w:rPr>
            </w:pPr>
            <w:r w:rsidRPr="00846D49">
              <w:rPr>
                <w:rFonts w:ascii="Arial" w:hAnsi="Arial" w:cs="Arial"/>
                <w:b/>
                <w:sz w:val="20"/>
                <w:szCs w:val="20"/>
              </w:rPr>
              <w:lastRenderedPageBreak/>
              <w:t> </w:t>
            </w:r>
          </w:p>
        </w:tc>
        <w:tc>
          <w:tcPr>
            <w:tcW w:w="1260" w:type="dxa"/>
            <w:tcBorders>
              <w:right w:val="single" w:sz="4" w:space="0" w:color="auto"/>
            </w:tcBorders>
            <w:shd w:val="clear" w:color="auto" w:fill="auto"/>
            <w:tcMar>
              <w:top w:w="10" w:type="dxa"/>
              <w:left w:w="10" w:type="dxa"/>
              <w:bottom w:w="0" w:type="dxa"/>
              <w:right w:w="10" w:type="dxa"/>
            </w:tcMar>
            <w:vAlign w:val="center"/>
          </w:tcPr>
          <w:p w14:paraId="0291B2A2" w14:textId="77777777" w:rsidR="009B3845" w:rsidRPr="00846D49" w:rsidRDefault="009B3845" w:rsidP="00583091">
            <w:pPr>
              <w:tabs>
                <w:tab w:val="left" w:pos="3375"/>
              </w:tabs>
              <w:spacing w:after="0" w:line="240" w:lineRule="auto"/>
              <w:jc w:val="center"/>
              <w:rPr>
                <w:rFonts w:ascii="Arial" w:hAnsi="Arial" w:cs="Arial"/>
                <w:sz w:val="20"/>
                <w:szCs w:val="20"/>
              </w:rPr>
            </w:pPr>
            <w:r w:rsidRPr="00846D49">
              <w:rPr>
                <w:rFonts w:ascii="Arial" w:hAnsi="Arial" w:cs="Arial"/>
                <w:b/>
                <w:sz w:val="20"/>
                <w:szCs w:val="20"/>
              </w:rPr>
              <w:t>Línea de base</w:t>
            </w:r>
          </w:p>
        </w:tc>
        <w:tc>
          <w:tcPr>
            <w:tcW w:w="6379" w:type="dxa"/>
            <w:gridSpan w:val="10"/>
            <w:tcBorders>
              <w:left w:val="single" w:sz="4" w:space="0" w:color="auto"/>
            </w:tcBorders>
            <w:shd w:val="clear" w:color="auto" w:fill="auto"/>
            <w:vAlign w:val="center"/>
          </w:tcPr>
          <w:p w14:paraId="2A7EA53A" w14:textId="77777777" w:rsidR="009B3845" w:rsidRPr="00846D49" w:rsidRDefault="009B3845" w:rsidP="0072651A">
            <w:pPr>
              <w:tabs>
                <w:tab w:val="left" w:pos="3375"/>
              </w:tabs>
              <w:spacing w:after="0" w:line="240" w:lineRule="auto"/>
              <w:jc w:val="both"/>
              <w:rPr>
                <w:rFonts w:ascii="Arial" w:hAnsi="Arial" w:cs="Arial"/>
                <w:sz w:val="20"/>
                <w:szCs w:val="20"/>
              </w:rPr>
            </w:pPr>
            <w:r w:rsidRPr="00846D49">
              <w:rPr>
                <w:rFonts w:ascii="Arial" w:hAnsi="Arial" w:cs="Arial"/>
                <w:b/>
                <w:sz w:val="20"/>
                <w:szCs w:val="20"/>
              </w:rPr>
              <w:t>Logros esperados</w:t>
            </w:r>
          </w:p>
        </w:tc>
      </w:tr>
      <w:tr w:rsidR="00846D49" w:rsidRPr="00846D49" w14:paraId="3E688D85" w14:textId="77777777" w:rsidTr="00583091">
        <w:trPr>
          <w:trHeight w:val="217"/>
        </w:trPr>
        <w:tc>
          <w:tcPr>
            <w:tcW w:w="1292" w:type="dxa"/>
            <w:shd w:val="clear" w:color="auto" w:fill="auto"/>
            <w:tcMar>
              <w:top w:w="10" w:type="dxa"/>
              <w:left w:w="10" w:type="dxa"/>
              <w:bottom w:w="0" w:type="dxa"/>
              <w:right w:w="10" w:type="dxa"/>
            </w:tcMar>
            <w:vAlign w:val="center"/>
          </w:tcPr>
          <w:p w14:paraId="1C8EA485" w14:textId="77777777" w:rsidR="009B3845" w:rsidRPr="00846D49" w:rsidRDefault="009B3845" w:rsidP="0072651A">
            <w:pPr>
              <w:tabs>
                <w:tab w:val="left" w:pos="3375"/>
              </w:tabs>
              <w:spacing w:after="0" w:line="240" w:lineRule="auto"/>
              <w:jc w:val="both"/>
              <w:rPr>
                <w:rFonts w:ascii="Arial" w:hAnsi="Arial" w:cs="Arial"/>
                <w:sz w:val="20"/>
                <w:szCs w:val="20"/>
              </w:rPr>
            </w:pPr>
            <w:r w:rsidRPr="00846D49">
              <w:rPr>
                <w:rFonts w:ascii="Arial" w:hAnsi="Arial" w:cs="Arial"/>
                <w:b/>
                <w:sz w:val="20"/>
                <w:szCs w:val="20"/>
              </w:rPr>
              <w:t>Año</w:t>
            </w:r>
          </w:p>
        </w:tc>
        <w:tc>
          <w:tcPr>
            <w:tcW w:w="1260" w:type="dxa"/>
            <w:shd w:val="clear" w:color="auto" w:fill="auto"/>
            <w:tcMar>
              <w:top w:w="10" w:type="dxa"/>
              <w:left w:w="10" w:type="dxa"/>
              <w:bottom w:w="0" w:type="dxa"/>
              <w:right w:w="10" w:type="dxa"/>
            </w:tcMar>
            <w:vAlign w:val="center"/>
          </w:tcPr>
          <w:p w14:paraId="274A4BF9" w14:textId="77777777" w:rsidR="009B3845" w:rsidRPr="00846D49" w:rsidRDefault="009B3845" w:rsidP="00583091">
            <w:pPr>
              <w:tabs>
                <w:tab w:val="left" w:pos="3375"/>
              </w:tabs>
              <w:spacing w:after="0" w:line="240" w:lineRule="auto"/>
              <w:jc w:val="center"/>
              <w:rPr>
                <w:rFonts w:ascii="Arial" w:hAnsi="Arial" w:cs="Arial"/>
                <w:b/>
                <w:sz w:val="20"/>
                <w:szCs w:val="20"/>
              </w:rPr>
            </w:pPr>
            <w:r w:rsidRPr="00846D49">
              <w:rPr>
                <w:rFonts w:ascii="Arial" w:hAnsi="Arial" w:cs="Arial"/>
                <w:b/>
                <w:sz w:val="20"/>
                <w:szCs w:val="20"/>
              </w:rPr>
              <w:t>2022</w:t>
            </w:r>
          </w:p>
        </w:tc>
        <w:tc>
          <w:tcPr>
            <w:tcW w:w="976" w:type="dxa"/>
            <w:shd w:val="clear" w:color="auto" w:fill="auto"/>
            <w:vAlign w:val="center"/>
          </w:tcPr>
          <w:p w14:paraId="68515823" w14:textId="77777777" w:rsidR="009B3845" w:rsidRPr="00846D49" w:rsidRDefault="009B3845" w:rsidP="0072651A">
            <w:pPr>
              <w:tabs>
                <w:tab w:val="left" w:pos="3375"/>
              </w:tabs>
              <w:spacing w:after="0" w:line="240" w:lineRule="auto"/>
              <w:jc w:val="both"/>
              <w:rPr>
                <w:rFonts w:ascii="Arial" w:hAnsi="Arial" w:cs="Arial"/>
                <w:b/>
                <w:sz w:val="20"/>
                <w:szCs w:val="20"/>
              </w:rPr>
            </w:pPr>
            <w:r w:rsidRPr="00846D49">
              <w:rPr>
                <w:rFonts w:ascii="Arial" w:hAnsi="Arial" w:cs="Arial"/>
                <w:b/>
                <w:sz w:val="20"/>
                <w:szCs w:val="20"/>
              </w:rPr>
              <w:t>2023</w:t>
            </w:r>
          </w:p>
        </w:tc>
        <w:tc>
          <w:tcPr>
            <w:tcW w:w="851" w:type="dxa"/>
            <w:gridSpan w:val="2"/>
            <w:shd w:val="clear" w:color="auto" w:fill="auto"/>
            <w:vAlign w:val="center"/>
          </w:tcPr>
          <w:p w14:paraId="13AF17E6" w14:textId="77777777" w:rsidR="009B3845" w:rsidRPr="00846D49" w:rsidRDefault="009B3845" w:rsidP="0072651A">
            <w:pPr>
              <w:tabs>
                <w:tab w:val="left" w:pos="3375"/>
              </w:tabs>
              <w:spacing w:after="0" w:line="240" w:lineRule="auto"/>
              <w:jc w:val="both"/>
              <w:rPr>
                <w:rFonts w:ascii="Arial" w:hAnsi="Arial" w:cs="Arial"/>
                <w:b/>
                <w:sz w:val="20"/>
                <w:szCs w:val="20"/>
              </w:rPr>
            </w:pPr>
            <w:r w:rsidRPr="00846D49">
              <w:rPr>
                <w:rFonts w:ascii="Arial" w:hAnsi="Arial" w:cs="Arial"/>
                <w:b/>
                <w:sz w:val="20"/>
                <w:szCs w:val="20"/>
              </w:rPr>
              <w:t>2024</w:t>
            </w:r>
          </w:p>
        </w:tc>
        <w:tc>
          <w:tcPr>
            <w:tcW w:w="850" w:type="dxa"/>
            <w:shd w:val="clear" w:color="auto" w:fill="auto"/>
            <w:vAlign w:val="center"/>
          </w:tcPr>
          <w:p w14:paraId="3F349C96" w14:textId="77777777" w:rsidR="009B3845" w:rsidRPr="00846D49" w:rsidRDefault="009B3845" w:rsidP="0072651A">
            <w:pPr>
              <w:tabs>
                <w:tab w:val="left" w:pos="3375"/>
              </w:tabs>
              <w:spacing w:after="0" w:line="240" w:lineRule="auto"/>
              <w:jc w:val="both"/>
              <w:rPr>
                <w:rFonts w:ascii="Arial" w:hAnsi="Arial" w:cs="Arial"/>
                <w:b/>
                <w:sz w:val="20"/>
                <w:szCs w:val="20"/>
              </w:rPr>
            </w:pPr>
            <w:r w:rsidRPr="00846D49">
              <w:rPr>
                <w:rFonts w:ascii="Arial" w:hAnsi="Arial" w:cs="Arial"/>
                <w:b/>
                <w:sz w:val="20"/>
                <w:szCs w:val="20"/>
              </w:rPr>
              <w:t>2025</w:t>
            </w:r>
          </w:p>
        </w:tc>
        <w:tc>
          <w:tcPr>
            <w:tcW w:w="851" w:type="dxa"/>
            <w:shd w:val="clear" w:color="auto" w:fill="auto"/>
            <w:vAlign w:val="center"/>
          </w:tcPr>
          <w:p w14:paraId="6067EBA6" w14:textId="77777777" w:rsidR="009B3845" w:rsidRPr="00846D49" w:rsidRDefault="009B3845" w:rsidP="0072651A">
            <w:pPr>
              <w:tabs>
                <w:tab w:val="left" w:pos="3375"/>
              </w:tabs>
              <w:spacing w:after="0" w:line="240" w:lineRule="auto"/>
              <w:jc w:val="both"/>
              <w:rPr>
                <w:rFonts w:ascii="Arial" w:hAnsi="Arial" w:cs="Arial"/>
                <w:b/>
                <w:sz w:val="20"/>
                <w:szCs w:val="20"/>
              </w:rPr>
            </w:pPr>
            <w:r w:rsidRPr="00846D49">
              <w:rPr>
                <w:rFonts w:ascii="Arial" w:hAnsi="Arial" w:cs="Arial"/>
                <w:b/>
                <w:sz w:val="20"/>
                <w:szCs w:val="20"/>
              </w:rPr>
              <w:t>2026</w:t>
            </w:r>
          </w:p>
        </w:tc>
        <w:tc>
          <w:tcPr>
            <w:tcW w:w="725" w:type="dxa"/>
            <w:shd w:val="clear" w:color="auto" w:fill="auto"/>
            <w:vAlign w:val="center"/>
          </w:tcPr>
          <w:p w14:paraId="0DC83240" w14:textId="77777777" w:rsidR="009B3845" w:rsidRPr="00846D49" w:rsidRDefault="009B3845" w:rsidP="0072651A">
            <w:pPr>
              <w:tabs>
                <w:tab w:val="left" w:pos="3375"/>
              </w:tabs>
              <w:spacing w:after="0" w:line="240" w:lineRule="auto"/>
              <w:jc w:val="both"/>
              <w:rPr>
                <w:rFonts w:ascii="Arial" w:hAnsi="Arial" w:cs="Arial"/>
                <w:b/>
                <w:sz w:val="20"/>
                <w:szCs w:val="20"/>
              </w:rPr>
            </w:pPr>
            <w:r w:rsidRPr="00846D49">
              <w:rPr>
                <w:rFonts w:ascii="Arial" w:hAnsi="Arial" w:cs="Arial"/>
                <w:b/>
                <w:sz w:val="20"/>
                <w:szCs w:val="20"/>
              </w:rPr>
              <w:t>2027</w:t>
            </w:r>
          </w:p>
        </w:tc>
        <w:tc>
          <w:tcPr>
            <w:tcW w:w="709" w:type="dxa"/>
            <w:gridSpan w:val="2"/>
            <w:shd w:val="clear" w:color="auto" w:fill="auto"/>
            <w:vAlign w:val="center"/>
          </w:tcPr>
          <w:p w14:paraId="543C66CA" w14:textId="77777777" w:rsidR="009B3845" w:rsidRPr="00846D49" w:rsidRDefault="009B3845" w:rsidP="0072651A">
            <w:pPr>
              <w:tabs>
                <w:tab w:val="left" w:pos="3375"/>
              </w:tabs>
              <w:spacing w:after="0" w:line="240" w:lineRule="auto"/>
              <w:jc w:val="both"/>
              <w:rPr>
                <w:rFonts w:ascii="Arial" w:hAnsi="Arial" w:cs="Arial"/>
                <w:b/>
                <w:sz w:val="20"/>
                <w:szCs w:val="20"/>
              </w:rPr>
            </w:pPr>
            <w:r w:rsidRPr="00846D49">
              <w:rPr>
                <w:rFonts w:ascii="Arial" w:hAnsi="Arial" w:cs="Arial"/>
                <w:b/>
                <w:sz w:val="20"/>
                <w:szCs w:val="20"/>
              </w:rPr>
              <w:t>2028</w:t>
            </w:r>
          </w:p>
        </w:tc>
        <w:tc>
          <w:tcPr>
            <w:tcW w:w="708" w:type="dxa"/>
            <w:shd w:val="clear" w:color="auto" w:fill="auto"/>
            <w:vAlign w:val="center"/>
          </w:tcPr>
          <w:p w14:paraId="2C402D4C" w14:textId="77777777" w:rsidR="009B3845" w:rsidRPr="00846D49" w:rsidRDefault="009B3845" w:rsidP="0072651A">
            <w:pPr>
              <w:tabs>
                <w:tab w:val="left" w:pos="3375"/>
              </w:tabs>
              <w:spacing w:after="0" w:line="240" w:lineRule="auto"/>
              <w:jc w:val="both"/>
              <w:rPr>
                <w:rFonts w:ascii="Arial" w:hAnsi="Arial" w:cs="Arial"/>
                <w:b/>
                <w:sz w:val="20"/>
                <w:szCs w:val="20"/>
              </w:rPr>
            </w:pPr>
            <w:r w:rsidRPr="00846D49">
              <w:rPr>
                <w:rFonts w:ascii="Arial" w:hAnsi="Arial" w:cs="Arial"/>
                <w:b/>
                <w:sz w:val="20"/>
                <w:szCs w:val="20"/>
              </w:rPr>
              <w:t>2029</w:t>
            </w:r>
          </w:p>
        </w:tc>
        <w:tc>
          <w:tcPr>
            <w:tcW w:w="709" w:type="dxa"/>
            <w:shd w:val="clear" w:color="auto" w:fill="auto"/>
            <w:tcMar>
              <w:top w:w="10" w:type="dxa"/>
              <w:left w:w="10" w:type="dxa"/>
              <w:bottom w:w="0" w:type="dxa"/>
              <w:right w:w="10" w:type="dxa"/>
            </w:tcMar>
            <w:vAlign w:val="center"/>
          </w:tcPr>
          <w:p w14:paraId="35169540" w14:textId="77777777" w:rsidR="009B3845" w:rsidRPr="00846D49" w:rsidRDefault="009B3845" w:rsidP="0072651A">
            <w:pPr>
              <w:tabs>
                <w:tab w:val="left" w:pos="3375"/>
              </w:tabs>
              <w:spacing w:after="0" w:line="240" w:lineRule="auto"/>
              <w:jc w:val="both"/>
              <w:rPr>
                <w:rFonts w:ascii="Arial" w:hAnsi="Arial" w:cs="Arial"/>
                <w:b/>
                <w:sz w:val="20"/>
                <w:szCs w:val="20"/>
              </w:rPr>
            </w:pPr>
            <w:r w:rsidRPr="00846D49">
              <w:rPr>
                <w:rFonts w:ascii="Arial" w:hAnsi="Arial" w:cs="Arial"/>
                <w:b/>
                <w:sz w:val="20"/>
                <w:szCs w:val="20"/>
              </w:rPr>
              <w:t>2030</w:t>
            </w:r>
          </w:p>
        </w:tc>
      </w:tr>
      <w:tr w:rsidR="00846D49" w:rsidRPr="00846D49" w14:paraId="51AA15A1" w14:textId="77777777" w:rsidTr="00583091">
        <w:trPr>
          <w:trHeight w:val="385"/>
        </w:trPr>
        <w:tc>
          <w:tcPr>
            <w:tcW w:w="1292" w:type="dxa"/>
            <w:shd w:val="clear" w:color="auto" w:fill="auto"/>
            <w:tcMar>
              <w:top w:w="10" w:type="dxa"/>
              <w:left w:w="10" w:type="dxa"/>
              <w:bottom w:w="0" w:type="dxa"/>
              <w:right w:w="10" w:type="dxa"/>
            </w:tcMar>
            <w:vAlign w:val="center"/>
          </w:tcPr>
          <w:p w14:paraId="4C09F5EA" w14:textId="77777777" w:rsidR="009B3845" w:rsidRPr="00846D49" w:rsidRDefault="009B3845" w:rsidP="0072651A">
            <w:pPr>
              <w:tabs>
                <w:tab w:val="left" w:pos="3375"/>
              </w:tabs>
              <w:spacing w:after="0" w:line="240" w:lineRule="auto"/>
              <w:jc w:val="both"/>
              <w:rPr>
                <w:rFonts w:ascii="Arial" w:hAnsi="Arial" w:cs="Arial"/>
                <w:b/>
                <w:sz w:val="20"/>
                <w:szCs w:val="20"/>
              </w:rPr>
            </w:pPr>
            <w:r w:rsidRPr="00846D49">
              <w:rPr>
                <w:rFonts w:ascii="Arial" w:hAnsi="Arial" w:cs="Arial"/>
                <w:b/>
                <w:sz w:val="20"/>
                <w:szCs w:val="20"/>
              </w:rPr>
              <w:t>Valor</w:t>
            </w:r>
          </w:p>
        </w:tc>
        <w:tc>
          <w:tcPr>
            <w:tcW w:w="1260" w:type="dxa"/>
            <w:shd w:val="clear" w:color="auto" w:fill="auto"/>
            <w:tcMar>
              <w:top w:w="10" w:type="dxa"/>
              <w:left w:w="10" w:type="dxa"/>
              <w:bottom w:w="0" w:type="dxa"/>
              <w:right w:w="10" w:type="dxa"/>
            </w:tcMar>
            <w:vAlign w:val="center"/>
          </w:tcPr>
          <w:p w14:paraId="352C009A" w14:textId="54E3AAEA" w:rsidR="009B3845" w:rsidRPr="00846D49" w:rsidRDefault="00AF2EB1" w:rsidP="00583091">
            <w:pPr>
              <w:tabs>
                <w:tab w:val="left" w:pos="3375"/>
              </w:tabs>
              <w:spacing w:after="0" w:line="240" w:lineRule="auto"/>
              <w:jc w:val="center"/>
              <w:rPr>
                <w:rFonts w:ascii="Arial" w:hAnsi="Arial" w:cs="Arial"/>
                <w:sz w:val="20"/>
                <w:szCs w:val="20"/>
              </w:rPr>
            </w:pPr>
            <w:r w:rsidRPr="00846D49">
              <w:rPr>
                <w:rFonts w:ascii="Arial" w:hAnsi="Arial" w:cs="Arial"/>
                <w:sz w:val="20"/>
                <w:szCs w:val="20"/>
              </w:rPr>
              <w:t>ND</w:t>
            </w:r>
          </w:p>
        </w:tc>
        <w:tc>
          <w:tcPr>
            <w:tcW w:w="976" w:type="dxa"/>
            <w:shd w:val="clear" w:color="auto" w:fill="auto"/>
            <w:vAlign w:val="center"/>
          </w:tcPr>
          <w:p w14:paraId="741FF1AE" w14:textId="12278067" w:rsidR="009B3845" w:rsidRPr="00846D49" w:rsidRDefault="00B7292A" w:rsidP="0072651A">
            <w:pPr>
              <w:tabs>
                <w:tab w:val="left" w:pos="3375"/>
              </w:tabs>
              <w:spacing w:after="0" w:line="240" w:lineRule="auto"/>
              <w:jc w:val="both"/>
              <w:rPr>
                <w:rFonts w:ascii="Arial" w:hAnsi="Arial" w:cs="Arial"/>
                <w:sz w:val="20"/>
                <w:szCs w:val="20"/>
              </w:rPr>
            </w:pPr>
            <w:r w:rsidRPr="00846D49">
              <w:rPr>
                <w:rFonts w:ascii="Arial" w:hAnsi="Arial" w:cs="Arial"/>
                <w:sz w:val="20"/>
                <w:szCs w:val="20"/>
              </w:rPr>
              <w:t>60</w:t>
            </w:r>
            <w:r w:rsidR="009B3845" w:rsidRPr="00846D49">
              <w:rPr>
                <w:rFonts w:ascii="Arial" w:hAnsi="Arial" w:cs="Arial"/>
                <w:sz w:val="20"/>
                <w:szCs w:val="20"/>
              </w:rPr>
              <w:t>%</w:t>
            </w:r>
          </w:p>
        </w:tc>
        <w:tc>
          <w:tcPr>
            <w:tcW w:w="851" w:type="dxa"/>
            <w:gridSpan w:val="2"/>
            <w:shd w:val="clear" w:color="auto" w:fill="auto"/>
            <w:vAlign w:val="center"/>
          </w:tcPr>
          <w:p w14:paraId="088782F8" w14:textId="1075A419" w:rsidR="009B3845" w:rsidRPr="00846D49" w:rsidRDefault="00B7292A" w:rsidP="0072651A">
            <w:pPr>
              <w:tabs>
                <w:tab w:val="left" w:pos="3375"/>
              </w:tabs>
              <w:spacing w:after="0" w:line="240" w:lineRule="auto"/>
              <w:jc w:val="both"/>
              <w:rPr>
                <w:rFonts w:ascii="Arial" w:hAnsi="Arial" w:cs="Arial"/>
                <w:sz w:val="20"/>
                <w:szCs w:val="20"/>
              </w:rPr>
            </w:pPr>
            <w:r w:rsidRPr="00846D49">
              <w:rPr>
                <w:rFonts w:ascii="Arial" w:hAnsi="Arial" w:cs="Arial"/>
                <w:sz w:val="20"/>
                <w:szCs w:val="20"/>
              </w:rPr>
              <w:t>60</w:t>
            </w:r>
            <w:r w:rsidR="009B3845" w:rsidRPr="00846D49">
              <w:rPr>
                <w:rFonts w:ascii="Arial" w:hAnsi="Arial" w:cs="Arial"/>
                <w:sz w:val="20"/>
                <w:szCs w:val="20"/>
              </w:rPr>
              <w:t>%</w:t>
            </w:r>
          </w:p>
        </w:tc>
        <w:tc>
          <w:tcPr>
            <w:tcW w:w="850" w:type="dxa"/>
            <w:shd w:val="clear" w:color="auto" w:fill="auto"/>
            <w:vAlign w:val="center"/>
          </w:tcPr>
          <w:p w14:paraId="51B82727" w14:textId="60EE3483" w:rsidR="009B3845" w:rsidRPr="00846D49" w:rsidRDefault="00B7292A" w:rsidP="0072651A">
            <w:pPr>
              <w:tabs>
                <w:tab w:val="left" w:pos="3375"/>
              </w:tabs>
              <w:spacing w:after="0" w:line="240" w:lineRule="auto"/>
              <w:jc w:val="both"/>
              <w:rPr>
                <w:rFonts w:ascii="Arial" w:hAnsi="Arial" w:cs="Arial"/>
                <w:sz w:val="20"/>
                <w:szCs w:val="20"/>
              </w:rPr>
            </w:pPr>
            <w:r w:rsidRPr="00846D49">
              <w:rPr>
                <w:rFonts w:ascii="Arial" w:hAnsi="Arial" w:cs="Arial"/>
                <w:sz w:val="20"/>
                <w:szCs w:val="20"/>
              </w:rPr>
              <w:t>65</w:t>
            </w:r>
            <w:r w:rsidR="009B3845" w:rsidRPr="00846D49">
              <w:rPr>
                <w:rFonts w:ascii="Arial" w:hAnsi="Arial" w:cs="Arial"/>
                <w:sz w:val="20"/>
                <w:szCs w:val="20"/>
              </w:rPr>
              <w:t>%</w:t>
            </w:r>
          </w:p>
        </w:tc>
        <w:tc>
          <w:tcPr>
            <w:tcW w:w="851" w:type="dxa"/>
            <w:shd w:val="clear" w:color="auto" w:fill="auto"/>
            <w:vAlign w:val="center"/>
          </w:tcPr>
          <w:p w14:paraId="20C2F2D0" w14:textId="2D617B61" w:rsidR="009B3845" w:rsidRPr="00846D49" w:rsidRDefault="00B7292A" w:rsidP="0072651A">
            <w:pPr>
              <w:tabs>
                <w:tab w:val="left" w:pos="3375"/>
              </w:tabs>
              <w:spacing w:after="0" w:line="240" w:lineRule="auto"/>
              <w:jc w:val="both"/>
              <w:rPr>
                <w:rFonts w:ascii="Arial" w:hAnsi="Arial" w:cs="Arial"/>
                <w:sz w:val="20"/>
                <w:szCs w:val="20"/>
              </w:rPr>
            </w:pPr>
            <w:r w:rsidRPr="00846D49">
              <w:rPr>
                <w:rFonts w:ascii="Arial" w:hAnsi="Arial" w:cs="Arial"/>
                <w:sz w:val="20"/>
                <w:szCs w:val="20"/>
              </w:rPr>
              <w:t>65</w:t>
            </w:r>
            <w:r w:rsidR="009B3845" w:rsidRPr="00846D49">
              <w:rPr>
                <w:rFonts w:ascii="Arial" w:hAnsi="Arial" w:cs="Arial"/>
                <w:sz w:val="20"/>
                <w:szCs w:val="20"/>
              </w:rPr>
              <w:t>%</w:t>
            </w:r>
          </w:p>
        </w:tc>
        <w:tc>
          <w:tcPr>
            <w:tcW w:w="725" w:type="dxa"/>
            <w:shd w:val="clear" w:color="auto" w:fill="auto"/>
            <w:vAlign w:val="center"/>
          </w:tcPr>
          <w:p w14:paraId="71E9E1C3" w14:textId="0FC70066" w:rsidR="009B3845" w:rsidRPr="00846D49" w:rsidRDefault="00B7292A" w:rsidP="0072651A">
            <w:pPr>
              <w:tabs>
                <w:tab w:val="left" w:pos="3375"/>
              </w:tabs>
              <w:spacing w:after="0" w:line="240" w:lineRule="auto"/>
              <w:jc w:val="both"/>
              <w:rPr>
                <w:rFonts w:ascii="Arial" w:hAnsi="Arial" w:cs="Arial"/>
                <w:sz w:val="20"/>
                <w:szCs w:val="20"/>
              </w:rPr>
            </w:pPr>
            <w:r w:rsidRPr="00846D49">
              <w:rPr>
                <w:rFonts w:ascii="Arial" w:hAnsi="Arial" w:cs="Arial"/>
                <w:sz w:val="20"/>
                <w:szCs w:val="20"/>
              </w:rPr>
              <w:t>70</w:t>
            </w:r>
            <w:r w:rsidR="009B3845" w:rsidRPr="00846D49">
              <w:rPr>
                <w:rFonts w:ascii="Arial" w:hAnsi="Arial" w:cs="Arial"/>
                <w:sz w:val="20"/>
                <w:szCs w:val="20"/>
              </w:rPr>
              <w:t>%</w:t>
            </w:r>
          </w:p>
        </w:tc>
        <w:tc>
          <w:tcPr>
            <w:tcW w:w="709" w:type="dxa"/>
            <w:gridSpan w:val="2"/>
            <w:shd w:val="clear" w:color="auto" w:fill="auto"/>
            <w:vAlign w:val="center"/>
          </w:tcPr>
          <w:p w14:paraId="3486EBA1" w14:textId="4940B3AD" w:rsidR="009B3845" w:rsidRPr="00846D49" w:rsidRDefault="00B7292A" w:rsidP="0072651A">
            <w:pPr>
              <w:tabs>
                <w:tab w:val="left" w:pos="3375"/>
              </w:tabs>
              <w:spacing w:after="0" w:line="240" w:lineRule="auto"/>
              <w:jc w:val="both"/>
              <w:rPr>
                <w:rFonts w:ascii="Arial" w:hAnsi="Arial" w:cs="Arial"/>
                <w:sz w:val="20"/>
                <w:szCs w:val="20"/>
              </w:rPr>
            </w:pPr>
            <w:r w:rsidRPr="00846D49">
              <w:rPr>
                <w:rFonts w:ascii="Arial" w:hAnsi="Arial" w:cs="Arial"/>
                <w:sz w:val="20"/>
                <w:szCs w:val="20"/>
              </w:rPr>
              <w:t>70</w:t>
            </w:r>
            <w:r w:rsidR="009B3845" w:rsidRPr="00846D49">
              <w:rPr>
                <w:rFonts w:ascii="Arial" w:hAnsi="Arial" w:cs="Arial"/>
                <w:sz w:val="20"/>
                <w:szCs w:val="20"/>
              </w:rPr>
              <w:t>%</w:t>
            </w:r>
          </w:p>
        </w:tc>
        <w:tc>
          <w:tcPr>
            <w:tcW w:w="708" w:type="dxa"/>
            <w:shd w:val="clear" w:color="auto" w:fill="auto"/>
            <w:vAlign w:val="center"/>
          </w:tcPr>
          <w:p w14:paraId="370A47A5" w14:textId="0C5202A8" w:rsidR="009B3845" w:rsidRPr="00846D49" w:rsidRDefault="00B7292A" w:rsidP="0072651A">
            <w:pPr>
              <w:tabs>
                <w:tab w:val="left" w:pos="3375"/>
              </w:tabs>
              <w:spacing w:after="0" w:line="240" w:lineRule="auto"/>
              <w:jc w:val="both"/>
              <w:rPr>
                <w:rFonts w:ascii="Arial" w:hAnsi="Arial" w:cs="Arial"/>
                <w:sz w:val="20"/>
                <w:szCs w:val="20"/>
              </w:rPr>
            </w:pPr>
            <w:r w:rsidRPr="00846D49">
              <w:rPr>
                <w:rFonts w:ascii="Arial" w:hAnsi="Arial" w:cs="Arial"/>
                <w:sz w:val="20"/>
                <w:szCs w:val="20"/>
              </w:rPr>
              <w:t>75</w:t>
            </w:r>
            <w:r w:rsidR="009B3845" w:rsidRPr="00846D49">
              <w:rPr>
                <w:rFonts w:ascii="Arial" w:hAnsi="Arial" w:cs="Arial"/>
                <w:sz w:val="20"/>
                <w:szCs w:val="20"/>
              </w:rPr>
              <w:t>%</w:t>
            </w:r>
          </w:p>
        </w:tc>
        <w:tc>
          <w:tcPr>
            <w:tcW w:w="709" w:type="dxa"/>
            <w:shd w:val="clear" w:color="auto" w:fill="auto"/>
            <w:tcMar>
              <w:top w:w="10" w:type="dxa"/>
              <w:left w:w="10" w:type="dxa"/>
              <w:bottom w:w="0" w:type="dxa"/>
              <w:right w:w="10" w:type="dxa"/>
            </w:tcMar>
            <w:vAlign w:val="center"/>
          </w:tcPr>
          <w:p w14:paraId="206B5BB6" w14:textId="52D2C814" w:rsidR="009B3845" w:rsidRPr="00846D49" w:rsidRDefault="00B7292A" w:rsidP="0072651A">
            <w:pPr>
              <w:tabs>
                <w:tab w:val="left" w:pos="3375"/>
              </w:tabs>
              <w:spacing w:after="0" w:line="240" w:lineRule="auto"/>
              <w:jc w:val="both"/>
              <w:rPr>
                <w:rFonts w:ascii="Arial" w:hAnsi="Arial" w:cs="Arial"/>
                <w:sz w:val="20"/>
                <w:szCs w:val="20"/>
              </w:rPr>
            </w:pPr>
            <w:r w:rsidRPr="00846D49">
              <w:rPr>
                <w:rFonts w:ascii="Arial" w:hAnsi="Arial" w:cs="Arial"/>
                <w:sz w:val="20"/>
                <w:szCs w:val="20"/>
              </w:rPr>
              <w:t>75</w:t>
            </w:r>
            <w:r w:rsidR="009B3845" w:rsidRPr="00846D49">
              <w:rPr>
                <w:rFonts w:ascii="Arial" w:hAnsi="Arial" w:cs="Arial"/>
                <w:sz w:val="20"/>
                <w:szCs w:val="20"/>
              </w:rPr>
              <w:t>%</w:t>
            </w:r>
          </w:p>
        </w:tc>
      </w:tr>
    </w:tbl>
    <w:p w14:paraId="35397CB6" w14:textId="6E57005C" w:rsidR="009B3845" w:rsidRPr="00846D49" w:rsidRDefault="009B3845" w:rsidP="009B3845"/>
    <w:p w14:paraId="1AB5CC06" w14:textId="77777777" w:rsidR="00147D2E" w:rsidRPr="00846D49" w:rsidRDefault="00147D2E" w:rsidP="009B3845"/>
    <w:tbl>
      <w:tblPr>
        <w:tblW w:w="8931"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2"/>
        <w:gridCol w:w="1275"/>
        <w:gridCol w:w="976"/>
        <w:gridCol w:w="710"/>
        <w:gridCol w:w="141"/>
        <w:gridCol w:w="850"/>
        <w:gridCol w:w="851"/>
        <w:gridCol w:w="850"/>
        <w:gridCol w:w="448"/>
        <w:gridCol w:w="262"/>
        <w:gridCol w:w="709"/>
        <w:gridCol w:w="567"/>
      </w:tblGrid>
      <w:tr w:rsidR="00846D49" w:rsidRPr="00846D49" w14:paraId="2BFBE874" w14:textId="77777777" w:rsidTr="002F5D4B">
        <w:trPr>
          <w:trHeight w:val="251"/>
        </w:trPr>
        <w:tc>
          <w:tcPr>
            <w:tcW w:w="8931" w:type="dxa"/>
            <w:gridSpan w:val="12"/>
            <w:shd w:val="clear" w:color="auto" w:fill="D9D9D9" w:themeFill="background1" w:themeFillShade="D9"/>
            <w:tcMar>
              <w:top w:w="10" w:type="dxa"/>
              <w:left w:w="10" w:type="dxa"/>
              <w:bottom w:w="0" w:type="dxa"/>
              <w:right w:w="10" w:type="dxa"/>
            </w:tcMar>
            <w:vAlign w:val="center"/>
          </w:tcPr>
          <w:p w14:paraId="79722B81" w14:textId="5EF4AA2E" w:rsidR="009B3845" w:rsidRPr="00846D49" w:rsidRDefault="009B3845" w:rsidP="00583091">
            <w:pPr>
              <w:tabs>
                <w:tab w:val="left" w:pos="3375"/>
              </w:tabs>
              <w:spacing w:after="0" w:line="240" w:lineRule="auto"/>
              <w:jc w:val="center"/>
              <w:rPr>
                <w:rFonts w:ascii="Arial" w:hAnsi="Arial" w:cs="Arial"/>
                <w:sz w:val="20"/>
                <w:szCs w:val="20"/>
              </w:rPr>
            </w:pPr>
            <w:r w:rsidRPr="00846D49">
              <w:rPr>
                <w:rFonts w:ascii="Arial" w:hAnsi="Arial" w:cs="Arial"/>
                <w:sz w:val="20"/>
                <w:szCs w:val="20"/>
              </w:rPr>
              <w:br w:type="page"/>
            </w:r>
            <w:r w:rsidRPr="00846D49">
              <w:rPr>
                <w:rFonts w:ascii="Arial" w:hAnsi="Arial" w:cs="Arial"/>
                <w:b/>
                <w:sz w:val="20"/>
                <w:szCs w:val="20"/>
              </w:rPr>
              <w:t>FICHA TÉCNICA DE INDICADOR DE SERVICIO 2.4.</w:t>
            </w:r>
            <w:r w:rsidR="00C63F93" w:rsidRPr="00846D49">
              <w:rPr>
                <w:rFonts w:ascii="Arial" w:hAnsi="Arial" w:cs="Arial"/>
                <w:b/>
                <w:sz w:val="20"/>
                <w:szCs w:val="20"/>
              </w:rPr>
              <w:t>3</w:t>
            </w:r>
            <w:r w:rsidRPr="00846D49">
              <w:rPr>
                <w:rFonts w:ascii="Arial" w:hAnsi="Arial" w:cs="Arial"/>
                <w:b/>
                <w:sz w:val="20"/>
                <w:szCs w:val="20"/>
              </w:rPr>
              <w:t xml:space="preserve"> - COBERTURA</w:t>
            </w:r>
          </w:p>
        </w:tc>
      </w:tr>
      <w:tr w:rsidR="00846D49" w:rsidRPr="00846D49" w14:paraId="7F94B8A6" w14:textId="77777777" w:rsidTr="002F5D4B">
        <w:trPr>
          <w:trHeight w:val="409"/>
        </w:trPr>
        <w:tc>
          <w:tcPr>
            <w:tcW w:w="2567" w:type="dxa"/>
            <w:gridSpan w:val="2"/>
            <w:shd w:val="clear" w:color="auto" w:fill="FFFFFF"/>
            <w:tcMar>
              <w:top w:w="10" w:type="dxa"/>
              <w:left w:w="93" w:type="dxa"/>
              <w:bottom w:w="0" w:type="dxa"/>
              <w:right w:w="10" w:type="dxa"/>
            </w:tcMar>
            <w:vAlign w:val="center"/>
          </w:tcPr>
          <w:p w14:paraId="7A1175E4" w14:textId="77777777" w:rsidR="009B3845" w:rsidRPr="00846D49" w:rsidRDefault="009B3845" w:rsidP="0072651A">
            <w:pPr>
              <w:tabs>
                <w:tab w:val="left" w:pos="3375"/>
              </w:tabs>
              <w:spacing w:after="0" w:line="240" w:lineRule="auto"/>
              <w:jc w:val="both"/>
              <w:rPr>
                <w:rFonts w:ascii="Arial" w:hAnsi="Arial" w:cs="Arial"/>
                <w:sz w:val="20"/>
                <w:szCs w:val="20"/>
              </w:rPr>
            </w:pPr>
            <w:r w:rsidRPr="00846D49">
              <w:rPr>
                <w:rFonts w:ascii="Arial" w:hAnsi="Arial" w:cs="Arial"/>
                <w:b/>
                <w:sz w:val="20"/>
                <w:szCs w:val="20"/>
              </w:rPr>
              <w:t>Objetivo prioritario:</w:t>
            </w:r>
          </w:p>
        </w:tc>
        <w:tc>
          <w:tcPr>
            <w:tcW w:w="6364" w:type="dxa"/>
            <w:gridSpan w:val="10"/>
            <w:shd w:val="clear" w:color="auto" w:fill="FFFFFF"/>
            <w:tcMar>
              <w:top w:w="51" w:type="dxa"/>
              <w:left w:w="227" w:type="dxa"/>
              <w:bottom w:w="51" w:type="dxa"/>
              <w:right w:w="227" w:type="dxa"/>
            </w:tcMar>
            <w:vAlign w:val="center"/>
          </w:tcPr>
          <w:p w14:paraId="0AE49E2C" w14:textId="77777777" w:rsidR="009B3845" w:rsidRPr="00846D49" w:rsidRDefault="009B3845" w:rsidP="0072651A">
            <w:pPr>
              <w:tabs>
                <w:tab w:val="left" w:pos="3375"/>
              </w:tabs>
              <w:spacing w:after="0" w:line="240" w:lineRule="auto"/>
              <w:jc w:val="both"/>
              <w:rPr>
                <w:rFonts w:ascii="Arial" w:hAnsi="Arial" w:cs="Arial"/>
                <w:sz w:val="20"/>
                <w:szCs w:val="20"/>
              </w:rPr>
            </w:pPr>
            <w:r w:rsidRPr="00846D49">
              <w:rPr>
                <w:rFonts w:ascii="Arial" w:eastAsia="Arial Narrow" w:hAnsi="Arial" w:cs="Arial"/>
                <w:sz w:val="20"/>
                <w:szCs w:val="20"/>
              </w:rPr>
              <w:t>OP2 Incrementar la productividad de los ecosistemas forestales, otros ecosistemas de vegetación silvestre y de la fauna silvestre.</w:t>
            </w:r>
          </w:p>
        </w:tc>
      </w:tr>
      <w:tr w:rsidR="00846D49" w:rsidRPr="00846D49" w14:paraId="079EB61E" w14:textId="77777777" w:rsidTr="002F5D4B">
        <w:trPr>
          <w:trHeight w:val="436"/>
        </w:trPr>
        <w:tc>
          <w:tcPr>
            <w:tcW w:w="2567" w:type="dxa"/>
            <w:gridSpan w:val="2"/>
            <w:shd w:val="clear" w:color="auto" w:fill="auto"/>
            <w:tcMar>
              <w:top w:w="10" w:type="dxa"/>
              <w:left w:w="93" w:type="dxa"/>
              <w:bottom w:w="0" w:type="dxa"/>
              <w:right w:w="10" w:type="dxa"/>
            </w:tcMar>
            <w:vAlign w:val="center"/>
          </w:tcPr>
          <w:p w14:paraId="077CC121" w14:textId="77777777" w:rsidR="009B3845" w:rsidRPr="00846D49" w:rsidRDefault="009B3845" w:rsidP="0072651A">
            <w:pPr>
              <w:tabs>
                <w:tab w:val="left" w:pos="3375"/>
              </w:tabs>
              <w:spacing w:after="0" w:line="240" w:lineRule="auto"/>
              <w:jc w:val="both"/>
              <w:rPr>
                <w:rFonts w:ascii="Arial" w:hAnsi="Arial" w:cs="Arial"/>
                <w:sz w:val="20"/>
                <w:szCs w:val="20"/>
              </w:rPr>
            </w:pPr>
            <w:r w:rsidRPr="00846D49">
              <w:rPr>
                <w:rFonts w:ascii="Arial" w:hAnsi="Arial" w:cs="Arial"/>
                <w:b/>
                <w:sz w:val="20"/>
                <w:szCs w:val="20"/>
              </w:rPr>
              <w:t>Lineamiento de la política:</w:t>
            </w:r>
          </w:p>
        </w:tc>
        <w:tc>
          <w:tcPr>
            <w:tcW w:w="6364" w:type="dxa"/>
            <w:gridSpan w:val="10"/>
            <w:shd w:val="clear" w:color="auto" w:fill="auto"/>
            <w:tcMar>
              <w:top w:w="51" w:type="dxa"/>
              <w:left w:w="227" w:type="dxa"/>
              <w:bottom w:w="51" w:type="dxa"/>
              <w:right w:w="227" w:type="dxa"/>
            </w:tcMar>
            <w:vAlign w:val="center"/>
          </w:tcPr>
          <w:p w14:paraId="5809B62D" w14:textId="77777777" w:rsidR="009B3845" w:rsidRPr="00846D49" w:rsidRDefault="009B3845" w:rsidP="0072651A">
            <w:pPr>
              <w:tabs>
                <w:tab w:val="left" w:pos="3375"/>
              </w:tabs>
              <w:spacing w:after="0" w:line="240" w:lineRule="auto"/>
              <w:jc w:val="both"/>
              <w:rPr>
                <w:rFonts w:ascii="Arial" w:hAnsi="Arial" w:cs="Arial"/>
                <w:sz w:val="20"/>
                <w:szCs w:val="20"/>
              </w:rPr>
            </w:pPr>
            <w:r w:rsidRPr="00846D49">
              <w:rPr>
                <w:rFonts w:ascii="Arial" w:eastAsia="Arial Narrow" w:hAnsi="Arial" w:cs="Arial"/>
                <w:sz w:val="20"/>
                <w:szCs w:val="20"/>
              </w:rPr>
              <w:t>L2.4 Incrementar la generación de investigaciones e innovación, así como el desarrollo y transferencia de tecnologías en materia forestal y de fauna silvestre, y sus microorganismos asociados, incluyendo sus recursos genéticos.</w:t>
            </w:r>
          </w:p>
        </w:tc>
      </w:tr>
      <w:tr w:rsidR="00846D49" w:rsidRPr="00846D49" w14:paraId="60DFFA55" w14:textId="77777777" w:rsidTr="002F5D4B">
        <w:trPr>
          <w:trHeight w:val="404"/>
        </w:trPr>
        <w:tc>
          <w:tcPr>
            <w:tcW w:w="2567" w:type="dxa"/>
            <w:gridSpan w:val="2"/>
            <w:shd w:val="clear" w:color="auto" w:fill="auto"/>
            <w:tcMar>
              <w:top w:w="10" w:type="dxa"/>
              <w:left w:w="93" w:type="dxa"/>
              <w:bottom w:w="0" w:type="dxa"/>
              <w:right w:w="10" w:type="dxa"/>
            </w:tcMar>
            <w:vAlign w:val="center"/>
          </w:tcPr>
          <w:p w14:paraId="6EBD413C" w14:textId="77777777" w:rsidR="009B3845" w:rsidRPr="00846D49" w:rsidRDefault="009B3845" w:rsidP="0072651A">
            <w:pPr>
              <w:tabs>
                <w:tab w:val="left" w:pos="3375"/>
              </w:tabs>
              <w:spacing w:after="0" w:line="240" w:lineRule="auto"/>
              <w:jc w:val="both"/>
              <w:rPr>
                <w:rFonts w:ascii="Arial" w:hAnsi="Arial" w:cs="Arial"/>
                <w:sz w:val="20"/>
                <w:szCs w:val="20"/>
              </w:rPr>
            </w:pPr>
            <w:r w:rsidRPr="00846D49">
              <w:rPr>
                <w:rFonts w:ascii="Arial" w:hAnsi="Arial" w:cs="Arial"/>
                <w:b/>
                <w:sz w:val="20"/>
                <w:szCs w:val="20"/>
              </w:rPr>
              <w:t>Nombre del servicio:</w:t>
            </w:r>
          </w:p>
        </w:tc>
        <w:tc>
          <w:tcPr>
            <w:tcW w:w="6364" w:type="dxa"/>
            <w:gridSpan w:val="10"/>
            <w:shd w:val="clear" w:color="auto" w:fill="auto"/>
            <w:tcMar>
              <w:top w:w="51" w:type="dxa"/>
              <w:left w:w="227" w:type="dxa"/>
              <w:bottom w:w="51" w:type="dxa"/>
              <w:right w:w="227" w:type="dxa"/>
            </w:tcMar>
            <w:vAlign w:val="center"/>
          </w:tcPr>
          <w:p w14:paraId="6D7C9EAB" w14:textId="54FDB0DC" w:rsidR="009B3845" w:rsidRPr="00846D49" w:rsidRDefault="009B3845" w:rsidP="0072651A">
            <w:pPr>
              <w:tabs>
                <w:tab w:val="left" w:pos="3375"/>
              </w:tabs>
              <w:spacing w:after="0" w:line="240" w:lineRule="auto"/>
              <w:jc w:val="both"/>
              <w:rPr>
                <w:rFonts w:ascii="Arial" w:hAnsi="Arial" w:cs="Arial"/>
                <w:strike/>
                <w:sz w:val="20"/>
                <w:szCs w:val="20"/>
              </w:rPr>
            </w:pPr>
            <w:r w:rsidRPr="00846D49">
              <w:rPr>
                <w:rFonts w:ascii="Arial" w:eastAsia="Arial Narrow" w:hAnsi="Arial" w:cs="Arial"/>
                <w:sz w:val="20"/>
                <w:szCs w:val="20"/>
              </w:rPr>
              <w:t>2.4.</w:t>
            </w:r>
            <w:r w:rsidR="00C63F93" w:rsidRPr="00846D49">
              <w:rPr>
                <w:rFonts w:ascii="Arial" w:eastAsia="Arial Narrow" w:hAnsi="Arial" w:cs="Arial"/>
                <w:sz w:val="20"/>
                <w:szCs w:val="20"/>
              </w:rPr>
              <w:t>3</w:t>
            </w:r>
            <w:r w:rsidRPr="00846D49">
              <w:rPr>
                <w:rFonts w:ascii="Arial" w:eastAsia="Arial Narrow" w:hAnsi="Arial" w:cs="Arial"/>
                <w:sz w:val="20"/>
                <w:szCs w:val="20"/>
              </w:rPr>
              <w:t xml:space="preserve"> </w:t>
            </w:r>
            <w:r w:rsidR="0063579E" w:rsidRPr="00846D49">
              <w:rPr>
                <w:rFonts w:ascii="Arial" w:eastAsia="Arial Narrow" w:hAnsi="Arial" w:cs="Arial"/>
                <w:sz w:val="20"/>
                <w:szCs w:val="20"/>
              </w:rPr>
              <w:t>Asistencia técnica en la identificación de las necesidades de investigación forestal y de fauna silvestre de forma satisfactoria para las Autoridades Regionales Forestales y de Fauna Silvestre</w:t>
            </w:r>
            <w:r w:rsidRPr="00846D49">
              <w:rPr>
                <w:rFonts w:ascii="Arial" w:eastAsia="Arial Narrow" w:hAnsi="Arial" w:cs="Arial"/>
                <w:sz w:val="20"/>
                <w:szCs w:val="20"/>
              </w:rPr>
              <w:t>.</w:t>
            </w:r>
          </w:p>
        </w:tc>
      </w:tr>
      <w:tr w:rsidR="00846D49" w:rsidRPr="00846D49" w14:paraId="387B7CAC" w14:textId="77777777" w:rsidTr="002F5D4B">
        <w:trPr>
          <w:trHeight w:val="577"/>
        </w:trPr>
        <w:tc>
          <w:tcPr>
            <w:tcW w:w="2567" w:type="dxa"/>
            <w:gridSpan w:val="2"/>
            <w:shd w:val="clear" w:color="auto" w:fill="auto"/>
            <w:tcMar>
              <w:top w:w="10" w:type="dxa"/>
              <w:left w:w="93" w:type="dxa"/>
              <w:bottom w:w="0" w:type="dxa"/>
              <w:right w:w="10" w:type="dxa"/>
            </w:tcMar>
            <w:vAlign w:val="center"/>
          </w:tcPr>
          <w:p w14:paraId="0B938498" w14:textId="77777777" w:rsidR="009B3845" w:rsidRPr="00846D49" w:rsidRDefault="009B3845" w:rsidP="0072651A">
            <w:pPr>
              <w:tabs>
                <w:tab w:val="left" w:pos="3375"/>
              </w:tabs>
              <w:spacing w:after="0" w:line="240" w:lineRule="auto"/>
              <w:jc w:val="both"/>
              <w:rPr>
                <w:rFonts w:ascii="Arial" w:hAnsi="Arial" w:cs="Arial"/>
                <w:sz w:val="20"/>
                <w:szCs w:val="20"/>
              </w:rPr>
            </w:pPr>
            <w:r w:rsidRPr="00846D49">
              <w:rPr>
                <w:rFonts w:ascii="Arial" w:hAnsi="Arial" w:cs="Arial"/>
                <w:b/>
                <w:sz w:val="20"/>
                <w:szCs w:val="20"/>
              </w:rPr>
              <w:t>Nombre del indicador:</w:t>
            </w:r>
          </w:p>
        </w:tc>
        <w:tc>
          <w:tcPr>
            <w:tcW w:w="6364" w:type="dxa"/>
            <w:gridSpan w:val="10"/>
            <w:shd w:val="clear" w:color="auto" w:fill="auto"/>
            <w:tcMar>
              <w:top w:w="51" w:type="dxa"/>
              <w:left w:w="227" w:type="dxa"/>
              <w:bottom w:w="51" w:type="dxa"/>
              <w:right w:w="227" w:type="dxa"/>
            </w:tcMar>
            <w:vAlign w:val="center"/>
          </w:tcPr>
          <w:p w14:paraId="35527C68" w14:textId="5CBF0745" w:rsidR="009B3845" w:rsidRPr="00846D49" w:rsidRDefault="0063579E" w:rsidP="0072651A">
            <w:pPr>
              <w:tabs>
                <w:tab w:val="left" w:pos="3375"/>
              </w:tabs>
              <w:spacing w:after="0" w:line="240" w:lineRule="auto"/>
              <w:jc w:val="both"/>
              <w:rPr>
                <w:rFonts w:ascii="Arial" w:hAnsi="Arial" w:cs="Arial"/>
                <w:sz w:val="20"/>
                <w:szCs w:val="20"/>
              </w:rPr>
            </w:pPr>
            <w:r w:rsidRPr="00846D49">
              <w:rPr>
                <w:rFonts w:ascii="Arial" w:eastAsia="Arial Narrow" w:hAnsi="Arial" w:cs="Arial"/>
                <w:sz w:val="20"/>
                <w:szCs w:val="20"/>
              </w:rPr>
              <w:t>Número de Autoridades Regionales Forestales y de Fauna Silvestre que acceden a asistencia técnica para la identificación de las necesidades de investigación forestal y de fauna silvestre</w:t>
            </w:r>
            <w:r w:rsidR="009B3845" w:rsidRPr="00846D49">
              <w:rPr>
                <w:rFonts w:ascii="Arial" w:eastAsia="Arial Narrow" w:hAnsi="Arial" w:cs="Arial"/>
                <w:sz w:val="20"/>
                <w:szCs w:val="20"/>
              </w:rPr>
              <w:t>.</w:t>
            </w:r>
          </w:p>
        </w:tc>
      </w:tr>
      <w:tr w:rsidR="00846D49" w:rsidRPr="00846D49" w14:paraId="740FDB8A" w14:textId="77777777" w:rsidTr="002F5D4B">
        <w:trPr>
          <w:trHeight w:val="577"/>
        </w:trPr>
        <w:tc>
          <w:tcPr>
            <w:tcW w:w="2567" w:type="dxa"/>
            <w:gridSpan w:val="2"/>
            <w:shd w:val="clear" w:color="auto" w:fill="auto"/>
            <w:tcMar>
              <w:top w:w="10" w:type="dxa"/>
              <w:left w:w="93" w:type="dxa"/>
              <w:bottom w:w="0" w:type="dxa"/>
              <w:right w:w="10" w:type="dxa"/>
            </w:tcMar>
            <w:vAlign w:val="center"/>
          </w:tcPr>
          <w:p w14:paraId="746A929F" w14:textId="77777777" w:rsidR="009B3845" w:rsidRPr="00846D49" w:rsidRDefault="009B3845" w:rsidP="0072651A">
            <w:pPr>
              <w:tabs>
                <w:tab w:val="left" w:pos="3375"/>
              </w:tabs>
              <w:spacing w:after="0" w:line="240" w:lineRule="auto"/>
              <w:jc w:val="both"/>
              <w:rPr>
                <w:rFonts w:ascii="Arial" w:hAnsi="Arial" w:cs="Arial"/>
                <w:sz w:val="20"/>
                <w:szCs w:val="20"/>
              </w:rPr>
            </w:pPr>
            <w:r w:rsidRPr="00846D49">
              <w:rPr>
                <w:rFonts w:ascii="Arial" w:hAnsi="Arial" w:cs="Arial"/>
                <w:b/>
                <w:sz w:val="20"/>
                <w:szCs w:val="20"/>
              </w:rPr>
              <w:t>Justificación:</w:t>
            </w:r>
          </w:p>
        </w:tc>
        <w:tc>
          <w:tcPr>
            <w:tcW w:w="6364" w:type="dxa"/>
            <w:gridSpan w:val="10"/>
            <w:shd w:val="clear" w:color="auto" w:fill="auto"/>
            <w:tcMar>
              <w:top w:w="51" w:type="dxa"/>
              <w:left w:w="227" w:type="dxa"/>
              <w:bottom w:w="51" w:type="dxa"/>
              <w:right w:w="227" w:type="dxa"/>
            </w:tcMar>
            <w:vAlign w:val="center"/>
          </w:tcPr>
          <w:p w14:paraId="3787CA2F" w14:textId="77777777" w:rsidR="009B3845" w:rsidRPr="00846D49" w:rsidRDefault="009B3845" w:rsidP="0072651A">
            <w:pPr>
              <w:tabs>
                <w:tab w:val="left" w:pos="3375"/>
              </w:tabs>
              <w:spacing w:after="0" w:line="240" w:lineRule="auto"/>
              <w:jc w:val="both"/>
              <w:rPr>
                <w:rFonts w:ascii="Arial" w:eastAsia="Arial Narrow" w:hAnsi="Arial" w:cs="Arial"/>
                <w:sz w:val="20"/>
                <w:szCs w:val="20"/>
              </w:rPr>
            </w:pPr>
            <w:r w:rsidRPr="00846D49">
              <w:rPr>
                <w:rFonts w:ascii="Arial" w:eastAsia="Arial Narrow" w:hAnsi="Arial" w:cs="Arial"/>
                <w:sz w:val="20"/>
                <w:szCs w:val="20"/>
              </w:rPr>
              <w:t>El indicador mide el número de Autoridades Regionales Forestales y de Fauna Silvestre que reciben asistencia técnica para poder identificar necesidades de investigación forestal y de fauna silvestre, acordes con las necesidades de los actores regionales.</w:t>
            </w:r>
          </w:p>
          <w:p w14:paraId="6F64409E" w14:textId="77777777" w:rsidR="009B3845" w:rsidRPr="00846D49" w:rsidRDefault="009B3845" w:rsidP="0072651A">
            <w:pPr>
              <w:tabs>
                <w:tab w:val="left" w:pos="3375"/>
              </w:tabs>
              <w:spacing w:after="0" w:line="240" w:lineRule="auto"/>
              <w:jc w:val="both"/>
              <w:rPr>
                <w:rFonts w:ascii="Arial" w:eastAsia="Arial Narrow" w:hAnsi="Arial" w:cs="Arial"/>
                <w:sz w:val="20"/>
                <w:szCs w:val="20"/>
              </w:rPr>
            </w:pPr>
          </w:p>
        </w:tc>
      </w:tr>
      <w:tr w:rsidR="00846D49" w:rsidRPr="00846D49" w14:paraId="5BC36264" w14:textId="77777777" w:rsidTr="002F5D4B">
        <w:trPr>
          <w:trHeight w:val="352"/>
        </w:trPr>
        <w:tc>
          <w:tcPr>
            <w:tcW w:w="2567" w:type="dxa"/>
            <w:gridSpan w:val="2"/>
            <w:shd w:val="clear" w:color="auto" w:fill="auto"/>
            <w:tcMar>
              <w:top w:w="10" w:type="dxa"/>
              <w:left w:w="93" w:type="dxa"/>
              <w:bottom w:w="0" w:type="dxa"/>
              <w:right w:w="10" w:type="dxa"/>
            </w:tcMar>
            <w:vAlign w:val="center"/>
          </w:tcPr>
          <w:p w14:paraId="1F663DF0" w14:textId="77777777" w:rsidR="009B3845" w:rsidRPr="00846D49" w:rsidRDefault="009B3845" w:rsidP="0072651A">
            <w:pPr>
              <w:tabs>
                <w:tab w:val="left" w:pos="3375"/>
              </w:tabs>
              <w:spacing w:after="0" w:line="240" w:lineRule="auto"/>
              <w:jc w:val="both"/>
              <w:rPr>
                <w:rFonts w:ascii="Arial" w:hAnsi="Arial" w:cs="Arial"/>
                <w:sz w:val="20"/>
                <w:szCs w:val="20"/>
              </w:rPr>
            </w:pPr>
            <w:r w:rsidRPr="00846D49">
              <w:rPr>
                <w:rFonts w:ascii="Arial" w:hAnsi="Arial" w:cs="Arial"/>
                <w:b/>
                <w:sz w:val="20"/>
                <w:szCs w:val="20"/>
              </w:rPr>
              <w:t>Responsable del indicador:</w:t>
            </w:r>
          </w:p>
        </w:tc>
        <w:tc>
          <w:tcPr>
            <w:tcW w:w="6364" w:type="dxa"/>
            <w:gridSpan w:val="10"/>
            <w:shd w:val="clear" w:color="auto" w:fill="auto"/>
            <w:tcMar>
              <w:top w:w="51" w:type="dxa"/>
              <w:left w:w="227" w:type="dxa"/>
              <w:bottom w:w="51" w:type="dxa"/>
              <w:right w:w="227" w:type="dxa"/>
            </w:tcMar>
            <w:vAlign w:val="center"/>
          </w:tcPr>
          <w:p w14:paraId="3062DCF5" w14:textId="23E34366" w:rsidR="009B3845" w:rsidRPr="00846D49" w:rsidRDefault="009B3845" w:rsidP="0072651A">
            <w:pPr>
              <w:tabs>
                <w:tab w:val="left" w:pos="3375"/>
              </w:tabs>
              <w:spacing w:after="0" w:line="240" w:lineRule="auto"/>
              <w:jc w:val="both"/>
              <w:rPr>
                <w:rFonts w:ascii="Arial" w:hAnsi="Arial" w:cs="Arial"/>
                <w:sz w:val="20"/>
                <w:szCs w:val="20"/>
              </w:rPr>
            </w:pPr>
            <w:r w:rsidRPr="00846D49">
              <w:rPr>
                <w:rFonts w:ascii="Arial" w:eastAsia="Arial Narrow" w:hAnsi="Arial" w:cs="Arial"/>
                <w:sz w:val="20"/>
                <w:szCs w:val="20"/>
              </w:rPr>
              <w:t>Dirección de Estudios e Investigación del Servicio Nacional Forestal y de Fauna Silvestre</w:t>
            </w:r>
            <w:r w:rsidR="0020551C" w:rsidRPr="00846D49">
              <w:rPr>
                <w:rFonts w:ascii="Arial" w:eastAsia="Arial Narrow" w:hAnsi="Arial" w:cs="Arial"/>
                <w:sz w:val="20"/>
                <w:szCs w:val="20"/>
              </w:rPr>
              <w:t xml:space="preserve"> - SERFOR</w:t>
            </w:r>
          </w:p>
        </w:tc>
      </w:tr>
      <w:tr w:rsidR="00846D49" w:rsidRPr="00846D49" w14:paraId="5454D43E" w14:textId="77777777" w:rsidTr="002F5D4B">
        <w:trPr>
          <w:trHeight w:val="286"/>
        </w:trPr>
        <w:tc>
          <w:tcPr>
            <w:tcW w:w="2567" w:type="dxa"/>
            <w:gridSpan w:val="2"/>
            <w:shd w:val="clear" w:color="auto" w:fill="auto"/>
            <w:tcMar>
              <w:top w:w="10" w:type="dxa"/>
              <w:left w:w="93" w:type="dxa"/>
              <w:bottom w:w="0" w:type="dxa"/>
              <w:right w:w="10" w:type="dxa"/>
            </w:tcMar>
            <w:vAlign w:val="center"/>
          </w:tcPr>
          <w:p w14:paraId="71A289CA" w14:textId="77777777" w:rsidR="009B3845" w:rsidRPr="00846D49" w:rsidRDefault="009B3845" w:rsidP="0072651A">
            <w:pPr>
              <w:tabs>
                <w:tab w:val="left" w:pos="3375"/>
              </w:tabs>
              <w:spacing w:after="0" w:line="240" w:lineRule="auto"/>
              <w:jc w:val="both"/>
              <w:rPr>
                <w:rFonts w:ascii="Arial" w:hAnsi="Arial" w:cs="Arial"/>
                <w:sz w:val="20"/>
                <w:szCs w:val="20"/>
              </w:rPr>
            </w:pPr>
            <w:r w:rsidRPr="00846D49">
              <w:rPr>
                <w:rFonts w:ascii="Arial" w:hAnsi="Arial" w:cs="Arial"/>
                <w:b/>
                <w:sz w:val="20"/>
                <w:szCs w:val="20"/>
              </w:rPr>
              <w:t>Limitaciones para la medición del indicador:</w:t>
            </w:r>
          </w:p>
        </w:tc>
        <w:tc>
          <w:tcPr>
            <w:tcW w:w="6364" w:type="dxa"/>
            <w:gridSpan w:val="10"/>
            <w:shd w:val="clear" w:color="auto" w:fill="auto"/>
            <w:tcMar>
              <w:top w:w="51" w:type="dxa"/>
              <w:left w:w="227" w:type="dxa"/>
              <w:bottom w:w="51" w:type="dxa"/>
              <w:right w:w="227" w:type="dxa"/>
            </w:tcMar>
            <w:vAlign w:val="center"/>
          </w:tcPr>
          <w:p w14:paraId="038D0711" w14:textId="77777777" w:rsidR="009B3845" w:rsidRPr="00846D49" w:rsidRDefault="009B3845" w:rsidP="0072651A">
            <w:pPr>
              <w:tabs>
                <w:tab w:val="left" w:pos="3375"/>
              </w:tabs>
              <w:spacing w:after="0" w:line="240" w:lineRule="auto"/>
              <w:jc w:val="both"/>
              <w:rPr>
                <w:rFonts w:ascii="Arial" w:hAnsi="Arial" w:cs="Arial"/>
                <w:sz w:val="20"/>
                <w:szCs w:val="20"/>
              </w:rPr>
            </w:pPr>
            <w:r w:rsidRPr="00846D49">
              <w:rPr>
                <w:rFonts w:ascii="Arial" w:eastAsia="Arial Narrow" w:hAnsi="Arial" w:cs="Arial"/>
                <w:sz w:val="20"/>
                <w:szCs w:val="20"/>
              </w:rPr>
              <w:t>No presenta limitaciones</w:t>
            </w:r>
          </w:p>
        </w:tc>
      </w:tr>
      <w:tr w:rsidR="00846D49" w:rsidRPr="00846D49" w14:paraId="76D09FD2" w14:textId="77777777" w:rsidTr="002F5D4B">
        <w:trPr>
          <w:trHeight w:val="231"/>
        </w:trPr>
        <w:tc>
          <w:tcPr>
            <w:tcW w:w="2567" w:type="dxa"/>
            <w:gridSpan w:val="2"/>
            <w:shd w:val="clear" w:color="auto" w:fill="auto"/>
            <w:tcMar>
              <w:top w:w="10" w:type="dxa"/>
              <w:left w:w="93" w:type="dxa"/>
              <w:bottom w:w="0" w:type="dxa"/>
              <w:right w:w="10" w:type="dxa"/>
            </w:tcMar>
            <w:vAlign w:val="center"/>
          </w:tcPr>
          <w:p w14:paraId="555F29C9" w14:textId="77777777" w:rsidR="009B3845" w:rsidRPr="00846D49" w:rsidRDefault="009B3845" w:rsidP="0072651A">
            <w:pPr>
              <w:tabs>
                <w:tab w:val="left" w:pos="3375"/>
              </w:tabs>
              <w:spacing w:after="0" w:line="240" w:lineRule="auto"/>
              <w:jc w:val="both"/>
              <w:rPr>
                <w:rFonts w:ascii="Arial" w:hAnsi="Arial" w:cs="Arial"/>
                <w:sz w:val="20"/>
                <w:szCs w:val="20"/>
              </w:rPr>
            </w:pPr>
            <w:r w:rsidRPr="00846D49">
              <w:rPr>
                <w:rFonts w:ascii="Arial" w:hAnsi="Arial" w:cs="Arial"/>
                <w:b/>
                <w:sz w:val="20"/>
                <w:szCs w:val="20"/>
              </w:rPr>
              <w:t xml:space="preserve">Método de cálculo: </w:t>
            </w:r>
          </w:p>
        </w:tc>
        <w:tc>
          <w:tcPr>
            <w:tcW w:w="6364" w:type="dxa"/>
            <w:gridSpan w:val="10"/>
            <w:shd w:val="clear" w:color="auto" w:fill="auto"/>
            <w:tcMar>
              <w:top w:w="51" w:type="dxa"/>
              <w:left w:w="227" w:type="dxa"/>
              <w:bottom w:w="51" w:type="dxa"/>
              <w:right w:w="227" w:type="dxa"/>
            </w:tcMar>
            <w:vAlign w:val="center"/>
          </w:tcPr>
          <w:p w14:paraId="3ED2E700" w14:textId="77777777" w:rsidR="009B3845" w:rsidRPr="00846D49" w:rsidRDefault="009B3845" w:rsidP="00147D2E">
            <w:pPr>
              <w:pStyle w:val="Prrafodelista"/>
              <w:numPr>
                <w:ilvl w:val="0"/>
                <w:numId w:val="22"/>
              </w:numPr>
              <w:spacing w:after="0" w:line="240" w:lineRule="auto"/>
              <w:ind w:left="183" w:hanging="183"/>
              <w:jc w:val="both"/>
              <w:rPr>
                <w:rFonts w:ascii="Arial" w:eastAsia="Arial Narrow" w:hAnsi="Arial" w:cs="Arial"/>
                <w:b/>
                <w:bCs/>
                <w:sz w:val="20"/>
                <w:szCs w:val="20"/>
              </w:rPr>
            </w:pPr>
            <w:r w:rsidRPr="00846D49">
              <w:rPr>
                <w:rFonts w:ascii="Arial" w:eastAsia="Arial Narrow" w:hAnsi="Arial" w:cs="Arial"/>
                <w:b/>
                <w:bCs/>
                <w:sz w:val="20"/>
                <w:szCs w:val="20"/>
              </w:rPr>
              <w:t>Formula</w:t>
            </w:r>
          </w:p>
          <w:p w14:paraId="3BF4C2D1" w14:textId="7C9A642B" w:rsidR="009B3845" w:rsidRPr="00846D49" w:rsidRDefault="009B3845" w:rsidP="0072651A">
            <w:pPr>
              <w:spacing w:after="0" w:line="240" w:lineRule="auto"/>
              <w:jc w:val="both"/>
              <w:rPr>
                <w:rFonts w:ascii="Arial" w:eastAsia="Arial Narrow" w:hAnsi="Arial" w:cs="Arial"/>
                <w:sz w:val="20"/>
                <w:szCs w:val="20"/>
              </w:rPr>
            </w:pPr>
          </w:p>
          <w:p w14:paraId="4A01B736" w14:textId="4455411E" w:rsidR="00583091" w:rsidRPr="00846D49" w:rsidRDefault="0070592F" w:rsidP="0072651A">
            <w:pPr>
              <w:spacing w:after="0" w:line="240" w:lineRule="auto"/>
              <w:jc w:val="both"/>
              <w:rPr>
                <w:rFonts w:ascii="Arial" w:eastAsia="Arial Narrow" w:hAnsi="Arial" w:cs="Arial"/>
                <w:sz w:val="20"/>
                <w:szCs w:val="20"/>
              </w:rPr>
            </w:pPr>
            <w:r w:rsidRPr="00846D49">
              <w:rPr>
                <w:rFonts w:ascii="Arial" w:eastAsia="Arial Narrow" w:hAnsi="Arial" w:cs="Arial"/>
                <w:sz w:val="20"/>
                <w:szCs w:val="20"/>
              </w:rPr>
              <w:t xml:space="preserve">TARFFSRAT = ∑ </w:t>
            </w:r>
            <w:r w:rsidR="00583091" w:rsidRPr="00846D49">
              <w:rPr>
                <w:rFonts w:ascii="Arial" w:eastAsia="Arial Narrow" w:hAnsi="Arial" w:cs="Arial"/>
                <w:sz w:val="20"/>
                <w:szCs w:val="20"/>
              </w:rPr>
              <w:t>NARFFSRAT</w:t>
            </w:r>
            <w:r w:rsidRPr="00846D49">
              <w:rPr>
                <w:rFonts w:ascii="Arial" w:eastAsia="Arial Narrow" w:hAnsi="Arial" w:cs="Arial"/>
                <w:sz w:val="20"/>
                <w:szCs w:val="20"/>
                <w:vertAlign w:val="subscript"/>
              </w:rPr>
              <w:t>N1+N2+Nn3 +…Nn</w:t>
            </w:r>
            <w:r w:rsidR="005741AC" w:rsidRPr="00846D49">
              <w:rPr>
                <w:rFonts w:ascii="Arial" w:eastAsia="Arial Narrow" w:hAnsi="Arial" w:cs="Arial"/>
                <w:sz w:val="20"/>
                <w:szCs w:val="20"/>
              </w:rPr>
              <w:t xml:space="preserve"> </w:t>
            </w:r>
          </w:p>
          <w:p w14:paraId="64079AA7" w14:textId="77777777" w:rsidR="00583091" w:rsidRPr="00846D49" w:rsidRDefault="00583091" w:rsidP="0072651A">
            <w:pPr>
              <w:spacing w:after="0" w:line="240" w:lineRule="auto"/>
              <w:jc w:val="both"/>
              <w:rPr>
                <w:rFonts w:ascii="Arial" w:eastAsia="Arial Narrow" w:hAnsi="Arial" w:cs="Arial"/>
                <w:sz w:val="20"/>
                <w:szCs w:val="20"/>
              </w:rPr>
            </w:pPr>
          </w:p>
          <w:p w14:paraId="6E18F89A" w14:textId="2A50422E" w:rsidR="00583091" w:rsidRPr="00846D49" w:rsidRDefault="00583091" w:rsidP="0072651A">
            <w:pPr>
              <w:spacing w:after="0" w:line="240" w:lineRule="auto"/>
              <w:jc w:val="both"/>
              <w:rPr>
                <w:rFonts w:ascii="Arial" w:eastAsia="Arial Narrow" w:hAnsi="Arial" w:cs="Arial"/>
                <w:sz w:val="20"/>
                <w:szCs w:val="20"/>
              </w:rPr>
            </w:pPr>
            <w:r w:rsidRPr="00846D49">
              <w:rPr>
                <w:rFonts w:ascii="Arial" w:eastAsia="Arial Narrow" w:hAnsi="Arial" w:cs="Arial"/>
                <w:sz w:val="20"/>
                <w:szCs w:val="20"/>
              </w:rPr>
              <w:t>Donde:</w:t>
            </w:r>
          </w:p>
          <w:p w14:paraId="25BD8638" w14:textId="77777777" w:rsidR="00583091" w:rsidRPr="00846D49" w:rsidRDefault="00583091" w:rsidP="0072651A">
            <w:pPr>
              <w:spacing w:after="0" w:line="240" w:lineRule="auto"/>
              <w:jc w:val="both"/>
              <w:rPr>
                <w:rFonts w:ascii="Arial" w:eastAsia="Arial Narrow" w:hAnsi="Arial" w:cs="Arial"/>
                <w:sz w:val="20"/>
                <w:szCs w:val="20"/>
              </w:rPr>
            </w:pPr>
          </w:p>
          <w:p w14:paraId="5B51AB76" w14:textId="519744A1" w:rsidR="0070592F" w:rsidRPr="00846D49" w:rsidRDefault="0070592F" w:rsidP="005741AC">
            <w:pPr>
              <w:spacing w:after="0" w:line="240" w:lineRule="auto"/>
              <w:ind w:left="1465" w:hanging="1465"/>
              <w:jc w:val="both"/>
              <w:rPr>
                <w:rFonts w:ascii="Arial" w:eastAsia="Arial Narrow" w:hAnsi="Arial" w:cs="Arial"/>
                <w:sz w:val="20"/>
                <w:szCs w:val="20"/>
              </w:rPr>
            </w:pPr>
            <w:r w:rsidRPr="00846D49">
              <w:rPr>
                <w:rFonts w:ascii="Arial" w:eastAsia="Arial Narrow" w:hAnsi="Arial" w:cs="Arial"/>
                <w:sz w:val="20"/>
                <w:szCs w:val="20"/>
              </w:rPr>
              <w:t>TARFFSRAT = Total de Autoridades Regionales Forestales y de Fauna Silvestre que reciben asistencia técnica para identificar necesidades de investigación forestal y de fauna silvestre regional.</w:t>
            </w:r>
          </w:p>
          <w:p w14:paraId="37E2A145" w14:textId="0747749F" w:rsidR="009B3845" w:rsidRPr="00846D49" w:rsidRDefault="00583091" w:rsidP="005741AC">
            <w:pPr>
              <w:spacing w:after="0" w:line="240" w:lineRule="auto"/>
              <w:ind w:left="1465" w:hanging="1465"/>
              <w:jc w:val="both"/>
              <w:rPr>
                <w:rFonts w:ascii="Arial" w:eastAsia="Arial Narrow" w:hAnsi="Arial" w:cs="Arial"/>
                <w:sz w:val="20"/>
                <w:szCs w:val="20"/>
              </w:rPr>
            </w:pPr>
            <w:r w:rsidRPr="00846D49">
              <w:rPr>
                <w:rFonts w:ascii="Arial" w:eastAsia="Arial Narrow" w:hAnsi="Arial" w:cs="Arial"/>
                <w:sz w:val="20"/>
                <w:szCs w:val="20"/>
              </w:rPr>
              <w:t>NARFFSRAT = Número</w:t>
            </w:r>
            <w:r w:rsidR="009B3845" w:rsidRPr="00846D49">
              <w:rPr>
                <w:rFonts w:ascii="Arial" w:eastAsia="Arial Narrow" w:hAnsi="Arial" w:cs="Arial"/>
                <w:sz w:val="20"/>
                <w:szCs w:val="20"/>
              </w:rPr>
              <w:t xml:space="preserve"> de Autoridades Regionales Forestales y de Fauna Silvestre que reciben asistencia técnica para identificar necesidades de investigación forestal y de fauna silvestre regional. </w:t>
            </w:r>
          </w:p>
          <w:p w14:paraId="2A523479" w14:textId="5AEFDDDE" w:rsidR="0070592F" w:rsidRPr="00846D49" w:rsidRDefault="0070592F" w:rsidP="005741AC">
            <w:pPr>
              <w:spacing w:after="0" w:line="240" w:lineRule="auto"/>
              <w:ind w:left="1465" w:hanging="1465"/>
              <w:jc w:val="both"/>
              <w:rPr>
                <w:rFonts w:ascii="Arial" w:eastAsia="Arial Narrow" w:hAnsi="Arial" w:cs="Arial"/>
                <w:sz w:val="20"/>
                <w:szCs w:val="20"/>
              </w:rPr>
            </w:pPr>
            <w:r w:rsidRPr="00846D49">
              <w:rPr>
                <w:rFonts w:ascii="Arial" w:eastAsia="Arial Narrow" w:hAnsi="Arial" w:cs="Arial"/>
                <w:sz w:val="20"/>
                <w:szCs w:val="20"/>
              </w:rPr>
              <w:t>N = Año de medición</w:t>
            </w:r>
          </w:p>
          <w:p w14:paraId="0C51A9A3" w14:textId="77777777" w:rsidR="009B3845" w:rsidRPr="00846D49" w:rsidRDefault="009B3845" w:rsidP="0072651A">
            <w:pPr>
              <w:spacing w:after="0" w:line="240" w:lineRule="auto"/>
              <w:jc w:val="both"/>
              <w:rPr>
                <w:rFonts w:ascii="Arial" w:eastAsia="Arial Narrow" w:hAnsi="Arial" w:cs="Arial"/>
                <w:sz w:val="20"/>
                <w:szCs w:val="20"/>
              </w:rPr>
            </w:pPr>
          </w:p>
          <w:p w14:paraId="33E59653" w14:textId="77777777" w:rsidR="009B3845" w:rsidRPr="00846D49" w:rsidRDefault="009B3845" w:rsidP="00147D2E">
            <w:pPr>
              <w:pStyle w:val="Prrafodelista"/>
              <w:numPr>
                <w:ilvl w:val="0"/>
                <w:numId w:val="22"/>
              </w:numPr>
              <w:spacing w:after="0" w:line="240" w:lineRule="auto"/>
              <w:ind w:left="324" w:hanging="283"/>
              <w:jc w:val="both"/>
              <w:rPr>
                <w:rFonts w:ascii="Arial" w:eastAsia="Arial Narrow" w:hAnsi="Arial" w:cs="Arial"/>
                <w:b/>
                <w:bCs/>
                <w:sz w:val="20"/>
                <w:szCs w:val="20"/>
              </w:rPr>
            </w:pPr>
            <w:r w:rsidRPr="00846D49">
              <w:rPr>
                <w:rFonts w:ascii="Arial" w:eastAsia="Arial Narrow" w:hAnsi="Arial" w:cs="Arial"/>
                <w:b/>
                <w:bCs/>
                <w:sz w:val="20"/>
                <w:szCs w:val="20"/>
              </w:rPr>
              <w:t>Especificaciones técnicas:</w:t>
            </w:r>
          </w:p>
          <w:p w14:paraId="09C4CC44" w14:textId="77777777" w:rsidR="009B3845" w:rsidRPr="00846D49" w:rsidRDefault="009B3845" w:rsidP="0072651A">
            <w:pPr>
              <w:spacing w:after="0" w:line="240" w:lineRule="auto"/>
              <w:jc w:val="both"/>
              <w:rPr>
                <w:rFonts w:ascii="Arial" w:eastAsia="Arial Narrow" w:hAnsi="Arial" w:cs="Arial"/>
                <w:sz w:val="20"/>
                <w:szCs w:val="20"/>
              </w:rPr>
            </w:pPr>
          </w:p>
          <w:p w14:paraId="5BF2E94E" w14:textId="59A5CBC5" w:rsidR="0070592F" w:rsidRPr="00846D49" w:rsidRDefault="0070592F" w:rsidP="0072651A">
            <w:pPr>
              <w:spacing w:after="0" w:line="240" w:lineRule="auto"/>
              <w:jc w:val="both"/>
              <w:rPr>
                <w:rFonts w:ascii="Arial" w:eastAsia="Arial Narrow" w:hAnsi="Arial" w:cs="Arial"/>
                <w:sz w:val="20"/>
                <w:szCs w:val="20"/>
              </w:rPr>
            </w:pPr>
            <w:r w:rsidRPr="00846D49">
              <w:rPr>
                <w:rFonts w:ascii="Arial" w:eastAsia="Arial Narrow" w:hAnsi="Arial" w:cs="Arial"/>
                <w:sz w:val="20"/>
                <w:szCs w:val="20"/>
              </w:rPr>
              <w:t>La variable TARFFSRAT es un valor acumulado.</w:t>
            </w:r>
          </w:p>
          <w:p w14:paraId="426F6477" w14:textId="10F32C30" w:rsidR="00536B23" w:rsidRPr="00846D49" w:rsidRDefault="00536B23" w:rsidP="0072651A">
            <w:pPr>
              <w:spacing w:after="0" w:line="240" w:lineRule="auto"/>
              <w:jc w:val="both"/>
              <w:rPr>
                <w:rFonts w:ascii="Arial" w:eastAsia="Arial Narrow" w:hAnsi="Arial" w:cs="Arial"/>
                <w:sz w:val="20"/>
                <w:szCs w:val="20"/>
              </w:rPr>
            </w:pPr>
            <w:r w:rsidRPr="00846D49">
              <w:rPr>
                <w:rFonts w:ascii="Arial" w:eastAsia="Arial Narrow" w:hAnsi="Arial" w:cs="Arial"/>
                <w:sz w:val="20"/>
                <w:szCs w:val="20"/>
              </w:rPr>
              <w:t xml:space="preserve">La variable NARFFSRAT se determina a partir de </w:t>
            </w:r>
            <w:r w:rsidR="001C573A" w:rsidRPr="00846D49">
              <w:rPr>
                <w:rFonts w:ascii="Arial" w:eastAsia="Arial Narrow" w:hAnsi="Arial" w:cs="Arial"/>
                <w:sz w:val="20"/>
                <w:szCs w:val="20"/>
              </w:rPr>
              <w:t>la cantidad de</w:t>
            </w:r>
            <w:r w:rsidRPr="00846D49">
              <w:rPr>
                <w:rFonts w:ascii="Arial" w:eastAsia="Arial Narrow" w:hAnsi="Arial" w:cs="Arial"/>
                <w:sz w:val="20"/>
                <w:szCs w:val="20"/>
              </w:rPr>
              <w:t xml:space="preserve"> Autoridades Regionales Forestales y de Fauna Silvestre que </w:t>
            </w:r>
            <w:r w:rsidRPr="00846D49">
              <w:rPr>
                <w:rFonts w:ascii="Arial" w:eastAsia="Arial Narrow" w:hAnsi="Arial" w:cs="Arial"/>
                <w:sz w:val="20"/>
                <w:szCs w:val="20"/>
              </w:rPr>
              <w:lastRenderedPageBreak/>
              <w:t>reciben asistencia técnica para identificar necesidades de investigación forestal y de fauna silvestre</w:t>
            </w:r>
            <w:r w:rsidR="00B24B0F" w:rsidRPr="00846D49">
              <w:rPr>
                <w:rFonts w:ascii="Arial" w:eastAsia="Arial Narrow" w:hAnsi="Arial" w:cs="Arial"/>
                <w:sz w:val="20"/>
                <w:szCs w:val="20"/>
              </w:rPr>
              <w:t>.</w:t>
            </w:r>
          </w:p>
          <w:p w14:paraId="33352770" w14:textId="77777777" w:rsidR="00B24B0F" w:rsidRPr="00846D49" w:rsidRDefault="00B24B0F" w:rsidP="0072651A">
            <w:pPr>
              <w:spacing w:after="0" w:line="240" w:lineRule="auto"/>
              <w:jc w:val="both"/>
              <w:rPr>
                <w:rFonts w:ascii="Arial" w:eastAsia="Arial Narrow" w:hAnsi="Arial" w:cs="Arial"/>
                <w:sz w:val="20"/>
                <w:szCs w:val="20"/>
              </w:rPr>
            </w:pPr>
          </w:p>
          <w:p w14:paraId="5DDD0592" w14:textId="7DAC1A37" w:rsidR="009B3845" w:rsidRPr="00846D49" w:rsidRDefault="009B3845" w:rsidP="0072651A">
            <w:pPr>
              <w:spacing w:after="0" w:line="240" w:lineRule="auto"/>
              <w:jc w:val="both"/>
              <w:rPr>
                <w:rFonts w:ascii="Arial" w:eastAsia="Arial Narrow" w:hAnsi="Arial" w:cs="Arial"/>
                <w:sz w:val="20"/>
                <w:szCs w:val="20"/>
              </w:rPr>
            </w:pPr>
            <w:r w:rsidRPr="00846D49">
              <w:rPr>
                <w:rFonts w:ascii="Arial" w:eastAsia="Arial Narrow" w:hAnsi="Arial" w:cs="Arial"/>
                <w:sz w:val="20"/>
                <w:szCs w:val="20"/>
              </w:rPr>
              <w:t xml:space="preserve">La asistencia técnica inicia desde la solicitud de interés de la </w:t>
            </w:r>
            <w:r w:rsidR="00583091" w:rsidRPr="00846D49">
              <w:rPr>
                <w:rFonts w:ascii="Arial" w:eastAsia="Arial Narrow" w:hAnsi="Arial" w:cs="Arial"/>
                <w:sz w:val="20"/>
                <w:szCs w:val="20"/>
              </w:rPr>
              <w:t>Autoridad Regional Forestal y de Fauna Silvestre</w:t>
            </w:r>
            <w:r w:rsidRPr="00846D49">
              <w:rPr>
                <w:rFonts w:ascii="Arial" w:eastAsia="Arial Narrow" w:hAnsi="Arial" w:cs="Arial"/>
                <w:sz w:val="20"/>
                <w:szCs w:val="20"/>
              </w:rPr>
              <w:t xml:space="preserve"> por identificar las necesidades de investigación hasta la formulación de la herramienta estratégica que orienten las investigaciones forestales y de fauna silvestre. Asimismo, se considera a la actualización de estas herramientas como un nuevo proceso del servicio.</w:t>
            </w:r>
          </w:p>
          <w:p w14:paraId="032BAD13" w14:textId="77777777" w:rsidR="009B3845" w:rsidRPr="00846D49" w:rsidRDefault="009B3845" w:rsidP="0072651A">
            <w:pPr>
              <w:spacing w:after="0" w:line="240" w:lineRule="auto"/>
              <w:jc w:val="both"/>
              <w:rPr>
                <w:rFonts w:ascii="Arial" w:eastAsia="Arial Narrow" w:hAnsi="Arial" w:cs="Arial"/>
                <w:sz w:val="20"/>
                <w:szCs w:val="20"/>
              </w:rPr>
            </w:pPr>
          </w:p>
          <w:p w14:paraId="598E8414" w14:textId="6E189C9E" w:rsidR="00C62426" w:rsidRPr="00846D49" w:rsidRDefault="009B3845" w:rsidP="0072651A">
            <w:pPr>
              <w:spacing w:after="0" w:line="240" w:lineRule="auto"/>
              <w:jc w:val="both"/>
              <w:rPr>
                <w:rFonts w:ascii="Arial" w:eastAsia="Arial Narrow" w:hAnsi="Arial" w:cs="Arial"/>
                <w:sz w:val="20"/>
                <w:szCs w:val="20"/>
              </w:rPr>
            </w:pPr>
            <w:r w:rsidRPr="00846D49">
              <w:rPr>
                <w:rFonts w:ascii="Arial" w:eastAsia="Arial Narrow" w:hAnsi="Arial" w:cs="Arial"/>
                <w:sz w:val="20"/>
                <w:szCs w:val="20"/>
              </w:rPr>
              <w:t xml:space="preserve">La asistencia </w:t>
            </w:r>
            <w:r w:rsidR="00583091" w:rsidRPr="00846D49">
              <w:rPr>
                <w:rFonts w:ascii="Arial" w:eastAsia="Arial Narrow" w:hAnsi="Arial" w:cs="Arial"/>
                <w:sz w:val="20"/>
                <w:szCs w:val="20"/>
              </w:rPr>
              <w:t>t</w:t>
            </w:r>
            <w:r w:rsidRPr="00846D49">
              <w:rPr>
                <w:rFonts w:ascii="Arial" w:eastAsia="Arial Narrow" w:hAnsi="Arial" w:cs="Arial"/>
                <w:sz w:val="20"/>
                <w:szCs w:val="20"/>
              </w:rPr>
              <w:t>écnica es el conjunto de actividades de apoyo orientadas al desarrollo de capacidades encaminadas a resolver las principales dificultades que presentan los actores forestales y de fauna silvestre en el desempeño de sus funciones y en el desarrollo de sus actividades. Se sustenta en actividades de acompañamiento realizada por profesionales o expertos en temas específicos y aportan en la solución de interrogantes o asisten en la realización de tareas y actividades.</w:t>
            </w:r>
          </w:p>
          <w:p w14:paraId="0FA3B125" w14:textId="77777777" w:rsidR="003C64D9" w:rsidRPr="00846D49" w:rsidRDefault="003C64D9" w:rsidP="0072651A">
            <w:pPr>
              <w:spacing w:after="0" w:line="240" w:lineRule="auto"/>
              <w:jc w:val="both"/>
              <w:rPr>
                <w:rFonts w:ascii="Arial" w:eastAsia="Arial Narrow" w:hAnsi="Arial" w:cs="Arial"/>
                <w:sz w:val="20"/>
                <w:szCs w:val="20"/>
              </w:rPr>
            </w:pPr>
          </w:p>
          <w:p w14:paraId="0F02BB1A" w14:textId="251A3B9B" w:rsidR="009B3845" w:rsidRPr="00846D49" w:rsidRDefault="00C62426" w:rsidP="00C21C86">
            <w:pPr>
              <w:spacing w:after="0" w:line="240" w:lineRule="auto"/>
              <w:jc w:val="both"/>
              <w:rPr>
                <w:rFonts w:ascii="Arial" w:eastAsia="Arial Narrow" w:hAnsi="Arial" w:cs="Arial"/>
                <w:sz w:val="20"/>
                <w:szCs w:val="20"/>
              </w:rPr>
            </w:pPr>
            <w:r w:rsidRPr="00846D49">
              <w:rPr>
                <w:rFonts w:ascii="Arial" w:eastAsia="Arial Narrow" w:hAnsi="Arial" w:cs="Arial"/>
                <w:sz w:val="20"/>
                <w:szCs w:val="20"/>
              </w:rPr>
              <w:t xml:space="preserve">Se considera que la Autoridad Regional Forestal y de Fauna Silvestre ha culminado </w:t>
            </w:r>
            <w:r w:rsidR="003C64D9" w:rsidRPr="00846D49">
              <w:rPr>
                <w:rFonts w:ascii="Arial" w:eastAsia="Arial Narrow" w:hAnsi="Arial" w:cs="Arial"/>
                <w:sz w:val="20"/>
                <w:szCs w:val="20"/>
              </w:rPr>
              <w:t xml:space="preserve">de recibir </w:t>
            </w:r>
            <w:r w:rsidRPr="00846D49">
              <w:rPr>
                <w:rFonts w:ascii="Arial" w:eastAsia="Arial Narrow" w:hAnsi="Arial" w:cs="Arial"/>
                <w:sz w:val="20"/>
                <w:szCs w:val="20"/>
              </w:rPr>
              <w:t xml:space="preserve">la asistencia técnica cuando el </w:t>
            </w:r>
            <w:r w:rsidR="00B24B0F" w:rsidRPr="00846D49">
              <w:rPr>
                <w:rFonts w:ascii="Arial" w:eastAsia="Arial Narrow" w:hAnsi="Arial" w:cs="Arial"/>
                <w:sz w:val="20"/>
                <w:szCs w:val="20"/>
              </w:rPr>
              <w:t xml:space="preserve">Servicio Nacional Forestal y de Fauna Silvestre - </w:t>
            </w:r>
            <w:r w:rsidRPr="00846D49">
              <w:rPr>
                <w:rFonts w:ascii="Arial" w:eastAsia="Arial Narrow" w:hAnsi="Arial" w:cs="Arial"/>
                <w:sz w:val="20"/>
                <w:szCs w:val="20"/>
              </w:rPr>
              <w:t>SERFOR remite las líneas de investigación regionales identificadas</w:t>
            </w:r>
            <w:r w:rsidR="003C64D9" w:rsidRPr="00846D49">
              <w:rPr>
                <w:rFonts w:ascii="Arial" w:eastAsia="Arial Narrow" w:hAnsi="Arial" w:cs="Arial"/>
                <w:sz w:val="20"/>
                <w:szCs w:val="20"/>
              </w:rPr>
              <w:t>.</w:t>
            </w:r>
          </w:p>
        </w:tc>
      </w:tr>
      <w:tr w:rsidR="00846D49" w:rsidRPr="00846D49" w14:paraId="095CE0DA" w14:textId="77777777" w:rsidTr="002F5D4B">
        <w:trPr>
          <w:trHeight w:val="686"/>
        </w:trPr>
        <w:tc>
          <w:tcPr>
            <w:tcW w:w="2567" w:type="dxa"/>
            <w:gridSpan w:val="2"/>
            <w:shd w:val="clear" w:color="auto" w:fill="auto"/>
            <w:tcMar>
              <w:top w:w="10" w:type="dxa"/>
              <w:left w:w="93" w:type="dxa"/>
              <w:bottom w:w="0" w:type="dxa"/>
              <w:right w:w="10" w:type="dxa"/>
            </w:tcMar>
            <w:vAlign w:val="center"/>
          </w:tcPr>
          <w:p w14:paraId="3C903127" w14:textId="77777777" w:rsidR="009B3845" w:rsidRPr="00846D49" w:rsidRDefault="009B3845" w:rsidP="0072651A">
            <w:pPr>
              <w:tabs>
                <w:tab w:val="left" w:pos="3375"/>
              </w:tabs>
              <w:spacing w:after="0" w:line="240" w:lineRule="auto"/>
              <w:ind w:right="142"/>
              <w:jc w:val="both"/>
              <w:rPr>
                <w:rFonts w:ascii="Arial" w:hAnsi="Arial" w:cs="Arial"/>
                <w:sz w:val="20"/>
                <w:szCs w:val="20"/>
              </w:rPr>
            </w:pPr>
            <w:r w:rsidRPr="00846D49">
              <w:rPr>
                <w:rFonts w:ascii="Arial" w:hAnsi="Arial" w:cs="Arial"/>
                <w:b/>
                <w:sz w:val="20"/>
                <w:szCs w:val="20"/>
              </w:rPr>
              <w:lastRenderedPageBreak/>
              <w:t>Sentido esperado del indicador:</w:t>
            </w:r>
          </w:p>
        </w:tc>
        <w:tc>
          <w:tcPr>
            <w:tcW w:w="1686" w:type="dxa"/>
            <w:gridSpan w:val="2"/>
            <w:shd w:val="clear" w:color="auto" w:fill="auto"/>
            <w:tcMar>
              <w:top w:w="10" w:type="dxa"/>
              <w:left w:w="283" w:type="dxa"/>
              <w:bottom w:w="0" w:type="dxa"/>
              <w:right w:w="283" w:type="dxa"/>
            </w:tcMar>
            <w:vAlign w:val="center"/>
          </w:tcPr>
          <w:p w14:paraId="02BA745F" w14:textId="183E11B7" w:rsidR="009B3845" w:rsidRPr="00846D49" w:rsidRDefault="0070592F" w:rsidP="0072651A">
            <w:pPr>
              <w:tabs>
                <w:tab w:val="left" w:pos="3375"/>
              </w:tabs>
              <w:spacing w:after="0" w:line="240" w:lineRule="auto"/>
              <w:jc w:val="both"/>
              <w:rPr>
                <w:rFonts w:ascii="Arial" w:hAnsi="Arial" w:cs="Arial"/>
                <w:sz w:val="20"/>
                <w:szCs w:val="20"/>
              </w:rPr>
            </w:pPr>
            <w:r w:rsidRPr="00846D49">
              <w:rPr>
                <w:rFonts w:ascii="Arial" w:hAnsi="Arial" w:cs="Arial"/>
                <w:sz w:val="20"/>
                <w:szCs w:val="20"/>
              </w:rPr>
              <w:t>Ascendente</w:t>
            </w:r>
          </w:p>
        </w:tc>
        <w:tc>
          <w:tcPr>
            <w:tcW w:w="3140" w:type="dxa"/>
            <w:gridSpan w:val="5"/>
            <w:shd w:val="clear" w:color="auto" w:fill="auto"/>
            <w:tcMar>
              <w:top w:w="15" w:type="dxa"/>
              <w:left w:w="15" w:type="dxa"/>
              <w:bottom w:w="0" w:type="dxa"/>
              <w:right w:w="15" w:type="dxa"/>
            </w:tcMar>
            <w:vAlign w:val="center"/>
          </w:tcPr>
          <w:p w14:paraId="460F13C3" w14:textId="77777777" w:rsidR="009B3845" w:rsidRPr="00846D49" w:rsidRDefault="009B3845" w:rsidP="0072651A">
            <w:pPr>
              <w:tabs>
                <w:tab w:val="left" w:pos="3375"/>
              </w:tabs>
              <w:spacing w:after="0" w:line="240" w:lineRule="auto"/>
              <w:jc w:val="both"/>
              <w:rPr>
                <w:rFonts w:ascii="Arial" w:hAnsi="Arial" w:cs="Arial"/>
                <w:sz w:val="20"/>
                <w:szCs w:val="20"/>
              </w:rPr>
            </w:pPr>
            <w:r w:rsidRPr="00846D49">
              <w:rPr>
                <w:rFonts w:ascii="Arial" w:hAnsi="Arial" w:cs="Arial"/>
                <w:b/>
                <w:sz w:val="20"/>
                <w:szCs w:val="20"/>
              </w:rPr>
              <w:t>Tipo de indicador de servicio:</w:t>
            </w:r>
          </w:p>
        </w:tc>
        <w:tc>
          <w:tcPr>
            <w:tcW w:w="1538" w:type="dxa"/>
            <w:gridSpan w:val="3"/>
            <w:shd w:val="clear" w:color="auto" w:fill="auto"/>
            <w:tcMar>
              <w:top w:w="15" w:type="dxa"/>
              <w:left w:w="15" w:type="dxa"/>
              <w:bottom w:w="0" w:type="dxa"/>
              <w:right w:w="15" w:type="dxa"/>
            </w:tcMar>
            <w:vAlign w:val="center"/>
          </w:tcPr>
          <w:p w14:paraId="4B7602F9" w14:textId="77777777" w:rsidR="009B3845" w:rsidRPr="00846D49" w:rsidRDefault="009B3845" w:rsidP="0072651A">
            <w:pPr>
              <w:tabs>
                <w:tab w:val="left" w:pos="3375"/>
              </w:tabs>
              <w:spacing w:after="0" w:line="240" w:lineRule="auto"/>
              <w:jc w:val="both"/>
              <w:rPr>
                <w:rFonts w:ascii="Arial" w:hAnsi="Arial" w:cs="Arial"/>
                <w:sz w:val="20"/>
                <w:szCs w:val="20"/>
              </w:rPr>
            </w:pPr>
            <w:r w:rsidRPr="00846D49">
              <w:rPr>
                <w:rFonts w:ascii="Arial" w:hAnsi="Arial" w:cs="Arial"/>
                <w:sz w:val="20"/>
                <w:szCs w:val="20"/>
              </w:rPr>
              <w:t>Cobertura</w:t>
            </w:r>
          </w:p>
        </w:tc>
      </w:tr>
      <w:tr w:rsidR="00846D49" w:rsidRPr="00846D49" w14:paraId="1E31492E" w14:textId="77777777" w:rsidTr="002F5D4B">
        <w:trPr>
          <w:trHeight w:val="13"/>
        </w:trPr>
        <w:tc>
          <w:tcPr>
            <w:tcW w:w="2567" w:type="dxa"/>
            <w:gridSpan w:val="2"/>
            <w:shd w:val="clear" w:color="auto" w:fill="auto"/>
            <w:tcMar>
              <w:top w:w="10" w:type="dxa"/>
              <w:left w:w="93" w:type="dxa"/>
              <w:bottom w:w="0" w:type="dxa"/>
              <w:right w:w="10" w:type="dxa"/>
            </w:tcMar>
            <w:vAlign w:val="center"/>
          </w:tcPr>
          <w:p w14:paraId="4B2ACF3B" w14:textId="77777777" w:rsidR="009B3845" w:rsidRPr="00846D49" w:rsidRDefault="009B3845" w:rsidP="0072651A">
            <w:pPr>
              <w:tabs>
                <w:tab w:val="left" w:pos="3375"/>
              </w:tabs>
              <w:spacing w:after="0" w:line="240" w:lineRule="auto"/>
              <w:jc w:val="both"/>
              <w:rPr>
                <w:rFonts w:ascii="Arial" w:hAnsi="Arial" w:cs="Arial"/>
                <w:sz w:val="20"/>
                <w:szCs w:val="20"/>
              </w:rPr>
            </w:pPr>
            <w:r w:rsidRPr="00846D49">
              <w:rPr>
                <w:rFonts w:ascii="Arial" w:hAnsi="Arial" w:cs="Arial"/>
                <w:b/>
                <w:sz w:val="20"/>
                <w:szCs w:val="20"/>
              </w:rPr>
              <w:t>Fuente y base de datos:</w:t>
            </w:r>
          </w:p>
        </w:tc>
        <w:tc>
          <w:tcPr>
            <w:tcW w:w="6364" w:type="dxa"/>
            <w:gridSpan w:val="10"/>
            <w:shd w:val="clear" w:color="auto" w:fill="auto"/>
            <w:tcMar>
              <w:top w:w="51" w:type="dxa"/>
              <w:left w:w="227" w:type="dxa"/>
              <w:bottom w:w="51" w:type="dxa"/>
              <w:right w:w="227" w:type="dxa"/>
            </w:tcMar>
            <w:vAlign w:val="center"/>
          </w:tcPr>
          <w:p w14:paraId="3A46A7C2" w14:textId="56540E99" w:rsidR="009B3845" w:rsidRPr="00846D49" w:rsidRDefault="009B3845" w:rsidP="00583091">
            <w:pPr>
              <w:tabs>
                <w:tab w:val="left" w:pos="3375"/>
              </w:tabs>
              <w:spacing w:after="0" w:line="240" w:lineRule="auto"/>
              <w:jc w:val="both"/>
              <w:rPr>
                <w:rFonts w:ascii="Arial" w:eastAsia="Arial Narrow" w:hAnsi="Arial" w:cs="Arial"/>
                <w:sz w:val="20"/>
                <w:szCs w:val="20"/>
              </w:rPr>
            </w:pPr>
            <w:r w:rsidRPr="00846D49">
              <w:rPr>
                <w:rFonts w:ascii="Arial" w:eastAsia="Arial Narrow" w:hAnsi="Arial" w:cs="Arial"/>
                <w:sz w:val="20"/>
                <w:szCs w:val="20"/>
              </w:rPr>
              <w:t xml:space="preserve">Fuente: Dirección de Estudios e Investigación </w:t>
            </w:r>
            <w:r w:rsidR="00583091" w:rsidRPr="00846D49">
              <w:rPr>
                <w:rFonts w:ascii="Arial" w:eastAsia="Arial Narrow" w:hAnsi="Arial" w:cs="Arial"/>
                <w:sz w:val="20"/>
                <w:szCs w:val="20"/>
              </w:rPr>
              <w:t xml:space="preserve">del </w:t>
            </w:r>
            <w:r w:rsidR="002B492C" w:rsidRPr="00846D49">
              <w:rPr>
                <w:rFonts w:ascii="Arial" w:eastAsia="Arial Narrow" w:hAnsi="Arial" w:cs="Arial"/>
                <w:sz w:val="20"/>
                <w:szCs w:val="20"/>
              </w:rPr>
              <w:t xml:space="preserve">Servicio Nacional Forestal y de Fauna Silvestre – </w:t>
            </w:r>
            <w:r w:rsidR="00583091" w:rsidRPr="00846D49">
              <w:rPr>
                <w:rFonts w:ascii="Arial" w:eastAsia="Arial Narrow" w:hAnsi="Arial" w:cs="Arial"/>
                <w:sz w:val="20"/>
                <w:szCs w:val="20"/>
              </w:rPr>
              <w:t>SERFOR</w:t>
            </w:r>
            <w:r w:rsidR="002B492C" w:rsidRPr="00846D49">
              <w:rPr>
                <w:rFonts w:ascii="Arial" w:eastAsia="Arial Narrow" w:hAnsi="Arial" w:cs="Arial"/>
                <w:sz w:val="20"/>
                <w:szCs w:val="20"/>
              </w:rPr>
              <w:t>.</w:t>
            </w:r>
          </w:p>
          <w:p w14:paraId="1D248C91" w14:textId="104146DD" w:rsidR="009B3845" w:rsidRPr="00846D49" w:rsidRDefault="009B3845" w:rsidP="00583091">
            <w:pPr>
              <w:tabs>
                <w:tab w:val="left" w:pos="3375"/>
              </w:tabs>
              <w:spacing w:after="0" w:line="240" w:lineRule="auto"/>
              <w:jc w:val="both"/>
              <w:rPr>
                <w:rFonts w:ascii="Arial" w:eastAsia="Arial Narrow" w:hAnsi="Arial" w:cs="Arial"/>
                <w:sz w:val="20"/>
                <w:szCs w:val="20"/>
              </w:rPr>
            </w:pPr>
            <w:r w:rsidRPr="00846D49">
              <w:rPr>
                <w:rFonts w:ascii="Arial" w:eastAsia="Arial Narrow" w:hAnsi="Arial" w:cs="Arial"/>
                <w:sz w:val="20"/>
                <w:szCs w:val="20"/>
              </w:rPr>
              <w:t>Base de datos: Reporte de la Dirección de Estudios e Investigación</w:t>
            </w:r>
            <w:r w:rsidR="009C2CA1" w:rsidRPr="00846D49">
              <w:rPr>
                <w:rFonts w:ascii="Arial" w:eastAsia="Arial Narrow" w:hAnsi="Arial" w:cs="Arial"/>
                <w:sz w:val="20"/>
                <w:szCs w:val="20"/>
              </w:rPr>
              <w:t>.</w:t>
            </w:r>
            <w:r w:rsidRPr="00846D49">
              <w:rPr>
                <w:rFonts w:ascii="Arial" w:eastAsia="Arial Narrow" w:hAnsi="Arial" w:cs="Arial"/>
                <w:sz w:val="20"/>
                <w:szCs w:val="20"/>
              </w:rPr>
              <w:t xml:space="preserve"> </w:t>
            </w:r>
          </w:p>
        </w:tc>
      </w:tr>
      <w:tr w:rsidR="00846D49" w:rsidRPr="00846D49" w14:paraId="459C99D1" w14:textId="77777777" w:rsidTr="002F5D4B">
        <w:trPr>
          <w:trHeight w:val="436"/>
        </w:trPr>
        <w:tc>
          <w:tcPr>
            <w:tcW w:w="2567" w:type="dxa"/>
            <w:gridSpan w:val="2"/>
            <w:shd w:val="clear" w:color="auto" w:fill="auto"/>
            <w:tcMar>
              <w:top w:w="10" w:type="dxa"/>
              <w:left w:w="93" w:type="dxa"/>
              <w:bottom w:w="0" w:type="dxa"/>
              <w:right w:w="10" w:type="dxa"/>
            </w:tcMar>
            <w:vAlign w:val="center"/>
          </w:tcPr>
          <w:p w14:paraId="63D12D85" w14:textId="77777777" w:rsidR="009B3845" w:rsidRPr="00846D49" w:rsidRDefault="009B3845" w:rsidP="0072651A">
            <w:pPr>
              <w:tabs>
                <w:tab w:val="left" w:pos="3375"/>
              </w:tabs>
              <w:spacing w:after="0" w:line="240" w:lineRule="auto"/>
              <w:jc w:val="both"/>
              <w:rPr>
                <w:rFonts w:ascii="Arial" w:hAnsi="Arial" w:cs="Arial"/>
                <w:sz w:val="20"/>
                <w:szCs w:val="20"/>
              </w:rPr>
            </w:pPr>
            <w:r w:rsidRPr="00846D49">
              <w:rPr>
                <w:rFonts w:ascii="Arial" w:hAnsi="Arial" w:cs="Arial"/>
                <w:b/>
                <w:sz w:val="20"/>
                <w:szCs w:val="20"/>
              </w:rPr>
              <w:t>Supuestos:</w:t>
            </w:r>
          </w:p>
        </w:tc>
        <w:tc>
          <w:tcPr>
            <w:tcW w:w="6364" w:type="dxa"/>
            <w:gridSpan w:val="10"/>
            <w:shd w:val="clear" w:color="auto" w:fill="auto"/>
            <w:tcMar>
              <w:top w:w="51" w:type="dxa"/>
              <w:left w:w="227" w:type="dxa"/>
              <w:bottom w:w="51" w:type="dxa"/>
              <w:right w:w="227" w:type="dxa"/>
            </w:tcMar>
            <w:vAlign w:val="center"/>
          </w:tcPr>
          <w:p w14:paraId="6ACC2FEA" w14:textId="77777777" w:rsidR="009B3845" w:rsidRPr="00846D49" w:rsidRDefault="009B3845" w:rsidP="0072651A">
            <w:pPr>
              <w:tabs>
                <w:tab w:val="left" w:pos="3375"/>
              </w:tabs>
              <w:spacing w:after="0" w:line="240" w:lineRule="auto"/>
              <w:jc w:val="both"/>
              <w:rPr>
                <w:rFonts w:ascii="Arial" w:eastAsia="Arial Narrow" w:hAnsi="Arial" w:cs="Arial"/>
                <w:sz w:val="20"/>
                <w:szCs w:val="20"/>
              </w:rPr>
            </w:pPr>
            <w:r w:rsidRPr="00846D49">
              <w:rPr>
                <w:rFonts w:ascii="Arial" w:eastAsia="Arial Narrow" w:hAnsi="Arial" w:cs="Arial"/>
                <w:sz w:val="20"/>
                <w:szCs w:val="20"/>
              </w:rPr>
              <w:t>Interés de las Autoridades Regionales Forestales y de Fauna Silvestre para identificar las necesidades regionales de investigación forestal y de fauna silvestre.</w:t>
            </w:r>
          </w:p>
          <w:p w14:paraId="365713BA" w14:textId="77777777" w:rsidR="009B3845" w:rsidRPr="00846D49" w:rsidRDefault="009B3845" w:rsidP="0072651A">
            <w:pPr>
              <w:tabs>
                <w:tab w:val="left" w:pos="3375"/>
              </w:tabs>
              <w:spacing w:after="0" w:line="240" w:lineRule="auto"/>
              <w:jc w:val="both"/>
              <w:rPr>
                <w:rFonts w:ascii="Arial" w:hAnsi="Arial" w:cs="Arial"/>
                <w:sz w:val="20"/>
                <w:szCs w:val="20"/>
              </w:rPr>
            </w:pPr>
            <w:r w:rsidRPr="00846D49">
              <w:rPr>
                <w:rFonts w:ascii="Arial" w:eastAsia="Arial Narrow" w:hAnsi="Arial" w:cs="Arial"/>
                <w:sz w:val="20"/>
                <w:szCs w:val="20"/>
              </w:rPr>
              <w:t>Interés de las Autoridades Regionales Forestales y de Fauna Silvestre para acceder a los servicios de asistencia técnica.</w:t>
            </w:r>
          </w:p>
        </w:tc>
      </w:tr>
      <w:tr w:rsidR="00846D49" w:rsidRPr="00846D49" w14:paraId="4C137AF3" w14:textId="77777777" w:rsidTr="002F5D4B">
        <w:trPr>
          <w:trHeight w:val="556"/>
        </w:trPr>
        <w:tc>
          <w:tcPr>
            <w:tcW w:w="1292" w:type="dxa"/>
            <w:shd w:val="clear" w:color="auto" w:fill="auto"/>
            <w:tcMar>
              <w:top w:w="10" w:type="dxa"/>
              <w:left w:w="10" w:type="dxa"/>
              <w:bottom w:w="0" w:type="dxa"/>
              <w:right w:w="10" w:type="dxa"/>
            </w:tcMar>
            <w:vAlign w:val="center"/>
          </w:tcPr>
          <w:p w14:paraId="23C5B933" w14:textId="77777777" w:rsidR="009B3845" w:rsidRPr="00846D49" w:rsidRDefault="009B3845" w:rsidP="0072651A">
            <w:pPr>
              <w:tabs>
                <w:tab w:val="left" w:pos="3375"/>
              </w:tabs>
              <w:spacing w:after="0" w:line="240" w:lineRule="auto"/>
              <w:jc w:val="both"/>
              <w:rPr>
                <w:rFonts w:ascii="Arial" w:hAnsi="Arial" w:cs="Arial"/>
                <w:sz w:val="20"/>
                <w:szCs w:val="20"/>
              </w:rPr>
            </w:pPr>
            <w:r w:rsidRPr="00846D49">
              <w:rPr>
                <w:rFonts w:ascii="Arial" w:hAnsi="Arial" w:cs="Arial"/>
                <w:b/>
                <w:sz w:val="20"/>
                <w:szCs w:val="20"/>
              </w:rPr>
              <w:t> </w:t>
            </w:r>
          </w:p>
        </w:tc>
        <w:tc>
          <w:tcPr>
            <w:tcW w:w="1275" w:type="dxa"/>
            <w:tcBorders>
              <w:right w:val="single" w:sz="4" w:space="0" w:color="auto"/>
            </w:tcBorders>
            <w:shd w:val="clear" w:color="auto" w:fill="auto"/>
            <w:tcMar>
              <w:top w:w="10" w:type="dxa"/>
              <w:left w:w="10" w:type="dxa"/>
              <w:bottom w:w="0" w:type="dxa"/>
              <w:right w:w="10" w:type="dxa"/>
            </w:tcMar>
            <w:vAlign w:val="center"/>
          </w:tcPr>
          <w:p w14:paraId="735E9DEF" w14:textId="77777777" w:rsidR="009B3845" w:rsidRPr="00846D49" w:rsidRDefault="009B3845" w:rsidP="002F5D4B">
            <w:pPr>
              <w:tabs>
                <w:tab w:val="left" w:pos="3375"/>
              </w:tabs>
              <w:spacing w:after="0" w:line="240" w:lineRule="auto"/>
              <w:jc w:val="center"/>
              <w:rPr>
                <w:rFonts w:ascii="Arial" w:hAnsi="Arial" w:cs="Arial"/>
                <w:sz w:val="20"/>
                <w:szCs w:val="20"/>
              </w:rPr>
            </w:pPr>
            <w:r w:rsidRPr="00846D49">
              <w:rPr>
                <w:rFonts w:ascii="Arial" w:hAnsi="Arial" w:cs="Arial"/>
                <w:b/>
                <w:sz w:val="20"/>
                <w:szCs w:val="20"/>
              </w:rPr>
              <w:t>Línea de base</w:t>
            </w:r>
          </w:p>
        </w:tc>
        <w:tc>
          <w:tcPr>
            <w:tcW w:w="6364" w:type="dxa"/>
            <w:gridSpan w:val="10"/>
            <w:tcBorders>
              <w:left w:val="single" w:sz="4" w:space="0" w:color="auto"/>
            </w:tcBorders>
            <w:shd w:val="clear" w:color="auto" w:fill="auto"/>
            <w:vAlign w:val="center"/>
          </w:tcPr>
          <w:p w14:paraId="0FDDD3D0" w14:textId="77777777" w:rsidR="009B3845" w:rsidRPr="00846D49" w:rsidRDefault="009B3845" w:rsidP="002F5D4B">
            <w:pPr>
              <w:tabs>
                <w:tab w:val="left" w:pos="3375"/>
              </w:tabs>
              <w:spacing w:after="0" w:line="240" w:lineRule="auto"/>
              <w:jc w:val="center"/>
              <w:rPr>
                <w:rFonts w:ascii="Arial" w:hAnsi="Arial" w:cs="Arial"/>
                <w:sz w:val="20"/>
                <w:szCs w:val="20"/>
              </w:rPr>
            </w:pPr>
            <w:r w:rsidRPr="00846D49">
              <w:rPr>
                <w:rFonts w:ascii="Arial" w:hAnsi="Arial" w:cs="Arial"/>
                <w:b/>
                <w:sz w:val="20"/>
                <w:szCs w:val="20"/>
              </w:rPr>
              <w:t>Logros esperados</w:t>
            </w:r>
          </w:p>
        </w:tc>
      </w:tr>
      <w:tr w:rsidR="00846D49" w:rsidRPr="00846D49" w14:paraId="4F28AB06" w14:textId="77777777" w:rsidTr="002F5D4B">
        <w:trPr>
          <w:trHeight w:val="217"/>
        </w:trPr>
        <w:tc>
          <w:tcPr>
            <w:tcW w:w="1292" w:type="dxa"/>
            <w:shd w:val="clear" w:color="auto" w:fill="auto"/>
            <w:tcMar>
              <w:top w:w="10" w:type="dxa"/>
              <w:left w:w="10" w:type="dxa"/>
              <w:bottom w:w="0" w:type="dxa"/>
              <w:right w:w="10" w:type="dxa"/>
            </w:tcMar>
            <w:vAlign w:val="center"/>
          </w:tcPr>
          <w:p w14:paraId="22609272" w14:textId="77777777" w:rsidR="009B3845" w:rsidRPr="00846D49" w:rsidRDefault="009B3845" w:rsidP="0072651A">
            <w:pPr>
              <w:tabs>
                <w:tab w:val="left" w:pos="3375"/>
              </w:tabs>
              <w:spacing w:after="0" w:line="240" w:lineRule="auto"/>
              <w:jc w:val="both"/>
              <w:rPr>
                <w:rFonts w:ascii="Arial" w:hAnsi="Arial" w:cs="Arial"/>
                <w:sz w:val="20"/>
                <w:szCs w:val="20"/>
              </w:rPr>
            </w:pPr>
            <w:r w:rsidRPr="00846D49">
              <w:rPr>
                <w:rFonts w:ascii="Arial" w:hAnsi="Arial" w:cs="Arial"/>
                <w:b/>
                <w:sz w:val="20"/>
                <w:szCs w:val="20"/>
              </w:rPr>
              <w:t>Año</w:t>
            </w:r>
          </w:p>
        </w:tc>
        <w:tc>
          <w:tcPr>
            <w:tcW w:w="1275" w:type="dxa"/>
            <w:shd w:val="clear" w:color="auto" w:fill="auto"/>
            <w:tcMar>
              <w:top w:w="10" w:type="dxa"/>
              <w:left w:w="10" w:type="dxa"/>
              <w:bottom w:w="0" w:type="dxa"/>
              <w:right w:w="10" w:type="dxa"/>
            </w:tcMar>
            <w:vAlign w:val="center"/>
          </w:tcPr>
          <w:p w14:paraId="6DDEF4E8" w14:textId="77777777" w:rsidR="009B3845" w:rsidRPr="00846D49" w:rsidRDefault="009B3845" w:rsidP="00C63F93">
            <w:pPr>
              <w:tabs>
                <w:tab w:val="left" w:pos="3375"/>
              </w:tabs>
              <w:spacing w:after="0" w:line="240" w:lineRule="auto"/>
              <w:jc w:val="center"/>
              <w:rPr>
                <w:rFonts w:ascii="Arial" w:hAnsi="Arial" w:cs="Arial"/>
                <w:b/>
                <w:sz w:val="20"/>
                <w:szCs w:val="20"/>
              </w:rPr>
            </w:pPr>
            <w:r w:rsidRPr="00846D49">
              <w:rPr>
                <w:rFonts w:ascii="Arial" w:hAnsi="Arial" w:cs="Arial"/>
                <w:b/>
                <w:sz w:val="20"/>
                <w:szCs w:val="20"/>
              </w:rPr>
              <w:t>2022</w:t>
            </w:r>
          </w:p>
        </w:tc>
        <w:tc>
          <w:tcPr>
            <w:tcW w:w="976" w:type="dxa"/>
            <w:shd w:val="clear" w:color="auto" w:fill="auto"/>
            <w:vAlign w:val="center"/>
          </w:tcPr>
          <w:p w14:paraId="1D664BCA" w14:textId="77777777" w:rsidR="009B3845" w:rsidRPr="00846D49" w:rsidRDefault="009B3845" w:rsidP="0072651A">
            <w:pPr>
              <w:tabs>
                <w:tab w:val="left" w:pos="3375"/>
              </w:tabs>
              <w:spacing w:after="0" w:line="240" w:lineRule="auto"/>
              <w:jc w:val="both"/>
              <w:rPr>
                <w:rFonts w:ascii="Arial" w:hAnsi="Arial" w:cs="Arial"/>
                <w:b/>
                <w:sz w:val="20"/>
                <w:szCs w:val="20"/>
              </w:rPr>
            </w:pPr>
            <w:r w:rsidRPr="00846D49">
              <w:rPr>
                <w:rFonts w:ascii="Arial" w:hAnsi="Arial" w:cs="Arial"/>
                <w:b/>
                <w:sz w:val="20"/>
                <w:szCs w:val="20"/>
              </w:rPr>
              <w:t>2023</w:t>
            </w:r>
          </w:p>
        </w:tc>
        <w:tc>
          <w:tcPr>
            <w:tcW w:w="851" w:type="dxa"/>
            <w:gridSpan w:val="2"/>
            <w:shd w:val="clear" w:color="auto" w:fill="auto"/>
            <w:vAlign w:val="center"/>
          </w:tcPr>
          <w:p w14:paraId="7876403F" w14:textId="77777777" w:rsidR="009B3845" w:rsidRPr="00846D49" w:rsidRDefault="009B3845" w:rsidP="0072651A">
            <w:pPr>
              <w:tabs>
                <w:tab w:val="left" w:pos="3375"/>
              </w:tabs>
              <w:spacing w:after="0" w:line="240" w:lineRule="auto"/>
              <w:jc w:val="both"/>
              <w:rPr>
                <w:rFonts w:ascii="Arial" w:hAnsi="Arial" w:cs="Arial"/>
                <w:b/>
                <w:sz w:val="20"/>
                <w:szCs w:val="20"/>
              </w:rPr>
            </w:pPr>
            <w:r w:rsidRPr="00846D49">
              <w:rPr>
                <w:rFonts w:ascii="Arial" w:hAnsi="Arial" w:cs="Arial"/>
                <w:b/>
                <w:sz w:val="20"/>
                <w:szCs w:val="20"/>
              </w:rPr>
              <w:t>2024</w:t>
            </w:r>
          </w:p>
        </w:tc>
        <w:tc>
          <w:tcPr>
            <w:tcW w:w="850" w:type="dxa"/>
            <w:shd w:val="clear" w:color="auto" w:fill="auto"/>
            <w:vAlign w:val="center"/>
          </w:tcPr>
          <w:p w14:paraId="6B8BB61B" w14:textId="77777777" w:rsidR="009B3845" w:rsidRPr="00846D49" w:rsidRDefault="009B3845" w:rsidP="0072651A">
            <w:pPr>
              <w:tabs>
                <w:tab w:val="left" w:pos="3375"/>
              </w:tabs>
              <w:spacing w:after="0" w:line="240" w:lineRule="auto"/>
              <w:jc w:val="both"/>
              <w:rPr>
                <w:rFonts w:ascii="Arial" w:hAnsi="Arial" w:cs="Arial"/>
                <w:b/>
                <w:sz w:val="20"/>
                <w:szCs w:val="20"/>
              </w:rPr>
            </w:pPr>
            <w:r w:rsidRPr="00846D49">
              <w:rPr>
                <w:rFonts w:ascii="Arial" w:hAnsi="Arial" w:cs="Arial"/>
                <w:b/>
                <w:sz w:val="20"/>
                <w:szCs w:val="20"/>
              </w:rPr>
              <w:t>2025</w:t>
            </w:r>
          </w:p>
        </w:tc>
        <w:tc>
          <w:tcPr>
            <w:tcW w:w="851" w:type="dxa"/>
            <w:shd w:val="clear" w:color="auto" w:fill="auto"/>
            <w:vAlign w:val="center"/>
          </w:tcPr>
          <w:p w14:paraId="69D62883" w14:textId="77777777" w:rsidR="009B3845" w:rsidRPr="00846D49" w:rsidRDefault="009B3845" w:rsidP="0072651A">
            <w:pPr>
              <w:tabs>
                <w:tab w:val="left" w:pos="3375"/>
              </w:tabs>
              <w:spacing w:after="0" w:line="240" w:lineRule="auto"/>
              <w:jc w:val="both"/>
              <w:rPr>
                <w:rFonts w:ascii="Arial" w:hAnsi="Arial" w:cs="Arial"/>
                <w:b/>
                <w:sz w:val="20"/>
                <w:szCs w:val="20"/>
              </w:rPr>
            </w:pPr>
            <w:r w:rsidRPr="00846D49">
              <w:rPr>
                <w:rFonts w:ascii="Arial" w:hAnsi="Arial" w:cs="Arial"/>
                <w:b/>
                <w:sz w:val="20"/>
                <w:szCs w:val="20"/>
              </w:rPr>
              <w:t>2026</w:t>
            </w:r>
          </w:p>
        </w:tc>
        <w:tc>
          <w:tcPr>
            <w:tcW w:w="850" w:type="dxa"/>
            <w:shd w:val="clear" w:color="auto" w:fill="auto"/>
            <w:vAlign w:val="center"/>
          </w:tcPr>
          <w:p w14:paraId="57DD096C" w14:textId="77777777" w:rsidR="009B3845" w:rsidRPr="00846D49" w:rsidRDefault="009B3845" w:rsidP="0072651A">
            <w:pPr>
              <w:tabs>
                <w:tab w:val="left" w:pos="3375"/>
              </w:tabs>
              <w:spacing w:after="0" w:line="240" w:lineRule="auto"/>
              <w:jc w:val="both"/>
              <w:rPr>
                <w:rFonts w:ascii="Arial" w:hAnsi="Arial" w:cs="Arial"/>
                <w:b/>
                <w:sz w:val="20"/>
                <w:szCs w:val="20"/>
              </w:rPr>
            </w:pPr>
            <w:r w:rsidRPr="00846D49">
              <w:rPr>
                <w:rFonts w:ascii="Arial" w:hAnsi="Arial" w:cs="Arial"/>
                <w:b/>
                <w:sz w:val="20"/>
                <w:szCs w:val="20"/>
              </w:rPr>
              <w:t>2027</w:t>
            </w:r>
          </w:p>
        </w:tc>
        <w:tc>
          <w:tcPr>
            <w:tcW w:w="710" w:type="dxa"/>
            <w:gridSpan w:val="2"/>
            <w:shd w:val="clear" w:color="auto" w:fill="auto"/>
            <w:vAlign w:val="center"/>
          </w:tcPr>
          <w:p w14:paraId="55BF5A49" w14:textId="77777777" w:rsidR="009B3845" w:rsidRPr="00846D49" w:rsidRDefault="009B3845" w:rsidP="0072651A">
            <w:pPr>
              <w:tabs>
                <w:tab w:val="left" w:pos="3375"/>
              </w:tabs>
              <w:spacing w:after="0" w:line="240" w:lineRule="auto"/>
              <w:jc w:val="both"/>
              <w:rPr>
                <w:rFonts w:ascii="Arial" w:hAnsi="Arial" w:cs="Arial"/>
                <w:b/>
                <w:sz w:val="20"/>
                <w:szCs w:val="20"/>
              </w:rPr>
            </w:pPr>
            <w:r w:rsidRPr="00846D49">
              <w:rPr>
                <w:rFonts w:ascii="Arial" w:hAnsi="Arial" w:cs="Arial"/>
                <w:b/>
                <w:sz w:val="20"/>
                <w:szCs w:val="20"/>
              </w:rPr>
              <w:t>2028</w:t>
            </w:r>
          </w:p>
        </w:tc>
        <w:tc>
          <w:tcPr>
            <w:tcW w:w="709" w:type="dxa"/>
            <w:shd w:val="clear" w:color="auto" w:fill="auto"/>
            <w:vAlign w:val="center"/>
          </w:tcPr>
          <w:p w14:paraId="28F78B7F" w14:textId="77777777" w:rsidR="009B3845" w:rsidRPr="00846D49" w:rsidRDefault="009B3845" w:rsidP="0072651A">
            <w:pPr>
              <w:tabs>
                <w:tab w:val="left" w:pos="3375"/>
              </w:tabs>
              <w:spacing w:after="0" w:line="240" w:lineRule="auto"/>
              <w:jc w:val="both"/>
              <w:rPr>
                <w:rFonts w:ascii="Arial" w:hAnsi="Arial" w:cs="Arial"/>
                <w:b/>
                <w:sz w:val="20"/>
                <w:szCs w:val="20"/>
              </w:rPr>
            </w:pPr>
            <w:r w:rsidRPr="00846D49">
              <w:rPr>
                <w:rFonts w:ascii="Arial" w:hAnsi="Arial" w:cs="Arial"/>
                <w:b/>
                <w:sz w:val="20"/>
                <w:szCs w:val="20"/>
              </w:rPr>
              <w:t>2029</w:t>
            </w:r>
          </w:p>
        </w:tc>
        <w:tc>
          <w:tcPr>
            <w:tcW w:w="567" w:type="dxa"/>
            <w:shd w:val="clear" w:color="auto" w:fill="auto"/>
            <w:tcMar>
              <w:top w:w="10" w:type="dxa"/>
              <w:left w:w="10" w:type="dxa"/>
              <w:bottom w:w="0" w:type="dxa"/>
              <w:right w:w="10" w:type="dxa"/>
            </w:tcMar>
            <w:vAlign w:val="center"/>
          </w:tcPr>
          <w:p w14:paraId="3BAF4CF8" w14:textId="77777777" w:rsidR="009B3845" w:rsidRPr="00846D49" w:rsidRDefault="009B3845" w:rsidP="0072651A">
            <w:pPr>
              <w:tabs>
                <w:tab w:val="left" w:pos="3375"/>
              </w:tabs>
              <w:spacing w:after="0" w:line="240" w:lineRule="auto"/>
              <w:jc w:val="both"/>
              <w:rPr>
                <w:rFonts w:ascii="Arial" w:hAnsi="Arial" w:cs="Arial"/>
                <w:b/>
                <w:sz w:val="20"/>
                <w:szCs w:val="20"/>
              </w:rPr>
            </w:pPr>
            <w:r w:rsidRPr="00846D49">
              <w:rPr>
                <w:rFonts w:ascii="Arial" w:hAnsi="Arial" w:cs="Arial"/>
                <w:b/>
                <w:sz w:val="20"/>
                <w:szCs w:val="20"/>
              </w:rPr>
              <w:t>2030</w:t>
            </w:r>
          </w:p>
        </w:tc>
      </w:tr>
      <w:tr w:rsidR="00846D49" w:rsidRPr="00846D49" w14:paraId="087FC0DA" w14:textId="77777777" w:rsidTr="002F5D4B">
        <w:trPr>
          <w:trHeight w:val="385"/>
        </w:trPr>
        <w:tc>
          <w:tcPr>
            <w:tcW w:w="1292" w:type="dxa"/>
            <w:shd w:val="clear" w:color="auto" w:fill="auto"/>
            <w:tcMar>
              <w:top w:w="10" w:type="dxa"/>
              <w:left w:w="10" w:type="dxa"/>
              <w:bottom w:w="0" w:type="dxa"/>
              <w:right w:w="10" w:type="dxa"/>
            </w:tcMar>
            <w:vAlign w:val="center"/>
          </w:tcPr>
          <w:p w14:paraId="6635D25B" w14:textId="77777777" w:rsidR="009B3845" w:rsidRPr="00846D49" w:rsidRDefault="009B3845" w:rsidP="0072651A">
            <w:pPr>
              <w:tabs>
                <w:tab w:val="left" w:pos="3375"/>
              </w:tabs>
              <w:spacing w:after="0" w:line="240" w:lineRule="auto"/>
              <w:jc w:val="both"/>
              <w:rPr>
                <w:rFonts w:ascii="Arial" w:hAnsi="Arial" w:cs="Arial"/>
                <w:b/>
                <w:sz w:val="20"/>
                <w:szCs w:val="20"/>
              </w:rPr>
            </w:pPr>
            <w:r w:rsidRPr="00846D49">
              <w:rPr>
                <w:rFonts w:ascii="Arial" w:hAnsi="Arial" w:cs="Arial"/>
                <w:b/>
                <w:sz w:val="20"/>
                <w:szCs w:val="20"/>
              </w:rPr>
              <w:t>Valor</w:t>
            </w:r>
          </w:p>
        </w:tc>
        <w:tc>
          <w:tcPr>
            <w:tcW w:w="1275" w:type="dxa"/>
            <w:shd w:val="clear" w:color="auto" w:fill="auto"/>
            <w:tcMar>
              <w:top w:w="10" w:type="dxa"/>
              <w:left w:w="10" w:type="dxa"/>
              <w:bottom w:w="0" w:type="dxa"/>
              <w:right w:w="10" w:type="dxa"/>
            </w:tcMar>
            <w:vAlign w:val="center"/>
          </w:tcPr>
          <w:p w14:paraId="39D3CA58" w14:textId="7B594BE6" w:rsidR="009B3845" w:rsidRPr="00846D49" w:rsidRDefault="005741AC" w:rsidP="002F5D4B">
            <w:pPr>
              <w:tabs>
                <w:tab w:val="left" w:pos="3375"/>
              </w:tabs>
              <w:spacing w:after="0" w:line="240" w:lineRule="auto"/>
              <w:jc w:val="center"/>
              <w:rPr>
                <w:rFonts w:ascii="Arial" w:hAnsi="Arial" w:cs="Arial"/>
                <w:sz w:val="20"/>
                <w:szCs w:val="20"/>
              </w:rPr>
            </w:pPr>
            <w:r w:rsidRPr="00846D49">
              <w:rPr>
                <w:rFonts w:ascii="Arial" w:hAnsi="Arial" w:cs="Arial"/>
                <w:sz w:val="20"/>
                <w:szCs w:val="20"/>
              </w:rPr>
              <w:t>2</w:t>
            </w:r>
          </w:p>
        </w:tc>
        <w:tc>
          <w:tcPr>
            <w:tcW w:w="976" w:type="dxa"/>
            <w:shd w:val="clear" w:color="auto" w:fill="auto"/>
            <w:vAlign w:val="center"/>
          </w:tcPr>
          <w:p w14:paraId="0D067148" w14:textId="1A845DF2" w:rsidR="009B3845" w:rsidRPr="00846D49" w:rsidRDefault="0070592F" w:rsidP="002F5D4B">
            <w:pPr>
              <w:tabs>
                <w:tab w:val="left" w:pos="3375"/>
              </w:tabs>
              <w:spacing w:after="0" w:line="240" w:lineRule="auto"/>
              <w:jc w:val="center"/>
              <w:rPr>
                <w:rFonts w:ascii="Arial" w:hAnsi="Arial" w:cs="Arial"/>
                <w:sz w:val="20"/>
                <w:szCs w:val="20"/>
              </w:rPr>
            </w:pPr>
            <w:r w:rsidRPr="00846D49">
              <w:rPr>
                <w:rFonts w:ascii="Arial" w:hAnsi="Arial" w:cs="Arial"/>
                <w:sz w:val="20"/>
                <w:szCs w:val="20"/>
              </w:rPr>
              <w:t>3</w:t>
            </w:r>
          </w:p>
        </w:tc>
        <w:tc>
          <w:tcPr>
            <w:tcW w:w="851" w:type="dxa"/>
            <w:gridSpan w:val="2"/>
            <w:shd w:val="clear" w:color="auto" w:fill="auto"/>
            <w:vAlign w:val="center"/>
          </w:tcPr>
          <w:p w14:paraId="4B348C6E" w14:textId="6314DC56" w:rsidR="009B3845" w:rsidRPr="00846D49" w:rsidRDefault="0070592F" w:rsidP="002F5D4B">
            <w:pPr>
              <w:tabs>
                <w:tab w:val="left" w:pos="3375"/>
              </w:tabs>
              <w:spacing w:after="0" w:line="240" w:lineRule="auto"/>
              <w:jc w:val="center"/>
              <w:rPr>
                <w:rFonts w:ascii="Arial" w:hAnsi="Arial" w:cs="Arial"/>
                <w:sz w:val="20"/>
                <w:szCs w:val="20"/>
              </w:rPr>
            </w:pPr>
            <w:r w:rsidRPr="00846D49">
              <w:rPr>
                <w:rFonts w:ascii="Arial" w:hAnsi="Arial" w:cs="Arial"/>
                <w:sz w:val="20"/>
                <w:szCs w:val="20"/>
              </w:rPr>
              <w:t>4</w:t>
            </w:r>
          </w:p>
        </w:tc>
        <w:tc>
          <w:tcPr>
            <w:tcW w:w="850" w:type="dxa"/>
            <w:shd w:val="clear" w:color="auto" w:fill="auto"/>
            <w:vAlign w:val="center"/>
          </w:tcPr>
          <w:p w14:paraId="39FC376C" w14:textId="3255BDC3" w:rsidR="009B3845" w:rsidRPr="00846D49" w:rsidRDefault="0070592F" w:rsidP="002F5D4B">
            <w:pPr>
              <w:tabs>
                <w:tab w:val="left" w:pos="3375"/>
              </w:tabs>
              <w:spacing w:after="0" w:line="240" w:lineRule="auto"/>
              <w:jc w:val="center"/>
              <w:rPr>
                <w:rFonts w:ascii="Arial" w:hAnsi="Arial" w:cs="Arial"/>
                <w:sz w:val="20"/>
                <w:szCs w:val="20"/>
              </w:rPr>
            </w:pPr>
            <w:r w:rsidRPr="00846D49">
              <w:rPr>
                <w:rFonts w:ascii="Arial" w:hAnsi="Arial" w:cs="Arial"/>
                <w:sz w:val="20"/>
                <w:szCs w:val="20"/>
              </w:rPr>
              <w:t>5</w:t>
            </w:r>
          </w:p>
        </w:tc>
        <w:tc>
          <w:tcPr>
            <w:tcW w:w="851" w:type="dxa"/>
            <w:shd w:val="clear" w:color="auto" w:fill="auto"/>
            <w:vAlign w:val="center"/>
          </w:tcPr>
          <w:p w14:paraId="1BE6ED73" w14:textId="1E5DB89C" w:rsidR="009B3845" w:rsidRPr="00846D49" w:rsidRDefault="0070592F" w:rsidP="002F5D4B">
            <w:pPr>
              <w:tabs>
                <w:tab w:val="left" w:pos="3375"/>
              </w:tabs>
              <w:spacing w:after="0" w:line="240" w:lineRule="auto"/>
              <w:jc w:val="center"/>
              <w:rPr>
                <w:rFonts w:ascii="Arial" w:hAnsi="Arial" w:cs="Arial"/>
                <w:sz w:val="20"/>
                <w:szCs w:val="20"/>
              </w:rPr>
            </w:pPr>
            <w:r w:rsidRPr="00846D49">
              <w:rPr>
                <w:rFonts w:ascii="Arial" w:hAnsi="Arial" w:cs="Arial"/>
                <w:sz w:val="20"/>
                <w:szCs w:val="20"/>
              </w:rPr>
              <w:t>6</w:t>
            </w:r>
          </w:p>
        </w:tc>
        <w:tc>
          <w:tcPr>
            <w:tcW w:w="850" w:type="dxa"/>
            <w:shd w:val="clear" w:color="auto" w:fill="auto"/>
            <w:vAlign w:val="center"/>
          </w:tcPr>
          <w:p w14:paraId="053005A2" w14:textId="0C7FF930" w:rsidR="009B3845" w:rsidRPr="00846D49" w:rsidRDefault="0070592F" w:rsidP="002F5D4B">
            <w:pPr>
              <w:tabs>
                <w:tab w:val="left" w:pos="3375"/>
              </w:tabs>
              <w:spacing w:after="0" w:line="240" w:lineRule="auto"/>
              <w:jc w:val="center"/>
              <w:rPr>
                <w:rFonts w:ascii="Arial" w:hAnsi="Arial" w:cs="Arial"/>
                <w:sz w:val="20"/>
                <w:szCs w:val="20"/>
              </w:rPr>
            </w:pPr>
            <w:r w:rsidRPr="00846D49">
              <w:rPr>
                <w:rFonts w:ascii="Arial" w:hAnsi="Arial" w:cs="Arial"/>
                <w:sz w:val="20"/>
                <w:szCs w:val="20"/>
              </w:rPr>
              <w:t>7</w:t>
            </w:r>
          </w:p>
        </w:tc>
        <w:tc>
          <w:tcPr>
            <w:tcW w:w="710" w:type="dxa"/>
            <w:gridSpan w:val="2"/>
            <w:shd w:val="clear" w:color="auto" w:fill="auto"/>
            <w:vAlign w:val="center"/>
          </w:tcPr>
          <w:p w14:paraId="1E54DBD0" w14:textId="248768FA" w:rsidR="009B3845" w:rsidRPr="00846D49" w:rsidRDefault="0070592F" w:rsidP="002F5D4B">
            <w:pPr>
              <w:tabs>
                <w:tab w:val="left" w:pos="3375"/>
              </w:tabs>
              <w:spacing w:after="0" w:line="240" w:lineRule="auto"/>
              <w:jc w:val="center"/>
              <w:rPr>
                <w:rFonts w:ascii="Arial" w:hAnsi="Arial" w:cs="Arial"/>
                <w:sz w:val="20"/>
                <w:szCs w:val="20"/>
              </w:rPr>
            </w:pPr>
            <w:r w:rsidRPr="00846D49">
              <w:rPr>
                <w:rFonts w:ascii="Arial" w:hAnsi="Arial" w:cs="Arial"/>
                <w:sz w:val="20"/>
                <w:szCs w:val="20"/>
              </w:rPr>
              <w:t>8</w:t>
            </w:r>
          </w:p>
        </w:tc>
        <w:tc>
          <w:tcPr>
            <w:tcW w:w="709" w:type="dxa"/>
            <w:shd w:val="clear" w:color="auto" w:fill="auto"/>
            <w:vAlign w:val="center"/>
          </w:tcPr>
          <w:p w14:paraId="38818ABD" w14:textId="79D2FDAF" w:rsidR="009B3845" w:rsidRPr="00846D49" w:rsidRDefault="0070592F" w:rsidP="002F5D4B">
            <w:pPr>
              <w:tabs>
                <w:tab w:val="left" w:pos="3375"/>
              </w:tabs>
              <w:spacing w:after="0" w:line="240" w:lineRule="auto"/>
              <w:jc w:val="center"/>
              <w:rPr>
                <w:rFonts w:ascii="Arial" w:hAnsi="Arial" w:cs="Arial"/>
                <w:sz w:val="20"/>
                <w:szCs w:val="20"/>
              </w:rPr>
            </w:pPr>
            <w:r w:rsidRPr="00846D49">
              <w:rPr>
                <w:rFonts w:ascii="Arial" w:hAnsi="Arial" w:cs="Arial"/>
                <w:sz w:val="20"/>
                <w:szCs w:val="20"/>
              </w:rPr>
              <w:t>9</w:t>
            </w:r>
          </w:p>
        </w:tc>
        <w:tc>
          <w:tcPr>
            <w:tcW w:w="567" w:type="dxa"/>
            <w:shd w:val="clear" w:color="auto" w:fill="auto"/>
            <w:tcMar>
              <w:top w:w="10" w:type="dxa"/>
              <w:left w:w="10" w:type="dxa"/>
              <w:bottom w:w="0" w:type="dxa"/>
              <w:right w:w="10" w:type="dxa"/>
            </w:tcMar>
            <w:vAlign w:val="center"/>
          </w:tcPr>
          <w:p w14:paraId="5CB435C5" w14:textId="75D9C613" w:rsidR="009B3845" w:rsidRPr="00846D49" w:rsidRDefault="0070592F" w:rsidP="002F5D4B">
            <w:pPr>
              <w:tabs>
                <w:tab w:val="left" w:pos="3375"/>
              </w:tabs>
              <w:spacing w:after="0" w:line="240" w:lineRule="auto"/>
              <w:jc w:val="center"/>
              <w:rPr>
                <w:rFonts w:ascii="Arial" w:hAnsi="Arial" w:cs="Arial"/>
                <w:sz w:val="20"/>
                <w:szCs w:val="20"/>
              </w:rPr>
            </w:pPr>
            <w:r w:rsidRPr="00846D49">
              <w:rPr>
                <w:rFonts w:ascii="Arial" w:hAnsi="Arial" w:cs="Arial"/>
                <w:sz w:val="20"/>
                <w:szCs w:val="20"/>
              </w:rPr>
              <w:t>10</w:t>
            </w:r>
          </w:p>
        </w:tc>
      </w:tr>
    </w:tbl>
    <w:p w14:paraId="28162F75" w14:textId="77777777" w:rsidR="009B3845" w:rsidRPr="00846D49" w:rsidRDefault="009B3845" w:rsidP="009B3845"/>
    <w:p w14:paraId="585AE4E8" w14:textId="77777777" w:rsidR="00AA6FDB" w:rsidRPr="00846D49" w:rsidRDefault="00AA6FDB" w:rsidP="00AA6FDB">
      <w:pPr>
        <w:rPr>
          <w:rFonts w:eastAsia="Times New Roman"/>
        </w:rPr>
      </w:pPr>
    </w:p>
    <w:tbl>
      <w:tblPr>
        <w:tblW w:w="8789"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0"/>
        <w:gridCol w:w="1275"/>
        <w:gridCol w:w="836"/>
        <w:gridCol w:w="850"/>
        <w:gridCol w:w="851"/>
        <w:gridCol w:w="850"/>
        <w:gridCol w:w="851"/>
        <w:gridCol w:w="588"/>
        <w:gridCol w:w="262"/>
        <w:gridCol w:w="709"/>
        <w:gridCol w:w="567"/>
      </w:tblGrid>
      <w:tr w:rsidR="00846D49" w:rsidRPr="00846D49" w14:paraId="25B05C56" w14:textId="77777777" w:rsidTr="007502D1">
        <w:trPr>
          <w:trHeight w:val="251"/>
        </w:trPr>
        <w:tc>
          <w:tcPr>
            <w:tcW w:w="8789" w:type="dxa"/>
            <w:gridSpan w:val="11"/>
            <w:shd w:val="clear" w:color="auto" w:fill="D9D9D9" w:themeFill="background1" w:themeFillShade="D9"/>
            <w:tcMar>
              <w:top w:w="10" w:type="dxa"/>
              <w:left w:w="10" w:type="dxa"/>
              <w:bottom w:w="0" w:type="dxa"/>
              <w:right w:w="10" w:type="dxa"/>
            </w:tcMar>
            <w:vAlign w:val="center"/>
          </w:tcPr>
          <w:p w14:paraId="320C8753" w14:textId="77777777" w:rsidR="00AA6FDB" w:rsidRPr="00846D49" w:rsidRDefault="00AA6FDB" w:rsidP="007502D1">
            <w:pPr>
              <w:tabs>
                <w:tab w:val="left" w:pos="3375"/>
              </w:tabs>
              <w:spacing w:after="0" w:line="240" w:lineRule="auto"/>
              <w:jc w:val="center"/>
              <w:rPr>
                <w:rFonts w:ascii="Arial" w:eastAsia="Times New Roman" w:hAnsi="Arial" w:cs="Arial"/>
                <w:sz w:val="20"/>
                <w:szCs w:val="20"/>
              </w:rPr>
            </w:pPr>
            <w:r w:rsidRPr="00846D49">
              <w:rPr>
                <w:rFonts w:ascii="Arial" w:eastAsia="Times New Roman" w:hAnsi="Arial" w:cs="Arial"/>
                <w:sz w:val="20"/>
                <w:szCs w:val="20"/>
              </w:rPr>
              <w:br w:type="page"/>
            </w:r>
            <w:r w:rsidRPr="00846D49">
              <w:rPr>
                <w:rFonts w:ascii="Arial" w:eastAsia="Times New Roman" w:hAnsi="Arial" w:cs="Arial"/>
                <w:b/>
                <w:sz w:val="20"/>
                <w:szCs w:val="20"/>
              </w:rPr>
              <w:t>FICHA TÉCNICA DE INDICADOR DE SERVICIO 2.4.4</w:t>
            </w:r>
          </w:p>
        </w:tc>
      </w:tr>
      <w:tr w:rsidR="00846D49" w:rsidRPr="00846D49" w14:paraId="0D960883" w14:textId="77777777" w:rsidTr="007502D1">
        <w:trPr>
          <w:trHeight w:val="409"/>
        </w:trPr>
        <w:tc>
          <w:tcPr>
            <w:tcW w:w="2425" w:type="dxa"/>
            <w:gridSpan w:val="2"/>
            <w:shd w:val="clear" w:color="auto" w:fill="FFFFFF"/>
            <w:tcMar>
              <w:top w:w="10" w:type="dxa"/>
              <w:left w:w="93" w:type="dxa"/>
              <w:bottom w:w="0" w:type="dxa"/>
              <w:right w:w="10" w:type="dxa"/>
            </w:tcMar>
            <w:vAlign w:val="center"/>
          </w:tcPr>
          <w:p w14:paraId="79D31945" w14:textId="77777777" w:rsidR="00AA6FDB" w:rsidRPr="00846D49" w:rsidRDefault="00AA6FDB" w:rsidP="007502D1">
            <w:pPr>
              <w:tabs>
                <w:tab w:val="left" w:pos="3375"/>
              </w:tabs>
              <w:spacing w:after="0" w:line="240" w:lineRule="auto"/>
              <w:rPr>
                <w:rFonts w:ascii="Arial" w:eastAsia="Times New Roman" w:hAnsi="Arial" w:cs="Arial"/>
                <w:sz w:val="20"/>
                <w:szCs w:val="20"/>
              </w:rPr>
            </w:pPr>
            <w:r w:rsidRPr="00846D49">
              <w:rPr>
                <w:rFonts w:ascii="Arial" w:eastAsia="Times New Roman" w:hAnsi="Arial" w:cs="Arial"/>
                <w:b/>
                <w:sz w:val="20"/>
                <w:szCs w:val="20"/>
              </w:rPr>
              <w:t>Objetivo prioritario:</w:t>
            </w:r>
          </w:p>
        </w:tc>
        <w:tc>
          <w:tcPr>
            <w:tcW w:w="6364" w:type="dxa"/>
            <w:gridSpan w:val="9"/>
            <w:shd w:val="clear" w:color="auto" w:fill="FFFFFF"/>
            <w:tcMar>
              <w:top w:w="51" w:type="dxa"/>
              <w:left w:w="227" w:type="dxa"/>
              <w:bottom w:w="51" w:type="dxa"/>
              <w:right w:w="227" w:type="dxa"/>
            </w:tcMar>
            <w:vAlign w:val="center"/>
          </w:tcPr>
          <w:p w14:paraId="327D5797" w14:textId="77777777" w:rsidR="00AA6FDB" w:rsidRPr="00846D49" w:rsidRDefault="00AA6FDB" w:rsidP="007502D1">
            <w:pPr>
              <w:tabs>
                <w:tab w:val="left" w:pos="3375"/>
              </w:tabs>
              <w:spacing w:after="0" w:line="240" w:lineRule="auto"/>
              <w:rPr>
                <w:rFonts w:ascii="Arial" w:eastAsia="Times New Roman" w:hAnsi="Arial" w:cs="Arial"/>
                <w:sz w:val="20"/>
                <w:szCs w:val="20"/>
              </w:rPr>
            </w:pPr>
            <w:r w:rsidRPr="00846D49">
              <w:rPr>
                <w:rFonts w:ascii="Arial" w:eastAsia="Times New Roman" w:hAnsi="Arial" w:cs="Arial"/>
                <w:sz w:val="20"/>
                <w:szCs w:val="20"/>
              </w:rPr>
              <w:t>OP2 Incrementar la productividad de los ecosistemas forestales, otros ecosistemas de vegetación silvestre y de la fauna silvestre.</w:t>
            </w:r>
          </w:p>
        </w:tc>
      </w:tr>
      <w:tr w:rsidR="00846D49" w:rsidRPr="00846D49" w14:paraId="504D9464" w14:textId="77777777" w:rsidTr="007502D1">
        <w:trPr>
          <w:trHeight w:val="436"/>
        </w:trPr>
        <w:tc>
          <w:tcPr>
            <w:tcW w:w="2425" w:type="dxa"/>
            <w:gridSpan w:val="2"/>
            <w:tcMar>
              <w:top w:w="10" w:type="dxa"/>
              <w:left w:w="93" w:type="dxa"/>
              <w:bottom w:w="0" w:type="dxa"/>
              <w:right w:w="10" w:type="dxa"/>
            </w:tcMar>
            <w:vAlign w:val="center"/>
          </w:tcPr>
          <w:p w14:paraId="4FD13619" w14:textId="77777777" w:rsidR="00AA6FDB" w:rsidRPr="00846D49" w:rsidRDefault="00AA6FDB" w:rsidP="007502D1">
            <w:pPr>
              <w:tabs>
                <w:tab w:val="left" w:pos="3375"/>
              </w:tabs>
              <w:spacing w:after="0" w:line="240" w:lineRule="auto"/>
              <w:rPr>
                <w:rFonts w:ascii="Arial" w:eastAsia="Times New Roman" w:hAnsi="Arial" w:cs="Arial"/>
                <w:sz w:val="20"/>
                <w:szCs w:val="20"/>
              </w:rPr>
            </w:pPr>
            <w:r w:rsidRPr="00846D49">
              <w:rPr>
                <w:rFonts w:ascii="Arial" w:eastAsia="Times New Roman" w:hAnsi="Arial" w:cs="Arial"/>
                <w:b/>
                <w:sz w:val="20"/>
                <w:szCs w:val="20"/>
              </w:rPr>
              <w:t>Lineamiento de la política:</w:t>
            </w:r>
          </w:p>
        </w:tc>
        <w:tc>
          <w:tcPr>
            <w:tcW w:w="6364" w:type="dxa"/>
            <w:gridSpan w:val="9"/>
            <w:tcMar>
              <w:top w:w="51" w:type="dxa"/>
              <w:left w:w="227" w:type="dxa"/>
              <w:bottom w:w="51" w:type="dxa"/>
              <w:right w:w="227" w:type="dxa"/>
            </w:tcMar>
            <w:vAlign w:val="center"/>
          </w:tcPr>
          <w:p w14:paraId="281532E0" w14:textId="77777777" w:rsidR="00AA6FDB" w:rsidRPr="00846D49" w:rsidRDefault="00AA6FDB" w:rsidP="007502D1">
            <w:pPr>
              <w:tabs>
                <w:tab w:val="left" w:pos="3375"/>
              </w:tabs>
              <w:spacing w:after="0" w:line="240" w:lineRule="auto"/>
              <w:jc w:val="both"/>
              <w:rPr>
                <w:rFonts w:ascii="Arial" w:eastAsia="Times New Roman" w:hAnsi="Arial" w:cs="Arial"/>
                <w:sz w:val="20"/>
                <w:szCs w:val="20"/>
              </w:rPr>
            </w:pPr>
            <w:r w:rsidRPr="00846D49">
              <w:rPr>
                <w:rFonts w:ascii="Arial" w:eastAsia="Times New Roman" w:hAnsi="Arial" w:cs="Arial"/>
                <w:sz w:val="20"/>
                <w:szCs w:val="20"/>
              </w:rPr>
              <w:t>L2.4 Incrementar la generación de investigaciones e innovación, así como el desarrollo y transferencia de tecnologías en materia forestal y de fauna silvestre, y sus microorganismos asociados, incluyendo sus recursos genéticos</w:t>
            </w:r>
          </w:p>
        </w:tc>
      </w:tr>
      <w:tr w:rsidR="00846D49" w:rsidRPr="00846D49" w14:paraId="7051AB71" w14:textId="77777777" w:rsidTr="007502D1">
        <w:trPr>
          <w:trHeight w:val="404"/>
        </w:trPr>
        <w:tc>
          <w:tcPr>
            <w:tcW w:w="2425" w:type="dxa"/>
            <w:gridSpan w:val="2"/>
            <w:tcMar>
              <w:top w:w="10" w:type="dxa"/>
              <w:left w:w="93" w:type="dxa"/>
              <w:bottom w:w="0" w:type="dxa"/>
              <w:right w:w="10" w:type="dxa"/>
            </w:tcMar>
            <w:vAlign w:val="center"/>
          </w:tcPr>
          <w:p w14:paraId="4B429213" w14:textId="77777777" w:rsidR="00AA6FDB" w:rsidRPr="00846D49" w:rsidRDefault="00AA6FDB" w:rsidP="007502D1">
            <w:pPr>
              <w:tabs>
                <w:tab w:val="left" w:pos="3375"/>
              </w:tabs>
              <w:spacing w:after="0" w:line="240" w:lineRule="auto"/>
              <w:rPr>
                <w:rFonts w:ascii="Arial" w:eastAsia="Times New Roman" w:hAnsi="Arial" w:cs="Arial"/>
                <w:sz w:val="20"/>
                <w:szCs w:val="20"/>
              </w:rPr>
            </w:pPr>
            <w:r w:rsidRPr="00846D49">
              <w:rPr>
                <w:rFonts w:ascii="Arial" w:eastAsia="Times New Roman" w:hAnsi="Arial" w:cs="Arial"/>
                <w:b/>
                <w:sz w:val="20"/>
                <w:szCs w:val="20"/>
              </w:rPr>
              <w:t>Nombre del servicio:</w:t>
            </w:r>
          </w:p>
        </w:tc>
        <w:tc>
          <w:tcPr>
            <w:tcW w:w="6364" w:type="dxa"/>
            <w:gridSpan w:val="9"/>
            <w:tcMar>
              <w:top w:w="51" w:type="dxa"/>
              <w:left w:w="227" w:type="dxa"/>
              <w:bottom w:w="51" w:type="dxa"/>
              <w:right w:w="227" w:type="dxa"/>
            </w:tcMar>
            <w:vAlign w:val="center"/>
          </w:tcPr>
          <w:p w14:paraId="53EAC342" w14:textId="477DE7D1" w:rsidR="00AA6FDB" w:rsidRPr="00846D49" w:rsidRDefault="00AA6FDB" w:rsidP="007502D1">
            <w:pPr>
              <w:tabs>
                <w:tab w:val="left" w:pos="3375"/>
              </w:tabs>
              <w:spacing w:after="0" w:line="240" w:lineRule="auto"/>
              <w:jc w:val="both"/>
              <w:rPr>
                <w:rFonts w:ascii="Arial" w:eastAsia="Times New Roman" w:hAnsi="Arial" w:cs="Arial"/>
                <w:strike/>
                <w:sz w:val="20"/>
                <w:szCs w:val="20"/>
              </w:rPr>
            </w:pPr>
            <w:r w:rsidRPr="00846D49">
              <w:rPr>
                <w:rFonts w:ascii="Arial" w:eastAsia="Times New Roman" w:hAnsi="Arial" w:cs="Arial"/>
                <w:sz w:val="20"/>
                <w:szCs w:val="20"/>
              </w:rPr>
              <w:t>S2.4.4 Investigación, estudios</w:t>
            </w:r>
            <w:r w:rsidR="00CD5007" w:rsidRPr="00846D49">
              <w:rPr>
                <w:rFonts w:ascii="Arial" w:eastAsia="Times New Roman" w:hAnsi="Arial" w:cs="Arial"/>
                <w:sz w:val="20"/>
                <w:szCs w:val="20"/>
              </w:rPr>
              <w:t>,</w:t>
            </w:r>
            <w:r w:rsidRPr="00846D49">
              <w:rPr>
                <w:rFonts w:ascii="Arial" w:eastAsia="Times New Roman" w:hAnsi="Arial" w:cs="Arial"/>
                <w:sz w:val="20"/>
                <w:szCs w:val="20"/>
              </w:rPr>
              <w:t xml:space="preserve"> </w:t>
            </w:r>
            <w:r w:rsidR="00CD5007" w:rsidRPr="00846D49">
              <w:rPr>
                <w:rFonts w:ascii="Arial" w:eastAsia="Times New Roman" w:hAnsi="Arial" w:cs="Arial"/>
                <w:sz w:val="20"/>
                <w:szCs w:val="20"/>
              </w:rPr>
              <w:t>tecnologías e innovación</w:t>
            </w:r>
            <w:r w:rsidRPr="00846D49">
              <w:rPr>
                <w:rFonts w:ascii="Arial" w:eastAsia="Times New Roman" w:hAnsi="Arial" w:cs="Arial"/>
                <w:sz w:val="20"/>
                <w:szCs w:val="20"/>
              </w:rPr>
              <w:t xml:space="preserve"> sobre los recursos forestales y de fauna silvestre de forma pertinente para los usuarios forestales y de fauna silvestre.</w:t>
            </w:r>
          </w:p>
        </w:tc>
      </w:tr>
      <w:tr w:rsidR="00846D49" w:rsidRPr="00846D49" w14:paraId="1C5208EC" w14:textId="77777777" w:rsidTr="007502D1">
        <w:trPr>
          <w:trHeight w:val="577"/>
        </w:trPr>
        <w:tc>
          <w:tcPr>
            <w:tcW w:w="2425" w:type="dxa"/>
            <w:gridSpan w:val="2"/>
            <w:tcMar>
              <w:top w:w="10" w:type="dxa"/>
              <w:left w:w="93" w:type="dxa"/>
              <w:bottom w:w="0" w:type="dxa"/>
              <w:right w:w="10" w:type="dxa"/>
            </w:tcMar>
            <w:vAlign w:val="center"/>
          </w:tcPr>
          <w:p w14:paraId="082B008C" w14:textId="77777777" w:rsidR="00AA6FDB" w:rsidRPr="00846D49" w:rsidRDefault="00AA6FDB" w:rsidP="007502D1">
            <w:pPr>
              <w:tabs>
                <w:tab w:val="left" w:pos="3375"/>
              </w:tabs>
              <w:spacing w:after="0" w:line="240" w:lineRule="auto"/>
              <w:rPr>
                <w:rFonts w:ascii="Arial" w:eastAsia="Times New Roman" w:hAnsi="Arial" w:cs="Arial"/>
                <w:sz w:val="20"/>
                <w:szCs w:val="20"/>
              </w:rPr>
            </w:pPr>
            <w:r w:rsidRPr="00846D49">
              <w:rPr>
                <w:rFonts w:ascii="Arial" w:eastAsia="Times New Roman" w:hAnsi="Arial" w:cs="Arial"/>
                <w:b/>
                <w:sz w:val="20"/>
                <w:szCs w:val="20"/>
              </w:rPr>
              <w:t>Nombre del indicador:</w:t>
            </w:r>
          </w:p>
        </w:tc>
        <w:tc>
          <w:tcPr>
            <w:tcW w:w="6364" w:type="dxa"/>
            <w:gridSpan w:val="9"/>
            <w:tcMar>
              <w:top w:w="51" w:type="dxa"/>
              <w:left w:w="227" w:type="dxa"/>
              <w:bottom w:w="51" w:type="dxa"/>
              <w:right w:w="227" w:type="dxa"/>
            </w:tcMar>
            <w:vAlign w:val="center"/>
          </w:tcPr>
          <w:p w14:paraId="74C09CF3" w14:textId="77777777" w:rsidR="00AA6FDB" w:rsidRPr="00846D49" w:rsidRDefault="00AA6FDB" w:rsidP="007502D1">
            <w:pPr>
              <w:tabs>
                <w:tab w:val="left" w:pos="3375"/>
              </w:tabs>
              <w:spacing w:after="0" w:line="240" w:lineRule="auto"/>
              <w:jc w:val="both"/>
              <w:rPr>
                <w:rFonts w:ascii="Arial" w:eastAsia="Times New Roman" w:hAnsi="Arial" w:cs="Arial"/>
                <w:sz w:val="20"/>
                <w:szCs w:val="20"/>
              </w:rPr>
            </w:pPr>
            <w:r w:rsidRPr="00846D49">
              <w:rPr>
                <w:rFonts w:ascii="Arial" w:eastAsia="Times New Roman" w:hAnsi="Arial" w:cs="Arial"/>
                <w:sz w:val="20"/>
                <w:szCs w:val="20"/>
              </w:rPr>
              <w:t>Porcentaje de estudios, investigaciones, tecnologías e innovación sobre los recursos forestales y de fauna silvestre realizados de forma pertinente para los usuarios forestales y de fauna silvestre.</w:t>
            </w:r>
          </w:p>
        </w:tc>
      </w:tr>
      <w:tr w:rsidR="00846D49" w:rsidRPr="00846D49" w14:paraId="5F22D41D" w14:textId="77777777" w:rsidTr="007502D1">
        <w:trPr>
          <w:trHeight w:val="577"/>
        </w:trPr>
        <w:tc>
          <w:tcPr>
            <w:tcW w:w="2425" w:type="dxa"/>
            <w:gridSpan w:val="2"/>
            <w:tcMar>
              <w:top w:w="10" w:type="dxa"/>
              <w:left w:w="93" w:type="dxa"/>
              <w:bottom w:w="0" w:type="dxa"/>
              <w:right w:w="10" w:type="dxa"/>
            </w:tcMar>
            <w:vAlign w:val="center"/>
          </w:tcPr>
          <w:p w14:paraId="122CF5EB" w14:textId="77777777" w:rsidR="00AA6FDB" w:rsidRPr="00846D49" w:rsidRDefault="00AA6FDB" w:rsidP="007502D1">
            <w:pPr>
              <w:tabs>
                <w:tab w:val="left" w:pos="3375"/>
              </w:tabs>
              <w:spacing w:after="0" w:line="240" w:lineRule="auto"/>
              <w:rPr>
                <w:rFonts w:ascii="Arial" w:eastAsia="Times New Roman" w:hAnsi="Arial" w:cs="Arial"/>
                <w:sz w:val="20"/>
                <w:szCs w:val="20"/>
              </w:rPr>
            </w:pPr>
            <w:r w:rsidRPr="00846D49">
              <w:rPr>
                <w:rFonts w:ascii="Arial" w:eastAsia="Times New Roman" w:hAnsi="Arial" w:cs="Arial"/>
                <w:b/>
                <w:sz w:val="20"/>
                <w:szCs w:val="20"/>
              </w:rPr>
              <w:lastRenderedPageBreak/>
              <w:t>Justificación:</w:t>
            </w:r>
          </w:p>
        </w:tc>
        <w:tc>
          <w:tcPr>
            <w:tcW w:w="6364" w:type="dxa"/>
            <w:gridSpan w:val="9"/>
            <w:tcMar>
              <w:top w:w="51" w:type="dxa"/>
              <w:left w:w="227" w:type="dxa"/>
              <w:bottom w:w="51" w:type="dxa"/>
              <w:right w:w="227" w:type="dxa"/>
            </w:tcMar>
            <w:vAlign w:val="center"/>
          </w:tcPr>
          <w:p w14:paraId="61E2E3FA" w14:textId="77777777" w:rsidR="00AA6FDB" w:rsidRPr="00846D49" w:rsidRDefault="00AA6FDB" w:rsidP="007502D1">
            <w:pPr>
              <w:spacing w:after="0" w:line="240" w:lineRule="auto"/>
              <w:jc w:val="both"/>
              <w:rPr>
                <w:rFonts w:ascii="Arial" w:eastAsia="Arial Narrow" w:hAnsi="Arial" w:cs="Arial"/>
                <w:sz w:val="20"/>
                <w:szCs w:val="20"/>
              </w:rPr>
            </w:pPr>
            <w:r w:rsidRPr="00846D49">
              <w:rPr>
                <w:rFonts w:ascii="Arial" w:eastAsia="Arial Narrow" w:hAnsi="Arial" w:cs="Arial"/>
                <w:sz w:val="20"/>
                <w:szCs w:val="20"/>
              </w:rPr>
              <w:t>El indicador permite cuantificar el porcentaje de estudios, investigaciones, tecnologías e innovación sobre los recursos forestales y de fauna silvestre que se realizan en base a las necesidades de los usuarios identificadas en la Agenda Nacional de Investigación Forestal y de Fauna Silvestre o en las Agendas Regionales de Investigación Forestal y de Fauna Silvestre.</w:t>
            </w:r>
          </w:p>
          <w:p w14:paraId="3D6B798C" w14:textId="77777777" w:rsidR="00AA6FDB" w:rsidRPr="00846D49" w:rsidRDefault="00AA6FDB" w:rsidP="00193E26">
            <w:pPr>
              <w:tabs>
                <w:tab w:val="left" w:pos="3375"/>
              </w:tabs>
              <w:spacing w:after="0" w:line="240" w:lineRule="auto"/>
              <w:jc w:val="both"/>
              <w:rPr>
                <w:rFonts w:ascii="Arial" w:eastAsia="Times New Roman" w:hAnsi="Arial" w:cs="Arial"/>
                <w:sz w:val="20"/>
                <w:szCs w:val="20"/>
              </w:rPr>
            </w:pPr>
          </w:p>
        </w:tc>
      </w:tr>
      <w:tr w:rsidR="00846D49" w:rsidRPr="00846D49" w14:paraId="4C679048" w14:textId="77777777" w:rsidTr="007502D1">
        <w:trPr>
          <w:trHeight w:val="352"/>
        </w:trPr>
        <w:tc>
          <w:tcPr>
            <w:tcW w:w="2425" w:type="dxa"/>
            <w:gridSpan w:val="2"/>
            <w:tcMar>
              <w:top w:w="10" w:type="dxa"/>
              <w:left w:w="93" w:type="dxa"/>
              <w:bottom w:w="0" w:type="dxa"/>
              <w:right w:w="10" w:type="dxa"/>
            </w:tcMar>
            <w:vAlign w:val="center"/>
          </w:tcPr>
          <w:p w14:paraId="563037B9" w14:textId="77777777" w:rsidR="00AA6FDB" w:rsidRPr="00846D49" w:rsidRDefault="00AA6FDB" w:rsidP="007502D1">
            <w:pPr>
              <w:tabs>
                <w:tab w:val="left" w:pos="3375"/>
              </w:tabs>
              <w:spacing w:after="0" w:line="240" w:lineRule="auto"/>
              <w:rPr>
                <w:rFonts w:ascii="Arial" w:eastAsia="Times New Roman" w:hAnsi="Arial" w:cs="Arial"/>
                <w:sz w:val="20"/>
                <w:szCs w:val="20"/>
              </w:rPr>
            </w:pPr>
            <w:r w:rsidRPr="00846D49">
              <w:rPr>
                <w:rFonts w:ascii="Arial" w:eastAsia="Times New Roman" w:hAnsi="Arial" w:cs="Arial"/>
                <w:b/>
                <w:sz w:val="20"/>
                <w:szCs w:val="20"/>
              </w:rPr>
              <w:t>Responsable del indicador:</w:t>
            </w:r>
          </w:p>
        </w:tc>
        <w:tc>
          <w:tcPr>
            <w:tcW w:w="6364" w:type="dxa"/>
            <w:gridSpan w:val="9"/>
            <w:tcMar>
              <w:top w:w="51" w:type="dxa"/>
              <w:left w:w="227" w:type="dxa"/>
              <w:bottom w:w="51" w:type="dxa"/>
              <w:right w:w="227" w:type="dxa"/>
            </w:tcMar>
            <w:vAlign w:val="center"/>
          </w:tcPr>
          <w:p w14:paraId="12D69039" w14:textId="77777777" w:rsidR="00AA6FDB" w:rsidRPr="00846D49" w:rsidRDefault="00AA6FDB" w:rsidP="007502D1">
            <w:pPr>
              <w:tabs>
                <w:tab w:val="left" w:pos="3375"/>
              </w:tabs>
              <w:spacing w:after="0" w:line="240" w:lineRule="auto"/>
              <w:jc w:val="both"/>
              <w:rPr>
                <w:rFonts w:ascii="Arial" w:eastAsia="Times New Roman" w:hAnsi="Arial" w:cs="Arial"/>
                <w:sz w:val="20"/>
                <w:szCs w:val="20"/>
              </w:rPr>
            </w:pPr>
            <w:r w:rsidRPr="00846D49">
              <w:rPr>
                <w:rFonts w:ascii="Arial" w:eastAsia="Times New Roman" w:hAnsi="Arial" w:cs="Arial"/>
                <w:sz w:val="20"/>
                <w:szCs w:val="20"/>
              </w:rPr>
              <w:t>Dirección de Estudios e Investigación del Servicio Nacional Forestal y de Fauna Silvestre - SERFOR</w:t>
            </w:r>
          </w:p>
        </w:tc>
      </w:tr>
      <w:tr w:rsidR="00846D49" w:rsidRPr="00846D49" w14:paraId="7C5D8031" w14:textId="77777777" w:rsidTr="007502D1">
        <w:trPr>
          <w:trHeight w:val="492"/>
        </w:trPr>
        <w:tc>
          <w:tcPr>
            <w:tcW w:w="2425" w:type="dxa"/>
            <w:gridSpan w:val="2"/>
            <w:tcMar>
              <w:top w:w="10" w:type="dxa"/>
              <w:left w:w="93" w:type="dxa"/>
              <w:bottom w:w="0" w:type="dxa"/>
              <w:right w:w="10" w:type="dxa"/>
            </w:tcMar>
            <w:vAlign w:val="center"/>
          </w:tcPr>
          <w:p w14:paraId="3C16EF20" w14:textId="77777777" w:rsidR="00AA6FDB" w:rsidRPr="00846D49" w:rsidRDefault="00AA6FDB" w:rsidP="007502D1">
            <w:pPr>
              <w:tabs>
                <w:tab w:val="left" w:pos="3375"/>
              </w:tabs>
              <w:spacing w:after="0" w:line="240" w:lineRule="auto"/>
              <w:rPr>
                <w:rFonts w:ascii="Arial" w:eastAsia="Times New Roman" w:hAnsi="Arial" w:cs="Arial"/>
                <w:sz w:val="20"/>
                <w:szCs w:val="20"/>
              </w:rPr>
            </w:pPr>
            <w:r w:rsidRPr="00846D49">
              <w:rPr>
                <w:rFonts w:ascii="Arial" w:eastAsia="Times New Roman" w:hAnsi="Arial" w:cs="Arial"/>
                <w:b/>
                <w:sz w:val="20"/>
                <w:szCs w:val="20"/>
              </w:rPr>
              <w:t>Limitaciones para la medición del indicador:</w:t>
            </w:r>
          </w:p>
        </w:tc>
        <w:tc>
          <w:tcPr>
            <w:tcW w:w="6364" w:type="dxa"/>
            <w:gridSpan w:val="9"/>
            <w:tcMar>
              <w:top w:w="51" w:type="dxa"/>
              <w:left w:w="227" w:type="dxa"/>
              <w:bottom w:w="51" w:type="dxa"/>
              <w:right w:w="227" w:type="dxa"/>
            </w:tcMar>
            <w:vAlign w:val="center"/>
          </w:tcPr>
          <w:p w14:paraId="56E077B7" w14:textId="77777777" w:rsidR="00AA6FDB" w:rsidRPr="00846D49" w:rsidRDefault="00AA6FDB" w:rsidP="007502D1">
            <w:pPr>
              <w:tabs>
                <w:tab w:val="left" w:pos="3375"/>
              </w:tabs>
              <w:spacing w:after="0" w:line="240" w:lineRule="auto"/>
              <w:rPr>
                <w:rFonts w:ascii="Arial" w:eastAsia="Times New Roman" w:hAnsi="Arial" w:cs="Arial"/>
                <w:sz w:val="20"/>
                <w:szCs w:val="20"/>
              </w:rPr>
            </w:pPr>
            <w:r w:rsidRPr="00846D49">
              <w:rPr>
                <w:rFonts w:ascii="Arial" w:eastAsia="Times New Roman" w:hAnsi="Arial" w:cs="Arial"/>
                <w:sz w:val="20"/>
                <w:szCs w:val="20"/>
              </w:rPr>
              <w:t>No presenta limitaciones</w:t>
            </w:r>
          </w:p>
        </w:tc>
      </w:tr>
      <w:tr w:rsidR="00846D49" w:rsidRPr="00846D49" w14:paraId="636E5AE2" w14:textId="77777777" w:rsidTr="007502D1">
        <w:trPr>
          <w:trHeight w:val="231"/>
        </w:trPr>
        <w:tc>
          <w:tcPr>
            <w:tcW w:w="2425" w:type="dxa"/>
            <w:gridSpan w:val="2"/>
            <w:tcMar>
              <w:top w:w="10" w:type="dxa"/>
              <w:left w:w="93" w:type="dxa"/>
              <w:bottom w:w="0" w:type="dxa"/>
              <w:right w:w="10" w:type="dxa"/>
            </w:tcMar>
            <w:vAlign w:val="center"/>
          </w:tcPr>
          <w:p w14:paraId="2A0BDA67" w14:textId="77777777" w:rsidR="00AA6FDB" w:rsidRPr="00846D49" w:rsidRDefault="00AA6FDB" w:rsidP="007502D1">
            <w:pPr>
              <w:tabs>
                <w:tab w:val="left" w:pos="3375"/>
              </w:tabs>
              <w:spacing w:after="0" w:line="240" w:lineRule="auto"/>
              <w:rPr>
                <w:rFonts w:ascii="Arial" w:eastAsia="Times New Roman" w:hAnsi="Arial" w:cs="Arial"/>
                <w:sz w:val="20"/>
                <w:szCs w:val="20"/>
              </w:rPr>
            </w:pPr>
            <w:r w:rsidRPr="00846D49">
              <w:rPr>
                <w:rFonts w:ascii="Arial" w:eastAsia="Times New Roman" w:hAnsi="Arial" w:cs="Arial"/>
                <w:b/>
                <w:sz w:val="20"/>
                <w:szCs w:val="20"/>
              </w:rPr>
              <w:t xml:space="preserve">Método de cálculo: </w:t>
            </w:r>
          </w:p>
        </w:tc>
        <w:tc>
          <w:tcPr>
            <w:tcW w:w="6364" w:type="dxa"/>
            <w:gridSpan w:val="9"/>
            <w:tcMar>
              <w:top w:w="51" w:type="dxa"/>
              <w:left w:w="227" w:type="dxa"/>
              <w:bottom w:w="51" w:type="dxa"/>
              <w:right w:w="227" w:type="dxa"/>
            </w:tcMar>
            <w:vAlign w:val="center"/>
          </w:tcPr>
          <w:p w14:paraId="23C66BF9" w14:textId="77777777" w:rsidR="00AA6FDB" w:rsidRPr="00846D49" w:rsidRDefault="00AA6FDB" w:rsidP="00AA6FDB">
            <w:pPr>
              <w:numPr>
                <w:ilvl w:val="0"/>
                <w:numId w:val="35"/>
              </w:numPr>
              <w:spacing w:before="120" w:after="0" w:line="240" w:lineRule="auto"/>
              <w:ind w:left="174" w:hanging="174"/>
              <w:contextualSpacing/>
              <w:rPr>
                <w:rFonts w:ascii="Arial" w:eastAsia="Times New Roman" w:hAnsi="Arial" w:cs="Arial"/>
                <w:b/>
                <w:sz w:val="20"/>
                <w:szCs w:val="20"/>
              </w:rPr>
            </w:pPr>
            <w:r w:rsidRPr="00846D49">
              <w:rPr>
                <w:rFonts w:ascii="Arial" w:eastAsia="Times New Roman" w:hAnsi="Arial" w:cs="Arial"/>
                <w:b/>
                <w:sz w:val="20"/>
                <w:szCs w:val="20"/>
              </w:rPr>
              <w:t>Fórmula:</w:t>
            </w:r>
          </w:p>
          <w:p w14:paraId="0E28FF09" w14:textId="77777777" w:rsidR="00AA6FDB" w:rsidRPr="00846D49" w:rsidRDefault="00AA6FDB" w:rsidP="007502D1">
            <w:pPr>
              <w:spacing w:before="120" w:after="0" w:line="240" w:lineRule="auto"/>
              <w:ind w:left="174"/>
              <w:contextualSpacing/>
              <w:rPr>
                <w:rFonts w:ascii="Arial" w:eastAsia="Times New Roman" w:hAnsi="Arial" w:cs="Arial"/>
                <w:b/>
                <w:sz w:val="20"/>
                <w:szCs w:val="20"/>
              </w:rPr>
            </w:pPr>
          </w:p>
          <w:p w14:paraId="55CCABFF" w14:textId="77777777" w:rsidR="00AA6FDB" w:rsidRPr="00846D49" w:rsidRDefault="00AA6FDB" w:rsidP="007502D1">
            <w:pPr>
              <w:jc w:val="both"/>
              <w:rPr>
                <w:rFonts w:ascii="Arial" w:eastAsia="Arial Narrow" w:hAnsi="Arial" w:cs="Arial"/>
                <w:sz w:val="20"/>
                <w:szCs w:val="20"/>
              </w:rPr>
            </w:pPr>
            <w:r w:rsidRPr="00846D49">
              <w:rPr>
                <w:rFonts w:ascii="Arial" w:eastAsia="Arial Narrow" w:hAnsi="Arial" w:cs="Arial"/>
                <w:sz w:val="20"/>
                <w:szCs w:val="20"/>
              </w:rPr>
              <w:t>(A/B)*100</w:t>
            </w:r>
          </w:p>
          <w:p w14:paraId="27EF4A87" w14:textId="77777777" w:rsidR="00AA6FDB" w:rsidRPr="00846D49" w:rsidRDefault="00AA6FDB" w:rsidP="007502D1">
            <w:pPr>
              <w:jc w:val="both"/>
              <w:rPr>
                <w:rFonts w:ascii="Arial" w:eastAsia="Arial Narrow" w:hAnsi="Arial" w:cs="Arial"/>
                <w:sz w:val="20"/>
                <w:szCs w:val="20"/>
              </w:rPr>
            </w:pPr>
            <w:r w:rsidRPr="00846D49">
              <w:rPr>
                <w:rFonts w:ascii="Arial" w:eastAsia="Arial Narrow" w:hAnsi="Arial" w:cs="Arial"/>
                <w:sz w:val="20"/>
                <w:szCs w:val="20"/>
              </w:rPr>
              <w:t>Donde:</w:t>
            </w:r>
          </w:p>
          <w:p w14:paraId="220ADE4F" w14:textId="0A64C45D" w:rsidR="00AA6FDB" w:rsidRPr="00846D49" w:rsidRDefault="00AA6FDB" w:rsidP="007502D1">
            <w:pPr>
              <w:ind w:left="316" w:hanging="316"/>
              <w:jc w:val="both"/>
              <w:rPr>
                <w:rFonts w:ascii="Arial" w:eastAsia="Arial Narrow" w:hAnsi="Arial" w:cs="Arial"/>
                <w:sz w:val="20"/>
                <w:szCs w:val="20"/>
              </w:rPr>
            </w:pPr>
            <w:r w:rsidRPr="00846D49">
              <w:rPr>
                <w:rFonts w:ascii="Arial" w:eastAsia="Arial Narrow" w:hAnsi="Arial" w:cs="Arial"/>
                <w:sz w:val="20"/>
                <w:szCs w:val="20"/>
              </w:rPr>
              <w:t xml:space="preserve">A= Número </w:t>
            </w:r>
            <w:r w:rsidRPr="00846D49">
              <w:rPr>
                <w:rFonts w:ascii="Arial" w:eastAsia="Times New Roman" w:hAnsi="Arial" w:cs="Arial"/>
                <w:sz w:val="20"/>
                <w:szCs w:val="20"/>
              </w:rPr>
              <w:t>de investigaciones, estudios, tecnologías e innovación sobre los recursos forestales y de fauna silvestre realizados de forma pertinente para los usuarios forestales y de fauna silvestre</w:t>
            </w:r>
            <w:r w:rsidRPr="00846D49">
              <w:rPr>
                <w:rFonts w:ascii="Arial" w:eastAsia="Arial Narrow" w:hAnsi="Arial" w:cs="Arial"/>
                <w:sz w:val="20"/>
                <w:szCs w:val="20"/>
              </w:rPr>
              <w:t xml:space="preserve">. </w:t>
            </w:r>
          </w:p>
          <w:p w14:paraId="15FF3832" w14:textId="4276671A" w:rsidR="00AA6FDB" w:rsidRPr="00846D49" w:rsidRDefault="00AA6FDB" w:rsidP="007502D1">
            <w:pPr>
              <w:tabs>
                <w:tab w:val="left" w:pos="3375"/>
              </w:tabs>
              <w:spacing w:after="0" w:line="240" w:lineRule="auto"/>
              <w:ind w:left="324" w:hanging="263"/>
              <w:jc w:val="both"/>
              <w:rPr>
                <w:rFonts w:ascii="Arial" w:eastAsia="Times New Roman" w:hAnsi="Arial" w:cs="Arial"/>
                <w:sz w:val="20"/>
                <w:szCs w:val="20"/>
              </w:rPr>
            </w:pPr>
            <w:r w:rsidRPr="00846D49">
              <w:rPr>
                <w:rFonts w:ascii="Arial" w:eastAsia="Arial Narrow" w:hAnsi="Arial" w:cs="Arial"/>
                <w:sz w:val="20"/>
                <w:szCs w:val="20"/>
              </w:rPr>
              <w:t xml:space="preserve">B= Total de </w:t>
            </w:r>
            <w:r w:rsidRPr="00846D49">
              <w:rPr>
                <w:rFonts w:ascii="Arial" w:eastAsia="Times New Roman" w:hAnsi="Arial" w:cs="Arial"/>
                <w:sz w:val="20"/>
                <w:szCs w:val="20"/>
              </w:rPr>
              <w:t>investigaciones, estudios, tecnologías e innovación sobre los recursos forestales y de fauna silvestre.</w:t>
            </w:r>
          </w:p>
          <w:p w14:paraId="7B1B922E" w14:textId="77777777" w:rsidR="00AA6FDB" w:rsidRPr="00846D49" w:rsidRDefault="00AA6FDB" w:rsidP="007502D1">
            <w:pPr>
              <w:tabs>
                <w:tab w:val="left" w:pos="3375"/>
              </w:tabs>
              <w:spacing w:after="0" w:line="240" w:lineRule="auto"/>
              <w:ind w:left="61"/>
              <w:rPr>
                <w:rFonts w:ascii="Arial" w:eastAsia="Times New Roman" w:hAnsi="Arial" w:cs="Arial"/>
                <w:sz w:val="20"/>
                <w:szCs w:val="20"/>
              </w:rPr>
            </w:pPr>
          </w:p>
          <w:p w14:paraId="6BC3DB81" w14:textId="77777777" w:rsidR="00AA6FDB" w:rsidRPr="00846D49" w:rsidRDefault="00AA6FDB" w:rsidP="00AA6FDB">
            <w:pPr>
              <w:numPr>
                <w:ilvl w:val="0"/>
                <w:numId w:val="35"/>
              </w:numPr>
              <w:spacing w:after="0" w:line="240" w:lineRule="auto"/>
              <w:ind w:left="190" w:hanging="190"/>
              <w:contextualSpacing/>
              <w:rPr>
                <w:rFonts w:ascii="Arial" w:eastAsia="Times New Roman" w:hAnsi="Arial" w:cs="Arial"/>
                <w:b/>
                <w:bCs/>
                <w:sz w:val="20"/>
                <w:szCs w:val="20"/>
              </w:rPr>
            </w:pPr>
            <w:r w:rsidRPr="00846D49">
              <w:rPr>
                <w:rFonts w:ascii="Arial" w:eastAsia="Times New Roman" w:hAnsi="Arial" w:cs="Arial"/>
                <w:b/>
                <w:bCs/>
                <w:sz w:val="20"/>
                <w:szCs w:val="20"/>
              </w:rPr>
              <w:t>Especificación técnica</w:t>
            </w:r>
          </w:p>
          <w:p w14:paraId="53C8DA2D" w14:textId="77777777" w:rsidR="00AA6FDB" w:rsidRPr="00846D49" w:rsidRDefault="00AA6FDB" w:rsidP="007502D1">
            <w:pPr>
              <w:spacing w:after="0" w:line="240" w:lineRule="auto"/>
              <w:ind w:left="190"/>
              <w:contextualSpacing/>
              <w:rPr>
                <w:rFonts w:ascii="Arial" w:eastAsia="Times New Roman" w:hAnsi="Arial" w:cs="Arial"/>
                <w:sz w:val="20"/>
                <w:szCs w:val="20"/>
              </w:rPr>
            </w:pPr>
          </w:p>
          <w:p w14:paraId="5B66C2FE" w14:textId="77777777" w:rsidR="00AA6FDB" w:rsidRPr="00846D49" w:rsidRDefault="00AA6FDB" w:rsidP="007502D1">
            <w:pPr>
              <w:spacing w:after="0" w:line="240" w:lineRule="auto"/>
              <w:ind w:left="190"/>
              <w:contextualSpacing/>
              <w:jc w:val="both"/>
              <w:rPr>
                <w:rFonts w:ascii="Arial" w:eastAsia="Times New Roman" w:hAnsi="Arial" w:cs="Arial"/>
                <w:sz w:val="20"/>
                <w:szCs w:val="20"/>
              </w:rPr>
            </w:pPr>
            <w:r w:rsidRPr="00846D49">
              <w:rPr>
                <w:rFonts w:ascii="Arial" w:eastAsia="Arial Narrow" w:hAnsi="Arial" w:cs="Arial"/>
                <w:sz w:val="20"/>
                <w:szCs w:val="20"/>
              </w:rPr>
              <w:t xml:space="preserve">La variable A se determina a partir de las </w:t>
            </w:r>
            <w:r w:rsidRPr="00846D49">
              <w:rPr>
                <w:rFonts w:ascii="Arial" w:eastAsia="Times New Roman" w:hAnsi="Arial" w:cs="Arial"/>
                <w:sz w:val="20"/>
                <w:szCs w:val="20"/>
              </w:rPr>
              <w:t xml:space="preserve">investigaciones, estudios, tecnologías e innovación que se realizan sobre los recursos forestales y de fauna silvestre teniendo en cuenta las necesidades de los usuarios identificadas en la Agenda Nacional de Investigación Forestal y de Fauna Silvestre o en las Agendas Regionales de Investigación Forestal y de Fauna Silvestre, y que están disponibles para el uso práctico de los citados usuarios. </w:t>
            </w:r>
          </w:p>
          <w:p w14:paraId="10537187" w14:textId="77777777" w:rsidR="00AA6FDB" w:rsidRPr="00846D49" w:rsidRDefault="00AA6FDB" w:rsidP="007502D1">
            <w:pPr>
              <w:spacing w:after="0" w:line="240" w:lineRule="auto"/>
              <w:ind w:left="190"/>
              <w:contextualSpacing/>
              <w:jc w:val="both"/>
              <w:rPr>
                <w:rFonts w:ascii="Arial" w:eastAsia="Arial Narrow" w:hAnsi="Arial" w:cs="Arial"/>
                <w:sz w:val="20"/>
                <w:szCs w:val="20"/>
              </w:rPr>
            </w:pPr>
          </w:p>
          <w:p w14:paraId="6C37070E" w14:textId="77777777" w:rsidR="00AA6FDB" w:rsidRPr="00846D49" w:rsidRDefault="00AA6FDB" w:rsidP="007502D1">
            <w:pPr>
              <w:spacing w:after="0" w:line="240" w:lineRule="auto"/>
              <w:ind w:left="190"/>
              <w:contextualSpacing/>
              <w:jc w:val="both"/>
              <w:rPr>
                <w:rFonts w:ascii="Arial" w:eastAsia="Times New Roman" w:hAnsi="Arial" w:cs="Arial"/>
                <w:sz w:val="20"/>
                <w:szCs w:val="20"/>
              </w:rPr>
            </w:pPr>
            <w:r w:rsidRPr="00846D49">
              <w:rPr>
                <w:rFonts w:ascii="Arial" w:eastAsia="Arial Narrow" w:hAnsi="Arial" w:cs="Arial"/>
                <w:sz w:val="20"/>
                <w:szCs w:val="20"/>
              </w:rPr>
              <w:t xml:space="preserve">La variable B involucra el total de </w:t>
            </w:r>
            <w:r w:rsidRPr="00846D49">
              <w:rPr>
                <w:rFonts w:ascii="Arial" w:eastAsia="Times New Roman" w:hAnsi="Arial" w:cs="Arial"/>
                <w:sz w:val="20"/>
                <w:szCs w:val="20"/>
              </w:rPr>
              <w:t>investigaciones, estudios, tecnologías e innovación que se realizan sobre los recursos forestales y de fauna silvestre.</w:t>
            </w:r>
          </w:p>
          <w:p w14:paraId="16169B13" w14:textId="77777777" w:rsidR="00AA6FDB" w:rsidRPr="00846D49" w:rsidRDefault="00AA6FDB" w:rsidP="007502D1">
            <w:pPr>
              <w:spacing w:after="0" w:line="240" w:lineRule="auto"/>
              <w:ind w:left="190"/>
              <w:contextualSpacing/>
              <w:jc w:val="both"/>
              <w:rPr>
                <w:rFonts w:ascii="Arial" w:eastAsia="Times New Roman" w:hAnsi="Arial" w:cs="Arial"/>
                <w:sz w:val="20"/>
                <w:szCs w:val="20"/>
              </w:rPr>
            </w:pPr>
          </w:p>
          <w:p w14:paraId="7C47EC75" w14:textId="77777777" w:rsidR="00AA6FDB" w:rsidRPr="00846D49" w:rsidRDefault="00AA6FDB" w:rsidP="007502D1">
            <w:pPr>
              <w:tabs>
                <w:tab w:val="left" w:pos="3375"/>
              </w:tabs>
              <w:spacing w:after="0" w:line="240" w:lineRule="auto"/>
              <w:ind w:left="186"/>
              <w:jc w:val="both"/>
              <w:rPr>
                <w:rFonts w:ascii="Arial" w:eastAsia="Times New Roman" w:hAnsi="Arial" w:cs="Arial"/>
                <w:sz w:val="20"/>
                <w:szCs w:val="20"/>
              </w:rPr>
            </w:pPr>
            <w:r w:rsidRPr="00846D49">
              <w:rPr>
                <w:rFonts w:ascii="Arial" w:eastAsia="Times New Roman" w:hAnsi="Arial" w:cs="Arial"/>
                <w:b/>
                <w:sz w:val="20"/>
                <w:szCs w:val="20"/>
              </w:rPr>
              <w:t>Estudios:</w:t>
            </w:r>
            <w:r w:rsidRPr="00846D49">
              <w:rPr>
                <w:rFonts w:ascii="Arial" w:eastAsia="Times New Roman" w:hAnsi="Arial" w:cs="Arial"/>
                <w:sz w:val="20"/>
                <w:szCs w:val="20"/>
              </w:rPr>
              <w:t xml:space="preserve"> Son documentos técnicos elaborados a partir de la sistematización y análisis de información disponible acerca de un área de conocimiento, organizada de forma estructurada y presentada eficazmente para los usuarios.</w:t>
            </w:r>
          </w:p>
          <w:p w14:paraId="6E474C6C" w14:textId="77777777" w:rsidR="00AA6FDB" w:rsidRPr="00846D49" w:rsidRDefault="00AA6FDB" w:rsidP="007502D1">
            <w:pPr>
              <w:tabs>
                <w:tab w:val="left" w:pos="3375"/>
              </w:tabs>
              <w:spacing w:after="0" w:line="240" w:lineRule="auto"/>
              <w:ind w:left="186"/>
              <w:jc w:val="both"/>
              <w:rPr>
                <w:rFonts w:ascii="Arial" w:eastAsia="Times New Roman" w:hAnsi="Arial" w:cs="Arial"/>
                <w:sz w:val="20"/>
                <w:szCs w:val="20"/>
              </w:rPr>
            </w:pPr>
            <w:r w:rsidRPr="00846D49">
              <w:rPr>
                <w:rFonts w:ascii="Arial" w:eastAsia="Times New Roman" w:hAnsi="Arial" w:cs="Arial"/>
                <w:sz w:val="20"/>
                <w:szCs w:val="20"/>
              </w:rPr>
              <w:br/>
            </w:r>
            <w:r w:rsidRPr="00846D49">
              <w:rPr>
                <w:rFonts w:ascii="Arial" w:eastAsia="Times New Roman" w:hAnsi="Arial" w:cs="Arial"/>
                <w:b/>
                <w:sz w:val="20"/>
                <w:szCs w:val="20"/>
              </w:rPr>
              <w:t>Investigación científica:</w:t>
            </w:r>
            <w:r w:rsidRPr="00846D49">
              <w:rPr>
                <w:rFonts w:ascii="Arial" w:eastAsia="Times New Roman" w:hAnsi="Arial" w:cs="Arial"/>
                <w:sz w:val="20"/>
                <w:szCs w:val="20"/>
              </w:rPr>
              <w:t xml:space="preserve"> Es todo aquel estudio original y planificado que tiene como finalidad obtener nuevos conocimientos científicos y tecnológicos, revisado por pares. La investigación científica se divide en investigación básica y aplicada.</w:t>
            </w:r>
          </w:p>
          <w:p w14:paraId="404BB841" w14:textId="77777777" w:rsidR="00AA6FDB" w:rsidRPr="00846D49" w:rsidRDefault="00AA6FDB" w:rsidP="007502D1">
            <w:pPr>
              <w:tabs>
                <w:tab w:val="left" w:pos="3375"/>
              </w:tabs>
              <w:spacing w:after="0" w:line="240" w:lineRule="auto"/>
              <w:ind w:left="186"/>
              <w:jc w:val="both"/>
              <w:rPr>
                <w:rFonts w:ascii="Arial" w:eastAsia="Times New Roman" w:hAnsi="Arial" w:cs="Arial"/>
                <w:sz w:val="20"/>
                <w:szCs w:val="20"/>
              </w:rPr>
            </w:pPr>
          </w:p>
          <w:p w14:paraId="33E87A8B" w14:textId="77777777" w:rsidR="00AA6FDB" w:rsidRPr="00846D49" w:rsidRDefault="00AA6FDB" w:rsidP="007502D1">
            <w:pPr>
              <w:tabs>
                <w:tab w:val="left" w:pos="3375"/>
              </w:tabs>
              <w:spacing w:after="0" w:line="240" w:lineRule="auto"/>
              <w:ind w:left="186"/>
              <w:jc w:val="both"/>
              <w:rPr>
                <w:rFonts w:ascii="Arial" w:eastAsia="Times New Roman" w:hAnsi="Arial" w:cs="Arial"/>
                <w:sz w:val="20"/>
                <w:szCs w:val="20"/>
              </w:rPr>
            </w:pPr>
            <w:r w:rsidRPr="00846D49">
              <w:rPr>
                <w:rFonts w:ascii="Arial" w:eastAsia="Times New Roman" w:hAnsi="Arial" w:cs="Arial"/>
                <w:b/>
                <w:bCs/>
                <w:sz w:val="20"/>
                <w:szCs w:val="20"/>
              </w:rPr>
              <w:t>Tecnología</w:t>
            </w:r>
            <w:r w:rsidRPr="00846D49">
              <w:rPr>
                <w:rFonts w:ascii="Arial" w:eastAsia="Times New Roman" w:hAnsi="Arial" w:cs="Arial"/>
                <w:sz w:val="20"/>
                <w:szCs w:val="20"/>
              </w:rPr>
              <w:t xml:space="preserve">: Conjunto de teorías y de técnicas que pueden ser utilizadas de forma sistemática para el diseño, desarrollo, fabricación y comercialización de productos o para la prestación de servicios o aprovechamiento práctico de conocimiento. </w:t>
            </w:r>
          </w:p>
          <w:p w14:paraId="78B1F3AB" w14:textId="77777777" w:rsidR="00AA6FDB" w:rsidRPr="00846D49" w:rsidRDefault="00AA6FDB" w:rsidP="007502D1">
            <w:pPr>
              <w:tabs>
                <w:tab w:val="left" w:pos="3375"/>
              </w:tabs>
              <w:spacing w:after="0" w:line="240" w:lineRule="auto"/>
              <w:ind w:left="186"/>
              <w:jc w:val="both"/>
              <w:rPr>
                <w:rFonts w:ascii="Arial" w:eastAsia="Times New Roman" w:hAnsi="Arial" w:cs="Arial"/>
                <w:sz w:val="20"/>
                <w:szCs w:val="20"/>
              </w:rPr>
            </w:pPr>
            <w:r w:rsidRPr="00846D49">
              <w:rPr>
                <w:rFonts w:ascii="Arial" w:eastAsia="Times New Roman" w:hAnsi="Arial" w:cs="Arial"/>
                <w:sz w:val="20"/>
                <w:szCs w:val="20"/>
              </w:rPr>
              <w:br/>
            </w:r>
            <w:r w:rsidRPr="00846D49">
              <w:rPr>
                <w:rFonts w:ascii="Arial" w:eastAsia="Times New Roman" w:hAnsi="Arial" w:cs="Arial"/>
                <w:b/>
                <w:bCs/>
                <w:sz w:val="20"/>
                <w:szCs w:val="20"/>
              </w:rPr>
              <w:t xml:space="preserve">Innovación: </w:t>
            </w:r>
            <w:r w:rsidRPr="00846D49">
              <w:rPr>
                <w:rFonts w:ascii="Arial" w:eastAsia="Times New Roman" w:hAnsi="Arial" w:cs="Arial"/>
                <w:sz w:val="20"/>
                <w:szCs w:val="20"/>
              </w:rPr>
              <w:t xml:space="preserve">Es la puesta a disposición de un producto o proceso nuevo o mejorado (o una combinación de estos), que difiere significativamente de los productos o procesos anteriores de una </w:t>
            </w:r>
            <w:r w:rsidRPr="00846D49">
              <w:rPr>
                <w:rFonts w:ascii="Arial" w:eastAsia="Times New Roman" w:hAnsi="Arial" w:cs="Arial"/>
                <w:sz w:val="20"/>
                <w:szCs w:val="20"/>
              </w:rPr>
              <w:lastRenderedPageBreak/>
              <w:t xml:space="preserve">organización, ante usuarios potenciales o se ha puesto en uso por la organización. </w:t>
            </w:r>
          </w:p>
          <w:p w14:paraId="5DDDEAC5" w14:textId="77777777" w:rsidR="00AA6FDB" w:rsidRPr="00846D49" w:rsidRDefault="00AA6FDB" w:rsidP="007502D1">
            <w:pPr>
              <w:tabs>
                <w:tab w:val="left" w:pos="3375"/>
              </w:tabs>
              <w:spacing w:after="0" w:line="240" w:lineRule="auto"/>
              <w:ind w:left="186"/>
              <w:jc w:val="both"/>
              <w:rPr>
                <w:rFonts w:ascii="Arial" w:eastAsia="Times New Roman" w:hAnsi="Arial" w:cs="Arial"/>
                <w:sz w:val="20"/>
                <w:szCs w:val="20"/>
              </w:rPr>
            </w:pPr>
          </w:p>
          <w:p w14:paraId="258466F4" w14:textId="77777777" w:rsidR="00AA6FDB" w:rsidRPr="00846D49" w:rsidRDefault="00AA6FDB" w:rsidP="007502D1">
            <w:pPr>
              <w:tabs>
                <w:tab w:val="left" w:pos="3375"/>
              </w:tabs>
              <w:spacing w:after="0" w:line="240" w:lineRule="auto"/>
              <w:ind w:left="186"/>
              <w:jc w:val="both"/>
              <w:rPr>
                <w:rFonts w:ascii="Arial" w:eastAsia="Times New Roman" w:hAnsi="Arial" w:cs="Arial"/>
                <w:sz w:val="20"/>
                <w:szCs w:val="20"/>
              </w:rPr>
            </w:pPr>
          </w:p>
        </w:tc>
      </w:tr>
      <w:tr w:rsidR="00846D49" w:rsidRPr="00846D49" w14:paraId="73EC96D4" w14:textId="77777777" w:rsidTr="007502D1">
        <w:trPr>
          <w:trHeight w:val="686"/>
        </w:trPr>
        <w:tc>
          <w:tcPr>
            <w:tcW w:w="2425" w:type="dxa"/>
            <w:gridSpan w:val="2"/>
            <w:tcMar>
              <w:top w:w="10" w:type="dxa"/>
              <w:left w:w="93" w:type="dxa"/>
              <w:bottom w:w="0" w:type="dxa"/>
              <w:right w:w="10" w:type="dxa"/>
            </w:tcMar>
            <w:vAlign w:val="center"/>
          </w:tcPr>
          <w:p w14:paraId="1BA16B71" w14:textId="77777777" w:rsidR="00AA6FDB" w:rsidRPr="00846D49" w:rsidRDefault="00AA6FDB" w:rsidP="007502D1">
            <w:pPr>
              <w:tabs>
                <w:tab w:val="left" w:pos="3375"/>
              </w:tabs>
              <w:spacing w:after="0" w:line="240" w:lineRule="auto"/>
              <w:rPr>
                <w:rFonts w:ascii="Arial" w:eastAsia="Times New Roman" w:hAnsi="Arial" w:cs="Arial"/>
                <w:sz w:val="20"/>
                <w:szCs w:val="20"/>
              </w:rPr>
            </w:pPr>
            <w:r w:rsidRPr="00846D49">
              <w:rPr>
                <w:rFonts w:ascii="Arial" w:eastAsia="Times New Roman" w:hAnsi="Arial" w:cs="Arial"/>
                <w:b/>
                <w:sz w:val="20"/>
                <w:szCs w:val="20"/>
              </w:rPr>
              <w:lastRenderedPageBreak/>
              <w:t>Sentido esperado del indicador:</w:t>
            </w:r>
          </w:p>
        </w:tc>
        <w:tc>
          <w:tcPr>
            <w:tcW w:w="1686" w:type="dxa"/>
            <w:gridSpan w:val="2"/>
            <w:tcMar>
              <w:top w:w="10" w:type="dxa"/>
              <w:left w:w="283" w:type="dxa"/>
              <w:bottom w:w="0" w:type="dxa"/>
              <w:right w:w="283" w:type="dxa"/>
            </w:tcMar>
            <w:vAlign w:val="center"/>
          </w:tcPr>
          <w:p w14:paraId="1AA391A4" w14:textId="77777777" w:rsidR="00AA6FDB" w:rsidRPr="00846D49" w:rsidRDefault="00AA6FDB" w:rsidP="007502D1">
            <w:pPr>
              <w:tabs>
                <w:tab w:val="left" w:pos="3375"/>
              </w:tabs>
              <w:spacing w:after="0" w:line="240" w:lineRule="auto"/>
              <w:rPr>
                <w:rFonts w:ascii="Arial" w:eastAsia="Times New Roman" w:hAnsi="Arial" w:cs="Arial"/>
                <w:sz w:val="20"/>
                <w:szCs w:val="20"/>
              </w:rPr>
            </w:pPr>
            <w:r w:rsidRPr="00846D49">
              <w:rPr>
                <w:rFonts w:ascii="Arial" w:eastAsia="Times New Roman" w:hAnsi="Arial" w:cs="Arial"/>
                <w:sz w:val="20"/>
                <w:szCs w:val="20"/>
              </w:rPr>
              <w:t>Ascendente</w:t>
            </w:r>
          </w:p>
        </w:tc>
        <w:tc>
          <w:tcPr>
            <w:tcW w:w="3140" w:type="dxa"/>
            <w:gridSpan w:val="4"/>
            <w:tcMar>
              <w:top w:w="15" w:type="dxa"/>
              <w:left w:w="15" w:type="dxa"/>
              <w:bottom w:w="0" w:type="dxa"/>
              <w:right w:w="15" w:type="dxa"/>
            </w:tcMar>
            <w:vAlign w:val="center"/>
          </w:tcPr>
          <w:p w14:paraId="1016EDEA" w14:textId="77777777" w:rsidR="00AA6FDB" w:rsidRPr="00846D49" w:rsidRDefault="00AA6FDB" w:rsidP="007502D1">
            <w:pPr>
              <w:tabs>
                <w:tab w:val="left" w:pos="3375"/>
              </w:tabs>
              <w:spacing w:after="0" w:line="240" w:lineRule="auto"/>
              <w:jc w:val="center"/>
              <w:rPr>
                <w:rFonts w:ascii="Arial" w:eastAsia="Times New Roman" w:hAnsi="Arial" w:cs="Arial"/>
                <w:sz w:val="20"/>
                <w:szCs w:val="20"/>
              </w:rPr>
            </w:pPr>
            <w:r w:rsidRPr="00846D49">
              <w:rPr>
                <w:rFonts w:ascii="Arial" w:eastAsia="Times New Roman" w:hAnsi="Arial" w:cs="Arial"/>
                <w:b/>
                <w:sz w:val="20"/>
                <w:szCs w:val="20"/>
              </w:rPr>
              <w:t>Tipo de indicador de servicio:</w:t>
            </w:r>
          </w:p>
        </w:tc>
        <w:tc>
          <w:tcPr>
            <w:tcW w:w="1538" w:type="dxa"/>
            <w:gridSpan w:val="3"/>
            <w:tcMar>
              <w:top w:w="15" w:type="dxa"/>
              <w:left w:w="15" w:type="dxa"/>
              <w:bottom w:w="0" w:type="dxa"/>
              <w:right w:w="15" w:type="dxa"/>
            </w:tcMar>
            <w:vAlign w:val="center"/>
          </w:tcPr>
          <w:p w14:paraId="5AB1D95C" w14:textId="77777777" w:rsidR="00AA6FDB" w:rsidRPr="00846D49" w:rsidRDefault="00AA6FDB" w:rsidP="007502D1">
            <w:pPr>
              <w:tabs>
                <w:tab w:val="left" w:pos="3375"/>
              </w:tabs>
              <w:spacing w:after="0" w:line="240" w:lineRule="auto"/>
              <w:jc w:val="center"/>
              <w:rPr>
                <w:rFonts w:ascii="Arial" w:eastAsia="Times New Roman" w:hAnsi="Arial" w:cs="Arial"/>
                <w:sz w:val="20"/>
                <w:szCs w:val="20"/>
              </w:rPr>
            </w:pPr>
            <w:r w:rsidRPr="00846D49">
              <w:rPr>
                <w:rFonts w:ascii="Arial" w:eastAsia="Times New Roman" w:hAnsi="Arial" w:cs="Arial"/>
                <w:sz w:val="20"/>
                <w:szCs w:val="20"/>
              </w:rPr>
              <w:t>Calidad - Pertinencia</w:t>
            </w:r>
          </w:p>
        </w:tc>
      </w:tr>
      <w:tr w:rsidR="00846D49" w:rsidRPr="00846D49" w14:paraId="63BAD657" w14:textId="77777777" w:rsidTr="007502D1">
        <w:trPr>
          <w:trHeight w:val="13"/>
        </w:trPr>
        <w:tc>
          <w:tcPr>
            <w:tcW w:w="2425" w:type="dxa"/>
            <w:gridSpan w:val="2"/>
            <w:tcMar>
              <w:top w:w="10" w:type="dxa"/>
              <w:left w:w="93" w:type="dxa"/>
              <w:bottom w:w="0" w:type="dxa"/>
              <w:right w:w="10" w:type="dxa"/>
            </w:tcMar>
            <w:vAlign w:val="center"/>
          </w:tcPr>
          <w:p w14:paraId="56633F3F" w14:textId="77777777" w:rsidR="00AA6FDB" w:rsidRPr="00846D49" w:rsidRDefault="00AA6FDB" w:rsidP="007502D1">
            <w:pPr>
              <w:tabs>
                <w:tab w:val="left" w:pos="3375"/>
              </w:tabs>
              <w:spacing w:after="0" w:line="240" w:lineRule="auto"/>
              <w:rPr>
                <w:rFonts w:ascii="Arial" w:eastAsia="Times New Roman" w:hAnsi="Arial" w:cs="Arial"/>
                <w:sz w:val="20"/>
                <w:szCs w:val="20"/>
              </w:rPr>
            </w:pPr>
            <w:r w:rsidRPr="00846D49">
              <w:rPr>
                <w:rFonts w:ascii="Arial" w:eastAsia="Times New Roman" w:hAnsi="Arial" w:cs="Arial"/>
                <w:b/>
                <w:sz w:val="20"/>
                <w:szCs w:val="20"/>
              </w:rPr>
              <w:t>Fuente y base de datos:</w:t>
            </w:r>
          </w:p>
        </w:tc>
        <w:tc>
          <w:tcPr>
            <w:tcW w:w="6364" w:type="dxa"/>
            <w:gridSpan w:val="9"/>
            <w:tcMar>
              <w:top w:w="51" w:type="dxa"/>
              <w:left w:w="227" w:type="dxa"/>
              <w:bottom w:w="51" w:type="dxa"/>
              <w:right w:w="227" w:type="dxa"/>
            </w:tcMar>
            <w:vAlign w:val="center"/>
          </w:tcPr>
          <w:p w14:paraId="387E3405" w14:textId="77777777" w:rsidR="00AA6FDB" w:rsidRPr="00846D49" w:rsidRDefault="00AA6FDB" w:rsidP="007502D1">
            <w:pPr>
              <w:tabs>
                <w:tab w:val="left" w:pos="3375"/>
              </w:tabs>
              <w:spacing w:after="0" w:line="240" w:lineRule="auto"/>
              <w:jc w:val="both"/>
              <w:rPr>
                <w:rFonts w:ascii="Arial" w:eastAsia="Times New Roman" w:hAnsi="Arial" w:cs="Arial"/>
                <w:sz w:val="20"/>
                <w:szCs w:val="20"/>
              </w:rPr>
            </w:pPr>
            <w:r w:rsidRPr="00846D49">
              <w:rPr>
                <w:rFonts w:ascii="Arial" w:eastAsia="Times New Roman" w:hAnsi="Arial" w:cs="Arial"/>
                <w:sz w:val="20"/>
                <w:szCs w:val="20"/>
              </w:rPr>
              <w:t>Fuente: Dirección de Estudios e Investigación del Servicio Nacional Forestal y de Fauna Silvestre - SERFOR; Dirección de Recursos Genéticos y Biotecnología del Instituto Nacional de Innovación Agraria – INIA; Dirección de Investigación en Información y Gestión del Conocimiento del Instituto de Investigaciones de la Amazonía Peruana – IIAP.</w:t>
            </w:r>
          </w:p>
          <w:p w14:paraId="5C9E7F61" w14:textId="77777777" w:rsidR="00AA6FDB" w:rsidRPr="00846D49" w:rsidRDefault="00AA6FDB" w:rsidP="007502D1">
            <w:pPr>
              <w:tabs>
                <w:tab w:val="left" w:pos="3375"/>
              </w:tabs>
              <w:spacing w:after="0" w:line="240" w:lineRule="auto"/>
              <w:jc w:val="both"/>
              <w:rPr>
                <w:rFonts w:ascii="Arial" w:eastAsia="Times New Roman" w:hAnsi="Arial" w:cs="Arial"/>
                <w:sz w:val="20"/>
                <w:szCs w:val="20"/>
              </w:rPr>
            </w:pPr>
            <w:r w:rsidRPr="00846D49">
              <w:rPr>
                <w:rFonts w:ascii="Arial" w:eastAsia="Times New Roman" w:hAnsi="Arial" w:cs="Arial"/>
                <w:sz w:val="20"/>
                <w:szCs w:val="20"/>
              </w:rPr>
              <w:t xml:space="preserve">Bases de datos: </w:t>
            </w:r>
          </w:p>
          <w:p w14:paraId="478984BA" w14:textId="77777777" w:rsidR="00AA6FDB" w:rsidRPr="00846D49" w:rsidRDefault="00AA6FDB" w:rsidP="007502D1">
            <w:pPr>
              <w:numPr>
                <w:ilvl w:val="0"/>
                <w:numId w:val="1"/>
              </w:numPr>
              <w:tabs>
                <w:tab w:val="left" w:pos="3375"/>
              </w:tabs>
              <w:spacing w:after="0" w:line="240" w:lineRule="auto"/>
              <w:ind w:left="183" w:hanging="183"/>
              <w:contextualSpacing/>
              <w:jc w:val="both"/>
              <w:rPr>
                <w:rFonts w:ascii="Arial" w:eastAsia="Times New Roman" w:hAnsi="Arial" w:cs="Arial"/>
                <w:sz w:val="20"/>
                <w:szCs w:val="20"/>
              </w:rPr>
            </w:pPr>
            <w:r w:rsidRPr="00846D49">
              <w:rPr>
                <w:rFonts w:ascii="Arial" w:eastAsia="Times New Roman" w:hAnsi="Arial" w:cs="Arial"/>
                <w:sz w:val="20"/>
                <w:szCs w:val="20"/>
              </w:rPr>
              <w:t>Reporte elaborado por el SERFOR.</w:t>
            </w:r>
          </w:p>
          <w:p w14:paraId="01B5C145" w14:textId="77777777" w:rsidR="00AA6FDB" w:rsidRPr="00846D49" w:rsidRDefault="00AA6FDB" w:rsidP="007502D1">
            <w:pPr>
              <w:numPr>
                <w:ilvl w:val="0"/>
                <w:numId w:val="1"/>
              </w:numPr>
              <w:tabs>
                <w:tab w:val="left" w:pos="3375"/>
              </w:tabs>
              <w:spacing w:after="0" w:line="240" w:lineRule="auto"/>
              <w:ind w:left="183" w:hanging="183"/>
              <w:contextualSpacing/>
              <w:jc w:val="both"/>
              <w:rPr>
                <w:rFonts w:ascii="Arial" w:eastAsia="Times New Roman" w:hAnsi="Arial" w:cs="Arial"/>
                <w:sz w:val="20"/>
                <w:szCs w:val="20"/>
              </w:rPr>
            </w:pPr>
            <w:r w:rsidRPr="00846D49">
              <w:rPr>
                <w:rFonts w:ascii="Arial" w:eastAsia="Times New Roman" w:hAnsi="Arial" w:cs="Arial"/>
                <w:sz w:val="20"/>
                <w:szCs w:val="20"/>
              </w:rPr>
              <w:t>Repositorio Institucional del IIAP</w:t>
            </w:r>
          </w:p>
          <w:p w14:paraId="34C4248C" w14:textId="77777777" w:rsidR="00AA6FDB" w:rsidRPr="00846D49" w:rsidRDefault="00AA6FDB" w:rsidP="007502D1">
            <w:pPr>
              <w:numPr>
                <w:ilvl w:val="0"/>
                <w:numId w:val="1"/>
              </w:numPr>
              <w:tabs>
                <w:tab w:val="left" w:pos="3375"/>
              </w:tabs>
              <w:spacing w:after="0" w:line="240" w:lineRule="auto"/>
              <w:ind w:left="183" w:hanging="183"/>
              <w:contextualSpacing/>
              <w:jc w:val="both"/>
              <w:rPr>
                <w:rFonts w:ascii="Arial" w:eastAsia="Times New Roman" w:hAnsi="Arial" w:cs="Arial"/>
                <w:sz w:val="20"/>
                <w:szCs w:val="20"/>
              </w:rPr>
            </w:pPr>
            <w:r w:rsidRPr="00846D49">
              <w:rPr>
                <w:rFonts w:ascii="Arial" w:eastAsia="Times New Roman" w:hAnsi="Arial" w:cs="Arial"/>
                <w:sz w:val="20"/>
                <w:szCs w:val="20"/>
              </w:rPr>
              <w:t>Repositorio Institucional del INIA</w:t>
            </w:r>
          </w:p>
        </w:tc>
      </w:tr>
      <w:tr w:rsidR="00846D49" w:rsidRPr="00846D49" w14:paraId="56EA8829" w14:textId="77777777" w:rsidTr="007502D1">
        <w:trPr>
          <w:trHeight w:val="436"/>
        </w:trPr>
        <w:tc>
          <w:tcPr>
            <w:tcW w:w="2425" w:type="dxa"/>
            <w:gridSpan w:val="2"/>
            <w:tcMar>
              <w:top w:w="10" w:type="dxa"/>
              <w:left w:w="93" w:type="dxa"/>
              <w:bottom w:w="0" w:type="dxa"/>
              <w:right w:w="10" w:type="dxa"/>
            </w:tcMar>
            <w:vAlign w:val="center"/>
          </w:tcPr>
          <w:p w14:paraId="11BDC364" w14:textId="77777777" w:rsidR="00AA6FDB" w:rsidRPr="00846D49" w:rsidRDefault="00AA6FDB" w:rsidP="007502D1">
            <w:pPr>
              <w:tabs>
                <w:tab w:val="left" w:pos="3375"/>
              </w:tabs>
              <w:spacing w:after="0" w:line="240" w:lineRule="auto"/>
              <w:rPr>
                <w:rFonts w:ascii="Arial" w:eastAsia="Times New Roman" w:hAnsi="Arial" w:cs="Arial"/>
                <w:sz w:val="20"/>
                <w:szCs w:val="20"/>
              </w:rPr>
            </w:pPr>
            <w:r w:rsidRPr="00846D49">
              <w:rPr>
                <w:rFonts w:ascii="Arial" w:eastAsia="Times New Roman" w:hAnsi="Arial" w:cs="Arial"/>
                <w:b/>
                <w:sz w:val="20"/>
                <w:szCs w:val="20"/>
              </w:rPr>
              <w:t>Supuestos:</w:t>
            </w:r>
          </w:p>
        </w:tc>
        <w:tc>
          <w:tcPr>
            <w:tcW w:w="6364" w:type="dxa"/>
            <w:gridSpan w:val="9"/>
            <w:tcMar>
              <w:top w:w="51" w:type="dxa"/>
              <w:left w:w="227" w:type="dxa"/>
              <w:bottom w:w="51" w:type="dxa"/>
              <w:right w:w="227" w:type="dxa"/>
            </w:tcMar>
            <w:vAlign w:val="center"/>
          </w:tcPr>
          <w:p w14:paraId="37FD8981" w14:textId="77777777" w:rsidR="00AA6FDB" w:rsidRPr="00846D49" w:rsidRDefault="00AA6FDB" w:rsidP="00AA6FDB">
            <w:pPr>
              <w:pStyle w:val="Prrafodelista"/>
              <w:numPr>
                <w:ilvl w:val="0"/>
                <w:numId w:val="56"/>
              </w:numPr>
              <w:tabs>
                <w:tab w:val="left" w:pos="3375"/>
              </w:tabs>
              <w:spacing w:after="0" w:line="240" w:lineRule="auto"/>
              <w:ind w:left="47" w:hanging="142"/>
              <w:jc w:val="both"/>
              <w:rPr>
                <w:rFonts w:ascii="Arial" w:eastAsia="Times New Roman" w:hAnsi="Arial" w:cs="Arial"/>
                <w:sz w:val="20"/>
                <w:szCs w:val="20"/>
                <w:lang w:eastAsia="es-PE"/>
              </w:rPr>
            </w:pPr>
            <w:r w:rsidRPr="00846D49">
              <w:rPr>
                <w:rFonts w:ascii="Arial" w:eastAsia="Times New Roman" w:hAnsi="Arial" w:cs="Arial"/>
                <w:sz w:val="20"/>
                <w:szCs w:val="20"/>
                <w:lang w:eastAsia="es-PE"/>
              </w:rPr>
              <w:t>Disponibilidad presupuestal para desarrollar los estudios, investigaciones, tecnologías e innovación sobre los recursos forestales y de fauna silvestre.</w:t>
            </w:r>
          </w:p>
          <w:p w14:paraId="1490D9DB" w14:textId="77777777" w:rsidR="00AA6FDB" w:rsidRPr="00846D49" w:rsidRDefault="00AA6FDB" w:rsidP="00AA6FDB">
            <w:pPr>
              <w:pStyle w:val="Prrafodelista"/>
              <w:numPr>
                <w:ilvl w:val="0"/>
                <w:numId w:val="56"/>
              </w:numPr>
              <w:tabs>
                <w:tab w:val="left" w:pos="3375"/>
              </w:tabs>
              <w:spacing w:after="0" w:line="240" w:lineRule="auto"/>
              <w:ind w:left="47" w:hanging="142"/>
              <w:jc w:val="both"/>
              <w:rPr>
                <w:rFonts w:ascii="Arial" w:eastAsia="Times New Roman" w:hAnsi="Arial" w:cs="Arial"/>
                <w:sz w:val="20"/>
                <w:szCs w:val="20"/>
                <w:lang w:eastAsia="es-PE"/>
              </w:rPr>
            </w:pPr>
            <w:r w:rsidRPr="00846D49">
              <w:rPr>
                <w:rFonts w:ascii="Arial" w:eastAsia="Times New Roman" w:hAnsi="Arial" w:cs="Arial"/>
                <w:sz w:val="20"/>
                <w:szCs w:val="20"/>
                <w:lang w:eastAsia="es-PE"/>
              </w:rPr>
              <w:t>Fondos concursables para proyectos de estudios, investigaciones, tecnologías e innovación accesibles al SERFOR, INIA e IIAP.</w:t>
            </w:r>
          </w:p>
          <w:p w14:paraId="14025EAF" w14:textId="77777777" w:rsidR="00AA6FDB" w:rsidRPr="00846D49" w:rsidRDefault="00AA6FDB" w:rsidP="00AA6FDB">
            <w:pPr>
              <w:pStyle w:val="Prrafodelista"/>
              <w:numPr>
                <w:ilvl w:val="0"/>
                <w:numId w:val="56"/>
              </w:numPr>
              <w:tabs>
                <w:tab w:val="left" w:pos="3375"/>
              </w:tabs>
              <w:spacing w:after="0" w:line="240" w:lineRule="auto"/>
              <w:ind w:left="47" w:hanging="142"/>
              <w:jc w:val="both"/>
              <w:rPr>
                <w:rFonts w:ascii="Arial" w:eastAsia="Times New Roman" w:hAnsi="Arial" w:cs="Arial"/>
                <w:sz w:val="20"/>
                <w:szCs w:val="20"/>
                <w:lang w:eastAsia="es-PE"/>
              </w:rPr>
            </w:pPr>
            <w:r w:rsidRPr="00846D49">
              <w:rPr>
                <w:rFonts w:ascii="Arial" w:eastAsia="Times New Roman" w:hAnsi="Arial" w:cs="Arial"/>
                <w:sz w:val="20"/>
                <w:szCs w:val="20"/>
                <w:lang w:eastAsia="es-PE"/>
              </w:rPr>
              <w:t>Instituciones y organizaciones que financian proyectos de estudios, investigaciones, tecnologías e innovación priorizan las necesidades de los usuarios forestales y de fauna silvestre identificadas en las ANIFFS o ARIFFS.</w:t>
            </w:r>
          </w:p>
          <w:p w14:paraId="39F714ED" w14:textId="77777777" w:rsidR="00AA6FDB" w:rsidRPr="00846D49" w:rsidRDefault="00AA6FDB" w:rsidP="00AA6FDB">
            <w:pPr>
              <w:pStyle w:val="Prrafodelista"/>
              <w:numPr>
                <w:ilvl w:val="0"/>
                <w:numId w:val="56"/>
              </w:numPr>
              <w:tabs>
                <w:tab w:val="left" w:pos="3375"/>
              </w:tabs>
              <w:spacing w:after="0" w:line="240" w:lineRule="auto"/>
              <w:ind w:left="47" w:hanging="142"/>
              <w:jc w:val="both"/>
              <w:rPr>
                <w:rFonts w:ascii="Arial" w:eastAsia="Times New Roman" w:hAnsi="Arial" w:cs="Arial"/>
                <w:sz w:val="20"/>
                <w:szCs w:val="20"/>
                <w:lang w:eastAsia="es-PE"/>
              </w:rPr>
            </w:pPr>
            <w:r w:rsidRPr="00846D49">
              <w:rPr>
                <w:rFonts w:ascii="Arial" w:eastAsia="Times New Roman" w:hAnsi="Arial" w:cs="Arial"/>
                <w:sz w:val="20"/>
                <w:szCs w:val="20"/>
                <w:lang w:eastAsia="es-PE"/>
              </w:rPr>
              <w:t>Instituciones publican los resultados de los</w:t>
            </w:r>
            <w:r w:rsidRPr="00846D49">
              <w:t xml:space="preserve"> </w:t>
            </w:r>
            <w:r w:rsidRPr="00846D49">
              <w:rPr>
                <w:rFonts w:ascii="Arial" w:eastAsia="Times New Roman" w:hAnsi="Arial" w:cs="Arial"/>
                <w:sz w:val="20"/>
                <w:szCs w:val="20"/>
                <w:lang w:eastAsia="es-PE"/>
              </w:rPr>
              <w:t>estudios, investigaciones, tecnologías e innovación en materia forestal y de fauna silvestre para el uso práctico de los usuarios.</w:t>
            </w:r>
          </w:p>
        </w:tc>
      </w:tr>
      <w:tr w:rsidR="00846D49" w:rsidRPr="00846D49" w14:paraId="4AEB8C92" w14:textId="77777777" w:rsidTr="007502D1">
        <w:trPr>
          <w:trHeight w:val="556"/>
        </w:trPr>
        <w:tc>
          <w:tcPr>
            <w:tcW w:w="1150" w:type="dxa"/>
            <w:tcMar>
              <w:top w:w="10" w:type="dxa"/>
              <w:left w:w="10" w:type="dxa"/>
              <w:bottom w:w="0" w:type="dxa"/>
              <w:right w:w="10" w:type="dxa"/>
            </w:tcMar>
            <w:vAlign w:val="center"/>
          </w:tcPr>
          <w:p w14:paraId="7E767258" w14:textId="77777777" w:rsidR="00AA6FDB" w:rsidRPr="00846D49" w:rsidRDefault="00AA6FDB" w:rsidP="007502D1">
            <w:pPr>
              <w:tabs>
                <w:tab w:val="left" w:pos="3375"/>
              </w:tabs>
              <w:spacing w:after="0" w:line="240" w:lineRule="auto"/>
              <w:rPr>
                <w:rFonts w:ascii="Arial" w:eastAsia="Times New Roman" w:hAnsi="Arial" w:cs="Arial"/>
                <w:sz w:val="20"/>
                <w:szCs w:val="20"/>
              </w:rPr>
            </w:pPr>
            <w:r w:rsidRPr="00846D49">
              <w:rPr>
                <w:rFonts w:ascii="Arial" w:eastAsia="Times New Roman" w:hAnsi="Arial" w:cs="Arial"/>
                <w:b/>
                <w:sz w:val="20"/>
                <w:szCs w:val="20"/>
              </w:rPr>
              <w:t> </w:t>
            </w:r>
          </w:p>
        </w:tc>
        <w:tc>
          <w:tcPr>
            <w:tcW w:w="1275" w:type="dxa"/>
            <w:tcBorders>
              <w:right w:val="single" w:sz="4" w:space="0" w:color="auto"/>
            </w:tcBorders>
            <w:tcMar>
              <w:top w:w="10" w:type="dxa"/>
              <w:left w:w="10" w:type="dxa"/>
              <w:bottom w:w="0" w:type="dxa"/>
              <w:right w:w="10" w:type="dxa"/>
            </w:tcMar>
            <w:vAlign w:val="center"/>
          </w:tcPr>
          <w:p w14:paraId="210D97ED" w14:textId="77777777" w:rsidR="00AA6FDB" w:rsidRPr="00846D49" w:rsidRDefault="00AA6FDB" w:rsidP="007502D1">
            <w:pPr>
              <w:tabs>
                <w:tab w:val="left" w:pos="3375"/>
              </w:tabs>
              <w:spacing w:after="0" w:line="240" w:lineRule="auto"/>
              <w:jc w:val="center"/>
              <w:rPr>
                <w:rFonts w:ascii="Arial" w:eastAsia="Times New Roman" w:hAnsi="Arial" w:cs="Arial"/>
                <w:sz w:val="20"/>
                <w:szCs w:val="20"/>
              </w:rPr>
            </w:pPr>
            <w:r w:rsidRPr="00846D49">
              <w:rPr>
                <w:rFonts w:ascii="Arial" w:eastAsia="Times New Roman" w:hAnsi="Arial" w:cs="Arial"/>
                <w:b/>
                <w:sz w:val="20"/>
                <w:szCs w:val="20"/>
              </w:rPr>
              <w:t>Línea de base</w:t>
            </w:r>
          </w:p>
        </w:tc>
        <w:tc>
          <w:tcPr>
            <w:tcW w:w="6364" w:type="dxa"/>
            <w:gridSpan w:val="9"/>
            <w:tcBorders>
              <w:left w:val="single" w:sz="4" w:space="0" w:color="auto"/>
            </w:tcBorders>
            <w:vAlign w:val="center"/>
          </w:tcPr>
          <w:p w14:paraId="218A1F9D" w14:textId="77777777" w:rsidR="00AA6FDB" w:rsidRPr="00846D49" w:rsidRDefault="00AA6FDB" w:rsidP="007502D1">
            <w:pPr>
              <w:tabs>
                <w:tab w:val="left" w:pos="3375"/>
              </w:tabs>
              <w:spacing w:after="0" w:line="240" w:lineRule="auto"/>
              <w:jc w:val="center"/>
              <w:rPr>
                <w:rFonts w:ascii="Arial" w:eastAsia="Times New Roman" w:hAnsi="Arial" w:cs="Arial"/>
                <w:sz w:val="20"/>
                <w:szCs w:val="20"/>
              </w:rPr>
            </w:pPr>
            <w:r w:rsidRPr="00846D49">
              <w:rPr>
                <w:rFonts w:ascii="Arial" w:eastAsia="Times New Roman" w:hAnsi="Arial" w:cs="Arial"/>
                <w:b/>
                <w:sz w:val="20"/>
                <w:szCs w:val="20"/>
              </w:rPr>
              <w:t>Logros esperados</w:t>
            </w:r>
          </w:p>
        </w:tc>
      </w:tr>
      <w:tr w:rsidR="00846D49" w:rsidRPr="00846D49" w14:paraId="3F6FDC09" w14:textId="77777777" w:rsidTr="007502D1">
        <w:trPr>
          <w:trHeight w:val="217"/>
        </w:trPr>
        <w:tc>
          <w:tcPr>
            <w:tcW w:w="1150" w:type="dxa"/>
            <w:tcMar>
              <w:top w:w="10" w:type="dxa"/>
              <w:left w:w="10" w:type="dxa"/>
              <w:bottom w:w="0" w:type="dxa"/>
              <w:right w:w="10" w:type="dxa"/>
            </w:tcMar>
            <w:vAlign w:val="center"/>
          </w:tcPr>
          <w:p w14:paraId="497CA244" w14:textId="77777777" w:rsidR="00AA6FDB" w:rsidRPr="00846D49" w:rsidRDefault="00AA6FDB" w:rsidP="007502D1">
            <w:pPr>
              <w:tabs>
                <w:tab w:val="left" w:pos="3375"/>
              </w:tabs>
              <w:spacing w:after="0" w:line="240" w:lineRule="auto"/>
              <w:jc w:val="center"/>
              <w:rPr>
                <w:rFonts w:ascii="Arial" w:eastAsia="Times New Roman" w:hAnsi="Arial" w:cs="Arial"/>
                <w:sz w:val="20"/>
                <w:szCs w:val="20"/>
              </w:rPr>
            </w:pPr>
            <w:r w:rsidRPr="00846D49">
              <w:rPr>
                <w:rFonts w:ascii="Arial" w:eastAsia="Times New Roman" w:hAnsi="Arial" w:cs="Arial"/>
                <w:b/>
                <w:sz w:val="20"/>
                <w:szCs w:val="20"/>
              </w:rPr>
              <w:t>Año</w:t>
            </w:r>
          </w:p>
        </w:tc>
        <w:tc>
          <w:tcPr>
            <w:tcW w:w="1275" w:type="dxa"/>
            <w:tcMar>
              <w:top w:w="10" w:type="dxa"/>
              <w:left w:w="10" w:type="dxa"/>
              <w:bottom w:w="0" w:type="dxa"/>
              <w:right w:w="10" w:type="dxa"/>
            </w:tcMar>
            <w:vAlign w:val="center"/>
          </w:tcPr>
          <w:p w14:paraId="4D69F3C1" w14:textId="77777777" w:rsidR="00AA6FDB" w:rsidRPr="00846D49" w:rsidRDefault="00AA6FDB" w:rsidP="007502D1">
            <w:pPr>
              <w:tabs>
                <w:tab w:val="left" w:pos="3375"/>
              </w:tabs>
              <w:spacing w:after="0" w:line="240" w:lineRule="auto"/>
              <w:jc w:val="center"/>
              <w:rPr>
                <w:rFonts w:ascii="Arial" w:eastAsia="Times New Roman" w:hAnsi="Arial" w:cs="Arial"/>
                <w:b/>
                <w:sz w:val="20"/>
                <w:szCs w:val="20"/>
              </w:rPr>
            </w:pPr>
            <w:r w:rsidRPr="00846D49">
              <w:rPr>
                <w:rFonts w:ascii="Arial" w:eastAsia="Times New Roman" w:hAnsi="Arial" w:cs="Arial"/>
                <w:b/>
                <w:sz w:val="20"/>
                <w:szCs w:val="20"/>
              </w:rPr>
              <w:t>2022</w:t>
            </w:r>
          </w:p>
        </w:tc>
        <w:tc>
          <w:tcPr>
            <w:tcW w:w="836" w:type="dxa"/>
            <w:vAlign w:val="center"/>
          </w:tcPr>
          <w:p w14:paraId="74B8FFE9" w14:textId="77777777" w:rsidR="00AA6FDB" w:rsidRPr="00846D49" w:rsidRDefault="00AA6FDB" w:rsidP="007502D1">
            <w:pPr>
              <w:tabs>
                <w:tab w:val="left" w:pos="3375"/>
              </w:tabs>
              <w:spacing w:after="0" w:line="240" w:lineRule="auto"/>
              <w:jc w:val="center"/>
              <w:rPr>
                <w:rFonts w:ascii="Arial" w:eastAsia="Times New Roman" w:hAnsi="Arial" w:cs="Arial"/>
                <w:b/>
                <w:sz w:val="20"/>
                <w:szCs w:val="20"/>
              </w:rPr>
            </w:pPr>
            <w:r w:rsidRPr="00846D49">
              <w:rPr>
                <w:rFonts w:ascii="Arial" w:eastAsia="Times New Roman" w:hAnsi="Arial" w:cs="Arial"/>
                <w:b/>
                <w:sz w:val="20"/>
                <w:szCs w:val="20"/>
              </w:rPr>
              <w:t>2023</w:t>
            </w:r>
          </w:p>
        </w:tc>
        <w:tc>
          <w:tcPr>
            <w:tcW w:w="850" w:type="dxa"/>
            <w:vAlign w:val="center"/>
          </w:tcPr>
          <w:p w14:paraId="783E94D0" w14:textId="77777777" w:rsidR="00AA6FDB" w:rsidRPr="00846D49" w:rsidRDefault="00AA6FDB" w:rsidP="007502D1">
            <w:pPr>
              <w:tabs>
                <w:tab w:val="left" w:pos="3375"/>
              </w:tabs>
              <w:spacing w:after="0" w:line="240" w:lineRule="auto"/>
              <w:jc w:val="center"/>
              <w:rPr>
                <w:rFonts w:ascii="Arial" w:eastAsia="Times New Roman" w:hAnsi="Arial" w:cs="Arial"/>
                <w:b/>
                <w:sz w:val="20"/>
                <w:szCs w:val="20"/>
              </w:rPr>
            </w:pPr>
            <w:r w:rsidRPr="00846D49">
              <w:rPr>
                <w:rFonts w:ascii="Arial" w:eastAsia="Times New Roman" w:hAnsi="Arial" w:cs="Arial"/>
                <w:b/>
                <w:sz w:val="20"/>
                <w:szCs w:val="20"/>
              </w:rPr>
              <w:t>2024</w:t>
            </w:r>
          </w:p>
        </w:tc>
        <w:tc>
          <w:tcPr>
            <w:tcW w:w="851" w:type="dxa"/>
            <w:vAlign w:val="center"/>
          </w:tcPr>
          <w:p w14:paraId="13DFE37B" w14:textId="77777777" w:rsidR="00AA6FDB" w:rsidRPr="00846D49" w:rsidRDefault="00AA6FDB" w:rsidP="007502D1">
            <w:pPr>
              <w:tabs>
                <w:tab w:val="left" w:pos="3375"/>
              </w:tabs>
              <w:spacing w:after="0" w:line="240" w:lineRule="auto"/>
              <w:jc w:val="center"/>
              <w:rPr>
                <w:rFonts w:ascii="Arial" w:eastAsia="Times New Roman" w:hAnsi="Arial" w:cs="Arial"/>
                <w:b/>
                <w:sz w:val="20"/>
                <w:szCs w:val="20"/>
              </w:rPr>
            </w:pPr>
            <w:r w:rsidRPr="00846D49">
              <w:rPr>
                <w:rFonts w:ascii="Arial" w:eastAsia="Times New Roman" w:hAnsi="Arial" w:cs="Arial"/>
                <w:b/>
                <w:sz w:val="20"/>
                <w:szCs w:val="20"/>
              </w:rPr>
              <w:t>2025</w:t>
            </w:r>
          </w:p>
        </w:tc>
        <w:tc>
          <w:tcPr>
            <w:tcW w:w="850" w:type="dxa"/>
            <w:vAlign w:val="center"/>
          </w:tcPr>
          <w:p w14:paraId="0F26992A" w14:textId="77777777" w:rsidR="00AA6FDB" w:rsidRPr="00846D49" w:rsidRDefault="00AA6FDB" w:rsidP="007502D1">
            <w:pPr>
              <w:tabs>
                <w:tab w:val="left" w:pos="3375"/>
              </w:tabs>
              <w:spacing w:after="0" w:line="240" w:lineRule="auto"/>
              <w:jc w:val="center"/>
              <w:rPr>
                <w:rFonts w:ascii="Arial" w:eastAsia="Times New Roman" w:hAnsi="Arial" w:cs="Arial"/>
                <w:b/>
                <w:sz w:val="20"/>
                <w:szCs w:val="20"/>
              </w:rPr>
            </w:pPr>
            <w:r w:rsidRPr="00846D49">
              <w:rPr>
                <w:rFonts w:ascii="Arial" w:eastAsia="Times New Roman" w:hAnsi="Arial" w:cs="Arial"/>
                <w:b/>
                <w:sz w:val="20"/>
                <w:szCs w:val="20"/>
              </w:rPr>
              <w:t>2026</w:t>
            </w:r>
          </w:p>
        </w:tc>
        <w:tc>
          <w:tcPr>
            <w:tcW w:w="851" w:type="dxa"/>
            <w:vAlign w:val="center"/>
          </w:tcPr>
          <w:p w14:paraId="56CE8B91" w14:textId="77777777" w:rsidR="00AA6FDB" w:rsidRPr="00846D49" w:rsidRDefault="00AA6FDB" w:rsidP="007502D1">
            <w:pPr>
              <w:tabs>
                <w:tab w:val="left" w:pos="3375"/>
              </w:tabs>
              <w:spacing w:after="0" w:line="240" w:lineRule="auto"/>
              <w:jc w:val="center"/>
              <w:rPr>
                <w:rFonts w:ascii="Arial" w:eastAsia="Times New Roman" w:hAnsi="Arial" w:cs="Arial"/>
                <w:b/>
                <w:sz w:val="20"/>
                <w:szCs w:val="20"/>
              </w:rPr>
            </w:pPr>
            <w:r w:rsidRPr="00846D49">
              <w:rPr>
                <w:rFonts w:ascii="Arial" w:eastAsia="Times New Roman" w:hAnsi="Arial" w:cs="Arial"/>
                <w:b/>
                <w:sz w:val="20"/>
                <w:szCs w:val="20"/>
              </w:rPr>
              <w:t>2027</w:t>
            </w:r>
          </w:p>
        </w:tc>
        <w:tc>
          <w:tcPr>
            <w:tcW w:w="850" w:type="dxa"/>
            <w:gridSpan w:val="2"/>
            <w:vAlign w:val="center"/>
          </w:tcPr>
          <w:p w14:paraId="4CCD1311" w14:textId="77777777" w:rsidR="00AA6FDB" w:rsidRPr="00846D49" w:rsidRDefault="00AA6FDB" w:rsidP="007502D1">
            <w:pPr>
              <w:tabs>
                <w:tab w:val="left" w:pos="3375"/>
              </w:tabs>
              <w:spacing w:after="0" w:line="240" w:lineRule="auto"/>
              <w:jc w:val="center"/>
              <w:rPr>
                <w:rFonts w:ascii="Arial" w:eastAsia="Times New Roman" w:hAnsi="Arial" w:cs="Arial"/>
                <w:b/>
                <w:sz w:val="20"/>
                <w:szCs w:val="20"/>
              </w:rPr>
            </w:pPr>
            <w:r w:rsidRPr="00846D49">
              <w:rPr>
                <w:rFonts w:ascii="Arial" w:eastAsia="Times New Roman" w:hAnsi="Arial" w:cs="Arial"/>
                <w:b/>
                <w:sz w:val="20"/>
                <w:szCs w:val="20"/>
              </w:rPr>
              <w:t>2028</w:t>
            </w:r>
          </w:p>
        </w:tc>
        <w:tc>
          <w:tcPr>
            <w:tcW w:w="709" w:type="dxa"/>
            <w:vAlign w:val="center"/>
          </w:tcPr>
          <w:p w14:paraId="72614166" w14:textId="77777777" w:rsidR="00AA6FDB" w:rsidRPr="00846D49" w:rsidRDefault="00AA6FDB" w:rsidP="007502D1">
            <w:pPr>
              <w:tabs>
                <w:tab w:val="left" w:pos="3375"/>
              </w:tabs>
              <w:spacing w:after="0" w:line="240" w:lineRule="auto"/>
              <w:jc w:val="center"/>
              <w:rPr>
                <w:rFonts w:ascii="Arial" w:eastAsia="Times New Roman" w:hAnsi="Arial" w:cs="Arial"/>
                <w:b/>
                <w:sz w:val="20"/>
                <w:szCs w:val="20"/>
              </w:rPr>
            </w:pPr>
            <w:r w:rsidRPr="00846D49">
              <w:rPr>
                <w:rFonts w:ascii="Arial" w:eastAsia="Times New Roman" w:hAnsi="Arial" w:cs="Arial"/>
                <w:b/>
                <w:sz w:val="20"/>
                <w:szCs w:val="20"/>
              </w:rPr>
              <w:t>2029</w:t>
            </w:r>
          </w:p>
        </w:tc>
        <w:tc>
          <w:tcPr>
            <w:tcW w:w="567" w:type="dxa"/>
            <w:tcMar>
              <w:top w:w="10" w:type="dxa"/>
              <w:left w:w="10" w:type="dxa"/>
              <w:bottom w:w="0" w:type="dxa"/>
              <w:right w:w="10" w:type="dxa"/>
            </w:tcMar>
            <w:vAlign w:val="center"/>
          </w:tcPr>
          <w:p w14:paraId="1816D82C" w14:textId="77777777" w:rsidR="00AA6FDB" w:rsidRPr="00846D49" w:rsidRDefault="00AA6FDB" w:rsidP="007502D1">
            <w:pPr>
              <w:tabs>
                <w:tab w:val="left" w:pos="3375"/>
              </w:tabs>
              <w:spacing w:after="0" w:line="240" w:lineRule="auto"/>
              <w:jc w:val="center"/>
              <w:rPr>
                <w:rFonts w:ascii="Arial" w:eastAsia="Times New Roman" w:hAnsi="Arial" w:cs="Arial"/>
                <w:b/>
                <w:sz w:val="20"/>
                <w:szCs w:val="20"/>
              </w:rPr>
            </w:pPr>
            <w:r w:rsidRPr="00846D49">
              <w:rPr>
                <w:rFonts w:ascii="Arial" w:eastAsia="Times New Roman" w:hAnsi="Arial" w:cs="Arial"/>
                <w:b/>
                <w:sz w:val="20"/>
                <w:szCs w:val="20"/>
              </w:rPr>
              <w:t>2030</w:t>
            </w:r>
          </w:p>
        </w:tc>
      </w:tr>
      <w:tr w:rsidR="00846D49" w:rsidRPr="00846D49" w14:paraId="61DAA578" w14:textId="77777777" w:rsidTr="007502D1">
        <w:trPr>
          <w:trHeight w:val="385"/>
        </w:trPr>
        <w:tc>
          <w:tcPr>
            <w:tcW w:w="1150" w:type="dxa"/>
            <w:tcMar>
              <w:top w:w="10" w:type="dxa"/>
              <w:left w:w="10" w:type="dxa"/>
              <w:bottom w:w="0" w:type="dxa"/>
              <w:right w:w="10" w:type="dxa"/>
            </w:tcMar>
            <w:vAlign w:val="center"/>
          </w:tcPr>
          <w:p w14:paraId="41592D1F" w14:textId="77777777" w:rsidR="00AA6FDB" w:rsidRPr="00846D49" w:rsidRDefault="00AA6FDB" w:rsidP="007502D1">
            <w:pPr>
              <w:tabs>
                <w:tab w:val="left" w:pos="3375"/>
              </w:tabs>
              <w:spacing w:after="0" w:line="240" w:lineRule="auto"/>
              <w:jc w:val="center"/>
              <w:rPr>
                <w:rFonts w:ascii="Arial" w:eastAsia="Times New Roman" w:hAnsi="Arial" w:cs="Arial"/>
                <w:b/>
                <w:sz w:val="20"/>
                <w:szCs w:val="20"/>
              </w:rPr>
            </w:pPr>
            <w:r w:rsidRPr="00846D49">
              <w:rPr>
                <w:rFonts w:ascii="Arial" w:eastAsia="Times New Roman" w:hAnsi="Arial" w:cs="Arial"/>
                <w:b/>
                <w:sz w:val="20"/>
                <w:szCs w:val="20"/>
              </w:rPr>
              <w:t>Valor</w:t>
            </w:r>
          </w:p>
        </w:tc>
        <w:tc>
          <w:tcPr>
            <w:tcW w:w="1275" w:type="dxa"/>
            <w:tcMar>
              <w:top w:w="10" w:type="dxa"/>
              <w:left w:w="10" w:type="dxa"/>
              <w:bottom w:w="0" w:type="dxa"/>
              <w:right w:w="10" w:type="dxa"/>
            </w:tcMar>
            <w:vAlign w:val="center"/>
          </w:tcPr>
          <w:p w14:paraId="1524CEAA" w14:textId="77777777" w:rsidR="00AA6FDB" w:rsidRPr="00846D49" w:rsidRDefault="00AA6FDB" w:rsidP="007502D1">
            <w:pPr>
              <w:tabs>
                <w:tab w:val="left" w:pos="3375"/>
              </w:tabs>
              <w:spacing w:after="0" w:line="240" w:lineRule="auto"/>
              <w:jc w:val="center"/>
              <w:rPr>
                <w:rFonts w:ascii="Arial" w:eastAsia="Times New Roman" w:hAnsi="Arial" w:cs="Arial"/>
                <w:sz w:val="20"/>
                <w:szCs w:val="20"/>
              </w:rPr>
            </w:pPr>
            <w:r w:rsidRPr="00846D49">
              <w:rPr>
                <w:rFonts w:ascii="Arial" w:eastAsia="Times New Roman" w:hAnsi="Arial" w:cs="Arial"/>
                <w:sz w:val="20"/>
                <w:szCs w:val="20"/>
              </w:rPr>
              <w:t>45%</w:t>
            </w:r>
          </w:p>
        </w:tc>
        <w:tc>
          <w:tcPr>
            <w:tcW w:w="836" w:type="dxa"/>
            <w:vAlign w:val="center"/>
          </w:tcPr>
          <w:p w14:paraId="4018FF6A" w14:textId="77777777" w:rsidR="00AA6FDB" w:rsidRPr="00846D49" w:rsidRDefault="00AA6FDB" w:rsidP="007502D1">
            <w:pPr>
              <w:tabs>
                <w:tab w:val="left" w:pos="3375"/>
              </w:tabs>
              <w:spacing w:after="0" w:line="240" w:lineRule="auto"/>
              <w:jc w:val="center"/>
              <w:rPr>
                <w:rFonts w:ascii="Arial" w:eastAsia="Times New Roman" w:hAnsi="Arial" w:cs="Arial"/>
                <w:sz w:val="20"/>
                <w:szCs w:val="20"/>
              </w:rPr>
            </w:pPr>
            <w:r w:rsidRPr="00846D49">
              <w:rPr>
                <w:rFonts w:ascii="Arial" w:eastAsia="Times New Roman" w:hAnsi="Arial" w:cs="Arial"/>
                <w:sz w:val="20"/>
                <w:szCs w:val="20"/>
              </w:rPr>
              <w:t>45%</w:t>
            </w:r>
          </w:p>
        </w:tc>
        <w:tc>
          <w:tcPr>
            <w:tcW w:w="850" w:type="dxa"/>
            <w:vAlign w:val="center"/>
          </w:tcPr>
          <w:p w14:paraId="1A0B4D11" w14:textId="77777777" w:rsidR="00AA6FDB" w:rsidRPr="00846D49" w:rsidRDefault="00AA6FDB" w:rsidP="007502D1">
            <w:pPr>
              <w:tabs>
                <w:tab w:val="left" w:pos="3375"/>
              </w:tabs>
              <w:spacing w:after="0" w:line="240" w:lineRule="auto"/>
              <w:jc w:val="center"/>
              <w:rPr>
                <w:rFonts w:ascii="Arial" w:eastAsia="Times New Roman" w:hAnsi="Arial" w:cs="Arial"/>
                <w:sz w:val="20"/>
                <w:szCs w:val="20"/>
              </w:rPr>
            </w:pPr>
            <w:r w:rsidRPr="00846D49">
              <w:rPr>
                <w:rFonts w:ascii="Arial" w:eastAsia="Times New Roman" w:hAnsi="Arial" w:cs="Arial"/>
                <w:sz w:val="20"/>
                <w:szCs w:val="20"/>
              </w:rPr>
              <w:t>45%</w:t>
            </w:r>
          </w:p>
        </w:tc>
        <w:tc>
          <w:tcPr>
            <w:tcW w:w="851" w:type="dxa"/>
            <w:vAlign w:val="center"/>
          </w:tcPr>
          <w:p w14:paraId="3E984A8F" w14:textId="77777777" w:rsidR="00AA6FDB" w:rsidRPr="00846D49" w:rsidRDefault="00AA6FDB" w:rsidP="007502D1">
            <w:pPr>
              <w:tabs>
                <w:tab w:val="left" w:pos="3375"/>
              </w:tabs>
              <w:spacing w:after="0" w:line="240" w:lineRule="auto"/>
              <w:jc w:val="center"/>
              <w:rPr>
                <w:rFonts w:ascii="Arial" w:eastAsia="Times New Roman" w:hAnsi="Arial" w:cs="Arial"/>
                <w:sz w:val="20"/>
                <w:szCs w:val="20"/>
              </w:rPr>
            </w:pPr>
            <w:r w:rsidRPr="00846D49">
              <w:rPr>
                <w:rFonts w:ascii="Arial" w:eastAsia="Times New Roman" w:hAnsi="Arial" w:cs="Arial"/>
                <w:sz w:val="20"/>
                <w:szCs w:val="20"/>
              </w:rPr>
              <w:t>50%</w:t>
            </w:r>
          </w:p>
        </w:tc>
        <w:tc>
          <w:tcPr>
            <w:tcW w:w="850" w:type="dxa"/>
            <w:vAlign w:val="center"/>
          </w:tcPr>
          <w:p w14:paraId="7371316E" w14:textId="77777777" w:rsidR="00AA6FDB" w:rsidRPr="00846D49" w:rsidRDefault="00AA6FDB" w:rsidP="007502D1">
            <w:pPr>
              <w:tabs>
                <w:tab w:val="left" w:pos="3375"/>
              </w:tabs>
              <w:spacing w:after="0" w:line="240" w:lineRule="auto"/>
              <w:jc w:val="center"/>
              <w:rPr>
                <w:rFonts w:ascii="Arial" w:eastAsia="Times New Roman" w:hAnsi="Arial" w:cs="Arial"/>
                <w:sz w:val="20"/>
                <w:szCs w:val="20"/>
              </w:rPr>
            </w:pPr>
            <w:r w:rsidRPr="00846D49">
              <w:rPr>
                <w:rFonts w:ascii="Arial" w:eastAsia="Times New Roman" w:hAnsi="Arial" w:cs="Arial"/>
                <w:sz w:val="20"/>
                <w:szCs w:val="20"/>
              </w:rPr>
              <w:t>50%</w:t>
            </w:r>
          </w:p>
        </w:tc>
        <w:tc>
          <w:tcPr>
            <w:tcW w:w="851" w:type="dxa"/>
            <w:vAlign w:val="center"/>
          </w:tcPr>
          <w:p w14:paraId="58822EDD" w14:textId="77777777" w:rsidR="00AA6FDB" w:rsidRPr="00846D49" w:rsidRDefault="00AA6FDB" w:rsidP="007502D1">
            <w:pPr>
              <w:tabs>
                <w:tab w:val="left" w:pos="3375"/>
              </w:tabs>
              <w:spacing w:after="0" w:line="240" w:lineRule="auto"/>
              <w:jc w:val="center"/>
              <w:rPr>
                <w:rFonts w:ascii="Arial" w:eastAsia="Times New Roman" w:hAnsi="Arial" w:cs="Arial"/>
                <w:sz w:val="20"/>
                <w:szCs w:val="20"/>
              </w:rPr>
            </w:pPr>
            <w:r w:rsidRPr="00846D49">
              <w:rPr>
                <w:rFonts w:ascii="Arial" w:eastAsia="Times New Roman" w:hAnsi="Arial" w:cs="Arial"/>
                <w:sz w:val="20"/>
                <w:szCs w:val="20"/>
              </w:rPr>
              <w:t>55%</w:t>
            </w:r>
          </w:p>
        </w:tc>
        <w:tc>
          <w:tcPr>
            <w:tcW w:w="850" w:type="dxa"/>
            <w:gridSpan w:val="2"/>
            <w:vAlign w:val="center"/>
          </w:tcPr>
          <w:p w14:paraId="154CAF53" w14:textId="77777777" w:rsidR="00AA6FDB" w:rsidRPr="00846D49" w:rsidRDefault="00AA6FDB" w:rsidP="007502D1">
            <w:pPr>
              <w:tabs>
                <w:tab w:val="left" w:pos="3375"/>
              </w:tabs>
              <w:spacing w:after="0" w:line="240" w:lineRule="auto"/>
              <w:jc w:val="center"/>
              <w:rPr>
                <w:rFonts w:ascii="Arial" w:eastAsia="Times New Roman" w:hAnsi="Arial" w:cs="Arial"/>
                <w:sz w:val="20"/>
                <w:szCs w:val="20"/>
              </w:rPr>
            </w:pPr>
            <w:r w:rsidRPr="00846D49">
              <w:rPr>
                <w:rFonts w:ascii="Arial" w:eastAsia="Times New Roman" w:hAnsi="Arial" w:cs="Arial"/>
                <w:sz w:val="20"/>
                <w:szCs w:val="20"/>
              </w:rPr>
              <w:t>55%</w:t>
            </w:r>
          </w:p>
        </w:tc>
        <w:tc>
          <w:tcPr>
            <w:tcW w:w="709" w:type="dxa"/>
            <w:vAlign w:val="center"/>
          </w:tcPr>
          <w:p w14:paraId="39EED13A" w14:textId="77777777" w:rsidR="00AA6FDB" w:rsidRPr="00846D49" w:rsidRDefault="00AA6FDB" w:rsidP="007502D1">
            <w:pPr>
              <w:tabs>
                <w:tab w:val="left" w:pos="3375"/>
              </w:tabs>
              <w:spacing w:after="0" w:line="240" w:lineRule="auto"/>
              <w:jc w:val="center"/>
              <w:rPr>
                <w:rFonts w:ascii="Arial" w:eastAsia="Times New Roman" w:hAnsi="Arial" w:cs="Arial"/>
                <w:sz w:val="20"/>
                <w:szCs w:val="20"/>
              </w:rPr>
            </w:pPr>
            <w:r w:rsidRPr="00846D49">
              <w:rPr>
                <w:rFonts w:ascii="Arial" w:eastAsia="Times New Roman" w:hAnsi="Arial" w:cs="Arial"/>
                <w:sz w:val="20"/>
                <w:szCs w:val="20"/>
              </w:rPr>
              <w:t>60%</w:t>
            </w:r>
          </w:p>
        </w:tc>
        <w:tc>
          <w:tcPr>
            <w:tcW w:w="567" w:type="dxa"/>
            <w:tcMar>
              <w:top w:w="10" w:type="dxa"/>
              <w:left w:w="10" w:type="dxa"/>
              <w:bottom w:w="0" w:type="dxa"/>
              <w:right w:w="10" w:type="dxa"/>
            </w:tcMar>
            <w:vAlign w:val="center"/>
          </w:tcPr>
          <w:p w14:paraId="19DD8241" w14:textId="77777777" w:rsidR="00AA6FDB" w:rsidRPr="00846D49" w:rsidRDefault="00AA6FDB" w:rsidP="007502D1">
            <w:pPr>
              <w:tabs>
                <w:tab w:val="left" w:pos="3375"/>
              </w:tabs>
              <w:spacing w:after="0" w:line="240" w:lineRule="auto"/>
              <w:jc w:val="center"/>
              <w:rPr>
                <w:rFonts w:ascii="Arial" w:eastAsia="Times New Roman" w:hAnsi="Arial" w:cs="Arial"/>
                <w:sz w:val="20"/>
                <w:szCs w:val="20"/>
              </w:rPr>
            </w:pPr>
            <w:r w:rsidRPr="00846D49">
              <w:rPr>
                <w:rFonts w:ascii="Arial" w:eastAsia="Times New Roman" w:hAnsi="Arial" w:cs="Arial"/>
                <w:sz w:val="20"/>
                <w:szCs w:val="20"/>
              </w:rPr>
              <w:t>60%</w:t>
            </w:r>
          </w:p>
        </w:tc>
      </w:tr>
    </w:tbl>
    <w:p w14:paraId="1C0ACCBB" w14:textId="77777777" w:rsidR="00AA6FDB" w:rsidRPr="00846D49" w:rsidRDefault="00AA6FDB" w:rsidP="00AA6FDB">
      <w:pPr>
        <w:rPr>
          <w:rFonts w:eastAsia="Times New Roman"/>
        </w:rPr>
      </w:pPr>
    </w:p>
    <w:p w14:paraId="655CD721" w14:textId="77777777" w:rsidR="00AA6FDB" w:rsidRPr="00846D49" w:rsidRDefault="00AA6FDB" w:rsidP="00AA6FDB"/>
    <w:tbl>
      <w:tblPr>
        <w:tblW w:w="8789"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
        <w:gridCol w:w="851"/>
        <w:gridCol w:w="726"/>
        <w:gridCol w:w="124"/>
        <w:gridCol w:w="992"/>
        <w:gridCol w:w="567"/>
        <w:gridCol w:w="426"/>
        <w:gridCol w:w="850"/>
        <w:gridCol w:w="992"/>
        <w:gridCol w:w="851"/>
        <w:gridCol w:w="24"/>
        <w:gridCol w:w="826"/>
        <w:gridCol w:w="709"/>
      </w:tblGrid>
      <w:tr w:rsidR="00846D49" w:rsidRPr="00846D49" w14:paraId="32F15245" w14:textId="77777777" w:rsidTr="002F5D4B">
        <w:trPr>
          <w:trHeight w:val="251"/>
        </w:trPr>
        <w:tc>
          <w:tcPr>
            <w:tcW w:w="8789" w:type="dxa"/>
            <w:gridSpan w:val="13"/>
            <w:shd w:val="clear" w:color="auto" w:fill="D9D9D9"/>
            <w:tcMar>
              <w:top w:w="10" w:type="dxa"/>
              <w:left w:w="10" w:type="dxa"/>
              <w:bottom w:w="0" w:type="dxa"/>
              <w:right w:w="10" w:type="dxa"/>
            </w:tcMar>
            <w:vAlign w:val="center"/>
          </w:tcPr>
          <w:p w14:paraId="02CDF9B5" w14:textId="6EE34CDA" w:rsidR="00A90E9C" w:rsidRPr="00846D49" w:rsidRDefault="00A90E9C" w:rsidP="0072651A">
            <w:pPr>
              <w:tabs>
                <w:tab w:val="left" w:pos="3375"/>
              </w:tabs>
              <w:jc w:val="center"/>
              <w:rPr>
                <w:rFonts w:ascii="Arial" w:hAnsi="Arial" w:cs="Arial"/>
                <w:sz w:val="20"/>
                <w:szCs w:val="20"/>
              </w:rPr>
            </w:pPr>
            <w:r w:rsidRPr="00846D49">
              <w:rPr>
                <w:rFonts w:ascii="Arial" w:hAnsi="Arial" w:cs="Arial"/>
                <w:sz w:val="20"/>
                <w:szCs w:val="20"/>
              </w:rPr>
              <w:br w:type="page"/>
            </w:r>
            <w:r w:rsidRPr="00846D49">
              <w:rPr>
                <w:rFonts w:ascii="Arial" w:hAnsi="Arial" w:cs="Arial"/>
                <w:b/>
                <w:sz w:val="20"/>
                <w:szCs w:val="20"/>
              </w:rPr>
              <w:t>FICHA TÉCNICA DE INDICADOR DE SERVICIO 2.4.</w:t>
            </w:r>
            <w:r w:rsidR="00713315" w:rsidRPr="00846D49">
              <w:rPr>
                <w:rFonts w:ascii="Arial" w:hAnsi="Arial" w:cs="Arial"/>
                <w:b/>
                <w:sz w:val="20"/>
                <w:szCs w:val="20"/>
              </w:rPr>
              <w:t>5</w:t>
            </w:r>
          </w:p>
        </w:tc>
      </w:tr>
      <w:tr w:rsidR="00846D49" w:rsidRPr="00846D49" w14:paraId="5F57305E" w14:textId="77777777" w:rsidTr="002F5D4B">
        <w:trPr>
          <w:trHeight w:val="409"/>
        </w:trPr>
        <w:tc>
          <w:tcPr>
            <w:tcW w:w="2428" w:type="dxa"/>
            <w:gridSpan w:val="3"/>
            <w:shd w:val="clear" w:color="auto" w:fill="FFFFFF"/>
            <w:tcMar>
              <w:top w:w="10" w:type="dxa"/>
              <w:left w:w="93" w:type="dxa"/>
              <w:bottom w:w="0" w:type="dxa"/>
              <w:right w:w="10" w:type="dxa"/>
            </w:tcMar>
            <w:vAlign w:val="center"/>
          </w:tcPr>
          <w:p w14:paraId="6EEDFFC7" w14:textId="77777777" w:rsidR="00A90E9C" w:rsidRPr="00846D49" w:rsidRDefault="00A90E9C" w:rsidP="0072651A">
            <w:pPr>
              <w:tabs>
                <w:tab w:val="left" w:pos="3375"/>
              </w:tabs>
              <w:rPr>
                <w:rFonts w:ascii="Arial" w:hAnsi="Arial" w:cs="Arial"/>
                <w:sz w:val="20"/>
                <w:szCs w:val="20"/>
              </w:rPr>
            </w:pPr>
            <w:r w:rsidRPr="00846D49">
              <w:rPr>
                <w:rFonts w:ascii="Arial" w:hAnsi="Arial" w:cs="Arial"/>
                <w:b/>
                <w:sz w:val="20"/>
                <w:szCs w:val="20"/>
              </w:rPr>
              <w:t>Objetivo prioritario:</w:t>
            </w:r>
          </w:p>
        </w:tc>
        <w:tc>
          <w:tcPr>
            <w:tcW w:w="6361" w:type="dxa"/>
            <w:gridSpan w:val="10"/>
            <w:shd w:val="clear" w:color="auto" w:fill="FFFFFF"/>
            <w:tcMar>
              <w:top w:w="51" w:type="dxa"/>
              <w:left w:w="227" w:type="dxa"/>
              <w:bottom w:w="51" w:type="dxa"/>
              <w:right w:w="227" w:type="dxa"/>
            </w:tcMar>
            <w:vAlign w:val="center"/>
          </w:tcPr>
          <w:p w14:paraId="3B7A568D" w14:textId="77777777" w:rsidR="00A90E9C" w:rsidRPr="00846D49" w:rsidRDefault="00A90E9C" w:rsidP="0072651A">
            <w:pPr>
              <w:tabs>
                <w:tab w:val="left" w:pos="3375"/>
              </w:tabs>
              <w:jc w:val="both"/>
              <w:rPr>
                <w:rFonts w:ascii="Arial" w:hAnsi="Arial" w:cs="Arial"/>
                <w:sz w:val="20"/>
                <w:szCs w:val="20"/>
              </w:rPr>
            </w:pPr>
            <w:r w:rsidRPr="00846D49">
              <w:rPr>
                <w:rFonts w:ascii="Arial" w:eastAsia="Arial Narrow" w:hAnsi="Arial" w:cs="Arial"/>
                <w:sz w:val="20"/>
                <w:szCs w:val="20"/>
              </w:rPr>
              <w:t>OP2 Incrementar la productividad de los ecosistemas forestales, otros ecosistemas de vegetación silvestre y de la fauna silvestre.</w:t>
            </w:r>
          </w:p>
        </w:tc>
      </w:tr>
      <w:tr w:rsidR="00846D49" w:rsidRPr="00846D49" w14:paraId="21118165" w14:textId="77777777" w:rsidTr="002F5D4B">
        <w:trPr>
          <w:trHeight w:val="436"/>
        </w:trPr>
        <w:tc>
          <w:tcPr>
            <w:tcW w:w="2428" w:type="dxa"/>
            <w:gridSpan w:val="3"/>
            <w:shd w:val="clear" w:color="auto" w:fill="auto"/>
            <w:tcMar>
              <w:top w:w="10" w:type="dxa"/>
              <w:left w:w="93" w:type="dxa"/>
              <w:bottom w:w="0" w:type="dxa"/>
              <w:right w:w="10" w:type="dxa"/>
            </w:tcMar>
            <w:vAlign w:val="center"/>
          </w:tcPr>
          <w:p w14:paraId="2EE77B7D" w14:textId="77777777" w:rsidR="00A90E9C" w:rsidRPr="00846D49" w:rsidRDefault="00A90E9C" w:rsidP="0072651A">
            <w:pPr>
              <w:tabs>
                <w:tab w:val="left" w:pos="3375"/>
              </w:tabs>
              <w:rPr>
                <w:rFonts w:ascii="Arial" w:hAnsi="Arial" w:cs="Arial"/>
                <w:sz w:val="20"/>
                <w:szCs w:val="20"/>
              </w:rPr>
            </w:pPr>
            <w:r w:rsidRPr="00846D49">
              <w:rPr>
                <w:rFonts w:ascii="Arial" w:hAnsi="Arial" w:cs="Arial"/>
                <w:b/>
                <w:sz w:val="20"/>
                <w:szCs w:val="20"/>
              </w:rPr>
              <w:t>Lineamiento de la política:</w:t>
            </w:r>
          </w:p>
        </w:tc>
        <w:tc>
          <w:tcPr>
            <w:tcW w:w="6361" w:type="dxa"/>
            <w:gridSpan w:val="10"/>
            <w:shd w:val="clear" w:color="auto" w:fill="auto"/>
            <w:tcMar>
              <w:top w:w="51" w:type="dxa"/>
              <w:left w:w="227" w:type="dxa"/>
              <w:bottom w:w="51" w:type="dxa"/>
              <w:right w:w="227" w:type="dxa"/>
            </w:tcMar>
            <w:vAlign w:val="center"/>
          </w:tcPr>
          <w:p w14:paraId="01792F20" w14:textId="77777777" w:rsidR="00A90E9C" w:rsidRPr="00846D49" w:rsidRDefault="00A90E9C" w:rsidP="0072651A">
            <w:pPr>
              <w:tabs>
                <w:tab w:val="left" w:pos="3375"/>
              </w:tabs>
              <w:jc w:val="both"/>
              <w:rPr>
                <w:rFonts w:ascii="Arial" w:hAnsi="Arial" w:cs="Arial"/>
                <w:sz w:val="20"/>
                <w:szCs w:val="20"/>
              </w:rPr>
            </w:pPr>
            <w:r w:rsidRPr="00846D49">
              <w:rPr>
                <w:rFonts w:ascii="Arial" w:eastAsia="Arial Narrow" w:hAnsi="Arial" w:cs="Arial"/>
                <w:sz w:val="20"/>
                <w:szCs w:val="20"/>
              </w:rPr>
              <w:t>L2.4 Incrementar la generación de investigaciones e innovación, así como el desarrollo y transferencia de tecnologías en materia forestal y de fauna silvestre, y sus microorganismos asociados, incluyendo sus recursos genéticos.</w:t>
            </w:r>
          </w:p>
        </w:tc>
      </w:tr>
      <w:tr w:rsidR="00846D49" w:rsidRPr="00846D49" w14:paraId="7B56C500" w14:textId="77777777" w:rsidTr="002F5D4B">
        <w:trPr>
          <w:trHeight w:val="404"/>
        </w:trPr>
        <w:tc>
          <w:tcPr>
            <w:tcW w:w="2428" w:type="dxa"/>
            <w:gridSpan w:val="3"/>
            <w:shd w:val="clear" w:color="auto" w:fill="auto"/>
            <w:tcMar>
              <w:top w:w="10" w:type="dxa"/>
              <w:left w:w="93" w:type="dxa"/>
              <w:bottom w:w="0" w:type="dxa"/>
              <w:right w:w="10" w:type="dxa"/>
            </w:tcMar>
            <w:vAlign w:val="center"/>
          </w:tcPr>
          <w:p w14:paraId="379DBDF5" w14:textId="77777777" w:rsidR="00A90E9C" w:rsidRPr="00846D49" w:rsidRDefault="00A90E9C" w:rsidP="0072651A">
            <w:pPr>
              <w:tabs>
                <w:tab w:val="left" w:pos="3375"/>
              </w:tabs>
              <w:rPr>
                <w:rFonts w:ascii="Arial" w:hAnsi="Arial" w:cs="Arial"/>
                <w:sz w:val="20"/>
                <w:szCs w:val="20"/>
              </w:rPr>
            </w:pPr>
            <w:r w:rsidRPr="00846D49">
              <w:rPr>
                <w:rFonts w:ascii="Arial" w:hAnsi="Arial" w:cs="Arial"/>
                <w:b/>
                <w:sz w:val="20"/>
                <w:szCs w:val="20"/>
              </w:rPr>
              <w:t>Nombre del servicio:</w:t>
            </w:r>
          </w:p>
        </w:tc>
        <w:tc>
          <w:tcPr>
            <w:tcW w:w="6361" w:type="dxa"/>
            <w:gridSpan w:val="10"/>
            <w:shd w:val="clear" w:color="auto" w:fill="auto"/>
            <w:tcMar>
              <w:top w:w="51" w:type="dxa"/>
              <w:left w:w="227" w:type="dxa"/>
              <w:bottom w:w="51" w:type="dxa"/>
              <w:right w:w="227" w:type="dxa"/>
            </w:tcMar>
            <w:vAlign w:val="center"/>
          </w:tcPr>
          <w:p w14:paraId="398D432C" w14:textId="6F96E6AC" w:rsidR="00A90E9C" w:rsidRPr="00846D49" w:rsidRDefault="00A90E9C" w:rsidP="0072651A">
            <w:pPr>
              <w:tabs>
                <w:tab w:val="left" w:pos="3375"/>
              </w:tabs>
              <w:jc w:val="both"/>
              <w:rPr>
                <w:rFonts w:ascii="Arial" w:hAnsi="Arial" w:cs="Arial"/>
                <w:strike/>
                <w:sz w:val="20"/>
                <w:szCs w:val="20"/>
              </w:rPr>
            </w:pPr>
            <w:r w:rsidRPr="00846D49">
              <w:rPr>
                <w:rFonts w:ascii="Arial" w:eastAsia="Arial Narrow" w:hAnsi="Arial" w:cs="Arial"/>
                <w:sz w:val="20"/>
                <w:szCs w:val="20"/>
              </w:rPr>
              <w:t>S2.4.</w:t>
            </w:r>
            <w:r w:rsidR="00713315" w:rsidRPr="00846D49">
              <w:rPr>
                <w:rFonts w:ascii="Arial" w:eastAsia="Arial Narrow" w:hAnsi="Arial" w:cs="Arial"/>
                <w:sz w:val="20"/>
                <w:szCs w:val="20"/>
              </w:rPr>
              <w:t>5</w:t>
            </w:r>
            <w:r w:rsidRPr="00846D49">
              <w:rPr>
                <w:rFonts w:ascii="Arial" w:eastAsia="Arial Narrow" w:hAnsi="Arial" w:cs="Arial"/>
                <w:sz w:val="20"/>
                <w:szCs w:val="20"/>
              </w:rPr>
              <w:t xml:space="preserve"> </w:t>
            </w:r>
            <w:r w:rsidR="00BB7A97" w:rsidRPr="00846D49">
              <w:rPr>
                <w:rFonts w:ascii="Arial" w:eastAsia="Arial Narrow" w:hAnsi="Arial" w:cs="Arial"/>
                <w:bCs/>
                <w:sz w:val="20"/>
                <w:szCs w:val="20"/>
              </w:rPr>
              <w:t>Otorgamiento de derechos relacionados con investigación científica y acceso a los recursos genéticos y sus derivados en materia forestal y de fauna silvestre de forma oportuna a usuarios forestales y de fauna silvestre</w:t>
            </w:r>
            <w:r w:rsidRPr="00846D49">
              <w:rPr>
                <w:rFonts w:ascii="Arial" w:eastAsia="Arial Narrow" w:hAnsi="Arial" w:cs="Arial"/>
                <w:bCs/>
                <w:sz w:val="20"/>
                <w:szCs w:val="20"/>
              </w:rPr>
              <w:t>.</w:t>
            </w:r>
          </w:p>
        </w:tc>
      </w:tr>
      <w:tr w:rsidR="00846D49" w:rsidRPr="00846D49" w14:paraId="4D7BE540" w14:textId="77777777" w:rsidTr="002F5D4B">
        <w:trPr>
          <w:trHeight w:val="577"/>
        </w:trPr>
        <w:tc>
          <w:tcPr>
            <w:tcW w:w="2428" w:type="dxa"/>
            <w:gridSpan w:val="3"/>
            <w:shd w:val="clear" w:color="auto" w:fill="auto"/>
            <w:tcMar>
              <w:top w:w="10" w:type="dxa"/>
              <w:left w:w="93" w:type="dxa"/>
              <w:bottom w:w="0" w:type="dxa"/>
              <w:right w:w="10" w:type="dxa"/>
            </w:tcMar>
            <w:vAlign w:val="center"/>
          </w:tcPr>
          <w:p w14:paraId="4AD07EEB" w14:textId="77777777" w:rsidR="00A90E9C" w:rsidRPr="00846D49" w:rsidRDefault="00A90E9C" w:rsidP="0072651A">
            <w:pPr>
              <w:tabs>
                <w:tab w:val="left" w:pos="3375"/>
              </w:tabs>
              <w:rPr>
                <w:rFonts w:ascii="Arial" w:hAnsi="Arial" w:cs="Arial"/>
                <w:sz w:val="20"/>
                <w:szCs w:val="20"/>
              </w:rPr>
            </w:pPr>
            <w:r w:rsidRPr="00846D49">
              <w:rPr>
                <w:rFonts w:ascii="Arial" w:hAnsi="Arial" w:cs="Arial"/>
                <w:b/>
                <w:sz w:val="20"/>
                <w:szCs w:val="20"/>
              </w:rPr>
              <w:t>Nombre del indicador:</w:t>
            </w:r>
          </w:p>
        </w:tc>
        <w:tc>
          <w:tcPr>
            <w:tcW w:w="6361" w:type="dxa"/>
            <w:gridSpan w:val="10"/>
            <w:shd w:val="clear" w:color="auto" w:fill="auto"/>
            <w:tcMar>
              <w:top w:w="51" w:type="dxa"/>
              <w:left w:w="227" w:type="dxa"/>
              <w:bottom w:w="51" w:type="dxa"/>
              <w:right w:w="227" w:type="dxa"/>
            </w:tcMar>
            <w:vAlign w:val="center"/>
          </w:tcPr>
          <w:p w14:paraId="3BA1E932" w14:textId="513C0B7D" w:rsidR="00A90E9C" w:rsidRPr="00846D49" w:rsidRDefault="00BB7A97" w:rsidP="0072651A">
            <w:pPr>
              <w:pBdr>
                <w:top w:val="nil"/>
                <w:left w:val="nil"/>
                <w:bottom w:val="nil"/>
                <w:right w:val="nil"/>
                <w:between w:val="nil"/>
              </w:pBdr>
              <w:spacing w:after="0" w:line="240" w:lineRule="auto"/>
              <w:jc w:val="both"/>
              <w:rPr>
                <w:rFonts w:ascii="Arial" w:hAnsi="Arial" w:cs="Arial"/>
                <w:strike/>
                <w:sz w:val="20"/>
                <w:szCs w:val="20"/>
              </w:rPr>
            </w:pPr>
            <w:r w:rsidRPr="00846D49">
              <w:rPr>
                <w:rFonts w:ascii="Arial" w:eastAsia="Arial Narrow" w:hAnsi="Arial" w:cs="Arial"/>
                <w:sz w:val="20"/>
                <w:szCs w:val="20"/>
              </w:rPr>
              <w:t>Porcentaje de solicitudes sobre derechos relacionados con investigación científica y acceso a los recursos genéticos y sus derivados en materia forestal y de fauna silvestre atendidas oportunamente</w:t>
            </w:r>
            <w:r w:rsidR="00A90E9C" w:rsidRPr="00846D49">
              <w:rPr>
                <w:rFonts w:ascii="Arial" w:eastAsia="Arial Narrow" w:hAnsi="Arial" w:cs="Arial"/>
                <w:sz w:val="20"/>
                <w:szCs w:val="20"/>
              </w:rPr>
              <w:t>.</w:t>
            </w:r>
            <w:r w:rsidR="00A90E9C" w:rsidRPr="00846D49">
              <w:rPr>
                <w:rFonts w:ascii="Arial" w:eastAsia="Arial Narrow" w:hAnsi="Arial" w:cs="Arial"/>
                <w:bCs/>
                <w:strike/>
                <w:sz w:val="20"/>
                <w:szCs w:val="20"/>
              </w:rPr>
              <w:t xml:space="preserve"> </w:t>
            </w:r>
          </w:p>
        </w:tc>
      </w:tr>
      <w:tr w:rsidR="00846D49" w:rsidRPr="00846D49" w14:paraId="3595A458" w14:textId="77777777" w:rsidTr="002F5D4B">
        <w:trPr>
          <w:trHeight w:val="577"/>
        </w:trPr>
        <w:tc>
          <w:tcPr>
            <w:tcW w:w="2428" w:type="dxa"/>
            <w:gridSpan w:val="3"/>
            <w:shd w:val="clear" w:color="auto" w:fill="auto"/>
            <w:tcMar>
              <w:top w:w="10" w:type="dxa"/>
              <w:left w:w="93" w:type="dxa"/>
              <w:bottom w:w="0" w:type="dxa"/>
              <w:right w:w="10" w:type="dxa"/>
            </w:tcMar>
            <w:vAlign w:val="center"/>
          </w:tcPr>
          <w:p w14:paraId="2516AA09" w14:textId="77777777" w:rsidR="00A90E9C" w:rsidRPr="00846D49" w:rsidRDefault="00A90E9C" w:rsidP="0072651A">
            <w:pPr>
              <w:tabs>
                <w:tab w:val="left" w:pos="3375"/>
              </w:tabs>
              <w:rPr>
                <w:rFonts w:ascii="Arial" w:hAnsi="Arial" w:cs="Arial"/>
                <w:sz w:val="20"/>
                <w:szCs w:val="20"/>
              </w:rPr>
            </w:pPr>
            <w:r w:rsidRPr="00846D49">
              <w:rPr>
                <w:rFonts w:ascii="Arial" w:hAnsi="Arial" w:cs="Arial"/>
                <w:b/>
                <w:sz w:val="20"/>
                <w:szCs w:val="20"/>
              </w:rPr>
              <w:lastRenderedPageBreak/>
              <w:t>Justificación:</w:t>
            </w:r>
          </w:p>
        </w:tc>
        <w:tc>
          <w:tcPr>
            <w:tcW w:w="6361" w:type="dxa"/>
            <w:gridSpan w:val="10"/>
            <w:shd w:val="clear" w:color="auto" w:fill="auto"/>
            <w:tcMar>
              <w:top w:w="51" w:type="dxa"/>
              <w:left w:w="227" w:type="dxa"/>
              <w:bottom w:w="51" w:type="dxa"/>
              <w:right w:w="227" w:type="dxa"/>
            </w:tcMar>
            <w:vAlign w:val="center"/>
          </w:tcPr>
          <w:p w14:paraId="7185D051" w14:textId="77777777" w:rsidR="00A90E9C" w:rsidRPr="00846D49" w:rsidRDefault="00A90E9C" w:rsidP="0072651A">
            <w:pPr>
              <w:jc w:val="both"/>
              <w:rPr>
                <w:rFonts w:ascii="Arial" w:eastAsia="Arial Narrow" w:hAnsi="Arial" w:cs="Arial"/>
                <w:strike/>
                <w:sz w:val="20"/>
                <w:szCs w:val="20"/>
              </w:rPr>
            </w:pPr>
            <w:r w:rsidRPr="00846D49">
              <w:rPr>
                <w:rFonts w:ascii="Arial" w:eastAsia="Arial Narrow" w:hAnsi="Arial" w:cs="Arial"/>
                <w:bCs/>
                <w:sz w:val="20"/>
                <w:szCs w:val="20"/>
              </w:rPr>
              <w:t>El indicador cuantifica el porcentaje de solicitudes presentados por los usuarios forestales y de fauna silvestre que son atendidas de forma oportuna, es decir, dentro del plazo establecido.</w:t>
            </w:r>
          </w:p>
        </w:tc>
      </w:tr>
      <w:tr w:rsidR="00846D49" w:rsidRPr="00846D49" w14:paraId="3D990645" w14:textId="77777777" w:rsidTr="002F5D4B">
        <w:trPr>
          <w:trHeight w:val="352"/>
        </w:trPr>
        <w:tc>
          <w:tcPr>
            <w:tcW w:w="2428" w:type="dxa"/>
            <w:gridSpan w:val="3"/>
            <w:shd w:val="clear" w:color="auto" w:fill="auto"/>
            <w:tcMar>
              <w:top w:w="10" w:type="dxa"/>
              <w:left w:w="93" w:type="dxa"/>
              <w:bottom w:w="0" w:type="dxa"/>
              <w:right w:w="10" w:type="dxa"/>
            </w:tcMar>
            <w:vAlign w:val="center"/>
          </w:tcPr>
          <w:p w14:paraId="48CE939E" w14:textId="77777777" w:rsidR="00A90E9C" w:rsidRPr="00846D49" w:rsidRDefault="00A90E9C" w:rsidP="0072651A">
            <w:pPr>
              <w:tabs>
                <w:tab w:val="left" w:pos="3375"/>
              </w:tabs>
              <w:rPr>
                <w:rFonts w:ascii="Arial" w:hAnsi="Arial" w:cs="Arial"/>
                <w:sz w:val="20"/>
                <w:szCs w:val="20"/>
              </w:rPr>
            </w:pPr>
            <w:r w:rsidRPr="00846D49">
              <w:rPr>
                <w:rFonts w:ascii="Arial" w:hAnsi="Arial" w:cs="Arial"/>
                <w:b/>
                <w:sz w:val="20"/>
                <w:szCs w:val="20"/>
              </w:rPr>
              <w:t>Responsable del indicador:</w:t>
            </w:r>
          </w:p>
        </w:tc>
        <w:tc>
          <w:tcPr>
            <w:tcW w:w="6361" w:type="dxa"/>
            <w:gridSpan w:val="10"/>
            <w:shd w:val="clear" w:color="auto" w:fill="auto"/>
            <w:tcMar>
              <w:top w:w="51" w:type="dxa"/>
              <w:left w:w="227" w:type="dxa"/>
              <w:bottom w:w="51" w:type="dxa"/>
              <w:right w:w="227" w:type="dxa"/>
            </w:tcMar>
            <w:vAlign w:val="center"/>
          </w:tcPr>
          <w:p w14:paraId="3801F176" w14:textId="7054B3BA" w:rsidR="00A90E9C" w:rsidRPr="00846D49" w:rsidRDefault="00A90E9C" w:rsidP="0072651A">
            <w:pPr>
              <w:tabs>
                <w:tab w:val="left" w:pos="3375"/>
              </w:tabs>
              <w:contextualSpacing/>
              <w:jc w:val="both"/>
              <w:rPr>
                <w:rFonts w:ascii="Arial" w:eastAsia="Cambria" w:hAnsi="Arial" w:cs="Arial"/>
                <w:sz w:val="20"/>
                <w:szCs w:val="20"/>
              </w:rPr>
            </w:pPr>
            <w:r w:rsidRPr="00846D49">
              <w:rPr>
                <w:rFonts w:ascii="Arial" w:eastAsia="Arial Narrow" w:hAnsi="Arial" w:cs="Arial"/>
                <w:sz w:val="20"/>
                <w:szCs w:val="20"/>
              </w:rPr>
              <w:t>Dirección de Información y Registro del Servicio Nacional Forestal y de Fauna Silvestre</w:t>
            </w:r>
            <w:r w:rsidR="000716A6" w:rsidRPr="00846D49">
              <w:rPr>
                <w:rFonts w:ascii="Arial" w:eastAsia="Arial Narrow" w:hAnsi="Arial" w:cs="Arial"/>
                <w:sz w:val="20"/>
                <w:szCs w:val="20"/>
              </w:rPr>
              <w:t xml:space="preserve"> del Servicio Nacional Forestal y de Fauna Silvestre</w:t>
            </w:r>
            <w:r w:rsidRPr="00846D49">
              <w:rPr>
                <w:rFonts w:ascii="Arial" w:eastAsia="Arial Narrow" w:hAnsi="Arial" w:cs="Arial"/>
                <w:sz w:val="20"/>
                <w:szCs w:val="20"/>
              </w:rPr>
              <w:t xml:space="preserve"> - SERFOR</w:t>
            </w:r>
            <w:r w:rsidRPr="00846D49">
              <w:rPr>
                <w:rFonts w:ascii="Arial" w:eastAsia="Cambria" w:hAnsi="Arial" w:cs="Arial"/>
                <w:sz w:val="20"/>
                <w:szCs w:val="20"/>
              </w:rPr>
              <w:t>.</w:t>
            </w:r>
          </w:p>
        </w:tc>
      </w:tr>
      <w:tr w:rsidR="00846D49" w:rsidRPr="00846D49" w14:paraId="5BE6865D" w14:textId="77777777" w:rsidTr="002F5D4B">
        <w:trPr>
          <w:trHeight w:val="1072"/>
        </w:trPr>
        <w:tc>
          <w:tcPr>
            <w:tcW w:w="2428" w:type="dxa"/>
            <w:gridSpan w:val="3"/>
            <w:shd w:val="clear" w:color="auto" w:fill="auto"/>
            <w:tcMar>
              <w:top w:w="10" w:type="dxa"/>
              <w:left w:w="93" w:type="dxa"/>
              <w:bottom w:w="0" w:type="dxa"/>
              <w:right w:w="10" w:type="dxa"/>
            </w:tcMar>
            <w:vAlign w:val="center"/>
          </w:tcPr>
          <w:p w14:paraId="32926D11" w14:textId="77777777" w:rsidR="00A90E9C" w:rsidRPr="00846D49" w:rsidRDefault="00A90E9C" w:rsidP="0072651A">
            <w:pPr>
              <w:tabs>
                <w:tab w:val="left" w:pos="3375"/>
              </w:tabs>
              <w:rPr>
                <w:rFonts w:ascii="Arial" w:hAnsi="Arial" w:cs="Arial"/>
                <w:sz w:val="20"/>
                <w:szCs w:val="20"/>
              </w:rPr>
            </w:pPr>
            <w:r w:rsidRPr="00846D49">
              <w:rPr>
                <w:rFonts w:ascii="Arial" w:hAnsi="Arial" w:cs="Arial"/>
                <w:b/>
                <w:sz w:val="20"/>
                <w:szCs w:val="20"/>
              </w:rPr>
              <w:t>Limitaciones para la medición del indicador:</w:t>
            </w:r>
          </w:p>
        </w:tc>
        <w:tc>
          <w:tcPr>
            <w:tcW w:w="6361" w:type="dxa"/>
            <w:gridSpan w:val="10"/>
            <w:shd w:val="clear" w:color="auto" w:fill="auto"/>
            <w:tcMar>
              <w:top w:w="51" w:type="dxa"/>
              <w:left w:w="227" w:type="dxa"/>
              <w:bottom w:w="51" w:type="dxa"/>
              <w:right w:w="227" w:type="dxa"/>
            </w:tcMar>
            <w:vAlign w:val="center"/>
          </w:tcPr>
          <w:p w14:paraId="366F0383" w14:textId="355DA5DA" w:rsidR="00A90E9C" w:rsidRPr="00846D49" w:rsidRDefault="00A90E9C" w:rsidP="0072651A">
            <w:pPr>
              <w:tabs>
                <w:tab w:val="left" w:pos="3375"/>
              </w:tabs>
              <w:contextualSpacing/>
              <w:jc w:val="both"/>
              <w:rPr>
                <w:rFonts w:ascii="Arial" w:eastAsia="Cambria" w:hAnsi="Arial" w:cs="Arial"/>
                <w:sz w:val="20"/>
                <w:szCs w:val="20"/>
              </w:rPr>
            </w:pPr>
            <w:r w:rsidRPr="00846D49">
              <w:rPr>
                <w:rFonts w:ascii="Arial" w:eastAsia="Arial Narrow" w:hAnsi="Arial" w:cs="Arial"/>
                <w:sz w:val="20"/>
                <w:szCs w:val="20"/>
              </w:rPr>
              <w:t xml:space="preserve">El indicador puede tener retrasos en el </w:t>
            </w:r>
            <w:r w:rsidR="00AA3BB0" w:rsidRPr="00846D49">
              <w:rPr>
                <w:rFonts w:ascii="Arial" w:eastAsia="Arial Narrow" w:hAnsi="Arial" w:cs="Arial"/>
                <w:sz w:val="20"/>
                <w:szCs w:val="20"/>
              </w:rPr>
              <w:t>envío</w:t>
            </w:r>
            <w:r w:rsidRPr="00846D49">
              <w:rPr>
                <w:rFonts w:ascii="Arial" w:eastAsia="Arial Narrow" w:hAnsi="Arial" w:cs="Arial"/>
                <w:sz w:val="20"/>
                <w:szCs w:val="20"/>
              </w:rPr>
              <w:t xml:space="preserve"> de reportes por parte de los </w:t>
            </w:r>
            <w:r w:rsidR="002F5D4B" w:rsidRPr="00846D49">
              <w:rPr>
                <w:rFonts w:ascii="Arial" w:eastAsia="Arial Narrow" w:hAnsi="Arial" w:cs="Arial"/>
                <w:sz w:val="20"/>
                <w:szCs w:val="20"/>
              </w:rPr>
              <w:t>g</w:t>
            </w:r>
            <w:r w:rsidRPr="00846D49">
              <w:rPr>
                <w:rFonts w:ascii="Arial" w:eastAsia="Arial Narrow" w:hAnsi="Arial" w:cs="Arial"/>
                <w:sz w:val="20"/>
                <w:szCs w:val="20"/>
              </w:rPr>
              <w:t xml:space="preserve">obiernos regionales y las Administraciones Técnicas Forestales y de Fauna Silvestre </w:t>
            </w:r>
          </w:p>
        </w:tc>
      </w:tr>
      <w:tr w:rsidR="00846D49" w:rsidRPr="00846D49" w14:paraId="318A8FA9" w14:textId="77777777" w:rsidTr="002F5D4B">
        <w:trPr>
          <w:trHeight w:val="231"/>
        </w:trPr>
        <w:tc>
          <w:tcPr>
            <w:tcW w:w="2428" w:type="dxa"/>
            <w:gridSpan w:val="3"/>
            <w:shd w:val="clear" w:color="auto" w:fill="auto"/>
            <w:tcMar>
              <w:top w:w="10" w:type="dxa"/>
              <w:left w:w="93" w:type="dxa"/>
              <w:bottom w:w="0" w:type="dxa"/>
              <w:right w:w="10" w:type="dxa"/>
            </w:tcMar>
            <w:vAlign w:val="center"/>
          </w:tcPr>
          <w:p w14:paraId="35BD8C75" w14:textId="77777777" w:rsidR="00A90E9C" w:rsidRPr="00846D49" w:rsidRDefault="00A90E9C" w:rsidP="0072651A">
            <w:pPr>
              <w:tabs>
                <w:tab w:val="left" w:pos="3375"/>
              </w:tabs>
              <w:rPr>
                <w:rFonts w:ascii="Arial" w:hAnsi="Arial" w:cs="Arial"/>
                <w:sz w:val="20"/>
                <w:szCs w:val="20"/>
              </w:rPr>
            </w:pPr>
            <w:r w:rsidRPr="00846D49">
              <w:rPr>
                <w:rFonts w:ascii="Arial" w:hAnsi="Arial" w:cs="Arial"/>
                <w:b/>
                <w:sz w:val="20"/>
                <w:szCs w:val="20"/>
              </w:rPr>
              <w:t xml:space="preserve">Método de cálculo: </w:t>
            </w:r>
          </w:p>
        </w:tc>
        <w:tc>
          <w:tcPr>
            <w:tcW w:w="6361" w:type="dxa"/>
            <w:gridSpan w:val="10"/>
            <w:shd w:val="clear" w:color="auto" w:fill="auto"/>
            <w:tcMar>
              <w:top w:w="51" w:type="dxa"/>
              <w:left w:w="227" w:type="dxa"/>
              <w:bottom w:w="51" w:type="dxa"/>
              <w:right w:w="227" w:type="dxa"/>
            </w:tcMar>
            <w:vAlign w:val="center"/>
          </w:tcPr>
          <w:p w14:paraId="43C222D8" w14:textId="77777777" w:rsidR="00A90E9C" w:rsidRPr="00846D49" w:rsidRDefault="00A90E9C" w:rsidP="004C072E">
            <w:pPr>
              <w:pStyle w:val="Prrafodelista"/>
              <w:numPr>
                <w:ilvl w:val="3"/>
                <w:numId w:val="20"/>
              </w:numPr>
              <w:spacing w:before="120" w:after="0" w:line="240" w:lineRule="auto"/>
              <w:ind w:left="324" w:hanging="285"/>
              <w:rPr>
                <w:rFonts w:ascii="Arial" w:eastAsia="Arial Narrow" w:hAnsi="Arial" w:cs="Arial"/>
                <w:b/>
                <w:sz w:val="20"/>
                <w:szCs w:val="20"/>
              </w:rPr>
            </w:pPr>
            <w:r w:rsidRPr="00846D49">
              <w:rPr>
                <w:rFonts w:ascii="Arial" w:eastAsia="Arial Narrow" w:hAnsi="Arial" w:cs="Arial"/>
                <w:b/>
                <w:sz w:val="20"/>
                <w:szCs w:val="20"/>
              </w:rPr>
              <w:t>Fórmula:</w:t>
            </w:r>
          </w:p>
          <w:p w14:paraId="09BF971B" w14:textId="77777777" w:rsidR="00A90E9C" w:rsidRPr="00846D49" w:rsidRDefault="00A90E9C" w:rsidP="0072651A">
            <w:pPr>
              <w:pStyle w:val="Prrafodelista"/>
              <w:spacing w:before="120" w:after="0" w:line="240" w:lineRule="auto"/>
              <w:ind w:left="181"/>
              <w:rPr>
                <w:rFonts w:ascii="Arial" w:eastAsia="Arial Narrow" w:hAnsi="Arial" w:cs="Arial"/>
                <w:b/>
                <w:sz w:val="20"/>
                <w:szCs w:val="20"/>
              </w:rPr>
            </w:pPr>
          </w:p>
          <w:p w14:paraId="1614AA19" w14:textId="2702C043" w:rsidR="00A90E9C" w:rsidRPr="00846D49" w:rsidRDefault="002F5D4B" w:rsidP="0072651A">
            <w:pPr>
              <w:pStyle w:val="Prrafodelista"/>
              <w:spacing w:before="120" w:after="0" w:line="240" w:lineRule="auto"/>
              <w:ind w:left="181"/>
              <w:rPr>
                <w:rFonts w:ascii="Arial" w:eastAsia="Arial Narrow" w:hAnsi="Arial" w:cs="Arial"/>
                <w:sz w:val="20"/>
                <w:szCs w:val="20"/>
              </w:rPr>
            </w:pPr>
            <w:r w:rsidRPr="00846D49">
              <w:rPr>
                <w:rFonts w:ascii="Arial" w:eastAsia="Arial Narrow" w:hAnsi="Arial" w:cs="Arial"/>
                <w:sz w:val="20"/>
                <w:szCs w:val="20"/>
              </w:rPr>
              <w:t>(</w:t>
            </w:r>
            <w:r w:rsidR="00A90E9C" w:rsidRPr="00846D49">
              <w:rPr>
                <w:rFonts w:ascii="Arial" w:eastAsia="Arial Narrow" w:hAnsi="Arial" w:cs="Arial"/>
                <w:sz w:val="20"/>
                <w:szCs w:val="20"/>
              </w:rPr>
              <w:t>A/B</w:t>
            </w:r>
            <w:r w:rsidRPr="00846D49">
              <w:rPr>
                <w:rFonts w:ascii="Arial" w:eastAsia="Arial Narrow" w:hAnsi="Arial" w:cs="Arial"/>
                <w:sz w:val="20"/>
                <w:szCs w:val="20"/>
              </w:rPr>
              <w:t>)</w:t>
            </w:r>
            <w:r w:rsidR="00A90E9C" w:rsidRPr="00846D49">
              <w:rPr>
                <w:rFonts w:ascii="Arial" w:eastAsia="Arial Narrow" w:hAnsi="Arial" w:cs="Arial"/>
                <w:sz w:val="20"/>
                <w:szCs w:val="20"/>
              </w:rPr>
              <w:t>*100</w:t>
            </w:r>
          </w:p>
          <w:p w14:paraId="31CE38E8" w14:textId="77777777" w:rsidR="00A90E9C" w:rsidRPr="00846D49" w:rsidRDefault="00A90E9C" w:rsidP="0072651A">
            <w:pPr>
              <w:spacing w:after="0" w:line="240" w:lineRule="auto"/>
              <w:rPr>
                <w:rFonts w:ascii="Arial" w:eastAsia="Arial Unicode MS" w:hAnsi="Arial" w:cs="Arial"/>
                <w:sz w:val="20"/>
                <w:szCs w:val="20"/>
              </w:rPr>
            </w:pPr>
          </w:p>
          <w:p w14:paraId="4F69DC1F" w14:textId="77777777" w:rsidR="00A90E9C" w:rsidRPr="00846D49" w:rsidRDefault="00A90E9C" w:rsidP="002F5D4B">
            <w:pPr>
              <w:pBdr>
                <w:top w:val="nil"/>
                <w:left w:val="nil"/>
                <w:bottom w:val="nil"/>
                <w:right w:val="nil"/>
                <w:between w:val="nil"/>
              </w:pBdr>
              <w:spacing w:after="0" w:line="240" w:lineRule="auto"/>
              <w:ind w:left="466" w:hanging="466"/>
              <w:jc w:val="both"/>
              <w:rPr>
                <w:rFonts w:ascii="Arial" w:eastAsia="Arial Narrow" w:hAnsi="Arial" w:cs="Arial"/>
                <w:bCs/>
                <w:sz w:val="20"/>
                <w:szCs w:val="20"/>
              </w:rPr>
            </w:pPr>
            <w:r w:rsidRPr="00846D49">
              <w:rPr>
                <w:rFonts w:ascii="Arial" w:eastAsia="Arial Unicode MS" w:hAnsi="Arial" w:cs="Arial"/>
                <w:sz w:val="20"/>
                <w:szCs w:val="20"/>
              </w:rPr>
              <w:t xml:space="preserve">A= Número de </w:t>
            </w:r>
            <w:r w:rsidRPr="00846D49">
              <w:rPr>
                <w:rFonts w:ascii="Arial" w:eastAsia="Times New Roman" w:hAnsi="Arial" w:cs="Arial"/>
                <w:sz w:val="20"/>
                <w:szCs w:val="20"/>
                <w:lang w:val="es-ES"/>
              </w:rPr>
              <w:t>solicitudes sobre derechos relacionados con investigación científica y acceso a los recursos genéticos y sus derivados en materia forestal y de fauna silvestre atendidas oportunamente.</w:t>
            </w:r>
          </w:p>
          <w:p w14:paraId="2B2E61D0" w14:textId="77777777" w:rsidR="00A90E9C" w:rsidRPr="00846D49" w:rsidRDefault="00A90E9C" w:rsidP="002F5D4B">
            <w:pPr>
              <w:pBdr>
                <w:top w:val="nil"/>
                <w:left w:val="nil"/>
                <w:bottom w:val="nil"/>
                <w:right w:val="nil"/>
                <w:between w:val="nil"/>
              </w:pBdr>
              <w:spacing w:after="0" w:line="240" w:lineRule="auto"/>
              <w:ind w:left="466" w:hanging="466"/>
              <w:jc w:val="both"/>
              <w:rPr>
                <w:rFonts w:ascii="Arial" w:eastAsia="Arial Narrow" w:hAnsi="Arial" w:cs="Arial"/>
                <w:bCs/>
                <w:sz w:val="20"/>
                <w:szCs w:val="20"/>
              </w:rPr>
            </w:pPr>
          </w:p>
          <w:p w14:paraId="2D6B2628" w14:textId="77777777" w:rsidR="00A90E9C" w:rsidRPr="00846D49" w:rsidRDefault="00A90E9C" w:rsidP="002F5D4B">
            <w:pPr>
              <w:pBdr>
                <w:top w:val="nil"/>
                <w:left w:val="nil"/>
                <w:bottom w:val="nil"/>
                <w:right w:val="nil"/>
                <w:between w:val="nil"/>
              </w:pBdr>
              <w:spacing w:after="0" w:line="240" w:lineRule="auto"/>
              <w:ind w:left="466" w:hanging="466"/>
              <w:jc w:val="both"/>
              <w:rPr>
                <w:rFonts w:ascii="Arial" w:eastAsia="Arial Narrow" w:hAnsi="Arial" w:cs="Arial"/>
                <w:sz w:val="20"/>
                <w:szCs w:val="20"/>
              </w:rPr>
            </w:pPr>
            <w:r w:rsidRPr="00846D49">
              <w:rPr>
                <w:rFonts w:ascii="Arial" w:eastAsia="Arial Narrow" w:hAnsi="Arial" w:cs="Arial"/>
                <w:bCs/>
                <w:sz w:val="20"/>
                <w:szCs w:val="20"/>
              </w:rPr>
              <w:t xml:space="preserve">B= Total de </w:t>
            </w:r>
            <w:r w:rsidRPr="00846D49">
              <w:rPr>
                <w:rFonts w:ascii="Arial" w:eastAsia="Times New Roman" w:hAnsi="Arial" w:cs="Arial"/>
                <w:sz w:val="20"/>
                <w:szCs w:val="20"/>
                <w:lang w:val="es-ES"/>
              </w:rPr>
              <w:t>solicitudes sobre derechos relacionados con investigación científica y acceso a los recursos genéticos y sus derivados en materia forestal y de fauna silvestre</w:t>
            </w:r>
            <w:r w:rsidRPr="00846D49">
              <w:rPr>
                <w:rFonts w:ascii="Arial" w:eastAsia="Arial Narrow" w:hAnsi="Arial" w:cs="Arial"/>
                <w:bCs/>
                <w:sz w:val="20"/>
                <w:szCs w:val="20"/>
              </w:rPr>
              <w:t>.</w:t>
            </w:r>
            <w:r w:rsidRPr="00846D49">
              <w:rPr>
                <w:rFonts w:ascii="Arial" w:eastAsia="Times New Roman" w:hAnsi="Arial" w:cs="Arial"/>
                <w:sz w:val="20"/>
                <w:szCs w:val="20"/>
                <w:lang w:val="es-ES"/>
              </w:rPr>
              <w:t xml:space="preserve"> </w:t>
            </w:r>
          </w:p>
          <w:p w14:paraId="02A38BDA" w14:textId="77777777" w:rsidR="00A90E9C" w:rsidRPr="00846D49" w:rsidRDefault="00A90E9C" w:rsidP="0072651A">
            <w:pPr>
              <w:pBdr>
                <w:top w:val="nil"/>
                <w:left w:val="nil"/>
                <w:bottom w:val="nil"/>
                <w:right w:val="nil"/>
                <w:between w:val="nil"/>
              </w:pBdr>
              <w:spacing w:after="0" w:line="240" w:lineRule="auto"/>
              <w:jc w:val="both"/>
              <w:rPr>
                <w:rFonts w:ascii="Arial" w:eastAsia="Arial Narrow" w:hAnsi="Arial" w:cs="Arial"/>
                <w:sz w:val="20"/>
                <w:szCs w:val="20"/>
              </w:rPr>
            </w:pPr>
          </w:p>
          <w:p w14:paraId="5738C9F7" w14:textId="77777777" w:rsidR="00A90E9C" w:rsidRPr="00846D49" w:rsidRDefault="00A90E9C" w:rsidP="0072651A">
            <w:pPr>
              <w:spacing w:after="0" w:line="240" w:lineRule="auto"/>
              <w:rPr>
                <w:rFonts w:ascii="Arial" w:eastAsia="Arial Narrow" w:hAnsi="Arial" w:cs="Arial"/>
                <w:sz w:val="20"/>
                <w:szCs w:val="20"/>
              </w:rPr>
            </w:pPr>
            <w:r w:rsidRPr="00846D49">
              <w:rPr>
                <w:rFonts w:ascii="Arial" w:eastAsia="Arial Narrow" w:hAnsi="Arial" w:cs="Arial"/>
                <w:b/>
                <w:sz w:val="20"/>
                <w:szCs w:val="20"/>
              </w:rPr>
              <w:t>2. Especificaciones técnicas:</w:t>
            </w:r>
          </w:p>
          <w:p w14:paraId="44FCE6D4" w14:textId="4F5C4CF8" w:rsidR="00E25AAA" w:rsidRPr="00846D49" w:rsidRDefault="00E25AAA" w:rsidP="0072651A">
            <w:pPr>
              <w:spacing w:line="240" w:lineRule="auto"/>
              <w:jc w:val="both"/>
              <w:rPr>
                <w:rFonts w:ascii="Arial" w:eastAsia="Arial Narrow" w:hAnsi="Arial" w:cs="Arial"/>
                <w:sz w:val="20"/>
                <w:szCs w:val="20"/>
              </w:rPr>
            </w:pPr>
            <w:r w:rsidRPr="00846D49">
              <w:rPr>
                <w:rFonts w:ascii="Arial" w:eastAsia="Arial Narrow" w:hAnsi="Arial" w:cs="Arial"/>
                <w:sz w:val="20"/>
                <w:szCs w:val="20"/>
              </w:rPr>
              <w:t>La variable A se determina a partir de las</w:t>
            </w:r>
            <w:r w:rsidR="00A65B1C" w:rsidRPr="00846D49">
              <w:rPr>
                <w:rFonts w:ascii="Arial" w:eastAsia="Arial Narrow" w:hAnsi="Arial" w:cs="Arial"/>
                <w:sz w:val="20"/>
                <w:szCs w:val="20"/>
              </w:rPr>
              <w:t xml:space="preserve"> solicitudes sobre derechos relacionados con investigación científica y acceso a los recursos genéticos y sus derivados en materia forestal y de fauna silvestre atendidas dentro del plazo </w:t>
            </w:r>
            <w:r w:rsidR="00F31BA9" w:rsidRPr="00846D49">
              <w:rPr>
                <w:rFonts w:ascii="Arial" w:eastAsia="Arial Narrow" w:hAnsi="Arial" w:cs="Arial"/>
                <w:sz w:val="20"/>
                <w:szCs w:val="20"/>
              </w:rPr>
              <w:t>determinado por la normativa.</w:t>
            </w:r>
          </w:p>
          <w:p w14:paraId="167361F6" w14:textId="5FD2B9E7" w:rsidR="00F31BA9" w:rsidRPr="00846D49" w:rsidRDefault="00F31BA9" w:rsidP="0072651A">
            <w:pPr>
              <w:spacing w:line="240" w:lineRule="auto"/>
              <w:jc w:val="both"/>
              <w:rPr>
                <w:rFonts w:ascii="Arial" w:eastAsia="Arial Narrow" w:hAnsi="Arial" w:cs="Arial"/>
                <w:sz w:val="20"/>
                <w:szCs w:val="20"/>
              </w:rPr>
            </w:pPr>
            <w:r w:rsidRPr="00846D49">
              <w:rPr>
                <w:rFonts w:ascii="Arial" w:eastAsia="Arial Narrow" w:hAnsi="Arial" w:cs="Arial"/>
                <w:sz w:val="20"/>
                <w:szCs w:val="20"/>
              </w:rPr>
              <w:t xml:space="preserve">La variable B consiste en el total de solicitudes </w:t>
            </w:r>
            <w:r w:rsidRPr="00846D49">
              <w:rPr>
                <w:rFonts w:ascii="Arial" w:eastAsia="Times New Roman" w:hAnsi="Arial" w:cs="Arial"/>
                <w:sz w:val="20"/>
                <w:szCs w:val="20"/>
                <w:lang w:val="es-ES"/>
              </w:rPr>
              <w:t>sobre derechos relacionados con investigación científica y acceso a los recursos genéticos y sus derivados en materia forestal y de fauna silvestre</w:t>
            </w:r>
            <w:r w:rsidR="000716A6" w:rsidRPr="00846D49">
              <w:rPr>
                <w:rFonts w:ascii="Arial" w:eastAsia="Times New Roman" w:hAnsi="Arial" w:cs="Arial"/>
                <w:sz w:val="20"/>
                <w:szCs w:val="20"/>
                <w:lang w:val="es-ES"/>
              </w:rPr>
              <w:t xml:space="preserve"> recibidos por el proveedor del servicio</w:t>
            </w:r>
            <w:r w:rsidR="0019296D" w:rsidRPr="00846D49">
              <w:rPr>
                <w:rFonts w:ascii="Arial" w:eastAsia="Times New Roman" w:hAnsi="Arial" w:cs="Arial"/>
                <w:sz w:val="20"/>
                <w:szCs w:val="20"/>
                <w:lang w:val="es-ES"/>
              </w:rPr>
              <w:t xml:space="preserve"> en el año de medición</w:t>
            </w:r>
            <w:r w:rsidR="000716A6" w:rsidRPr="00846D49">
              <w:rPr>
                <w:rFonts w:ascii="Arial" w:eastAsia="Times New Roman" w:hAnsi="Arial" w:cs="Arial"/>
                <w:sz w:val="20"/>
                <w:szCs w:val="20"/>
                <w:lang w:val="es-ES"/>
              </w:rPr>
              <w:t>.</w:t>
            </w:r>
          </w:p>
          <w:p w14:paraId="421FE2AE" w14:textId="7291231C" w:rsidR="00A90E9C" w:rsidRPr="00846D49" w:rsidRDefault="00A90E9C" w:rsidP="0072651A">
            <w:pPr>
              <w:spacing w:line="240" w:lineRule="auto"/>
              <w:jc w:val="both"/>
              <w:rPr>
                <w:rFonts w:ascii="Arial" w:eastAsia="Arial Narrow" w:hAnsi="Arial" w:cs="Arial"/>
                <w:sz w:val="20"/>
                <w:szCs w:val="20"/>
              </w:rPr>
            </w:pPr>
            <w:r w:rsidRPr="00846D49">
              <w:rPr>
                <w:rFonts w:ascii="Arial" w:eastAsia="Arial Narrow" w:hAnsi="Arial" w:cs="Arial"/>
                <w:sz w:val="20"/>
                <w:szCs w:val="20"/>
              </w:rPr>
              <w:t>El plazo máximo de atención para atender solicitudes relacionadas con autorización de investigación científica de flora y fauna silvestre fuera de ANP no puede exceder de 30 días hábiles (art. 35° y 142° Ley Nº 27444)</w:t>
            </w:r>
            <w:r w:rsidR="001343D1" w:rsidRPr="00846D49">
              <w:rPr>
                <w:rFonts w:ascii="Arial" w:eastAsia="Arial Narrow" w:hAnsi="Arial" w:cs="Arial"/>
                <w:sz w:val="20"/>
                <w:szCs w:val="20"/>
              </w:rPr>
              <w:t>. Los procedimientos son los siguientes:</w:t>
            </w:r>
          </w:p>
          <w:tbl>
            <w:tblPr>
              <w:tblStyle w:val="Tablaconcuadrcula"/>
              <w:tblW w:w="6039" w:type="dxa"/>
              <w:tblLayout w:type="fixed"/>
              <w:tblLook w:val="04A0" w:firstRow="1" w:lastRow="0" w:firstColumn="1" w:lastColumn="0" w:noHBand="0" w:noVBand="1"/>
            </w:tblPr>
            <w:tblGrid>
              <w:gridCol w:w="4141"/>
              <w:gridCol w:w="1898"/>
            </w:tblGrid>
            <w:tr w:rsidR="00846D49" w:rsidRPr="00846D49" w14:paraId="060D9886" w14:textId="77777777" w:rsidTr="0019296D">
              <w:tc>
                <w:tcPr>
                  <w:tcW w:w="4141" w:type="dxa"/>
                </w:tcPr>
                <w:p w14:paraId="42F3F1E8" w14:textId="77777777" w:rsidR="002133DB" w:rsidRPr="00846D49" w:rsidRDefault="002133DB" w:rsidP="006B21DE">
                  <w:pPr>
                    <w:jc w:val="center"/>
                    <w:rPr>
                      <w:rFonts w:ascii="Arial" w:eastAsia="Arial Narrow" w:hAnsi="Arial" w:cs="Arial"/>
                      <w:sz w:val="20"/>
                      <w:szCs w:val="20"/>
                    </w:rPr>
                  </w:pPr>
                  <w:r w:rsidRPr="00846D49">
                    <w:rPr>
                      <w:rFonts w:ascii="Arial" w:eastAsia="Arial Narrow" w:hAnsi="Arial" w:cs="Arial"/>
                      <w:sz w:val="20"/>
                      <w:szCs w:val="20"/>
                    </w:rPr>
                    <w:t>Procedimiento:</w:t>
                  </w:r>
                </w:p>
              </w:tc>
              <w:tc>
                <w:tcPr>
                  <w:tcW w:w="1898" w:type="dxa"/>
                </w:tcPr>
                <w:p w14:paraId="239429A0" w14:textId="63F2A438" w:rsidR="002133DB" w:rsidRPr="00846D49" w:rsidRDefault="002133DB" w:rsidP="006B21DE">
                  <w:pPr>
                    <w:jc w:val="center"/>
                    <w:rPr>
                      <w:rFonts w:ascii="Arial" w:eastAsia="Arial Narrow" w:hAnsi="Arial" w:cs="Arial"/>
                      <w:sz w:val="20"/>
                      <w:szCs w:val="20"/>
                    </w:rPr>
                  </w:pPr>
                  <w:r w:rsidRPr="00846D49">
                    <w:rPr>
                      <w:rFonts w:ascii="Arial" w:eastAsia="Arial Narrow" w:hAnsi="Arial" w:cs="Arial"/>
                      <w:sz w:val="20"/>
                      <w:szCs w:val="20"/>
                    </w:rPr>
                    <w:t xml:space="preserve">Plazo de </w:t>
                  </w:r>
                  <w:r w:rsidR="009B6706" w:rsidRPr="00846D49">
                    <w:rPr>
                      <w:rFonts w:ascii="Arial" w:eastAsia="Arial Narrow" w:hAnsi="Arial" w:cs="Arial"/>
                      <w:sz w:val="20"/>
                      <w:szCs w:val="20"/>
                    </w:rPr>
                    <w:t>atención máximo</w:t>
                  </w:r>
                  <w:r w:rsidR="00037011" w:rsidRPr="00846D49">
                    <w:rPr>
                      <w:rFonts w:ascii="Arial" w:eastAsia="Arial Narrow" w:hAnsi="Arial" w:cs="Arial"/>
                      <w:sz w:val="20"/>
                      <w:szCs w:val="20"/>
                    </w:rPr>
                    <w:t xml:space="preserve"> desde la presentación de la solicitud</w:t>
                  </w:r>
                  <w:r w:rsidRPr="00846D49">
                    <w:rPr>
                      <w:rFonts w:ascii="Arial" w:eastAsia="Arial Narrow" w:hAnsi="Arial" w:cs="Arial"/>
                      <w:sz w:val="20"/>
                      <w:szCs w:val="20"/>
                    </w:rPr>
                    <w:t>:</w:t>
                  </w:r>
                </w:p>
              </w:tc>
            </w:tr>
            <w:tr w:rsidR="00846D49" w:rsidRPr="00846D49" w14:paraId="207428A1" w14:textId="77777777" w:rsidTr="0019296D">
              <w:tc>
                <w:tcPr>
                  <w:tcW w:w="4141" w:type="dxa"/>
                </w:tcPr>
                <w:p w14:paraId="52A10566" w14:textId="07D9A256" w:rsidR="002133DB" w:rsidRPr="00846D49" w:rsidRDefault="002133DB" w:rsidP="002133DB">
                  <w:pPr>
                    <w:jc w:val="both"/>
                    <w:rPr>
                      <w:rFonts w:ascii="Arial" w:eastAsia="Arial Narrow" w:hAnsi="Arial" w:cs="Arial"/>
                      <w:sz w:val="20"/>
                      <w:szCs w:val="20"/>
                    </w:rPr>
                  </w:pPr>
                  <w:r w:rsidRPr="00846D49">
                    <w:rPr>
                      <w:rFonts w:ascii="Arial" w:eastAsia="Arial Narrow" w:hAnsi="Arial" w:cs="Arial"/>
                      <w:sz w:val="20"/>
                      <w:szCs w:val="20"/>
                    </w:rPr>
                    <w:t>Autorizaciones de investigación científica de fauna y/o flora silvestre</w:t>
                  </w:r>
                </w:p>
              </w:tc>
              <w:tc>
                <w:tcPr>
                  <w:tcW w:w="1898" w:type="dxa"/>
                </w:tcPr>
                <w:p w14:paraId="06590727" w14:textId="7264C8BC" w:rsidR="002133DB" w:rsidRPr="00846D49" w:rsidRDefault="009B6706" w:rsidP="006B21DE">
                  <w:pPr>
                    <w:jc w:val="center"/>
                    <w:rPr>
                      <w:rFonts w:ascii="Arial" w:eastAsia="Arial Narrow" w:hAnsi="Arial" w:cs="Arial"/>
                      <w:sz w:val="20"/>
                      <w:szCs w:val="20"/>
                    </w:rPr>
                  </w:pPr>
                  <w:r w:rsidRPr="00846D49">
                    <w:rPr>
                      <w:rFonts w:ascii="Arial" w:eastAsia="Arial Narrow" w:hAnsi="Arial" w:cs="Arial"/>
                      <w:sz w:val="20"/>
                      <w:szCs w:val="20"/>
                    </w:rPr>
                    <w:t>30</w:t>
                  </w:r>
                  <w:r w:rsidR="00797E7A" w:rsidRPr="00846D49">
                    <w:rPr>
                      <w:rFonts w:ascii="Arial" w:eastAsia="Arial Narrow" w:hAnsi="Arial" w:cs="Arial"/>
                      <w:sz w:val="20"/>
                      <w:szCs w:val="20"/>
                    </w:rPr>
                    <w:t xml:space="preserve"> </w:t>
                  </w:r>
                  <w:r w:rsidRPr="00846D49">
                    <w:rPr>
                      <w:rFonts w:ascii="Arial" w:eastAsia="Arial Narrow" w:hAnsi="Arial" w:cs="Arial"/>
                      <w:sz w:val="20"/>
                      <w:szCs w:val="20"/>
                    </w:rPr>
                    <w:t>días</w:t>
                  </w:r>
                  <w:r w:rsidR="006B21DE" w:rsidRPr="00846D49">
                    <w:rPr>
                      <w:rFonts w:ascii="Arial" w:eastAsia="Arial Narrow" w:hAnsi="Arial" w:cs="Arial"/>
                      <w:sz w:val="20"/>
                      <w:szCs w:val="20"/>
                    </w:rPr>
                    <w:t xml:space="preserve"> hábiles</w:t>
                  </w:r>
                </w:p>
              </w:tc>
            </w:tr>
            <w:tr w:rsidR="00846D49" w:rsidRPr="00846D49" w14:paraId="27ACC57D" w14:textId="77777777" w:rsidTr="0019296D">
              <w:tc>
                <w:tcPr>
                  <w:tcW w:w="4141" w:type="dxa"/>
                </w:tcPr>
                <w:p w14:paraId="23476A94" w14:textId="269767A9" w:rsidR="002133DB" w:rsidRPr="00846D49" w:rsidRDefault="002133DB" w:rsidP="002133DB">
                  <w:pPr>
                    <w:jc w:val="both"/>
                    <w:rPr>
                      <w:rFonts w:ascii="Arial" w:eastAsia="Arial Narrow" w:hAnsi="Arial" w:cs="Arial"/>
                      <w:sz w:val="20"/>
                      <w:szCs w:val="20"/>
                    </w:rPr>
                  </w:pPr>
                  <w:r w:rsidRPr="00846D49">
                    <w:rPr>
                      <w:rFonts w:ascii="Arial" w:eastAsia="Arial Narrow" w:hAnsi="Arial" w:cs="Arial"/>
                      <w:sz w:val="20"/>
                      <w:szCs w:val="20"/>
                    </w:rPr>
                    <w:t>Modificación de autorización de investigación científica de fauna y/o flora silvestre</w:t>
                  </w:r>
                </w:p>
              </w:tc>
              <w:tc>
                <w:tcPr>
                  <w:tcW w:w="1898" w:type="dxa"/>
                </w:tcPr>
                <w:p w14:paraId="05D06B30" w14:textId="0264D2AA" w:rsidR="002133DB" w:rsidRPr="00846D49" w:rsidRDefault="009B6706" w:rsidP="006B21DE">
                  <w:pPr>
                    <w:jc w:val="center"/>
                    <w:rPr>
                      <w:rFonts w:ascii="Arial" w:eastAsia="Arial Narrow" w:hAnsi="Arial" w:cs="Arial"/>
                      <w:sz w:val="20"/>
                      <w:szCs w:val="20"/>
                    </w:rPr>
                  </w:pPr>
                  <w:r w:rsidRPr="00846D49">
                    <w:rPr>
                      <w:rFonts w:ascii="Arial" w:eastAsia="Arial Narrow" w:hAnsi="Arial" w:cs="Arial"/>
                      <w:sz w:val="20"/>
                      <w:szCs w:val="20"/>
                    </w:rPr>
                    <w:t>30</w:t>
                  </w:r>
                  <w:r w:rsidR="00797E7A" w:rsidRPr="00846D49">
                    <w:rPr>
                      <w:rFonts w:ascii="Arial" w:eastAsia="Arial Narrow" w:hAnsi="Arial" w:cs="Arial"/>
                      <w:sz w:val="20"/>
                      <w:szCs w:val="20"/>
                    </w:rPr>
                    <w:t xml:space="preserve"> </w:t>
                  </w:r>
                  <w:r w:rsidR="006B21DE" w:rsidRPr="00846D49">
                    <w:rPr>
                      <w:rFonts w:ascii="Arial" w:eastAsia="Arial Narrow" w:hAnsi="Arial" w:cs="Arial"/>
                      <w:sz w:val="20"/>
                      <w:szCs w:val="20"/>
                    </w:rPr>
                    <w:t>días hábiles</w:t>
                  </w:r>
                </w:p>
              </w:tc>
            </w:tr>
            <w:tr w:rsidR="00846D49" w:rsidRPr="00846D49" w14:paraId="4CBC736E" w14:textId="77777777" w:rsidTr="0019296D">
              <w:tc>
                <w:tcPr>
                  <w:tcW w:w="4141" w:type="dxa"/>
                </w:tcPr>
                <w:p w14:paraId="2A2116F7" w14:textId="4CB87060" w:rsidR="002133DB" w:rsidRPr="00846D49" w:rsidRDefault="002133DB" w:rsidP="002133DB">
                  <w:pPr>
                    <w:jc w:val="both"/>
                    <w:rPr>
                      <w:rFonts w:ascii="Arial" w:eastAsia="Arial Narrow" w:hAnsi="Arial" w:cs="Arial"/>
                      <w:sz w:val="20"/>
                      <w:szCs w:val="20"/>
                    </w:rPr>
                  </w:pPr>
                  <w:r w:rsidRPr="00846D49">
                    <w:rPr>
                      <w:rFonts w:ascii="Arial" w:eastAsia="Arial Narrow" w:hAnsi="Arial" w:cs="Arial"/>
                      <w:sz w:val="20"/>
                      <w:szCs w:val="20"/>
                    </w:rPr>
                    <w:t>Renuncia de autorización de investigación científica de fauna y/o flora silvestre</w:t>
                  </w:r>
                </w:p>
              </w:tc>
              <w:tc>
                <w:tcPr>
                  <w:tcW w:w="1898" w:type="dxa"/>
                </w:tcPr>
                <w:p w14:paraId="527AD14E" w14:textId="2939A224" w:rsidR="002133DB" w:rsidRPr="00846D49" w:rsidRDefault="009B6706" w:rsidP="006B21DE">
                  <w:pPr>
                    <w:jc w:val="center"/>
                    <w:rPr>
                      <w:rFonts w:ascii="Arial" w:eastAsia="Arial Narrow" w:hAnsi="Arial" w:cs="Arial"/>
                      <w:sz w:val="20"/>
                      <w:szCs w:val="20"/>
                    </w:rPr>
                  </w:pPr>
                  <w:r w:rsidRPr="00846D49">
                    <w:rPr>
                      <w:rFonts w:ascii="Arial" w:eastAsia="Arial Narrow" w:hAnsi="Arial" w:cs="Arial"/>
                      <w:sz w:val="20"/>
                      <w:szCs w:val="20"/>
                    </w:rPr>
                    <w:t>30</w:t>
                  </w:r>
                  <w:r w:rsidR="00797E7A" w:rsidRPr="00846D49">
                    <w:rPr>
                      <w:rFonts w:ascii="Arial" w:eastAsia="Arial Narrow" w:hAnsi="Arial" w:cs="Arial"/>
                      <w:sz w:val="20"/>
                      <w:szCs w:val="20"/>
                    </w:rPr>
                    <w:t xml:space="preserve"> </w:t>
                  </w:r>
                  <w:r w:rsidR="006B21DE" w:rsidRPr="00846D49">
                    <w:rPr>
                      <w:rFonts w:ascii="Arial" w:eastAsia="Arial Narrow" w:hAnsi="Arial" w:cs="Arial"/>
                      <w:sz w:val="20"/>
                      <w:szCs w:val="20"/>
                    </w:rPr>
                    <w:t>días hábiles</w:t>
                  </w:r>
                </w:p>
              </w:tc>
            </w:tr>
          </w:tbl>
          <w:p w14:paraId="72C62F8F" w14:textId="77777777" w:rsidR="00797E7A" w:rsidRPr="00846D49" w:rsidRDefault="00797E7A" w:rsidP="0072651A">
            <w:pPr>
              <w:spacing w:after="0" w:line="240" w:lineRule="auto"/>
              <w:jc w:val="both"/>
              <w:rPr>
                <w:rFonts w:ascii="Arial" w:eastAsia="Arial Narrow" w:hAnsi="Arial" w:cs="Arial"/>
                <w:sz w:val="20"/>
                <w:szCs w:val="20"/>
              </w:rPr>
            </w:pPr>
          </w:p>
          <w:p w14:paraId="6272792C" w14:textId="6BA1A913" w:rsidR="002133DB" w:rsidRPr="00846D49" w:rsidRDefault="00A90E9C" w:rsidP="0072651A">
            <w:pPr>
              <w:spacing w:after="0" w:line="240" w:lineRule="auto"/>
              <w:jc w:val="both"/>
              <w:rPr>
                <w:rFonts w:ascii="Arial" w:eastAsia="Arial Narrow" w:hAnsi="Arial" w:cs="Arial"/>
                <w:sz w:val="20"/>
                <w:szCs w:val="20"/>
              </w:rPr>
            </w:pPr>
            <w:r w:rsidRPr="00846D49">
              <w:rPr>
                <w:rFonts w:ascii="Arial" w:eastAsia="Arial Narrow" w:hAnsi="Arial" w:cs="Arial"/>
                <w:sz w:val="20"/>
                <w:szCs w:val="20"/>
              </w:rPr>
              <w:t>Los plazos de atención para las solicitudes de autorizaciones y contratos de acceso a los recursos genéticos y sus derivados se encuentran establecidos en el Reglamento para el acceso a los recursos genéticos y sus derivados aprobado mediante Decreto Supremo Nº 019-2021-MINAM</w:t>
            </w:r>
            <w:r w:rsidR="002F5D4B" w:rsidRPr="00846D49">
              <w:rPr>
                <w:rFonts w:ascii="Arial" w:eastAsia="Arial Narrow" w:hAnsi="Arial" w:cs="Arial"/>
                <w:sz w:val="20"/>
                <w:szCs w:val="20"/>
              </w:rPr>
              <w:t>.</w:t>
            </w:r>
            <w:r w:rsidR="001343D1" w:rsidRPr="00846D49">
              <w:rPr>
                <w:rFonts w:ascii="Arial" w:eastAsia="Arial Narrow" w:hAnsi="Arial" w:cs="Arial"/>
                <w:sz w:val="20"/>
                <w:szCs w:val="20"/>
              </w:rPr>
              <w:t xml:space="preserve"> Los procedimientos son los siguientes:</w:t>
            </w:r>
          </w:p>
          <w:p w14:paraId="48E20005" w14:textId="5FAC59DE" w:rsidR="00A90E9C" w:rsidRPr="00846D49" w:rsidRDefault="00A90E9C" w:rsidP="006B21DE">
            <w:pPr>
              <w:pStyle w:val="Prrafodelista"/>
              <w:spacing w:line="240" w:lineRule="auto"/>
              <w:ind w:left="315"/>
              <w:jc w:val="both"/>
              <w:rPr>
                <w:rFonts w:ascii="Arial" w:eastAsia="Arial Narrow" w:hAnsi="Arial" w:cs="Arial"/>
                <w:sz w:val="20"/>
                <w:szCs w:val="20"/>
              </w:rPr>
            </w:pPr>
          </w:p>
          <w:tbl>
            <w:tblPr>
              <w:tblStyle w:val="Tablaconcuadrcula"/>
              <w:tblW w:w="6039" w:type="dxa"/>
              <w:tblLayout w:type="fixed"/>
              <w:tblLook w:val="04A0" w:firstRow="1" w:lastRow="0" w:firstColumn="1" w:lastColumn="0" w:noHBand="0" w:noVBand="1"/>
            </w:tblPr>
            <w:tblGrid>
              <w:gridCol w:w="4141"/>
              <w:gridCol w:w="1898"/>
            </w:tblGrid>
            <w:tr w:rsidR="00846D49" w:rsidRPr="00846D49" w14:paraId="3E76641D" w14:textId="77777777" w:rsidTr="0019296D">
              <w:tc>
                <w:tcPr>
                  <w:tcW w:w="4141" w:type="dxa"/>
                </w:tcPr>
                <w:p w14:paraId="4F00C2E2" w14:textId="77777777" w:rsidR="002133DB" w:rsidRPr="00846D49" w:rsidRDefault="002133DB" w:rsidP="006B21DE">
                  <w:pPr>
                    <w:jc w:val="center"/>
                    <w:rPr>
                      <w:rFonts w:ascii="Arial" w:eastAsia="Arial Narrow" w:hAnsi="Arial" w:cs="Arial"/>
                      <w:sz w:val="20"/>
                      <w:szCs w:val="20"/>
                    </w:rPr>
                  </w:pPr>
                  <w:r w:rsidRPr="00846D49">
                    <w:rPr>
                      <w:rFonts w:ascii="Arial" w:eastAsia="Arial Narrow" w:hAnsi="Arial" w:cs="Arial"/>
                      <w:sz w:val="20"/>
                      <w:szCs w:val="20"/>
                    </w:rPr>
                    <w:t>Procedimiento:</w:t>
                  </w:r>
                </w:p>
              </w:tc>
              <w:tc>
                <w:tcPr>
                  <w:tcW w:w="1898" w:type="dxa"/>
                </w:tcPr>
                <w:p w14:paraId="6B412D5E" w14:textId="7F0F95FE" w:rsidR="002133DB" w:rsidRPr="00846D49" w:rsidRDefault="009B6706" w:rsidP="006B21DE">
                  <w:pPr>
                    <w:jc w:val="center"/>
                    <w:rPr>
                      <w:rFonts w:ascii="Arial" w:eastAsia="Arial Narrow" w:hAnsi="Arial" w:cs="Arial"/>
                      <w:sz w:val="20"/>
                      <w:szCs w:val="20"/>
                    </w:rPr>
                  </w:pPr>
                  <w:r w:rsidRPr="00846D49">
                    <w:rPr>
                      <w:rFonts w:ascii="Arial" w:eastAsia="Arial Narrow" w:hAnsi="Arial" w:cs="Arial"/>
                      <w:sz w:val="20"/>
                      <w:szCs w:val="20"/>
                    </w:rPr>
                    <w:t>Plazo de atención máximo</w:t>
                  </w:r>
                  <w:r w:rsidR="00037011" w:rsidRPr="00846D49">
                    <w:rPr>
                      <w:rFonts w:ascii="Arial" w:eastAsia="Arial Narrow" w:hAnsi="Arial" w:cs="Arial"/>
                      <w:sz w:val="20"/>
                      <w:szCs w:val="20"/>
                    </w:rPr>
                    <w:t xml:space="preserve"> desde la presentación de la solicitud</w:t>
                  </w:r>
                  <w:r w:rsidR="002133DB" w:rsidRPr="00846D49">
                    <w:rPr>
                      <w:rFonts w:ascii="Arial" w:eastAsia="Arial Narrow" w:hAnsi="Arial" w:cs="Arial"/>
                      <w:sz w:val="20"/>
                      <w:szCs w:val="20"/>
                    </w:rPr>
                    <w:t>:</w:t>
                  </w:r>
                </w:p>
              </w:tc>
            </w:tr>
            <w:tr w:rsidR="00846D49" w:rsidRPr="00846D49" w14:paraId="143923D6" w14:textId="77777777" w:rsidTr="0019296D">
              <w:tc>
                <w:tcPr>
                  <w:tcW w:w="4141" w:type="dxa"/>
                </w:tcPr>
                <w:p w14:paraId="5EEB74D7" w14:textId="5F1AF611" w:rsidR="001343D1" w:rsidRPr="00846D49" w:rsidRDefault="001343D1" w:rsidP="001343D1">
                  <w:pPr>
                    <w:jc w:val="both"/>
                    <w:rPr>
                      <w:rFonts w:ascii="Arial" w:eastAsia="Arial Narrow" w:hAnsi="Arial" w:cs="Arial"/>
                      <w:sz w:val="20"/>
                      <w:szCs w:val="20"/>
                    </w:rPr>
                  </w:pPr>
                  <w:r w:rsidRPr="00846D49">
                    <w:rPr>
                      <w:rFonts w:ascii="Arial" w:eastAsia="Arial Narrow" w:hAnsi="Arial" w:cs="Arial"/>
                      <w:sz w:val="20"/>
                      <w:szCs w:val="20"/>
                    </w:rPr>
                    <w:t>Autorizaciones de acceso a los recursos genéticos y sus derivados de flora y/o fauna silvestre sin fines comerciales</w:t>
                  </w:r>
                </w:p>
              </w:tc>
              <w:tc>
                <w:tcPr>
                  <w:tcW w:w="1898" w:type="dxa"/>
                  <w:vAlign w:val="center"/>
                </w:tcPr>
                <w:p w14:paraId="09EE40D0" w14:textId="27DC6EB2" w:rsidR="001343D1" w:rsidRPr="00846D49" w:rsidRDefault="001343D1" w:rsidP="006B21DE">
                  <w:pPr>
                    <w:jc w:val="center"/>
                    <w:rPr>
                      <w:rFonts w:ascii="Arial" w:eastAsia="Arial Narrow" w:hAnsi="Arial" w:cs="Arial"/>
                      <w:sz w:val="20"/>
                      <w:szCs w:val="20"/>
                    </w:rPr>
                  </w:pPr>
                  <w:r w:rsidRPr="00846D49">
                    <w:rPr>
                      <w:rFonts w:ascii="Arial" w:eastAsia="Arial Narrow" w:hAnsi="Arial" w:cs="Arial"/>
                      <w:sz w:val="20"/>
                      <w:szCs w:val="20"/>
                    </w:rPr>
                    <w:t>30 días</w:t>
                  </w:r>
                  <w:r w:rsidR="006B21DE" w:rsidRPr="00846D49">
                    <w:rPr>
                      <w:rFonts w:ascii="Arial" w:eastAsia="Arial Narrow" w:hAnsi="Arial" w:cs="Arial"/>
                      <w:sz w:val="20"/>
                      <w:szCs w:val="20"/>
                    </w:rPr>
                    <w:t xml:space="preserve"> hábiles</w:t>
                  </w:r>
                </w:p>
              </w:tc>
            </w:tr>
            <w:tr w:rsidR="00846D49" w:rsidRPr="00846D49" w14:paraId="3BDCB3D9" w14:textId="77777777" w:rsidTr="0019296D">
              <w:tc>
                <w:tcPr>
                  <w:tcW w:w="4141" w:type="dxa"/>
                </w:tcPr>
                <w:p w14:paraId="6F208C06" w14:textId="58CBC584" w:rsidR="001343D1" w:rsidRPr="00846D49" w:rsidRDefault="001343D1" w:rsidP="001343D1">
                  <w:pPr>
                    <w:jc w:val="both"/>
                    <w:rPr>
                      <w:rFonts w:ascii="Arial" w:eastAsia="Arial Narrow" w:hAnsi="Arial" w:cs="Arial"/>
                      <w:sz w:val="20"/>
                      <w:szCs w:val="20"/>
                    </w:rPr>
                  </w:pPr>
                  <w:r w:rsidRPr="00846D49">
                    <w:rPr>
                      <w:rFonts w:ascii="Arial" w:eastAsia="Arial Narrow" w:hAnsi="Arial" w:cs="Arial"/>
                      <w:sz w:val="20"/>
                      <w:szCs w:val="20"/>
                    </w:rPr>
                    <w:t>Contratos para el acceso a los recursos genéticos y sus derivados de flora y/o fauna silvestre con fines comerciales</w:t>
                  </w:r>
                </w:p>
              </w:tc>
              <w:tc>
                <w:tcPr>
                  <w:tcW w:w="1898" w:type="dxa"/>
                  <w:vAlign w:val="center"/>
                </w:tcPr>
                <w:p w14:paraId="4EA8C6BA" w14:textId="377D6254" w:rsidR="001343D1" w:rsidRPr="00846D49" w:rsidRDefault="001343D1" w:rsidP="006B21DE">
                  <w:pPr>
                    <w:jc w:val="center"/>
                    <w:rPr>
                      <w:rFonts w:ascii="Arial" w:eastAsia="Arial Narrow" w:hAnsi="Arial" w:cs="Arial"/>
                      <w:sz w:val="20"/>
                      <w:szCs w:val="20"/>
                    </w:rPr>
                  </w:pPr>
                  <w:r w:rsidRPr="00846D49">
                    <w:rPr>
                      <w:rFonts w:ascii="Arial" w:eastAsia="Arial Narrow" w:hAnsi="Arial" w:cs="Arial"/>
                      <w:sz w:val="20"/>
                      <w:szCs w:val="20"/>
                    </w:rPr>
                    <w:t>90 días</w:t>
                  </w:r>
                  <w:r w:rsidR="006B21DE" w:rsidRPr="00846D49">
                    <w:rPr>
                      <w:rFonts w:ascii="Arial" w:eastAsia="Arial Narrow" w:hAnsi="Arial" w:cs="Arial"/>
                      <w:sz w:val="20"/>
                      <w:szCs w:val="20"/>
                    </w:rPr>
                    <w:t xml:space="preserve"> hábiles</w:t>
                  </w:r>
                </w:p>
              </w:tc>
            </w:tr>
            <w:tr w:rsidR="00846D49" w:rsidRPr="00846D49" w14:paraId="6F4D8A4F" w14:textId="77777777" w:rsidTr="0019296D">
              <w:tc>
                <w:tcPr>
                  <w:tcW w:w="4141" w:type="dxa"/>
                </w:tcPr>
                <w:p w14:paraId="1CEC635A" w14:textId="757C37D3" w:rsidR="001343D1" w:rsidRPr="00846D49" w:rsidRDefault="001343D1" w:rsidP="001343D1">
                  <w:pPr>
                    <w:jc w:val="both"/>
                    <w:rPr>
                      <w:rFonts w:ascii="Arial" w:eastAsia="Arial Narrow" w:hAnsi="Arial" w:cs="Arial"/>
                      <w:sz w:val="20"/>
                      <w:szCs w:val="20"/>
                    </w:rPr>
                  </w:pPr>
                  <w:r w:rsidRPr="00846D49">
                    <w:rPr>
                      <w:rFonts w:ascii="Arial" w:eastAsia="Arial Narrow" w:hAnsi="Arial" w:cs="Arial"/>
                      <w:sz w:val="20"/>
                      <w:szCs w:val="20"/>
                    </w:rPr>
                    <w:t>Modificación de autorizaciones y contratos para el acceso a los recursos genéticos y sus derivados de flora y/o fauna silvestre sin fines comerciales</w:t>
                  </w:r>
                </w:p>
              </w:tc>
              <w:tc>
                <w:tcPr>
                  <w:tcW w:w="1898" w:type="dxa"/>
                  <w:vAlign w:val="center"/>
                </w:tcPr>
                <w:p w14:paraId="33AC2D2B" w14:textId="3C7E79B0" w:rsidR="001343D1" w:rsidRPr="00846D49" w:rsidRDefault="001343D1" w:rsidP="006B21DE">
                  <w:pPr>
                    <w:jc w:val="center"/>
                    <w:rPr>
                      <w:rFonts w:ascii="Arial" w:eastAsia="Arial Narrow" w:hAnsi="Arial" w:cs="Arial"/>
                      <w:sz w:val="20"/>
                      <w:szCs w:val="20"/>
                    </w:rPr>
                  </w:pPr>
                  <w:r w:rsidRPr="00846D49">
                    <w:rPr>
                      <w:rFonts w:ascii="Arial" w:eastAsia="Arial Narrow" w:hAnsi="Arial" w:cs="Arial"/>
                      <w:sz w:val="20"/>
                      <w:szCs w:val="20"/>
                    </w:rPr>
                    <w:t>30 días</w:t>
                  </w:r>
                  <w:r w:rsidR="006B21DE" w:rsidRPr="00846D49">
                    <w:rPr>
                      <w:rFonts w:ascii="Arial" w:eastAsia="Arial Narrow" w:hAnsi="Arial" w:cs="Arial"/>
                      <w:sz w:val="20"/>
                      <w:szCs w:val="20"/>
                    </w:rPr>
                    <w:t xml:space="preserve"> hábiles</w:t>
                  </w:r>
                </w:p>
              </w:tc>
            </w:tr>
            <w:tr w:rsidR="00846D49" w:rsidRPr="00846D49" w14:paraId="41692B03" w14:textId="77777777" w:rsidTr="0019296D">
              <w:tc>
                <w:tcPr>
                  <w:tcW w:w="4141" w:type="dxa"/>
                </w:tcPr>
                <w:p w14:paraId="0CBFE1AD" w14:textId="12DA1C43" w:rsidR="001343D1" w:rsidRPr="00846D49" w:rsidRDefault="001343D1" w:rsidP="001343D1">
                  <w:pPr>
                    <w:jc w:val="both"/>
                    <w:rPr>
                      <w:rFonts w:ascii="Arial" w:eastAsia="Arial Narrow" w:hAnsi="Arial" w:cs="Arial"/>
                      <w:sz w:val="20"/>
                      <w:szCs w:val="20"/>
                    </w:rPr>
                  </w:pPr>
                  <w:r w:rsidRPr="00846D49">
                    <w:rPr>
                      <w:rFonts w:ascii="Arial" w:eastAsia="Arial Narrow" w:hAnsi="Arial" w:cs="Arial"/>
                      <w:sz w:val="20"/>
                      <w:szCs w:val="20"/>
                    </w:rPr>
                    <w:t>Modificación de contratos para el acceso a los recursos genéticos y sus derivados de flora y/o fauna silvestre con fines comerciales</w:t>
                  </w:r>
                </w:p>
              </w:tc>
              <w:tc>
                <w:tcPr>
                  <w:tcW w:w="1898" w:type="dxa"/>
                  <w:vAlign w:val="center"/>
                </w:tcPr>
                <w:p w14:paraId="38416FC2" w14:textId="64FFDFAA" w:rsidR="001343D1" w:rsidRPr="00846D49" w:rsidRDefault="001343D1" w:rsidP="006B21DE">
                  <w:pPr>
                    <w:jc w:val="center"/>
                    <w:rPr>
                      <w:rFonts w:ascii="Arial" w:eastAsia="Arial Narrow" w:hAnsi="Arial" w:cs="Arial"/>
                      <w:sz w:val="20"/>
                      <w:szCs w:val="20"/>
                    </w:rPr>
                  </w:pPr>
                  <w:r w:rsidRPr="00846D49">
                    <w:rPr>
                      <w:rFonts w:ascii="Arial" w:eastAsia="Arial Narrow" w:hAnsi="Arial" w:cs="Arial"/>
                      <w:sz w:val="20"/>
                      <w:szCs w:val="20"/>
                    </w:rPr>
                    <w:t>90 días</w:t>
                  </w:r>
                  <w:r w:rsidR="006B21DE" w:rsidRPr="00846D49">
                    <w:rPr>
                      <w:rFonts w:ascii="Arial" w:eastAsia="Arial Narrow" w:hAnsi="Arial" w:cs="Arial"/>
                      <w:sz w:val="20"/>
                      <w:szCs w:val="20"/>
                    </w:rPr>
                    <w:t xml:space="preserve"> hábiles</w:t>
                  </w:r>
                </w:p>
              </w:tc>
            </w:tr>
            <w:tr w:rsidR="00846D49" w:rsidRPr="00846D49" w14:paraId="54ACD962" w14:textId="77777777" w:rsidTr="0019296D">
              <w:tc>
                <w:tcPr>
                  <w:tcW w:w="4141" w:type="dxa"/>
                </w:tcPr>
                <w:p w14:paraId="7AA3DB24" w14:textId="0A99A667" w:rsidR="001343D1" w:rsidRPr="00846D49" w:rsidRDefault="001343D1" w:rsidP="001343D1">
                  <w:pPr>
                    <w:jc w:val="both"/>
                    <w:rPr>
                      <w:rFonts w:ascii="Arial" w:eastAsia="Arial Narrow" w:hAnsi="Arial" w:cs="Arial"/>
                      <w:sz w:val="20"/>
                      <w:szCs w:val="20"/>
                    </w:rPr>
                  </w:pPr>
                  <w:r w:rsidRPr="00846D49">
                    <w:rPr>
                      <w:rFonts w:ascii="Arial" w:eastAsia="Arial Narrow" w:hAnsi="Arial" w:cs="Arial"/>
                      <w:sz w:val="20"/>
                      <w:szCs w:val="20"/>
                    </w:rPr>
                    <w:t>Suspensión de plazo de vigencia de las autorizaciones y contratos para el acceso a los recursos genéticos y sus derivados de flora y/o fauna silvestre</w:t>
                  </w:r>
                </w:p>
              </w:tc>
              <w:tc>
                <w:tcPr>
                  <w:tcW w:w="1898" w:type="dxa"/>
                  <w:vAlign w:val="center"/>
                </w:tcPr>
                <w:p w14:paraId="4391771D" w14:textId="7681EFC0" w:rsidR="001343D1" w:rsidRPr="00846D49" w:rsidRDefault="001343D1" w:rsidP="006B21DE">
                  <w:pPr>
                    <w:jc w:val="center"/>
                    <w:rPr>
                      <w:rFonts w:ascii="Arial" w:eastAsia="Arial Narrow" w:hAnsi="Arial" w:cs="Arial"/>
                      <w:sz w:val="20"/>
                      <w:szCs w:val="20"/>
                    </w:rPr>
                  </w:pPr>
                  <w:r w:rsidRPr="00846D49">
                    <w:rPr>
                      <w:rFonts w:ascii="Arial" w:eastAsia="Arial Narrow" w:hAnsi="Arial" w:cs="Arial"/>
                      <w:sz w:val="20"/>
                      <w:szCs w:val="20"/>
                    </w:rPr>
                    <w:t>30 días</w:t>
                  </w:r>
                  <w:r w:rsidR="006B21DE" w:rsidRPr="00846D49">
                    <w:rPr>
                      <w:rFonts w:ascii="Arial" w:eastAsia="Arial Narrow" w:hAnsi="Arial" w:cs="Arial"/>
                      <w:sz w:val="20"/>
                      <w:szCs w:val="20"/>
                    </w:rPr>
                    <w:t xml:space="preserve"> hábiles</w:t>
                  </w:r>
                </w:p>
                <w:p w14:paraId="7B1AF819" w14:textId="77777777" w:rsidR="001343D1" w:rsidRPr="00846D49" w:rsidRDefault="001343D1" w:rsidP="006B21DE">
                  <w:pPr>
                    <w:jc w:val="center"/>
                    <w:rPr>
                      <w:rFonts w:ascii="Arial" w:eastAsia="Arial Narrow" w:hAnsi="Arial" w:cs="Arial"/>
                      <w:sz w:val="20"/>
                      <w:szCs w:val="20"/>
                    </w:rPr>
                  </w:pPr>
                </w:p>
              </w:tc>
            </w:tr>
          </w:tbl>
          <w:p w14:paraId="4424B356" w14:textId="77777777" w:rsidR="002133DB" w:rsidRPr="00846D49" w:rsidRDefault="002133DB" w:rsidP="0072651A">
            <w:pPr>
              <w:spacing w:line="240" w:lineRule="auto"/>
              <w:jc w:val="both"/>
              <w:rPr>
                <w:rFonts w:ascii="Arial" w:eastAsia="Arial Narrow" w:hAnsi="Arial" w:cs="Arial"/>
                <w:sz w:val="20"/>
                <w:szCs w:val="20"/>
              </w:rPr>
            </w:pPr>
          </w:p>
          <w:p w14:paraId="21279DB4" w14:textId="62D1B18D" w:rsidR="00A90E9C" w:rsidRPr="00846D49" w:rsidRDefault="00A90E9C" w:rsidP="0072651A">
            <w:pPr>
              <w:spacing w:line="240" w:lineRule="auto"/>
              <w:jc w:val="both"/>
              <w:rPr>
                <w:rFonts w:ascii="Arial" w:eastAsia="Arial Narrow" w:hAnsi="Arial" w:cs="Arial"/>
                <w:sz w:val="20"/>
                <w:szCs w:val="20"/>
              </w:rPr>
            </w:pPr>
            <w:r w:rsidRPr="00846D49">
              <w:rPr>
                <w:rFonts w:ascii="Arial" w:eastAsia="Arial Narrow" w:hAnsi="Arial" w:cs="Arial"/>
                <w:sz w:val="20"/>
                <w:szCs w:val="20"/>
              </w:rPr>
              <w:t xml:space="preserve">El plazo máximo de atención </w:t>
            </w:r>
            <w:r w:rsidR="002F5D4B" w:rsidRPr="00846D49">
              <w:rPr>
                <w:rFonts w:ascii="Arial" w:eastAsia="Arial Narrow" w:hAnsi="Arial" w:cs="Arial"/>
                <w:sz w:val="20"/>
                <w:szCs w:val="20"/>
              </w:rPr>
              <w:t xml:space="preserve">de </w:t>
            </w:r>
            <w:r w:rsidRPr="00846D49">
              <w:rPr>
                <w:rFonts w:ascii="Arial" w:eastAsia="Arial Narrow" w:hAnsi="Arial" w:cs="Arial"/>
                <w:sz w:val="20"/>
                <w:szCs w:val="20"/>
              </w:rPr>
              <w:t>las solicitudes relacionadas con permisos de exportación de flora y fauna silvestre no puede exceder de 30 días hábiles (art. 35° y 142° Ley Nº 27444)</w:t>
            </w:r>
            <w:r w:rsidR="006B21DE" w:rsidRPr="00846D49">
              <w:rPr>
                <w:rFonts w:ascii="Arial" w:eastAsia="Arial Narrow" w:hAnsi="Arial" w:cs="Arial"/>
                <w:sz w:val="20"/>
                <w:szCs w:val="20"/>
              </w:rPr>
              <w:t xml:space="preserve">. </w:t>
            </w:r>
            <w:r w:rsidR="001343D1" w:rsidRPr="00846D49">
              <w:rPr>
                <w:rFonts w:ascii="Arial" w:eastAsia="Arial Narrow" w:hAnsi="Arial" w:cs="Arial"/>
                <w:sz w:val="20"/>
                <w:szCs w:val="20"/>
              </w:rPr>
              <w:t>Los procedimientos son los siguientes:</w:t>
            </w:r>
          </w:p>
          <w:tbl>
            <w:tblPr>
              <w:tblStyle w:val="Tablaconcuadrcula"/>
              <w:tblW w:w="12077" w:type="dxa"/>
              <w:tblLayout w:type="fixed"/>
              <w:tblLook w:val="04A0" w:firstRow="1" w:lastRow="0" w:firstColumn="1" w:lastColumn="0" w:noHBand="0" w:noVBand="1"/>
            </w:tblPr>
            <w:tblGrid>
              <w:gridCol w:w="4141"/>
              <w:gridCol w:w="1897"/>
              <w:gridCol w:w="3019"/>
              <w:gridCol w:w="3020"/>
            </w:tblGrid>
            <w:tr w:rsidR="00846D49" w:rsidRPr="00846D49" w14:paraId="7DE70855" w14:textId="77777777" w:rsidTr="0019296D">
              <w:tc>
                <w:tcPr>
                  <w:tcW w:w="4141" w:type="dxa"/>
                </w:tcPr>
                <w:p w14:paraId="6236FCB7" w14:textId="7189A824" w:rsidR="001343D1" w:rsidRPr="00846D49" w:rsidRDefault="001343D1" w:rsidP="001343D1">
                  <w:pPr>
                    <w:jc w:val="both"/>
                    <w:rPr>
                      <w:rFonts w:ascii="Arial" w:eastAsia="Arial Narrow" w:hAnsi="Arial" w:cs="Arial"/>
                      <w:sz w:val="20"/>
                      <w:szCs w:val="20"/>
                    </w:rPr>
                  </w:pPr>
                  <w:r w:rsidRPr="00846D49">
                    <w:rPr>
                      <w:rFonts w:ascii="Arial" w:eastAsia="Arial Narrow" w:hAnsi="Arial" w:cs="Arial"/>
                      <w:sz w:val="20"/>
                      <w:szCs w:val="20"/>
                    </w:rPr>
                    <w:t>Procedimiento:</w:t>
                  </w:r>
                </w:p>
              </w:tc>
              <w:tc>
                <w:tcPr>
                  <w:tcW w:w="1897" w:type="dxa"/>
                </w:tcPr>
                <w:p w14:paraId="7289F05D" w14:textId="01EF7423" w:rsidR="001343D1" w:rsidRPr="00846D49" w:rsidRDefault="001343D1" w:rsidP="001343D1">
                  <w:pPr>
                    <w:jc w:val="both"/>
                    <w:rPr>
                      <w:rFonts w:ascii="Arial" w:eastAsia="Arial Narrow" w:hAnsi="Arial" w:cs="Arial"/>
                      <w:sz w:val="20"/>
                      <w:szCs w:val="20"/>
                    </w:rPr>
                  </w:pPr>
                  <w:r w:rsidRPr="00846D49">
                    <w:rPr>
                      <w:rFonts w:ascii="Arial" w:eastAsia="Arial Narrow" w:hAnsi="Arial" w:cs="Arial"/>
                      <w:sz w:val="20"/>
                      <w:szCs w:val="20"/>
                    </w:rPr>
                    <w:t>Plazo de atención máximo</w:t>
                  </w:r>
                  <w:r w:rsidR="00037011" w:rsidRPr="00846D49">
                    <w:rPr>
                      <w:rFonts w:ascii="Arial" w:eastAsia="Arial Narrow" w:hAnsi="Arial" w:cs="Arial"/>
                      <w:sz w:val="20"/>
                      <w:szCs w:val="20"/>
                    </w:rPr>
                    <w:t xml:space="preserve"> desde la presentación de la solicitud</w:t>
                  </w:r>
                  <w:r w:rsidRPr="00846D49">
                    <w:rPr>
                      <w:rFonts w:ascii="Arial" w:eastAsia="Arial Narrow" w:hAnsi="Arial" w:cs="Arial"/>
                      <w:sz w:val="20"/>
                      <w:szCs w:val="20"/>
                    </w:rPr>
                    <w:t>:</w:t>
                  </w:r>
                </w:p>
              </w:tc>
              <w:tc>
                <w:tcPr>
                  <w:tcW w:w="3019" w:type="dxa"/>
                </w:tcPr>
                <w:p w14:paraId="2D88A798" w14:textId="4FDCBC77" w:rsidR="001343D1" w:rsidRPr="00846D49" w:rsidRDefault="001343D1" w:rsidP="001343D1">
                  <w:pPr>
                    <w:jc w:val="both"/>
                    <w:rPr>
                      <w:rFonts w:ascii="Arial" w:eastAsia="Arial Narrow" w:hAnsi="Arial" w:cs="Arial"/>
                      <w:sz w:val="20"/>
                      <w:szCs w:val="20"/>
                    </w:rPr>
                  </w:pPr>
                </w:p>
              </w:tc>
              <w:tc>
                <w:tcPr>
                  <w:tcW w:w="3020" w:type="dxa"/>
                </w:tcPr>
                <w:p w14:paraId="6E924ED4" w14:textId="552AE753" w:rsidR="001343D1" w:rsidRPr="00846D49" w:rsidRDefault="001343D1" w:rsidP="001343D1">
                  <w:pPr>
                    <w:jc w:val="both"/>
                    <w:rPr>
                      <w:rFonts w:ascii="Arial" w:eastAsia="Arial Narrow" w:hAnsi="Arial" w:cs="Arial"/>
                      <w:sz w:val="20"/>
                      <w:szCs w:val="20"/>
                    </w:rPr>
                  </w:pPr>
                </w:p>
              </w:tc>
            </w:tr>
            <w:tr w:rsidR="00846D49" w:rsidRPr="00846D49" w14:paraId="1746DA5C" w14:textId="77777777" w:rsidTr="0019296D">
              <w:tc>
                <w:tcPr>
                  <w:tcW w:w="4141" w:type="dxa"/>
                </w:tcPr>
                <w:p w14:paraId="45CB177D" w14:textId="46353F1E" w:rsidR="001343D1" w:rsidRPr="00846D49" w:rsidRDefault="001343D1" w:rsidP="001343D1">
                  <w:pPr>
                    <w:jc w:val="both"/>
                    <w:rPr>
                      <w:rFonts w:ascii="Arial" w:eastAsia="Arial Narrow" w:hAnsi="Arial" w:cs="Arial"/>
                      <w:sz w:val="20"/>
                      <w:szCs w:val="20"/>
                    </w:rPr>
                  </w:pPr>
                  <w:r w:rsidRPr="00846D49">
                    <w:rPr>
                      <w:rFonts w:ascii="Arial" w:eastAsia="Arial Narrow" w:hAnsi="Arial" w:cs="Arial"/>
                      <w:sz w:val="20"/>
                      <w:szCs w:val="20"/>
                    </w:rPr>
                    <w:t>Permiso de exportación con fines científicos de especímenes de especies NO CITES de fauna y/o flora silvestre</w:t>
                  </w:r>
                </w:p>
              </w:tc>
              <w:tc>
                <w:tcPr>
                  <w:tcW w:w="1897" w:type="dxa"/>
                  <w:vAlign w:val="center"/>
                </w:tcPr>
                <w:p w14:paraId="1B50E862" w14:textId="6CD60242" w:rsidR="001343D1" w:rsidRPr="00846D49" w:rsidRDefault="001343D1" w:rsidP="001343D1">
                  <w:pPr>
                    <w:jc w:val="both"/>
                    <w:rPr>
                      <w:rFonts w:ascii="Arial" w:eastAsia="Arial Narrow" w:hAnsi="Arial" w:cs="Arial"/>
                      <w:sz w:val="20"/>
                      <w:szCs w:val="20"/>
                    </w:rPr>
                  </w:pPr>
                  <w:r w:rsidRPr="00846D49">
                    <w:rPr>
                      <w:rFonts w:ascii="Arial" w:eastAsia="Arial Narrow" w:hAnsi="Arial" w:cs="Arial"/>
                      <w:sz w:val="20"/>
                      <w:szCs w:val="20"/>
                    </w:rPr>
                    <w:t>30 días</w:t>
                  </w:r>
                  <w:r w:rsidR="006B21DE" w:rsidRPr="00846D49">
                    <w:rPr>
                      <w:rFonts w:ascii="Arial" w:eastAsia="Arial Narrow" w:hAnsi="Arial" w:cs="Arial"/>
                      <w:sz w:val="20"/>
                      <w:szCs w:val="20"/>
                    </w:rPr>
                    <w:t xml:space="preserve"> hábiles</w:t>
                  </w:r>
                </w:p>
              </w:tc>
              <w:tc>
                <w:tcPr>
                  <w:tcW w:w="3019" w:type="dxa"/>
                </w:tcPr>
                <w:p w14:paraId="2337A5AF" w14:textId="30D7119A" w:rsidR="001343D1" w:rsidRPr="00846D49" w:rsidRDefault="001343D1" w:rsidP="001343D1">
                  <w:pPr>
                    <w:jc w:val="both"/>
                    <w:rPr>
                      <w:rFonts w:ascii="Arial" w:eastAsia="Arial Narrow" w:hAnsi="Arial" w:cs="Arial"/>
                      <w:sz w:val="20"/>
                      <w:szCs w:val="20"/>
                    </w:rPr>
                  </w:pPr>
                </w:p>
              </w:tc>
              <w:tc>
                <w:tcPr>
                  <w:tcW w:w="3020" w:type="dxa"/>
                </w:tcPr>
                <w:p w14:paraId="28DBE758" w14:textId="4AE1BCD4" w:rsidR="001343D1" w:rsidRPr="00846D49" w:rsidRDefault="001343D1" w:rsidP="001343D1">
                  <w:pPr>
                    <w:jc w:val="both"/>
                    <w:rPr>
                      <w:rFonts w:ascii="Arial" w:eastAsia="Arial Narrow" w:hAnsi="Arial" w:cs="Arial"/>
                      <w:sz w:val="20"/>
                      <w:szCs w:val="20"/>
                    </w:rPr>
                  </w:pPr>
                </w:p>
              </w:tc>
            </w:tr>
            <w:tr w:rsidR="00846D49" w:rsidRPr="00846D49" w14:paraId="28342411" w14:textId="77777777" w:rsidTr="0019296D">
              <w:tc>
                <w:tcPr>
                  <w:tcW w:w="4141" w:type="dxa"/>
                </w:tcPr>
                <w:p w14:paraId="4E9F009B" w14:textId="74812BB3" w:rsidR="001343D1" w:rsidRPr="00846D49" w:rsidRDefault="001343D1" w:rsidP="001343D1">
                  <w:pPr>
                    <w:jc w:val="both"/>
                    <w:rPr>
                      <w:rFonts w:ascii="Arial" w:eastAsia="Arial Narrow" w:hAnsi="Arial" w:cs="Arial"/>
                      <w:sz w:val="20"/>
                      <w:szCs w:val="20"/>
                    </w:rPr>
                  </w:pPr>
                  <w:r w:rsidRPr="00846D49">
                    <w:rPr>
                      <w:rFonts w:ascii="Arial" w:eastAsia="Arial Narrow" w:hAnsi="Arial" w:cs="Arial"/>
                      <w:sz w:val="20"/>
                      <w:szCs w:val="20"/>
                    </w:rPr>
                    <w:t>Permiso de exportación con fines científicos de especímenes de especies CITES de fauna y/o flora silvestre</w:t>
                  </w:r>
                </w:p>
              </w:tc>
              <w:tc>
                <w:tcPr>
                  <w:tcW w:w="1897" w:type="dxa"/>
                  <w:vAlign w:val="center"/>
                </w:tcPr>
                <w:p w14:paraId="44E7078F" w14:textId="2C6EAB1B" w:rsidR="001343D1" w:rsidRPr="00846D49" w:rsidRDefault="001343D1" w:rsidP="001343D1">
                  <w:pPr>
                    <w:jc w:val="both"/>
                    <w:rPr>
                      <w:rFonts w:ascii="Arial" w:eastAsia="Arial Narrow" w:hAnsi="Arial" w:cs="Arial"/>
                      <w:sz w:val="20"/>
                      <w:szCs w:val="20"/>
                    </w:rPr>
                  </w:pPr>
                  <w:r w:rsidRPr="00846D49">
                    <w:rPr>
                      <w:rFonts w:ascii="Arial" w:eastAsia="Arial Narrow" w:hAnsi="Arial" w:cs="Arial"/>
                      <w:sz w:val="20"/>
                      <w:szCs w:val="20"/>
                    </w:rPr>
                    <w:t>30 días</w:t>
                  </w:r>
                  <w:r w:rsidR="006B21DE" w:rsidRPr="00846D49">
                    <w:rPr>
                      <w:rFonts w:ascii="Arial" w:eastAsia="Arial Narrow" w:hAnsi="Arial" w:cs="Arial"/>
                      <w:sz w:val="20"/>
                      <w:szCs w:val="20"/>
                    </w:rPr>
                    <w:t xml:space="preserve"> hábiles</w:t>
                  </w:r>
                </w:p>
              </w:tc>
              <w:tc>
                <w:tcPr>
                  <w:tcW w:w="3019" w:type="dxa"/>
                </w:tcPr>
                <w:p w14:paraId="1433C887" w14:textId="09EFC681" w:rsidR="001343D1" w:rsidRPr="00846D49" w:rsidRDefault="001343D1" w:rsidP="001343D1">
                  <w:pPr>
                    <w:jc w:val="both"/>
                    <w:rPr>
                      <w:rFonts w:ascii="Arial" w:eastAsia="Arial Narrow" w:hAnsi="Arial" w:cs="Arial"/>
                      <w:sz w:val="20"/>
                      <w:szCs w:val="20"/>
                    </w:rPr>
                  </w:pPr>
                </w:p>
              </w:tc>
              <w:tc>
                <w:tcPr>
                  <w:tcW w:w="3020" w:type="dxa"/>
                </w:tcPr>
                <w:p w14:paraId="21A09300" w14:textId="7BCB6078" w:rsidR="001343D1" w:rsidRPr="00846D49" w:rsidRDefault="001343D1" w:rsidP="001343D1">
                  <w:pPr>
                    <w:jc w:val="both"/>
                    <w:rPr>
                      <w:rFonts w:ascii="Arial" w:eastAsia="Arial Narrow" w:hAnsi="Arial" w:cs="Arial"/>
                      <w:sz w:val="20"/>
                      <w:szCs w:val="20"/>
                    </w:rPr>
                  </w:pPr>
                </w:p>
              </w:tc>
            </w:tr>
            <w:tr w:rsidR="00846D49" w:rsidRPr="00846D49" w14:paraId="04972A04" w14:textId="77777777" w:rsidTr="0019296D">
              <w:tc>
                <w:tcPr>
                  <w:tcW w:w="4141" w:type="dxa"/>
                </w:tcPr>
                <w:p w14:paraId="7147EF13" w14:textId="4B068A41" w:rsidR="001343D1" w:rsidRPr="00846D49" w:rsidRDefault="001343D1" w:rsidP="001343D1">
                  <w:pPr>
                    <w:jc w:val="both"/>
                    <w:rPr>
                      <w:rFonts w:ascii="Arial" w:eastAsia="Arial Narrow" w:hAnsi="Arial" w:cs="Arial"/>
                      <w:sz w:val="20"/>
                      <w:szCs w:val="20"/>
                    </w:rPr>
                  </w:pPr>
                  <w:r w:rsidRPr="00846D49">
                    <w:rPr>
                      <w:rFonts w:ascii="Arial" w:eastAsia="Arial Narrow" w:hAnsi="Arial" w:cs="Arial"/>
                      <w:sz w:val="20"/>
                      <w:szCs w:val="20"/>
                    </w:rPr>
                    <w:t>Permiso de importación con fines científicos de especímenes de especies CITES de fauna y/o flora silvestre</w:t>
                  </w:r>
                </w:p>
              </w:tc>
              <w:tc>
                <w:tcPr>
                  <w:tcW w:w="1897" w:type="dxa"/>
                  <w:vAlign w:val="center"/>
                </w:tcPr>
                <w:p w14:paraId="6FABAE5A" w14:textId="0A8C6508" w:rsidR="001343D1" w:rsidRPr="00846D49" w:rsidRDefault="001343D1" w:rsidP="001343D1">
                  <w:pPr>
                    <w:jc w:val="both"/>
                    <w:rPr>
                      <w:rFonts w:ascii="Arial" w:eastAsia="Arial Narrow" w:hAnsi="Arial" w:cs="Arial"/>
                      <w:sz w:val="20"/>
                      <w:szCs w:val="20"/>
                    </w:rPr>
                  </w:pPr>
                  <w:r w:rsidRPr="00846D49">
                    <w:rPr>
                      <w:rFonts w:ascii="Arial" w:eastAsia="Arial Narrow" w:hAnsi="Arial" w:cs="Arial"/>
                      <w:sz w:val="20"/>
                      <w:szCs w:val="20"/>
                    </w:rPr>
                    <w:t>30 días</w:t>
                  </w:r>
                  <w:r w:rsidR="006B21DE" w:rsidRPr="00846D49">
                    <w:rPr>
                      <w:rFonts w:ascii="Arial" w:eastAsia="Arial Narrow" w:hAnsi="Arial" w:cs="Arial"/>
                      <w:sz w:val="20"/>
                      <w:szCs w:val="20"/>
                    </w:rPr>
                    <w:t xml:space="preserve"> hábiles</w:t>
                  </w:r>
                </w:p>
              </w:tc>
              <w:tc>
                <w:tcPr>
                  <w:tcW w:w="3019" w:type="dxa"/>
                </w:tcPr>
                <w:p w14:paraId="73587B70" w14:textId="6E19DD33" w:rsidR="001343D1" w:rsidRPr="00846D49" w:rsidRDefault="001343D1" w:rsidP="001343D1">
                  <w:pPr>
                    <w:jc w:val="both"/>
                    <w:rPr>
                      <w:rFonts w:ascii="Arial" w:eastAsia="Arial Narrow" w:hAnsi="Arial" w:cs="Arial"/>
                      <w:sz w:val="20"/>
                      <w:szCs w:val="20"/>
                    </w:rPr>
                  </w:pPr>
                </w:p>
              </w:tc>
              <w:tc>
                <w:tcPr>
                  <w:tcW w:w="3020" w:type="dxa"/>
                </w:tcPr>
                <w:p w14:paraId="24845AAB" w14:textId="6F415CAA" w:rsidR="001343D1" w:rsidRPr="00846D49" w:rsidRDefault="001343D1" w:rsidP="001343D1">
                  <w:pPr>
                    <w:jc w:val="both"/>
                    <w:rPr>
                      <w:rFonts w:ascii="Arial" w:eastAsia="Arial Narrow" w:hAnsi="Arial" w:cs="Arial"/>
                      <w:sz w:val="20"/>
                      <w:szCs w:val="20"/>
                    </w:rPr>
                  </w:pPr>
                </w:p>
              </w:tc>
            </w:tr>
            <w:tr w:rsidR="00846D49" w:rsidRPr="00846D49" w14:paraId="757B2221" w14:textId="77777777" w:rsidTr="0019296D">
              <w:tc>
                <w:tcPr>
                  <w:tcW w:w="4141" w:type="dxa"/>
                </w:tcPr>
                <w:p w14:paraId="1D16E5BE" w14:textId="00007A76" w:rsidR="001343D1" w:rsidRPr="00846D49" w:rsidRDefault="001343D1" w:rsidP="001343D1">
                  <w:pPr>
                    <w:jc w:val="both"/>
                    <w:rPr>
                      <w:rFonts w:ascii="Arial" w:eastAsia="Arial Narrow" w:hAnsi="Arial" w:cs="Arial"/>
                      <w:sz w:val="20"/>
                      <w:szCs w:val="20"/>
                    </w:rPr>
                  </w:pPr>
                  <w:r w:rsidRPr="00846D49">
                    <w:rPr>
                      <w:rFonts w:ascii="Arial" w:eastAsia="Arial Narrow" w:hAnsi="Arial" w:cs="Arial"/>
                      <w:sz w:val="20"/>
                      <w:szCs w:val="20"/>
                    </w:rPr>
                    <w:t>Permiso de reexportación con fines científicos de especímenes de especies CITES de fauna y/o flora silvestre</w:t>
                  </w:r>
                </w:p>
              </w:tc>
              <w:tc>
                <w:tcPr>
                  <w:tcW w:w="1897" w:type="dxa"/>
                  <w:vAlign w:val="center"/>
                </w:tcPr>
                <w:p w14:paraId="12785FFA" w14:textId="74398AC0" w:rsidR="001343D1" w:rsidRPr="00846D49" w:rsidRDefault="001343D1" w:rsidP="001343D1">
                  <w:pPr>
                    <w:jc w:val="both"/>
                    <w:rPr>
                      <w:rFonts w:ascii="Arial" w:eastAsia="Arial Narrow" w:hAnsi="Arial" w:cs="Arial"/>
                      <w:sz w:val="20"/>
                      <w:szCs w:val="20"/>
                    </w:rPr>
                  </w:pPr>
                  <w:r w:rsidRPr="00846D49">
                    <w:rPr>
                      <w:rFonts w:ascii="Arial" w:eastAsia="Arial Narrow" w:hAnsi="Arial" w:cs="Arial"/>
                      <w:sz w:val="20"/>
                      <w:szCs w:val="20"/>
                    </w:rPr>
                    <w:t>30 días</w:t>
                  </w:r>
                  <w:r w:rsidR="006B21DE" w:rsidRPr="00846D49">
                    <w:rPr>
                      <w:rFonts w:ascii="Arial" w:eastAsia="Arial Narrow" w:hAnsi="Arial" w:cs="Arial"/>
                      <w:sz w:val="20"/>
                      <w:szCs w:val="20"/>
                    </w:rPr>
                    <w:t xml:space="preserve"> hábiles</w:t>
                  </w:r>
                </w:p>
              </w:tc>
              <w:tc>
                <w:tcPr>
                  <w:tcW w:w="3019" w:type="dxa"/>
                </w:tcPr>
                <w:p w14:paraId="36339167" w14:textId="284C95AD" w:rsidR="001343D1" w:rsidRPr="00846D49" w:rsidRDefault="001343D1" w:rsidP="001343D1">
                  <w:pPr>
                    <w:jc w:val="both"/>
                    <w:rPr>
                      <w:rFonts w:ascii="Arial" w:eastAsia="Arial Narrow" w:hAnsi="Arial" w:cs="Arial"/>
                      <w:sz w:val="20"/>
                      <w:szCs w:val="20"/>
                    </w:rPr>
                  </w:pPr>
                </w:p>
              </w:tc>
              <w:tc>
                <w:tcPr>
                  <w:tcW w:w="3020" w:type="dxa"/>
                </w:tcPr>
                <w:p w14:paraId="735DEDDD" w14:textId="4794C1F9" w:rsidR="001343D1" w:rsidRPr="00846D49" w:rsidRDefault="001343D1" w:rsidP="001343D1">
                  <w:pPr>
                    <w:jc w:val="both"/>
                    <w:rPr>
                      <w:rFonts w:ascii="Arial" w:eastAsia="Arial Narrow" w:hAnsi="Arial" w:cs="Arial"/>
                      <w:sz w:val="20"/>
                      <w:szCs w:val="20"/>
                    </w:rPr>
                  </w:pPr>
                </w:p>
              </w:tc>
            </w:tr>
          </w:tbl>
          <w:p w14:paraId="08A7EF01" w14:textId="77777777" w:rsidR="002133DB" w:rsidRPr="00846D49" w:rsidRDefault="002133DB" w:rsidP="0072651A">
            <w:pPr>
              <w:spacing w:line="240" w:lineRule="auto"/>
              <w:jc w:val="both"/>
              <w:rPr>
                <w:rFonts w:ascii="Arial" w:eastAsia="Arial Narrow" w:hAnsi="Arial" w:cs="Arial"/>
                <w:sz w:val="20"/>
                <w:szCs w:val="20"/>
              </w:rPr>
            </w:pPr>
          </w:p>
          <w:p w14:paraId="019EB27D" w14:textId="59BA5B79" w:rsidR="00A90E9C" w:rsidRPr="00846D49" w:rsidRDefault="00A90E9C" w:rsidP="0072651A">
            <w:pPr>
              <w:spacing w:line="240" w:lineRule="auto"/>
              <w:jc w:val="both"/>
              <w:rPr>
                <w:rFonts w:ascii="Arial" w:eastAsia="Arial Narrow" w:hAnsi="Arial" w:cs="Arial"/>
                <w:sz w:val="20"/>
                <w:szCs w:val="20"/>
              </w:rPr>
            </w:pPr>
            <w:r w:rsidRPr="00846D49">
              <w:rPr>
                <w:rFonts w:ascii="Arial" w:eastAsia="Arial Narrow" w:hAnsi="Arial" w:cs="Arial"/>
                <w:sz w:val="20"/>
                <w:szCs w:val="20"/>
              </w:rPr>
              <w:t>El plazo máximo de atención para atender las solicitudes para autorización de registro de instituciones científicas nacionales depositarias de material biológico colectado en investigaciones de flora y/o fauna no puede</w:t>
            </w:r>
            <w:r w:rsidR="001712EE" w:rsidRPr="00846D49">
              <w:rPr>
                <w:rFonts w:ascii="Arial" w:eastAsia="Arial Narrow" w:hAnsi="Arial" w:cs="Arial"/>
                <w:sz w:val="20"/>
                <w:szCs w:val="20"/>
              </w:rPr>
              <w:t>n</w:t>
            </w:r>
            <w:r w:rsidRPr="00846D49">
              <w:rPr>
                <w:rFonts w:ascii="Arial" w:eastAsia="Arial Narrow" w:hAnsi="Arial" w:cs="Arial"/>
                <w:sz w:val="20"/>
                <w:szCs w:val="20"/>
              </w:rPr>
              <w:t xml:space="preserve"> exceder </w:t>
            </w:r>
            <w:r w:rsidR="009B6706" w:rsidRPr="00846D49">
              <w:rPr>
                <w:rFonts w:ascii="Arial" w:eastAsia="Arial Narrow" w:hAnsi="Arial" w:cs="Arial"/>
                <w:sz w:val="20"/>
                <w:szCs w:val="20"/>
              </w:rPr>
              <w:t>lo</w:t>
            </w:r>
            <w:r w:rsidR="001343D1" w:rsidRPr="00846D49">
              <w:rPr>
                <w:rFonts w:ascii="Arial" w:eastAsia="Arial Narrow" w:hAnsi="Arial" w:cs="Arial"/>
                <w:sz w:val="20"/>
                <w:szCs w:val="20"/>
              </w:rPr>
              <w:t>s</w:t>
            </w:r>
            <w:r w:rsidR="009B6706" w:rsidRPr="00846D49">
              <w:rPr>
                <w:rFonts w:ascii="Arial" w:eastAsia="Arial Narrow" w:hAnsi="Arial" w:cs="Arial"/>
                <w:sz w:val="20"/>
                <w:szCs w:val="20"/>
              </w:rPr>
              <w:t xml:space="preserve"> </w:t>
            </w:r>
            <w:r w:rsidRPr="00846D49">
              <w:rPr>
                <w:rFonts w:ascii="Arial" w:eastAsia="Arial Narrow" w:hAnsi="Arial" w:cs="Arial"/>
                <w:sz w:val="20"/>
                <w:szCs w:val="20"/>
              </w:rPr>
              <w:t>30 días hábiles (art. 35° y 142° Ley Nº 27444)</w:t>
            </w:r>
            <w:r w:rsidR="009B6706" w:rsidRPr="00846D49">
              <w:rPr>
                <w:rFonts w:ascii="Arial" w:eastAsia="Arial Narrow" w:hAnsi="Arial" w:cs="Arial"/>
                <w:sz w:val="20"/>
                <w:szCs w:val="20"/>
              </w:rPr>
              <w:t>.</w:t>
            </w:r>
            <w:r w:rsidRPr="00846D49">
              <w:rPr>
                <w:rFonts w:ascii="Arial" w:eastAsia="Arial Narrow" w:hAnsi="Arial" w:cs="Arial"/>
                <w:sz w:val="20"/>
                <w:szCs w:val="20"/>
              </w:rPr>
              <w:t xml:space="preserve"> </w:t>
            </w:r>
          </w:p>
          <w:p w14:paraId="403211FE" w14:textId="28119802" w:rsidR="00A90E9C" w:rsidRPr="00846D49" w:rsidRDefault="00AA3BB0" w:rsidP="0072651A">
            <w:pPr>
              <w:spacing w:line="240" w:lineRule="auto"/>
              <w:jc w:val="both"/>
              <w:rPr>
                <w:rFonts w:ascii="Arial" w:eastAsia="Arial Narrow" w:hAnsi="Arial" w:cs="Arial"/>
                <w:b/>
                <w:bCs/>
                <w:sz w:val="20"/>
                <w:szCs w:val="20"/>
              </w:rPr>
            </w:pPr>
            <w:r w:rsidRPr="00846D49">
              <w:rPr>
                <w:rFonts w:ascii="Arial" w:eastAsia="Arial Narrow" w:hAnsi="Arial" w:cs="Arial"/>
                <w:b/>
                <w:bCs/>
                <w:sz w:val="20"/>
                <w:szCs w:val="20"/>
              </w:rPr>
              <w:t>Algunas d</w:t>
            </w:r>
            <w:r w:rsidR="00A90E9C" w:rsidRPr="00846D49">
              <w:rPr>
                <w:rFonts w:ascii="Arial" w:eastAsia="Arial Narrow" w:hAnsi="Arial" w:cs="Arial"/>
                <w:b/>
                <w:bCs/>
                <w:sz w:val="20"/>
                <w:szCs w:val="20"/>
              </w:rPr>
              <w:t>efiniciones:</w:t>
            </w:r>
          </w:p>
          <w:p w14:paraId="5BE91A09" w14:textId="77777777" w:rsidR="00A90E9C" w:rsidRPr="00846D49" w:rsidRDefault="00A90E9C" w:rsidP="0072651A">
            <w:pPr>
              <w:tabs>
                <w:tab w:val="left" w:pos="3375"/>
              </w:tabs>
              <w:spacing w:after="0"/>
              <w:jc w:val="both"/>
              <w:rPr>
                <w:rFonts w:ascii="Arial" w:eastAsia="Arial Narrow" w:hAnsi="Arial" w:cs="Arial"/>
                <w:sz w:val="20"/>
                <w:szCs w:val="20"/>
              </w:rPr>
            </w:pPr>
            <w:r w:rsidRPr="00846D49">
              <w:rPr>
                <w:rFonts w:ascii="Arial" w:eastAsia="Arial Narrow" w:hAnsi="Arial" w:cs="Arial"/>
                <w:b/>
                <w:sz w:val="20"/>
                <w:szCs w:val="20"/>
              </w:rPr>
              <w:t>Investigación científica:</w:t>
            </w:r>
            <w:r w:rsidRPr="00846D49">
              <w:rPr>
                <w:rFonts w:ascii="Arial" w:eastAsia="Arial Narrow" w:hAnsi="Arial" w:cs="Arial"/>
                <w:sz w:val="20"/>
                <w:szCs w:val="20"/>
              </w:rPr>
              <w:t xml:space="preserve"> Es toda aquella investigación original y planificado que tiene como finalidad obtener nuevos conocimientos científicos y tecnológicos.</w:t>
            </w:r>
          </w:p>
          <w:p w14:paraId="1898ABA1" w14:textId="77777777" w:rsidR="00A90E9C" w:rsidRPr="00846D49" w:rsidRDefault="00A90E9C" w:rsidP="0072651A">
            <w:pPr>
              <w:tabs>
                <w:tab w:val="left" w:pos="3375"/>
              </w:tabs>
              <w:spacing w:after="0"/>
              <w:jc w:val="both"/>
              <w:rPr>
                <w:rFonts w:ascii="Arial" w:eastAsia="Arial Narrow" w:hAnsi="Arial" w:cs="Arial"/>
                <w:sz w:val="20"/>
                <w:szCs w:val="20"/>
              </w:rPr>
            </w:pPr>
            <w:r w:rsidRPr="00846D49">
              <w:rPr>
                <w:rFonts w:ascii="Arial" w:eastAsia="Arial Narrow" w:hAnsi="Arial" w:cs="Arial"/>
                <w:b/>
                <w:sz w:val="20"/>
                <w:szCs w:val="20"/>
              </w:rPr>
              <w:lastRenderedPageBreak/>
              <w:t xml:space="preserve">Acceso a los recursos genéticos: </w:t>
            </w:r>
            <w:r w:rsidRPr="00846D49">
              <w:rPr>
                <w:rFonts w:ascii="Arial" w:eastAsia="Arial Narrow" w:hAnsi="Arial" w:cs="Arial"/>
                <w:sz w:val="20"/>
                <w:szCs w:val="20"/>
              </w:rPr>
              <w:t>Obtención y utilización de los recursos genéticos y sus derivados para actividades con o sin fines comerciales.</w:t>
            </w:r>
          </w:p>
          <w:p w14:paraId="33FD0998" w14:textId="77777777" w:rsidR="00A90E9C" w:rsidRPr="00846D49" w:rsidRDefault="00A90E9C" w:rsidP="0072651A">
            <w:pPr>
              <w:tabs>
                <w:tab w:val="left" w:pos="3375"/>
              </w:tabs>
              <w:spacing w:after="0"/>
              <w:jc w:val="both"/>
              <w:rPr>
                <w:rFonts w:ascii="Arial" w:eastAsia="Arial Narrow" w:hAnsi="Arial" w:cs="Arial"/>
                <w:sz w:val="20"/>
                <w:szCs w:val="20"/>
              </w:rPr>
            </w:pPr>
            <w:r w:rsidRPr="00846D49">
              <w:rPr>
                <w:rFonts w:ascii="Arial" w:eastAsia="Arial Narrow" w:hAnsi="Arial" w:cs="Arial"/>
                <w:b/>
                <w:sz w:val="20"/>
                <w:szCs w:val="20"/>
              </w:rPr>
              <w:t>Derivados:</w:t>
            </w:r>
            <w:r w:rsidRPr="00846D49">
              <w:rPr>
                <w:rFonts w:ascii="Arial" w:eastAsia="Arial Narrow" w:hAnsi="Arial" w:cs="Arial"/>
                <w:sz w:val="20"/>
                <w:szCs w:val="20"/>
              </w:rPr>
              <w:t xml:space="preserve"> Compuestos bioquímicos, con valor real o potencial, que existen naturalmente, producidos por la expresión genética o el metabolismo de los recursos biológicos o genéticos, aunque no contenga unidades funcionales de la herencia.</w:t>
            </w:r>
          </w:p>
          <w:p w14:paraId="7E02C8D5" w14:textId="02E41CB3" w:rsidR="001343D1" w:rsidRPr="00846D49" w:rsidRDefault="00A90E9C" w:rsidP="001343D1">
            <w:pPr>
              <w:tabs>
                <w:tab w:val="left" w:pos="3375"/>
              </w:tabs>
              <w:spacing w:after="0"/>
              <w:jc w:val="both"/>
              <w:rPr>
                <w:rFonts w:ascii="Arial" w:eastAsia="Arial Narrow" w:hAnsi="Arial" w:cs="Arial"/>
                <w:sz w:val="20"/>
                <w:szCs w:val="20"/>
              </w:rPr>
            </w:pPr>
            <w:r w:rsidRPr="00846D49">
              <w:rPr>
                <w:rFonts w:ascii="Arial" w:eastAsia="Arial Narrow" w:hAnsi="Arial" w:cs="Arial"/>
                <w:b/>
                <w:sz w:val="20"/>
                <w:szCs w:val="20"/>
              </w:rPr>
              <w:t>Institución Científica Nacional Depositaria de Material Biológico (ICNDMB)</w:t>
            </w:r>
            <w:r w:rsidRPr="00846D49">
              <w:rPr>
                <w:rFonts w:ascii="Arial" w:eastAsia="Arial Narrow" w:hAnsi="Arial" w:cs="Arial"/>
                <w:sz w:val="20"/>
                <w:szCs w:val="20"/>
              </w:rPr>
              <w:t xml:space="preserve">: Entidad pública o privada autorizada por el SERFOR, para recibir, almacenar, mantener y custodiar material biológico de flora y/o fauna silvestre, con la finalidad de facilitar su </w:t>
            </w:r>
            <w:r w:rsidR="001343D1" w:rsidRPr="00846D49">
              <w:rPr>
                <w:rFonts w:ascii="Arial" w:eastAsia="Arial Narrow" w:hAnsi="Arial" w:cs="Arial"/>
                <w:sz w:val="20"/>
                <w:szCs w:val="20"/>
              </w:rPr>
              <w:t>acceso para la realización de estudios de investigación, en el marco de lo dispuesto en el Convenio sobre la Diversidad Biológica.</w:t>
            </w:r>
          </w:p>
          <w:p w14:paraId="4BDF9933" w14:textId="77777777" w:rsidR="001343D1" w:rsidRPr="00846D49" w:rsidRDefault="001343D1" w:rsidP="001343D1">
            <w:pPr>
              <w:tabs>
                <w:tab w:val="left" w:pos="3375"/>
              </w:tabs>
              <w:spacing w:after="0"/>
              <w:jc w:val="both"/>
              <w:rPr>
                <w:rFonts w:ascii="Arial" w:hAnsi="Arial" w:cs="Arial"/>
                <w:sz w:val="20"/>
                <w:szCs w:val="20"/>
              </w:rPr>
            </w:pPr>
            <w:r w:rsidRPr="00846D49">
              <w:rPr>
                <w:rFonts w:ascii="Arial" w:hAnsi="Arial" w:cs="Arial"/>
                <w:b/>
                <w:bCs/>
                <w:sz w:val="20"/>
                <w:szCs w:val="20"/>
              </w:rPr>
              <w:t>Exportación:</w:t>
            </w:r>
            <w:r w:rsidRPr="00846D49">
              <w:rPr>
                <w:rFonts w:ascii="Arial" w:hAnsi="Arial" w:cs="Arial"/>
                <w:sz w:val="20"/>
                <w:szCs w:val="20"/>
              </w:rPr>
              <w:t xml:space="preserve"> Acto consistente en enviar un espécimen fuera del territorio nacional.</w:t>
            </w:r>
          </w:p>
          <w:p w14:paraId="5C052340" w14:textId="77777777" w:rsidR="001343D1" w:rsidRPr="00846D49" w:rsidRDefault="001343D1" w:rsidP="001343D1">
            <w:pPr>
              <w:tabs>
                <w:tab w:val="left" w:pos="3375"/>
              </w:tabs>
              <w:spacing w:after="0"/>
              <w:jc w:val="both"/>
              <w:rPr>
                <w:rFonts w:ascii="Arial" w:hAnsi="Arial" w:cs="Arial"/>
                <w:sz w:val="20"/>
                <w:szCs w:val="20"/>
              </w:rPr>
            </w:pPr>
            <w:r w:rsidRPr="00846D49">
              <w:rPr>
                <w:rFonts w:ascii="Arial" w:hAnsi="Arial" w:cs="Arial"/>
                <w:b/>
                <w:bCs/>
                <w:sz w:val="20"/>
                <w:szCs w:val="20"/>
              </w:rPr>
              <w:t>Importación:</w:t>
            </w:r>
            <w:r w:rsidRPr="00846D49">
              <w:rPr>
                <w:rFonts w:ascii="Arial" w:hAnsi="Arial" w:cs="Arial"/>
                <w:sz w:val="20"/>
                <w:szCs w:val="20"/>
              </w:rPr>
              <w:t xml:space="preserve"> Acto consistente en desembarcar o intentar desembarcar, entrar o introducir en cualquier lugar sujeto a la jurisdicción de la República del Perú, bajo cualquier procedimiento de aduanas distinto al tránsito y transbordo.</w:t>
            </w:r>
          </w:p>
          <w:p w14:paraId="4C263367" w14:textId="77777777" w:rsidR="001343D1" w:rsidRPr="00846D49" w:rsidRDefault="001343D1" w:rsidP="001343D1">
            <w:pPr>
              <w:tabs>
                <w:tab w:val="left" w:pos="3375"/>
              </w:tabs>
              <w:spacing w:after="0"/>
              <w:jc w:val="both"/>
              <w:rPr>
                <w:rFonts w:ascii="Arial" w:hAnsi="Arial" w:cs="Arial"/>
                <w:sz w:val="20"/>
                <w:szCs w:val="20"/>
              </w:rPr>
            </w:pPr>
            <w:r w:rsidRPr="00846D49">
              <w:rPr>
                <w:rFonts w:ascii="Arial" w:hAnsi="Arial" w:cs="Arial"/>
                <w:sz w:val="20"/>
                <w:szCs w:val="20"/>
              </w:rPr>
              <w:t>Reexportación: La exportación de cualquier espécimen que ha sido previamente importado.</w:t>
            </w:r>
          </w:p>
          <w:p w14:paraId="708ED87F" w14:textId="77777777" w:rsidR="001343D1" w:rsidRPr="00846D49" w:rsidRDefault="001343D1" w:rsidP="001343D1">
            <w:pPr>
              <w:tabs>
                <w:tab w:val="left" w:pos="3375"/>
              </w:tabs>
              <w:spacing w:after="0"/>
              <w:jc w:val="both"/>
              <w:rPr>
                <w:rFonts w:ascii="Arial" w:hAnsi="Arial" w:cs="Arial"/>
                <w:sz w:val="20"/>
                <w:szCs w:val="20"/>
              </w:rPr>
            </w:pPr>
            <w:r w:rsidRPr="00846D49">
              <w:rPr>
                <w:rFonts w:ascii="Arial" w:hAnsi="Arial" w:cs="Arial"/>
                <w:b/>
                <w:bCs/>
                <w:sz w:val="20"/>
                <w:szCs w:val="20"/>
              </w:rPr>
              <w:t>CITES:</w:t>
            </w:r>
            <w:r w:rsidRPr="00846D49">
              <w:rPr>
                <w:rFonts w:ascii="Arial" w:hAnsi="Arial" w:cs="Arial"/>
                <w:sz w:val="20"/>
                <w:szCs w:val="20"/>
              </w:rPr>
              <w:t xml:space="preserve"> Convención sobre el Comercio Internacional de Especies Amenazadas de Fauna y Flora Silvestres. Es un acuerdo internacional al que los Estados y las organizaciones regionales de integración económica se adhieren voluntariamente, cuyo objetivo es garantizar que el comercio internacional de especímenes de animales y plantas silvestres no amenace su supervivencia. </w:t>
            </w:r>
          </w:p>
          <w:p w14:paraId="0D65D859" w14:textId="3314776C" w:rsidR="00A90E9C" w:rsidRPr="00846D49" w:rsidRDefault="001343D1" w:rsidP="001343D1">
            <w:pPr>
              <w:tabs>
                <w:tab w:val="left" w:pos="3375"/>
              </w:tabs>
              <w:spacing w:after="0"/>
              <w:jc w:val="both"/>
              <w:rPr>
                <w:rFonts w:ascii="Arial" w:eastAsia="Arial Narrow" w:hAnsi="Arial" w:cs="Arial"/>
                <w:sz w:val="20"/>
                <w:szCs w:val="20"/>
              </w:rPr>
            </w:pPr>
            <w:r w:rsidRPr="00846D49">
              <w:rPr>
                <w:rFonts w:ascii="Arial" w:hAnsi="Arial" w:cs="Arial"/>
                <w:b/>
                <w:bCs/>
                <w:sz w:val="20"/>
                <w:szCs w:val="20"/>
              </w:rPr>
              <w:t>NO CITES:</w:t>
            </w:r>
            <w:r w:rsidRPr="00846D49">
              <w:rPr>
                <w:rFonts w:ascii="Arial" w:hAnsi="Arial" w:cs="Arial"/>
                <w:sz w:val="20"/>
                <w:szCs w:val="20"/>
              </w:rPr>
              <w:t xml:space="preserve"> Especies no incluidas en la CITES y su exportación se rige por la normativa nacional vigente contenida en la LFFS y sus reglamentos.</w:t>
            </w:r>
          </w:p>
          <w:p w14:paraId="172996CA" w14:textId="77777777" w:rsidR="00A90E9C" w:rsidRPr="00846D49" w:rsidRDefault="00A90E9C" w:rsidP="0072651A">
            <w:pPr>
              <w:spacing w:after="0" w:line="240" w:lineRule="auto"/>
              <w:jc w:val="both"/>
              <w:rPr>
                <w:rFonts w:ascii="Arial" w:hAnsi="Arial" w:cs="Arial"/>
                <w:sz w:val="20"/>
                <w:szCs w:val="20"/>
              </w:rPr>
            </w:pPr>
          </w:p>
        </w:tc>
      </w:tr>
      <w:tr w:rsidR="008A26D2" w:rsidRPr="008A26D2" w14:paraId="2B9610B6" w14:textId="77777777" w:rsidTr="002F5D4B">
        <w:trPr>
          <w:trHeight w:val="686"/>
        </w:trPr>
        <w:tc>
          <w:tcPr>
            <w:tcW w:w="2428" w:type="dxa"/>
            <w:gridSpan w:val="3"/>
            <w:shd w:val="clear" w:color="auto" w:fill="auto"/>
            <w:tcMar>
              <w:top w:w="10" w:type="dxa"/>
              <w:left w:w="93" w:type="dxa"/>
              <w:bottom w:w="0" w:type="dxa"/>
              <w:right w:w="10" w:type="dxa"/>
            </w:tcMar>
            <w:vAlign w:val="center"/>
          </w:tcPr>
          <w:p w14:paraId="2BB61CCA" w14:textId="77777777" w:rsidR="00A90E9C" w:rsidRPr="008A26D2" w:rsidRDefault="00A90E9C" w:rsidP="0072651A">
            <w:pPr>
              <w:tabs>
                <w:tab w:val="left" w:pos="3375"/>
              </w:tabs>
              <w:rPr>
                <w:rFonts w:ascii="Arial" w:hAnsi="Arial" w:cs="Arial"/>
                <w:sz w:val="20"/>
                <w:szCs w:val="20"/>
              </w:rPr>
            </w:pPr>
            <w:r w:rsidRPr="008A26D2">
              <w:rPr>
                <w:rFonts w:ascii="Arial" w:hAnsi="Arial" w:cs="Arial"/>
                <w:b/>
                <w:sz w:val="20"/>
                <w:szCs w:val="20"/>
              </w:rPr>
              <w:lastRenderedPageBreak/>
              <w:t>Sentido esperado del indicador:</w:t>
            </w:r>
          </w:p>
        </w:tc>
        <w:tc>
          <w:tcPr>
            <w:tcW w:w="1683" w:type="dxa"/>
            <w:gridSpan w:val="3"/>
            <w:shd w:val="clear" w:color="auto" w:fill="auto"/>
            <w:tcMar>
              <w:top w:w="10" w:type="dxa"/>
              <w:left w:w="283" w:type="dxa"/>
              <w:bottom w:w="0" w:type="dxa"/>
              <w:right w:w="283" w:type="dxa"/>
            </w:tcMar>
            <w:vAlign w:val="center"/>
          </w:tcPr>
          <w:p w14:paraId="047B356C" w14:textId="77777777" w:rsidR="00A90E9C" w:rsidRPr="008A26D2" w:rsidRDefault="00A90E9C" w:rsidP="0072651A">
            <w:pPr>
              <w:tabs>
                <w:tab w:val="left" w:pos="3375"/>
              </w:tabs>
              <w:rPr>
                <w:rFonts w:ascii="Arial" w:hAnsi="Arial" w:cs="Arial"/>
                <w:sz w:val="20"/>
                <w:szCs w:val="20"/>
              </w:rPr>
            </w:pPr>
            <w:r w:rsidRPr="008A26D2">
              <w:rPr>
                <w:rFonts w:ascii="Arial" w:hAnsi="Arial" w:cs="Arial"/>
                <w:sz w:val="20"/>
                <w:szCs w:val="20"/>
              </w:rPr>
              <w:t>Ascendente</w:t>
            </w:r>
          </w:p>
        </w:tc>
        <w:tc>
          <w:tcPr>
            <w:tcW w:w="3143" w:type="dxa"/>
            <w:gridSpan w:val="5"/>
            <w:shd w:val="clear" w:color="auto" w:fill="auto"/>
            <w:tcMar>
              <w:top w:w="15" w:type="dxa"/>
              <w:left w:w="15" w:type="dxa"/>
              <w:bottom w:w="0" w:type="dxa"/>
              <w:right w:w="15" w:type="dxa"/>
            </w:tcMar>
            <w:vAlign w:val="center"/>
          </w:tcPr>
          <w:p w14:paraId="05BD2104" w14:textId="77777777" w:rsidR="00A90E9C" w:rsidRPr="008A26D2" w:rsidRDefault="00A90E9C" w:rsidP="0072651A">
            <w:pPr>
              <w:tabs>
                <w:tab w:val="left" w:pos="3375"/>
              </w:tabs>
              <w:jc w:val="center"/>
              <w:rPr>
                <w:rFonts w:ascii="Arial" w:hAnsi="Arial" w:cs="Arial"/>
                <w:sz w:val="20"/>
                <w:szCs w:val="20"/>
              </w:rPr>
            </w:pPr>
            <w:r w:rsidRPr="008A26D2">
              <w:rPr>
                <w:rFonts w:ascii="Arial" w:hAnsi="Arial" w:cs="Arial"/>
                <w:b/>
                <w:sz w:val="20"/>
                <w:szCs w:val="20"/>
              </w:rPr>
              <w:t>Tipo de indicador de servicio:</w:t>
            </w:r>
          </w:p>
        </w:tc>
        <w:tc>
          <w:tcPr>
            <w:tcW w:w="1535" w:type="dxa"/>
            <w:gridSpan w:val="2"/>
            <w:shd w:val="clear" w:color="auto" w:fill="auto"/>
            <w:tcMar>
              <w:top w:w="15" w:type="dxa"/>
              <w:left w:w="15" w:type="dxa"/>
              <w:bottom w:w="0" w:type="dxa"/>
              <w:right w:w="15" w:type="dxa"/>
            </w:tcMar>
            <w:vAlign w:val="center"/>
          </w:tcPr>
          <w:p w14:paraId="43A85372" w14:textId="77777777" w:rsidR="00A90E9C" w:rsidRPr="008A26D2" w:rsidRDefault="00A90E9C" w:rsidP="0072651A">
            <w:pPr>
              <w:tabs>
                <w:tab w:val="left" w:pos="3375"/>
              </w:tabs>
              <w:jc w:val="center"/>
              <w:rPr>
                <w:rFonts w:ascii="Arial" w:hAnsi="Arial" w:cs="Arial"/>
                <w:sz w:val="20"/>
                <w:szCs w:val="20"/>
              </w:rPr>
            </w:pPr>
            <w:r w:rsidRPr="008A26D2">
              <w:rPr>
                <w:rFonts w:ascii="Arial" w:hAnsi="Arial" w:cs="Arial"/>
                <w:sz w:val="20"/>
                <w:szCs w:val="20"/>
              </w:rPr>
              <w:t>Calidad - Oportunidad</w:t>
            </w:r>
          </w:p>
        </w:tc>
      </w:tr>
      <w:tr w:rsidR="008A26D2" w:rsidRPr="008A26D2" w14:paraId="2EF25F76" w14:textId="77777777" w:rsidTr="002F5D4B">
        <w:trPr>
          <w:trHeight w:val="13"/>
        </w:trPr>
        <w:tc>
          <w:tcPr>
            <w:tcW w:w="2428" w:type="dxa"/>
            <w:gridSpan w:val="3"/>
            <w:shd w:val="clear" w:color="auto" w:fill="auto"/>
            <w:tcMar>
              <w:top w:w="10" w:type="dxa"/>
              <w:left w:w="93" w:type="dxa"/>
              <w:bottom w:w="0" w:type="dxa"/>
              <w:right w:w="10" w:type="dxa"/>
            </w:tcMar>
            <w:vAlign w:val="center"/>
          </w:tcPr>
          <w:p w14:paraId="370BD6DB" w14:textId="77777777" w:rsidR="00A90E9C" w:rsidRPr="008A26D2" w:rsidRDefault="00A90E9C" w:rsidP="0072651A">
            <w:pPr>
              <w:tabs>
                <w:tab w:val="left" w:pos="3375"/>
              </w:tabs>
              <w:rPr>
                <w:rFonts w:ascii="Arial" w:hAnsi="Arial" w:cs="Arial"/>
                <w:sz w:val="20"/>
                <w:szCs w:val="20"/>
              </w:rPr>
            </w:pPr>
            <w:r w:rsidRPr="008A26D2">
              <w:rPr>
                <w:rFonts w:ascii="Arial" w:hAnsi="Arial" w:cs="Arial"/>
                <w:b/>
                <w:sz w:val="20"/>
                <w:szCs w:val="20"/>
              </w:rPr>
              <w:t>Fuente y base de datos:</w:t>
            </w:r>
          </w:p>
        </w:tc>
        <w:tc>
          <w:tcPr>
            <w:tcW w:w="6361" w:type="dxa"/>
            <w:gridSpan w:val="10"/>
            <w:shd w:val="clear" w:color="auto" w:fill="auto"/>
            <w:tcMar>
              <w:top w:w="51" w:type="dxa"/>
              <w:left w:w="227" w:type="dxa"/>
              <w:bottom w:w="51" w:type="dxa"/>
              <w:right w:w="227" w:type="dxa"/>
            </w:tcMar>
            <w:vAlign w:val="center"/>
          </w:tcPr>
          <w:p w14:paraId="5C3E6700" w14:textId="62492D0D" w:rsidR="00A90E9C" w:rsidRPr="008A26D2" w:rsidRDefault="00A90E9C" w:rsidP="0072651A">
            <w:pPr>
              <w:tabs>
                <w:tab w:val="left" w:pos="3375"/>
              </w:tabs>
              <w:ind w:left="-110"/>
              <w:contextualSpacing/>
              <w:jc w:val="both"/>
              <w:rPr>
                <w:rFonts w:ascii="Arial" w:eastAsia="Arial Narrow" w:hAnsi="Arial" w:cs="Arial"/>
                <w:sz w:val="20"/>
                <w:szCs w:val="20"/>
              </w:rPr>
            </w:pPr>
            <w:r w:rsidRPr="008A26D2">
              <w:rPr>
                <w:rFonts w:ascii="Arial" w:eastAsia="Arial Narrow" w:hAnsi="Arial" w:cs="Arial"/>
                <w:sz w:val="20"/>
                <w:szCs w:val="20"/>
              </w:rPr>
              <w:t xml:space="preserve">Fuente: Dirección de Gestión Sostenible del Patrimonio de Fauna Silvestre y Dirección de Gestión Sostenible del Patrimonio </w:t>
            </w:r>
            <w:r w:rsidR="002F5D4B" w:rsidRPr="008A26D2">
              <w:rPr>
                <w:rFonts w:ascii="Arial" w:eastAsia="Arial Narrow" w:hAnsi="Arial" w:cs="Arial"/>
                <w:sz w:val="20"/>
                <w:szCs w:val="20"/>
              </w:rPr>
              <w:t>Forestal del</w:t>
            </w:r>
            <w:r w:rsidRPr="008A26D2">
              <w:rPr>
                <w:rFonts w:ascii="Arial" w:eastAsia="Arial Narrow" w:hAnsi="Arial" w:cs="Arial"/>
                <w:sz w:val="20"/>
                <w:szCs w:val="20"/>
              </w:rPr>
              <w:t xml:space="preserve"> </w:t>
            </w:r>
            <w:r w:rsidR="001712EE">
              <w:rPr>
                <w:rFonts w:ascii="Arial" w:eastAsia="Arial Narrow" w:hAnsi="Arial" w:cs="Arial"/>
                <w:sz w:val="20"/>
                <w:szCs w:val="20"/>
              </w:rPr>
              <w:t xml:space="preserve">Servicio Nacional Forestal y de Fauna Silvestre – </w:t>
            </w:r>
            <w:r w:rsidRPr="008A26D2">
              <w:rPr>
                <w:rFonts w:ascii="Arial" w:eastAsia="Arial Narrow" w:hAnsi="Arial" w:cs="Arial"/>
                <w:sz w:val="20"/>
                <w:szCs w:val="20"/>
              </w:rPr>
              <w:t>SERFOR</w:t>
            </w:r>
            <w:r w:rsidR="001712EE">
              <w:rPr>
                <w:rFonts w:ascii="Arial" w:eastAsia="Arial Narrow" w:hAnsi="Arial" w:cs="Arial"/>
                <w:sz w:val="20"/>
                <w:szCs w:val="20"/>
              </w:rPr>
              <w:t>.</w:t>
            </w:r>
          </w:p>
          <w:p w14:paraId="610243DD" w14:textId="34C3EE22" w:rsidR="00A90E9C" w:rsidRPr="008A26D2" w:rsidRDefault="00A90E9C" w:rsidP="0072651A">
            <w:pPr>
              <w:tabs>
                <w:tab w:val="left" w:pos="3375"/>
              </w:tabs>
              <w:ind w:left="-110"/>
              <w:contextualSpacing/>
              <w:jc w:val="both"/>
              <w:rPr>
                <w:rFonts w:ascii="Arial" w:hAnsi="Arial" w:cs="Arial"/>
                <w:sz w:val="20"/>
                <w:szCs w:val="20"/>
              </w:rPr>
            </w:pPr>
            <w:r w:rsidRPr="008A26D2">
              <w:rPr>
                <w:rFonts w:ascii="Arial" w:eastAsia="Arial Narrow" w:hAnsi="Arial" w:cs="Arial"/>
                <w:sz w:val="20"/>
                <w:szCs w:val="20"/>
              </w:rPr>
              <w:t>Base de datos</w:t>
            </w:r>
            <w:r w:rsidR="002F5D4B" w:rsidRPr="008A26D2">
              <w:rPr>
                <w:rFonts w:ascii="Arial" w:eastAsia="Arial Narrow" w:hAnsi="Arial" w:cs="Arial"/>
                <w:sz w:val="20"/>
                <w:szCs w:val="20"/>
              </w:rPr>
              <w:t>:</w:t>
            </w:r>
            <w:r w:rsidRPr="008A26D2">
              <w:rPr>
                <w:rFonts w:ascii="Arial" w:eastAsia="Arial Narrow" w:hAnsi="Arial" w:cs="Arial"/>
                <w:sz w:val="20"/>
                <w:szCs w:val="20"/>
              </w:rPr>
              <w:t xml:space="preserve"> </w:t>
            </w:r>
            <w:r w:rsidR="002F5D4B" w:rsidRPr="008A26D2">
              <w:rPr>
                <w:rFonts w:ascii="Arial" w:eastAsia="Arial Narrow" w:hAnsi="Arial" w:cs="Arial"/>
                <w:sz w:val="20"/>
                <w:szCs w:val="20"/>
              </w:rPr>
              <w:t xml:space="preserve">Reporte </w:t>
            </w:r>
            <w:r w:rsidR="004A5888" w:rsidRPr="008A26D2">
              <w:rPr>
                <w:rFonts w:ascii="Arial" w:eastAsia="Arial Narrow" w:hAnsi="Arial" w:cs="Arial"/>
                <w:sz w:val="20"/>
                <w:szCs w:val="20"/>
              </w:rPr>
              <w:t>de derechos relacionados con investigación científica y acceso a los recursos genéticos y sus derivados en materia forestal y de fauna silvestre.</w:t>
            </w:r>
          </w:p>
        </w:tc>
      </w:tr>
      <w:tr w:rsidR="008A26D2" w:rsidRPr="008A26D2" w14:paraId="1516136E" w14:textId="77777777" w:rsidTr="002F5D4B">
        <w:trPr>
          <w:trHeight w:val="436"/>
        </w:trPr>
        <w:tc>
          <w:tcPr>
            <w:tcW w:w="2428" w:type="dxa"/>
            <w:gridSpan w:val="3"/>
            <w:shd w:val="clear" w:color="auto" w:fill="auto"/>
            <w:tcMar>
              <w:top w:w="10" w:type="dxa"/>
              <w:left w:w="93" w:type="dxa"/>
              <w:bottom w:w="0" w:type="dxa"/>
              <w:right w:w="10" w:type="dxa"/>
            </w:tcMar>
            <w:vAlign w:val="center"/>
          </w:tcPr>
          <w:p w14:paraId="2344F41B" w14:textId="77777777" w:rsidR="00A90E9C" w:rsidRPr="008A26D2" w:rsidRDefault="00A90E9C" w:rsidP="0072651A">
            <w:pPr>
              <w:tabs>
                <w:tab w:val="left" w:pos="3375"/>
              </w:tabs>
              <w:rPr>
                <w:rFonts w:ascii="Arial" w:hAnsi="Arial" w:cs="Arial"/>
                <w:sz w:val="20"/>
                <w:szCs w:val="20"/>
              </w:rPr>
            </w:pPr>
            <w:r w:rsidRPr="008A26D2">
              <w:rPr>
                <w:rFonts w:ascii="Arial" w:hAnsi="Arial" w:cs="Arial"/>
                <w:b/>
                <w:sz w:val="20"/>
                <w:szCs w:val="20"/>
              </w:rPr>
              <w:t>Supuestos:</w:t>
            </w:r>
          </w:p>
        </w:tc>
        <w:tc>
          <w:tcPr>
            <w:tcW w:w="6361" w:type="dxa"/>
            <w:gridSpan w:val="10"/>
            <w:shd w:val="clear" w:color="auto" w:fill="auto"/>
            <w:tcMar>
              <w:top w:w="51" w:type="dxa"/>
              <w:left w:w="227" w:type="dxa"/>
              <w:bottom w:w="51" w:type="dxa"/>
              <w:right w:w="227" w:type="dxa"/>
            </w:tcMar>
            <w:vAlign w:val="center"/>
          </w:tcPr>
          <w:p w14:paraId="2755792A" w14:textId="77777777" w:rsidR="00A90E9C" w:rsidRPr="008A26D2" w:rsidRDefault="00A90E9C" w:rsidP="0072651A">
            <w:pPr>
              <w:tabs>
                <w:tab w:val="left" w:pos="3375"/>
              </w:tabs>
              <w:jc w:val="both"/>
              <w:rPr>
                <w:rFonts w:ascii="Arial" w:eastAsia="Arial Narrow" w:hAnsi="Arial" w:cs="Arial"/>
                <w:sz w:val="20"/>
                <w:szCs w:val="20"/>
              </w:rPr>
            </w:pPr>
            <w:r w:rsidRPr="008A26D2">
              <w:rPr>
                <w:rFonts w:ascii="Arial" w:eastAsia="Arial Narrow" w:hAnsi="Arial" w:cs="Arial"/>
                <w:sz w:val="20"/>
                <w:szCs w:val="20"/>
              </w:rPr>
              <w:t xml:space="preserve">Existe conocimiento difundido por parte de las personas naturales y jurídicas sobre la obligación de contar con derechos </w:t>
            </w:r>
            <w:r w:rsidRPr="008A26D2">
              <w:rPr>
                <w:rFonts w:ascii="Arial" w:eastAsia="Arial Narrow" w:hAnsi="Arial" w:cs="Arial"/>
                <w:bCs/>
                <w:sz w:val="20"/>
                <w:szCs w:val="20"/>
              </w:rPr>
              <w:t>relacionados con investigación científica y acceso a los recursos genéticos y sus derivados en materia forestal y/o de fauna silvestre</w:t>
            </w:r>
            <w:r w:rsidRPr="008A26D2">
              <w:rPr>
                <w:rFonts w:ascii="Arial" w:eastAsia="Arial Narrow" w:hAnsi="Arial" w:cs="Arial"/>
                <w:sz w:val="20"/>
                <w:szCs w:val="20"/>
              </w:rPr>
              <w:t xml:space="preserve"> para el desarrollo de actividades de investigación científica y relacionadas en flora y/o fauna silvestre.</w:t>
            </w:r>
          </w:p>
        </w:tc>
      </w:tr>
      <w:tr w:rsidR="008A26D2" w:rsidRPr="008A26D2" w14:paraId="1594CC45" w14:textId="77777777" w:rsidTr="0019296D">
        <w:trPr>
          <w:trHeight w:val="556"/>
        </w:trPr>
        <w:tc>
          <w:tcPr>
            <w:tcW w:w="851" w:type="dxa"/>
            <w:shd w:val="clear" w:color="auto" w:fill="auto"/>
            <w:tcMar>
              <w:top w:w="10" w:type="dxa"/>
              <w:left w:w="10" w:type="dxa"/>
              <w:bottom w:w="0" w:type="dxa"/>
              <w:right w:w="10" w:type="dxa"/>
            </w:tcMar>
            <w:vAlign w:val="center"/>
          </w:tcPr>
          <w:p w14:paraId="0AF42E44" w14:textId="77777777" w:rsidR="00A90E9C" w:rsidRPr="008A26D2" w:rsidRDefault="00A90E9C" w:rsidP="0072651A">
            <w:pPr>
              <w:tabs>
                <w:tab w:val="left" w:pos="3375"/>
              </w:tabs>
              <w:spacing w:after="0"/>
              <w:rPr>
                <w:rFonts w:ascii="Arial" w:hAnsi="Arial" w:cs="Arial"/>
                <w:sz w:val="20"/>
                <w:szCs w:val="20"/>
              </w:rPr>
            </w:pPr>
            <w:r w:rsidRPr="008A26D2">
              <w:rPr>
                <w:rFonts w:ascii="Arial" w:hAnsi="Arial" w:cs="Arial"/>
                <w:b/>
                <w:sz w:val="20"/>
                <w:szCs w:val="20"/>
              </w:rPr>
              <w:t> </w:t>
            </w:r>
          </w:p>
        </w:tc>
        <w:tc>
          <w:tcPr>
            <w:tcW w:w="851" w:type="dxa"/>
            <w:shd w:val="clear" w:color="auto" w:fill="auto"/>
            <w:tcMar>
              <w:top w:w="10" w:type="dxa"/>
              <w:left w:w="10" w:type="dxa"/>
              <w:bottom w:w="0" w:type="dxa"/>
              <w:right w:w="10" w:type="dxa"/>
            </w:tcMar>
            <w:vAlign w:val="center"/>
          </w:tcPr>
          <w:p w14:paraId="549FAF3C" w14:textId="77777777" w:rsidR="00A90E9C" w:rsidRPr="008A26D2" w:rsidRDefault="00A90E9C" w:rsidP="0019296D">
            <w:pPr>
              <w:tabs>
                <w:tab w:val="left" w:pos="3375"/>
              </w:tabs>
              <w:spacing w:after="0"/>
              <w:jc w:val="center"/>
              <w:rPr>
                <w:rFonts w:ascii="Arial" w:hAnsi="Arial" w:cs="Arial"/>
                <w:sz w:val="20"/>
                <w:szCs w:val="20"/>
              </w:rPr>
            </w:pPr>
            <w:r w:rsidRPr="008A26D2">
              <w:rPr>
                <w:rFonts w:ascii="Arial" w:hAnsi="Arial" w:cs="Arial"/>
                <w:b/>
                <w:sz w:val="20"/>
                <w:szCs w:val="20"/>
              </w:rPr>
              <w:t>Línea de base</w:t>
            </w:r>
          </w:p>
        </w:tc>
        <w:tc>
          <w:tcPr>
            <w:tcW w:w="7087" w:type="dxa"/>
            <w:gridSpan w:val="11"/>
            <w:shd w:val="clear" w:color="auto" w:fill="auto"/>
            <w:tcMar>
              <w:top w:w="10" w:type="dxa"/>
              <w:left w:w="10" w:type="dxa"/>
              <w:bottom w:w="0" w:type="dxa"/>
              <w:right w:w="10" w:type="dxa"/>
            </w:tcMar>
            <w:vAlign w:val="center"/>
          </w:tcPr>
          <w:p w14:paraId="0D12640C" w14:textId="77777777" w:rsidR="00A90E9C" w:rsidRPr="008A26D2" w:rsidRDefault="00A90E9C" w:rsidP="006E6CE9">
            <w:pPr>
              <w:tabs>
                <w:tab w:val="left" w:pos="3375"/>
              </w:tabs>
              <w:spacing w:after="0"/>
              <w:jc w:val="center"/>
              <w:rPr>
                <w:rFonts w:ascii="Arial" w:hAnsi="Arial" w:cs="Arial"/>
                <w:sz w:val="20"/>
                <w:szCs w:val="20"/>
              </w:rPr>
            </w:pPr>
            <w:r w:rsidRPr="008A26D2">
              <w:rPr>
                <w:rFonts w:ascii="Arial" w:hAnsi="Arial" w:cs="Arial"/>
                <w:b/>
                <w:sz w:val="20"/>
                <w:szCs w:val="20"/>
              </w:rPr>
              <w:t>Logros esperados</w:t>
            </w:r>
          </w:p>
        </w:tc>
      </w:tr>
      <w:tr w:rsidR="008A26D2" w:rsidRPr="008A26D2" w14:paraId="1046A0E3" w14:textId="77777777" w:rsidTr="0019296D">
        <w:trPr>
          <w:trHeight w:val="217"/>
        </w:trPr>
        <w:tc>
          <w:tcPr>
            <w:tcW w:w="851" w:type="dxa"/>
            <w:shd w:val="clear" w:color="auto" w:fill="auto"/>
            <w:tcMar>
              <w:top w:w="10" w:type="dxa"/>
              <w:left w:w="10" w:type="dxa"/>
              <w:bottom w:w="0" w:type="dxa"/>
              <w:right w:w="10" w:type="dxa"/>
            </w:tcMar>
            <w:vAlign w:val="center"/>
          </w:tcPr>
          <w:p w14:paraId="086D377B" w14:textId="77777777" w:rsidR="00A90E9C" w:rsidRPr="008A26D2" w:rsidRDefault="00A90E9C" w:rsidP="0072651A">
            <w:pPr>
              <w:tabs>
                <w:tab w:val="left" w:pos="3375"/>
              </w:tabs>
              <w:spacing w:after="0"/>
              <w:rPr>
                <w:rFonts w:ascii="Arial" w:hAnsi="Arial" w:cs="Arial"/>
                <w:sz w:val="20"/>
                <w:szCs w:val="20"/>
              </w:rPr>
            </w:pPr>
            <w:r w:rsidRPr="008A26D2">
              <w:rPr>
                <w:rFonts w:ascii="Arial" w:hAnsi="Arial" w:cs="Arial"/>
                <w:b/>
                <w:sz w:val="20"/>
                <w:szCs w:val="20"/>
              </w:rPr>
              <w:t>Año</w:t>
            </w:r>
          </w:p>
        </w:tc>
        <w:tc>
          <w:tcPr>
            <w:tcW w:w="851" w:type="dxa"/>
            <w:shd w:val="clear" w:color="auto" w:fill="auto"/>
            <w:tcMar>
              <w:top w:w="10" w:type="dxa"/>
              <w:left w:w="10" w:type="dxa"/>
              <w:bottom w:w="0" w:type="dxa"/>
              <w:right w:w="10" w:type="dxa"/>
            </w:tcMar>
            <w:vAlign w:val="center"/>
          </w:tcPr>
          <w:p w14:paraId="60F616F0" w14:textId="77777777" w:rsidR="00A90E9C" w:rsidRPr="008A26D2" w:rsidRDefault="00A90E9C" w:rsidP="006E6CE9">
            <w:pPr>
              <w:tabs>
                <w:tab w:val="left" w:pos="3375"/>
              </w:tabs>
              <w:spacing w:after="0"/>
              <w:jc w:val="center"/>
              <w:rPr>
                <w:rFonts w:ascii="Arial" w:hAnsi="Arial" w:cs="Arial"/>
                <w:b/>
                <w:sz w:val="20"/>
                <w:szCs w:val="20"/>
              </w:rPr>
            </w:pPr>
            <w:r w:rsidRPr="008A26D2">
              <w:rPr>
                <w:rFonts w:ascii="Arial" w:hAnsi="Arial" w:cs="Arial"/>
                <w:b/>
                <w:sz w:val="20"/>
                <w:szCs w:val="20"/>
              </w:rPr>
              <w:t>2022</w:t>
            </w:r>
          </w:p>
        </w:tc>
        <w:tc>
          <w:tcPr>
            <w:tcW w:w="850" w:type="dxa"/>
            <w:gridSpan w:val="2"/>
            <w:shd w:val="clear" w:color="auto" w:fill="auto"/>
            <w:tcMar>
              <w:top w:w="10" w:type="dxa"/>
              <w:left w:w="10" w:type="dxa"/>
              <w:bottom w:w="0" w:type="dxa"/>
              <w:right w:w="10" w:type="dxa"/>
            </w:tcMar>
            <w:vAlign w:val="center"/>
          </w:tcPr>
          <w:p w14:paraId="5BDAEA4D" w14:textId="77777777" w:rsidR="00A90E9C" w:rsidRPr="008A26D2" w:rsidRDefault="00A90E9C" w:rsidP="006E6CE9">
            <w:pPr>
              <w:tabs>
                <w:tab w:val="left" w:pos="3375"/>
              </w:tabs>
              <w:spacing w:after="0"/>
              <w:jc w:val="center"/>
              <w:rPr>
                <w:rFonts w:ascii="Arial" w:hAnsi="Arial" w:cs="Arial"/>
                <w:b/>
                <w:sz w:val="20"/>
                <w:szCs w:val="20"/>
              </w:rPr>
            </w:pPr>
            <w:r w:rsidRPr="008A26D2">
              <w:rPr>
                <w:rFonts w:ascii="Arial" w:hAnsi="Arial" w:cs="Arial"/>
                <w:b/>
                <w:sz w:val="20"/>
                <w:szCs w:val="20"/>
              </w:rPr>
              <w:t>2023</w:t>
            </w:r>
          </w:p>
        </w:tc>
        <w:tc>
          <w:tcPr>
            <w:tcW w:w="992" w:type="dxa"/>
            <w:shd w:val="clear" w:color="auto" w:fill="auto"/>
            <w:vAlign w:val="center"/>
          </w:tcPr>
          <w:p w14:paraId="785B6223" w14:textId="77777777" w:rsidR="00A90E9C" w:rsidRPr="008A26D2" w:rsidRDefault="00A90E9C" w:rsidP="006E6CE9">
            <w:pPr>
              <w:tabs>
                <w:tab w:val="left" w:pos="3375"/>
              </w:tabs>
              <w:spacing w:after="0"/>
              <w:jc w:val="center"/>
              <w:rPr>
                <w:rFonts w:ascii="Arial" w:hAnsi="Arial" w:cs="Arial"/>
                <w:b/>
                <w:sz w:val="20"/>
                <w:szCs w:val="20"/>
              </w:rPr>
            </w:pPr>
            <w:r w:rsidRPr="008A26D2">
              <w:rPr>
                <w:rFonts w:ascii="Arial" w:hAnsi="Arial" w:cs="Arial"/>
                <w:b/>
                <w:sz w:val="20"/>
                <w:szCs w:val="20"/>
              </w:rPr>
              <w:t>2024</w:t>
            </w:r>
          </w:p>
        </w:tc>
        <w:tc>
          <w:tcPr>
            <w:tcW w:w="993" w:type="dxa"/>
            <w:gridSpan w:val="2"/>
            <w:shd w:val="clear" w:color="auto" w:fill="auto"/>
            <w:vAlign w:val="center"/>
          </w:tcPr>
          <w:p w14:paraId="64D0D492" w14:textId="77777777" w:rsidR="00A90E9C" w:rsidRPr="008A26D2" w:rsidRDefault="00A90E9C" w:rsidP="006E6CE9">
            <w:pPr>
              <w:tabs>
                <w:tab w:val="left" w:pos="3375"/>
              </w:tabs>
              <w:spacing w:after="0"/>
              <w:jc w:val="center"/>
              <w:rPr>
                <w:rFonts w:ascii="Arial" w:hAnsi="Arial" w:cs="Arial"/>
                <w:b/>
                <w:sz w:val="20"/>
                <w:szCs w:val="20"/>
              </w:rPr>
            </w:pPr>
            <w:r w:rsidRPr="008A26D2">
              <w:rPr>
                <w:rFonts w:ascii="Arial" w:hAnsi="Arial" w:cs="Arial"/>
                <w:b/>
                <w:sz w:val="20"/>
                <w:szCs w:val="20"/>
              </w:rPr>
              <w:t>2025</w:t>
            </w:r>
          </w:p>
        </w:tc>
        <w:tc>
          <w:tcPr>
            <w:tcW w:w="850" w:type="dxa"/>
            <w:shd w:val="clear" w:color="auto" w:fill="auto"/>
            <w:vAlign w:val="center"/>
          </w:tcPr>
          <w:p w14:paraId="3A77C89F" w14:textId="77777777" w:rsidR="00A90E9C" w:rsidRPr="008A26D2" w:rsidRDefault="00A90E9C" w:rsidP="006E6CE9">
            <w:pPr>
              <w:tabs>
                <w:tab w:val="left" w:pos="3375"/>
              </w:tabs>
              <w:spacing w:after="0"/>
              <w:jc w:val="center"/>
              <w:rPr>
                <w:rFonts w:ascii="Arial" w:hAnsi="Arial" w:cs="Arial"/>
                <w:b/>
                <w:sz w:val="20"/>
                <w:szCs w:val="20"/>
              </w:rPr>
            </w:pPr>
            <w:r w:rsidRPr="008A26D2">
              <w:rPr>
                <w:rFonts w:ascii="Arial" w:hAnsi="Arial" w:cs="Arial"/>
                <w:b/>
                <w:sz w:val="20"/>
                <w:szCs w:val="20"/>
              </w:rPr>
              <w:t>2026</w:t>
            </w:r>
          </w:p>
        </w:tc>
        <w:tc>
          <w:tcPr>
            <w:tcW w:w="992" w:type="dxa"/>
            <w:shd w:val="clear" w:color="auto" w:fill="auto"/>
            <w:vAlign w:val="center"/>
          </w:tcPr>
          <w:p w14:paraId="20583E9A" w14:textId="77777777" w:rsidR="00A90E9C" w:rsidRPr="008A26D2" w:rsidRDefault="00A90E9C" w:rsidP="006E6CE9">
            <w:pPr>
              <w:tabs>
                <w:tab w:val="left" w:pos="3375"/>
              </w:tabs>
              <w:spacing w:after="0"/>
              <w:jc w:val="center"/>
              <w:rPr>
                <w:rFonts w:ascii="Arial" w:hAnsi="Arial" w:cs="Arial"/>
                <w:b/>
                <w:sz w:val="20"/>
                <w:szCs w:val="20"/>
              </w:rPr>
            </w:pPr>
            <w:r w:rsidRPr="008A26D2">
              <w:rPr>
                <w:rFonts w:ascii="Arial" w:hAnsi="Arial" w:cs="Arial"/>
                <w:b/>
                <w:sz w:val="20"/>
                <w:szCs w:val="20"/>
              </w:rPr>
              <w:t>2027</w:t>
            </w:r>
          </w:p>
        </w:tc>
        <w:tc>
          <w:tcPr>
            <w:tcW w:w="851" w:type="dxa"/>
            <w:shd w:val="clear" w:color="auto" w:fill="auto"/>
            <w:vAlign w:val="center"/>
          </w:tcPr>
          <w:p w14:paraId="74664E51" w14:textId="77777777" w:rsidR="00A90E9C" w:rsidRPr="008A26D2" w:rsidRDefault="00A90E9C" w:rsidP="006E6CE9">
            <w:pPr>
              <w:tabs>
                <w:tab w:val="left" w:pos="3375"/>
              </w:tabs>
              <w:spacing w:after="0"/>
              <w:jc w:val="center"/>
              <w:rPr>
                <w:rFonts w:ascii="Arial" w:hAnsi="Arial" w:cs="Arial"/>
                <w:b/>
                <w:sz w:val="20"/>
                <w:szCs w:val="20"/>
              </w:rPr>
            </w:pPr>
            <w:r w:rsidRPr="008A26D2">
              <w:rPr>
                <w:rFonts w:ascii="Arial" w:hAnsi="Arial" w:cs="Arial"/>
                <w:b/>
                <w:sz w:val="20"/>
                <w:szCs w:val="20"/>
              </w:rPr>
              <w:t>2028</w:t>
            </w:r>
          </w:p>
        </w:tc>
        <w:tc>
          <w:tcPr>
            <w:tcW w:w="850" w:type="dxa"/>
            <w:gridSpan w:val="2"/>
            <w:shd w:val="clear" w:color="auto" w:fill="auto"/>
            <w:vAlign w:val="center"/>
          </w:tcPr>
          <w:p w14:paraId="13D7785B" w14:textId="77777777" w:rsidR="00A90E9C" w:rsidRPr="008A26D2" w:rsidRDefault="00A90E9C" w:rsidP="006E6CE9">
            <w:pPr>
              <w:tabs>
                <w:tab w:val="left" w:pos="3375"/>
              </w:tabs>
              <w:spacing w:after="0"/>
              <w:jc w:val="center"/>
              <w:rPr>
                <w:rFonts w:ascii="Arial" w:hAnsi="Arial" w:cs="Arial"/>
                <w:b/>
                <w:sz w:val="20"/>
                <w:szCs w:val="20"/>
              </w:rPr>
            </w:pPr>
            <w:r w:rsidRPr="008A26D2">
              <w:rPr>
                <w:rFonts w:ascii="Arial" w:hAnsi="Arial" w:cs="Arial"/>
                <w:b/>
                <w:sz w:val="20"/>
                <w:szCs w:val="20"/>
              </w:rPr>
              <w:t>2029</w:t>
            </w:r>
          </w:p>
        </w:tc>
        <w:tc>
          <w:tcPr>
            <w:tcW w:w="709" w:type="dxa"/>
            <w:shd w:val="clear" w:color="auto" w:fill="auto"/>
            <w:tcMar>
              <w:top w:w="10" w:type="dxa"/>
              <w:left w:w="10" w:type="dxa"/>
              <w:bottom w:w="0" w:type="dxa"/>
              <w:right w:w="10" w:type="dxa"/>
            </w:tcMar>
            <w:vAlign w:val="center"/>
          </w:tcPr>
          <w:p w14:paraId="4C310982" w14:textId="77777777" w:rsidR="00A90E9C" w:rsidRPr="008A26D2" w:rsidRDefault="00A90E9C" w:rsidP="006E6CE9">
            <w:pPr>
              <w:tabs>
                <w:tab w:val="left" w:pos="3375"/>
              </w:tabs>
              <w:spacing w:after="0"/>
              <w:jc w:val="center"/>
              <w:rPr>
                <w:rFonts w:ascii="Arial" w:hAnsi="Arial" w:cs="Arial"/>
                <w:b/>
                <w:sz w:val="20"/>
                <w:szCs w:val="20"/>
              </w:rPr>
            </w:pPr>
            <w:r w:rsidRPr="008A26D2">
              <w:rPr>
                <w:rFonts w:ascii="Arial" w:hAnsi="Arial" w:cs="Arial"/>
                <w:b/>
                <w:sz w:val="20"/>
                <w:szCs w:val="20"/>
              </w:rPr>
              <w:t>2030</w:t>
            </w:r>
          </w:p>
        </w:tc>
      </w:tr>
      <w:tr w:rsidR="008A26D2" w:rsidRPr="008A26D2" w14:paraId="72760BA7" w14:textId="77777777" w:rsidTr="0019296D">
        <w:trPr>
          <w:trHeight w:val="81"/>
        </w:trPr>
        <w:tc>
          <w:tcPr>
            <w:tcW w:w="851" w:type="dxa"/>
            <w:shd w:val="clear" w:color="auto" w:fill="auto"/>
            <w:tcMar>
              <w:top w:w="10" w:type="dxa"/>
              <w:left w:w="10" w:type="dxa"/>
              <w:bottom w:w="0" w:type="dxa"/>
              <w:right w:w="10" w:type="dxa"/>
            </w:tcMar>
            <w:vAlign w:val="center"/>
          </w:tcPr>
          <w:p w14:paraId="0096E415" w14:textId="77777777" w:rsidR="00A90E9C" w:rsidRPr="008A26D2" w:rsidRDefault="00A90E9C" w:rsidP="0072651A">
            <w:pPr>
              <w:tabs>
                <w:tab w:val="left" w:pos="3375"/>
              </w:tabs>
              <w:spacing w:after="0"/>
              <w:rPr>
                <w:rFonts w:ascii="Arial" w:hAnsi="Arial" w:cs="Arial"/>
                <w:b/>
                <w:sz w:val="20"/>
                <w:szCs w:val="20"/>
              </w:rPr>
            </w:pPr>
            <w:r w:rsidRPr="008A26D2">
              <w:rPr>
                <w:rFonts w:ascii="Arial" w:hAnsi="Arial" w:cs="Arial"/>
                <w:b/>
                <w:sz w:val="20"/>
                <w:szCs w:val="20"/>
              </w:rPr>
              <w:t>Valor</w:t>
            </w:r>
          </w:p>
        </w:tc>
        <w:tc>
          <w:tcPr>
            <w:tcW w:w="851" w:type="dxa"/>
            <w:shd w:val="clear" w:color="auto" w:fill="auto"/>
            <w:tcMar>
              <w:top w:w="10" w:type="dxa"/>
              <w:left w:w="10" w:type="dxa"/>
              <w:bottom w:w="0" w:type="dxa"/>
              <w:right w:w="10" w:type="dxa"/>
            </w:tcMar>
            <w:vAlign w:val="center"/>
          </w:tcPr>
          <w:p w14:paraId="37B8B546" w14:textId="77777777" w:rsidR="00A90E9C" w:rsidRPr="008A26D2" w:rsidRDefault="00A90E9C" w:rsidP="006E6CE9">
            <w:pPr>
              <w:tabs>
                <w:tab w:val="left" w:pos="3375"/>
              </w:tabs>
              <w:spacing w:after="0"/>
              <w:jc w:val="center"/>
              <w:rPr>
                <w:rFonts w:ascii="Arial" w:hAnsi="Arial" w:cs="Arial"/>
                <w:sz w:val="20"/>
                <w:szCs w:val="20"/>
              </w:rPr>
            </w:pPr>
            <w:r w:rsidRPr="008A26D2">
              <w:rPr>
                <w:rFonts w:ascii="Arial" w:hAnsi="Arial" w:cs="Arial"/>
                <w:sz w:val="20"/>
                <w:szCs w:val="20"/>
              </w:rPr>
              <w:t>65%</w:t>
            </w:r>
          </w:p>
        </w:tc>
        <w:tc>
          <w:tcPr>
            <w:tcW w:w="850" w:type="dxa"/>
            <w:gridSpan w:val="2"/>
            <w:shd w:val="clear" w:color="auto" w:fill="auto"/>
            <w:tcMar>
              <w:top w:w="10" w:type="dxa"/>
              <w:left w:w="10" w:type="dxa"/>
              <w:bottom w:w="0" w:type="dxa"/>
              <w:right w:w="10" w:type="dxa"/>
            </w:tcMar>
            <w:vAlign w:val="center"/>
          </w:tcPr>
          <w:p w14:paraId="440F0863" w14:textId="77777777" w:rsidR="00A90E9C" w:rsidRPr="008A26D2" w:rsidRDefault="00A90E9C" w:rsidP="006E6CE9">
            <w:pPr>
              <w:tabs>
                <w:tab w:val="left" w:pos="3375"/>
              </w:tabs>
              <w:spacing w:after="0"/>
              <w:jc w:val="center"/>
              <w:rPr>
                <w:rFonts w:ascii="Arial" w:hAnsi="Arial" w:cs="Arial"/>
                <w:sz w:val="20"/>
                <w:szCs w:val="20"/>
              </w:rPr>
            </w:pPr>
            <w:r w:rsidRPr="008A26D2">
              <w:rPr>
                <w:rFonts w:ascii="Arial" w:hAnsi="Arial" w:cs="Arial"/>
                <w:sz w:val="20"/>
                <w:szCs w:val="20"/>
              </w:rPr>
              <w:t>70%</w:t>
            </w:r>
          </w:p>
        </w:tc>
        <w:tc>
          <w:tcPr>
            <w:tcW w:w="992" w:type="dxa"/>
            <w:shd w:val="clear" w:color="auto" w:fill="auto"/>
            <w:vAlign w:val="center"/>
          </w:tcPr>
          <w:p w14:paraId="0FC1879F" w14:textId="77777777" w:rsidR="00A90E9C" w:rsidRPr="008A26D2" w:rsidRDefault="00A90E9C" w:rsidP="006E6CE9">
            <w:pPr>
              <w:tabs>
                <w:tab w:val="left" w:pos="3375"/>
              </w:tabs>
              <w:spacing w:after="0"/>
              <w:jc w:val="center"/>
              <w:rPr>
                <w:rFonts w:ascii="Arial" w:hAnsi="Arial" w:cs="Arial"/>
                <w:sz w:val="20"/>
                <w:szCs w:val="20"/>
              </w:rPr>
            </w:pPr>
            <w:r w:rsidRPr="008A26D2">
              <w:rPr>
                <w:rFonts w:ascii="Arial" w:hAnsi="Arial" w:cs="Arial"/>
                <w:sz w:val="20"/>
                <w:szCs w:val="20"/>
              </w:rPr>
              <w:t>75%</w:t>
            </w:r>
          </w:p>
        </w:tc>
        <w:tc>
          <w:tcPr>
            <w:tcW w:w="993" w:type="dxa"/>
            <w:gridSpan w:val="2"/>
            <w:shd w:val="clear" w:color="auto" w:fill="auto"/>
            <w:vAlign w:val="center"/>
          </w:tcPr>
          <w:p w14:paraId="0E7CA772" w14:textId="77777777" w:rsidR="00A90E9C" w:rsidRPr="008A26D2" w:rsidRDefault="00A90E9C" w:rsidP="006E6CE9">
            <w:pPr>
              <w:tabs>
                <w:tab w:val="left" w:pos="3375"/>
              </w:tabs>
              <w:spacing w:after="0"/>
              <w:jc w:val="center"/>
              <w:rPr>
                <w:rFonts w:ascii="Arial" w:hAnsi="Arial" w:cs="Arial"/>
                <w:sz w:val="20"/>
                <w:szCs w:val="20"/>
              </w:rPr>
            </w:pPr>
            <w:r w:rsidRPr="008A26D2">
              <w:rPr>
                <w:rFonts w:ascii="Arial" w:hAnsi="Arial" w:cs="Arial"/>
                <w:sz w:val="20"/>
                <w:szCs w:val="20"/>
              </w:rPr>
              <w:t>80%</w:t>
            </w:r>
          </w:p>
        </w:tc>
        <w:tc>
          <w:tcPr>
            <w:tcW w:w="850" w:type="dxa"/>
            <w:shd w:val="clear" w:color="auto" w:fill="auto"/>
            <w:vAlign w:val="center"/>
          </w:tcPr>
          <w:p w14:paraId="5F307B3B" w14:textId="77777777" w:rsidR="00A90E9C" w:rsidRPr="008A26D2" w:rsidRDefault="00A90E9C" w:rsidP="006E6CE9">
            <w:pPr>
              <w:tabs>
                <w:tab w:val="left" w:pos="3375"/>
              </w:tabs>
              <w:spacing w:after="0"/>
              <w:jc w:val="center"/>
              <w:rPr>
                <w:rFonts w:ascii="Arial" w:hAnsi="Arial" w:cs="Arial"/>
                <w:sz w:val="20"/>
                <w:szCs w:val="20"/>
              </w:rPr>
            </w:pPr>
            <w:r w:rsidRPr="008A26D2">
              <w:rPr>
                <w:rFonts w:ascii="Arial" w:hAnsi="Arial" w:cs="Arial"/>
                <w:sz w:val="20"/>
                <w:szCs w:val="20"/>
              </w:rPr>
              <w:t>85%</w:t>
            </w:r>
          </w:p>
        </w:tc>
        <w:tc>
          <w:tcPr>
            <w:tcW w:w="992" w:type="dxa"/>
            <w:shd w:val="clear" w:color="auto" w:fill="auto"/>
            <w:vAlign w:val="center"/>
          </w:tcPr>
          <w:p w14:paraId="61F476D3" w14:textId="77777777" w:rsidR="00A90E9C" w:rsidRPr="008A26D2" w:rsidRDefault="00A90E9C" w:rsidP="006E6CE9">
            <w:pPr>
              <w:tabs>
                <w:tab w:val="left" w:pos="3375"/>
              </w:tabs>
              <w:spacing w:after="0"/>
              <w:jc w:val="center"/>
              <w:rPr>
                <w:rFonts w:ascii="Arial" w:hAnsi="Arial" w:cs="Arial"/>
                <w:sz w:val="20"/>
                <w:szCs w:val="20"/>
              </w:rPr>
            </w:pPr>
            <w:r w:rsidRPr="008A26D2">
              <w:rPr>
                <w:rFonts w:ascii="Arial" w:hAnsi="Arial" w:cs="Arial"/>
                <w:sz w:val="20"/>
                <w:szCs w:val="20"/>
              </w:rPr>
              <w:t>90%</w:t>
            </w:r>
          </w:p>
        </w:tc>
        <w:tc>
          <w:tcPr>
            <w:tcW w:w="851" w:type="dxa"/>
            <w:shd w:val="clear" w:color="auto" w:fill="auto"/>
            <w:vAlign w:val="center"/>
          </w:tcPr>
          <w:p w14:paraId="7A7F682C" w14:textId="77777777" w:rsidR="00A90E9C" w:rsidRPr="008A26D2" w:rsidRDefault="00A90E9C" w:rsidP="006E6CE9">
            <w:pPr>
              <w:tabs>
                <w:tab w:val="left" w:pos="3375"/>
              </w:tabs>
              <w:spacing w:after="0"/>
              <w:jc w:val="center"/>
              <w:rPr>
                <w:rFonts w:ascii="Arial" w:hAnsi="Arial" w:cs="Arial"/>
                <w:sz w:val="20"/>
                <w:szCs w:val="20"/>
              </w:rPr>
            </w:pPr>
            <w:r w:rsidRPr="008A26D2">
              <w:rPr>
                <w:rFonts w:ascii="Arial" w:hAnsi="Arial" w:cs="Arial"/>
                <w:sz w:val="20"/>
                <w:szCs w:val="20"/>
              </w:rPr>
              <w:t>95%</w:t>
            </w:r>
          </w:p>
        </w:tc>
        <w:tc>
          <w:tcPr>
            <w:tcW w:w="850" w:type="dxa"/>
            <w:gridSpan w:val="2"/>
            <w:shd w:val="clear" w:color="auto" w:fill="auto"/>
            <w:vAlign w:val="center"/>
          </w:tcPr>
          <w:p w14:paraId="04CC52EE" w14:textId="77777777" w:rsidR="00A90E9C" w:rsidRPr="008A26D2" w:rsidRDefault="00A90E9C" w:rsidP="006E6CE9">
            <w:pPr>
              <w:tabs>
                <w:tab w:val="left" w:pos="3375"/>
              </w:tabs>
              <w:spacing w:after="0"/>
              <w:jc w:val="center"/>
              <w:rPr>
                <w:rFonts w:ascii="Arial" w:hAnsi="Arial" w:cs="Arial"/>
                <w:sz w:val="20"/>
                <w:szCs w:val="20"/>
              </w:rPr>
            </w:pPr>
            <w:r w:rsidRPr="008A26D2">
              <w:rPr>
                <w:rFonts w:ascii="Arial" w:hAnsi="Arial" w:cs="Arial"/>
                <w:sz w:val="20"/>
                <w:szCs w:val="20"/>
              </w:rPr>
              <w:t>97%</w:t>
            </w:r>
          </w:p>
        </w:tc>
        <w:tc>
          <w:tcPr>
            <w:tcW w:w="709" w:type="dxa"/>
            <w:shd w:val="clear" w:color="auto" w:fill="auto"/>
            <w:tcMar>
              <w:top w:w="10" w:type="dxa"/>
              <w:left w:w="10" w:type="dxa"/>
              <w:bottom w:w="0" w:type="dxa"/>
              <w:right w:w="10" w:type="dxa"/>
            </w:tcMar>
            <w:vAlign w:val="center"/>
          </w:tcPr>
          <w:p w14:paraId="2D961A27" w14:textId="77777777" w:rsidR="00A90E9C" w:rsidRPr="008A26D2" w:rsidRDefault="00A90E9C" w:rsidP="006E6CE9">
            <w:pPr>
              <w:tabs>
                <w:tab w:val="left" w:pos="3375"/>
              </w:tabs>
              <w:spacing w:after="0"/>
              <w:jc w:val="center"/>
              <w:rPr>
                <w:rFonts w:ascii="Arial" w:hAnsi="Arial" w:cs="Arial"/>
                <w:sz w:val="20"/>
                <w:szCs w:val="20"/>
              </w:rPr>
            </w:pPr>
            <w:r w:rsidRPr="008A26D2">
              <w:rPr>
                <w:rFonts w:ascii="Arial" w:hAnsi="Arial" w:cs="Arial"/>
                <w:sz w:val="20"/>
                <w:szCs w:val="20"/>
              </w:rPr>
              <w:t>98%</w:t>
            </w:r>
          </w:p>
        </w:tc>
      </w:tr>
    </w:tbl>
    <w:p w14:paraId="35A9FC6E" w14:textId="77777777" w:rsidR="00A90E9C" w:rsidRPr="008A26D2" w:rsidRDefault="00A90E9C" w:rsidP="00A90E9C"/>
    <w:p w14:paraId="37798DA7" w14:textId="77777777" w:rsidR="00A75C0F" w:rsidRPr="008A26D2" w:rsidRDefault="00A75C0F" w:rsidP="00A75C0F"/>
    <w:tbl>
      <w:tblPr>
        <w:tblW w:w="8789"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
        <w:gridCol w:w="851"/>
        <w:gridCol w:w="726"/>
        <w:gridCol w:w="124"/>
        <w:gridCol w:w="992"/>
        <w:gridCol w:w="709"/>
        <w:gridCol w:w="284"/>
        <w:gridCol w:w="1007"/>
        <w:gridCol w:w="992"/>
        <w:gridCol w:w="718"/>
        <w:gridCol w:w="133"/>
        <w:gridCol w:w="850"/>
        <w:gridCol w:w="552"/>
      </w:tblGrid>
      <w:tr w:rsidR="00A75C0F" w:rsidRPr="008A26D2" w14:paraId="15E7BF2F" w14:textId="77777777" w:rsidTr="00AF5836">
        <w:trPr>
          <w:trHeight w:val="251"/>
        </w:trPr>
        <w:tc>
          <w:tcPr>
            <w:tcW w:w="8789" w:type="dxa"/>
            <w:gridSpan w:val="13"/>
            <w:shd w:val="clear" w:color="auto" w:fill="D9D9D9" w:themeFill="background1" w:themeFillShade="D9"/>
            <w:tcMar>
              <w:top w:w="10" w:type="dxa"/>
              <w:left w:w="10" w:type="dxa"/>
              <w:bottom w:w="0" w:type="dxa"/>
              <w:right w:w="10" w:type="dxa"/>
            </w:tcMar>
            <w:vAlign w:val="center"/>
          </w:tcPr>
          <w:p w14:paraId="4D3C1B14" w14:textId="77777777" w:rsidR="00A75C0F" w:rsidRPr="008A26D2" w:rsidRDefault="00A75C0F" w:rsidP="00AF5836">
            <w:pPr>
              <w:tabs>
                <w:tab w:val="left" w:pos="3375"/>
              </w:tabs>
              <w:spacing w:after="0" w:line="240" w:lineRule="auto"/>
              <w:jc w:val="center"/>
              <w:rPr>
                <w:rFonts w:ascii="Arial" w:hAnsi="Arial" w:cs="Arial"/>
                <w:sz w:val="20"/>
                <w:szCs w:val="20"/>
              </w:rPr>
            </w:pPr>
            <w:r w:rsidRPr="008A26D2">
              <w:rPr>
                <w:rFonts w:ascii="Arial" w:hAnsi="Arial" w:cs="Arial"/>
                <w:sz w:val="20"/>
                <w:szCs w:val="20"/>
              </w:rPr>
              <w:lastRenderedPageBreak/>
              <w:br w:type="page"/>
            </w:r>
            <w:r w:rsidRPr="008A26D2">
              <w:rPr>
                <w:rFonts w:ascii="Arial" w:hAnsi="Arial" w:cs="Arial"/>
                <w:b/>
                <w:sz w:val="20"/>
                <w:szCs w:val="20"/>
              </w:rPr>
              <w:t>FICHA TÉCNICA DE INDICADOR DE SERVICIO 2.5.1</w:t>
            </w:r>
          </w:p>
        </w:tc>
      </w:tr>
      <w:tr w:rsidR="00A75C0F" w:rsidRPr="008A26D2" w14:paraId="091A1AA8" w14:textId="77777777" w:rsidTr="00AF5836">
        <w:trPr>
          <w:trHeight w:val="542"/>
        </w:trPr>
        <w:tc>
          <w:tcPr>
            <w:tcW w:w="2428" w:type="dxa"/>
            <w:gridSpan w:val="3"/>
            <w:shd w:val="clear" w:color="auto" w:fill="FFFFFF"/>
            <w:tcMar>
              <w:top w:w="10" w:type="dxa"/>
              <w:left w:w="93" w:type="dxa"/>
              <w:bottom w:w="0" w:type="dxa"/>
              <w:right w:w="10" w:type="dxa"/>
            </w:tcMar>
            <w:vAlign w:val="center"/>
          </w:tcPr>
          <w:p w14:paraId="769E3DA5"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Objetivo prioritario:</w:t>
            </w:r>
          </w:p>
        </w:tc>
        <w:tc>
          <w:tcPr>
            <w:tcW w:w="6361" w:type="dxa"/>
            <w:gridSpan w:val="10"/>
            <w:shd w:val="clear" w:color="auto" w:fill="FFFFFF"/>
            <w:tcMar>
              <w:top w:w="51" w:type="dxa"/>
              <w:left w:w="227" w:type="dxa"/>
              <w:bottom w:w="51" w:type="dxa"/>
              <w:right w:w="227" w:type="dxa"/>
            </w:tcMar>
            <w:vAlign w:val="center"/>
          </w:tcPr>
          <w:p w14:paraId="2FAFDF66" w14:textId="77777777" w:rsidR="00A75C0F" w:rsidRPr="008A26D2" w:rsidRDefault="00A75C0F" w:rsidP="00AF5836">
            <w:pPr>
              <w:tabs>
                <w:tab w:val="left" w:pos="3375"/>
              </w:tabs>
              <w:spacing w:after="0" w:line="240" w:lineRule="auto"/>
              <w:rPr>
                <w:rFonts w:ascii="Arial" w:hAnsi="Arial" w:cs="Arial"/>
                <w:sz w:val="20"/>
                <w:szCs w:val="20"/>
              </w:rPr>
            </w:pPr>
            <w:r w:rsidRPr="008A26D2">
              <w:rPr>
                <w:rFonts w:ascii="Arial" w:hAnsi="Arial" w:cs="Arial"/>
                <w:sz w:val="20"/>
                <w:szCs w:val="20"/>
              </w:rPr>
              <w:t>OP2 Incrementar la productividad de los ecosistemas forestales, otros ecosistemas de vegetación silvestre y de la fauna silvestre.</w:t>
            </w:r>
          </w:p>
        </w:tc>
      </w:tr>
      <w:tr w:rsidR="00A75C0F" w:rsidRPr="008A26D2" w14:paraId="7A52E2A8" w14:textId="77777777" w:rsidTr="00AF5836">
        <w:trPr>
          <w:trHeight w:val="481"/>
        </w:trPr>
        <w:tc>
          <w:tcPr>
            <w:tcW w:w="2428" w:type="dxa"/>
            <w:gridSpan w:val="3"/>
            <w:shd w:val="clear" w:color="auto" w:fill="auto"/>
            <w:tcMar>
              <w:top w:w="10" w:type="dxa"/>
              <w:left w:w="93" w:type="dxa"/>
              <w:bottom w:w="0" w:type="dxa"/>
              <w:right w:w="10" w:type="dxa"/>
            </w:tcMar>
            <w:vAlign w:val="center"/>
          </w:tcPr>
          <w:p w14:paraId="497D6743"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Lineamiento de la política:</w:t>
            </w:r>
          </w:p>
        </w:tc>
        <w:tc>
          <w:tcPr>
            <w:tcW w:w="6361" w:type="dxa"/>
            <w:gridSpan w:val="10"/>
            <w:shd w:val="clear" w:color="auto" w:fill="auto"/>
            <w:tcMar>
              <w:top w:w="51" w:type="dxa"/>
              <w:left w:w="227" w:type="dxa"/>
              <w:bottom w:w="51" w:type="dxa"/>
              <w:right w:w="227" w:type="dxa"/>
            </w:tcMar>
            <w:vAlign w:val="center"/>
          </w:tcPr>
          <w:p w14:paraId="6AEF5313" w14:textId="77777777" w:rsidR="00A75C0F" w:rsidRPr="008A26D2" w:rsidRDefault="00A75C0F" w:rsidP="00AF5836">
            <w:pPr>
              <w:tabs>
                <w:tab w:val="left" w:pos="3375"/>
              </w:tabs>
              <w:spacing w:after="0" w:line="240" w:lineRule="auto"/>
              <w:rPr>
                <w:rFonts w:ascii="Arial" w:hAnsi="Arial" w:cs="Arial"/>
                <w:sz w:val="20"/>
                <w:szCs w:val="20"/>
              </w:rPr>
            </w:pPr>
            <w:r w:rsidRPr="008A26D2">
              <w:rPr>
                <w:rFonts w:ascii="Arial" w:eastAsia="Arial Narrow" w:hAnsi="Arial" w:cs="Arial"/>
                <w:sz w:val="20"/>
                <w:szCs w:val="20"/>
              </w:rPr>
              <w:t>L2.5 Lograr el aprovechamiento de nuevas especies forestales y de fauna silvestre con potencial para el mercado nacional e internacional.</w:t>
            </w:r>
          </w:p>
        </w:tc>
      </w:tr>
      <w:tr w:rsidR="00A75C0F" w:rsidRPr="008A26D2" w14:paraId="388AE818" w14:textId="77777777" w:rsidTr="00AF5836">
        <w:trPr>
          <w:trHeight w:val="404"/>
        </w:trPr>
        <w:tc>
          <w:tcPr>
            <w:tcW w:w="2428" w:type="dxa"/>
            <w:gridSpan w:val="3"/>
            <w:shd w:val="clear" w:color="auto" w:fill="auto"/>
            <w:tcMar>
              <w:top w:w="10" w:type="dxa"/>
              <w:left w:w="93" w:type="dxa"/>
              <w:bottom w:w="0" w:type="dxa"/>
              <w:right w:w="10" w:type="dxa"/>
            </w:tcMar>
            <w:vAlign w:val="center"/>
          </w:tcPr>
          <w:p w14:paraId="58CE3074"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Nombre del servicio:</w:t>
            </w:r>
          </w:p>
        </w:tc>
        <w:tc>
          <w:tcPr>
            <w:tcW w:w="6361" w:type="dxa"/>
            <w:gridSpan w:val="10"/>
            <w:shd w:val="clear" w:color="auto" w:fill="auto"/>
            <w:tcMar>
              <w:top w:w="51" w:type="dxa"/>
              <w:left w:w="227" w:type="dxa"/>
              <w:bottom w:w="51" w:type="dxa"/>
              <w:right w:w="227" w:type="dxa"/>
            </w:tcMar>
            <w:vAlign w:val="center"/>
          </w:tcPr>
          <w:p w14:paraId="7925C1DB" w14:textId="77777777" w:rsidR="00A75C0F" w:rsidRPr="008A26D2" w:rsidRDefault="00A75C0F" w:rsidP="00AF5836">
            <w:pPr>
              <w:tabs>
                <w:tab w:val="left" w:pos="3375"/>
              </w:tabs>
              <w:spacing w:after="0" w:line="240" w:lineRule="auto"/>
              <w:rPr>
                <w:rFonts w:ascii="Arial" w:eastAsia="Arial Narrow" w:hAnsi="Arial" w:cs="Arial"/>
                <w:sz w:val="20"/>
                <w:szCs w:val="20"/>
              </w:rPr>
            </w:pPr>
            <w:r w:rsidRPr="008A26D2">
              <w:rPr>
                <w:rFonts w:ascii="Arial" w:eastAsia="Arial Narrow" w:hAnsi="Arial" w:cs="Arial"/>
                <w:sz w:val="20"/>
                <w:szCs w:val="20"/>
              </w:rPr>
              <w:t xml:space="preserve">S2.5.1 </w:t>
            </w:r>
            <w:r w:rsidRPr="008A26D2">
              <w:rPr>
                <w:rFonts w:ascii="Arial" w:hAnsi="Arial" w:cs="Arial"/>
                <w:sz w:val="20"/>
                <w:szCs w:val="20"/>
              </w:rPr>
              <w:t>Provisión de material genético de calidad de forma fiable para los usuarios forestales.</w:t>
            </w:r>
          </w:p>
        </w:tc>
      </w:tr>
      <w:tr w:rsidR="00A75C0F" w:rsidRPr="008A26D2" w14:paraId="212A2F25" w14:textId="77777777" w:rsidTr="00AF5836">
        <w:trPr>
          <w:trHeight w:val="339"/>
        </w:trPr>
        <w:tc>
          <w:tcPr>
            <w:tcW w:w="2428" w:type="dxa"/>
            <w:gridSpan w:val="3"/>
            <w:shd w:val="clear" w:color="auto" w:fill="auto"/>
            <w:tcMar>
              <w:top w:w="10" w:type="dxa"/>
              <w:left w:w="93" w:type="dxa"/>
              <w:bottom w:w="0" w:type="dxa"/>
              <w:right w:w="10" w:type="dxa"/>
            </w:tcMar>
            <w:vAlign w:val="center"/>
          </w:tcPr>
          <w:p w14:paraId="43F6AC2C"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Nombre del indicador:</w:t>
            </w:r>
          </w:p>
        </w:tc>
        <w:tc>
          <w:tcPr>
            <w:tcW w:w="6361" w:type="dxa"/>
            <w:gridSpan w:val="10"/>
            <w:shd w:val="clear" w:color="auto" w:fill="auto"/>
            <w:tcMar>
              <w:top w:w="51" w:type="dxa"/>
              <w:left w:w="227" w:type="dxa"/>
              <w:bottom w:w="51" w:type="dxa"/>
              <w:right w:w="227" w:type="dxa"/>
            </w:tcMar>
            <w:vAlign w:val="center"/>
          </w:tcPr>
          <w:p w14:paraId="6937EA73" w14:textId="77777777" w:rsidR="00A75C0F" w:rsidRPr="008A26D2" w:rsidRDefault="00A75C0F" w:rsidP="00AF5836">
            <w:pPr>
              <w:tabs>
                <w:tab w:val="left" w:pos="3375"/>
              </w:tabs>
              <w:spacing w:after="0" w:line="240" w:lineRule="auto"/>
              <w:rPr>
                <w:rFonts w:ascii="Arial" w:eastAsia="Arial Narrow" w:hAnsi="Arial" w:cs="Arial"/>
                <w:sz w:val="20"/>
                <w:szCs w:val="20"/>
              </w:rPr>
            </w:pPr>
            <w:r w:rsidRPr="008A26D2">
              <w:rPr>
                <w:rFonts w:ascii="Arial" w:hAnsi="Arial" w:cs="Arial"/>
                <w:sz w:val="20"/>
                <w:szCs w:val="20"/>
              </w:rPr>
              <w:t>Número de usuarios forestales que acceden al material genético de calidad de forma fiable</w:t>
            </w:r>
          </w:p>
        </w:tc>
      </w:tr>
      <w:tr w:rsidR="00A75C0F" w:rsidRPr="008A26D2" w14:paraId="4947815B" w14:textId="77777777" w:rsidTr="00AF5836">
        <w:trPr>
          <w:trHeight w:val="577"/>
        </w:trPr>
        <w:tc>
          <w:tcPr>
            <w:tcW w:w="2428" w:type="dxa"/>
            <w:gridSpan w:val="3"/>
            <w:shd w:val="clear" w:color="auto" w:fill="auto"/>
            <w:tcMar>
              <w:top w:w="10" w:type="dxa"/>
              <w:left w:w="93" w:type="dxa"/>
              <w:bottom w:w="0" w:type="dxa"/>
              <w:right w:w="10" w:type="dxa"/>
            </w:tcMar>
            <w:vAlign w:val="center"/>
          </w:tcPr>
          <w:p w14:paraId="6A5F7176"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Justificación:</w:t>
            </w:r>
          </w:p>
        </w:tc>
        <w:tc>
          <w:tcPr>
            <w:tcW w:w="6361" w:type="dxa"/>
            <w:gridSpan w:val="10"/>
            <w:shd w:val="clear" w:color="auto" w:fill="auto"/>
            <w:tcMar>
              <w:top w:w="51" w:type="dxa"/>
              <w:left w:w="227" w:type="dxa"/>
              <w:bottom w:w="51" w:type="dxa"/>
              <w:right w:w="227" w:type="dxa"/>
            </w:tcMar>
            <w:vAlign w:val="center"/>
          </w:tcPr>
          <w:p w14:paraId="6A909F98" w14:textId="77777777" w:rsidR="00A75C0F" w:rsidRPr="008A26D2" w:rsidRDefault="00A75C0F" w:rsidP="00AF5836">
            <w:pPr>
              <w:tabs>
                <w:tab w:val="left" w:pos="3375"/>
              </w:tabs>
              <w:spacing w:after="0" w:line="240" w:lineRule="auto"/>
              <w:rPr>
                <w:rFonts w:ascii="Arial" w:eastAsia="Arial Narrow" w:hAnsi="Arial" w:cs="Arial"/>
                <w:sz w:val="20"/>
                <w:szCs w:val="20"/>
                <w:lang w:val="es-MX"/>
              </w:rPr>
            </w:pPr>
            <w:r w:rsidRPr="008A26D2">
              <w:rPr>
                <w:rFonts w:ascii="Arial" w:hAnsi="Arial" w:cs="Arial"/>
                <w:sz w:val="20"/>
                <w:szCs w:val="20"/>
              </w:rPr>
              <w:t xml:space="preserve">El indicador mide el avance en la provisión del material genético de calidad a los usuarios forestales. </w:t>
            </w:r>
            <w:r w:rsidRPr="008A26D2">
              <w:rPr>
                <w:rFonts w:ascii="Arial" w:eastAsia="Arial Narrow" w:hAnsi="Arial" w:cs="Arial"/>
                <w:sz w:val="20"/>
                <w:szCs w:val="20"/>
              </w:rPr>
              <w:t>De esta manera, el indicador facilitará el seguimiento del servicio y establecer acciones de mejora correspondiente.</w:t>
            </w:r>
          </w:p>
        </w:tc>
      </w:tr>
      <w:tr w:rsidR="00A75C0F" w:rsidRPr="008A26D2" w14:paraId="40A9672D" w14:textId="77777777" w:rsidTr="00AF5836">
        <w:trPr>
          <w:trHeight w:val="352"/>
        </w:trPr>
        <w:tc>
          <w:tcPr>
            <w:tcW w:w="2428" w:type="dxa"/>
            <w:gridSpan w:val="3"/>
            <w:shd w:val="clear" w:color="auto" w:fill="auto"/>
            <w:tcMar>
              <w:top w:w="10" w:type="dxa"/>
              <w:left w:w="93" w:type="dxa"/>
              <w:bottom w:w="0" w:type="dxa"/>
              <w:right w:w="10" w:type="dxa"/>
            </w:tcMar>
            <w:vAlign w:val="center"/>
          </w:tcPr>
          <w:p w14:paraId="573A528E" w14:textId="77777777" w:rsidR="00A75C0F" w:rsidRPr="008A26D2" w:rsidRDefault="00A75C0F" w:rsidP="00AF5836">
            <w:pPr>
              <w:tabs>
                <w:tab w:val="left" w:pos="3375"/>
              </w:tabs>
              <w:spacing w:after="0" w:line="240" w:lineRule="auto"/>
              <w:rPr>
                <w:rFonts w:ascii="Arial" w:hAnsi="Arial" w:cs="Arial"/>
                <w:sz w:val="20"/>
                <w:szCs w:val="20"/>
              </w:rPr>
            </w:pPr>
            <w:r w:rsidRPr="008A26D2">
              <w:rPr>
                <w:rFonts w:ascii="Arial" w:hAnsi="Arial" w:cs="Arial"/>
                <w:b/>
                <w:sz w:val="20"/>
                <w:szCs w:val="20"/>
              </w:rPr>
              <w:t>Responsable del indicador:</w:t>
            </w:r>
          </w:p>
        </w:tc>
        <w:tc>
          <w:tcPr>
            <w:tcW w:w="6361" w:type="dxa"/>
            <w:gridSpan w:val="10"/>
            <w:shd w:val="clear" w:color="auto" w:fill="auto"/>
            <w:tcMar>
              <w:top w:w="51" w:type="dxa"/>
              <w:left w:w="227" w:type="dxa"/>
              <w:bottom w:w="51" w:type="dxa"/>
              <w:right w:w="227" w:type="dxa"/>
            </w:tcMar>
            <w:vAlign w:val="center"/>
          </w:tcPr>
          <w:p w14:paraId="737DEAE6" w14:textId="77777777" w:rsidR="00A75C0F" w:rsidRPr="008A26D2" w:rsidRDefault="00A75C0F" w:rsidP="00AF5836">
            <w:pPr>
              <w:tabs>
                <w:tab w:val="left" w:pos="3375"/>
              </w:tabs>
              <w:spacing w:after="0" w:line="240" w:lineRule="auto"/>
              <w:rPr>
                <w:rFonts w:ascii="Arial" w:hAnsi="Arial" w:cs="Arial"/>
                <w:sz w:val="20"/>
                <w:szCs w:val="20"/>
              </w:rPr>
            </w:pPr>
            <w:r w:rsidRPr="008A26D2">
              <w:rPr>
                <w:rFonts w:ascii="Arial" w:eastAsia="Arial Narrow" w:hAnsi="Arial" w:cs="Arial"/>
                <w:sz w:val="20"/>
                <w:szCs w:val="20"/>
              </w:rPr>
              <w:t>Dirección de Desarrollo Tecnológico Agrario del Instituto Nacional de Innovación Agraria - INIA</w:t>
            </w:r>
          </w:p>
        </w:tc>
      </w:tr>
      <w:tr w:rsidR="00A75C0F" w:rsidRPr="008A26D2" w14:paraId="2FDAE3FF" w14:textId="77777777" w:rsidTr="00AF5836">
        <w:trPr>
          <w:trHeight w:val="570"/>
        </w:trPr>
        <w:tc>
          <w:tcPr>
            <w:tcW w:w="2428" w:type="dxa"/>
            <w:gridSpan w:val="3"/>
            <w:shd w:val="clear" w:color="auto" w:fill="auto"/>
            <w:tcMar>
              <w:top w:w="10" w:type="dxa"/>
              <w:left w:w="93" w:type="dxa"/>
              <w:bottom w:w="0" w:type="dxa"/>
              <w:right w:w="10" w:type="dxa"/>
            </w:tcMar>
            <w:vAlign w:val="center"/>
          </w:tcPr>
          <w:p w14:paraId="3DE7F94C" w14:textId="77777777" w:rsidR="00A75C0F" w:rsidRPr="008A26D2" w:rsidRDefault="00A75C0F" w:rsidP="00AF5836">
            <w:pPr>
              <w:tabs>
                <w:tab w:val="left" w:pos="3375"/>
              </w:tabs>
              <w:spacing w:after="0" w:line="240" w:lineRule="auto"/>
              <w:rPr>
                <w:rFonts w:ascii="Arial" w:hAnsi="Arial" w:cs="Arial"/>
                <w:sz w:val="20"/>
                <w:szCs w:val="20"/>
              </w:rPr>
            </w:pPr>
            <w:r w:rsidRPr="008A26D2">
              <w:rPr>
                <w:rFonts w:ascii="Arial" w:hAnsi="Arial" w:cs="Arial"/>
                <w:b/>
                <w:sz w:val="20"/>
                <w:szCs w:val="20"/>
              </w:rPr>
              <w:t>Limitaciones para la medición del indicador:</w:t>
            </w:r>
          </w:p>
        </w:tc>
        <w:tc>
          <w:tcPr>
            <w:tcW w:w="6361" w:type="dxa"/>
            <w:gridSpan w:val="10"/>
            <w:shd w:val="clear" w:color="auto" w:fill="auto"/>
            <w:tcMar>
              <w:top w:w="51" w:type="dxa"/>
              <w:left w:w="227" w:type="dxa"/>
              <w:bottom w:w="51" w:type="dxa"/>
              <w:right w:w="227" w:type="dxa"/>
            </w:tcMar>
            <w:vAlign w:val="center"/>
          </w:tcPr>
          <w:p w14:paraId="0753AB2F" w14:textId="77777777" w:rsidR="00A75C0F" w:rsidRPr="008A26D2" w:rsidRDefault="00A75C0F" w:rsidP="00AF5836">
            <w:pPr>
              <w:tabs>
                <w:tab w:val="left" w:pos="3375"/>
              </w:tabs>
              <w:spacing w:after="0" w:line="240" w:lineRule="auto"/>
              <w:rPr>
                <w:rFonts w:ascii="Arial" w:hAnsi="Arial" w:cs="Arial"/>
                <w:sz w:val="20"/>
                <w:szCs w:val="20"/>
              </w:rPr>
            </w:pPr>
            <w:r w:rsidRPr="008A26D2">
              <w:rPr>
                <w:rFonts w:ascii="Arial" w:hAnsi="Arial" w:cs="Arial"/>
                <w:sz w:val="20"/>
                <w:szCs w:val="20"/>
              </w:rPr>
              <w:t>No presenta limitaciones.</w:t>
            </w:r>
          </w:p>
        </w:tc>
      </w:tr>
      <w:tr w:rsidR="00A75C0F" w:rsidRPr="008A26D2" w14:paraId="61874005" w14:textId="77777777" w:rsidTr="00A75C0F">
        <w:trPr>
          <w:trHeight w:val="1223"/>
        </w:trPr>
        <w:tc>
          <w:tcPr>
            <w:tcW w:w="2428" w:type="dxa"/>
            <w:gridSpan w:val="3"/>
            <w:shd w:val="clear" w:color="auto" w:fill="auto"/>
            <w:tcMar>
              <w:top w:w="10" w:type="dxa"/>
              <w:left w:w="93" w:type="dxa"/>
              <w:bottom w:w="0" w:type="dxa"/>
              <w:right w:w="10" w:type="dxa"/>
            </w:tcMar>
            <w:vAlign w:val="center"/>
          </w:tcPr>
          <w:p w14:paraId="7B6970C5" w14:textId="77777777" w:rsidR="00A75C0F" w:rsidRPr="008A26D2" w:rsidRDefault="00A75C0F" w:rsidP="00AF5836">
            <w:pPr>
              <w:tabs>
                <w:tab w:val="left" w:pos="3375"/>
              </w:tabs>
              <w:spacing w:after="0" w:line="240" w:lineRule="auto"/>
              <w:rPr>
                <w:rFonts w:ascii="Arial" w:hAnsi="Arial" w:cs="Arial"/>
                <w:sz w:val="20"/>
                <w:szCs w:val="20"/>
              </w:rPr>
            </w:pPr>
            <w:r w:rsidRPr="008A26D2">
              <w:rPr>
                <w:rFonts w:ascii="Arial" w:hAnsi="Arial" w:cs="Arial"/>
                <w:b/>
                <w:sz w:val="20"/>
                <w:szCs w:val="20"/>
              </w:rPr>
              <w:t xml:space="preserve">Método de cálculo: </w:t>
            </w:r>
          </w:p>
        </w:tc>
        <w:tc>
          <w:tcPr>
            <w:tcW w:w="6361" w:type="dxa"/>
            <w:gridSpan w:val="10"/>
            <w:shd w:val="clear" w:color="auto" w:fill="auto"/>
            <w:tcMar>
              <w:top w:w="51" w:type="dxa"/>
              <w:left w:w="227" w:type="dxa"/>
              <w:bottom w:w="51" w:type="dxa"/>
              <w:right w:w="227" w:type="dxa"/>
            </w:tcMar>
            <w:vAlign w:val="center"/>
          </w:tcPr>
          <w:p w14:paraId="17182C2E" w14:textId="77777777" w:rsidR="00A75C0F" w:rsidRPr="008A26D2" w:rsidRDefault="00A75C0F" w:rsidP="00AF5836">
            <w:pPr>
              <w:tabs>
                <w:tab w:val="left" w:pos="3375"/>
              </w:tabs>
              <w:spacing w:after="0" w:line="240" w:lineRule="auto"/>
              <w:rPr>
                <w:rFonts w:ascii="Arial" w:hAnsi="Arial" w:cs="Arial"/>
                <w:b/>
                <w:sz w:val="20"/>
                <w:szCs w:val="20"/>
              </w:rPr>
            </w:pPr>
            <w:r w:rsidRPr="008A26D2">
              <w:rPr>
                <w:rFonts w:ascii="Arial" w:hAnsi="Arial" w:cs="Arial"/>
                <w:b/>
                <w:sz w:val="20"/>
                <w:szCs w:val="20"/>
              </w:rPr>
              <w:t>1. Fórmula:</w:t>
            </w:r>
          </w:p>
          <w:p w14:paraId="1563A8DF" w14:textId="77777777" w:rsidR="00A75C0F" w:rsidRPr="008A26D2" w:rsidRDefault="00A75C0F" w:rsidP="00AF5836">
            <w:pPr>
              <w:spacing w:after="0" w:line="240" w:lineRule="auto"/>
              <w:rPr>
                <w:rFonts w:ascii="Arial" w:eastAsia="Arial Narrow" w:hAnsi="Arial" w:cs="Arial"/>
                <w:sz w:val="20"/>
                <w:szCs w:val="20"/>
              </w:rPr>
            </w:pPr>
          </w:p>
          <w:p w14:paraId="2B52236B" w14:textId="77777777" w:rsidR="00A75C0F" w:rsidRPr="008A26D2" w:rsidRDefault="00A75C0F" w:rsidP="00AF5836">
            <w:pPr>
              <w:spacing w:after="0" w:line="240" w:lineRule="auto"/>
              <w:rPr>
                <w:rFonts w:ascii="Arial" w:eastAsia="Arial Narrow" w:hAnsi="Arial" w:cs="Arial"/>
                <w:sz w:val="20"/>
                <w:szCs w:val="20"/>
              </w:rPr>
            </w:pPr>
            <w:r w:rsidRPr="008A26D2">
              <w:rPr>
                <w:rFonts w:ascii="Arial" w:eastAsia="Arial Narrow" w:hAnsi="Arial" w:cs="Arial"/>
                <w:sz w:val="20"/>
                <w:szCs w:val="20"/>
              </w:rPr>
              <w:t>NUFAMGC</w:t>
            </w:r>
          </w:p>
          <w:p w14:paraId="09258063" w14:textId="77777777" w:rsidR="00A75C0F" w:rsidRPr="008A26D2" w:rsidRDefault="00A75C0F" w:rsidP="00AF5836">
            <w:pPr>
              <w:spacing w:after="0" w:line="240" w:lineRule="auto"/>
              <w:rPr>
                <w:rFonts w:ascii="Arial" w:eastAsia="Arial Narrow" w:hAnsi="Arial" w:cs="Arial"/>
                <w:sz w:val="20"/>
                <w:szCs w:val="20"/>
              </w:rPr>
            </w:pPr>
          </w:p>
          <w:p w14:paraId="7EBB187F" w14:textId="77777777" w:rsidR="00A75C0F" w:rsidRPr="008A26D2" w:rsidRDefault="00A75C0F" w:rsidP="00AF5836">
            <w:pPr>
              <w:spacing w:after="0" w:line="240" w:lineRule="auto"/>
              <w:rPr>
                <w:rFonts w:ascii="Arial" w:eastAsia="Arial Narrow" w:hAnsi="Arial" w:cs="Arial"/>
                <w:sz w:val="20"/>
                <w:szCs w:val="20"/>
              </w:rPr>
            </w:pPr>
            <w:r w:rsidRPr="008A26D2">
              <w:rPr>
                <w:rFonts w:ascii="Arial" w:eastAsia="Arial Narrow" w:hAnsi="Arial" w:cs="Arial"/>
                <w:sz w:val="20"/>
                <w:szCs w:val="20"/>
              </w:rPr>
              <w:t>Donde:</w:t>
            </w:r>
          </w:p>
          <w:p w14:paraId="6AA7CBBA" w14:textId="77777777" w:rsidR="00A75C0F" w:rsidRPr="008A26D2" w:rsidRDefault="00A75C0F" w:rsidP="00AF5836">
            <w:pPr>
              <w:spacing w:after="0" w:line="240" w:lineRule="auto"/>
              <w:rPr>
                <w:rFonts w:ascii="Arial" w:eastAsia="Arial Narrow" w:hAnsi="Arial" w:cs="Arial"/>
                <w:sz w:val="20"/>
                <w:szCs w:val="20"/>
              </w:rPr>
            </w:pPr>
          </w:p>
          <w:p w14:paraId="423F87B2" w14:textId="77777777" w:rsidR="00A75C0F" w:rsidRPr="008A26D2" w:rsidRDefault="00A75C0F" w:rsidP="00AF5836">
            <w:pPr>
              <w:spacing w:after="0" w:line="240" w:lineRule="auto"/>
              <w:rPr>
                <w:rFonts w:ascii="Arial" w:eastAsia="Arial Narrow" w:hAnsi="Arial" w:cs="Arial"/>
                <w:sz w:val="20"/>
                <w:szCs w:val="20"/>
              </w:rPr>
            </w:pPr>
            <w:r w:rsidRPr="008A26D2">
              <w:rPr>
                <w:rFonts w:ascii="Arial" w:eastAsia="Arial Narrow" w:hAnsi="Arial" w:cs="Arial"/>
                <w:sz w:val="20"/>
                <w:szCs w:val="20"/>
              </w:rPr>
              <w:t xml:space="preserve">NUFAMGC = Número de usuarios forestales que acceden el material genético de calidad de forma fiable    </w:t>
            </w:r>
          </w:p>
          <w:p w14:paraId="1A458B70" w14:textId="77777777" w:rsidR="00A75C0F" w:rsidRPr="008A26D2" w:rsidRDefault="00A75C0F" w:rsidP="00AF5836">
            <w:pPr>
              <w:spacing w:after="0" w:line="240" w:lineRule="auto"/>
              <w:rPr>
                <w:rFonts w:ascii="Arial" w:eastAsia="Arial Narrow" w:hAnsi="Arial" w:cs="Arial"/>
                <w:sz w:val="20"/>
                <w:szCs w:val="20"/>
              </w:rPr>
            </w:pPr>
          </w:p>
          <w:p w14:paraId="7902FE02" w14:textId="77777777" w:rsidR="00A75C0F" w:rsidRPr="008A26D2" w:rsidRDefault="00A75C0F" w:rsidP="00AF5836">
            <w:pPr>
              <w:tabs>
                <w:tab w:val="left" w:pos="3375"/>
              </w:tabs>
              <w:spacing w:after="0" w:line="240" w:lineRule="auto"/>
              <w:rPr>
                <w:rFonts w:ascii="Arial" w:hAnsi="Arial" w:cs="Arial"/>
                <w:sz w:val="20"/>
                <w:szCs w:val="20"/>
              </w:rPr>
            </w:pPr>
            <w:r w:rsidRPr="008A26D2">
              <w:rPr>
                <w:rFonts w:ascii="Arial" w:hAnsi="Arial" w:cs="Arial"/>
                <w:b/>
                <w:sz w:val="20"/>
                <w:szCs w:val="20"/>
              </w:rPr>
              <w:t>2. Especificaciones técnicas:</w:t>
            </w:r>
          </w:p>
          <w:p w14:paraId="02D78705" w14:textId="4AF9356E" w:rsidR="00A75C0F" w:rsidRPr="008A26D2" w:rsidRDefault="00A75C0F" w:rsidP="00A75C0F">
            <w:pPr>
              <w:spacing w:after="0" w:line="240" w:lineRule="auto"/>
              <w:jc w:val="both"/>
              <w:rPr>
                <w:rFonts w:ascii="Arial" w:eastAsia="Arial Narrow" w:hAnsi="Arial" w:cs="Arial"/>
                <w:sz w:val="20"/>
                <w:szCs w:val="20"/>
              </w:rPr>
            </w:pPr>
            <w:r>
              <w:rPr>
                <w:rFonts w:ascii="Arial" w:eastAsia="Arial Narrow" w:hAnsi="Arial" w:cs="Arial"/>
                <w:sz w:val="20"/>
                <w:szCs w:val="20"/>
              </w:rPr>
              <w:t xml:space="preserve">La variable </w:t>
            </w:r>
            <w:r w:rsidRPr="008A26D2">
              <w:rPr>
                <w:rFonts w:ascii="Arial" w:eastAsia="Arial Narrow" w:hAnsi="Arial" w:cs="Arial"/>
                <w:sz w:val="20"/>
                <w:szCs w:val="20"/>
              </w:rPr>
              <w:t>NUFAMGC</w:t>
            </w:r>
            <w:r>
              <w:rPr>
                <w:rFonts w:ascii="Arial" w:eastAsia="Arial Narrow" w:hAnsi="Arial" w:cs="Arial"/>
                <w:sz w:val="20"/>
                <w:szCs w:val="20"/>
              </w:rPr>
              <w:t xml:space="preserve"> se determina a partir de los usuarios forestales </w:t>
            </w:r>
            <w:r w:rsidRPr="008A26D2">
              <w:rPr>
                <w:rFonts w:ascii="Arial" w:eastAsia="Arial Narrow" w:hAnsi="Arial" w:cs="Arial"/>
                <w:sz w:val="20"/>
                <w:szCs w:val="20"/>
              </w:rPr>
              <w:t>(comunidades nativas o campesinas, asociaciones o entidades académicas o del estado para actividades de índole forestal)</w:t>
            </w:r>
            <w:r>
              <w:rPr>
                <w:rFonts w:ascii="Arial" w:eastAsia="Arial Narrow" w:hAnsi="Arial" w:cs="Arial"/>
                <w:sz w:val="20"/>
                <w:szCs w:val="20"/>
              </w:rPr>
              <w:t xml:space="preserve"> que obtienen material genético de calidad </w:t>
            </w:r>
            <w:r w:rsidRPr="008A26D2">
              <w:rPr>
                <w:rFonts w:ascii="Arial" w:eastAsia="Arial Narrow" w:hAnsi="Arial" w:cs="Arial"/>
                <w:sz w:val="20"/>
                <w:szCs w:val="20"/>
              </w:rPr>
              <w:t xml:space="preserve">a través de </w:t>
            </w:r>
            <w:r>
              <w:rPr>
                <w:rFonts w:ascii="Arial" w:eastAsia="Arial Narrow" w:hAnsi="Arial" w:cs="Arial"/>
                <w:sz w:val="20"/>
                <w:szCs w:val="20"/>
              </w:rPr>
              <w:t xml:space="preserve">su </w:t>
            </w:r>
            <w:r w:rsidRPr="008A26D2">
              <w:rPr>
                <w:rFonts w:ascii="Arial" w:eastAsia="Arial Narrow" w:hAnsi="Arial" w:cs="Arial"/>
                <w:sz w:val="20"/>
                <w:szCs w:val="20"/>
              </w:rPr>
              <w:t xml:space="preserve">compra o </w:t>
            </w:r>
            <w:r>
              <w:rPr>
                <w:rFonts w:ascii="Arial" w:eastAsia="Arial Narrow" w:hAnsi="Arial" w:cs="Arial"/>
                <w:sz w:val="20"/>
                <w:szCs w:val="20"/>
              </w:rPr>
              <w:t>recepción</w:t>
            </w:r>
            <w:r w:rsidRPr="008A26D2">
              <w:rPr>
                <w:rFonts w:ascii="Arial" w:eastAsia="Arial Narrow" w:hAnsi="Arial" w:cs="Arial"/>
                <w:sz w:val="20"/>
                <w:szCs w:val="20"/>
              </w:rPr>
              <w:t xml:space="preserve"> </w:t>
            </w:r>
            <w:r>
              <w:rPr>
                <w:rFonts w:ascii="Arial" w:eastAsia="Arial Narrow" w:hAnsi="Arial" w:cs="Arial"/>
                <w:sz w:val="20"/>
                <w:szCs w:val="20"/>
              </w:rPr>
              <w:t>en el año de medición</w:t>
            </w:r>
            <w:r w:rsidRPr="008A26D2">
              <w:rPr>
                <w:rFonts w:ascii="Arial" w:eastAsia="Arial Narrow" w:hAnsi="Arial" w:cs="Arial"/>
                <w:sz w:val="20"/>
                <w:szCs w:val="20"/>
              </w:rPr>
              <w:t>.</w:t>
            </w:r>
          </w:p>
          <w:p w14:paraId="21637AB3" w14:textId="77777777" w:rsidR="00A75C0F" w:rsidRPr="008A26D2" w:rsidRDefault="00A75C0F" w:rsidP="00AF5836">
            <w:pPr>
              <w:spacing w:after="0" w:line="240" w:lineRule="auto"/>
              <w:rPr>
                <w:rFonts w:ascii="Arial" w:eastAsia="Arial Narrow" w:hAnsi="Arial" w:cs="Arial"/>
                <w:sz w:val="20"/>
                <w:szCs w:val="20"/>
              </w:rPr>
            </w:pPr>
          </w:p>
          <w:p w14:paraId="0066DB22" w14:textId="0E78930F" w:rsidR="00A75C0F" w:rsidRPr="008A26D2" w:rsidRDefault="00A75C0F" w:rsidP="00A75C0F">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Se considera como material genético de calidad, aquellos que han sido seleccionados fenotípicamente por el</w:t>
            </w:r>
            <w:r>
              <w:rPr>
                <w:rFonts w:ascii="Arial" w:eastAsia="Arial Narrow" w:hAnsi="Arial" w:cs="Arial"/>
                <w:sz w:val="20"/>
                <w:szCs w:val="20"/>
              </w:rPr>
              <w:t xml:space="preserve"> </w:t>
            </w:r>
            <w:r w:rsidRPr="008A26D2">
              <w:rPr>
                <w:rFonts w:ascii="Arial" w:eastAsia="Arial Narrow" w:hAnsi="Arial" w:cs="Arial"/>
                <w:sz w:val="20"/>
                <w:szCs w:val="20"/>
              </w:rPr>
              <w:t>Instituto Nacional de Innovación Agraria</w:t>
            </w:r>
            <w:r>
              <w:rPr>
                <w:rFonts w:ascii="Arial" w:eastAsia="Arial Narrow" w:hAnsi="Arial" w:cs="Arial"/>
                <w:sz w:val="20"/>
                <w:szCs w:val="20"/>
              </w:rPr>
              <w:t xml:space="preserve"> - </w:t>
            </w:r>
            <w:r w:rsidRPr="008A26D2">
              <w:rPr>
                <w:rFonts w:ascii="Arial" w:eastAsia="Arial Narrow" w:hAnsi="Arial" w:cs="Arial"/>
                <w:sz w:val="20"/>
                <w:szCs w:val="20"/>
              </w:rPr>
              <w:t>INIA, así los productos finales podrán ser: Semillas de clase no certificada, plántulas, o cualquier otro resultado de un método de propagación de las plantas.</w:t>
            </w:r>
          </w:p>
          <w:p w14:paraId="04F15104" w14:textId="77777777" w:rsidR="00A75C0F" w:rsidRPr="008A26D2" w:rsidRDefault="00A75C0F" w:rsidP="00AF5836">
            <w:pPr>
              <w:spacing w:after="0" w:line="240" w:lineRule="auto"/>
              <w:jc w:val="both"/>
              <w:rPr>
                <w:rFonts w:ascii="Arial" w:eastAsia="Arial Narrow" w:hAnsi="Arial" w:cs="Arial"/>
                <w:sz w:val="20"/>
                <w:szCs w:val="20"/>
              </w:rPr>
            </w:pPr>
          </w:p>
          <w:p w14:paraId="38BDB9A2" w14:textId="77777777" w:rsidR="00A75C0F" w:rsidRPr="008A26D2" w:rsidRDefault="00A75C0F" w:rsidP="00AF5836">
            <w:pPr>
              <w:spacing w:after="0" w:line="240" w:lineRule="auto"/>
              <w:jc w:val="both"/>
              <w:rPr>
                <w:rFonts w:ascii="Arial" w:eastAsia="Arial Narrow" w:hAnsi="Arial" w:cs="Arial"/>
                <w:sz w:val="20"/>
                <w:szCs w:val="20"/>
              </w:rPr>
            </w:pPr>
            <w:r w:rsidRPr="008A26D2">
              <w:rPr>
                <w:rFonts w:ascii="Arial" w:hAnsi="Arial" w:cs="Arial"/>
                <w:sz w:val="20"/>
                <w:szCs w:val="20"/>
              </w:rPr>
              <w:t>Esto incluye los productos obtenidos de un árbol semillero o árbol plus, el cual fue seleccionado a través de la evaluación de caracteres dasométricos (altura comercial, diámetro, volumen, cantidad de trozas aprovechables), caracteres morfológicos (rectitud del fuste, ausencia de bifurcaciones, ausencia de granos de inserción, grosor de ramas, ángulo de ramificación) y la sanidad interna óptima (tomograma obtenido a través de un tomógrafo forestal).</w:t>
            </w:r>
          </w:p>
        </w:tc>
      </w:tr>
      <w:tr w:rsidR="00A75C0F" w:rsidRPr="008A26D2" w14:paraId="53C3EF96" w14:textId="77777777" w:rsidTr="00AF5836">
        <w:trPr>
          <w:trHeight w:val="491"/>
        </w:trPr>
        <w:tc>
          <w:tcPr>
            <w:tcW w:w="2428" w:type="dxa"/>
            <w:gridSpan w:val="3"/>
            <w:shd w:val="clear" w:color="auto" w:fill="auto"/>
            <w:tcMar>
              <w:top w:w="10" w:type="dxa"/>
              <w:left w:w="93" w:type="dxa"/>
              <w:bottom w:w="0" w:type="dxa"/>
              <w:right w:w="10" w:type="dxa"/>
            </w:tcMar>
            <w:vAlign w:val="center"/>
          </w:tcPr>
          <w:p w14:paraId="1CAFF468" w14:textId="77777777" w:rsidR="00A75C0F" w:rsidRPr="008A26D2" w:rsidRDefault="00A75C0F" w:rsidP="00AF5836">
            <w:pPr>
              <w:tabs>
                <w:tab w:val="left" w:pos="3375"/>
              </w:tabs>
              <w:spacing w:after="0" w:line="240" w:lineRule="auto"/>
              <w:rPr>
                <w:rFonts w:ascii="Arial" w:hAnsi="Arial" w:cs="Arial"/>
                <w:sz w:val="20"/>
                <w:szCs w:val="20"/>
              </w:rPr>
            </w:pPr>
            <w:r w:rsidRPr="008A26D2">
              <w:rPr>
                <w:rFonts w:ascii="Arial" w:hAnsi="Arial" w:cs="Arial"/>
                <w:b/>
                <w:sz w:val="20"/>
                <w:szCs w:val="20"/>
              </w:rPr>
              <w:t>Sentido esperado del indicador:</w:t>
            </w:r>
          </w:p>
        </w:tc>
        <w:tc>
          <w:tcPr>
            <w:tcW w:w="1825" w:type="dxa"/>
            <w:gridSpan w:val="3"/>
            <w:shd w:val="clear" w:color="auto" w:fill="auto"/>
            <w:tcMar>
              <w:top w:w="10" w:type="dxa"/>
              <w:left w:w="283" w:type="dxa"/>
              <w:bottom w:w="0" w:type="dxa"/>
              <w:right w:w="283" w:type="dxa"/>
            </w:tcMar>
            <w:vAlign w:val="center"/>
          </w:tcPr>
          <w:p w14:paraId="25400589" w14:textId="77777777" w:rsidR="00A75C0F" w:rsidRPr="008A26D2" w:rsidRDefault="00A75C0F" w:rsidP="00AF5836">
            <w:pPr>
              <w:tabs>
                <w:tab w:val="left" w:pos="3375"/>
              </w:tabs>
              <w:spacing w:after="0" w:line="240" w:lineRule="auto"/>
              <w:rPr>
                <w:rFonts w:ascii="Arial" w:hAnsi="Arial" w:cs="Arial"/>
                <w:sz w:val="20"/>
                <w:szCs w:val="20"/>
              </w:rPr>
            </w:pPr>
            <w:r w:rsidRPr="008A26D2">
              <w:rPr>
                <w:rFonts w:ascii="Arial" w:hAnsi="Arial" w:cs="Arial"/>
                <w:sz w:val="20"/>
                <w:szCs w:val="20"/>
              </w:rPr>
              <w:t>Ascendente</w:t>
            </w:r>
          </w:p>
        </w:tc>
        <w:tc>
          <w:tcPr>
            <w:tcW w:w="3001" w:type="dxa"/>
            <w:gridSpan w:val="4"/>
            <w:shd w:val="clear" w:color="auto" w:fill="auto"/>
            <w:tcMar>
              <w:top w:w="15" w:type="dxa"/>
              <w:left w:w="15" w:type="dxa"/>
              <w:bottom w:w="0" w:type="dxa"/>
              <w:right w:w="15" w:type="dxa"/>
            </w:tcMar>
            <w:vAlign w:val="center"/>
          </w:tcPr>
          <w:p w14:paraId="242124C0" w14:textId="77777777" w:rsidR="00A75C0F" w:rsidRPr="008A26D2" w:rsidRDefault="00A75C0F" w:rsidP="00AF5836">
            <w:pPr>
              <w:tabs>
                <w:tab w:val="left" w:pos="3375"/>
              </w:tabs>
              <w:spacing w:after="0" w:line="240" w:lineRule="auto"/>
              <w:jc w:val="center"/>
              <w:rPr>
                <w:rFonts w:ascii="Arial" w:hAnsi="Arial" w:cs="Arial"/>
                <w:sz w:val="20"/>
                <w:szCs w:val="20"/>
              </w:rPr>
            </w:pPr>
            <w:r w:rsidRPr="008A26D2">
              <w:rPr>
                <w:rFonts w:ascii="Arial" w:hAnsi="Arial" w:cs="Arial"/>
                <w:b/>
                <w:sz w:val="20"/>
                <w:szCs w:val="20"/>
              </w:rPr>
              <w:t>Tipo de indicador de servicio:</w:t>
            </w:r>
          </w:p>
        </w:tc>
        <w:tc>
          <w:tcPr>
            <w:tcW w:w="1535" w:type="dxa"/>
            <w:gridSpan w:val="3"/>
            <w:shd w:val="clear" w:color="auto" w:fill="auto"/>
            <w:tcMar>
              <w:top w:w="15" w:type="dxa"/>
              <w:left w:w="15" w:type="dxa"/>
              <w:bottom w:w="0" w:type="dxa"/>
              <w:right w:w="15" w:type="dxa"/>
            </w:tcMar>
            <w:vAlign w:val="center"/>
          </w:tcPr>
          <w:p w14:paraId="268B9445" w14:textId="77777777" w:rsidR="00A75C0F" w:rsidRPr="008A26D2" w:rsidRDefault="00A75C0F" w:rsidP="00AF5836">
            <w:pPr>
              <w:tabs>
                <w:tab w:val="left" w:pos="3375"/>
              </w:tabs>
              <w:spacing w:after="0" w:line="240" w:lineRule="auto"/>
              <w:jc w:val="center"/>
              <w:rPr>
                <w:rFonts w:ascii="Arial" w:hAnsi="Arial" w:cs="Arial"/>
                <w:sz w:val="20"/>
                <w:szCs w:val="20"/>
              </w:rPr>
            </w:pPr>
            <w:r w:rsidRPr="008A26D2">
              <w:rPr>
                <w:rFonts w:ascii="Arial" w:hAnsi="Arial" w:cs="Arial"/>
                <w:sz w:val="20"/>
                <w:szCs w:val="20"/>
              </w:rPr>
              <w:t>Calidad - Fiabilidad</w:t>
            </w:r>
          </w:p>
        </w:tc>
      </w:tr>
      <w:tr w:rsidR="00A75C0F" w:rsidRPr="008A26D2" w14:paraId="616405BC" w14:textId="77777777" w:rsidTr="00AF5836">
        <w:trPr>
          <w:trHeight w:val="646"/>
        </w:trPr>
        <w:tc>
          <w:tcPr>
            <w:tcW w:w="2428" w:type="dxa"/>
            <w:gridSpan w:val="3"/>
            <w:shd w:val="clear" w:color="auto" w:fill="auto"/>
            <w:tcMar>
              <w:top w:w="10" w:type="dxa"/>
              <w:left w:w="93" w:type="dxa"/>
              <w:bottom w:w="0" w:type="dxa"/>
              <w:right w:w="10" w:type="dxa"/>
            </w:tcMar>
            <w:vAlign w:val="center"/>
          </w:tcPr>
          <w:p w14:paraId="1ECB2323" w14:textId="77777777" w:rsidR="00A75C0F" w:rsidRPr="008A26D2" w:rsidRDefault="00A75C0F" w:rsidP="00AF5836">
            <w:pPr>
              <w:tabs>
                <w:tab w:val="left" w:pos="3375"/>
              </w:tabs>
              <w:spacing w:after="0" w:line="240" w:lineRule="auto"/>
              <w:rPr>
                <w:rFonts w:ascii="Arial" w:hAnsi="Arial" w:cs="Arial"/>
                <w:sz w:val="20"/>
                <w:szCs w:val="20"/>
              </w:rPr>
            </w:pPr>
            <w:r w:rsidRPr="008A26D2">
              <w:rPr>
                <w:rFonts w:ascii="Arial" w:hAnsi="Arial" w:cs="Arial"/>
                <w:b/>
                <w:sz w:val="20"/>
                <w:szCs w:val="20"/>
              </w:rPr>
              <w:t>Fuente y base de datos:</w:t>
            </w:r>
          </w:p>
        </w:tc>
        <w:tc>
          <w:tcPr>
            <w:tcW w:w="6361" w:type="dxa"/>
            <w:gridSpan w:val="10"/>
            <w:shd w:val="clear" w:color="auto" w:fill="auto"/>
            <w:tcMar>
              <w:top w:w="51" w:type="dxa"/>
              <w:left w:w="227" w:type="dxa"/>
              <w:bottom w:w="51" w:type="dxa"/>
              <w:right w:w="227" w:type="dxa"/>
            </w:tcMar>
            <w:vAlign w:val="center"/>
          </w:tcPr>
          <w:p w14:paraId="720FC0CA" w14:textId="77777777" w:rsidR="00A75C0F" w:rsidRPr="008A26D2" w:rsidRDefault="00A75C0F" w:rsidP="00AF5836">
            <w:pPr>
              <w:tabs>
                <w:tab w:val="left" w:pos="3375"/>
              </w:tabs>
              <w:spacing w:after="0" w:line="240" w:lineRule="auto"/>
              <w:rPr>
                <w:rFonts w:ascii="Arial" w:hAnsi="Arial" w:cs="Arial"/>
                <w:sz w:val="20"/>
                <w:szCs w:val="20"/>
              </w:rPr>
            </w:pPr>
            <w:r w:rsidRPr="008A26D2">
              <w:rPr>
                <w:rFonts w:ascii="Arial" w:eastAsia="Arial Narrow" w:hAnsi="Arial" w:cs="Arial"/>
                <w:sz w:val="20"/>
                <w:szCs w:val="20"/>
              </w:rPr>
              <w:t xml:space="preserve">Fuente: Proyecto 122_PI del </w:t>
            </w:r>
            <w:r>
              <w:rPr>
                <w:rFonts w:ascii="Arial" w:eastAsia="Arial Narrow" w:hAnsi="Arial" w:cs="Arial"/>
                <w:sz w:val="20"/>
                <w:szCs w:val="20"/>
              </w:rPr>
              <w:t xml:space="preserve">Programa Nacional de Innovación Agraria - </w:t>
            </w:r>
            <w:r w:rsidRPr="008A26D2">
              <w:rPr>
                <w:rFonts w:ascii="Arial" w:eastAsia="Arial Narrow" w:hAnsi="Arial" w:cs="Arial"/>
                <w:sz w:val="20"/>
                <w:szCs w:val="20"/>
              </w:rPr>
              <w:t xml:space="preserve">PNIA; repositorio institucional del Instituto Nacional de Innovación Agraria </w:t>
            </w:r>
            <w:r>
              <w:rPr>
                <w:rFonts w:ascii="Arial" w:eastAsia="Arial Narrow" w:hAnsi="Arial" w:cs="Arial"/>
                <w:sz w:val="20"/>
                <w:szCs w:val="20"/>
              </w:rPr>
              <w:t xml:space="preserve">- </w:t>
            </w:r>
            <w:r w:rsidRPr="008A26D2">
              <w:rPr>
                <w:rFonts w:ascii="Arial" w:eastAsia="Arial Narrow" w:hAnsi="Arial" w:cs="Arial"/>
                <w:sz w:val="20"/>
                <w:szCs w:val="20"/>
              </w:rPr>
              <w:t>INIA</w:t>
            </w:r>
            <w:r w:rsidRPr="008A26D2">
              <w:rPr>
                <w:rFonts w:ascii="Arial" w:eastAsia="Arial Narrow" w:hAnsi="Arial" w:cs="Arial"/>
                <w:sz w:val="20"/>
                <w:szCs w:val="20"/>
              </w:rPr>
              <w:br/>
              <w:t xml:space="preserve">Base de datos: Cuadernos de campo, Kardex almacén de las </w:t>
            </w:r>
            <w:r w:rsidRPr="008A26D2">
              <w:rPr>
                <w:rFonts w:ascii="Arial" w:eastAsia="Arial Narrow" w:hAnsi="Arial" w:cs="Arial"/>
                <w:sz w:val="20"/>
                <w:szCs w:val="20"/>
              </w:rPr>
              <w:lastRenderedPageBreak/>
              <w:t>Estaciones Experimentales y reportes trimestrales del</w:t>
            </w:r>
            <w:r>
              <w:rPr>
                <w:rFonts w:ascii="Arial" w:eastAsia="Arial Narrow" w:hAnsi="Arial" w:cs="Arial"/>
                <w:sz w:val="20"/>
                <w:szCs w:val="20"/>
              </w:rPr>
              <w:t xml:space="preserve"> </w:t>
            </w:r>
            <w:r w:rsidRPr="008A26D2">
              <w:rPr>
                <w:rFonts w:ascii="Arial" w:eastAsia="Arial Narrow" w:hAnsi="Arial" w:cs="Arial"/>
                <w:sz w:val="20"/>
                <w:szCs w:val="20"/>
              </w:rPr>
              <w:t>Instituto Nacional de Innovación Agraria</w:t>
            </w:r>
            <w:r>
              <w:rPr>
                <w:rFonts w:ascii="Arial" w:eastAsia="Arial Narrow" w:hAnsi="Arial" w:cs="Arial"/>
                <w:sz w:val="20"/>
                <w:szCs w:val="20"/>
              </w:rPr>
              <w:t xml:space="preserve"> -</w:t>
            </w:r>
            <w:r w:rsidRPr="008A26D2">
              <w:rPr>
                <w:rFonts w:ascii="Arial" w:eastAsia="Arial Narrow" w:hAnsi="Arial" w:cs="Arial"/>
                <w:sz w:val="20"/>
                <w:szCs w:val="20"/>
              </w:rPr>
              <w:t xml:space="preserve"> INIA</w:t>
            </w:r>
          </w:p>
        </w:tc>
      </w:tr>
      <w:tr w:rsidR="00A75C0F" w:rsidRPr="008A26D2" w14:paraId="78FF91D3" w14:textId="77777777" w:rsidTr="00AF5836">
        <w:trPr>
          <w:trHeight w:val="436"/>
        </w:trPr>
        <w:tc>
          <w:tcPr>
            <w:tcW w:w="2428" w:type="dxa"/>
            <w:gridSpan w:val="3"/>
            <w:shd w:val="clear" w:color="auto" w:fill="auto"/>
            <w:tcMar>
              <w:top w:w="10" w:type="dxa"/>
              <w:left w:w="93" w:type="dxa"/>
              <w:bottom w:w="0" w:type="dxa"/>
              <w:right w:w="10" w:type="dxa"/>
            </w:tcMar>
            <w:vAlign w:val="center"/>
          </w:tcPr>
          <w:p w14:paraId="553CDCFB" w14:textId="77777777" w:rsidR="00A75C0F" w:rsidRPr="008A26D2" w:rsidRDefault="00A75C0F" w:rsidP="00AF5836">
            <w:pPr>
              <w:tabs>
                <w:tab w:val="left" w:pos="3375"/>
              </w:tabs>
              <w:spacing w:after="0" w:line="240" w:lineRule="auto"/>
              <w:rPr>
                <w:rFonts w:ascii="Arial" w:hAnsi="Arial" w:cs="Arial"/>
                <w:sz w:val="20"/>
                <w:szCs w:val="20"/>
              </w:rPr>
            </w:pPr>
            <w:r w:rsidRPr="008A26D2">
              <w:rPr>
                <w:rFonts w:ascii="Arial" w:hAnsi="Arial" w:cs="Arial"/>
                <w:b/>
                <w:sz w:val="20"/>
                <w:szCs w:val="20"/>
              </w:rPr>
              <w:lastRenderedPageBreak/>
              <w:t>Supuestos:</w:t>
            </w:r>
          </w:p>
        </w:tc>
        <w:tc>
          <w:tcPr>
            <w:tcW w:w="6361" w:type="dxa"/>
            <w:gridSpan w:val="10"/>
            <w:shd w:val="clear" w:color="auto" w:fill="auto"/>
            <w:tcMar>
              <w:top w:w="51" w:type="dxa"/>
              <w:left w:w="227" w:type="dxa"/>
              <w:bottom w:w="51" w:type="dxa"/>
              <w:right w:w="227" w:type="dxa"/>
            </w:tcMar>
            <w:vAlign w:val="center"/>
          </w:tcPr>
          <w:p w14:paraId="1AF6614D" w14:textId="77777777" w:rsidR="00A75C0F" w:rsidRPr="008A26D2" w:rsidRDefault="00A75C0F" w:rsidP="00AF5836">
            <w:pPr>
              <w:tabs>
                <w:tab w:val="left" w:pos="3375"/>
              </w:tabs>
              <w:spacing w:after="0" w:line="240" w:lineRule="auto"/>
              <w:rPr>
                <w:rFonts w:ascii="Arial" w:hAnsi="Arial" w:cs="Arial"/>
                <w:sz w:val="20"/>
                <w:szCs w:val="20"/>
              </w:rPr>
            </w:pPr>
            <w:r w:rsidRPr="008A26D2">
              <w:rPr>
                <w:rFonts w:ascii="Arial" w:eastAsia="Arial Narrow" w:hAnsi="Arial" w:cs="Arial"/>
                <w:sz w:val="20"/>
                <w:szCs w:val="20"/>
              </w:rPr>
              <w:t>Se cuenta con material genético categorizado por el INIA que puede ser puesta a disposición de los usuarios.</w:t>
            </w:r>
          </w:p>
        </w:tc>
      </w:tr>
      <w:tr w:rsidR="00A75C0F" w:rsidRPr="008A26D2" w14:paraId="73A1BA6F" w14:textId="77777777" w:rsidTr="00CB5D5C">
        <w:trPr>
          <w:trHeight w:val="556"/>
        </w:trPr>
        <w:tc>
          <w:tcPr>
            <w:tcW w:w="851" w:type="dxa"/>
            <w:shd w:val="clear" w:color="auto" w:fill="auto"/>
            <w:tcMar>
              <w:top w:w="10" w:type="dxa"/>
              <w:left w:w="10" w:type="dxa"/>
              <w:bottom w:w="0" w:type="dxa"/>
              <w:right w:w="10" w:type="dxa"/>
            </w:tcMar>
            <w:vAlign w:val="center"/>
          </w:tcPr>
          <w:p w14:paraId="7F8A3719"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 </w:t>
            </w:r>
          </w:p>
        </w:tc>
        <w:tc>
          <w:tcPr>
            <w:tcW w:w="851" w:type="dxa"/>
            <w:shd w:val="clear" w:color="auto" w:fill="auto"/>
            <w:tcMar>
              <w:top w:w="10" w:type="dxa"/>
              <w:left w:w="10" w:type="dxa"/>
              <w:bottom w:w="0" w:type="dxa"/>
              <w:right w:w="10" w:type="dxa"/>
            </w:tcMar>
            <w:vAlign w:val="center"/>
          </w:tcPr>
          <w:p w14:paraId="7470A633" w14:textId="77777777" w:rsidR="00A75C0F" w:rsidRPr="008A26D2" w:rsidRDefault="00A75C0F" w:rsidP="00CB5D5C">
            <w:pPr>
              <w:tabs>
                <w:tab w:val="left" w:pos="3375"/>
              </w:tabs>
              <w:spacing w:after="0" w:line="240" w:lineRule="auto"/>
              <w:jc w:val="center"/>
              <w:rPr>
                <w:rFonts w:ascii="Arial" w:hAnsi="Arial" w:cs="Arial"/>
                <w:sz w:val="20"/>
                <w:szCs w:val="20"/>
              </w:rPr>
            </w:pPr>
            <w:r w:rsidRPr="008A26D2">
              <w:rPr>
                <w:rFonts w:ascii="Arial" w:hAnsi="Arial" w:cs="Arial"/>
                <w:b/>
                <w:sz w:val="20"/>
                <w:szCs w:val="20"/>
              </w:rPr>
              <w:t>Línea de base</w:t>
            </w:r>
          </w:p>
        </w:tc>
        <w:tc>
          <w:tcPr>
            <w:tcW w:w="7087" w:type="dxa"/>
            <w:gridSpan w:val="11"/>
            <w:shd w:val="clear" w:color="auto" w:fill="auto"/>
            <w:tcMar>
              <w:top w:w="10" w:type="dxa"/>
              <w:left w:w="10" w:type="dxa"/>
              <w:bottom w:w="0" w:type="dxa"/>
              <w:right w:w="10" w:type="dxa"/>
            </w:tcMar>
            <w:vAlign w:val="center"/>
          </w:tcPr>
          <w:p w14:paraId="20A4F6EE"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b/>
                <w:sz w:val="20"/>
                <w:szCs w:val="20"/>
              </w:rPr>
              <w:t>Logros esperados</w:t>
            </w:r>
          </w:p>
        </w:tc>
      </w:tr>
      <w:tr w:rsidR="00A75C0F" w:rsidRPr="008A26D2" w14:paraId="6E570BB7" w14:textId="77777777" w:rsidTr="00CB5D5C">
        <w:trPr>
          <w:trHeight w:val="302"/>
        </w:trPr>
        <w:tc>
          <w:tcPr>
            <w:tcW w:w="851" w:type="dxa"/>
            <w:shd w:val="clear" w:color="auto" w:fill="auto"/>
            <w:tcMar>
              <w:top w:w="10" w:type="dxa"/>
              <w:left w:w="10" w:type="dxa"/>
              <w:bottom w:w="0" w:type="dxa"/>
              <w:right w:w="10" w:type="dxa"/>
            </w:tcMar>
            <w:vAlign w:val="center"/>
          </w:tcPr>
          <w:p w14:paraId="1E7A3A73" w14:textId="77777777" w:rsidR="00A75C0F" w:rsidRPr="008A26D2" w:rsidRDefault="00A75C0F" w:rsidP="00AF5836">
            <w:pPr>
              <w:tabs>
                <w:tab w:val="left" w:pos="3375"/>
              </w:tabs>
              <w:spacing w:after="0" w:line="240" w:lineRule="auto"/>
              <w:rPr>
                <w:rFonts w:ascii="Arial" w:hAnsi="Arial" w:cs="Arial"/>
                <w:sz w:val="20"/>
                <w:szCs w:val="20"/>
              </w:rPr>
            </w:pPr>
            <w:r w:rsidRPr="008A26D2">
              <w:rPr>
                <w:rFonts w:ascii="Arial" w:hAnsi="Arial" w:cs="Arial"/>
                <w:b/>
                <w:sz w:val="20"/>
                <w:szCs w:val="20"/>
              </w:rPr>
              <w:t>Año</w:t>
            </w:r>
          </w:p>
        </w:tc>
        <w:tc>
          <w:tcPr>
            <w:tcW w:w="851" w:type="dxa"/>
            <w:shd w:val="clear" w:color="auto" w:fill="auto"/>
            <w:tcMar>
              <w:top w:w="10" w:type="dxa"/>
              <w:left w:w="10" w:type="dxa"/>
              <w:bottom w:w="0" w:type="dxa"/>
              <w:right w:w="10" w:type="dxa"/>
            </w:tcMar>
            <w:vAlign w:val="center"/>
          </w:tcPr>
          <w:p w14:paraId="522106A6" w14:textId="77777777" w:rsidR="00A75C0F" w:rsidRPr="008A26D2" w:rsidRDefault="00A75C0F" w:rsidP="00AF5836">
            <w:pPr>
              <w:tabs>
                <w:tab w:val="left" w:pos="3375"/>
              </w:tabs>
              <w:spacing w:after="0" w:line="240" w:lineRule="auto"/>
              <w:jc w:val="center"/>
              <w:rPr>
                <w:rFonts w:ascii="Arial" w:hAnsi="Arial" w:cs="Arial"/>
                <w:b/>
                <w:sz w:val="20"/>
                <w:szCs w:val="20"/>
              </w:rPr>
            </w:pPr>
            <w:r w:rsidRPr="008A26D2">
              <w:rPr>
                <w:rFonts w:ascii="Arial" w:hAnsi="Arial" w:cs="Arial"/>
                <w:b/>
                <w:sz w:val="20"/>
                <w:szCs w:val="20"/>
              </w:rPr>
              <w:t>2021</w:t>
            </w:r>
          </w:p>
        </w:tc>
        <w:tc>
          <w:tcPr>
            <w:tcW w:w="850" w:type="dxa"/>
            <w:gridSpan w:val="2"/>
            <w:shd w:val="clear" w:color="auto" w:fill="auto"/>
            <w:tcMar>
              <w:top w:w="10" w:type="dxa"/>
              <w:left w:w="10" w:type="dxa"/>
              <w:bottom w:w="0" w:type="dxa"/>
              <w:right w:w="10" w:type="dxa"/>
            </w:tcMar>
            <w:vAlign w:val="center"/>
          </w:tcPr>
          <w:p w14:paraId="5808E2F9" w14:textId="77777777" w:rsidR="00A75C0F" w:rsidRPr="008A26D2" w:rsidRDefault="00A75C0F" w:rsidP="00AF5836">
            <w:pPr>
              <w:tabs>
                <w:tab w:val="left" w:pos="3375"/>
              </w:tabs>
              <w:spacing w:after="0" w:line="240" w:lineRule="auto"/>
              <w:jc w:val="center"/>
              <w:rPr>
                <w:rFonts w:ascii="Arial" w:hAnsi="Arial" w:cs="Arial"/>
                <w:b/>
                <w:sz w:val="20"/>
                <w:szCs w:val="20"/>
              </w:rPr>
            </w:pPr>
            <w:r w:rsidRPr="008A26D2">
              <w:rPr>
                <w:rFonts w:ascii="Arial" w:hAnsi="Arial" w:cs="Arial"/>
                <w:b/>
                <w:sz w:val="20"/>
                <w:szCs w:val="20"/>
              </w:rPr>
              <w:t>2023</w:t>
            </w:r>
          </w:p>
        </w:tc>
        <w:tc>
          <w:tcPr>
            <w:tcW w:w="992" w:type="dxa"/>
            <w:shd w:val="clear" w:color="auto" w:fill="auto"/>
            <w:vAlign w:val="center"/>
          </w:tcPr>
          <w:p w14:paraId="67F84E09" w14:textId="77777777" w:rsidR="00A75C0F" w:rsidRPr="008A26D2" w:rsidRDefault="00A75C0F" w:rsidP="00AF5836">
            <w:pPr>
              <w:tabs>
                <w:tab w:val="left" w:pos="3375"/>
              </w:tabs>
              <w:spacing w:after="0" w:line="240" w:lineRule="auto"/>
              <w:jc w:val="center"/>
              <w:rPr>
                <w:rFonts w:ascii="Arial" w:hAnsi="Arial" w:cs="Arial"/>
                <w:b/>
                <w:sz w:val="20"/>
                <w:szCs w:val="20"/>
              </w:rPr>
            </w:pPr>
            <w:r w:rsidRPr="008A26D2">
              <w:rPr>
                <w:rFonts w:ascii="Arial" w:hAnsi="Arial" w:cs="Arial"/>
                <w:b/>
                <w:sz w:val="20"/>
                <w:szCs w:val="20"/>
              </w:rPr>
              <w:t>2024</w:t>
            </w:r>
          </w:p>
        </w:tc>
        <w:tc>
          <w:tcPr>
            <w:tcW w:w="993" w:type="dxa"/>
            <w:gridSpan w:val="2"/>
            <w:shd w:val="clear" w:color="auto" w:fill="auto"/>
            <w:vAlign w:val="center"/>
          </w:tcPr>
          <w:p w14:paraId="3BD69878" w14:textId="77777777" w:rsidR="00A75C0F" w:rsidRPr="008A26D2" w:rsidRDefault="00A75C0F" w:rsidP="00AF5836">
            <w:pPr>
              <w:tabs>
                <w:tab w:val="left" w:pos="3375"/>
              </w:tabs>
              <w:spacing w:after="0" w:line="240" w:lineRule="auto"/>
              <w:jc w:val="center"/>
              <w:rPr>
                <w:rFonts w:ascii="Arial" w:hAnsi="Arial" w:cs="Arial"/>
                <w:b/>
                <w:sz w:val="20"/>
                <w:szCs w:val="20"/>
              </w:rPr>
            </w:pPr>
            <w:r w:rsidRPr="008A26D2">
              <w:rPr>
                <w:rFonts w:ascii="Arial" w:hAnsi="Arial" w:cs="Arial"/>
                <w:b/>
                <w:sz w:val="20"/>
                <w:szCs w:val="20"/>
              </w:rPr>
              <w:t>2025</w:t>
            </w:r>
          </w:p>
        </w:tc>
        <w:tc>
          <w:tcPr>
            <w:tcW w:w="1007" w:type="dxa"/>
            <w:shd w:val="clear" w:color="auto" w:fill="auto"/>
            <w:vAlign w:val="center"/>
          </w:tcPr>
          <w:p w14:paraId="32A40E55" w14:textId="77777777" w:rsidR="00A75C0F" w:rsidRPr="008A26D2" w:rsidRDefault="00A75C0F" w:rsidP="00AF5836">
            <w:pPr>
              <w:tabs>
                <w:tab w:val="left" w:pos="3375"/>
              </w:tabs>
              <w:spacing w:after="0" w:line="240" w:lineRule="auto"/>
              <w:jc w:val="center"/>
              <w:rPr>
                <w:rFonts w:ascii="Arial" w:hAnsi="Arial" w:cs="Arial"/>
                <w:b/>
                <w:sz w:val="20"/>
                <w:szCs w:val="20"/>
              </w:rPr>
            </w:pPr>
            <w:r w:rsidRPr="008A26D2">
              <w:rPr>
                <w:rFonts w:ascii="Arial" w:hAnsi="Arial" w:cs="Arial"/>
                <w:b/>
                <w:sz w:val="20"/>
                <w:szCs w:val="20"/>
              </w:rPr>
              <w:t>2026</w:t>
            </w:r>
          </w:p>
        </w:tc>
        <w:tc>
          <w:tcPr>
            <w:tcW w:w="992" w:type="dxa"/>
            <w:shd w:val="clear" w:color="auto" w:fill="auto"/>
            <w:vAlign w:val="center"/>
          </w:tcPr>
          <w:p w14:paraId="5AC6AB71" w14:textId="77777777" w:rsidR="00A75C0F" w:rsidRPr="008A26D2" w:rsidRDefault="00A75C0F" w:rsidP="00AF5836">
            <w:pPr>
              <w:tabs>
                <w:tab w:val="left" w:pos="3375"/>
              </w:tabs>
              <w:spacing w:after="0" w:line="240" w:lineRule="auto"/>
              <w:jc w:val="center"/>
              <w:rPr>
                <w:rFonts w:ascii="Arial" w:hAnsi="Arial" w:cs="Arial"/>
                <w:b/>
                <w:sz w:val="20"/>
                <w:szCs w:val="20"/>
              </w:rPr>
            </w:pPr>
            <w:r w:rsidRPr="008A26D2">
              <w:rPr>
                <w:rFonts w:ascii="Arial" w:hAnsi="Arial" w:cs="Arial"/>
                <w:b/>
                <w:sz w:val="20"/>
                <w:szCs w:val="20"/>
              </w:rPr>
              <w:t>2027</w:t>
            </w:r>
          </w:p>
        </w:tc>
        <w:tc>
          <w:tcPr>
            <w:tcW w:w="851" w:type="dxa"/>
            <w:gridSpan w:val="2"/>
            <w:shd w:val="clear" w:color="auto" w:fill="auto"/>
            <w:vAlign w:val="center"/>
          </w:tcPr>
          <w:p w14:paraId="12AC02B8" w14:textId="77777777" w:rsidR="00A75C0F" w:rsidRPr="008A26D2" w:rsidRDefault="00A75C0F" w:rsidP="00AF5836">
            <w:pPr>
              <w:tabs>
                <w:tab w:val="left" w:pos="3375"/>
              </w:tabs>
              <w:spacing w:after="0" w:line="240" w:lineRule="auto"/>
              <w:jc w:val="center"/>
              <w:rPr>
                <w:rFonts w:ascii="Arial" w:hAnsi="Arial" w:cs="Arial"/>
                <w:b/>
                <w:sz w:val="20"/>
                <w:szCs w:val="20"/>
              </w:rPr>
            </w:pPr>
            <w:r w:rsidRPr="008A26D2">
              <w:rPr>
                <w:rFonts w:ascii="Arial" w:hAnsi="Arial" w:cs="Arial"/>
                <w:b/>
                <w:sz w:val="20"/>
                <w:szCs w:val="20"/>
              </w:rPr>
              <w:t>2028</w:t>
            </w:r>
          </w:p>
        </w:tc>
        <w:tc>
          <w:tcPr>
            <w:tcW w:w="850" w:type="dxa"/>
            <w:shd w:val="clear" w:color="auto" w:fill="auto"/>
            <w:vAlign w:val="center"/>
          </w:tcPr>
          <w:p w14:paraId="6BF0F933" w14:textId="77777777" w:rsidR="00A75C0F" w:rsidRPr="008A26D2" w:rsidRDefault="00A75C0F" w:rsidP="00AF5836">
            <w:pPr>
              <w:tabs>
                <w:tab w:val="left" w:pos="3375"/>
              </w:tabs>
              <w:spacing w:after="0" w:line="240" w:lineRule="auto"/>
              <w:jc w:val="center"/>
              <w:rPr>
                <w:rFonts w:ascii="Arial" w:hAnsi="Arial" w:cs="Arial"/>
                <w:b/>
                <w:sz w:val="20"/>
                <w:szCs w:val="20"/>
              </w:rPr>
            </w:pPr>
            <w:r w:rsidRPr="008A26D2">
              <w:rPr>
                <w:rFonts w:ascii="Arial" w:hAnsi="Arial" w:cs="Arial"/>
                <w:b/>
                <w:sz w:val="20"/>
                <w:szCs w:val="20"/>
              </w:rPr>
              <w:t>2029</w:t>
            </w:r>
          </w:p>
        </w:tc>
        <w:tc>
          <w:tcPr>
            <w:tcW w:w="552" w:type="dxa"/>
            <w:shd w:val="clear" w:color="auto" w:fill="auto"/>
            <w:tcMar>
              <w:top w:w="10" w:type="dxa"/>
              <w:left w:w="10" w:type="dxa"/>
              <w:bottom w:w="0" w:type="dxa"/>
              <w:right w:w="10" w:type="dxa"/>
            </w:tcMar>
            <w:vAlign w:val="center"/>
          </w:tcPr>
          <w:p w14:paraId="169507C0" w14:textId="77777777" w:rsidR="00A75C0F" w:rsidRPr="008A26D2" w:rsidRDefault="00A75C0F" w:rsidP="00AF5836">
            <w:pPr>
              <w:tabs>
                <w:tab w:val="left" w:pos="3375"/>
              </w:tabs>
              <w:spacing w:after="0" w:line="240" w:lineRule="auto"/>
              <w:jc w:val="center"/>
              <w:rPr>
                <w:rFonts w:ascii="Arial" w:hAnsi="Arial" w:cs="Arial"/>
                <w:b/>
                <w:sz w:val="20"/>
                <w:szCs w:val="20"/>
              </w:rPr>
            </w:pPr>
            <w:r w:rsidRPr="008A26D2">
              <w:rPr>
                <w:rFonts w:ascii="Arial" w:hAnsi="Arial" w:cs="Arial"/>
                <w:b/>
                <w:sz w:val="20"/>
                <w:szCs w:val="20"/>
              </w:rPr>
              <w:t>2030</w:t>
            </w:r>
          </w:p>
        </w:tc>
      </w:tr>
      <w:tr w:rsidR="00A75C0F" w:rsidRPr="008A26D2" w14:paraId="69550E58" w14:textId="77777777" w:rsidTr="00CB5D5C">
        <w:trPr>
          <w:trHeight w:val="333"/>
        </w:trPr>
        <w:tc>
          <w:tcPr>
            <w:tcW w:w="851" w:type="dxa"/>
            <w:shd w:val="clear" w:color="auto" w:fill="auto"/>
            <w:tcMar>
              <w:top w:w="10" w:type="dxa"/>
              <w:left w:w="10" w:type="dxa"/>
              <w:bottom w:w="0" w:type="dxa"/>
              <w:right w:w="10" w:type="dxa"/>
            </w:tcMar>
            <w:vAlign w:val="center"/>
          </w:tcPr>
          <w:p w14:paraId="1C6969D0" w14:textId="77777777" w:rsidR="00A75C0F" w:rsidRPr="008A26D2" w:rsidRDefault="00A75C0F" w:rsidP="00AF5836">
            <w:pPr>
              <w:tabs>
                <w:tab w:val="left" w:pos="3375"/>
              </w:tabs>
              <w:spacing w:after="0" w:line="240" w:lineRule="auto"/>
              <w:rPr>
                <w:rFonts w:ascii="Arial" w:hAnsi="Arial" w:cs="Arial"/>
                <w:b/>
                <w:sz w:val="20"/>
                <w:szCs w:val="20"/>
              </w:rPr>
            </w:pPr>
            <w:r w:rsidRPr="008A26D2">
              <w:rPr>
                <w:rFonts w:ascii="Arial" w:hAnsi="Arial" w:cs="Arial"/>
                <w:b/>
                <w:sz w:val="20"/>
                <w:szCs w:val="20"/>
              </w:rPr>
              <w:t>valor</w:t>
            </w:r>
          </w:p>
        </w:tc>
        <w:tc>
          <w:tcPr>
            <w:tcW w:w="851" w:type="dxa"/>
            <w:shd w:val="clear" w:color="auto" w:fill="auto"/>
            <w:tcMar>
              <w:top w:w="10" w:type="dxa"/>
              <w:left w:w="10" w:type="dxa"/>
              <w:bottom w:w="0" w:type="dxa"/>
              <w:right w:w="10" w:type="dxa"/>
            </w:tcMar>
            <w:vAlign w:val="center"/>
          </w:tcPr>
          <w:p w14:paraId="130D0DA2" w14:textId="77777777" w:rsidR="00A75C0F" w:rsidRPr="00CB5D5C" w:rsidRDefault="00A75C0F" w:rsidP="00AF5836">
            <w:pPr>
              <w:tabs>
                <w:tab w:val="left" w:pos="3375"/>
              </w:tabs>
              <w:spacing w:after="0" w:line="240" w:lineRule="auto"/>
              <w:jc w:val="center"/>
              <w:rPr>
                <w:rFonts w:ascii="Arial" w:hAnsi="Arial" w:cs="Arial"/>
                <w:bCs/>
                <w:sz w:val="20"/>
                <w:szCs w:val="20"/>
              </w:rPr>
            </w:pPr>
            <w:r w:rsidRPr="00CB5D5C">
              <w:rPr>
                <w:rFonts w:ascii="Arial" w:hAnsi="Arial" w:cs="Arial"/>
                <w:bCs/>
                <w:sz w:val="20"/>
                <w:szCs w:val="20"/>
              </w:rPr>
              <w:t>1</w:t>
            </w:r>
          </w:p>
        </w:tc>
        <w:tc>
          <w:tcPr>
            <w:tcW w:w="850" w:type="dxa"/>
            <w:gridSpan w:val="2"/>
            <w:shd w:val="clear" w:color="auto" w:fill="auto"/>
            <w:tcMar>
              <w:top w:w="10" w:type="dxa"/>
              <w:left w:w="10" w:type="dxa"/>
              <w:bottom w:w="0" w:type="dxa"/>
              <w:right w:w="10" w:type="dxa"/>
            </w:tcMar>
            <w:vAlign w:val="center"/>
          </w:tcPr>
          <w:p w14:paraId="76D0B4BF" w14:textId="77777777" w:rsidR="00A75C0F" w:rsidRPr="00CB5D5C" w:rsidRDefault="00A75C0F" w:rsidP="00AF5836">
            <w:pPr>
              <w:tabs>
                <w:tab w:val="left" w:pos="3375"/>
              </w:tabs>
              <w:spacing w:after="0" w:line="240" w:lineRule="auto"/>
              <w:jc w:val="center"/>
              <w:rPr>
                <w:rFonts w:ascii="Arial" w:hAnsi="Arial" w:cs="Arial"/>
                <w:bCs/>
                <w:sz w:val="20"/>
                <w:szCs w:val="20"/>
              </w:rPr>
            </w:pPr>
            <w:r w:rsidRPr="00CB5D5C">
              <w:rPr>
                <w:rFonts w:ascii="Arial" w:hAnsi="Arial" w:cs="Arial"/>
                <w:bCs/>
                <w:sz w:val="20"/>
                <w:szCs w:val="20"/>
              </w:rPr>
              <w:t>1</w:t>
            </w:r>
          </w:p>
        </w:tc>
        <w:tc>
          <w:tcPr>
            <w:tcW w:w="992" w:type="dxa"/>
            <w:shd w:val="clear" w:color="auto" w:fill="auto"/>
            <w:vAlign w:val="center"/>
          </w:tcPr>
          <w:p w14:paraId="3FB30CBB" w14:textId="77777777" w:rsidR="00A75C0F" w:rsidRPr="00CB5D5C" w:rsidRDefault="00A75C0F" w:rsidP="00AF5836">
            <w:pPr>
              <w:tabs>
                <w:tab w:val="left" w:pos="3375"/>
              </w:tabs>
              <w:spacing w:after="0" w:line="240" w:lineRule="auto"/>
              <w:jc w:val="center"/>
              <w:rPr>
                <w:rFonts w:ascii="Arial" w:hAnsi="Arial" w:cs="Arial"/>
                <w:bCs/>
                <w:sz w:val="20"/>
                <w:szCs w:val="20"/>
              </w:rPr>
            </w:pPr>
            <w:r w:rsidRPr="00CB5D5C">
              <w:rPr>
                <w:rFonts w:ascii="Arial" w:hAnsi="Arial" w:cs="Arial"/>
                <w:bCs/>
                <w:sz w:val="20"/>
                <w:szCs w:val="20"/>
              </w:rPr>
              <w:t>2</w:t>
            </w:r>
          </w:p>
        </w:tc>
        <w:tc>
          <w:tcPr>
            <w:tcW w:w="993" w:type="dxa"/>
            <w:gridSpan w:val="2"/>
            <w:shd w:val="clear" w:color="auto" w:fill="auto"/>
            <w:vAlign w:val="center"/>
          </w:tcPr>
          <w:p w14:paraId="52FC39D3" w14:textId="77777777" w:rsidR="00A75C0F" w:rsidRPr="00CB5D5C" w:rsidRDefault="00A75C0F" w:rsidP="00AF5836">
            <w:pPr>
              <w:tabs>
                <w:tab w:val="left" w:pos="3375"/>
              </w:tabs>
              <w:spacing w:after="0" w:line="240" w:lineRule="auto"/>
              <w:jc w:val="center"/>
              <w:rPr>
                <w:rFonts w:ascii="Arial" w:hAnsi="Arial" w:cs="Arial"/>
                <w:bCs/>
                <w:sz w:val="20"/>
                <w:szCs w:val="20"/>
              </w:rPr>
            </w:pPr>
            <w:r w:rsidRPr="00CB5D5C">
              <w:rPr>
                <w:rFonts w:ascii="Arial" w:hAnsi="Arial" w:cs="Arial"/>
                <w:bCs/>
                <w:sz w:val="20"/>
                <w:szCs w:val="20"/>
              </w:rPr>
              <w:t>2</w:t>
            </w:r>
          </w:p>
        </w:tc>
        <w:tc>
          <w:tcPr>
            <w:tcW w:w="1007" w:type="dxa"/>
            <w:shd w:val="clear" w:color="auto" w:fill="auto"/>
            <w:vAlign w:val="center"/>
          </w:tcPr>
          <w:p w14:paraId="31432FF7" w14:textId="77777777" w:rsidR="00A75C0F" w:rsidRPr="00CB5D5C" w:rsidRDefault="00A75C0F" w:rsidP="00AF5836">
            <w:pPr>
              <w:tabs>
                <w:tab w:val="left" w:pos="3375"/>
              </w:tabs>
              <w:spacing w:after="0" w:line="240" w:lineRule="auto"/>
              <w:jc w:val="center"/>
              <w:rPr>
                <w:rFonts w:ascii="Arial" w:hAnsi="Arial" w:cs="Arial"/>
                <w:bCs/>
                <w:sz w:val="20"/>
                <w:szCs w:val="20"/>
              </w:rPr>
            </w:pPr>
            <w:r w:rsidRPr="00CB5D5C">
              <w:rPr>
                <w:rFonts w:ascii="Arial" w:hAnsi="Arial" w:cs="Arial"/>
                <w:bCs/>
                <w:sz w:val="20"/>
                <w:szCs w:val="20"/>
              </w:rPr>
              <w:t>4</w:t>
            </w:r>
          </w:p>
        </w:tc>
        <w:tc>
          <w:tcPr>
            <w:tcW w:w="992" w:type="dxa"/>
            <w:shd w:val="clear" w:color="auto" w:fill="auto"/>
            <w:vAlign w:val="center"/>
          </w:tcPr>
          <w:p w14:paraId="7993E82D" w14:textId="77777777" w:rsidR="00A75C0F" w:rsidRPr="00CB5D5C" w:rsidRDefault="00A75C0F" w:rsidP="00AF5836">
            <w:pPr>
              <w:tabs>
                <w:tab w:val="left" w:pos="3375"/>
              </w:tabs>
              <w:spacing w:after="0" w:line="240" w:lineRule="auto"/>
              <w:jc w:val="center"/>
              <w:rPr>
                <w:rFonts w:ascii="Arial" w:hAnsi="Arial" w:cs="Arial"/>
                <w:bCs/>
                <w:sz w:val="20"/>
                <w:szCs w:val="20"/>
              </w:rPr>
            </w:pPr>
            <w:r w:rsidRPr="00CB5D5C">
              <w:rPr>
                <w:rFonts w:ascii="Arial" w:hAnsi="Arial" w:cs="Arial"/>
                <w:bCs/>
                <w:sz w:val="20"/>
                <w:szCs w:val="20"/>
              </w:rPr>
              <w:t>4</w:t>
            </w:r>
          </w:p>
        </w:tc>
        <w:tc>
          <w:tcPr>
            <w:tcW w:w="851" w:type="dxa"/>
            <w:gridSpan w:val="2"/>
            <w:shd w:val="clear" w:color="auto" w:fill="auto"/>
            <w:vAlign w:val="center"/>
          </w:tcPr>
          <w:p w14:paraId="3A3EF132" w14:textId="77777777" w:rsidR="00A75C0F" w:rsidRPr="00CB5D5C" w:rsidRDefault="00A75C0F" w:rsidP="00AF5836">
            <w:pPr>
              <w:tabs>
                <w:tab w:val="left" w:pos="3375"/>
              </w:tabs>
              <w:spacing w:after="0" w:line="240" w:lineRule="auto"/>
              <w:jc w:val="center"/>
              <w:rPr>
                <w:rFonts w:ascii="Arial" w:hAnsi="Arial" w:cs="Arial"/>
                <w:bCs/>
                <w:sz w:val="20"/>
                <w:szCs w:val="20"/>
              </w:rPr>
            </w:pPr>
            <w:r w:rsidRPr="00CB5D5C">
              <w:rPr>
                <w:rFonts w:ascii="Arial" w:hAnsi="Arial" w:cs="Arial"/>
                <w:bCs/>
                <w:sz w:val="20"/>
                <w:szCs w:val="20"/>
              </w:rPr>
              <w:t>6</w:t>
            </w:r>
          </w:p>
        </w:tc>
        <w:tc>
          <w:tcPr>
            <w:tcW w:w="850" w:type="dxa"/>
            <w:shd w:val="clear" w:color="auto" w:fill="auto"/>
            <w:vAlign w:val="center"/>
          </w:tcPr>
          <w:p w14:paraId="1BB7E5E8" w14:textId="77777777" w:rsidR="00A75C0F" w:rsidRPr="00CB5D5C" w:rsidRDefault="00A75C0F" w:rsidP="00AF5836">
            <w:pPr>
              <w:tabs>
                <w:tab w:val="left" w:pos="3375"/>
              </w:tabs>
              <w:spacing w:after="0" w:line="240" w:lineRule="auto"/>
              <w:jc w:val="center"/>
              <w:rPr>
                <w:rFonts w:ascii="Arial" w:hAnsi="Arial" w:cs="Arial"/>
                <w:bCs/>
                <w:sz w:val="20"/>
                <w:szCs w:val="20"/>
              </w:rPr>
            </w:pPr>
            <w:r w:rsidRPr="00CB5D5C">
              <w:rPr>
                <w:rFonts w:ascii="Arial" w:hAnsi="Arial" w:cs="Arial"/>
                <w:bCs/>
                <w:sz w:val="20"/>
                <w:szCs w:val="20"/>
              </w:rPr>
              <w:t>6</w:t>
            </w:r>
          </w:p>
        </w:tc>
        <w:tc>
          <w:tcPr>
            <w:tcW w:w="552" w:type="dxa"/>
            <w:shd w:val="clear" w:color="auto" w:fill="auto"/>
            <w:tcMar>
              <w:top w:w="10" w:type="dxa"/>
              <w:left w:w="10" w:type="dxa"/>
              <w:bottom w:w="0" w:type="dxa"/>
              <w:right w:w="10" w:type="dxa"/>
            </w:tcMar>
            <w:vAlign w:val="center"/>
          </w:tcPr>
          <w:p w14:paraId="78FBA77B" w14:textId="77777777" w:rsidR="00A75C0F" w:rsidRPr="00CB5D5C" w:rsidRDefault="00A75C0F" w:rsidP="00AF5836">
            <w:pPr>
              <w:tabs>
                <w:tab w:val="left" w:pos="3375"/>
              </w:tabs>
              <w:spacing w:after="0" w:line="240" w:lineRule="auto"/>
              <w:jc w:val="center"/>
              <w:rPr>
                <w:rFonts w:ascii="Arial" w:hAnsi="Arial" w:cs="Arial"/>
                <w:bCs/>
                <w:sz w:val="20"/>
                <w:szCs w:val="20"/>
              </w:rPr>
            </w:pPr>
            <w:r w:rsidRPr="00CB5D5C">
              <w:rPr>
                <w:rFonts w:ascii="Arial" w:hAnsi="Arial" w:cs="Arial"/>
                <w:bCs/>
                <w:sz w:val="20"/>
                <w:szCs w:val="20"/>
              </w:rPr>
              <w:t>8</w:t>
            </w:r>
          </w:p>
        </w:tc>
      </w:tr>
    </w:tbl>
    <w:p w14:paraId="7F143F20" w14:textId="77777777" w:rsidR="00A75C0F" w:rsidRPr="008A26D2" w:rsidRDefault="00A75C0F" w:rsidP="00A75C0F"/>
    <w:p w14:paraId="46C6A3D0" w14:textId="77777777" w:rsidR="00A75C0F" w:rsidRPr="008A26D2" w:rsidRDefault="00A75C0F" w:rsidP="00A75C0F"/>
    <w:tbl>
      <w:tblPr>
        <w:tblW w:w="8789"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8"/>
        <w:gridCol w:w="851"/>
        <w:gridCol w:w="708"/>
        <w:gridCol w:w="974"/>
        <w:gridCol w:w="727"/>
        <w:gridCol w:w="283"/>
        <w:gridCol w:w="851"/>
        <w:gridCol w:w="992"/>
        <w:gridCol w:w="715"/>
        <w:gridCol w:w="277"/>
        <w:gridCol w:w="851"/>
        <w:gridCol w:w="992"/>
      </w:tblGrid>
      <w:tr w:rsidR="00A75C0F" w:rsidRPr="008A26D2" w14:paraId="58A38766" w14:textId="77777777" w:rsidTr="00AF5836">
        <w:trPr>
          <w:trHeight w:val="251"/>
        </w:trPr>
        <w:tc>
          <w:tcPr>
            <w:tcW w:w="8789" w:type="dxa"/>
            <w:gridSpan w:val="12"/>
            <w:shd w:val="clear" w:color="auto" w:fill="D9D9D9" w:themeFill="background1" w:themeFillShade="D9"/>
            <w:tcMar>
              <w:top w:w="10" w:type="dxa"/>
              <w:left w:w="10" w:type="dxa"/>
              <w:bottom w:w="0" w:type="dxa"/>
              <w:right w:w="10" w:type="dxa"/>
            </w:tcMar>
            <w:vAlign w:val="center"/>
          </w:tcPr>
          <w:p w14:paraId="4D873FB3" w14:textId="77777777" w:rsidR="00A75C0F" w:rsidRPr="008A26D2" w:rsidRDefault="00A75C0F" w:rsidP="00AF5836">
            <w:pPr>
              <w:tabs>
                <w:tab w:val="left" w:pos="3375"/>
              </w:tabs>
              <w:spacing w:after="0" w:line="240" w:lineRule="auto"/>
              <w:jc w:val="center"/>
              <w:rPr>
                <w:rFonts w:ascii="Arial" w:hAnsi="Arial" w:cs="Arial"/>
                <w:sz w:val="20"/>
                <w:szCs w:val="20"/>
              </w:rPr>
            </w:pPr>
            <w:r w:rsidRPr="008A26D2">
              <w:rPr>
                <w:rFonts w:ascii="Arial" w:hAnsi="Arial" w:cs="Arial"/>
                <w:sz w:val="20"/>
                <w:szCs w:val="20"/>
              </w:rPr>
              <w:br w:type="page"/>
            </w:r>
            <w:r w:rsidRPr="008A26D2">
              <w:rPr>
                <w:rFonts w:ascii="Arial" w:hAnsi="Arial" w:cs="Arial"/>
                <w:b/>
                <w:sz w:val="20"/>
                <w:szCs w:val="20"/>
              </w:rPr>
              <w:t>FICHA TÉCNICA DE INDICADOR DE SERVICIO 2.5.2</w:t>
            </w:r>
          </w:p>
        </w:tc>
      </w:tr>
      <w:tr w:rsidR="00A75C0F" w:rsidRPr="008A26D2" w14:paraId="610F1406" w14:textId="77777777" w:rsidTr="00AF5836">
        <w:trPr>
          <w:trHeight w:val="409"/>
        </w:trPr>
        <w:tc>
          <w:tcPr>
            <w:tcW w:w="2127" w:type="dxa"/>
            <w:gridSpan w:val="3"/>
            <w:shd w:val="clear" w:color="auto" w:fill="FFFFFF"/>
            <w:tcMar>
              <w:top w:w="10" w:type="dxa"/>
              <w:left w:w="93" w:type="dxa"/>
              <w:bottom w:w="0" w:type="dxa"/>
              <w:right w:w="10" w:type="dxa"/>
            </w:tcMar>
            <w:vAlign w:val="center"/>
          </w:tcPr>
          <w:p w14:paraId="148E37F0" w14:textId="77777777" w:rsidR="00A75C0F" w:rsidRPr="008A26D2" w:rsidRDefault="00A75C0F" w:rsidP="00AF5836">
            <w:pPr>
              <w:tabs>
                <w:tab w:val="left" w:pos="3375"/>
              </w:tabs>
              <w:spacing w:after="0" w:line="240" w:lineRule="auto"/>
              <w:rPr>
                <w:rFonts w:ascii="Arial" w:hAnsi="Arial" w:cs="Arial"/>
                <w:sz w:val="20"/>
                <w:szCs w:val="20"/>
              </w:rPr>
            </w:pPr>
            <w:r w:rsidRPr="008A26D2">
              <w:rPr>
                <w:rFonts w:ascii="Arial" w:hAnsi="Arial" w:cs="Arial"/>
                <w:b/>
                <w:sz w:val="20"/>
                <w:szCs w:val="20"/>
              </w:rPr>
              <w:t>Objetivo prioritario:</w:t>
            </w:r>
          </w:p>
        </w:tc>
        <w:tc>
          <w:tcPr>
            <w:tcW w:w="6662" w:type="dxa"/>
            <w:gridSpan w:val="9"/>
            <w:shd w:val="clear" w:color="auto" w:fill="FFFFFF"/>
            <w:tcMar>
              <w:top w:w="51" w:type="dxa"/>
              <w:left w:w="227" w:type="dxa"/>
              <w:bottom w:w="51" w:type="dxa"/>
              <w:right w:w="227" w:type="dxa"/>
            </w:tcMar>
            <w:vAlign w:val="center"/>
          </w:tcPr>
          <w:p w14:paraId="2F04AA89" w14:textId="77777777" w:rsidR="00A75C0F" w:rsidRPr="008A26D2" w:rsidRDefault="00A75C0F" w:rsidP="00AF5836">
            <w:pPr>
              <w:tabs>
                <w:tab w:val="left" w:pos="3375"/>
              </w:tabs>
              <w:spacing w:after="0" w:line="240" w:lineRule="auto"/>
              <w:jc w:val="both"/>
              <w:rPr>
                <w:rFonts w:ascii="Arial" w:hAnsi="Arial" w:cs="Arial"/>
                <w:sz w:val="20"/>
                <w:szCs w:val="20"/>
              </w:rPr>
            </w:pPr>
            <w:r w:rsidRPr="008A26D2">
              <w:rPr>
                <w:rFonts w:ascii="Arial" w:eastAsia="Times New Roman" w:hAnsi="Arial" w:cs="Arial"/>
                <w:sz w:val="20"/>
                <w:szCs w:val="20"/>
              </w:rPr>
              <w:t>OP2 Incrementar la productividad de los ecosistemas forestales, otros ecosistemas de vegetación silvestre y de la fauna silvestre.</w:t>
            </w:r>
          </w:p>
        </w:tc>
      </w:tr>
      <w:tr w:rsidR="00A75C0F" w:rsidRPr="008A26D2" w14:paraId="0ADDA37A" w14:textId="77777777" w:rsidTr="00AF5836">
        <w:trPr>
          <w:trHeight w:val="436"/>
        </w:trPr>
        <w:tc>
          <w:tcPr>
            <w:tcW w:w="2127" w:type="dxa"/>
            <w:gridSpan w:val="3"/>
            <w:shd w:val="clear" w:color="auto" w:fill="auto"/>
            <w:tcMar>
              <w:top w:w="10" w:type="dxa"/>
              <w:left w:w="93" w:type="dxa"/>
              <w:bottom w:w="0" w:type="dxa"/>
              <w:right w:w="10" w:type="dxa"/>
            </w:tcMar>
            <w:vAlign w:val="center"/>
          </w:tcPr>
          <w:p w14:paraId="1A80043F" w14:textId="77777777" w:rsidR="00A75C0F" w:rsidRPr="008A26D2" w:rsidRDefault="00A75C0F" w:rsidP="00AF5836">
            <w:pPr>
              <w:tabs>
                <w:tab w:val="left" w:pos="3375"/>
              </w:tabs>
              <w:spacing w:after="0" w:line="240" w:lineRule="auto"/>
              <w:rPr>
                <w:rFonts w:ascii="Arial" w:hAnsi="Arial" w:cs="Arial"/>
                <w:sz w:val="20"/>
                <w:szCs w:val="20"/>
              </w:rPr>
            </w:pPr>
            <w:r w:rsidRPr="008A26D2">
              <w:rPr>
                <w:rFonts w:ascii="Arial" w:hAnsi="Arial" w:cs="Arial"/>
                <w:b/>
                <w:sz w:val="20"/>
                <w:szCs w:val="20"/>
              </w:rPr>
              <w:t>Lineamiento de la política:</w:t>
            </w:r>
          </w:p>
        </w:tc>
        <w:tc>
          <w:tcPr>
            <w:tcW w:w="6662" w:type="dxa"/>
            <w:gridSpan w:val="9"/>
            <w:shd w:val="clear" w:color="auto" w:fill="auto"/>
            <w:tcMar>
              <w:top w:w="51" w:type="dxa"/>
              <w:left w:w="227" w:type="dxa"/>
              <w:bottom w:w="51" w:type="dxa"/>
              <w:right w:w="227" w:type="dxa"/>
            </w:tcMar>
            <w:vAlign w:val="center"/>
          </w:tcPr>
          <w:p w14:paraId="3C2FA51A" w14:textId="77777777" w:rsidR="00A75C0F" w:rsidRPr="008A26D2" w:rsidRDefault="00A75C0F" w:rsidP="00AF5836">
            <w:pPr>
              <w:tabs>
                <w:tab w:val="left" w:pos="3375"/>
              </w:tabs>
              <w:spacing w:after="0" w:line="240" w:lineRule="auto"/>
              <w:jc w:val="both"/>
              <w:rPr>
                <w:rFonts w:ascii="Arial" w:hAnsi="Arial" w:cs="Arial"/>
                <w:sz w:val="20"/>
                <w:szCs w:val="20"/>
              </w:rPr>
            </w:pPr>
            <w:r w:rsidRPr="008A26D2">
              <w:rPr>
                <w:rFonts w:ascii="Arial" w:hAnsi="Arial" w:cs="Arial"/>
                <w:sz w:val="20"/>
                <w:szCs w:val="20"/>
              </w:rPr>
              <w:t>L2.5 Lograr el aprovechamiento de nuevas especies forestales y de fauna silvestre con potencial para el mercado nacional e internacional.</w:t>
            </w:r>
          </w:p>
        </w:tc>
      </w:tr>
      <w:tr w:rsidR="00A75C0F" w:rsidRPr="008A26D2" w14:paraId="426C2281" w14:textId="77777777" w:rsidTr="00AF5836">
        <w:trPr>
          <w:trHeight w:val="404"/>
        </w:trPr>
        <w:tc>
          <w:tcPr>
            <w:tcW w:w="2127" w:type="dxa"/>
            <w:gridSpan w:val="3"/>
            <w:shd w:val="clear" w:color="auto" w:fill="auto"/>
            <w:tcMar>
              <w:top w:w="10" w:type="dxa"/>
              <w:left w:w="93" w:type="dxa"/>
              <w:bottom w:w="0" w:type="dxa"/>
              <w:right w:w="10" w:type="dxa"/>
            </w:tcMar>
            <w:vAlign w:val="center"/>
          </w:tcPr>
          <w:p w14:paraId="73D5284E" w14:textId="77777777" w:rsidR="00A75C0F" w:rsidRPr="008A26D2" w:rsidRDefault="00A75C0F" w:rsidP="00AF5836">
            <w:pPr>
              <w:tabs>
                <w:tab w:val="left" w:pos="3375"/>
              </w:tabs>
              <w:spacing w:after="0" w:line="240" w:lineRule="auto"/>
              <w:rPr>
                <w:rFonts w:ascii="Arial" w:hAnsi="Arial" w:cs="Arial"/>
                <w:sz w:val="20"/>
                <w:szCs w:val="20"/>
              </w:rPr>
            </w:pPr>
            <w:r w:rsidRPr="008A26D2">
              <w:rPr>
                <w:rFonts w:ascii="Arial" w:hAnsi="Arial" w:cs="Arial"/>
                <w:b/>
                <w:sz w:val="20"/>
                <w:szCs w:val="20"/>
              </w:rPr>
              <w:t>Nombre del servicio:</w:t>
            </w:r>
          </w:p>
        </w:tc>
        <w:tc>
          <w:tcPr>
            <w:tcW w:w="6662" w:type="dxa"/>
            <w:gridSpan w:val="9"/>
            <w:shd w:val="clear" w:color="auto" w:fill="auto"/>
            <w:tcMar>
              <w:top w:w="51" w:type="dxa"/>
              <w:left w:w="227" w:type="dxa"/>
              <w:bottom w:w="51" w:type="dxa"/>
              <w:right w:w="227" w:type="dxa"/>
            </w:tcMar>
            <w:vAlign w:val="center"/>
          </w:tcPr>
          <w:p w14:paraId="53781FE3" w14:textId="77777777" w:rsidR="00A75C0F" w:rsidRPr="008A26D2" w:rsidRDefault="00A75C0F" w:rsidP="00AF5836">
            <w:pPr>
              <w:tabs>
                <w:tab w:val="left" w:pos="3375"/>
              </w:tabs>
              <w:spacing w:after="0" w:line="240" w:lineRule="auto"/>
              <w:jc w:val="both"/>
              <w:rPr>
                <w:rFonts w:ascii="Arial" w:hAnsi="Arial" w:cs="Arial"/>
                <w:sz w:val="20"/>
                <w:szCs w:val="20"/>
              </w:rPr>
            </w:pPr>
            <w:r w:rsidRPr="008A26D2">
              <w:rPr>
                <w:rFonts w:ascii="Arial" w:hAnsi="Arial" w:cs="Arial"/>
                <w:sz w:val="20"/>
                <w:szCs w:val="20"/>
              </w:rPr>
              <w:t xml:space="preserve">S2.5.2 Asistencia </w:t>
            </w:r>
            <w:r>
              <w:rPr>
                <w:rFonts w:ascii="Arial" w:hAnsi="Arial" w:cs="Arial"/>
                <w:sz w:val="20"/>
                <w:szCs w:val="20"/>
              </w:rPr>
              <w:t>t</w:t>
            </w:r>
            <w:r w:rsidRPr="008A26D2">
              <w:rPr>
                <w:rFonts w:ascii="Arial" w:hAnsi="Arial" w:cs="Arial"/>
                <w:sz w:val="20"/>
                <w:szCs w:val="20"/>
              </w:rPr>
              <w:t xml:space="preserve">écnica en </w:t>
            </w:r>
            <w:r>
              <w:rPr>
                <w:rFonts w:ascii="Arial" w:hAnsi="Arial" w:cs="Arial"/>
                <w:sz w:val="20"/>
                <w:szCs w:val="20"/>
              </w:rPr>
              <w:t>d</w:t>
            </w:r>
            <w:r w:rsidRPr="008A26D2">
              <w:rPr>
                <w:rFonts w:ascii="Arial" w:hAnsi="Arial" w:cs="Arial"/>
                <w:sz w:val="20"/>
                <w:szCs w:val="20"/>
              </w:rPr>
              <w:t xml:space="preserve">iseño y </w:t>
            </w:r>
            <w:r>
              <w:rPr>
                <w:rFonts w:ascii="Arial" w:hAnsi="Arial" w:cs="Arial"/>
                <w:sz w:val="20"/>
                <w:szCs w:val="20"/>
              </w:rPr>
              <w:t>d</w:t>
            </w:r>
            <w:r w:rsidRPr="008A26D2">
              <w:rPr>
                <w:rFonts w:ascii="Arial" w:hAnsi="Arial" w:cs="Arial"/>
                <w:sz w:val="20"/>
                <w:szCs w:val="20"/>
              </w:rPr>
              <w:t xml:space="preserve">esarrollo de </w:t>
            </w:r>
            <w:r>
              <w:rPr>
                <w:rFonts w:ascii="Arial" w:hAnsi="Arial" w:cs="Arial"/>
                <w:sz w:val="20"/>
                <w:szCs w:val="20"/>
              </w:rPr>
              <w:t>p</w:t>
            </w:r>
            <w:r w:rsidRPr="008A26D2">
              <w:rPr>
                <w:rFonts w:ascii="Arial" w:hAnsi="Arial" w:cs="Arial"/>
                <w:sz w:val="20"/>
                <w:szCs w:val="20"/>
              </w:rPr>
              <w:t>roductos brindados de manera satisfactoria a las unidades productivas de la cadena forestal, madera y textil.</w:t>
            </w:r>
          </w:p>
        </w:tc>
      </w:tr>
      <w:tr w:rsidR="00A75C0F" w:rsidRPr="008A26D2" w14:paraId="6C5DD55E" w14:textId="77777777" w:rsidTr="00AF5836">
        <w:trPr>
          <w:trHeight w:val="577"/>
        </w:trPr>
        <w:tc>
          <w:tcPr>
            <w:tcW w:w="2127" w:type="dxa"/>
            <w:gridSpan w:val="3"/>
            <w:shd w:val="clear" w:color="auto" w:fill="auto"/>
            <w:tcMar>
              <w:top w:w="10" w:type="dxa"/>
              <w:left w:w="93" w:type="dxa"/>
              <w:bottom w:w="0" w:type="dxa"/>
              <w:right w:w="10" w:type="dxa"/>
            </w:tcMar>
            <w:vAlign w:val="center"/>
          </w:tcPr>
          <w:p w14:paraId="49747CF0" w14:textId="77777777" w:rsidR="00A75C0F" w:rsidRPr="008A26D2" w:rsidRDefault="00A75C0F" w:rsidP="00AF5836">
            <w:pPr>
              <w:tabs>
                <w:tab w:val="left" w:pos="3375"/>
              </w:tabs>
              <w:spacing w:after="0" w:line="240" w:lineRule="auto"/>
              <w:rPr>
                <w:rFonts w:ascii="Arial" w:hAnsi="Arial" w:cs="Arial"/>
                <w:sz w:val="20"/>
                <w:szCs w:val="20"/>
              </w:rPr>
            </w:pPr>
            <w:r w:rsidRPr="008A26D2">
              <w:rPr>
                <w:rFonts w:ascii="Arial" w:hAnsi="Arial" w:cs="Arial"/>
                <w:b/>
                <w:sz w:val="20"/>
                <w:szCs w:val="20"/>
              </w:rPr>
              <w:t>Nombre del indicador:</w:t>
            </w:r>
          </w:p>
        </w:tc>
        <w:tc>
          <w:tcPr>
            <w:tcW w:w="6662" w:type="dxa"/>
            <w:gridSpan w:val="9"/>
            <w:shd w:val="clear" w:color="auto" w:fill="auto"/>
            <w:tcMar>
              <w:top w:w="51" w:type="dxa"/>
              <w:left w:w="227" w:type="dxa"/>
              <w:bottom w:w="51" w:type="dxa"/>
              <w:right w:w="227" w:type="dxa"/>
            </w:tcMar>
            <w:vAlign w:val="center"/>
          </w:tcPr>
          <w:p w14:paraId="14E9E75F" w14:textId="77777777" w:rsidR="00A75C0F" w:rsidRPr="008A26D2" w:rsidRDefault="00A75C0F" w:rsidP="00AF5836">
            <w:pPr>
              <w:tabs>
                <w:tab w:val="left" w:pos="3375"/>
              </w:tabs>
              <w:spacing w:after="0" w:line="240" w:lineRule="auto"/>
              <w:jc w:val="both"/>
              <w:rPr>
                <w:rFonts w:ascii="Arial" w:hAnsi="Arial" w:cs="Arial"/>
                <w:sz w:val="20"/>
                <w:szCs w:val="20"/>
              </w:rPr>
            </w:pPr>
            <w:r w:rsidRPr="008A26D2">
              <w:rPr>
                <w:rFonts w:ascii="Arial" w:hAnsi="Arial" w:cs="Arial"/>
                <w:sz w:val="20"/>
                <w:szCs w:val="20"/>
              </w:rPr>
              <w:t xml:space="preserve">Porcentaje de unidades productivas de la cadena forestal, madera y textil satisfechas con la </w:t>
            </w:r>
            <w:r>
              <w:rPr>
                <w:rFonts w:ascii="Arial" w:hAnsi="Arial" w:cs="Arial"/>
                <w:sz w:val="20"/>
                <w:szCs w:val="20"/>
              </w:rPr>
              <w:t>a</w:t>
            </w:r>
            <w:r w:rsidRPr="008A26D2">
              <w:rPr>
                <w:rFonts w:ascii="Arial" w:hAnsi="Arial" w:cs="Arial"/>
                <w:sz w:val="20"/>
                <w:szCs w:val="20"/>
              </w:rPr>
              <w:t xml:space="preserve">sistencia </w:t>
            </w:r>
            <w:r>
              <w:rPr>
                <w:rFonts w:ascii="Arial" w:hAnsi="Arial" w:cs="Arial"/>
                <w:sz w:val="20"/>
                <w:szCs w:val="20"/>
              </w:rPr>
              <w:t>t</w:t>
            </w:r>
            <w:r w:rsidRPr="008A26D2">
              <w:rPr>
                <w:rFonts w:ascii="Arial" w:hAnsi="Arial" w:cs="Arial"/>
                <w:sz w:val="20"/>
                <w:szCs w:val="20"/>
              </w:rPr>
              <w:t xml:space="preserve">écnica </w:t>
            </w:r>
            <w:r>
              <w:rPr>
                <w:rFonts w:ascii="Arial" w:hAnsi="Arial" w:cs="Arial"/>
                <w:sz w:val="20"/>
                <w:szCs w:val="20"/>
              </w:rPr>
              <w:t xml:space="preserve">brindada </w:t>
            </w:r>
            <w:r w:rsidRPr="008A26D2">
              <w:rPr>
                <w:rFonts w:ascii="Arial" w:hAnsi="Arial" w:cs="Arial"/>
                <w:sz w:val="20"/>
                <w:szCs w:val="20"/>
              </w:rPr>
              <w:t xml:space="preserve">en </w:t>
            </w:r>
            <w:r>
              <w:rPr>
                <w:rFonts w:ascii="Arial" w:hAnsi="Arial" w:cs="Arial"/>
                <w:sz w:val="20"/>
                <w:szCs w:val="20"/>
              </w:rPr>
              <w:t>d</w:t>
            </w:r>
            <w:r w:rsidRPr="008A26D2">
              <w:rPr>
                <w:rFonts w:ascii="Arial" w:hAnsi="Arial" w:cs="Arial"/>
                <w:sz w:val="20"/>
                <w:szCs w:val="20"/>
              </w:rPr>
              <w:t xml:space="preserve">iseño y </w:t>
            </w:r>
            <w:r>
              <w:rPr>
                <w:rFonts w:ascii="Arial" w:hAnsi="Arial" w:cs="Arial"/>
                <w:sz w:val="20"/>
                <w:szCs w:val="20"/>
              </w:rPr>
              <w:t>d</w:t>
            </w:r>
            <w:r w:rsidRPr="008A26D2">
              <w:rPr>
                <w:rFonts w:ascii="Arial" w:hAnsi="Arial" w:cs="Arial"/>
                <w:sz w:val="20"/>
                <w:szCs w:val="20"/>
              </w:rPr>
              <w:t xml:space="preserve">esarrollo de </w:t>
            </w:r>
            <w:r>
              <w:rPr>
                <w:rFonts w:ascii="Arial" w:hAnsi="Arial" w:cs="Arial"/>
                <w:sz w:val="20"/>
                <w:szCs w:val="20"/>
              </w:rPr>
              <w:t>p</w:t>
            </w:r>
            <w:r w:rsidRPr="008A26D2">
              <w:rPr>
                <w:rFonts w:ascii="Arial" w:hAnsi="Arial" w:cs="Arial"/>
                <w:sz w:val="20"/>
                <w:szCs w:val="20"/>
              </w:rPr>
              <w:t>roductos</w:t>
            </w:r>
          </w:p>
        </w:tc>
      </w:tr>
      <w:tr w:rsidR="00A75C0F" w:rsidRPr="008A26D2" w14:paraId="2A468B35" w14:textId="77777777" w:rsidTr="00AF5836">
        <w:trPr>
          <w:trHeight w:val="577"/>
        </w:trPr>
        <w:tc>
          <w:tcPr>
            <w:tcW w:w="2127" w:type="dxa"/>
            <w:gridSpan w:val="3"/>
            <w:shd w:val="clear" w:color="auto" w:fill="auto"/>
            <w:tcMar>
              <w:top w:w="10" w:type="dxa"/>
              <w:left w:w="93" w:type="dxa"/>
              <w:bottom w:w="0" w:type="dxa"/>
              <w:right w:w="10" w:type="dxa"/>
            </w:tcMar>
            <w:vAlign w:val="center"/>
          </w:tcPr>
          <w:p w14:paraId="66CF5748" w14:textId="77777777" w:rsidR="00A75C0F" w:rsidRPr="008A26D2" w:rsidRDefault="00A75C0F" w:rsidP="00AF5836">
            <w:pPr>
              <w:tabs>
                <w:tab w:val="left" w:pos="3375"/>
              </w:tabs>
              <w:spacing w:after="0" w:line="240" w:lineRule="auto"/>
              <w:rPr>
                <w:rFonts w:ascii="Arial" w:hAnsi="Arial" w:cs="Arial"/>
                <w:sz w:val="20"/>
                <w:szCs w:val="20"/>
              </w:rPr>
            </w:pPr>
            <w:r w:rsidRPr="008A26D2">
              <w:rPr>
                <w:rFonts w:ascii="Arial" w:hAnsi="Arial" w:cs="Arial"/>
                <w:b/>
                <w:sz w:val="20"/>
                <w:szCs w:val="20"/>
              </w:rPr>
              <w:t>Justificación:</w:t>
            </w:r>
          </w:p>
        </w:tc>
        <w:tc>
          <w:tcPr>
            <w:tcW w:w="6662" w:type="dxa"/>
            <w:gridSpan w:val="9"/>
            <w:shd w:val="clear" w:color="auto" w:fill="auto"/>
            <w:tcMar>
              <w:top w:w="51" w:type="dxa"/>
              <w:left w:w="227" w:type="dxa"/>
              <w:bottom w:w="51" w:type="dxa"/>
              <w:right w:w="227" w:type="dxa"/>
            </w:tcMar>
            <w:vAlign w:val="center"/>
          </w:tcPr>
          <w:p w14:paraId="3B5440CB" w14:textId="77777777" w:rsidR="00A75C0F" w:rsidRPr="008A26D2" w:rsidRDefault="00A75C0F" w:rsidP="00AF5836">
            <w:pPr>
              <w:tabs>
                <w:tab w:val="left" w:pos="3375"/>
              </w:tabs>
              <w:spacing w:after="0" w:line="240" w:lineRule="auto"/>
              <w:jc w:val="both"/>
              <w:rPr>
                <w:rFonts w:ascii="Arial" w:hAnsi="Arial" w:cs="Arial"/>
                <w:sz w:val="20"/>
                <w:szCs w:val="20"/>
              </w:rPr>
            </w:pPr>
            <w:r w:rsidRPr="008A26D2">
              <w:rPr>
                <w:rFonts w:ascii="Arial" w:hAnsi="Arial" w:cs="Arial"/>
                <w:sz w:val="20"/>
                <w:szCs w:val="20"/>
              </w:rPr>
              <w:t xml:space="preserve">El indicador permitirá obtener un acercamiento del nivel de satisfacción de las unidades productivas de la cadena forestal, madera y textil que fueron atendidas con </w:t>
            </w:r>
            <w:r>
              <w:rPr>
                <w:rFonts w:ascii="Arial" w:hAnsi="Arial" w:cs="Arial"/>
                <w:sz w:val="20"/>
                <w:szCs w:val="20"/>
              </w:rPr>
              <w:t>la asistencia técnica brindada</w:t>
            </w:r>
            <w:r w:rsidRPr="008A26D2">
              <w:rPr>
                <w:rFonts w:ascii="Arial" w:hAnsi="Arial" w:cs="Arial"/>
                <w:sz w:val="20"/>
                <w:szCs w:val="20"/>
              </w:rPr>
              <w:t xml:space="preserve"> durante el horizonte temporal de la política</w:t>
            </w:r>
          </w:p>
        </w:tc>
      </w:tr>
      <w:tr w:rsidR="00A75C0F" w:rsidRPr="008A26D2" w14:paraId="5BE886BC" w14:textId="77777777" w:rsidTr="00AF5836">
        <w:trPr>
          <w:trHeight w:val="233"/>
        </w:trPr>
        <w:tc>
          <w:tcPr>
            <w:tcW w:w="2127" w:type="dxa"/>
            <w:gridSpan w:val="3"/>
            <w:shd w:val="clear" w:color="auto" w:fill="auto"/>
            <w:tcMar>
              <w:top w:w="10" w:type="dxa"/>
              <w:left w:w="93" w:type="dxa"/>
              <w:bottom w:w="0" w:type="dxa"/>
              <w:right w:w="10" w:type="dxa"/>
            </w:tcMar>
            <w:vAlign w:val="center"/>
          </w:tcPr>
          <w:p w14:paraId="6F573376" w14:textId="77777777" w:rsidR="00A75C0F" w:rsidRPr="008A26D2" w:rsidRDefault="00A75C0F" w:rsidP="00AF5836">
            <w:pPr>
              <w:tabs>
                <w:tab w:val="left" w:pos="3375"/>
              </w:tabs>
              <w:spacing w:after="0" w:line="240" w:lineRule="auto"/>
              <w:rPr>
                <w:rFonts w:ascii="Arial" w:hAnsi="Arial" w:cs="Arial"/>
                <w:sz w:val="20"/>
                <w:szCs w:val="20"/>
              </w:rPr>
            </w:pPr>
            <w:r w:rsidRPr="008A26D2">
              <w:rPr>
                <w:rFonts w:ascii="Arial" w:hAnsi="Arial" w:cs="Arial"/>
                <w:b/>
                <w:sz w:val="20"/>
                <w:szCs w:val="20"/>
              </w:rPr>
              <w:t>Responsable del indicador:</w:t>
            </w:r>
          </w:p>
        </w:tc>
        <w:tc>
          <w:tcPr>
            <w:tcW w:w="6662" w:type="dxa"/>
            <w:gridSpan w:val="9"/>
            <w:shd w:val="clear" w:color="auto" w:fill="auto"/>
            <w:tcMar>
              <w:top w:w="51" w:type="dxa"/>
              <w:left w:w="227" w:type="dxa"/>
              <w:bottom w:w="51" w:type="dxa"/>
              <w:right w:w="227" w:type="dxa"/>
            </w:tcMar>
            <w:vAlign w:val="center"/>
          </w:tcPr>
          <w:p w14:paraId="7F5E3372" w14:textId="65E5C207" w:rsidR="00A75C0F" w:rsidRPr="008A26D2" w:rsidRDefault="00A75C0F" w:rsidP="00AF5836">
            <w:pPr>
              <w:tabs>
                <w:tab w:val="left" w:pos="3375"/>
              </w:tabs>
              <w:spacing w:after="0" w:line="240" w:lineRule="auto"/>
              <w:jc w:val="both"/>
              <w:rPr>
                <w:rFonts w:ascii="Arial" w:hAnsi="Arial" w:cs="Arial"/>
                <w:sz w:val="20"/>
                <w:szCs w:val="20"/>
              </w:rPr>
            </w:pPr>
            <w:r w:rsidRPr="008A26D2">
              <w:rPr>
                <w:rFonts w:ascii="Arial" w:hAnsi="Arial" w:cs="Arial"/>
                <w:sz w:val="20"/>
                <w:szCs w:val="20"/>
              </w:rPr>
              <w:t>Instituto Tecnológico de la Producción</w:t>
            </w:r>
            <w:r>
              <w:rPr>
                <w:rFonts w:ascii="Arial" w:hAnsi="Arial" w:cs="Arial"/>
                <w:sz w:val="20"/>
                <w:szCs w:val="20"/>
              </w:rPr>
              <w:t xml:space="preserve"> – ITP del Ministerio de la Producción – PRODUCE</w:t>
            </w:r>
          </w:p>
        </w:tc>
      </w:tr>
      <w:tr w:rsidR="00A75C0F" w:rsidRPr="008A26D2" w14:paraId="4D8BFA43" w14:textId="77777777" w:rsidTr="00AF5836">
        <w:trPr>
          <w:trHeight w:val="419"/>
        </w:trPr>
        <w:tc>
          <w:tcPr>
            <w:tcW w:w="2127" w:type="dxa"/>
            <w:gridSpan w:val="3"/>
            <w:shd w:val="clear" w:color="auto" w:fill="auto"/>
            <w:tcMar>
              <w:top w:w="10" w:type="dxa"/>
              <w:left w:w="93" w:type="dxa"/>
              <w:bottom w:w="0" w:type="dxa"/>
              <w:right w:w="10" w:type="dxa"/>
            </w:tcMar>
            <w:vAlign w:val="center"/>
          </w:tcPr>
          <w:p w14:paraId="0285D0EA" w14:textId="77777777" w:rsidR="00A75C0F" w:rsidRPr="008A26D2" w:rsidRDefault="00A75C0F" w:rsidP="00AF5836">
            <w:pPr>
              <w:tabs>
                <w:tab w:val="left" w:pos="3375"/>
              </w:tabs>
              <w:spacing w:after="0" w:line="240" w:lineRule="auto"/>
              <w:rPr>
                <w:rFonts w:ascii="Arial" w:hAnsi="Arial" w:cs="Arial"/>
                <w:sz w:val="20"/>
                <w:szCs w:val="20"/>
              </w:rPr>
            </w:pPr>
            <w:r w:rsidRPr="008A26D2">
              <w:rPr>
                <w:rFonts w:ascii="Arial" w:hAnsi="Arial" w:cs="Arial"/>
                <w:b/>
                <w:sz w:val="20"/>
                <w:szCs w:val="20"/>
              </w:rPr>
              <w:t>Limitaciones para la medición del indicador:</w:t>
            </w:r>
          </w:p>
        </w:tc>
        <w:tc>
          <w:tcPr>
            <w:tcW w:w="6662" w:type="dxa"/>
            <w:gridSpan w:val="9"/>
            <w:shd w:val="clear" w:color="auto" w:fill="auto"/>
            <w:tcMar>
              <w:top w:w="51" w:type="dxa"/>
              <w:left w:w="227" w:type="dxa"/>
              <w:bottom w:w="51" w:type="dxa"/>
              <w:right w:w="227" w:type="dxa"/>
            </w:tcMar>
            <w:vAlign w:val="center"/>
          </w:tcPr>
          <w:p w14:paraId="62AC42B9" w14:textId="77777777" w:rsidR="00A75C0F" w:rsidRPr="008A26D2" w:rsidRDefault="00A75C0F" w:rsidP="00AF5836">
            <w:pPr>
              <w:tabs>
                <w:tab w:val="left" w:pos="3375"/>
              </w:tabs>
              <w:spacing w:after="0" w:line="240" w:lineRule="auto"/>
              <w:jc w:val="both"/>
              <w:rPr>
                <w:rFonts w:ascii="Arial" w:hAnsi="Arial" w:cs="Arial"/>
                <w:sz w:val="20"/>
                <w:szCs w:val="20"/>
              </w:rPr>
            </w:pPr>
            <w:r w:rsidRPr="008A26D2">
              <w:rPr>
                <w:rFonts w:ascii="Arial" w:hAnsi="Arial" w:cs="Arial"/>
                <w:sz w:val="20"/>
                <w:szCs w:val="20"/>
              </w:rPr>
              <w:t>* Demoras en el proceso de selección de la empresa especializada para la aplicación de la encuesta que recogerá información de las unidades productivas que recibieron los servicios de asistencia técnica y/o diseño y desarrollo de productos.</w:t>
            </w:r>
          </w:p>
          <w:p w14:paraId="0588A960" w14:textId="77777777" w:rsidR="00A75C0F" w:rsidRPr="008A26D2" w:rsidRDefault="00A75C0F" w:rsidP="00AF5836">
            <w:pPr>
              <w:tabs>
                <w:tab w:val="left" w:pos="3375"/>
              </w:tabs>
              <w:spacing w:after="0" w:line="240" w:lineRule="auto"/>
              <w:jc w:val="both"/>
              <w:rPr>
                <w:rFonts w:ascii="Arial" w:hAnsi="Arial" w:cs="Arial"/>
                <w:sz w:val="20"/>
                <w:szCs w:val="20"/>
              </w:rPr>
            </w:pPr>
            <w:r w:rsidRPr="008A26D2">
              <w:rPr>
                <w:rFonts w:ascii="Arial" w:hAnsi="Arial" w:cs="Arial"/>
                <w:sz w:val="20"/>
                <w:szCs w:val="20"/>
              </w:rPr>
              <w:t>* Limitada disposición de los representantes de las unidades productivas atendidas por los servicios de asistencia técnica y/o Diseño y Desarrollo de Productos en brindar información para la encuesta.</w:t>
            </w:r>
          </w:p>
          <w:p w14:paraId="66D67D26" w14:textId="77777777" w:rsidR="00A75C0F" w:rsidRPr="008A26D2" w:rsidRDefault="00A75C0F" w:rsidP="00AF5836">
            <w:pPr>
              <w:tabs>
                <w:tab w:val="left" w:pos="3375"/>
              </w:tabs>
              <w:spacing w:after="0" w:line="240" w:lineRule="auto"/>
              <w:jc w:val="both"/>
              <w:rPr>
                <w:rFonts w:ascii="Arial" w:hAnsi="Arial" w:cs="Arial"/>
                <w:sz w:val="20"/>
                <w:szCs w:val="20"/>
              </w:rPr>
            </w:pPr>
            <w:r w:rsidRPr="008A26D2">
              <w:rPr>
                <w:rFonts w:ascii="Arial" w:hAnsi="Arial" w:cs="Arial"/>
                <w:sz w:val="20"/>
                <w:szCs w:val="20"/>
              </w:rPr>
              <w:t>* No se dispone información de línea base, por lo que los valores proyectas hasta el 2030 se puede ajustar conforme se obtenga información de la medición de la satisfacción.</w:t>
            </w:r>
          </w:p>
        </w:tc>
      </w:tr>
      <w:tr w:rsidR="00A75C0F" w:rsidRPr="008A26D2" w14:paraId="5F9320E6" w14:textId="77777777" w:rsidTr="00AF5836">
        <w:trPr>
          <w:trHeight w:val="231"/>
        </w:trPr>
        <w:tc>
          <w:tcPr>
            <w:tcW w:w="2127" w:type="dxa"/>
            <w:gridSpan w:val="3"/>
            <w:shd w:val="clear" w:color="auto" w:fill="auto"/>
            <w:tcMar>
              <w:top w:w="10" w:type="dxa"/>
              <w:left w:w="93" w:type="dxa"/>
              <w:bottom w:w="0" w:type="dxa"/>
              <w:right w:w="10" w:type="dxa"/>
            </w:tcMar>
            <w:vAlign w:val="center"/>
          </w:tcPr>
          <w:p w14:paraId="0E0CC5EB" w14:textId="77777777" w:rsidR="00A75C0F" w:rsidRPr="008A26D2" w:rsidRDefault="00A75C0F" w:rsidP="00AF5836">
            <w:pPr>
              <w:tabs>
                <w:tab w:val="left" w:pos="3375"/>
              </w:tabs>
              <w:spacing w:after="0" w:line="240" w:lineRule="auto"/>
              <w:rPr>
                <w:rFonts w:ascii="Arial" w:hAnsi="Arial" w:cs="Arial"/>
                <w:sz w:val="20"/>
                <w:szCs w:val="20"/>
              </w:rPr>
            </w:pPr>
            <w:r w:rsidRPr="008A26D2">
              <w:rPr>
                <w:rFonts w:ascii="Arial" w:hAnsi="Arial" w:cs="Arial"/>
                <w:b/>
                <w:sz w:val="20"/>
                <w:szCs w:val="20"/>
              </w:rPr>
              <w:t xml:space="preserve">Método de cálculo: </w:t>
            </w:r>
          </w:p>
        </w:tc>
        <w:tc>
          <w:tcPr>
            <w:tcW w:w="6662" w:type="dxa"/>
            <w:gridSpan w:val="9"/>
            <w:shd w:val="clear" w:color="auto" w:fill="auto"/>
            <w:tcMar>
              <w:top w:w="51" w:type="dxa"/>
              <w:left w:w="227" w:type="dxa"/>
              <w:bottom w:w="51" w:type="dxa"/>
              <w:right w:w="227" w:type="dxa"/>
            </w:tcMar>
            <w:vAlign w:val="center"/>
          </w:tcPr>
          <w:p w14:paraId="1B11793A" w14:textId="34C4A378" w:rsidR="00A75C0F" w:rsidRPr="00CB5D5C" w:rsidRDefault="00A75C0F" w:rsidP="00AF5836">
            <w:pPr>
              <w:tabs>
                <w:tab w:val="left" w:pos="3375"/>
              </w:tabs>
              <w:spacing w:after="0" w:line="240" w:lineRule="auto"/>
              <w:rPr>
                <w:rFonts w:ascii="Arial" w:hAnsi="Arial" w:cs="Arial"/>
                <w:b/>
                <w:sz w:val="20"/>
                <w:szCs w:val="20"/>
              </w:rPr>
            </w:pPr>
            <w:r>
              <w:rPr>
                <w:rFonts w:ascii="Arial" w:hAnsi="Arial" w:cs="Arial"/>
                <w:b/>
                <w:sz w:val="20"/>
                <w:szCs w:val="20"/>
              </w:rPr>
              <w:t xml:space="preserve">1. </w:t>
            </w:r>
            <w:r w:rsidRPr="00CB5D5C">
              <w:rPr>
                <w:rFonts w:ascii="Arial" w:hAnsi="Arial" w:cs="Arial"/>
                <w:b/>
                <w:sz w:val="20"/>
                <w:szCs w:val="20"/>
              </w:rPr>
              <w:t>Fórmula:</w:t>
            </w:r>
          </w:p>
          <w:p w14:paraId="08646A09" w14:textId="77777777" w:rsidR="00A75C0F" w:rsidRPr="008A26D2" w:rsidRDefault="00A75C0F" w:rsidP="00AF5836">
            <w:pPr>
              <w:pStyle w:val="NormalWeb"/>
              <w:spacing w:before="0" w:beforeAutospacing="0" w:after="0" w:afterAutospacing="0"/>
              <w:jc w:val="both"/>
              <w:rPr>
                <w:rFonts w:ascii="Arial" w:eastAsia="Calibri" w:hAnsi="Arial" w:cs="Arial"/>
                <w:sz w:val="20"/>
                <w:szCs w:val="20"/>
              </w:rPr>
            </w:pPr>
          </w:p>
          <w:p w14:paraId="0F448515" w14:textId="77777777" w:rsidR="00A75C0F" w:rsidRPr="008A26D2" w:rsidRDefault="00A75C0F" w:rsidP="00AF5836">
            <w:pPr>
              <w:pStyle w:val="NormalWeb"/>
              <w:spacing w:before="0" w:beforeAutospacing="0" w:after="0" w:afterAutospacing="0"/>
              <w:jc w:val="both"/>
              <w:rPr>
                <w:rFonts w:ascii="Arial" w:hAnsi="Arial" w:cs="Arial"/>
                <w:sz w:val="20"/>
                <w:szCs w:val="20"/>
              </w:rPr>
            </w:pPr>
            <w:r w:rsidRPr="008A26D2">
              <w:rPr>
                <w:rFonts w:ascii="Arial" w:hAnsi="Arial" w:cs="Arial"/>
                <w:sz w:val="20"/>
                <w:szCs w:val="20"/>
              </w:rPr>
              <w:t xml:space="preserve"> (A/B)*100</w:t>
            </w:r>
          </w:p>
          <w:p w14:paraId="52B237BE" w14:textId="77777777" w:rsidR="00A75C0F" w:rsidRPr="008A26D2" w:rsidRDefault="00A75C0F" w:rsidP="00AF5836">
            <w:pPr>
              <w:tabs>
                <w:tab w:val="left" w:pos="3375"/>
              </w:tabs>
              <w:spacing w:after="0" w:line="240" w:lineRule="auto"/>
              <w:rPr>
                <w:rFonts w:ascii="Arial" w:hAnsi="Arial" w:cs="Arial"/>
                <w:sz w:val="20"/>
                <w:szCs w:val="20"/>
              </w:rPr>
            </w:pPr>
          </w:p>
          <w:p w14:paraId="1A1147F2" w14:textId="77777777" w:rsidR="00A75C0F" w:rsidRPr="008A26D2" w:rsidRDefault="00A75C0F" w:rsidP="00AF5836">
            <w:pPr>
              <w:tabs>
                <w:tab w:val="left" w:pos="3375"/>
              </w:tabs>
              <w:spacing w:after="0" w:line="240" w:lineRule="auto"/>
              <w:rPr>
                <w:rFonts w:ascii="Arial" w:hAnsi="Arial" w:cs="Arial"/>
                <w:sz w:val="20"/>
                <w:szCs w:val="20"/>
              </w:rPr>
            </w:pPr>
            <w:r w:rsidRPr="008A26D2">
              <w:rPr>
                <w:rFonts w:ascii="Arial" w:hAnsi="Arial" w:cs="Arial"/>
                <w:sz w:val="20"/>
                <w:szCs w:val="20"/>
              </w:rPr>
              <w:t>Donde:</w:t>
            </w:r>
          </w:p>
          <w:p w14:paraId="2401D32D" w14:textId="77777777" w:rsidR="00A75C0F" w:rsidRPr="008A26D2" w:rsidRDefault="00A75C0F" w:rsidP="00AF5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22" w:hanging="322"/>
              <w:jc w:val="both"/>
              <w:rPr>
                <w:rFonts w:ascii="Arial" w:hAnsi="Arial" w:cs="Arial"/>
                <w:sz w:val="20"/>
                <w:szCs w:val="20"/>
              </w:rPr>
            </w:pPr>
            <w:r w:rsidRPr="008A26D2">
              <w:rPr>
                <w:rFonts w:ascii="Arial" w:hAnsi="Arial" w:cs="Arial"/>
                <w:sz w:val="20"/>
                <w:szCs w:val="20"/>
              </w:rPr>
              <w:t xml:space="preserve">A = Número de unidades productivas de la cadena forestal, madera y textil satisfechas con la </w:t>
            </w:r>
            <w:r>
              <w:rPr>
                <w:rFonts w:ascii="Arial" w:hAnsi="Arial" w:cs="Arial"/>
                <w:sz w:val="20"/>
                <w:szCs w:val="20"/>
              </w:rPr>
              <w:t>a</w:t>
            </w:r>
            <w:r w:rsidRPr="008A26D2">
              <w:rPr>
                <w:rFonts w:ascii="Arial" w:hAnsi="Arial" w:cs="Arial"/>
                <w:sz w:val="20"/>
                <w:szCs w:val="20"/>
              </w:rPr>
              <w:t xml:space="preserve">sistencia </w:t>
            </w:r>
            <w:r>
              <w:rPr>
                <w:rFonts w:ascii="Arial" w:hAnsi="Arial" w:cs="Arial"/>
                <w:sz w:val="20"/>
                <w:szCs w:val="20"/>
              </w:rPr>
              <w:t>t</w:t>
            </w:r>
            <w:r w:rsidRPr="008A26D2">
              <w:rPr>
                <w:rFonts w:ascii="Arial" w:hAnsi="Arial" w:cs="Arial"/>
                <w:sz w:val="20"/>
                <w:szCs w:val="20"/>
              </w:rPr>
              <w:t xml:space="preserve">écnica en </w:t>
            </w:r>
            <w:r>
              <w:rPr>
                <w:rFonts w:ascii="Arial" w:hAnsi="Arial" w:cs="Arial"/>
                <w:sz w:val="20"/>
                <w:szCs w:val="20"/>
              </w:rPr>
              <w:t>d</w:t>
            </w:r>
            <w:r w:rsidRPr="008A26D2">
              <w:rPr>
                <w:rFonts w:ascii="Arial" w:hAnsi="Arial" w:cs="Arial"/>
                <w:sz w:val="20"/>
                <w:szCs w:val="20"/>
              </w:rPr>
              <w:t xml:space="preserve">iseño y </w:t>
            </w:r>
            <w:r>
              <w:rPr>
                <w:rFonts w:ascii="Arial" w:hAnsi="Arial" w:cs="Arial"/>
                <w:sz w:val="20"/>
                <w:szCs w:val="20"/>
              </w:rPr>
              <w:t>d</w:t>
            </w:r>
            <w:r w:rsidRPr="008A26D2">
              <w:rPr>
                <w:rFonts w:ascii="Arial" w:hAnsi="Arial" w:cs="Arial"/>
                <w:sz w:val="20"/>
                <w:szCs w:val="20"/>
              </w:rPr>
              <w:t xml:space="preserve">esarrollo de </w:t>
            </w:r>
            <w:r>
              <w:rPr>
                <w:rFonts w:ascii="Arial" w:hAnsi="Arial" w:cs="Arial"/>
                <w:sz w:val="20"/>
                <w:szCs w:val="20"/>
              </w:rPr>
              <w:t>p</w:t>
            </w:r>
            <w:r w:rsidRPr="008A26D2">
              <w:rPr>
                <w:rFonts w:ascii="Arial" w:hAnsi="Arial" w:cs="Arial"/>
                <w:sz w:val="20"/>
                <w:szCs w:val="20"/>
              </w:rPr>
              <w:t xml:space="preserve">roductos brindados, en el año </w:t>
            </w:r>
            <w:r>
              <w:rPr>
                <w:rFonts w:ascii="Arial" w:hAnsi="Arial" w:cs="Arial"/>
                <w:sz w:val="20"/>
                <w:szCs w:val="20"/>
              </w:rPr>
              <w:t>de evaluación</w:t>
            </w:r>
          </w:p>
          <w:p w14:paraId="750F2B07" w14:textId="77777777" w:rsidR="00A75C0F" w:rsidRPr="008A26D2" w:rsidRDefault="00A75C0F" w:rsidP="00AF5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22" w:hanging="322"/>
              <w:jc w:val="both"/>
              <w:rPr>
                <w:rFonts w:ascii="Arial" w:hAnsi="Arial" w:cs="Arial"/>
                <w:sz w:val="20"/>
                <w:szCs w:val="20"/>
              </w:rPr>
            </w:pPr>
          </w:p>
          <w:p w14:paraId="61F2A8E5" w14:textId="77777777" w:rsidR="00A75C0F" w:rsidRDefault="00A75C0F" w:rsidP="00AF5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22" w:hanging="322"/>
              <w:jc w:val="both"/>
              <w:rPr>
                <w:rFonts w:ascii="Arial" w:hAnsi="Arial" w:cs="Arial"/>
                <w:sz w:val="20"/>
                <w:szCs w:val="20"/>
              </w:rPr>
            </w:pPr>
            <w:r w:rsidRPr="008A26D2">
              <w:rPr>
                <w:rFonts w:ascii="Arial" w:hAnsi="Arial" w:cs="Arial"/>
                <w:sz w:val="20"/>
                <w:szCs w:val="20"/>
              </w:rPr>
              <w:t xml:space="preserve">B = Número de unidades productivas encuestadas de la cadena forestal, madera y textil en el año </w:t>
            </w:r>
            <w:r>
              <w:rPr>
                <w:rFonts w:ascii="Arial" w:hAnsi="Arial" w:cs="Arial"/>
                <w:sz w:val="20"/>
                <w:szCs w:val="20"/>
              </w:rPr>
              <w:t>de evaluación</w:t>
            </w:r>
          </w:p>
          <w:p w14:paraId="3546550D" w14:textId="77777777" w:rsidR="00A75C0F" w:rsidRPr="008A26D2" w:rsidRDefault="00A75C0F" w:rsidP="00AF5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22" w:hanging="322"/>
              <w:jc w:val="both"/>
              <w:rPr>
                <w:rFonts w:ascii="Arial" w:hAnsi="Arial" w:cs="Arial"/>
                <w:sz w:val="20"/>
                <w:szCs w:val="20"/>
              </w:rPr>
            </w:pPr>
          </w:p>
          <w:p w14:paraId="49775084" w14:textId="52026BB5" w:rsidR="00A75C0F" w:rsidRPr="00CB5D5C" w:rsidRDefault="00A75C0F" w:rsidP="00AF5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rPr>
            </w:pPr>
            <w:r>
              <w:rPr>
                <w:rFonts w:ascii="Arial" w:hAnsi="Arial" w:cs="Arial"/>
                <w:b/>
                <w:sz w:val="20"/>
                <w:szCs w:val="20"/>
              </w:rPr>
              <w:t xml:space="preserve">2. </w:t>
            </w:r>
            <w:r w:rsidRPr="00CB5D5C">
              <w:rPr>
                <w:rFonts w:ascii="Arial" w:hAnsi="Arial" w:cs="Arial"/>
                <w:b/>
                <w:sz w:val="20"/>
                <w:szCs w:val="20"/>
              </w:rPr>
              <w:t>Especificaciones técnicas:</w:t>
            </w:r>
          </w:p>
          <w:p w14:paraId="0158B6D1" w14:textId="77777777" w:rsidR="00A75C0F" w:rsidRPr="008A26D2" w:rsidRDefault="00A75C0F" w:rsidP="00AF5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rPr>
            </w:pPr>
          </w:p>
          <w:p w14:paraId="436A21C1" w14:textId="1DED47BB" w:rsidR="00A75C0F" w:rsidRDefault="00A75C0F" w:rsidP="00AF5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rPr>
            </w:pPr>
            <w:r w:rsidRPr="00490F84">
              <w:rPr>
                <w:rFonts w:ascii="Arial" w:hAnsi="Arial" w:cs="Arial"/>
                <w:sz w:val="20"/>
                <w:szCs w:val="20"/>
              </w:rPr>
              <w:t xml:space="preserve">La variable A se determina a partir de </w:t>
            </w:r>
            <w:r>
              <w:rPr>
                <w:rFonts w:ascii="Arial" w:hAnsi="Arial" w:cs="Arial"/>
                <w:sz w:val="20"/>
                <w:szCs w:val="20"/>
              </w:rPr>
              <w:t>la</w:t>
            </w:r>
            <w:r w:rsidR="00CB5D5C">
              <w:rPr>
                <w:rFonts w:ascii="Arial" w:hAnsi="Arial" w:cs="Arial"/>
                <w:sz w:val="20"/>
                <w:szCs w:val="20"/>
              </w:rPr>
              <w:t xml:space="preserve"> cantidad de</w:t>
            </w:r>
            <w:r>
              <w:rPr>
                <w:rFonts w:ascii="Arial" w:hAnsi="Arial" w:cs="Arial"/>
                <w:sz w:val="20"/>
                <w:szCs w:val="20"/>
              </w:rPr>
              <w:t xml:space="preserve"> </w:t>
            </w:r>
            <w:r w:rsidRPr="00490F84">
              <w:rPr>
                <w:rFonts w:ascii="Arial" w:hAnsi="Arial" w:cs="Arial"/>
                <w:sz w:val="20"/>
                <w:szCs w:val="20"/>
              </w:rPr>
              <w:t xml:space="preserve">unidades productivas de la cadena forestal, madera y textil que tienen un alto grado de satisfacción, al elegir los dos niveles más altos de la escala, sobre las acciones de </w:t>
            </w:r>
            <w:r>
              <w:rPr>
                <w:rFonts w:ascii="Arial" w:hAnsi="Arial" w:cs="Arial"/>
                <w:sz w:val="20"/>
                <w:szCs w:val="20"/>
              </w:rPr>
              <w:t xml:space="preserve">asistencia técnica </w:t>
            </w:r>
            <w:r w:rsidRPr="00490F84">
              <w:rPr>
                <w:rFonts w:ascii="Arial" w:hAnsi="Arial" w:cs="Arial"/>
                <w:sz w:val="20"/>
                <w:szCs w:val="20"/>
              </w:rPr>
              <w:t>recibidas.</w:t>
            </w:r>
          </w:p>
          <w:p w14:paraId="7325E576" w14:textId="77777777" w:rsidR="00CB5D5C" w:rsidRPr="00490F84" w:rsidRDefault="00CB5D5C" w:rsidP="00AF5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rPr>
            </w:pPr>
          </w:p>
          <w:p w14:paraId="599DBAEF" w14:textId="240CB8EB" w:rsidR="00A75C0F" w:rsidRDefault="00A75C0F" w:rsidP="00AF5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rPr>
            </w:pPr>
            <w:r w:rsidRPr="00490F84">
              <w:rPr>
                <w:rFonts w:ascii="Arial" w:hAnsi="Arial" w:cs="Arial"/>
                <w:sz w:val="20"/>
                <w:szCs w:val="20"/>
              </w:rPr>
              <w:t xml:space="preserve">La variable B se determina </w:t>
            </w:r>
            <w:r w:rsidR="00CB5D5C">
              <w:rPr>
                <w:rFonts w:ascii="Arial" w:hAnsi="Arial" w:cs="Arial"/>
                <w:sz w:val="20"/>
                <w:szCs w:val="20"/>
              </w:rPr>
              <w:t>en base a</w:t>
            </w:r>
            <w:r w:rsidRPr="00490F84">
              <w:rPr>
                <w:rFonts w:ascii="Arial" w:hAnsi="Arial" w:cs="Arial"/>
                <w:sz w:val="20"/>
                <w:szCs w:val="20"/>
              </w:rPr>
              <w:t xml:space="preserve">l total de </w:t>
            </w:r>
            <w:r w:rsidRPr="008A26D2">
              <w:rPr>
                <w:rFonts w:ascii="Arial" w:hAnsi="Arial" w:cs="Arial"/>
                <w:sz w:val="20"/>
                <w:szCs w:val="20"/>
              </w:rPr>
              <w:t xml:space="preserve">unidades productivas de la cadena forestal, madera y textil </w:t>
            </w:r>
            <w:r w:rsidRPr="00490F84">
              <w:rPr>
                <w:rFonts w:ascii="Arial" w:hAnsi="Arial" w:cs="Arial"/>
                <w:sz w:val="20"/>
                <w:szCs w:val="20"/>
              </w:rPr>
              <w:t>asist</w:t>
            </w:r>
            <w:r>
              <w:rPr>
                <w:rFonts w:ascii="Arial" w:hAnsi="Arial" w:cs="Arial"/>
                <w:sz w:val="20"/>
                <w:szCs w:val="20"/>
              </w:rPr>
              <w:t>idas técnicamente</w:t>
            </w:r>
            <w:r w:rsidR="00CB5D5C">
              <w:rPr>
                <w:rFonts w:ascii="Arial" w:hAnsi="Arial" w:cs="Arial"/>
                <w:sz w:val="20"/>
                <w:szCs w:val="20"/>
              </w:rPr>
              <w:t xml:space="preserve"> en el año de medición</w:t>
            </w:r>
            <w:r>
              <w:rPr>
                <w:rFonts w:ascii="Arial" w:hAnsi="Arial" w:cs="Arial"/>
                <w:sz w:val="20"/>
                <w:szCs w:val="20"/>
              </w:rPr>
              <w:t>.</w:t>
            </w:r>
          </w:p>
          <w:p w14:paraId="1319559E" w14:textId="77777777" w:rsidR="00A75C0F" w:rsidRDefault="00A75C0F" w:rsidP="00AF5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rPr>
            </w:pPr>
          </w:p>
          <w:p w14:paraId="4DF64C5D" w14:textId="4FFC3845" w:rsidR="00A75C0F" w:rsidRPr="008A26D2" w:rsidRDefault="00A75C0F" w:rsidP="00AF5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rPr>
            </w:pPr>
            <w:r w:rsidRPr="008A26D2">
              <w:rPr>
                <w:rFonts w:ascii="Arial" w:hAnsi="Arial" w:cs="Arial"/>
                <w:sz w:val="20"/>
                <w:szCs w:val="20"/>
              </w:rPr>
              <w:t xml:space="preserve">La definición de los servicios tecnológicos y de innovación que entrega la </w:t>
            </w:r>
            <w:r w:rsidRPr="00B75B5C">
              <w:rPr>
                <w:rFonts w:ascii="Arial" w:eastAsia="Times New Roman" w:hAnsi="Arial" w:cs="Arial"/>
                <w:sz w:val="20"/>
                <w:szCs w:val="20"/>
              </w:rPr>
              <w:t xml:space="preserve">Red de </w:t>
            </w:r>
            <w:r w:rsidR="00CB5D5C">
              <w:rPr>
                <w:rFonts w:ascii="Arial" w:eastAsia="Times New Roman" w:hAnsi="Arial" w:cs="Arial"/>
                <w:sz w:val="20"/>
                <w:szCs w:val="20"/>
              </w:rPr>
              <w:t>C</w:t>
            </w:r>
            <w:r w:rsidRPr="00B75B5C">
              <w:rPr>
                <w:rFonts w:ascii="Arial" w:eastAsia="Times New Roman" w:hAnsi="Arial" w:cs="Arial"/>
                <w:sz w:val="20"/>
                <w:szCs w:val="20"/>
              </w:rPr>
              <w:t xml:space="preserve">entros </w:t>
            </w:r>
            <w:r w:rsidR="00CB5D5C">
              <w:rPr>
                <w:rFonts w:ascii="Arial" w:eastAsia="Times New Roman" w:hAnsi="Arial" w:cs="Arial"/>
                <w:sz w:val="20"/>
                <w:szCs w:val="20"/>
              </w:rPr>
              <w:t>de Innovación Productiva y Transferencia Tecnológica</w:t>
            </w:r>
            <w:r w:rsidRPr="00B75B5C" w:rsidDel="00B75B5C">
              <w:rPr>
                <w:rFonts w:ascii="Arial" w:eastAsia="Times New Roman" w:hAnsi="Arial" w:cs="Arial"/>
                <w:sz w:val="20"/>
                <w:szCs w:val="20"/>
              </w:rPr>
              <w:t xml:space="preserve"> </w:t>
            </w:r>
            <w:r>
              <w:rPr>
                <w:rFonts w:ascii="Arial" w:hAnsi="Arial" w:cs="Arial"/>
                <w:sz w:val="20"/>
                <w:szCs w:val="20"/>
              </w:rPr>
              <w:t xml:space="preserve">- </w:t>
            </w:r>
            <w:r w:rsidRPr="008A26D2">
              <w:rPr>
                <w:rFonts w:ascii="Arial" w:hAnsi="Arial" w:cs="Arial"/>
                <w:sz w:val="20"/>
                <w:szCs w:val="20"/>
              </w:rPr>
              <w:t>CITE se encuentran descritos en el modelo operacional del Programa Presupuestal 093 y en el Marco Conceptual para la programación, ejecución y control de servicios que brinda el Instituto Tecnológico de la Producción</w:t>
            </w:r>
            <w:r>
              <w:rPr>
                <w:rFonts w:ascii="Arial" w:hAnsi="Arial" w:cs="Arial"/>
                <w:sz w:val="20"/>
                <w:szCs w:val="20"/>
              </w:rPr>
              <w:t xml:space="preserve"> - </w:t>
            </w:r>
            <w:r w:rsidRPr="008A26D2">
              <w:rPr>
                <w:rFonts w:ascii="Arial" w:hAnsi="Arial" w:cs="Arial"/>
                <w:sz w:val="20"/>
                <w:szCs w:val="20"/>
              </w:rPr>
              <w:t xml:space="preserve">ITP aprobado con Resolución Ejecutiva N° 042-2021-ITP/DE. </w:t>
            </w:r>
          </w:p>
          <w:p w14:paraId="7CDC6DF0" w14:textId="77777777" w:rsidR="00A75C0F" w:rsidRPr="008A26D2" w:rsidRDefault="00A75C0F" w:rsidP="00AF5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0"/>
                <w:szCs w:val="20"/>
              </w:rPr>
            </w:pPr>
          </w:p>
          <w:p w14:paraId="2F728E71" w14:textId="77777777" w:rsidR="00A75C0F" w:rsidRPr="008A26D2" w:rsidRDefault="00A75C0F" w:rsidP="00AF5836">
            <w:pPr>
              <w:spacing w:after="0" w:line="240" w:lineRule="auto"/>
              <w:jc w:val="both"/>
              <w:rPr>
                <w:rFonts w:ascii="Arial" w:hAnsi="Arial" w:cs="Arial"/>
                <w:sz w:val="20"/>
                <w:szCs w:val="20"/>
              </w:rPr>
            </w:pPr>
            <w:r w:rsidRPr="008A26D2">
              <w:rPr>
                <w:rFonts w:ascii="Arial" w:hAnsi="Arial" w:cs="Arial"/>
                <w:sz w:val="20"/>
                <w:szCs w:val="20"/>
              </w:rPr>
              <w:t>Las Unidades Productivas se definen según lo dispuesto en el numeral 45.4 del artículo 45° del Decreto de Urgencia N° 013-2020.</w:t>
            </w:r>
          </w:p>
          <w:p w14:paraId="58CF6170" w14:textId="77777777" w:rsidR="00A75C0F" w:rsidRPr="008A26D2" w:rsidRDefault="00A75C0F" w:rsidP="00AF5836">
            <w:pPr>
              <w:spacing w:after="0" w:line="240" w:lineRule="auto"/>
              <w:jc w:val="both"/>
              <w:rPr>
                <w:rFonts w:ascii="Arial" w:hAnsi="Arial" w:cs="Arial"/>
                <w:sz w:val="20"/>
                <w:szCs w:val="20"/>
              </w:rPr>
            </w:pPr>
          </w:p>
          <w:p w14:paraId="26D9DE1B" w14:textId="0DF06820" w:rsidR="00A75C0F" w:rsidRPr="008A26D2" w:rsidRDefault="00A75C0F" w:rsidP="00AF5836">
            <w:pPr>
              <w:spacing w:after="0" w:line="240" w:lineRule="auto"/>
              <w:jc w:val="both"/>
              <w:rPr>
                <w:rFonts w:ascii="Arial" w:hAnsi="Arial" w:cs="Arial"/>
                <w:sz w:val="20"/>
                <w:szCs w:val="20"/>
              </w:rPr>
            </w:pPr>
            <w:r w:rsidRPr="008A26D2">
              <w:rPr>
                <w:rFonts w:ascii="Arial" w:hAnsi="Arial" w:cs="Arial"/>
                <w:sz w:val="20"/>
                <w:szCs w:val="20"/>
              </w:rPr>
              <w:t>El valor del indicador se obtendrá de la aplicación de la encuesta de satisfacción, la cual incorpora los ajustes de ponderación por el diseño muestral respectivo. Tal encuesta de satisfacción será elaborada por el Instituto Tecnológico de la Producción</w:t>
            </w:r>
            <w:r>
              <w:rPr>
                <w:rFonts w:ascii="Arial" w:hAnsi="Arial" w:cs="Arial"/>
                <w:sz w:val="20"/>
                <w:szCs w:val="20"/>
              </w:rPr>
              <w:t xml:space="preserve"> – ITP</w:t>
            </w:r>
            <w:r w:rsidRPr="008A26D2">
              <w:rPr>
                <w:rFonts w:ascii="Arial" w:hAnsi="Arial" w:cs="Arial"/>
                <w:sz w:val="20"/>
                <w:szCs w:val="20"/>
              </w:rPr>
              <w:t>.</w:t>
            </w:r>
          </w:p>
          <w:p w14:paraId="0F2A722D" w14:textId="77777777" w:rsidR="00A75C0F" w:rsidRPr="008A26D2" w:rsidRDefault="00A75C0F" w:rsidP="00AF5836">
            <w:pPr>
              <w:spacing w:after="0" w:line="240" w:lineRule="auto"/>
              <w:jc w:val="both"/>
              <w:rPr>
                <w:rFonts w:ascii="Arial" w:hAnsi="Arial" w:cs="Arial"/>
                <w:sz w:val="20"/>
                <w:szCs w:val="20"/>
              </w:rPr>
            </w:pPr>
          </w:p>
          <w:p w14:paraId="6A6ADCF2" w14:textId="77777777" w:rsidR="00A75C0F" w:rsidRPr="008A26D2" w:rsidRDefault="00A75C0F" w:rsidP="00AF5836">
            <w:pPr>
              <w:spacing w:after="0" w:line="240" w:lineRule="auto"/>
              <w:jc w:val="both"/>
              <w:rPr>
                <w:rFonts w:ascii="Arial" w:hAnsi="Arial" w:cs="Arial"/>
                <w:sz w:val="20"/>
                <w:szCs w:val="20"/>
              </w:rPr>
            </w:pPr>
            <w:r w:rsidRPr="008A26D2">
              <w:rPr>
                <w:rFonts w:ascii="Arial" w:eastAsia="Arial Narrow" w:hAnsi="Arial" w:cs="Arial"/>
                <w:sz w:val="20"/>
                <w:szCs w:val="20"/>
              </w:rPr>
              <w:t xml:space="preserve">Se carece de línea base debido a que no se ha venido aplicando encuestas de satisfacción como parte de la entrega del servicio. El </w:t>
            </w:r>
            <w:r w:rsidRPr="008A26D2">
              <w:rPr>
                <w:rFonts w:ascii="Arial" w:hAnsi="Arial" w:cs="Arial"/>
                <w:sz w:val="20"/>
                <w:szCs w:val="20"/>
              </w:rPr>
              <w:t>Instituto Tecnológico de la Producción</w:t>
            </w:r>
            <w:r>
              <w:rPr>
                <w:rFonts w:ascii="Arial" w:hAnsi="Arial" w:cs="Arial"/>
                <w:sz w:val="20"/>
                <w:szCs w:val="20"/>
              </w:rPr>
              <w:t xml:space="preserve"> - </w:t>
            </w:r>
            <w:r w:rsidRPr="008A26D2">
              <w:rPr>
                <w:rFonts w:ascii="Arial" w:eastAsia="Arial Narrow" w:hAnsi="Arial" w:cs="Arial"/>
                <w:sz w:val="20"/>
                <w:szCs w:val="20"/>
              </w:rPr>
              <w:t>ITP determinará la línea base antes del inicio de la implementación de la presente Política Nacional.</w:t>
            </w:r>
          </w:p>
          <w:p w14:paraId="20AB1D63" w14:textId="77777777" w:rsidR="00A75C0F" w:rsidRPr="008A26D2" w:rsidRDefault="00A75C0F" w:rsidP="00AF5836">
            <w:pPr>
              <w:spacing w:after="0" w:line="240" w:lineRule="auto"/>
              <w:jc w:val="both"/>
              <w:rPr>
                <w:rFonts w:ascii="Arial" w:hAnsi="Arial" w:cs="Arial"/>
                <w:sz w:val="20"/>
                <w:szCs w:val="20"/>
              </w:rPr>
            </w:pPr>
          </w:p>
        </w:tc>
      </w:tr>
      <w:tr w:rsidR="00A75C0F" w:rsidRPr="008A26D2" w14:paraId="28F57490" w14:textId="77777777" w:rsidTr="00AF5836">
        <w:trPr>
          <w:trHeight w:val="686"/>
        </w:trPr>
        <w:tc>
          <w:tcPr>
            <w:tcW w:w="2127" w:type="dxa"/>
            <w:gridSpan w:val="3"/>
            <w:shd w:val="clear" w:color="auto" w:fill="auto"/>
            <w:tcMar>
              <w:top w:w="10" w:type="dxa"/>
              <w:left w:w="93" w:type="dxa"/>
              <w:bottom w:w="0" w:type="dxa"/>
              <w:right w:w="10" w:type="dxa"/>
            </w:tcMar>
            <w:vAlign w:val="center"/>
          </w:tcPr>
          <w:p w14:paraId="2A6211C4" w14:textId="77777777" w:rsidR="00A75C0F" w:rsidRPr="008A26D2" w:rsidRDefault="00A75C0F" w:rsidP="00AF5836">
            <w:pPr>
              <w:tabs>
                <w:tab w:val="left" w:pos="3375"/>
              </w:tabs>
              <w:spacing w:after="0" w:line="240" w:lineRule="auto"/>
              <w:rPr>
                <w:rFonts w:ascii="Arial" w:hAnsi="Arial" w:cs="Arial"/>
                <w:sz w:val="20"/>
                <w:szCs w:val="20"/>
              </w:rPr>
            </w:pPr>
            <w:r w:rsidRPr="008A26D2">
              <w:rPr>
                <w:rFonts w:ascii="Arial" w:hAnsi="Arial" w:cs="Arial"/>
                <w:b/>
                <w:sz w:val="20"/>
                <w:szCs w:val="20"/>
              </w:rPr>
              <w:lastRenderedPageBreak/>
              <w:t>Sentido esperado del indicador:</w:t>
            </w:r>
          </w:p>
        </w:tc>
        <w:tc>
          <w:tcPr>
            <w:tcW w:w="1701" w:type="dxa"/>
            <w:gridSpan w:val="2"/>
            <w:shd w:val="clear" w:color="auto" w:fill="auto"/>
            <w:tcMar>
              <w:top w:w="10" w:type="dxa"/>
              <w:left w:w="283" w:type="dxa"/>
              <w:bottom w:w="0" w:type="dxa"/>
              <w:right w:w="283" w:type="dxa"/>
            </w:tcMar>
            <w:vAlign w:val="center"/>
          </w:tcPr>
          <w:p w14:paraId="0F50497F" w14:textId="77777777" w:rsidR="00A75C0F" w:rsidRPr="008A26D2" w:rsidRDefault="00A75C0F" w:rsidP="00AF5836">
            <w:pPr>
              <w:tabs>
                <w:tab w:val="left" w:pos="3375"/>
              </w:tabs>
              <w:spacing w:after="0" w:line="240" w:lineRule="auto"/>
              <w:rPr>
                <w:rFonts w:ascii="Arial" w:hAnsi="Arial" w:cs="Arial"/>
                <w:sz w:val="20"/>
                <w:szCs w:val="20"/>
              </w:rPr>
            </w:pPr>
            <w:r w:rsidRPr="008A26D2">
              <w:rPr>
                <w:rFonts w:ascii="Arial" w:hAnsi="Arial" w:cs="Arial"/>
                <w:sz w:val="20"/>
                <w:szCs w:val="20"/>
              </w:rPr>
              <w:t>Ascendente</w:t>
            </w:r>
          </w:p>
        </w:tc>
        <w:tc>
          <w:tcPr>
            <w:tcW w:w="2841" w:type="dxa"/>
            <w:gridSpan w:val="4"/>
            <w:shd w:val="clear" w:color="auto" w:fill="auto"/>
            <w:tcMar>
              <w:top w:w="15" w:type="dxa"/>
              <w:left w:w="15" w:type="dxa"/>
              <w:bottom w:w="0" w:type="dxa"/>
              <w:right w:w="15" w:type="dxa"/>
            </w:tcMar>
            <w:vAlign w:val="center"/>
          </w:tcPr>
          <w:p w14:paraId="162056F2" w14:textId="77777777" w:rsidR="00A75C0F" w:rsidRPr="008A26D2" w:rsidRDefault="00A75C0F" w:rsidP="00AF5836">
            <w:pPr>
              <w:tabs>
                <w:tab w:val="left" w:pos="3375"/>
              </w:tabs>
              <w:spacing w:after="0" w:line="240" w:lineRule="auto"/>
              <w:jc w:val="center"/>
              <w:rPr>
                <w:rFonts w:ascii="Arial" w:hAnsi="Arial" w:cs="Arial"/>
                <w:sz w:val="20"/>
                <w:szCs w:val="20"/>
              </w:rPr>
            </w:pPr>
            <w:r w:rsidRPr="008A26D2">
              <w:rPr>
                <w:rFonts w:ascii="Arial" w:hAnsi="Arial" w:cs="Arial"/>
                <w:b/>
                <w:sz w:val="20"/>
                <w:szCs w:val="20"/>
              </w:rPr>
              <w:t>Tipo de indicador de servicio:</w:t>
            </w:r>
          </w:p>
        </w:tc>
        <w:tc>
          <w:tcPr>
            <w:tcW w:w="2120" w:type="dxa"/>
            <w:gridSpan w:val="3"/>
            <w:shd w:val="clear" w:color="auto" w:fill="auto"/>
            <w:tcMar>
              <w:top w:w="15" w:type="dxa"/>
              <w:left w:w="15" w:type="dxa"/>
              <w:bottom w:w="0" w:type="dxa"/>
              <w:right w:w="15" w:type="dxa"/>
            </w:tcMar>
            <w:vAlign w:val="center"/>
          </w:tcPr>
          <w:p w14:paraId="71B4322A" w14:textId="77777777" w:rsidR="00A75C0F" w:rsidRPr="008A26D2" w:rsidRDefault="00A75C0F" w:rsidP="00AF5836">
            <w:pPr>
              <w:tabs>
                <w:tab w:val="left" w:pos="3375"/>
              </w:tabs>
              <w:spacing w:after="0" w:line="240" w:lineRule="auto"/>
              <w:jc w:val="center"/>
              <w:rPr>
                <w:rFonts w:ascii="Arial" w:hAnsi="Arial" w:cs="Arial"/>
                <w:sz w:val="20"/>
                <w:szCs w:val="20"/>
              </w:rPr>
            </w:pPr>
            <w:r w:rsidRPr="008A26D2">
              <w:rPr>
                <w:rFonts w:ascii="Arial" w:hAnsi="Arial" w:cs="Arial"/>
                <w:sz w:val="20"/>
                <w:szCs w:val="20"/>
              </w:rPr>
              <w:t>Calidad - Percepción</w:t>
            </w:r>
          </w:p>
        </w:tc>
      </w:tr>
      <w:tr w:rsidR="00A75C0F" w:rsidRPr="008A26D2" w14:paraId="0083A5A1" w14:textId="77777777" w:rsidTr="00AF5836">
        <w:trPr>
          <w:trHeight w:val="13"/>
        </w:trPr>
        <w:tc>
          <w:tcPr>
            <w:tcW w:w="2127" w:type="dxa"/>
            <w:gridSpan w:val="3"/>
            <w:shd w:val="clear" w:color="auto" w:fill="auto"/>
            <w:tcMar>
              <w:top w:w="10" w:type="dxa"/>
              <w:left w:w="93" w:type="dxa"/>
              <w:bottom w:w="0" w:type="dxa"/>
              <w:right w:w="10" w:type="dxa"/>
            </w:tcMar>
            <w:vAlign w:val="center"/>
          </w:tcPr>
          <w:p w14:paraId="6B85832A" w14:textId="77777777" w:rsidR="00A75C0F" w:rsidRPr="008A26D2" w:rsidRDefault="00A75C0F" w:rsidP="00AF5836">
            <w:pPr>
              <w:tabs>
                <w:tab w:val="left" w:pos="3375"/>
              </w:tabs>
              <w:spacing w:after="0" w:line="240" w:lineRule="auto"/>
              <w:rPr>
                <w:rFonts w:ascii="Arial" w:hAnsi="Arial" w:cs="Arial"/>
                <w:sz w:val="20"/>
                <w:szCs w:val="20"/>
              </w:rPr>
            </w:pPr>
            <w:r w:rsidRPr="008A26D2">
              <w:rPr>
                <w:rFonts w:ascii="Arial" w:hAnsi="Arial" w:cs="Arial"/>
                <w:b/>
                <w:sz w:val="20"/>
                <w:szCs w:val="20"/>
              </w:rPr>
              <w:t>Fuente y base de datos:</w:t>
            </w:r>
          </w:p>
        </w:tc>
        <w:tc>
          <w:tcPr>
            <w:tcW w:w="6662" w:type="dxa"/>
            <w:gridSpan w:val="9"/>
            <w:shd w:val="clear" w:color="auto" w:fill="auto"/>
            <w:tcMar>
              <w:top w:w="51" w:type="dxa"/>
              <w:left w:w="227" w:type="dxa"/>
              <w:bottom w:w="51" w:type="dxa"/>
              <w:right w:w="227" w:type="dxa"/>
            </w:tcMar>
            <w:vAlign w:val="center"/>
          </w:tcPr>
          <w:p w14:paraId="7C05CDB4" w14:textId="21DF3470" w:rsidR="00A75C0F" w:rsidRPr="008A26D2" w:rsidRDefault="00A75C0F" w:rsidP="00AF5836">
            <w:pPr>
              <w:spacing w:after="0" w:line="240" w:lineRule="auto"/>
              <w:rPr>
                <w:rFonts w:ascii="Arial" w:eastAsia="Times New Roman" w:hAnsi="Arial" w:cs="Arial"/>
                <w:sz w:val="20"/>
                <w:szCs w:val="20"/>
              </w:rPr>
            </w:pPr>
            <w:r w:rsidRPr="008A26D2">
              <w:rPr>
                <w:rFonts w:ascii="Arial" w:eastAsia="Times New Roman" w:hAnsi="Arial" w:cs="Arial"/>
                <w:sz w:val="20"/>
                <w:szCs w:val="20"/>
              </w:rPr>
              <w:t xml:space="preserve">Fuente: </w:t>
            </w:r>
            <w:r w:rsidR="00CB5D5C" w:rsidRPr="00B75B5C">
              <w:rPr>
                <w:rFonts w:ascii="Arial" w:eastAsia="Times New Roman" w:hAnsi="Arial" w:cs="Arial"/>
                <w:sz w:val="20"/>
                <w:szCs w:val="20"/>
              </w:rPr>
              <w:t xml:space="preserve">Red de </w:t>
            </w:r>
            <w:r w:rsidR="00CB5D5C">
              <w:rPr>
                <w:rFonts w:ascii="Arial" w:eastAsia="Times New Roman" w:hAnsi="Arial" w:cs="Arial"/>
                <w:sz w:val="20"/>
                <w:szCs w:val="20"/>
              </w:rPr>
              <w:t>C</w:t>
            </w:r>
            <w:r w:rsidR="00CB5D5C" w:rsidRPr="00B75B5C">
              <w:rPr>
                <w:rFonts w:ascii="Arial" w:eastAsia="Times New Roman" w:hAnsi="Arial" w:cs="Arial"/>
                <w:sz w:val="20"/>
                <w:szCs w:val="20"/>
              </w:rPr>
              <w:t xml:space="preserve">entros </w:t>
            </w:r>
            <w:r w:rsidR="00CB5D5C">
              <w:rPr>
                <w:rFonts w:ascii="Arial" w:eastAsia="Times New Roman" w:hAnsi="Arial" w:cs="Arial"/>
                <w:sz w:val="20"/>
                <w:szCs w:val="20"/>
              </w:rPr>
              <w:t>de Innovación Productiva y Transferencia Tecnológica</w:t>
            </w:r>
            <w:r w:rsidR="00CB5D5C" w:rsidRPr="00B75B5C" w:rsidDel="00B75B5C">
              <w:rPr>
                <w:rFonts w:ascii="Arial" w:eastAsia="Times New Roman" w:hAnsi="Arial" w:cs="Arial"/>
                <w:sz w:val="20"/>
                <w:szCs w:val="20"/>
              </w:rPr>
              <w:t xml:space="preserve"> </w:t>
            </w:r>
            <w:r w:rsidR="00CB5D5C">
              <w:rPr>
                <w:rFonts w:ascii="Arial" w:hAnsi="Arial" w:cs="Arial"/>
                <w:sz w:val="20"/>
                <w:szCs w:val="20"/>
              </w:rPr>
              <w:t xml:space="preserve">- </w:t>
            </w:r>
            <w:r w:rsidR="00CB5D5C" w:rsidRPr="008A26D2">
              <w:rPr>
                <w:rFonts w:ascii="Arial" w:hAnsi="Arial" w:cs="Arial"/>
                <w:sz w:val="20"/>
                <w:szCs w:val="20"/>
              </w:rPr>
              <w:t>CITE</w:t>
            </w:r>
          </w:p>
          <w:p w14:paraId="05B15E84" w14:textId="77777777" w:rsidR="00A75C0F" w:rsidRPr="008A26D2" w:rsidRDefault="00A75C0F" w:rsidP="00AF5836">
            <w:pPr>
              <w:tabs>
                <w:tab w:val="left" w:pos="3375"/>
              </w:tabs>
              <w:spacing w:after="0" w:line="240" w:lineRule="auto"/>
              <w:rPr>
                <w:rFonts w:ascii="Arial" w:hAnsi="Arial" w:cs="Arial"/>
                <w:sz w:val="20"/>
                <w:szCs w:val="20"/>
              </w:rPr>
            </w:pPr>
            <w:r w:rsidRPr="008A26D2">
              <w:rPr>
                <w:rFonts w:ascii="Arial" w:eastAsia="Times New Roman" w:hAnsi="Arial" w:cs="Arial"/>
                <w:sz w:val="20"/>
                <w:szCs w:val="20"/>
              </w:rPr>
              <w:t>Base de datos:</w:t>
            </w:r>
            <w:r w:rsidRPr="008A26D2">
              <w:rPr>
                <w:rFonts w:ascii="Arial" w:hAnsi="Arial" w:cs="Arial"/>
                <w:sz w:val="20"/>
                <w:szCs w:val="20"/>
              </w:rPr>
              <w:t xml:space="preserve"> Registros de unidades productivas atendidas por la Red CITE</w:t>
            </w:r>
            <w:r>
              <w:rPr>
                <w:rFonts w:ascii="Arial" w:hAnsi="Arial" w:cs="Arial"/>
                <w:sz w:val="20"/>
                <w:szCs w:val="20"/>
              </w:rPr>
              <w:t>.</w:t>
            </w:r>
          </w:p>
        </w:tc>
      </w:tr>
      <w:tr w:rsidR="00A75C0F" w:rsidRPr="008A26D2" w14:paraId="2B654462" w14:textId="77777777" w:rsidTr="00AF5836">
        <w:trPr>
          <w:trHeight w:val="436"/>
        </w:trPr>
        <w:tc>
          <w:tcPr>
            <w:tcW w:w="2127" w:type="dxa"/>
            <w:gridSpan w:val="3"/>
            <w:shd w:val="clear" w:color="auto" w:fill="auto"/>
            <w:tcMar>
              <w:top w:w="10" w:type="dxa"/>
              <w:left w:w="93" w:type="dxa"/>
              <w:bottom w:w="0" w:type="dxa"/>
              <w:right w:w="10" w:type="dxa"/>
            </w:tcMar>
            <w:vAlign w:val="center"/>
          </w:tcPr>
          <w:p w14:paraId="5575C364" w14:textId="77777777" w:rsidR="00A75C0F" w:rsidRPr="008A26D2" w:rsidRDefault="00A75C0F" w:rsidP="00AF5836">
            <w:pPr>
              <w:tabs>
                <w:tab w:val="left" w:pos="3375"/>
              </w:tabs>
              <w:spacing w:after="0" w:line="240" w:lineRule="auto"/>
              <w:rPr>
                <w:rFonts w:ascii="Arial" w:hAnsi="Arial" w:cs="Arial"/>
                <w:sz w:val="20"/>
                <w:szCs w:val="20"/>
              </w:rPr>
            </w:pPr>
            <w:r w:rsidRPr="008A26D2">
              <w:rPr>
                <w:rFonts w:ascii="Arial" w:hAnsi="Arial" w:cs="Arial"/>
                <w:b/>
                <w:sz w:val="20"/>
                <w:szCs w:val="20"/>
              </w:rPr>
              <w:t>Supuestos:</w:t>
            </w:r>
          </w:p>
        </w:tc>
        <w:tc>
          <w:tcPr>
            <w:tcW w:w="6662" w:type="dxa"/>
            <w:gridSpan w:val="9"/>
            <w:shd w:val="clear" w:color="auto" w:fill="auto"/>
            <w:tcMar>
              <w:top w:w="51" w:type="dxa"/>
              <w:left w:w="227" w:type="dxa"/>
              <w:bottom w:w="51" w:type="dxa"/>
              <w:right w:w="227" w:type="dxa"/>
            </w:tcMar>
            <w:vAlign w:val="center"/>
          </w:tcPr>
          <w:p w14:paraId="21D5AC1F" w14:textId="36C2D87D" w:rsidR="00A75C0F" w:rsidRPr="008A26D2" w:rsidRDefault="00A75C0F" w:rsidP="00AF5836">
            <w:pPr>
              <w:tabs>
                <w:tab w:val="left" w:pos="3375"/>
              </w:tabs>
              <w:spacing w:after="0" w:line="240" w:lineRule="auto"/>
              <w:jc w:val="both"/>
              <w:rPr>
                <w:rFonts w:ascii="Arial" w:hAnsi="Arial" w:cs="Arial"/>
                <w:sz w:val="20"/>
                <w:szCs w:val="20"/>
              </w:rPr>
            </w:pPr>
            <w:r w:rsidRPr="008A26D2">
              <w:rPr>
                <w:rFonts w:ascii="Arial" w:hAnsi="Arial" w:cs="Arial"/>
                <w:sz w:val="20"/>
                <w:szCs w:val="20"/>
              </w:rPr>
              <w:t>* Existe interés en participar en la encuesta por parte de las unidades productivas en los servicios tecnológicos y de innovación de mediana complejidad brindados por el Instituto Tecnológico de la Producción</w:t>
            </w:r>
            <w:r>
              <w:rPr>
                <w:rFonts w:ascii="Arial" w:hAnsi="Arial" w:cs="Arial"/>
                <w:sz w:val="20"/>
                <w:szCs w:val="20"/>
              </w:rPr>
              <w:t xml:space="preserve"> -</w:t>
            </w:r>
            <w:r w:rsidRPr="008A26D2">
              <w:rPr>
                <w:rFonts w:ascii="Arial" w:hAnsi="Arial" w:cs="Arial"/>
                <w:sz w:val="20"/>
                <w:szCs w:val="20"/>
              </w:rPr>
              <w:t xml:space="preserve">ITP, a través de la </w:t>
            </w:r>
            <w:r w:rsidR="00CB5D5C" w:rsidRPr="00B75B5C">
              <w:rPr>
                <w:rFonts w:ascii="Arial" w:eastAsia="Times New Roman" w:hAnsi="Arial" w:cs="Arial"/>
                <w:sz w:val="20"/>
                <w:szCs w:val="20"/>
              </w:rPr>
              <w:t xml:space="preserve">Red de </w:t>
            </w:r>
            <w:r w:rsidR="00CB5D5C">
              <w:rPr>
                <w:rFonts w:ascii="Arial" w:eastAsia="Times New Roman" w:hAnsi="Arial" w:cs="Arial"/>
                <w:sz w:val="20"/>
                <w:szCs w:val="20"/>
              </w:rPr>
              <w:t>C</w:t>
            </w:r>
            <w:r w:rsidR="00CB5D5C" w:rsidRPr="00B75B5C">
              <w:rPr>
                <w:rFonts w:ascii="Arial" w:eastAsia="Times New Roman" w:hAnsi="Arial" w:cs="Arial"/>
                <w:sz w:val="20"/>
                <w:szCs w:val="20"/>
              </w:rPr>
              <w:t xml:space="preserve">entros </w:t>
            </w:r>
            <w:r w:rsidR="00CB5D5C">
              <w:rPr>
                <w:rFonts w:ascii="Arial" w:eastAsia="Times New Roman" w:hAnsi="Arial" w:cs="Arial"/>
                <w:sz w:val="20"/>
                <w:szCs w:val="20"/>
              </w:rPr>
              <w:t>de Innovación Productiva y Transferencia Tecnológica</w:t>
            </w:r>
            <w:r w:rsidR="00CB5D5C" w:rsidRPr="00B75B5C" w:rsidDel="00B75B5C">
              <w:rPr>
                <w:rFonts w:ascii="Arial" w:eastAsia="Times New Roman" w:hAnsi="Arial" w:cs="Arial"/>
                <w:sz w:val="20"/>
                <w:szCs w:val="20"/>
              </w:rPr>
              <w:t xml:space="preserve"> </w:t>
            </w:r>
            <w:r w:rsidR="00CB5D5C">
              <w:rPr>
                <w:rFonts w:ascii="Arial" w:hAnsi="Arial" w:cs="Arial"/>
                <w:sz w:val="20"/>
                <w:szCs w:val="20"/>
              </w:rPr>
              <w:t xml:space="preserve">- </w:t>
            </w:r>
            <w:r w:rsidR="00CB5D5C" w:rsidRPr="008A26D2">
              <w:rPr>
                <w:rFonts w:ascii="Arial" w:hAnsi="Arial" w:cs="Arial"/>
                <w:sz w:val="20"/>
                <w:szCs w:val="20"/>
              </w:rPr>
              <w:t>CITE</w:t>
            </w:r>
            <w:r w:rsidRPr="008A26D2">
              <w:rPr>
                <w:rFonts w:ascii="Arial" w:hAnsi="Arial" w:cs="Arial"/>
                <w:sz w:val="20"/>
                <w:szCs w:val="20"/>
              </w:rPr>
              <w:t xml:space="preserve"> públicos.</w:t>
            </w:r>
          </w:p>
          <w:p w14:paraId="1D38E992" w14:textId="77777777" w:rsidR="00A75C0F" w:rsidRPr="008A26D2" w:rsidRDefault="00A75C0F" w:rsidP="00AF5836">
            <w:pPr>
              <w:tabs>
                <w:tab w:val="left" w:pos="3375"/>
              </w:tabs>
              <w:spacing w:after="0" w:line="240" w:lineRule="auto"/>
              <w:jc w:val="both"/>
              <w:rPr>
                <w:rFonts w:ascii="Arial" w:hAnsi="Arial" w:cs="Arial"/>
                <w:sz w:val="20"/>
                <w:szCs w:val="20"/>
              </w:rPr>
            </w:pPr>
            <w:r w:rsidRPr="008A26D2">
              <w:rPr>
                <w:rFonts w:ascii="Arial" w:hAnsi="Arial" w:cs="Arial"/>
                <w:sz w:val="20"/>
                <w:szCs w:val="20"/>
              </w:rPr>
              <w:t>* Se logra efectuar satisfactoriamente el proceso de contratación de la empresa que realizará la encuesta para la medición de la satisfacción a las unidades productivas.</w:t>
            </w:r>
          </w:p>
        </w:tc>
      </w:tr>
      <w:tr w:rsidR="00A75C0F" w:rsidRPr="008A26D2" w14:paraId="5BB65BF7" w14:textId="77777777" w:rsidTr="00AF5836">
        <w:trPr>
          <w:trHeight w:val="402"/>
        </w:trPr>
        <w:tc>
          <w:tcPr>
            <w:tcW w:w="568" w:type="dxa"/>
            <w:shd w:val="clear" w:color="auto" w:fill="auto"/>
            <w:tcMar>
              <w:top w:w="10" w:type="dxa"/>
              <w:left w:w="10" w:type="dxa"/>
              <w:bottom w:w="0" w:type="dxa"/>
              <w:right w:w="10" w:type="dxa"/>
            </w:tcMar>
            <w:vAlign w:val="center"/>
          </w:tcPr>
          <w:p w14:paraId="66FD1BDF" w14:textId="77777777" w:rsidR="00A75C0F" w:rsidRPr="008A26D2" w:rsidRDefault="00A75C0F" w:rsidP="00AF5836">
            <w:pPr>
              <w:tabs>
                <w:tab w:val="left" w:pos="3375"/>
              </w:tabs>
              <w:spacing w:after="0" w:line="240" w:lineRule="auto"/>
              <w:rPr>
                <w:rFonts w:ascii="Arial" w:hAnsi="Arial" w:cs="Arial"/>
                <w:sz w:val="20"/>
                <w:szCs w:val="20"/>
              </w:rPr>
            </w:pPr>
            <w:r w:rsidRPr="008A26D2">
              <w:rPr>
                <w:rFonts w:ascii="Arial" w:hAnsi="Arial" w:cs="Arial"/>
                <w:b/>
                <w:sz w:val="20"/>
                <w:szCs w:val="20"/>
              </w:rPr>
              <w:t> </w:t>
            </w:r>
          </w:p>
        </w:tc>
        <w:tc>
          <w:tcPr>
            <w:tcW w:w="851" w:type="dxa"/>
            <w:shd w:val="clear" w:color="auto" w:fill="auto"/>
            <w:tcMar>
              <w:top w:w="10" w:type="dxa"/>
              <w:left w:w="10" w:type="dxa"/>
              <w:bottom w:w="0" w:type="dxa"/>
              <w:right w:w="10" w:type="dxa"/>
            </w:tcMar>
            <w:vAlign w:val="center"/>
          </w:tcPr>
          <w:p w14:paraId="172323AA" w14:textId="77777777" w:rsidR="00A75C0F" w:rsidRPr="008A26D2" w:rsidRDefault="00A75C0F" w:rsidP="00CB5D5C">
            <w:pPr>
              <w:tabs>
                <w:tab w:val="left" w:pos="3375"/>
              </w:tabs>
              <w:spacing w:after="0" w:line="240" w:lineRule="auto"/>
              <w:jc w:val="center"/>
              <w:rPr>
                <w:rFonts w:ascii="Arial" w:hAnsi="Arial" w:cs="Arial"/>
                <w:sz w:val="20"/>
                <w:szCs w:val="20"/>
              </w:rPr>
            </w:pPr>
            <w:r w:rsidRPr="008A26D2">
              <w:rPr>
                <w:rFonts w:ascii="Arial" w:hAnsi="Arial" w:cs="Arial"/>
                <w:b/>
                <w:sz w:val="20"/>
                <w:szCs w:val="20"/>
              </w:rPr>
              <w:t>Línea de base</w:t>
            </w:r>
          </w:p>
        </w:tc>
        <w:tc>
          <w:tcPr>
            <w:tcW w:w="7370" w:type="dxa"/>
            <w:gridSpan w:val="10"/>
            <w:shd w:val="clear" w:color="auto" w:fill="auto"/>
            <w:tcMar>
              <w:top w:w="10" w:type="dxa"/>
              <w:left w:w="10" w:type="dxa"/>
              <w:bottom w:w="0" w:type="dxa"/>
              <w:right w:w="10" w:type="dxa"/>
            </w:tcMar>
            <w:vAlign w:val="center"/>
          </w:tcPr>
          <w:p w14:paraId="3A1BE895" w14:textId="77777777" w:rsidR="00A75C0F" w:rsidRPr="008A26D2" w:rsidRDefault="00A75C0F" w:rsidP="00AF5836">
            <w:pPr>
              <w:tabs>
                <w:tab w:val="left" w:pos="3375"/>
              </w:tabs>
              <w:spacing w:after="0" w:line="240" w:lineRule="auto"/>
              <w:jc w:val="center"/>
              <w:rPr>
                <w:rFonts w:ascii="Arial" w:hAnsi="Arial" w:cs="Arial"/>
                <w:sz w:val="20"/>
                <w:szCs w:val="20"/>
              </w:rPr>
            </w:pPr>
            <w:r w:rsidRPr="008A26D2">
              <w:rPr>
                <w:rFonts w:ascii="Arial" w:hAnsi="Arial" w:cs="Arial"/>
                <w:b/>
                <w:sz w:val="20"/>
                <w:szCs w:val="20"/>
              </w:rPr>
              <w:t>Logros esperados</w:t>
            </w:r>
          </w:p>
        </w:tc>
      </w:tr>
      <w:tr w:rsidR="00A75C0F" w:rsidRPr="008A26D2" w14:paraId="5621479F" w14:textId="77777777" w:rsidTr="00CB5D5C">
        <w:trPr>
          <w:trHeight w:val="217"/>
        </w:trPr>
        <w:tc>
          <w:tcPr>
            <w:tcW w:w="568" w:type="dxa"/>
            <w:shd w:val="clear" w:color="auto" w:fill="auto"/>
            <w:tcMar>
              <w:top w:w="10" w:type="dxa"/>
              <w:left w:w="10" w:type="dxa"/>
              <w:bottom w:w="0" w:type="dxa"/>
              <w:right w:w="10" w:type="dxa"/>
            </w:tcMar>
            <w:vAlign w:val="center"/>
          </w:tcPr>
          <w:p w14:paraId="7DF309A3" w14:textId="77777777" w:rsidR="00A75C0F" w:rsidRPr="008A26D2" w:rsidRDefault="00A75C0F" w:rsidP="00AF5836">
            <w:pPr>
              <w:tabs>
                <w:tab w:val="left" w:pos="3375"/>
              </w:tabs>
              <w:spacing w:after="0" w:line="240" w:lineRule="auto"/>
              <w:rPr>
                <w:rFonts w:ascii="Arial" w:hAnsi="Arial" w:cs="Arial"/>
                <w:sz w:val="20"/>
                <w:szCs w:val="20"/>
              </w:rPr>
            </w:pPr>
            <w:r w:rsidRPr="008A26D2">
              <w:rPr>
                <w:rFonts w:ascii="Arial" w:hAnsi="Arial" w:cs="Arial"/>
                <w:b/>
                <w:sz w:val="20"/>
                <w:szCs w:val="20"/>
              </w:rPr>
              <w:t>Año</w:t>
            </w:r>
          </w:p>
        </w:tc>
        <w:tc>
          <w:tcPr>
            <w:tcW w:w="851" w:type="dxa"/>
            <w:shd w:val="clear" w:color="auto" w:fill="auto"/>
            <w:tcMar>
              <w:top w:w="10" w:type="dxa"/>
              <w:left w:w="10" w:type="dxa"/>
              <w:bottom w:w="0" w:type="dxa"/>
              <w:right w:w="10" w:type="dxa"/>
            </w:tcMar>
            <w:vAlign w:val="center"/>
          </w:tcPr>
          <w:p w14:paraId="6FC5BC88" w14:textId="77777777" w:rsidR="00A75C0F" w:rsidRPr="008A26D2" w:rsidRDefault="00A75C0F" w:rsidP="00AF5836">
            <w:pPr>
              <w:tabs>
                <w:tab w:val="left" w:pos="3375"/>
              </w:tabs>
              <w:spacing w:after="0" w:line="240" w:lineRule="auto"/>
              <w:jc w:val="center"/>
              <w:rPr>
                <w:rFonts w:ascii="Arial" w:hAnsi="Arial" w:cs="Arial"/>
                <w:b/>
                <w:sz w:val="20"/>
                <w:szCs w:val="20"/>
              </w:rPr>
            </w:pPr>
            <w:r w:rsidRPr="008A26D2">
              <w:rPr>
                <w:rFonts w:ascii="Arial" w:hAnsi="Arial" w:cs="Arial"/>
                <w:b/>
                <w:sz w:val="20"/>
                <w:szCs w:val="20"/>
              </w:rPr>
              <w:t>2022</w:t>
            </w:r>
          </w:p>
        </w:tc>
        <w:tc>
          <w:tcPr>
            <w:tcW w:w="708" w:type="dxa"/>
            <w:shd w:val="clear" w:color="auto" w:fill="auto"/>
            <w:tcMar>
              <w:top w:w="10" w:type="dxa"/>
              <w:left w:w="10" w:type="dxa"/>
              <w:bottom w:w="0" w:type="dxa"/>
              <w:right w:w="10" w:type="dxa"/>
            </w:tcMar>
            <w:vAlign w:val="center"/>
          </w:tcPr>
          <w:p w14:paraId="0FDE933D" w14:textId="77777777" w:rsidR="00A75C0F" w:rsidRPr="008A26D2" w:rsidRDefault="00A75C0F" w:rsidP="00AF5836">
            <w:pPr>
              <w:tabs>
                <w:tab w:val="left" w:pos="3375"/>
              </w:tabs>
              <w:spacing w:after="0" w:line="240" w:lineRule="auto"/>
              <w:jc w:val="center"/>
              <w:rPr>
                <w:rFonts w:ascii="Arial" w:hAnsi="Arial" w:cs="Arial"/>
                <w:b/>
                <w:sz w:val="20"/>
                <w:szCs w:val="20"/>
              </w:rPr>
            </w:pPr>
            <w:r w:rsidRPr="008A26D2">
              <w:rPr>
                <w:rFonts w:ascii="Arial" w:hAnsi="Arial" w:cs="Arial"/>
                <w:b/>
                <w:sz w:val="20"/>
                <w:szCs w:val="20"/>
              </w:rPr>
              <w:t>2023</w:t>
            </w:r>
          </w:p>
        </w:tc>
        <w:tc>
          <w:tcPr>
            <w:tcW w:w="974" w:type="dxa"/>
            <w:shd w:val="clear" w:color="auto" w:fill="auto"/>
            <w:vAlign w:val="center"/>
          </w:tcPr>
          <w:p w14:paraId="68C338F0" w14:textId="77777777" w:rsidR="00A75C0F" w:rsidRPr="008A26D2" w:rsidRDefault="00A75C0F" w:rsidP="00AF5836">
            <w:pPr>
              <w:tabs>
                <w:tab w:val="left" w:pos="3375"/>
              </w:tabs>
              <w:spacing w:after="0" w:line="240" w:lineRule="auto"/>
              <w:jc w:val="center"/>
              <w:rPr>
                <w:rFonts w:ascii="Arial" w:hAnsi="Arial" w:cs="Arial"/>
                <w:b/>
                <w:sz w:val="20"/>
                <w:szCs w:val="20"/>
              </w:rPr>
            </w:pPr>
            <w:r w:rsidRPr="008A26D2">
              <w:rPr>
                <w:rFonts w:ascii="Arial" w:hAnsi="Arial" w:cs="Arial"/>
                <w:b/>
                <w:sz w:val="20"/>
                <w:szCs w:val="20"/>
              </w:rPr>
              <w:t>2024</w:t>
            </w:r>
          </w:p>
        </w:tc>
        <w:tc>
          <w:tcPr>
            <w:tcW w:w="1010" w:type="dxa"/>
            <w:gridSpan w:val="2"/>
            <w:shd w:val="clear" w:color="auto" w:fill="auto"/>
            <w:vAlign w:val="center"/>
          </w:tcPr>
          <w:p w14:paraId="246C4EB8" w14:textId="77777777" w:rsidR="00A75C0F" w:rsidRPr="008A26D2" w:rsidRDefault="00A75C0F" w:rsidP="00AF5836">
            <w:pPr>
              <w:tabs>
                <w:tab w:val="left" w:pos="3375"/>
              </w:tabs>
              <w:spacing w:after="0" w:line="240" w:lineRule="auto"/>
              <w:jc w:val="center"/>
              <w:rPr>
                <w:rFonts w:ascii="Arial" w:hAnsi="Arial" w:cs="Arial"/>
                <w:b/>
                <w:sz w:val="20"/>
                <w:szCs w:val="20"/>
              </w:rPr>
            </w:pPr>
            <w:r w:rsidRPr="008A26D2">
              <w:rPr>
                <w:rFonts w:ascii="Arial" w:hAnsi="Arial" w:cs="Arial"/>
                <w:b/>
                <w:sz w:val="20"/>
                <w:szCs w:val="20"/>
              </w:rPr>
              <w:t>2025</w:t>
            </w:r>
          </w:p>
        </w:tc>
        <w:tc>
          <w:tcPr>
            <w:tcW w:w="851" w:type="dxa"/>
            <w:shd w:val="clear" w:color="auto" w:fill="auto"/>
            <w:vAlign w:val="center"/>
          </w:tcPr>
          <w:p w14:paraId="6A14A229" w14:textId="77777777" w:rsidR="00A75C0F" w:rsidRPr="008A26D2" w:rsidRDefault="00A75C0F" w:rsidP="00AF5836">
            <w:pPr>
              <w:tabs>
                <w:tab w:val="left" w:pos="3375"/>
              </w:tabs>
              <w:spacing w:after="0" w:line="240" w:lineRule="auto"/>
              <w:jc w:val="center"/>
              <w:rPr>
                <w:rFonts w:ascii="Arial" w:hAnsi="Arial" w:cs="Arial"/>
                <w:b/>
                <w:sz w:val="20"/>
                <w:szCs w:val="20"/>
              </w:rPr>
            </w:pPr>
            <w:r w:rsidRPr="008A26D2">
              <w:rPr>
                <w:rFonts w:ascii="Arial" w:hAnsi="Arial" w:cs="Arial"/>
                <w:b/>
                <w:sz w:val="20"/>
                <w:szCs w:val="20"/>
              </w:rPr>
              <w:t>2026</w:t>
            </w:r>
          </w:p>
        </w:tc>
        <w:tc>
          <w:tcPr>
            <w:tcW w:w="992" w:type="dxa"/>
            <w:shd w:val="clear" w:color="auto" w:fill="auto"/>
            <w:vAlign w:val="center"/>
          </w:tcPr>
          <w:p w14:paraId="349DFD60" w14:textId="77777777" w:rsidR="00A75C0F" w:rsidRPr="008A26D2" w:rsidRDefault="00A75C0F" w:rsidP="00AF5836">
            <w:pPr>
              <w:tabs>
                <w:tab w:val="left" w:pos="3375"/>
              </w:tabs>
              <w:spacing w:after="0" w:line="240" w:lineRule="auto"/>
              <w:jc w:val="center"/>
              <w:rPr>
                <w:rFonts w:ascii="Arial" w:hAnsi="Arial" w:cs="Arial"/>
                <w:b/>
                <w:sz w:val="20"/>
                <w:szCs w:val="20"/>
              </w:rPr>
            </w:pPr>
            <w:r w:rsidRPr="008A26D2">
              <w:rPr>
                <w:rFonts w:ascii="Arial" w:hAnsi="Arial" w:cs="Arial"/>
                <w:b/>
                <w:sz w:val="20"/>
                <w:szCs w:val="20"/>
              </w:rPr>
              <w:t>2027</w:t>
            </w:r>
          </w:p>
        </w:tc>
        <w:tc>
          <w:tcPr>
            <w:tcW w:w="992" w:type="dxa"/>
            <w:gridSpan w:val="2"/>
            <w:shd w:val="clear" w:color="auto" w:fill="auto"/>
            <w:vAlign w:val="center"/>
          </w:tcPr>
          <w:p w14:paraId="2C0E16BB" w14:textId="77777777" w:rsidR="00A75C0F" w:rsidRPr="008A26D2" w:rsidRDefault="00A75C0F" w:rsidP="00AF5836">
            <w:pPr>
              <w:tabs>
                <w:tab w:val="left" w:pos="3375"/>
              </w:tabs>
              <w:spacing w:after="0" w:line="240" w:lineRule="auto"/>
              <w:jc w:val="center"/>
              <w:rPr>
                <w:rFonts w:ascii="Arial" w:hAnsi="Arial" w:cs="Arial"/>
                <w:b/>
                <w:sz w:val="20"/>
                <w:szCs w:val="20"/>
              </w:rPr>
            </w:pPr>
            <w:r w:rsidRPr="008A26D2">
              <w:rPr>
                <w:rFonts w:ascii="Arial" w:hAnsi="Arial" w:cs="Arial"/>
                <w:b/>
                <w:sz w:val="20"/>
                <w:szCs w:val="20"/>
              </w:rPr>
              <w:t>2028</w:t>
            </w:r>
          </w:p>
        </w:tc>
        <w:tc>
          <w:tcPr>
            <w:tcW w:w="851" w:type="dxa"/>
            <w:shd w:val="clear" w:color="auto" w:fill="auto"/>
            <w:vAlign w:val="center"/>
          </w:tcPr>
          <w:p w14:paraId="338AC905" w14:textId="77777777" w:rsidR="00A75C0F" w:rsidRPr="008A26D2" w:rsidRDefault="00A75C0F" w:rsidP="00AF5836">
            <w:pPr>
              <w:tabs>
                <w:tab w:val="left" w:pos="3375"/>
              </w:tabs>
              <w:spacing w:after="0" w:line="240" w:lineRule="auto"/>
              <w:jc w:val="center"/>
              <w:rPr>
                <w:rFonts w:ascii="Arial" w:hAnsi="Arial" w:cs="Arial"/>
                <w:b/>
                <w:sz w:val="20"/>
                <w:szCs w:val="20"/>
              </w:rPr>
            </w:pPr>
            <w:r w:rsidRPr="008A26D2">
              <w:rPr>
                <w:rFonts w:ascii="Arial" w:hAnsi="Arial" w:cs="Arial"/>
                <w:b/>
                <w:sz w:val="20"/>
                <w:szCs w:val="20"/>
              </w:rPr>
              <w:t>2029</w:t>
            </w:r>
          </w:p>
        </w:tc>
        <w:tc>
          <w:tcPr>
            <w:tcW w:w="992" w:type="dxa"/>
            <w:shd w:val="clear" w:color="auto" w:fill="auto"/>
            <w:tcMar>
              <w:top w:w="10" w:type="dxa"/>
              <w:left w:w="10" w:type="dxa"/>
              <w:bottom w:w="0" w:type="dxa"/>
              <w:right w:w="10" w:type="dxa"/>
            </w:tcMar>
            <w:vAlign w:val="center"/>
          </w:tcPr>
          <w:p w14:paraId="6E4E8A6C" w14:textId="77777777" w:rsidR="00A75C0F" w:rsidRPr="008A26D2" w:rsidRDefault="00A75C0F" w:rsidP="00AF5836">
            <w:pPr>
              <w:tabs>
                <w:tab w:val="left" w:pos="3375"/>
              </w:tabs>
              <w:spacing w:after="0" w:line="240" w:lineRule="auto"/>
              <w:jc w:val="center"/>
              <w:rPr>
                <w:rFonts w:ascii="Arial" w:hAnsi="Arial" w:cs="Arial"/>
                <w:b/>
                <w:sz w:val="20"/>
                <w:szCs w:val="20"/>
              </w:rPr>
            </w:pPr>
            <w:r w:rsidRPr="008A26D2">
              <w:rPr>
                <w:rFonts w:ascii="Arial" w:hAnsi="Arial" w:cs="Arial"/>
                <w:b/>
                <w:sz w:val="20"/>
                <w:szCs w:val="20"/>
              </w:rPr>
              <w:t>2030</w:t>
            </w:r>
          </w:p>
        </w:tc>
      </w:tr>
      <w:tr w:rsidR="00A75C0F" w:rsidRPr="008A26D2" w14:paraId="10BE8BFB" w14:textId="77777777" w:rsidTr="00CB5D5C">
        <w:trPr>
          <w:trHeight w:val="81"/>
        </w:trPr>
        <w:tc>
          <w:tcPr>
            <w:tcW w:w="568" w:type="dxa"/>
            <w:shd w:val="clear" w:color="auto" w:fill="auto"/>
            <w:tcMar>
              <w:top w:w="10" w:type="dxa"/>
              <w:left w:w="10" w:type="dxa"/>
              <w:bottom w:w="0" w:type="dxa"/>
              <w:right w:w="10" w:type="dxa"/>
            </w:tcMar>
            <w:vAlign w:val="center"/>
          </w:tcPr>
          <w:p w14:paraId="55C5784D" w14:textId="77777777" w:rsidR="00A75C0F" w:rsidRPr="008A26D2" w:rsidRDefault="00A75C0F" w:rsidP="00AF5836">
            <w:pPr>
              <w:tabs>
                <w:tab w:val="left" w:pos="3375"/>
              </w:tabs>
              <w:spacing w:after="0" w:line="240" w:lineRule="auto"/>
              <w:rPr>
                <w:rFonts w:ascii="Arial" w:hAnsi="Arial" w:cs="Arial"/>
                <w:sz w:val="20"/>
                <w:szCs w:val="20"/>
              </w:rPr>
            </w:pPr>
            <w:r w:rsidRPr="008A26D2">
              <w:rPr>
                <w:rFonts w:ascii="Arial" w:hAnsi="Arial" w:cs="Arial"/>
                <w:b/>
                <w:sz w:val="20"/>
                <w:szCs w:val="20"/>
              </w:rPr>
              <w:t>Valor</w:t>
            </w:r>
          </w:p>
        </w:tc>
        <w:tc>
          <w:tcPr>
            <w:tcW w:w="851" w:type="dxa"/>
            <w:shd w:val="clear" w:color="auto" w:fill="auto"/>
            <w:tcMar>
              <w:top w:w="10" w:type="dxa"/>
              <w:left w:w="10" w:type="dxa"/>
              <w:bottom w:w="0" w:type="dxa"/>
              <w:right w:w="10" w:type="dxa"/>
            </w:tcMar>
            <w:vAlign w:val="bottom"/>
          </w:tcPr>
          <w:p w14:paraId="13A4FE23" w14:textId="77777777" w:rsidR="00A75C0F" w:rsidRPr="008A26D2" w:rsidRDefault="00A75C0F" w:rsidP="00AF5836">
            <w:pPr>
              <w:tabs>
                <w:tab w:val="left" w:pos="3375"/>
              </w:tabs>
              <w:spacing w:after="0" w:line="240" w:lineRule="auto"/>
              <w:jc w:val="center"/>
              <w:rPr>
                <w:rFonts w:ascii="Arial" w:hAnsi="Arial" w:cs="Arial"/>
                <w:sz w:val="20"/>
                <w:szCs w:val="20"/>
              </w:rPr>
            </w:pPr>
            <w:r w:rsidRPr="008A26D2">
              <w:rPr>
                <w:rFonts w:ascii="Arial" w:hAnsi="Arial" w:cs="Arial"/>
                <w:sz w:val="20"/>
                <w:szCs w:val="20"/>
              </w:rPr>
              <w:t>ND</w:t>
            </w:r>
          </w:p>
        </w:tc>
        <w:tc>
          <w:tcPr>
            <w:tcW w:w="708" w:type="dxa"/>
            <w:shd w:val="clear" w:color="auto" w:fill="auto"/>
            <w:tcMar>
              <w:top w:w="10" w:type="dxa"/>
              <w:left w:w="10" w:type="dxa"/>
              <w:bottom w:w="0" w:type="dxa"/>
              <w:right w:w="10" w:type="dxa"/>
            </w:tcMar>
            <w:vAlign w:val="bottom"/>
          </w:tcPr>
          <w:p w14:paraId="3BB6483A" w14:textId="77777777" w:rsidR="00A75C0F" w:rsidRPr="008A26D2" w:rsidRDefault="00A75C0F" w:rsidP="00AF5836">
            <w:pPr>
              <w:tabs>
                <w:tab w:val="left" w:pos="3375"/>
              </w:tabs>
              <w:spacing w:after="0" w:line="240" w:lineRule="auto"/>
              <w:jc w:val="center"/>
              <w:rPr>
                <w:rFonts w:ascii="Arial" w:hAnsi="Arial" w:cs="Arial"/>
                <w:sz w:val="20"/>
                <w:szCs w:val="20"/>
              </w:rPr>
            </w:pPr>
            <w:r w:rsidRPr="008A26D2">
              <w:rPr>
                <w:rFonts w:ascii="Arial" w:hAnsi="Arial" w:cs="Arial"/>
                <w:sz w:val="20"/>
                <w:szCs w:val="20"/>
              </w:rPr>
              <w:t>25%</w:t>
            </w:r>
          </w:p>
        </w:tc>
        <w:tc>
          <w:tcPr>
            <w:tcW w:w="974" w:type="dxa"/>
            <w:shd w:val="clear" w:color="auto" w:fill="auto"/>
          </w:tcPr>
          <w:p w14:paraId="5AFDA5CC" w14:textId="77777777" w:rsidR="00A75C0F" w:rsidRPr="008A26D2" w:rsidRDefault="00A75C0F" w:rsidP="00AF5836">
            <w:pPr>
              <w:tabs>
                <w:tab w:val="left" w:pos="3375"/>
              </w:tabs>
              <w:spacing w:after="0" w:line="240" w:lineRule="auto"/>
              <w:jc w:val="center"/>
              <w:rPr>
                <w:rFonts w:ascii="Arial" w:hAnsi="Arial" w:cs="Arial"/>
                <w:sz w:val="20"/>
                <w:szCs w:val="20"/>
              </w:rPr>
            </w:pPr>
            <w:r w:rsidRPr="008A26D2">
              <w:rPr>
                <w:rFonts w:ascii="Arial" w:hAnsi="Arial" w:cs="Arial"/>
                <w:sz w:val="20"/>
                <w:szCs w:val="20"/>
              </w:rPr>
              <w:t>28%</w:t>
            </w:r>
          </w:p>
        </w:tc>
        <w:tc>
          <w:tcPr>
            <w:tcW w:w="1010" w:type="dxa"/>
            <w:gridSpan w:val="2"/>
            <w:shd w:val="clear" w:color="auto" w:fill="auto"/>
          </w:tcPr>
          <w:p w14:paraId="4FCE5CF3" w14:textId="77777777" w:rsidR="00A75C0F" w:rsidRPr="008A26D2" w:rsidRDefault="00A75C0F" w:rsidP="00AF5836">
            <w:pPr>
              <w:tabs>
                <w:tab w:val="left" w:pos="3375"/>
              </w:tabs>
              <w:spacing w:after="0" w:line="240" w:lineRule="auto"/>
              <w:jc w:val="center"/>
              <w:rPr>
                <w:rFonts w:ascii="Arial" w:hAnsi="Arial" w:cs="Arial"/>
                <w:sz w:val="20"/>
                <w:szCs w:val="20"/>
              </w:rPr>
            </w:pPr>
            <w:r w:rsidRPr="008A26D2">
              <w:rPr>
                <w:rFonts w:ascii="Arial" w:hAnsi="Arial" w:cs="Arial"/>
                <w:sz w:val="20"/>
                <w:szCs w:val="20"/>
              </w:rPr>
              <w:t>30%</w:t>
            </w:r>
          </w:p>
        </w:tc>
        <w:tc>
          <w:tcPr>
            <w:tcW w:w="851" w:type="dxa"/>
            <w:shd w:val="clear" w:color="auto" w:fill="auto"/>
          </w:tcPr>
          <w:p w14:paraId="3AD0A7F3" w14:textId="77777777" w:rsidR="00A75C0F" w:rsidRPr="008A26D2" w:rsidRDefault="00A75C0F" w:rsidP="00AF5836">
            <w:pPr>
              <w:tabs>
                <w:tab w:val="left" w:pos="3375"/>
              </w:tabs>
              <w:spacing w:after="0" w:line="240" w:lineRule="auto"/>
              <w:jc w:val="center"/>
              <w:rPr>
                <w:rFonts w:ascii="Arial" w:hAnsi="Arial" w:cs="Arial"/>
                <w:sz w:val="20"/>
                <w:szCs w:val="20"/>
              </w:rPr>
            </w:pPr>
            <w:r w:rsidRPr="008A26D2">
              <w:rPr>
                <w:rFonts w:ascii="Arial" w:hAnsi="Arial" w:cs="Arial"/>
                <w:sz w:val="20"/>
                <w:szCs w:val="20"/>
              </w:rPr>
              <w:t>34%</w:t>
            </w:r>
          </w:p>
        </w:tc>
        <w:tc>
          <w:tcPr>
            <w:tcW w:w="992" w:type="dxa"/>
            <w:shd w:val="clear" w:color="auto" w:fill="auto"/>
          </w:tcPr>
          <w:p w14:paraId="71C7EEAA" w14:textId="77777777" w:rsidR="00A75C0F" w:rsidRPr="008A26D2" w:rsidRDefault="00A75C0F" w:rsidP="00AF5836">
            <w:pPr>
              <w:tabs>
                <w:tab w:val="left" w:pos="3375"/>
              </w:tabs>
              <w:spacing w:after="0" w:line="240" w:lineRule="auto"/>
              <w:jc w:val="center"/>
              <w:rPr>
                <w:rFonts w:ascii="Arial" w:hAnsi="Arial" w:cs="Arial"/>
                <w:sz w:val="20"/>
                <w:szCs w:val="20"/>
              </w:rPr>
            </w:pPr>
            <w:r w:rsidRPr="008A26D2">
              <w:rPr>
                <w:rFonts w:ascii="Arial" w:hAnsi="Arial" w:cs="Arial"/>
                <w:sz w:val="20"/>
                <w:szCs w:val="20"/>
              </w:rPr>
              <w:t>36%</w:t>
            </w:r>
          </w:p>
        </w:tc>
        <w:tc>
          <w:tcPr>
            <w:tcW w:w="992" w:type="dxa"/>
            <w:gridSpan w:val="2"/>
            <w:shd w:val="clear" w:color="auto" w:fill="auto"/>
          </w:tcPr>
          <w:p w14:paraId="1E1BE459" w14:textId="77777777" w:rsidR="00A75C0F" w:rsidRPr="008A26D2" w:rsidRDefault="00A75C0F" w:rsidP="00AF5836">
            <w:pPr>
              <w:tabs>
                <w:tab w:val="left" w:pos="3375"/>
              </w:tabs>
              <w:spacing w:after="0" w:line="240" w:lineRule="auto"/>
              <w:jc w:val="center"/>
              <w:rPr>
                <w:rFonts w:ascii="Arial" w:hAnsi="Arial" w:cs="Arial"/>
                <w:sz w:val="20"/>
                <w:szCs w:val="20"/>
              </w:rPr>
            </w:pPr>
            <w:r w:rsidRPr="008A26D2">
              <w:rPr>
                <w:rFonts w:ascii="Arial" w:hAnsi="Arial" w:cs="Arial"/>
                <w:sz w:val="20"/>
                <w:szCs w:val="20"/>
              </w:rPr>
              <w:t>39%</w:t>
            </w:r>
          </w:p>
        </w:tc>
        <w:tc>
          <w:tcPr>
            <w:tcW w:w="851" w:type="dxa"/>
            <w:shd w:val="clear" w:color="auto" w:fill="auto"/>
          </w:tcPr>
          <w:p w14:paraId="2F13F616" w14:textId="77777777" w:rsidR="00A75C0F" w:rsidRPr="008A26D2" w:rsidRDefault="00A75C0F" w:rsidP="00AF5836">
            <w:pPr>
              <w:tabs>
                <w:tab w:val="left" w:pos="3375"/>
              </w:tabs>
              <w:spacing w:after="0" w:line="240" w:lineRule="auto"/>
              <w:jc w:val="center"/>
              <w:rPr>
                <w:rFonts w:ascii="Arial" w:hAnsi="Arial" w:cs="Arial"/>
                <w:sz w:val="20"/>
                <w:szCs w:val="20"/>
              </w:rPr>
            </w:pPr>
            <w:r w:rsidRPr="008A26D2">
              <w:rPr>
                <w:rFonts w:ascii="Arial" w:hAnsi="Arial" w:cs="Arial"/>
                <w:sz w:val="20"/>
                <w:szCs w:val="20"/>
              </w:rPr>
              <w:t>41%</w:t>
            </w:r>
          </w:p>
        </w:tc>
        <w:tc>
          <w:tcPr>
            <w:tcW w:w="992" w:type="dxa"/>
            <w:shd w:val="clear" w:color="auto" w:fill="auto"/>
            <w:tcMar>
              <w:top w:w="10" w:type="dxa"/>
              <w:left w:w="10" w:type="dxa"/>
              <w:bottom w:w="0" w:type="dxa"/>
              <w:right w:w="10" w:type="dxa"/>
            </w:tcMar>
          </w:tcPr>
          <w:p w14:paraId="2BD475F9" w14:textId="77777777" w:rsidR="00A75C0F" w:rsidRPr="008A26D2" w:rsidRDefault="00A75C0F" w:rsidP="00AF5836">
            <w:pPr>
              <w:tabs>
                <w:tab w:val="left" w:pos="3375"/>
              </w:tabs>
              <w:spacing w:after="0" w:line="240" w:lineRule="auto"/>
              <w:jc w:val="center"/>
              <w:rPr>
                <w:rFonts w:ascii="Arial" w:hAnsi="Arial" w:cs="Arial"/>
                <w:sz w:val="20"/>
                <w:szCs w:val="20"/>
              </w:rPr>
            </w:pPr>
            <w:r w:rsidRPr="008A26D2">
              <w:rPr>
                <w:rFonts w:ascii="Arial" w:hAnsi="Arial" w:cs="Arial"/>
                <w:sz w:val="20"/>
                <w:szCs w:val="20"/>
              </w:rPr>
              <w:t>43%</w:t>
            </w:r>
          </w:p>
        </w:tc>
      </w:tr>
    </w:tbl>
    <w:p w14:paraId="790CCA56" w14:textId="77777777" w:rsidR="00A75C0F" w:rsidRPr="008A26D2" w:rsidRDefault="00A75C0F" w:rsidP="00A75C0F"/>
    <w:p w14:paraId="7ABB413F" w14:textId="77777777" w:rsidR="00A75C0F" w:rsidRDefault="00A75C0F" w:rsidP="00A75C0F"/>
    <w:p w14:paraId="6A41EDFF" w14:textId="77777777" w:rsidR="00846D49" w:rsidRDefault="00846D49" w:rsidP="00A75C0F"/>
    <w:p w14:paraId="00AD9DA1" w14:textId="77777777" w:rsidR="00846D49" w:rsidRPr="008A26D2" w:rsidRDefault="00846D49" w:rsidP="00A75C0F"/>
    <w:tbl>
      <w:tblPr>
        <w:tblW w:w="8789"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993"/>
        <w:gridCol w:w="726"/>
        <w:gridCol w:w="124"/>
        <w:gridCol w:w="851"/>
        <w:gridCol w:w="708"/>
        <w:gridCol w:w="157"/>
        <w:gridCol w:w="992"/>
        <w:gridCol w:w="993"/>
        <w:gridCol w:w="992"/>
        <w:gridCol w:w="9"/>
        <w:gridCol w:w="841"/>
        <w:gridCol w:w="694"/>
      </w:tblGrid>
      <w:tr w:rsidR="00A75C0F" w:rsidRPr="008A26D2" w14:paraId="5FCCF373" w14:textId="77777777" w:rsidTr="00AF5836">
        <w:trPr>
          <w:trHeight w:val="251"/>
        </w:trPr>
        <w:tc>
          <w:tcPr>
            <w:tcW w:w="8789" w:type="dxa"/>
            <w:gridSpan w:val="13"/>
            <w:shd w:val="clear" w:color="auto" w:fill="D9D9D9"/>
            <w:tcMar>
              <w:top w:w="10" w:type="dxa"/>
              <w:left w:w="10" w:type="dxa"/>
              <w:bottom w:w="0" w:type="dxa"/>
              <w:right w:w="10" w:type="dxa"/>
            </w:tcMar>
            <w:vAlign w:val="center"/>
          </w:tcPr>
          <w:p w14:paraId="7CC2FF66" w14:textId="77777777" w:rsidR="00A75C0F" w:rsidRPr="008A26D2" w:rsidRDefault="00A75C0F" w:rsidP="00AF5836">
            <w:pPr>
              <w:jc w:val="center"/>
              <w:rPr>
                <w:rFonts w:ascii="Arial" w:eastAsia="Arial Narrow" w:hAnsi="Arial" w:cs="Arial"/>
                <w:sz w:val="20"/>
                <w:szCs w:val="20"/>
              </w:rPr>
            </w:pPr>
            <w:r w:rsidRPr="008A26D2">
              <w:rPr>
                <w:rFonts w:ascii="Arial" w:eastAsia="Arial Narrow" w:hAnsi="Arial" w:cs="Arial"/>
                <w:b/>
                <w:sz w:val="20"/>
                <w:szCs w:val="20"/>
              </w:rPr>
              <w:lastRenderedPageBreak/>
              <w:t>FICHA TÉCNICA DE INDICADOR DE SERVICIO 2.6.1</w:t>
            </w:r>
          </w:p>
        </w:tc>
      </w:tr>
      <w:tr w:rsidR="00A75C0F" w:rsidRPr="008A26D2" w14:paraId="4B0BE63F" w14:textId="77777777" w:rsidTr="00AF5836">
        <w:trPr>
          <w:trHeight w:val="409"/>
        </w:trPr>
        <w:tc>
          <w:tcPr>
            <w:tcW w:w="2428" w:type="dxa"/>
            <w:gridSpan w:val="3"/>
            <w:shd w:val="clear" w:color="auto" w:fill="FFFFFF"/>
            <w:tcMar>
              <w:top w:w="10" w:type="dxa"/>
              <w:left w:w="93" w:type="dxa"/>
              <w:bottom w:w="0" w:type="dxa"/>
              <w:right w:w="10" w:type="dxa"/>
            </w:tcMar>
            <w:vAlign w:val="center"/>
          </w:tcPr>
          <w:p w14:paraId="54A4654F" w14:textId="77777777" w:rsidR="00A75C0F" w:rsidRPr="008A26D2" w:rsidRDefault="00A75C0F" w:rsidP="00AF5836">
            <w:pPr>
              <w:jc w:val="both"/>
              <w:rPr>
                <w:rFonts w:ascii="Arial" w:eastAsia="Arial Narrow" w:hAnsi="Arial" w:cs="Arial"/>
                <w:sz w:val="20"/>
                <w:szCs w:val="20"/>
              </w:rPr>
            </w:pPr>
            <w:r w:rsidRPr="008A26D2">
              <w:rPr>
                <w:rFonts w:ascii="Arial" w:eastAsia="Arial Narrow" w:hAnsi="Arial" w:cs="Arial"/>
                <w:b/>
                <w:sz w:val="20"/>
                <w:szCs w:val="20"/>
              </w:rPr>
              <w:t>Objetivo prioritario:</w:t>
            </w:r>
          </w:p>
        </w:tc>
        <w:tc>
          <w:tcPr>
            <w:tcW w:w="6361" w:type="dxa"/>
            <w:gridSpan w:val="10"/>
            <w:shd w:val="clear" w:color="auto" w:fill="FFFFFF"/>
            <w:tcMar>
              <w:top w:w="51" w:type="dxa"/>
              <w:left w:w="227" w:type="dxa"/>
              <w:bottom w:w="51" w:type="dxa"/>
              <w:right w:w="227" w:type="dxa"/>
            </w:tcMar>
            <w:vAlign w:val="center"/>
          </w:tcPr>
          <w:p w14:paraId="41CF5C12" w14:textId="77777777" w:rsidR="00A75C0F" w:rsidRPr="008A26D2" w:rsidRDefault="00A75C0F" w:rsidP="00AF5836">
            <w:pPr>
              <w:jc w:val="both"/>
              <w:rPr>
                <w:rFonts w:ascii="Arial" w:eastAsia="Arial Narrow" w:hAnsi="Arial" w:cs="Arial"/>
                <w:sz w:val="20"/>
                <w:szCs w:val="20"/>
              </w:rPr>
            </w:pPr>
            <w:r w:rsidRPr="008A26D2">
              <w:rPr>
                <w:rFonts w:ascii="Arial" w:eastAsia="Arial Narrow" w:hAnsi="Arial" w:cs="Arial"/>
                <w:sz w:val="20"/>
                <w:szCs w:val="20"/>
              </w:rPr>
              <w:t>OP2 Incrementar la productividad de los ecosistemas forestales, otros ecosistemas de vegetación silvestre y de la fauna silvestre</w:t>
            </w:r>
          </w:p>
        </w:tc>
      </w:tr>
      <w:tr w:rsidR="00A75C0F" w:rsidRPr="008A26D2" w14:paraId="4D440C6D" w14:textId="77777777" w:rsidTr="00AF5836">
        <w:trPr>
          <w:trHeight w:val="436"/>
        </w:trPr>
        <w:tc>
          <w:tcPr>
            <w:tcW w:w="2428" w:type="dxa"/>
            <w:gridSpan w:val="3"/>
            <w:shd w:val="clear" w:color="auto" w:fill="auto"/>
            <w:tcMar>
              <w:top w:w="10" w:type="dxa"/>
              <w:left w:w="93" w:type="dxa"/>
              <w:bottom w:w="0" w:type="dxa"/>
              <w:right w:w="10" w:type="dxa"/>
            </w:tcMar>
            <w:vAlign w:val="center"/>
          </w:tcPr>
          <w:p w14:paraId="228CD236" w14:textId="77777777" w:rsidR="00A75C0F" w:rsidRPr="008A26D2" w:rsidRDefault="00A75C0F" w:rsidP="00AF5836">
            <w:pPr>
              <w:jc w:val="both"/>
              <w:rPr>
                <w:rFonts w:ascii="Arial" w:eastAsia="Arial Narrow" w:hAnsi="Arial" w:cs="Arial"/>
                <w:sz w:val="20"/>
                <w:szCs w:val="20"/>
              </w:rPr>
            </w:pPr>
            <w:r w:rsidRPr="008A26D2">
              <w:rPr>
                <w:rFonts w:ascii="Arial" w:eastAsia="Arial Narrow" w:hAnsi="Arial" w:cs="Arial"/>
                <w:b/>
                <w:sz w:val="20"/>
                <w:szCs w:val="20"/>
              </w:rPr>
              <w:t>Lineamiento de la política:</w:t>
            </w:r>
          </w:p>
        </w:tc>
        <w:tc>
          <w:tcPr>
            <w:tcW w:w="6361" w:type="dxa"/>
            <w:gridSpan w:val="10"/>
            <w:shd w:val="clear" w:color="auto" w:fill="auto"/>
            <w:tcMar>
              <w:top w:w="51" w:type="dxa"/>
              <w:left w:w="227" w:type="dxa"/>
              <w:bottom w:w="51" w:type="dxa"/>
              <w:right w:w="227" w:type="dxa"/>
            </w:tcMar>
            <w:vAlign w:val="center"/>
          </w:tcPr>
          <w:p w14:paraId="0F69147F" w14:textId="77777777" w:rsidR="00A75C0F" w:rsidRPr="008A26D2" w:rsidRDefault="00A75C0F" w:rsidP="00AF5836">
            <w:pPr>
              <w:jc w:val="both"/>
              <w:rPr>
                <w:rFonts w:ascii="Arial" w:eastAsia="Arial Narrow" w:hAnsi="Arial" w:cs="Arial"/>
                <w:sz w:val="20"/>
                <w:szCs w:val="20"/>
              </w:rPr>
            </w:pPr>
            <w:r w:rsidRPr="008A26D2">
              <w:rPr>
                <w:rFonts w:ascii="Arial" w:eastAsia="Arial Narrow" w:hAnsi="Arial" w:cs="Arial"/>
                <w:sz w:val="20"/>
                <w:szCs w:val="20"/>
              </w:rPr>
              <w:t>L.2.6 Incrementar el comercio nacional e internacional de especímenes, productos y subproductos de flora y de fauna silvestre provenientes de actividades de aprovechamiento autorizadas.</w:t>
            </w:r>
          </w:p>
        </w:tc>
      </w:tr>
      <w:tr w:rsidR="00A75C0F" w:rsidRPr="008A26D2" w14:paraId="36947457" w14:textId="77777777" w:rsidTr="00AF5836">
        <w:trPr>
          <w:trHeight w:val="1126"/>
        </w:trPr>
        <w:tc>
          <w:tcPr>
            <w:tcW w:w="2428" w:type="dxa"/>
            <w:gridSpan w:val="3"/>
            <w:shd w:val="clear" w:color="auto" w:fill="auto"/>
            <w:tcMar>
              <w:top w:w="10" w:type="dxa"/>
              <w:left w:w="93" w:type="dxa"/>
              <w:bottom w:w="0" w:type="dxa"/>
              <w:right w:w="10" w:type="dxa"/>
            </w:tcMar>
            <w:vAlign w:val="center"/>
          </w:tcPr>
          <w:p w14:paraId="469D8598" w14:textId="77777777" w:rsidR="00A75C0F" w:rsidRPr="008A26D2" w:rsidRDefault="00A75C0F" w:rsidP="00AF5836">
            <w:pPr>
              <w:jc w:val="both"/>
              <w:rPr>
                <w:rFonts w:ascii="Arial" w:eastAsia="Arial Narrow" w:hAnsi="Arial" w:cs="Arial"/>
                <w:sz w:val="20"/>
                <w:szCs w:val="20"/>
              </w:rPr>
            </w:pPr>
            <w:r w:rsidRPr="008A26D2">
              <w:rPr>
                <w:rFonts w:ascii="Arial" w:eastAsia="Arial Narrow" w:hAnsi="Arial" w:cs="Arial"/>
                <w:b/>
                <w:sz w:val="20"/>
                <w:szCs w:val="20"/>
              </w:rPr>
              <w:t>Nombre del servicio:</w:t>
            </w:r>
          </w:p>
        </w:tc>
        <w:tc>
          <w:tcPr>
            <w:tcW w:w="6361" w:type="dxa"/>
            <w:gridSpan w:val="10"/>
            <w:shd w:val="clear" w:color="auto" w:fill="auto"/>
            <w:tcMar>
              <w:top w:w="51" w:type="dxa"/>
              <w:left w:w="227" w:type="dxa"/>
              <w:bottom w:w="51" w:type="dxa"/>
              <w:right w:w="227" w:type="dxa"/>
            </w:tcMar>
            <w:vAlign w:val="center"/>
          </w:tcPr>
          <w:p w14:paraId="241AE373" w14:textId="77777777" w:rsidR="00A75C0F" w:rsidRPr="008A26D2" w:rsidRDefault="00A75C0F" w:rsidP="00AF5836">
            <w:pPr>
              <w:pBdr>
                <w:top w:val="nil"/>
                <w:left w:val="nil"/>
                <w:bottom w:val="nil"/>
                <w:right w:val="nil"/>
                <w:between w:val="nil"/>
              </w:pBdr>
              <w:spacing w:after="0" w:line="240" w:lineRule="auto"/>
              <w:jc w:val="both"/>
              <w:rPr>
                <w:rFonts w:ascii="Arial" w:eastAsia="Arial Narrow" w:hAnsi="Arial" w:cs="Arial"/>
                <w:strike/>
                <w:sz w:val="20"/>
                <w:szCs w:val="20"/>
              </w:rPr>
            </w:pPr>
            <w:r w:rsidRPr="008A26D2">
              <w:rPr>
                <w:rFonts w:ascii="Arial" w:eastAsia="Arial Narrow" w:hAnsi="Arial" w:cs="Arial"/>
                <w:sz w:val="20"/>
                <w:szCs w:val="20"/>
              </w:rPr>
              <w:t>S2.6.1. Fortalecimiento de capacidades para el cumplimiento de criterios técnicos y normativos en el proceso de transformación de productos de fibra de vicuña de forma satisfactoria a los titulares de manejo.</w:t>
            </w:r>
          </w:p>
        </w:tc>
      </w:tr>
      <w:tr w:rsidR="00A75C0F" w:rsidRPr="008A26D2" w14:paraId="1693E911" w14:textId="77777777" w:rsidTr="00AF5836">
        <w:trPr>
          <w:trHeight w:val="577"/>
        </w:trPr>
        <w:tc>
          <w:tcPr>
            <w:tcW w:w="2428" w:type="dxa"/>
            <w:gridSpan w:val="3"/>
            <w:shd w:val="clear" w:color="auto" w:fill="auto"/>
            <w:tcMar>
              <w:top w:w="10" w:type="dxa"/>
              <w:left w:w="93" w:type="dxa"/>
              <w:bottom w:w="0" w:type="dxa"/>
              <w:right w:w="10" w:type="dxa"/>
            </w:tcMar>
            <w:vAlign w:val="center"/>
          </w:tcPr>
          <w:p w14:paraId="784004F8" w14:textId="77777777" w:rsidR="00A75C0F" w:rsidRPr="008A26D2" w:rsidRDefault="00A75C0F" w:rsidP="00AF5836">
            <w:pPr>
              <w:jc w:val="both"/>
              <w:rPr>
                <w:rFonts w:ascii="Arial" w:eastAsia="Arial Narrow" w:hAnsi="Arial" w:cs="Arial"/>
                <w:sz w:val="20"/>
                <w:szCs w:val="20"/>
              </w:rPr>
            </w:pPr>
            <w:r w:rsidRPr="008A26D2">
              <w:rPr>
                <w:rFonts w:ascii="Arial" w:eastAsia="Arial Narrow" w:hAnsi="Arial" w:cs="Arial"/>
                <w:b/>
                <w:sz w:val="20"/>
                <w:szCs w:val="20"/>
              </w:rPr>
              <w:t>Nombre del indicador:</w:t>
            </w:r>
          </w:p>
        </w:tc>
        <w:tc>
          <w:tcPr>
            <w:tcW w:w="6361" w:type="dxa"/>
            <w:gridSpan w:val="10"/>
            <w:shd w:val="clear" w:color="auto" w:fill="auto"/>
            <w:tcMar>
              <w:top w:w="51" w:type="dxa"/>
              <w:left w:w="227" w:type="dxa"/>
              <w:bottom w:w="51" w:type="dxa"/>
              <w:right w:w="227" w:type="dxa"/>
            </w:tcMar>
            <w:vAlign w:val="center"/>
          </w:tcPr>
          <w:p w14:paraId="4B0B965A" w14:textId="77777777" w:rsidR="00A75C0F" w:rsidRPr="008A26D2" w:rsidRDefault="00A75C0F" w:rsidP="00AF5836">
            <w:pPr>
              <w:pBdr>
                <w:top w:val="nil"/>
                <w:left w:val="nil"/>
                <w:bottom w:val="nil"/>
                <w:right w:val="nil"/>
                <w:between w:val="nil"/>
              </w:pBdr>
              <w:spacing w:after="0" w:line="240" w:lineRule="auto"/>
              <w:ind w:left="36"/>
              <w:jc w:val="both"/>
              <w:rPr>
                <w:rFonts w:ascii="Arial" w:eastAsia="Arial Narrow" w:hAnsi="Arial" w:cs="Arial"/>
                <w:strike/>
                <w:sz w:val="20"/>
                <w:szCs w:val="20"/>
              </w:rPr>
            </w:pPr>
            <w:r w:rsidRPr="008A26D2">
              <w:rPr>
                <w:rFonts w:ascii="Arial" w:eastAsia="Times New Roman" w:hAnsi="Arial" w:cs="Arial"/>
                <w:sz w:val="20"/>
                <w:szCs w:val="20"/>
              </w:rPr>
              <w:t xml:space="preserve">Porcentaje de </w:t>
            </w:r>
            <w:r w:rsidRPr="008A26D2">
              <w:rPr>
                <w:rFonts w:ascii="Arial" w:eastAsia="Arial Narrow" w:hAnsi="Arial" w:cs="Arial"/>
                <w:sz w:val="20"/>
                <w:szCs w:val="20"/>
              </w:rPr>
              <w:t xml:space="preserve">titulares de manejo de vicuña </w:t>
            </w:r>
            <w:r w:rsidRPr="008A26D2">
              <w:rPr>
                <w:rFonts w:ascii="Arial" w:eastAsia="Times New Roman" w:hAnsi="Arial" w:cs="Arial"/>
                <w:sz w:val="20"/>
                <w:szCs w:val="20"/>
                <w:lang w:val="es-ES"/>
              </w:rPr>
              <w:t>con alto grado de satisfacción sobre las capacitaciones recibidas</w:t>
            </w:r>
            <w:r w:rsidRPr="008A26D2">
              <w:rPr>
                <w:rFonts w:ascii="Arial" w:hAnsi="Arial" w:cs="Arial"/>
                <w:sz w:val="20"/>
                <w:szCs w:val="20"/>
              </w:rPr>
              <w:t xml:space="preserve"> en </w:t>
            </w:r>
            <w:r w:rsidRPr="008A26D2">
              <w:rPr>
                <w:rFonts w:ascii="Arial" w:eastAsia="Arial Narrow" w:hAnsi="Arial" w:cs="Arial"/>
                <w:sz w:val="20"/>
                <w:szCs w:val="20"/>
              </w:rPr>
              <w:t>el cumplimiento de criterios técnicos y normativos para el proceso de transformación de productos de fibra de vicuña</w:t>
            </w:r>
          </w:p>
        </w:tc>
      </w:tr>
      <w:tr w:rsidR="00A75C0F" w:rsidRPr="008A26D2" w14:paraId="65B441D5" w14:textId="77777777" w:rsidTr="00AF5836">
        <w:trPr>
          <w:trHeight w:val="577"/>
        </w:trPr>
        <w:tc>
          <w:tcPr>
            <w:tcW w:w="2428" w:type="dxa"/>
            <w:gridSpan w:val="3"/>
            <w:shd w:val="clear" w:color="auto" w:fill="auto"/>
            <w:tcMar>
              <w:top w:w="10" w:type="dxa"/>
              <w:left w:w="93" w:type="dxa"/>
              <w:bottom w:w="0" w:type="dxa"/>
              <w:right w:w="10" w:type="dxa"/>
            </w:tcMar>
            <w:vAlign w:val="center"/>
          </w:tcPr>
          <w:p w14:paraId="4360FA02" w14:textId="77777777" w:rsidR="00A75C0F" w:rsidRPr="008A26D2" w:rsidRDefault="00A75C0F" w:rsidP="00AF5836">
            <w:pPr>
              <w:jc w:val="both"/>
              <w:rPr>
                <w:rFonts w:ascii="Arial" w:eastAsia="Arial Narrow" w:hAnsi="Arial" w:cs="Arial"/>
                <w:sz w:val="20"/>
                <w:szCs w:val="20"/>
              </w:rPr>
            </w:pPr>
            <w:r w:rsidRPr="008A26D2">
              <w:rPr>
                <w:rFonts w:ascii="Arial" w:eastAsia="Arial Narrow" w:hAnsi="Arial" w:cs="Arial"/>
                <w:b/>
                <w:sz w:val="20"/>
                <w:szCs w:val="20"/>
              </w:rPr>
              <w:t>Justificación:</w:t>
            </w:r>
          </w:p>
        </w:tc>
        <w:tc>
          <w:tcPr>
            <w:tcW w:w="6361" w:type="dxa"/>
            <w:gridSpan w:val="10"/>
            <w:shd w:val="clear" w:color="auto" w:fill="auto"/>
            <w:tcMar>
              <w:top w:w="51" w:type="dxa"/>
              <w:left w:w="227" w:type="dxa"/>
              <w:bottom w:w="51" w:type="dxa"/>
              <w:right w:w="227" w:type="dxa"/>
            </w:tcMar>
            <w:vAlign w:val="center"/>
          </w:tcPr>
          <w:p w14:paraId="7A63E77B" w14:textId="77777777" w:rsidR="00A75C0F" w:rsidRPr="008A26D2" w:rsidRDefault="00A75C0F" w:rsidP="00AF5836">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Mediante el presente indicador se cuantifica el incremento </w:t>
            </w:r>
            <w:r w:rsidRPr="008A26D2">
              <w:rPr>
                <w:rFonts w:ascii="Arial" w:eastAsia="Times New Roman" w:hAnsi="Arial" w:cs="Arial"/>
                <w:sz w:val="20"/>
                <w:szCs w:val="20"/>
              </w:rPr>
              <w:t xml:space="preserve">de </w:t>
            </w:r>
            <w:r w:rsidRPr="008A26D2">
              <w:rPr>
                <w:rFonts w:ascii="Arial" w:eastAsia="Arial Narrow" w:hAnsi="Arial" w:cs="Arial"/>
                <w:sz w:val="20"/>
                <w:szCs w:val="20"/>
              </w:rPr>
              <w:t>titulares de manejo de vicuña</w:t>
            </w:r>
            <w:r w:rsidRPr="008A26D2">
              <w:rPr>
                <w:rFonts w:ascii="Arial" w:eastAsia="Times New Roman" w:hAnsi="Arial" w:cs="Arial"/>
                <w:sz w:val="20"/>
                <w:szCs w:val="20"/>
                <w:lang w:val="es-ES"/>
              </w:rPr>
              <w:t xml:space="preserve"> que perciben un alto grado de satisfacción sobre las capacitaciones recibidas en </w:t>
            </w:r>
            <w:r w:rsidRPr="008A26D2">
              <w:rPr>
                <w:rFonts w:ascii="Arial" w:eastAsia="Arial Narrow" w:hAnsi="Arial" w:cs="Arial"/>
                <w:sz w:val="20"/>
                <w:szCs w:val="20"/>
              </w:rPr>
              <w:t>el cumplimiento de criterios técnicos y normativos en el proceso de transformación de productos de fibra de vicuña</w:t>
            </w:r>
            <w:r w:rsidRPr="008A26D2">
              <w:rPr>
                <w:rFonts w:ascii="Arial" w:eastAsia="Times New Roman" w:hAnsi="Arial" w:cs="Arial"/>
                <w:sz w:val="20"/>
                <w:szCs w:val="20"/>
                <w:lang w:val="es-ES"/>
              </w:rPr>
              <w:t>. De esta manera, el indicador facilitará el seguimiento de la satisfacción del servicio y establecer acciones de mejora correspondientes.</w:t>
            </w:r>
            <w:r w:rsidRPr="008A26D2">
              <w:rPr>
                <w:rFonts w:ascii="Arial" w:eastAsia="Arial Narrow" w:hAnsi="Arial" w:cs="Arial"/>
                <w:strike/>
                <w:sz w:val="20"/>
                <w:szCs w:val="20"/>
              </w:rPr>
              <w:t xml:space="preserve"> </w:t>
            </w:r>
          </w:p>
        </w:tc>
      </w:tr>
      <w:tr w:rsidR="00A75C0F" w:rsidRPr="008A26D2" w14:paraId="2CE197BB" w14:textId="77777777" w:rsidTr="00AF5836">
        <w:trPr>
          <w:trHeight w:val="352"/>
        </w:trPr>
        <w:tc>
          <w:tcPr>
            <w:tcW w:w="2428" w:type="dxa"/>
            <w:gridSpan w:val="3"/>
            <w:shd w:val="clear" w:color="auto" w:fill="auto"/>
            <w:tcMar>
              <w:top w:w="10" w:type="dxa"/>
              <w:left w:w="93" w:type="dxa"/>
              <w:bottom w:w="0" w:type="dxa"/>
              <w:right w:w="10" w:type="dxa"/>
            </w:tcMar>
            <w:vAlign w:val="center"/>
          </w:tcPr>
          <w:p w14:paraId="4F4E74CD" w14:textId="77777777" w:rsidR="00A75C0F" w:rsidRPr="008A26D2" w:rsidRDefault="00A75C0F" w:rsidP="00AF5836">
            <w:pPr>
              <w:jc w:val="both"/>
              <w:rPr>
                <w:rFonts w:ascii="Arial" w:eastAsia="Arial Narrow" w:hAnsi="Arial" w:cs="Arial"/>
                <w:sz w:val="20"/>
                <w:szCs w:val="20"/>
              </w:rPr>
            </w:pPr>
            <w:r w:rsidRPr="008A26D2">
              <w:rPr>
                <w:rFonts w:ascii="Arial" w:eastAsia="Arial Narrow" w:hAnsi="Arial" w:cs="Arial"/>
                <w:b/>
                <w:sz w:val="20"/>
                <w:szCs w:val="20"/>
              </w:rPr>
              <w:t>Responsable del indicador:</w:t>
            </w:r>
          </w:p>
        </w:tc>
        <w:tc>
          <w:tcPr>
            <w:tcW w:w="6361" w:type="dxa"/>
            <w:gridSpan w:val="10"/>
            <w:shd w:val="clear" w:color="auto" w:fill="auto"/>
            <w:tcMar>
              <w:top w:w="51" w:type="dxa"/>
              <w:left w:w="227" w:type="dxa"/>
              <w:bottom w:w="51" w:type="dxa"/>
              <w:right w:w="227" w:type="dxa"/>
            </w:tcMar>
            <w:vAlign w:val="center"/>
          </w:tcPr>
          <w:p w14:paraId="0FE3AFF2" w14:textId="77777777" w:rsidR="00A75C0F" w:rsidRPr="008A26D2" w:rsidRDefault="00A75C0F" w:rsidP="00AF5836">
            <w:pPr>
              <w:jc w:val="both"/>
              <w:rPr>
                <w:rFonts w:ascii="Arial" w:eastAsia="Arial Narrow" w:hAnsi="Arial" w:cs="Arial"/>
                <w:sz w:val="20"/>
                <w:szCs w:val="20"/>
              </w:rPr>
            </w:pPr>
            <w:r w:rsidRPr="008A26D2">
              <w:rPr>
                <w:rFonts w:ascii="Arial" w:eastAsia="Arial Narrow" w:hAnsi="Arial" w:cs="Arial"/>
                <w:sz w:val="20"/>
                <w:szCs w:val="20"/>
              </w:rPr>
              <w:t>Dirección de Promoción y Competitividad del Servicio Nacional Forestal y de Fauna Silvestre - SERFOR</w:t>
            </w:r>
          </w:p>
        </w:tc>
      </w:tr>
      <w:tr w:rsidR="00A75C0F" w:rsidRPr="008A26D2" w14:paraId="762ED3A5" w14:textId="77777777" w:rsidTr="00AF5836">
        <w:trPr>
          <w:trHeight w:val="773"/>
        </w:trPr>
        <w:tc>
          <w:tcPr>
            <w:tcW w:w="2428" w:type="dxa"/>
            <w:gridSpan w:val="3"/>
            <w:shd w:val="clear" w:color="auto" w:fill="auto"/>
            <w:tcMar>
              <w:top w:w="10" w:type="dxa"/>
              <w:left w:w="93" w:type="dxa"/>
              <w:bottom w:w="0" w:type="dxa"/>
              <w:right w:w="10" w:type="dxa"/>
            </w:tcMar>
            <w:vAlign w:val="center"/>
          </w:tcPr>
          <w:p w14:paraId="658698FA" w14:textId="77777777" w:rsidR="00A75C0F" w:rsidRPr="008A26D2" w:rsidRDefault="00A75C0F" w:rsidP="00AF5836">
            <w:pPr>
              <w:jc w:val="both"/>
              <w:rPr>
                <w:rFonts w:ascii="Arial" w:eastAsia="Arial Narrow" w:hAnsi="Arial" w:cs="Arial"/>
                <w:sz w:val="20"/>
                <w:szCs w:val="20"/>
              </w:rPr>
            </w:pPr>
            <w:r w:rsidRPr="008A26D2">
              <w:rPr>
                <w:rFonts w:ascii="Arial" w:eastAsia="Arial Narrow" w:hAnsi="Arial" w:cs="Arial"/>
                <w:b/>
                <w:sz w:val="20"/>
                <w:szCs w:val="20"/>
              </w:rPr>
              <w:t>Limitaciones para la medición del indicador:</w:t>
            </w:r>
          </w:p>
        </w:tc>
        <w:tc>
          <w:tcPr>
            <w:tcW w:w="6361" w:type="dxa"/>
            <w:gridSpan w:val="10"/>
            <w:shd w:val="clear" w:color="auto" w:fill="auto"/>
            <w:tcMar>
              <w:top w:w="51" w:type="dxa"/>
              <w:left w:w="227" w:type="dxa"/>
              <w:bottom w:w="51" w:type="dxa"/>
              <w:right w:w="227" w:type="dxa"/>
            </w:tcMar>
            <w:vAlign w:val="center"/>
          </w:tcPr>
          <w:p w14:paraId="77A7A9ED" w14:textId="77777777" w:rsidR="00A75C0F" w:rsidRPr="008A26D2" w:rsidRDefault="00A75C0F" w:rsidP="00AF5836">
            <w:pPr>
              <w:jc w:val="both"/>
              <w:rPr>
                <w:rFonts w:ascii="Arial" w:eastAsia="Arial Narrow" w:hAnsi="Arial" w:cs="Arial"/>
                <w:sz w:val="20"/>
                <w:szCs w:val="20"/>
              </w:rPr>
            </w:pPr>
            <w:r w:rsidRPr="008A26D2">
              <w:rPr>
                <w:rFonts w:ascii="Arial" w:eastAsia="Arial Narrow" w:hAnsi="Arial" w:cs="Arial"/>
                <w:sz w:val="20"/>
                <w:szCs w:val="20"/>
              </w:rPr>
              <w:t>No presenta limitaciones</w:t>
            </w:r>
          </w:p>
        </w:tc>
      </w:tr>
      <w:tr w:rsidR="00A75C0F" w:rsidRPr="008A26D2" w14:paraId="6D207F32" w14:textId="77777777" w:rsidTr="00AF5836">
        <w:trPr>
          <w:trHeight w:val="231"/>
        </w:trPr>
        <w:tc>
          <w:tcPr>
            <w:tcW w:w="2428" w:type="dxa"/>
            <w:gridSpan w:val="3"/>
            <w:shd w:val="clear" w:color="auto" w:fill="auto"/>
            <w:tcMar>
              <w:top w:w="10" w:type="dxa"/>
              <w:left w:w="93" w:type="dxa"/>
              <w:bottom w:w="0" w:type="dxa"/>
              <w:right w:w="10" w:type="dxa"/>
            </w:tcMar>
            <w:vAlign w:val="center"/>
          </w:tcPr>
          <w:p w14:paraId="7D7A462B" w14:textId="77777777" w:rsidR="00A75C0F" w:rsidRPr="008A26D2" w:rsidRDefault="00A75C0F" w:rsidP="00AF5836">
            <w:pPr>
              <w:jc w:val="both"/>
              <w:rPr>
                <w:rFonts w:ascii="Arial" w:eastAsia="Arial Narrow" w:hAnsi="Arial" w:cs="Arial"/>
                <w:sz w:val="20"/>
                <w:szCs w:val="20"/>
              </w:rPr>
            </w:pPr>
            <w:r w:rsidRPr="008A26D2">
              <w:rPr>
                <w:rFonts w:ascii="Arial" w:eastAsia="Arial Narrow" w:hAnsi="Arial" w:cs="Arial"/>
                <w:b/>
                <w:sz w:val="20"/>
                <w:szCs w:val="20"/>
              </w:rPr>
              <w:t xml:space="preserve">Método de cálculo: </w:t>
            </w:r>
          </w:p>
        </w:tc>
        <w:tc>
          <w:tcPr>
            <w:tcW w:w="6361" w:type="dxa"/>
            <w:gridSpan w:val="10"/>
            <w:shd w:val="clear" w:color="auto" w:fill="auto"/>
            <w:tcMar>
              <w:top w:w="51" w:type="dxa"/>
              <w:left w:w="227" w:type="dxa"/>
              <w:bottom w:w="51" w:type="dxa"/>
              <w:right w:w="227" w:type="dxa"/>
            </w:tcMar>
            <w:vAlign w:val="center"/>
          </w:tcPr>
          <w:p w14:paraId="56E2C8BF" w14:textId="77777777" w:rsidR="00A75C0F" w:rsidRPr="008A26D2" w:rsidRDefault="00A75C0F" w:rsidP="00AF5836">
            <w:pPr>
              <w:numPr>
                <w:ilvl w:val="0"/>
                <w:numId w:val="23"/>
              </w:numPr>
              <w:pBdr>
                <w:top w:val="nil"/>
                <w:left w:val="nil"/>
                <w:bottom w:val="nil"/>
                <w:right w:val="nil"/>
                <w:between w:val="nil"/>
              </w:pBdr>
              <w:spacing w:before="120" w:after="200" w:line="264" w:lineRule="auto"/>
              <w:ind w:left="315" w:hanging="315"/>
              <w:jc w:val="both"/>
              <w:rPr>
                <w:rFonts w:ascii="Arial" w:eastAsia="Arial Narrow" w:hAnsi="Arial" w:cs="Arial"/>
                <w:b/>
                <w:sz w:val="20"/>
                <w:szCs w:val="20"/>
              </w:rPr>
            </w:pPr>
            <w:r w:rsidRPr="008A26D2">
              <w:rPr>
                <w:rFonts w:ascii="Arial" w:eastAsia="Arial Narrow" w:hAnsi="Arial" w:cs="Arial"/>
                <w:b/>
                <w:sz w:val="20"/>
                <w:szCs w:val="20"/>
              </w:rPr>
              <w:t xml:space="preserve">Fórmula: </w:t>
            </w:r>
          </w:p>
          <w:p w14:paraId="553C1B3B" w14:textId="77777777" w:rsidR="00A75C0F" w:rsidRPr="008A26D2" w:rsidRDefault="00A75C0F" w:rsidP="00AF5836">
            <w:pPr>
              <w:jc w:val="both"/>
              <w:rPr>
                <w:rFonts w:ascii="Arial" w:eastAsia="Arial Unicode MS" w:hAnsi="Arial" w:cs="Arial"/>
                <w:sz w:val="20"/>
                <w:szCs w:val="20"/>
              </w:rPr>
            </w:pPr>
            <w:r w:rsidRPr="008A26D2">
              <w:rPr>
                <w:rFonts w:ascii="Arial" w:eastAsia="Arial Unicode MS" w:hAnsi="Arial" w:cs="Arial"/>
                <w:sz w:val="20"/>
                <w:szCs w:val="20"/>
              </w:rPr>
              <w:t>(A/B)*100</w:t>
            </w:r>
          </w:p>
          <w:p w14:paraId="7DED8A16" w14:textId="77777777" w:rsidR="00A75C0F" w:rsidRPr="008A26D2" w:rsidRDefault="00A75C0F" w:rsidP="00AF5836">
            <w:pPr>
              <w:jc w:val="both"/>
              <w:rPr>
                <w:rFonts w:ascii="Arial" w:eastAsia="Arial Unicode MS" w:hAnsi="Arial" w:cs="Arial"/>
                <w:sz w:val="20"/>
                <w:szCs w:val="20"/>
              </w:rPr>
            </w:pPr>
            <w:r w:rsidRPr="008A26D2">
              <w:rPr>
                <w:rFonts w:ascii="Arial" w:eastAsia="Arial Unicode MS" w:hAnsi="Arial" w:cs="Arial"/>
                <w:sz w:val="20"/>
                <w:szCs w:val="20"/>
              </w:rPr>
              <w:t>Donde:</w:t>
            </w:r>
          </w:p>
          <w:p w14:paraId="1CD75E2A" w14:textId="77777777" w:rsidR="00A75C0F" w:rsidRPr="008A26D2" w:rsidRDefault="00A75C0F" w:rsidP="00AF5836">
            <w:pPr>
              <w:ind w:left="322" w:hanging="322"/>
              <w:jc w:val="both"/>
              <w:rPr>
                <w:rFonts w:ascii="Arial" w:hAnsi="Arial" w:cs="Arial"/>
                <w:strike/>
                <w:sz w:val="20"/>
                <w:szCs w:val="20"/>
              </w:rPr>
            </w:pPr>
            <w:r w:rsidRPr="008A26D2">
              <w:rPr>
                <w:rFonts w:ascii="Arial" w:hAnsi="Arial" w:cs="Arial"/>
                <w:bCs/>
                <w:sz w:val="20"/>
                <w:szCs w:val="20"/>
              </w:rPr>
              <w:t xml:space="preserve">A = Número de </w:t>
            </w:r>
            <w:r w:rsidRPr="008A26D2">
              <w:rPr>
                <w:rFonts w:ascii="Arial" w:eastAsia="Arial Narrow" w:hAnsi="Arial" w:cs="Arial"/>
                <w:sz w:val="20"/>
                <w:szCs w:val="20"/>
              </w:rPr>
              <w:t>titulares de manejo de vicuña con alto grado de satisfacción sobre las capacitaciones recibidas en el cumplimiento de criterios técnicos y normativos para el proceso de transformación de productos de fibra de vicuña</w:t>
            </w:r>
          </w:p>
          <w:p w14:paraId="0D442197" w14:textId="77777777" w:rsidR="00A75C0F" w:rsidRPr="008A26D2" w:rsidRDefault="00A75C0F" w:rsidP="00AF5836">
            <w:pPr>
              <w:ind w:left="322" w:hanging="322"/>
              <w:jc w:val="both"/>
              <w:rPr>
                <w:rFonts w:ascii="Arial" w:eastAsia="Arial Narrow" w:hAnsi="Arial" w:cs="Arial"/>
                <w:sz w:val="20"/>
                <w:szCs w:val="20"/>
              </w:rPr>
            </w:pPr>
            <w:r w:rsidRPr="008A26D2">
              <w:rPr>
                <w:rFonts w:ascii="Arial" w:hAnsi="Arial" w:cs="Arial"/>
                <w:bCs/>
                <w:sz w:val="20"/>
                <w:szCs w:val="20"/>
              </w:rPr>
              <w:t xml:space="preserve">B = Total de </w:t>
            </w:r>
            <w:r w:rsidRPr="008A26D2">
              <w:rPr>
                <w:rFonts w:ascii="Arial" w:eastAsia="Arial Narrow" w:hAnsi="Arial" w:cs="Arial"/>
                <w:sz w:val="20"/>
                <w:szCs w:val="20"/>
              </w:rPr>
              <w:t>titulares de manejo de vicuña</w:t>
            </w:r>
            <w:r w:rsidRPr="008A26D2">
              <w:rPr>
                <w:rFonts w:ascii="Arial" w:hAnsi="Arial" w:cs="Arial"/>
                <w:bCs/>
                <w:sz w:val="20"/>
                <w:szCs w:val="20"/>
              </w:rPr>
              <w:t xml:space="preserve"> que reciben capacitación </w:t>
            </w:r>
            <w:r w:rsidRPr="008A26D2">
              <w:rPr>
                <w:rFonts w:ascii="Arial" w:eastAsia="Arial Narrow" w:hAnsi="Arial" w:cs="Arial"/>
                <w:sz w:val="20"/>
                <w:szCs w:val="20"/>
              </w:rPr>
              <w:t xml:space="preserve">en el cumplimiento de criterios técnicos y normativos para el proceso de transformación de productos de fibra de vicuña </w:t>
            </w:r>
          </w:p>
          <w:p w14:paraId="09C95767" w14:textId="77777777" w:rsidR="00A75C0F" w:rsidRPr="008A26D2" w:rsidRDefault="00A75C0F" w:rsidP="00AF5836">
            <w:pPr>
              <w:numPr>
                <w:ilvl w:val="0"/>
                <w:numId w:val="23"/>
              </w:numPr>
              <w:pBdr>
                <w:top w:val="nil"/>
                <w:left w:val="nil"/>
                <w:bottom w:val="nil"/>
                <w:right w:val="nil"/>
                <w:between w:val="nil"/>
              </w:pBdr>
              <w:spacing w:before="120" w:after="200" w:line="264" w:lineRule="auto"/>
              <w:ind w:left="315" w:hanging="315"/>
              <w:jc w:val="both"/>
              <w:rPr>
                <w:rFonts w:ascii="Arial" w:eastAsia="Arial Narrow" w:hAnsi="Arial" w:cs="Arial"/>
                <w:b/>
                <w:sz w:val="20"/>
                <w:szCs w:val="20"/>
              </w:rPr>
            </w:pPr>
            <w:r w:rsidRPr="008A26D2">
              <w:rPr>
                <w:rFonts w:ascii="Arial" w:eastAsia="Arial Narrow" w:hAnsi="Arial" w:cs="Arial"/>
                <w:b/>
                <w:sz w:val="20"/>
                <w:szCs w:val="20"/>
              </w:rPr>
              <w:t>Especificaciones técnicas:</w:t>
            </w:r>
          </w:p>
          <w:p w14:paraId="0C2AD114" w14:textId="77777777" w:rsidR="00A75C0F" w:rsidRPr="00266453" w:rsidRDefault="00A75C0F" w:rsidP="00AF5836">
            <w:pPr>
              <w:jc w:val="both"/>
              <w:rPr>
                <w:rFonts w:ascii="Arial" w:eastAsia="Times New Roman" w:hAnsi="Arial" w:cs="Arial"/>
                <w:sz w:val="20"/>
                <w:szCs w:val="20"/>
                <w:lang w:val="es-ES"/>
              </w:rPr>
            </w:pPr>
            <w:r w:rsidRPr="00266453">
              <w:rPr>
                <w:rFonts w:ascii="Arial" w:eastAsia="Times New Roman" w:hAnsi="Arial" w:cs="Arial"/>
                <w:sz w:val="20"/>
                <w:szCs w:val="20"/>
                <w:lang w:val="es-ES"/>
              </w:rPr>
              <w:t>La variable A se determina a partir de los titulares de manejo de vicuña que tienen un alto grado de satisfacción, al elegir los dos niveles más altos de la escala, sobre las acciones de fortalecimiento de capacidades recibidas.</w:t>
            </w:r>
          </w:p>
          <w:p w14:paraId="61A3AAC1" w14:textId="5724639C" w:rsidR="00A75C0F" w:rsidRDefault="00A75C0F" w:rsidP="00AF5836">
            <w:pPr>
              <w:jc w:val="both"/>
              <w:rPr>
                <w:rFonts w:ascii="Arial" w:eastAsia="Times New Roman" w:hAnsi="Arial" w:cs="Arial"/>
                <w:sz w:val="20"/>
                <w:szCs w:val="20"/>
                <w:lang w:val="es-ES"/>
              </w:rPr>
            </w:pPr>
            <w:r w:rsidRPr="00266453">
              <w:rPr>
                <w:rFonts w:ascii="Arial" w:eastAsia="Times New Roman" w:hAnsi="Arial" w:cs="Arial"/>
                <w:sz w:val="20"/>
                <w:szCs w:val="20"/>
                <w:lang w:val="es-ES"/>
              </w:rPr>
              <w:t xml:space="preserve">La variable B se determina con el total de </w:t>
            </w:r>
            <w:r w:rsidRPr="00DF22CB">
              <w:rPr>
                <w:rFonts w:ascii="Arial" w:eastAsia="Times New Roman" w:hAnsi="Arial" w:cs="Arial"/>
                <w:sz w:val="20"/>
                <w:szCs w:val="20"/>
                <w:lang w:val="es-ES"/>
              </w:rPr>
              <w:t xml:space="preserve">titulares de manejo de vicuña </w:t>
            </w:r>
            <w:r w:rsidRPr="00266453">
              <w:rPr>
                <w:rFonts w:ascii="Arial" w:eastAsia="Times New Roman" w:hAnsi="Arial" w:cs="Arial"/>
                <w:sz w:val="20"/>
                <w:szCs w:val="20"/>
                <w:lang w:val="es-ES"/>
              </w:rPr>
              <w:t>que asisten a las capacitaciones</w:t>
            </w:r>
            <w:r w:rsidR="00F73442">
              <w:rPr>
                <w:rFonts w:ascii="Arial" w:eastAsia="Times New Roman" w:hAnsi="Arial" w:cs="Arial"/>
                <w:sz w:val="20"/>
                <w:szCs w:val="20"/>
                <w:lang w:val="es-ES"/>
              </w:rPr>
              <w:t xml:space="preserve"> en el año de medición</w:t>
            </w:r>
            <w:r>
              <w:rPr>
                <w:rFonts w:ascii="Arial" w:eastAsia="Times New Roman" w:hAnsi="Arial" w:cs="Arial"/>
                <w:sz w:val="20"/>
                <w:szCs w:val="20"/>
                <w:lang w:val="es-ES"/>
              </w:rPr>
              <w:t>.</w:t>
            </w:r>
          </w:p>
          <w:p w14:paraId="5EDA9AAF" w14:textId="77777777" w:rsidR="00A75C0F" w:rsidRPr="008A26D2" w:rsidRDefault="00A75C0F" w:rsidP="00AF5836">
            <w:pPr>
              <w:jc w:val="both"/>
              <w:rPr>
                <w:rFonts w:ascii="Arial" w:eastAsia="Times New Roman" w:hAnsi="Arial" w:cs="Arial"/>
                <w:sz w:val="20"/>
                <w:szCs w:val="20"/>
                <w:lang w:val="es-ES"/>
              </w:rPr>
            </w:pPr>
            <w:r w:rsidRPr="008A26D2">
              <w:rPr>
                <w:rFonts w:ascii="Arial" w:eastAsia="Times New Roman" w:hAnsi="Arial" w:cs="Arial"/>
                <w:sz w:val="20"/>
                <w:szCs w:val="20"/>
                <w:lang w:val="es-ES"/>
              </w:rPr>
              <w:lastRenderedPageBreak/>
              <w:t>El indicador se calculará a partir de encuestas o entrevistas donde se pueda registrar el grado de satisfacción de los titulares de manejo que reciben la capacitación, identificando aquellos aspectos del servicio que se pueden mejorar y satisfacer al receptor.</w:t>
            </w:r>
          </w:p>
          <w:p w14:paraId="036D0CFC" w14:textId="77777777" w:rsidR="00A75C0F" w:rsidRPr="008A26D2" w:rsidRDefault="00A75C0F" w:rsidP="00AF5836">
            <w:pPr>
              <w:jc w:val="both"/>
              <w:rPr>
                <w:rFonts w:ascii="Arial" w:hAnsi="Arial" w:cs="Arial"/>
                <w:bCs/>
                <w:sz w:val="20"/>
                <w:szCs w:val="20"/>
              </w:rPr>
            </w:pPr>
            <w:r w:rsidRPr="008A26D2">
              <w:rPr>
                <w:rFonts w:ascii="Arial" w:hAnsi="Arial" w:cs="Arial"/>
                <w:bCs/>
                <w:sz w:val="20"/>
                <w:szCs w:val="20"/>
              </w:rPr>
              <w:t>Para evaluar el grado de satisfacción se considerará los alcances metodológicos señalados en el Protocolo de Capacitación y Asistencia Técnica del SERFOR.</w:t>
            </w:r>
          </w:p>
          <w:p w14:paraId="214AD60F" w14:textId="77777777" w:rsidR="00A75C0F" w:rsidRPr="008A26D2" w:rsidRDefault="00A75C0F" w:rsidP="00AF5836">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No se cuenta con línea base, por ese motivo, el SERFOR determinará la línea base para su cálculo antes del inicio de la implementación de la presente Política Nacional.</w:t>
            </w:r>
          </w:p>
          <w:p w14:paraId="4F02CB26" w14:textId="77777777" w:rsidR="00A75C0F" w:rsidRPr="008A26D2" w:rsidRDefault="00A75C0F" w:rsidP="00AF5836">
            <w:pPr>
              <w:spacing w:after="0" w:line="240" w:lineRule="auto"/>
              <w:jc w:val="both"/>
              <w:rPr>
                <w:rFonts w:ascii="Arial" w:eastAsia="Arial Narrow" w:hAnsi="Arial" w:cs="Arial"/>
                <w:sz w:val="20"/>
                <w:szCs w:val="20"/>
              </w:rPr>
            </w:pPr>
          </w:p>
          <w:p w14:paraId="39385882" w14:textId="77777777" w:rsidR="00A75C0F" w:rsidRPr="008A26D2" w:rsidRDefault="00A75C0F" w:rsidP="00AF5836">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Un titular de manejo es la organización que tiene el título habilitante que le permite el acceso al recurso para la conservación, manejo, aprovechamiento, transformación y comercialización. Puede ser una asociación, comunidad campesina, empresa comunal, persona natural, entre otros.</w:t>
            </w:r>
          </w:p>
          <w:p w14:paraId="41A835B0" w14:textId="77777777" w:rsidR="00A75C0F" w:rsidRPr="008A26D2" w:rsidRDefault="00A75C0F" w:rsidP="00AF5836">
            <w:pPr>
              <w:spacing w:after="0" w:line="240" w:lineRule="auto"/>
              <w:jc w:val="both"/>
              <w:rPr>
                <w:rFonts w:ascii="Arial" w:eastAsia="Arial Narrow" w:hAnsi="Arial" w:cs="Arial"/>
                <w:strike/>
                <w:sz w:val="20"/>
                <w:szCs w:val="20"/>
              </w:rPr>
            </w:pPr>
          </w:p>
        </w:tc>
      </w:tr>
      <w:tr w:rsidR="00A75C0F" w:rsidRPr="008A26D2" w14:paraId="6BB77EEA" w14:textId="77777777" w:rsidTr="00AF5836">
        <w:trPr>
          <w:trHeight w:val="686"/>
        </w:trPr>
        <w:tc>
          <w:tcPr>
            <w:tcW w:w="2428" w:type="dxa"/>
            <w:gridSpan w:val="3"/>
            <w:shd w:val="clear" w:color="auto" w:fill="auto"/>
            <w:tcMar>
              <w:top w:w="10" w:type="dxa"/>
              <w:left w:w="93" w:type="dxa"/>
              <w:bottom w:w="0" w:type="dxa"/>
              <w:right w:w="10" w:type="dxa"/>
            </w:tcMar>
            <w:vAlign w:val="center"/>
          </w:tcPr>
          <w:p w14:paraId="12BC8E56" w14:textId="77777777" w:rsidR="00A75C0F" w:rsidRPr="008A26D2" w:rsidRDefault="00A75C0F" w:rsidP="00AF5836">
            <w:pPr>
              <w:jc w:val="both"/>
              <w:rPr>
                <w:rFonts w:ascii="Arial" w:eastAsia="Arial Narrow" w:hAnsi="Arial" w:cs="Arial"/>
                <w:sz w:val="20"/>
                <w:szCs w:val="20"/>
              </w:rPr>
            </w:pPr>
            <w:r w:rsidRPr="008A26D2">
              <w:rPr>
                <w:rFonts w:ascii="Arial" w:eastAsia="Arial Narrow" w:hAnsi="Arial" w:cs="Arial"/>
                <w:b/>
                <w:sz w:val="20"/>
                <w:szCs w:val="20"/>
              </w:rPr>
              <w:lastRenderedPageBreak/>
              <w:t>Sentido esperado del indicador:</w:t>
            </w:r>
          </w:p>
        </w:tc>
        <w:tc>
          <w:tcPr>
            <w:tcW w:w="1683" w:type="dxa"/>
            <w:gridSpan w:val="3"/>
            <w:shd w:val="clear" w:color="auto" w:fill="auto"/>
            <w:tcMar>
              <w:top w:w="10" w:type="dxa"/>
              <w:left w:w="283" w:type="dxa"/>
              <w:bottom w:w="0" w:type="dxa"/>
              <w:right w:w="283" w:type="dxa"/>
            </w:tcMar>
            <w:vAlign w:val="center"/>
          </w:tcPr>
          <w:p w14:paraId="66AD45BE" w14:textId="77777777" w:rsidR="00A75C0F" w:rsidRPr="008A26D2" w:rsidRDefault="00A75C0F" w:rsidP="00AF5836">
            <w:pPr>
              <w:jc w:val="both"/>
              <w:rPr>
                <w:rFonts w:ascii="Arial" w:eastAsia="Arial Narrow" w:hAnsi="Arial" w:cs="Arial"/>
                <w:sz w:val="20"/>
                <w:szCs w:val="20"/>
              </w:rPr>
            </w:pPr>
            <w:r w:rsidRPr="008A26D2">
              <w:rPr>
                <w:rFonts w:ascii="Arial" w:eastAsia="Arial Narrow" w:hAnsi="Arial" w:cs="Arial"/>
                <w:sz w:val="20"/>
                <w:szCs w:val="20"/>
              </w:rPr>
              <w:t>Ascendente</w:t>
            </w:r>
          </w:p>
        </w:tc>
        <w:tc>
          <w:tcPr>
            <w:tcW w:w="3143" w:type="dxa"/>
            <w:gridSpan w:val="5"/>
            <w:shd w:val="clear" w:color="auto" w:fill="auto"/>
            <w:tcMar>
              <w:top w:w="15" w:type="dxa"/>
              <w:left w:w="15" w:type="dxa"/>
              <w:bottom w:w="0" w:type="dxa"/>
              <w:right w:w="15" w:type="dxa"/>
            </w:tcMar>
            <w:vAlign w:val="center"/>
          </w:tcPr>
          <w:p w14:paraId="20597553" w14:textId="77777777" w:rsidR="00A75C0F" w:rsidRPr="008A26D2" w:rsidRDefault="00A75C0F" w:rsidP="00AF5836">
            <w:pPr>
              <w:jc w:val="both"/>
              <w:rPr>
                <w:rFonts w:ascii="Arial" w:eastAsia="Arial Narrow" w:hAnsi="Arial" w:cs="Arial"/>
                <w:sz w:val="20"/>
                <w:szCs w:val="20"/>
              </w:rPr>
            </w:pPr>
            <w:r w:rsidRPr="008A26D2">
              <w:rPr>
                <w:rFonts w:ascii="Arial" w:eastAsia="Arial Narrow" w:hAnsi="Arial" w:cs="Arial"/>
                <w:b/>
                <w:sz w:val="20"/>
                <w:szCs w:val="20"/>
              </w:rPr>
              <w:t>Tipo de indicador de servicio:</w:t>
            </w:r>
          </w:p>
        </w:tc>
        <w:tc>
          <w:tcPr>
            <w:tcW w:w="1535" w:type="dxa"/>
            <w:gridSpan w:val="2"/>
            <w:shd w:val="clear" w:color="auto" w:fill="auto"/>
            <w:tcMar>
              <w:top w:w="15" w:type="dxa"/>
              <w:left w:w="15" w:type="dxa"/>
              <w:bottom w:w="0" w:type="dxa"/>
              <w:right w:w="15" w:type="dxa"/>
            </w:tcMar>
            <w:vAlign w:val="center"/>
          </w:tcPr>
          <w:p w14:paraId="22F6A8D3" w14:textId="77777777" w:rsidR="00A75C0F" w:rsidRPr="008A26D2" w:rsidRDefault="00A75C0F" w:rsidP="00AF5836">
            <w:pPr>
              <w:jc w:val="both"/>
              <w:rPr>
                <w:rFonts w:ascii="Arial" w:eastAsia="Arial Narrow" w:hAnsi="Arial" w:cs="Arial"/>
                <w:sz w:val="20"/>
                <w:szCs w:val="20"/>
              </w:rPr>
            </w:pPr>
            <w:r w:rsidRPr="008A26D2">
              <w:rPr>
                <w:rFonts w:ascii="Arial" w:eastAsia="Arial Narrow" w:hAnsi="Arial" w:cs="Arial"/>
                <w:sz w:val="20"/>
                <w:szCs w:val="20"/>
              </w:rPr>
              <w:t> Calidad - Percepción</w:t>
            </w:r>
          </w:p>
        </w:tc>
      </w:tr>
      <w:tr w:rsidR="00A75C0F" w:rsidRPr="008A26D2" w14:paraId="67AE8693" w14:textId="77777777" w:rsidTr="00AF5836">
        <w:trPr>
          <w:trHeight w:val="13"/>
        </w:trPr>
        <w:tc>
          <w:tcPr>
            <w:tcW w:w="2428" w:type="dxa"/>
            <w:gridSpan w:val="3"/>
            <w:shd w:val="clear" w:color="auto" w:fill="auto"/>
            <w:tcMar>
              <w:top w:w="10" w:type="dxa"/>
              <w:left w:w="93" w:type="dxa"/>
              <w:bottom w:w="0" w:type="dxa"/>
              <w:right w:w="10" w:type="dxa"/>
            </w:tcMar>
            <w:vAlign w:val="center"/>
          </w:tcPr>
          <w:p w14:paraId="798CD628" w14:textId="77777777" w:rsidR="00A75C0F" w:rsidRPr="008A26D2" w:rsidRDefault="00A75C0F" w:rsidP="00AF5836">
            <w:pPr>
              <w:jc w:val="both"/>
              <w:rPr>
                <w:rFonts w:ascii="Arial" w:eastAsia="Arial Narrow" w:hAnsi="Arial" w:cs="Arial"/>
                <w:sz w:val="20"/>
                <w:szCs w:val="20"/>
              </w:rPr>
            </w:pPr>
            <w:r w:rsidRPr="008A26D2">
              <w:rPr>
                <w:rFonts w:ascii="Arial" w:eastAsia="Arial Narrow" w:hAnsi="Arial" w:cs="Arial"/>
                <w:b/>
                <w:sz w:val="20"/>
                <w:szCs w:val="20"/>
              </w:rPr>
              <w:t>Fuente y base de datos:</w:t>
            </w:r>
          </w:p>
        </w:tc>
        <w:tc>
          <w:tcPr>
            <w:tcW w:w="6361" w:type="dxa"/>
            <w:gridSpan w:val="10"/>
            <w:shd w:val="clear" w:color="auto" w:fill="auto"/>
            <w:tcMar>
              <w:top w:w="51" w:type="dxa"/>
              <w:left w:w="227" w:type="dxa"/>
              <w:bottom w:w="51" w:type="dxa"/>
              <w:right w:w="227" w:type="dxa"/>
            </w:tcMar>
            <w:vAlign w:val="center"/>
          </w:tcPr>
          <w:p w14:paraId="2B00C62D" w14:textId="77777777" w:rsidR="00A75C0F" w:rsidRPr="008A26D2" w:rsidRDefault="00A75C0F" w:rsidP="00AF5836">
            <w:pPr>
              <w:jc w:val="both"/>
              <w:rPr>
                <w:rFonts w:ascii="Arial" w:eastAsia="Arial Narrow" w:hAnsi="Arial" w:cs="Arial"/>
                <w:sz w:val="20"/>
                <w:szCs w:val="20"/>
              </w:rPr>
            </w:pPr>
            <w:r w:rsidRPr="008A26D2">
              <w:rPr>
                <w:rFonts w:ascii="Arial" w:eastAsia="Arial Narrow" w:hAnsi="Arial" w:cs="Arial"/>
                <w:sz w:val="20"/>
                <w:szCs w:val="20"/>
              </w:rPr>
              <w:t xml:space="preserve">Fuente: Dirección de Promoción y Competitividad del </w:t>
            </w:r>
            <w:r>
              <w:rPr>
                <w:rFonts w:ascii="Arial" w:eastAsia="Arial Narrow" w:hAnsi="Arial" w:cs="Arial"/>
                <w:sz w:val="20"/>
                <w:szCs w:val="20"/>
              </w:rPr>
              <w:t xml:space="preserve">Servicio Nacional Forestal y de Fauna Silvestre - </w:t>
            </w:r>
            <w:r w:rsidRPr="008A26D2">
              <w:rPr>
                <w:rFonts w:ascii="Arial" w:eastAsia="Arial Narrow" w:hAnsi="Arial" w:cs="Arial"/>
                <w:sz w:val="20"/>
                <w:szCs w:val="20"/>
              </w:rPr>
              <w:t>SERFOR</w:t>
            </w:r>
          </w:p>
          <w:p w14:paraId="57BF79BF" w14:textId="18626FF9" w:rsidR="00A75C0F" w:rsidRPr="008A26D2" w:rsidRDefault="00A75C0F" w:rsidP="00AF5836">
            <w:pPr>
              <w:jc w:val="both"/>
              <w:rPr>
                <w:rFonts w:ascii="Arial" w:eastAsia="Arial Narrow" w:hAnsi="Arial" w:cs="Arial"/>
                <w:sz w:val="20"/>
                <w:szCs w:val="20"/>
              </w:rPr>
            </w:pPr>
            <w:r w:rsidRPr="008A26D2">
              <w:rPr>
                <w:rFonts w:ascii="Arial" w:eastAsia="Arial Narrow" w:hAnsi="Arial" w:cs="Arial"/>
                <w:sz w:val="20"/>
                <w:szCs w:val="20"/>
              </w:rPr>
              <w:t>Base de Datos: Reporte de capacitaciones</w:t>
            </w:r>
            <w:r>
              <w:rPr>
                <w:rFonts w:ascii="Arial" w:eastAsia="Arial Narrow" w:hAnsi="Arial" w:cs="Arial"/>
                <w:sz w:val="20"/>
                <w:szCs w:val="20"/>
              </w:rPr>
              <w:t>.</w:t>
            </w:r>
            <w:r w:rsidRPr="008A26D2">
              <w:rPr>
                <w:rFonts w:ascii="Arial" w:eastAsia="Arial Narrow" w:hAnsi="Arial" w:cs="Arial"/>
                <w:sz w:val="20"/>
                <w:szCs w:val="20"/>
              </w:rPr>
              <w:t xml:space="preserve"> </w:t>
            </w:r>
          </w:p>
        </w:tc>
      </w:tr>
      <w:tr w:rsidR="00A75C0F" w:rsidRPr="008A26D2" w14:paraId="646284A1" w14:textId="77777777" w:rsidTr="00AF5836">
        <w:trPr>
          <w:trHeight w:val="436"/>
        </w:trPr>
        <w:tc>
          <w:tcPr>
            <w:tcW w:w="2428" w:type="dxa"/>
            <w:gridSpan w:val="3"/>
            <w:shd w:val="clear" w:color="auto" w:fill="auto"/>
            <w:tcMar>
              <w:top w:w="10" w:type="dxa"/>
              <w:left w:w="93" w:type="dxa"/>
              <w:bottom w:w="0" w:type="dxa"/>
              <w:right w:w="10" w:type="dxa"/>
            </w:tcMar>
            <w:vAlign w:val="center"/>
          </w:tcPr>
          <w:p w14:paraId="2D6DAEB6" w14:textId="77777777" w:rsidR="00A75C0F" w:rsidRPr="008A26D2" w:rsidRDefault="00A75C0F" w:rsidP="00AF5836">
            <w:pPr>
              <w:jc w:val="both"/>
              <w:rPr>
                <w:rFonts w:ascii="Arial" w:eastAsia="Arial Narrow" w:hAnsi="Arial" w:cs="Arial"/>
                <w:sz w:val="20"/>
                <w:szCs w:val="20"/>
              </w:rPr>
            </w:pPr>
            <w:r w:rsidRPr="008A26D2">
              <w:rPr>
                <w:rFonts w:ascii="Arial" w:eastAsia="Arial Narrow" w:hAnsi="Arial" w:cs="Arial"/>
                <w:b/>
                <w:sz w:val="20"/>
                <w:szCs w:val="20"/>
              </w:rPr>
              <w:t>Supuestos:</w:t>
            </w:r>
          </w:p>
        </w:tc>
        <w:tc>
          <w:tcPr>
            <w:tcW w:w="6361" w:type="dxa"/>
            <w:gridSpan w:val="10"/>
            <w:shd w:val="clear" w:color="auto" w:fill="auto"/>
            <w:tcMar>
              <w:top w:w="51" w:type="dxa"/>
              <w:left w:w="227" w:type="dxa"/>
              <w:bottom w:w="51" w:type="dxa"/>
              <w:right w:w="227" w:type="dxa"/>
            </w:tcMar>
            <w:vAlign w:val="center"/>
          </w:tcPr>
          <w:p w14:paraId="63D458E0" w14:textId="77777777" w:rsidR="00A75C0F" w:rsidRPr="008A26D2" w:rsidRDefault="00A75C0F" w:rsidP="00AF5836">
            <w:pPr>
              <w:jc w:val="both"/>
              <w:rPr>
                <w:rFonts w:ascii="Arial" w:eastAsia="Arial Narrow" w:hAnsi="Arial" w:cs="Arial"/>
                <w:sz w:val="20"/>
                <w:szCs w:val="20"/>
              </w:rPr>
            </w:pPr>
            <w:r w:rsidRPr="008A26D2">
              <w:rPr>
                <w:rFonts w:ascii="Arial" w:eastAsia="Arial Narrow" w:hAnsi="Arial" w:cs="Arial"/>
                <w:sz w:val="20"/>
                <w:szCs w:val="20"/>
              </w:rPr>
              <w:t>No presenta supuestos</w:t>
            </w:r>
          </w:p>
        </w:tc>
      </w:tr>
      <w:tr w:rsidR="00A75C0F" w:rsidRPr="008A26D2" w14:paraId="6129A62C" w14:textId="77777777" w:rsidTr="00307693">
        <w:trPr>
          <w:trHeight w:val="556"/>
        </w:trPr>
        <w:tc>
          <w:tcPr>
            <w:tcW w:w="709" w:type="dxa"/>
            <w:shd w:val="clear" w:color="auto" w:fill="auto"/>
            <w:tcMar>
              <w:top w:w="10" w:type="dxa"/>
              <w:left w:w="10" w:type="dxa"/>
              <w:bottom w:w="0" w:type="dxa"/>
              <w:right w:w="10" w:type="dxa"/>
            </w:tcMar>
            <w:vAlign w:val="center"/>
          </w:tcPr>
          <w:p w14:paraId="32870CF9" w14:textId="77777777" w:rsidR="00A75C0F" w:rsidRPr="008A26D2" w:rsidRDefault="00A75C0F" w:rsidP="00AF5836">
            <w:pPr>
              <w:jc w:val="both"/>
              <w:rPr>
                <w:rFonts w:ascii="Arial" w:eastAsia="Arial Narrow" w:hAnsi="Arial" w:cs="Arial"/>
                <w:sz w:val="20"/>
                <w:szCs w:val="20"/>
              </w:rPr>
            </w:pPr>
            <w:r w:rsidRPr="008A26D2">
              <w:rPr>
                <w:rFonts w:ascii="Arial" w:eastAsia="Arial Narrow" w:hAnsi="Arial" w:cs="Arial"/>
                <w:b/>
                <w:sz w:val="20"/>
                <w:szCs w:val="20"/>
              </w:rPr>
              <w:t> </w:t>
            </w:r>
          </w:p>
        </w:tc>
        <w:tc>
          <w:tcPr>
            <w:tcW w:w="993" w:type="dxa"/>
            <w:shd w:val="clear" w:color="auto" w:fill="auto"/>
            <w:tcMar>
              <w:top w:w="10" w:type="dxa"/>
              <w:left w:w="10" w:type="dxa"/>
              <w:bottom w:w="0" w:type="dxa"/>
              <w:right w:w="10" w:type="dxa"/>
            </w:tcMar>
            <w:vAlign w:val="center"/>
          </w:tcPr>
          <w:p w14:paraId="0209894C" w14:textId="77777777" w:rsidR="00A75C0F" w:rsidRPr="008A26D2" w:rsidRDefault="00A75C0F" w:rsidP="00307693">
            <w:pPr>
              <w:jc w:val="center"/>
              <w:rPr>
                <w:rFonts w:ascii="Arial" w:eastAsia="Arial Narrow" w:hAnsi="Arial" w:cs="Arial"/>
                <w:sz w:val="20"/>
                <w:szCs w:val="20"/>
              </w:rPr>
            </w:pPr>
            <w:r w:rsidRPr="008A26D2">
              <w:rPr>
                <w:rFonts w:ascii="Arial" w:eastAsia="Arial Narrow" w:hAnsi="Arial" w:cs="Arial"/>
                <w:b/>
                <w:sz w:val="20"/>
                <w:szCs w:val="20"/>
              </w:rPr>
              <w:t>Línea de base</w:t>
            </w:r>
          </w:p>
        </w:tc>
        <w:tc>
          <w:tcPr>
            <w:tcW w:w="7087" w:type="dxa"/>
            <w:gridSpan w:val="11"/>
            <w:shd w:val="clear" w:color="auto" w:fill="auto"/>
            <w:tcMar>
              <w:top w:w="10" w:type="dxa"/>
              <w:left w:w="10" w:type="dxa"/>
              <w:bottom w:w="0" w:type="dxa"/>
              <w:right w:w="10" w:type="dxa"/>
            </w:tcMar>
            <w:vAlign w:val="center"/>
          </w:tcPr>
          <w:p w14:paraId="42E4DE1C" w14:textId="77777777" w:rsidR="00A75C0F" w:rsidRPr="008A26D2" w:rsidRDefault="00A75C0F" w:rsidP="00AF5836">
            <w:pPr>
              <w:jc w:val="center"/>
              <w:rPr>
                <w:rFonts w:ascii="Arial" w:eastAsia="Arial Narrow" w:hAnsi="Arial" w:cs="Arial"/>
                <w:sz w:val="20"/>
                <w:szCs w:val="20"/>
              </w:rPr>
            </w:pPr>
            <w:r w:rsidRPr="008A26D2">
              <w:rPr>
                <w:rFonts w:ascii="Arial" w:eastAsia="Arial Narrow" w:hAnsi="Arial" w:cs="Arial"/>
                <w:b/>
                <w:sz w:val="20"/>
                <w:szCs w:val="20"/>
              </w:rPr>
              <w:t>Logros esperados</w:t>
            </w:r>
          </w:p>
        </w:tc>
      </w:tr>
      <w:tr w:rsidR="00A75C0F" w:rsidRPr="008A26D2" w14:paraId="1B5305EF" w14:textId="77777777" w:rsidTr="00307693">
        <w:trPr>
          <w:trHeight w:val="217"/>
        </w:trPr>
        <w:tc>
          <w:tcPr>
            <w:tcW w:w="709" w:type="dxa"/>
            <w:shd w:val="clear" w:color="auto" w:fill="auto"/>
            <w:tcMar>
              <w:top w:w="10" w:type="dxa"/>
              <w:left w:w="10" w:type="dxa"/>
              <w:bottom w:w="0" w:type="dxa"/>
              <w:right w:w="10" w:type="dxa"/>
            </w:tcMar>
            <w:vAlign w:val="center"/>
          </w:tcPr>
          <w:p w14:paraId="15D8DA33" w14:textId="77777777" w:rsidR="00A75C0F" w:rsidRPr="008A26D2" w:rsidRDefault="00A75C0F" w:rsidP="00AF5836">
            <w:pPr>
              <w:jc w:val="both"/>
              <w:rPr>
                <w:rFonts w:ascii="Arial" w:eastAsia="Arial Narrow" w:hAnsi="Arial" w:cs="Arial"/>
                <w:sz w:val="20"/>
                <w:szCs w:val="20"/>
              </w:rPr>
            </w:pPr>
            <w:r w:rsidRPr="008A26D2">
              <w:rPr>
                <w:rFonts w:ascii="Arial" w:eastAsia="Arial Narrow" w:hAnsi="Arial" w:cs="Arial"/>
                <w:b/>
                <w:sz w:val="20"/>
                <w:szCs w:val="20"/>
              </w:rPr>
              <w:t>Año</w:t>
            </w:r>
          </w:p>
        </w:tc>
        <w:tc>
          <w:tcPr>
            <w:tcW w:w="993" w:type="dxa"/>
            <w:shd w:val="clear" w:color="auto" w:fill="auto"/>
            <w:tcMar>
              <w:top w:w="10" w:type="dxa"/>
              <w:left w:w="10" w:type="dxa"/>
              <w:bottom w:w="0" w:type="dxa"/>
              <w:right w:w="10" w:type="dxa"/>
            </w:tcMar>
            <w:vAlign w:val="center"/>
          </w:tcPr>
          <w:p w14:paraId="3B37A5CD" w14:textId="77777777" w:rsidR="00A75C0F" w:rsidRPr="008A26D2" w:rsidRDefault="00A75C0F" w:rsidP="00AF5836">
            <w:pPr>
              <w:jc w:val="center"/>
              <w:rPr>
                <w:rFonts w:ascii="Arial" w:eastAsia="Arial Narrow" w:hAnsi="Arial" w:cs="Arial"/>
                <w:b/>
                <w:sz w:val="20"/>
                <w:szCs w:val="20"/>
              </w:rPr>
            </w:pPr>
            <w:r w:rsidRPr="008A26D2">
              <w:rPr>
                <w:rFonts w:ascii="Arial" w:eastAsia="Arial Narrow" w:hAnsi="Arial" w:cs="Arial"/>
                <w:b/>
                <w:sz w:val="20"/>
                <w:szCs w:val="20"/>
              </w:rPr>
              <w:t>2022</w:t>
            </w:r>
          </w:p>
        </w:tc>
        <w:tc>
          <w:tcPr>
            <w:tcW w:w="850" w:type="dxa"/>
            <w:gridSpan w:val="2"/>
            <w:shd w:val="clear" w:color="auto" w:fill="auto"/>
            <w:tcMar>
              <w:top w:w="10" w:type="dxa"/>
              <w:left w:w="10" w:type="dxa"/>
              <w:bottom w:w="0" w:type="dxa"/>
              <w:right w:w="10" w:type="dxa"/>
            </w:tcMar>
            <w:vAlign w:val="center"/>
          </w:tcPr>
          <w:p w14:paraId="60E08A0E" w14:textId="77777777" w:rsidR="00A75C0F" w:rsidRPr="008A26D2" w:rsidRDefault="00A75C0F" w:rsidP="00AF5836">
            <w:pPr>
              <w:jc w:val="center"/>
              <w:rPr>
                <w:rFonts w:ascii="Arial" w:eastAsia="Arial Narrow" w:hAnsi="Arial" w:cs="Arial"/>
                <w:b/>
                <w:sz w:val="20"/>
                <w:szCs w:val="20"/>
              </w:rPr>
            </w:pPr>
            <w:r w:rsidRPr="008A26D2">
              <w:rPr>
                <w:rFonts w:ascii="Arial" w:eastAsia="Arial Narrow" w:hAnsi="Arial" w:cs="Arial"/>
                <w:b/>
                <w:sz w:val="20"/>
                <w:szCs w:val="20"/>
              </w:rPr>
              <w:t>2023</w:t>
            </w:r>
          </w:p>
        </w:tc>
        <w:tc>
          <w:tcPr>
            <w:tcW w:w="851" w:type="dxa"/>
            <w:shd w:val="clear" w:color="auto" w:fill="auto"/>
            <w:vAlign w:val="center"/>
          </w:tcPr>
          <w:p w14:paraId="211D1A19" w14:textId="77777777" w:rsidR="00A75C0F" w:rsidRPr="008A26D2" w:rsidRDefault="00A75C0F" w:rsidP="00AF5836">
            <w:pPr>
              <w:jc w:val="center"/>
              <w:rPr>
                <w:rFonts w:ascii="Arial" w:eastAsia="Arial Narrow" w:hAnsi="Arial" w:cs="Arial"/>
                <w:b/>
                <w:sz w:val="20"/>
                <w:szCs w:val="20"/>
              </w:rPr>
            </w:pPr>
            <w:r w:rsidRPr="008A26D2">
              <w:rPr>
                <w:rFonts w:ascii="Arial" w:eastAsia="Arial Narrow" w:hAnsi="Arial" w:cs="Arial"/>
                <w:b/>
                <w:sz w:val="20"/>
                <w:szCs w:val="20"/>
              </w:rPr>
              <w:t>2024</w:t>
            </w:r>
          </w:p>
        </w:tc>
        <w:tc>
          <w:tcPr>
            <w:tcW w:w="865" w:type="dxa"/>
            <w:gridSpan w:val="2"/>
            <w:shd w:val="clear" w:color="auto" w:fill="auto"/>
            <w:vAlign w:val="center"/>
          </w:tcPr>
          <w:p w14:paraId="747EF0D8" w14:textId="77777777" w:rsidR="00A75C0F" w:rsidRPr="008A26D2" w:rsidRDefault="00A75C0F" w:rsidP="00AF5836">
            <w:pPr>
              <w:jc w:val="center"/>
              <w:rPr>
                <w:rFonts w:ascii="Arial" w:eastAsia="Arial Narrow" w:hAnsi="Arial" w:cs="Arial"/>
                <w:b/>
                <w:sz w:val="20"/>
                <w:szCs w:val="20"/>
              </w:rPr>
            </w:pPr>
            <w:r w:rsidRPr="008A26D2">
              <w:rPr>
                <w:rFonts w:ascii="Arial" w:eastAsia="Arial Narrow" w:hAnsi="Arial" w:cs="Arial"/>
                <w:b/>
                <w:sz w:val="20"/>
                <w:szCs w:val="20"/>
              </w:rPr>
              <w:t>2025</w:t>
            </w:r>
          </w:p>
        </w:tc>
        <w:tc>
          <w:tcPr>
            <w:tcW w:w="992" w:type="dxa"/>
            <w:shd w:val="clear" w:color="auto" w:fill="auto"/>
            <w:vAlign w:val="center"/>
          </w:tcPr>
          <w:p w14:paraId="44EA7E69" w14:textId="77777777" w:rsidR="00A75C0F" w:rsidRPr="008A26D2" w:rsidRDefault="00A75C0F" w:rsidP="00AF5836">
            <w:pPr>
              <w:jc w:val="center"/>
              <w:rPr>
                <w:rFonts w:ascii="Arial" w:eastAsia="Arial Narrow" w:hAnsi="Arial" w:cs="Arial"/>
                <w:b/>
                <w:sz w:val="20"/>
                <w:szCs w:val="20"/>
              </w:rPr>
            </w:pPr>
            <w:r w:rsidRPr="008A26D2">
              <w:rPr>
                <w:rFonts w:ascii="Arial" w:eastAsia="Arial Narrow" w:hAnsi="Arial" w:cs="Arial"/>
                <w:b/>
                <w:sz w:val="20"/>
                <w:szCs w:val="20"/>
              </w:rPr>
              <w:t>2026</w:t>
            </w:r>
          </w:p>
        </w:tc>
        <w:tc>
          <w:tcPr>
            <w:tcW w:w="993" w:type="dxa"/>
            <w:shd w:val="clear" w:color="auto" w:fill="auto"/>
            <w:vAlign w:val="center"/>
          </w:tcPr>
          <w:p w14:paraId="73006A5E" w14:textId="77777777" w:rsidR="00A75C0F" w:rsidRPr="008A26D2" w:rsidRDefault="00A75C0F" w:rsidP="00AF5836">
            <w:pPr>
              <w:jc w:val="center"/>
              <w:rPr>
                <w:rFonts w:ascii="Arial" w:eastAsia="Arial Narrow" w:hAnsi="Arial" w:cs="Arial"/>
                <w:b/>
                <w:sz w:val="20"/>
                <w:szCs w:val="20"/>
              </w:rPr>
            </w:pPr>
            <w:r w:rsidRPr="008A26D2">
              <w:rPr>
                <w:rFonts w:ascii="Arial" w:eastAsia="Arial Narrow" w:hAnsi="Arial" w:cs="Arial"/>
                <w:b/>
                <w:sz w:val="20"/>
                <w:szCs w:val="20"/>
              </w:rPr>
              <w:t>2027</w:t>
            </w:r>
          </w:p>
        </w:tc>
        <w:tc>
          <w:tcPr>
            <w:tcW w:w="992" w:type="dxa"/>
            <w:shd w:val="clear" w:color="auto" w:fill="auto"/>
            <w:vAlign w:val="center"/>
          </w:tcPr>
          <w:p w14:paraId="71FD8B63" w14:textId="77777777" w:rsidR="00A75C0F" w:rsidRPr="008A26D2" w:rsidRDefault="00A75C0F" w:rsidP="00AF5836">
            <w:pPr>
              <w:jc w:val="center"/>
              <w:rPr>
                <w:rFonts w:ascii="Arial" w:eastAsia="Arial Narrow" w:hAnsi="Arial" w:cs="Arial"/>
                <w:b/>
                <w:sz w:val="20"/>
                <w:szCs w:val="20"/>
              </w:rPr>
            </w:pPr>
            <w:r w:rsidRPr="008A26D2">
              <w:rPr>
                <w:rFonts w:ascii="Arial" w:eastAsia="Arial Narrow" w:hAnsi="Arial" w:cs="Arial"/>
                <w:b/>
                <w:sz w:val="20"/>
                <w:szCs w:val="20"/>
              </w:rPr>
              <w:t>2028</w:t>
            </w:r>
          </w:p>
        </w:tc>
        <w:tc>
          <w:tcPr>
            <w:tcW w:w="850" w:type="dxa"/>
            <w:gridSpan w:val="2"/>
            <w:shd w:val="clear" w:color="auto" w:fill="auto"/>
            <w:vAlign w:val="center"/>
          </w:tcPr>
          <w:p w14:paraId="26D93CE4" w14:textId="77777777" w:rsidR="00A75C0F" w:rsidRPr="008A26D2" w:rsidRDefault="00A75C0F" w:rsidP="00AF5836">
            <w:pPr>
              <w:jc w:val="center"/>
              <w:rPr>
                <w:rFonts w:ascii="Arial" w:eastAsia="Arial Narrow" w:hAnsi="Arial" w:cs="Arial"/>
                <w:b/>
                <w:sz w:val="20"/>
                <w:szCs w:val="20"/>
              </w:rPr>
            </w:pPr>
            <w:r w:rsidRPr="008A26D2">
              <w:rPr>
                <w:rFonts w:ascii="Arial" w:eastAsia="Arial Narrow" w:hAnsi="Arial" w:cs="Arial"/>
                <w:b/>
                <w:sz w:val="20"/>
                <w:szCs w:val="20"/>
              </w:rPr>
              <w:t>2029</w:t>
            </w:r>
          </w:p>
        </w:tc>
        <w:tc>
          <w:tcPr>
            <w:tcW w:w="694" w:type="dxa"/>
            <w:shd w:val="clear" w:color="auto" w:fill="auto"/>
            <w:tcMar>
              <w:top w:w="10" w:type="dxa"/>
              <w:left w:w="10" w:type="dxa"/>
              <w:bottom w:w="0" w:type="dxa"/>
              <w:right w:w="10" w:type="dxa"/>
            </w:tcMar>
            <w:vAlign w:val="center"/>
          </w:tcPr>
          <w:p w14:paraId="7701CE44" w14:textId="77777777" w:rsidR="00A75C0F" w:rsidRPr="008A26D2" w:rsidRDefault="00A75C0F" w:rsidP="00AF5836">
            <w:pPr>
              <w:jc w:val="center"/>
              <w:rPr>
                <w:rFonts w:ascii="Arial" w:eastAsia="Arial Narrow" w:hAnsi="Arial" w:cs="Arial"/>
                <w:b/>
                <w:sz w:val="20"/>
                <w:szCs w:val="20"/>
              </w:rPr>
            </w:pPr>
            <w:r w:rsidRPr="008A26D2">
              <w:rPr>
                <w:rFonts w:ascii="Arial" w:eastAsia="Arial Narrow" w:hAnsi="Arial" w:cs="Arial"/>
                <w:b/>
                <w:sz w:val="20"/>
                <w:szCs w:val="20"/>
              </w:rPr>
              <w:t>2030</w:t>
            </w:r>
          </w:p>
        </w:tc>
      </w:tr>
      <w:tr w:rsidR="00A75C0F" w:rsidRPr="008A26D2" w14:paraId="4005F2C6" w14:textId="77777777" w:rsidTr="00307693">
        <w:trPr>
          <w:trHeight w:val="81"/>
        </w:trPr>
        <w:tc>
          <w:tcPr>
            <w:tcW w:w="709" w:type="dxa"/>
            <w:shd w:val="clear" w:color="auto" w:fill="auto"/>
            <w:tcMar>
              <w:top w:w="10" w:type="dxa"/>
              <w:left w:w="10" w:type="dxa"/>
              <w:bottom w:w="0" w:type="dxa"/>
              <w:right w:w="10" w:type="dxa"/>
            </w:tcMar>
            <w:vAlign w:val="center"/>
          </w:tcPr>
          <w:p w14:paraId="5B1765C8" w14:textId="77777777" w:rsidR="00A75C0F" w:rsidRPr="008A26D2" w:rsidRDefault="00A75C0F" w:rsidP="00AF5836">
            <w:pPr>
              <w:jc w:val="both"/>
              <w:rPr>
                <w:rFonts w:ascii="Arial" w:eastAsia="Arial Narrow" w:hAnsi="Arial" w:cs="Arial"/>
                <w:sz w:val="20"/>
                <w:szCs w:val="20"/>
              </w:rPr>
            </w:pPr>
            <w:r w:rsidRPr="008A26D2">
              <w:rPr>
                <w:rFonts w:ascii="Arial" w:eastAsia="Arial Narrow" w:hAnsi="Arial" w:cs="Arial"/>
                <w:b/>
                <w:sz w:val="20"/>
                <w:szCs w:val="20"/>
              </w:rPr>
              <w:t>Valor</w:t>
            </w:r>
          </w:p>
        </w:tc>
        <w:tc>
          <w:tcPr>
            <w:tcW w:w="993" w:type="dxa"/>
            <w:shd w:val="clear" w:color="auto" w:fill="auto"/>
            <w:tcMar>
              <w:top w:w="10" w:type="dxa"/>
              <w:left w:w="10" w:type="dxa"/>
              <w:bottom w:w="0" w:type="dxa"/>
              <w:right w:w="10" w:type="dxa"/>
            </w:tcMar>
            <w:vAlign w:val="center"/>
          </w:tcPr>
          <w:p w14:paraId="2BA8A032" w14:textId="77777777" w:rsidR="00A75C0F" w:rsidRPr="00307693" w:rsidRDefault="00A75C0F" w:rsidP="00AF5836">
            <w:pPr>
              <w:spacing w:after="0" w:line="240" w:lineRule="auto"/>
              <w:jc w:val="center"/>
              <w:rPr>
                <w:rFonts w:ascii="Arial" w:eastAsia="Arial Narrow" w:hAnsi="Arial" w:cs="Arial"/>
                <w:sz w:val="20"/>
                <w:szCs w:val="20"/>
                <w:highlight w:val="yellow"/>
              </w:rPr>
            </w:pPr>
            <w:r w:rsidRPr="00307693">
              <w:rPr>
                <w:rFonts w:ascii="Arial" w:eastAsia="Arial Narrow" w:hAnsi="Arial" w:cs="Arial"/>
                <w:sz w:val="20"/>
                <w:szCs w:val="20"/>
              </w:rPr>
              <w:t>ND</w:t>
            </w:r>
          </w:p>
        </w:tc>
        <w:tc>
          <w:tcPr>
            <w:tcW w:w="850" w:type="dxa"/>
            <w:gridSpan w:val="2"/>
            <w:shd w:val="clear" w:color="auto" w:fill="auto"/>
            <w:tcMar>
              <w:top w:w="10" w:type="dxa"/>
              <w:left w:w="10" w:type="dxa"/>
              <w:bottom w:w="0" w:type="dxa"/>
              <w:right w:w="10" w:type="dxa"/>
            </w:tcMar>
            <w:vAlign w:val="center"/>
          </w:tcPr>
          <w:p w14:paraId="7F165F46" w14:textId="77777777" w:rsidR="00A75C0F" w:rsidRPr="008A26D2" w:rsidRDefault="00A75C0F" w:rsidP="00AF5836">
            <w:pPr>
              <w:jc w:val="center"/>
              <w:rPr>
                <w:rFonts w:ascii="Arial" w:eastAsia="Arial Narrow" w:hAnsi="Arial" w:cs="Arial"/>
                <w:sz w:val="20"/>
                <w:szCs w:val="20"/>
              </w:rPr>
            </w:pPr>
            <w:r w:rsidRPr="008A26D2">
              <w:rPr>
                <w:rFonts w:ascii="Arial" w:eastAsia="Arial Narrow" w:hAnsi="Arial" w:cs="Arial"/>
                <w:sz w:val="20"/>
                <w:szCs w:val="20"/>
              </w:rPr>
              <w:t>70%</w:t>
            </w:r>
          </w:p>
        </w:tc>
        <w:tc>
          <w:tcPr>
            <w:tcW w:w="851" w:type="dxa"/>
            <w:shd w:val="clear" w:color="auto" w:fill="auto"/>
            <w:vAlign w:val="center"/>
          </w:tcPr>
          <w:p w14:paraId="1851FAB7" w14:textId="77777777" w:rsidR="00A75C0F" w:rsidRPr="008A26D2" w:rsidRDefault="00A75C0F" w:rsidP="00AF5836">
            <w:pPr>
              <w:jc w:val="center"/>
              <w:rPr>
                <w:rFonts w:ascii="Arial" w:eastAsia="Arial Narrow" w:hAnsi="Arial" w:cs="Arial"/>
                <w:sz w:val="20"/>
                <w:szCs w:val="20"/>
              </w:rPr>
            </w:pPr>
            <w:r w:rsidRPr="008A26D2">
              <w:rPr>
                <w:rFonts w:ascii="Arial" w:eastAsia="Arial Narrow" w:hAnsi="Arial" w:cs="Arial"/>
                <w:sz w:val="20"/>
                <w:szCs w:val="20"/>
              </w:rPr>
              <w:t>70%</w:t>
            </w:r>
          </w:p>
        </w:tc>
        <w:tc>
          <w:tcPr>
            <w:tcW w:w="865" w:type="dxa"/>
            <w:gridSpan w:val="2"/>
            <w:shd w:val="clear" w:color="auto" w:fill="auto"/>
            <w:vAlign w:val="center"/>
          </w:tcPr>
          <w:p w14:paraId="1C0C02BE" w14:textId="77777777" w:rsidR="00A75C0F" w:rsidRPr="008A26D2" w:rsidRDefault="00A75C0F" w:rsidP="00AF5836">
            <w:pPr>
              <w:jc w:val="center"/>
              <w:rPr>
                <w:rFonts w:ascii="Arial" w:eastAsia="Arial Narrow" w:hAnsi="Arial" w:cs="Arial"/>
                <w:sz w:val="20"/>
                <w:szCs w:val="20"/>
              </w:rPr>
            </w:pPr>
            <w:r w:rsidRPr="008A26D2">
              <w:rPr>
                <w:rFonts w:ascii="Arial" w:eastAsia="Arial Narrow" w:hAnsi="Arial" w:cs="Arial"/>
                <w:sz w:val="20"/>
                <w:szCs w:val="20"/>
              </w:rPr>
              <w:t>75%</w:t>
            </w:r>
          </w:p>
        </w:tc>
        <w:tc>
          <w:tcPr>
            <w:tcW w:w="992" w:type="dxa"/>
            <w:shd w:val="clear" w:color="auto" w:fill="auto"/>
            <w:vAlign w:val="center"/>
          </w:tcPr>
          <w:p w14:paraId="13D1F8B6" w14:textId="77777777" w:rsidR="00A75C0F" w:rsidRPr="008A26D2" w:rsidRDefault="00A75C0F" w:rsidP="00AF5836">
            <w:pPr>
              <w:jc w:val="center"/>
              <w:rPr>
                <w:rFonts w:ascii="Arial" w:eastAsia="Arial Narrow" w:hAnsi="Arial" w:cs="Arial"/>
                <w:sz w:val="20"/>
                <w:szCs w:val="20"/>
              </w:rPr>
            </w:pPr>
            <w:r w:rsidRPr="008A26D2">
              <w:rPr>
                <w:rFonts w:ascii="Arial" w:eastAsia="Arial Narrow" w:hAnsi="Arial" w:cs="Arial"/>
                <w:sz w:val="20"/>
                <w:szCs w:val="20"/>
              </w:rPr>
              <w:t>75%</w:t>
            </w:r>
          </w:p>
        </w:tc>
        <w:tc>
          <w:tcPr>
            <w:tcW w:w="993" w:type="dxa"/>
            <w:shd w:val="clear" w:color="auto" w:fill="auto"/>
            <w:vAlign w:val="center"/>
          </w:tcPr>
          <w:p w14:paraId="793F0EBE" w14:textId="77777777" w:rsidR="00A75C0F" w:rsidRPr="008A26D2" w:rsidRDefault="00A75C0F" w:rsidP="00AF5836">
            <w:pPr>
              <w:jc w:val="center"/>
              <w:rPr>
                <w:rFonts w:ascii="Arial" w:eastAsia="Arial Narrow" w:hAnsi="Arial" w:cs="Arial"/>
                <w:sz w:val="20"/>
                <w:szCs w:val="20"/>
              </w:rPr>
            </w:pPr>
            <w:r w:rsidRPr="008A26D2">
              <w:rPr>
                <w:rFonts w:ascii="Arial" w:eastAsia="Arial Narrow" w:hAnsi="Arial" w:cs="Arial"/>
                <w:sz w:val="20"/>
                <w:szCs w:val="20"/>
              </w:rPr>
              <w:t>80%</w:t>
            </w:r>
          </w:p>
        </w:tc>
        <w:tc>
          <w:tcPr>
            <w:tcW w:w="992" w:type="dxa"/>
            <w:shd w:val="clear" w:color="auto" w:fill="auto"/>
            <w:vAlign w:val="center"/>
          </w:tcPr>
          <w:p w14:paraId="03258ACF" w14:textId="77777777" w:rsidR="00A75C0F" w:rsidRPr="008A26D2" w:rsidRDefault="00A75C0F" w:rsidP="00AF5836">
            <w:pPr>
              <w:jc w:val="center"/>
              <w:rPr>
                <w:rFonts w:ascii="Arial" w:eastAsia="Arial Narrow" w:hAnsi="Arial" w:cs="Arial"/>
                <w:sz w:val="20"/>
                <w:szCs w:val="20"/>
              </w:rPr>
            </w:pPr>
            <w:r w:rsidRPr="008A26D2">
              <w:rPr>
                <w:rFonts w:ascii="Arial" w:eastAsia="Arial Narrow" w:hAnsi="Arial" w:cs="Arial"/>
                <w:sz w:val="20"/>
                <w:szCs w:val="20"/>
              </w:rPr>
              <w:t>80%</w:t>
            </w:r>
          </w:p>
        </w:tc>
        <w:tc>
          <w:tcPr>
            <w:tcW w:w="850" w:type="dxa"/>
            <w:gridSpan w:val="2"/>
            <w:shd w:val="clear" w:color="auto" w:fill="auto"/>
            <w:vAlign w:val="center"/>
          </w:tcPr>
          <w:p w14:paraId="524ADD5F" w14:textId="77777777" w:rsidR="00A75C0F" w:rsidRPr="008A26D2" w:rsidRDefault="00A75C0F" w:rsidP="00AF5836">
            <w:pPr>
              <w:jc w:val="center"/>
              <w:rPr>
                <w:rFonts w:ascii="Arial" w:eastAsia="Arial Narrow" w:hAnsi="Arial" w:cs="Arial"/>
                <w:sz w:val="20"/>
                <w:szCs w:val="20"/>
              </w:rPr>
            </w:pPr>
            <w:r w:rsidRPr="008A26D2">
              <w:rPr>
                <w:rFonts w:ascii="Arial" w:eastAsia="Arial Narrow" w:hAnsi="Arial" w:cs="Arial"/>
                <w:sz w:val="20"/>
                <w:szCs w:val="20"/>
              </w:rPr>
              <w:t>85%</w:t>
            </w:r>
          </w:p>
        </w:tc>
        <w:tc>
          <w:tcPr>
            <w:tcW w:w="694" w:type="dxa"/>
            <w:shd w:val="clear" w:color="auto" w:fill="auto"/>
            <w:tcMar>
              <w:top w:w="10" w:type="dxa"/>
              <w:left w:w="10" w:type="dxa"/>
              <w:bottom w:w="0" w:type="dxa"/>
              <w:right w:w="10" w:type="dxa"/>
            </w:tcMar>
            <w:vAlign w:val="center"/>
          </w:tcPr>
          <w:p w14:paraId="1D1B6BDE" w14:textId="77777777" w:rsidR="00A75C0F" w:rsidRPr="008A26D2" w:rsidRDefault="00A75C0F" w:rsidP="00AF5836">
            <w:pPr>
              <w:jc w:val="center"/>
              <w:rPr>
                <w:rFonts w:ascii="Arial" w:eastAsia="Arial Narrow" w:hAnsi="Arial" w:cs="Arial"/>
                <w:sz w:val="20"/>
                <w:szCs w:val="20"/>
              </w:rPr>
            </w:pPr>
            <w:r w:rsidRPr="008A26D2">
              <w:rPr>
                <w:rFonts w:ascii="Arial" w:eastAsia="Arial Narrow" w:hAnsi="Arial" w:cs="Arial"/>
                <w:sz w:val="20"/>
                <w:szCs w:val="20"/>
              </w:rPr>
              <w:t>85%</w:t>
            </w:r>
          </w:p>
        </w:tc>
      </w:tr>
    </w:tbl>
    <w:p w14:paraId="3F3F6893" w14:textId="77777777" w:rsidR="00A75C0F" w:rsidRPr="008A26D2" w:rsidRDefault="00A75C0F" w:rsidP="00A75C0F"/>
    <w:p w14:paraId="407D3F0F" w14:textId="77777777" w:rsidR="00A75C0F" w:rsidRPr="008A26D2" w:rsidRDefault="00A75C0F" w:rsidP="00A75C0F"/>
    <w:tbl>
      <w:tblPr>
        <w:tblW w:w="8647" w:type="dxa"/>
        <w:tblInd w:w="-14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556"/>
        <w:gridCol w:w="862"/>
        <w:gridCol w:w="971"/>
        <w:gridCol w:w="266"/>
        <w:gridCol w:w="865"/>
        <w:gridCol w:w="591"/>
        <w:gridCol w:w="402"/>
        <w:gridCol w:w="992"/>
        <w:gridCol w:w="874"/>
        <w:gridCol w:w="709"/>
        <w:gridCol w:w="127"/>
        <w:gridCol w:w="724"/>
        <w:gridCol w:w="708"/>
      </w:tblGrid>
      <w:tr w:rsidR="00A75C0F" w:rsidRPr="008A26D2" w14:paraId="45FE6D41" w14:textId="77777777" w:rsidTr="00AF5836">
        <w:trPr>
          <w:trHeight w:val="251"/>
        </w:trPr>
        <w:tc>
          <w:tcPr>
            <w:tcW w:w="8647" w:type="dxa"/>
            <w:gridSpan w:val="13"/>
            <w:shd w:val="clear" w:color="auto" w:fill="D9D9D9" w:themeFill="background1" w:themeFillShade="D9"/>
            <w:tcMar>
              <w:top w:w="10" w:type="dxa"/>
              <w:left w:w="10" w:type="dxa"/>
              <w:bottom w:w="0" w:type="dxa"/>
              <w:right w:w="10" w:type="dxa"/>
            </w:tcMar>
            <w:vAlign w:val="center"/>
          </w:tcPr>
          <w:p w14:paraId="1FE8EDFB" w14:textId="77777777" w:rsidR="00A75C0F" w:rsidRPr="008A26D2" w:rsidRDefault="00A75C0F" w:rsidP="00AF5836">
            <w:pPr>
              <w:tabs>
                <w:tab w:val="left" w:pos="3375"/>
              </w:tabs>
              <w:jc w:val="center"/>
              <w:rPr>
                <w:rFonts w:ascii="Arial" w:hAnsi="Arial" w:cs="Arial"/>
                <w:sz w:val="20"/>
                <w:szCs w:val="20"/>
              </w:rPr>
            </w:pPr>
            <w:bookmarkStart w:id="21" w:name="_Hlk136505769"/>
            <w:r w:rsidRPr="008A26D2">
              <w:rPr>
                <w:rFonts w:ascii="Arial" w:hAnsi="Arial" w:cs="Arial"/>
                <w:sz w:val="20"/>
                <w:szCs w:val="20"/>
              </w:rPr>
              <w:br w:type="page"/>
            </w:r>
            <w:r w:rsidRPr="008A26D2">
              <w:rPr>
                <w:rFonts w:ascii="Arial" w:hAnsi="Arial" w:cs="Arial"/>
                <w:b/>
                <w:sz w:val="20"/>
                <w:szCs w:val="20"/>
              </w:rPr>
              <w:t>FICHA TÉCNICA DE INDICADOR DE SERVICIO 2.6.2</w:t>
            </w:r>
          </w:p>
        </w:tc>
      </w:tr>
      <w:tr w:rsidR="00A75C0F" w:rsidRPr="008A26D2" w14:paraId="174B5DA3" w14:textId="77777777" w:rsidTr="00AF5836">
        <w:trPr>
          <w:trHeight w:val="409"/>
        </w:trPr>
        <w:tc>
          <w:tcPr>
            <w:tcW w:w="2389" w:type="dxa"/>
            <w:gridSpan w:val="3"/>
            <w:shd w:val="clear" w:color="auto" w:fill="FFFFFF" w:themeFill="background1"/>
            <w:tcMar>
              <w:top w:w="10" w:type="dxa"/>
              <w:left w:w="93" w:type="dxa"/>
              <w:bottom w:w="0" w:type="dxa"/>
              <w:right w:w="10" w:type="dxa"/>
            </w:tcMar>
            <w:vAlign w:val="center"/>
          </w:tcPr>
          <w:p w14:paraId="4CB243DC"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Objetivo prioritario:</w:t>
            </w:r>
          </w:p>
        </w:tc>
        <w:tc>
          <w:tcPr>
            <w:tcW w:w="6258" w:type="dxa"/>
            <w:gridSpan w:val="10"/>
            <w:shd w:val="clear" w:color="auto" w:fill="FFFFFF" w:themeFill="background1"/>
            <w:tcMar>
              <w:top w:w="51" w:type="dxa"/>
              <w:left w:w="227" w:type="dxa"/>
              <w:bottom w:w="51" w:type="dxa"/>
              <w:right w:w="227" w:type="dxa"/>
            </w:tcMar>
            <w:vAlign w:val="center"/>
          </w:tcPr>
          <w:p w14:paraId="6DE22251" w14:textId="77777777" w:rsidR="00A75C0F" w:rsidRPr="008A26D2" w:rsidRDefault="00A75C0F" w:rsidP="00AF5836">
            <w:pPr>
              <w:tabs>
                <w:tab w:val="left" w:pos="3375"/>
              </w:tabs>
              <w:jc w:val="both"/>
              <w:rPr>
                <w:rFonts w:ascii="Arial" w:hAnsi="Arial" w:cs="Arial"/>
                <w:sz w:val="20"/>
                <w:szCs w:val="20"/>
              </w:rPr>
            </w:pPr>
            <w:r w:rsidRPr="008A26D2">
              <w:rPr>
                <w:rFonts w:ascii="Arial" w:eastAsia="Times New Roman" w:hAnsi="Arial" w:cs="Arial"/>
                <w:sz w:val="20"/>
                <w:szCs w:val="20"/>
              </w:rPr>
              <w:t>OP2 Incrementar la productividad de los ecosistemas forestales, otros ecosistemas de vegetación silvestre y de la fauna silvestre.</w:t>
            </w:r>
          </w:p>
        </w:tc>
      </w:tr>
      <w:tr w:rsidR="00A75C0F" w:rsidRPr="008A26D2" w14:paraId="5C35B129" w14:textId="77777777" w:rsidTr="00AF5836">
        <w:trPr>
          <w:trHeight w:val="436"/>
        </w:trPr>
        <w:tc>
          <w:tcPr>
            <w:tcW w:w="2389" w:type="dxa"/>
            <w:gridSpan w:val="3"/>
            <w:shd w:val="clear" w:color="auto" w:fill="auto"/>
            <w:tcMar>
              <w:top w:w="10" w:type="dxa"/>
              <w:left w:w="93" w:type="dxa"/>
              <w:bottom w:w="0" w:type="dxa"/>
              <w:right w:w="10" w:type="dxa"/>
            </w:tcMar>
            <w:vAlign w:val="center"/>
          </w:tcPr>
          <w:p w14:paraId="4153F262"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Lineamiento de la política:</w:t>
            </w:r>
          </w:p>
        </w:tc>
        <w:tc>
          <w:tcPr>
            <w:tcW w:w="6258" w:type="dxa"/>
            <w:gridSpan w:val="10"/>
            <w:shd w:val="clear" w:color="auto" w:fill="auto"/>
            <w:tcMar>
              <w:top w:w="51" w:type="dxa"/>
              <w:left w:w="227" w:type="dxa"/>
              <w:bottom w:w="51" w:type="dxa"/>
              <w:right w:w="227" w:type="dxa"/>
            </w:tcMar>
            <w:vAlign w:val="center"/>
          </w:tcPr>
          <w:p w14:paraId="4C866DF8"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sz w:val="20"/>
                <w:szCs w:val="20"/>
              </w:rPr>
              <w:t>L2.6 Incrementar el comercio nacional e internacional de especímenes, productos y subproductos de flora y fauna silvestre provenientes de actividades de aprovechamiento autorizadas.</w:t>
            </w:r>
          </w:p>
        </w:tc>
      </w:tr>
      <w:tr w:rsidR="00A75C0F" w:rsidRPr="008A26D2" w14:paraId="0D4D9B05" w14:textId="77777777" w:rsidTr="00AF5836">
        <w:trPr>
          <w:trHeight w:val="404"/>
        </w:trPr>
        <w:tc>
          <w:tcPr>
            <w:tcW w:w="2389" w:type="dxa"/>
            <w:gridSpan w:val="3"/>
            <w:shd w:val="clear" w:color="auto" w:fill="auto"/>
            <w:tcMar>
              <w:top w:w="10" w:type="dxa"/>
              <w:left w:w="93" w:type="dxa"/>
              <w:bottom w:w="0" w:type="dxa"/>
              <w:right w:w="10" w:type="dxa"/>
            </w:tcMar>
            <w:vAlign w:val="center"/>
          </w:tcPr>
          <w:p w14:paraId="12DA6B95"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Nombre del servicio:</w:t>
            </w:r>
          </w:p>
        </w:tc>
        <w:tc>
          <w:tcPr>
            <w:tcW w:w="6258" w:type="dxa"/>
            <w:gridSpan w:val="10"/>
            <w:shd w:val="clear" w:color="auto" w:fill="auto"/>
            <w:tcMar>
              <w:top w:w="51" w:type="dxa"/>
              <w:left w:w="227" w:type="dxa"/>
              <w:bottom w:w="51" w:type="dxa"/>
              <w:right w:w="227" w:type="dxa"/>
            </w:tcMar>
            <w:vAlign w:val="center"/>
          </w:tcPr>
          <w:p w14:paraId="605DE601" w14:textId="45EAD112" w:rsidR="00A75C0F" w:rsidRPr="008A26D2" w:rsidRDefault="00A75C0F" w:rsidP="00AF5836">
            <w:pPr>
              <w:tabs>
                <w:tab w:val="left" w:pos="3375"/>
              </w:tabs>
              <w:jc w:val="both"/>
              <w:rPr>
                <w:rFonts w:ascii="Arial" w:hAnsi="Arial" w:cs="Arial"/>
                <w:sz w:val="20"/>
                <w:szCs w:val="20"/>
              </w:rPr>
            </w:pPr>
            <w:r w:rsidRPr="008A26D2">
              <w:rPr>
                <w:rFonts w:ascii="Arial" w:hAnsi="Arial" w:cs="Arial"/>
                <w:sz w:val="20"/>
                <w:szCs w:val="20"/>
              </w:rPr>
              <w:t xml:space="preserve">S2.6.2 Fortalecimiento de capacidades para la identificación de oportunidades y tendencias de los mercados internacionales de forma satisfactoria </w:t>
            </w:r>
            <w:r w:rsidRPr="008A26D2">
              <w:rPr>
                <w:rStyle w:val="Refdecomentario"/>
                <w:rFonts w:ascii="Arial" w:eastAsiaTheme="minorEastAsia" w:hAnsi="Arial" w:cs="Arial"/>
                <w:sz w:val="20"/>
                <w:szCs w:val="20"/>
                <w:lang w:eastAsia="en-US"/>
              </w:rPr>
              <w:t xml:space="preserve">a instituciones públicas y privadas, así como </w:t>
            </w:r>
            <w:r w:rsidRPr="008A26D2">
              <w:rPr>
                <w:rFonts w:ascii="Arial" w:hAnsi="Arial" w:cs="Arial"/>
                <w:sz w:val="20"/>
                <w:szCs w:val="20"/>
              </w:rPr>
              <w:t>empresas exportadoras y con potencial exportador de la actividad forestal y de fauna silvestre</w:t>
            </w:r>
          </w:p>
        </w:tc>
      </w:tr>
      <w:tr w:rsidR="00A75C0F" w:rsidRPr="008A26D2" w14:paraId="089F354B" w14:textId="77777777" w:rsidTr="00AF5836">
        <w:trPr>
          <w:trHeight w:val="577"/>
        </w:trPr>
        <w:tc>
          <w:tcPr>
            <w:tcW w:w="2389" w:type="dxa"/>
            <w:gridSpan w:val="3"/>
            <w:shd w:val="clear" w:color="auto" w:fill="auto"/>
            <w:tcMar>
              <w:top w:w="10" w:type="dxa"/>
              <w:left w:w="93" w:type="dxa"/>
              <w:bottom w:w="0" w:type="dxa"/>
              <w:right w:w="10" w:type="dxa"/>
            </w:tcMar>
            <w:vAlign w:val="center"/>
          </w:tcPr>
          <w:p w14:paraId="7540BC72"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lastRenderedPageBreak/>
              <w:t>Nombre del indicador:</w:t>
            </w:r>
          </w:p>
        </w:tc>
        <w:tc>
          <w:tcPr>
            <w:tcW w:w="6258" w:type="dxa"/>
            <w:gridSpan w:val="10"/>
            <w:shd w:val="clear" w:color="auto" w:fill="auto"/>
            <w:tcMar>
              <w:top w:w="51" w:type="dxa"/>
              <w:left w:w="227" w:type="dxa"/>
              <w:bottom w:w="51" w:type="dxa"/>
              <w:right w:w="227" w:type="dxa"/>
            </w:tcMar>
            <w:vAlign w:val="center"/>
          </w:tcPr>
          <w:p w14:paraId="4F8A5301" w14:textId="77777777" w:rsidR="00A75C0F" w:rsidRPr="008A26D2" w:rsidRDefault="00A75C0F" w:rsidP="00AF5836">
            <w:pPr>
              <w:tabs>
                <w:tab w:val="left" w:pos="3375"/>
              </w:tabs>
              <w:jc w:val="both"/>
              <w:rPr>
                <w:rFonts w:ascii="Arial" w:hAnsi="Arial" w:cs="Arial"/>
                <w:sz w:val="20"/>
                <w:szCs w:val="20"/>
              </w:rPr>
            </w:pPr>
            <w:r w:rsidRPr="008A26D2">
              <w:rPr>
                <w:rFonts w:ascii="Arial" w:eastAsia="Times New Roman" w:hAnsi="Arial" w:cs="Arial"/>
                <w:sz w:val="20"/>
                <w:szCs w:val="20"/>
              </w:rPr>
              <w:t xml:space="preserve">Porcentaje de profesionales de entidades públicas y privadas y representantes de las </w:t>
            </w:r>
            <w:r w:rsidRPr="008A26D2">
              <w:rPr>
                <w:rFonts w:ascii="Arial" w:hAnsi="Arial" w:cs="Arial"/>
                <w:sz w:val="20"/>
                <w:szCs w:val="20"/>
              </w:rPr>
              <w:t>empresas exportadoras y con potencial exportador con alto grado de satisfacción sobre las capacitaciones recibidas en la identificación de oportunidades y tendencias de los mercados internacionales</w:t>
            </w:r>
          </w:p>
        </w:tc>
      </w:tr>
      <w:tr w:rsidR="00A75C0F" w:rsidRPr="008A26D2" w14:paraId="03D085BD" w14:textId="77777777" w:rsidTr="00AF5836">
        <w:trPr>
          <w:trHeight w:val="577"/>
        </w:trPr>
        <w:tc>
          <w:tcPr>
            <w:tcW w:w="2389" w:type="dxa"/>
            <w:gridSpan w:val="3"/>
            <w:shd w:val="clear" w:color="auto" w:fill="auto"/>
            <w:tcMar>
              <w:top w:w="10" w:type="dxa"/>
              <w:left w:w="93" w:type="dxa"/>
              <w:bottom w:w="0" w:type="dxa"/>
              <w:right w:w="10" w:type="dxa"/>
            </w:tcMar>
            <w:vAlign w:val="center"/>
          </w:tcPr>
          <w:p w14:paraId="5ECC2F3F"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Justificación:</w:t>
            </w:r>
          </w:p>
        </w:tc>
        <w:tc>
          <w:tcPr>
            <w:tcW w:w="6258" w:type="dxa"/>
            <w:gridSpan w:val="10"/>
            <w:shd w:val="clear" w:color="auto" w:fill="auto"/>
            <w:tcMar>
              <w:top w:w="51" w:type="dxa"/>
              <w:left w:w="227" w:type="dxa"/>
              <w:bottom w:w="51" w:type="dxa"/>
              <w:right w:w="227" w:type="dxa"/>
            </w:tcMar>
            <w:vAlign w:val="center"/>
          </w:tcPr>
          <w:p w14:paraId="5A3D7C25" w14:textId="77777777" w:rsidR="00A75C0F" w:rsidRPr="008A26D2" w:rsidRDefault="00A75C0F" w:rsidP="00AF5836">
            <w:pPr>
              <w:jc w:val="both"/>
              <w:rPr>
                <w:rFonts w:ascii="Arial" w:eastAsia="Times New Roman" w:hAnsi="Arial" w:cs="Arial"/>
                <w:sz w:val="20"/>
                <w:szCs w:val="20"/>
                <w:lang w:val="es-ES"/>
              </w:rPr>
            </w:pPr>
            <w:r w:rsidRPr="008A26D2">
              <w:rPr>
                <w:rFonts w:ascii="Arial" w:eastAsia="Times New Roman" w:hAnsi="Arial" w:cs="Arial"/>
                <w:sz w:val="20"/>
                <w:szCs w:val="20"/>
                <w:lang w:val="es-ES"/>
              </w:rPr>
              <w:t xml:space="preserve">El indicador cuantifica el porcentaje de </w:t>
            </w:r>
            <w:r w:rsidRPr="008A26D2">
              <w:rPr>
                <w:rFonts w:ascii="Arial" w:eastAsia="Times New Roman" w:hAnsi="Arial" w:cs="Arial"/>
                <w:sz w:val="20"/>
                <w:szCs w:val="20"/>
              </w:rPr>
              <w:t xml:space="preserve">profesionales de entidades públicas y privadas y representantes de las </w:t>
            </w:r>
            <w:r w:rsidRPr="008A26D2">
              <w:rPr>
                <w:rFonts w:ascii="Arial" w:hAnsi="Arial" w:cs="Arial"/>
                <w:sz w:val="20"/>
                <w:szCs w:val="20"/>
              </w:rPr>
              <w:t>empresas exportadoras y con potencial exportador</w:t>
            </w:r>
            <w:r w:rsidRPr="008A26D2">
              <w:rPr>
                <w:rFonts w:ascii="Arial" w:eastAsia="Times New Roman" w:hAnsi="Arial" w:cs="Arial"/>
                <w:sz w:val="20"/>
                <w:szCs w:val="20"/>
                <w:lang w:val="es-ES"/>
              </w:rPr>
              <w:t xml:space="preserve"> que perciben un alto grado de satisfacción sobre las capacitaciones recibidas en </w:t>
            </w:r>
            <w:r w:rsidRPr="008A26D2">
              <w:rPr>
                <w:rFonts w:ascii="Arial" w:hAnsi="Arial" w:cs="Arial"/>
                <w:sz w:val="20"/>
                <w:szCs w:val="20"/>
              </w:rPr>
              <w:t>la identificación de oportunidades y tendencias de los mercados internacionales</w:t>
            </w:r>
            <w:r w:rsidRPr="008A26D2">
              <w:rPr>
                <w:rFonts w:ascii="Arial" w:eastAsia="Times New Roman" w:hAnsi="Arial" w:cs="Arial"/>
                <w:sz w:val="20"/>
                <w:szCs w:val="20"/>
                <w:lang w:val="es-ES"/>
              </w:rPr>
              <w:t>. De esta manera, el indicador facilitará el seguimiento del cumplimiento del servicio y establecer acciones de mejora correspondientes.</w:t>
            </w:r>
          </w:p>
        </w:tc>
      </w:tr>
      <w:tr w:rsidR="00A75C0F" w:rsidRPr="008A26D2" w14:paraId="04793984" w14:textId="77777777" w:rsidTr="00AF5836">
        <w:trPr>
          <w:trHeight w:val="352"/>
        </w:trPr>
        <w:tc>
          <w:tcPr>
            <w:tcW w:w="2389" w:type="dxa"/>
            <w:gridSpan w:val="3"/>
            <w:shd w:val="clear" w:color="auto" w:fill="auto"/>
            <w:tcMar>
              <w:top w:w="10" w:type="dxa"/>
              <w:left w:w="93" w:type="dxa"/>
              <w:bottom w:w="0" w:type="dxa"/>
              <w:right w:w="10" w:type="dxa"/>
            </w:tcMar>
            <w:vAlign w:val="center"/>
          </w:tcPr>
          <w:p w14:paraId="71A76585"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Responsable del indicador:</w:t>
            </w:r>
          </w:p>
        </w:tc>
        <w:tc>
          <w:tcPr>
            <w:tcW w:w="6258" w:type="dxa"/>
            <w:gridSpan w:val="10"/>
            <w:shd w:val="clear" w:color="auto" w:fill="auto"/>
            <w:tcMar>
              <w:top w:w="51" w:type="dxa"/>
              <w:left w:w="227" w:type="dxa"/>
              <w:bottom w:w="51" w:type="dxa"/>
              <w:right w:w="227" w:type="dxa"/>
            </w:tcMar>
            <w:vAlign w:val="center"/>
          </w:tcPr>
          <w:p w14:paraId="3DEE928E" w14:textId="388C2CEB" w:rsidR="00A75C0F" w:rsidRPr="008A26D2" w:rsidRDefault="00A75C0F" w:rsidP="00AF5836">
            <w:pPr>
              <w:tabs>
                <w:tab w:val="left" w:pos="3375"/>
              </w:tabs>
              <w:jc w:val="both"/>
              <w:rPr>
                <w:rFonts w:ascii="Arial" w:eastAsia="Times New Roman" w:hAnsi="Arial" w:cs="Arial"/>
                <w:sz w:val="20"/>
                <w:szCs w:val="20"/>
              </w:rPr>
            </w:pPr>
            <w:r w:rsidRPr="008A26D2">
              <w:rPr>
                <w:rFonts w:ascii="Arial" w:hAnsi="Arial" w:cs="Arial"/>
                <w:sz w:val="20"/>
                <w:szCs w:val="20"/>
              </w:rPr>
              <w:t>Dirección General de Políticas de Desarrollo de Comercio Exterior</w:t>
            </w:r>
            <w:r>
              <w:rPr>
                <w:rFonts w:ascii="Arial" w:hAnsi="Arial" w:cs="Arial"/>
                <w:sz w:val="20"/>
                <w:szCs w:val="20"/>
              </w:rPr>
              <w:t xml:space="preserve"> </w:t>
            </w:r>
            <w:r w:rsidRPr="008A26D2">
              <w:rPr>
                <w:rFonts w:ascii="Arial" w:hAnsi="Arial" w:cs="Arial"/>
                <w:sz w:val="20"/>
                <w:szCs w:val="20"/>
              </w:rPr>
              <w:t xml:space="preserve">- </w:t>
            </w:r>
            <w:r w:rsidRPr="008A26D2">
              <w:rPr>
                <w:rFonts w:ascii="Arial" w:eastAsia="Times New Roman" w:hAnsi="Arial" w:cs="Arial"/>
                <w:sz w:val="20"/>
                <w:szCs w:val="20"/>
              </w:rPr>
              <w:t xml:space="preserve">Dirección de Desarrollo de Mercados Internacionales </w:t>
            </w:r>
            <w:r>
              <w:rPr>
                <w:rFonts w:ascii="Arial" w:eastAsia="Times New Roman" w:hAnsi="Arial" w:cs="Arial"/>
                <w:sz w:val="20"/>
                <w:szCs w:val="20"/>
              </w:rPr>
              <w:t>–</w:t>
            </w:r>
            <w:r w:rsidRPr="008A26D2">
              <w:rPr>
                <w:rFonts w:ascii="Arial" w:eastAsia="Times New Roman" w:hAnsi="Arial" w:cs="Arial"/>
                <w:sz w:val="20"/>
                <w:szCs w:val="20"/>
              </w:rPr>
              <w:t xml:space="preserve"> </w:t>
            </w:r>
            <w:r>
              <w:rPr>
                <w:rFonts w:ascii="Arial" w:eastAsia="Times New Roman" w:hAnsi="Arial" w:cs="Arial"/>
                <w:sz w:val="20"/>
                <w:szCs w:val="20"/>
              </w:rPr>
              <w:t xml:space="preserve">Ministerio de Comercio Exterior y Turismo -  </w:t>
            </w:r>
            <w:r w:rsidRPr="008A26D2">
              <w:rPr>
                <w:rFonts w:ascii="Arial" w:eastAsia="Times New Roman" w:hAnsi="Arial" w:cs="Arial"/>
                <w:sz w:val="20"/>
                <w:szCs w:val="20"/>
              </w:rPr>
              <w:t>MINCETUR</w:t>
            </w:r>
            <w:r>
              <w:rPr>
                <w:rFonts w:ascii="Arial" w:eastAsia="Times New Roman" w:hAnsi="Arial" w:cs="Arial"/>
                <w:sz w:val="20"/>
                <w:szCs w:val="20"/>
              </w:rPr>
              <w:t>.</w:t>
            </w:r>
          </w:p>
        </w:tc>
      </w:tr>
      <w:tr w:rsidR="00A75C0F" w:rsidRPr="008A26D2" w14:paraId="695A22D9" w14:textId="77777777" w:rsidTr="00AF5836">
        <w:trPr>
          <w:trHeight w:val="932"/>
        </w:trPr>
        <w:tc>
          <w:tcPr>
            <w:tcW w:w="2389" w:type="dxa"/>
            <w:gridSpan w:val="3"/>
            <w:shd w:val="clear" w:color="auto" w:fill="auto"/>
            <w:tcMar>
              <w:top w:w="10" w:type="dxa"/>
              <w:left w:w="93" w:type="dxa"/>
              <w:bottom w:w="0" w:type="dxa"/>
              <w:right w:w="10" w:type="dxa"/>
            </w:tcMar>
            <w:vAlign w:val="center"/>
          </w:tcPr>
          <w:p w14:paraId="39A02DF5"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Limitaciones para la medición del indicador:</w:t>
            </w:r>
          </w:p>
        </w:tc>
        <w:tc>
          <w:tcPr>
            <w:tcW w:w="6258" w:type="dxa"/>
            <w:gridSpan w:val="10"/>
            <w:shd w:val="clear" w:color="auto" w:fill="auto"/>
            <w:tcMar>
              <w:top w:w="51" w:type="dxa"/>
              <w:left w:w="227" w:type="dxa"/>
              <w:bottom w:w="51" w:type="dxa"/>
              <w:right w:w="227" w:type="dxa"/>
            </w:tcMar>
            <w:vAlign w:val="center"/>
          </w:tcPr>
          <w:p w14:paraId="510FE1E6" w14:textId="77777777" w:rsidR="00A75C0F" w:rsidRPr="008A26D2" w:rsidRDefault="00A75C0F" w:rsidP="00AF5836">
            <w:pPr>
              <w:tabs>
                <w:tab w:val="left" w:pos="3375"/>
              </w:tabs>
              <w:jc w:val="both"/>
              <w:rPr>
                <w:rFonts w:ascii="Arial" w:eastAsia="Times New Roman" w:hAnsi="Arial" w:cs="Arial"/>
                <w:sz w:val="20"/>
                <w:szCs w:val="20"/>
              </w:rPr>
            </w:pPr>
            <w:r w:rsidRPr="008A26D2">
              <w:rPr>
                <w:rFonts w:ascii="Arial" w:eastAsia="Arial Narrow" w:hAnsi="Arial" w:cs="Arial"/>
                <w:sz w:val="20"/>
                <w:szCs w:val="20"/>
              </w:rPr>
              <w:t>No presenta limitaciones</w:t>
            </w:r>
          </w:p>
        </w:tc>
      </w:tr>
      <w:tr w:rsidR="00A75C0F" w:rsidRPr="008A26D2" w14:paraId="4F5DD356" w14:textId="77777777" w:rsidTr="00AF5836">
        <w:trPr>
          <w:trHeight w:val="231"/>
        </w:trPr>
        <w:tc>
          <w:tcPr>
            <w:tcW w:w="2389" w:type="dxa"/>
            <w:gridSpan w:val="3"/>
            <w:shd w:val="clear" w:color="auto" w:fill="auto"/>
            <w:tcMar>
              <w:top w:w="10" w:type="dxa"/>
              <w:left w:w="93" w:type="dxa"/>
              <w:bottom w:w="0" w:type="dxa"/>
              <w:right w:w="10" w:type="dxa"/>
            </w:tcMar>
            <w:vAlign w:val="center"/>
          </w:tcPr>
          <w:p w14:paraId="41F7C70F"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 xml:space="preserve">Método de cálculo: </w:t>
            </w:r>
          </w:p>
        </w:tc>
        <w:tc>
          <w:tcPr>
            <w:tcW w:w="6258" w:type="dxa"/>
            <w:gridSpan w:val="10"/>
            <w:shd w:val="clear" w:color="auto" w:fill="auto"/>
            <w:tcMar>
              <w:top w:w="51" w:type="dxa"/>
              <w:left w:w="227" w:type="dxa"/>
              <w:bottom w:w="51" w:type="dxa"/>
              <w:right w:w="227" w:type="dxa"/>
            </w:tcMar>
            <w:vAlign w:val="center"/>
          </w:tcPr>
          <w:p w14:paraId="599C5753" w14:textId="77777777" w:rsidR="00A75C0F" w:rsidRPr="008A26D2" w:rsidRDefault="00A75C0F" w:rsidP="00AF5836">
            <w:pPr>
              <w:tabs>
                <w:tab w:val="left" w:pos="3375"/>
              </w:tabs>
              <w:jc w:val="both"/>
              <w:rPr>
                <w:rFonts w:ascii="Arial" w:hAnsi="Arial" w:cs="Arial"/>
                <w:b/>
                <w:sz w:val="20"/>
                <w:szCs w:val="20"/>
              </w:rPr>
            </w:pPr>
            <w:r w:rsidRPr="008A26D2">
              <w:rPr>
                <w:rFonts w:ascii="Arial" w:hAnsi="Arial" w:cs="Arial"/>
                <w:b/>
                <w:bCs/>
                <w:sz w:val="20"/>
                <w:szCs w:val="20"/>
              </w:rPr>
              <w:t>1. Fórmula:</w:t>
            </w:r>
          </w:p>
          <w:p w14:paraId="5DCEF2ED" w14:textId="77777777" w:rsidR="00A75C0F" w:rsidRPr="008A26D2" w:rsidRDefault="00A75C0F" w:rsidP="00AF5836">
            <w:pPr>
              <w:jc w:val="both"/>
              <w:rPr>
                <w:rFonts w:ascii="Arial" w:eastAsia="Arial Unicode MS" w:hAnsi="Arial" w:cs="Arial"/>
                <w:sz w:val="20"/>
                <w:szCs w:val="20"/>
              </w:rPr>
            </w:pPr>
            <w:r w:rsidRPr="008A26D2">
              <w:rPr>
                <w:rFonts w:ascii="Arial" w:eastAsia="Arial Unicode MS" w:hAnsi="Arial" w:cs="Arial"/>
                <w:sz w:val="20"/>
                <w:szCs w:val="20"/>
              </w:rPr>
              <w:t>(A/B)*100</w:t>
            </w:r>
          </w:p>
          <w:p w14:paraId="674A5DE3" w14:textId="77777777" w:rsidR="00A75C0F" w:rsidRPr="008A26D2" w:rsidRDefault="00A75C0F" w:rsidP="00AF5836">
            <w:pPr>
              <w:jc w:val="both"/>
              <w:rPr>
                <w:rFonts w:ascii="Arial" w:eastAsia="Arial Unicode MS" w:hAnsi="Arial" w:cs="Arial"/>
                <w:sz w:val="20"/>
                <w:szCs w:val="20"/>
              </w:rPr>
            </w:pPr>
            <w:r w:rsidRPr="008A26D2">
              <w:rPr>
                <w:rFonts w:ascii="Arial" w:eastAsia="Arial Unicode MS" w:hAnsi="Arial" w:cs="Arial"/>
                <w:sz w:val="20"/>
                <w:szCs w:val="20"/>
              </w:rPr>
              <w:t>Donde:</w:t>
            </w:r>
          </w:p>
          <w:p w14:paraId="2B00CDF8" w14:textId="77777777" w:rsidR="00A75C0F" w:rsidRPr="008A26D2" w:rsidRDefault="00A75C0F" w:rsidP="00AF5836">
            <w:pPr>
              <w:ind w:left="358" w:hanging="358"/>
              <w:jc w:val="both"/>
              <w:rPr>
                <w:rFonts w:ascii="Arial" w:hAnsi="Arial" w:cs="Arial"/>
                <w:sz w:val="20"/>
                <w:szCs w:val="20"/>
              </w:rPr>
            </w:pPr>
            <w:r w:rsidRPr="008A26D2">
              <w:rPr>
                <w:rFonts w:ascii="Arial" w:hAnsi="Arial" w:cs="Arial"/>
                <w:bCs/>
                <w:sz w:val="20"/>
                <w:szCs w:val="20"/>
              </w:rPr>
              <w:t xml:space="preserve">A = Número de </w:t>
            </w:r>
            <w:r w:rsidRPr="008A26D2">
              <w:rPr>
                <w:rFonts w:ascii="Arial" w:eastAsia="Times New Roman" w:hAnsi="Arial" w:cs="Arial"/>
                <w:sz w:val="20"/>
                <w:szCs w:val="20"/>
              </w:rPr>
              <w:t xml:space="preserve">profesionales de entidades públicas y privadas y representantes de las </w:t>
            </w:r>
            <w:r w:rsidRPr="008A26D2">
              <w:rPr>
                <w:rFonts w:ascii="Arial" w:hAnsi="Arial" w:cs="Arial"/>
                <w:sz w:val="20"/>
                <w:szCs w:val="20"/>
              </w:rPr>
              <w:t>empresas exportadoras y con potencial exportador con alto grado de satisfacción sobre las capacitaciones recibidas en la identificación de oportunidades y tendencias de los mercados internacionales</w:t>
            </w:r>
          </w:p>
          <w:p w14:paraId="58EA6A46" w14:textId="77777777" w:rsidR="00A75C0F" w:rsidRPr="008A26D2" w:rsidRDefault="00A75C0F" w:rsidP="00AF5836">
            <w:pPr>
              <w:ind w:left="358" w:hanging="358"/>
              <w:jc w:val="both"/>
              <w:rPr>
                <w:rFonts w:ascii="Arial" w:eastAsia="Times New Roman" w:hAnsi="Arial" w:cs="Arial"/>
                <w:sz w:val="20"/>
                <w:szCs w:val="20"/>
                <w:lang w:val="es-ES"/>
              </w:rPr>
            </w:pPr>
            <w:r w:rsidRPr="008A26D2">
              <w:rPr>
                <w:rFonts w:ascii="Arial" w:hAnsi="Arial" w:cs="Arial"/>
                <w:bCs/>
                <w:sz w:val="20"/>
                <w:szCs w:val="20"/>
              </w:rPr>
              <w:t xml:space="preserve">B = Total de </w:t>
            </w:r>
            <w:r w:rsidRPr="008A26D2">
              <w:rPr>
                <w:rFonts w:ascii="Arial" w:eastAsia="Times New Roman" w:hAnsi="Arial" w:cs="Arial"/>
                <w:sz w:val="20"/>
                <w:szCs w:val="20"/>
              </w:rPr>
              <w:t xml:space="preserve">profesionales de entidades públicas y privadas y representantes de las </w:t>
            </w:r>
            <w:r w:rsidRPr="008A26D2">
              <w:rPr>
                <w:rFonts w:ascii="Arial" w:hAnsi="Arial" w:cs="Arial"/>
                <w:sz w:val="20"/>
                <w:szCs w:val="20"/>
              </w:rPr>
              <w:t xml:space="preserve">empresas exportadoras y con potencial exportador </w:t>
            </w:r>
            <w:r w:rsidRPr="008A26D2">
              <w:rPr>
                <w:rFonts w:ascii="Arial" w:hAnsi="Arial" w:cs="Arial"/>
                <w:bCs/>
                <w:sz w:val="20"/>
                <w:szCs w:val="20"/>
              </w:rPr>
              <w:t xml:space="preserve">que reciben capacitación </w:t>
            </w:r>
            <w:r w:rsidRPr="008A26D2">
              <w:rPr>
                <w:rFonts w:ascii="Arial" w:hAnsi="Arial" w:cs="Arial"/>
                <w:sz w:val="20"/>
                <w:szCs w:val="20"/>
              </w:rPr>
              <w:t>sobre identificación de oportunidades y tendencias de los mercados internacionales.</w:t>
            </w:r>
          </w:p>
          <w:p w14:paraId="33FBEEB3"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sz w:val="20"/>
                <w:szCs w:val="20"/>
              </w:rPr>
              <w:br/>
            </w:r>
            <w:r w:rsidRPr="008A26D2">
              <w:rPr>
                <w:rFonts w:ascii="Arial" w:hAnsi="Arial" w:cs="Arial"/>
                <w:b/>
                <w:bCs/>
                <w:sz w:val="20"/>
                <w:szCs w:val="20"/>
              </w:rPr>
              <w:t>2. Especificaciones técnicas:</w:t>
            </w:r>
          </w:p>
          <w:p w14:paraId="630118C0" w14:textId="77777777" w:rsidR="00A75C0F" w:rsidRPr="00EB2738" w:rsidRDefault="00A75C0F" w:rsidP="00AF5836">
            <w:pPr>
              <w:jc w:val="both"/>
              <w:rPr>
                <w:rFonts w:ascii="Arial" w:eastAsia="Times New Roman" w:hAnsi="Arial" w:cs="Arial"/>
                <w:sz w:val="20"/>
                <w:szCs w:val="20"/>
                <w:lang w:val="es-ES"/>
              </w:rPr>
            </w:pPr>
            <w:r w:rsidRPr="00EB2738">
              <w:rPr>
                <w:rFonts w:ascii="Arial" w:eastAsia="Times New Roman" w:hAnsi="Arial" w:cs="Arial"/>
                <w:sz w:val="20"/>
                <w:szCs w:val="20"/>
                <w:lang w:val="es-ES"/>
              </w:rPr>
              <w:t>La variable A se determina a partir de los profesionales de entidades públicas y privadas y representantes de las empresas exportadoras y con potencial exportador que tienen un alto grado de satisfacción, al elegir los dos niveles más altos de la escala, sobre las acciones de fortalecimiento de capacidades recibidas.</w:t>
            </w:r>
          </w:p>
          <w:p w14:paraId="3C1F61C8" w14:textId="366A54CE" w:rsidR="00A75C0F" w:rsidRDefault="00A75C0F" w:rsidP="00AF5836">
            <w:pPr>
              <w:jc w:val="both"/>
              <w:rPr>
                <w:rFonts w:ascii="Arial" w:eastAsia="Times New Roman" w:hAnsi="Arial" w:cs="Arial"/>
                <w:sz w:val="20"/>
                <w:szCs w:val="20"/>
                <w:lang w:val="es-ES"/>
              </w:rPr>
            </w:pPr>
            <w:r w:rsidRPr="00EB2738">
              <w:rPr>
                <w:rFonts w:ascii="Arial" w:eastAsia="Times New Roman" w:hAnsi="Arial" w:cs="Arial"/>
                <w:sz w:val="20"/>
                <w:szCs w:val="20"/>
                <w:lang w:val="es-ES"/>
              </w:rPr>
              <w:t>La variable B se determina con el total de profesionales de entidades públicas y privadas y representantes de las empresas exportadoras y con potencial exportador que asisten a las capacitaciones</w:t>
            </w:r>
            <w:r w:rsidR="00307693">
              <w:rPr>
                <w:rFonts w:ascii="Arial" w:eastAsia="Times New Roman" w:hAnsi="Arial" w:cs="Arial"/>
                <w:sz w:val="20"/>
                <w:szCs w:val="20"/>
                <w:lang w:val="es-ES"/>
              </w:rPr>
              <w:t xml:space="preserve"> en el año de medición.</w:t>
            </w:r>
          </w:p>
          <w:p w14:paraId="1AF6FBF1" w14:textId="77777777" w:rsidR="00A75C0F" w:rsidRPr="008A26D2" w:rsidRDefault="00A75C0F" w:rsidP="00AF5836">
            <w:pPr>
              <w:jc w:val="both"/>
              <w:rPr>
                <w:rFonts w:ascii="Arial" w:eastAsia="Times New Roman" w:hAnsi="Arial" w:cs="Arial"/>
                <w:sz w:val="20"/>
                <w:szCs w:val="20"/>
                <w:lang w:val="es-ES"/>
              </w:rPr>
            </w:pPr>
            <w:r w:rsidRPr="008A26D2">
              <w:rPr>
                <w:rFonts w:ascii="Arial" w:eastAsia="Times New Roman" w:hAnsi="Arial" w:cs="Arial"/>
                <w:sz w:val="20"/>
                <w:szCs w:val="20"/>
                <w:lang w:val="es-ES"/>
              </w:rPr>
              <w:t xml:space="preserve">El indicador se calculará a partir de encuestas o entrevistas donde se pueda registrar el grado de satisfacción de las personas que </w:t>
            </w:r>
            <w:r w:rsidRPr="008A26D2">
              <w:rPr>
                <w:rFonts w:ascii="Arial" w:eastAsia="Times New Roman" w:hAnsi="Arial" w:cs="Arial"/>
                <w:sz w:val="20"/>
                <w:szCs w:val="20"/>
                <w:lang w:val="es-ES"/>
              </w:rPr>
              <w:lastRenderedPageBreak/>
              <w:t>reciben la capacitación, identificando aquellos aspectos del servicio que se pueden mejorar y satisfacer al receptor.</w:t>
            </w:r>
          </w:p>
          <w:p w14:paraId="05378521" w14:textId="22641FB3" w:rsidR="00A75C0F" w:rsidRDefault="00A75C0F" w:rsidP="00AF5836">
            <w:pPr>
              <w:spacing w:after="0" w:line="240" w:lineRule="auto"/>
              <w:jc w:val="both"/>
              <w:rPr>
                <w:rFonts w:ascii="Arial" w:eastAsia="Arial Narrow" w:hAnsi="Arial" w:cs="Arial"/>
                <w:strike/>
                <w:sz w:val="20"/>
                <w:szCs w:val="20"/>
              </w:rPr>
            </w:pPr>
            <w:r w:rsidRPr="008A26D2">
              <w:rPr>
                <w:rFonts w:ascii="Arial" w:eastAsia="Arial Narrow" w:hAnsi="Arial" w:cs="Arial"/>
                <w:sz w:val="20"/>
                <w:szCs w:val="20"/>
              </w:rPr>
              <w:t>Se carece de línea base debido a que no se venía aplicando encuestas de satisfacción como parte de la entrega del servicio</w:t>
            </w:r>
            <w:r>
              <w:rPr>
                <w:rFonts w:ascii="Arial" w:eastAsia="Arial Narrow" w:hAnsi="Arial" w:cs="Arial"/>
                <w:strike/>
                <w:sz w:val="20"/>
                <w:szCs w:val="20"/>
              </w:rPr>
              <w:t>.</w:t>
            </w:r>
          </w:p>
          <w:p w14:paraId="3A865B00" w14:textId="5A0246EB" w:rsidR="00A75C0F" w:rsidRPr="008A26D2" w:rsidRDefault="00A75C0F" w:rsidP="00AF5836">
            <w:pPr>
              <w:spacing w:after="0" w:line="240" w:lineRule="auto"/>
              <w:jc w:val="both"/>
              <w:rPr>
                <w:rFonts w:ascii="Arial" w:hAnsi="Arial" w:cs="Arial"/>
                <w:sz w:val="20"/>
                <w:szCs w:val="20"/>
              </w:rPr>
            </w:pPr>
            <w:r w:rsidRPr="008A26D2">
              <w:rPr>
                <w:rFonts w:ascii="Arial" w:eastAsia="Arial Narrow" w:hAnsi="Arial" w:cs="Arial"/>
                <w:sz w:val="20"/>
                <w:szCs w:val="20"/>
              </w:rPr>
              <w:t xml:space="preserve">El </w:t>
            </w:r>
            <w:r>
              <w:rPr>
                <w:rFonts w:ascii="Arial" w:eastAsia="Times New Roman" w:hAnsi="Arial" w:cs="Arial"/>
                <w:sz w:val="20"/>
                <w:szCs w:val="20"/>
              </w:rPr>
              <w:t>Ministerio de Comercio Exterior y Turismo</w:t>
            </w:r>
            <w:r w:rsidRPr="008A26D2">
              <w:rPr>
                <w:rFonts w:ascii="Arial" w:eastAsia="Arial Narrow" w:hAnsi="Arial" w:cs="Arial"/>
                <w:sz w:val="20"/>
                <w:szCs w:val="20"/>
              </w:rPr>
              <w:t xml:space="preserve"> </w:t>
            </w:r>
            <w:r>
              <w:rPr>
                <w:rFonts w:ascii="Arial" w:eastAsia="Arial Narrow" w:hAnsi="Arial" w:cs="Arial"/>
                <w:sz w:val="20"/>
                <w:szCs w:val="20"/>
              </w:rPr>
              <w:t xml:space="preserve">- </w:t>
            </w:r>
            <w:r w:rsidRPr="008A26D2">
              <w:rPr>
                <w:rFonts w:ascii="Arial" w:eastAsia="Arial Narrow" w:hAnsi="Arial" w:cs="Arial"/>
                <w:sz w:val="20"/>
                <w:szCs w:val="20"/>
              </w:rPr>
              <w:t>MINCETUR determinará la línea base antes del inicio de la implementación de la presente Política Nacional</w:t>
            </w:r>
            <w:r>
              <w:rPr>
                <w:rFonts w:ascii="Arial" w:eastAsia="Arial Narrow" w:hAnsi="Arial" w:cs="Arial"/>
                <w:strike/>
                <w:sz w:val="20"/>
                <w:szCs w:val="20"/>
              </w:rPr>
              <w:t>.</w:t>
            </w:r>
          </w:p>
        </w:tc>
      </w:tr>
      <w:tr w:rsidR="00A75C0F" w:rsidRPr="008A26D2" w14:paraId="7CC765E5" w14:textId="77777777" w:rsidTr="00AF5836">
        <w:trPr>
          <w:trHeight w:val="686"/>
        </w:trPr>
        <w:tc>
          <w:tcPr>
            <w:tcW w:w="2389" w:type="dxa"/>
            <w:gridSpan w:val="3"/>
            <w:shd w:val="clear" w:color="auto" w:fill="auto"/>
            <w:tcMar>
              <w:top w:w="10" w:type="dxa"/>
              <w:left w:w="93" w:type="dxa"/>
              <w:bottom w:w="0" w:type="dxa"/>
              <w:right w:w="10" w:type="dxa"/>
            </w:tcMar>
            <w:vAlign w:val="center"/>
          </w:tcPr>
          <w:p w14:paraId="5D8156E4"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lastRenderedPageBreak/>
              <w:t>Sentido esperado del indicador:</w:t>
            </w:r>
          </w:p>
        </w:tc>
        <w:tc>
          <w:tcPr>
            <w:tcW w:w="1722" w:type="dxa"/>
            <w:gridSpan w:val="3"/>
            <w:shd w:val="clear" w:color="auto" w:fill="auto"/>
            <w:tcMar>
              <w:top w:w="10" w:type="dxa"/>
              <w:left w:w="283" w:type="dxa"/>
              <w:bottom w:w="0" w:type="dxa"/>
              <w:right w:w="283" w:type="dxa"/>
            </w:tcMar>
            <w:vAlign w:val="center"/>
          </w:tcPr>
          <w:p w14:paraId="45EF6210" w14:textId="77777777" w:rsidR="00A75C0F" w:rsidRPr="008A26D2" w:rsidRDefault="00A75C0F" w:rsidP="00AF5836">
            <w:pPr>
              <w:tabs>
                <w:tab w:val="left" w:pos="3375"/>
              </w:tabs>
              <w:jc w:val="both"/>
              <w:rPr>
                <w:rFonts w:ascii="Arial" w:hAnsi="Arial" w:cs="Arial"/>
                <w:sz w:val="20"/>
                <w:szCs w:val="20"/>
              </w:rPr>
            </w:pPr>
            <w:r w:rsidRPr="008A26D2">
              <w:rPr>
                <w:rFonts w:ascii="Arial" w:eastAsia="Times New Roman" w:hAnsi="Arial" w:cs="Arial"/>
                <w:sz w:val="20"/>
                <w:szCs w:val="20"/>
              </w:rPr>
              <w:t>Ascendente</w:t>
            </w:r>
          </w:p>
        </w:tc>
        <w:tc>
          <w:tcPr>
            <w:tcW w:w="3104" w:type="dxa"/>
            <w:gridSpan w:val="5"/>
            <w:shd w:val="clear" w:color="auto" w:fill="auto"/>
            <w:tcMar>
              <w:top w:w="15" w:type="dxa"/>
              <w:left w:w="15" w:type="dxa"/>
              <w:bottom w:w="0" w:type="dxa"/>
              <w:right w:w="15" w:type="dxa"/>
            </w:tcMar>
            <w:vAlign w:val="center"/>
          </w:tcPr>
          <w:p w14:paraId="0B91D59C"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Tipo de indicador de servicio:</w:t>
            </w:r>
          </w:p>
        </w:tc>
        <w:tc>
          <w:tcPr>
            <w:tcW w:w="1432" w:type="dxa"/>
            <w:gridSpan w:val="2"/>
            <w:shd w:val="clear" w:color="auto" w:fill="auto"/>
            <w:tcMar>
              <w:top w:w="15" w:type="dxa"/>
              <w:left w:w="15" w:type="dxa"/>
              <w:bottom w:w="0" w:type="dxa"/>
              <w:right w:w="15" w:type="dxa"/>
            </w:tcMar>
            <w:vAlign w:val="center"/>
          </w:tcPr>
          <w:p w14:paraId="74BC7452"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sz w:val="20"/>
                <w:szCs w:val="20"/>
              </w:rPr>
              <w:t>Calidad - Percepción</w:t>
            </w:r>
          </w:p>
        </w:tc>
      </w:tr>
      <w:tr w:rsidR="00A75C0F" w:rsidRPr="008A26D2" w14:paraId="2E72456D" w14:textId="77777777" w:rsidTr="00AF5836">
        <w:trPr>
          <w:trHeight w:val="13"/>
        </w:trPr>
        <w:tc>
          <w:tcPr>
            <w:tcW w:w="2389" w:type="dxa"/>
            <w:gridSpan w:val="3"/>
            <w:shd w:val="clear" w:color="auto" w:fill="auto"/>
            <w:tcMar>
              <w:top w:w="10" w:type="dxa"/>
              <w:left w:w="93" w:type="dxa"/>
              <w:bottom w:w="0" w:type="dxa"/>
              <w:right w:w="10" w:type="dxa"/>
            </w:tcMar>
            <w:vAlign w:val="center"/>
          </w:tcPr>
          <w:p w14:paraId="089D08FE"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Fuente y base de datos:</w:t>
            </w:r>
          </w:p>
        </w:tc>
        <w:tc>
          <w:tcPr>
            <w:tcW w:w="6258" w:type="dxa"/>
            <w:gridSpan w:val="10"/>
            <w:shd w:val="clear" w:color="auto" w:fill="auto"/>
            <w:tcMar>
              <w:top w:w="51" w:type="dxa"/>
              <w:left w:w="227" w:type="dxa"/>
              <w:bottom w:w="51" w:type="dxa"/>
              <w:right w:w="227" w:type="dxa"/>
            </w:tcMar>
            <w:vAlign w:val="center"/>
          </w:tcPr>
          <w:p w14:paraId="0B6EA310" w14:textId="77777777" w:rsidR="00A75C0F" w:rsidRPr="008A26D2" w:rsidRDefault="00A75C0F" w:rsidP="00AF5836">
            <w:pPr>
              <w:tabs>
                <w:tab w:val="left" w:pos="3375"/>
              </w:tabs>
              <w:jc w:val="both"/>
              <w:rPr>
                <w:rFonts w:ascii="Arial" w:hAnsi="Arial" w:cs="Arial"/>
                <w:sz w:val="20"/>
                <w:szCs w:val="20"/>
              </w:rPr>
            </w:pPr>
            <w:r w:rsidRPr="008A26D2">
              <w:rPr>
                <w:rFonts w:ascii="Arial" w:eastAsia="Times New Roman" w:hAnsi="Arial" w:cs="Arial"/>
                <w:sz w:val="20"/>
                <w:szCs w:val="20"/>
              </w:rPr>
              <w:t>Fuente: Dirección General de Políticas de Desarrollo de Comercio Exterior, Dirección de Desarrollo de Mercados Internacionales, Dirección de Desarrollo de Capacidades y Oferta Exportable de</w:t>
            </w:r>
            <w:r>
              <w:rPr>
                <w:rFonts w:ascii="Arial" w:eastAsia="Times New Roman" w:hAnsi="Arial" w:cs="Arial"/>
                <w:sz w:val="20"/>
                <w:szCs w:val="20"/>
              </w:rPr>
              <w:t>l Ministerio de Comercio Exterior y Turismo -</w:t>
            </w:r>
            <w:r w:rsidRPr="008A26D2">
              <w:rPr>
                <w:rFonts w:ascii="Arial" w:eastAsia="Times New Roman" w:hAnsi="Arial" w:cs="Arial"/>
                <w:sz w:val="20"/>
                <w:szCs w:val="20"/>
              </w:rPr>
              <w:t xml:space="preserve"> MINCETUR</w:t>
            </w:r>
            <w:r w:rsidRPr="008A26D2">
              <w:rPr>
                <w:rFonts w:ascii="Arial" w:eastAsia="Times New Roman" w:hAnsi="Arial" w:cs="Arial"/>
                <w:sz w:val="20"/>
                <w:szCs w:val="20"/>
              </w:rPr>
              <w:br/>
              <w:t>Base de datos: Registros administrativos de la Dirección de Desarrollo de Capacidades y Oferta Exportable del MINCETUR</w:t>
            </w:r>
          </w:p>
        </w:tc>
      </w:tr>
      <w:tr w:rsidR="00A75C0F" w:rsidRPr="008A26D2" w14:paraId="53E72FA5" w14:textId="77777777" w:rsidTr="00AF5836">
        <w:trPr>
          <w:trHeight w:val="436"/>
        </w:trPr>
        <w:tc>
          <w:tcPr>
            <w:tcW w:w="2389" w:type="dxa"/>
            <w:gridSpan w:val="3"/>
            <w:shd w:val="clear" w:color="auto" w:fill="auto"/>
            <w:tcMar>
              <w:top w:w="10" w:type="dxa"/>
              <w:left w:w="93" w:type="dxa"/>
              <w:bottom w:w="0" w:type="dxa"/>
              <w:right w:w="10" w:type="dxa"/>
            </w:tcMar>
            <w:vAlign w:val="center"/>
          </w:tcPr>
          <w:p w14:paraId="70DE2B4E"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Supuestos:</w:t>
            </w:r>
          </w:p>
        </w:tc>
        <w:tc>
          <w:tcPr>
            <w:tcW w:w="6258" w:type="dxa"/>
            <w:gridSpan w:val="10"/>
            <w:shd w:val="clear" w:color="auto" w:fill="FFFFFF" w:themeFill="background1"/>
            <w:tcMar>
              <w:top w:w="51" w:type="dxa"/>
              <w:left w:w="227" w:type="dxa"/>
              <w:bottom w:w="51" w:type="dxa"/>
              <w:right w:w="227" w:type="dxa"/>
            </w:tcMar>
            <w:vAlign w:val="center"/>
          </w:tcPr>
          <w:p w14:paraId="16303ED5" w14:textId="77777777" w:rsidR="00A75C0F" w:rsidRPr="008A26D2" w:rsidRDefault="00A75C0F" w:rsidP="00AF5836">
            <w:pPr>
              <w:tabs>
                <w:tab w:val="left" w:pos="3375"/>
              </w:tabs>
              <w:jc w:val="both"/>
              <w:rPr>
                <w:rFonts w:ascii="Arial" w:hAnsi="Arial" w:cs="Arial"/>
                <w:sz w:val="20"/>
                <w:szCs w:val="20"/>
              </w:rPr>
            </w:pPr>
            <w:r w:rsidRPr="008A26D2">
              <w:rPr>
                <w:rFonts w:ascii="Arial" w:eastAsia="Times New Roman" w:hAnsi="Arial" w:cs="Arial"/>
                <w:sz w:val="20"/>
                <w:szCs w:val="20"/>
              </w:rPr>
              <w:t>Existe el adecuado financiamiento y especialistas para realizar el fortalecimiento de capacidades</w:t>
            </w:r>
          </w:p>
        </w:tc>
      </w:tr>
      <w:tr w:rsidR="00A75C0F" w:rsidRPr="008A26D2" w14:paraId="6B36A7A0" w14:textId="77777777" w:rsidTr="00AF5836">
        <w:trPr>
          <w:trHeight w:val="556"/>
        </w:trPr>
        <w:tc>
          <w:tcPr>
            <w:tcW w:w="556" w:type="dxa"/>
            <w:shd w:val="clear" w:color="auto" w:fill="auto"/>
            <w:tcMar>
              <w:top w:w="10" w:type="dxa"/>
              <w:left w:w="10" w:type="dxa"/>
              <w:bottom w:w="0" w:type="dxa"/>
              <w:right w:w="10" w:type="dxa"/>
            </w:tcMar>
            <w:vAlign w:val="center"/>
          </w:tcPr>
          <w:p w14:paraId="671BA49B"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 </w:t>
            </w:r>
          </w:p>
        </w:tc>
        <w:tc>
          <w:tcPr>
            <w:tcW w:w="862" w:type="dxa"/>
            <w:shd w:val="clear" w:color="auto" w:fill="auto"/>
            <w:tcMar>
              <w:top w:w="10" w:type="dxa"/>
              <w:left w:w="10" w:type="dxa"/>
              <w:bottom w:w="0" w:type="dxa"/>
              <w:right w:w="10" w:type="dxa"/>
            </w:tcMar>
            <w:vAlign w:val="center"/>
          </w:tcPr>
          <w:p w14:paraId="2A86BC15" w14:textId="77777777" w:rsidR="00A75C0F" w:rsidRPr="008A26D2" w:rsidRDefault="00A75C0F" w:rsidP="00307693">
            <w:pPr>
              <w:tabs>
                <w:tab w:val="left" w:pos="3375"/>
              </w:tabs>
              <w:jc w:val="center"/>
              <w:rPr>
                <w:rFonts w:ascii="Arial" w:hAnsi="Arial" w:cs="Arial"/>
                <w:sz w:val="20"/>
                <w:szCs w:val="20"/>
              </w:rPr>
            </w:pPr>
            <w:r w:rsidRPr="008A26D2">
              <w:rPr>
                <w:rFonts w:ascii="Arial" w:hAnsi="Arial" w:cs="Arial"/>
                <w:b/>
                <w:sz w:val="20"/>
                <w:szCs w:val="20"/>
              </w:rPr>
              <w:t>Línea de base</w:t>
            </w:r>
          </w:p>
        </w:tc>
        <w:tc>
          <w:tcPr>
            <w:tcW w:w="7229" w:type="dxa"/>
            <w:gridSpan w:val="11"/>
            <w:shd w:val="clear" w:color="auto" w:fill="auto"/>
            <w:tcMar>
              <w:top w:w="10" w:type="dxa"/>
              <w:left w:w="10" w:type="dxa"/>
              <w:bottom w:w="0" w:type="dxa"/>
              <w:right w:w="10" w:type="dxa"/>
            </w:tcMar>
            <w:vAlign w:val="center"/>
          </w:tcPr>
          <w:p w14:paraId="0DEA2914"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b/>
                <w:sz w:val="20"/>
                <w:szCs w:val="20"/>
              </w:rPr>
              <w:t>Logros esperados</w:t>
            </w:r>
          </w:p>
        </w:tc>
      </w:tr>
      <w:tr w:rsidR="00A75C0F" w:rsidRPr="008A26D2" w14:paraId="0775EC07" w14:textId="77777777" w:rsidTr="00AF5836">
        <w:trPr>
          <w:trHeight w:val="217"/>
        </w:trPr>
        <w:tc>
          <w:tcPr>
            <w:tcW w:w="556" w:type="dxa"/>
            <w:shd w:val="clear" w:color="auto" w:fill="auto"/>
            <w:tcMar>
              <w:top w:w="10" w:type="dxa"/>
              <w:left w:w="10" w:type="dxa"/>
              <w:bottom w:w="0" w:type="dxa"/>
              <w:right w:w="10" w:type="dxa"/>
            </w:tcMar>
            <w:vAlign w:val="center"/>
          </w:tcPr>
          <w:p w14:paraId="2AC98A48"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Año</w:t>
            </w:r>
          </w:p>
        </w:tc>
        <w:tc>
          <w:tcPr>
            <w:tcW w:w="862" w:type="dxa"/>
            <w:shd w:val="clear" w:color="auto" w:fill="auto"/>
            <w:tcMar>
              <w:top w:w="10" w:type="dxa"/>
              <w:left w:w="10" w:type="dxa"/>
              <w:bottom w:w="0" w:type="dxa"/>
              <w:right w:w="10" w:type="dxa"/>
            </w:tcMar>
            <w:vAlign w:val="center"/>
          </w:tcPr>
          <w:p w14:paraId="10CAA807"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2022</w:t>
            </w:r>
          </w:p>
        </w:tc>
        <w:tc>
          <w:tcPr>
            <w:tcW w:w="1237" w:type="dxa"/>
            <w:gridSpan w:val="2"/>
            <w:shd w:val="clear" w:color="auto" w:fill="auto"/>
            <w:tcMar>
              <w:top w:w="10" w:type="dxa"/>
              <w:left w:w="10" w:type="dxa"/>
              <w:bottom w:w="0" w:type="dxa"/>
              <w:right w:w="10" w:type="dxa"/>
            </w:tcMar>
            <w:vAlign w:val="center"/>
          </w:tcPr>
          <w:p w14:paraId="499CCD0A"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2023</w:t>
            </w:r>
          </w:p>
        </w:tc>
        <w:tc>
          <w:tcPr>
            <w:tcW w:w="865" w:type="dxa"/>
            <w:shd w:val="clear" w:color="auto" w:fill="auto"/>
            <w:vAlign w:val="center"/>
          </w:tcPr>
          <w:p w14:paraId="1F72D0D3"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2024</w:t>
            </w:r>
          </w:p>
        </w:tc>
        <w:tc>
          <w:tcPr>
            <w:tcW w:w="993" w:type="dxa"/>
            <w:gridSpan w:val="2"/>
            <w:shd w:val="clear" w:color="auto" w:fill="auto"/>
            <w:vAlign w:val="center"/>
          </w:tcPr>
          <w:p w14:paraId="12C2007A"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2025</w:t>
            </w:r>
          </w:p>
        </w:tc>
        <w:tc>
          <w:tcPr>
            <w:tcW w:w="992" w:type="dxa"/>
            <w:shd w:val="clear" w:color="auto" w:fill="auto"/>
            <w:vAlign w:val="center"/>
          </w:tcPr>
          <w:p w14:paraId="37990949"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2026</w:t>
            </w:r>
          </w:p>
        </w:tc>
        <w:tc>
          <w:tcPr>
            <w:tcW w:w="874" w:type="dxa"/>
            <w:shd w:val="clear" w:color="auto" w:fill="auto"/>
            <w:vAlign w:val="center"/>
          </w:tcPr>
          <w:p w14:paraId="0505FB82"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2027</w:t>
            </w:r>
          </w:p>
        </w:tc>
        <w:tc>
          <w:tcPr>
            <w:tcW w:w="709" w:type="dxa"/>
            <w:shd w:val="clear" w:color="auto" w:fill="auto"/>
            <w:vAlign w:val="center"/>
          </w:tcPr>
          <w:p w14:paraId="518E505D"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2028</w:t>
            </w:r>
          </w:p>
        </w:tc>
        <w:tc>
          <w:tcPr>
            <w:tcW w:w="851" w:type="dxa"/>
            <w:gridSpan w:val="2"/>
            <w:shd w:val="clear" w:color="auto" w:fill="auto"/>
            <w:vAlign w:val="center"/>
          </w:tcPr>
          <w:p w14:paraId="5BADEB15"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2029</w:t>
            </w:r>
          </w:p>
        </w:tc>
        <w:tc>
          <w:tcPr>
            <w:tcW w:w="708" w:type="dxa"/>
            <w:shd w:val="clear" w:color="auto" w:fill="auto"/>
            <w:tcMar>
              <w:top w:w="10" w:type="dxa"/>
              <w:left w:w="10" w:type="dxa"/>
              <w:bottom w:w="0" w:type="dxa"/>
              <w:right w:w="10" w:type="dxa"/>
            </w:tcMar>
            <w:vAlign w:val="center"/>
          </w:tcPr>
          <w:p w14:paraId="3A2062AA"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2030</w:t>
            </w:r>
          </w:p>
        </w:tc>
      </w:tr>
      <w:tr w:rsidR="00A75C0F" w:rsidRPr="008A26D2" w14:paraId="5D603C89" w14:textId="77777777" w:rsidTr="00AF5836">
        <w:trPr>
          <w:trHeight w:val="81"/>
        </w:trPr>
        <w:tc>
          <w:tcPr>
            <w:tcW w:w="556" w:type="dxa"/>
            <w:shd w:val="clear" w:color="auto" w:fill="auto"/>
            <w:tcMar>
              <w:top w:w="10" w:type="dxa"/>
              <w:left w:w="10" w:type="dxa"/>
              <w:bottom w:w="0" w:type="dxa"/>
              <w:right w:w="10" w:type="dxa"/>
            </w:tcMar>
            <w:vAlign w:val="center"/>
          </w:tcPr>
          <w:p w14:paraId="51EC7AF8" w14:textId="77777777" w:rsidR="00A75C0F" w:rsidRPr="00307693" w:rsidRDefault="00A75C0F" w:rsidP="00AF5836">
            <w:pPr>
              <w:tabs>
                <w:tab w:val="left" w:pos="3375"/>
              </w:tabs>
              <w:jc w:val="both"/>
              <w:rPr>
                <w:rFonts w:ascii="Arial" w:hAnsi="Arial" w:cs="Arial"/>
                <w:b/>
                <w:sz w:val="20"/>
                <w:szCs w:val="20"/>
              </w:rPr>
            </w:pPr>
            <w:r w:rsidRPr="00307693">
              <w:rPr>
                <w:rFonts w:ascii="Arial" w:hAnsi="Arial" w:cs="Arial"/>
                <w:b/>
                <w:sz w:val="20"/>
                <w:szCs w:val="20"/>
              </w:rPr>
              <w:t>Valor</w:t>
            </w:r>
          </w:p>
        </w:tc>
        <w:tc>
          <w:tcPr>
            <w:tcW w:w="862" w:type="dxa"/>
            <w:shd w:val="clear" w:color="auto" w:fill="auto"/>
            <w:tcMar>
              <w:top w:w="10" w:type="dxa"/>
              <w:left w:w="10" w:type="dxa"/>
              <w:bottom w:w="0" w:type="dxa"/>
              <w:right w:w="10" w:type="dxa"/>
            </w:tcMar>
            <w:vAlign w:val="center"/>
          </w:tcPr>
          <w:p w14:paraId="78365F4C" w14:textId="77777777" w:rsidR="00A75C0F" w:rsidRPr="00307693" w:rsidRDefault="00A75C0F" w:rsidP="00AF5836">
            <w:pPr>
              <w:tabs>
                <w:tab w:val="left" w:pos="3375"/>
              </w:tabs>
              <w:jc w:val="center"/>
              <w:rPr>
                <w:rFonts w:ascii="Arial" w:hAnsi="Arial" w:cs="Arial"/>
                <w:sz w:val="20"/>
                <w:szCs w:val="20"/>
              </w:rPr>
            </w:pPr>
            <w:r w:rsidRPr="00307693">
              <w:rPr>
                <w:rFonts w:ascii="Arial" w:hAnsi="Arial" w:cs="Arial"/>
                <w:sz w:val="20"/>
                <w:szCs w:val="20"/>
              </w:rPr>
              <w:t>ND</w:t>
            </w:r>
          </w:p>
        </w:tc>
        <w:tc>
          <w:tcPr>
            <w:tcW w:w="1237" w:type="dxa"/>
            <w:gridSpan w:val="2"/>
            <w:shd w:val="clear" w:color="auto" w:fill="auto"/>
            <w:tcMar>
              <w:top w:w="10" w:type="dxa"/>
              <w:left w:w="10" w:type="dxa"/>
              <w:bottom w:w="0" w:type="dxa"/>
              <w:right w:w="10" w:type="dxa"/>
            </w:tcMar>
            <w:vAlign w:val="center"/>
          </w:tcPr>
          <w:p w14:paraId="58F2D354"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sz w:val="20"/>
                <w:szCs w:val="20"/>
              </w:rPr>
              <w:t>30%</w:t>
            </w:r>
          </w:p>
        </w:tc>
        <w:tc>
          <w:tcPr>
            <w:tcW w:w="865" w:type="dxa"/>
            <w:shd w:val="clear" w:color="auto" w:fill="auto"/>
            <w:vAlign w:val="center"/>
          </w:tcPr>
          <w:p w14:paraId="76A22CEE"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sz w:val="20"/>
                <w:szCs w:val="20"/>
              </w:rPr>
              <w:t>35%</w:t>
            </w:r>
          </w:p>
        </w:tc>
        <w:tc>
          <w:tcPr>
            <w:tcW w:w="993" w:type="dxa"/>
            <w:gridSpan w:val="2"/>
            <w:shd w:val="clear" w:color="auto" w:fill="auto"/>
            <w:vAlign w:val="center"/>
          </w:tcPr>
          <w:p w14:paraId="46A2AA7C"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sz w:val="20"/>
                <w:szCs w:val="20"/>
              </w:rPr>
              <w:t>40%</w:t>
            </w:r>
          </w:p>
        </w:tc>
        <w:tc>
          <w:tcPr>
            <w:tcW w:w="992" w:type="dxa"/>
            <w:shd w:val="clear" w:color="auto" w:fill="auto"/>
            <w:vAlign w:val="center"/>
          </w:tcPr>
          <w:p w14:paraId="697332FB"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sz w:val="20"/>
                <w:szCs w:val="20"/>
              </w:rPr>
              <w:t>45%</w:t>
            </w:r>
          </w:p>
        </w:tc>
        <w:tc>
          <w:tcPr>
            <w:tcW w:w="874" w:type="dxa"/>
            <w:shd w:val="clear" w:color="auto" w:fill="auto"/>
            <w:vAlign w:val="center"/>
          </w:tcPr>
          <w:p w14:paraId="0377C285"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sz w:val="20"/>
                <w:szCs w:val="20"/>
              </w:rPr>
              <w:t>50%</w:t>
            </w:r>
          </w:p>
        </w:tc>
        <w:tc>
          <w:tcPr>
            <w:tcW w:w="709" w:type="dxa"/>
            <w:shd w:val="clear" w:color="auto" w:fill="auto"/>
            <w:vAlign w:val="center"/>
          </w:tcPr>
          <w:p w14:paraId="246E1B0B"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sz w:val="20"/>
                <w:szCs w:val="20"/>
              </w:rPr>
              <w:t>60%</w:t>
            </w:r>
          </w:p>
        </w:tc>
        <w:tc>
          <w:tcPr>
            <w:tcW w:w="851" w:type="dxa"/>
            <w:gridSpan w:val="2"/>
            <w:shd w:val="clear" w:color="auto" w:fill="auto"/>
            <w:vAlign w:val="center"/>
          </w:tcPr>
          <w:p w14:paraId="2F104DB6"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sz w:val="20"/>
                <w:szCs w:val="20"/>
              </w:rPr>
              <w:t>70%</w:t>
            </w:r>
          </w:p>
        </w:tc>
        <w:tc>
          <w:tcPr>
            <w:tcW w:w="708" w:type="dxa"/>
            <w:shd w:val="clear" w:color="auto" w:fill="auto"/>
            <w:tcMar>
              <w:top w:w="10" w:type="dxa"/>
              <w:left w:w="10" w:type="dxa"/>
              <w:bottom w:w="0" w:type="dxa"/>
              <w:right w:w="10" w:type="dxa"/>
            </w:tcMar>
            <w:vAlign w:val="center"/>
          </w:tcPr>
          <w:p w14:paraId="1F821B5B" w14:textId="77777777" w:rsidR="00A75C0F" w:rsidRPr="008A26D2" w:rsidRDefault="00A75C0F" w:rsidP="00AF5836">
            <w:pPr>
              <w:tabs>
                <w:tab w:val="left" w:pos="3375"/>
              </w:tabs>
              <w:jc w:val="center"/>
              <w:rPr>
                <w:rFonts w:ascii="Arial" w:hAnsi="Arial" w:cs="Arial"/>
                <w:sz w:val="20"/>
                <w:szCs w:val="20"/>
                <w:highlight w:val="yellow"/>
              </w:rPr>
            </w:pPr>
            <w:r w:rsidRPr="008A26D2">
              <w:rPr>
                <w:rFonts w:ascii="Arial" w:hAnsi="Arial" w:cs="Arial"/>
                <w:sz w:val="20"/>
                <w:szCs w:val="20"/>
              </w:rPr>
              <w:t>80%</w:t>
            </w:r>
          </w:p>
        </w:tc>
      </w:tr>
      <w:bookmarkEnd w:id="21"/>
    </w:tbl>
    <w:p w14:paraId="4FFF42BD" w14:textId="77777777" w:rsidR="00A75C0F" w:rsidRPr="008A26D2" w:rsidRDefault="00A75C0F" w:rsidP="00A75C0F"/>
    <w:p w14:paraId="637C50E6" w14:textId="77777777" w:rsidR="0070592F" w:rsidRPr="008A26D2" w:rsidRDefault="0070592F" w:rsidP="00A75C0F"/>
    <w:tbl>
      <w:tblPr>
        <w:tblW w:w="864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
        <w:gridCol w:w="852"/>
        <w:gridCol w:w="851"/>
        <w:gridCol w:w="159"/>
        <w:gridCol w:w="833"/>
        <w:gridCol w:w="992"/>
        <w:gridCol w:w="284"/>
        <w:gridCol w:w="992"/>
        <w:gridCol w:w="850"/>
        <w:gridCol w:w="851"/>
        <w:gridCol w:w="24"/>
        <w:gridCol w:w="826"/>
        <w:gridCol w:w="567"/>
      </w:tblGrid>
      <w:tr w:rsidR="00A75C0F" w:rsidRPr="008A26D2" w14:paraId="09AF8D1E" w14:textId="77777777" w:rsidTr="00AF5836">
        <w:trPr>
          <w:trHeight w:val="251"/>
        </w:trPr>
        <w:tc>
          <w:tcPr>
            <w:tcW w:w="8647" w:type="dxa"/>
            <w:gridSpan w:val="13"/>
            <w:shd w:val="clear" w:color="auto" w:fill="D9D9D9" w:themeFill="background1" w:themeFillShade="D9"/>
            <w:tcMar>
              <w:top w:w="10" w:type="dxa"/>
              <w:left w:w="10" w:type="dxa"/>
              <w:bottom w:w="0" w:type="dxa"/>
              <w:right w:w="10" w:type="dxa"/>
            </w:tcMar>
            <w:vAlign w:val="center"/>
          </w:tcPr>
          <w:p w14:paraId="4B6F58D4"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sz w:val="20"/>
                <w:szCs w:val="20"/>
              </w:rPr>
              <w:br w:type="page"/>
            </w:r>
            <w:r w:rsidRPr="008A26D2">
              <w:rPr>
                <w:rFonts w:ascii="Arial" w:hAnsi="Arial" w:cs="Arial"/>
                <w:b/>
                <w:sz w:val="20"/>
                <w:szCs w:val="20"/>
              </w:rPr>
              <w:t>FICHA TÉCNICA DE INDICADOR DE SERVICIO 2.6.3 - CALIDAD</w:t>
            </w:r>
          </w:p>
        </w:tc>
      </w:tr>
      <w:tr w:rsidR="00A75C0F" w:rsidRPr="008A26D2" w14:paraId="22368B85" w14:textId="77777777" w:rsidTr="00AF5836">
        <w:trPr>
          <w:trHeight w:val="409"/>
        </w:trPr>
        <w:tc>
          <w:tcPr>
            <w:tcW w:w="2428" w:type="dxa"/>
            <w:gridSpan w:val="4"/>
            <w:shd w:val="clear" w:color="auto" w:fill="FFFFFF"/>
            <w:tcMar>
              <w:top w:w="10" w:type="dxa"/>
              <w:left w:w="93" w:type="dxa"/>
              <w:bottom w:w="0" w:type="dxa"/>
              <w:right w:w="10" w:type="dxa"/>
            </w:tcMar>
            <w:vAlign w:val="center"/>
          </w:tcPr>
          <w:p w14:paraId="2EC5720B"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Objetivo prioritario:</w:t>
            </w:r>
          </w:p>
        </w:tc>
        <w:tc>
          <w:tcPr>
            <w:tcW w:w="6219" w:type="dxa"/>
            <w:gridSpan w:val="9"/>
            <w:shd w:val="clear" w:color="auto" w:fill="FFFFFF"/>
            <w:tcMar>
              <w:top w:w="51" w:type="dxa"/>
              <w:left w:w="227" w:type="dxa"/>
              <w:bottom w:w="51" w:type="dxa"/>
              <w:right w:w="227" w:type="dxa"/>
            </w:tcMar>
            <w:vAlign w:val="center"/>
          </w:tcPr>
          <w:p w14:paraId="67B4E809"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sz w:val="20"/>
                <w:szCs w:val="20"/>
              </w:rPr>
              <w:t>OP2 Incrementar la productividad de los ecosistemas forestales, otros ecosistemas de vegetación silvestre y de la fauna silvestre</w:t>
            </w:r>
          </w:p>
        </w:tc>
      </w:tr>
      <w:tr w:rsidR="00A75C0F" w:rsidRPr="008A26D2" w14:paraId="2BC81F8E" w14:textId="77777777" w:rsidTr="00AF5836">
        <w:trPr>
          <w:trHeight w:val="436"/>
        </w:trPr>
        <w:tc>
          <w:tcPr>
            <w:tcW w:w="2428" w:type="dxa"/>
            <w:gridSpan w:val="4"/>
            <w:shd w:val="clear" w:color="auto" w:fill="auto"/>
            <w:tcMar>
              <w:top w:w="10" w:type="dxa"/>
              <w:left w:w="93" w:type="dxa"/>
              <w:bottom w:w="0" w:type="dxa"/>
              <w:right w:w="10" w:type="dxa"/>
            </w:tcMar>
            <w:vAlign w:val="center"/>
          </w:tcPr>
          <w:p w14:paraId="21933686"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Lineamiento de la política:</w:t>
            </w:r>
          </w:p>
        </w:tc>
        <w:tc>
          <w:tcPr>
            <w:tcW w:w="6219" w:type="dxa"/>
            <w:gridSpan w:val="9"/>
            <w:shd w:val="clear" w:color="auto" w:fill="auto"/>
            <w:tcMar>
              <w:top w:w="51" w:type="dxa"/>
              <w:left w:w="227" w:type="dxa"/>
              <w:bottom w:w="51" w:type="dxa"/>
              <w:right w:w="227" w:type="dxa"/>
            </w:tcMar>
            <w:vAlign w:val="center"/>
          </w:tcPr>
          <w:p w14:paraId="279F77EA"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sz w:val="20"/>
                <w:szCs w:val="20"/>
              </w:rPr>
              <w:t>L2.6 Incrementar el comercio nacional e internacional de especímenes, productos y subproductos de flora y fauna silvestre provenientes de actividades de aprovechamiento autorizadas</w:t>
            </w:r>
          </w:p>
        </w:tc>
      </w:tr>
      <w:tr w:rsidR="00A75C0F" w:rsidRPr="008A26D2" w14:paraId="57782FCE" w14:textId="77777777" w:rsidTr="00AF5836">
        <w:trPr>
          <w:trHeight w:val="404"/>
        </w:trPr>
        <w:tc>
          <w:tcPr>
            <w:tcW w:w="2428" w:type="dxa"/>
            <w:gridSpan w:val="4"/>
            <w:shd w:val="clear" w:color="auto" w:fill="auto"/>
            <w:tcMar>
              <w:top w:w="10" w:type="dxa"/>
              <w:left w:w="93" w:type="dxa"/>
              <w:bottom w:w="0" w:type="dxa"/>
              <w:right w:w="10" w:type="dxa"/>
            </w:tcMar>
            <w:vAlign w:val="center"/>
          </w:tcPr>
          <w:p w14:paraId="376F525E"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Nombre del servicio:</w:t>
            </w:r>
          </w:p>
        </w:tc>
        <w:tc>
          <w:tcPr>
            <w:tcW w:w="6219" w:type="dxa"/>
            <w:gridSpan w:val="9"/>
            <w:shd w:val="clear" w:color="auto" w:fill="auto"/>
            <w:tcMar>
              <w:top w:w="51" w:type="dxa"/>
              <w:left w:w="227" w:type="dxa"/>
              <w:bottom w:w="51" w:type="dxa"/>
              <w:right w:w="227" w:type="dxa"/>
            </w:tcMar>
            <w:vAlign w:val="center"/>
          </w:tcPr>
          <w:p w14:paraId="44B7BA70"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sz w:val="20"/>
                <w:szCs w:val="20"/>
              </w:rPr>
              <w:t>S2.6.3 Promoción de la oferta exportable de nuevas especies de productos maderables de valor agregado de forma oportuna en beneficio de exportadores y potenciales exportadores forestales</w:t>
            </w:r>
          </w:p>
        </w:tc>
      </w:tr>
      <w:tr w:rsidR="00A75C0F" w:rsidRPr="008A26D2" w14:paraId="440CFD76" w14:textId="77777777" w:rsidTr="00AF5836">
        <w:trPr>
          <w:trHeight w:val="577"/>
        </w:trPr>
        <w:tc>
          <w:tcPr>
            <w:tcW w:w="2428" w:type="dxa"/>
            <w:gridSpan w:val="4"/>
            <w:shd w:val="clear" w:color="auto" w:fill="auto"/>
            <w:tcMar>
              <w:top w:w="10" w:type="dxa"/>
              <w:left w:w="93" w:type="dxa"/>
              <w:bottom w:w="0" w:type="dxa"/>
              <w:right w:w="10" w:type="dxa"/>
            </w:tcMar>
            <w:vAlign w:val="center"/>
          </w:tcPr>
          <w:p w14:paraId="38CED8DD"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Nombre del indicador:</w:t>
            </w:r>
          </w:p>
        </w:tc>
        <w:tc>
          <w:tcPr>
            <w:tcW w:w="6219" w:type="dxa"/>
            <w:gridSpan w:val="9"/>
            <w:shd w:val="clear" w:color="auto" w:fill="auto"/>
            <w:tcMar>
              <w:top w:w="51" w:type="dxa"/>
              <w:left w:w="227" w:type="dxa"/>
              <w:bottom w:w="51" w:type="dxa"/>
              <w:right w:w="227" w:type="dxa"/>
            </w:tcMar>
            <w:vAlign w:val="center"/>
          </w:tcPr>
          <w:p w14:paraId="726266C1"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sz w:val="20"/>
                <w:szCs w:val="20"/>
              </w:rPr>
              <w:t>Porcentaje de especies forestales maderables no tan conocidas (“lesser known species”) promovidas en eventos de promoción comercial de manera oportuna por los exportadores nacionales.</w:t>
            </w:r>
          </w:p>
        </w:tc>
      </w:tr>
      <w:tr w:rsidR="00A75C0F" w:rsidRPr="008A26D2" w14:paraId="638BF996" w14:textId="77777777" w:rsidTr="00AF5836">
        <w:trPr>
          <w:trHeight w:val="577"/>
        </w:trPr>
        <w:tc>
          <w:tcPr>
            <w:tcW w:w="2428" w:type="dxa"/>
            <w:gridSpan w:val="4"/>
            <w:shd w:val="clear" w:color="auto" w:fill="auto"/>
            <w:tcMar>
              <w:top w:w="10" w:type="dxa"/>
              <w:left w:w="93" w:type="dxa"/>
              <w:bottom w:w="0" w:type="dxa"/>
              <w:right w:w="10" w:type="dxa"/>
            </w:tcMar>
            <w:vAlign w:val="center"/>
          </w:tcPr>
          <w:p w14:paraId="416481BE"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Justificación:</w:t>
            </w:r>
          </w:p>
        </w:tc>
        <w:tc>
          <w:tcPr>
            <w:tcW w:w="6219" w:type="dxa"/>
            <w:gridSpan w:val="9"/>
            <w:shd w:val="clear" w:color="auto" w:fill="auto"/>
            <w:tcMar>
              <w:top w:w="51" w:type="dxa"/>
              <w:left w:w="227" w:type="dxa"/>
              <w:bottom w:w="51" w:type="dxa"/>
              <w:right w:w="227" w:type="dxa"/>
            </w:tcMar>
            <w:vAlign w:val="center"/>
          </w:tcPr>
          <w:p w14:paraId="47D222C0" w14:textId="77777777" w:rsidR="00A75C0F" w:rsidRPr="008A26D2" w:rsidRDefault="00A75C0F" w:rsidP="00AF5836">
            <w:pPr>
              <w:spacing w:after="0"/>
              <w:jc w:val="both"/>
              <w:rPr>
                <w:rFonts w:ascii="Arial" w:hAnsi="Arial" w:cs="Arial"/>
                <w:sz w:val="20"/>
                <w:szCs w:val="20"/>
              </w:rPr>
            </w:pPr>
            <w:r w:rsidRPr="008A26D2">
              <w:rPr>
                <w:rFonts w:ascii="Arial" w:hAnsi="Arial" w:cs="Arial"/>
                <w:sz w:val="20"/>
                <w:szCs w:val="20"/>
              </w:rPr>
              <w:t>El indicador permite identificar el avance en la promoción de especies forestales maderables no tan conocidas en los eventos de promoción comercial, los cuales deben realizarse de forma oportuna para asegurar la participación de los exportadores y potenciales exportadores forestales.</w:t>
            </w:r>
          </w:p>
        </w:tc>
      </w:tr>
      <w:tr w:rsidR="00A75C0F" w:rsidRPr="008A26D2" w14:paraId="6E5C138C" w14:textId="77777777" w:rsidTr="00AF5836">
        <w:trPr>
          <w:trHeight w:val="352"/>
        </w:trPr>
        <w:tc>
          <w:tcPr>
            <w:tcW w:w="2428" w:type="dxa"/>
            <w:gridSpan w:val="4"/>
            <w:shd w:val="clear" w:color="auto" w:fill="auto"/>
            <w:tcMar>
              <w:top w:w="10" w:type="dxa"/>
              <w:left w:w="93" w:type="dxa"/>
              <w:bottom w:w="0" w:type="dxa"/>
              <w:right w:w="10" w:type="dxa"/>
            </w:tcMar>
            <w:vAlign w:val="center"/>
          </w:tcPr>
          <w:p w14:paraId="0BF2E788"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Responsable del indicador:</w:t>
            </w:r>
          </w:p>
        </w:tc>
        <w:tc>
          <w:tcPr>
            <w:tcW w:w="6219" w:type="dxa"/>
            <w:gridSpan w:val="9"/>
            <w:shd w:val="clear" w:color="auto" w:fill="auto"/>
            <w:tcMar>
              <w:top w:w="51" w:type="dxa"/>
              <w:left w:w="227" w:type="dxa"/>
              <w:bottom w:w="51" w:type="dxa"/>
              <w:right w:w="227" w:type="dxa"/>
            </w:tcMar>
            <w:vAlign w:val="center"/>
          </w:tcPr>
          <w:p w14:paraId="00A8FF70"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sz w:val="20"/>
                <w:szCs w:val="20"/>
              </w:rPr>
              <w:t>Dirección de Promoción de las Exportaciones de PROMPERU</w:t>
            </w:r>
          </w:p>
        </w:tc>
      </w:tr>
      <w:tr w:rsidR="00A75C0F" w:rsidRPr="008A26D2" w14:paraId="2079A3F3" w14:textId="77777777" w:rsidTr="00AF5836">
        <w:trPr>
          <w:trHeight w:val="658"/>
        </w:trPr>
        <w:tc>
          <w:tcPr>
            <w:tcW w:w="2428" w:type="dxa"/>
            <w:gridSpan w:val="4"/>
            <w:shd w:val="clear" w:color="auto" w:fill="auto"/>
            <w:tcMar>
              <w:top w:w="10" w:type="dxa"/>
              <w:left w:w="93" w:type="dxa"/>
              <w:bottom w:w="0" w:type="dxa"/>
              <w:right w:w="10" w:type="dxa"/>
            </w:tcMar>
            <w:vAlign w:val="center"/>
          </w:tcPr>
          <w:p w14:paraId="5D66D3FA"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lastRenderedPageBreak/>
              <w:t>Limitaciones para la medición del indicador:</w:t>
            </w:r>
          </w:p>
        </w:tc>
        <w:tc>
          <w:tcPr>
            <w:tcW w:w="6219" w:type="dxa"/>
            <w:gridSpan w:val="9"/>
            <w:shd w:val="clear" w:color="auto" w:fill="auto"/>
            <w:tcMar>
              <w:top w:w="51" w:type="dxa"/>
              <w:left w:w="227" w:type="dxa"/>
              <w:bottom w:w="51" w:type="dxa"/>
              <w:right w:w="227" w:type="dxa"/>
            </w:tcMar>
            <w:vAlign w:val="center"/>
          </w:tcPr>
          <w:p w14:paraId="4CDEF569"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sz w:val="20"/>
                <w:szCs w:val="20"/>
              </w:rPr>
              <w:t>No presenta limitaciones</w:t>
            </w:r>
          </w:p>
        </w:tc>
      </w:tr>
      <w:tr w:rsidR="00A75C0F" w:rsidRPr="008A26D2" w14:paraId="1AB90F9B" w14:textId="77777777" w:rsidTr="00AF5836">
        <w:trPr>
          <w:trHeight w:val="231"/>
        </w:trPr>
        <w:tc>
          <w:tcPr>
            <w:tcW w:w="2428" w:type="dxa"/>
            <w:gridSpan w:val="4"/>
            <w:shd w:val="clear" w:color="auto" w:fill="auto"/>
            <w:tcMar>
              <w:top w:w="10" w:type="dxa"/>
              <w:left w:w="93" w:type="dxa"/>
              <w:bottom w:w="0" w:type="dxa"/>
              <w:right w:w="10" w:type="dxa"/>
            </w:tcMar>
            <w:vAlign w:val="center"/>
          </w:tcPr>
          <w:p w14:paraId="75935CD8"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 xml:space="preserve">Método de cálculo: </w:t>
            </w:r>
          </w:p>
        </w:tc>
        <w:tc>
          <w:tcPr>
            <w:tcW w:w="6219" w:type="dxa"/>
            <w:gridSpan w:val="9"/>
            <w:shd w:val="clear" w:color="auto" w:fill="auto"/>
            <w:tcMar>
              <w:top w:w="51" w:type="dxa"/>
              <w:left w:w="227" w:type="dxa"/>
              <w:bottom w:w="51" w:type="dxa"/>
              <w:right w:w="227" w:type="dxa"/>
            </w:tcMar>
            <w:vAlign w:val="center"/>
          </w:tcPr>
          <w:p w14:paraId="315DB3D2" w14:textId="77777777" w:rsidR="00A75C0F" w:rsidRPr="008A26D2" w:rsidRDefault="00A75C0F" w:rsidP="00AF5836">
            <w:pPr>
              <w:tabs>
                <w:tab w:val="left" w:pos="3375"/>
              </w:tabs>
              <w:jc w:val="both"/>
              <w:rPr>
                <w:rFonts w:ascii="Arial" w:hAnsi="Arial" w:cs="Arial"/>
                <w:b/>
                <w:sz w:val="20"/>
                <w:szCs w:val="20"/>
              </w:rPr>
            </w:pPr>
            <w:r w:rsidRPr="008A26D2">
              <w:rPr>
                <w:rFonts w:ascii="Arial" w:hAnsi="Arial" w:cs="Arial"/>
                <w:b/>
                <w:sz w:val="20"/>
                <w:szCs w:val="20"/>
              </w:rPr>
              <w:t>1. Fórmula:</w:t>
            </w:r>
          </w:p>
          <w:p w14:paraId="72C841BF"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sz w:val="20"/>
                <w:szCs w:val="20"/>
              </w:rPr>
              <w:t>(A/B)*100</w:t>
            </w:r>
          </w:p>
          <w:p w14:paraId="078F4103"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sz w:val="20"/>
                <w:szCs w:val="20"/>
              </w:rPr>
              <w:t>Donde:</w:t>
            </w:r>
          </w:p>
          <w:p w14:paraId="1DBDD70D" w14:textId="71146656" w:rsidR="00A75C0F" w:rsidRPr="008A26D2" w:rsidRDefault="00A75C0F" w:rsidP="00AF5836">
            <w:pPr>
              <w:tabs>
                <w:tab w:val="left" w:pos="3375"/>
              </w:tabs>
              <w:ind w:left="324" w:hanging="283"/>
              <w:jc w:val="both"/>
              <w:rPr>
                <w:rFonts w:ascii="Arial" w:hAnsi="Arial" w:cs="Arial"/>
                <w:sz w:val="20"/>
                <w:szCs w:val="20"/>
              </w:rPr>
            </w:pPr>
            <w:r w:rsidRPr="008A26D2">
              <w:rPr>
                <w:rFonts w:ascii="Arial" w:hAnsi="Arial" w:cs="Arial"/>
                <w:sz w:val="20"/>
                <w:szCs w:val="20"/>
              </w:rPr>
              <w:t>A = Son las especies forestales maderables no tan conocidas promovidas en actividades de promoción comercial</w:t>
            </w:r>
            <w:r>
              <w:rPr>
                <w:rFonts w:ascii="Arial" w:hAnsi="Arial" w:cs="Arial"/>
                <w:sz w:val="20"/>
                <w:szCs w:val="20"/>
              </w:rPr>
              <w:t xml:space="preserve"> de </w:t>
            </w:r>
            <w:r w:rsidR="00307693">
              <w:rPr>
                <w:rFonts w:ascii="Arial" w:hAnsi="Arial" w:cs="Arial"/>
                <w:sz w:val="20"/>
                <w:szCs w:val="20"/>
              </w:rPr>
              <w:t>manera</w:t>
            </w:r>
            <w:r>
              <w:rPr>
                <w:rFonts w:ascii="Arial" w:hAnsi="Arial" w:cs="Arial"/>
                <w:sz w:val="20"/>
                <w:szCs w:val="20"/>
              </w:rPr>
              <w:t xml:space="preserve"> oportuna</w:t>
            </w:r>
            <w:r w:rsidRPr="008A26D2">
              <w:rPr>
                <w:rFonts w:ascii="Arial" w:hAnsi="Arial" w:cs="Arial"/>
                <w:sz w:val="20"/>
                <w:szCs w:val="20"/>
              </w:rPr>
              <w:t>.</w:t>
            </w:r>
          </w:p>
          <w:p w14:paraId="16EFC1BA" w14:textId="77777777" w:rsidR="00A75C0F" w:rsidRPr="008A26D2" w:rsidRDefault="00A75C0F" w:rsidP="00AF5836">
            <w:pPr>
              <w:tabs>
                <w:tab w:val="left" w:pos="3375"/>
              </w:tabs>
              <w:ind w:left="324" w:hanging="283"/>
              <w:jc w:val="both"/>
              <w:rPr>
                <w:rFonts w:ascii="Arial" w:hAnsi="Arial" w:cs="Arial"/>
                <w:sz w:val="20"/>
                <w:szCs w:val="20"/>
              </w:rPr>
            </w:pPr>
            <w:r w:rsidRPr="008A26D2">
              <w:rPr>
                <w:rFonts w:ascii="Arial" w:hAnsi="Arial" w:cs="Arial"/>
                <w:sz w:val="20"/>
                <w:szCs w:val="20"/>
              </w:rPr>
              <w:t>B = Es el stock de especies forestales maderables no tan conocidas identificadas en Perú y priorizadas en uso de pisos interiores y exteriores.</w:t>
            </w:r>
          </w:p>
          <w:p w14:paraId="06E7B24C"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sz w:val="20"/>
                <w:szCs w:val="20"/>
              </w:rPr>
              <w:br/>
            </w:r>
            <w:r w:rsidRPr="008A26D2">
              <w:rPr>
                <w:rFonts w:ascii="Arial" w:hAnsi="Arial" w:cs="Arial"/>
                <w:b/>
                <w:sz w:val="20"/>
                <w:szCs w:val="20"/>
              </w:rPr>
              <w:t>2. Especificaciones técnicas:</w:t>
            </w:r>
          </w:p>
          <w:p w14:paraId="01AFCA28" w14:textId="77777777" w:rsidR="00A75C0F" w:rsidRDefault="00A75C0F" w:rsidP="00AF5836">
            <w:pPr>
              <w:spacing w:after="0"/>
              <w:jc w:val="both"/>
              <w:rPr>
                <w:rFonts w:ascii="Arial" w:hAnsi="Arial" w:cs="Arial"/>
                <w:sz w:val="20"/>
                <w:szCs w:val="20"/>
              </w:rPr>
            </w:pPr>
            <w:r>
              <w:rPr>
                <w:rFonts w:ascii="Arial" w:hAnsi="Arial" w:cs="Arial"/>
                <w:sz w:val="20"/>
                <w:szCs w:val="20"/>
              </w:rPr>
              <w:t xml:space="preserve">La variable A se determina a partir de la inclusión de </w:t>
            </w:r>
            <w:r w:rsidRPr="008A26D2">
              <w:rPr>
                <w:rFonts w:ascii="Arial" w:hAnsi="Arial" w:cs="Arial"/>
                <w:sz w:val="20"/>
                <w:szCs w:val="20"/>
              </w:rPr>
              <w:t>especies forestales maderables no tan conocidas</w:t>
            </w:r>
            <w:r>
              <w:rPr>
                <w:rFonts w:ascii="Arial" w:hAnsi="Arial" w:cs="Arial"/>
                <w:sz w:val="20"/>
                <w:szCs w:val="20"/>
              </w:rPr>
              <w:t xml:space="preserve"> en las actividades de promoción comercial </w:t>
            </w:r>
            <w:r w:rsidRPr="009D4288">
              <w:rPr>
                <w:rFonts w:ascii="Arial" w:hAnsi="Arial" w:cs="Arial"/>
                <w:sz w:val="20"/>
                <w:szCs w:val="20"/>
              </w:rPr>
              <w:t>considerando la estacionalidad de compra de la oferta, programa que se expone en un calendario internacional propuesto por los operadores feriales.</w:t>
            </w:r>
            <w:r>
              <w:rPr>
                <w:rFonts w:ascii="Arial" w:hAnsi="Arial" w:cs="Arial"/>
                <w:sz w:val="20"/>
                <w:szCs w:val="20"/>
              </w:rPr>
              <w:t xml:space="preserve"> </w:t>
            </w:r>
            <w:r w:rsidRPr="009D4288">
              <w:rPr>
                <w:rFonts w:ascii="Arial" w:hAnsi="Arial" w:cs="Arial"/>
                <w:sz w:val="20"/>
                <w:szCs w:val="20"/>
              </w:rPr>
              <w:t>Para el caso de Misiones Comerciales, herramienta propia, se toma dicha consideración, así como la estrategia comercial establecida de manera particular en el país destino.</w:t>
            </w:r>
          </w:p>
          <w:p w14:paraId="71A7D579" w14:textId="77777777" w:rsidR="00307693" w:rsidRDefault="00307693" w:rsidP="00AF5836">
            <w:pPr>
              <w:spacing w:after="0"/>
              <w:jc w:val="both"/>
              <w:rPr>
                <w:rFonts w:ascii="Arial" w:hAnsi="Arial" w:cs="Arial"/>
                <w:sz w:val="20"/>
                <w:szCs w:val="20"/>
              </w:rPr>
            </w:pPr>
          </w:p>
          <w:p w14:paraId="4FEB0B04" w14:textId="33238BD7" w:rsidR="00A75C0F" w:rsidRDefault="00A75C0F" w:rsidP="00AF5836">
            <w:pPr>
              <w:spacing w:after="0"/>
              <w:jc w:val="both"/>
              <w:rPr>
                <w:rFonts w:ascii="Arial" w:hAnsi="Arial" w:cs="Arial"/>
                <w:sz w:val="20"/>
                <w:szCs w:val="20"/>
              </w:rPr>
            </w:pPr>
            <w:r>
              <w:rPr>
                <w:rFonts w:ascii="Arial" w:hAnsi="Arial" w:cs="Arial"/>
                <w:sz w:val="20"/>
                <w:szCs w:val="20"/>
              </w:rPr>
              <w:t>La variable B se obtiene del total de especies forestales no tan conocidas</w:t>
            </w:r>
            <w:r w:rsidR="00307693">
              <w:rPr>
                <w:rFonts w:ascii="Arial" w:hAnsi="Arial" w:cs="Arial"/>
                <w:sz w:val="20"/>
                <w:szCs w:val="20"/>
              </w:rPr>
              <w:t xml:space="preserve"> </w:t>
            </w:r>
            <w:r w:rsidR="00307693" w:rsidRPr="008A26D2">
              <w:rPr>
                <w:rFonts w:ascii="Arial" w:hAnsi="Arial" w:cs="Arial"/>
                <w:sz w:val="20"/>
                <w:szCs w:val="20"/>
              </w:rPr>
              <w:t>identificadas en Perú y priorizadas en uso de pisos interiores y exteriores</w:t>
            </w:r>
            <w:r>
              <w:rPr>
                <w:rFonts w:ascii="Arial" w:hAnsi="Arial" w:cs="Arial"/>
                <w:sz w:val="20"/>
                <w:szCs w:val="20"/>
              </w:rPr>
              <w:t>.</w:t>
            </w:r>
          </w:p>
          <w:p w14:paraId="071271EC" w14:textId="77777777" w:rsidR="00A75C0F" w:rsidRDefault="00A75C0F" w:rsidP="00AF5836">
            <w:pPr>
              <w:spacing w:after="0"/>
              <w:jc w:val="both"/>
              <w:rPr>
                <w:rFonts w:ascii="Arial" w:hAnsi="Arial" w:cs="Arial"/>
                <w:sz w:val="20"/>
                <w:szCs w:val="20"/>
              </w:rPr>
            </w:pPr>
          </w:p>
          <w:p w14:paraId="69A93091" w14:textId="77777777" w:rsidR="00A75C0F" w:rsidRPr="008A26D2" w:rsidRDefault="00A75C0F" w:rsidP="00AF5836">
            <w:pPr>
              <w:spacing w:after="0"/>
              <w:jc w:val="both"/>
              <w:rPr>
                <w:rFonts w:ascii="Arial" w:eastAsia="Times New Roman" w:hAnsi="Arial" w:cs="Arial"/>
                <w:sz w:val="20"/>
                <w:szCs w:val="20"/>
              </w:rPr>
            </w:pPr>
            <w:r w:rsidRPr="008A26D2">
              <w:rPr>
                <w:rFonts w:ascii="Arial" w:hAnsi="Arial" w:cs="Arial"/>
                <w:sz w:val="20"/>
                <w:szCs w:val="20"/>
              </w:rPr>
              <w:t xml:space="preserve">En el Perú existen 237 especies forestales maderables con stock comercial; sin embargo, es estratégico la promoción de especies maderables no tan conocidas para equilibrar la venta y utilización de las especies del bosque peruano como forma de contribuir a nivel comercial con la sostenibilidad del sector. Actualmente, </w:t>
            </w:r>
            <w:r>
              <w:rPr>
                <w:rFonts w:ascii="Arial" w:hAnsi="Arial" w:cs="Arial"/>
                <w:sz w:val="20"/>
                <w:szCs w:val="20"/>
              </w:rPr>
              <w:t xml:space="preserve">La </w:t>
            </w:r>
            <w:r w:rsidRPr="00E956C8">
              <w:rPr>
                <w:rFonts w:ascii="Arial" w:hAnsi="Arial" w:cs="Arial"/>
                <w:sz w:val="20"/>
                <w:szCs w:val="20"/>
              </w:rPr>
              <w:t>Comisión de Promoción del Perú para la Exportación y el Turismo</w:t>
            </w:r>
            <w:r>
              <w:rPr>
                <w:rFonts w:ascii="Arial" w:hAnsi="Arial" w:cs="Arial"/>
                <w:sz w:val="20"/>
                <w:szCs w:val="20"/>
              </w:rPr>
              <w:t xml:space="preserve"> - </w:t>
            </w:r>
            <w:r w:rsidRPr="008A26D2">
              <w:rPr>
                <w:rFonts w:ascii="Arial" w:hAnsi="Arial" w:cs="Arial"/>
                <w:sz w:val="20"/>
                <w:szCs w:val="20"/>
              </w:rPr>
              <w:t>PROMPERU promueve 27 especies forestales maderables.</w:t>
            </w:r>
          </w:p>
        </w:tc>
      </w:tr>
      <w:tr w:rsidR="00A75C0F" w:rsidRPr="008A26D2" w14:paraId="6ACCC15C" w14:textId="77777777" w:rsidTr="00AF5836">
        <w:trPr>
          <w:trHeight w:val="686"/>
        </w:trPr>
        <w:tc>
          <w:tcPr>
            <w:tcW w:w="2428" w:type="dxa"/>
            <w:gridSpan w:val="4"/>
            <w:shd w:val="clear" w:color="auto" w:fill="auto"/>
            <w:tcMar>
              <w:top w:w="10" w:type="dxa"/>
              <w:left w:w="93" w:type="dxa"/>
              <w:bottom w:w="0" w:type="dxa"/>
              <w:right w:w="10" w:type="dxa"/>
            </w:tcMar>
            <w:vAlign w:val="center"/>
          </w:tcPr>
          <w:p w14:paraId="48987A7C"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Sentido esperado del indicador:</w:t>
            </w:r>
          </w:p>
        </w:tc>
        <w:tc>
          <w:tcPr>
            <w:tcW w:w="1825" w:type="dxa"/>
            <w:gridSpan w:val="2"/>
            <w:shd w:val="clear" w:color="auto" w:fill="auto"/>
            <w:tcMar>
              <w:top w:w="10" w:type="dxa"/>
              <w:left w:w="283" w:type="dxa"/>
              <w:bottom w:w="0" w:type="dxa"/>
              <w:right w:w="283" w:type="dxa"/>
            </w:tcMar>
            <w:vAlign w:val="center"/>
          </w:tcPr>
          <w:p w14:paraId="1C9FC456"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sz w:val="20"/>
                <w:szCs w:val="20"/>
              </w:rPr>
              <w:t>Ascendente</w:t>
            </w:r>
          </w:p>
        </w:tc>
        <w:tc>
          <w:tcPr>
            <w:tcW w:w="3001" w:type="dxa"/>
            <w:gridSpan w:val="5"/>
            <w:shd w:val="clear" w:color="auto" w:fill="auto"/>
            <w:tcMar>
              <w:top w:w="15" w:type="dxa"/>
              <w:left w:w="15" w:type="dxa"/>
              <w:bottom w:w="0" w:type="dxa"/>
              <w:right w:w="15" w:type="dxa"/>
            </w:tcMar>
            <w:vAlign w:val="center"/>
          </w:tcPr>
          <w:p w14:paraId="383BD030"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Tipo de indicador de servicio:</w:t>
            </w:r>
          </w:p>
        </w:tc>
        <w:tc>
          <w:tcPr>
            <w:tcW w:w="1393" w:type="dxa"/>
            <w:gridSpan w:val="2"/>
            <w:shd w:val="clear" w:color="auto" w:fill="auto"/>
            <w:tcMar>
              <w:top w:w="15" w:type="dxa"/>
              <w:left w:w="15" w:type="dxa"/>
              <w:bottom w:w="0" w:type="dxa"/>
              <w:right w:w="15" w:type="dxa"/>
            </w:tcMar>
            <w:vAlign w:val="center"/>
          </w:tcPr>
          <w:p w14:paraId="69AE9D13"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sz w:val="20"/>
                <w:szCs w:val="20"/>
              </w:rPr>
              <w:t>Calidad - Oportunidad</w:t>
            </w:r>
          </w:p>
        </w:tc>
      </w:tr>
      <w:tr w:rsidR="00A75C0F" w:rsidRPr="008A26D2" w14:paraId="37288962" w14:textId="77777777" w:rsidTr="00AF5836">
        <w:trPr>
          <w:trHeight w:val="13"/>
        </w:trPr>
        <w:tc>
          <w:tcPr>
            <w:tcW w:w="2428" w:type="dxa"/>
            <w:gridSpan w:val="4"/>
            <w:shd w:val="clear" w:color="auto" w:fill="auto"/>
            <w:tcMar>
              <w:top w:w="10" w:type="dxa"/>
              <w:left w:w="93" w:type="dxa"/>
              <w:bottom w:w="0" w:type="dxa"/>
              <w:right w:w="10" w:type="dxa"/>
            </w:tcMar>
            <w:vAlign w:val="center"/>
          </w:tcPr>
          <w:p w14:paraId="4C22CFFF"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Fuente y base de datos:</w:t>
            </w:r>
          </w:p>
        </w:tc>
        <w:tc>
          <w:tcPr>
            <w:tcW w:w="6219" w:type="dxa"/>
            <w:gridSpan w:val="9"/>
            <w:shd w:val="clear" w:color="auto" w:fill="auto"/>
            <w:tcMar>
              <w:top w:w="51" w:type="dxa"/>
              <w:left w:w="227" w:type="dxa"/>
              <w:bottom w:w="51" w:type="dxa"/>
              <w:right w:w="227" w:type="dxa"/>
            </w:tcMar>
            <w:vAlign w:val="center"/>
          </w:tcPr>
          <w:p w14:paraId="6E9240ED" w14:textId="40C8D7CC" w:rsidR="00A75C0F" w:rsidRDefault="00A75C0F" w:rsidP="00AF5836">
            <w:pPr>
              <w:tabs>
                <w:tab w:val="left" w:pos="3375"/>
              </w:tabs>
              <w:jc w:val="both"/>
              <w:rPr>
                <w:rFonts w:ascii="Arial" w:hAnsi="Arial" w:cs="Arial"/>
                <w:sz w:val="20"/>
                <w:szCs w:val="20"/>
              </w:rPr>
            </w:pPr>
            <w:r w:rsidRPr="008A26D2">
              <w:rPr>
                <w:rFonts w:ascii="Arial" w:hAnsi="Arial" w:cs="Arial"/>
                <w:sz w:val="20"/>
                <w:szCs w:val="20"/>
              </w:rPr>
              <w:t xml:space="preserve">Fuente: Dirección de Promoción de las Exportaciones </w:t>
            </w:r>
            <w:r>
              <w:rPr>
                <w:rFonts w:ascii="Arial" w:hAnsi="Arial" w:cs="Arial"/>
                <w:sz w:val="20"/>
                <w:szCs w:val="20"/>
              </w:rPr>
              <w:t xml:space="preserve">del </w:t>
            </w:r>
            <w:r w:rsidRPr="00510594">
              <w:rPr>
                <w:rFonts w:ascii="Arial" w:hAnsi="Arial" w:cs="Arial"/>
                <w:sz w:val="20"/>
                <w:szCs w:val="20"/>
              </w:rPr>
              <w:t>Comisión de Promoción del Perú para la Exportación y el Turismo</w:t>
            </w:r>
            <w:r>
              <w:rPr>
                <w:rFonts w:ascii="Arial" w:hAnsi="Arial" w:cs="Arial"/>
                <w:sz w:val="20"/>
                <w:szCs w:val="20"/>
              </w:rPr>
              <w:t xml:space="preserve"> – </w:t>
            </w:r>
            <w:r w:rsidRPr="008A26D2">
              <w:rPr>
                <w:rFonts w:ascii="Arial" w:hAnsi="Arial" w:cs="Arial"/>
                <w:sz w:val="20"/>
                <w:szCs w:val="20"/>
              </w:rPr>
              <w:t>PROMPERU</w:t>
            </w:r>
            <w:r>
              <w:rPr>
                <w:rFonts w:ascii="Arial" w:hAnsi="Arial" w:cs="Arial"/>
                <w:sz w:val="20"/>
                <w:szCs w:val="20"/>
              </w:rPr>
              <w:t>.</w:t>
            </w:r>
          </w:p>
          <w:p w14:paraId="7BD1B563" w14:textId="1AF524AE" w:rsidR="00A75C0F" w:rsidRPr="008A26D2" w:rsidRDefault="00A75C0F" w:rsidP="00AF5836">
            <w:pPr>
              <w:tabs>
                <w:tab w:val="left" w:pos="3375"/>
              </w:tabs>
              <w:jc w:val="both"/>
              <w:rPr>
                <w:rFonts w:ascii="Arial" w:hAnsi="Arial" w:cs="Arial"/>
                <w:sz w:val="20"/>
                <w:szCs w:val="20"/>
              </w:rPr>
            </w:pPr>
            <w:r w:rsidRPr="008A26D2">
              <w:rPr>
                <w:rFonts w:ascii="Arial" w:hAnsi="Arial" w:cs="Arial"/>
                <w:sz w:val="20"/>
                <w:szCs w:val="20"/>
              </w:rPr>
              <w:t>Base de datos: Sistema ÉXITO</w:t>
            </w:r>
            <w:r>
              <w:rPr>
                <w:rFonts w:ascii="Arial" w:hAnsi="Arial" w:cs="Arial"/>
                <w:sz w:val="20"/>
                <w:szCs w:val="20"/>
              </w:rPr>
              <w:t>.</w:t>
            </w:r>
          </w:p>
        </w:tc>
      </w:tr>
      <w:tr w:rsidR="00A75C0F" w:rsidRPr="008A26D2" w14:paraId="3FDB8A30" w14:textId="77777777" w:rsidTr="00AF5836">
        <w:trPr>
          <w:trHeight w:val="436"/>
        </w:trPr>
        <w:tc>
          <w:tcPr>
            <w:tcW w:w="2428" w:type="dxa"/>
            <w:gridSpan w:val="4"/>
            <w:shd w:val="clear" w:color="auto" w:fill="auto"/>
            <w:tcMar>
              <w:top w:w="10" w:type="dxa"/>
              <w:left w:w="93" w:type="dxa"/>
              <w:bottom w:w="0" w:type="dxa"/>
              <w:right w:w="10" w:type="dxa"/>
            </w:tcMar>
            <w:vAlign w:val="center"/>
          </w:tcPr>
          <w:p w14:paraId="292B362A"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Supuestos:</w:t>
            </w:r>
          </w:p>
        </w:tc>
        <w:tc>
          <w:tcPr>
            <w:tcW w:w="6219" w:type="dxa"/>
            <w:gridSpan w:val="9"/>
            <w:shd w:val="clear" w:color="auto" w:fill="auto"/>
            <w:tcMar>
              <w:top w:w="51" w:type="dxa"/>
              <w:left w:w="227" w:type="dxa"/>
              <w:bottom w:w="51" w:type="dxa"/>
              <w:right w:w="227" w:type="dxa"/>
            </w:tcMar>
            <w:vAlign w:val="center"/>
          </w:tcPr>
          <w:p w14:paraId="79C9C09F"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sz w:val="20"/>
                <w:szCs w:val="20"/>
              </w:rPr>
              <w:t>Existe el interés y el financiamiento de apoyo para la cadena forestal y de fauna silvestre en las negociaciones internacionales</w:t>
            </w:r>
          </w:p>
          <w:p w14:paraId="4BEF8C05"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sz w:val="20"/>
                <w:szCs w:val="20"/>
              </w:rPr>
              <w:t>Se cuenta con stock comercial de los productos obtenidas con especies no tan conocidas.</w:t>
            </w:r>
          </w:p>
        </w:tc>
      </w:tr>
      <w:tr w:rsidR="00A75C0F" w:rsidRPr="008A26D2" w14:paraId="6FFC77F5" w14:textId="77777777" w:rsidTr="00307693">
        <w:trPr>
          <w:trHeight w:val="556"/>
        </w:trPr>
        <w:tc>
          <w:tcPr>
            <w:tcW w:w="566" w:type="dxa"/>
            <w:shd w:val="clear" w:color="auto" w:fill="auto"/>
            <w:tcMar>
              <w:top w:w="10" w:type="dxa"/>
              <w:left w:w="10" w:type="dxa"/>
              <w:bottom w:w="0" w:type="dxa"/>
              <w:right w:w="10" w:type="dxa"/>
            </w:tcMar>
            <w:vAlign w:val="center"/>
          </w:tcPr>
          <w:p w14:paraId="64511C44"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 </w:t>
            </w:r>
          </w:p>
        </w:tc>
        <w:tc>
          <w:tcPr>
            <w:tcW w:w="852" w:type="dxa"/>
            <w:shd w:val="clear" w:color="auto" w:fill="auto"/>
            <w:tcMar>
              <w:top w:w="10" w:type="dxa"/>
              <w:left w:w="10" w:type="dxa"/>
              <w:bottom w:w="0" w:type="dxa"/>
              <w:right w:w="10" w:type="dxa"/>
            </w:tcMar>
            <w:vAlign w:val="center"/>
          </w:tcPr>
          <w:p w14:paraId="16B64BD3" w14:textId="77777777" w:rsidR="00A75C0F" w:rsidRPr="008A26D2" w:rsidRDefault="00A75C0F" w:rsidP="00307693">
            <w:pPr>
              <w:tabs>
                <w:tab w:val="left" w:pos="3375"/>
              </w:tabs>
              <w:jc w:val="center"/>
              <w:rPr>
                <w:rFonts w:ascii="Arial" w:hAnsi="Arial" w:cs="Arial"/>
                <w:sz w:val="20"/>
                <w:szCs w:val="20"/>
              </w:rPr>
            </w:pPr>
            <w:r w:rsidRPr="008A26D2">
              <w:rPr>
                <w:rFonts w:ascii="Arial" w:hAnsi="Arial" w:cs="Arial"/>
                <w:b/>
                <w:sz w:val="20"/>
                <w:szCs w:val="20"/>
              </w:rPr>
              <w:t>Línea de base</w:t>
            </w:r>
          </w:p>
        </w:tc>
        <w:tc>
          <w:tcPr>
            <w:tcW w:w="7229" w:type="dxa"/>
            <w:gridSpan w:val="11"/>
            <w:shd w:val="clear" w:color="auto" w:fill="auto"/>
            <w:tcMar>
              <w:top w:w="10" w:type="dxa"/>
              <w:left w:w="10" w:type="dxa"/>
              <w:bottom w:w="0" w:type="dxa"/>
              <w:right w:w="10" w:type="dxa"/>
            </w:tcMar>
            <w:vAlign w:val="center"/>
          </w:tcPr>
          <w:p w14:paraId="6A879F70" w14:textId="77777777" w:rsidR="00A75C0F" w:rsidRPr="008A26D2" w:rsidRDefault="00A75C0F" w:rsidP="00307693">
            <w:pPr>
              <w:tabs>
                <w:tab w:val="left" w:pos="3375"/>
              </w:tabs>
              <w:jc w:val="center"/>
              <w:rPr>
                <w:rFonts w:ascii="Arial" w:hAnsi="Arial" w:cs="Arial"/>
                <w:sz w:val="20"/>
                <w:szCs w:val="20"/>
              </w:rPr>
            </w:pPr>
            <w:r w:rsidRPr="008A26D2">
              <w:rPr>
                <w:rFonts w:ascii="Arial" w:hAnsi="Arial" w:cs="Arial"/>
                <w:b/>
                <w:sz w:val="20"/>
                <w:szCs w:val="20"/>
              </w:rPr>
              <w:t>Logros esperados</w:t>
            </w:r>
          </w:p>
        </w:tc>
      </w:tr>
      <w:tr w:rsidR="00A75C0F" w:rsidRPr="008A26D2" w14:paraId="47565C85" w14:textId="77777777" w:rsidTr="00307693">
        <w:trPr>
          <w:trHeight w:val="217"/>
        </w:trPr>
        <w:tc>
          <w:tcPr>
            <w:tcW w:w="566" w:type="dxa"/>
            <w:shd w:val="clear" w:color="auto" w:fill="auto"/>
            <w:tcMar>
              <w:top w:w="10" w:type="dxa"/>
              <w:left w:w="10" w:type="dxa"/>
              <w:bottom w:w="0" w:type="dxa"/>
              <w:right w:w="10" w:type="dxa"/>
            </w:tcMar>
            <w:vAlign w:val="center"/>
          </w:tcPr>
          <w:p w14:paraId="4392DDE7"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lastRenderedPageBreak/>
              <w:t>Año</w:t>
            </w:r>
          </w:p>
        </w:tc>
        <w:tc>
          <w:tcPr>
            <w:tcW w:w="852" w:type="dxa"/>
            <w:shd w:val="clear" w:color="auto" w:fill="auto"/>
            <w:tcMar>
              <w:top w:w="10" w:type="dxa"/>
              <w:left w:w="10" w:type="dxa"/>
              <w:bottom w:w="0" w:type="dxa"/>
              <w:right w:w="10" w:type="dxa"/>
            </w:tcMar>
            <w:vAlign w:val="center"/>
          </w:tcPr>
          <w:p w14:paraId="7457AFF8" w14:textId="77777777" w:rsidR="00A75C0F" w:rsidRPr="008A26D2" w:rsidRDefault="00A75C0F" w:rsidP="00307693">
            <w:pPr>
              <w:tabs>
                <w:tab w:val="left" w:pos="3375"/>
              </w:tabs>
              <w:jc w:val="center"/>
              <w:rPr>
                <w:rFonts w:ascii="Arial" w:hAnsi="Arial" w:cs="Arial"/>
                <w:b/>
                <w:sz w:val="20"/>
                <w:szCs w:val="20"/>
              </w:rPr>
            </w:pPr>
            <w:r w:rsidRPr="008A26D2">
              <w:rPr>
                <w:rFonts w:ascii="Arial" w:hAnsi="Arial" w:cs="Arial"/>
                <w:b/>
                <w:sz w:val="20"/>
                <w:szCs w:val="20"/>
              </w:rPr>
              <w:t>2021</w:t>
            </w:r>
          </w:p>
        </w:tc>
        <w:tc>
          <w:tcPr>
            <w:tcW w:w="851" w:type="dxa"/>
            <w:shd w:val="clear" w:color="auto" w:fill="auto"/>
            <w:tcMar>
              <w:top w:w="10" w:type="dxa"/>
              <w:left w:w="10" w:type="dxa"/>
              <w:bottom w:w="0" w:type="dxa"/>
              <w:right w:w="10" w:type="dxa"/>
            </w:tcMar>
            <w:vAlign w:val="center"/>
          </w:tcPr>
          <w:p w14:paraId="6306C11E" w14:textId="77777777" w:rsidR="00A75C0F" w:rsidRPr="008A26D2" w:rsidRDefault="00A75C0F" w:rsidP="00307693">
            <w:pPr>
              <w:tabs>
                <w:tab w:val="left" w:pos="3375"/>
              </w:tabs>
              <w:jc w:val="center"/>
              <w:rPr>
                <w:rFonts w:ascii="Arial" w:hAnsi="Arial" w:cs="Arial"/>
                <w:b/>
                <w:sz w:val="20"/>
                <w:szCs w:val="20"/>
              </w:rPr>
            </w:pPr>
            <w:r w:rsidRPr="008A26D2">
              <w:rPr>
                <w:rFonts w:ascii="Arial" w:hAnsi="Arial" w:cs="Arial"/>
                <w:b/>
                <w:sz w:val="20"/>
                <w:szCs w:val="20"/>
              </w:rPr>
              <w:t>2023</w:t>
            </w:r>
          </w:p>
        </w:tc>
        <w:tc>
          <w:tcPr>
            <w:tcW w:w="992" w:type="dxa"/>
            <w:gridSpan w:val="2"/>
            <w:shd w:val="clear" w:color="auto" w:fill="auto"/>
            <w:vAlign w:val="center"/>
          </w:tcPr>
          <w:p w14:paraId="152B77D7" w14:textId="77777777" w:rsidR="00A75C0F" w:rsidRPr="008A26D2" w:rsidRDefault="00A75C0F" w:rsidP="00307693">
            <w:pPr>
              <w:tabs>
                <w:tab w:val="left" w:pos="3375"/>
              </w:tabs>
              <w:jc w:val="center"/>
              <w:rPr>
                <w:rFonts w:ascii="Arial" w:hAnsi="Arial" w:cs="Arial"/>
                <w:b/>
                <w:sz w:val="20"/>
                <w:szCs w:val="20"/>
              </w:rPr>
            </w:pPr>
            <w:r w:rsidRPr="008A26D2">
              <w:rPr>
                <w:rFonts w:ascii="Arial" w:hAnsi="Arial" w:cs="Arial"/>
                <w:b/>
                <w:sz w:val="20"/>
                <w:szCs w:val="20"/>
              </w:rPr>
              <w:t>2024</w:t>
            </w:r>
          </w:p>
        </w:tc>
        <w:tc>
          <w:tcPr>
            <w:tcW w:w="1276" w:type="dxa"/>
            <w:gridSpan w:val="2"/>
            <w:shd w:val="clear" w:color="auto" w:fill="auto"/>
            <w:vAlign w:val="center"/>
          </w:tcPr>
          <w:p w14:paraId="3FA121B6" w14:textId="77777777" w:rsidR="00A75C0F" w:rsidRPr="008A26D2" w:rsidRDefault="00A75C0F" w:rsidP="00307693">
            <w:pPr>
              <w:tabs>
                <w:tab w:val="left" w:pos="3375"/>
              </w:tabs>
              <w:jc w:val="center"/>
              <w:rPr>
                <w:rFonts w:ascii="Arial" w:hAnsi="Arial" w:cs="Arial"/>
                <w:b/>
                <w:sz w:val="20"/>
                <w:szCs w:val="20"/>
              </w:rPr>
            </w:pPr>
            <w:r w:rsidRPr="008A26D2">
              <w:rPr>
                <w:rFonts w:ascii="Arial" w:hAnsi="Arial" w:cs="Arial"/>
                <w:b/>
                <w:sz w:val="20"/>
                <w:szCs w:val="20"/>
              </w:rPr>
              <w:t>2025</w:t>
            </w:r>
          </w:p>
        </w:tc>
        <w:tc>
          <w:tcPr>
            <w:tcW w:w="992" w:type="dxa"/>
            <w:shd w:val="clear" w:color="auto" w:fill="auto"/>
            <w:vAlign w:val="center"/>
          </w:tcPr>
          <w:p w14:paraId="23971C36" w14:textId="77777777" w:rsidR="00A75C0F" w:rsidRPr="008A26D2" w:rsidRDefault="00A75C0F" w:rsidP="00307693">
            <w:pPr>
              <w:tabs>
                <w:tab w:val="left" w:pos="3375"/>
              </w:tabs>
              <w:jc w:val="center"/>
              <w:rPr>
                <w:rFonts w:ascii="Arial" w:hAnsi="Arial" w:cs="Arial"/>
                <w:b/>
                <w:sz w:val="20"/>
                <w:szCs w:val="20"/>
              </w:rPr>
            </w:pPr>
            <w:r w:rsidRPr="008A26D2">
              <w:rPr>
                <w:rFonts w:ascii="Arial" w:hAnsi="Arial" w:cs="Arial"/>
                <w:b/>
                <w:sz w:val="20"/>
                <w:szCs w:val="20"/>
              </w:rPr>
              <w:t>2026</w:t>
            </w:r>
          </w:p>
        </w:tc>
        <w:tc>
          <w:tcPr>
            <w:tcW w:w="850" w:type="dxa"/>
            <w:shd w:val="clear" w:color="auto" w:fill="auto"/>
            <w:vAlign w:val="center"/>
          </w:tcPr>
          <w:p w14:paraId="7721F5F7" w14:textId="77777777" w:rsidR="00A75C0F" w:rsidRPr="008A26D2" w:rsidRDefault="00A75C0F" w:rsidP="00307693">
            <w:pPr>
              <w:tabs>
                <w:tab w:val="left" w:pos="3375"/>
              </w:tabs>
              <w:jc w:val="center"/>
              <w:rPr>
                <w:rFonts w:ascii="Arial" w:hAnsi="Arial" w:cs="Arial"/>
                <w:b/>
                <w:sz w:val="20"/>
                <w:szCs w:val="20"/>
              </w:rPr>
            </w:pPr>
            <w:r w:rsidRPr="008A26D2">
              <w:rPr>
                <w:rFonts w:ascii="Arial" w:hAnsi="Arial" w:cs="Arial"/>
                <w:b/>
                <w:sz w:val="20"/>
                <w:szCs w:val="20"/>
              </w:rPr>
              <w:t>2027</w:t>
            </w:r>
          </w:p>
        </w:tc>
        <w:tc>
          <w:tcPr>
            <w:tcW w:w="851" w:type="dxa"/>
            <w:shd w:val="clear" w:color="auto" w:fill="auto"/>
            <w:vAlign w:val="center"/>
          </w:tcPr>
          <w:p w14:paraId="6CE60754" w14:textId="77777777" w:rsidR="00A75C0F" w:rsidRPr="008A26D2" w:rsidRDefault="00A75C0F" w:rsidP="00307693">
            <w:pPr>
              <w:tabs>
                <w:tab w:val="left" w:pos="3375"/>
              </w:tabs>
              <w:jc w:val="center"/>
              <w:rPr>
                <w:rFonts w:ascii="Arial" w:hAnsi="Arial" w:cs="Arial"/>
                <w:b/>
                <w:sz w:val="20"/>
                <w:szCs w:val="20"/>
              </w:rPr>
            </w:pPr>
            <w:r w:rsidRPr="008A26D2">
              <w:rPr>
                <w:rFonts w:ascii="Arial" w:hAnsi="Arial" w:cs="Arial"/>
                <w:b/>
                <w:sz w:val="20"/>
                <w:szCs w:val="20"/>
              </w:rPr>
              <w:t>2028</w:t>
            </w:r>
          </w:p>
        </w:tc>
        <w:tc>
          <w:tcPr>
            <w:tcW w:w="850" w:type="dxa"/>
            <w:gridSpan w:val="2"/>
            <w:shd w:val="clear" w:color="auto" w:fill="auto"/>
            <w:vAlign w:val="center"/>
          </w:tcPr>
          <w:p w14:paraId="4FB4126F" w14:textId="77777777" w:rsidR="00A75C0F" w:rsidRPr="008A26D2" w:rsidRDefault="00A75C0F" w:rsidP="00307693">
            <w:pPr>
              <w:tabs>
                <w:tab w:val="left" w:pos="3375"/>
              </w:tabs>
              <w:jc w:val="center"/>
              <w:rPr>
                <w:rFonts w:ascii="Arial" w:hAnsi="Arial" w:cs="Arial"/>
                <w:b/>
                <w:sz w:val="20"/>
                <w:szCs w:val="20"/>
              </w:rPr>
            </w:pPr>
            <w:r w:rsidRPr="008A26D2">
              <w:rPr>
                <w:rFonts w:ascii="Arial" w:hAnsi="Arial" w:cs="Arial"/>
                <w:b/>
                <w:sz w:val="20"/>
                <w:szCs w:val="20"/>
              </w:rPr>
              <w:t>2029</w:t>
            </w:r>
          </w:p>
        </w:tc>
        <w:tc>
          <w:tcPr>
            <w:tcW w:w="567" w:type="dxa"/>
            <w:shd w:val="clear" w:color="auto" w:fill="auto"/>
            <w:tcMar>
              <w:top w:w="10" w:type="dxa"/>
              <w:left w:w="10" w:type="dxa"/>
              <w:bottom w:w="0" w:type="dxa"/>
              <w:right w:w="10" w:type="dxa"/>
            </w:tcMar>
            <w:vAlign w:val="center"/>
          </w:tcPr>
          <w:p w14:paraId="4A33FBF9" w14:textId="77777777" w:rsidR="00A75C0F" w:rsidRPr="008A26D2" w:rsidRDefault="00A75C0F" w:rsidP="00307693">
            <w:pPr>
              <w:tabs>
                <w:tab w:val="left" w:pos="3375"/>
              </w:tabs>
              <w:jc w:val="center"/>
              <w:rPr>
                <w:rFonts w:ascii="Arial" w:hAnsi="Arial" w:cs="Arial"/>
                <w:b/>
                <w:sz w:val="20"/>
                <w:szCs w:val="20"/>
              </w:rPr>
            </w:pPr>
            <w:r w:rsidRPr="008A26D2">
              <w:rPr>
                <w:rFonts w:ascii="Arial" w:hAnsi="Arial" w:cs="Arial"/>
                <w:b/>
                <w:sz w:val="20"/>
                <w:szCs w:val="20"/>
              </w:rPr>
              <w:t>2030</w:t>
            </w:r>
          </w:p>
        </w:tc>
      </w:tr>
      <w:tr w:rsidR="00A75C0F" w:rsidRPr="008A26D2" w14:paraId="4D6317EC" w14:textId="77777777" w:rsidTr="00307693">
        <w:trPr>
          <w:trHeight w:val="81"/>
        </w:trPr>
        <w:tc>
          <w:tcPr>
            <w:tcW w:w="566" w:type="dxa"/>
            <w:shd w:val="clear" w:color="auto" w:fill="auto"/>
            <w:tcMar>
              <w:top w:w="10" w:type="dxa"/>
              <w:left w:w="10" w:type="dxa"/>
              <w:bottom w:w="0" w:type="dxa"/>
              <w:right w:w="10" w:type="dxa"/>
            </w:tcMar>
            <w:vAlign w:val="center"/>
          </w:tcPr>
          <w:p w14:paraId="572824B8"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Valor</w:t>
            </w:r>
          </w:p>
        </w:tc>
        <w:tc>
          <w:tcPr>
            <w:tcW w:w="852" w:type="dxa"/>
            <w:shd w:val="clear" w:color="auto" w:fill="auto"/>
            <w:tcMar>
              <w:top w:w="10" w:type="dxa"/>
              <w:left w:w="10" w:type="dxa"/>
              <w:bottom w:w="0" w:type="dxa"/>
              <w:right w:w="10" w:type="dxa"/>
            </w:tcMar>
            <w:vAlign w:val="center"/>
          </w:tcPr>
          <w:p w14:paraId="3A158ED8" w14:textId="77777777" w:rsidR="00A75C0F" w:rsidRPr="008A26D2" w:rsidRDefault="00A75C0F" w:rsidP="00307693">
            <w:pPr>
              <w:tabs>
                <w:tab w:val="left" w:pos="3375"/>
              </w:tabs>
              <w:jc w:val="center"/>
              <w:rPr>
                <w:rFonts w:ascii="Arial" w:hAnsi="Arial" w:cs="Arial"/>
                <w:sz w:val="20"/>
                <w:szCs w:val="20"/>
              </w:rPr>
            </w:pPr>
            <w:r w:rsidRPr="008A26D2">
              <w:rPr>
                <w:rFonts w:ascii="Arial" w:hAnsi="Arial" w:cs="Arial"/>
                <w:sz w:val="20"/>
                <w:szCs w:val="20"/>
              </w:rPr>
              <w:t>30%</w:t>
            </w:r>
          </w:p>
        </w:tc>
        <w:tc>
          <w:tcPr>
            <w:tcW w:w="851" w:type="dxa"/>
            <w:shd w:val="clear" w:color="auto" w:fill="auto"/>
            <w:tcMar>
              <w:top w:w="10" w:type="dxa"/>
              <w:left w:w="10" w:type="dxa"/>
              <w:bottom w:w="0" w:type="dxa"/>
              <w:right w:w="10" w:type="dxa"/>
            </w:tcMar>
            <w:vAlign w:val="center"/>
          </w:tcPr>
          <w:p w14:paraId="6815D2CD" w14:textId="77777777" w:rsidR="00A75C0F" w:rsidRPr="008A26D2" w:rsidRDefault="00A75C0F" w:rsidP="00307693">
            <w:pPr>
              <w:tabs>
                <w:tab w:val="left" w:pos="3375"/>
              </w:tabs>
              <w:jc w:val="center"/>
              <w:rPr>
                <w:rFonts w:ascii="Arial" w:hAnsi="Arial" w:cs="Arial"/>
                <w:sz w:val="20"/>
                <w:szCs w:val="20"/>
              </w:rPr>
            </w:pPr>
            <w:r w:rsidRPr="008A26D2">
              <w:rPr>
                <w:rFonts w:ascii="Arial" w:hAnsi="Arial" w:cs="Arial"/>
                <w:sz w:val="20"/>
                <w:szCs w:val="20"/>
              </w:rPr>
              <w:t>30%</w:t>
            </w:r>
          </w:p>
        </w:tc>
        <w:tc>
          <w:tcPr>
            <w:tcW w:w="992" w:type="dxa"/>
            <w:gridSpan w:val="2"/>
            <w:shd w:val="clear" w:color="auto" w:fill="auto"/>
            <w:vAlign w:val="center"/>
          </w:tcPr>
          <w:p w14:paraId="2844F69D" w14:textId="77777777" w:rsidR="00A75C0F" w:rsidRPr="008A26D2" w:rsidRDefault="00A75C0F" w:rsidP="00307693">
            <w:pPr>
              <w:tabs>
                <w:tab w:val="left" w:pos="3375"/>
              </w:tabs>
              <w:jc w:val="center"/>
              <w:rPr>
                <w:rFonts w:ascii="Arial" w:hAnsi="Arial" w:cs="Arial"/>
                <w:sz w:val="20"/>
                <w:szCs w:val="20"/>
              </w:rPr>
            </w:pPr>
            <w:r w:rsidRPr="008A26D2">
              <w:rPr>
                <w:rFonts w:ascii="Arial" w:hAnsi="Arial" w:cs="Arial"/>
                <w:sz w:val="20"/>
                <w:szCs w:val="20"/>
              </w:rPr>
              <w:t>37%</w:t>
            </w:r>
          </w:p>
        </w:tc>
        <w:tc>
          <w:tcPr>
            <w:tcW w:w="1276" w:type="dxa"/>
            <w:gridSpan w:val="2"/>
            <w:shd w:val="clear" w:color="auto" w:fill="auto"/>
            <w:vAlign w:val="center"/>
          </w:tcPr>
          <w:p w14:paraId="78B5AD56" w14:textId="77777777" w:rsidR="00A75C0F" w:rsidRPr="008A26D2" w:rsidRDefault="00A75C0F" w:rsidP="00307693">
            <w:pPr>
              <w:tabs>
                <w:tab w:val="left" w:pos="3375"/>
              </w:tabs>
              <w:jc w:val="center"/>
              <w:rPr>
                <w:rFonts w:ascii="Arial" w:hAnsi="Arial" w:cs="Arial"/>
                <w:sz w:val="20"/>
                <w:szCs w:val="20"/>
              </w:rPr>
            </w:pPr>
            <w:r w:rsidRPr="008A26D2">
              <w:rPr>
                <w:rFonts w:ascii="Arial" w:hAnsi="Arial" w:cs="Arial"/>
                <w:sz w:val="20"/>
                <w:szCs w:val="20"/>
              </w:rPr>
              <w:t>41%</w:t>
            </w:r>
          </w:p>
        </w:tc>
        <w:tc>
          <w:tcPr>
            <w:tcW w:w="992" w:type="dxa"/>
            <w:shd w:val="clear" w:color="auto" w:fill="auto"/>
            <w:vAlign w:val="center"/>
          </w:tcPr>
          <w:p w14:paraId="6CC7C74F" w14:textId="77777777" w:rsidR="00A75C0F" w:rsidRPr="008A26D2" w:rsidRDefault="00A75C0F" w:rsidP="00307693">
            <w:pPr>
              <w:tabs>
                <w:tab w:val="left" w:pos="3375"/>
              </w:tabs>
              <w:jc w:val="center"/>
              <w:rPr>
                <w:rFonts w:ascii="Arial" w:hAnsi="Arial" w:cs="Arial"/>
                <w:sz w:val="20"/>
                <w:szCs w:val="20"/>
              </w:rPr>
            </w:pPr>
            <w:r w:rsidRPr="008A26D2">
              <w:rPr>
                <w:rFonts w:ascii="Arial" w:hAnsi="Arial" w:cs="Arial"/>
                <w:sz w:val="20"/>
                <w:szCs w:val="20"/>
              </w:rPr>
              <w:t>44%</w:t>
            </w:r>
          </w:p>
        </w:tc>
        <w:tc>
          <w:tcPr>
            <w:tcW w:w="850" w:type="dxa"/>
            <w:shd w:val="clear" w:color="auto" w:fill="auto"/>
            <w:vAlign w:val="center"/>
          </w:tcPr>
          <w:p w14:paraId="47360055" w14:textId="77777777" w:rsidR="00A75C0F" w:rsidRPr="008A26D2" w:rsidRDefault="00A75C0F" w:rsidP="00307693">
            <w:pPr>
              <w:tabs>
                <w:tab w:val="left" w:pos="3375"/>
              </w:tabs>
              <w:jc w:val="center"/>
              <w:rPr>
                <w:rFonts w:ascii="Arial" w:hAnsi="Arial" w:cs="Arial"/>
                <w:sz w:val="20"/>
                <w:szCs w:val="20"/>
              </w:rPr>
            </w:pPr>
            <w:r w:rsidRPr="008A26D2">
              <w:rPr>
                <w:rFonts w:ascii="Arial" w:hAnsi="Arial" w:cs="Arial"/>
                <w:sz w:val="20"/>
                <w:szCs w:val="20"/>
              </w:rPr>
              <w:t>48%</w:t>
            </w:r>
          </w:p>
        </w:tc>
        <w:tc>
          <w:tcPr>
            <w:tcW w:w="851" w:type="dxa"/>
            <w:shd w:val="clear" w:color="auto" w:fill="auto"/>
            <w:vAlign w:val="center"/>
          </w:tcPr>
          <w:p w14:paraId="7DB7A699" w14:textId="77777777" w:rsidR="00A75C0F" w:rsidRPr="008A26D2" w:rsidRDefault="00A75C0F" w:rsidP="00307693">
            <w:pPr>
              <w:tabs>
                <w:tab w:val="left" w:pos="3375"/>
              </w:tabs>
              <w:jc w:val="center"/>
              <w:rPr>
                <w:rFonts w:ascii="Arial" w:hAnsi="Arial" w:cs="Arial"/>
                <w:sz w:val="20"/>
                <w:szCs w:val="20"/>
              </w:rPr>
            </w:pPr>
            <w:r w:rsidRPr="008A26D2">
              <w:rPr>
                <w:rFonts w:ascii="Arial" w:hAnsi="Arial" w:cs="Arial"/>
                <w:sz w:val="20"/>
                <w:szCs w:val="20"/>
              </w:rPr>
              <w:t>52%</w:t>
            </w:r>
          </w:p>
        </w:tc>
        <w:tc>
          <w:tcPr>
            <w:tcW w:w="850" w:type="dxa"/>
            <w:gridSpan w:val="2"/>
            <w:shd w:val="clear" w:color="auto" w:fill="auto"/>
            <w:vAlign w:val="center"/>
          </w:tcPr>
          <w:p w14:paraId="097F471A" w14:textId="77777777" w:rsidR="00A75C0F" w:rsidRPr="008A26D2" w:rsidRDefault="00A75C0F" w:rsidP="00307693">
            <w:pPr>
              <w:tabs>
                <w:tab w:val="left" w:pos="3375"/>
              </w:tabs>
              <w:jc w:val="center"/>
              <w:rPr>
                <w:rFonts w:ascii="Arial" w:hAnsi="Arial" w:cs="Arial"/>
                <w:sz w:val="20"/>
                <w:szCs w:val="20"/>
              </w:rPr>
            </w:pPr>
            <w:r w:rsidRPr="008A26D2">
              <w:rPr>
                <w:rFonts w:ascii="Arial" w:hAnsi="Arial" w:cs="Arial"/>
                <w:sz w:val="20"/>
                <w:szCs w:val="20"/>
              </w:rPr>
              <w:t>56%</w:t>
            </w:r>
          </w:p>
        </w:tc>
        <w:tc>
          <w:tcPr>
            <w:tcW w:w="567" w:type="dxa"/>
            <w:shd w:val="clear" w:color="auto" w:fill="auto"/>
            <w:tcMar>
              <w:top w:w="10" w:type="dxa"/>
              <w:left w:w="10" w:type="dxa"/>
              <w:bottom w:w="0" w:type="dxa"/>
              <w:right w:w="10" w:type="dxa"/>
            </w:tcMar>
            <w:vAlign w:val="center"/>
          </w:tcPr>
          <w:p w14:paraId="72D76C4F" w14:textId="77777777" w:rsidR="00A75C0F" w:rsidRPr="008A26D2" w:rsidRDefault="00A75C0F" w:rsidP="00307693">
            <w:pPr>
              <w:tabs>
                <w:tab w:val="left" w:pos="3375"/>
              </w:tabs>
              <w:jc w:val="center"/>
              <w:rPr>
                <w:rFonts w:ascii="Arial" w:hAnsi="Arial" w:cs="Arial"/>
                <w:sz w:val="20"/>
                <w:szCs w:val="20"/>
              </w:rPr>
            </w:pPr>
            <w:r w:rsidRPr="008A26D2">
              <w:rPr>
                <w:rFonts w:ascii="Arial" w:hAnsi="Arial" w:cs="Arial"/>
                <w:sz w:val="20"/>
                <w:szCs w:val="20"/>
              </w:rPr>
              <w:t>59%</w:t>
            </w:r>
          </w:p>
        </w:tc>
      </w:tr>
    </w:tbl>
    <w:p w14:paraId="6D999113" w14:textId="77777777" w:rsidR="00A75C0F" w:rsidRPr="008A26D2" w:rsidRDefault="00A75C0F" w:rsidP="00A75C0F"/>
    <w:p w14:paraId="375F65A9" w14:textId="77777777" w:rsidR="00A75C0F" w:rsidRPr="008A26D2" w:rsidRDefault="00A75C0F" w:rsidP="00A75C0F"/>
    <w:tbl>
      <w:tblPr>
        <w:tblW w:w="864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993"/>
        <w:gridCol w:w="708"/>
        <w:gridCol w:w="18"/>
        <w:gridCol w:w="975"/>
        <w:gridCol w:w="708"/>
        <w:gridCol w:w="299"/>
        <w:gridCol w:w="992"/>
        <w:gridCol w:w="836"/>
        <w:gridCol w:w="850"/>
        <w:gridCol w:w="166"/>
        <w:gridCol w:w="543"/>
        <w:gridCol w:w="850"/>
      </w:tblGrid>
      <w:tr w:rsidR="00A75C0F" w:rsidRPr="008A26D2" w14:paraId="65E86C28" w14:textId="77777777" w:rsidTr="00AF5836">
        <w:trPr>
          <w:trHeight w:val="251"/>
        </w:trPr>
        <w:tc>
          <w:tcPr>
            <w:tcW w:w="8647" w:type="dxa"/>
            <w:gridSpan w:val="13"/>
            <w:shd w:val="clear" w:color="auto" w:fill="D9D9D9" w:themeFill="background1" w:themeFillShade="D9"/>
            <w:tcMar>
              <w:top w:w="10" w:type="dxa"/>
              <w:left w:w="10" w:type="dxa"/>
              <w:bottom w:w="0" w:type="dxa"/>
              <w:right w:w="10" w:type="dxa"/>
            </w:tcMar>
            <w:vAlign w:val="center"/>
          </w:tcPr>
          <w:p w14:paraId="61CBE3A0"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sz w:val="20"/>
                <w:szCs w:val="20"/>
              </w:rPr>
              <w:br w:type="page"/>
            </w:r>
            <w:r w:rsidRPr="008A26D2">
              <w:rPr>
                <w:rFonts w:ascii="Arial" w:hAnsi="Arial" w:cs="Arial"/>
                <w:b/>
                <w:sz w:val="20"/>
                <w:szCs w:val="20"/>
              </w:rPr>
              <w:t>FICHA TÉCNICA DE INDICADOR DE SERVICIO 2.6.3 - COBERTURA</w:t>
            </w:r>
          </w:p>
        </w:tc>
      </w:tr>
      <w:tr w:rsidR="00A75C0F" w:rsidRPr="008A26D2" w14:paraId="60EB7440" w14:textId="77777777" w:rsidTr="00AF5836">
        <w:trPr>
          <w:trHeight w:val="409"/>
        </w:trPr>
        <w:tc>
          <w:tcPr>
            <w:tcW w:w="2428" w:type="dxa"/>
            <w:gridSpan w:val="4"/>
            <w:shd w:val="clear" w:color="auto" w:fill="FFFFFF"/>
            <w:tcMar>
              <w:top w:w="10" w:type="dxa"/>
              <w:left w:w="93" w:type="dxa"/>
              <w:bottom w:w="0" w:type="dxa"/>
              <w:right w:w="10" w:type="dxa"/>
            </w:tcMar>
            <w:vAlign w:val="center"/>
          </w:tcPr>
          <w:p w14:paraId="208A1E1D"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Objetivo prioritario:</w:t>
            </w:r>
          </w:p>
        </w:tc>
        <w:tc>
          <w:tcPr>
            <w:tcW w:w="6219" w:type="dxa"/>
            <w:gridSpan w:val="9"/>
            <w:shd w:val="clear" w:color="auto" w:fill="FFFFFF"/>
            <w:tcMar>
              <w:top w:w="51" w:type="dxa"/>
              <w:left w:w="227" w:type="dxa"/>
              <w:bottom w:w="51" w:type="dxa"/>
              <w:right w:w="227" w:type="dxa"/>
            </w:tcMar>
            <w:vAlign w:val="center"/>
          </w:tcPr>
          <w:p w14:paraId="6DB2015E"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sz w:val="20"/>
                <w:szCs w:val="20"/>
              </w:rPr>
              <w:t>OP2 Incrementar la productividad de los ecosistemas forestales, otros ecosistemas de vegetación silvestre y de la fauna silvestre</w:t>
            </w:r>
          </w:p>
        </w:tc>
      </w:tr>
      <w:tr w:rsidR="00A75C0F" w:rsidRPr="008A26D2" w14:paraId="0DECF8AF" w14:textId="77777777" w:rsidTr="00AF5836">
        <w:trPr>
          <w:trHeight w:val="436"/>
        </w:trPr>
        <w:tc>
          <w:tcPr>
            <w:tcW w:w="2428" w:type="dxa"/>
            <w:gridSpan w:val="4"/>
            <w:shd w:val="clear" w:color="auto" w:fill="auto"/>
            <w:tcMar>
              <w:top w:w="10" w:type="dxa"/>
              <w:left w:w="93" w:type="dxa"/>
              <w:bottom w:w="0" w:type="dxa"/>
              <w:right w:w="10" w:type="dxa"/>
            </w:tcMar>
            <w:vAlign w:val="center"/>
          </w:tcPr>
          <w:p w14:paraId="43D793E4"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Lineamiento de la política:</w:t>
            </w:r>
          </w:p>
        </w:tc>
        <w:tc>
          <w:tcPr>
            <w:tcW w:w="6219" w:type="dxa"/>
            <w:gridSpan w:val="9"/>
            <w:shd w:val="clear" w:color="auto" w:fill="auto"/>
            <w:tcMar>
              <w:top w:w="51" w:type="dxa"/>
              <w:left w:w="227" w:type="dxa"/>
              <w:bottom w:w="51" w:type="dxa"/>
              <w:right w:w="227" w:type="dxa"/>
            </w:tcMar>
            <w:vAlign w:val="center"/>
          </w:tcPr>
          <w:p w14:paraId="40516719"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sz w:val="20"/>
                <w:szCs w:val="20"/>
              </w:rPr>
              <w:t>L2.6 Incrementar el comercio nacional e internacional de especímenes, productos y subproductos de flora y fauna silvestre provenientes de actividades de aprovechamiento autorizadas</w:t>
            </w:r>
          </w:p>
        </w:tc>
      </w:tr>
      <w:tr w:rsidR="00A75C0F" w:rsidRPr="008A26D2" w14:paraId="23ABB0CC" w14:textId="77777777" w:rsidTr="00AF5836">
        <w:trPr>
          <w:trHeight w:val="404"/>
        </w:trPr>
        <w:tc>
          <w:tcPr>
            <w:tcW w:w="2428" w:type="dxa"/>
            <w:gridSpan w:val="4"/>
            <w:shd w:val="clear" w:color="auto" w:fill="auto"/>
            <w:tcMar>
              <w:top w:w="10" w:type="dxa"/>
              <w:left w:w="93" w:type="dxa"/>
              <w:bottom w:w="0" w:type="dxa"/>
              <w:right w:w="10" w:type="dxa"/>
            </w:tcMar>
            <w:vAlign w:val="center"/>
          </w:tcPr>
          <w:p w14:paraId="570D19CE"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Nombre del servicio:</w:t>
            </w:r>
          </w:p>
        </w:tc>
        <w:tc>
          <w:tcPr>
            <w:tcW w:w="6219" w:type="dxa"/>
            <w:gridSpan w:val="9"/>
            <w:shd w:val="clear" w:color="auto" w:fill="auto"/>
            <w:tcMar>
              <w:top w:w="51" w:type="dxa"/>
              <w:left w:w="227" w:type="dxa"/>
              <w:bottom w:w="51" w:type="dxa"/>
              <w:right w:w="227" w:type="dxa"/>
            </w:tcMar>
            <w:vAlign w:val="center"/>
          </w:tcPr>
          <w:p w14:paraId="2CA3D193"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sz w:val="20"/>
                <w:szCs w:val="20"/>
              </w:rPr>
              <w:t>S2.6.3 Promoción de la oferta exportable de productos maderables de valor agregado incorporando nuevas especies forestales con stock comercial anual de forma oportuna para beneficio de los exportadores y potenciales exportadores forestales</w:t>
            </w:r>
          </w:p>
        </w:tc>
      </w:tr>
      <w:tr w:rsidR="00A75C0F" w:rsidRPr="008A26D2" w14:paraId="169B9320" w14:textId="77777777" w:rsidTr="00AF5836">
        <w:trPr>
          <w:trHeight w:val="546"/>
        </w:trPr>
        <w:tc>
          <w:tcPr>
            <w:tcW w:w="2428" w:type="dxa"/>
            <w:gridSpan w:val="4"/>
            <w:shd w:val="clear" w:color="auto" w:fill="auto"/>
            <w:tcMar>
              <w:top w:w="10" w:type="dxa"/>
              <w:left w:w="93" w:type="dxa"/>
              <w:bottom w:w="0" w:type="dxa"/>
              <w:right w:w="10" w:type="dxa"/>
            </w:tcMar>
            <w:vAlign w:val="center"/>
          </w:tcPr>
          <w:p w14:paraId="0CAA4506"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Nombre del indicador:</w:t>
            </w:r>
          </w:p>
        </w:tc>
        <w:tc>
          <w:tcPr>
            <w:tcW w:w="6219" w:type="dxa"/>
            <w:gridSpan w:val="9"/>
            <w:shd w:val="clear" w:color="auto" w:fill="auto"/>
            <w:tcMar>
              <w:top w:w="51" w:type="dxa"/>
              <w:left w:w="227" w:type="dxa"/>
              <w:bottom w:w="51" w:type="dxa"/>
              <w:right w:w="227" w:type="dxa"/>
            </w:tcMar>
            <w:vAlign w:val="center"/>
          </w:tcPr>
          <w:p w14:paraId="7B26B285" w14:textId="77777777" w:rsidR="00A75C0F" w:rsidRPr="008A26D2" w:rsidRDefault="00A75C0F" w:rsidP="00AF5836">
            <w:pPr>
              <w:spacing w:after="0" w:line="240" w:lineRule="auto"/>
              <w:jc w:val="both"/>
              <w:rPr>
                <w:rFonts w:ascii="Arial" w:hAnsi="Arial" w:cs="Arial"/>
                <w:sz w:val="20"/>
                <w:szCs w:val="20"/>
              </w:rPr>
            </w:pPr>
            <w:r w:rsidRPr="008A26D2">
              <w:rPr>
                <w:rFonts w:ascii="Arial" w:hAnsi="Arial" w:cs="Arial"/>
                <w:sz w:val="20"/>
                <w:szCs w:val="20"/>
              </w:rPr>
              <w:t>Número de eventos internacionales de comercialización de productos maderables donde puedan promoverse el uso de especies no tan conocidas en los que participaron los exportadores nacionales.</w:t>
            </w:r>
          </w:p>
        </w:tc>
      </w:tr>
      <w:tr w:rsidR="00A75C0F" w:rsidRPr="008A26D2" w14:paraId="48CDF97D" w14:textId="77777777" w:rsidTr="00AF5836">
        <w:trPr>
          <w:trHeight w:val="577"/>
        </w:trPr>
        <w:tc>
          <w:tcPr>
            <w:tcW w:w="2428" w:type="dxa"/>
            <w:gridSpan w:val="4"/>
            <w:shd w:val="clear" w:color="auto" w:fill="auto"/>
            <w:tcMar>
              <w:top w:w="10" w:type="dxa"/>
              <w:left w:w="93" w:type="dxa"/>
              <w:bottom w:w="0" w:type="dxa"/>
              <w:right w:w="10" w:type="dxa"/>
            </w:tcMar>
            <w:vAlign w:val="center"/>
          </w:tcPr>
          <w:p w14:paraId="6968015F"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Justificación:</w:t>
            </w:r>
          </w:p>
        </w:tc>
        <w:tc>
          <w:tcPr>
            <w:tcW w:w="6219" w:type="dxa"/>
            <w:gridSpan w:val="9"/>
            <w:shd w:val="clear" w:color="auto" w:fill="auto"/>
            <w:tcMar>
              <w:top w:w="51" w:type="dxa"/>
              <w:left w:w="227" w:type="dxa"/>
              <w:bottom w:w="51" w:type="dxa"/>
              <w:right w:w="227" w:type="dxa"/>
            </w:tcMar>
            <w:vAlign w:val="center"/>
          </w:tcPr>
          <w:p w14:paraId="5609960B"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sz w:val="20"/>
                <w:szCs w:val="20"/>
              </w:rPr>
              <w:t>El indicador permite cuantificar el número de eventos internacionales de comercialización de productos maderables donde puedan promoverse el uso de especies no tan conocidas, en las cuales logran participar los exportadores y potenciales exportadores forestales</w:t>
            </w:r>
          </w:p>
        </w:tc>
      </w:tr>
      <w:tr w:rsidR="00A75C0F" w:rsidRPr="008A26D2" w14:paraId="309A3505" w14:textId="77777777" w:rsidTr="00AF5836">
        <w:trPr>
          <w:trHeight w:val="352"/>
        </w:trPr>
        <w:tc>
          <w:tcPr>
            <w:tcW w:w="2428" w:type="dxa"/>
            <w:gridSpan w:val="4"/>
            <w:shd w:val="clear" w:color="auto" w:fill="auto"/>
            <w:tcMar>
              <w:top w:w="10" w:type="dxa"/>
              <w:left w:w="93" w:type="dxa"/>
              <w:bottom w:w="0" w:type="dxa"/>
              <w:right w:w="10" w:type="dxa"/>
            </w:tcMar>
            <w:vAlign w:val="center"/>
          </w:tcPr>
          <w:p w14:paraId="20E913EB"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Responsable del indicador:</w:t>
            </w:r>
          </w:p>
        </w:tc>
        <w:tc>
          <w:tcPr>
            <w:tcW w:w="6219" w:type="dxa"/>
            <w:gridSpan w:val="9"/>
            <w:shd w:val="clear" w:color="auto" w:fill="auto"/>
            <w:tcMar>
              <w:top w:w="51" w:type="dxa"/>
              <w:left w:w="227" w:type="dxa"/>
              <w:bottom w:w="51" w:type="dxa"/>
              <w:right w:w="227" w:type="dxa"/>
            </w:tcMar>
            <w:vAlign w:val="center"/>
          </w:tcPr>
          <w:p w14:paraId="28ADDA3E" w14:textId="481A4FAF" w:rsidR="00A75C0F" w:rsidRPr="008A26D2" w:rsidRDefault="00A75C0F" w:rsidP="00AF5836">
            <w:pPr>
              <w:tabs>
                <w:tab w:val="left" w:pos="3375"/>
              </w:tabs>
              <w:jc w:val="both"/>
              <w:rPr>
                <w:rFonts w:ascii="Arial" w:hAnsi="Arial" w:cs="Arial"/>
                <w:sz w:val="20"/>
                <w:szCs w:val="20"/>
              </w:rPr>
            </w:pPr>
            <w:r w:rsidRPr="008A26D2">
              <w:rPr>
                <w:rFonts w:ascii="Arial" w:hAnsi="Arial" w:cs="Arial"/>
                <w:sz w:val="20"/>
                <w:szCs w:val="20"/>
              </w:rPr>
              <w:t xml:space="preserve">Dirección de Promoción de las Exportaciones </w:t>
            </w:r>
            <w:r>
              <w:rPr>
                <w:rFonts w:ascii="Arial" w:hAnsi="Arial" w:cs="Arial"/>
                <w:sz w:val="20"/>
                <w:szCs w:val="20"/>
              </w:rPr>
              <w:t xml:space="preserve">de la </w:t>
            </w:r>
            <w:r w:rsidRPr="00510594">
              <w:rPr>
                <w:rFonts w:ascii="Arial" w:hAnsi="Arial" w:cs="Arial"/>
                <w:sz w:val="20"/>
                <w:szCs w:val="20"/>
              </w:rPr>
              <w:t>Comisión de Promoción del Perú para la Exportación y el Turismo</w:t>
            </w:r>
            <w:r>
              <w:rPr>
                <w:rFonts w:ascii="Arial" w:hAnsi="Arial" w:cs="Arial"/>
                <w:sz w:val="20"/>
                <w:szCs w:val="20"/>
              </w:rPr>
              <w:t xml:space="preserve"> – </w:t>
            </w:r>
            <w:r w:rsidRPr="008A26D2">
              <w:rPr>
                <w:rFonts w:ascii="Arial" w:hAnsi="Arial" w:cs="Arial"/>
                <w:sz w:val="20"/>
                <w:szCs w:val="20"/>
              </w:rPr>
              <w:t>PROMPERU</w:t>
            </w:r>
          </w:p>
        </w:tc>
      </w:tr>
      <w:tr w:rsidR="00A75C0F" w:rsidRPr="008A26D2" w14:paraId="2BA92930" w14:textId="77777777" w:rsidTr="00AF5836">
        <w:trPr>
          <w:trHeight w:val="755"/>
        </w:trPr>
        <w:tc>
          <w:tcPr>
            <w:tcW w:w="2428" w:type="dxa"/>
            <w:gridSpan w:val="4"/>
            <w:shd w:val="clear" w:color="auto" w:fill="auto"/>
            <w:tcMar>
              <w:top w:w="10" w:type="dxa"/>
              <w:left w:w="93" w:type="dxa"/>
              <w:bottom w:w="0" w:type="dxa"/>
              <w:right w:w="10" w:type="dxa"/>
            </w:tcMar>
            <w:vAlign w:val="center"/>
          </w:tcPr>
          <w:p w14:paraId="26F0D902"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Limitaciones para la medición del indicador:</w:t>
            </w:r>
          </w:p>
        </w:tc>
        <w:tc>
          <w:tcPr>
            <w:tcW w:w="6219" w:type="dxa"/>
            <w:gridSpan w:val="9"/>
            <w:shd w:val="clear" w:color="auto" w:fill="auto"/>
            <w:tcMar>
              <w:top w:w="51" w:type="dxa"/>
              <w:left w:w="227" w:type="dxa"/>
              <w:bottom w:w="51" w:type="dxa"/>
              <w:right w:w="227" w:type="dxa"/>
            </w:tcMar>
            <w:vAlign w:val="center"/>
          </w:tcPr>
          <w:p w14:paraId="00C1F38D"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sz w:val="20"/>
                <w:szCs w:val="20"/>
              </w:rPr>
              <w:t>No presenta limitaciones</w:t>
            </w:r>
          </w:p>
        </w:tc>
      </w:tr>
      <w:tr w:rsidR="00A75C0F" w:rsidRPr="008A26D2" w14:paraId="35D68409" w14:textId="77777777" w:rsidTr="00AF5836">
        <w:trPr>
          <w:trHeight w:val="231"/>
        </w:trPr>
        <w:tc>
          <w:tcPr>
            <w:tcW w:w="2428" w:type="dxa"/>
            <w:gridSpan w:val="4"/>
            <w:shd w:val="clear" w:color="auto" w:fill="auto"/>
            <w:tcMar>
              <w:top w:w="10" w:type="dxa"/>
              <w:left w:w="93" w:type="dxa"/>
              <w:bottom w:w="0" w:type="dxa"/>
              <w:right w:w="10" w:type="dxa"/>
            </w:tcMar>
            <w:vAlign w:val="center"/>
          </w:tcPr>
          <w:p w14:paraId="139DDC6D"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 xml:space="preserve">Método de cálculo: </w:t>
            </w:r>
          </w:p>
        </w:tc>
        <w:tc>
          <w:tcPr>
            <w:tcW w:w="6219" w:type="dxa"/>
            <w:gridSpan w:val="9"/>
            <w:shd w:val="clear" w:color="auto" w:fill="auto"/>
            <w:tcMar>
              <w:top w:w="51" w:type="dxa"/>
              <w:left w:w="227" w:type="dxa"/>
              <w:bottom w:w="51" w:type="dxa"/>
              <w:right w:w="227" w:type="dxa"/>
            </w:tcMar>
            <w:vAlign w:val="center"/>
          </w:tcPr>
          <w:p w14:paraId="2A1DF33D" w14:textId="77777777" w:rsidR="00A75C0F" w:rsidRPr="008A26D2" w:rsidRDefault="00A75C0F" w:rsidP="00AF5836">
            <w:pPr>
              <w:pStyle w:val="Prrafodelista"/>
              <w:numPr>
                <w:ilvl w:val="0"/>
                <w:numId w:val="24"/>
              </w:numPr>
              <w:tabs>
                <w:tab w:val="left" w:pos="3375"/>
              </w:tabs>
              <w:spacing w:before="120" w:after="200" w:line="264" w:lineRule="auto"/>
              <w:ind w:left="315" w:hanging="315"/>
              <w:jc w:val="both"/>
              <w:rPr>
                <w:rFonts w:ascii="Arial" w:hAnsi="Arial" w:cs="Arial"/>
                <w:b/>
                <w:sz w:val="20"/>
                <w:szCs w:val="20"/>
              </w:rPr>
            </w:pPr>
            <w:r w:rsidRPr="008A26D2">
              <w:rPr>
                <w:rFonts w:ascii="Arial" w:hAnsi="Arial" w:cs="Arial"/>
                <w:b/>
                <w:sz w:val="20"/>
                <w:szCs w:val="20"/>
              </w:rPr>
              <w:t>Fórmula:</w:t>
            </w:r>
          </w:p>
          <w:p w14:paraId="5A093EBE"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sz w:val="20"/>
                <w:szCs w:val="20"/>
              </w:rPr>
              <w:t xml:space="preserve">NEICPM </w:t>
            </w:r>
          </w:p>
          <w:p w14:paraId="2FB8DD79"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sz w:val="20"/>
                <w:szCs w:val="20"/>
              </w:rPr>
              <w:t>Donde:</w:t>
            </w:r>
          </w:p>
          <w:p w14:paraId="6215300A" w14:textId="77777777" w:rsidR="00A75C0F" w:rsidRPr="008A26D2" w:rsidRDefault="00A75C0F" w:rsidP="00AF5836">
            <w:pPr>
              <w:tabs>
                <w:tab w:val="left" w:pos="3375"/>
              </w:tabs>
              <w:ind w:left="608" w:hanging="747"/>
              <w:jc w:val="both"/>
              <w:rPr>
                <w:rFonts w:ascii="Arial" w:hAnsi="Arial" w:cs="Arial"/>
                <w:sz w:val="20"/>
                <w:szCs w:val="20"/>
              </w:rPr>
            </w:pPr>
            <w:r w:rsidRPr="008A26D2">
              <w:rPr>
                <w:rFonts w:ascii="Arial" w:hAnsi="Arial" w:cs="Arial"/>
                <w:sz w:val="20"/>
                <w:szCs w:val="20"/>
              </w:rPr>
              <w:t>NEICPM = Número de eventos internacionales de comercialización de productos maderables donde puedan promoverse el uso de especies no tan conocidas en los que participaron los exportadores nacionales</w:t>
            </w:r>
          </w:p>
          <w:p w14:paraId="61E0DB9A"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2. Especificaciones técnicas:</w:t>
            </w:r>
          </w:p>
          <w:p w14:paraId="0A559956" w14:textId="77777777" w:rsidR="00A75C0F" w:rsidRPr="008A26D2" w:rsidRDefault="00A75C0F" w:rsidP="00AF5836">
            <w:pPr>
              <w:spacing w:after="0"/>
              <w:jc w:val="both"/>
              <w:rPr>
                <w:rFonts w:ascii="Arial" w:hAnsi="Arial" w:cs="Arial"/>
                <w:sz w:val="20"/>
                <w:szCs w:val="20"/>
              </w:rPr>
            </w:pPr>
            <w:r w:rsidRPr="008A26D2">
              <w:rPr>
                <w:rFonts w:ascii="Arial" w:hAnsi="Arial" w:cs="Arial"/>
                <w:sz w:val="20"/>
                <w:szCs w:val="20"/>
              </w:rPr>
              <w:t xml:space="preserve">Los eventos internacionales de comercialización son las ferias internacionales, ruedas de negocios, proyectos de facilitación comercial y misiones comerciales los cuales son las principales </w:t>
            </w:r>
            <w:r w:rsidRPr="008A26D2">
              <w:rPr>
                <w:rFonts w:ascii="Arial" w:hAnsi="Arial" w:cs="Arial"/>
                <w:sz w:val="20"/>
                <w:szCs w:val="20"/>
              </w:rPr>
              <w:lastRenderedPageBreak/>
              <w:t>herramientas que se usan actualmente para difundir el uso de especies maderables no tan conocidas.</w:t>
            </w:r>
          </w:p>
          <w:p w14:paraId="10E82B6C" w14:textId="77777777" w:rsidR="00A75C0F" w:rsidRPr="008A26D2" w:rsidRDefault="00A75C0F" w:rsidP="00AF5836">
            <w:pPr>
              <w:spacing w:after="0"/>
              <w:jc w:val="both"/>
              <w:rPr>
                <w:rFonts w:ascii="Arial" w:hAnsi="Arial" w:cs="Arial"/>
                <w:sz w:val="20"/>
                <w:szCs w:val="20"/>
              </w:rPr>
            </w:pPr>
          </w:p>
        </w:tc>
      </w:tr>
      <w:tr w:rsidR="00A75C0F" w:rsidRPr="008A26D2" w14:paraId="620308B5" w14:textId="77777777" w:rsidTr="00AF5836">
        <w:trPr>
          <w:trHeight w:val="686"/>
        </w:trPr>
        <w:tc>
          <w:tcPr>
            <w:tcW w:w="2428" w:type="dxa"/>
            <w:gridSpan w:val="4"/>
            <w:shd w:val="clear" w:color="auto" w:fill="auto"/>
            <w:tcMar>
              <w:top w:w="10" w:type="dxa"/>
              <w:left w:w="93" w:type="dxa"/>
              <w:bottom w:w="0" w:type="dxa"/>
              <w:right w:w="10" w:type="dxa"/>
            </w:tcMar>
            <w:vAlign w:val="center"/>
          </w:tcPr>
          <w:p w14:paraId="019410C9"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lastRenderedPageBreak/>
              <w:t>Sentido esperado del indicador:</w:t>
            </w:r>
          </w:p>
        </w:tc>
        <w:tc>
          <w:tcPr>
            <w:tcW w:w="1683" w:type="dxa"/>
            <w:gridSpan w:val="2"/>
            <w:shd w:val="clear" w:color="auto" w:fill="auto"/>
            <w:tcMar>
              <w:top w:w="10" w:type="dxa"/>
              <w:left w:w="283" w:type="dxa"/>
              <w:bottom w:w="0" w:type="dxa"/>
              <w:right w:w="283" w:type="dxa"/>
            </w:tcMar>
            <w:vAlign w:val="center"/>
          </w:tcPr>
          <w:p w14:paraId="28549562"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sz w:val="20"/>
                <w:szCs w:val="20"/>
              </w:rPr>
              <w:t>Ascendente</w:t>
            </w:r>
          </w:p>
        </w:tc>
        <w:tc>
          <w:tcPr>
            <w:tcW w:w="3143" w:type="dxa"/>
            <w:gridSpan w:val="5"/>
            <w:shd w:val="clear" w:color="auto" w:fill="auto"/>
            <w:tcMar>
              <w:top w:w="15" w:type="dxa"/>
              <w:left w:w="15" w:type="dxa"/>
              <w:bottom w:w="0" w:type="dxa"/>
              <w:right w:w="15" w:type="dxa"/>
            </w:tcMar>
            <w:vAlign w:val="center"/>
          </w:tcPr>
          <w:p w14:paraId="4FF3AA71"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Tipo de indicador de servicio:</w:t>
            </w:r>
          </w:p>
        </w:tc>
        <w:tc>
          <w:tcPr>
            <w:tcW w:w="1393" w:type="dxa"/>
            <w:gridSpan w:val="2"/>
            <w:shd w:val="clear" w:color="auto" w:fill="auto"/>
            <w:tcMar>
              <w:top w:w="15" w:type="dxa"/>
              <w:left w:w="15" w:type="dxa"/>
              <w:bottom w:w="0" w:type="dxa"/>
              <w:right w:w="15" w:type="dxa"/>
            </w:tcMar>
            <w:vAlign w:val="center"/>
          </w:tcPr>
          <w:p w14:paraId="51DE8E39"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sz w:val="20"/>
                <w:szCs w:val="20"/>
              </w:rPr>
              <w:t>Cobertura</w:t>
            </w:r>
          </w:p>
        </w:tc>
      </w:tr>
      <w:tr w:rsidR="00A75C0F" w:rsidRPr="008A26D2" w14:paraId="73D02FBB" w14:textId="77777777" w:rsidTr="00AF5836">
        <w:trPr>
          <w:trHeight w:val="13"/>
        </w:trPr>
        <w:tc>
          <w:tcPr>
            <w:tcW w:w="2428" w:type="dxa"/>
            <w:gridSpan w:val="4"/>
            <w:shd w:val="clear" w:color="auto" w:fill="auto"/>
            <w:tcMar>
              <w:top w:w="10" w:type="dxa"/>
              <w:left w:w="93" w:type="dxa"/>
              <w:bottom w:w="0" w:type="dxa"/>
              <w:right w:w="10" w:type="dxa"/>
            </w:tcMar>
            <w:vAlign w:val="center"/>
          </w:tcPr>
          <w:p w14:paraId="2971E617"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Fuente y base de datos:</w:t>
            </w:r>
          </w:p>
        </w:tc>
        <w:tc>
          <w:tcPr>
            <w:tcW w:w="6219" w:type="dxa"/>
            <w:gridSpan w:val="9"/>
            <w:shd w:val="clear" w:color="auto" w:fill="auto"/>
            <w:tcMar>
              <w:top w:w="51" w:type="dxa"/>
              <w:left w:w="227" w:type="dxa"/>
              <w:bottom w:w="51" w:type="dxa"/>
              <w:right w:w="227" w:type="dxa"/>
            </w:tcMar>
            <w:vAlign w:val="center"/>
          </w:tcPr>
          <w:p w14:paraId="1194CE22" w14:textId="48C38A2C" w:rsidR="00A75C0F" w:rsidRDefault="00A75C0F" w:rsidP="00AF5836">
            <w:pPr>
              <w:tabs>
                <w:tab w:val="left" w:pos="3375"/>
              </w:tabs>
              <w:jc w:val="both"/>
              <w:rPr>
                <w:rFonts w:ascii="Arial" w:hAnsi="Arial" w:cs="Arial"/>
                <w:sz w:val="20"/>
                <w:szCs w:val="20"/>
              </w:rPr>
            </w:pPr>
            <w:r w:rsidRPr="008A26D2">
              <w:rPr>
                <w:rFonts w:ascii="Arial" w:hAnsi="Arial" w:cs="Arial"/>
                <w:sz w:val="20"/>
                <w:szCs w:val="20"/>
              </w:rPr>
              <w:t xml:space="preserve">Fuente: Dirección de Promoción de las Exportaciones </w:t>
            </w:r>
            <w:r>
              <w:rPr>
                <w:rFonts w:ascii="Arial" w:hAnsi="Arial" w:cs="Arial"/>
                <w:sz w:val="20"/>
                <w:szCs w:val="20"/>
              </w:rPr>
              <w:t xml:space="preserve">de la </w:t>
            </w:r>
            <w:r w:rsidRPr="00510594">
              <w:rPr>
                <w:rFonts w:ascii="Arial" w:hAnsi="Arial" w:cs="Arial"/>
                <w:sz w:val="20"/>
                <w:szCs w:val="20"/>
              </w:rPr>
              <w:t>Comisión de Promoción del Perú para la Exportación y el Turismo</w:t>
            </w:r>
            <w:r>
              <w:rPr>
                <w:rFonts w:ascii="Arial" w:hAnsi="Arial" w:cs="Arial"/>
                <w:sz w:val="20"/>
                <w:szCs w:val="20"/>
              </w:rPr>
              <w:t xml:space="preserve"> – </w:t>
            </w:r>
            <w:r w:rsidRPr="008A26D2">
              <w:rPr>
                <w:rFonts w:ascii="Arial" w:hAnsi="Arial" w:cs="Arial"/>
                <w:sz w:val="20"/>
                <w:szCs w:val="20"/>
              </w:rPr>
              <w:t>PROMPERU</w:t>
            </w:r>
            <w:r>
              <w:rPr>
                <w:rFonts w:ascii="Arial" w:hAnsi="Arial" w:cs="Arial"/>
                <w:sz w:val="20"/>
                <w:szCs w:val="20"/>
              </w:rPr>
              <w:t>.</w:t>
            </w:r>
          </w:p>
          <w:p w14:paraId="14B4B6A9" w14:textId="1969DBA6" w:rsidR="00A75C0F" w:rsidRPr="008A26D2" w:rsidRDefault="00A75C0F" w:rsidP="00AF5836">
            <w:pPr>
              <w:tabs>
                <w:tab w:val="left" w:pos="3375"/>
              </w:tabs>
              <w:jc w:val="both"/>
              <w:rPr>
                <w:rFonts w:ascii="Arial" w:hAnsi="Arial" w:cs="Arial"/>
                <w:sz w:val="20"/>
                <w:szCs w:val="20"/>
              </w:rPr>
            </w:pPr>
            <w:r w:rsidRPr="008A26D2">
              <w:rPr>
                <w:rFonts w:ascii="Arial" w:hAnsi="Arial" w:cs="Arial"/>
                <w:sz w:val="20"/>
                <w:szCs w:val="20"/>
              </w:rPr>
              <w:t>Base de datos: Sistema ÉXITO</w:t>
            </w:r>
            <w:r>
              <w:rPr>
                <w:rFonts w:ascii="Arial" w:hAnsi="Arial" w:cs="Arial"/>
                <w:sz w:val="20"/>
                <w:szCs w:val="20"/>
              </w:rPr>
              <w:t>.</w:t>
            </w:r>
          </w:p>
        </w:tc>
      </w:tr>
      <w:tr w:rsidR="00A75C0F" w:rsidRPr="008A26D2" w14:paraId="0ED88828" w14:textId="77777777" w:rsidTr="00AF5836">
        <w:trPr>
          <w:trHeight w:val="436"/>
        </w:trPr>
        <w:tc>
          <w:tcPr>
            <w:tcW w:w="2428" w:type="dxa"/>
            <w:gridSpan w:val="4"/>
            <w:shd w:val="clear" w:color="auto" w:fill="auto"/>
            <w:tcMar>
              <w:top w:w="10" w:type="dxa"/>
              <w:left w:w="93" w:type="dxa"/>
              <w:bottom w:w="0" w:type="dxa"/>
              <w:right w:w="10" w:type="dxa"/>
            </w:tcMar>
            <w:vAlign w:val="center"/>
          </w:tcPr>
          <w:p w14:paraId="14C41DEF"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Supuestos:</w:t>
            </w:r>
          </w:p>
        </w:tc>
        <w:tc>
          <w:tcPr>
            <w:tcW w:w="6219" w:type="dxa"/>
            <w:gridSpan w:val="9"/>
            <w:shd w:val="clear" w:color="auto" w:fill="auto"/>
            <w:tcMar>
              <w:top w:w="51" w:type="dxa"/>
              <w:left w:w="227" w:type="dxa"/>
              <w:bottom w:w="51" w:type="dxa"/>
              <w:right w:w="227" w:type="dxa"/>
            </w:tcMar>
            <w:vAlign w:val="center"/>
          </w:tcPr>
          <w:p w14:paraId="42BD1D2F"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sz w:val="20"/>
                <w:szCs w:val="20"/>
              </w:rPr>
              <w:t>Existe el interés y el financiamiento de apoyo para la cadena forestal y de fauna silvestre en las negociaciones internacionales</w:t>
            </w:r>
          </w:p>
          <w:p w14:paraId="6C15793A"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sz w:val="20"/>
                <w:szCs w:val="20"/>
              </w:rPr>
              <w:t>SERFOR deberá informar del stock de especies maderables según el inventario anual forestal en m</w:t>
            </w:r>
            <w:r w:rsidRPr="00307693">
              <w:rPr>
                <w:rFonts w:ascii="Arial" w:hAnsi="Arial" w:cs="Arial"/>
                <w:sz w:val="20"/>
                <w:szCs w:val="20"/>
                <w:vertAlign w:val="superscript"/>
              </w:rPr>
              <w:t>3</w:t>
            </w:r>
            <w:r w:rsidRPr="008A26D2">
              <w:rPr>
                <w:rFonts w:ascii="Arial" w:hAnsi="Arial" w:cs="Arial"/>
                <w:sz w:val="20"/>
                <w:szCs w:val="20"/>
              </w:rPr>
              <w:t xml:space="preserve"> por especie y uso de producto. </w:t>
            </w:r>
          </w:p>
        </w:tc>
      </w:tr>
      <w:tr w:rsidR="00A75C0F" w:rsidRPr="008A26D2" w14:paraId="009455B8" w14:textId="77777777" w:rsidTr="00307693">
        <w:trPr>
          <w:trHeight w:val="556"/>
        </w:trPr>
        <w:tc>
          <w:tcPr>
            <w:tcW w:w="709" w:type="dxa"/>
            <w:shd w:val="clear" w:color="auto" w:fill="auto"/>
            <w:tcMar>
              <w:top w:w="10" w:type="dxa"/>
              <w:left w:w="10" w:type="dxa"/>
              <w:bottom w:w="0" w:type="dxa"/>
              <w:right w:w="10" w:type="dxa"/>
            </w:tcMar>
            <w:vAlign w:val="center"/>
          </w:tcPr>
          <w:p w14:paraId="23EC112B"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 </w:t>
            </w:r>
          </w:p>
        </w:tc>
        <w:tc>
          <w:tcPr>
            <w:tcW w:w="993" w:type="dxa"/>
            <w:shd w:val="clear" w:color="auto" w:fill="auto"/>
            <w:tcMar>
              <w:top w:w="10" w:type="dxa"/>
              <w:left w:w="10" w:type="dxa"/>
              <w:bottom w:w="0" w:type="dxa"/>
              <w:right w:w="10" w:type="dxa"/>
            </w:tcMar>
            <w:vAlign w:val="center"/>
          </w:tcPr>
          <w:p w14:paraId="325B5FA9" w14:textId="77777777" w:rsidR="00A75C0F" w:rsidRPr="008A26D2" w:rsidRDefault="00A75C0F" w:rsidP="00307693">
            <w:pPr>
              <w:tabs>
                <w:tab w:val="left" w:pos="3375"/>
              </w:tabs>
              <w:jc w:val="center"/>
              <w:rPr>
                <w:rFonts w:ascii="Arial" w:hAnsi="Arial" w:cs="Arial"/>
                <w:sz w:val="20"/>
                <w:szCs w:val="20"/>
              </w:rPr>
            </w:pPr>
            <w:r w:rsidRPr="008A26D2">
              <w:rPr>
                <w:rFonts w:ascii="Arial" w:hAnsi="Arial" w:cs="Arial"/>
                <w:b/>
                <w:sz w:val="20"/>
                <w:szCs w:val="20"/>
              </w:rPr>
              <w:t>Línea de base</w:t>
            </w:r>
          </w:p>
        </w:tc>
        <w:tc>
          <w:tcPr>
            <w:tcW w:w="6945" w:type="dxa"/>
            <w:gridSpan w:val="11"/>
            <w:shd w:val="clear" w:color="auto" w:fill="auto"/>
            <w:tcMar>
              <w:top w:w="10" w:type="dxa"/>
              <w:left w:w="10" w:type="dxa"/>
              <w:bottom w:w="0" w:type="dxa"/>
              <w:right w:w="10" w:type="dxa"/>
            </w:tcMar>
            <w:vAlign w:val="center"/>
          </w:tcPr>
          <w:p w14:paraId="7671A358"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b/>
                <w:sz w:val="20"/>
                <w:szCs w:val="20"/>
              </w:rPr>
              <w:t>Logros esperados</w:t>
            </w:r>
          </w:p>
        </w:tc>
      </w:tr>
      <w:tr w:rsidR="00A75C0F" w:rsidRPr="008A26D2" w14:paraId="63DD1129" w14:textId="77777777" w:rsidTr="00307693">
        <w:trPr>
          <w:trHeight w:val="217"/>
        </w:trPr>
        <w:tc>
          <w:tcPr>
            <w:tcW w:w="709" w:type="dxa"/>
            <w:shd w:val="clear" w:color="auto" w:fill="auto"/>
            <w:tcMar>
              <w:top w:w="10" w:type="dxa"/>
              <w:left w:w="10" w:type="dxa"/>
              <w:bottom w:w="0" w:type="dxa"/>
              <w:right w:w="10" w:type="dxa"/>
            </w:tcMar>
            <w:vAlign w:val="center"/>
          </w:tcPr>
          <w:p w14:paraId="55A912F0"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Año</w:t>
            </w:r>
          </w:p>
        </w:tc>
        <w:tc>
          <w:tcPr>
            <w:tcW w:w="993" w:type="dxa"/>
            <w:shd w:val="clear" w:color="auto" w:fill="auto"/>
            <w:tcMar>
              <w:top w:w="10" w:type="dxa"/>
              <w:left w:w="10" w:type="dxa"/>
              <w:bottom w:w="0" w:type="dxa"/>
              <w:right w:w="10" w:type="dxa"/>
            </w:tcMar>
            <w:vAlign w:val="center"/>
          </w:tcPr>
          <w:p w14:paraId="524869A3" w14:textId="77777777" w:rsidR="00A75C0F" w:rsidRPr="008A26D2" w:rsidRDefault="00A75C0F" w:rsidP="00307693">
            <w:pPr>
              <w:tabs>
                <w:tab w:val="left" w:pos="3375"/>
              </w:tabs>
              <w:jc w:val="center"/>
              <w:rPr>
                <w:rFonts w:ascii="Arial" w:hAnsi="Arial" w:cs="Arial"/>
                <w:b/>
                <w:sz w:val="20"/>
                <w:szCs w:val="20"/>
              </w:rPr>
            </w:pPr>
            <w:r w:rsidRPr="008A26D2">
              <w:rPr>
                <w:rFonts w:ascii="Arial" w:hAnsi="Arial" w:cs="Arial"/>
                <w:b/>
                <w:sz w:val="20"/>
                <w:szCs w:val="20"/>
              </w:rPr>
              <w:t>2021</w:t>
            </w:r>
          </w:p>
        </w:tc>
        <w:tc>
          <w:tcPr>
            <w:tcW w:w="708" w:type="dxa"/>
            <w:shd w:val="clear" w:color="auto" w:fill="auto"/>
            <w:tcMar>
              <w:top w:w="10" w:type="dxa"/>
              <w:left w:w="10" w:type="dxa"/>
              <w:bottom w:w="0" w:type="dxa"/>
              <w:right w:w="10" w:type="dxa"/>
            </w:tcMar>
            <w:vAlign w:val="center"/>
          </w:tcPr>
          <w:p w14:paraId="3F097F76" w14:textId="77777777" w:rsidR="00A75C0F" w:rsidRPr="008A26D2" w:rsidRDefault="00A75C0F" w:rsidP="00307693">
            <w:pPr>
              <w:tabs>
                <w:tab w:val="left" w:pos="3375"/>
              </w:tabs>
              <w:jc w:val="center"/>
              <w:rPr>
                <w:rFonts w:ascii="Arial" w:hAnsi="Arial" w:cs="Arial"/>
                <w:b/>
                <w:sz w:val="20"/>
                <w:szCs w:val="20"/>
              </w:rPr>
            </w:pPr>
            <w:r w:rsidRPr="008A26D2">
              <w:rPr>
                <w:rFonts w:ascii="Arial" w:hAnsi="Arial" w:cs="Arial"/>
                <w:b/>
                <w:sz w:val="20"/>
                <w:szCs w:val="20"/>
              </w:rPr>
              <w:t>2023</w:t>
            </w:r>
          </w:p>
        </w:tc>
        <w:tc>
          <w:tcPr>
            <w:tcW w:w="993" w:type="dxa"/>
            <w:gridSpan w:val="2"/>
            <w:shd w:val="clear" w:color="auto" w:fill="auto"/>
            <w:vAlign w:val="center"/>
          </w:tcPr>
          <w:p w14:paraId="6A6BA543" w14:textId="77777777" w:rsidR="00A75C0F" w:rsidRPr="008A26D2" w:rsidRDefault="00A75C0F" w:rsidP="00307693">
            <w:pPr>
              <w:tabs>
                <w:tab w:val="left" w:pos="3375"/>
              </w:tabs>
              <w:jc w:val="center"/>
              <w:rPr>
                <w:rFonts w:ascii="Arial" w:hAnsi="Arial" w:cs="Arial"/>
                <w:b/>
                <w:sz w:val="20"/>
                <w:szCs w:val="20"/>
              </w:rPr>
            </w:pPr>
            <w:r w:rsidRPr="008A26D2">
              <w:rPr>
                <w:rFonts w:ascii="Arial" w:hAnsi="Arial" w:cs="Arial"/>
                <w:b/>
                <w:sz w:val="20"/>
                <w:szCs w:val="20"/>
              </w:rPr>
              <w:t>2024</w:t>
            </w:r>
          </w:p>
        </w:tc>
        <w:tc>
          <w:tcPr>
            <w:tcW w:w="1007" w:type="dxa"/>
            <w:gridSpan w:val="2"/>
            <w:shd w:val="clear" w:color="auto" w:fill="auto"/>
            <w:vAlign w:val="center"/>
          </w:tcPr>
          <w:p w14:paraId="3EAFDB8C" w14:textId="77777777" w:rsidR="00A75C0F" w:rsidRPr="008A26D2" w:rsidRDefault="00A75C0F" w:rsidP="00307693">
            <w:pPr>
              <w:tabs>
                <w:tab w:val="left" w:pos="3375"/>
              </w:tabs>
              <w:jc w:val="center"/>
              <w:rPr>
                <w:rFonts w:ascii="Arial" w:hAnsi="Arial" w:cs="Arial"/>
                <w:b/>
                <w:sz w:val="20"/>
                <w:szCs w:val="20"/>
              </w:rPr>
            </w:pPr>
            <w:r w:rsidRPr="008A26D2">
              <w:rPr>
                <w:rFonts w:ascii="Arial" w:hAnsi="Arial" w:cs="Arial"/>
                <w:b/>
                <w:sz w:val="20"/>
                <w:szCs w:val="20"/>
              </w:rPr>
              <w:t>2025</w:t>
            </w:r>
          </w:p>
        </w:tc>
        <w:tc>
          <w:tcPr>
            <w:tcW w:w="992" w:type="dxa"/>
            <w:shd w:val="clear" w:color="auto" w:fill="auto"/>
            <w:vAlign w:val="center"/>
          </w:tcPr>
          <w:p w14:paraId="7B866C63" w14:textId="77777777" w:rsidR="00A75C0F" w:rsidRPr="008A26D2" w:rsidRDefault="00A75C0F" w:rsidP="00307693">
            <w:pPr>
              <w:tabs>
                <w:tab w:val="left" w:pos="3375"/>
              </w:tabs>
              <w:jc w:val="center"/>
              <w:rPr>
                <w:rFonts w:ascii="Arial" w:hAnsi="Arial" w:cs="Arial"/>
                <w:b/>
                <w:sz w:val="20"/>
                <w:szCs w:val="20"/>
              </w:rPr>
            </w:pPr>
            <w:r w:rsidRPr="008A26D2">
              <w:rPr>
                <w:rFonts w:ascii="Arial" w:hAnsi="Arial" w:cs="Arial"/>
                <w:b/>
                <w:sz w:val="20"/>
                <w:szCs w:val="20"/>
              </w:rPr>
              <w:t>2026</w:t>
            </w:r>
          </w:p>
        </w:tc>
        <w:tc>
          <w:tcPr>
            <w:tcW w:w="836" w:type="dxa"/>
            <w:shd w:val="clear" w:color="auto" w:fill="auto"/>
            <w:vAlign w:val="center"/>
          </w:tcPr>
          <w:p w14:paraId="6EF90CB2" w14:textId="77777777" w:rsidR="00A75C0F" w:rsidRPr="008A26D2" w:rsidRDefault="00A75C0F" w:rsidP="00307693">
            <w:pPr>
              <w:tabs>
                <w:tab w:val="left" w:pos="3375"/>
              </w:tabs>
              <w:jc w:val="center"/>
              <w:rPr>
                <w:rFonts w:ascii="Arial" w:hAnsi="Arial" w:cs="Arial"/>
                <w:b/>
                <w:sz w:val="20"/>
                <w:szCs w:val="20"/>
              </w:rPr>
            </w:pPr>
            <w:r w:rsidRPr="008A26D2">
              <w:rPr>
                <w:rFonts w:ascii="Arial" w:hAnsi="Arial" w:cs="Arial"/>
                <w:b/>
                <w:sz w:val="20"/>
                <w:szCs w:val="20"/>
              </w:rPr>
              <w:t>2027</w:t>
            </w:r>
          </w:p>
        </w:tc>
        <w:tc>
          <w:tcPr>
            <w:tcW w:w="850" w:type="dxa"/>
            <w:shd w:val="clear" w:color="auto" w:fill="auto"/>
            <w:vAlign w:val="center"/>
          </w:tcPr>
          <w:p w14:paraId="6368F6E2" w14:textId="77777777" w:rsidR="00A75C0F" w:rsidRPr="008A26D2" w:rsidRDefault="00A75C0F" w:rsidP="00307693">
            <w:pPr>
              <w:tabs>
                <w:tab w:val="left" w:pos="3375"/>
              </w:tabs>
              <w:jc w:val="center"/>
              <w:rPr>
                <w:rFonts w:ascii="Arial" w:hAnsi="Arial" w:cs="Arial"/>
                <w:b/>
                <w:sz w:val="20"/>
                <w:szCs w:val="20"/>
              </w:rPr>
            </w:pPr>
            <w:r w:rsidRPr="008A26D2">
              <w:rPr>
                <w:rFonts w:ascii="Arial" w:hAnsi="Arial" w:cs="Arial"/>
                <w:b/>
                <w:sz w:val="20"/>
                <w:szCs w:val="20"/>
              </w:rPr>
              <w:t>2028</w:t>
            </w:r>
          </w:p>
        </w:tc>
        <w:tc>
          <w:tcPr>
            <w:tcW w:w="709" w:type="dxa"/>
            <w:gridSpan w:val="2"/>
            <w:shd w:val="clear" w:color="auto" w:fill="auto"/>
            <w:vAlign w:val="center"/>
          </w:tcPr>
          <w:p w14:paraId="4CD41D6F" w14:textId="77777777" w:rsidR="00A75C0F" w:rsidRPr="008A26D2" w:rsidRDefault="00A75C0F" w:rsidP="00307693">
            <w:pPr>
              <w:tabs>
                <w:tab w:val="left" w:pos="3375"/>
              </w:tabs>
              <w:jc w:val="center"/>
              <w:rPr>
                <w:rFonts w:ascii="Arial" w:hAnsi="Arial" w:cs="Arial"/>
                <w:b/>
                <w:sz w:val="20"/>
                <w:szCs w:val="20"/>
              </w:rPr>
            </w:pPr>
            <w:r w:rsidRPr="008A26D2">
              <w:rPr>
                <w:rFonts w:ascii="Arial" w:hAnsi="Arial" w:cs="Arial"/>
                <w:b/>
                <w:sz w:val="20"/>
                <w:szCs w:val="20"/>
              </w:rPr>
              <w:t>2029</w:t>
            </w:r>
          </w:p>
        </w:tc>
        <w:tc>
          <w:tcPr>
            <w:tcW w:w="850" w:type="dxa"/>
            <w:shd w:val="clear" w:color="auto" w:fill="auto"/>
            <w:tcMar>
              <w:top w:w="10" w:type="dxa"/>
              <w:left w:w="10" w:type="dxa"/>
              <w:bottom w:w="0" w:type="dxa"/>
              <w:right w:w="10" w:type="dxa"/>
            </w:tcMar>
            <w:vAlign w:val="center"/>
          </w:tcPr>
          <w:p w14:paraId="007A034B" w14:textId="77777777" w:rsidR="00A75C0F" w:rsidRPr="008A26D2" w:rsidRDefault="00A75C0F" w:rsidP="00307693">
            <w:pPr>
              <w:tabs>
                <w:tab w:val="left" w:pos="3375"/>
              </w:tabs>
              <w:jc w:val="center"/>
              <w:rPr>
                <w:rFonts w:ascii="Arial" w:hAnsi="Arial" w:cs="Arial"/>
                <w:b/>
                <w:sz w:val="20"/>
                <w:szCs w:val="20"/>
              </w:rPr>
            </w:pPr>
            <w:r w:rsidRPr="008A26D2">
              <w:rPr>
                <w:rFonts w:ascii="Arial" w:hAnsi="Arial" w:cs="Arial"/>
                <w:b/>
                <w:sz w:val="20"/>
                <w:szCs w:val="20"/>
              </w:rPr>
              <w:t>2030</w:t>
            </w:r>
          </w:p>
        </w:tc>
      </w:tr>
      <w:tr w:rsidR="00A75C0F" w:rsidRPr="008A26D2" w14:paraId="7E2AAB2B" w14:textId="77777777" w:rsidTr="00307693">
        <w:trPr>
          <w:trHeight w:val="81"/>
        </w:trPr>
        <w:tc>
          <w:tcPr>
            <w:tcW w:w="709" w:type="dxa"/>
            <w:shd w:val="clear" w:color="auto" w:fill="auto"/>
            <w:tcMar>
              <w:top w:w="10" w:type="dxa"/>
              <w:left w:w="10" w:type="dxa"/>
              <w:bottom w:w="0" w:type="dxa"/>
              <w:right w:w="10" w:type="dxa"/>
            </w:tcMar>
            <w:vAlign w:val="center"/>
          </w:tcPr>
          <w:p w14:paraId="32E84596"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Valor</w:t>
            </w:r>
          </w:p>
        </w:tc>
        <w:tc>
          <w:tcPr>
            <w:tcW w:w="993" w:type="dxa"/>
            <w:shd w:val="clear" w:color="auto" w:fill="auto"/>
            <w:tcMar>
              <w:top w:w="10" w:type="dxa"/>
              <w:left w:w="10" w:type="dxa"/>
              <w:bottom w:w="0" w:type="dxa"/>
              <w:right w:w="10" w:type="dxa"/>
            </w:tcMar>
            <w:vAlign w:val="center"/>
          </w:tcPr>
          <w:p w14:paraId="13C25BD1" w14:textId="77777777" w:rsidR="00A75C0F" w:rsidRPr="008A26D2" w:rsidRDefault="00A75C0F" w:rsidP="00307693">
            <w:pPr>
              <w:tabs>
                <w:tab w:val="left" w:pos="3375"/>
              </w:tabs>
              <w:jc w:val="center"/>
              <w:rPr>
                <w:rFonts w:ascii="Arial" w:hAnsi="Arial" w:cs="Arial"/>
                <w:sz w:val="20"/>
                <w:szCs w:val="20"/>
              </w:rPr>
            </w:pPr>
            <w:r w:rsidRPr="008A26D2">
              <w:rPr>
                <w:rFonts w:ascii="Arial" w:hAnsi="Arial" w:cs="Arial"/>
                <w:sz w:val="20"/>
                <w:szCs w:val="20"/>
              </w:rPr>
              <w:t>3</w:t>
            </w:r>
          </w:p>
        </w:tc>
        <w:tc>
          <w:tcPr>
            <w:tcW w:w="708" w:type="dxa"/>
            <w:shd w:val="clear" w:color="auto" w:fill="auto"/>
            <w:tcMar>
              <w:top w:w="10" w:type="dxa"/>
              <w:left w:w="10" w:type="dxa"/>
              <w:bottom w:w="0" w:type="dxa"/>
              <w:right w:w="10" w:type="dxa"/>
            </w:tcMar>
            <w:vAlign w:val="center"/>
          </w:tcPr>
          <w:p w14:paraId="22492FFA" w14:textId="77777777" w:rsidR="00A75C0F" w:rsidRPr="008A26D2" w:rsidRDefault="00A75C0F" w:rsidP="00307693">
            <w:pPr>
              <w:tabs>
                <w:tab w:val="left" w:pos="3375"/>
              </w:tabs>
              <w:jc w:val="center"/>
              <w:rPr>
                <w:rFonts w:ascii="Arial" w:hAnsi="Arial" w:cs="Arial"/>
                <w:sz w:val="20"/>
                <w:szCs w:val="20"/>
              </w:rPr>
            </w:pPr>
            <w:r w:rsidRPr="008A26D2">
              <w:rPr>
                <w:rFonts w:ascii="Arial" w:hAnsi="Arial" w:cs="Arial"/>
                <w:sz w:val="20"/>
                <w:szCs w:val="20"/>
              </w:rPr>
              <w:t>4</w:t>
            </w:r>
          </w:p>
        </w:tc>
        <w:tc>
          <w:tcPr>
            <w:tcW w:w="993" w:type="dxa"/>
            <w:gridSpan w:val="2"/>
            <w:shd w:val="clear" w:color="auto" w:fill="auto"/>
            <w:vAlign w:val="center"/>
          </w:tcPr>
          <w:p w14:paraId="6CC2557F" w14:textId="77777777" w:rsidR="00A75C0F" w:rsidRPr="008A26D2" w:rsidRDefault="00A75C0F" w:rsidP="00307693">
            <w:pPr>
              <w:tabs>
                <w:tab w:val="left" w:pos="3375"/>
              </w:tabs>
              <w:jc w:val="center"/>
              <w:rPr>
                <w:rFonts w:ascii="Arial" w:hAnsi="Arial" w:cs="Arial"/>
                <w:sz w:val="20"/>
                <w:szCs w:val="20"/>
              </w:rPr>
            </w:pPr>
            <w:r w:rsidRPr="008A26D2">
              <w:rPr>
                <w:rFonts w:ascii="Arial" w:hAnsi="Arial" w:cs="Arial"/>
                <w:sz w:val="20"/>
                <w:szCs w:val="20"/>
              </w:rPr>
              <w:t>6</w:t>
            </w:r>
          </w:p>
        </w:tc>
        <w:tc>
          <w:tcPr>
            <w:tcW w:w="1007" w:type="dxa"/>
            <w:gridSpan w:val="2"/>
            <w:shd w:val="clear" w:color="auto" w:fill="auto"/>
            <w:vAlign w:val="center"/>
          </w:tcPr>
          <w:p w14:paraId="7656D482" w14:textId="77777777" w:rsidR="00A75C0F" w:rsidRPr="008A26D2" w:rsidRDefault="00A75C0F" w:rsidP="00307693">
            <w:pPr>
              <w:tabs>
                <w:tab w:val="left" w:pos="3375"/>
              </w:tabs>
              <w:jc w:val="center"/>
              <w:rPr>
                <w:rFonts w:ascii="Arial" w:hAnsi="Arial" w:cs="Arial"/>
                <w:sz w:val="20"/>
                <w:szCs w:val="20"/>
              </w:rPr>
            </w:pPr>
            <w:r w:rsidRPr="008A26D2">
              <w:rPr>
                <w:rFonts w:ascii="Arial" w:hAnsi="Arial" w:cs="Arial"/>
                <w:sz w:val="20"/>
                <w:szCs w:val="20"/>
              </w:rPr>
              <w:t>6</w:t>
            </w:r>
          </w:p>
        </w:tc>
        <w:tc>
          <w:tcPr>
            <w:tcW w:w="992" w:type="dxa"/>
            <w:shd w:val="clear" w:color="auto" w:fill="auto"/>
            <w:vAlign w:val="center"/>
          </w:tcPr>
          <w:p w14:paraId="7C23644D" w14:textId="77777777" w:rsidR="00A75C0F" w:rsidRPr="008A26D2" w:rsidRDefault="00A75C0F" w:rsidP="00307693">
            <w:pPr>
              <w:tabs>
                <w:tab w:val="left" w:pos="3375"/>
              </w:tabs>
              <w:jc w:val="center"/>
              <w:rPr>
                <w:rFonts w:ascii="Arial" w:hAnsi="Arial" w:cs="Arial"/>
                <w:sz w:val="20"/>
                <w:szCs w:val="20"/>
              </w:rPr>
            </w:pPr>
            <w:r w:rsidRPr="008A26D2">
              <w:rPr>
                <w:rFonts w:ascii="Arial" w:hAnsi="Arial" w:cs="Arial"/>
                <w:sz w:val="20"/>
                <w:szCs w:val="20"/>
              </w:rPr>
              <w:t>6</w:t>
            </w:r>
          </w:p>
        </w:tc>
        <w:tc>
          <w:tcPr>
            <w:tcW w:w="836" w:type="dxa"/>
            <w:shd w:val="clear" w:color="auto" w:fill="auto"/>
            <w:vAlign w:val="center"/>
          </w:tcPr>
          <w:p w14:paraId="74CBDF85" w14:textId="77777777" w:rsidR="00A75C0F" w:rsidRPr="008A26D2" w:rsidRDefault="00A75C0F" w:rsidP="00307693">
            <w:pPr>
              <w:tabs>
                <w:tab w:val="left" w:pos="3375"/>
              </w:tabs>
              <w:jc w:val="center"/>
              <w:rPr>
                <w:rFonts w:ascii="Arial" w:hAnsi="Arial" w:cs="Arial"/>
                <w:sz w:val="20"/>
                <w:szCs w:val="20"/>
              </w:rPr>
            </w:pPr>
            <w:r w:rsidRPr="008A26D2">
              <w:rPr>
                <w:rFonts w:ascii="Arial" w:hAnsi="Arial" w:cs="Arial"/>
                <w:sz w:val="20"/>
                <w:szCs w:val="20"/>
              </w:rPr>
              <w:t>6</w:t>
            </w:r>
          </w:p>
        </w:tc>
        <w:tc>
          <w:tcPr>
            <w:tcW w:w="850" w:type="dxa"/>
            <w:shd w:val="clear" w:color="auto" w:fill="auto"/>
            <w:vAlign w:val="center"/>
          </w:tcPr>
          <w:p w14:paraId="4C4AF3C4" w14:textId="77777777" w:rsidR="00A75C0F" w:rsidRPr="008A26D2" w:rsidRDefault="00A75C0F" w:rsidP="00307693">
            <w:pPr>
              <w:tabs>
                <w:tab w:val="left" w:pos="3375"/>
              </w:tabs>
              <w:jc w:val="center"/>
              <w:rPr>
                <w:rFonts w:ascii="Arial" w:hAnsi="Arial" w:cs="Arial"/>
                <w:sz w:val="20"/>
                <w:szCs w:val="20"/>
              </w:rPr>
            </w:pPr>
            <w:r w:rsidRPr="008A26D2">
              <w:rPr>
                <w:rFonts w:ascii="Arial" w:hAnsi="Arial" w:cs="Arial"/>
                <w:sz w:val="20"/>
                <w:szCs w:val="20"/>
              </w:rPr>
              <w:t>7</w:t>
            </w:r>
          </w:p>
        </w:tc>
        <w:tc>
          <w:tcPr>
            <w:tcW w:w="709" w:type="dxa"/>
            <w:gridSpan w:val="2"/>
            <w:shd w:val="clear" w:color="auto" w:fill="auto"/>
            <w:vAlign w:val="center"/>
          </w:tcPr>
          <w:p w14:paraId="7276892E" w14:textId="77777777" w:rsidR="00A75C0F" w:rsidRPr="008A26D2" w:rsidRDefault="00A75C0F" w:rsidP="00307693">
            <w:pPr>
              <w:tabs>
                <w:tab w:val="left" w:pos="3375"/>
              </w:tabs>
              <w:jc w:val="center"/>
              <w:rPr>
                <w:rFonts w:ascii="Arial" w:hAnsi="Arial" w:cs="Arial"/>
                <w:sz w:val="20"/>
                <w:szCs w:val="20"/>
              </w:rPr>
            </w:pPr>
            <w:r w:rsidRPr="008A26D2">
              <w:rPr>
                <w:rFonts w:ascii="Arial" w:hAnsi="Arial" w:cs="Arial"/>
                <w:sz w:val="20"/>
                <w:szCs w:val="20"/>
              </w:rPr>
              <w:t>7</w:t>
            </w:r>
          </w:p>
        </w:tc>
        <w:tc>
          <w:tcPr>
            <w:tcW w:w="850" w:type="dxa"/>
            <w:shd w:val="clear" w:color="auto" w:fill="auto"/>
            <w:tcMar>
              <w:top w:w="10" w:type="dxa"/>
              <w:left w:w="10" w:type="dxa"/>
              <w:bottom w:w="0" w:type="dxa"/>
              <w:right w:w="10" w:type="dxa"/>
            </w:tcMar>
            <w:vAlign w:val="center"/>
          </w:tcPr>
          <w:p w14:paraId="4879A7E4" w14:textId="77777777" w:rsidR="00A75C0F" w:rsidRPr="008A26D2" w:rsidRDefault="00A75C0F" w:rsidP="00307693">
            <w:pPr>
              <w:tabs>
                <w:tab w:val="left" w:pos="3375"/>
              </w:tabs>
              <w:jc w:val="center"/>
              <w:rPr>
                <w:rFonts w:ascii="Arial" w:hAnsi="Arial" w:cs="Arial"/>
                <w:sz w:val="20"/>
                <w:szCs w:val="20"/>
              </w:rPr>
            </w:pPr>
            <w:r w:rsidRPr="008A26D2">
              <w:rPr>
                <w:rFonts w:ascii="Arial" w:hAnsi="Arial" w:cs="Arial"/>
                <w:sz w:val="20"/>
                <w:szCs w:val="20"/>
              </w:rPr>
              <w:t>8</w:t>
            </w:r>
          </w:p>
        </w:tc>
      </w:tr>
    </w:tbl>
    <w:p w14:paraId="45F58C8D" w14:textId="77777777" w:rsidR="00A75C0F" w:rsidRPr="008A26D2" w:rsidRDefault="00A75C0F" w:rsidP="00A75C0F"/>
    <w:p w14:paraId="781DE7D8" w14:textId="77777777" w:rsidR="00A75C0F" w:rsidRPr="008A26D2" w:rsidRDefault="00A75C0F" w:rsidP="00A75C0F"/>
    <w:tbl>
      <w:tblPr>
        <w:tblW w:w="9067" w:type="dxa"/>
        <w:jc w:val="center"/>
        <w:tblLayout w:type="fixed"/>
        <w:tblCellMar>
          <w:left w:w="70" w:type="dxa"/>
          <w:right w:w="70" w:type="dxa"/>
        </w:tblCellMar>
        <w:tblLook w:val="04A0" w:firstRow="1" w:lastRow="0" w:firstColumn="1" w:lastColumn="0" w:noHBand="0" w:noVBand="1"/>
      </w:tblPr>
      <w:tblGrid>
        <w:gridCol w:w="1273"/>
        <w:gridCol w:w="1274"/>
        <w:gridCol w:w="877"/>
        <w:gridCol w:w="870"/>
        <w:gridCol w:w="663"/>
        <w:gridCol w:w="1074"/>
        <w:gridCol w:w="868"/>
        <w:gridCol w:w="14"/>
        <w:gridCol w:w="595"/>
        <w:gridCol w:w="851"/>
        <w:gridCol w:w="708"/>
      </w:tblGrid>
      <w:tr w:rsidR="00A75C0F" w:rsidRPr="008A26D2" w14:paraId="6F95E018" w14:textId="77777777" w:rsidTr="00AF5836">
        <w:trPr>
          <w:trHeight w:val="565"/>
          <w:jc w:val="center"/>
        </w:trPr>
        <w:tc>
          <w:tcPr>
            <w:tcW w:w="9067" w:type="dxa"/>
            <w:gridSpan w:val="11"/>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E543584" w14:textId="77777777" w:rsidR="00A75C0F" w:rsidRPr="008A26D2" w:rsidRDefault="00A75C0F" w:rsidP="00AF5836">
            <w:pPr>
              <w:spacing w:after="0" w:line="240" w:lineRule="auto"/>
              <w:jc w:val="center"/>
              <w:rPr>
                <w:rFonts w:ascii="Arial" w:eastAsia="Times New Roman" w:hAnsi="Arial" w:cs="Arial"/>
                <w:b/>
                <w:bCs/>
                <w:sz w:val="20"/>
                <w:szCs w:val="20"/>
              </w:rPr>
            </w:pPr>
            <w:r w:rsidRPr="008A26D2">
              <w:rPr>
                <w:rFonts w:ascii="Arial" w:eastAsia="Times New Roman" w:hAnsi="Arial" w:cs="Arial"/>
                <w:b/>
                <w:bCs/>
                <w:sz w:val="20"/>
                <w:szCs w:val="20"/>
              </w:rPr>
              <w:t xml:space="preserve">FICHA TÉCNICA DE INDICADOR DE SERVICIO </w:t>
            </w:r>
            <w:r w:rsidRPr="008A26D2">
              <w:rPr>
                <w:rFonts w:ascii="Arial" w:eastAsia="Times New Roman" w:hAnsi="Arial" w:cs="Arial"/>
                <w:b/>
                <w:sz w:val="20"/>
                <w:szCs w:val="20"/>
              </w:rPr>
              <w:t xml:space="preserve"> 3.1.1</w:t>
            </w:r>
          </w:p>
        </w:tc>
      </w:tr>
      <w:tr w:rsidR="00A75C0F" w:rsidRPr="008A26D2" w14:paraId="17E4BA02" w14:textId="77777777" w:rsidTr="00AF5836">
        <w:trPr>
          <w:trHeight w:val="544"/>
          <w:jc w:val="center"/>
        </w:trPr>
        <w:tc>
          <w:tcPr>
            <w:tcW w:w="254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C2DC12" w14:textId="77777777" w:rsidR="00A75C0F" w:rsidRPr="008A26D2" w:rsidRDefault="00A75C0F" w:rsidP="00AF5836">
            <w:pPr>
              <w:pStyle w:val="pf0"/>
              <w:tabs>
                <w:tab w:val="left" w:pos="3375"/>
              </w:tabs>
              <w:spacing w:before="0" w:beforeAutospacing="0" w:after="160" w:afterAutospacing="0" w:line="259" w:lineRule="auto"/>
              <w:rPr>
                <w:rFonts w:ascii="Arial" w:hAnsi="Arial" w:cs="Arial"/>
                <w:sz w:val="20"/>
                <w:szCs w:val="20"/>
              </w:rPr>
            </w:pPr>
            <w:r w:rsidRPr="008A26D2">
              <w:rPr>
                <w:rFonts w:ascii="Arial" w:hAnsi="Arial" w:cs="Arial"/>
                <w:sz w:val="20"/>
                <w:szCs w:val="20"/>
              </w:rPr>
              <w:t>Objetivo prioritario:</w:t>
            </w:r>
          </w:p>
        </w:tc>
        <w:tc>
          <w:tcPr>
            <w:tcW w:w="6520"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45819959" w14:textId="77777777" w:rsidR="00A75C0F" w:rsidRPr="008A26D2" w:rsidRDefault="00A75C0F" w:rsidP="00AF5836">
            <w:pPr>
              <w:pStyle w:val="pf0"/>
              <w:tabs>
                <w:tab w:val="left" w:pos="3375"/>
              </w:tabs>
              <w:spacing w:before="0" w:beforeAutospacing="0" w:after="160" w:afterAutospacing="0" w:line="259" w:lineRule="auto"/>
              <w:rPr>
                <w:rFonts w:ascii="Arial" w:hAnsi="Arial" w:cs="Arial"/>
                <w:sz w:val="20"/>
                <w:szCs w:val="20"/>
              </w:rPr>
            </w:pPr>
            <w:r w:rsidRPr="008A26D2">
              <w:rPr>
                <w:rFonts w:ascii="Arial" w:hAnsi="Arial" w:cs="Arial"/>
                <w:sz w:val="20"/>
                <w:szCs w:val="20"/>
              </w:rPr>
              <w:t>OP3. Fortalecer la gobernanza forestal y de fauna silvestre</w:t>
            </w:r>
          </w:p>
        </w:tc>
      </w:tr>
      <w:tr w:rsidR="00A75C0F" w:rsidRPr="008A26D2" w14:paraId="2F88C740" w14:textId="77777777" w:rsidTr="00AF5836">
        <w:trPr>
          <w:trHeight w:val="707"/>
          <w:jc w:val="center"/>
        </w:trPr>
        <w:tc>
          <w:tcPr>
            <w:tcW w:w="254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CC0ADED" w14:textId="77777777" w:rsidR="00A75C0F" w:rsidRPr="008A26D2" w:rsidRDefault="00A75C0F" w:rsidP="00AF5836">
            <w:pPr>
              <w:pStyle w:val="pf0"/>
              <w:tabs>
                <w:tab w:val="left" w:pos="3375"/>
              </w:tabs>
              <w:spacing w:before="0" w:beforeAutospacing="0" w:after="160" w:afterAutospacing="0" w:line="259" w:lineRule="auto"/>
              <w:rPr>
                <w:rFonts w:ascii="Arial" w:hAnsi="Arial" w:cs="Arial"/>
                <w:sz w:val="20"/>
                <w:szCs w:val="20"/>
              </w:rPr>
            </w:pPr>
            <w:r w:rsidRPr="008A26D2">
              <w:rPr>
                <w:rFonts w:ascii="Arial" w:hAnsi="Arial" w:cs="Arial"/>
                <w:sz w:val="20"/>
                <w:szCs w:val="20"/>
              </w:rPr>
              <w:t>Lineamiento de la política:</w:t>
            </w:r>
          </w:p>
        </w:tc>
        <w:tc>
          <w:tcPr>
            <w:tcW w:w="6520"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46DD36B6" w14:textId="77777777" w:rsidR="00A75C0F" w:rsidRPr="008A26D2" w:rsidRDefault="00A75C0F" w:rsidP="00AF5836">
            <w:pPr>
              <w:pStyle w:val="pf0"/>
              <w:tabs>
                <w:tab w:val="left" w:pos="3375"/>
              </w:tabs>
              <w:spacing w:before="0" w:beforeAutospacing="0" w:after="160" w:afterAutospacing="0" w:line="259" w:lineRule="auto"/>
              <w:jc w:val="both"/>
              <w:rPr>
                <w:rFonts w:ascii="Arial" w:hAnsi="Arial" w:cs="Arial"/>
                <w:sz w:val="20"/>
                <w:szCs w:val="20"/>
              </w:rPr>
            </w:pPr>
            <w:r w:rsidRPr="008A26D2">
              <w:rPr>
                <w:rFonts w:ascii="Arial" w:hAnsi="Arial" w:cs="Arial"/>
                <w:sz w:val="20"/>
                <w:szCs w:val="20"/>
              </w:rPr>
              <w:t xml:space="preserve">L 3.1.  Reforzar los mecanismos de articulación entre las entidades que conforman el SINAFOR y con otros espacios de coordinación nacional y regional en materia forestal y de fauna silvestre </w:t>
            </w:r>
          </w:p>
        </w:tc>
      </w:tr>
      <w:tr w:rsidR="00A75C0F" w:rsidRPr="008A26D2" w14:paraId="3E263287" w14:textId="77777777" w:rsidTr="00AF5836">
        <w:trPr>
          <w:trHeight w:val="405"/>
          <w:jc w:val="center"/>
        </w:trPr>
        <w:tc>
          <w:tcPr>
            <w:tcW w:w="254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D50A1A4" w14:textId="77777777" w:rsidR="00A75C0F" w:rsidRPr="008A26D2" w:rsidRDefault="00A75C0F" w:rsidP="00AF5836">
            <w:pPr>
              <w:pStyle w:val="pf0"/>
              <w:tabs>
                <w:tab w:val="left" w:pos="3375"/>
              </w:tabs>
              <w:spacing w:before="0" w:beforeAutospacing="0" w:after="160" w:afterAutospacing="0" w:line="259" w:lineRule="auto"/>
              <w:rPr>
                <w:rFonts w:ascii="Arial" w:hAnsi="Arial" w:cs="Arial"/>
                <w:b/>
                <w:bCs/>
                <w:sz w:val="20"/>
                <w:szCs w:val="20"/>
              </w:rPr>
            </w:pPr>
            <w:r w:rsidRPr="008A26D2">
              <w:rPr>
                <w:rFonts w:ascii="Arial" w:hAnsi="Arial" w:cs="Arial"/>
                <w:b/>
                <w:bCs/>
                <w:sz w:val="20"/>
                <w:szCs w:val="20"/>
              </w:rPr>
              <w:t>Nombre del servicio:</w:t>
            </w:r>
          </w:p>
        </w:tc>
        <w:tc>
          <w:tcPr>
            <w:tcW w:w="6520"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0955DDAF" w14:textId="77777777" w:rsidR="00A75C0F" w:rsidRPr="008A26D2" w:rsidRDefault="00A75C0F" w:rsidP="00AF5836">
            <w:pPr>
              <w:pStyle w:val="pf0"/>
              <w:tabs>
                <w:tab w:val="left" w:pos="3375"/>
              </w:tabs>
              <w:spacing w:before="0" w:beforeAutospacing="0" w:after="160" w:afterAutospacing="0" w:line="259" w:lineRule="auto"/>
              <w:jc w:val="both"/>
              <w:rPr>
                <w:rFonts w:ascii="Arial" w:hAnsi="Arial" w:cs="Arial"/>
                <w:sz w:val="20"/>
                <w:szCs w:val="20"/>
              </w:rPr>
            </w:pPr>
            <w:r w:rsidRPr="008A26D2">
              <w:rPr>
                <w:rFonts w:ascii="Arial" w:hAnsi="Arial" w:cs="Arial"/>
                <w:sz w:val="20"/>
                <w:szCs w:val="20"/>
              </w:rPr>
              <w:t>S.3.1.1 Fortalecimiento de capacidades en el seguimiento, evaluación y gestión del conocimiento de intervenciones de forma satisfactoria dirigido a servidores de las Autoridades Regionales Forestales y de Fauna Silvestre</w:t>
            </w:r>
          </w:p>
        </w:tc>
      </w:tr>
      <w:tr w:rsidR="00A75C0F" w:rsidRPr="008A26D2" w14:paraId="74DAB852" w14:textId="77777777" w:rsidTr="00AF5836">
        <w:trPr>
          <w:trHeight w:val="425"/>
          <w:jc w:val="center"/>
        </w:trPr>
        <w:tc>
          <w:tcPr>
            <w:tcW w:w="254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A6D4879" w14:textId="77777777" w:rsidR="00A75C0F" w:rsidRPr="008A26D2" w:rsidRDefault="00A75C0F" w:rsidP="00AF5836">
            <w:pPr>
              <w:pStyle w:val="pf0"/>
              <w:tabs>
                <w:tab w:val="left" w:pos="3375"/>
              </w:tabs>
              <w:spacing w:before="0" w:beforeAutospacing="0" w:after="160" w:afterAutospacing="0" w:line="259" w:lineRule="auto"/>
              <w:rPr>
                <w:rFonts w:ascii="Arial" w:hAnsi="Arial" w:cs="Arial"/>
                <w:b/>
                <w:bCs/>
                <w:sz w:val="20"/>
                <w:szCs w:val="20"/>
              </w:rPr>
            </w:pPr>
            <w:r w:rsidRPr="008A26D2">
              <w:rPr>
                <w:rFonts w:ascii="Arial" w:hAnsi="Arial" w:cs="Arial"/>
                <w:b/>
                <w:bCs/>
                <w:sz w:val="20"/>
                <w:szCs w:val="20"/>
              </w:rPr>
              <w:t>Nombre del indicador:</w:t>
            </w:r>
          </w:p>
        </w:tc>
        <w:tc>
          <w:tcPr>
            <w:tcW w:w="6520"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2D822539" w14:textId="77777777" w:rsidR="00A75C0F" w:rsidRPr="008A26D2" w:rsidRDefault="00A75C0F" w:rsidP="00AF5836">
            <w:pPr>
              <w:pStyle w:val="pf0"/>
              <w:tabs>
                <w:tab w:val="left" w:pos="3375"/>
              </w:tabs>
              <w:spacing w:before="0" w:beforeAutospacing="0" w:after="160" w:afterAutospacing="0" w:line="259" w:lineRule="auto"/>
              <w:jc w:val="both"/>
              <w:rPr>
                <w:rFonts w:ascii="Arial" w:hAnsi="Arial" w:cs="Arial"/>
                <w:strike/>
                <w:sz w:val="20"/>
                <w:szCs w:val="20"/>
              </w:rPr>
            </w:pPr>
            <w:r w:rsidRPr="008A26D2">
              <w:rPr>
                <w:rFonts w:ascii="Arial" w:hAnsi="Arial" w:cs="Arial"/>
                <w:sz w:val="20"/>
                <w:szCs w:val="20"/>
              </w:rPr>
              <w:t xml:space="preserve">Porcentaje de servidores de las Autoridades Regionales Forestales y de Fauna Silvestre con alto grado de satisfacción </w:t>
            </w:r>
            <w:r w:rsidRPr="008A26D2">
              <w:rPr>
                <w:rFonts w:ascii="Arial" w:eastAsia="Arial Narrow" w:hAnsi="Arial" w:cs="Arial"/>
                <w:sz w:val="20"/>
                <w:szCs w:val="20"/>
              </w:rPr>
              <w:t xml:space="preserve">sobre las capacitaciones recibidas en </w:t>
            </w:r>
            <w:r w:rsidRPr="008A26D2">
              <w:rPr>
                <w:rFonts w:ascii="Arial" w:hAnsi="Arial" w:cs="Arial"/>
                <w:sz w:val="20"/>
                <w:szCs w:val="20"/>
              </w:rPr>
              <w:t>seguimiento, evaluación y gestión del conocimiento de las intervenciones en materia forestal y de fauna silvestre</w:t>
            </w:r>
          </w:p>
        </w:tc>
      </w:tr>
      <w:tr w:rsidR="00A75C0F" w:rsidRPr="008A26D2" w14:paraId="216A9842" w14:textId="77777777" w:rsidTr="00AF5836">
        <w:trPr>
          <w:trHeight w:val="524"/>
          <w:jc w:val="center"/>
        </w:trPr>
        <w:tc>
          <w:tcPr>
            <w:tcW w:w="254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DE1FF9" w14:textId="77777777" w:rsidR="00A75C0F" w:rsidRPr="008A26D2" w:rsidRDefault="00A75C0F" w:rsidP="00AF5836">
            <w:pPr>
              <w:pStyle w:val="pf0"/>
              <w:tabs>
                <w:tab w:val="left" w:pos="3375"/>
              </w:tabs>
              <w:spacing w:before="0" w:beforeAutospacing="0" w:after="160" w:afterAutospacing="0" w:line="259" w:lineRule="auto"/>
              <w:rPr>
                <w:rFonts w:ascii="Arial" w:hAnsi="Arial" w:cs="Arial"/>
                <w:b/>
                <w:bCs/>
                <w:sz w:val="20"/>
                <w:szCs w:val="20"/>
              </w:rPr>
            </w:pPr>
            <w:r w:rsidRPr="008A26D2">
              <w:rPr>
                <w:rFonts w:ascii="Arial" w:hAnsi="Arial" w:cs="Arial"/>
                <w:b/>
                <w:bCs/>
                <w:sz w:val="20"/>
                <w:szCs w:val="20"/>
              </w:rPr>
              <w:t>Justificación:</w:t>
            </w:r>
          </w:p>
        </w:tc>
        <w:tc>
          <w:tcPr>
            <w:tcW w:w="6520"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57D4270" w14:textId="77777777" w:rsidR="00A75C0F" w:rsidRPr="008A26D2" w:rsidRDefault="00A75C0F" w:rsidP="00AF5836">
            <w:pPr>
              <w:pStyle w:val="pf0"/>
              <w:tabs>
                <w:tab w:val="left" w:pos="3375"/>
              </w:tabs>
              <w:spacing w:before="0" w:beforeAutospacing="0" w:after="160" w:afterAutospacing="0" w:line="259" w:lineRule="auto"/>
              <w:jc w:val="both"/>
              <w:rPr>
                <w:rFonts w:ascii="Arial" w:hAnsi="Arial" w:cs="Arial"/>
                <w:sz w:val="20"/>
                <w:szCs w:val="20"/>
              </w:rPr>
            </w:pPr>
            <w:r w:rsidRPr="008A26D2">
              <w:rPr>
                <w:rFonts w:ascii="Arial" w:hAnsi="Arial" w:cs="Arial"/>
                <w:sz w:val="20"/>
                <w:szCs w:val="20"/>
              </w:rPr>
              <w:t>El indicador cuantifica el porcentaje de servidores de las autoridades regionales forestales y de fauna silvestre que muestran un alto grado de satisfacción sobre las capacitaciones recibidas en el seguimiento, evaluación y gestión del conocimiento de intervenciones en materia forestal y de fauna silvestre. De esta manera, el indicador facilitará el seguimiento de la satisfacción del servicio y establecer las acciones de mejora correspondientes.</w:t>
            </w:r>
          </w:p>
        </w:tc>
      </w:tr>
      <w:tr w:rsidR="00A75C0F" w:rsidRPr="008A26D2" w14:paraId="62D2E6AD" w14:textId="77777777" w:rsidTr="00AF5836">
        <w:trPr>
          <w:trHeight w:val="546"/>
          <w:jc w:val="center"/>
        </w:trPr>
        <w:tc>
          <w:tcPr>
            <w:tcW w:w="254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15FE017" w14:textId="77777777" w:rsidR="00A75C0F" w:rsidRPr="008A26D2" w:rsidRDefault="00A75C0F" w:rsidP="00AF5836">
            <w:pPr>
              <w:pStyle w:val="pf0"/>
              <w:tabs>
                <w:tab w:val="left" w:pos="3375"/>
              </w:tabs>
              <w:spacing w:before="0" w:beforeAutospacing="0" w:after="160" w:afterAutospacing="0" w:line="259" w:lineRule="auto"/>
              <w:rPr>
                <w:rFonts w:ascii="Arial" w:hAnsi="Arial" w:cs="Arial"/>
                <w:b/>
                <w:bCs/>
                <w:sz w:val="20"/>
                <w:szCs w:val="20"/>
              </w:rPr>
            </w:pPr>
            <w:r w:rsidRPr="008A26D2">
              <w:rPr>
                <w:rFonts w:ascii="Arial" w:hAnsi="Arial" w:cs="Arial"/>
                <w:b/>
                <w:bCs/>
                <w:sz w:val="20"/>
                <w:szCs w:val="20"/>
              </w:rPr>
              <w:lastRenderedPageBreak/>
              <w:t>Responsable del indicador:</w:t>
            </w:r>
          </w:p>
        </w:tc>
        <w:tc>
          <w:tcPr>
            <w:tcW w:w="6520"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26248A1B" w14:textId="77777777" w:rsidR="00A75C0F" w:rsidRPr="008A26D2" w:rsidRDefault="00A75C0F" w:rsidP="00AF5836">
            <w:pPr>
              <w:pStyle w:val="pf0"/>
              <w:tabs>
                <w:tab w:val="left" w:pos="3375"/>
              </w:tabs>
              <w:spacing w:before="0" w:beforeAutospacing="0" w:after="160" w:afterAutospacing="0" w:line="259" w:lineRule="auto"/>
              <w:jc w:val="both"/>
              <w:rPr>
                <w:rFonts w:ascii="Arial" w:hAnsi="Arial" w:cs="Arial"/>
                <w:sz w:val="20"/>
                <w:szCs w:val="20"/>
              </w:rPr>
            </w:pPr>
            <w:r w:rsidRPr="008A26D2">
              <w:rPr>
                <w:rFonts w:ascii="Arial" w:hAnsi="Arial" w:cs="Arial"/>
                <w:sz w:val="20"/>
                <w:szCs w:val="20"/>
              </w:rPr>
              <w:t>Dirección de Gestión del Conocimiento del Servicio Nacional Forestal y de Fauna Silvestre - SERFOR</w:t>
            </w:r>
          </w:p>
        </w:tc>
      </w:tr>
      <w:tr w:rsidR="00A75C0F" w:rsidRPr="008A26D2" w14:paraId="0CEE38A1" w14:textId="77777777" w:rsidTr="00AF5836">
        <w:trPr>
          <w:trHeight w:val="579"/>
          <w:jc w:val="center"/>
        </w:trPr>
        <w:tc>
          <w:tcPr>
            <w:tcW w:w="254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FE875E1" w14:textId="77777777" w:rsidR="00A75C0F" w:rsidRPr="008A26D2" w:rsidRDefault="00A75C0F" w:rsidP="00AF5836">
            <w:pPr>
              <w:pStyle w:val="pf0"/>
              <w:tabs>
                <w:tab w:val="left" w:pos="3375"/>
              </w:tabs>
              <w:spacing w:before="0" w:beforeAutospacing="0" w:after="160" w:afterAutospacing="0" w:line="259" w:lineRule="auto"/>
              <w:rPr>
                <w:rFonts w:ascii="Arial" w:hAnsi="Arial" w:cs="Arial"/>
                <w:b/>
                <w:bCs/>
                <w:sz w:val="20"/>
                <w:szCs w:val="20"/>
              </w:rPr>
            </w:pPr>
            <w:r w:rsidRPr="008A26D2">
              <w:rPr>
                <w:rFonts w:ascii="Arial" w:hAnsi="Arial" w:cs="Arial"/>
                <w:b/>
                <w:bCs/>
                <w:sz w:val="20"/>
                <w:szCs w:val="20"/>
              </w:rPr>
              <w:t>Limitaciones para la medición del indicador:</w:t>
            </w:r>
          </w:p>
        </w:tc>
        <w:tc>
          <w:tcPr>
            <w:tcW w:w="6520"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23FF1C52" w14:textId="77777777" w:rsidR="00A75C0F" w:rsidRPr="008A26D2" w:rsidRDefault="00A75C0F" w:rsidP="00AF5836">
            <w:pPr>
              <w:pStyle w:val="pf0"/>
              <w:tabs>
                <w:tab w:val="left" w:pos="3375"/>
              </w:tabs>
              <w:spacing w:before="0" w:beforeAutospacing="0" w:after="160" w:afterAutospacing="0" w:line="259" w:lineRule="auto"/>
              <w:rPr>
                <w:rFonts w:ascii="Arial" w:hAnsi="Arial" w:cs="Arial"/>
                <w:sz w:val="20"/>
                <w:szCs w:val="20"/>
              </w:rPr>
            </w:pPr>
            <w:r w:rsidRPr="008A26D2">
              <w:rPr>
                <w:rFonts w:ascii="Arial" w:hAnsi="Arial" w:cs="Arial"/>
                <w:sz w:val="20"/>
                <w:szCs w:val="20"/>
              </w:rPr>
              <w:t>No presenta limitaciones</w:t>
            </w:r>
          </w:p>
        </w:tc>
      </w:tr>
      <w:tr w:rsidR="00A75C0F" w:rsidRPr="008A26D2" w14:paraId="61AF0E60" w14:textId="77777777" w:rsidTr="00AF5836">
        <w:trPr>
          <w:trHeight w:val="1396"/>
          <w:jc w:val="center"/>
        </w:trPr>
        <w:tc>
          <w:tcPr>
            <w:tcW w:w="254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9FF2CDD" w14:textId="77777777" w:rsidR="00A75C0F" w:rsidRPr="008A26D2" w:rsidRDefault="00A75C0F" w:rsidP="00AF5836">
            <w:pPr>
              <w:pStyle w:val="pf0"/>
              <w:tabs>
                <w:tab w:val="left" w:pos="3375"/>
              </w:tabs>
              <w:spacing w:before="0" w:beforeAutospacing="0" w:after="160" w:afterAutospacing="0" w:line="259" w:lineRule="auto"/>
              <w:rPr>
                <w:rFonts w:ascii="Arial" w:hAnsi="Arial" w:cs="Arial"/>
                <w:b/>
                <w:bCs/>
                <w:sz w:val="20"/>
                <w:szCs w:val="20"/>
              </w:rPr>
            </w:pPr>
            <w:r w:rsidRPr="008A26D2">
              <w:rPr>
                <w:rFonts w:ascii="Arial" w:hAnsi="Arial" w:cs="Arial"/>
                <w:b/>
                <w:bCs/>
                <w:sz w:val="20"/>
                <w:szCs w:val="20"/>
              </w:rPr>
              <w:t>Método del cálculo:</w:t>
            </w:r>
          </w:p>
        </w:tc>
        <w:tc>
          <w:tcPr>
            <w:tcW w:w="6520" w:type="dxa"/>
            <w:gridSpan w:val="9"/>
            <w:tcBorders>
              <w:top w:val="single" w:sz="4" w:space="0" w:color="auto"/>
              <w:left w:val="single" w:sz="4" w:space="0" w:color="auto"/>
              <w:bottom w:val="single" w:sz="4" w:space="0" w:color="auto"/>
              <w:right w:val="single" w:sz="4" w:space="0" w:color="auto"/>
            </w:tcBorders>
            <w:shd w:val="clear" w:color="auto" w:fill="auto"/>
            <w:noWrap/>
            <w:vAlign w:val="center"/>
          </w:tcPr>
          <w:p w14:paraId="3D68F2DA" w14:textId="77777777" w:rsidR="00A75C0F" w:rsidRPr="008A26D2" w:rsidRDefault="00A75C0F" w:rsidP="00AF5836">
            <w:pPr>
              <w:pStyle w:val="pf0"/>
              <w:numPr>
                <w:ilvl w:val="3"/>
                <w:numId w:val="23"/>
              </w:numPr>
              <w:tabs>
                <w:tab w:val="left" w:pos="3375"/>
              </w:tabs>
              <w:spacing w:before="0" w:beforeAutospacing="0" w:after="160" w:afterAutospacing="0" w:line="259" w:lineRule="auto"/>
              <w:ind w:left="350" w:hanging="283"/>
              <w:rPr>
                <w:rFonts w:ascii="Arial" w:hAnsi="Arial" w:cs="Arial"/>
                <w:b/>
                <w:sz w:val="20"/>
                <w:szCs w:val="20"/>
              </w:rPr>
            </w:pPr>
            <w:r w:rsidRPr="008A26D2">
              <w:rPr>
                <w:rFonts w:ascii="Arial" w:hAnsi="Arial" w:cs="Arial"/>
                <w:b/>
                <w:sz w:val="20"/>
                <w:szCs w:val="20"/>
              </w:rPr>
              <w:t xml:space="preserve">Fórmula: </w:t>
            </w:r>
          </w:p>
          <w:p w14:paraId="7E39637E" w14:textId="77777777" w:rsidR="00A75C0F" w:rsidRPr="008A26D2" w:rsidRDefault="00A75C0F" w:rsidP="00AF5836">
            <w:pPr>
              <w:ind w:left="67"/>
              <w:rPr>
                <w:rFonts w:ascii="Arial" w:eastAsia="Times New Roman" w:hAnsi="Arial" w:cs="Arial"/>
                <w:sz w:val="20"/>
                <w:szCs w:val="20"/>
              </w:rPr>
            </w:pPr>
            <w:r w:rsidRPr="008A26D2">
              <w:rPr>
                <w:rFonts w:ascii="Arial" w:eastAsia="Times New Roman" w:hAnsi="Arial" w:cs="Arial"/>
                <w:sz w:val="20"/>
                <w:szCs w:val="20"/>
              </w:rPr>
              <w:t>(A/B)*100</w:t>
            </w:r>
          </w:p>
          <w:p w14:paraId="7AAAD1DB" w14:textId="77777777" w:rsidR="00A75C0F" w:rsidRPr="008A26D2" w:rsidRDefault="00A75C0F" w:rsidP="00AF5836">
            <w:pPr>
              <w:ind w:left="67"/>
              <w:rPr>
                <w:rFonts w:ascii="Arial" w:eastAsia="Times New Roman" w:hAnsi="Arial" w:cs="Arial"/>
                <w:sz w:val="20"/>
                <w:szCs w:val="20"/>
              </w:rPr>
            </w:pPr>
            <w:r w:rsidRPr="008A26D2">
              <w:rPr>
                <w:rFonts w:ascii="Arial" w:eastAsia="Times New Roman" w:hAnsi="Arial" w:cs="Arial"/>
                <w:sz w:val="20"/>
                <w:szCs w:val="20"/>
              </w:rPr>
              <w:t>Donde:</w:t>
            </w:r>
          </w:p>
          <w:p w14:paraId="0641ACC8" w14:textId="77777777" w:rsidR="00A75C0F" w:rsidRPr="008A26D2" w:rsidRDefault="00A75C0F" w:rsidP="00AF5836">
            <w:pPr>
              <w:pStyle w:val="pf0"/>
              <w:spacing w:before="0" w:beforeAutospacing="0" w:after="160" w:afterAutospacing="0" w:line="259" w:lineRule="auto"/>
              <w:ind w:left="350" w:hanging="283"/>
              <w:jc w:val="both"/>
              <w:rPr>
                <w:rFonts w:ascii="Arial" w:hAnsi="Arial" w:cs="Arial"/>
                <w:sz w:val="20"/>
                <w:szCs w:val="20"/>
              </w:rPr>
            </w:pPr>
            <w:r w:rsidRPr="008A26D2">
              <w:rPr>
                <w:rFonts w:ascii="Arial" w:hAnsi="Arial" w:cs="Arial"/>
                <w:sz w:val="20"/>
                <w:szCs w:val="20"/>
              </w:rPr>
              <w:t>A = Número de servidores de las Autoridades Regionales Forestales y de Fauna Silvestre con alto grado de satisfacción sobre las capacitaciones recibidas en seguimiento, evaluación y gestión del conocimiento de las intervenciones en materia forestal y de fauna silvestre.</w:t>
            </w:r>
          </w:p>
          <w:p w14:paraId="208E2FA1" w14:textId="77777777" w:rsidR="00A75C0F" w:rsidRPr="008A26D2" w:rsidRDefault="00A75C0F" w:rsidP="00AF5836">
            <w:pPr>
              <w:pStyle w:val="pf0"/>
              <w:spacing w:before="0" w:beforeAutospacing="0" w:after="160" w:afterAutospacing="0" w:line="259" w:lineRule="auto"/>
              <w:ind w:left="350" w:hanging="283"/>
              <w:jc w:val="both"/>
              <w:rPr>
                <w:rFonts w:ascii="Arial" w:hAnsi="Arial" w:cs="Arial"/>
                <w:sz w:val="20"/>
                <w:szCs w:val="20"/>
              </w:rPr>
            </w:pPr>
            <w:r w:rsidRPr="008A26D2">
              <w:rPr>
                <w:rFonts w:ascii="Arial" w:hAnsi="Arial" w:cs="Arial"/>
                <w:sz w:val="20"/>
                <w:szCs w:val="20"/>
              </w:rPr>
              <w:t xml:space="preserve">B= Total de servidores de las autoridades regionales forestales y de fauna silvestre que reciben capacitaciones en el seguimiento, evaluación y gestión del conocimiento de las intervenciones en materia forestal y de fauna silvestre. </w:t>
            </w:r>
          </w:p>
          <w:p w14:paraId="09C5E518" w14:textId="77777777" w:rsidR="00A75C0F" w:rsidRPr="008A26D2" w:rsidRDefault="00A75C0F" w:rsidP="00AF5836">
            <w:pPr>
              <w:pStyle w:val="pf0"/>
              <w:numPr>
                <w:ilvl w:val="3"/>
                <w:numId w:val="23"/>
              </w:numPr>
              <w:tabs>
                <w:tab w:val="left" w:pos="3375"/>
              </w:tabs>
              <w:spacing w:before="0" w:beforeAutospacing="0" w:after="160" w:afterAutospacing="0" w:line="259" w:lineRule="auto"/>
              <w:ind w:left="492" w:hanging="284"/>
              <w:jc w:val="both"/>
              <w:rPr>
                <w:rFonts w:ascii="Arial" w:hAnsi="Arial" w:cs="Arial"/>
                <w:b/>
                <w:bCs/>
                <w:sz w:val="20"/>
                <w:szCs w:val="20"/>
              </w:rPr>
            </w:pPr>
            <w:r w:rsidRPr="008A26D2">
              <w:rPr>
                <w:rFonts w:ascii="Arial" w:hAnsi="Arial" w:cs="Arial"/>
                <w:b/>
                <w:bCs/>
                <w:sz w:val="20"/>
                <w:szCs w:val="20"/>
              </w:rPr>
              <w:t xml:space="preserve">Especificaciones técnicas: </w:t>
            </w:r>
          </w:p>
          <w:p w14:paraId="07F286A4" w14:textId="77777777" w:rsidR="00A75C0F" w:rsidRPr="00B14A7F" w:rsidRDefault="00A75C0F" w:rsidP="00AF5836">
            <w:pPr>
              <w:jc w:val="both"/>
              <w:rPr>
                <w:rFonts w:ascii="Arial" w:eastAsia="Times New Roman" w:hAnsi="Arial" w:cs="Arial"/>
                <w:sz w:val="20"/>
                <w:szCs w:val="20"/>
                <w:lang w:val="es-ES"/>
              </w:rPr>
            </w:pPr>
            <w:r w:rsidRPr="00B14A7F">
              <w:rPr>
                <w:rFonts w:ascii="Arial" w:eastAsia="Times New Roman" w:hAnsi="Arial" w:cs="Arial"/>
                <w:sz w:val="20"/>
                <w:szCs w:val="20"/>
                <w:lang w:val="es-ES"/>
              </w:rPr>
              <w:t>La variable A se determina a partir de los servidores de las Autoridades Regionales Forestales y de Fauna Silvestre que tienen un alto grado de satisfacción, al elegir los dos niveles más altos de la escala, sobre las acciones de fortalecimiento de capacidades recibidas.</w:t>
            </w:r>
          </w:p>
          <w:p w14:paraId="7E23E88A" w14:textId="58C019AB" w:rsidR="00A75C0F" w:rsidRDefault="00A75C0F" w:rsidP="00AF5836">
            <w:pPr>
              <w:jc w:val="both"/>
              <w:rPr>
                <w:rFonts w:ascii="Arial" w:eastAsia="Times New Roman" w:hAnsi="Arial" w:cs="Arial"/>
                <w:sz w:val="20"/>
                <w:szCs w:val="20"/>
                <w:lang w:val="es-ES"/>
              </w:rPr>
            </w:pPr>
            <w:r w:rsidRPr="00B14A7F">
              <w:rPr>
                <w:rFonts w:ascii="Arial" w:eastAsia="Times New Roman" w:hAnsi="Arial" w:cs="Arial"/>
                <w:sz w:val="20"/>
                <w:szCs w:val="20"/>
                <w:lang w:val="es-ES"/>
              </w:rPr>
              <w:t>La variable B se determina con el total de servidores de las Autoridades Regionales Forestales y de Fauna Silvestre nativas que asisten a las capacitaciones</w:t>
            </w:r>
            <w:r w:rsidR="009E5BCC">
              <w:rPr>
                <w:rFonts w:ascii="Arial" w:eastAsia="Times New Roman" w:hAnsi="Arial" w:cs="Arial"/>
                <w:sz w:val="20"/>
                <w:szCs w:val="20"/>
                <w:lang w:val="es-ES"/>
              </w:rPr>
              <w:t xml:space="preserve"> en el año de medición.</w:t>
            </w:r>
          </w:p>
          <w:p w14:paraId="429CE15B" w14:textId="77777777" w:rsidR="00A75C0F" w:rsidRPr="008A26D2" w:rsidRDefault="00A75C0F" w:rsidP="00AF5836">
            <w:pPr>
              <w:jc w:val="both"/>
              <w:rPr>
                <w:rFonts w:ascii="Arial" w:eastAsia="Times New Roman" w:hAnsi="Arial" w:cs="Arial"/>
                <w:sz w:val="20"/>
                <w:szCs w:val="20"/>
                <w:lang w:val="es-ES"/>
              </w:rPr>
            </w:pPr>
            <w:r w:rsidRPr="008A26D2">
              <w:rPr>
                <w:rFonts w:ascii="Arial" w:eastAsia="Times New Roman" w:hAnsi="Arial" w:cs="Arial"/>
                <w:sz w:val="20"/>
                <w:szCs w:val="20"/>
                <w:lang w:val="es-ES"/>
              </w:rPr>
              <w:t>El indicador se calculará a partir de encuestas o entrevistas donde se pueda registrar el grado de satisfacción de los servidores que reciben la capacitación, asimismo, se identifican aquellos aspectos del servicio que se pueden mejorar y satisfacer a los receptores.</w:t>
            </w:r>
          </w:p>
          <w:p w14:paraId="177E3734" w14:textId="77777777" w:rsidR="00A75C0F" w:rsidRPr="008A26D2" w:rsidRDefault="00A75C0F" w:rsidP="00AF5836">
            <w:pPr>
              <w:jc w:val="both"/>
              <w:rPr>
                <w:rFonts w:ascii="Arial" w:hAnsi="Arial" w:cs="Arial"/>
                <w:bCs/>
                <w:sz w:val="20"/>
                <w:szCs w:val="20"/>
              </w:rPr>
            </w:pPr>
            <w:r w:rsidRPr="008A26D2">
              <w:rPr>
                <w:rFonts w:ascii="Arial" w:hAnsi="Arial" w:cs="Arial"/>
                <w:bCs/>
                <w:sz w:val="20"/>
                <w:szCs w:val="20"/>
              </w:rPr>
              <w:t>Para evaluar el grado de satisfacción se considerará los alcances metodológicos señalados en el Protocolo de Capacitación y Asistencia Técnica del SERFOR.</w:t>
            </w:r>
          </w:p>
          <w:p w14:paraId="72B6C5CA" w14:textId="22B1BFDB" w:rsidR="00A75C0F" w:rsidRDefault="00A75C0F" w:rsidP="00AF5836">
            <w:pPr>
              <w:spacing w:after="0" w:line="240" w:lineRule="auto"/>
              <w:jc w:val="both"/>
              <w:rPr>
                <w:rFonts w:ascii="Arial" w:hAnsi="Arial" w:cs="Arial"/>
                <w:sz w:val="20"/>
                <w:szCs w:val="20"/>
              </w:rPr>
            </w:pPr>
            <w:r w:rsidRPr="008A26D2">
              <w:rPr>
                <w:rFonts w:ascii="Arial" w:eastAsia="Arial Narrow" w:hAnsi="Arial" w:cs="Arial"/>
                <w:sz w:val="20"/>
                <w:szCs w:val="20"/>
              </w:rPr>
              <w:t>Se carece de línea base debido a que no se ha venido aplicando encuestas de satisfacción como parte de la entrega del servicio. El SERFOR determinará la línea base antes del inicio de la implementación de la presente Política Nacional.</w:t>
            </w:r>
          </w:p>
          <w:p w14:paraId="68CED42F" w14:textId="77777777" w:rsidR="00A75C0F" w:rsidRPr="008A26D2" w:rsidRDefault="00A75C0F" w:rsidP="009E5BCC">
            <w:pPr>
              <w:spacing w:after="0" w:line="240" w:lineRule="auto"/>
              <w:jc w:val="both"/>
              <w:rPr>
                <w:rFonts w:ascii="Arial" w:hAnsi="Arial" w:cs="Arial"/>
                <w:sz w:val="20"/>
                <w:szCs w:val="20"/>
              </w:rPr>
            </w:pPr>
          </w:p>
        </w:tc>
      </w:tr>
      <w:tr w:rsidR="00A75C0F" w:rsidRPr="008A26D2" w14:paraId="601C1ADB" w14:textId="77777777" w:rsidTr="00AF5836">
        <w:trPr>
          <w:trHeight w:val="558"/>
          <w:jc w:val="center"/>
        </w:trPr>
        <w:tc>
          <w:tcPr>
            <w:tcW w:w="254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3C76A05" w14:textId="77777777" w:rsidR="00A75C0F" w:rsidRPr="008A26D2" w:rsidRDefault="00A75C0F" w:rsidP="00AF5836">
            <w:pPr>
              <w:pStyle w:val="pf0"/>
              <w:tabs>
                <w:tab w:val="left" w:pos="3375"/>
              </w:tabs>
              <w:spacing w:before="0" w:beforeAutospacing="0" w:after="160" w:afterAutospacing="0" w:line="259" w:lineRule="auto"/>
              <w:rPr>
                <w:rFonts w:ascii="Arial" w:hAnsi="Arial" w:cs="Arial"/>
                <w:b/>
                <w:bCs/>
                <w:sz w:val="20"/>
                <w:szCs w:val="20"/>
              </w:rPr>
            </w:pPr>
            <w:r w:rsidRPr="008A26D2">
              <w:rPr>
                <w:rFonts w:ascii="Arial" w:hAnsi="Arial" w:cs="Arial"/>
                <w:b/>
                <w:bCs/>
                <w:sz w:val="20"/>
                <w:szCs w:val="20"/>
              </w:rPr>
              <w:t>Sentido esperado del indicador:</w:t>
            </w:r>
          </w:p>
        </w:tc>
        <w:tc>
          <w:tcPr>
            <w:tcW w:w="241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43AFFEE" w14:textId="77777777" w:rsidR="00A75C0F" w:rsidRPr="008A26D2" w:rsidRDefault="00A75C0F" w:rsidP="00AF5836">
            <w:pPr>
              <w:pStyle w:val="pf0"/>
              <w:tabs>
                <w:tab w:val="left" w:pos="3375"/>
              </w:tabs>
              <w:spacing w:before="0" w:beforeAutospacing="0" w:after="160" w:afterAutospacing="0" w:line="259" w:lineRule="auto"/>
              <w:rPr>
                <w:rFonts w:ascii="Arial" w:hAnsi="Arial" w:cs="Arial"/>
                <w:sz w:val="20"/>
                <w:szCs w:val="20"/>
              </w:rPr>
            </w:pPr>
            <w:r w:rsidRPr="008A26D2">
              <w:rPr>
                <w:rFonts w:ascii="Arial" w:hAnsi="Arial" w:cs="Arial"/>
                <w:sz w:val="20"/>
                <w:szCs w:val="20"/>
              </w:rPr>
              <w:t>Ascendente</w:t>
            </w:r>
          </w:p>
        </w:tc>
        <w:tc>
          <w:tcPr>
            <w:tcW w:w="195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6793D8E" w14:textId="77777777" w:rsidR="00A75C0F" w:rsidRPr="008A26D2" w:rsidRDefault="00A75C0F" w:rsidP="00AF5836">
            <w:pPr>
              <w:pStyle w:val="pf0"/>
              <w:tabs>
                <w:tab w:val="left" w:pos="3375"/>
              </w:tabs>
              <w:spacing w:before="0" w:beforeAutospacing="0" w:after="160" w:afterAutospacing="0" w:line="259" w:lineRule="auto"/>
              <w:rPr>
                <w:rFonts w:ascii="Arial" w:hAnsi="Arial" w:cs="Arial"/>
                <w:b/>
                <w:bCs/>
                <w:sz w:val="20"/>
                <w:szCs w:val="20"/>
              </w:rPr>
            </w:pPr>
            <w:r w:rsidRPr="008A26D2">
              <w:rPr>
                <w:rFonts w:ascii="Arial" w:hAnsi="Arial" w:cs="Arial"/>
                <w:b/>
                <w:bCs/>
                <w:sz w:val="20"/>
                <w:szCs w:val="20"/>
              </w:rPr>
              <w:t>Tipo de indicador de servicio</w:t>
            </w:r>
          </w:p>
        </w:tc>
        <w:tc>
          <w:tcPr>
            <w:tcW w:w="215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43B403C" w14:textId="77777777" w:rsidR="00A75C0F" w:rsidRPr="008A26D2" w:rsidRDefault="00A75C0F" w:rsidP="00AF5836">
            <w:pPr>
              <w:pStyle w:val="pf0"/>
              <w:tabs>
                <w:tab w:val="left" w:pos="3375"/>
              </w:tabs>
              <w:spacing w:before="0" w:beforeAutospacing="0" w:after="160" w:afterAutospacing="0" w:line="259" w:lineRule="auto"/>
              <w:rPr>
                <w:rFonts w:ascii="Arial" w:hAnsi="Arial" w:cs="Arial"/>
                <w:sz w:val="20"/>
                <w:szCs w:val="20"/>
              </w:rPr>
            </w:pPr>
            <w:r w:rsidRPr="008A26D2">
              <w:rPr>
                <w:rFonts w:ascii="Arial" w:hAnsi="Arial" w:cs="Arial"/>
                <w:sz w:val="20"/>
                <w:szCs w:val="20"/>
              </w:rPr>
              <w:t>Calidad - Percepción</w:t>
            </w:r>
          </w:p>
        </w:tc>
      </w:tr>
      <w:tr w:rsidR="00A75C0F" w:rsidRPr="008A26D2" w14:paraId="0FAA5CA4" w14:textId="77777777" w:rsidTr="00AF5836">
        <w:trPr>
          <w:trHeight w:val="532"/>
          <w:jc w:val="center"/>
        </w:trPr>
        <w:tc>
          <w:tcPr>
            <w:tcW w:w="254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13F3454" w14:textId="77777777" w:rsidR="00A75C0F" w:rsidRPr="008A26D2" w:rsidRDefault="00A75C0F" w:rsidP="00AF5836">
            <w:pPr>
              <w:pStyle w:val="pf0"/>
              <w:tabs>
                <w:tab w:val="left" w:pos="3375"/>
              </w:tabs>
              <w:spacing w:before="0" w:beforeAutospacing="0" w:after="160" w:afterAutospacing="0" w:line="259" w:lineRule="auto"/>
              <w:rPr>
                <w:rFonts w:ascii="Arial" w:hAnsi="Arial" w:cs="Arial"/>
                <w:b/>
                <w:bCs/>
                <w:sz w:val="20"/>
                <w:szCs w:val="20"/>
              </w:rPr>
            </w:pPr>
            <w:r w:rsidRPr="008A26D2">
              <w:rPr>
                <w:rFonts w:ascii="Arial" w:hAnsi="Arial" w:cs="Arial"/>
                <w:b/>
                <w:bCs/>
                <w:sz w:val="20"/>
                <w:szCs w:val="20"/>
              </w:rPr>
              <w:t>Fuente y base de datos:</w:t>
            </w:r>
          </w:p>
        </w:tc>
        <w:tc>
          <w:tcPr>
            <w:tcW w:w="6520"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60C73C27" w14:textId="77777777" w:rsidR="00A75C0F" w:rsidRPr="008A26D2" w:rsidRDefault="00A75C0F" w:rsidP="00AF5836">
            <w:pPr>
              <w:pStyle w:val="pf0"/>
              <w:tabs>
                <w:tab w:val="left" w:pos="3375"/>
              </w:tabs>
              <w:spacing w:before="0" w:beforeAutospacing="0" w:after="160" w:afterAutospacing="0" w:line="259" w:lineRule="auto"/>
              <w:rPr>
                <w:rFonts w:ascii="Arial" w:hAnsi="Arial" w:cs="Arial"/>
                <w:sz w:val="20"/>
                <w:szCs w:val="20"/>
              </w:rPr>
            </w:pPr>
            <w:r w:rsidRPr="008A26D2">
              <w:rPr>
                <w:rFonts w:ascii="Arial" w:hAnsi="Arial" w:cs="Arial"/>
                <w:sz w:val="20"/>
                <w:szCs w:val="20"/>
              </w:rPr>
              <w:t xml:space="preserve">Fuente: Dirección General de Gestión del Conocimiento Forestal y de Fauna Silvestre </w:t>
            </w:r>
            <w:r>
              <w:rPr>
                <w:rFonts w:ascii="Arial" w:hAnsi="Arial" w:cs="Arial"/>
                <w:sz w:val="20"/>
                <w:szCs w:val="20"/>
              </w:rPr>
              <w:t xml:space="preserve">del Servicio Nacional Forestal y de Fauna Silvestre </w:t>
            </w:r>
            <w:r w:rsidRPr="008A26D2">
              <w:rPr>
                <w:rFonts w:ascii="Arial" w:hAnsi="Arial" w:cs="Arial"/>
                <w:sz w:val="20"/>
                <w:szCs w:val="20"/>
              </w:rPr>
              <w:t>- SERFOR</w:t>
            </w:r>
          </w:p>
          <w:p w14:paraId="565B8280" w14:textId="52396873" w:rsidR="00A75C0F" w:rsidRPr="008A26D2" w:rsidRDefault="00A75C0F" w:rsidP="00AF5836">
            <w:pPr>
              <w:pStyle w:val="pf0"/>
              <w:tabs>
                <w:tab w:val="left" w:pos="3375"/>
              </w:tabs>
              <w:spacing w:before="0" w:beforeAutospacing="0" w:after="160" w:afterAutospacing="0" w:line="259" w:lineRule="auto"/>
              <w:rPr>
                <w:rFonts w:ascii="Arial" w:hAnsi="Arial" w:cs="Arial"/>
                <w:sz w:val="20"/>
                <w:szCs w:val="20"/>
              </w:rPr>
            </w:pPr>
            <w:r w:rsidRPr="008A26D2">
              <w:rPr>
                <w:rFonts w:ascii="Arial" w:hAnsi="Arial" w:cs="Arial"/>
                <w:sz w:val="20"/>
                <w:szCs w:val="20"/>
              </w:rPr>
              <w:t>Base de datos: Reporte de capacitaciones</w:t>
            </w:r>
            <w:r>
              <w:rPr>
                <w:rFonts w:ascii="Arial" w:hAnsi="Arial" w:cs="Arial"/>
                <w:sz w:val="20"/>
                <w:szCs w:val="20"/>
              </w:rPr>
              <w:t>.</w:t>
            </w:r>
            <w:r w:rsidRPr="008A26D2">
              <w:rPr>
                <w:rFonts w:ascii="Arial" w:hAnsi="Arial" w:cs="Arial"/>
                <w:sz w:val="20"/>
                <w:szCs w:val="20"/>
              </w:rPr>
              <w:t xml:space="preserve"> </w:t>
            </w:r>
          </w:p>
        </w:tc>
      </w:tr>
      <w:tr w:rsidR="00A75C0F" w:rsidRPr="008A26D2" w14:paraId="6FAB7678" w14:textId="77777777" w:rsidTr="00AF5836">
        <w:trPr>
          <w:trHeight w:val="532"/>
          <w:jc w:val="center"/>
        </w:trPr>
        <w:tc>
          <w:tcPr>
            <w:tcW w:w="254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B0C7E3" w14:textId="77777777" w:rsidR="00A75C0F" w:rsidRPr="008A26D2" w:rsidRDefault="00A75C0F" w:rsidP="00AF5836">
            <w:pPr>
              <w:pStyle w:val="pf0"/>
              <w:tabs>
                <w:tab w:val="left" w:pos="3375"/>
              </w:tabs>
              <w:spacing w:before="0" w:beforeAutospacing="0" w:after="160" w:afterAutospacing="0" w:line="259" w:lineRule="auto"/>
              <w:rPr>
                <w:rFonts w:ascii="Arial" w:hAnsi="Arial" w:cs="Arial"/>
                <w:b/>
                <w:bCs/>
                <w:sz w:val="20"/>
                <w:szCs w:val="20"/>
              </w:rPr>
            </w:pPr>
            <w:r w:rsidRPr="008A26D2">
              <w:rPr>
                <w:rFonts w:ascii="Arial" w:hAnsi="Arial" w:cs="Arial"/>
                <w:b/>
                <w:bCs/>
                <w:sz w:val="20"/>
                <w:szCs w:val="20"/>
              </w:rPr>
              <w:t>Supuestos:</w:t>
            </w:r>
          </w:p>
        </w:tc>
        <w:tc>
          <w:tcPr>
            <w:tcW w:w="6520"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9F10DCE" w14:textId="77777777" w:rsidR="00A75C0F" w:rsidRPr="008A26D2" w:rsidRDefault="00A75C0F" w:rsidP="00AF5836">
            <w:pPr>
              <w:pStyle w:val="pf0"/>
              <w:tabs>
                <w:tab w:val="left" w:pos="3375"/>
              </w:tabs>
              <w:spacing w:before="0" w:beforeAutospacing="0" w:after="160" w:afterAutospacing="0" w:line="259" w:lineRule="auto"/>
              <w:rPr>
                <w:rFonts w:ascii="Arial" w:hAnsi="Arial" w:cs="Arial"/>
                <w:sz w:val="20"/>
                <w:szCs w:val="20"/>
              </w:rPr>
            </w:pPr>
            <w:r w:rsidRPr="008A26D2">
              <w:rPr>
                <w:rFonts w:ascii="Arial" w:hAnsi="Arial" w:cs="Arial"/>
                <w:sz w:val="20"/>
                <w:szCs w:val="20"/>
              </w:rPr>
              <w:t>Interés y disponibilidad de las Autoridades Regionales Forestales y de Fauna Silvestre en el fortalecimiento de sus servidores para la mejora continua de su gestión.</w:t>
            </w:r>
          </w:p>
        </w:tc>
      </w:tr>
      <w:tr w:rsidR="00A75C0F" w:rsidRPr="008A26D2" w14:paraId="0EEB6356" w14:textId="77777777" w:rsidTr="00AF5836">
        <w:trPr>
          <w:trHeight w:val="532"/>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14:paraId="1FECC33F" w14:textId="77777777" w:rsidR="00A75C0F" w:rsidRPr="008A26D2" w:rsidRDefault="00A75C0F" w:rsidP="00AF5836">
            <w:pPr>
              <w:pStyle w:val="pf0"/>
              <w:tabs>
                <w:tab w:val="left" w:pos="3375"/>
              </w:tabs>
              <w:spacing w:before="0" w:beforeAutospacing="0" w:after="160" w:afterAutospacing="0" w:line="259" w:lineRule="auto"/>
              <w:rPr>
                <w:rFonts w:ascii="Arial" w:hAnsi="Arial" w:cs="Arial"/>
                <w:sz w:val="20"/>
                <w:szCs w:val="20"/>
              </w:rPr>
            </w:pPr>
          </w:p>
        </w:tc>
        <w:tc>
          <w:tcPr>
            <w:tcW w:w="1274" w:type="dxa"/>
            <w:tcBorders>
              <w:top w:val="single" w:sz="4" w:space="0" w:color="auto"/>
              <w:left w:val="single" w:sz="4" w:space="0" w:color="auto"/>
              <w:bottom w:val="single" w:sz="4" w:space="0" w:color="auto"/>
              <w:right w:val="single" w:sz="4" w:space="0" w:color="auto"/>
            </w:tcBorders>
            <w:shd w:val="clear" w:color="auto" w:fill="auto"/>
            <w:vAlign w:val="center"/>
          </w:tcPr>
          <w:p w14:paraId="590AFFDB" w14:textId="77777777" w:rsidR="00A75C0F" w:rsidRPr="008A26D2" w:rsidRDefault="00A75C0F" w:rsidP="00AF5836">
            <w:pPr>
              <w:pStyle w:val="pf0"/>
              <w:tabs>
                <w:tab w:val="left" w:pos="3375"/>
              </w:tabs>
              <w:spacing w:before="0" w:beforeAutospacing="0" w:after="160" w:afterAutospacing="0" w:line="259" w:lineRule="auto"/>
              <w:rPr>
                <w:rFonts w:ascii="Arial" w:hAnsi="Arial" w:cs="Arial"/>
                <w:b/>
                <w:bCs/>
                <w:sz w:val="20"/>
                <w:szCs w:val="20"/>
              </w:rPr>
            </w:pPr>
            <w:r w:rsidRPr="008A26D2">
              <w:rPr>
                <w:rFonts w:ascii="Arial" w:hAnsi="Arial" w:cs="Arial"/>
                <w:b/>
                <w:bCs/>
                <w:sz w:val="20"/>
                <w:szCs w:val="20"/>
              </w:rPr>
              <w:t>Línea de base</w:t>
            </w:r>
          </w:p>
        </w:tc>
        <w:tc>
          <w:tcPr>
            <w:tcW w:w="6520"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160668B3" w14:textId="77777777" w:rsidR="00A75C0F" w:rsidRPr="008A26D2" w:rsidRDefault="00A75C0F" w:rsidP="00AF5836">
            <w:pPr>
              <w:pStyle w:val="pf0"/>
              <w:tabs>
                <w:tab w:val="left" w:pos="3375"/>
              </w:tabs>
              <w:spacing w:before="0" w:beforeAutospacing="0" w:after="160" w:afterAutospacing="0" w:line="259" w:lineRule="auto"/>
              <w:jc w:val="center"/>
              <w:rPr>
                <w:rFonts w:ascii="Arial" w:hAnsi="Arial" w:cs="Arial"/>
                <w:b/>
                <w:bCs/>
                <w:sz w:val="20"/>
                <w:szCs w:val="20"/>
              </w:rPr>
            </w:pPr>
            <w:r w:rsidRPr="008A26D2">
              <w:rPr>
                <w:rFonts w:ascii="Arial" w:hAnsi="Arial" w:cs="Arial"/>
                <w:b/>
                <w:bCs/>
                <w:sz w:val="20"/>
                <w:szCs w:val="20"/>
              </w:rPr>
              <w:t>Logros esperados</w:t>
            </w:r>
          </w:p>
        </w:tc>
      </w:tr>
      <w:tr w:rsidR="00A75C0F" w:rsidRPr="008A26D2" w14:paraId="56136E7E" w14:textId="77777777" w:rsidTr="00AF5836">
        <w:trPr>
          <w:trHeight w:val="334"/>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14:paraId="774E9894" w14:textId="77777777" w:rsidR="00A75C0F" w:rsidRPr="008A26D2" w:rsidRDefault="00A75C0F" w:rsidP="00AF5836">
            <w:pPr>
              <w:pStyle w:val="pf0"/>
              <w:tabs>
                <w:tab w:val="left" w:pos="3375"/>
              </w:tabs>
              <w:spacing w:before="0" w:beforeAutospacing="0" w:after="160" w:afterAutospacing="0" w:line="259" w:lineRule="auto"/>
              <w:rPr>
                <w:rFonts w:ascii="Arial" w:hAnsi="Arial" w:cs="Arial"/>
                <w:b/>
                <w:bCs/>
                <w:sz w:val="20"/>
                <w:szCs w:val="20"/>
              </w:rPr>
            </w:pPr>
            <w:r w:rsidRPr="008A26D2">
              <w:rPr>
                <w:rFonts w:ascii="Arial" w:hAnsi="Arial" w:cs="Arial"/>
                <w:b/>
                <w:bCs/>
                <w:sz w:val="20"/>
                <w:szCs w:val="20"/>
              </w:rPr>
              <w:t>Año</w:t>
            </w:r>
          </w:p>
        </w:tc>
        <w:tc>
          <w:tcPr>
            <w:tcW w:w="1274" w:type="dxa"/>
            <w:tcBorders>
              <w:top w:val="single" w:sz="4" w:space="0" w:color="auto"/>
              <w:left w:val="single" w:sz="4" w:space="0" w:color="auto"/>
              <w:bottom w:val="single" w:sz="4" w:space="0" w:color="auto"/>
              <w:right w:val="single" w:sz="4" w:space="0" w:color="auto"/>
            </w:tcBorders>
            <w:shd w:val="clear" w:color="auto" w:fill="auto"/>
            <w:vAlign w:val="center"/>
          </w:tcPr>
          <w:p w14:paraId="1D406AC4" w14:textId="77777777" w:rsidR="00A75C0F" w:rsidRPr="008A26D2" w:rsidRDefault="00A75C0F" w:rsidP="00AF5836">
            <w:pPr>
              <w:pStyle w:val="pf0"/>
              <w:tabs>
                <w:tab w:val="left" w:pos="3375"/>
              </w:tabs>
              <w:spacing w:before="0" w:beforeAutospacing="0" w:after="160" w:afterAutospacing="0" w:line="259" w:lineRule="auto"/>
              <w:jc w:val="center"/>
              <w:rPr>
                <w:rFonts w:ascii="Arial" w:hAnsi="Arial" w:cs="Arial"/>
                <w:b/>
                <w:sz w:val="20"/>
                <w:szCs w:val="20"/>
              </w:rPr>
            </w:pPr>
            <w:r w:rsidRPr="008A26D2">
              <w:rPr>
                <w:rFonts w:ascii="Arial" w:hAnsi="Arial" w:cs="Arial"/>
                <w:b/>
                <w:sz w:val="20"/>
                <w:szCs w:val="20"/>
              </w:rPr>
              <w:t>2022</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14:paraId="4B4CA490" w14:textId="77777777" w:rsidR="00A75C0F" w:rsidRPr="008A26D2" w:rsidRDefault="00A75C0F" w:rsidP="00AF5836">
            <w:pPr>
              <w:pStyle w:val="pf0"/>
              <w:tabs>
                <w:tab w:val="left" w:pos="3375"/>
              </w:tabs>
              <w:spacing w:before="0" w:beforeAutospacing="0" w:after="160" w:afterAutospacing="0" w:line="259" w:lineRule="auto"/>
              <w:jc w:val="center"/>
              <w:rPr>
                <w:rFonts w:ascii="Arial" w:hAnsi="Arial" w:cs="Arial"/>
                <w:b/>
                <w:sz w:val="20"/>
                <w:szCs w:val="20"/>
              </w:rPr>
            </w:pPr>
            <w:r w:rsidRPr="008A26D2">
              <w:rPr>
                <w:rFonts w:ascii="Arial" w:hAnsi="Arial" w:cs="Arial"/>
                <w:b/>
                <w:sz w:val="20"/>
                <w:szCs w:val="20"/>
              </w:rPr>
              <w:t>2023</w:t>
            </w:r>
          </w:p>
        </w:tc>
        <w:tc>
          <w:tcPr>
            <w:tcW w:w="870" w:type="dxa"/>
            <w:tcBorders>
              <w:top w:val="single" w:sz="4" w:space="0" w:color="auto"/>
              <w:left w:val="single" w:sz="4" w:space="0" w:color="auto"/>
              <w:bottom w:val="single" w:sz="4" w:space="0" w:color="auto"/>
              <w:right w:val="single" w:sz="4" w:space="0" w:color="auto"/>
            </w:tcBorders>
            <w:shd w:val="clear" w:color="auto" w:fill="auto"/>
            <w:vAlign w:val="center"/>
          </w:tcPr>
          <w:p w14:paraId="56520D77" w14:textId="77777777" w:rsidR="00A75C0F" w:rsidRPr="008A26D2" w:rsidRDefault="00A75C0F" w:rsidP="00AF5836">
            <w:pPr>
              <w:pStyle w:val="pf0"/>
              <w:tabs>
                <w:tab w:val="left" w:pos="3375"/>
              </w:tabs>
              <w:spacing w:before="0" w:beforeAutospacing="0" w:after="160" w:afterAutospacing="0" w:line="259" w:lineRule="auto"/>
              <w:jc w:val="center"/>
              <w:rPr>
                <w:rFonts w:ascii="Arial" w:hAnsi="Arial" w:cs="Arial"/>
                <w:b/>
                <w:sz w:val="20"/>
                <w:szCs w:val="20"/>
              </w:rPr>
            </w:pPr>
            <w:r w:rsidRPr="008A26D2">
              <w:rPr>
                <w:rFonts w:ascii="Arial" w:hAnsi="Arial" w:cs="Arial"/>
                <w:b/>
                <w:sz w:val="20"/>
                <w:szCs w:val="20"/>
              </w:rPr>
              <w:t>2024</w:t>
            </w:r>
          </w:p>
        </w:tc>
        <w:tc>
          <w:tcPr>
            <w:tcW w:w="663" w:type="dxa"/>
            <w:tcBorders>
              <w:top w:val="single" w:sz="4" w:space="0" w:color="auto"/>
              <w:left w:val="single" w:sz="4" w:space="0" w:color="auto"/>
              <w:bottom w:val="single" w:sz="4" w:space="0" w:color="auto"/>
              <w:right w:val="single" w:sz="4" w:space="0" w:color="auto"/>
            </w:tcBorders>
            <w:shd w:val="clear" w:color="auto" w:fill="auto"/>
            <w:vAlign w:val="center"/>
          </w:tcPr>
          <w:p w14:paraId="24DB7050" w14:textId="77777777" w:rsidR="00A75C0F" w:rsidRPr="008A26D2" w:rsidRDefault="00A75C0F" w:rsidP="00AF5836">
            <w:pPr>
              <w:pStyle w:val="pf0"/>
              <w:tabs>
                <w:tab w:val="left" w:pos="3375"/>
              </w:tabs>
              <w:spacing w:before="0" w:beforeAutospacing="0" w:after="160" w:afterAutospacing="0" w:line="259" w:lineRule="auto"/>
              <w:jc w:val="center"/>
              <w:rPr>
                <w:rFonts w:ascii="Arial" w:hAnsi="Arial" w:cs="Arial"/>
                <w:b/>
                <w:sz w:val="20"/>
                <w:szCs w:val="20"/>
              </w:rPr>
            </w:pPr>
            <w:r w:rsidRPr="008A26D2">
              <w:rPr>
                <w:rFonts w:ascii="Arial" w:hAnsi="Arial" w:cs="Arial"/>
                <w:b/>
                <w:sz w:val="20"/>
                <w:szCs w:val="20"/>
              </w:rPr>
              <w:t>2025</w:t>
            </w:r>
          </w:p>
        </w:tc>
        <w:tc>
          <w:tcPr>
            <w:tcW w:w="1074" w:type="dxa"/>
            <w:tcBorders>
              <w:top w:val="single" w:sz="4" w:space="0" w:color="auto"/>
              <w:left w:val="single" w:sz="4" w:space="0" w:color="auto"/>
              <w:bottom w:val="single" w:sz="4" w:space="0" w:color="auto"/>
              <w:right w:val="single" w:sz="4" w:space="0" w:color="auto"/>
            </w:tcBorders>
            <w:shd w:val="clear" w:color="auto" w:fill="auto"/>
            <w:vAlign w:val="center"/>
          </w:tcPr>
          <w:p w14:paraId="11707DFD" w14:textId="77777777" w:rsidR="00A75C0F" w:rsidRPr="008A26D2" w:rsidRDefault="00A75C0F" w:rsidP="00AF5836">
            <w:pPr>
              <w:pStyle w:val="pf0"/>
              <w:tabs>
                <w:tab w:val="left" w:pos="3375"/>
              </w:tabs>
              <w:spacing w:before="0" w:beforeAutospacing="0" w:after="160" w:afterAutospacing="0" w:line="259" w:lineRule="auto"/>
              <w:jc w:val="center"/>
              <w:rPr>
                <w:rFonts w:ascii="Arial" w:hAnsi="Arial" w:cs="Arial"/>
                <w:b/>
                <w:sz w:val="20"/>
                <w:szCs w:val="20"/>
              </w:rPr>
            </w:pPr>
            <w:r w:rsidRPr="008A26D2">
              <w:rPr>
                <w:rFonts w:ascii="Arial" w:hAnsi="Arial" w:cs="Arial"/>
                <w:b/>
                <w:sz w:val="20"/>
                <w:szCs w:val="20"/>
              </w:rPr>
              <w:t>2026</w:t>
            </w:r>
          </w:p>
        </w:tc>
        <w:tc>
          <w:tcPr>
            <w:tcW w:w="868" w:type="dxa"/>
            <w:tcBorders>
              <w:top w:val="single" w:sz="4" w:space="0" w:color="auto"/>
              <w:left w:val="single" w:sz="4" w:space="0" w:color="auto"/>
              <w:bottom w:val="single" w:sz="4" w:space="0" w:color="auto"/>
              <w:right w:val="single" w:sz="4" w:space="0" w:color="auto"/>
            </w:tcBorders>
            <w:shd w:val="clear" w:color="auto" w:fill="auto"/>
            <w:vAlign w:val="center"/>
          </w:tcPr>
          <w:p w14:paraId="239E0CFB" w14:textId="77777777" w:rsidR="00A75C0F" w:rsidRPr="008A26D2" w:rsidRDefault="00A75C0F" w:rsidP="00AF5836">
            <w:pPr>
              <w:pStyle w:val="pf0"/>
              <w:tabs>
                <w:tab w:val="left" w:pos="3375"/>
              </w:tabs>
              <w:spacing w:before="0" w:beforeAutospacing="0" w:after="160" w:afterAutospacing="0" w:line="259" w:lineRule="auto"/>
              <w:jc w:val="center"/>
              <w:rPr>
                <w:rFonts w:ascii="Arial" w:hAnsi="Arial" w:cs="Arial"/>
                <w:b/>
                <w:sz w:val="20"/>
                <w:szCs w:val="20"/>
              </w:rPr>
            </w:pPr>
            <w:r w:rsidRPr="008A26D2">
              <w:rPr>
                <w:rFonts w:ascii="Arial" w:hAnsi="Arial" w:cs="Arial"/>
                <w:b/>
                <w:sz w:val="20"/>
                <w:szCs w:val="20"/>
              </w:rPr>
              <w:t>2027</w:t>
            </w:r>
          </w:p>
        </w:tc>
        <w:tc>
          <w:tcPr>
            <w:tcW w:w="60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164CA43" w14:textId="77777777" w:rsidR="00A75C0F" w:rsidRPr="008A26D2" w:rsidRDefault="00A75C0F" w:rsidP="00AF5836">
            <w:pPr>
              <w:pStyle w:val="pf0"/>
              <w:tabs>
                <w:tab w:val="left" w:pos="3375"/>
              </w:tabs>
              <w:spacing w:before="0" w:beforeAutospacing="0" w:after="160" w:afterAutospacing="0" w:line="259" w:lineRule="auto"/>
              <w:jc w:val="center"/>
              <w:rPr>
                <w:rFonts w:ascii="Arial" w:hAnsi="Arial" w:cs="Arial"/>
                <w:b/>
                <w:sz w:val="20"/>
                <w:szCs w:val="20"/>
              </w:rPr>
            </w:pPr>
            <w:r w:rsidRPr="008A26D2">
              <w:rPr>
                <w:rFonts w:ascii="Arial" w:hAnsi="Arial" w:cs="Arial"/>
                <w:b/>
                <w:sz w:val="20"/>
                <w:szCs w:val="20"/>
              </w:rPr>
              <w:t>2028</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12B00DFC" w14:textId="77777777" w:rsidR="00A75C0F" w:rsidRPr="008A26D2" w:rsidRDefault="00A75C0F" w:rsidP="00AF5836">
            <w:pPr>
              <w:pStyle w:val="pf0"/>
              <w:tabs>
                <w:tab w:val="left" w:pos="3375"/>
              </w:tabs>
              <w:spacing w:before="0" w:beforeAutospacing="0" w:after="160" w:afterAutospacing="0" w:line="259" w:lineRule="auto"/>
              <w:jc w:val="center"/>
              <w:rPr>
                <w:rFonts w:ascii="Arial" w:hAnsi="Arial" w:cs="Arial"/>
                <w:b/>
                <w:sz w:val="20"/>
                <w:szCs w:val="20"/>
              </w:rPr>
            </w:pPr>
            <w:r w:rsidRPr="008A26D2">
              <w:rPr>
                <w:rFonts w:ascii="Arial" w:hAnsi="Arial" w:cs="Arial"/>
                <w:b/>
                <w:sz w:val="20"/>
                <w:szCs w:val="20"/>
              </w:rPr>
              <w:t>2029</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7154562" w14:textId="77777777" w:rsidR="00A75C0F" w:rsidRPr="008A26D2" w:rsidRDefault="00A75C0F" w:rsidP="00AF5836">
            <w:pPr>
              <w:pStyle w:val="pf0"/>
              <w:tabs>
                <w:tab w:val="left" w:pos="3375"/>
              </w:tabs>
              <w:spacing w:before="0" w:beforeAutospacing="0" w:after="160" w:afterAutospacing="0" w:line="259" w:lineRule="auto"/>
              <w:jc w:val="center"/>
              <w:rPr>
                <w:rFonts w:ascii="Arial" w:hAnsi="Arial" w:cs="Arial"/>
                <w:b/>
                <w:sz w:val="20"/>
                <w:szCs w:val="20"/>
              </w:rPr>
            </w:pPr>
            <w:r w:rsidRPr="008A26D2">
              <w:rPr>
                <w:rFonts w:ascii="Arial" w:hAnsi="Arial" w:cs="Arial"/>
                <w:b/>
                <w:sz w:val="20"/>
                <w:szCs w:val="20"/>
              </w:rPr>
              <w:t>2030</w:t>
            </w:r>
          </w:p>
        </w:tc>
      </w:tr>
      <w:tr w:rsidR="00A75C0F" w:rsidRPr="008A26D2" w14:paraId="19776859" w14:textId="77777777" w:rsidTr="00AF5836">
        <w:trPr>
          <w:trHeight w:val="410"/>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14:paraId="4282CE93" w14:textId="77777777" w:rsidR="00A75C0F" w:rsidRPr="008A26D2" w:rsidRDefault="00A75C0F" w:rsidP="00AF5836">
            <w:pPr>
              <w:pStyle w:val="pf0"/>
              <w:tabs>
                <w:tab w:val="left" w:pos="3375"/>
              </w:tabs>
              <w:spacing w:before="0" w:beforeAutospacing="0" w:after="160" w:afterAutospacing="0" w:line="259" w:lineRule="auto"/>
              <w:rPr>
                <w:rFonts w:ascii="Arial" w:hAnsi="Arial" w:cs="Arial"/>
                <w:b/>
                <w:bCs/>
                <w:sz w:val="20"/>
                <w:szCs w:val="20"/>
              </w:rPr>
            </w:pPr>
            <w:r w:rsidRPr="008A26D2">
              <w:rPr>
                <w:rFonts w:ascii="Arial" w:hAnsi="Arial" w:cs="Arial"/>
                <w:b/>
                <w:bCs/>
                <w:sz w:val="20"/>
                <w:szCs w:val="20"/>
              </w:rPr>
              <w:t>Valor</w:t>
            </w:r>
          </w:p>
        </w:tc>
        <w:tc>
          <w:tcPr>
            <w:tcW w:w="1274" w:type="dxa"/>
            <w:tcBorders>
              <w:top w:val="single" w:sz="4" w:space="0" w:color="auto"/>
              <w:left w:val="single" w:sz="4" w:space="0" w:color="auto"/>
              <w:bottom w:val="single" w:sz="4" w:space="0" w:color="auto"/>
              <w:right w:val="single" w:sz="4" w:space="0" w:color="auto"/>
            </w:tcBorders>
            <w:shd w:val="clear" w:color="auto" w:fill="auto"/>
            <w:vAlign w:val="center"/>
          </w:tcPr>
          <w:p w14:paraId="2F3BA3B0" w14:textId="77777777" w:rsidR="00A75C0F" w:rsidRPr="008A26D2" w:rsidRDefault="00A75C0F" w:rsidP="00AF5836">
            <w:pPr>
              <w:pStyle w:val="pf0"/>
              <w:tabs>
                <w:tab w:val="left" w:pos="3375"/>
              </w:tabs>
              <w:spacing w:before="0" w:beforeAutospacing="0" w:after="160" w:afterAutospacing="0" w:line="259" w:lineRule="auto"/>
              <w:jc w:val="center"/>
              <w:rPr>
                <w:rFonts w:ascii="Arial" w:hAnsi="Arial" w:cs="Arial"/>
                <w:sz w:val="20"/>
                <w:szCs w:val="20"/>
              </w:rPr>
            </w:pPr>
            <w:r w:rsidRPr="009E5BCC">
              <w:rPr>
                <w:rFonts w:ascii="Arial" w:hAnsi="Arial" w:cs="Arial"/>
                <w:sz w:val="20"/>
                <w:szCs w:val="20"/>
              </w:rPr>
              <w:t>ND</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14:paraId="1E0358F4" w14:textId="77777777" w:rsidR="00A75C0F" w:rsidRPr="008A26D2" w:rsidRDefault="00A75C0F" w:rsidP="00AF5836">
            <w:pPr>
              <w:pStyle w:val="pf0"/>
              <w:tabs>
                <w:tab w:val="left" w:pos="3375"/>
              </w:tabs>
              <w:spacing w:before="0" w:beforeAutospacing="0" w:after="160" w:afterAutospacing="0" w:line="259" w:lineRule="auto"/>
              <w:jc w:val="center"/>
              <w:rPr>
                <w:rFonts w:ascii="Arial" w:hAnsi="Arial" w:cs="Arial"/>
                <w:sz w:val="20"/>
                <w:szCs w:val="20"/>
              </w:rPr>
            </w:pPr>
            <w:r w:rsidRPr="008A26D2">
              <w:rPr>
                <w:rFonts w:ascii="Arial" w:hAnsi="Arial" w:cs="Arial"/>
                <w:sz w:val="20"/>
                <w:szCs w:val="20"/>
              </w:rPr>
              <w:t>5%</w:t>
            </w:r>
          </w:p>
        </w:tc>
        <w:tc>
          <w:tcPr>
            <w:tcW w:w="870" w:type="dxa"/>
            <w:tcBorders>
              <w:top w:val="single" w:sz="4" w:space="0" w:color="auto"/>
              <w:left w:val="single" w:sz="4" w:space="0" w:color="auto"/>
              <w:bottom w:val="single" w:sz="4" w:space="0" w:color="auto"/>
              <w:right w:val="single" w:sz="4" w:space="0" w:color="auto"/>
            </w:tcBorders>
            <w:shd w:val="clear" w:color="auto" w:fill="auto"/>
            <w:vAlign w:val="center"/>
          </w:tcPr>
          <w:p w14:paraId="01783D18" w14:textId="77777777" w:rsidR="00A75C0F" w:rsidRPr="008A26D2" w:rsidRDefault="00A75C0F" w:rsidP="00AF5836">
            <w:pPr>
              <w:pStyle w:val="pf0"/>
              <w:tabs>
                <w:tab w:val="left" w:pos="3375"/>
              </w:tabs>
              <w:spacing w:before="0" w:beforeAutospacing="0" w:after="160" w:afterAutospacing="0" w:line="259" w:lineRule="auto"/>
              <w:jc w:val="center"/>
              <w:rPr>
                <w:rFonts w:ascii="Arial" w:hAnsi="Arial" w:cs="Arial"/>
                <w:sz w:val="20"/>
                <w:szCs w:val="20"/>
              </w:rPr>
            </w:pPr>
            <w:r w:rsidRPr="008A26D2">
              <w:rPr>
                <w:rFonts w:ascii="Arial" w:hAnsi="Arial" w:cs="Arial"/>
                <w:sz w:val="20"/>
                <w:szCs w:val="20"/>
              </w:rPr>
              <w:t>10%</w:t>
            </w:r>
          </w:p>
        </w:tc>
        <w:tc>
          <w:tcPr>
            <w:tcW w:w="663" w:type="dxa"/>
            <w:tcBorders>
              <w:top w:val="single" w:sz="4" w:space="0" w:color="auto"/>
              <w:left w:val="single" w:sz="4" w:space="0" w:color="auto"/>
              <w:bottom w:val="single" w:sz="4" w:space="0" w:color="auto"/>
              <w:right w:val="single" w:sz="4" w:space="0" w:color="auto"/>
            </w:tcBorders>
            <w:shd w:val="clear" w:color="auto" w:fill="auto"/>
            <w:vAlign w:val="center"/>
          </w:tcPr>
          <w:p w14:paraId="7CCC7AE3" w14:textId="77777777" w:rsidR="00A75C0F" w:rsidRPr="008A26D2" w:rsidRDefault="00A75C0F" w:rsidP="00AF5836">
            <w:pPr>
              <w:pStyle w:val="pf0"/>
              <w:tabs>
                <w:tab w:val="left" w:pos="3375"/>
              </w:tabs>
              <w:spacing w:before="0" w:beforeAutospacing="0" w:after="160" w:afterAutospacing="0" w:line="259" w:lineRule="auto"/>
              <w:jc w:val="center"/>
              <w:rPr>
                <w:rFonts w:ascii="Arial" w:hAnsi="Arial" w:cs="Arial"/>
                <w:sz w:val="20"/>
                <w:szCs w:val="20"/>
              </w:rPr>
            </w:pPr>
            <w:r w:rsidRPr="008A26D2">
              <w:rPr>
                <w:rFonts w:ascii="Arial" w:hAnsi="Arial" w:cs="Arial"/>
                <w:sz w:val="20"/>
                <w:szCs w:val="20"/>
              </w:rPr>
              <w:t>20%</w:t>
            </w:r>
          </w:p>
        </w:tc>
        <w:tc>
          <w:tcPr>
            <w:tcW w:w="1074" w:type="dxa"/>
            <w:tcBorders>
              <w:top w:val="single" w:sz="4" w:space="0" w:color="auto"/>
              <w:left w:val="single" w:sz="4" w:space="0" w:color="auto"/>
              <w:bottom w:val="single" w:sz="4" w:space="0" w:color="auto"/>
              <w:right w:val="single" w:sz="4" w:space="0" w:color="auto"/>
            </w:tcBorders>
            <w:shd w:val="clear" w:color="auto" w:fill="auto"/>
            <w:vAlign w:val="center"/>
          </w:tcPr>
          <w:p w14:paraId="4B934702" w14:textId="77777777" w:rsidR="00A75C0F" w:rsidRPr="008A26D2" w:rsidRDefault="00A75C0F" w:rsidP="00AF5836">
            <w:pPr>
              <w:pStyle w:val="pf0"/>
              <w:tabs>
                <w:tab w:val="left" w:pos="3375"/>
              </w:tabs>
              <w:spacing w:before="0" w:beforeAutospacing="0" w:after="160" w:afterAutospacing="0" w:line="259" w:lineRule="auto"/>
              <w:jc w:val="center"/>
              <w:rPr>
                <w:rFonts w:ascii="Arial" w:hAnsi="Arial" w:cs="Arial"/>
                <w:sz w:val="20"/>
                <w:szCs w:val="20"/>
              </w:rPr>
            </w:pPr>
            <w:r w:rsidRPr="008A26D2">
              <w:rPr>
                <w:rFonts w:ascii="Arial" w:hAnsi="Arial" w:cs="Arial"/>
                <w:sz w:val="20"/>
                <w:szCs w:val="20"/>
              </w:rPr>
              <w:t>30%</w:t>
            </w:r>
          </w:p>
        </w:tc>
        <w:tc>
          <w:tcPr>
            <w:tcW w:w="868" w:type="dxa"/>
            <w:tcBorders>
              <w:top w:val="single" w:sz="4" w:space="0" w:color="auto"/>
              <w:left w:val="single" w:sz="4" w:space="0" w:color="auto"/>
              <w:bottom w:val="single" w:sz="4" w:space="0" w:color="auto"/>
              <w:right w:val="single" w:sz="4" w:space="0" w:color="auto"/>
            </w:tcBorders>
            <w:shd w:val="clear" w:color="auto" w:fill="auto"/>
            <w:vAlign w:val="center"/>
          </w:tcPr>
          <w:p w14:paraId="6C17F65C" w14:textId="77777777" w:rsidR="00A75C0F" w:rsidRPr="008A26D2" w:rsidRDefault="00A75C0F" w:rsidP="00AF5836">
            <w:pPr>
              <w:pStyle w:val="pf0"/>
              <w:tabs>
                <w:tab w:val="left" w:pos="3375"/>
              </w:tabs>
              <w:spacing w:before="0" w:beforeAutospacing="0" w:after="160" w:afterAutospacing="0" w:line="259" w:lineRule="auto"/>
              <w:jc w:val="center"/>
              <w:rPr>
                <w:rFonts w:ascii="Arial" w:hAnsi="Arial" w:cs="Arial"/>
                <w:sz w:val="20"/>
                <w:szCs w:val="20"/>
              </w:rPr>
            </w:pPr>
            <w:r w:rsidRPr="008A26D2">
              <w:rPr>
                <w:rFonts w:ascii="Arial" w:hAnsi="Arial" w:cs="Arial"/>
                <w:sz w:val="20"/>
                <w:szCs w:val="20"/>
              </w:rPr>
              <w:t>40%</w:t>
            </w:r>
          </w:p>
        </w:tc>
        <w:tc>
          <w:tcPr>
            <w:tcW w:w="60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E531111" w14:textId="77777777" w:rsidR="00A75C0F" w:rsidRPr="008A26D2" w:rsidRDefault="00A75C0F" w:rsidP="00AF5836">
            <w:pPr>
              <w:pStyle w:val="pf0"/>
              <w:tabs>
                <w:tab w:val="left" w:pos="3375"/>
              </w:tabs>
              <w:spacing w:before="0" w:beforeAutospacing="0" w:after="160" w:afterAutospacing="0" w:line="259" w:lineRule="auto"/>
              <w:jc w:val="center"/>
              <w:rPr>
                <w:rFonts w:ascii="Arial" w:hAnsi="Arial" w:cs="Arial"/>
                <w:sz w:val="20"/>
                <w:szCs w:val="20"/>
              </w:rPr>
            </w:pPr>
            <w:r w:rsidRPr="008A26D2">
              <w:rPr>
                <w:rFonts w:ascii="Arial" w:hAnsi="Arial" w:cs="Arial"/>
                <w:sz w:val="20"/>
                <w:szCs w:val="20"/>
              </w:rPr>
              <w:t>60%</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03C2BDE1" w14:textId="77777777" w:rsidR="00A75C0F" w:rsidRPr="008A26D2" w:rsidRDefault="00A75C0F" w:rsidP="00AF5836">
            <w:pPr>
              <w:pStyle w:val="pf0"/>
              <w:tabs>
                <w:tab w:val="left" w:pos="3375"/>
              </w:tabs>
              <w:spacing w:before="0" w:beforeAutospacing="0" w:after="160" w:afterAutospacing="0" w:line="259" w:lineRule="auto"/>
              <w:jc w:val="center"/>
              <w:rPr>
                <w:rFonts w:ascii="Arial" w:hAnsi="Arial" w:cs="Arial"/>
                <w:sz w:val="20"/>
                <w:szCs w:val="20"/>
              </w:rPr>
            </w:pPr>
            <w:r w:rsidRPr="008A26D2">
              <w:rPr>
                <w:rFonts w:ascii="Arial" w:hAnsi="Arial" w:cs="Arial"/>
                <w:sz w:val="20"/>
                <w:szCs w:val="20"/>
              </w:rPr>
              <w:t>80%</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0FB0839" w14:textId="77777777" w:rsidR="00A75C0F" w:rsidRPr="008A26D2" w:rsidRDefault="00A75C0F" w:rsidP="00AF5836">
            <w:pPr>
              <w:pStyle w:val="pf0"/>
              <w:tabs>
                <w:tab w:val="left" w:pos="3375"/>
              </w:tabs>
              <w:spacing w:before="0" w:beforeAutospacing="0" w:after="160" w:afterAutospacing="0" w:line="259" w:lineRule="auto"/>
              <w:jc w:val="center"/>
              <w:rPr>
                <w:rFonts w:ascii="Arial" w:hAnsi="Arial" w:cs="Arial"/>
                <w:sz w:val="20"/>
                <w:szCs w:val="20"/>
              </w:rPr>
            </w:pPr>
            <w:r w:rsidRPr="008A26D2">
              <w:rPr>
                <w:rFonts w:ascii="Arial" w:hAnsi="Arial" w:cs="Arial"/>
                <w:sz w:val="20"/>
                <w:szCs w:val="20"/>
              </w:rPr>
              <w:t>90%</w:t>
            </w:r>
          </w:p>
        </w:tc>
      </w:tr>
    </w:tbl>
    <w:p w14:paraId="14EAD88E" w14:textId="77777777" w:rsidR="00A75C0F" w:rsidRPr="008A26D2" w:rsidRDefault="00A75C0F" w:rsidP="00A75C0F"/>
    <w:p w14:paraId="784B558F" w14:textId="77777777" w:rsidR="00A75C0F" w:rsidRPr="008A26D2" w:rsidRDefault="00A75C0F" w:rsidP="00A75C0F"/>
    <w:tbl>
      <w:tblPr>
        <w:tblW w:w="8789" w:type="dxa"/>
        <w:jc w:val="center"/>
        <w:tblLayout w:type="fixed"/>
        <w:tblCellMar>
          <w:left w:w="70" w:type="dxa"/>
          <w:right w:w="70" w:type="dxa"/>
        </w:tblCellMar>
        <w:tblLook w:val="04A0" w:firstRow="1" w:lastRow="0" w:firstColumn="1" w:lastColumn="0" w:noHBand="0" w:noVBand="1"/>
      </w:tblPr>
      <w:tblGrid>
        <w:gridCol w:w="1136"/>
        <w:gridCol w:w="990"/>
        <w:gridCol w:w="1123"/>
        <w:gridCol w:w="709"/>
        <w:gridCol w:w="720"/>
        <w:gridCol w:w="272"/>
        <w:gridCol w:w="851"/>
        <w:gridCol w:w="708"/>
        <w:gridCol w:w="720"/>
        <w:gridCol w:w="851"/>
        <w:gridCol w:w="709"/>
      </w:tblGrid>
      <w:tr w:rsidR="00A75C0F" w:rsidRPr="008A26D2" w14:paraId="0C5F990F" w14:textId="77777777" w:rsidTr="00AF5836">
        <w:trPr>
          <w:trHeight w:val="283"/>
          <w:jc w:val="center"/>
        </w:trPr>
        <w:tc>
          <w:tcPr>
            <w:tcW w:w="8789" w:type="dxa"/>
            <w:gridSpan w:val="11"/>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D1E3EE4" w14:textId="77777777" w:rsidR="00A75C0F" w:rsidRPr="008A26D2" w:rsidRDefault="00A75C0F" w:rsidP="00AF5836">
            <w:pPr>
              <w:spacing w:after="0" w:line="240" w:lineRule="auto"/>
              <w:jc w:val="center"/>
              <w:rPr>
                <w:rFonts w:ascii="Arial" w:eastAsia="Times New Roman" w:hAnsi="Arial" w:cs="Arial"/>
                <w:b/>
                <w:bCs/>
                <w:sz w:val="20"/>
                <w:szCs w:val="20"/>
              </w:rPr>
            </w:pPr>
            <w:r w:rsidRPr="008A26D2">
              <w:rPr>
                <w:rFonts w:ascii="Arial" w:eastAsia="Times New Roman" w:hAnsi="Arial" w:cs="Arial"/>
                <w:b/>
                <w:bCs/>
                <w:sz w:val="20"/>
                <w:szCs w:val="20"/>
              </w:rPr>
              <w:t>FICHA TÉCNICA DE INDICADOR DE SERVICIO 3.2.1</w:t>
            </w:r>
          </w:p>
        </w:tc>
      </w:tr>
      <w:tr w:rsidR="00A75C0F" w:rsidRPr="008A26D2" w14:paraId="6ED419C2" w14:textId="77777777" w:rsidTr="00AF5836">
        <w:trPr>
          <w:trHeight w:val="405"/>
          <w:jc w:val="center"/>
        </w:trPr>
        <w:tc>
          <w:tcPr>
            <w:tcW w:w="212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A7F7B09" w14:textId="77777777" w:rsidR="00A75C0F" w:rsidRPr="008A26D2" w:rsidRDefault="00A75C0F" w:rsidP="00AF5836">
            <w:pPr>
              <w:tabs>
                <w:tab w:val="left" w:pos="3375"/>
              </w:tabs>
              <w:spacing w:after="0" w:line="240" w:lineRule="auto"/>
              <w:jc w:val="both"/>
              <w:rPr>
                <w:rFonts w:ascii="Arial" w:eastAsia="Arial Narrow" w:hAnsi="Arial" w:cs="Arial"/>
                <w:b/>
                <w:sz w:val="20"/>
                <w:szCs w:val="20"/>
              </w:rPr>
            </w:pPr>
            <w:r w:rsidRPr="008A26D2">
              <w:rPr>
                <w:rFonts w:ascii="Arial" w:eastAsia="Arial Narrow" w:hAnsi="Arial" w:cs="Arial"/>
                <w:b/>
                <w:sz w:val="20"/>
                <w:szCs w:val="20"/>
              </w:rPr>
              <w:t>Objetivo prioritario:</w:t>
            </w:r>
          </w:p>
        </w:tc>
        <w:tc>
          <w:tcPr>
            <w:tcW w:w="666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179FF704" w14:textId="77777777" w:rsidR="00A75C0F" w:rsidRPr="008A26D2" w:rsidRDefault="00A75C0F" w:rsidP="00AF5836">
            <w:pPr>
              <w:tabs>
                <w:tab w:val="left" w:pos="3375"/>
              </w:tabs>
              <w:spacing w:after="0" w:line="240" w:lineRule="auto"/>
              <w:jc w:val="both"/>
              <w:rPr>
                <w:rFonts w:ascii="Arial" w:eastAsia="Arial Narrow" w:hAnsi="Arial" w:cs="Arial"/>
                <w:sz w:val="20"/>
                <w:szCs w:val="20"/>
              </w:rPr>
            </w:pPr>
            <w:r w:rsidRPr="008A26D2">
              <w:rPr>
                <w:rFonts w:ascii="Arial" w:eastAsia="Arial Narrow" w:hAnsi="Arial" w:cs="Arial"/>
                <w:sz w:val="20"/>
                <w:szCs w:val="20"/>
              </w:rPr>
              <w:t>OP3. Fortalecer la gobernanza forestal y de fauna silvestre</w:t>
            </w:r>
          </w:p>
        </w:tc>
      </w:tr>
      <w:tr w:rsidR="00A75C0F" w:rsidRPr="008A26D2" w14:paraId="689FE381" w14:textId="77777777" w:rsidTr="00AF5836">
        <w:trPr>
          <w:trHeight w:val="427"/>
          <w:jc w:val="center"/>
        </w:trPr>
        <w:tc>
          <w:tcPr>
            <w:tcW w:w="212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9ED285A" w14:textId="77777777" w:rsidR="00A75C0F" w:rsidRPr="008A26D2" w:rsidRDefault="00A75C0F" w:rsidP="00AF5836">
            <w:pPr>
              <w:tabs>
                <w:tab w:val="left" w:pos="3375"/>
              </w:tabs>
              <w:spacing w:after="0" w:line="240" w:lineRule="auto"/>
              <w:jc w:val="both"/>
              <w:rPr>
                <w:rFonts w:ascii="Arial" w:eastAsia="Arial Narrow" w:hAnsi="Arial" w:cs="Arial"/>
                <w:b/>
                <w:sz w:val="20"/>
                <w:szCs w:val="20"/>
              </w:rPr>
            </w:pPr>
            <w:r w:rsidRPr="008A26D2">
              <w:rPr>
                <w:rFonts w:ascii="Arial" w:eastAsia="Arial Narrow" w:hAnsi="Arial" w:cs="Arial"/>
                <w:b/>
                <w:sz w:val="20"/>
                <w:szCs w:val="20"/>
              </w:rPr>
              <w:t>Lineamiento de la política:</w:t>
            </w:r>
          </w:p>
        </w:tc>
        <w:tc>
          <w:tcPr>
            <w:tcW w:w="666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7A31EEB7" w14:textId="77777777" w:rsidR="00A75C0F" w:rsidRPr="008A26D2" w:rsidRDefault="00A75C0F" w:rsidP="00AF5836">
            <w:pPr>
              <w:tabs>
                <w:tab w:val="left" w:pos="3375"/>
              </w:tabs>
              <w:spacing w:after="0" w:line="240" w:lineRule="auto"/>
              <w:jc w:val="both"/>
              <w:rPr>
                <w:rFonts w:ascii="Arial" w:eastAsia="Arial Narrow" w:hAnsi="Arial" w:cs="Arial"/>
                <w:sz w:val="20"/>
                <w:szCs w:val="20"/>
              </w:rPr>
            </w:pPr>
            <w:r w:rsidRPr="008A26D2">
              <w:rPr>
                <w:rFonts w:ascii="Arial" w:eastAsia="Arial Narrow" w:hAnsi="Arial" w:cs="Arial"/>
                <w:sz w:val="20"/>
                <w:szCs w:val="20"/>
              </w:rPr>
              <w:t>L.3.2.  Desarrollar programas orientados a la mejora de la gestión y aprovechamiento sostenible de los recursos forestales y de fauna silvestre en pueblos indígenas u originarios (comunidades campesinas, comunidades nativas, entre otros)</w:t>
            </w:r>
          </w:p>
        </w:tc>
      </w:tr>
      <w:tr w:rsidR="00A75C0F" w:rsidRPr="008A26D2" w14:paraId="43F2AA09" w14:textId="77777777" w:rsidTr="00AF5836">
        <w:trPr>
          <w:trHeight w:val="405"/>
          <w:jc w:val="center"/>
        </w:trPr>
        <w:tc>
          <w:tcPr>
            <w:tcW w:w="212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8E7C3F9" w14:textId="77777777" w:rsidR="00A75C0F" w:rsidRPr="008A26D2" w:rsidRDefault="00A75C0F" w:rsidP="00AF5836">
            <w:pPr>
              <w:tabs>
                <w:tab w:val="left" w:pos="3375"/>
              </w:tabs>
              <w:spacing w:after="0" w:line="240" w:lineRule="auto"/>
              <w:jc w:val="both"/>
              <w:rPr>
                <w:rFonts w:ascii="Arial" w:eastAsia="Arial Narrow" w:hAnsi="Arial" w:cs="Arial"/>
                <w:b/>
                <w:sz w:val="20"/>
                <w:szCs w:val="20"/>
              </w:rPr>
            </w:pPr>
            <w:r w:rsidRPr="008A26D2">
              <w:rPr>
                <w:rFonts w:ascii="Arial" w:eastAsia="Arial Narrow" w:hAnsi="Arial" w:cs="Arial"/>
                <w:b/>
                <w:sz w:val="20"/>
                <w:szCs w:val="20"/>
              </w:rPr>
              <w:t>Nombre del servicio:</w:t>
            </w:r>
          </w:p>
        </w:tc>
        <w:tc>
          <w:tcPr>
            <w:tcW w:w="666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4E5607D0" w14:textId="77777777" w:rsidR="00A75C0F" w:rsidRPr="008A26D2" w:rsidRDefault="00A75C0F" w:rsidP="00AF5836">
            <w:pPr>
              <w:tabs>
                <w:tab w:val="left" w:pos="3375"/>
              </w:tabs>
              <w:spacing w:after="0" w:line="240" w:lineRule="auto"/>
              <w:jc w:val="both"/>
              <w:rPr>
                <w:rFonts w:ascii="Arial" w:hAnsi="Arial" w:cs="Arial"/>
                <w:sz w:val="20"/>
                <w:szCs w:val="20"/>
              </w:rPr>
            </w:pPr>
            <w:r w:rsidRPr="008A26D2">
              <w:rPr>
                <w:rFonts w:ascii="Arial" w:eastAsia="Arial Narrow" w:hAnsi="Arial" w:cs="Arial"/>
                <w:sz w:val="20"/>
                <w:szCs w:val="20"/>
              </w:rPr>
              <w:t>S.3.2.1.  Fortalecimiento de capacidades del manejo forestal comunitario como estrategia de adaptación y mitigación al cambio climático con pertinencia cultural dirigido a las comunidades nativas y comunidades campesinas</w:t>
            </w:r>
          </w:p>
          <w:p w14:paraId="5576A707" w14:textId="77777777" w:rsidR="00A75C0F" w:rsidRPr="008A26D2" w:rsidRDefault="00A75C0F" w:rsidP="00AF5836">
            <w:pPr>
              <w:tabs>
                <w:tab w:val="left" w:pos="3375"/>
              </w:tabs>
              <w:spacing w:after="0" w:line="240" w:lineRule="auto"/>
              <w:jc w:val="both"/>
              <w:rPr>
                <w:rFonts w:ascii="Arial" w:eastAsia="Arial Narrow" w:hAnsi="Arial" w:cs="Arial"/>
                <w:sz w:val="20"/>
                <w:szCs w:val="20"/>
              </w:rPr>
            </w:pPr>
          </w:p>
        </w:tc>
      </w:tr>
      <w:tr w:rsidR="00A75C0F" w:rsidRPr="008A26D2" w14:paraId="5457B539" w14:textId="77777777" w:rsidTr="00AF5836">
        <w:trPr>
          <w:trHeight w:val="406"/>
          <w:jc w:val="center"/>
        </w:trPr>
        <w:tc>
          <w:tcPr>
            <w:tcW w:w="212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F71E3B9" w14:textId="77777777" w:rsidR="00A75C0F" w:rsidRPr="008A26D2" w:rsidRDefault="00A75C0F" w:rsidP="00AF5836">
            <w:pPr>
              <w:tabs>
                <w:tab w:val="left" w:pos="3375"/>
              </w:tabs>
              <w:spacing w:after="0" w:line="240" w:lineRule="auto"/>
              <w:jc w:val="both"/>
              <w:rPr>
                <w:rFonts w:ascii="Arial" w:eastAsia="Arial Narrow" w:hAnsi="Arial" w:cs="Arial"/>
                <w:b/>
                <w:sz w:val="20"/>
                <w:szCs w:val="20"/>
              </w:rPr>
            </w:pPr>
            <w:r w:rsidRPr="008A26D2">
              <w:rPr>
                <w:rFonts w:ascii="Arial" w:eastAsia="Arial Narrow" w:hAnsi="Arial" w:cs="Arial"/>
                <w:b/>
                <w:sz w:val="20"/>
                <w:szCs w:val="20"/>
              </w:rPr>
              <w:t>Nombre del indicador:</w:t>
            </w:r>
          </w:p>
        </w:tc>
        <w:tc>
          <w:tcPr>
            <w:tcW w:w="666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5F3A22D9" w14:textId="77777777" w:rsidR="00A75C0F" w:rsidRPr="008A26D2" w:rsidRDefault="00A75C0F" w:rsidP="00AF5836">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Porcentaje de comunidades nativas y comunidades campesinas que recibieron fortalecimiento de capacidades en manejo forestal comunitario con pertinencia cultural</w:t>
            </w:r>
          </w:p>
        </w:tc>
      </w:tr>
      <w:tr w:rsidR="00A75C0F" w:rsidRPr="008A26D2" w14:paraId="3237CDA2" w14:textId="77777777" w:rsidTr="00AF5836">
        <w:trPr>
          <w:trHeight w:val="524"/>
          <w:jc w:val="center"/>
        </w:trPr>
        <w:tc>
          <w:tcPr>
            <w:tcW w:w="212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3D0361B" w14:textId="77777777" w:rsidR="00A75C0F" w:rsidRPr="008A26D2" w:rsidRDefault="00A75C0F" w:rsidP="00AF5836">
            <w:pPr>
              <w:tabs>
                <w:tab w:val="left" w:pos="3375"/>
              </w:tabs>
              <w:spacing w:after="0" w:line="240" w:lineRule="auto"/>
              <w:jc w:val="both"/>
              <w:rPr>
                <w:rFonts w:ascii="Arial" w:eastAsia="Arial Narrow" w:hAnsi="Arial" w:cs="Arial"/>
                <w:b/>
                <w:sz w:val="20"/>
                <w:szCs w:val="20"/>
              </w:rPr>
            </w:pPr>
            <w:r w:rsidRPr="008A26D2">
              <w:rPr>
                <w:rFonts w:ascii="Arial" w:eastAsia="Arial Narrow" w:hAnsi="Arial" w:cs="Arial"/>
                <w:b/>
                <w:sz w:val="20"/>
                <w:szCs w:val="20"/>
              </w:rPr>
              <w:t>Justificación:</w:t>
            </w:r>
          </w:p>
        </w:tc>
        <w:tc>
          <w:tcPr>
            <w:tcW w:w="666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25B880F4" w14:textId="77777777" w:rsidR="00A75C0F" w:rsidRPr="008A26D2" w:rsidRDefault="00A75C0F" w:rsidP="00AF5836">
            <w:pPr>
              <w:tabs>
                <w:tab w:val="left" w:pos="3375"/>
              </w:tabs>
              <w:jc w:val="both"/>
              <w:rPr>
                <w:rFonts w:ascii="Arial" w:eastAsia="Arial Narrow" w:hAnsi="Arial" w:cs="Arial"/>
                <w:sz w:val="20"/>
                <w:szCs w:val="20"/>
              </w:rPr>
            </w:pPr>
            <w:r w:rsidRPr="008A26D2">
              <w:rPr>
                <w:rFonts w:ascii="Arial" w:eastAsia="Arial Narrow" w:hAnsi="Arial" w:cs="Arial"/>
                <w:sz w:val="20"/>
                <w:szCs w:val="20"/>
              </w:rPr>
              <w:t>El indicador permite medir el porcentaje de comunidades nativas y comunidades campesinas que han recibido fortalecimiento de capacidades en manejo forestal comunitario con enfoque cultural como estrategia de adaptación y mitigación al cambio climático, asimismo, responder a los compromisos internacionales asumidos como país en marco de las Contribuciones Determinadas a Nivel Nacional (NDC, por sus siglas en ingles), y logran mitigar un problema público y/o fortalecer la implementación de la normativa. De esta forma el indicador facilitara el seguimiento para establecer acciones de mejora correspondientes.</w:t>
            </w:r>
          </w:p>
        </w:tc>
      </w:tr>
      <w:tr w:rsidR="00A75C0F" w:rsidRPr="008A26D2" w14:paraId="121149F1" w14:textId="77777777" w:rsidTr="00AF5836">
        <w:trPr>
          <w:trHeight w:val="546"/>
          <w:jc w:val="center"/>
        </w:trPr>
        <w:tc>
          <w:tcPr>
            <w:tcW w:w="212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1D89426" w14:textId="77777777" w:rsidR="00A75C0F" w:rsidRPr="008A26D2" w:rsidRDefault="00A75C0F" w:rsidP="00AF5836">
            <w:pPr>
              <w:tabs>
                <w:tab w:val="left" w:pos="3375"/>
              </w:tabs>
              <w:spacing w:after="0" w:line="240" w:lineRule="auto"/>
              <w:jc w:val="both"/>
              <w:rPr>
                <w:rFonts w:ascii="Arial" w:eastAsia="Arial Narrow" w:hAnsi="Arial" w:cs="Arial"/>
                <w:b/>
                <w:sz w:val="20"/>
                <w:szCs w:val="20"/>
              </w:rPr>
            </w:pPr>
            <w:r w:rsidRPr="008A26D2">
              <w:rPr>
                <w:rFonts w:ascii="Arial" w:eastAsia="Arial Narrow" w:hAnsi="Arial" w:cs="Arial"/>
                <w:b/>
                <w:sz w:val="20"/>
                <w:szCs w:val="20"/>
              </w:rPr>
              <w:t>Responsable del indicador:</w:t>
            </w:r>
          </w:p>
        </w:tc>
        <w:tc>
          <w:tcPr>
            <w:tcW w:w="666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0CB8368C" w14:textId="77777777" w:rsidR="00A75C0F" w:rsidRPr="008A26D2" w:rsidRDefault="00A75C0F" w:rsidP="00AF5836">
            <w:pPr>
              <w:tabs>
                <w:tab w:val="left" w:pos="3375"/>
              </w:tabs>
              <w:spacing w:after="0" w:line="240" w:lineRule="auto"/>
              <w:jc w:val="both"/>
              <w:rPr>
                <w:rFonts w:ascii="Arial" w:eastAsia="Arial Narrow" w:hAnsi="Arial" w:cs="Arial"/>
                <w:sz w:val="20"/>
                <w:szCs w:val="20"/>
              </w:rPr>
            </w:pPr>
            <w:r w:rsidRPr="008A26D2">
              <w:rPr>
                <w:rFonts w:ascii="Arial" w:eastAsia="Arial Narrow" w:hAnsi="Arial" w:cs="Arial"/>
                <w:sz w:val="20"/>
                <w:szCs w:val="20"/>
              </w:rPr>
              <w:t>Unidad Funcional de Manejo Forestal Comunitario de la Dirección Ejecutiva del Servicio Nacional Forestal y de Fauna Silvestre – SERFOR</w:t>
            </w:r>
          </w:p>
        </w:tc>
      </w:tr>
      <w:tr w:rsidR="00A75C0F" w:rsidRPr="008A26D2" w14:paraId="3D7EE2CB" w14:textId="77777777" w:rsidTr="00AF5836">
        <w:trPr>
          <w:trHeight w:val="579"/>
          <w:jc w:val="center"/>
        </w:trPr>
        <w:tc>
          <w:tcPr>
            <w:tcW w:w="212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C4E550E" w14:textId="77777777" w:rsidR="00A75C0F" w:rsidRPr="008A26D2" w:rsidRDefault="00A75C0F" w:rsidP="00AF5836">
            <w:pPr>
              <w:tabs>
                <w:tab w:val="left" w:pos="3375"/>
              </w:tabs>
              <w:spacing w:after="0" w:line="240" w:lineRule="auto"/>
              <w:jc w:val="both"/>
              <w:rPr>
                <w:rFonts w:ascii="Arial" w:eastAsia="Arial Narrow" w:hAnsi="Arial" w:cs="Arial"/>
                <w:b/>
                <w:sz w:val="20"/>
                <w:szCs w:val="20"/>
              </w:rPr>
            </w:pPr>
            <w:r w:rsidRPr="008A26D2">
              <w:rPr>
                <w:rFonts w:ascii="Arial" w:eastAsia="Arial Narrow" w:hAnsi="Arial" w:cs="Arial"/>
                <w:b/>
                <w:sz w:val="20"/>
                <w:szCs w:val="20"/>
              </w:rPr>
              <w:t>Limitaciones para la medición del indicador:</w:t>
            </w:r>
          </w:p>
        </w:tc>
        <w:tc>
          <w:tcPr>
            <w:tcW w:w="666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2421BDE6" w14:textId="77777777" w:rsidR="00A75C0F" w:rsidRPr="008A26D2" w:rsidRDefault="00A75C0F" w:rsidP="00AF5836">
            <w:pPr>
              <w:tabs>
                <w:tab w:val="left" w:pos="3375"/>
              </w:tabs>
              <w:spacing w:after="0" w:line="240" w:lineRule="auto"/>
              <w:jc w:val="both"/>
              <w:rPr>
                <w:rFonts w:ascii="Arial" w:eastAsia="Arial Narrow" w:hAnsi="Arial" w:cs="Arial"/>
                <w:sz w:val="20"/>
                <w:szCs w:val="20"/>
              </w:rPr>
            </w:pPr>
            <w:r w:rsidRPr="008A26D2">
              <w:rPr>
                <w:rFonts w:ascii="Arial" w:eastAsia="Arial Narrow" w:hAnsi="Arial" w:cs="Arial"/>
                <w:sz w:val="20"/>
                <w:szCs w:val="20"/>
              </w:rPr>
              <w:t>No presenta limitaciones.</w:t>
            </w:r>
          </w:p>
        </w:tc>
      </w:tr>
      <w:tr w:rsidR="00A75C0F" w:rsidRPr="008A26D2" w14:paraId="2DF13AA7" w14:textId="77777777" w:rsidTr="00AF5836">
        <w:trPr>
          <w:trHeight w:val="1290"/>
          <w:jc w:val="center"/>
        </w:trPr>
        <w:tc>
          <w:tcPr>
            <w:tcW w:w="212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7CF4F1A" w14:textId="77777777" w:rsidR="00A75C0F" w:rsidRPr="008A26D2" w:rsidRDefault="00A75C0F" w:rsidP="00AF5836">
            <w:pPr>
              <w:tabs>
                <w:tab w:val="left" w:pos="3375"/>
              </w:tabs>
              <w:spacing w:after="0" w:line="240" w:lineRule="auto"/>
              <w:jc w:val="both"/>
              <w:rPr>
                <w:rFonts w:ascii="Arial" w:eastAsia="Arial Narrow" w:hAnsi="Arial" w:cs="Arial"/>
                <w:b/>
                <w:sz w:val="20"/>
                <w:szCs w:val="20"/>
              </w:rPr>
            </w:pPr>
            <w:r w:rsidRPr="008A26D2">
              <w:rPr>
                <w:rFonts w:ascii="Arial" w:eastAsia="Arial Narrow" w:hAnsi="Arial" w:cs="Arial"/>
                <w:b/>
                <w:sz w:val="20"/>
                <w:szCs w:val="20"/>
              </w:rPr>
              <w:t>Método del cálculo:</w:t>
            </w:r>
          </w:p>
        </w:tc>
        <w:tc>
          <w:tcPr>
            <w:tcW w:w="6663" w:type="dxa"/>
            <w:gridSpan w:val="9"/>
            <w:tcBorders>
              <w:top w:val="single" w:sz="4" w:space="0" w:color="auto"/>
              <w:left w:val="single" w:sz="4" w:space="0" w:color="auto"/>
              <w:bottom w:val="single" w:sz="4" w:space="0" w:color="auto"/>
              <w:right w:val="single" w:sz="4" w:space="0" w:color="auto"/>
            </w:tcBorders>
            <w:shd w:val="clear" w:color="auto" w:fill="auto"/>
            <w:noWrap/>
            <w:vAlign w:val="center"/>
          </w:tcPr>
          <w:p w14:paraId="771A6B9D" w14:textId="77777777" w:rsidR="00A75C0F" w:rsidRPr="008A26D2" w:rsidRDefault="00A75C0F" w:rsidP="00AF5836">
            <w:pPr>
              <w:pStyle w:val="Prrafodelista"/>
              <w:numPr>
                <w:ilvl w:val="6"/>
                <w:numId w:val="23"/>
              </w:numPr>
              <w:tabs>
                <w:tab w:val="left" w:pos="3375"/>
              </w:tabs>
              <w:spacing w:after="0" w:line="240" w:lineRule="auto"/>
              <w:ind w:left="355" w:hanging="284"/>
              <w:jc w:val="both"/>
              <w:rPr>
                <w:rFonts w:ascii="Arial" w:eastAsia="Arial Narrow" w:hAnsi="Arial" w:cs="Arial"/>
                <w:b/>
                <w:bCs/>
                <w:sz w:val="20"/>
                <w:szCs w:val="20"/>
              </w:rPr>
            </w:pPr>
            <w:r w:rsidRPr="008A26D2">
              <w:rPr>
                <w:rFonts w:ascii="Arial" w:eastAsia="Arial Narrow" w:hAnsi="Arial" w:cs="Arial"/>
                <w:b/>
                <w:bCs/>
                <w:sz w:val="20"/>
                <w:szCs w:val="20"/>
              </w:rPr>
              <w:t>Fórmula:</w:t>
            </w:r>
          </w:p>
          <w:p w14:paraId="4B9F57B3" w14:textId="77777777" w:rsidR="00A75C0F" w:rsidRPr="008A26D2" w:rsidRDefault="00A75C0F" w:rsidP="00AF5836">
            <w:pPr>
              <w:tabs>
                <w:tab w:val="left" w:pos="3375"/>
              </w:tabs>
              <w:spacing w:after="0" w:line="240" w:lineRule="auto"/>
              <w:jc w:val="both"/>
              <w:rPr>
                <w:rFonts w:ascii="Arial" w:eastAsia="Arial Narrow" w:hAnsi="Arial" w:cs="Arial"/>
                <w:sz w:val="20"/>
                <w:szCs w:val="20"/>
              </w:rPr>
            </w:pPr>
          </w:p>
          <w:p w14:paraId="3AF45CFF" w14:textId="77777777" w:rsidR="00A75C0F" w:rsidRPr="008A26D2" w:rsidRDefault="00A75C0F" w:rsidP="00AF5836">
            <w:pPr>
              <w:tabs>
                <w:tab w:val="left" w:pos="3375"/>
              </w:tabs>
              <w:spacing w:after="0" w:line="240" w:lineRule="auto"/>
              <w:ind w:left="71"/>
              <w:jc w:val="both"/>
              <w:rPr>
                <w:rFonts w:ascii="Arial" w:eastAsia="Arial Narrow" w:hAnsi="Arial" w:cs="Arial"/>
                <w:sz w:val="20"/>
                <w:szCs w:val="20"/>
              </w:rPr>
            </w:pPr>
            <w:r w:rsidRPr="008A26D2">
              <w:rPr>
                <w:rFonts w:ascii="Arial" w:eastAsia="Arial Narrow" w:hAnsi="Arial" w:cs="Arial"/>
                <w:sz w:val="20"/>
                <w:szCs w:val="20"/>
              </w:rPr>
              <w:t>(A/B)*100</w:t>
            </w:r>
          </w:p>
          <w:p w14:paraId="4BA07CDA" w14:textId="77777777" w:rsidR="00A75C0F" w:rsidRPr="008A26D2" w:rsidRDefault="00A75C0F" w:rsidP="00AF5836">
            <w:pPr>
              <w:tabs>
                <w:tab w:val="left" w:pos="3375"/>
              </w:tabs>
              <w:spacing w:after="0" w:line="240" w:lineRule="auto"/>
              <w:ind w:left="71"/>
              <w:jc w:val="both"/>
              <w:rPr>
                <w:rFonts w:ascii="Arial" w:eastAsia="Arial Narrow" w:hAnsi="Arial" w:cs="Arial"/>
                <w:sz w:val="20"/>
                <w:szCs w:val="20"/>
              </w:rPr>
            </w:pPr>
          </w:p>
          <w:p w14:paraId="66E28558" w14:textId="77777777" w:rsidR="00A75C0F" w:rsidRPr="008A26D2" w:rsidRDefault="00A75C0F" w:rsidP="00AF5836">
            <w:pPr>
              <w:tabs>
                <w:tab w:val="left" w:pos="3375"/>
              </w:tabs>
              <w:spacing w:after="0" w:line="240" w:lineRule="auto"/>
              <w:ind w:left="71"/>
              <w:jc w:val="both"/>
              <w:rPr>
                <w:rFonts w:ascii="Arial" w:eastAsia="Arial Narrow" w:hAnsi="Arial" w:cs="Arial"/>
                <w:sz w:val="20"/>
                <w:szCs w:val="20"/>
              </w:rPr>
            </w:pPr>
            <w:r w:rsidRPr="008A26D2">
              <w:rPr>
                <w:rFonts w:ascii="Arial" w:eastAsia="Arial Narrow" w:hAnsi="Arial" w:cs="Arial"/>
                <w:sz w:val="20"/>
                <w:szCs w:val="20"/>
              </w:rPr>
              <w:t>Donde:</w:t>
            </w:r>
          </w:p>
          <w:p w14:paraId="1B226C1E" w14:textId="77777777" w:rsidR="00A75C0F" w:rsidRPr="008A26D2" w:rsidRDefault="00A75C0F" w:rsidP="00AF5836">
            <w:pPr>
              <w:tabs>
                <w:tab w:val="left" w:pos="3375"/>
              </w:tabs>
              <w:spacing w:after="0" w:line="240" w:lineRule="auto"/>
              <w:ind w:left="71"/>
              <w:jc w:val="both"/>
              <w:rPr>
                <w:rFonts w:ascii="Arial" w:eastAsia="Arial Narrow" w:hAnsi="Arial" w:cs="Arial"/>
                <w:sz w:val="20"/>
                <w:szCs w:val="20"/>
              </w:rPr>
            </w:pPr>
            <w:r w:rsidRPr="008A26D2">
              <w:rPr>
                <w:rFonts w:ascii="Arial" w:eastAsia="Arial Narrow" w:hAnsi="Arial" w:cs="Arial"/>
                <w:sz w:val="20"/>
                <w:szCs w:val="20"/>
              </w:rPr>
              <w:t>A= Numero de comunidades nativas y comunidades campesinas que recibieron fortalecimiento de capacidades en manejo forestal comunitario con pertinencia cultural</w:t>
            </w:r>
          </w:p>
          <w:p w14:paraId="129A8B00" w14:textId="77777777" w:rsidR="00A75C0F" w:rsidRPr="008A26D2" w:rsidRDefault="00A75C0F" w:rsidP="00AF5836">
            <w:pPr>
              <w:tabs>
                <w:tab w:val="left" w:pos="3375"/>
              </w:tabs>
              <w:spacing w:after="0" w:line="240" w:lineRule="auto"/>
              <w:ind w:left="71"/>
              <w:jc w:val="both"/>
              <w:rPr>
                <w:rFonts w:ascii="Arial" w:eastAsia="Arial Narrow" w:hAnsi="Arial" w:cs="Arial"/>
                <w:sz w:val="20"/>
                <w:szCs w:val="20"/>
              </w:rPr>
            </w:pPr>
            <w:r w:rsidRPr="008A26D2">
              <w:rPr>
                <w:rFonts w:ascii="Arial" w:eastAsia="Arial Narrow" w:hAnsi="Arial" w:cs="Arial"/>
                <w:sz w:val="20"/>
                <w:szCs w:val="20"/>
              </w:rPr>
              <w:t>B= Total de comunidades nativas y comunidades campesinas que recibieron fortalecimiento de capacidades en manejo forestal comunitario</w:t>
            </w:r>
          </w:p>
          <w:p w14:paraId="4DD33925" w14:textId="77777777" w:rsidR="00A75C0F" w:rsidRPr="008A26D2" w:rsidRDefault="00A75C0F" w:rsidP="00AF5836">
            <w:pPr>
              <w:tabs>
                <w:tab w:val="left" w:pos="3375"/>
              </w:tabs>
              <w:spacing w:after="0" w:line="240" w:lineRule="auto"/>
              <w:jc w:val="both"/>
              <w:rPr>
                <w:rFonts w:ascii="Arial" w:eastAsia="Arial Narrow" w:hAnsi="Arial" w:cs="Arial"/>
                <w:sz w:val="20"/>
                <w:szCs w:val="20"/>
              </w:rPr>
            </w:pPr>
          </w:p>
          <w:p w14:paraId="3B44187C" w14:textId="77777777" w:rsidR="00A75C0F" w:rsidRPr="008A26D2" w:rsidRDefault="00A75C0F" w:rsidP="00AF5836">
            <w:pPr>
              <w:pStyle w:val="Prrafodelista"/>
              <w:numPr>
                <w:ilvl w:val="6"/>
                <w:numId w:val="23"/>
              </w:numPr>
              <w:tabs>
                <w:tab w:val="left" w:pos="3375"/>
              </w:tabs>
              <w:spacing w:after="0" w:line="240" w:lineRule="auto"/>
              <w:ind w:left="355" w:hanging="284"/>
              <w:jc w:val="both"/>
              <w:rPr>
                <w:rFonts w:ascii="Arial" w:eastAsia="Arial Narrow" w:hAnsi="Arial" w:cs="Arial"/>
                <w:b/>
                <w:bCs/>
                <w:sz w:val="20"/>
                <w:szCs w:val="20"/>
              </w:rPr>
            </w:pPr>
            <w:r w:rsidRPr="008A26D2">
              <w:rPr>
                <w:rFonts w:ascii="Arial" w:eastAsia="Arial Narrow" w:hAnsi="Arial" w:cs="Arial"/>
                <w:b/>
                <w:bCs/>
                <w:sz w:val="20"/>
                <w:szCs w:val="20"/>
              </w:rPr>
              <w:t>Especificación técnica:</w:t>
            </w:r>
          </w:p>
          <w:p w14:paraId="3E6C10EF" w14:textId="741469F7" w:rsidR="00A75C0F" w:rsidRDefault="00A75C0F" w:rsidP="00AF5836">
            <w:pPr>
              <w:tabs>
                <w:tab w:val="left" w:pos="3375"/>
              </w:tabs>
              <w:spacing w:after="0" w:line="240" w:lineRule="auto"/>
              <w:jc w:val="both"/>
              <w:rPr>
                <w:rFonts w:ascii="Arial" w:eastAsia="Arial Narrow" w:hAnsi="Arial" w:cs="Arial"/>
                <w:sz w:val="20"/>
                <w:szCs w:val="20"/>
              </w:rPr>
            </w:pPr>
            <w:r>
              <w:rPr>
                <w:rFonts w:ascii="Arial" w:eastAsia="Arial Narrow" w:hAnsi="Arial" w:cs="Arial"/>
                <w:sz w:val="20"/>
                <w:szCs w:val="20"/>
              </w:rPr>
              <w:t xml:space="preserve">La variable A se determina cuando </w:t>
            </w:r>
            <w:r w:rsidRPr="008A26D2">
              <w:rPr>
                <w:rFonts w:ascii="Arial" w:eastAsia="Arial Narrow" w:hAnsi="Arial" w:cs="Arial"/>
                <w:sz w:val="20"/>
                <w:szCs w:val="20"/>
              </w:rPr>
              <w:t xml:space="preserve">el fortalecimiento de capacidades es </w:t>
            </w:r>
            <w:r>
              <w:rPr>
                <w:rFonts w:ascii="Arial" w:eastAsia="Arial Narrow" w:hAnsi="Arial" w:cs="Arial"/>
                <w:sz w:val="20"/>
                <w:szCs w:val="20"/>
              </w:rPr>
              <w:t xml:space="preserve">entregado </w:t>
            </w:r>
            <w:r w:rsidRPr="008A26D2">
              <w:rPr>
                <w:rFonts w:ascii="Arial" w:eastAsia="Arial Narrow" w:hAnsi="Arial" w:cs="Arial"/>
                <w:sz w:val="20"/>
                <w:szCs w:val="20"/>
              </w:rPr>
              <w:t>a las comunidades nativas y comunidades campesinas incorpora</w:t>
            </w:r>
            <w:r>
              <w:rPr>
                <w:rFonts w:ascii="Arial" w:eastAsia="Arial Narrow" w:hAnsi="Arial" w:cs="Arial"/>
                <w:sz w:val="20"/>
                <w:szCs w:val="20"/>
              </w:rPr>
              <w:t xml:space="preserve">ndo </w:t>
            </w:r>
            <w:r w:rsidRPr="008A26D2">
              <w:rPr>
                <w:rFonts w:ascii="Arial" w:eastAsia="Arial Narrow" w:hAnsi="Arial" w:cs="Arial"/>
                <w:sz w:val="20"/>
                <w:szCs w:val="20"/>
              </w:rPr>
              <w:t xml:space="preserve">aspectos específicos </w:t>
            </w:r>
            <w:r>
              <w:rPr>
                <w:rFonts w:ascii="Arial" w:eastAsia="Arial Narrow" w:hAnsi="Arial" w:cs="Arial"/>
                <w:sz w:val="20"/>
                <w:szCs w:val="20"/>
              </w:rPr>
              <w:t xml:space="preserve">como el </w:t>
            </w:r>
            <w:r w:rsidRPr="008A26D2">
              <w:rPr>
                <w:rFonts w:ascii="Arial" w:eastAsia="Arial Narrow" w:hAnsi="Arial" w:cs="Arial"/>
                <w:sz w:val="20"/>
                <w:szCs w:val="20"/>
              </w:rPr>
              <w:t xml:space="preserve">respeto a </w:t>
            </w:r>
            <w:r>
              <w:rPr>
                <w:rFonts w:ascii="Arial" w:eastAsia="Arial Narrow" w:hAnsi="Arial" w:cs="Arial"/>
                <w:sz w:val="20"/>
                <w:szCs w:val="20"/>
              </w:rPr>
              <w:t xml:space="preserve">su </w:t>
            </w:r>
            <w:r w:rsidRPr="008A26D2">
              <w:rPr>
                <w:rFonts w:ascii="Arial" w:eastAsia="Arial Narrow" w:hAnsi="Arial" w:cs="Arial"/>
                <w:sz w:val="20"/>
                <w:szCs w:val="20"/>
              </w:rPr>
              <w:t>diversidad cultural, el contexto ambiental, las formas de organización, entre otros</w:t>
            </w:r>
            <w:r>
              <w:rPr>
                <w:rFonts w:ascii="Arial" w:eastAsia="Arial Narrow" w:hAnsi="Arial" w:cs="Arial"/>
                <w:sz w:val="20"/>
                <w:szCs w:val="20"/>
              </w:rPr>
              <w:t>.</w:t>
            </w:r>
          </w:p>
          <w:p w14:paraId="612793B4" w14:textId="77777777" w:rsidR="009E5BCC" w:rsidRPr="008A26D2" w:rsidRDefault="009E5BCC" w:rsidP="00AF5836">
            <w:pPr>
              <w:tabs>
                <w:tab w:val="left" w:pos="3375"/>
              </w:tabs>
              <w:spacing w:after="0" w:line="240" w:lineRule="auto"/>
              <w:jc w:val="both"/>
              <w:rPr>
                <w:rFonts w:ascii="Arial" w:eastAsia="Arial Narrow" w:hAnsi="Arial" w:cs="Arial"/>
                <w:sz w:val="20"/>
                <w:szCs w:val="20"/>
              </w:rPr>
            </w:pPr>
          </w:p>
          <w:p w14:paraId="52D26A07" w14:textId="300EE7BA" w:rsidR="00A75C0F" w:rsidRPr="008A26D2" w:rsidRDefault="00A75C0F" w:rsidP="00AF5836">
            <w:pPr>
              <w:tabs>
                <w:tab w:val="left" w:pos="3375"/>
              </w:tabs>
              <w:spacing w:after="0" w:line="240" w:lineRule="auto"/>
              <w:jc w:val="both"/>
              <w:rPr>
                <w:rFonts w:ascii="Arial" w:eastAsia="Arial Narrow" w:hAnsi="Arial" w:cs="Arial"/>
                <w:sz w:val="20"/>
                <w:szCs w:val="20"/>
              </w:rPr>
            </w:pPr>
            <w:r>
              <w:rPr>
                <w:rFonts w:ascii="Arial" w:eastAsia="Arial Narrow" w:hAnsi="Arial" w:cs="Arial"/>
                <w:sz w:val="20"/>
                <w:szCs w:val="20"/>
              </w:rPr>
              <w:lastRenderedPageBreak/>
              <w:t xml:space="preserve">La variable B se determina como el total de </w:t>
            </w:r>
            <w:r w:rsidRPr="000E7F83">
              <w:rPr>
                <w:rFonts w:ascii="Arial" w:eastAsia="Arial Narrow" w:hAnsi="Arial" w:cs="Arial"/>
                <w:sz w:val="20"/>
                <w:szCs w:val="20"/>
              </w:rPr>
              <w:t>comunidades nativas y comunidades campesinas que recibieron fortalecimiento de capacidades en manejo forestal comunitario</w:t>
            </w:r>
            <w:r w:rsidR="00873402">
              <w:rPr>
                <w:rFonts w:ascii="Arial" w:eastAsia="Arial Narrow" w:hAnsi="Arial" w:cs="Arial"/>
                <w:sz w:val="20"/>
                <w:szCs w:val="20"/>
              </w:rPr>
              <w:t xml:space="preserve"> en el año de medición</w:t>
            </w:r>
            <w:r>
              <w:rPr>
                <w:rFonts w:ascii="Arial" w:eastAsia="Arial Narrow" w:hAnsi="Arial" w:cs="Arial"/>
                <w:sz w:val="20"/>
                <w:szCs w:val="20"/>
              </w:rPr>
              <w:t>.</w:t>
            </w:r>
          </w:p>
          <w:p w14:paraId="6D3A7A23" w14:textId="77777777" w:rsidR="00A75C0F" w:rsidRPr="008A26D2" w:rsidRDefault="00A75C0F" w:rsidP="00AF5836">
            <w:pPr>
              <w:tabs>
                <w:tab w:val="left" w:pos="3375"/>
              </w:tabs>
              <w:spacing w:after="0" w:line="240" w:lineRule="auto"/>
              <w:jc w:val="both"/>
              <w:rPr>
                <w:rFonts w:ascii="Arial" w:eastAsia="Arial Narrow" w:hAnsi="Arial" w:cs="Arial"/>
                <w:sz w:val="20"/>
                <w:szCs w:val="20"/>
              </w:rPr>
            </w:pPr>
          </w:p>
          <w:p w14:paraId="776C8A9F" w14:textId="2C3952BE" w:rsidR="00A75C0F" w:rsidRPr="008A26D2" w:rsidRDefault="00A75C0F" w:rsidP="00AF5836">
            <w:pPr>
              <w:tabs>
                <w:tab w:val="left" w:pos="3375"/>
              </w:tabs>
              <w:spacing w:after="0" w:line="240" w:lineRule="auto"/>
              <w:jc w:val="both"/>
              <w:rPr>
                <w:rFonts w:ascii="Arial" w:eastAsia="Arial Narrow" w:hAnsi="Arial" w:cs="Arial"/>
                <w:sz w:val="20"/>
                <w:szCs w:val="20"/>
              </w:rPr>
            </w:pPr>
            <w:r>
              <w:rPr>
                <w:rFonts w:ascii="Arial" w:eastAsia="Arial Narrow" w:hAnsi="Arial" w:cs="Arial"/>
                <w:sz w:val="20"/>
                <w:szCs w:val="20"/>
              </w:rPr>
              <w:t>Cabe mencionar que e</w:t>
            </w:r>
            <w:r w:rsidRPr="008A26D2">
              <w:rPr>
                <w:rFonts w:ascii="Arial" w:eastAsia="Arial Narrow" w:hAnsi="Arial" w:cs="Arial"/>
                <w:sz w:val="20"/>
                <w:szCs w:val="20"/>
              </w:rPr>
              <w:t>l total de comunidades nativas es de 2703 y comunidades campesinas de sierra y costa</w:t>
            </w:r>
            <w:r w:rsidRPr="008A26D2">
              <w:rPr>
                <w:rStyle w:val="Refdenotaalpie"/>
                <w:rFonts w:ascii="Arial" w:eastAsia="Arial Narrow" w:hAnsi="Arial" w:cs="Arial"/>
                <w:sz w:val="20"/>
                <w:szCs w:val="20"/>
              </w:rPr>
              <w:footnoteReference w:id="8"/>
            </w:r>
            <w:r w:rsidRPr="008A26D2">
              <w:rPr>
                <w:rFonts w:ascii="Arial" w:eastAsia="Arial Narrow" w:hAnsi="Arial" w:cs="Arial"/>
                <w:sz w:val="20"/>
                <w:szCs w:val="20"/>
              </w:rPr>
              <w:t xml:space="preserve"> es de 6682.</w:t>
            </w:r>
          </w:p>
          <w:p w14:paraId="1A0EE3FC" w14:textId="77777777" w:rsidR="00A75C0F" w:rsidRPr="008A26D2" w:rsidRDefault="00A75C0F" w:rsidP="00AF5836">
            <w:pPr>
              <w:tabs>
                <w:tab w:val="left" w:pos="3375"/>
              </w:tabs>
              <w:spacing w:after="0" w:line="240" w:lineRule="auto"/>
              <w:jc w:val="both"/>
              <w:rPr>
                <w:rFonts w:ascii="Arial" w:eastAsia="Arial Narrow" w:hAnsi="Arial" w:cs="Arial"/>
                <w:sz w:val="20"/>
                <w:szCs w:val="20"/>
              </w:rPr>
            </w:pPr>
          </w:p>
          <w:p w14:paraId="484CF584" w14:textId="77777777" w:rsidR="00A75C0F" w:rsidRPr="008A26D2" w:rsidRDefault="00A75C0F" w:rsidP="00AF5836">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Se carece de línea base porque el servicio es nuevo, por ese motivo, el SERFOR determinará la línea base para su cálculo antes del inicio de la implementación de la presente Política Nacional.</w:t>
            </w:r>
          </w:p>
          <w:p w14:paraId="4B73A0EB" w14:textId="77777777" w:rsidR="00A75C0F" w:rsidRPr="008A26D2" w:rsidRDefault="00A75C0F" w:rsidP="00AF5836">
            <w:pPr>
              <w:tabs>
                <w:tab w:val="left" w:pos="3375"/>
              </w:tabs>
              <w:spacing w:after="0" w:line="240" w:lineRule="auto"/>
              <w:jc w:val="both"/>
              <w:rPr>
                <w:rFonts w:ascii="Arial" w:eastAsia="Arial Narrow" w:hAnsi="Arial" w:cs="Arial"/>
                <w:sz w:val="20"/>
                <w:szCs w:val="20"/>
              </w:rPr>
            </w:pPr>
          </w:p>
        </w:tc>
      </w:tr>
      <w:tr w:rsidR="00A75C0F" w:rsidRPr="008A26D2" w14:paraId="50D31A35" w14:textId="77777777" w:rsidTr="00AF5836">
        <w:trPr>
          <w:trHeight w:val="436"/>
          <w:jc w:val="center"/>
        </w:trPr>
        <w:tc>
          <w:tcPr>
            <w:tcW w:w="212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A63E5FF" w14:textId="77777777" w:rsidR="00A75C0F" w:rsidRPr="008A26D2" w:rsidRDefault="00A75C0F" w:rsidP="00AF5836">
            <w:pPr>
              <w:tabs>
                <w:tab w:val="left" w:pos="3375"/>
              </w:tabs>
              <w:spacing w:after="0" w:line="240" w:lineRule="auto"/>
              <w:jc w:val="both"/>
              <w:rPr>
                <w:rFonts w:ascii="Arial" w:eastAsia="Arial Narrow" w:hAnsi="Arial" w:cs="Arial"/>
                <w:b/>
                <w:sz w:val="20"/>
                <w:szCs w:val="20"/>
              </w:rPr>
            </w:pPr>
            <w:r w:rsidRPr="008A26D2">
              <w:rPr>
                <w:rFonts w:ascii="Arial" w:eastAsia="Arial Narrow" w:hAnsi="Arial" w:cs="Arial"/>
                <w:b/>
                <w:sz w:val="20"/>
                <w:szCs w:val="20"/>
              </w:rPr>
              <w:lastRenderedPageBreak/>
              <w:t>Sentido esperado del indicador:</w:t>
            </w:r>
          </w:p>
        </w:tc>
        <w:tc>
          <w:tcPr>
            <w:tcW w:w="25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57B2C80" w14:textId="77777777" w:rsidR="00A75C0F" w:rsidRPr="008A26D2" w:rsidRDefault="00A75C0F" w:rsidP="00AF5836">
            <w:pPr>
              <w:tabs>
                <w:tab w:val="left" w:pos="3375"/>
              </w:tabs>
              <w:spacing w:after="0" w:line="240" w:lineRule="auto"/>
              <w:jc w:val="both"/>
              <w:rPr>
                <w:rFonts w:ascii="Arial" w:eastAsia="Arial Narrow" w:hAnsi="Arial" w:cs="Arial"/>
                <w:sz w:val="20"/>
                <w:szCs w:val="20"/>
              </w:rPr>
            </w:pPr>
            <w:r w:rsidRPr="008A26D2">
              <w:rPr>
                <w:rFonts w:ascii="Arial" w:eastAsia="Arial Narrow" w:hAnsi="Arial" w:cs="Arial"/>
                <w:sz w:val="20"/>
                <w:szCs w:val="20"/>
              </w:rPr>
              <w:t>Ascendente</w:t>
            </w:r>
          </w:p>
        </w:tc>
        <w:tc>
          <w:tcPr>
            <w:tcW w:w="183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166DB34" w14:textId="77777777" w:rsidR="00A75C0F" w:rsidRPr="008A26D2" w:rsidRDefault="00A75C0F" w:rsidP="00AF5836">
            <w:pPr>
              <w:tabs>
                <w:tab w:val="left" w:pos="3375"/>
              </w:tabs>
              <w:spacing w:after="0" w:line="240" w:lineRule="auto"/>
              <w:jc w:val="both"/>
              <w:rPr>
                <w:rFonts w:ascii="Arial" w:eastAsia="Arial Narrow" w:hAnsi="Arial" w:cs="Arial"/>
                <w:b/>
                <w:sz w:val="20"/>
                <w:szCs w:val="20"/>
              </w:rPr>
            </w:pPr>
            <w:r w:rsidRPr="008A26D2">
              <w:rPr>
                <w:rFonts w:ascii="Arial" w:eastAsia="Arial Narrow" w:hAnsi="Arial" w:cs="Arial"/>
                <w:b/>
                <w:sz w:val="20"/>
                <w:szCs w:val="20"/>
              </w:rPr>
              <w:t>Tipo de indicador de servicio</w:t>
            </w:r>
          </w:p>
        </w:tc>
        <w:tc>
          <w:tcPr>
            <w:tcW w:w="228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1F43647" w14:textId="77777777" w:rsidR="00A75C0F" w:rsidRPr="008A26D2" w:rsidRDefault="00A75C0F" w:rsidP="00AF5836">
            <w:pPr>
              <w:tabs>
                <w:tab w:val="left" w:pos="3375"/>
              </w:tabs>
              <w:spacing w:after="0" w:line="240" w:lineRule="auto"/>
              <w:jc w:val="both"/>
              <w:rPr>
                <w:rFonts w:ascii="Arial" w:eastAsia="Arial Narrow" w:hAnsi="Arial" w:cs="Arial"/>
                <w:sz w:val="20"/>
                <w:szCs w:val="20"/>
              </w:rPr>
            </w:pPr>
            <w:r w:rsidRPr="008A26D2">
              <w:rPr>
                <w:rFonts w:ascii="Arial" w:eastAsia="Arial Narrow" w:hAnsi="Arial" w:cs="Arial"/>
                <w:sz w:val="20"/>
                <w:szCs w:val="20"/>
              </w:rPr>
              <w:t>Calidad – Pertinencia cultural</w:t>
            </w:r>
          </w:p>
        </w:tc>
      </w:tr>
      <w:tr w:rsidR="00A75C0F" w:rsidRPr="008A26D2" w14:paraId="439C8AC2" w14:textId="77777777" w:rsidTr="00AF5836">
        <w:trPr>
          <w:trHeight w:val="532"/>
          <w:jc w:val="center"/>
        </w:trPr>
        <w:tc>
          <w:tcPr>
            <w:tcW w:w="212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DA149FB" w14:textId="77777777" w:rsidR="00A75C0F" w:rsidRPr="008A26D2" w:rsidRDefault="00A75C0F" w:rsidP="00AF5836">
            <w:pPr>
              <w:tabs>
                <w:tab w:val="left" w:pos="3375"/>
              </w:tabs>
              <w:spacing w:after="0" w:line="240" w:lineRule="auto"/>
              <w:jc w:val="both"/>
              <w:rPr>
                <w:rFonts w:ascii="Arial" w:eastAsia="Arial Narrow" w:hAnsi="Arial" w:cs="Arial"/>
                <w:b/>
                <w:sz w:val="20"/>
                <w:szCs w:val="20"/>
              </w:rPr>
            </w:pPr>
            <w:r w:rsidRPr="008A26D2">
              <w:rPr>
                <w:rFonts w:ascii="Arial" w:eastAsia="Arial Narrow" w:hAnsi="Arial" w:cs="Arial"/>
                <w:b/>
                <w:sz w:val="20"/>
                <w:szCs w:val="20"/>
              </w:rPr>
              <w:t>Fuente y base de datos:</w:t>
            </w:r>
          </w:p>
        </w:tc>
        <w:tc>
          <w:tcPr>
            <w:tcW w:w="666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F9FFD26" w14:textId="77777777" w:rsidR="00A75C0F" w:rsidRPr="008A26D2" w:rsidRDefault="00A75C0F" w:rsidP="00AF5836">
            <w:pPr>
              <w:tabs>
                <w:tab w:val="left" w:pos="3375"/>
              </w:tabs>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Fuente: Unidad Funcional de Manejo Forestal Comunitario de la Dirección Ejecutiva del </w:t>
            </w:r>
            <w:r>
              <w:rPr>
                <w:rFonts w:ascii="Arial" w:eastAsia="Arial Narrow" w:hAnsi="Arial" w:cs="Arial"/>
                <w:sz w:val="20"/>
                <w:szCs w:val="20"/>
              </w:rPr>
              <w:t xml:space="preserve">Servicio Nacional Forestal y de Fauna Silvestre - </w:t>
            </w:r>
            <w:r w:rsidRPr="008A26D2">
              <w:rPr>
                <w:rFonts w:ascii="Arial" w:eastAsia="Arial Narrow" w:hAnsi="Arial" w:cs="Arial"/>
                <w:sz w:val="20"/>
                <w:szCs w:val="20"/>
              </w:rPr>
              <w:t xml:space="preserve">SERFOR </w:t>
            </w:r>
          </w:p>
          <w:p w14:paraId="041C0FF3" w14:textId="02547CC5" w:rsidR="00A75C0F" w:rsidRPr="008A26D2" w:rsidRDefault="00A75C0F" w:rsidP="00AF5836">
            <w:pPr>
              <w:tabs>
                <w:tab w:val="left" w:pos="3375"/>
              </w:tabs>
              <w:spacing w:after="0" w:line="240" w:lineRule="auto"/>
              <w:jc w:val="both"/>
              <w:rPr>
                <w:rFonts w:ascii="Arial" w:eastAsia="Arial Narrow" w:hAnsi="Arial" w:cs="Arial"/>
                <w:sz w:val="20"/>
                <w:szCs w:val="20"/>
              </w:rPr>
            </w:pPr>
            <w:r w:rsidRPr="008A26D2">
              <w:rPr>
                <w:rFonts w:ascii="Arial" w:eastAsia="Arial Narrow" w:hAnsi="Arial" w:cs="Arial"/>
                <w:sz w:val="20"/>
                <w:szCs w:val="20"/>
              </w:rPr>
              <w:t>Base de datos: reporte de fortalecimiento de capacidades en manejo forestal comunitario</w:t>
            </w:r>
            <w:r>
              <w:rPr>
                <w:rFonts w:ascii="Arial" w:eastAsia="Arial Narrow" w:hAnsi="Arial" w:cs="Arial"/>
                <w:sz w:val="20"/>
                <w:szCs w:val="20"/>
              </w:rPr>
              <w:t>.</w:t>
            </w:r>
          </w:p>
        </w:tc>
      </w:tr>
      <w:tr w:rsidR="00A75C0F" w:rsidRPr="008A26D2" w14:paraId="4C8CC726" w14:textId="77777777" w:rsidTr="00AF5836">
        <w:trPr>
          <w:trHeight w:val="525"/>
          <w:jc w:val="center"/>
        </w:trPr>
        <w:tc>
          <w:tcPr>
            <w:tcW w:w="212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7841821" w14:textId="77777777" w:rsidR="00A75C0F" w:rsidRPr="008A26D2" w:rsidRDefault="00A75C0F" w:rsidP="00AF5836">
            <w:pPr>
              <w:tabs>
                <w:tab w:val="left" w:pos="3375"/>
              </w:tabs>
              <w:spacing w:after="0" w:line="240" w:lineRule="auto"/>
              <w:jc w:val="both"/>
              <w:rPr>
                <w:rFonts w:ascii="Arial" w:eastAsia="Arial Narrow" w:hAnsi="Arial" w:cs="Arial"/>
                <w:b/>
                <w:sz w:val="20"/>
                <w:szCs w:val="20"/>
              </w:rPr>
            </w:pPr>
            <w:r w:rsidRPr="008A26D2">
              <w:rPr>
                <w:rFonts w:ascii="Arial" w:eastAsia="Arial Narrow" w:hAnsi="Arial" w:cs="Arial"/>
                <w:b/>
                <w:sz w:val="20"/>
                <w:szCs w:val="20"/>
              </w:rPr>
              <w:t>Supuestos:</w:t>
            </w:r>
          </w:p>
        </w:tc>
        <w:tc>
          <w:tcPr>
            <w:tcW w:w="666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519E9A28" w14:textId="77777777" w:rsidR="00A75C0F" w:rsidRPr="008A26D2" w:rsidRDefault="00A75C0F" w:rsidP="00AF5836">
            <w:pPr>
              <w:tabs>
                <w:tab w:val="left" w:pos="3375"/>
              </w:tabs>
              <w:spacing w:after="0" w:line="240" w:lineRule="auto"/>
              <w:jc w:val="both"/>
              <w:rPr>
                <w:rFonts w:ascii="Arial" w:eastAsia="Arial Narrow" w:hAnsi="Arial" w:cs="Arial"/>
                <w:sz w:val="20"/>
                <w:szCs w:val="20"/>
              </w:rPr>
            </w:pPr>
            <w:r w:rsidRPr="008A26D2">
              <w:rPr>
                <w:rFonts w:ascii="Arial" w:eastAsia="Arial Narrow" w:hAnsi="Arial" w:cs="Arial"/>
                <w:sz w:val="20"/>
                <w:szCs w:val="20"/>
              </w:rPr>
              <w:t>Interés y disponibilidad de las comunidades nativas y comunidades campesinas en acceder a nuevos conocimientos en manejo forestal comunitario, con pertinencia intercultural y lingüística.</w:t>
            </w:r>
          </w:p>
        </w:tc>
      </w:tr>
      <w:tr w:rsidR="00A75C0F" w:rsidRPr="008A26D2" w14:paraId="0B0D9265" w14:textId="77777777" w:rsidTr="00AF5836">
        <w:trPr>
          <w:trHeight w:val="532"/>
          <w:jc w:val="center"/>
        </w:trPr>
        <w:tc>
          <w:tcPr>
            <w:tcW w:w="1136" w:type="dxa"/>
            <w:tcBorders>
              <w:top w:val="single" w:sz="4" w:space="0" w:color="auto"/>
              <w:left w:val="single" w:sz="4" w:space="0" w:color="auto"/>
              <w:bottom w:val="single" w:sz="4" w:space="0" w:color="auto"/>
              <w:right w:val="single" w:sz="4" w:space="0" w:color="auto"/>
            </w:tcBorders>
            <w:shd w:val="clear" w:color="auto" w:fill="auto"/>
            <w:vAlign w:val="center"/>
          </w:tcPr>
          <w:p w14:paraId="4FC0D5BE" w14:textId="77777777" w:rsidR="00A75C0F" w:rsidRPr="008A26D2" w:rsidRDefault="00A75C0F" w:rsidP="00AF5836">
            <w:pPr>
              <w:tabs>
                <w:tab w:val="left" w:pos="3375"/>
              </w:tabs>
              <w:spacing w:after="0" w:line="240" w:lineRule="auto"/>
              <w:jc w:val="both"/>
              <w:rPr>
                <w:rFonts w:ascii="Arial" w:eastAsia="Arial Narrow" w:hAnsi="Arial" w:cs="Arial"/>
                <w:sz w:val="20"/>
                <w:szCs w:val="20"/>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3D4CB2B" w14:textId="77777777" w:rsidR="00A75C0F" w:rsidRPr="008A26D2" w:rsidRDefault="00A75C0F" w:rsidP="00AF5836">
            <w:pPr>
              <w:tabs>
                <w:tab w:val="left" w:pos="3375"/>
              </w:tabs>
              <w:spacing w:after="0" w:line="240" w:lineRule="auto"/>
              <w:jc w:val="center"/>
              <w:rPr>
                <w:rFonts w:ascii="Arial" w:eastAsia="Arial Narrow" w:hAnsi="Arial" w:cs="Arial"/>
                <w:b/>
                <w:sz w:val="20"/>
                <w:szCs w:val="20"/>
              </w:rPr>
            </w:pPr>
            <w:r w:rsidRPr="008A26D2">
              <w:rPr>
                <w:rFonts w:ascii="Arial" w:eastAsia="Arial Narrow" w:hAnsi="Arial" w:cs="Arial"/>
                <w:b/>
                <w:sz w:val="20"/>
                <w:szCs w:val="20"/>
              </w:rPr>
              <w:t>Línea de base</w:t>
            </w:r>
          </w:p>
        </w:tc>
        <w:tc>
          <w:tcPr>
            <w:tcW w:w="666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0582EEBE" w14:textId="77777777" w:rsidR="00A75C0F" w:rsidRPr="008A26D2" w:rsidRDefault="00A75C0F" w:rsidP="00AF5836">
            <w:pPr>
              <w:tabs>
                <w:tab w:val="left" w:pos="3375"/>
              </w:tabs>
              <w:spacing w:after="0" w:line="240" w:lineRule="auto"/>
              <w:jc w:val="center"/>
              <w:rPr>
                <w:rFonts w:ascii="Arial" w:eastAsia="Arial Narrow" w:hAnsi="Arial" w:cs="Arial"/>
                <w:b/>
                <w:sz w:val="20"/>
                <w:szCs w:val="20"/>
              </w:rPr>
            </w:pPr>
            <w:r w:rsidRPr="008A26D2">
              <w:rPr>
                <w:rFonts w:ascii="Arial" w:eastAsia="Arial Narrow" w:hAnsi="Arial" w:cs="Arial"/>
                <w:b/>
                <w:sz w:val="20"/>
                <w:szCs w:val="20"/>
              </w:rPr>
              <w:t>Logros esperados por año</w:t>
            </w:r>
          </w:p>
        </w:tc>
      </w:tr>
      <w:tr w:rsidR="00A75C0F" w:rsidRPr="008A26D2" w14:paraId="4048A482" w14:textId="77777777" w:rsidTr="00AF5836">
        <w:trPr>
          <w:trHeight w:val="334"/>
          <w:jc w:val="center"/>
        </w:trPr>
        <w:tc>
          <w:tcPr>
            <w:tcW w:w="1136" w:type="dxa"/>
            <w:tcBorders>
              <w:top w:val="single" w:sz="4" w:space="0" w:color="auto"/>
              <w:left w:val="single" w:sz="4" w:space="0" w:color="auto"/>
              <w:bottom w:val="single" w:sz="4" w:space="0" w:color="auto"/>
              <w:right w:val="single" w:sz="4" w:space="0" w:color="auto"/>
            </w:tcBorders>
            <w:shd w:val="clear" w:color="auto" w:fill="auto"/>
            <w:vAlign w:val="center"/>
          </w:tcPr>
          <w:p w14:paraId="22B5D5FB" w14:textId="77777777" w:rsidR="00A75C0F" w:rsidRPr="008A26D2" w:rsidRDefault="00A75C0F" w:rsidP="00AF5836">
            <w:pPr>
              <w:tabs>
                <w:tab w:val="left" w:pos="3375"/>
              </w:tabs>
              <w:spacing w:after="0" w:line="240" w:lineRule="auto"/>
              <w:jc w:val="both"/>
              <w:rPr>
                <w:rFonts w:ascii="Arial" w:eastAsia="Arial Narrow" w:hAnsi="Arial" w:cs="Arial"/>
                <w:b/>
                <w:sz w:val="20"/>
                <w:szCs w:val="20"/>
              </w:rPr>
            </w:pPr>
            <w:r w:rsidRPr="008A26D2">
              <w:rPr>
                <w:rFonts w:ascii="Arial" w:eastAsia="Arial Narrow" w:hAnsi="Arial" w:cs="Arial"/>
                <w:b/>
                <w:sz w:val="20"/>
                <w:szCs w:val="20"/>
              </w:rPr>
              <w:t>Año</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4DEB4E2" w14:textId="77777777" w:rsidR="00A75C0F" w:rsidRPr="008A26D2" w:rsidRDefault="00A75C0F" w:rsidP="00873402">
            <w:pPr>
              <w:tabs>
                <w:tab w:val="left" w:pos="3375"/>
              </w:tabs>
              <w:spacing w:after="0" w:line="240" w:lineRule="auto"/>
              <w:jc w:val="center"/>
              <w:rPr>
                <w:rFonts w:ascii="Arial" w:eastAsia="Arial Narrow" w:hAnsi="Arial" w:cs="Arial"/>
                <w:b/>
                <w:sz w:val="20"/>
                <w:szCs w:val="20"/>
              </w:rPr>
            </w:pPr>
            <w:r w:rsidRPr="008A26D2">
              <w:rPr>
                <w:rFonts w:ascii="Arial" w:eastAsia="Arial Narrow" w:hAnsi="Arial" w:cs="Arial"/>
                <w:b/>
                <w:sz w:val="20"/>
                <w:szCs w:val="20"/>
              </w:rPr>
              <w:t>2022</w:t>
            </w:r>
          </w:p>
        </w:tc>
        <w:tc>
          <w:tcPr>
            <w:tcW w:w="1123" w:type="dxa"/>
            <w:tcBorders>
              <w:top w:val="single" w:sz="4" w:space="0" w:color="auto"/>
              <w:left w:val="single" w:sz="4" w:space="0" w:color="auto"/>
              <w:bottom w:val="single" w:sz="4" w:space="0" w:color="auto"/>
              <w:right w:val="single" w:sz="4" w:space="0" w:color="auto"/>
            </w:tcBorders>
            <w:shd w:val="clear" w:color="auto" w:fill="auto"/>
            <w:vAlign w:val="center"/>
          </w:tcPr>
          <w:p w14:paraId="5ECE0C81" w14:textId="77777777" w:rsidR="00A75C0F" w:rsidRPr="008A26D2" w:rsidRDefault="00A75C0F" w:rsidP="00873402">
            <w:pPr>
              <w:tabs>
                <w:tab w:val="left" w:pos="3375"/>
              </w:tabs>
              <w:spacing w:after="0" w:line="240" w:lineRule="auto"/>
              <w:jc w:val="center"/>
              <w:rPr>
                <w:rFonts w:ascii="Arial" w:eastAsia="Arial Narrow" w:hAnsi="Arial" w:cs="Arial"/>
                <w:b/>
                <w:sz w:val="20"/>
                <w:szCs w:val="20"/>
              </w:rPr>
            </w:pPr>
            <w:r w:rsidRPr="008A26D2">
              <w:rPr>
                <w:rFonts w:ascii="Arial" w:eastAsia="Arial Narrow" w:hAnsi="Arial" w:cs="Arial"/>
                <w:b/>
                <w:sz w:val="20"/>
                <w:szCs w:val="20"/>
              </w:rPr>
              <w:t>2023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1C298DE" w14:textId="77777777" w:rsidR="00A75C0F" w:rsidRPr="008A26D2" w:rsidRDefault="00A75C0F" w:rsidP="00873402">
            <w:pPr>
              <w:tabs>
                <w:tab w:val="left" w:pos="3375"/>
              </w:tabs>
              <w:spacing w:after="0" w:line="240" w:lineRule="auto"/>
              <w:jc w:val="center"/>
              <w:rPr>
                <w:rFonts w:ascii="Arial" w:eastAsia="Arial Narrow" w:hAnsi="Arial" w:cs="Arial"/>
                <w:b/>
                <w:sz w:val="20"/>
                <w:szCs w:val="20"/>
              </w:rPr>
            </w:pPr>
            <w:r w:rsidRPr="008A26D2">
              <w:rPr>
                <w:rFonts w:ascii="Arial" w:eastAsia="Arial Narrow" w:hAnsi="Arial" w:cs="Arial"/>
                <w:b/>
                <w:sz w:val="20"/>
                <w:szCs w:val="20"/>
              </w:rPr>
              <w:t>2024</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16F349F" w14:textId="77777777" w:rsidR="00A75C0F" w:rsidRPr="008A26D2" w:rsidRDefault="00A75C0F" w:rsidP="00873402">
            <w:pPr>
              <w:tabs>
                <w:tab w:val="left" w:pos="3375"/>
              </w:tabs>
              <w:spacing w:after="0" w:line="240" w:lineRule="auto"/>
              <w:jc w:val="center"/>
              <w:rPr>
                <w:rFonts w:ascii="Arial" w:eastAsia="Arial Narrow" w:hAnsi="Arial" w:cs="Arial"/>
                <w:b/>
                <w:sz w:val="20"/>
                <w:szCs w:val="20"/>
              </w:rPr>
            </w:pPr>
            <w:r w:rsidRPr="008A26D2">
              <w:rPr>
                <w:rFonts w:ascii="Arial" w:eastAsia="Arial Narrow" w:hAnsi="Arial" w:cs="Arial"/>
                <w:b/>
                <w:sz w:val="20"/>
                <w:szCs w:val="20"/>
              </w:rPr>
              <w:t>2025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62428589" w14:textId="77777777" w:rsidR="00A75C0F" w:rsidRPr="008A26D2" w:rsidRDefault="00A75C0F" w:rsidP="00873402">
            <w:pPr>
              <w:tabs>
                <w:tab w:val="left" w:pos="3375"/>
              </w:tabs>
              <w:spacing w:after="0" w:line="240" w:lineRule="auto"/>
              <w:jc w:val="center"/>
              <w:rPr>
                <w:rFonts w:ascii="Arial" w:eastAsia="Arial Narrow" w:hAnsi="Arial" w:cs="Arial"/>
                <w:b/>
                <w:sz w:val="20"/>
                <w:szCs w:val="20"/>
              </w:rPr>
            </w:pPr>
            <w:r w:rsidRPr="008A26D2">
              <w:rPr>
                <w:rFonts w:ascii="Arial" w:eastAsia="Arial Narrow" w:hAnsi="Arial" w:cs="Arial"/>
                <w:b/>
                <w:sz w:val="20"/>
                <w:szCs w:val="20"/>
              </w:rPr>
              <w:t>2026</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D09C771" w14:textId="77777777" w:rsidR="00A75C0F" w:rsidRPr="008A26D2" w:rsidRDefault="00A75C0F" w:rsidP="00873402">
            <w:pPr>
              <w:tabs>
                <w:tab w:val="left" w:pos="3375"/>
              </w:tabs>
              <w:spacing w:after="0" w:line="240" w:lineRule="auto"/>
              <w:jc w:val="center"/>
              <w:rPr>
                <w:rFonts w:ascii="Arial" w:eastAsia="Arial Narrow" w:hAnsi="Arial" w:cs="Arial"/>
                <w:b/>
                <w:sz w:val="20"/>
                <w:szCs w:val="20"/>
              </w:rPr>
            </w:pPr>
            <w:r w:rsidRPr="008A26D2">
              <w:rPr>
                <w:rFonts w:ascii="Arial" w:eastAsia="Arial Narrow" w:hAnsi="Arial" w:cs="Arial"/>
                <w:b/>
                <w:sz w:val="20"/>
                <w:szCs w:val="20"/>
              </w:rPr>
              <w:t>2027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B34F864" w14:textId="77777777" w:rsidR="00A75C0F" w:rsidRPr="008A26D2" w:rsidRDefault="00A75C0F" w:rsidP="00873402">
            <w:pPr>
              <w:tabs>
                <w:tab w:val="left" w:pos="3375"/>
              </w:tabs>
              <w:spacing w:after="0" w:line="240" w:lineRule="auto"/>
              <w:jc w:val="center"/>
              <w:rPr>
                <w:rFonts w:ascii="Arial" w:eastAsia="Arial Narrow" w:hAnsi="Arial" w:cs="Arial"/>
                <w:b/>
                <w:sz w:val="20"/>
                <w:szCs w:val="20"/>
              </w:rPr>
            </w:pPr>
            <w:r w:rsidRPr="008A26D2">
              <w:rPr>
                <w:rFonts w:ascii="Arial" w:eastAsia="Arial Narrow" w:hAnsi="Arial" w:cs="Arial"/>
                <w:b/>
                <w:sz w:val="20"/>
                <w:szCs w:val="20"/>
              </w:rPr>
              <w:t>2028</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6A29F2F6" w14:textId="77777777" w:rsidR="00A75C0F" w:rsidRPr="008A26D2" w:rsidRDefault="00A75C0F" w:rsidP="00873402">
            <w:pPr>
              <w:tabs>
                <w:tab w:val="left" w:pos="3375"/>
              </w:tabs>
              <w:spacing w:after="0" w:line="240" w:lineRule="auto"/>
              <w:jc w:val="center"/>
              <w:rPr>
                <w:rFonts w:ascii="Arial" w:eastAsia="Arial Narrow" w:hAnsi="Arial" w:cs="Arial"/>
                <w:b/>
                <w:sz w:val="20"/>
                <w:szCs w:val="20"/>
              </w:rPr>
            </w:pPr>
            <w:r w:rsidRPr="008A26D2">
              <w:rPr>
                <w:rFonts w:ascii="Arial" w:eastAsia="Arial Narrow" w:hAnsi="Arial" w:cs="Arial"/>
                <w:b/>
                <w:sz w:val="20"/>
                <w:szCs w:val="20"/>
              </w:rPr>
              <w:t>2029</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65AB117" w14:textId="77777777" w:rsidR="00A75C0F" w:rsidRPr="008A26D2" w:rsidRDefault="00A75C0F" w:rsidP="00873402">
            <w:pPr>
              <w:tabs>
                <w:tab w:val="left" w:pos="3375"/>
              </w:tabs>
              <w:spacing w:after="0" w:line="240" w:lineRule="auto"/>
              <w:jc w:val="center"/>
              <w:rPr>
                <w:rFonts w:ascii="Arial" w:eastAsia="Arial Narrow" w:hAnsi="Arial" w:cs="Arial"/>
                <w:b/>
                <w:sz w:val="20"/>
                <w:szCs w:val="20"/>
              </w:rPr>
            </w:pPr>
            <w:r w:rsidRPr="008A26D2">
              <w:rPr>
                <w:rFonts w:ascii="Arial" w:eastAsia="Arial Narrow" w:hAnsi="Arial" w:cs="Arial"/>
                <w:b/>
                <w:sz w:val="20"/>
                <w:szCs w:val="20"/>
              </w:rPr>
              <w:t>2030</w:t>
            </w:r>
          </w:p>
        </w:tc>
      </w:tr>
      <w:tr w:rsidR="00A75C0F" w:rsidRPr="008A26D2" w14:paraId="5E8594C3" w14:textId="77777777" w:rsidTr="00AF5836">
        <w:trPr>
          <w:trHeight w:val="410"/>
          <w:jc w:val="center"/>
        </w:trPr>
        <w:tc>
          <w:tcPr>
            <w:tcW w:w="1136" w:type="dxa"/>
            <w:tcBorders>
              <w:top w:val="single" w:sz="4" w:space="0" w:color="auto"/>
              <w:left w:val="single" w:sz="4" w:space="0" w:color="auto"/>
              <w:bottom w:val="single" w:sz="4" w:space="0" w:color="auto"/>
              <w:right w:val="single" w:sz="4" w:space="0" w:color="auto"/>
            </w:tcBorders>
            <w:shd w:val="clear" w:color="auto" w:fill="auto"/>
            <w:vAlign w:val="center"/>
          </w:tcPr>
          <w:p w14:paraId="3DDBF14F" w14:textId="77777777" w:rsidR="00A75C0F" w:rsidRPr="008A26D2" w:rsidRDefault="00A75C0F" w:rsidP="00AF5836">
            <w:pPr>
              <w:tabs>
                <w:tab w:val="left" w:pos="3375"/>
              </w:tabs>
              <w:spacing w:after="0" w:line="240" w:lineRule="auto"/>
              <w:jc w:val="both"/>
              <w:rPr>
                <w:rFonts w:ascii="Arial" w:eastAsia="Arial Narrow" w:hAnsi="Arial" w:cs="Arial"/>
                <w:b/>
                <w:sz w:val="20"/>
                <w:szCs w:val="20"/>
              </w:rPr>
            </w:pPr>
            <w:r w:rsidRPr="008A26D2">
              <w:rPr>
                <w:rFonts w:ascii="Arial" w:eastAsia="Arial Narrow" w:hAnsi="Arial" w:cs="Arial"/>
                <w:b/>
                <w:sz w:val="20"/>
                <w:szCs w:val="20"/>
              </w:rPr>
              <w:t>Valor</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9C5349F" w14:textId="6BE6231C" w:rsidR="00A75C0F" w:rsidRPr="008A26D2" w:rsidRDefault="00873402" w:rsidP="00873402">
            <w:pPr>
              <w:tabs>
                <w:tab w:val="left" w:pos="3375"/>
              </w:tabs>
              <w:spacing w:after="0" w:line="240" w:lineRule="auto"/>
              <w:jc w:val="center"/>
              <w:rPr>
                <w:rFonts w:ascii="Arial" w:eastAsia="Arial Narrow" w:hAnsi="Arial" w:cs="Arial"/>
                <w:sz w:val="20"/>
                <w:szCs w:val="20"/>
              </w:rPr>
            </w:pPr>
            <w:r>
              <w:rPr>
                <w:rFonts w:ascii="Arial" w:eastAsia="Arial Narrow" w:hAnsi="Arial" w:cs="Arial"/>
                <w:sz w:val="20"/>
                <w:szCs w:val="20"/>
              </w:rPr>
              <w:t>ND</w:t>
            </w:r>
          </w:p>
        </w:tc>
        <w:tc>
          <w:tcPr>
            <w:tcW w:w="1123" w:type="dxa"/>
            <w:tcBorders>
              <w:top w:val="single" w:sz="4" w:space="0" w:color="auto"/>
              <w:left w:val="single" w:sz="4" w:space="0" w:color="auto"/>
              <w:bottom w:val="single" w:sz="4" w:space="0" w:color="auto"/>
              <w:right w:val="single" w:sz="4" w:space="0" w:color="auto"/>
            </w:tcBorders>
            <w:shd w:val="clear" w:color="auto" w:fill="auto"/>
            <w:vAlign w:val="center"/>
          </w:tcPr>
          <w:p w14:paraId="5D809831" w14:textId="77777777" w:rsidR="00A75C0F" w:rsidRPr="008A26D2" w:rsidRDefault="00A75C0F" w:rsidP="00873402">
            <w:pPr>
              <w:tabs>
                <w:tab w:val="left" w:pos="3375"/>
              </w:tabs>
              <w:spacing w:after="0" w:line="240" w:lineRule="auto"/>
              <w:jc w:val="center"/>
              <w:rPr>
                <w:rFonts w:ascii="Arial" w:eastAsia="Arial Narrow" w:hAnsi="Arial" w:cs="Arial"/>
                <w:sz w:val="20"/>
                <w:szCs w:val="20"/>
              </w:rPr>
            </w:pPr>
            <w:r w:rsidRPr="008A26D2">
              <w:rPr>
                <w:rFonts w:ascii="Arial" w:eastAsia="Arial Narrow" w:hAnsi="Arial" w:cs="Arial"/>
                <w:sz w:val="20"/>
                <w:szCs w:val="20"/>
              </w:rPr>
              <w:t>10%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95B873D" w14:textId="77777777" w:rsidR="00A75C0F" w:rsidRPr="008A26D2" w:rsidRDefault="00A75C0F" w:rsidP="00873402">
            <w:pPr>
              <w:tabs>
                <w:tab w:val="left" w:pos="3375"/>
              </w:tabs>
              <w:spacing w:after="0" w:line="240" w:lineRule="auto"/>
              <w:jc w:val="center"/>
              <w:rPr>
                <w:rFonts w:ascii="Arial" w:eastAsia="Arial Narrow" w:hAnsi="Arial" w:cs="Arial"/>
                <w:sz w:val="20"/>
                <w:szCs w:val="20"/>
              </w:rPr>
            </w:pPr>
            <w:r w:rsidRPr="008A26D2">
              <w:rPr>
                <w:rFonts w:ascii="Arial" w:eastAsia="Arial Narrow" w:hAnsi="Arial" w:cs="Arial"/>
                <w:sz w:val="20"/>
                <w:szCs w:val="20"/>
              </w:rPr>
              <w:t>20%</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75FF72B" w14:textId="77777777" w:rsidR="00A75C0F" w:rsidRPr="008A26D2" w:rsidRDefault="00A75C0F" w:rsidP="00873402">
            <w:pPr>
              <w:tabs>
                <w:tab w:val="left" w:pos="3375"/>
              </w:tabs>
              <w:spacing w:after="0" w:line="240" w:lineRule="auto"/>
              <w:jc w:val="center"/>
              <w:rPr>
                <w:rFonts w:ascii="Arial" w:eastAsia="Arial Narrow" w:hAnsi="Arial" w:cs="Arial"/>
                <w:sz w:val="20"/>
                <w:szCs w:val="20"/>
              </w:rPr>
            </w:pPr>
            <w:r w:rsidRPr="008A26D2">
              <w:rPr>
                <w:rFonts w:ascii="Arial" w:eastAsia="Arial Narrow" w:hAnsi="Arial" w:cs="Arial"/>
                <w:sz w:val="20"/>
                <w:szCs w:val="20"/>
              </w:rPr>
              <w:t>35%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7799F573" w14:textId="77777777" w:rsidR="00A75C0F" w:rsidRPr="008A26D2" w:rsidRDefault="00A75C0F" w:rsidP="00873402">
            <w:pPr>
              <w:tabs>
                <w:tab w:val="left" w:pos="3375"/>
              </w:tabs>
              <w:spacing w:after="0" w:line="240" w:lineRule="auto"/>
              <w:jc w:val="center"/>
              <w:rPr>
                <w:rFonts w:ascii="Arial" w:eastAsia="Arial Narrow" w:hAnsi="Arial" w:cs="Arial"/>
                <w:sz w:val="20"/>
                <w:szCs w:val="20"/>
              </w:rPr>
            </w:pPr>
            <w:r w:rsidRPr="008A26D2">
              <w:rPr>
                <w:rFonts w:ascii="Arial" w:eastAsia="Arial Narrow" w:hAnsi="Arial" w:cs="Arial"/>
                <w:sz w:val="20"/>
                <w:szCs w:val="20"/>
              </w:rPr>
              <w:t>45%</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86A2BE5" w14:textId="77777777" w:rsidR="00A75C0F" w:rsidRPr="008A26D2" w:rsidRDefault="00A75C0F" w:rsidP="00873402">
            <w:pPr>
              <w:tabs>
                <w:tab w:val="left" w:pos="3375"/>
              </w:tabs>
              <w:spacing w:after="0" w:line="240" w:lineRule="auto"/>
              <w:jc w:val="center"/>
              <w:rPr>
                <w:rFonts w:ascii="Arial" w:eastAsia="Arial Narrow" w:hAnsi="Arial" w:cs="Arial"/>
                <w:sz w:val="20"/>
                <w:szCs w:val="20"/>
              </w:rPr>
            </w:pPr>
            <w:r w:rsidRPr="008A26D2">
              <w:rPr>
                <w:rFonts w:ascii="Arial" w:eastAsia="Arial Narrow" w:hAnsi="Arial" w:cs="Arial"/>
                <w:sz w:val="20"/>
                <w:szCs w:val="20"/>
              </w:rPr>
              <w:t>55%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C22D86B" w14:textId="77777777" w:rsidR="00A75C0F" w:rsidRPr="008A26D2" w:rsidRDefault="00A75C0F" w:rsidP="00873402">
            <w:pPr>
              <w:tabs>
                <w:tab w:val="left" w:pos="3375"/>
              </w:tabs>
              <w:spacing w:after="0" w:line="240" w:lineRule="auto"/>
              <w:jc w:val="center"/>
              <w:rPr>
                <w:rFonts w:ascii="Arial" w:eastAsia="Arial Narrow" w:hAnsi="Arial" w:cs="Arial"/>
                <w:sz w:val="20"/>
                <w:szCs w:val="20"/>
              </w:rPr>
            </w:pPr>
            <w:r w:rsidRPr="008A26D2">
              <w:rPr>
                <w:rFonts w:ascii="Arial" w:eastAsia="Arial Narrow" w:hAnsi="Arial" w:cs="Arial"/>
                <w:sz w:val="20"/>
                <w:szCs w:val="20"/>
              </w:rPr>
              <w:t>65%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6FD54DBF" w14:textId="77777777" w:rsidR="00A75C0F" w:rsidRPr="008A26D2" w:rsidRDefault="00A75C0F" w:rsidP="00873402">
            <w:pPr>
              <w:tabs>
                <w:tab w:val="left" w:pos="3375"/>
              </w:tabs>
              <w:spacing w:after="0" w:line="240" w:lineRule="auto"/>
              <w:jc w:val="center"/>
              <w:rPr>
                <w:rFonts w:ascii="Arial" w:eastAsia="Arial Narrow" w:hAnsi="Arial" w:cs="Arial"/>
                <w:sz w:val="20"/>
                <w:szCs w:val="20"/>
              </w:rPr>
            </w:pPr>
            <w:r w:rsidRPr="008A26D2">
              <w:rPr>
                <w:rFonts w:ascii="Arial" w:eastAsia="Arial Narrow" w:hAnsi="Arial" w:cs="Arial"/>
                <w:sz w:val="20"/>
                <w:szCs w:val="20"/>
              </w:rPr>
              <w:t>75%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5148029" w14:textId="77777777" w:rsidR="00A75C0F" w:rsidRPr="008A26D2" w:rsidRDefault="00A75C0F" w:rsidP="00873402">
            <w:pPr>
              <w:tabs>
                <w:tab w:val="left" w:pos="3375"/>
              </w:tabs>
              <w:spacing w:after="0" w:line="240" w:lineRule="auto"/>
              <w:jc w:val="center"/>
              <w:rPr>
                <w:rFonts w:ascii="Arial" w:eastAsia="Arial Narrow" w:hAnsi="Arial" w:cs="Arial"/>
                <w:sz w:val="20"/>
                <w:szCs w:val="20"/>
              </w:rPr>
            </w:pPr>
            <w:r w:rsidRPr="008A26D2">
              <w:rPr>
                <w:rFonts w:ascii="Arial" w:eastAsia="Arial Narrow" w:hAnsi="Arial" w:cs="Arial"/>
                <w:sz w:val="20"/>
                <w:szCs w:val="20"/>
              </w:rPr>
              <w:t>80%</w:t>
            </w:r>
          </w:p>
        </w:tc>
      </w:tr>
    </w:tbl>
    <w:p w14:paraId="45A8DDF2" w14:textId="77777777" w:rsidR="00A75C0F" w:rsidRPr="008A26D2" w:rsidRDefault="00A75C0F" w:rsidP="00A75C0F"/>
    <w:p w14:paraId="7A577656" w14:textId="77777777" w:rsidR="00A75C0F" w:rsidRDefault="00A75C0F" w:rsidP="00A75C0F">
      <w:bookmarkStart w:id="22" w:name="_Hlk136270930"/>
    </w:p>
    <w:p w14:paraId="186CC9CB" w14:textId="77777777" w:rsidR="0070592F" w:rsidRPr="008A26D2" w:rsidRDefault="0070592F" w:rsidP="00A75C0F"/>
    <w:tbl>
      <w:tblPr>
        <w:tblW w:w="8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1149"/>
        <w:gridCol w:w="709"/>
        <w:gridCol w:w="851"/>
        <w:gridCol w:w="354"/>
        <w:gridCol w:w="496"/>
        <w:gridCol w:w="851"/>
        <w:gridCol w:w="850"/>
        <w:gridCol w:w="694"/>
        <w:gridCol w:w="15"/>
        <w:gridCol w:w="694"/>
        <w:gridCol w:w="708"/>
      </w:tblGrid>
      <w:tr w:rsidR="00A75C0F" w:rsidRPr="008A26D2" w14:paraId="7385C0D0" w14:textId="77777777" w:rsidTr="00AF5836">
        <w:trPr>
          <w:trHeight w:val="251"/>
        </w:trPr>
        <w:tc>
          <w:tcPr>
            <w:tcW w:w="8500" w:type="dxa"/>
            <w:gridSpan w:val="12"/>
            <w:shd w:val="clear" w:color="auto" w:fill="D9D9D9" w:themeFill="background1" w:themeFillShade="D9"/>
            <w:tcMar>
              <w:top w:w="10" w:type="dxa"/>
              <w:left w:w="10" w:type="dxa"/>
              <w:bottom w:w="0" w:type="dxa"/>
              <w:right w:w="10" w:type="dxa"/>
            </w:tcMar>
            <w:vAlign w:val="center"/>
          </w:tcPr>
          <w:p w14:paraId="0863B0E4"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b/>
                <w:sz w:val="20"/>
                <w:szCs w:val="20"/>
              </w:rPr>
              <w:t>FICHA TÉCNICA DE INDICADOR DE SERVICIO 3.2.2</w:t>
            </w:r>
          </w:p>
        </w:tc>
      </w:tr>
      <w:tr w:rsidR="00A75C0F" w:rsidRPr="008A26D2" w14:paraId="019E8E72" w14:textId="77777777" w:rsidTr="00AF5836">
        <w:trPr>
          <w:trHeight w:val="409"/>
        </w:trPr>
        <w:tc>
          <w:tcPr>
            <w:tcW w:w="2278" w:type="dxa"/>
            <w:gridSpan w:val="2"/>
            <w:shd w:val="clear" w:color="auto" w:fill="FFFFFF"/>
            <w:tcMar>
              <w:top w:w="10" w:type="dxa"/>
              <w:left w:w="93" w:type="dxa"/>
              <w:bottom w:w="0" w:type="dxa"/>
              <w:right w:w="10" w:type="dxa"/>
            </w:tcMar>
            <w:vAlign w:val="center"/>
          </w:tcPr>
          <w:p w14:paraId="6D42EF49"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Objetivo prioritario:</w:t>
            </w:r>
          </w:p>
        </w:tc>
        <w:tc>
          <w:tcPr>
            <w:tcW w:w="6222" w:type="dxa"/>
            <w:gridSpan w:val="10"/>
            <w:shd w:val="clear" w:color="auto" w:fill="FFFFFF"/>
            <w:tcMar>
              <w:top w:w="51" w:type="dxa"/>
              <w:left w:w="227" w:type="dxa"/>
              <w:bottom w:w="51" w:type="dxa"/>
              <w:right w:w="227" w:type="dxa"/>
            </w:tcMar>
            <w:vAlign w:val="center"/>
          </w:tcPr>
          <w:p w14:paraId="3BE2A9F2" w14:textId="77777777" w:rsidR="00A75C0F" w:rsidRPr="008A26D2" w:rsidRDefault="00A75C0F" w:rsidP="00AF5836">
            <w:pPr>
              <w:tabs>
                <w:tab w:val="left" w:pos="3375"/>
              </w:tabs>
              <w:rPr>
                <w:rFonts w:ascii="Arial" w:hAnsi="Arial" w:cs="Arial"/>
                <w:sz w:val="20"/>
                <w:szCs w:val="20"/>
              </w:rPr>
            </w:pPr>
            <w:r w:rsidRPr="008A26D2">
              <w:rPr>
                <w:rFonts w:ascii="Arial" w:eastAsia="Arial Narrow" w:hAnsi="Arial" w:cs="Arial"/>
                <w:sz w:val="20"/>
                <w:szCs w:val="20"/>
              </w:rPr>
              <w:t>OP3 Fortalecer la gobernanza forestal y de fauna silvestre</w:t>
            </w:r>
          </w:p>
        </w:tc>
      </w:tr>
      <w:tr w:rsidR="00A75C0F" w:rsidRPr="008A26D2" w14:paraId="08007C78" w14:textId="77777777" w:rsidTr="00AF5836">
        <w:trPr>
          <w:trHeight w:val="436"/>
        </w:trPr>
        <w:tc>
          <w:tcPr>
            <w:tcW w:w="2278" w:type="dxa"/>
            <w:gridSpan w:val="2"/>
            <w:shd w:val="clear" w:color="auto" w:fill="auto"/>
            <w:tcMar>
              <w:top w:w="10" w:type="dxa"/>
              <w:left w:w="93" w:type="dxa"/>
              <w:bottom w:w="0" w:type="dxa"/>
              <w:right w:w="10" w:type="dxa"/>
            </w:tcMar>
            <w:vAlign w:val="center"/>
          </w:tcPr>
          <w:p w14:paraId="3ACB639C"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Lineamiento de la política:</w:t>
            </w:r>
          </w:p>
        </w:tc>
        <w:tc>
          <w:tcPr>
            <w:tcW w:w="6222" w:type="dxa"/>
            <w:gridSpan w:val="10"/>
            <w:shd w:val="clear" w:color="auto" w:fill="auto"/>
            <w:tcMar>
              <w:top w:w="51" w:type="dxa"/>
              <w:left w:w="227" w:type="dxa"/>
              <w:bottom w:w="51" w:type="dxa"/>
              <w:right w:w="227" w:type="dxa"/>
            </w:tcMar>
            <w:vAlign w:val="center"/>
          </w:tcPr>
          <w:p w14:paraId="27B93A5B" w14:textId="77777777" w:rsidR="00A75C0F" w:rsidRPr="008A26D2" w:rsidRDefault="00A75C0F" w:rsidP="00AF5836">
            <w:pPr>
              <w:tabs>
                <w:tab w:val="left" w:pos="3375"/>
              </w:tabs>
              <w:jc w:val="both"/>
              <w:rPr>
                <w:rFonts w:ascii="Arial" w:hAnsi="Arial" w:cs="Arial"/>
                <w:sz w:val="20"/>
                <w:szCs w:val="20"/>
              </w:rPr>
            </w:pPr>
            <w:r w:rsidRPr="008A26D2">
              <w:rPr>
                <w:rFonts w:ascii="Arial" w:eastAsia="Arial Narrow" w:hAnsi="Arial" w:cs="Arial"/>
                <w:sz w:val="20"/>
                <w:szCs w:val="20"/>
              </w:rPr>
              <w:t>L 3.2 Desarrollar programas orientados a la mejora de la gestión y aprovechamiento sostenible de los recursos forestales y de fauna silvestre en pueblos indígenas u originarios (comunidades campesinas tituladas, comunidades nativas tituladas, entre otros)</w:t>
            </w:r>
          </w:p>
        </w:tc>
      </w:tr>
      <w:tr w:rsidR="00A75C0F" w:rsidRPr="008A26D2" w14:paraId="5210A436" w14:textId="77777777" w:rsidTr="00AF5836">
        <w:trPr>
          <w:trHeight w:val="404"/>
        </w:trPr>
        <w:tc>
          <w:tcPr>
            <w:tcW w:w="2278" w:type="dxa"/>
            <w:gridSpan w:val="2"/>
            <w:shd w:val="clear" w:color="auto" w:fill="auto"/>
            <w:tcMar>
              <w:top w:w="10" w:type="dxa"/>
              <w:left w:w="93" w:type="dxa"/>
              <w:bottom w:w="0" w:type="dxa"/>
              <w:right w:w="10" w:type="dxa"/>
            </w:tcMar>
            <w:vAlign w:val="center"/>
          </w:tcPr>
          <w:p w14:paraId="15B3BF0B"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Nombre del servicio:</w:t>
            </w:r>
          </w:p>
        </w:tc>
        <w:tc>
          <w:tcPr>
            <w:tcW w:w="6222" w:type="dxa"/>
            <w:gridSpan w:val="10"/>
            <w:shd w:val="clear" w:color="auto" w:fill="auto"/>
            <w:tcMar>
              <w:top w:w="51" w:type="dxa"/>
              <w:left w:w="227" w:type="dxa"/>
              <w:bottom w:w="51" w:type="dxa"/>
              <w:right w:w="227" w:type="dxa"/>
            </w:tcMar>
            <w:vAlign w:val="center"/>
          </w:tcPr>
          <w:p w14:paraId="2BB4CC5C" w14:textId="77777777" w:rsidR="00A75C0F" w:rsidRPr="008A26D2" w:rsidRDefault="00A75C0F" w:rsidP="00AF5836">
            <w:pPr>
              <w:tabs>
                <w:tab w:val="left" w:pos="3375"/>
              </w:tabs>
              <w:jc w:val="both"/>
              <w:rPr>
                <w:rFonts w:ascii="Arial" w:hAnsi="Arial" w:cs="Arial"/>
                <w:sz w:val="20"/>
                <w:szCs w:val="20"/>
              </w:rPr>
            </w:pPr>
            <w:r w:rsidRPr="008A26D2">
              <w:rPr>
                <w:rFonts w:ascii="Arial" w:eastAsia="Arial Narrow" w:hAnsi="Arial" w:cs="Arial"/>
                <w:sz w:val="20"/>
                <w:szCs w:val="20"/>
              </w:rPr>
              <w:t>S3.2.2 Otorgamiento de incentivos para la conservación de los ecosistemas de forma fiable dirigido a comunidades campesinas y nativas tituladas, pequeños productores y otros usuarios del bosque</w:t>
            </w:r>
          </w:p>
        </w:tc>
      </w:tr>
      <w:tr w:rsidR="00A75C0F" w:rsidRPr="008A26D2" w14:paraId="278936B6" w14:textId="77777777" w:rsidTr="00AF5836">
        <w:trPr>
          <w:trHeight w:val="577"/>
        </w:trPr>
        <w:tc>
          <w:tcPr>
            <w:tcW w:w="2278" w:type="dxa"/>
            <w:gridSpan w:val="2"/>
            <w:shd w:val="clear" w:color="auto" w:fill="auto"/>
            <w:tcMar>
              <w:top w:w="10" w:type="dxa"/>
              <w:left w:w="93" w:type="dxa"/>
              <w:bottom w:w="0" w:type="dxa"/>
              <w:right w:w="10" w:type="dxa"/>
            </w:tcMar>
            <w:vAlign w:val="center"/>
          </w:tcPr>
          <w:p w14:paraId="63788DB2"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Nombre del indicador:</w:t>
            </w:r>
          </w:p>
        </w:tc>
        <w:tc>
          <w:tcPr>
            <w:tcW w:w="6222" w:type="dxa"/>
            <w:gridSpan w:val="10"/>
            <w:shd w:val="clear" w:color="auto" w:fill="auto"/>
            <w:tcMar>
              <w:top w:w="51" w:type="dxa"/>
              <w:left w:w="227" w:type="dxa"/>
              <w:bottom w:w="51" w:type="dxa"/>
              <w:right w:w="227" w:type="dxa"/>
            </w:tcMar>
            <w:vAlign w:val="bottom"/>
          </w:tcPr>
          <w:p w14:paraId="22E0DCF4"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sz w:val="20"/>
                <w:szCs w:val="20"/>
              </w:rPr>
              <w:t xml:space="preserve">Porcentaje de </w:t>
            </w:r>
            <w:r w:rsidRPr="008A26D2">
              <w:rPr>
                <w:rFonts w:ascii="Arial" w:eastAsia="Arial Narrow" w:hAnsi="Arial" w:cs="Arial"/>
                <w:sz w:val="20"/>
                <w:szCs w:val="20"/>
              </w:rPr>
              <w:t>comunidades campesinas y nativas tituladas, pequeños productores y otros usuarios del bosque</w:t>
            </w:r>
            <w:r w:rsidRPr="008A26D2">
              <w:rPr>
                <w:rFonts w:ascii="Arial" w:hAnsi="Arial" w:cs="Arial"/>
                <w:sz w:val="20"/>
                <w:szCs w:val="20"/>
              </w:rPr>
              <w:t xml:space="preserve"> que han cumplido con los acuerdos de conservación de bosques de forma fiable</w:t>
            </w:r>
          </w:p>
        </w:tc>
      </w:tr>
      <w:tr w:rsidR="00A75C0F" w:rsidRPr="008A26D2" w14:paraId="7C682E07" w14:textId="77777777" w:rsidTr="00AF5836">
        <w:trPr>
          <w:trHeight w:val="577"/>
        </w:trPr>
        <w:tc>
          <w:tcPr>
            <w:tcW w:w="2278" w:type="dxa"/>
            <w:gridSpan w:val="2"/>
            <w:shd w:val="clear" w:color="auto" w:fill="auto"/>
            <w:tcMar>
              <w:top w:w="10" w:type="dxa"/>
              <w:left w:w="93" w:type="dxa"/>
              <w:bottom w:w="0" w:type="dxa"/>
              <w:right w:w="10" w:type="dxa"/>
            </w:tcMar>
            <w:vAlign w:val="center"/>
          </w:tcPr>
          <w:p w14:paraId="5604B530"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Justificación:</w:t>
            </w:r>
          </w:p>
        </w:tc>
        <w:tc>
          <w:tcPr>
            <w:tcW w:w="6222" w:type="dxa"/>
            <w:gridSpan w:val="10"/>
            <w:shd w:val="clear" w:color="auto" w:fill="auto"/>
            <w:tcMar>
              <w:top w:w="51" w:type="dxa"/>
              <w:left w:w="227" w:type="dxa"/>
              <w:bottom w:w="51" w:type="dxa"/>
              <w:right w:w="227" w:type="dxa"/>
            </w:tcMar>
            <w:vAlign w:val="center"/>
          </w:tcPr>
          <w:p w14:paraId="0DA7E0CF" w14:textId="7C23FF14" w:rsidR="00A75C0F" w:rsidRPr="008A26D2" w:rsidRDefault="00A75C0F" w:rsidP="00AF5836">
            <w:pPr>
              <w:pBdr>
                <w:top w:val="nil"/>
                <w:left w:val="nil"/>
                <w:bottom w:val="nil"/>
                <w:right w:val="nil"/>
                <w:between w:val="nil"/>
              </w:pBdr>
              <w:spacing w:after="0" w:line="240" w:lineRule="auto"/>
              <w:jc w:val="both"/>
              <w:rPr>
                <w:rFonts w:ascii="Arial" w:hAnsi="Arial" w:cs="Arial"/>
                <w:sz w:val="20"/>
                <w:szCs w:val="20"/>
              </w:rPr>
            </w:pPr>
            <w:r w:rsidRPr="008A26D2">
              <w:rPr>
                <w:rFonts w:ascii="Arial" w:eastAsia="Arial Narrow" w:hAnsi="Arial" w:cs="Arial"/>
                <w:sz w:val="20"/>
                <w:szCs w:val="20"/>
              </w:rPr>
              <w:t>La medición del indicador permitirá evidenciar el monto de los incentivos otorgados en base al número de convenios de conservación, que han cumplido con los requisitos de la Directiva correspondiente.</w:t>
            </w:r>
          </w:p>
        </w:tc>
      </w:tr>
      <w:tr w:rsidR="00A75C0F" w:rsidRPr="008A26D2" w14:paraId="360C08A4" w14:textId="77777777" w:rsidTr="00AF5836">
        <w:trPr>
          <w:trHeight w:val="352"/>
        </w:trPr>
        <w:tc>
          <w:tcPr>
            <w:tcW w:w="2278" w:type="dxa"/>
            <w:gridSpan w:val="2"/>
            <w:shd w:val="clear" w:color="auto" w:fill="auto"/>
            <w:tcMar>
              <w:top w:w="10" w:type="dxa"/>
              <w:left w:w="93" w:type="dxa"/>
              <w:bottom w:w="0" w:type="dxa"/>
              <w:right w:w="10" w:type="dxa"/>
            </w:tcMar>
            <w:vAlign w:val="center"/>
          </w:tcPr>
          <w:p w14:paraId="43BAB1A9"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lastRenderedPageBreak/>
              <w:t>Responsable del indicador:</w:t>
            </w:r>
          </w:p>
        </w:tc>
        <w:tc>
          <w:tcPr>
            <w:tcW w:w="6222" w:type="dxa"/>
            <w:gridSpan w:val="10"/>
            <w:shd w:val="clear" w:color="auto" w:fill="auto"/>
            <w:tcMar>
              <w:top w:w="51" w:type="dxa"/>
              <w:left w:w="227" w:type="dxa"/>
              <w:bottom w:w="51" w:type="dxa"/>
              <w:right w:w="227" w:type="dxa"/>
            </w:tcMar>
            <w:vAlign w:val="center"/>
          </w:tcPr>
          <w:p w14:paraId="6C3E889E"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sz w:val="20"/>
                <w:szCs w:val="20"/>
              </w:rPr>
              <w:t>Programa Nacional de Conservación de Bosques para la Mitigación del Cambio Climático - Ministerio del Ambiente - MINAM</w:t>
            </w:r>
          </w:p>
        </w:tc>
      </w:tr>
      <w:tr w:rsidR="00A75C0F" w:rsidRPr="008A26D2" w14:paraId="7D32984F" w14:textId="77777777" w:rsidTr="00AF5836">
        <w:trPr>
          <w:trHeight w:val="831"/>
        </w:trPr>
        <w:tc>
          <w:tcPr>
            <w:tcW w:w="2278" w:type="dxa"/>
            <w:gridSpan w:val="2"/>
            <w:shd w:val="clear" w:color="auto" w:fill="auto"/>
            <w:tcMar>
              <w:top w:w="10" w:type="dxa"/>
              <w:left w:w="93" w:type="dxa"/>
              <w:bottom w:w="0" w:type="dxa"/>
              <w:right w:w="10" w:type="dxa"/>
            </w:tcMar>
            <w:vAlign w:val="center"/>
          </w:tcPr>
          <w:p w14:paraId="06B43D25"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Limitaciones para la medición del indicador:</w:t>
            </w:r>
          </w:p>
        </w:tc>
        <w:tc>
          <w:tcPr>
            <w:tcW w:w="6222" w:type="dxa"/>
            <w:gridSpan w:val="10"/>
            <w:shd w:val="clear" w:color="auto" w:fill="auto"/>
            <w:tcMar>
              <w:top w:w="51" w:type="dxa"/>
              <w:left w:w="227" w:type="dxa"/>
              <w:bottom w:w="51" w:type="dxa"/>
              <w:right w:w="227" w:type="dxa"/>
            </w:tcMar>
            <w:vAlign w:val="center"/>
          </w:tcPr>
          <w:p w14:paraId="4B9A6572" w14:textId="77777777" w:rsidR="00A75C0F" w:rsidRPr="008A26D2" w:rsidRDefault="00A75C0F" w:rsidP="00AF5836">
            <w:pPr>
              <w:tabs>
                <w:tab w:val="left" w:pos="3375"/>
              </w:tabs>
              <w:rPr>
                <w:rFonts w:ascii="Arial" w:hAnsi="Arial" w:cs="Arial"/>
                <w:sz w:val="20"/>
                <w:szCs w:val="20"/>
              </w:rPr>
            </w:pPr>
            <w:r w:rsidRPr="008A26D2">
              <w:rPr>
                <w:rFonts w:ascii="Arial" w:hAnsi="Arial" w:cs="Arial"/>
                <w:sz w:val="20"/>
                <w:szCs w:val="20"/>
              </w:rPr>
              <w:t>No cuenta con limitaciones</w:t>
            </w:r>
          </w:p>
        </w:tc>
      </w:tr>
      <w:tr w:rsidR="00A75C0F" w:rsidRPr="008A26D2" w14:paraId="0660B597" w14:textId="77777777" w:rsidTr="00AF5836">
        <w:trPr>
          <w:trHeight w:val="231"/>
        </w:trPr>
        <w:tc>
          <w:tcPr>
            <w:tcW w:w="2278" w:type="dxa"/>
            <w:gridSpan w:val="2"/>
            <w:shd w:val="clear" w:color="auto" w:fill="auto"/>
            <w:tcMar>
              <w:top w:w="10" w:type="dxa"/>
              <w:left w:w="93" w:type="dxa"/>
              <w:bottom w:w="0" w:type="dxa"/>
              <w:right w:w="10" w:type="dxa"/>
            </w:tcMar>
            <w:vAlign w:val="center"/>
          </w:tcPr>
          <w:p w14:paraId="1909FCFF"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 xml:space="preserve">Método de cálculo: </w:t>
            </w:r>
          </w:p>
        </w:tc>
        <w:tc>
          <w:tcPr>
            <w:tcW w:w="6222" w:type="dxa"/>
            <w:gridSpan w:val="10"/>
            <w:shd w:val="clear" w:color="auto" w:fill="auto"/>
            <w:tcMar>
              <w:top w:w="51" w:type="dxa"/>
              <w:left w:w="227" w:type="dxa"/>
              <w:bottom w:w="51" w:type="dxa"/>
              <w:right w:w="227" w:type="dxa"/>
            </w:tcMar>
            <w:vAlign w:val="center"/>
          </w:tcPr>
          <w:p w14:paraId="2F3B8480" w14:textId="77777777" w:rsidR="00A75C0F" w:rsidRPr="008A26D2" w:rsidRDefault="00A75C0F" w:rsidP="00AF5836">
            <w:pPr>
              <w:pStyle w:val="Prrafodelista"/>
              <w:numPr>
                <w:ilvl w:val="0"/>
                <w:numId w:val="25"/>
              </w:numPr>
              <w:spacing w:before="120" w:after="0" w:line="240" w:lineRule="auto"/>
              <w:ind w:left="315" w:hanging="284"/>
              <w:rPr>
                <w:rFonts w:ascii="Arial" w:eastAsia="Arial Narrow" w:hAnsi="Arial" w:cs="Arial"/>
                <w:b/>
                <w:sz w:val="20"/>
                <w:szCs w:val="20"/>
              </w:rPr>
            </w:pPr>
            <w:r w:rsidRPr="008A26D2">
              <w:rPr>
                <w:rFonts w:ascii="Arial" w:eastAsia="Arial Narrow" w:hAnsi="Arial" w:cs="Arial"/>
                <w:b/>
                <w:sz w:val="20"/>
                <w:szCs w:val="20"/>
              </w:rPr>
              <w:t>Fórmula:</w:t>
            </w:r>
          </w:p>
          <w:p w14:paraId="1956EF61" w14:textId="77777777" w:rsidR="00A75C0F" w:rsidRPr="008A26D2" w:rsidRDefault="00A75C0F" w:rsidP="00AF5836">
            <w:pPr>
              <w:spacing w:after="0" w:line="240" w:lineRule="auto"/>
              <w:jc w:val="both"/>
              <w:rPr>
                <w:rFonts w:ascii="Arial" w:eastAsia="Arial Narrow" w:hAnsi="Arial" w:cs="Arial"/>
                <w:sz w:val="20"/>
                <w:szCs w:val="20"/>
              </w:rPr>
            </w:pPr>
          </w:p>
          <w:p w14:paraId="372A1DA7" w14:textId="77777777" w:rsidR="00A75C0F" w:rsidRPr="008A26D2" w:rsidRDefault="00A75C0F" w:rsidP="00AF5836">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(A/B)*100</w:t>
            </w:r>
          </w:p>
          <w:p w14:paraId="65C05919" w14:textId="77777777" w:rsidR="00A75C0F" w:rsidRPr="008A26D2" w:rsidRDefault="00A75C0F" w:rsidP="00AF5836">
            <w:pPr>
              <w:spacing w:after="0" w:line="240" w:lineRule="auto"/>
              <w:jc w:val="both"/>
              <w:rPr>
                <w:rFonts w:ascii="Arial" w:eastAsia="Arial Narrow" w:hAnsi="Arial" w:cs="Arial"/>
                <w:sz w:val="20"/>
                <w:szCs w:val="20"/>
              </w:rPr>
            </w:pPr>
          </w:p>
          <w:p w14:paraId="1F26EE39" w14:textId="77777777" w:rsidR="00A75C0F" w:rsidRPr="008A26D2" w:rsidRDefault="00A75C0F" w:rsidP="00AF5836">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Donde:</w:t>
            </w:r>
          </w:p>
          <w:p w14:paraId="338DC7E4" w14:textId="77777777" w:rsidR="00A75C0F" w:rsidRPr="008A26D2" w:rsidRDefault="00A75C0F" w:rsidP="00AF5836">
            <w:pPr>
              <w:spacing w:after="0" w:line="240" w:lineRule="auto"/>
              <w:ind w:left="324" w:hanging="324"/>
              <w:jc w:val="both"/>
              <w:rPr>
                <w:rFonts w:ascii="Arial" w:hAnsi="Arial" w:cs="Arial"/>
                <w:sz w:val="20"/>
                <w:szCs w:val="20"/>
              </w:rPr>
            </w:pPr>
            <w:r w:rsidRPr="008A26D2">
              <w:rPr>
                <w:rFonts w:ascii="Arial" w:eastAsia="Arial Narrow" w:hAnsi="Arial" w:cs="Arial"/>
                <w:sz w:val="20"/>
                <w:szCs w:val="20"/>
              </w:rPr>
              <w:t>A= Numero de comunidades campesinas y nativas tituladas, pequeños productores y otros usuarios del bosque</w:t>
            </w:r>
            <w:r w:rsidRPr="008A26D2">
              <w:rPr>
                <w:rFonts w:ascii="Arial" w:hAnsi="Arial" w:cs="Arial"/>
                <w:sz w:val="20"/>
                <w:szCs w:val="20"/>
              </w:rPr>
              <w:t xml:space="preserve"> que han cumplido con los acuerdos de conservación de bosques de forma fiable</w:t>
            </w:r>
          </w:p>
          <w:p w14:paraId="613A3EBB" w14:textId="77777777" w:rsidR="00A75C0F" w:rsidRPr="008A26D2" w:rsidRDefault="00A75C0F" w:rsidP="00AF5836">
            <w:pPr>
              <w:spacing w:after="0" w:line="240" w:lineRule="auto"/>
              <w:ind w:left="324" w:hanging="324"/>
              <w:jc w:val="both"/>
              <w:rPr>
                <w:rFonts w:ascii="Arial" w:hAnsi="Arial" w:cs="Arial"/>
                <w:sz w:val="20"/>
                <w:szCs w:val="20"/>
              </w:rPr>
            </w:pPr>
          </w:p>
          <w:p w14:paraId="12858206" w14:textId="77777777" w:rsidR="00A75C0F" w:rsidRPr="008A26D2" w:rsidRDefault="00A75C0F" w:rsidP="00AF5836">
            <w:pPr>
              <w:spacing w:after="0" w:line="240" w:lineRule="auto"/>
              <w:ind w:left="324" w:hanging="324"/>
              <w:jc w:val="both"/>
              <w:rPr>
                <w:rFonts w:ascii="Arial" w:eastAsia="Arial Narrow" w:hAnsi="Arial" w:cs="Arial"/>
                <w:sz w:val="20"/>
                <w:szCs w:val="20"/>
              </w:rPr>
            </w:pPr>
            <w:r w:rsidRPr="008A26D2">
              <w:rPr>
                <w:rFonts w:ascii="Arial" w:hAnsi="Arial" w:cs="Arial"/>
                <w:sz w:val="20"/>
                <w:szCs w:val="20"/>
              </w:rPr>
              <w:t xml:space="preserve">B= </w:t>
            </w:r>
            <w:r w:rsidRPr="008A26D2">
              <w:rPr>
                <w:rFonts w:ascii="Arial" w:eastAsia="Arial Narrow" w:hAnsi="Arial" w:cs="Arial"/>
                <w:sz w:val="20"/>
                <w:szCs w:val="20"/>
              </w:rPr>
              <w:t>Numero comunidades campesinas y nativas tituladas, pequeños productores y otros usuarios del bosque</w:t>
            </w:r>
            <w:r w:rsidRPr="008A26D2">
              <w:rPr>
                <w:rFonts w:ascii="Arial" w:hAnsi="Arial" w:cs="Arial"/>
                <w:sz w:val="20"/>
                <w:szCs w:val="20"/>
              </w:rPr>
              <w:t xml:space="preserve"> con acuerdos de conservación de bosques </w:t>
            </w:r>
          </w:p>
          <w:p w14:paraId="26D9DDD9" w14:textId="77777777" w:rsidR="00A75C0F" w:rsidRPr="008A26D2" w:rsidRDefault="00A75C0F" w:rsidP="00AF5836">
            <w:pPr>
              <w:spacing w:after="0" w:line="240" w:lineRule="auto"/>
              <w:jc w:val="both"/>
              <w:rPr>
                <w:rFonts w:ascii="Arial" w:eastAsia="Arial Narrow" w:hAnsi="Arial" w:cs="Arial"/>
                <w:sz w:val="20"/>
                <w:szCs w:val="20"/>
              </w:rPr>
            </w:pPr>
          </w:p>
          <w:p w14:paraId="0F20941E" w14:textId="77777777" w:rsidR="00A75C0F" w:rsidRPr="008A26D2" w:rsidRDefault="00A75C0F" w:rsidP="00AF5836">
            <w:pPr>
              <w:pStyle w:val="Prrafodelista"/>
              <w:numPr>
                <w:ilvl w:val="0"/>
                <w:numId w:val="25"/>
              </w:numPr>
              <w:tabs>
                <w:tab w:val="left" w:pos="3375"/>
              </w:tabs>
              <w:spacing w:after="0" w:line="240" w:lineRule="auto"/>
              <w:ind w:left="324" w:hanging="283"/>
              <w:jc w:val="both"/>
              <w:rPr>
                <w:rFonts w:ascii="Arial" w:hAnsi="Arial" w:cs="Arial"/>
                <w:b/>
                <w:sz w:val="20"/>
                <w:szCs w:val="20"/>
              </w:rPr>
            </w:pPr>
            <w:r w:rsidRPr="008A26D2">
              <w:rPr>
                <w:rFonts w:ascii="Arial" w:hAnsi="Arial" w:cs="Arial"/>
                <w:b/>
                <w:sz w:val="20"/>
                <w:szCs w:val="20"/>
              </w:rPr>
              <w:t>Especificaciones técnicas</w:t>
            </w:r>
          </w:p>
          <w:p w14:paraId="6FDF04E8" w14:textId="77777777" w:rsidR="00A75C0F" w:rsidRPr="008A26D2" w:rsidRDefault="00A75C0F" w:rsidP="00AF5836">
            <w:pPr>
              <w:pStyle w:val="Prrafodelista"/>
              <w:tabs>
                <w:tab w:val="left" w:pos="3375"/>
              </w:tabs>
              <w:spacing w:after="0" w:line="240" w:lineRule="auto"/>
              <w:jc w:val="both"/>
              <w:rPr>
                <w:rFonts w:ascii="Arial" w:hAnsi="Arial" w:cs="Arial"/>
                <w:sz w:val="20"/>
                <w:szCs w:val="20"/>
              </w:rPr>
            </w:pPr>
          </w:p>
          <w:p w14:paraId="59CC3975" w14:textId="38D25856" w:rsidR="00A75C0F" w:rsidRDefault="00A75C0F" w:rsidP="00AF5836">
            <w:pPr>
              <w:spacing w:after="0" w:line="240" w:lineRule="auto"/>
              <w:jc w:val="both"/>
              <w:rPr>
                <w:rFonts w:ascii="Arial" w:hAnsi="Arial" w:cs="Arial"/>
                <w:sz w:val="20"/>
                <w:szCs w:val="20"/>
              </w:rPr>
            </w:pPr>
            <w:r>
              <w:rPr>
                <w:rFonts w:ascii="Arial" w:hAnsi="Arial" w:cs="Arial"/>
                <w:sz w:val="20"/>
                <w:szCs w:val="20"/>
              </w:rPr>
              <w:t>La variable A se determina a partir de la</w:t>
            </w:r>
            <w:r w:rsidR="00B36209">
              <w:rPr>
                <w:rFonts w:ascii="Arial" w:hAnsi="Arial" w:cs="Arial"/>
                <w:sz w:val="20"/>
                <w:szCs w:val="20"/>
              </w:rPr>
              <w:t xml:space="preserve"> cantidad de</w:t>
            </w:r>
            <w:r>
              <w:rPr>
                <w:rFonts w:ascii="Arial" w:hAnsi="Arial" w:cs="Arial"/>
                <w:sz w:val="20"/>
                <w:szCs w:val="20"/>
              </w:rPr>
              <w:t xml:space="preserve"> </w:t>
            </w:r>
            <w:r w:rsidRPr="00BE5C96">
              <w:rPr>
                <w:rFonts w:ascii="Arial" w:hAnsi="Arial" w:cs="Arial"/>
                <w:sz w:val="20"/>
                <w:szCs w:val="20"/>
              </w:rPr>
              <w:t xml:space="preserve">comunidades campesinas y nativas tituladas, pequeños productores y otros usuarios del bosque que han cumplido con los acuerdos de conservación de bosques </w:t>
            </w:r>
            <w:r>
              <w:rPr>
                <w:rFonts w:ascii="Arial" w:hAnsi="Arial" w:cs="Arial"/>
                <w:sz w:val="20"/>
                <w:szCs w:val="20"/>
              </w:rPr>
              <w:t>enmarcados en la normativa correspondiente.</w:t>
            </w:r>
          </w:p>
          <w:p w14:paraId="0AC51D0B" w14:textId="42CEB64E" w:rsidR="00A75C0F" w:rsidRDefault="00A75C0F" w:rsidP="00AF5836">
            <w:pPr>
              <w:spacing w:after="0" w:line="240" w:lineRule="auto"/>
              <w:jc w:val="both"/>
              <w:rPr>
                <w:rFonts w:ascii="Arial" w:hAnsi="Arial" w:cs="Arial"/>
                <w:sz w:val="20"/>
                <w:szCs w:val="20"/>
              </w:rPr>
            </w:pPr>
            <w:r>
              <w:rPr>
                <w:rFonts w:ascii="Arial" w:hAnsi="Arial" w:cs="Arial"/>
                <w:sz w:val="20"/>
                <w:szCs w:val="20"/>
              </w:rPr>
              <w:t xml:space="preserve">La variable B se determina </w:t>
            </w:r>
            <w:r w:rsidR="00B36209">
              <w:rPr>
                <w:rFonts w:ascii="Arial" w:hAnsi="Arial" w:cs="Arial"/>
                <w:sz w:val="20"/>
                <w:szCs w:val="20"/>
              </w:rPr>
              <w:t>en base al</w:t>
            </w:r>
            <w:r>
              <w:rPr>
                <w:rFonts w:ascii="Arial" w:hAnsi="Arial" w:cs="Arial"/>
                <w:sz w:val="20"/>
                <w:szCs w:val="20"/>
              </w:rPr>
              <w:t xml:space="preserve"> total de </w:t>
            </w:r>
            <w:r w:rsidRPr="009606D7">
              <w:rPr>
                <w:rFonts w:ascii="Arial" w:hAnsi="Arial" w:cs="Arial"/>
                <w:sz w:val="20"/>
                <w:szCs w:val="20"/>
              </w:rPr>
              <w:t>comunidades campesinas y nativas tituladas, pequeños productores y otros usuarios del bosque con acuerdos de conservación de bosques</w:t>
            </w:r>
            <w:r w:rsidR="00B36209">
              <w:rPr>
                <w:rFonts w:ascii="Arial" w:hAnsi="Arial" w:cs="Arial"/>
                <w:sz w:val="20"/>
                <w:szCs w:val="20"/>
              </w:rPr>
              <w:t xml:space="preserve"> en el año de medición</w:t>
            </w:r>
            <w:r>
              <w:rPr>
                <w:rFonts w:ascii="Arial" w:hAnsi="Arial" w:cs="Arial"/>
                <w:sz w:val="20"/>
                <w:szCs w:val="20"/>
              </w:rPr>
              <w:t>.</w:t>
            </w:r>
          </w:p>
          <w:p w14:paraId="46F7D2D0" w14:textId="77777777" w:rsidR="00A75C0F" w:rsidRDefault="00A75C0F" w:rsidP="00AF5836">
            <w:pPr>
              <w:spacing w:after="0" w:line="240" w:lineRule="auto"/>
              <w:jc w:val="both"/>
              <w:rPr>
                <w:rFonts w:ascii="Arial" w:hAnsi="Arial" w:cs="Arial"/>
                <w:sz w:val="20"/>
                <w:szCs w:val="20"/>
              </w:rPr>
            </w:pPr>
          </w:p>
          <w:p w14:paraId="2C5F48A9" w14:textId="77777777" w:rsidR="00A75C0F" w:rsidRPr="008A26D2" w:rsidRDefault="00A75C0F" w:rsidP="00AF5836">
            <w:pPr>
              <w:spacing w:after="0" w:line="240" w:lineRule="auto"/>
              <w:jc w:val="both"/>
              <w:rPr>
                <w:rFonts w:ascii="Arial" w:hAnsi="Arial" w:cs="Arial"/>
                <w:sz w:val="20"/>
                <w:szCs w:val="20"/>
              </w:rPr>
            </w:pPr>
            <w:r w:rsidRPr="008A26D2">
              <w:rPr>
                <w:rFonts w:ascii="Arial" w:hAnsi="Arial" w:cs="Arial"/>
                <w:sz w:val="20"/>
                <w:szCs w:val="20"/>
              </w:rPr>
              <w:t xml:space="preserve">Se considera como un acuerdo cumplido cuando se ha ratificado el convenio </w:t>
            </w:r>
            <w:r>
              <w:rPr>
                <w:rFonts w:ascii="Arial" w:hAnsi="Arial" w:cs="Arial"/>
                <w:sz w:val="20"/>
                <w:szCs w:val="20"/>
              </w:rPr>
              <w:t xml:space="preserve">de </w:t>
            </w:r>
            <w:r w:rsidRPr="008A26D2">
              <w:rPr>
                <w:rFonts w:ascii="Arial" w:hAnsi="Arial" w:cs="Arial"/>
                <w:sz w:val="20"/>
                <w:szCs w:val="20"/>
              </w:rPr>
              <w:t xml:space="preserve">conservación de bosques, de acuerdo a la </w:t>
            </w:r>
            <w:r w:rsidRPr="008A26D2">
              <w:rPr>
                <w:rFonts w:ascii="Arial" w:eastAsia="Times New Roman" w:hAnsi="Arial" w:cs="Arial"/>
                <w:sz w:val="20"/>
                <w:szCs w:val="20"/>
              </w:rPr>
              <w:t>Directiva N° 002-2020-MINAM/VMDERN/PNCB, sus actualizaciones y demás instrumentos de gestión relacionados.</w:t>
            </w:r>
          </w:p>
          <w:p w14:paraId="5E733FBA" w14:textId="77777777" w:rsidR="00A75C0F" w:rsidRPr="008A26D2" w:rsidRDefault="00A75C0F" w:rsidP="00AF5836">
            <w:pPr>
              <w:spacing w:after="0" w:line="240" w:lineRule="auto"/>
              <w:rPr>
                <w:rFonts w:ascii="Arial" w:hAnsi="Arial" w:cs="Arial"/>
                <w:sz w:val="20"/>
                <w:szCs w:val="20"/>
              </w:rPr>
            </w:pPr>
          </w:p>
        </w:tc>
      </w:tr>
      <w:tr w:rsidR="00A75C0F" w:rsidRPr="008A26D2" w14:paraId="363FAEC7" w14:textId="77777777" w:rsidTr="00AF5836">
        <w:trPr>
          <w:trHeight w:val="686"/>
        </w:trPr>
        <w:tc>
          <w:tcPr>
            <w:tcW w:w="2278" w:type="dxa"/>
            <w:gridSpan w:val="2"/>
            <w:shd w:val="clear" w:color="auto" w:fill="auto"/>
            <w:tcMar>
              <w:top w:w="10" w:type="dxa"/>
              <w:left w:w="93" w:type="dxa"/>
              <w:bottom w:w="0" w:type="dxa"/>
              <w:right w:w="10" w:type="dxa"/>
            </w:tcMar>
            <w:vAlign w:val="center"/>
          </w:tcPr>
          <w:p w14:paraId="47230E5D"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Sentido esperado del indicador:</w:t>
            </w:r>
          </w:p>
        </w:tc>
        <w:tc>
          <w:tcPr>
            <w:tcW w:w="1914" w:type="dxa"/>
            <w:gridSpan w:val="3"/>
            <w:shd w:val="clear" w:color="auto" w:fill="auto"/>
            <w:tcMar>
              <w:top w:w="10" w:type="dxa"/>
              <w:left w:w="283" w:type="dxa"/>
              <w:bottom w:w="0" w:type="dxa"/>
              <w:right w:w="283" w:type="dxa"/>
            </w:tcMar>
            <w:vAlign w:val="center"/>
          </w:tcPr>
          <w:p w14:paraId="26EADB94" w14:textId="77777777" w:rsidR="00A75C0F" w:rsidRPr="008A26D2" w:rsidRDefault="00A75C0F" w:rsidP="00AF5836">
            <w:pPr>
              <w:tabs>
                <w:tab w:val="left" w:pos="3375"/>
              </w:tabs>
              <w:rPr>
                <w:rFonts w:ascii="Arial" w:hAnsi="Arial" w:cs="Arial"/>
                <w:sz w:val="20"/>
                <w:szCs w:val="20"/>
              </w:rPr>
            </w:pPr>
            <w:r w:rsidRPr="008A26D2">
              <w:rPr>
                <w:rFonts w:ascii="Arial" w:hAnsi="Arial" w:cs="Arial"/>
                <w:sz w:val="20"/>
                <w:szCs w:val="20"/>
              </w:rPr>
              <w:t>Ascendente</w:t>
            </w:r>
          </w:p>
        </w:tc>
        <w:tc>
          <w:tcPr>
            <w:tcW w:w="2906" w:type="dxa"/>
            <w:gridSpan w:val="5"/>
            <w:shd w:val="clear" w:color="auto" w:fill="auto"/>
            <w:tcMar>
              <w:top w:w="15" w:type="dxa"/>
              <w:left w:w="15" w:type="dxa"/>
              <w:bottom w:w="0" w:type="dxa"/>
              <w:right w:w="15" w:type="dxa"/>
            </w:tcMar>
            <w:vAlign w:val="center"/>
          </w:tcPr>
          <w:p w14:paraId="1AF695C8" w14:textId="77777777" w:rsidR="00A75C0F" w:rsidRPr="008A26D2" w:rsidRDefault="00A75C0F" w:rsidP="00AF5836">
            <w:pPr>
              <w:tabs>
                <w:tab w:val="left" w:pos="3375"/>
              </w:tabs>
              <w:jc w:val="center"/>
              <w:rPr>
                <w:rFonts w:ascii="Arial" w:hAnsi="Arial" w:cs="Arial"/>
                <w:sz w:val="20"/>
                <w:szCs w:val="20"/>
              </w:rPr>
            </w:pPr>
            <w:r w:rsidRPr="008A26D2">
              <w:rPr>
                <w:rFonts w:ascii="Arial" w:eastAsia="Arial Narrow" w:hAnsi="Arial" w:cs="Arial"/>
                <w:b/>
                <w:sz w:val="20"/>
                <w:szCs w:val="20"/>
              </w:rPr>
              <w:t>Tipo de Indicador de Servicio</w:t>
            </w:r>
          </w:p>
        </w:tc>
        <w:tc>
          <w:tcPr>
            <w:tcW w:w="1402" w:type="dxa"/>
            <w:gridSpan w:val="2"/>
            <w:shd w:val="clear" w:color="auto" w:fill="auto"/>
            <w:tcMar>
              <w:top w:w="15" w:type="dxa"/>
              <w:left w:w="15" w:type="dxa"/>
              <w:bottom w:w="0" w:type="dxa"/>
              <w:right w:w="15" w:type="dxa"/>
            </w:tcMar>
            <w:vAlign w:val="center"/>
          </w:tcPr>
          <w:p w14:paraId="00DCEB68" w14:textId="77777777" w:rsidR="00A75C0F" w:rsidRPr="008A26D2" w:rsidRDefault="00A75C0F" w:rsidP="00AF5836">
            <w:pPr>
              <w:tabs>
                <w:tab w:val="left" w:pos="3375"/>
              </w:tabs>
              <w:jc w:val="center"/>
              <w:rPr>
                <w:rFonts w:ascii="Arial" w:hAnsi="Arial" w:cs="Arial"/>
                <w:sz w:val="20"/>
                <w:szCs w:val="20"/>
              </w:rPr>
            </w:pPr>
            <w:r w:rsidRPr="008A26D2">
              <w:rPr>
                <w:rFonts w:ascii="Arial" w:eastAsia="Arial Narrow" w:hAnsi="Arial" w:cs="Arial"/>
                <w:sz w:val="20"/>
                <w:szCs w:val="20"/>
              </w:rPr>
              <w:t>Calidad - Fiabilidad</w:t>
            </w:r>
          </w:p>
        </w:tc>
      </w:tr>
      <w:tr w:rsidR="00A75C0F" w:rsidRPr="008A26D2" w14:paraId="08FDB4F5" w14:textId="77777777" w:rsidTr="00AF5836">
        <w:trPr>
          <w:trHeight w:val="13"/>
        </w:trPr>
        <w:tc>
          <w:tcPr>
            <w:tcW w:w="2278" w:type="dxa"/>
            <w:gridSpan w:val="2"/>
            <w:shd w:val="clear" w:color="auto" w:fill="auto"/>
            <w:tcMar>
              <w:top w:w="10" w:type="dxa"/>
              <w:left w:w="93" w:type="dxa"/>
              <w:bottom w:w="0" w:type="dxa"/>
              <w:right w:w="10" w:type="dxa"/>
            </w:tcMar>
            <w:vAlign w:val="center"/>
          </w:tcPr>
          <w:p w14:paraId="4420D266"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Fuente y base de datos:</w:t>
            </w:r>
          </w:p>
        </w:tc>
        <w:tc>
          <w:tcPr>
            <w:tcW w:w="6222" w:type="dxa"/>
            <w:gridSpan w:val="10"/>
            <w:shd w:val="clear" w:color="auto" w:fill="auto"/>
            <w:tcMar>
              <w:top w:w="51" w:type="dxa"/>
              <w:left w:w="227" w:type="dxa"/>
              <w:bottom w:w="51" w:type="dxa"/>
              <w:right w:w="227" w:type="dxa"/>
            </w:tcMar>
            <w:vAlign w:val="center"/>
          </w:tcPr>
          <w:p w14:paraId="3A346AA6" w14:textId="725575D1" w:rsidR="00A75C0F" w:rsidRPr="008A26D2" w:rsidRDefault="00A75C0F" w:rsidP="00AF5836">
            <w:pPr>
              <w:tabs>
                <w:tab w:val="left" w:pos="3375"/>
              </w:tabs>
              <w:spacing w:after="0" w:line="240" w:lineRule="auto"/>
              <w:rPr>
                <w:rFonts w:ascii="Arial" w:eastAsia="Times New Roman" w:hAnsi="Arial" w:cs="Arial"/>
                <w:sz w:val="20"/>
                <w:szCs w:val="20"/>
              </w:rPr>
            </w:pPr>
            <w:r w:rsidRPr="008A26D2">
              <w:rPr>
                <w:rFonts w:ascii="Arial" w:eastAsia="Arial Narrow" w:hAnsi="Arial" w:cs="Arial"/>
                <w:sz w:val="20"/>
                <w:szCs w:val="20"/>
              </w:rPr>
              <w:t xml:space="preserve">Fuente: Área de Gestión de Incentivos para la Conservación de Bosques del </w:t>
            </w:r>
            <w:r w:rsidRPr="008A26D2">
              <w:rPr>
                <w:rFonts w:ascii="Arial" w:eastAsia="Times New Roman" w:hAnsi="Arial" w:cs="Arial"/>
                <w:sz w:val="20"/>
                <w:szCs w:val="20"/>
              </w:rPr>
              <w:t xml:space="preserve">Programa Nacional de Conservación de Bosques para la Mitigación del Cambio Climático </w:t>
            </w:r>
            <w:r>
              <w:rPr>
                <w:rFonts w:ascii="Arial" w:eastAsia="Times New Roman" w:hAnsi="Arial" w:cs="Arial"/>
                <w:sz w:val="20"/>
                <w:szCs w:val="20"/>
              </w:rPr>
              <w:t xml:space="preserve">- </w:t>
            </w:r>
            <w:r w:rsidRPr="008A26D2">
              <w:rPr>
                <w:rFonts w:ascii="Arial" w:eastAsia="Times New Roman" w:hAnsi="Arial" w:cs="Arial"/>
                <w:sz w:val="20"/>
                <w:szCs w:val="20"/>
              </w:rPr>
              <w:t xml:space="preserve">PNCBMCC del </w:t>
            </w:r>
            <w:r>
              <w:rPr>
                <w:rFonts w:ascii="Arial" w:eastAsia="Times New Roman" w:hAnsi="Arial" w:cs="Arial"/>
                <w:sz w:val="20"/>
                <w:szCs w:val="20"/>
              </w:rPr>
              <w:t xml:space="preserve">Ministerio del Ambiente – </w:t>
            </w:r>
            <w:r w:rsidRPr="008A26D2">
              <w:rPr>
                <w:rFonts w:ascii="Arial" w:eastAsia="Times New Roman" w:hAnsi="Arial" w:cs="Arial"/>
                <w:sz w:val="20"/>
                <w:szCs w:val="20"/>
              </w:rPr>
              <w:t>MINAM</w:t>
            </w:r>
            <w:r>
              <w:rPr>
                <w:rFonts w:ascii="Arial" w:eastAsia="Times New Roman" w:hAnsi="Arial" w:cs="Arial"/>
                <w:sz w:val="20"/>
                <w:szCs w:val="20"/>
              </w:rPr>
              <w:t>.</w:t>
            </w:r>
          </w:p>
          <w:p w14:paraId="07EC22BF" w14:textId="77777777" w:rsidR="00A75C0F" w:rsidRPr="008A26D2" w:rsidRDefault="00A75C0F" w:rsidP="00AF5836">
            <w:pPr>
              <w:tabs>
                <w:tab w:val="left" w:pos="3375"/>
              </w:tabs>
              <w:rPr>
                <w:rFonts w:ascii="Arial" w:hAnsi="Arial" w:cs="Arial"/>
                <w:sz w:val="20"/>
                <w:szCs w:val="20"/>
              </w:rPr>
            </w:pPr>
            <w:r w:rsidRPr="008A26D2">
              <w:rPr>
                <w:rFonts w:ascii="Arial" w:eastAsia="Arial Narrow" w:hAnsi="Arial" w:cs="Arial"/>
                <w:sz w:val="20"/>
                <w:szCs w:val="20"/>
              </w:rPr>
              <w:br/>
              <w:t xml:space="preserve">Base de datos: </w:t>
            </w:r>
            <w:r w:rsidRPr="008A26D2">
              <w:rPr>
                <w:rFonts w:ascii="Arial" w:hAnsi="Arial" w:cs="Arial"/>
                <w:sz w:val="20"/>
                <w:szCs w:val="20"/>
              </w:rPr>
              <w:t>Información de beneficiarios del PNCBMCC (Mecanismo de Incentivos)</w:t>
            </w:r>
          </w:p>
        </w:tc>
      </w:tr>
      <w:tr w:rsidR="00A75C0F" w:rsidRPr="008A26D2" w14:paraId="20391AC4" w14:textId="77777777" w:rsidTr="00AF5836">
        <w:trPr>
          <w:trHeight w:val="436"/>
        </w:trPr>
        <w:tc>
          <w:tcPr>
            <w:tcW w:w="2278" w:type="dxa"/>
            <w:gridSpan w:val="2"/>
            <w:shd w:val="clear" w:color="auto" w:fill="auto"/>
            <w:tcMar>
              <w:top w:w="10" w:type="dxa"/>
              <w:left w:w="93" w:type="dxa"/>
              <w:bottom w:w="0" w:type="dxa"/>
              <w:right w:w="10" w:type="dxa"/>
            </w:tcMar>
            <w:vAlign w:val="center"/>
          </w:tcPr>
          <w:p w14:paraId="0813DDFE"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Supuestos:</w:t>
            </w:r>
          </w:p>
        </w:tc>
        <w:tc>
          <w:tcPr>
            <w:tcW w:w="6222" w:type="dxa"/>
            <w:gridSpan w:val="10"/>
            <w:shd w:val="clear" w:color="auto" w:fill="auto"/>
            <w:tcMar>
              <w:top w:w="51" w:type="dxa"/>
              <w:left w:w="227" w:type="dxa"/>
              <w:bottom w:w="51" w:type="dxa"/>
              <w:right w:w="227" w:type="dxa"/>
            </w:tcMar>
            <w:vAlign w:val="center"/>
          </w:tcPr>
          <w:p w14:paraId="7D381B95" w14:textId="77777777" w:rsidR="00A75C0F" w:rsidRPr="008A26D2" w:rsidRDefault="00A75C0F" w:rsidP="00AF5836">
            <w:pPr>
              <w:tabs>
                <w:tab w:val="left" w:pos="3375"/>
              </w:tabs>
              <w:spacing w:after="0" w:line="240" w:lineRule="auto"/>
              <w:rPr>
                <w:rFonts w:ascii="Arial" w:eastAsia="Times New Roman" w:hAnsi="Arial" w:cs="Arial"/>
                <w:sz w:val="20"/>
                <w:szCs w:val="20"/>
              </w:rPr>
            </w:pPr>
            <w:r w:rsidRPr="008A26D2">
              <w:rPr>
                <w:rFonts w:ascii="Arial" w:eastAsia="Times New Roman" w:hAnsi="Arial" w:cs="Arial"/>
                <w:sz w:val="20"/>
                <w:szCs w:val="20"/>
              </w:rPr>
              <w:t>Que se efectúen avances en el proceso de titulación de las comunidades en ámbitos con bosques.</w:t>
            </w:r>
          </w:p>
          <w:p w14:paraId="6C8719D0" w14:textId="77777777" w:rsidR="00A75C0F" w:rsidRPr="008A26D2" w:rsidRDefault="00A75C0F" w:rsidP="00AF5836">
            <w:pPr>
              <w:tabs>
                <w:tab w:val="left" w:pos="3375"/>
              </w:tabs>
              <w:spacing w:after="0" w:line="240" w:lineRule="auto"/>
              <w:rPr>
                <w:rFonts w:ascii="Arial" w:eastAsia="Times New Roman" w:hAnsi="Arial" w:cs="Arial"/>
                <w:sz w:val="20"/>
                <w:szCs w:val="20"/>
              </w:rPr>
            </w:pPr>
          </w:p>
          <w:p w14:paraId="15F635FA" w14:textId="77777777" w:rsidR="00A75C0F" w:rsidRPr="008A26D2" w:rsidRDefault="00A75C0F" w:rsidP="00AF5836">
            <w:pPr>
              <w:tabs>
                <w:tab w:val="left" w:pos="3375"/>
              </w:tabs>
              <w:spacing w:after="0" w:line="240" w:lineRule="auto"/>
              <w:rPr>
                <w:rFonts w:ascii="Arial" w:eastAsia="Times New Roman" w:hAnsi="Arial" w:cs="Arial"/>
                <w:sz w:val="20"/>
                <w:szCs w:val="20"/>
              </w:rPr>
            </w:pPr>
            <w:r w:rsidRPr="008A26D2">
              <w:rPr>
                <w:rFonts w:ascii="Arial" w:eastAsia="Times New Roman" w:hAnsi="Arial" w:cs="Arial"/>
                <w:sz w:val="20"/>
                <w:szCs w:val="20"/>
              </w:rPr>
              <w:t>Que se otorguen derechos sobre los bosques a los pequeños usuarios.</w:t>
            </w:r>
          </w:p>
          <w:p w14:paraId="21818393" w14:textId="77777777" w:rsidR="00A75C0F" w:rsidRPr="008A26D2" w:rsidRDefault="00A75C0F" w:rsidP="00AF5836">
            <w:pPr>
              <w:tabs>
                <w:tab w:val="left" w:pos="3375"/>
              </w:tabs>
              <w:spacing w:after="0" w:line="240" w:lineRule="auto"/>
              <w:rPr>
                <w:rFonts w:ascii="Arial" w:eastAsia="Times New Roman" w:hAnsi="Arial" w:cs="Arial"/>
                <w:sz w:val="20"/>
                <w:szCs w:val="20"/>
              </w:rPr>
            </w:pPr>
          </w:p>
          <w:p w14:paraId="00A16A62" w14:textId="77777777" w:rsidR="00A75C0F" w:rsidRPr="008A26D2" w:rsidRDefault="00A75C0F" w:rsidP="00AF5836">
            <w:pPr>
              <w:tabs>
                <w:tab w:val="left" w:pos="3375"/>
              </w:tabs>
              <w:spacing w:after="0" w:line="240" w:lineRule="auto"/>
              <w:rPr>
                <w:rFonts w:ascii="Arial" w:eastAsia="Times New Roman" w:hAnsi="Arial" w:cs="Arial"/>
                <w:sz w:val="20"/>
                <w:szCs w:val="20"/>
              </w:rPr>
            </w:pPr>
            <w:r w:rsidRPr="008A26D2">
              <w:rPr>
                <w:rFonts w:ascii="Arial" w:eastAsia="Times New Roman" w:hAnsi="Arial" w:cs="Arial"/>
                <w:sz w:val="20"/>
                <w:szCs w:val="20"/>
              </w:rPr>
              <w:lastRenderedPageBreak/>
              <w:t xml:space="preserve">Que se provea de los recursos suficientes al Programa Nacional de Conservación de Bosques para la Mitigación del Cambio Climático </w:t>
            </w:r>
            <w:r>
              <w:rPr>
                <w:rFonts w:ascii="Arial" w:eastAsia="Times New Roman" w:hAnsi="Arial" w:cs="Arial"/>
                <w:sz w:val="20"/>
                <w:szCs w:val="20"/>
              </w:rPr>
              <w:t xml:space="preserve">- </w:t>
            </w:r>
            <w:r w:rsidRPr="008A26D2">
              <w:rPr>
                <w:rFonts w:ascii="Arial" w:eastAsia="Times New Roman" w:hAnsi="Arial" w:cs="Arial"/>
                <w:sz w:val="20"/>
                <w:szCs w:val="20"/>
              </w:rPr>
              <w:t xml:space="preserve">PNCBMCC para proveer los incentivos de forma fiable según los parámetros de la </w:t>
            </w:r>
            <w:r w:rsidRPr="008A26D2">
              <w:rPr>
                <w:rFonts w:ascii="Arial" w:eastAsia="Arial Narrow" w:hAnsi="Arial" w:cs="Arial"/>
                <w:sz w:val="20"/>
                <w:szCs w:val="20"/>
              </w:rPr>
              <w:t>Directiva N° 002-2020-MINAM/VMDERN/PNCB.</w:t>
            </w:r>
          </w:p>
          <w:p w14:paraId="4B7AEC1F" w14:textId="77777777" w:rsidR="00A75C0F" w:rsidRPr="008A26D2" w:rsidRDefault="00A75C0F" w:rsidP="00AF5836">
            <w:pPr>
              <w:tabs>
                <w:tab w:val="left" w:pos="3375"/>
              </w:tabs>
              <w:spacing w:after="0" w:line="240" w:lineRule="auto"/>
              <w:rPr>
                <w:rFonts w:ascii="Arial" w:eastAsia="Times New Roman" w:hAnsi="Arial" w:cs="Arial"/>
                <w:sz w:val="20"/>
                <w:szCs w:val="20"/>
              </w:rPr>
            </w:pPr>
          </w:p>
          <w:p w14:paraId="45C135C8" w14:textId="77777777" w:rsidR="00A75C0F" w:rsidRPr="008A26D2" w:rsidRDefault="00A75C0F" w:rsidP="00AF5836">
            <w:pPr>
              <w:tabs>
                <w:tab w:val="left" w:pos="3375"/>
              </w:tabs>
              <w:rPr>
                <w:rFonts w:ascii="Arial" w:hAnsi="Arial" w:cs="Arial"/>
                <w:sz w:val="20"/>
                <w:szCs w:val="20"/>
              </w:rPr>
            </w:pPr>
            <w:r w:rsidRPr="008A26D2">
              <w:rPr>
                <w:rFonts w:ascii="Arial" w:eastAsia="Times New Roman" w:hAnsi="Arial" w:cs="Arial"/>
                <w:sz w:val="20"/>
                <w:szCs w:val="20"/>
              </w:rPr>
              <w:t>Que los incentivos que se otorgan a través de los acuerdos de conservación sean atractivos para los actores (Comunidades nativas tituladas, comunidades campesinas tituladas, pequeños productores y otros usuarios del bosque).</w:t>
            </w:r>
          </w:p>
        </w:tc>
      </w:tr>
      <w:tr w:rsidR="00A75C0F" w:rsidRPr="008A26D2" w14:paraId="0016ED2E" w14:textId="77777777" w:rsidTr="00B36209">
        <w:trPr>
          <w:trHeight w:val="556"/>
        </w:trPr>
        <w:tc>
          <w:tcPr>
            <w:tcW w:w="1129" w:type="dxa"/>
            <w:shd w:val="clear" w:color="auto" w:fill="auto"/>
            <w:tcMar>
              <w:top w:w="10" w:type="dxa"/>
              <w:left w:w="10" w:type="dxa"/>
              <w:bottom w:w="0" w:type="dxa"/>
              <w:right w:w="10" w:type="dxa"/>
            </w:tcMar>
            <w:vAlign w:val="center"/>
          </w:tcPr>
          <w:p w14:paraId="49C49444"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lastRenderedPageBreak/>
              <w:t> </w:t>
            </w:r>
          </w:p>
        </w:tc>
        <w:tc>
          <w:tcPr>
            <w:tcW w:w="1149" w:type="dxa"/>
            <w:shd w:val="clear" w:color="auto" w:fill="auto"/>
            <w:tcMar>
              <w:top w:w="10" w:type="dxa"/>
              <w:left w:w="10" w:type="dxa"/>
              <w:bottom w:w="0" w:type="dxa"/>
              <w:right w:w="10" w:type="dxa"/>
            </w:tcMar>
            <w:vAlign w:val="center"/>
          </w:tcPr>
          <w:p w14:paraId="1578BDFC"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b/>
                <w:sz w:val="20"/>
                <w:szCs w:val="20"/>
              </w:rPr>
              <w:t>Línea de base</w:t>
            </w:r>
          </w:p>
        </w:tc>
        <w:tc>
          <w:tcPr>
            <w:tcW w:w="6222" w:type="dxa"/>
            <w:gridSpan w:val="10"/>
            <w:shd w:val="clear" w:color="auto" w:fill="auto"/>
            <w:tcMar>
              <w:top w:w="10" w:type="dxa"/>
              <w:left w:w="10" w:type="dxa"/>
              <w:bottom w:w="0" w:type="dxa"/>
              <w:right w:w="10" w:type="dxa"/>
            </w:tcMar>
            <w:vAlign w:val="center"/>
          </w:tcPr>
          <w:p w14:paraId="541D38C0"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b/>
                <w:sz w:val="20"/>
                <w:szCs w:val="20"/>
              </w:rPr>
              <w:t>Logros esperados</w:t>
            </w:r>
          </w:p>
        </w:tc>
      </w:tr>
      <w:tr w:rsidR="00A75C0F" w:rsidRPr="008A26D2" w14:paraId="553443D2" w14:textId="77777777" w:rsidTr="00B36209">
        <w:trPr>
          <w:trHeight w:val="217"/>
        </w:trPr>
        <w:tc>
          <w:tcPr>
            <w:tcW w:w="1129" w:type="dxa"/>
            <w:shd w:val="clear" w:color="auto" w:fill="auto"/>
            <w:tcMar>
              <w:top w:w="10" w:type="dxa"/>
              <w:left w:w="10" w:type="dxa"/>
              <w:bottom w:w="0" w:type="dxa"/>
              <w:right w:w="10" w:type="dxa"/>
            </w:tcMar>
            <w:vAlign w:val="center"/>
          </w:tcPr>
          <w:p w14:paraId="0A959F82"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Año</w:t>
            </w:r>
          </w:p>
        </w:tc>
        <w:tc>
          <w:tcPr>
            <w:tcW w:w="1149" w:type="dxa"/>
            <w:shd w:val="clear" w:color="auto" w:fill="auto"/>
            <w:tcMar>
              <w:top w:w="10" w:type="dxa"/>
              <w:left w:w="10" w:type="dxa"/>
              <w:bottom w:w="0" w:type="dxa"/>
              <w:right w:w="10" w:type="dxa"/>
            </w:tcMar>
            <w:vAlign w:val="center"/>
          </w:tcPr>
          <w:p w14:paraId="2914EEA2"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2021</w:t>
            </w:r>
          </w:p>
        </w:tc>
        <w:tc>
          <w:tcPr>
            <w:tcW w:w="709" w:type="dxa"/>
            <w:shd w:val="clear" w:color="auto" w:fill="auto"/>
            <w:tcMar>
              <w:top w:w="10" w:type="dxa"/>
              <w:left w:w="10" w:type="dxa"/>
              <w:bottom w:w="0" w:type="dxa"/>
              <w:right w:w="10" w:type="dxa"/>
            </w:tcMar>
            <w:vAlign w:val="center"/>
          </w:tcPr>
          <w:p w14:paraId="23138B06"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2023</w:t>
            </w:r>
          </w:p>
        </w:tc>
        <w:tc>
          <w:tcPr>
            <w:tcW w:w="851" w:type="dxa"/>
            <w:shd w:val="clear" w:color="auto" w:fill="auto"/>
            <w:vAlign w:val="center"/>
          </w:tcPr>
          <w:p w14:paraId="3FC92219"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2024</w:t>
            </w:r>
          </w:p>
        </w:tc>
        <w:tc>
          <w:tcPr>
            <w:tcW w:w="850" w:type="dxa"/>
            <w:gridSpan w:val="2"/>
            <w:shd w:val="clear" w:color="auto" w:fill="auto"/>
            <w:vAlign w:val="center"/>
          </w:tcPr>
          <w:p w14:paraId="222DE669"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2025</w:t>
            </w:r>
          </w:p>
        </w:tc>
        <w:tc>
          <w:tcPr>
            <w:tcW w:w="851" w:type="dxa"/>
            <w:shd w:val="clear" w:color="auto" w:fill="auto"/>
            <w:vAlign w:val="center"/>
          </w:tcPr>
          <w:p w14:paraId="55ED0F01"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2026</w:t>
            </w:r>
          </w:p>
        </w:tc>
        <w:tc>
          <w:tcPr>
            <w:tcW w:w="850" w:type="dxa"/>
            <w:shd w:val="clear" w:color="auto" w:fill="auto"/>
            <w:vAlign w:val="center"/>
          </w:tcPr>
          <w:p w14:paraId="0265706F"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2027</w:t>
            </w:r>
          </w:p>
        </w:tc>
        <w:tc>
          <w:tcPr>
            <w:tcW w:w="694" w:type="dxa"/>
            <w:shd w:val="clear" w:color="auto" w:fill="auto"/>
            <w:vAlign w:val="center"/>
          </w:tcPr>
          <w:p w14:paraId="0897085A"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2028</w:t>
            </w:r>
          </w:p>
        </w:tc>
        <w:tc>
          <w:tcPr>
            <w:tcW w:w="709" w:type="dxa"/>
            <w:gridSpan w:val="2"/>
            <w:shd w:val="clear" w:color="auto" w:fill="auto"/>
            <w:vAlign w:val="center"/>
          </w:tcPr>
          <w:p w14:paraId="252816C0"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2029</w:t>
            </w:r>
          </w:p>
        </w:tc>
        <w:tc>
          <w:tcPr>
            <w:tcW w:w="708" w:type="dxa"/>
            <w:shd w:val="clear" w:color="auto" w:fill="auto"/>
            <w:tcMar>
              <w:top w:w="10" w:type="dxa"/>
              <w:left w:w="10" w:type="dxa"/>
              <w:bottom w:w="0" w:type="dxa"/>
              <w:right w:w="10" w:type="dxa"/>
            </w:tcMar>
            <w:vAlign w:val="center"/>
          </w:tcPr>
          <w:p w14:paraId="0DFD9B1C"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2030</w:t>
            </w:r>
          </w:p>
        </w:tc>
      </w:tr>
      <w:tr w:rsidR="00A75C0F" w:rsidRPr="008A26D2" w14:paraId="33449A33" w14:textId="77777777" w:rsidTr="00B36209">
        <w:trPr>
          <w:trHeight w:val="81"/>
        </w:trPr>
        <w:tc>
          <w:tcPr>
            <w:tcW w:w="1129" w:type="dxa"/>
            <w:shd w:val="clear" w:color="auto" w:fill="auto"/>
            <w:tcMar>
              <w:top w:w="10" w:type="dxa"/>
              <w:left w:w="10" w:type="dxa"/>
              <w:bottom w:w="0" w:type="dxa"/>
              <w:right w:w="10" w:type="dxa"/>
            </w:tcMar>
            <w:vAlign w:val="center"/>
          </w:tcPr>
          <w:p w14:paraId="511AABCA" w14:textId="77777777" w:rsidR="00A75C0F" w:rsidRPr="008A26D2" w:rsidRDefault="00A75C0F" w:rsidP="00AF5836">
            <w:pPr>
              <w:tabs>
                <w:tab w:val="left" w:pos="3375"/>
              </w:tabs>
              <w:rPr>
                <w:rFonts w:ascii="Arial" w:hAnsi="Arial" w:cs="Arial"/>
                <w:b/>
                <w:sz w:val="20"/>
                <w:szCs w:val="20"/>
              </w:rPr>
            </w:pPr>
            <w:r w:rsidRPr="008A26D2">
              <w:rPr>
                <w:rFonts w:ascii="Arial" w:hAnsi="Arial" w:cs="Arial"/>
                <w:b/>
                <w:sz w:val="20"/>
                <w:szCs w:val="20"/>
              </w:rPr>
              <w:t xml:space="preserve">Valor </w:t>
            </w:r>
          </w:p>
        </w:tc>
        <w:tc>
          <w:tcPr>
            <w:tcW w:w="1149" w:type="dxa"/>
            <w:shd w:val="clear" w:color="auto" w:fill="auto"/>
            <w:tcMar>
              <w:top w:w="10" w:type="dxa"/>
              <w:left w:w="10" w:type="dxa"/>
              <w:bottom w:w="0" w:type="dxa"/>
              <w:right w:w="10" w:type="dxa"/>
            </w:tcMar>
            <w:vAlign w:val="center"/>
          </w:tcPr>
          <w:p w14:paraId="073D341C"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sz w:val="20"/>
                <w:szCs w:val="20"/>
              </w:rPr>
              <w:t>85%</w:t>
            </w:r>
          </w:p>
        </w:tc>
        <w:tc>
          <w:tcPr>
            <w:tcW w:w="709" w:type="dxa"/>
            <w:shd w:val="clear" w:color="auto" w:fill="auto"/>
            <w:tcMar>
              <w:top w:w="10" w:type="dxa"/>
              <w:left w:w="10" w:type="dxa"/>
              <w:bottom w:w="0" w:type="dxa"/>
              <w:right w:w="10" w:type="dxa"/>
            </w:tcMar>
            <w:vAlign w:val="center"/>
          </w:tcPr>
          <w:p w14:paraId="5204D3D6"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sz w:val="20"/>
                <w:szCs w:val="20"/>
              </w:rPr>
              <w:t>86%</w:t>
            </w:r>
          </w:p>
        </w:tc>
        <w:tc>
          <w:tcPr>
            <w:tcW w:w="851" w:type="dxa"/>
            <w:shd w:val="clear" w:color="auto" w:fill="auto"/>
            <w:vAlign w:val="center"/>
          </w:tcPr>
          <w:p w14:paraId="1E3FA564"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sz w:val="20"/>
                <w:szCs w:val="20"/>
              </w:rPr>
              <w:t>86%</w:t>
            </w:r>
          </w:p>
        </w:tc>
        <w:tc>
          <w:tcPr>
            <w:tcW w:w="850" w:type="dxa"/>
            <w:gridSpan w:val="2"/>
            <w:shd w:val="clear" w:color="auto" w:fill="auto"/>
            <w:vAlign w:val="center"/>
          </w:tcPr>
          <w:p w14:paraId="0AB8AF58"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sz w:val="20"/>
                <w:szCs w:val="20"/>
              </w:rPr>
              <w:t>87%</w:t>
            </w:r>
          </w:p>
        </w:tc>
        <w:tc>
          <w:tcPr>
            <w:tcW w:w="851" w:type="dxa"/>
            <w:shd w:val="clear" w:color="auto" w:fill="auto"/>
            <w:vAlign w:val="center"/>
          </w:tcPr>
          <w:p w14:paraId="6A2B776B"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sz w:val="20"/>
                <w:szCs w:val="20"/>
              </w:rPr>
              <w:t>87%</w:t>
            </w:r>
          </w:p>
        </w:tc>
        <w:tc>
          <w:tcPr>
            <w:tcW w:w="850" w:type="dxa"/>
            <w:shd w:val="clear" w:color="auto" w:fill="auto"/>
            <w:vAlign w:val="center"/>
          </w:tcPr>
          <w:p w14:paraId="20912368"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sz w:val="20"/>
                <w:szCs w:val="20"/>
              </w:rPr>
              <w:t>87%</w:t>
            </w:r>
          </w:p>
        </w:tc>
        <w:tc>
          <w:tcPr>
            <w:tcW w:w="694" w:type="dxa"/>
            <w:shd w:val="clear" w:color="auto" w:fill="auto"/>
            <w:vAlign w:val="center"/>
          </w:tcPr>
          <w:p w14:paraId="7B0816F5"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sz w:val="20"/>
                <w:szCs w:val="20"/>
              </w:rPr>
              <w:t>88%</w:t>
            </w:r>
          </w:p>
        </w:tc>
        <w:tc>
          <w:tcPr>
            <w:tcW w:w="709" w:type="dxa"/>
            <w:gridSpan w:val="2"/>
            <w:shd w:val="clear" w:color="auto" w:fill="auto"/>
            <w:vAlign w:val="center"/>
          </w:tcPr>
          <w:p w14:paraId="0065AE78"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sz w:val="20"/>
                <w:szCs w:val="20"/>
              </w:rPr>
              <w:t>88%</w:t>
            </w:r>
          </w:p>
        </w:tc>
        <w:tc>
          <w:tcPr>
            <w:tcW w:w="708" w:type="dxa"/>
            <w:shd w:val="clear" w:color="auto" w:fill="auto"/>
            <w:tcMar>
              <w:top w:w="10" w:type="dxa"/>
              <w:left w:w="10" w:type="dxa"/>
              <w:bottom w:w="0" w:type="dxa"/>
              <w:right w:w="10" w:type="dxa"/>
            </w:tcMar>
            <w:vAlign w:val="center"/>
          </w:tcPr>
          <w:p w14:paraId="57E2CFA4"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sz w:val="20"/>
                <w:szCs w:val="20"/>
              </w:rPr>
              <w:t>88%</w:t>
            </w:r>
          </w:p>
        </w:tc>
      </w:tr>
    </w:tbl>
    <w:p w14:paraId="69DC73A9" w14:textId="77777777" w:rsidR="00A75C0F" w:rsidRPr="008A26D2" w:rsidRDefault="00A75C0F" w:rsidP="00A75C0F"/>
    <w:bookmarkEnd w:id="22"/>
    <w:p w14:paraId="494E1221" w14:textId="77777777" w:rsidR="00A75C0F" w:rsidRPr="008A26D2" w:rsidRDefault="00A75C0F" w:rsidP="00A75C0F"/>
    <w:tbl>
      <w:tblPr>
        <w:tblW w:w="836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1157"/>
        <w:gridCol w:w="842"/>
        <w:gridCol w:w="836"/>
        <w:gridCol w:w="15"/>
        <w:gridCol w:w="709"/>
        <w:gridCol w:w="693"/>
        <w:gridCol w:w="709"/>
        <w:gridCol w:w="440"/>
        <w:gridCol w:w="269"/>
        <w:gridCol w:w="709"/>
        <w:gridCol w:w="567"/>
      </w:tblGrid>
      <w:tr w:rsidR="00A75C0F" w:rsidRPr="008A26D2" w14:paraId="35DCA65C" w14:textId="77777777" w:rsidTr="00AF5836">
        <w:trPr>
          <w:trHeight w:val="251"/>
        </w:trPr>
        <w:tc>
          <w:tcPr>
            <w:tcW w:w="8364" w:type="dxa"/>
            <w:gridSpan w:val="12"/>
            <w:shd w:val="clear" w:color="auto" w:fill="D9D9D9" w:themeFill="background1" w:themeFillShade="D9"/>
            <w:tcMar>
              <w:top w:w="10" w:type="dxa"/>
              <w:left w:w="10" w:type="dxa"/>
              <w:bottom w:w="0" w:type="dxa"/>
              <w:right w:w="10" w:type="dxa"/>
            </w:tcMar>
            <w:vAlign w:val="center"/>
          </w:tcPr>
          <w:p w14:paraId="531A5FDE"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b/>
                <w:sz w:val="20"/>
                <w:szCs w:val="20"/>
              </w:rPr>
              <w:t>FICHA TÉCNICA DE INDICADOR DE SERVICIO 3.2.3</w:t>
            </w:r>
          </w:p>
        </w:tc>
      </w:tr>
      <w:tr w:rsidR="00A75C0F" w:rsidRPr="008A26D2" w14:paraId="0E0D6860" w14:textId="77777777" w:rsidTr="00AF5836">
        <w:trPr>
          <w:trHeight w:val="409"/>
        </w:trPr>
        <w:tc>
          <w:tcPr>
            <w:tcW w:w="2575" w:type="dxa"/>
            <w:gridSpan w:val="2"/>
            <w:shd w:val="clear" w:color="auto" w:fill="FFFFFF"/>
            <w:tcMar>
              <w:top w:w="10" w:type="dxa"/>
              <w:left w:w="93" w:type="dxa"/>
              <w:bottom w:w="0" w:type="dxa"/>
              <w:right w:w="10" w:type="dxa"/>
            </w:tcMar>
            <w:vAlign w:val="center"/>
          </w:tcPr>
          <w:p w14:paraId="6CE6E1AC"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Objetivo prioritario:</w:t>
            </w:r>
          </w:p>
        </w:tc>
        <w:tc>
          <w:tcPr>
            <w:tcW w:w="5789" w:type="dxa"/>
            <w:gridSpan w:val="10"/>
            <w:shd w:val="clear" w:color="auto" w:fill="FFFFFF"/>
            <w:tcMar>
              <w:top w:w="51" w:type="dxa"/>
              <w:left w:w="227" w:type="dxa"/>
              <w:bottom w:w="51" w:type="dxa"/>
              <w:right w:w="227" w:type="dxa"/>
            </w:tcMar>
            <w:vAlign w:val="center"/>
          </w:tcPr>
          <w:p w14:paraId="706C83E9" w14:textId="77777777" w:rsidR="00A75C0F" w:rsidRPr="008A26D2" w:rsidRDefault="00A75C0F" w:rsidP="00AF5836">
            <w:pPr>
              <w:tabs>
                <w:tab w:val="left" w:pos="3375"/>
              </w:tabs>
              <w:jc w:val="both"/>
              <w:rPr>
                <w:rFonts w:ascii="Arial" w:hAnsi="Arial" w:cs="Arial"/>
                <w:sz w:val="20"/>
                <w:szCs w:val="20"/>
              </w:rPr>
            </w:pPr>
            <w:r w:rsidRPr="008A26D2">
              <w:rPr>
                <w:rFonts w:ascii="Arial" w:eastAsia="Arial Narrow" w:hAnsi="Arial" w:cs="Arial"/>
                <w:sz w:val="20"/>
                <w:szCs w:val="20"/>
              </w:rPr>
              <w:t>OP3 Fortalecer la gobernanza forestal y de fauna silvestre</w:t>
            </w:r>
          </w:p>
        </w:tc>
      </w:tr>
      <w:tr w:rsidR="00A75C0F" w:rsidRPr="008A26D2" w14:paraId="68A931C9" w14:textId="77777777" w:rsidTr="00AF5836">
        <w:trPr>
          <w:trHeight w:val="436"/>
        </w:trPr>
        <w:tc>
          <w:tcPr>
            <w:tcW w:w="2575" w:type="dxa"/>
            <w:gridSpan w:val="2"/>
            <w:shd w:val="clear" w:color="auto" w:fill="auto"/>
            <w:tcMar>
              <w:top w:w="10" w:type="dxa"/>
              <w:left w:w="93" w:type="dxa"/>
              <w:bottom w:w="0" w:type="dxa"/>
              <w:right w:w="10" w:type="dxa"/>
            </w:tcMar>
            <w:vAlign w:val="center"/>
          </w:tcPr>
          <w:p w14:paraId="3369DF8D"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Lineamiento de la política:</w:t>
            </w:r>
          </w:p>
        </w:tc>
        <w:tc>
          <w:tcPr>
            <w:tcW w:w="5789" w:type="dxa"/>
            <w:gridSpan w:val="10"/>
            <w:shd w:val="clear" w:color="auto" w:fill="auto"/>
            <w:tcMar>
              <w:top w:w="51" w:type="dxa"/>
              <w:left w:w="227" w:type="dxa"/>
              <w:bottom w:w="51" w:type="dxa"/>
              <w:right w:w="227" w:type="dxa"/>
            </w:tcMar>
            <w:vAlign w:val="center"/>
          </w:tcPr>
          <w:p w14:paraId="7FB1F24B" w14:textId="77777777" w:rsidR="00A75C0F" w:rsidRPr="008A26D2" w:rsidRDefault="00A75C0F" w:rsidP="00AF5836">
            <w:pPr>
              <w:tabs>
                <w:tab w:val="left" w:pos="3375"/>
              </w:tabs>
              <w:jc w:val="both"/>
              <w:rPr>
                <w:rFonts w:ascii="Arial" w:hAnsi="Arial" w:cs="Arial"/>
                <w:sz w:val="20"/>
                <w:szCs w:val="20"/>
              </w:rPr>
            </w:pPr>
            <w:r w:rsidRPr="008A26D2">
              <w:rPr>
                <w:rFonts w:ascii="Arial" w:eastAsia="Arial Narrow" w:hAnsi="Arial" w:cs="Arial"/>
                <w:sz w:val="20"/>
                <w:szCs w:val="20"/>
              </w:rPr>
              <w:t>L3.2 Desarrollar programas orientados a la mejora de la gestión y aprovechamiento sostenible de los recursos forestales y de fauna silvestre en pueblos indígenas u originarios (comunidades campesinas, comunidades nativas, entre otros)</w:t>
            </w:r>
          </w:p>
        </w:tc>
      </w:tr>
      <w:tr w:rsidR="00A75C0F" w:rsidRPr="008A26D2" w14:paraId="257F7EB8" w14:textId="77777777" w:rsidTr="00AF5836">
        <w:trPr>
          <w:trHeight w:val="404"/>
        </w:trPr>
        <w:tc>
          <w:tcPr>
            <w:tcW w:w="2575" w:type="dxa"/>
            <w:gridSpan w:val="2"/>
            <w:shd w:val="clear" w:color="auto" w:fill="auto"/>
            <w:tcMar>
              <w:top w:w="10" w:type="dxa"/>
              <w:left w:w="93" w:type="dxa"/>
              <w:bottom w:w="0" w:type="dxa"/>
              <w:right w:w="10" w:type="dxa"/>
            </w:tcMar>
            <w:vAlign w:val="center"/>
          </w:tcPr>
          <w:p w14:paraId="3DE7E6AD"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Nombre del servicio:</w:t>
            </w:r>
          </w:p>
        </w:tc>
        <w:tc>
          <w:tcPr>
            <w:tcW w:w="5789" w:type="dxa"/>
            <w:gridSpan w:val="10"/>
            <w:shd w:val="clear" w:color="auto" w:fill="auto"/>
            <w:tcMar>
              <w:top w:w="51" w:type="dxa"/>
              <w:left w:w="227" w:type="dxa"/>
              <w:bottom w:w="51" w:type="dxa"/>
              <w:right w:w="227" w:type="dxa"/>
            </w:tcMar>
            <w:vAlign w:val="center"/>
          </w:tcPr>
          <w:p w14:paraId="048961F4" w14:textId="77777777" w:rsidR="00A75C0F" w:rsidRPr="008A26D2" w:rsidRDefault="00A75C0F" w:rsidP="00AF5836">
            <w:pPr>
              <w:tabs>
                <w:tab w:val="left" w:pos="3375"/>
              </w:tabs>
              <w:jc w:val="both"/>
              <w:rPr>
                <w:rFonts w:ascii="Arial" w:hAnsi="Arial" w:cs="Arial"/>
                <w:sz w:val="20"/>
                <w:szCs w:val="20"/>
              </w:rPr>
            </w:pPr>
            <w:r w:rsidRPr="008A26D2">
              <w:rPr>
                <w:rFonts w:ascii="Arial" w:eastAsia="Arial Narrow" w:hAnsi="Arial" w:cs="Arial"/>
                <w:sz w:val="20"/>
                <w:szCs w:val="20"/>
              </w:rPr>
              <w:t>S3.2.3 Fortalecimiento de capacidades para la formulación e implementación de programas de capacitación de forma satisfactoria dirigido a las Unidades Técnicas de Manejo Forestal Comunitario</w:t>
            </w:r>
          </w:p>
        </w:tc>
      </w:tr>
      <w:tr w:rsidR="00A75C0F" w:rsidRPr="008A26D2" w14:paraId="18BA2AB3" w14:textId="77777777" w:rsidTr="00AF5836">
        <w:trPr>
          <w:trHeight w:val="577"/>
        </w:trPr>
        <w:tc>
          <w:tcPr>
            <w:tcW w:w="2575" w:type="dxa"/>
            <w:gridSpan w:val="2"/>
            <w:shd w:val="clear" w:color="auto" w:fill="auto"/>
            <w:tcMar>
              <w:top w:w="10" w:type="dxa"/>
              <w:left w:w="93" w:type="dxa"/>
              <w:bottom w:w="0" w:type="dxa"/>
              <w:right w:w="10" w:type="dxa"/>
            </w:tcMar>
            <w:vAlign w:val="center"/>
          </w:tcPr>
          <w:p w14:paraId="272D31B6"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Nombre del indicador:</w:t>
            </w:r>
          </w:p>
        </w:tc>
        <w:tc>
          <w:tcPr>
            <w:tcW w:w="5789" w:type="dxa"/>
            <w:gridSpan w:val="10"/>
            <w:shd w:val="clear" w:color="auto" w:fill="auto"/>
            <w:tcMar>
              <w:top w:w="51" w:type="dxa"/>
              <w:left w:w="227" w:type="dxa"/>
              <w:bottom w:w="51" w:type="dxa"/>
              <w:right w:w="227" w:type="dxa"/>
            </w:tcMar>
            <w:vAlign w:val="bottom"/>
          </w:tcPr>
          <w:p w14:paraId="0BD8D6EE" w14:textId="77777777" w:rsidR="00A75C0F" w:rsidRPr="008A26D2" w:rsidRDefault="00A75C0F" w:rsidP="00AF5836">
            <w:pPr>
              <w:tabs>
                <w:tab w:val="left" w:pos="3375"/>
              </w:tabs>
              <w:jc w:val="both"/>
              <w:rPr>
                <w:rFonts w:ascii="Arial" w:hAnsi="Arial" w:cs="Arial"/>
                <w:strike/>
                <w:sz w:val="20"/>
                <w:szCs w:val="20"/>
              </w:rPr>
            </w:pPr>
            <w:r w:rsidRPr="008A26D2">
              <w:rPr>
                <w:rFonts w:ascii="Arial" w:eastAsia="Times New Roman" w:hAnsi="Arial" w:cs="Arial"/>
                <w:sz w:val="20"/>
                <w:szCs w:val="20"/>
              </w:rPr>
              <w:t xml:space="preserve">Porcentaje del personal de las </w:t>
            </w:r>
            <w:r w:rsidRPr="008A26D2">
              <w:rPr>
                <w:rFonts w:ascii="Arial" w:eastAsia="Arial Narrow" w:hAnsi="Arial" w:cs="Arial"/>
                <w:sz w:val="20"/>
                <w:szCs w:val="20"/>
              </w:rPr>
              <w:t>Unidades Técnicas de Manejo Forestal Comunitario con alto grado de satisfacción sobre las capacitaciones recibidas en formulación e implementación de programas de capacitación</w:t>
            </w:r>
          </w:p>
        </w:tc>
      </w:tr>
      <w:tr w:rsidR="00A75C0F" w:rsidRPr="008A26D2" w14:paraId="082CFF3D" w14:textId="77777777" w:rsidTr="00AF5836">
        <w:trPr>
          <w:trHeight w:val="577"/>
        </w:trPr>
        <w:tc>
          <w:tcPr>
            <w:tcW w:w="2575" w:type="dxa"/>
            <w:gridSpan w:val="2"/>
            <w:shd w:val="clear" w:color="auto" w:fill="auto"/>
            <w:tcMar>
              <w:top w:w="10" w:type="dxa"/>
              <w:left w:w="93" w:type="dxa"/>
              <w:bottom w:w="0" w:type="dxa"/>
              <w:right w:w="10" w:type="dxa"/>
            </w:tcMar>
            <w:vAlign w:val="center"/>
          </w:tcPr>
          <w:p w14:paraId="3904DE62"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Justificación:</w:t>
            </w:r>
          </w:p>
        </w:tc>
        <w:tc>
          <w:tcPr>
            <w:tcW w:w="5789" w:type="dxa"/>
            <w:gridSpan w:val="10"/>
            <w:shd w:val="clear" w:color="auto" w:fill="auto"/>
            <w:tcMar>
              <w:top w:w="51" w:type="dxa"/>
              <w:left w:w="227" w:type="dxa"/>
              <w:bottom w:w="51" w:type="dxa"/>
              <w:right w:w="227" w:type="dxa"/>
            </w:tcMar>
            <w:vAlign w:val="center"/>
          </w:tcPr>
          <w:p w14:paraId="0AD428C7" w14:textId="77777777" w:rsidR="00A75C0F" w:rsidRPr="008A26D2" w:rsidRDefault="00A75C0F" w:rsidP="00AF5836">
            <w:pPr>
              <w:tabs>
                <w:tab w:val="left" w:pos="3375"/>
              </w:tabs>
              <w:jc w:val="both"/>
              <w:rPr>
                <w:rFonts w:ascii="Arial" w:hAnsi="Arial" w:cs="Arial"/>
                <w:sz w:val="20"/>
                <w:szCs w:val="20"/>
              </w:rPr>
            </w:pPr>
            <w:r w:rsidRPr="008A26D2">
              <w:rPr>
                <w:rFonts w:ascii="Arial" w:eastAsia="Times New Roman" w:hAnsi="Arial" w:cs="Arial"/>
                <w:sz w:val="20"/>
                <w:szCs w:val="20"/>
                <w:lang w:val="es-ES"/>
              </w:rPr>
              <w:t xml:space="preserve">El indicador cuantifica el porcentaje </w:t>
            </w:r>
            <w:r w:rsidRPr="008A26D2">
              <w:rPr>
                <w:rFonts w:ascii="Arial" w:eastAsia="Times New Roman" w:hAnsi="Arial" w:cs="Arial"/>
                <w:sz w:val="20"/>
                <w:szCs w:val="20"/>
              </w:rPr>
              <w:t xml:space="preserve">del personal de las </w:t>
            </w:r>
            <w:r w:rsidRPr="008A26D2">
              <w:rPr>
                <w:rFonts w:ascii="Arial" w:eastAsia="Arial Narrow" w:hAnsi="Arial" w:cs="Arial"/>
                <w:sz w:val="20"/>
                <w:szCs w:val="20"/>
              </w:rPr>
              <w:t>Unidades Técnicas de Manejo Forestal Comunitario</w:t>
            </w:r>
            <w:r w:rsidRPr="008A26D2">
              <w:rPr>
                <w:rFonts w:ascii="Arial" w:eastAsia="Times New Roman" w:hAnsi="Arial" w:cs="Arial"/>
                <w:sz w:val="20"/>
                <w:szCs w:val="20"/>
                <w:lang w:val="es-ES"/>
              </w:rPr>
              <w:t xml:space="preserve"> que perciben un alto grado de satisfacción sobre las capacitaciones recibidas en </w:t>
            </w:r>
            <w:r w:rsidRPr="008A26D2">
              <w:rPr>
                <w:rFonts w:ascii="Arial" w:eastAsia="Arial Narrow" w:hAnsi="Arial" w:cs="Arial"/>
                <w:sz w:val="20"/>
                <w:szCs w:val="20"/>
              </w:rPr>
              <w:t>temas de legislación y aprovechamiento sostenible de los recursos forestales y de fauna silvestre, trazabilidad, entre otros</w:t>
            </w:r>
            <w:r w:rsidRPr="008A26D2">
              <w:rPr>
                <w:rFonts w:ascii="Arial" w:eastAsia="Times New Roman" w:hAnsi="Arial" w:cs="Arial"/>
                <w:sz w:val="20"/>
                <w:szCs w:val="20"/>
                <w:lang w:val="es-ES"/>
              </w:rPr>
              <w:t>. De esta manera, el indicador facilitará el seguimiento de la satisfacción del servicio para establecer acciones de mejora correspondientes.</w:t>
            </w:r>
          </w:p>
        </w:tc>
      </w:tr>
      <w:tr w:rsidR="00A75C0F" w:rsidRPr="008A26D2" w14:paraId="475AA11C" w14:textId="77777777" w:rsidTr="00AF5836">
        <w:trPr>
          <w:trHeight w:val="352"/>
        </w:trPr>
        <w:tc>
          <w:tcPr>
            <w:tcW w:w="2575" w:type="dxa"/>
            <w:gridSpan w:val="2"/>
            <w:shd w:val="clear" w:color="auto" w:fill="auto"/>
            <w:tcMar>
              <w:top w:w="10" w:type="dxa"/>
              <w:left w:w="93" w:type="dxa"/>
              <w:bottom w:w="0" w:type="dxa"/>
              <w:right w:w="10" w:type="dxa"/>
            </w:tcMar>
            <w:vAlign w:val="center"/>
          </w:tcPr>
          <w:p w14:paraId="41486954"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Responsable del indicador:</w:t>
            </w:r>
          </w:p>
        </w:tc>
        <w:tc>
          <w:tcPr>
            <w:tcW w:w="5789" w:type="dxa"/>
            <w:gridSpan w:val="10"/>
            <w:shd w:val="clear" w:color="auto" w:fill="auto"/>
            <w:tcMar>
              <w:top w:w="51" w:type="dxa"/>
              <w:left w:w="227" w:type="dxa"/>
              <w:bottom w:w="51" w:type="dxa"/>
              <w:right w:w="227" w:type="dxa"/>
            </w:tcMar>
            <w:vAlign w:val="center"/>
          </w:tcPr>
          <w:p w14:paraId="11FD8EC4" w14:textId="77777777" w:rsidR="00A75C0F" w:rsidRPr="008A26D2" w:rsidRDefault="00A75C0F" w:rsidP="00AF5836">
            <w:pPr>
              <w:tabs>
                <w:tab w:val="left" w:pos="3375"/>
              </w:tabs>
              <w:jc w:val="both"/>
              <w:rPr>
                <w:rFonts w:ascii="Arial" w:hAnsi="Arial" w:cs="Arial"/>
                <w:sz w:val="20"/>
                <w:szCs w:val="20"/>
              </w:rPr>
            </w:pPr>
            <w:r w:rsidRPr="008A26D2">
              <w:rPr>
                <w:rFonts w:ascii="Arial" w:eastAsia="Arial Narrow" w:hAnsi="Arial" w:cs="Arial"/>
                <w:sz w:val="20"/>
                <w:szCs w:val="20"/>
              </w:rPr>
              <w:t>Dirección de Fortalecimiento de Capacidades del Servicio Nacional Forestal y de Fauna Silvestre - SERFOR</w:t>
            </w:r>
          </w:p>
        </w:tc>
      </w:tr>
      <w:tr w:rsidR="00A75C0F" w:rsidRPr="008A26D2" w14:paraId="7108D284" w14:textId="77777777" w:rsidTr="00AF5836">
        <w:trPr>
          <w:trHeight w:val="709"/>
        </w:trPr>
        <w:tc>
          <w:tcPr>
            <w:tcW w:w="2575" w:type="dxa"/>
            <w:gridSpan w:val="2"/>
            <w:shd w:val="clear" w:color="auto" w:fill="auto"/>
            <w:tcMar>
              <w:top w:w="10" w:type="dxa"/>
              <w:left w:w="93" w:type="dxa"/>
              <w:bottom w:w="0" w:type="dxa"/>
              <w:right w:w="10" w:type="dxa"/>
            </w:tcMar>
            <w:vAlign w:val="center"/>
          </w:tcPr>
          <w:p w14:paraId="7AE399F1"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lastRenderedPageBreak/>
              <w:t>Limitaciones para la medición del indicador:</w:t>
            </w:r>
          </w:p>
        </w:tc>
        <w:tc>
          <w:tcPr>
            <w:tcW w:w="5789" w:type="dxa"/>
            <w:gridSpan w:val="10"/>
            <w:shd w:val="clear" w:color="auto" w:fill="auto"/>
            <w:tcMar>
              <w:top w:w="51" w:type="dxa"/>
              <w:left w:w="227" w:type="dxa"/>
              <w:bottom w:w="51" w:type="dxa"/>
              <w:right w:w="227" w:type="dxa"/>
            </w:tcMar>
            <w:vAlign w:val="center"/>
          </w:tcPr>
          <w:p w14:paraId="0895AC8A" w14:textId="77777777" w:rsidR="00A75C0F" w:rsidRPr="008A26D2" w:rsidRDefault="00A75C0F" w:rsidP="00AF5836">
            <w:pPr>
              <w:tabs>
                <w:tab w:val="left" w:pos="3375"/>
              </w:tabs>
              <w:jc w:val="both"/>
              <w:rPr>
                <w:rFonts w:ascii="Arial" w:hAnsi="Arial" w:cs="Arial"/>
                <w:sz w:val="20"/>
                <w:szCs w:val="20"/>
              </w:rPr>
            </w:pPr>
            <w:r w:rsidRPr="008A26D2">
              <w:rPr>
                <w:rFonts w:ascii="Arial" w:eastAsia="Arial Narrow" w:hAnsi="Arial" w:cs="Arial"/>
                <w:sz w:val="20"/>
                <w:szCs w:val="20"/>
              </w:rPr>
              <w:t>No presenta limitaciones</w:t>
            </w:r>
          </w:p>
        </w:tc>
      </w:tr>
      <w:tr w:rsidR="00A75C0F" w:rsidRPr="008A26D2" w14:paraId="3D2E1D92" w14:textId="77777777" w:rsidTr="00AF5836">
        <w:trPr>
          <w:trHeight w:val="231"/>
        </w:trPr>
        <w:tc>
          <w:tcPr>
            <w:tcW w:w="2575" w:type="dxa"/>
            <w:gridSpan w:val="2"/>
            <w:shd w:val="clear" w:color="auto" w:fill="auto"/>
            <w:tcMar>
              <w:top w:w="10" w:type="dxa"/>
              <w:left w:w="93" w:type="dxa"/>
              <w:bottom w:w="0" w:type="dxa"/>
              <w:right w:w="10" w:type="dxa"/>
            </w:tcMar>
            <w:vAlign w:val="center"/>
          </w:tcPr>
          <w:p w14:paraId="7A810E7B"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 xml:space="preserve">Método de cálculo: </w:t>
            </w:r>
          </w:p>
        </w:tc>
        <w:tc>
          <w:tcPr>
            <w:tcW w:w="5789" w:type="dxa"/>
            <w:gridSpan w:val="10"/>
            <w:shd w:val="clear" w:color="auto" w:fill="auto"/>
            <w:tcMar>
              <w:top w:w="51" w:type="dxa"/>
              <w:left w:w="227" w:type="dxa"/>
              <w:bottom w:w="51" w:type="dxa"/>
              <w:right w:w="227" w:type="dxa"/>
            </w:tcMar>
            <w:vAlign w:val="center"/>
          </w:tcPr>
          <w:p w14:paraId="441580B1" w14:textId="77777777" w:rsidR="00A75C0F" w:rsidRPr="008A26D2" w:rsidRDefault="00A75C0F" w:rsidP="00AF5836">
            <w:pPr>
              <w:spacing w:after="0" w:line="240" w:lineRule="auto"/>
              <w:jc w:val="both"/>
              <w:rPr>
                <w:rFonts w:ascii="Arial" w:eastAsia="Arial Unicode MS" w:hAnsi="Arial" w:cs="Arial"/>
                <w:b/>
                <w:sz w:val="20"/>
                <w:szCs w:val="20"/>
              </w:rPr>
            </w:pPr>
            <w:r w:rsidRPr="008A26D2">
              <w:rPr>
                <w:rFonts w:ascii="Arial" w:eastAsia="Arial Unicode MS" w:hAnsi="Arial" w:cs="Arial"/>
                <w:b/>
                <w:sz w:val="20"/>
                <w:szCs w:val="20"/>
              </w:rPr>
              <w:t>1. Fórmula:</w:t>
            </w:r>
          </w:p>
          <w:p w14:paraId="07F6D175" w14:textId="77777777" w:rsidR="00A75C0F" w:rsidRPr="008A26D2" w:rsidRDefault="00A75C0F" w:rsidP="00AF5836">
            <w:pPr>
              <w:spacing w:after="0" w:line="240" w:lineRule="auto"/>
              <w:jc w:val="both"/>
              <w:rPr>
                <w:rFonts w:ascii="Arial" w:eastAsia="Arial Unicode MS" w:hAnsi="Arial" w:cs="Arial"/>
                <w:sz w:val="20"/>
                <w:szCs w:val="20"/>
              </w:rPr>
            </w:pPr>
            <w:r w:rsidRPr="008A26D2">
              <w:rPr>
                <w:rFonts w:ascii="Arial" w:eastAsia="Arial Unicode MS" w:hAnsi="Arial" w:cs="Arial"/>
                <w:sz w:val="20"/>
                <w:szCs w:val="20"/>
              </w:rPr>
              <w:t xml:space="preserve">   </w:t>
            </w:r>
          </w:p>
          <w:p w14:paraId="22CE301A" w14:textId="77777777" w:rsidR="00A75C0F" w:rsidRPr="008A26D2" w:rsidRDefault="00A75C0F" w:rsidP="00AF5836">
            <w:pPr>
              <w:spacing w:after="0" w:line="240" w:lineRule="auto"/>
              <w:jc w:val="both"/>
              <w:rPr>
                <w:rFonts w:ascii="Arial" w:eastAsia="Arial Unicode MS" w:hAnsi="Arial" w:cs="Arial"/>
                <w:sz w:val="20"/>
                <w:szCs w:val="20"/>
              </w:rPr>
            </w:pPr>
            <w:r w:rsidRPr="008A26D2">
              <w:rPr>
                <w:rFonts w:ascii="Arial" w:eastAsia="Arial Unicode MS" w:hAnsi="Arial" w:cs="Arial"/>
                <w:sz w:val="20"/>
                <w:szCs w:val="20"/>
              </w:rPr>
              <w:t>(A/B)*100</w:t>
            </w:r>
          </w:p>
          <w:p w14:paraId="5B180A91" w14:textId="77777777" w:rsidR="00A75C0F" w:rsidRPr="008A26D2" w:rsidRDefault="00A75C0F" w:rsidP="00AF5836">
            <w:pPr>
              <w:spacing w:after="0" w:line="240" w:lineRule="auto"/>
              <w:jc w:val="both"/>
              <w:rPr>
                <w:rFonts w:ascii="Arial" w:eastAsia="Arial Unicode MS" w:hAnsi="Arial" w:cs="Arial"/>
                <w:sz w:val="20"/>
                <w:szCs w:val="20"/>
              </w:rPr>
            </w:pPr>
          </w:p>
          <w:p w14:paraId="445A5490" w14:textId="77777777" w:rsidR="00A75C0F" w:rsidRPr="008A26D2" w:rsidRDefault="00A75C0F" w:rsidP="00AF5836">
            <w:pPr>
              <w:spacing w:after="0" w:line="240" w:lineRule="auto"/>
              <w:jc w:val="both"/>
              <w:rPr>
                <w:rFonts w:ascii="Arial" w:eastAsia="Arial Unicode MS" w:hAnsi="Arial" w:cs="Arial"/>
                <w:sz w:val="20"/>
                <w:szCs w:val="20"/>
              </w:rPr>
            </w:pPr>
            <w:r w:rsidRPr="008A26D2">
              <w:rPr>
                <w:rFonts w:ascii="Arial" w:eastAsia="Arial Unicode MS" w:hAnsi="Arial" w:cs="Arial"/>
                <w:sz w:val="20"/>
                <w:szCs w:val="20"/>
              </w:rPr>
              <w:t>Donde:</w:t>
            </w:r>
          </w:p>
          <w:p w14:paraId="586AE3C4" w14:textId="77777777" w:rsidR="00A75C0F" w:rsidRPr="008A26D2" w:rsidRDefault="00A75C0F" w:rsidP="00AF5836">
            <w:pPr>
              <w:spacing w:after="0" w:line="240" w:lineRule="auto"/>
              <w:ind w:left="289" w:hanging="289"/>
              <w:jc w:val="both"/>
              <w:rPr>
                <w:rFonts w:ascii="Arial" w:eastAsia="Arial Unicode MS" w:hAnsi="Arial" w:cs="Arial"/>
                <w:b/>
                <w:sz w:val="20"/>
                <w:szCs w:val="20"/>
              </w:rPr>
            </w:pPr>
            <w:r w:rsidRPr="008A26D2">
              <w:rPr>
                <w:rFonts w:ascii="Arial" w:eastAsia="Arial Unicode MS" w:hAnsi="Arial" w:cs="Arial"/>
                <w:sz w:val="20"/>
                <w:szCs w:val="20"/>
              </w:rPr>
              <w:t xml:space="preserve">A= Número de </w:t>
            </w:r>
            <w:r w:rsidRPr="008A26D2">
              <w:rPr>
                <w:rFonts w:ascii="Arial" w:eastAsia="Arial Narrow" w:hAnsi="Arial" w:cs="Arial"/>
                <w:sz w:val="20"/>
                <w:szCs w:val="20"/>
              </w:rPr>
              <w:t>personas de las Unidades Técnicas de Manejo Forestal Comunitario con alto grado de satisfacción sobre las capacitaciones recibidas en formulación e implementación de programas de capacitación</w:t>
            </w:r>
          </w:p>
          <w:p w14:paraId="17B0ACAC" w14:textId="77777777" w:rsidR="00A75C0F" w:rsidRPr="008A26D2" w:rsidRDefault="00A75C0F" w:rsidP="00AF5836">
            <w:pPr>
              <w:spacing w:after="0" w:line="240" w:lineRule="auto"/>
              <w:ind w:left="289" w:hanging="289"/>
              <w:jc w:val="both"/>
              <w:rPr>
                <w:rFonts w:ascii="Arial" w:eastAsia="Arial Unicode MS" w:hAnsi="Arial" w:cs="Arial"/>
                <w:b/>
                <w:sz w:val="20"/>
                <w:szCs w:val="20"/>
              </w:rPr>
            </w:pPr>
            <w:r w:rsidRPr="008A26D2">
              <w:rPr>
                <w:rFonts w:ascii="Arial" w:eastAsia="Arial Unicode MS" w:hAnsi="Arial" w:cs="Arial"/>
                <w:sz w:val="20"/>
                <w:szCs w:val="20"/>
              </w:rPr>
              <w:t xml:space="preserve">B= Total de </w:t>
            </w:r>
            <w:r w:rsidRPr="008A26D2">
              <w:rPr>
                <w:rFonts w:ascii="Arial" w:eastAsia="Times New Roman" w:hAnsi="Arial" w:cs="Arial"/>
                <w:sz w:val="20"/>
                <w:szCs w:val="20"/>
              </w:rPr>
              <w:t xml:space="preserve">personas de las </w:t>
            </w:r>
            <w:r w:rsidRPr="008A26D2">
              <w:rPr>
                <w:rFonts w:ascii="Arial" w:eastAsia="Arial Narrow" w:hAnsi="Arial" w:cs="Arial"/>
                <w:sz w:val="20"/>
                <w:szCs w:val="20"/>
              </w:rPr>
              <w:t>Unidades Técnicas de Manejo Forestal Comunitario que reciben capacitaciones en formulación e implementación de programas de capacitación</w:t>
            </w:r>
          </w:p>
          <w:p w14:paraId="6FDD0D7C" w14:textId="77777777" w:rsidR="00A75C0F" w:rsidRPr="008A26D2" w:rsidRDefault="00A75C0F" w:rsidP="00AF5836">
            <w:pPr>
              <w:spacing w:after="0" w:line="240" w:lineRule="auto"/>
              <w:ind w:left="289" w:hanging="289"/>
              <w:jc w:val="both"/>
              <w:rPr>
                <w:rFonts w:ascii="Arial" w:eastAsia="Arial Unicode MS" w:hAnsi="Arial" w:cs="Arial"/>
                <w:b/>
                <w:sz w:val="20"/>
                <w:szCs w:val="20"/>
              </w:rPr>
            </w:pPr>
          </w:p>
          <w:p w14:paraId="0E5B476F" w14:textId="77777777" w:rsidR="00A75C0F" w:rsidRPr="008A26D2" w:rsidRDefault="00A75C0F" w:rsidP="00AF5836">
            <w:pPr>
              <w:spacing w:after="0" w:line="240" w:lineRule="auto"/>
              <w:jc w:val="both"/>
              <w:rPr>
                <w:rFonts w:ascii="Arial" w:eastAsia="Arial Unicode MS" w:hAnsi="Arial" w:cs="Arial"/>
                <w:sz w:val="20"/>
                <w:szCs w:val="20"/>
              </w:rPr>
            </w:pPr>
            <w:r w:rsidRPr="008A26D2">
              <w:rPr>
                <w:rFonts w:ascii="Arial" w:eastAsia="Arial Unicode MS" w:hAnsi="Arial" w:cs="Arial"/>
                <w:b/>
                <w:sz w:val="20"/>
                <w:szCs w:val="20"/>
              </w:rPr>
              <w:t>2.  Especificaciones técnicas:</w:t>
            </w:r>
          </w:p>
          <w:p w14:paraId="5ED02AB0" w14:textId="77777777" w:rsidR="00A75C0F" w:rsidRPr="00ED5168" w:rsidRDefault="00A75C0F" w:rsidP="00AF5836">
            <w:pPr>
              <w:jc w:val="both"/>
              <w:rPr>
                <w:rFonts w:ascii="Arial" w:eastAsia="Arial Unicode MS" w:hAnsi="Arial" w:cs="Arial"/>
                <w:sz w:val="20"/>
                <w:szCs w:val="20"/>
              </w:rPr>
            </w:pPr>
            <w:r w:rsidRPr="00ED5168">
              <w:rPr>
                <w:rFonts w:ascii="Arial" w:eastAsia="Arial Unicode MS" w:hAnsi="Arial" w:cs="Arial"/>
                <w:sz w:val="20"/>
                <w:szCs w:val="20"/>
              </w:rPr>
              <w:t xml:space="preserve">La variable A se determina a partir de </w:t>
            </w:r>
            <w:r>
              <w:rPr>
                <w:rFonts w:ascii="Arial" w:eastAsia="Arial Unicode MS" w:hAnsi="Arial" w:cs="Arial"/>
                <w:sz w:val="20"/>
                <w:szCs w:val="20"/>
              </w:rPr>
              <w:t xml:space="preserve">las </w:t>
            </w:r>
            <w:r w:rsidRPr="00ED5168">
              <w:rPr>
                <w:rFonts w:ascii="Arial" w:eastAsia="Arial Unicode MS" w:hAnsi="Arial" w:cs="Arial"/>
                <w:sz w:val="20"/>
                <w:szCs w:val="20"/>
              </w:rPr>
              <w:t>personas de las Unidades Técnicas de Manejo Forestal Comunitario que tienen un alto grado de satisfacción, al elegir los dos niveles más altos de la escala, sobre las acciones de fortalecimiento de capacidades recibidas.</w:t>
            </w:r>
          </w:p>
          <w:p w14:paraId="73029912" w14:textId="04F90D61" w:rsidR="00A75C0F" w:rsidRDefault="00A75C0F" w:rsidP="00AF5836">
            <w:pPr>
              <w:jc w:val="both"/>
              <w:rPr>
                <w:rFonts w:ascii="Arial" w:eastAsia="Arial Unicode MS" w:hAnsi="Arial" w:cs="Arial"/>
                <w:sz w:val="20"/>
                <w:szCs w:val="20"/>
              </w:rPr>
            </w:pPr>
            <w:r w:rsidRPr="00ED5168">
              <w:rPr>
                <w:rFonts w:ascii="Arial" w:eastAsia="Arial Unicode MS" w:hAnsi="Arial" w:cs="Arial"/>
                <w:sz w:val="20"/>
                <w:szCs w:val="20"/>
              </w:rPr>
              <w:t xml:space="preserve">La variable B se determina </w:t>
            </w:r>
            <w:r w:rsidR="00B36209">
              <w:rPr>
                <w:rFonts w:ascii="Arial" w:eastAsia="Arial Unicode MS" w:hAnsi="Arial" w:cs="Arial"/>
                <w:sz w:val="20"/>
                <w:szCs w:val="20"/>
              </w:rPr>
              <w:t>en base al</w:t>
            </w:r>
            <w:r w:rsidRPr="00ED5168">
              <w:rPr>
                <w:rFonts w:ascii="Arial" w:eastAsia="Arial Unicode MS" w:hAnsi="Arial" w:cs="Arial"/>
                <w:sz w:val="20"/>
                <w:szCs w:val="20"/>
              </w:rPr>
              <w:t xml:space="preserve"> total de </w:t>
            </w:r>
            <w:r w:rsidRPr="008A26D2">
              <w:rPr>
                <w:rFonts w:ascii="Arial" w:eastAsia="Arial Narrow" w:hAnsi="Arial" w:cs="Arial"/>
                <w:sz w:val="20"/>
                <w:szCs w:val="20"/>
              </w:rPr>
              <w:t xml:space="preserve">personas de las Unidades Técnicas de Manejo Forestal Comunitario </w:t>
            </w:r>
            <w:r w:rsidRPr="00ED5168">
              <w:rPr>
                <w:rFonts w:ascii="Arial" w:eastAsia="Arial Unicode MS" w:hAnsi="Arial" w:cs="Arial"/>
                <w:sz w:val="20"/>
                <w:szCs w:val="20"/>
              </w:rPr>
              <w:t>que asisten a las capacitaciones</w:t>
            </w:r>
            <w:r w:rsidR="00B36209">
              <w:rPr>
                <w:rFonts w:ascii="Arial" w:eastAsia="Arial Unicode MS" w:hAnsi="Arial" w:cs="Arial"/>
                <w:sz w:val="20"/>
                <w:szCs w:val="20"/>
              </w:rPr>
              <w:t xml:space="preserve"> en el año de medición</w:t>
            </w:r>
            <w:r>
              <w:rPr>
                <w:rFonts w:ascii="Arial" w:eastAsia="Arial Unicode MS" w:hAnsi="Arial" w:cs="Arial"/>
                <w:sz w:val="20"/>
                <w:szCs w:val="20"/>
              </w:rPr>
              <w:t>.</w:t>
            </w:r>
          </w:p>
          <w:p w14:paraId="45B74066" w14:textId="5395D959" w:rsidR="00A75C0F" w:rsidRPr="008A26D2" w:rsidRDefault="00A75C0F" w:rsidP="00AF5836">
            <w:pPr>
              <w:jc w:val="both"/>
              <w:rPr>
                <w:rFonts w:ascii="Arial" w:eastAsia="Times New Roman" w:hAnsi="Arial" w:cs="Arial"/>
                <w:sz w:val="20"/>
                <w:szCs w:val="20"/>
                <w:lang w:val="es-ES"/>
              </w:rPr>
            </w:pPr>
            <w:r w:rsidRPr="008A26D2">
              <w:rPr>
                <w:rFonts w:ascii="Arial" w:eastAsia="Times New Roman" w:hAnsi="Arial" w:cs="Arial"/>
                <w:sz w:val="20"/>
                <w:szCs w:val="20"/>
                <w:lang w:val="es-ES"/>
              </w:rPr>
              <w:t xml:space="preserve">El indicador se calculará a partir de los resultados de la aplicación de las encuestas o entrevistas donde se pueda registrar el grado de satisfacción del personal de las </w:t>
            </w:r>
            <w:r w:rsidRPr="008A26D2">
              <w:rPr>
                <w:rFonts w:ascii="Arial" w:eastAsia="Arial Narrow" w:hAnsi="Arial" w:cs="Arial"/>
                <w:sz w:val="20"/>
                <w:szCs w:val="20"/>
              </w:rPr>
              <w:t>Unidades Técnicas de Manejo Forestal Comunitario</w:t>
            </w:r>
            <w:r w:rsidRPr="008A26D2">
              <w:rPr>
                <w:rFonts w:ascii="Arial" w:eastAsia="Times New Roman" w:hAnsi="Arial" w:cs="Arial"/>
                <w:sz w:val="20"/>
                <w:szCs w:val="20"/>
                <w:lang w:val="es-ES"/>
              </w:rPr>
              <w:t>, identificando aquellos aspectos del servicio que se pueden mejorar y satisfacer al receptor.</w:t>
            </w:r>
          </w:p>
          <w:p w14:paraId="222E6272" w14:textId="77777777" w:rsidR="00A75C0F" w:rsidRPr="008A26D2" w:rsidRDefault="00A75C0F" w:rsidP="00AF5836">
            <w:pPr>
              <w:jc w:val="both"/>
              <w:rPr>
                <w:rFonts w:ascii="Arial" w:hAnsi="Arial" w:cs="Arial"/>
                <w:bCs/>
                <w:sz w:val="20"/>
                <w:szCs w:val="20"/>
              </w:rPr>
            </w:pPr>
            <w:r w:rsidRPr="008A26D2">
              <w:rPr>
                <w:rFonts w:ascii="Arial" w:hAnsi="Arial" w:cs="Arial"/>
                <w:bCs/>
                <w:sz w:val="20"/>
                <w:szCs w:val="20"/>
              </w:rPr>
              <w:t>Para evaluar el grado de satisfacción se considerará los alcances metodológicos señalados en el Protocolo de Capacitación y Asistencia Técnica del SERFOR.</w:t>
            </w:r>
          </w:p>
          <w:p w14:paraId="1777C855" w14:textId="77777777" w:rsidR="00A75C0F" w:rsidRPr="008A26D2" w:rsidRDefault="00A75C0F" w:rsidP="00AF5836">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Se carece de línea base debido a que el servicio es nuevo, por ese motivo, el SERFOR determinará la línea base antes del inicio de la implementación de la presente Política Nacional.</w:t>
            </w:r>
          </w:p>
          <w:p w14:paraId="694D30DB" w14:textId="77777777" w:rsidR="00A75C0F" w:rsidRPr="008A26D2" w:rsidRDefault="00A75C0F" w:rsidP="00AF5836">
            <w:pPr>
              <w:spacing w:after="0" w:line="240" w:lineRule="auto"/>
              <w:jc w:val="both"/>
              <w:rPr>
                <w:rFonts w:ascii="Arial" w:eastAsia="Arial Narrow" w:hAnsi="Arial" w:cs="Arial"/>
                <w:sz w:val="20"/>
                <w:szCs w:val="20"/>
              </w:rPr>
            </w:pPr>
          </w:p>
          <w:p w14:paraId="51582271" w14:textId="77777777" w:rsidR="00A75C0F" w:rsidRPr="008A26D2" w:rsidRDefault="00A75C0F" w:rsidP="00AF5836">
            <w:pPr>
              <w:tabs>
                <w:tab w:val="left" w:pos="3375"/>
              </w:tabs>
              <w:jc w:val="both"/>
              <w:rPr>
                <w:rFonts w:ascii="Arial" w:hAnsi="Arial" w:cs="Arial"/>
                <w:sz w:val="20"/>
                <w:szCs w:val="20"/>
              </w:rPr>
            </w:pPr>
            <w:r w:rsidRPr="008A26D2">
              <w:rPr>
                <w:rFonts w:ascii="Arial" w:eastAsia="Arial Narrow" w:hAnsi="Arial" w:cs="Arial"/>
                <w:sz w:val="20"/>
                <w:szCs w:val="20"/>
              </w:rPr>
              <w:t xml:space="preserve">Las Unidades Técnicas de Manejo Forestal Comunitario son unidades orgánicas territoriales que tienen como finalidad brindar atención y servicio eficiente y de calidad a las comunidades nativas y comunidades campesinas. </w:t>
            </w:r>
          </w:p>
        </w:tc>
      </w:tr>
      <w:tr w:rsidR="00A75C0F" w:rsidRPr="008A26D2" w14:paraId="694D23B9" w14:textId="77777777" w:rsidTr="00AF5836">
        <w:trPr>
          <w:trHeight w:val="686"/>
        </w:trPr>
        <w:tc>
          <w:tcPr>
            <w:tcW w:w="2575" w:type="dxa"/>
            <w:gridSpan w:val="2"/>
            <w:shd w:val="clear" w:color="auto" w:fill="auto"/>
            <w:tcMar>
              <w:top w:w="10" w:type="dxa"/>
              <w:left w:w="93" w:type="dxa"/>
              <w:bottom w:w="0" w:type="dxa"/>
              <w:right w:w="10" w:type="dxa"/>
            </w:tcMar>
            <w:vAlign w:val="center"/>
          </w:tcPr>
          <w:p w14:paraId="2D313FAF"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Sentido esperado del indicador:</w:t>
            </w:r>
          </w:p>
        </w:tc>
        <w:tc>
          <w:tcPr>
            <w:tcW w:w="1678" w:type="dxa"/>
            <w:gridSpan w:val="2"/>
            <w:shd w:val="clear" w:color="auto" w:fill="auto"/>
            <w:tcMar>
              <w:top w:w="10" w:type="dxa"/>
              <w:left w:w="283" w:type="dxa"/>
              <w:bottom w:w="0" w:type="dxa"/>
              <w:right w:w="283" w:type="dxa"/>
            </w:tcMar>
            <w:vAlign w:val="center"/>
          </w:tcPr>
          <w:p w14:paraId="5564E7A7" w14:textId="77777777" w:rsidR="00A75C0F" w:rsidRPr="008A26D2" w:rsidRDefault="00A75C0F" w:rsidP="00AF5836">
            <w:pPr>
              <w:tabs>
                <w:tab w:val="left" w:pos="3375"/>
              </w:tabs>
              <w:jc w:val="both"/>
              <w:rPr>
                <w:rFonts w:ascii="Arial" w:hAnsi="Arial" w:cs="Arial"/>
                <w:sz w:val="20"/>
                <w:szCs w:val="20"/>
              </w:rPr>
            </w:pPr>
            <w:r w:rsidRPr="008A26D2">
              <w:rPr>
                <w:rFonts w:ascii="Arial" w:eastAsia="Arial Narrow" w:hAnsi="Arial" w:cs="Arial"/>
                <w:sz w:val="20"/>
                <w:szCs w:val="20"/>
              </w:rPr>
              <w:t>Ascendente</w:t>
            </w:r>
          </w:p>
        </w:tc>
        <w:tc>
          <w:tcPr>
            <w:tcW w:w="2566" w:type="dxa"/>
            <w:gridSpan w:val="5"/>
            <w:shd w:val="clear" w:color="auto" w:fill="auto"/>
            <w:tcMar>
              <w:top w:w="15" w:type="dxa"/>
              <w:left w:w="15" w:type="dxa"/>
              <w:bottom w:w="0" w:type="dxa"/>
              <w:right w:w="15" w:type="dxa"/>
            </w:tcMar>
            <w:vAlign w:val="center"/>
          </w:tcPr>
          <w:p w14:paraId="1B17CBA9" w14:textId="77777777" w:rsidR="00A75C0F" w:rsidRPr="008A26D2" w:rsidRDefault="00A75C0F" w:rsidP="00AF5836">
            <w:pPr>
              <w:tabs>
                <w:tab w:val="left" w:pos="3375"/>
              </w:tabs>
              <w:jc w:val="both"/>
              <w:rPr>
                <w:rFonts w:ascii="Arial" w:hAnsi="Arial" w:cs="Arial"/>
                <w:sz w:val="20"/>
                <w:szCs w:val="20"/>
              </w:rPr>
            </w:pPr>
            <w:r w:rsidRPr="008A26D2">
              <w:rPr>
                <w:rFonts w:ascii="Arial" w:eastAsia="Arial Narrow" w:hAnsi="Arial" w:cs="Arial"/>
                <w:b/>
                <w:sz w:val="20"/>
                <w:szCs w:val="20"/>
              </w:rPr>
              <w:t>Tipo de Indicador de Servicio</w:t>
            </w:r>
          </w:p>
        </w:tc>
        <w:tc>
          <w:tcPr>
            <w:tcW w:w="1545" w:type="dxa"/>
            <w:gridSpan w:val="3"/>
            <w:shd w:val="clear" w:color="auto" w:fill="auto"/>
            <w:tcMar>
              <w:top w:w="15" w:type="dxa"/>
              <w:left w:w="15" w:type="dxa"/>
              <w:bottom w:w="0" w:type="dxa"/>
              <w:right w:w="15" w:type="dxa"/>
            </w:tcMar>
            <w:vAlign w:val="center"/>
          </w:tcPr>
          <w:p w14:paraId="7AECCBA3"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sz w:val="20"/>
                <w:szCs w:val="20"/>
              </w:rPr>
              <w:t>Calidad - Percepción</w:t>
            </w:r>
          </w:p>
        </w:tc>
      </w:tr>
      <w:tr w:rsidR="00A75C0F" w:rsidRPr="008A26D2" w14:paraId="727F5873" w14:textId="77777777" w:rsidTr="00AF5836">
        <w:trPr>
          <w:trHeight w:val="13"/>
        </w:trPr>
        <w:tc>
          <w:tcPr>
            <w:tcW w:w="2575" w:type="dxa"/>
            <w:gridSpan w:val="2"/>
            <w:shd w:val="clear" w:color="auto" w:fill="auto"/>
            <w:tcMar>
              <w:top w:w="10" w:type="dxa"/>
              <w:left w:w="93" w:type="dxa"/>
              <w:bottom w:w="0" w:type="dxa"/>
              <w:right w:w="10" w:type="dxa"/>
            </w:tcMar>
            <w:vAlign w:val="center"/>
          </w:tcPr>
          <w:p w14:paraId="4F60659E"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Fuente y base de datos:</w:t>
            </w:r>
          </w:p>
        </w:tc>
        <w:tc>
          <w:tcPr>
            <w:tcW w:w="5789" w:type="dxa"/>
            <w:gridSpan w:val="10"/>
            <w:shd w:val="clear" w:color="auto" w:fill="auto"/>
            <w:tcMar>
              <w:top w:w="51" w:type="dxa"/>
              <w:left w:w="227" w:type="dxa"/>
              <w:bottom w:w="51" w:type="dxa"/>
              <w:right w:w="227" w:type="dxa"/>
            </w:tcMar>
            <w:vAlign w:val="center"/>
          </w:tcPr>
          <w:p w14:paraId="40275071" w14:textId="77777777" w:rsidR="00A75C0F" w:rsidRDefault="00A75C0F" w:rsidP="00AF5836">
            <w:pPr>
              <w:tabs>
                <w:tab w:val="left" w:pos="3375"/>
              </w:tabs>
              <w:jc w:val="both"/>
              <w:rPr>
                <w:rFonts w:ascii="Arial" w:eastAsia="Arial Narrow" w:hAnsi="Arial" w:cs="Arial"/>
                <w:sz w:val="20"/>
                <w:szCs w:val="20"/>
              </w:rPr>
            </w:pPr>
            <w:r w:rsidRPr="008A26D2">
              <w:rPr>
                <w:rFonts w:ascii="Arial" w:eastAsia="Arial Narrow" w:hAnsi="Arial" w:cs="Arial"/>
                <w:sz w:val="20"/>
                <w:szCs w:val="20"/>
              </w:rPr>
              <w:t xml:space="preserve">Fuente: Dirección de Fortalecimiento de Capacidades del </w:t>
            </w:r>
            <w:r>
              <w:rPr>
                <w:rFonts w:ascii="Arial" w:eastAsia="Arial Narrow" w:hAnsi="Arial" w:cs="Arial"/>
                <w:sz w:val="20"/>
                <w:szCs w:val="20"/>
              </w:rPr>
              <w:t xml:space="preserve">Servicio Nacional Forestal y de Fauna Silvestre – </w:t>
            </w:r>
            <w:r w:rsidRPr="008A26D2">
              <w:rPr>
                <w:rFonts w:ascii="Arial" w:eastAsia="Arial Narrow" w:hAnsi="Arial" w:cs="Arial"/>
                <w:sz w:val="20"/>
                <w:szCs w:val="20"/>
              </w:rPr>
              <w:t>SERFOR</w:t>
            </w:r>
            <w:r>
              <w:rPr>
                <w:rFonts w:ascii="Arial" w:eastAsia="Arial Narrow" w:hAnsi="Arial" w:cs="Arial"/>
                <w:sz w:val="20"/>
                <w:szCs w:val="20"/>
              </w:rPr>
              <w:t>.</w:t>
            </w:r>
          </w:p>
          <w:p w14:paraId="3F45C40F" w14:textId="45ABD152" w:rsidR="00A75C0F" w:rsidRPr="008A26D2" w:rsidRDefault="00A75C0F" w:rsidP="00AF5836">
            <w:pPr>
              <w:tabs>
                <w:tab w:val="left" w:pos="3375"/>
              </w:tabs>
              <w:jc w:val="both"/>
              <w:rPr>
                <w:rFonts w:ascii="Arial" w:hAnsi="Arial" w:cs="Arial"/>
                <w:sz w:val="20"/>
                <w:szCs w:val="20"/>
              </w:rPr>
            </w:pPr>
            <w:r w:rsidRPr="008A26D2">
              <w:rPr>
                <w:rFonts w:ascii="Arial" w:eastAsia="Arial Narrow" w:hAnsi="Arial" w:cs="Arial"/>
                <w:sz w:val="20"/>
                <w:szCs w:val="20"/>
              </w:rPr>
              <w:t>Base de datos: Reporte de la Dirección de Fortalecimiento de Capacidades</w:t>
            </w:r>
            <w:r>
              <w:rPr>
                <w:rFonts w:ascii="Arial" w:eastAsia="Arial Narrow" w:hAnsi="Arial" w:cs="Arial"/>
                <w:sz w:val="20"/>
                <w:szCs w:val="20"/>
              </w:rPr>
              <w:t>.</w:t>
            </w:r>
          </w:p>
        </w:tc>
      </w:tr>
      <w:tr w:rsidR="00A75C0F" w:rsidRPr="008A26D2" w14:paraId="1E771C21" w14:textId="77777777" w:rsidTr="00AF5836">
        <w:trPr>
          <w:trHeight w:val="436"/>
        </w:trPr>
        <w:tc>
          <w:tcPr>
            <w:tcW w:w="2575" w:type="dxa"/>
            <w:gridSpan w:val="2"/>
            <w:shd w:val="clear" w:color="auto" w:fill="auto"/>
            <w:tcMar>
              <w:top w:w="10" w:type="dxa"/>
              <w:left w:w="93" w:type="dxa"/>
              <w:bottom w:w="0" w:type="dxa"/>
              <w:right w:w="10" w:type="dxa"/>
            </w:tcMar>
            <w:vAlign w:val="center"/>
          </w:tcPr>
          <w:p w14:paraId="1A712E4A"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lastRenderedPageBreak/>
              <w:t>Supuestos:</w:t>
            </w:r>
          </w:p>
        </w:tc>
        <w:tc>
          <w:tcPr>
            <w:tcW w:w="5789" w:type="dxa"/>
            <w:gridSpan w:val="10"/>
            <w:shd w:val="clear" w:color="auto" w:fill="auto"/>
            <w:tcMar>
              <w:top w:w="51" w:type="dxa"/>
              <w:left w:w="227" w:type="dxa"/>
              <w:bottom w:w="51" w:type="dxa"/>
              <w:right w:w="227" w:type="dxa"/>
            </w:tcMar>
            <w:vAlign w:val="center"/>
          </w:tcPr>
          <w:p w14:paraId="03097FC3" w14:textId="77777777" w:rsidR="00A75C0F" w:rsidRPr="008A26D2" w:rsidRDefault="00A75C0F" w:rsidP="00AF5836">
            <w:pPr>
              <w:tabs>
                <w:tab w:val="left" w:pos="3375"/>
              </w:tabs>
              <w:jc w:val="both"/>
              <w:rPr>
                <w:rFonts w:ascii="Arial" w:hAnsi="Arial" w:cs="Arial"/>
                <w:sz w:val="20"/>
                <w:szCs w:val="20"/>
              </w:rPr>
            </w:pPr>
            <w:r w:rsidRPr="008A26D2">
              <w:rPr>
                <w:rFonts w:ascii="Arial" w:eastAsia="Arial Narrow" w:hAnsi="Arial" w:cs="Arial"/>
                <w:sz w:val="20"/>
                <w:szCs w:val="20"/>
              </w:rPr>
              <w:t>Disposición de las autoridades nacionales y regionales para impulsar la creación y funcionamiento de las Unidades Técnicas de Manejo Forestal Comunitario.</w:t>
            </w:r>
          </w:p>
        </w:tc>
      </w:tr>
      <w:tr w:rsidR="00A75C0F" w:rsidRPr="008A26D2" w14:paraId="3D323F5C" w14:textId="77777777" w:rsidTr="00AF5836">
        <w:trPr>
          <w:trHeight w:val="556"/>
        </w:trPr>
        <w:tc>
          <w:tcPr>
            <w:tcW w:w="1418" w:type="dxa"/>
            <w:shd w:val="clear" w:color="auto" w:fill="auto"/>
            <w:tcMar>
              <w:top w:w="10" w:type="dxa"/>
              <w:left w:w="10" w:type="dxa"/>
              <w:bottom w:w="0" w:type="dxa"/>
              <w:right w:w="10" w:type="dxa"/>
            </w:tcMar>
            <w:vAlign w:val="center"/>
          </w:tcPr>
          <w:p w14:paraId="5A7EF1FC"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 </w:t>
            </w:r>
          </w:p>
        </w:tc>
        <w:tc>
          <w:tcPr>
            <w:tcW w:w="1157" w:type="dxa"/>
            <w:shd w:val="clear" w:color="auto" w:fill="auto"/>
            <w:tcMar>
              <w:top w:w="10" w:type="dxa"/>
              <w:left w:w="10" w:type="dxa"/>
              <w:bottom w:w="0" w:type="dxa"/>
              <w:right w:w="10" w:type="dxa"/>
            </w:tcMar>
            <w:vAlign w:val="center"/>
          </w:tcPr>
          <w:p w14:paraId="531632C7" w14:textId="77777777" w:rsidR="00A75C0F" w:rsidRPr="008A26D2" w:rsidRDefault="00A75C0F" w:rsidP="00B36209">
            <w:pPr>
              <w:tabs>
                <w:tab w:val="left" w:pos="3375"/>
              </w:tabs>
              <w:jc w:val="center"/>
              <w:rPr>
                <w:rFonts w:ascii="Arial" w:hAnsi="Arial" w:cs="Arial"/>
                <w:sz w:val="20"/>
                <w:szCs w:val="20"/>
              </w:rPr>
            </w:pPr>
            <w:r w:rsidRPr="008A26D2">
              <w:rPr>
                <w:rFonts w:ascii="Arial" w:hAnsi="Arial" w:cs="Arial"/>
                <w:b/>
                <w:sz w:val="20"/>
                <w:szCs w:val="20"/>
              </w:rPr>
              <w:t>Línea de base</w:t>
            </w:r>
          </w:p>
        </w:tc>
        <w:tc>
          <w:tcPr>
            <w:tcW w:w="5789" w:type="dxa"/>
            <w:gridSpan w:val="10"/>
            <w:shd w:val="clear" w:color="auto" w:fill="auto"/>
            <w:tcMar>
              <w:top w:w="10" w:type="dxa"/>
              <w:left w:w="10" w:type="dxa"/>
              <w:bottom w:w="0" w:type="dxa"/>
              <w:right w:w="10" w:type="dxa"/>
            </w:tcMar>
            <w:vAlign w:val="center"/>
          </w:tcPr>
          <w:p w14:paraId="15A6DB28"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b/>
                <w:sz w:val="20"/>
                <w:szCs w:val="20"/>
              </w:rPr>
              <w:t>Logros esperados</w:t>
            </w:r>
          </w:p>
        </w:tc>
      </w:tr>
      <w:tr w:rsidR="00A75C0F" w:rsidRPr="008A26D2" w14:paraId="72DAC1A8" w14:textId="77777777" w:rsidTr="00AF5836">
        <w:trPr>
          <w:trHeight w:val="217"/>
        </w:trPr>
        <w:tc>
          <w:tcPr>
            <w:tcW w:w="1418" w:type="dxa"/>
            <w:shd w:val="clear" w:color="auto" w:fill="auto"/>
            <w:tcMar>
              <w:top w:w="10" w:type="dxa"/>
              <w:left w:w="10" w:type="dxa"/>
              <w:bottom w:w="0" w:type="dxa"/>
              <w:right w:w="10" w:type="dxa"/>
            </w:tcMar>
            <w:vAlign w:val="center"/>
          </w:tcPr>
          <w:p w14:paraId="4BB57E3E"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Año</w:t>
            </w:r>
          </w:p>
        </w:tc>
        <w:tc>
          <w:tcPr>
            <w:tcW w:w="1157" w:type="dxa"/>
            <w:shd w:val="clear" w:color="auto" w:fill="auto"/>
            <w:tcMar>
              <w:top w:w="10" w:type="dxa"/>
              <w:left w:w="10" w:type="dxa"/>
              <w:bottom w:w="0" w:type="dxa"/>
              <w:right w:w="10" w:type="dxa"/>
            </w:tcMar>
            <w:vAlign w:val="center"/>
          </w:tcPr>
          <w:p w14:paraId="0CB8F7DA"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2022</w:t>
            </w:r>
          </w:p>
        </w:tc>
        <w:tc>
          <w:tcPr>
            <w:tcW w:w="842" w:type="dxa"/>
            <w:shd w:val="clear" w:color="auto" w:fill="auto"/>
            <w:tcMar>
              <w:top w:w="10" w:type="dxa"/>
              <w:left w:w="10" w:type="dxa"/>
              <w:bottom w:w="0" w:type="dxa"/>
              <w:right w:w="10" w:type="dxa"/>
            </w:tcMar>
            <w:vAlign w:val="center"/>
          </w:tcPr>
          <w:p w14:paraId="2F092C2E"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2023</w:t>
            </w:r>
          </w:p>
        </w:tc>
        <w:tc>
          <w:tcPr>
            <w:tcW w:w="851" w:type="dxa"/>
            <w:gridSpan w:val="2"/>
            <w:shd w:val="clear" w:color="auto" w:fill="auto"/>
            <w:vAlign w:val="center"/>
          </w:tcPr>
          <w:p w14:paraId="0DF0AD37"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2024</w:t>
            </w:r>
          </w:p>
        </w:tc>
        <w:tc>
          <w:tcPr>
            <w:tcW w:w="709" w:type="dxa"/>
            <w:shd w:val="clear" w:color="auto" w:fill="auto"/>
            <w:vAlign w:val="center"/>
          </w:tcPr>
          <w:p w14:paraId="6531DBEA"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2025</w:t>
            </w:r>
          </w:p>
        </w:tc>
        <w:tc>
          <w:tcPr>
            <w:tcW w:w="693" w:type="dxa"/>
            <w:shd w:val="clear" w:color="auto" w:fill="auto"/>
            <w:vAlign w:val="center"/>
          </w:tcPr>
          <w:p w14:paraId="44CE7E0B"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2026</w:t>
            </w:r>
          </w:p>
        </w:tc>
        <w:tc>
          <w:tcPr>
            <w:tcW w:w="709" w:type="dxa"/>
            <w:shd w:val="clear" w:color="auto" w:fill="auto"/>
            <w:vAlign w:val="center"/>
          </w:tcPr>
          <w:p w14:paraId="40C64443"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2027</w:t>
            </w:r>
          </w:p>
        </w:tc>
        <w:tc>
          <w:tcPr>
            <w:tcW w:w="709" w:type="dxa"/>
            <w:gridSpan w:val="2"/>
            <w:shd w:val="clear" w:color="auto" w:fill="auto"/>
            <w:vAlign w:val="center"/>
          </w:tcPr>
          <w:p w14:paraId="11359722"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2028</w:t>
            </w:r>
          </w:p>
        </w:tc>
        <w:tc>
          <w:tcPr>
            <w:tcW w:w="709" w:type="dxa"/>
            <w:shd w:val="clear" w:color="auto" w:fill="auto"/>
            <w:vAlign w:val="center"/>
          </w:tcPr>
          <w:p w14:paraId="4FF3B031"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2029</w:t>
            </w:r>
          </w:p>
        </w:tc>
        <w:tc>
          <w:tcPr>
            <w:tcW w:w="567" w:type="dxa"/>
            <w:shd w:val="clear" w:color="auto" w:fill="auto"/>
            <w:tcMar>
              <w:top w:w="10" w:type="dxa"/>
              <w:left w:w="10" w:type="dxa"/>
              <w:bottom w:w="0" w:type="dxa"/>
              <w:right w:w="10" w:type="dxa"/>
            </w:tcMar>
            <w:vAlign w:val="center"/>
          </w:tcPr>
          <w:p w14:paraId="52BB3485"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2030</w:t>
            </w:r>
          </w:p>
        </w:tc>
      </w:tr>
      <w:tr w:rsidR="00A75C0F" w:rsidRPr="008A26D2" w14:paraId="0D2BE3AB" w14:textId="77777777" w:rsidTr="00AF5836">
        <w:trPr>
          <w:trHeight w:val="81"/>
        </w:trPr>
        <w:tc>
          <w:tcPr>
            <w:tcW w:w="1418" w:type="dxa"/>
            <w:shd w:val="clear" w:color="auto" w:fill="auto"/>
            <w:tcMar>
              <w:top w:w="10" w:type="dxa"/>
              <w:left w:w="10" w:type="dxa"/>
              <w:bottom w:w="0" w:type="dxa"/>
              <w:right w:w="10" w:type="dxa"/>
            </w:tcMar>
            <w:vAlign w:val="center"/>
          </w:tcPr>
          <w:p w14:paraId="4D444716"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b/>
                <w:sz w:val="20"/>
                <w:szCs w:val="20"/>
              </w:rPr>
              <w:t>Valor</w:t>
            </w:r>
          </w:p>
        </w:tc>
        <w:tc>
          <w:tcPr>
            <w:tcW w:w="1157" w:type="dxa"/>
            <w:shd w:val="clear" w:color="auto" w:fill="auto"/>
            <w:tcMar>
              <w:top w:w="10" w:type="dxa"/>
              <w:left w:w="10" w:type="dxa"/>
              <w:bottom w:w="0" w:type="dxa"/>
              <w:right w:w="10" w:type="dxa"/>
            </w:tcMar>
            <w:vAlign w:val="center"/>
          </w:tcPr>
          <w:p w14:paraId="4F67F6FA" w14:textId="77777777" w:rsidR="00A75C0F" w:rsidRPr="008A26D2" w:rsidRDefault="00A75C0F" w:rsidP="00AF5836">
            <w:pPr>
              <w:tabs>
                <w:tab w:val="left" w:pos="3375"/>
              </w:tabs>
              <w:jc w:val="center"/>
              <w:rPr>
                <w:rFonts w:ascii="Arial" w:hAnsi="Arial" w:cs="Arial"/>
                <w:sz w:val="20"/>
                <w:szCs w:val="20"/>
              </w:rPr>
            </w:pPr>
            <w:r w:rsidRPr="00B36209">
              <w:rPr>
                <w:rFonts w:ascii="Arial" w:hAnsi="Arial" w:cs="Arial"/>
                <w:sz w:val="20"/>
                <w:szCs w:val="20"/>
              </w:rPr>
              <w:t>ND</w:t>
            </w:r>
          </w:p>
        </w:tc>
        <w:tc>
          <w:tcPr>
            <w:tcW w:w="842" w:type="dxa"/>
            <w:shd w:val="clear" w:color="auto" w:fill="auto"/>
            <w:tcMar>
              <w:top w:w="10" w:type="dxa"/>
              <w:left w:w="10" w:type="dxa"/>
              <w:bottom w:w="0" w:type="dxa"/>
              <w:right w:w="10" w:type="dxa"/>
            </w:tcMar>
            <w:vAlign w:val="bottom"/>
          </w:tcPr>
          <w:p w14:paraId="627AA272" w14:textId="77777777" w:rsidR="00A75C0F" w:rsidRPr="008A26D2" w:rsidRDefault="00A75C0F" w:rsidP="00AF5836">
            <w:pPr>
              <w:tabs>
                <w:tab w:val="left" w:pos="3375"/>
              </w:tabs>
              <w:jc w:val="center"/>
              <w:rPr>
                <w:rFonts w:ascii="Arial" w:hAnsi="Arial" w:cs="Arial"/>
                <w:sz w:val="20"/>
                <w:szCs w:val="20"/>
                <w:highlight w:val="yellow"/>
              </w:rPr>
            </w:pPr>
            <w:r w:rsidRPr="008A26D2">
              <w:rPr>
                <w:rFonts w:ascii="Arial" w:hAnsi="Arial" w:cs="Arial"/>
                <w:sz w:val="20"/>
                <w:szCs w:val="20"/>
              </w:rPr>
              <w:t>60%</w:t>
            </w:r>
          </w:p>
        </w:tc>
        <w:tc>
          <w:tcPr>
            <w:tcW w:w="851" w:type="dxa"/>
            <w:gridSpan w:val="2"/>
            <w:shd w:val="clear" w:color="auto" w:fill="auto"/>
            <w:vAlign w:val="bottom"/>
          </w:tcPr>
          <w:p w14:paraId="15B6D026" w14:textId="77777777" w:rsidR="00A75C0F" w:rsidRPr="008A26D2" w:rsidRDefault="00A75C0F" w:rsidP="00AF5836">
            <w:pPr>
              <w:tabs>
                <w:tab w:val="left" w:pos="3375"/>
              </w:tabs>
              <w:jc w:val="center"/>
              <w:rPr>
                <w:rFonts w:ascii="Arial" w:hAnsi="Arial" w:cs="Arial"/>
                <w:sz w:val="20"/>
                <w:szCs w:val="20"/>
                <w:highlight w:val="yellow"/>
              </w:rPr>
            </w:pPr>
            <w:r w:rsidRPr="008A26D2">
              <w:rPr>
                <w:rFonts w:ascii="Arial" w:eastAsia="Arial Narrow" w:hAnsi="Arial" w:cs="Arial"/>
                <w:sz w:val="20"/>
                <w:szCs w:val="20"/>
              </w:rPr>
              <w:t>70%</w:t>
            </w:r>
          </w:p>
        </w:tc>
        <w:tc>
          <w:tcPr>
            <w:tcW w:w="709" w:type="dxa"/>
            <w:shd w:val="clear" w:color="auto" w:fill="auto"/>
            <w:vAlign w:val="bottom"/>
          </w:tcPr>
          <w:p w14:paraId="215C0864" w14:textId="77777777" w:rsidR="00A75C0F" w:rsidRPr="008A26D2" w:rsidRDefault="00A75C0F" w:rsidP="00AF5836">
            <w:pPr>
              <w:tabs>
                <w:tab w:val="left" w:pos="3375"/>
              </w:tabs>
              <w:jc w:val="center"/>
              <w:rPr>
                <w:rFonts w:ascii="Arial" w:hAnsi="Arial" w:cs="Arial"/>
                <w:sz w:val="20"/>
                <w:szCs w:val="20"/>
                <w:highlight w:val="yellow"/>
              </w:rPr>
            </w:pPr>
            <w:r w:rsidRPr="008A26D2">
              <w:rPr>
                <w:rFonts w:ascii="Arial" w:eastAsia="Arial Narrow" w:hAnsi="Arial" w:cs="Arial"/>
                <w:sz w:val="20"/>
                <w:szCs w:val="20"/>
              </w:rPr>
              <w:t>70%</w:t>
            </w:r>
          </w:p>
        </w:tc>
        <w:tc>
          <w:tcPr>
            <w:tcW w:w="693" w:type="dxa"/>
            <w:shd w:val="clear" w:color="auto" w:fill="auto"/>
            <w:vAlign w:val="bottom"/>
          </w:tcPr>
          <w:p w14:paraId="62BA9BD9" w14:textId="77777777" w:rsidR="00A75C0F" w:rsidRPr="008A26D2" w:rsidRDefault="00A75C0F" w:rsidP="00AF5836">
            <w:pPr>
              <w:tabs>
                <w:tab w:val="left" w:pos="3375"/>
              </w:tabs>
              <w:jc w:val="center"/>
              <w:rPr>
                <w:rFonts w:ascii="Arial" w:hAnsi="Arial" w:cs="Arial"/>
                <w:sz w:val="20"/>
                <w:szCs w:val="20"/>
                <w:highlight w:val="yellow"/>
              </w:rPr>
            </w:pPr>
            <w:r w:rsidRPr="008A26D2">
              <w:rPr>
                <w:rFonts w:ascii="Arial" w:eastAsia="Arial Narrow" w:hAnsi="Arial" w:cs="Arial"/>
                <w:sz w:val="20"/>
                <w:szCs w:val="20"/>
              </w:rPr>
              <w:t>80%</w:t>
            </w:r>
          </w:p>
        </w:tc>
        <w:tc>
          <w:tcPr>
            <w:tcW w:w="709" w:type="dxa"/>
            <w:shd w:val="clear" w:color="auto" w:fill="auto"/>
            <w:vAlign w:val="bottom"/>
          </w:tcPr>
          <w:p w14:paraId="2BF9C487" w14:textId="77777777" w:rsidR="00A75C0F" w:rsidRPr="008A26D2" w:rsidRDefault="00A75C0F" w:rsidP="00AF5836">
            <w:pPr>
              <w:tabs>
                <w:tab w:val="left" w:pos="3375"/>
              </w:tabs>
              <w:jc w:val="center"/>
              <w:rPr>
                <w:rFonts w:ascii="Arial" w:hAnsi="Arial" w:cs="Arial"/>
                <w:sz w:val="20"/>
                <w:szCs w:val="20"/>
                <w:highlight w:val="yellow"/>
              </w:rPr>
            </w:pPr>
            <w:r w:rsidRPr="008A26D2">
              <w:rPr>
                <w:rFonts w:ascii="Arial" w:eastAsia="Arial Narrow" w:hAnsi="Arial" w:cs="Arial"/>
                <w:sz w:val="20"/>
                <w:szCs w:val="20"/>
              </w:rPr>
              <w:t>85%</w:t>
            </w:r>
          </w:p>
        </w:tc>
        <w:tc>
          <w:tcPr>
            <w:tcW w:w="709" w:type="dxa"/>
            <w:gridSpan w:val="2"/>
            <w:shd w:val="clear" w:color="auto" w:fill="auto"/>
          </w:tcPr>
          <w:p w14:paraId="27F529B7" w14:textId="77777777" w:rsidR="00A75C0F" w:rsidRPr="008A26D2" w:rsidRDefault="00A75C0F" w:rsidP="00AF5836">
            <w:pPr>
              <w:tabs>
                <w:tab w:val="left" w:pos="3375"/>
              </w:tabs>
              <w:jc w:val="center"/>
              <w:rPr>
                <w:rFonts w:ascii="Arial" w:hAnsi="Arial" w:cs="Arial"/>
                <w:sz w:val="20"/>
                <w:szCs w:val="20"/>
                <w:highlight w:val="yellow"/>
              </w:rPr>
            </w:pPr>
            <w:r w:rsidRPr="008A26D2">
              <w:rPr>
                <w:rFonts w:ascii="Arial" w:eastAsia="Arial Narrow" w:hAnsi="Arial" w:cs="Arial"/>
                <w:sz w:val="20"/>
                <w:szCs w:val="20"/>
              </w:rPr>
              <w:t>85%</w:t>
            </w:r>
          </w:p>
        </w:tc>
        <w:tc>
          <w:tcPr>
            <w:tcW w:w="709" w:type="dxa"/>
            <w:shd w:val="clear" w:color="auto" w:fill="auto"/>
          </w:tcPr>
          <w:p w14:paraId="034E0D94" w14:textId="77777777" w:rsidR="00A75C0F" w:rsidRPr="008A26D2" w:rsidRDefault="00A75C0F" w:rsidP="00AF5836">
            <w:pPr>
              <w:tabs>
                <w:tab w:val="left" w:pos="3375"/>
              </w:tabs>
              <w:jc w:val="center"/>
              <w:rPr>
                <w:rFonts w:ascii="Arial" w:hAnsi="Arial" w:cs="Arial"/>
                <w:sz w:val="20"/>
                <w:szCs w:val="20"/>
                <w:highlight w:val="yellow"/>
              </w:rPr>
            </w:pPr>
            <w:r w:rsidRPr="008A26D2">
              <w:rPr>
                <w:rFonts w:ascii="Arial" w:eastAsia="Arial Narrow" w:hAnsi="Arial" w:cs="Arial"/>
                <w:sz w:val="20"/>
                <w:szCs w:val="20"/>
              </w:rPr>
              <w:t>85%</w:t>
            </w:r>
          </w:p>
        </w:tc>
        <w:tc>
          <w:tcPr>
            <w:tcW w:w="567" w:type="dxa"/>
            <w:shd w:val="clear" w:color="auto" w:fill="auto"/>
            <w:tcMar>
              <w:top w:w="10" w:type="dxa"/>
              <w:left w:w="10" w:type="dxa"/>
              <w:bottom w:w="0" w:type="dxa"/>
              <w:right w:w="10" w:type="dxa"/>
            </w:tcMar>
          </w:tcPr>
          <w:p w14:paraId="646B8DCD" w14:textId="77777777" w:rsidR="00A75C0F" w:rsidRPr="008A26D2" w:rsidRDefault="00A75C0F" w:rsidP="00AF5836">
            <w:pPr>
              <w:tabs>
                <w:tab w:val="left" w:pos="3375"/>
              </w:tabs>
              <w:jc w:val="center"/>
              <w:rPr>
                <w:rFonts w:ascii="Arial" w:hAnsi="Arial" w:cs="Arial"/>
                <w:sz w:val="20"/>
                <w:szCs w:val="20"/>
                <w:highlight w:val="yellow"/>
              </w:rPr>
            </w:pPr>
            <w:r w:rsidRPr="008A26D2">
              <w:rPr>
                <w:rFonts w:ascii="Arial" w:eastAsia="Arial Narrow" w:hAnsi="Arial" w:cs="Arial"/>
                <w:sz w:val="20"/>
                <w:szCs w:val="20"/>
              </w:rPr>
              <w:t>85%</w:t>
            </w:r>
          </w:p>
        </w:tc>
      </w:tr>
    </w:tbl>
    <w:p w14:paraId="67C9DAB4" w14:textId="77777777" w:rsidR="00A75C0F" w:rsidRPr="008A26D2" w:rsidRDefault="00A75C0F" w:rsidP="00A75C0F"/>
    <w:p w14:paraId="7098142E" w14:textId="77777777" w:rsidR="00A75C0F" w:rsidRPr="008A26D2" w:rsidRDefault="00A75C0F" w:rsidP="00A75C0F"/>
    <w:tbl>
      <w:tblPr>
        <w:tblW w:w="8080"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
        <w:gridCol w:w="992"/>
        <w:gridCol w:w="709"/>
        <w:gridCol w:w="698"/>
        <w:gridCol w:w="10"/>
        <w:gridCol w:w="284"/>
        <w:gridCol w:w="567"/>
        <w:gridCol w:w="850"/>
        <w:gridCol w:w="142"/>
        <w:gridCol w:w="709"/>
        <w:gridCol w:w="850"/>
        <w:gridCol w:w="709"/>
        <w:gridCol w:w="709"/>
      </w:tblGrid>
      <w:tr w:rsidR="00A75C0F" w:rsidRPr="008A26D2" w14:paraId="7ED511AE" w14:textId="77777777" w:rsidTr="00AF5836">
        <w:trPr>
          <w:trHeight w:val="28"/>
        </w:trPr>
        <w:tc>
          <w:tcPr>
            <w:tcW w:w="8080" w:type="dxa"/>
            <w:gridSpan w:val="13"/>
            <w:shd w:val="clear" w:color="auto" w:fill="D9D9D9" w:themeFill="background1" w:themeFillShade="D9"/>
            <w:tcMar>
              <w:top w:w="10" w:type="dxa"/>
              <w:left w:w="10" w:type="dxa"/>
              <w:bottom w:w="0" w:type="dxa"/>
              <w:right w:w="10" w:type="dxa"/>
            </w:tcMar>
            <w:vAlign w:val="center"/>
          </w:tcPr>
          <w:p w14:paraId="154B24F2" w14:textId="77777777" w:rsidR="00A75C0F" w:rsidRPr="008A26D2" w:rsidRDefault="00A75C0F" w:rsidP="00AF5836">
            <w:pPr>
              <w:jc w:val="center"/>
              <w:rPr>
                <w:rFonts w:ascii="Arial" w:eastAsia="Times New Roman" w:hAnsi="Arial" w:cs="Arial"/>
                <w:sz w:val="20"/>
                <w:szCs w:val="20"/>
              </w:rPr>
            </w:pPr>
            <w:r w:rsidRPr="008A26D2">
              <w:rPr>
                <w:rFonts w:ascii="Arial" w:eastAsia="Times New Roman" w:hAnsi="Arial" w:cs="Arial"/>
                <w:sz w:val="20"/>
                <w:szCs w:val="20"/>
              </w:rPr>
              <w:br w:type="page"/>
            </w:r>
            <w:r w:rsidRPr="008A26D2">
              <w:rPr>
                <w:rFonts w:ascii="Arial" w:eastAsia="Times New Roman" w:hAnsi="Arial" w:cs="Arial"/>
                <w:b/>
                <w:sz w:val="20"/>
                <w:szCs w:val="20"/>
              </w:rPr>
              <w:t>FICHA TÉCNICA DE INDICADOR DE SERVICIO 3.2.4</w:t>
            </w:r>
          </w:p>
        </w:tc>
      </w:tr>
      <w:tr w:rsidR="00A75C0F" w:rsidRPr="008A26D2" w14:paraId="69B8A553" w14:textId="77777777" w:rsidTr="00AF5836">
        <w:trPr>
          <w:trHeight w:val="46"/>
        </w:trPr>
        <w:tc>
          <w:tcPr>
            <w:tcW w:w="1843" w:type="dxa"/>
            <w:gridSpan w:val="2"/>
            <w:shd w:val="clear" w:color="auto" w:fill="FFFFFF"/>
            <w:tcMar>
              <w:top w:w="10" w:type="dxa"/>
              <w:left w:w="93" w:type="dxa"/>
              <w:bottom w:w="0" w:type="dxa"/>
              <w:right w:w="10" w:type="dxa"/>
            </w:tcMar>
            <w:vAlign w:val="center"/>
          </w:tcPr>
          <w:p w14:paraId="4F144223" w14:textId="77777777" w:rsidR="00A75C0F" w:rsidRPr="008A26D2" w:rsidRDefault="00A75C0F" w:rsidP="00AF5836">
            <w:pPr>
              <w:rPr>
                <w:rFonts w:ascii="Arial" w:eastAsia="Times New Roman" w:hAnsi="Arial" w:cs="Arial"/>
                <w:sz w:val="20"/>
                <w:szCs w:val="20"/>
              </w:rPr>
            </w:pPr>
            <w:r w:rsidRPr="008A26D2">
              <w:rPr>
                <w:rFonts w:ascii="Arial" w:eastAsia="Times New Roman" w:hAnsi="Arial" w:cs="Arial"/>
                <w:b/>
                <w:sz w:val="20"/>
                <w:szCs w:val="20"/>
              </w:rPr>
              <w:t>Objetivo prioritario:</w:t>
            </w:r>
          </w:p>
        </w:tc>
        <w:tc>
          <w:tcPr>
            <w:tcW w:w="6237" w:type="dxa"/>
            <w:gridSpan w:val="11"/>
            <w:shd w:val="clear" w:color="auto" w:fill="FFFFFF"/>
            <w:tcMar>
              <w:top w:w="51" w:type="dxa"/>
              <w:left w:w="227" w:type="dxa"/>
              <w:bottom w:w="51" w:type="dxa"/>
              <w:right w:w="227" w:type="dxa"/>
            </w:tcMar>
            <w:vAlign w:val="center"/>
          </w:tcPr>
          <w:p w14:paraId="573A115B" w14:textId="77777777" w:rsidR="00A75C0F" w:rsidRPr="008A26D2" w:rsidRDefault="00A75C0F" w:rsidP="00AF5836">
            <w:pPr>
              <w:spacing w:after="0" w:line="240" w:lineRule="auto"/>
              <w:jc w:val="both"/>
              <w:rPr>
                <w:rFonts w:ascii="Arial" w:eastAsia="Times New Roman" w:hAnsi="Arial" w:cs="Arial"/>
                <w:sz w:val="20"/>
                <w:szCs w:val="20"/>
              </w:rPr>
            </w:pPr>
            <w:r w:rsidRPr="008A26D2">
              <w:rPr>
                <w:rFonts w:ascii="Arial" w:eastAsia="Times New Roman" w:hAnsi="Arial" w:cs="Arial"/>
                <w:sz w:val="20"/>
                <w:szCs w:val="20"/>
              </w:rPr>
              <w:t xml:space="preserve">OP3 Fortalecer la gobernanza forestal y de fauna silvestre  </w:t>
            </w:r>
          </w:p>
        </w:tc>
      </w:tr>
      <w:tr w:rsidR="00A75C0F" w:rsidRPr="008A26D2" w14:paraId="32E720BA" w14:textId="77777777" w:rsidTr="00AF5836">
        <w:trPr>
          <w:trHeight w:val="49"/>
        </w:trPr>
        <w:tc>
          <w:tcPr>
            <w:tcW w:w="1843" w:type="dxa"/>
            <w:gridSpan w:val="2"/>
            <w:tcMar>
              <w:top w:w="10" w:type="dxa"/>
              <w:left w:w="93" w:type="dxa"/>
              <w:bottom w:w="0" w:type="dxa"/>
              <w:right w:w="10" w:type="dxa"/>
            </w:tcMar>
            <w:vAlign w:val="center"/>
          </w:tcPr>
          <w:p w14:paraId="6BAB561D" w14:textId="77777777" w:rsidR="00A75C0F" w:rsidRPr="008A26D2" w:rsidRDefault="00A75C0F" w:rsidP="00AF5836">
            <w:pPr>
              <w:rPr>
                <w:rFonts w:ascii="Arial" w:eastAsia="Times New Roman" w:hAnsi="Arial" w:cs="Arial"/>
                <w:sz w:val="20"/>
                <w:szCs w:val="20"/>
              </w:rPr>
            </w:pPr>
            <w:r w:rsidRPr="008A26D2">
              <w:rPr>
                <w:rFonts w:ascii="Arial" w:eastAsia="Times New Roman" w:hAnsi="Arial" w:cs="Arial"/>
                <w:b/>
                <w:sz w:val="20"/>
                <w:szCs w:val="20"/>
              </w:rPr>
              <w:t>Lineamiento de la política:</w:t>
            </w:r>
          </w:p>
        </w:tc>
        <w:tc>
          <w:tcPr>
            <w:tcW w:w="6237" w:type="dxa"/>
            <w:gridSpan w:val="11"/>
            <w:tcMar>
              <w:top w:w="51" w:type="dxa"/>
              <w:left w:w="227" w:type="dxa"/>
              <w:bottom w:w="51" w:type="dxa"/>
              <w:right w:w="227" w:type="dxa"/>
            </w:tcMar>
            <w:vAlign w:val="center"/>
          </w:tcPr>
          <w:p w14:paraId="27138522" w14:textId="77777777" w:rsidR="00A75C0F" w:rsidRPr="008A26D2" w:rsidRDefault="00A75C0F" w:rsidP="00AF5836">
            <w:pPr>
              <w:spacing w:after="0" w:line="240" w:lineRule="auto"/>
              <w:jc w:val="both"/>
              <w:rPr>
                <w:rFonts w:ascii="Arial" w:eastAsia="Times New Roman" w:hAnsi="Arial" w:cs="Arial"/>
                <w:sz w:val="20"/>
                <w:szCs w:val="20"/>
              </w:rPr>
            </w:pPr>
            <w:r w:rsidRPr="008A26D2">
              <w:rPr>
                <w:rFonts w:ascii="Arial" w:eastAsia="Times New Roman" w:hAnsi="Arial" w:cs="Arial"/>
                <w:sz w:val="20"/>
                <w:szCs w:val="20"/>
              </w:rPr>
              <w:t>L3.2 Desarrollar programas orientados a la mejora de la gestión y aprovechamiento sostenible de los recursos forestales y de fauna silvestre en pueblos indígenas u originarios (comunidades campesinas, comunidades nativas, entre otros)</w:t>
            </w:r>
          </w:p>
        </w:tc>
      </w:tr>
      <w:tr w:rsidR="00A75C0F" w:rsidRPr="008A26D2" w14:paraId="4172B649" w14:textId="77777777" w:rsidTr="00AF5836">
        <w:trPr>
          <w:trHeight w:val="45"/>
        </w:trPr>
        <w:tc>
          <w:tcPr>
            <w:tcW w:w="1843" w:type="dxa"/>
            <w:gridSpan w:val="2"/>
            <w:tcMar>
              <w:top w:w="10" w:type="dxa"/>
              <w:left w:w="93" w:type="dxa"/>
              <w:bottom w:w="0" w:type="dxa"/>
              <w:right w:w="10" w:type="dxa"/>
            </w:tcMar>
            <w:vAlign w:val="center"/>
          </w:tcPr>
          <w:p w14:paraId="67DF3BF6" w14:textId="77777777" w:rsidR="00A75C0F" w:rsidRPr="008A26D2" w:rsidRDefault="00A75C0F" w:rsidP="00AF5836">
            <w:pPr>
              <w:rPr>
                <w:rFonts w:ascii="Arial" w:eastAsia="Times New Roman" w:hAnsi="Arial" w:cs="Arial"/>
                <w:sz w:val="20"/>
                <w:szCs w:val="20"/>
              </w:rPr>
            </w:pPr>
            <w:r w:rsidRPr="008A26D2">
              <w:rPr>
                <w:rFonts w:ascii="Arial" w:eastAsia="Times New Roman" w:hAnsi="Arial" w:cs="Arial"/>
                <w:b/>
                <w:sz w:val="20"/>
                <w:szCs w:val="20"/>
              </w:rPr>
              <w:t>Nombre del servicio:</w:t>
            </w:r>
          </w:p>
        </w:tc>
        <w:tc>
          <w:tcPr>
            <w:tcW w:w="6237" w:type="dxa"/>
            <w:gridSpan w:val="11"/>
            <w:tcMar>
              <w:top w:w="51" w:type="dxa"/>
              <w:left w:w="227" w:type="dxa"/>
              <w:bottom w:w="51" w:type="dxa"/>
              <w:right w:w="227" w:type="dxa"/>
            </w:tcMar>
            <w:vAlign w:val="center"/>
          </w:tcPr>
          <w:p w14:paraId="7A0C35A3" w14:textId="77777777" w:rsidR="00A75C0F" w:rsidRPr="008A26D2" w:rsidRDefault="00A75C0F" w:rsidP="00AF5836">
            <w:pPr>
              <w:spacing w:after="0" w:line="240" w:lineRule="auto"/>
              <w:jc w:val="both"/>
              <w:rPr>
                <w:rFonts w:ascii="Arial" w:eastAsia="Times New Roman" w:hAnsi="Arial" w:cs="Arial"/>
                <w:sz w:val="20"/>
                <w:szCs w:val="20"/>
              </w:rPr>
            </w:pPr>
            <w:r w:rsidRPr="008A26D2">
              <w:rPr>
                <w:rFonts w:ascii="Arial" w:eastAsia="Times New Roman" w:hAnsi="Arial" w:cs="Arial"/>
                <w:sz w:val="20"/>
                <w:szCs w:val="20"/>
              </w:rPr>
              <w:t>S3.2.4 Vigilancia de las reservas indígenas y territoriales de manera permanente para la protección de los pueblos indígenas en situación de aislamiento y situación de contacto inicial (PIACI) de la amazonia peruana</w:t>
            </w:r>
          </w:p>
        </w:tc>
      </w:tr>
      <w:tr w:rsidR="00A75C0F" w:rsidRPr="008A26D2" w14:paraId="562C20FB" w14:textId="77777777" w:rsidTr="00AF5836">
        <w:trPr>
          <w:trHeight w:val="65"/>
        </w:trPr>
        <w:tc>
          <w:tcPr>
            <w:tcW w:w="1843" w:type="dxa"/>
            <w:gridSpan w:val="2"/>
            <w:tcMar>
              <w:top w:w="10" w:type="dxa"/>
              <w:left w:w="93" w:type="dxa"/>
              <w:bottom w:w="0" w:type="dxa"/>
              <w:right w:w="10" w:type="dxa"/>
            </w:tcMar>
            <w:vAlign w:val="center"/>
          </w:tcPr>
          <w:p w14:paraId="68C7E2F6" w14:textId="77777777" w:rsidR="00A75C0F" w:rsidRPr="008A26D2" w:rsidRDefault="00A75C0F" w:rsidP="00AF5836">
            <w:pPr>
              <w:rPr>
                <w:rFonts w:ascii="Arial" w:eastAsia="Times New Roman" w:hAnsi="Arial" w:cs="Arial"/>
                <w:sz w:val="20"/>
                <w:szCs w:val="20"/>
              </w:rPr>
            </w:pPr>
            <w:r w:rsidRPr="008A26D2">
              <w:rPr>
                <w:rFonts w:ascii="Arial" w:eastAsia="Times New Roman" w:hAnsi="Arial" w:cs="Arial"/>
                <w:b/>
                <w:sz w:val="20"/>
                <w:szCs w:val="20"/>
              </w:rPr>
              <w:t>Nombre del indicador:</w:t>
            </w:r>
          </w:p>
        </w:tc>
        <w:tc>
          <w:tcPr>
            <w:tcW w:w="6237" w:type="dxa"/>
            <w:gridSpan w:val="11"/>
            <w:tcMar>
              <w:top w:w="51" w:type="dxa"/>
              <w:left w:w="227" w:type="dxa"/>
              <w:bottom w:w="51" w:type="dxa"/>
              <w:right w:w="227" w:type="dxa"/>
            </w:tcMar>
            <w:vAlign w:val="center"/>
          </w:tcPr>
          <w:p w14:paraId="575AEC67" w14:textId="723EACC5" w:rsidR="00A75C0F" w:rsidRPr="008A26D2" w:rsidRDefault="00A75C0F" w:rsidP="00AF5836">
            <w:pPr>
              <w:jc w:val="both"/>
              <w:rPr>
                <w:rFonts w:ascii="Arial" w:eastAsia="Times New Roman" w:hAnsi="Arial" w:cs="Arial"/>
                <w:strike/>
                <w:sz w:val="20"/>
                <w:szCs w:val="20"/>
              </w:rPr>
            </w:pPr>
            <w:r w:rsidRPr="008A26D2">
              <w:rPr>
                <w:rFonts w:ascii="Arial" w:hAnsi="Arial" w:cs="Arial"/>
                <w:sz w:val="20"/>
                <w:szCs w:val="20"/>
              </w:rPr>
              <w:t>Número de patrullajes realizadas de forma continua en los territorios con presencia de pueblos indígenas en situación de aislamiento y situación de contacto inicial</w:t>
            </w:r>
            <w:r>
              <w:rPr>
                <w:rFonts w:ascii="Arial" w:hAnsi="Arial" w:cs="Arial"/>
                <w:sz w:val="20"/>
                <w:szCs w:val="20"/>
              </w:rPr>
              <w:t xml:space="preserve"> – </w:t>
            </w:r>
            <w:r w:rsidRPr="008A26D2">
              <w:rPr>
                <w:rFonts w:ascii="Arial" w:hAnsi="Arial" w:cs="Arial"/>
                <w:sz w:val="20"/>
                <w:szCs w:val="20"/>
              </w:rPr>
              <w:t>PIACI</w:t>
            </w:r>
            <w:r>
              <w:rPr>
                <w:rFonts w:ascii="Arial" w:hAnsi="Arial" w:cs="Arial"/>
                <w:sz w:val="20"/>
                <w:szCs w:val="20"/>
              </w:rPr>
              <w:t>.</w:t>
            </w:r>
          </w:p>
        </w:tc>
      </w:tr>
      <w:tr w:rsidR="00A75C0F" w:rsidRPr="008A26D2" w14:paraId="1AD6D0FE" w14:textId="77777777" w:rsidTr="00AF5836">
        <w:trPr>
          <w:trHeight w:val="65"/>
        </w:trPr>
        <w:tc>
          <w:tcPr>
            <w:tcW w:w="1843" w:type="dxa"/>
            <w:gridSpan w:val="2"/>
            <w:tcMar>
              <w:top w:w="10" w:type="dxa"/>
              <w:left w:w="93" w:type="dxa"/>
              <w:bottom w:w="0" w:type="dxa"/>
              <w:right w:w="10" w:type="dxa"/>
            </w:tcMar>
            <w:vAlign w:val="center"/>
          </w:tcPr>
          <w:p w14:paraId="75FA16CB" w14:textId="77777777" w:rsidR="00A75C0F" w:rsidRPr="008A26D2" w:rsidRDefault="00A75C0F" w:rsidP="00AF5836">
            <w:pPr>
              <w:rPr>
                <w:rFonts w:ascii="Arial" w:eastAsia="Times New Roman" w:hAnsi="Arial" w:cs="Arial"/>
                <w:sz w:val="20"/>
                <w:szCs w:val="20"/>
              </w:rPr>
            </w:pPr>
            <w:r w:rsidRPr="008A26D2">
              <w:rPr>
                <w:rFonts w:ascii="Arial" w:eastAsia="Times New Roman" w:hAnsi="Arial" w:cs="Arial"/>
                <w:b/>
                <w:sz w:val="20"/>
                <w:szCs w:val="20"/>
              </w:rPr>
              <w:t>Justificación:</w:t>
            </w:r>
          </w:p>
        </w:tc>
        <w:tc>
          <w:tcPr>
            <w:tcW w:w="6237" w:type="dxa"/>
            <w:gridSpan w:val="11"/>
            <w:tcMar>
              <w:top w:w="51" w:type="dxa"/>
              <w:left w:w="227" w:type="dxa"/>
              <w:bottom w:w="51" w:type="dxa"/>
              <w:right w:w="227" w:type="dxa"/>
            </w:tcMar>
            <w:vAlign w:val="center"/>
          </w:tcPr>
          <w:p w14:paraId="1649733E" w14:textId="14D69C64" w:rsidR="00A75C0F" w:rsidRPr="008A26D2" w:rsidRDefault="00A75C0F" w:rsidP="00AF5836">
            <w:pPr>
              <w:jc w:val="both"/>
              <w:rPr>
                <w:rFonts w:ascii="Arial" w:eastAsia="Times New Roman" w:hAnsi="Arial" w:cs="Arial"/>
                <w:sz w:val="20"/>
                <w:szCs w:val="20"/>
              </w:rPr>
            </w:pPr>
            <w:r w:rsidRPr="008A26D2">
              <w:rPr>
                <w:rFonts w:ascii="Arial" w:eastAsia="Times New Roman" w:hAnsi="Arial" w:cs="Arial"/>
                <w:sz w:val="20"/>
                <w:szCs w:val="20"/>
              </w:rPr>
              <w:t xml:space="preserve">El indicador cuantifica la cantidad de patrullajes realizados de forma continua en los territorios con presencia de pueblos indígenas en situación de aislamiento y situación de contacto inicial </w:t>
            </w:r>
            <w:r>
              <w:rPr>
                <w:rFonts w:ascii="Arial" w:eastAsia="Times New Roman" w:hAnsi="Arial" w:cs="Arial"/>
                <w:sz w:val="20"/>
                <w:szCs w:val="20"/>
              </w:rPr>
              <w:t xml:space="preserve">- </w:t>
            </w:r>
            <w:r w:rsidRPr="008A26D2">
              <w:rPr>
                <w:rFonts w:ascii="Arial" w:eastAsia="Times New Roman" w:hAnsi="Arial" w:cs="Arial"/>
                <w:sz w:val="20"/>
                <w:szCs w:val="20"/>
              </w:rPr>
              <w:t xml:space="preserve">PIACI. </w:t>
            </w:r>
            <w:r w:rsidRPr="008A26D2">
              <w:rPr>
                <w:rFonts w:ascii="Arial" w:eastAsia="Times New Roman" w:hAnsi="Arial" w:cs="Arial"/>
                <w:sz w:val="20"/>
                <w:szCs w:val="20"/>
                <w:lang w:val="es-ES"/>
              </w:rPr>
              <w:t>De esta manera, el indicador facilitará el seguimiento del servicio para establecer acciones de mejora correspondientes.</w:t>
            </w:r>
          </w:p>
        </w:tc>
      </w:tr>
      <w:tr w:rsidR="00A75C0F" w:rsidRPr="008A26D2" w14:paraId="14F9350C" w14:textId="77777777" w:rsidTr="00AF5836">
        <w:trPr>
          <w:trHeight w:val="40"/>
        </w:trPr>
        <w:tc>
          <w:tcPr>
            <w:tcW w:w="1843" w:type="dxa"/>
            <w:gridSpan w:val="2"/>
            <w:tcMar>
              <w:top w:w="10" w:type="dxa"/>
              <w:left w:w="93" w:type="dxa"/>
              <w:bottom w:w="0" w:type="dxa"/>
              <w:right w:w="10" w:type="dxa"/>
            </w:tcMar>
            <w:vAlign w:val="center"/>
          </w:tcPr>
          <w:p w14:paraId="3E1C4DFB" w14:textId="77777777" w:rsidR="00A75C0F" w:rsidRPr="008A26D2" w:rsidRDefault="00A75C0F" w:rsidP="00AF5836">
            <w:pPr>
              <w:rPr>
                <w:rFonts w:ascii="Arial" w:eastAsia="Times New Roman" w:hAnsi="Arial" w:cs="Arial"/>
                <w:sz w:val="20"/>
                <w:szCs w:val="20"/>
              </w:rPr>
            </w:pPr>
            <w:r w:rsidRPr="008A26D2">
              <w:rPr>
                <w:rFonts w:ascii="Arial" w:eastAsia="Times New Roman" w:hAnsi="Arial" w:cs="Arial"/>
                <w:b/>
                <w:sz w:val="20"/>
                <w:szCs w:val="20"/>
              </w:rPr>
              <w:t>Responsable del indicador:</w:t>
            </w:r>
          </w:p>
        </w:tc>
        <w:tc>
          <w:tcPr>
            <w:tcW w:w="6237" w:type="dxa"/>
            <w:gridSpan w:val="11"/>
            <w:tcMar>
              <w:top w:w="51" w:type="dxa"/>
              <w:left w:w="227" w:type="dxa"/>
              <w:bottom w:w="51" w:type="dxa"/>
              <w:right w:w="227" w:type="dxa"/>
            </w:tcMar>
            <w:vAlign w:val="center"/>
          </w:tcPr>
          <w:p w14:paraId="5EE86861" w14:textId="77777777" w:rsidR="00A75C0F" w:rsidRPr="008A26D2" w:rsidRDefault="00A75C0F" w:rsidP="00AF5836">
            <w:pPr>
              <w:rPr>
                <w:rFonts w:ascii="Arial" w:eastAsia="Times New Roman" w:hAnsi="Arial" w:cs="Arial"/>
                <w:sz w:val="20"/>
                <w:szCs w:val="20"/>
              </w:rPr>
            </w:pPr>
            <w:r w:rsidRPr="008A26D2">
              <w:rPr>
                <w:rFonts w:ascii="Arial" w:eastAsia="Times New Roman" w:hAnsi="Arial" w:cs="Arial"/>
                <w:sz w:val="20"/>
                <w:szCs w:val="20"/>
              </w:rPr>
              <w:t>Dirección de los Pueblos en Situación de Aislamiento y Contacto Inicial - Ministerio de Cultura</w:t>
            </w:r>
          </w:p>
        </w:tc>
      </w:tr>
      <w:tr w:rsidR="00A75C0F" w:rsidRPr="008A26D2" w14:paraId="10D45DF6" w14:textId="77777777" w:rsidTr="00AF5836">
        <w:trPr>
          <w:trHeight w:val="84"/>
        </w:trPr>
        <w:tc>
          <w:tcPr>
            <w:tcW w:w="1843" w:type="dxa"/>
            <w:gridSpan w:val="2"/>
            <w:tcMar>
              <w:top w:w="10" w:type="dxa"/>
              <w:left w:w="93" w:type="dxa"/>
              <w:bottom w:w="0" w:type="dxa"/>
              <w:right w:w="10" w:type="dxa"/>
            </w:tcMar>
            <w:vAlign w:val="center"/>
          </w:tcPr>
          <w:p w14:paraId="3774BEBD" w14:textId="77777777" w:rsidR="00A75C0F" w:rsidRPr="008A26D2" w:rsidRDefault="00A75C0F" w:rsidP="00AF5836">
            <w:pPr>
              <w:rPr>
                <w:rFonts w:ascii="Arial" w:eastAsia="Times New Roman" w:hAnsi="Arial" w:cs="Arial"/>
                <w:sz w:val="20"/>
                <w:szCs w:val="20"/>
              </w:rPr>
            </w:pPr>
            <w:r w:rsidRPr="008A26D2">
              <w:rPr>
                <w:rFonts w:ascii="Arial" w:eastAsia="Times New Roman" w:hAnsi="Arial" w:cs="Arial"/>
                <w:b/>
                <w:sz w:val="20"/>
                <w:szCs w:val="20"/>
              </w:rPr>
              <w:t>Limitaciones para la medición del indicador:</w:t>
            </w:r>
          </w:p>
        </w:tc>
        <w:tc>
          <w:tcPr>
            <w:tcW w:w="6237" w:type="dxa"/>
            <w:gridSpan w:val="11"/>
            <w:tcMar>
              <w:top w:w="51" w:type="dxa"/>
              <w:left w:w="227" w:type="dxa"/>
              <w:bottom w:w="51" w:type="dxa"/>
              <w:right w:w="227" w:type="dxa"/>
            </w:tcMar>
            <w:vAlign w:val="center"/>
          </w:tcPr>
          <w:p w14:paraId="14C6270A" w14:textId="77777777" w:rsidR="00A75C0F" w:rsidRPr="008A26D2" w:rsidRDefault="00A75C0F" w:rsidP="00AF5836">
            <w:pPr>
              <w:spacing w:line="240" w:lineRule="auto"/>
              <w:contextualSpacing/>
              <w:jc w:val="both"/>
              <w:rPr>
                <w:rFonts w:ascii="Arial" w:eastAsia="Times New Roman" w:hAnsi="Arial" w:cs="Arial"/>
                <w:sz w:val="20"/>
                <w:szCs w:val="20"/>
              </w:rPr>
            </w:pPr>
            <w:r w:rsidRPr="008A26D2">
              <w:rPr>
                <w:rFonts w:ascii="Arial" w:eastAsia="Times New Roman" w:hAnsi="Arial" w:cs="Arial"/>
                <w:sz w:val="20"/>
                <w:szCs w:val="20"/>
              </w:rPr>
              <w:t>Retraso de informes de patrullaje insumo para la medición del indicador</w:t>
            </w:r>
          </w:p>
        </w:tc>
      </w:tr>
      <w:tr w:rsidR="00A75C0F" w:rsidRPr="008A26D2" w14:paraId="33DE0CB2" w14:textId="77777777" w:rsidTr="00AF5836">
        <w:trPr>
          <w:trHeight w:val="26"/>
        </w:trPr>
        <w:tc>
          <w:tcPr>
            <w:tcW w:w="1843" w:type="dxa"/>
            <w:gridSpan w:val="2"/>
            <w:tcMar>
              <w:top w:w="10" w:type="dxa"/>
              <w:left w:w="93" w:type="dxa"/>
              <w:bottom w:w="0" w:type="dxa"/>
              <w:right w:w="10" w:type="dxa"/>
            </w:tcMar>
            <w:vAlign w:val="center"/>
          </w:tcPr>
          <w:p w14:paraId="3E256A1A" w14:textId="77777777" w:rsidR="00A75C0F" w:rsidRPr="008A26D2" w:rsidRDefault="00A75C0F" w:rsidP="00AF5836">
            <w:pPr>
              <w:rPr>
                <w:rFonts w:ascii="Arial" w:eastAsia="Times New Roman" w:hAnsi="Arial" w:cs="Arial"/>
                <w:sz w:val="20"/>
                <w:szCs w:val="20"/>
              </w:rPr>
            </w:pPr>
            <w:r w:rsidRPr="008A26D2">
              <w:rPr>
                <w:rFonts w:ascii="Arial" w:eastAsia="Times New Roman" w:hAnsi="Arial" w:cs="Arial"/>
                <w:b/>
                <w:sz w:val="20"/>
                <w:szCs w:val="20"/>
              </w:rPr>
              <w:t xml:space="preserve">Método de cálculo: </w:t>
            </w:r>
          </w:p>
        </w:tc>
        <w:tc>
          <w:tcPr>
            <w:tcW w:w="6237" w:type="dxa"/>
            <w:gridSpan w:val="11"/>
            <w:tcMar>
              <w:top w:w="51" w:type="dxa"/>
              <w:left w:w="227" w:type="dxa"/>
              <w:bottom w:w="51" w:type="dxa"/>
              <w:right w:w="227" w:type="dxa"/>
            </w:tcMar>
            <w:vAlign w:val="center"/>
          </w:tcPr>
          <w:p w14:paraId="3C644914" w14:textId="77777777" w:rsidR="00A75C0F" w:rsidRPr="008A26D2" w:rsidRDefault="00A75C0F" w:rsidP="00AF5836">
            <w:pPr>
              <w:widowControl w:val="0"/>
              <w:numPr>
                <w:ilvl w:val="0"/>
                <w:numId w:val="29"/>
              </w:numPr>
              <w:spacing w:after="240" w:line="240" w:lineRule="auto"/>
              <w:ind w:left="203" w:hanging="203"/>
              <w:jc w:val="both"/>
              <w:rPr>
                <w:rFonts w:ascii="Arial" w:eastAsia="Times New Roman" w:hAnsi="Arial" w:cs="Arial"/>
                <w:b/>
                <w:sz w:val="20"/>
                <w:szCs w:val="20"/>
                <w:lang w:eastAsia="es-ES_tradnl"/>
              </w:rPr>
            </w:pPr>
            <w:r w:rsidRPr="008A26D2">
              <w:rPr>
                <w:rFonts w:ascii="Arial" w:eastAsia="Times New Roman" w:hAnsi="Arial" w:cs="Arial"/>
                <w:b/>
                <w:sz w:val="20"/>
                <w:szCs w:val="20"/>
                <w:lang w:eastAsia="es-ES_tradnl"/>
              </w:rPr>
              <w:t>Fórmula</w:t>
            </w:r>
          </w:p>
          <w:p w14:paraId="6E5451BD" w14:textId="77777777" w:rsidR="00A75C0F" w:rsidRPr="008A26D2" w:rsidRDefault="00A75C0F" w:rsidP="00AF5836">
            <w:pPr>
              <w:widowControl w:val="0"/>
              <w:spacing w:after="240" w:line="240" w:lineRule="auto"/>
              <w:jc w:val="both"/>
              <w:rPr>
                <w:rFonts w:ascii="Arial" w:eastAsia="Times New Roman" w:hAnsi="Arial" w:cs="Arial"/>
                <w:sz w:val="20"/>
                <w:szCs w:val="20"/>
                <w:lang w:eastAsia="es-ES_tradnl"/>
              </w:rPr>
            </w:pPr>
            <w:r w:rsidRPr="008A26D2">
              <w:rPr>
                <w:rFonts w:ascii="Arial" w:eastAsia="Times New Roman" w:hAnsi="Arial" w:cs="Arial"/>
                <w:sz w:val="20"/>
                <w:szCs w:val="20"/>
                <w:lang w:eastAsia="es-ES_tradnl"/>
              </w:rPr>
              <w:t>NPRFC</w:t>
            </w:r>
          </w:p>
          <w:p w14:paraId="33D0B8D2" w14:textId="77777777" w:rsidR="00A75C0F" w:rsidRPr="008A26D2" w:rsidRDefault="00A75C0F" w:rsidP="00AF5836">
            <w:pPr>
              <w:widowControl w:val="0"/>
              <w:spacing w:after="240" w:line="240" w:lineRule="auto"/>
              <w:jc w:val="both"/>
              <w:rPr>
                <w:rFonts w:ascii="Arial" w:eastAsia="Times New Roman" w:hAnsi="Arial" w:cs="Arial"/>
                <w:sz w:val="20"/>
                <w:szCs w:val="20"/>
                <w:lang w:eastAsia="es-ES_tradnl"/>
              </w:rPr>
            </w:pPr>
            <w:r w:rsidRPr="008A26D2">
              <w:rPr>
                <w:rFonts w:ascii="Arial" w:eastAsia="Times New Roman" w:hAnsi="Arial" w:cs="Arial"/>
                <w:sz w:val="20"/>
                <w:szCs w:val="20"/>
                <w:lang w:eastAsia="es-ES_tradnl"/>
              </w:rPr>
              <w:t xml:space="preserve">Donde: </w:t>
            </w:r>
          </w:p>
          <w:p w14:paraId="694F1F30" w14:textId="77777777" w:rsidR="00A75C0F" w:rsidRPr="008A26D2" w:rsidRDefault="00A75C0F" w:rsidP="00AF5836">
            <w:pPr>
              <w:widowControl w:val="0"/>
              <w:spacing w:after="240" w:line="240" w:lineRule="auto"/>
              <w:jc w:val="both"/>
              <w:rPr>
                <w:rFonts w:ascii="Arial" w:eastAsia="Times New Roman" w:hAnsi="Arial" w:cs="Arial"/>
                <w:sz w:val="20"/>
                <w:szCs w:val="20"/>
                <w:lang w:eastAsia="es-ES_tradnl"/>
              </w:rPr>
            </w:pPr>
            <w:r w:rsidRPr="008A26D2">
              <w:rPr>
                <w:rFonts w:ascii="Arial" w:eastAsia="Times New Roman" w:hAnsi="Arial" w:cs="Arial"/>
                <w:sz w:val="20"/>
                <w:szCs w:val="20"/>
                <w:lang w:eastAsia="es-ES_tradnl"/>
              </w:rPr>
              <w:t xml:space="preserve">NPRFC = </w:t>
            </w:r>
            <w:r w:rsidRPr="008A26D2">
              <w:rPr>
                <w:rFonts w:ascii="Arial" w:eastAsia="Times New Roman" w:hAnsi="Arial" w:cs="Arial"/>
                <w:sz w:val="20"/>
                <w:szCs w:val="20"/>
                <w:lang w:eastAsia="en-US"/>
              </w:rPr>
              <w:t>Número de patrullajes realizados en forma continua en los territorios con presencia de pueblos indígenas en situación de aislamiento y situación de contacto inicial (PIACI).</w:t>
            </w:r>
          </w:p>
          <w:p w14:paraId="1B6C588B" w14:textId="77777777" w:rsidR="00A75C0F" w:rsidRPr="008A26D2" w:rsidRDefault="00A75C0F" w:rsidP="00AF5836">
            <w:pPr>
              <w:numPr>
                <w:ilvl w:val="0"/>
                <w:numId w:val="29"/>
              </w:numPr>
              <w:spacing w:after="0" w:line="240" w:lineRule="auto"/>
              <w:ind w:left="345" w:hanging="284"/>
              <w:contextualSpacing/>
              <w:jc w:val="both"/>
              <w:rPr>
                <w:rFonts w:ascii="Arial" w:eastAsia="Times New Roman" w:hAnsi="Arial" w:cs="Arial"/>
                <w:b/>
                <w:bCs/>
                <w:sz w:val="20"/>
                <w:szCs w:val="20"/>
                <w:lang w:eastAsia="en-US"/>
              </w:rPr>
            </w:pPr>
            <w:r w:rsidRPr="008A26D2">
              <w:rPr>
                <w:rFonts w:ascii="Arial" w:eastAsia="Times New Roman" w:hAnsi="Arial" w:cs="Arial"/>
                <w:b/>
                <w:bCs/>
                <w:sz w:val="20"/>
                <w:szCs w:val="20"/>
                <w:lang w:eastAsia="en-US"/>
              </w:rPr>
              <w:t>Especificaciones técnicas:</w:t>
            </w:r>
          </w:p>
          <w:p w14:paraId="268D99C0" w14:textId="77777777" w:rsidR="00A75C0F" w:rsidRPr="008A26D2" w:rsidRDefault="00A75C0F" w:rsidP="00AF5836">
            <w:pPr>
              <w:spacing w:after="0" w:line="240" w:lineRule="auto"/>
              <w:jc w:val="both"/>
              <w:rPr>
                <w:rFonts w:ascii="Arial" w:eastAsia="Times New Roman" w:hAnsi="Arial" w:cs="Arial"/>
                <w:b/>
                <w:bCs/>
                <w:sz w:val="20"/>
                <w:szCs w:val="20"/>
              </w:rPr>
            </w:pPr>
          </w:p>
          <w:p w14:paraId="215018A5" w14:textId="7BD15F9C" w:rsidR="00A75C0F" w:rsidRDefault="00A75C0F" w:rsidP="00AF5836">
            <w:p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La variable </w:t>
            </w:r>
            <w:r w:rsidRPr="008A26D2">
              <w:rPr>
                <w:rFonts w:ascii="Arial" w:eastAsia="Times New Roman" w:hAnsi="Arial" w:cs="Arial"/>
                <w:sz w:val="20"/>
                <w:szCs w:val="20"/>
                <w:lang w:eastAsia="es-ES_tradnl"/>
              </w:rPr>
              <w:t>NPRFC</w:t>
            </w:r>
            <w:r>
              <w:rPr>
                <w:rFonts w:ascii="Arial" w:eastAsia="Times New Roman" w:hAnsi="Arial" w:cs="Arial"/>
                <w:sz w:val="20"/>
                <w:szCs w:val="20"/>
                <w:lang w:eastAsia="es-ES_tradnl"/>
              </w:rPr>
              <w:t xml:space="preserve"> se determina a partir de </w:t>
            </w:r>
            <w:r w:rsidR="00B36209">
              <w:rPr>
                <w:rFonts w:ascii="Arial" w:eastAsia="Times New Roman" w:hAnsi="Arial" w:cs="Arial"/>
                <w:sz w:val="20"/>
                <w:szCs w:val="20"/>
                <w:lang w:eastAsia="es-ES_tradnl"/>
              </w:rPr>
              <w:t>la cantidad de</w:t>
            </w:r>
            <w:r w:rsidRPr="008A26D2">
              <w:rPr>
                <w:rFonts w:ascii="Arial" w:eastAsia="Times New Roman" w:hAnsi="Arial" w:cs="Arial"/>
                <w:sz w:val="20"/>
                <w:szCs w:val="20"/>
              </w:rPr>
              <w:t xml:space="preserve"> patrullajes realiza</w:t>
            </w:r>
            <w:r>
              <w:rPr>
                <w:rFonts w:ascii="Arial" w:eastAsia="Times New Roman" w:hAnsi="Arial" w:cs="Arial"/>
                <w:sz w:val="20"/>
                <w:szCs w:val="20"/>
              </w:rPr>
              <w:t>dos</w:t>
            </w:r>
            <w:r w:rsidR="00B36209">
              <w:rPr>
                <w:rFonts w:ascii="Arial" w:eastAsia="Times New Roman" w:hAnsi="Arial" w:cs="Arial"/>
                <w:sz w:val="20"/>
                <w:szCs w:val="20"/>
              </w:rPr>
              <w:t xml:space="preserve"> en el año de medición, los cuales deben ser</w:t>
            </w:r>
            <w:r>
              <w:rPr>
                <w:rFonts w:ascii="Arial" w:eastAsia="Times New Roman" w:hAnsi="Arial" w:cs="Arial"/>
                <w:sz w:val="20"/>
                <w:szCs w:val="20"/>
              </w:rPr>
              <w:t xml:space="preserve"> </w:t>
            </w:r>
            <w:r w:rsidRPr="008A26D2">
              <w:rPr>
                <w:rFonts w:ascii="Arial" w:eastAsia="Times New Roman" w:hAnsi="Arial" w:cs="Arial"/>
                <w:sz w:val="20"/>
                <w:szCs w:val="20"/>
              </w:rPr>
              <w:t xml:space="preserve">en la misma o mayor cantidad </w:t>
            </w:r>
            <w:r>
              <w:rPr>
                <w:rFonts w:ascii="Arial" w:eastAsia="Times New Roman" w:hAnsi="Arial" w:cs="Arial"/>
                <w:sz w:val="20"/>
                <w:szCs w:val="20"/>
              </w:rPr>
              <w:t>respecto de</w:t>
            </w:r>
            <w:r w:rsidRPr="008A26D2">
              <w:rPr>
                <w:rFonts w:ascii="Arial" w:eastAsia="Times New Roman" w:hAnsi="Arial" w:cs="Arial"/>
                <w:sz w:val="20"/>
                <w:szCs w:val="20"/>
              </w:rPr>
              <w:t>l año anterior</w:t>
            </w:r>
            <w:r>
              <w:rPr>
                <w:rFonts w:ascii="Arial" w:eastAsia="Times New Roman" w:hAnsi="Arial" w:cs="Arial"/>
                <w:sz w:val="20"/>
                <w:szCs w:val="20"/>
              </w:rPr>
              <w:t>.</w:t>
            </w:r>
          </w:p>
          <w:p w14:paraId="18CE26C5" w14:textId="77777777" w:rsidR="00A75C0F" w:rsidRDefault="00A75C0F" w:rsidP="00AF5836">
            <w:pPr>
              <w:spacing w:after="0" w:line="240" w:lineRule="auto"/>
              <w:jc w:val="both"/>
              <w:rPr>
                <w:rFonts w:ascii="Arial" w:eastAsia="Times New Roman" w:hAnsi="Arial" w:cs="Arial"/>
                <w:sz w:val="20"/>
                <w:szCs w:val="20"/>
              </w:rPr>
            </w:pPr>
          </w:p>
          <w:p w14:paraId="75FE3256" w14:textId="05D20385" w:rsidR="00A75C0F" w:rsidRPr="008A26D2" w:rsidRDefault="00A75C0F" w:rsidP="00B36209">
            <w:pPr>
              <w:spacing w:after="0" w:line="240" w:lineRule="auto"/>
              <w:jc w:val="both"/>
              <w:rPr>
                <w:rFonts w:ascii="Arial" w:eastAsia="Times New Roman" w:hAnsi="Arial" w:cs="Arial"/>
                <w:b/>
                <w:bCs/>
                <w:strike/>
                <w:sz w:val="20"/>
                <w:szCs w:val="20"/>
              </w:rPr>
            </w:pPr>
            <w:r w:rsidRPr="008A26D2">
              <w:rPr>
                <w:rFonts w:ascii="Arial" w:eastAsia="Times New Roman" w:hAnsi="Arial" w:cs="Arial"/>
                <w:sz w:val="20"/>
                <w:szCs w:val="20"/>
              </w:rPr>
              <w:t xml:space="preserve">Los patrullajes son recorridos o inspecciones rutinarias de campo, a cargo de los agentes de protección, que se encuentran en los puestos de control y vigilancia, cuyo objetivo es mantener bajo vigilancia y control el territorio, y proveer de información actualizada de lo que sucede en la zona, a nivel de amenazas y/o contingencias </w:t>
            </w:r>
            <w:r w:rsidR="00880D35">
              <w:rPr>
                <w:rFonts w:ascii="Arial" w:eastAsia="Times New Roman" w:hAnsi="Arial" w:cs="Arial"/>
                <w:sz w:val="20"/>
                <w:szCs w:val="20"/>
              </w:rPr>
              <w:t xml:space="preserve">en el </w:t>
            </w:r>
            <w:r w:rsidRPr="008A26D2">
              <w:rPr>
                <w:rFonts w:ascii="Arial" w:eastAsia="Times New Roman" w:hAnsi="Arial" w:cs="Arial"/>
                <w:sz w:val="20"/>
                <w:szCs w:val="20"/>
              </w:rPr>
              <w:t>PIACI.</w:t>
            </w:r>
            <w:r>
              <w:rPr>
                <w:rFonts w:ascii="Arial" w:eastAsia="Times New Roman" w:hAnsi="Arial" w:cs="Arial"/>
                <w:sz w:val="20"/>
                <w:szCs w:val="20"/>
              </w:rPr>
              <w:t xml:space="preserve"> Asimismo, se tiene </w:t>
            </w:r>
            <w:r w:rsidRPr="008A26D2">
              <w:rPr>
                <w:rFonts w:ascii="Arial" w:eastAsia="Times New Roman" w:hAnsi="Arial" w:cs="Arial"/>
                <w:sz w:val="20"/>
                <w:szCs w:val="20"/>
              </w:rPr>
              <w:t>en cuenta que deben realizar</w:t>
            </w:r>
            <w:r>
              <w:rPr>
                <w:rFonts w:ascii="Arial" w:eastAsia="Times New Roman" w:hAnsi="Arial" w:cs="Arial"/>
                <w:sz w:val="20"/>
                <w:szCs w:val="20"/>
              </w:rPr>
              <w:t>se</w:t>
            </w:r>
            <w:r w:rsidRPr="008A26D2">
              <w:rPr>
                <w:rFonts w:ascii="Arial" w:eastAsia="Times New Roman" w:hAnsi="Arial" w:cs="Arial"/>
                <w:sz w:val="20"/>
                <w:szCs w:val="20"/>
              </w:rPr>
              <w:t xml:space="preserve"> al menos 35 patrullajes al mes, de acuerdo al plan de trabajo elaborado.</w:t>
            </w:r>
          </w:p>
        </w:tc>
      </w:tr>
      <w:tr w:rsidR="00A75C0F" w:rsidRPr="008A26D2" w14:paraId="3BEF39B8" w14:textId="77777777" w:rsidTr="00AF5836">
        <w:trPr>
          <w:trHeight w:val="78"/>
        </w:trPr>
        <w:tc>
          <w:tcPr>
            <w:tcW w:w="1843" w:type="dxa"/>
            <w:gridSpan w:val="2"/>
            <w:tcMar>
              <w:top w:w="10" w:type="dxa"/>
              <w:left w:w="93" w:type="dxa"/>
              <w:bottom w:w="0" w:type="dxa"/>
              <w:right w:w="10" w:type="dxa"/>
            </w:tcMar>
            <w:vAlign w:val="center"/>
          </w:tcPr>
          <w:p w14:paraId="6899E174" w14:textId="77777777" w:rsidR="00A75C0F" w:rsidRPr="008A26D2" w:rsidRDefault="00A75C0F" w:rsidP="00AF5836">
            <w:pPr>
              <w:rPr>
                <w:rFonts w:ascii="Arial" w:eastAsia="Times New Roman" w:hAnsi="Arial" w:cs="Arial"/>
                <w:sz w:val="20"/>
                <w:szCs w:val="20"/>
              </w:rPr>
            </w:pPr>
            <w:r w:rsidRPr="008A26D2">
              <w:rPr>
                <w:rFonts w:ascii="Arial" w:eastAsia="Times New Roman" w:hAnsi="Arial" w:cs="Arial"/>
                <w:b/>
                <w:sz w:val="20"/>
                <w:szCs w:val="20"/>
              </w:rPr>
              <w:lastRenderedPageBreak/>
              <w:t>Sentido esperado del indicador:</w:t>
            </w:r>
          </w:p>
        </w:tc>
        <w:tc>
          <w:tcPr>
            <w:tcW w:w="1701" w:type="dxa"/>
            <w:gridSpan w:val="4"/>
            <w:tcMar>
              <w:top w:w="10" w:type="dxa"/>
              <w:left w:w="283" w:type="dxa"/>
              <w:bottom w:w="0" w:type="dxa"/>
              <w:right w:w="283" w:type="dxa"/>
            </w:tcMar>
            <w:vAlign w:val="center"/>
          </w:tcPr>
          <w:p w14:paraId="726B0258" w14:textId="77777777" w:rsidR="00A75C0F" w:rsidRPr="008A26D2" w:rsidRDefault="00A75C0F" w:rsidP="00AF5836">
            <w:pPr>
              <w:rPr>
                <w:rFonts w:ascii="Arial" w:eastAsia="Times New Roman" w:hAnsi="Arial" w:cs="Arial"/>
                <w:sz w:val="20"/>
                <w:szCs w:val="20"/>
              </w:rPr>
            </w:pPr>
            <w:r w:rsidRPr="008A26D2">
              <w:rPr>
                <w:rFonts w:ascii="Arial" w:eastAsia="Times New Roman" w:hAnsi="Arial" w:cs="Arial"/>
                <w:sz w:val="20"/>
                <w:szCs w:val="20"/>
              </w:rPr>
              <w:t>Ascendente</w:t>
            </w:r>
          </w:p>
        </w:tc>
        <w:tc>
          <w:tcPr>
            <w:tcW w:w="1559" w:type="dxa"/>
            <w:gridSpan w:val="3"/>
            <w:tcMar>
              <w:top w:w="15" w:type="dxa"/>
              <w:left w:w="15" w:type="dxa"/>
              <w:bottom w:w="0" w:type="dxa"/>
              <w:right w:w="15" w:type="dxa"/>
            </w:tcMar>
            <w:vAlign w:val="center"/>
          </w:tcPr>
          <w:p w14:paraId="0E45D6B1" w14:textId="77777777" w:rsidR="00A75C0F" w:rsidRPr="008A26D2" w:rsidRDefault="00A75C0F" w:rsidP="00AF5836">
            <w:pPr>
              <w:rPr>
                <w:rFonts w:ascii="Arial" w:eastAsia="Times New Roman" w:hAnsi="Arial" w:cs="Arial"/>
                <w:sz w:val="20"/>
                <w:szCs w:val="20"/>
              </w:rPr>
            </w:pPr>
            <w:r w:rsidRPr="008A26D2">
              <w:rPr>
                <w:rFonts w:ascii="Arial" w:eastAsia="Times New Roman" w:hAnsi="Arial" w:cs="Arial"/>
                <w:b/>
                <w:sz w:val="20"/>
                <w:szCs w:val="20"/>
              </w:rPr>
              <w:t>Tipo de indicador de servicio:</w:t>
            </w:r>
          </w:p>
        </w:tc>
        <w:tc>
          <w:tcPr>
            <w:tcW w:w="2977" w:type="dxa"/>
            <w:gridSpan w:val="4"/>
            <w:tcMar>
              <w:top w:w="15" w:type="dxa"/>
              <w:left w:w="15" w:type="dxa"/>
              <w:bottom w:w="0" w:type="dxa"/>
              <w:right w:w="15" w:type="dxa"/>
            </w:tcMar>
            <w:vAlign w:val="center"/>
          </w:tcPr>
          <w:p w14:paraId="284A0D5C" w14:textId="77777777" w:rsidR="00A75C0F" w:rsidRPr="008A26D2" w:rsidRDefault="00A75C0F" w:rsidP="00AF5836">
            <w:pPr>
              <w:rPr>
                <w:rFonts w:ascii="Arial" w:eastAsia="Times New Roman" w:hAnsi="Arial" w:cs="Arial"/>
                <w:sz w:val="20"/>
                <w:szCs w:val="20"/>
              </w:rPr>
            </w:pPr>
            <w:r w:rsidRPr="008A26D2">
              <w:rPr>
                <w:rFonts w:ascii="Arial" w:eastAsia="Times New Roman" w:hAnsi="Arial" w:cs="Arial"/>
                <w:sz w:val="20"/>
                <w:szCs w:val="20"/>
              </w:rPr>
              <w:t>Calidad - Continuidad</w:t>
            </w:r>
          </w:p>
        </w:tc>
      </w:tr>
      <w:tr w:rsidR="00A75C0F" w:rsidRPr="008A26D2" w14:paraId="5F19C14A" w14:textId="77777777" w:rsidTr="00AF5836">
        <w:trPr>
          <w:trHeight w:val="1"/>
        </w:trPr>
        <w:tc>
          <w:tcPr>
            <w:tcW w:w="1843" w:type="dxa"/>
            <w:gridSpan w:val="2"/>
            <w:tcMar>
              <w:top w:w="10" w:type="dxa"/>
              <w:left w:w="93" w:type="dxa"/>
              <w:bottom w:w="0" w:type="dxa"/>
              <w:right w:w="10" w:type="dxa"/>
            </w:tcMar>
            <w:vAlign w:val="center"/>
          </w:tcPr>
          <w:p w14:paraId="638623A1" w14:textId="77777777" w:rsidR="00A75C0F" w:rsidRPr="008A26D2" w:rsidRDefault="00A75C0F" w:rsidP="00AF5836">
            <w:pPr>
              <w:rPr>
                <w:rFonts w:ascii="Arial" w:eastAsia="Times New Roman" w:hAnsi="Arial" w:cs="Arial"/>
                <w:sz w:val="20"/>
                <w:szCs w:val="20"/>
              </w:rPr>
            </w:pPr>
            <w:r w:rsidRPr="008A26D2">
              <w:rPr>
                <w:rFonts w:ascii="Arial" w:eastAsia="Times New Roman" w:hAnsi="Arial" w:cs="Arial"/>
                <w:b/>
                <w:sz w:val="20"/>
                <w:szCs w:val="20"/>
              </w:rPr>
              <w:t>Fuente y base de datos:</w:t>
            </w:r>
          </w:p>
        </w:tc>
        <w:tc>
          <w:tcPr>
            <w:tcW w:w="6237" w:type="dxa"/>
            <w:gridSpan w:val="11"/>
            <w:tcMar>
              <w:top w:w="51" w:type="dxa"/>
              <w:left w:w="227" w:type="dxa"/>
              <w:bottom w:w="51" w:type="dxa"/>
              <w:right w:w="227" w:type="dxa"/>
            </w:tcMar>
          </w:tcPr>
          <w:p w14:paraId="2C11C4E3" w14:textId="77777777" w:rsidR="00A75C0F" w:rsidRPr="008A26D2" w:rsidRDefault="00A75C0F" w:rsidP="00AF5836">
            <w:pPr>
              <w:spacing w:after="0"/>
              <w:jc w:val="both"/>
              <w:rPr>
                <w:rFonts w:ascii="Arial" w:eastAsia="Times New Roman" w:hAnsi="Arial" w:cs="Arial"/>
                <w:sz w:val="20"/>
                <w:szCs w:val="20"/>
              </w:rPr>
            </w:pPr>
            <w:r w:rsidRPr="008A26D2">
              <w:rPr>
                <w:rFonts w:ascii="Arial" w:eastAsia="Times New Roman" w:hAnsi="Arial" w:cs="Arial"/>
                <w:sz w:val="20"/>
                <w:szCs w:val="20"/>
              </w:rPr>
              <w:t>Fuente de datos: Dirección de los Pueblos en Situación de Aislamiento y Contacto Inicial del Ministerio de Cultura.</w:t>
            </w:r>
          </w:p>
          <w:p w14:paraId="40BAF36F" w14:textId="77777777" w:rsidR="00A75C0F" w:rsidRPr="008A26D2" w:rsidRDefault="00A75C0F" w:rsidP="00AF5836">
            <w:pPr>
              <w:spacing w:after="0"/>
              <w:jc w:val="both"/>
              <w:rPr>
                <w:rFonts w:ascii="Arial" w:eastAsia="Times New Roman" w:hAnsi="Arial" w:cs="Arial"/>
                <w:sz w:val="20"/>
                <w:szCs w:val="20"/>
              </w:rPr>
            </w:pPr>
            <w:r w:rsidRPr="008A26D2">
              <w:rPr>
                <w:rFonts w:ascii="Arial" w:eastAsia="Times New Roman" w:hAnsi="Arial" w:cs="Arial"/>
                <w:sz w:val="20"/>
                <w:szCs w:val="20"/>
              </w:rPr>
              <w:t>Base de datos: Registros administrativos del Ministerio de Cultura</w:t>
            </w:r>
          </w:p>
        </w:tc>
      </w:tr>
      <w:tr w:rsidR="00A75C0F" w:rsidRPr="008A26D2" w14:paraId="5351065A" w14:textId="77777777" w:rsidTr="00AF5836">
        <w:trPr>
          <w:trHeight w:val="49"/>
        </w:trPr>
        <w:tc>
          <w:tcPr>
            <w:tcW w:w="1843" w:type="dxa"/>
            <w:gridSpan w:val="2"/>
            <w:tcMar>
              <w:top w:w="10" w:type="dxa"/>
              <w:left w:w="93" w:type="dxa"/>
              <w:bottom w:w="0" w:type="dxa"/>
              <w:right w:w="10" w:type="dxa"/>
            </w:tcMar>
            <w:vAlign w:val="center"/>
          </w:tcPr>
          <w:p w14:paraId="7A191729" w14:textId="77777777" w:rsidR="00A75C0F" w:rsidRPr="008A26D2" w:rsidRDefault="00A75C0F" w:rsidP="00AF5836">
            <w:pPr>
              <w:rPr>
                <w:rFonts w:ascii="Arial" w:eastAsia="Times New Roman" w:hAnsi="Arial" w:cs="Arial"/>
                <w:sz w:val="20"/>
                <w:szCs w:val="20"/>
              </w:rPr>
            </w:pPr>
            <w:r w:rsidRPr="008A26D2">
              <w:rPr>
                <w:rFonts w:ascii="Arial" w:eastAsia="Times New Roman" w:hAnsi="Arial" w:cs="Arial"/>
                <w:b/>
                <w:sz w:val="20"/>
                <w:szCs w:val="20"/>
              </w:rPr>
              <w:t>Supuestos:</w:t>
            </w:r>
          </w:p>
        </w:tc>
        <w:tc>
          <w:tcPr>
            <w:tcW w:w="6237" w:type="dxa"/>
            <w:gridSpan w:val="11"/>
            <w:tcMar>
              <w:top w:w="51" w:type="dxa"/>
              <w:left w:w="227" w:type="dxa"/>
              <w:bottom w:w="51" w:type="dxa"/>
              <w:right w:w="227" w:type="dxa"/>
            </w:tcMar>
            <w:vAlign w:val="center"/>
          </w:tcPr>
          <w:p w14:paraId="2F9A7396" w14:textId="77777777" w:rsidR="00A75C0F" w:rsidRPr="008A26D2" w:rsidRDefault="00A75C0F" w:rsidP="00AF5836">
            <w:pPr>
              <w:spacing w:after="0"/>
              <w:jc w:val="both"/>
              <w:rPr>
                <w:rFonts w:ascii="Arial" w:eastAsia="Times New Roman" w:hAnsi="Arial" w:cs="Arial"/>
                <w:sz w:val="20"/>
                <w:szCs w:val="20"/>
              </w:rPr>
            </w:pPr>
            <w:r w:rsidRPr="008A26D2">
              <w:rPr>
                <w:rFonts w:ascii="Arial" w:eastAsia="Times New Roman" w:hAnsi="Arial" w:cs="Arial"/>
                <w:sz w:val="20"/>
                <w:szCs w:val="20"/>
              </w:rPr>
              <w:t>Se cuenta con suficiente personal y puestos de control y vigilancia equipados con infraestructura básica para lograr un efectivo control y vigilancia de los territorios.</w:t>
            </w:r>
          </w:p>
        </w:tc>
      </w:tr>
      <w:tr w:rsidR="00A75C0F" w:rsidRPr="008A26D2" w14:paraId="14BF42C7" w14:textId="77777777" w:rsidTr="00B36209">
        <w:trPr>
          <w:trHeight w:val="63"/>
        </w:trPr>
        <w:tc>
          <w:tcPr>
            <w:tcW w:w="851" w:type="dxa"/>
            <w:tcMar>
              <w:top w:w="10" w:type="dxa"/>
              <w:left w:w="10" w:type="dxa"/>
              <w:bottom w:w="0" w:type="dxa"/>
              <w:right w:w="10" w:type="dxa"/>
            </w:tcMar>
            <w:vAlign w:val="center"/>
          </w:tcPr>
          <w:p w14:paraId="666D81C3" w14:textId="77777777" w:rsidR="00A75C0F" w:rsidRPr="008A26D2" w:rsidRDefault="00A75C0F" w:rsidP="00AF5836">
            <w:pPr>
              <w:rPr>
                <w:rFonts w:ascii="Arial" w:eastAsia="Times New Roman" w:hAnsi="Arial" w:cs="Arial"/>
                <w:sz w:val="20"/>
                <w:szCs w:val="20"/>
              </w:rPr>
            </w:pPr>
            <w:r w:rsidRPr="008A26D2">
              <w:rPr>
                <w:rFonts w:ascii="Arial" w:eastAsia="Times New Roman" w:hAnsi="Arial" w:cs="Arial"/>
                <w:b/>
                <w:sz w:val="20"/>
                <w:szCs w:val="20"/>
              </w:rPr>
              <w:t> </w:t>
            </w:r>
          </w:p>
        </w:tc>
        <w:tc>
          <w:tcPr>
            <w:tcW w:w="992" w:type="dxa"/>
            <w:tcMar>
              <w:top w:w="10" w:type="dxa"/>
              <w:left w:w="10" w:type="dxa"/>
              <w:bottom w:w="0" w:type="dxa"/>
              <w:right w:w="10" w:type="dxa"/>
            </w:tcMar>
            <w:vAlign w:val="center"/>
          </w:tcPr>
          <w:p w14:paraId="1217F23B" w14:textId="77777777" w:rsidR="00A75C0F" w:rsidRPr="008A26D2" w:rsidRDefault="00A75C0F" w:rsidP="00AF5836">
            <w:pPr>
              <w:jc w:val="center"/>
              <w:rPr>
                <w:rFonts w:ascii="Arial" w:eastAsia="Times New Roman" w:hAnsi="Arial" w:cs="Arial"/>
                <w:sz w:val="20"/>
                <w:szCs w:val="20"/>
              </w:rPr>
            </w:pPr>
            <w:r w:rsidRPr="008A26D2">
              <w:rPr>
                <w:rFonts w:ascii="Arial" w:eastAsia="Times New Roman" w:hAnsi="Arial" w:cs="Arial"/>
                <w:b/>
                <w:sz w:val="20"/>
                <w:szCs w:val="20"/>
              </w:rPr>
              <w:t>Línea de base</w:t>
            </w:r>
          </w:p>
        </w:tc>
        <w:tc>
          <w:tcPr>
            <w:tcW w:w="6237" w:type="dxa"/>
            <w:gridSpan w:val="11"/>
            <w:tcMar>
              <w:top w:w="10" w:type="dxa"/>
              <w:left w:w="10" w:type="dxa"/>
              <w:bottom w:w="0" w:type="dxa"/>
              <w:right w:w="10" w:type="dxa"/>
            </w:tcMar>
            <w:vAlign w:val="center"/>
          </w:tcPr>
          <w:p w14:paraId="3BB4737C" w14:textId="77777777" w:rsidR="00A75C0F" w:rsidRPr="008A26D2" w:rsidRDefault="00A75C0F" w:rsidP="00AF5836">
            <w:pPr>
              <w:jc w:val="center"/>
              <w:rPr>
                <w:rFonts w:ascii="Arial" w:eastAsia="Times New Roman" w:hAnsi="Arial" w:cs="Arial"/>
                <w:b/>
                <w:sz w:val="20"/>
                <w:szCs w:val="20"/>
              </w:rPr>
            </w:pPr>
            <w:r w:rsidRPr="008A26D2">
              <w:rPr>
                <w:rFonts w:ascii="Arial" w:eastAsia="Times New Roman" w:hAnsi="Arial" w:cs="Arial"/>
                <w:b/>
                <w:sz w:val="20"/>
                <w:szCs w:val="20"/>
              </w:rPr>
              <w:t xml:space="preserve">Logros esperados </w:t>
            </w:r>
          </w:p>
        </w:tc>
      </w:tr>
      <w:tr w:rsidR="00A75C0F" w:rsidRPr="008A26D2" w14:paraId="0B72E8BC" w14:textId="77777777" w:rsidTr="00B36209">
        <w:trPr>
          <w:trHeight w:val="79"/>
        </w:trPr>
        <w:tc>
          <w:tcPr>
            <w:tcW w:w="851" w:type="dxa"/>
            <w:tcMar>
              <w:top w:w="10" w:type="dxa"/>
              <w:left w:w="10" w:type="dxa"/>
              <w:bottom w:w="0" w:type="dxa"/>
              <w:right w:w="10" w:type="dxa"/>
            </w:tcMar>
            <w:vAlign w:val="center"/>
          </w:tcPr>
          <w:p w14:paraId="087180E5" w14:textId="77777777" w:rsidR="00A75C0F" w:rsidRPr="008A26D2" w:rsidRDefault="00A75C0F" w:rsidP="00AF5836">
            <w:pPr>
              <w:jc w:val="center"/>
              <w:rPr>
                <w:rFonts w:ascii="Arial" w:eastAsia="Times New Roman" w:hAnsi="Arial" w:cs="Arial"/>
                <w:sz w:val="20"/>
                <w:szCs w:val="20"/>
              </w:rPr>
            </w:pPr>
            <w:r w:rsidRPr="008A26D2">
              <w:rPr>
                <w:rFonts w:ascii="Arial" w:eastAsia="Times New Roman" w:hAnsi="Arial" w:cs="Arial"/>
                <w:b/>
                <w:sz w:val="20"/>
                <w:szCs w:val="20"/>
              </w:rPr>
              <w:t>Año</w:t>
            </w:r>
          </w:p>
        </w:tc>
        <w:tc>
          <w:tcPr>
            <w:tcW w:w="992" w:type="dxa"/>
            <w:tcMar>
              <w:top w:w="10" w:type="dxa"/>
              <w:left w:w="10" w:type="dxa"/>
              <w:bottom w:w="0" w:type="dxa"/>
              <w:right w:w="10" w:type="dxa"/>
            </w:tcMar>
            <w:vAlign w:val="center"/>
          </w:tcPr>
          <w:p w14:paraId="056A984D" w14:textId="77777777" w:rsidR="00A75C0F" w:rsidRPr="008A26D2" w:rsidRDefault="00A75C0F" w:rsidP="00AF5836">
            <w:pPr>
              <w:jc w:val="center"/>
              <w:rPr>
                <w:rFonts w:ascii="Arial" w:eastAsia="Times New Roman" w:hAnsi="Arial" w:cs="Arial"/>
                <w:b/>
                <w:sz w:val="20"/>
                <w:szCs w:val="20"/>
              </w:rPr>
            </w:pPr>
            <w:r w:rsidRPr="008A26D2">
              <w:rPr>
                <w:rFonts w:ascii="Arial" w:eastAsia="Times New Roman" w:hAnsi="Arial" w:cs="Arial"/>
                <w:b/>
                <w:sz w:val="20"/>
                <w:szCs w:val="20"/>
              </w:rPr>
              <w:t>2022</w:t>
            </w:r>
          </w:p>
        </w:tc>
        <w:tc>
          <w:tcPr>
            <w:tcW w:w="709" w:type="dxa"/>
            <w:tcMar>
              <w:top w:w="10" w:type="dxa"/>
              <w:left w:w="10" w:type="dxa"/>
              <w:bottom w:w="0" w:type="dxa"/>
              <w:right w:w="10" w:type="dxa"/>
            </w:tcMar>
            <w:vAlign w:val="center"/>
          </w:tcPr>
          <w:p w14:paraId="656183E8" w14:textId="77777777" w:rsidR="00A75C0F" w:rsidRPr="008A26D2" w:rsidRDefault="00A75C0F" w:rsidP="00AF5836">
            <w:pPr>
              <w:jc w:val="center"/>
              <w:rPr>
                <w:rFonts w:ascii="Arial" w:eastAsia="Times New Roman" w:hAnsi="Arial" w:cs="Arial"/>
                <w:b/>
                <w:sz w:val="20"/>
                <w:szCs w:val="20"/>
              </w:rPr>
            </w:pPr>
            <w:r w:rsidRPr="008A26D2">
              <w:rPr>
                <w:rFonts w:ascii="Arial" w:eastAsia="Times New Roman" w:hAnsi="Arial" w:cs="Arial"/>
                <w:b/>
                <w:sz w:val="20"/>
                <w:szCs w:val="20"/>
              </w:rPr>
              <w:t>2023</w:t>
            </w:r>
          </w:p>
        </w:tc>
        <w:tc>
          <w:tcPr>
            <w:tcW w:w="698" w:type="dxa"/>
            <w:vAlign w:val="center"/>
          </w:tcPr>
          <w:p w14:paraId="690E557D" w14:textId="77777777" w:rsidR="00A75C0F" w:rsidRPr="008A26D2" w:rsidRDefault="00A75C0F" w:rsidP="00AF5836">
            <w:pPr>
              <w:jc w:val="center"/>
              <w:rPr>
                <w:rFonts w:ascii="Arial" w:eastAsia="Times New Roman" w:hAnsi="Arial" w:cs="Arial"/>
                <w:b/>
                <w:sz w:val="20"/>
                <w:szCs w:val="20"/>
              </w:rPr>
            </w:pPr>
            <w:r w:rsidRPr="008A26D2">
              <w:rPr>
                <w:rFonts w:ascii="Arial" w:eastAsia="Times New Roman" w:hAnsi="Arial" w:cs="Arial"/>
                <w:b/>
                <w:sz w:val="20"/>
                <w:szCs w:val="20"/>
              </w:rPr>
              <w:t>2024</w:t>
            </w:r>
          </w:p>
        </w:tc>
        <w:tc>
          <w:tcPr>
            <w:tcW w:w="861" w:type="dxa"/>
            <w:gridSpan w:val="3"/>
            <w:vAlign w:val="center"/>
          </w:tcPr>
          <w:p w14:paraId="65F28010" w14:textId="77777777" w:rsidR="00A75C0F" w:rsidRPr="008A26D2" w:rsidRDefault="00A75C0F" w:rsidP="00AF5836">
            <w:pPr>
              <w:jc w:val="center"/>
              <w:rPr>
                <w:rFonts w:ascii="Arial" w:eastAsia="Times New Roman" w:hAnsi="Arial" w:cs="Arial"/>
                <w:b/>
                <w:sz w:val="20"/>
                <w:szCs w:val="20"/>
              </w:rPr>
            </w:pPr>
            <w:r w:rsidRPr="008A26D2">
              <w:rPr>
                <w:rFonts w:ascii="Arial" w:eastAsia="Times New Roman" w:hAnsi="Arial" w:cs="Arial"/>
                <w:b/>
                <w:sz w:val="20"/>
                <w:szCs w:val="20"/>
              </w:rPr>
              <w:t>2025</w:t>
            </w:r>
          </w:p>
        </w:tc>
        <w:tc>
          <w:tcPr>
            <w:tcW w:w="850" w:type="dxa"/>
            <w:vAlign w:val="center"/>
          </w:tcPr>
          <w:p w14:paraId="2327D5FB" w14:textId="77777777" w:rsidR="00A75C0F" w:rsidRPr="008A26D2" w:rsidRDefault="00A75C0F" w:rsidP="00AF5836">
            <w:pPr>
              <w:jc w:val="center"/>
              <w:rPr>
                <w:rFonts w:ascii="Arial" w:eastAsia="Times New Roman" w:hAnsi="Arial" w:cs="Arial"/>
                <w:b/>
                <w:sz w:val="20"/>
                <w:szCs w:val="20"/>
              </w:rPr>
            </w:pPr>
            <w:r w:rsidRPr="008A26D2">
              <w:rPr>
                <w:rFonts w:ascii="Arial" w:eastAsia="Times New Roman" w:hAnsi="Arial" w:cs="Arial"/>
                <w:b/>
                <w:sz w:val="20"/>
                <w:szCs w:val="20"/>
              </w:rPr>
              <w:t>2026</w:t>
            </w:r>
          </w:p>
        </w:tc>
        <w:tc>
          <w:tcPr>
            <w:tcW w:w="851" w:type="dxa"/>
            <w:gridSpan w:val="2"/>
            <w:vAlign w:val="center"/>
          </w:tcPr>
          <w:p w14:paraId="4A48D4CD" w14:textId="77777777" w:rsidR="00A75C0F" w:rsidRPr="008A26D2" w:rsidRDefault="00A75C0F" w:rsidP="00AF5836">
            <w:pPr>
              <w:jc w:val="center"/>
              <w:rPr>
                <w:rFonts w:ascii="Arial" w:eastAsia="Times New Roman" w:hAnsi="Arial" w:cs="Arial"/>
                <w:b/>
                <w:sz w:val="20"/>
                <w:szCs w:val="20"/>
              </w:rPr>
            </w:pPr>
            <w:r w:rsidRPr="008A26D2">
              <w:rPr>
                <w:rFonts w:ascii="Arial" w:eastAsia="Times New Roman" w:hAnsi="Arial" w:cs="Arial"/>
                <w:b/>
                <w:sz w:val="20"/>
                <w:szCs w:val="20"/>
              </w:rPr>
              <w:t>2027</w:t>
            </w:r>
          </w:p>
        </w:tc>
        <w:tc>
          <w:tcPr>
            <w:tcW w:w="850" w:type="dxa"/>
            <w:vAlign w:val="center"/>
          </w:tcPr>
          <w:p w14:paraId="67189569" w14:textId="77777777" w:rsidR="00A75C0F" w:rsidRPr="008A26D2" w:rsidRDefault="00A75C0F" w:rsidP="00AF5836">
            <w:pPr>
              <w:jc w:val="center"/>
              <w:rPr>
                <w:rFonts w:ascii="Arial" w:eastAsia="Times New Roman" w:hAnsi="Arial" w:cs="Arial"/>
                <w:b/>
                <w:sz w:val="20"/>
                <w:szCs w:val="20"/>
              </w:rPr>
            </w:pPr>
            <w:r w:rsidRPr="008A26D2">
              <w:rPr>
                <w:rFonts w:ascii="Arial" w:eastAsia="Times New Roman" w:hAnsi="Arial" w:cs="Arial"/>
                <w:b/>
                <w:sz w:val="20"/>
                <w:szCs w:val="20"/>
              </w:rPr>
              <w:t>2028</w:t>
            </w:r>
          </w:p>
        </w:tc>
        <w:tc>
          <w:tcPr>
            <w:tcW w:w="709" w:type="dxa"/>
            <w:tcMar>
              <w:top w:w="10" w:type="dxa"/>
              <w:left w:w="10" w:type="dxa"/>
              <w:bottom w:w="0" w:type="dxa"/>
              <w:right w:w="10" w:type="dxa"/>
            </w:tcMar>
            <w:vAlign w:val="center"/>
          </w:tcPr>
          <w:p w14:paraId="3528CE4A" w14:textId="77777777" w:rsidR="00A75C0F" w:rsidRPr="008A26D2" w:rsidRDefault="00A75C0F" w:rsidP="00AF5836">
            <w:pPr>
              <w:jc w:val="center"/>
              <w:rPr>
                <w:rFonts w:ascii="Arial" w:eastAsia="Times New Roman" w:hAnsi="Arial" w:cs="Arial"/>
                <w:b/>
                <w:sz w:val="20"/>
                <w:szCs w:val="20"/>
              </w:rPr>
            </w:pPr>
            <w:r w:rsidRPr="008A26D2">
              <w:rPr>
                <w:rFonts w:ascii="Arial" w:eastAsia="Times New Roman" w:hAnsi="Arial" w:cs="Arial"/>
                <w:b/>
                <w:sz w:val="20"/>
                <w:szCs w:val="20"/>
              </w:rPr>
              <w:t>2029</w:t>
            </w:r>
          </w:p>
        </w:tc>
        <w:tc>
          <w:tcPr>
            <w:tcW w:w="709" w:type="dxa"/>
          </w:tcPr>
          <w:p w14:paraId="797EAAFF" w14:textId="77777777" w:rsidR="00A75C0F" w:rsidRPr="008A26D2" w:rsidRDefault="00A75C0F" w:rsidP="00AF5836">
            <w:pPr>
              <w:rPr>
                <w:rFonts w:ascii="Arial" w:eastAsia="Times New Roman" w:hAnsi="Arial" w:cs="Arial"/>
                <w:b/>
                <w:sz w:val="20"/>
                <w:szCs w:val="20"/>
              </w:rPr>
            </w:pPr>
            <w:r w:rsidRPr="008A26D2">
              <w:rPr>
                <w:rFonts w:ascii="Arial" w:eastAsia="Times New Roman" w:hAnsi="Arial" w:cs="Arial"/>
                <w:b/>
                <w:sz w:val="20"/>
                <w:szCs w:val="20"/>
              </w:rPr>
              <w:t>2030</w:t>
            </w:r>
          </w:p>
        </w:tc>
      </w:tr>
      <w:tr w:rsidR="00A75C0F" w:rsidRPr="008A26D2" w14:paraId="7C7BF122" w14:textId="77777777" w:rsidTr="00B36209">
        <w:trPr>
          <w:trHeight w:val="8"/>
        </w:trPr>
        <w:tc>
          <w:tcPr>
            <w:tcW w:w="851" w:type="dxa"/>
            <w:tcMar>
              <w:top w:w="10" w:type="dxa"/>
              <w:left w:w="10" w:type="dxa"/>
              <w:bottom w:w="0" w:type="dxa"/>
              <w:right w:w="10" w:type="dxa"/>
            </w:tcMar>
            <w:vAlign w:val="center"/>
          </w:tcPr>
          <w:p w14:paraId="52571D95" w14:textId="77777777" w:rsidR="00A75C0F" w:rsidRPr="008A26D2" w:rsidRDefault="00A75C0F" w:rsidP="00AF5836">
            <w:pPr>
              <w:jc w:val="center"/>
              <w:rPr>
                <w:rFonts w:ascii="Arial" w:eastAsia="Times New Roman" w:hAnsi="Arial" w:cs="Arial"/>
                <w:sz w:val="20"/>
                <w:szCs w:val="20"/>
              </w:rPr>
            </w:pPr>
            <w:r w:rsidRPr="008A26D2">
              <w:rPr>
                <w:rFonts w:ascii="Arial" w:eastAsia="Times New Roman" w:hAnsi="Arial" w:cs="Arial"/>
                <w:b/>
                <w:sz w:val="20"/>
                <w:szCs w:val="20"/>
              </w:rPr>
              <w:t>Valor</w:t>
            </w:r>
          </w:p>
        </w:tc>
        <w:tc>
          <w:tcPr>
            <w:tcW w:w="992" w:type="dxa"/>
            <w:tcMar>
              <w:top w:w="10" w:type="dxa"/>
              <w:left w:w="10" w:type="dxa"/>
              <w:bottom w:w="0" w:type="dxa"/>
              <w:right w:w="10" w:type="dxa"/>
            </w:tcMar>
            <w:vAlign w:val="bottom"/>
          </w:tcPr>
          <w:p w14:paraId="7316BA30" w14:textId="77777777" w:rsidR="00A75C0F" w:rsidRPr="008A26D2" w:rsidRDefault="00A75C0F" w:rsidP="00AF5836">
            <w:pPr>
              <w:jc w:val="center"/>
              <w:rPr>
                <w:rFonts w:ascii="Arial" w:eastAsia="Times New Roman" w:hAnsi="Arial" w:cs="Arial"/>
                <w:sz w:val="20"/>
                <w:szCs w:val="20"/>
              </w:rPr>
            </w:pPr>
            <w:r w:rsidRPr="008A26D2">
              <w:rPr>
                <w:rFonts w:ascii="Arial" w:eastAsia="Times New Roman" w:hAnsi="Arial" w:cs="Arial"/>
                <w:sz w:val="20"/>
                <w:szCs w:val="20"/>
              </w:rPr>
              <w:t>585</w:t>
            </w:r>
          </w:p>
        </w:tc>
        <w:tc>
          <w:tcPr>
            <w:tcW w:w="709" w:type="dxa"/>
            <w:tcMar>
              <w:top w:w="10" w:type="dxa"/>
              <w:left w:w="10" w:type="dxa"/>
              <w:bottom w:w="0" w:type="dxa"/>
              <w:right w:w="10" w:type="dxa"/>
            </w:tcMar>
            <w:vAlign w:val="bottom"/>
          </w:tcPr>
          <w:p w14:paraId="49F1B434" w14:textId="77777777" w:rsidR="00A75C0F" w:rsidRPr="008A26D2" w:rsidRDefault="00A75C0F" w:rsidP="00AF5836">
            <w:pPr>
              <w:jc w:val="center"/>
              <w:rPr>
                <w:rFonts w:ascii="Arial" w:eastAsia="Times New Roman" w:hAnsi="Arial" w:cs="Arial"/>
                <w:sz w:val="20"/>
                <w:szCs w:val="20"/>
              </w:rPr>
            </w:pPr>
            <w:r w:rsidRPr="008A26D2">
              <w:rPr>
                <w:rFonts w:ascii="Arial" w:eastAsia="Times New Roman" w:hAnsi="Arial" w:cs="Arial"/>
                <w:sz w:val="20"/>
                <w:szCs w:val="20"/>
              </w:rPr>
              <w:t>720</w:t>
            </w:r>
          </w:p>
        </w:tc>
        <w:tc>
          <w:tcPr>
            <w:tcW w:w="708" w:type="dxa"/>
            <w:gridSpan w:val="2"/>
            <w:vAlign w:val="bottom"/>
          </w:tcPr>
          <w:p w14:paraId="589B16F7" w14:textId="77777777" w:rsidR="00A75C0F" w:rsidRPr="008A26D2" w:rsidRDefault="00A75C0F" w:rsidP="00AF5836">
            <w:pPr>
              <w:jc w:val="center"/>
              <w:rPr>
                <w:rFonts w:ascii="Arial" w:eastAsia="Times New Roman" w:hAnsi="Arial" w:cs="Arial"/>
                <w:sz w:val="20"/>
                <w:szCs w:val="20"/>
              </w:rPr>
            </w:pPr>
            <w:r w:rsidRPr="008A26D2">
              <w:rPr>
                <w:rFonts w:ascii="Arial" w:eastAsia="Times New Roman" w:hAnsi="Arial" w:cs="Arial"/>
                <w:sz w:val="20"/>
                <w:szCs w:val="20"/>
              </w:rPr>
              <w:t>850</w:t>
            </w:r>
          </w:p>
        </w:tc>
        <w:tc>
          <w:tcPr>
            <w:tcW w:w="851" w:type="dxa"/>
            <w:gridSpan w:val="2"/>
            <w:vAlign w:val="bottom"/>
          </w:tcPr>
          <w:p w14:paraId="50CCE708" w14:textId="77777777" w:rsidR="00A75C0F" w:rsidRPr="008A26D2" w:rsidRDefault="00A75C0F" w:rsidP="00AF5836">
            <w:pPr>
              <w:jc w:val="center"/>
              <w:rPr>
                <w:rFonts w:ascii="Arial" w:eastAsia="Times New Roman" w:hAnsi="Arial" w:cs="Arial"/>
                <w:sz w:val="20"/>
                <w:szCs w:val="20"/>
              </w:rPr>
            </w:pPr>
            <w:r w:rsidRPr="008A26D2">
              <w:rPr>
                <w:rFonts w:ascii="Arial" w:eastAsia="Times New Roman" w:hAnsi="Arial" w:cs="Arial"/>
                <w:sz w:val="20"/>
                <w:szCs w:val="20"/>
              </w:rPr>
              <w:t>980</w:t>
            </w:r>
          </w:p>
        </w:tc>
        <w:tc>
          <w:tcPr>
            <w:tcW w:w="850" w:type="dxa"/>
            <w:vAlign w:val="bottom"/>
          </w:tcPr>
          <w:p w14:paraId="5FC80DEC" w14:textId="77777777" w:rsidR="00A75C0F" w:rsidRPr="008A26D2" w:rsidRDefault="00A75C0F" w:rsidP="00AF5836">
            <w:pPr>
              <w:jc w:val="center"/>
              <w:rPr>
                <w:rFonts w:ascii="Arial" w:eastAsia="Times New Roman" w:hAnsi="Arial" w:cs="Arial"/>
                <w:sz w:val="20"/>
                <w:szCs w:val="20"/>
              </w:rPr>
            </w:pPr>
            <w:r w:rsidRPr="008A26D2">
              <w:rPr>
                <w:rFonts w:ascii="Arial" w:eastAsia="Times New Roman" w:hAnsi="Arial" w:cs="Arial"/>
                <w:sz w:val="20"/>
                <w:szCs w:val="20"/>
              </w:rPr>
              <w:t>1020</w:t>
            </w:r>
          </w:p>
        </w:tc>
        <w:tc>
          <w:tcPr>
            <w:tcW w:w="851" w:type="dxa"/>
            <w:gridSpan w:val="2"/>
            <w:vAlign w:val="bottom"/>
          </w:tcPr>
          <w:p w14:paraId="18CB05C8" w14:textId="77777777" w:rsidR="00A75C0F" w:rsidRPr="008A26D2" w:rsidRDefault="00A75C0F" w:rsidP="00AF5836">
            <w:pPr>
              <w:jc w:val="center"/>
              <w:rPr>
                <w:rFonts w:ascii="Arial" w:eastAsia="Times New Roman" w:hAnsi="Arial" w:cs="Arial"/>
                <w:sz w:val="20"/>
                <w:szCs w:val="20"/>
              </w:rPr>
            </w:pPr>
            <w:r w:rsidRPr="008A26D2">
              <w:rPr>
                <w:rFonts w:ascii="Arial" w:eastAsia="Times New Roman" w:hAnsi="Arial" w:cs="Arial"/>
                <w:sz w:val="20"/>
                <w:szCs w:val="20"/>
              </w:rPr>
              <w:t>1030</w:t>
            </w:r>
          </w:p>
        </w:tc>
        <w:tc>
          <w:tcPr>
            <w:tcW w:w="850" w:type="dxa"/>
            <w:vAlign w:val="bottom"/>
          </w:tcPr>
          <w:p w14:paraId="3FA9847A" w14:textId="77777777" w:rsidR="00A75C0F" w:rsidRPr="008A26D2" w:rsidRDefault="00A75C0F" w:rsidP="00AF5836">
            <w:pPr>
              <w:jc w:val="center"/>
              <w:rPr>
                <w:rFonts w:ascii="Arial" w:eastAsia="Times New Roman" w:hAnsi="Arial" w:cs="Arial"/>
                <w:sz w:val="20"/>
                <w:szCs w:val="20"/>
              </w:rPr>
            </w:pPr>
            <w:r w:rsidRPr="008A26D2">
              <w:rPr>
                <w:rFonts w:ascii="Arial" w:eastAsia="Times New Roman" w:hAnsi="Arial" w:cs="Arial"/>
                <w:sz w:val="20"/>
                <w:szCs w:val="20"/>
              </w:rPr>
              <w:t>1045</w:t>
            </w:r>
          </w:p>
        </w:tc>
        <w:tc>
          <w:tcPr>
            <w:tcW w:w="709" w:type="dxa"/>
            <w:tcMar>
              <w:top w:w="10" w:type="dxa"/>
              <w:left w:w="10" w:type="dxa"/>
              <w:bottom w:w="0" w:type="dxa"/>
              <w:right w:w="10" w:type="dxa"/>
            </w:tcMar>
            <w:vAlign w:val="bottom"/>
          </w:tcPr>
          <w:p w14:paraId="654C0659" w14:textId="77777777" w:rsidR="00A75C0F" w:rsidRPr="008A26D2" w:rsidRDefault="00A75C0F" w:rsidP="00AF5836">
            <w:pPr>
              <w:jc w:val="center"/>
              <w:rPr>
                <w:rFonts w:ascii="Arial" w:eastAsia="Times New Roman" w:hAnsi="Arial" w:cs="Arial"/>
                <w:sz w:val="20"/>
                <w:szCs w:val="20"/>
              </w:rPr>
            </w:pPr>
            <w:r w:rsidRPr="008A26D2">
              <w:rPr>
                <w:rFonts w:ascii="Arial" w:eastAsia="Times New Roman" w:hAnsi="Arial" w:cs="Arial"/>
                <w:sz w:val="20"/>
                <w:szCs w:val="20"/>
              </w:rPr>
              <w:t>1055</w:t>
            </w:r>
          </w:p>
        </w:tc>
        <w:tc>
          <w:tcPr>
            <w:tcW w:w="709" w:type="dxa"/>
          </w:tcPr>
          <w:p w14:paraId="309C6FDB" w14:textId="77777777" w:rsidR="00A75C0F" w:rsidRPr="008A26D2" w:rsidRDefault="00A75C0F" w:rsidP="00AF5836">
            <w:pPr>
              <w:jc w:val="center"/>
              <w:rPr>
                <w:rFonts w:ascii="Arial" w:eastAsia="Times New Roman" w:hAnsi="Arial" w:cs="Arial"/>
                <w:sz w:val="20"/>
                <w:szCs w:val="20"/>
              </w:rPr>
            </w:pPr>
            <w:r w:rsidRPr="008A26D2">
              <w:rPr>
                <w:rFonts w:ascii="Arial" w:eastAsia="Times New Roman" w:hAnsi="Arial" w:cs="Arial"/>
                <w:sz w:val="20"/>
                <w:szCs w:val="20"/>
              </w:rPr>
              <w:t>1055</w:t>
            </w:r>
          </w:p>
        </w:tc>
      </w:tr>
    </w:tbl>
    <w:p w14:paraId="39DE979E" w14:textId="77777777" w:rsidR="00A75C0F" w:rsidRPr="008A26D2" w:rsidRDefault="00A75C0F" w:rsidP="00A75C0F"/>
    <w:p w14:paraId="2B6B6264" w14:textId="77777777" w:rsidR="00A75C0F" w:rsidRPr="008A26D2" w:rsidRDefault="00A75C0F" w:rsidP="00A75C0F"/>
    <w:tbl>
      <w:tblPr>
        <w:tblW w:w="8080"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992"/>
        <w:gridCol w:w="851"/>
        <w:gridCol w:w="708"/>
        <w:gridCol w:w="426"/>
        <w:gridCol w:w="283"/>
        <w:gridCol w:w="709"/>
        <w:gridCol w:w="709"/>
        <w:gridCol w:w="708"/>
        <w:gridCol w:w="15"/>
        <w:gridCol w:w="694"/>
        <w:gridCol w:w="709"/>
      </w:tblGrid>
      <w:tr w:rsidR="00A75C0F" w:rsidRPr="008A26D2" w14:paraId="0DBB8B8E" w14:textId="77777777" w:rsidTr="00AF5836">
        <w:trPr>
          <w:trHeight w:val="251"/>
        </w:trPr>
        <w:tc>
          <w:tcPr>
            <w:tcW w:w="8080" w:type="dxa"/>
            <w:gridSpan w:val="12"/>
            <w:shd w:val="clear" w:color="auto" w:fill="D9D9D9" w:themeFill="background1" w:themeFillShade="D9"/>
            <w:tcMar>
              <w:top w:w="10" w:type="dxa"/>
              <w:left w:w="10" w:type="dxa"/>
              <w:bottom w:w="0" w:type="dxa"/>
              <w:right w:w="10" w:type="dxa"/>
            </w:tcMar>
            <w:vAlign w:val="center"/>
          </w:tcPr>
          <w:p w14:paraId="51AA4F93"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b/>
                <w:sz w:val="20"/>
                <w:szCs w:val="20"/>
              </w:rPr>
              <w:t>FICHA TÉCNICA DE INDICADOR DE SERVICIO 3.2.5</w:t>
            </w:r>
          </w:p>
        </w:tc>
      </w:tr>
      <w:tr w:rsidR="00A75C0F" w:rsidRPr="008A26D2" w14:paraId="3F2D395E" w14:textId="77777777" w:rsidTr="00AF5836">
        <w:trPr>
          <w:trHeight w:val="409"/>
        </w:trPr>
        <w:tc>
          <w:tcPr>
            <w:tcW w:w="2268" w:type="dxa"/>
            <w:gridSpan w:val="2"/>
            <w:shd w:val="clear" w:color="auto" w:fill="FFFFFF"/>
            <w:tcMar>
              <w:top w:w="10" w:type="dxa"/>
              <w:left w:w="93" w:type="dxa"/>
              <w:bottom w:w="0" w:type="dxa"/>
              <w:right w:w="10" w:type="dxa"/>
            </w:tcMar>
            <w:vAlign w:val="center"/>
          </w:tcPr>
          <w:p w14:paraId="6EE56F32"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Objetivo prioritario:</w:t>
            </w:r>
          </w:p>
        </w:tc>
        <w:tc>
          <w:tcPr>
            <w:tcW w:w="5812" w:type="dxa"/>
            <w:gridSpan w:val="10"/>
            <w:shd w:val="clear" w:color="auto" w:fill="FFFFFF"/>
            <w:tcMar>
              <w:top w:w="51" w:type="dxa"/>
              <w:left w:w="227" w:type="dxa"/>
              <w:bottom w:w="51" w:type="dxa"/>
              <w:right w:w="227" w:type="dxa"/>
            </w:tcMar>
            <w:vAlign w:val="center"/>
          </w:tcPr>
          <w:p w14:paraId="72E7BC3C" w14:textId="77777777" w:rsidR="00A75C0F" w:rsidRPr="008A26D2" w:rsidRDefault="00A75C0F" w:rsidP="00AF5836">
            <w:pPr>
              <w:tabs>
                <w:tab w:val="left" w:pos="3375"/>
              </w:tabs>
              <w:jc w:val="both"/>
              <w:rPr>
                <w:rFonts w:ascii="Arial" w:hAnsi="Arial" w:cs="Arial"/>
                <w:sz w:val="20"/>
                <w:szCs w:val="20"/>
              </w:rPr>
            </w:pPr>
            <w:r w:rsidRPr="008A26D2">
              <w:rPr>
                <w:rFonts w:ascii="Arial" w:eastAsia="Arial Narrow" w:hAnsi="Arial" w:cs="Arial"/>
                <w:sz w:val="20"/>
                <w:szCs w:val="20"/>
              </w:rPr>
              <w:t>OP3 Fortalecer la gobernanza forestal y de fauna silvestre</w:t>
            </w:r>
          </w:p>
        </w:tc>
      </w:tr>
      <w:tr w:rsidR="00A75C0F" w:rsidRPr="008A26D2" w14:paraId="03F88A7B" w14:textId="77777777" w:rsidTr="00AF5836">
        <w:trPr>
          <w:trHeight w:val="436"/>
        </w:trPr>
        <w:tc>
          <w:tcPr>
            <w:tcW w:w="2268" w:type="dxa"/>
            <w:gridSpan w:val="2"/>
            <w:shd w:val="clear" w:color="auto" w:fill="auto"/>
            <w:tcMar>
              <w:top w:w="10" w:type="dxa"/>
              <w:left w:w="93" w:type="dxa"/>
              <w:bottom w:w="0" w:type="dxa"/>
              <w:right w:w="10" w:type="dxa"/>
            </w:tcMar>
            <w:vAlign w:val="center"/>
          </w:tcPr>
          <w:p w14:paraId="44FE9075"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Lineamiento de la política:</w:t>
            </w:r>
          </w:p>
        </w:tc>
        <w:tc>
          <w:tcPr>
            <w:tcW w:w="5812" w:type="dxa"/>
            <w:gridSpan w:val="10"/>
            <w:shd w:val="clear" w:color="auto" w:fill="auto"/>
            <w:tcMar>
              <w:top w:w="51" w:type="dxa"/>
              <w:left w:w="227" w:type="dxa"/>
              <w:bottom w:w="51" w:type="dxa"/>
              <w:right w:w="227" w:type="dxa"/>
            </w:tcMar>
            <w:vAlign w:val="center"/>
          </w:tcPr>
          <w:p w14:paraId="74F8B304" w14:textId="77777777" w:rsidR="00A75C0F" w:rsidRPr="008A26D2" w:rsidRDefault="00A75C0F" w:rsidP="00AF5836">
            <w:pPr>
              <w:tabs>
                <w:tab w:val="left" w:pos="3375"/>
              </w:tabs>
              <w:jc w:val="both"/>
              <w:rPr>
                <w:rFonts w:ascii="Arial" w:hAnsi="Arial" w:cs="Arial"/>
                <w:sz w:val="20"/>
                <w:szCs w:val="20"/>
              </w:rPr>
            </w:pPr>
            <w:r w:rsidRPr="008A26D2">
              <w:rPr>
                <w:rFonts w:ascii="Arial" w:eastAsia="Arial Narrow" w:hAnsi="Arial" w:cs="Arial"/>
                <w:sz w:val="20"/>
                <w:szCs w:val="20"/>
              </w:rPr>
              <w:t>L 3.2 Desarrollar programas orientados a la mejora de la gestión y aprovechamiento sostenible de los recursos forestales y de fauna silvestre en pueblos indígenas u originarios (comunidades campesinas, comunidades nativas, entre otros)</w:t>
            </w:r>
          </w:p>
        </w:tc>
      </w:tr>
      <w:tr w:rsidR="00A75C0F" w:rsidRPr="008A26D2" w14:paraId="100D4CE8" w14:textId="77777777" w:rsidTr="00AF5836">
        <w:trPr>
          <w:trHeight w:val="404"/>
        </w:trPr>
        <w:tc>
          <w:tcPr>
            <w:tcW w:w="2268" w:type="dxa"/>
            <w:gridSpan w:val="2"/>
            <w:shd w:val="clear" w:color="auto" w:fill="auto"/>
            <w:tcMar>
              <w:top w:w="10" w:type="dxa"/>
              <w:left w:w="93" w:type="dxa"/>
              <w:bottom w:w="0" w:type="dxa"/>
              <w:right w:w="10" w:type="dxa"/>
            </w:tcMar>
            <w:vAlign w:val="center"/>
          </w:tcPr>
          <w:p w14:paraId="70E5450E"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Nombre del servicio:</w:t>
            </w:r>
          </w:p>
        </w:tc>
        <w:tc>
          <w:tcPr>
            <w:tcW w:w="5812" w:type="dxa"/>
            <w:gridSpan w:val="10"/>
            <w:shd w:val="clear" w:color="auto" w:fill="auto"/>
            <w:tcMar>
              <w:top w:w="51" w:type="dxa"/>
              <w:left w:w="227" w:type="dxa"/>
              <w:bottom w:w="51" w:type="dxa"/>
              <w:right w:w="227" w:type="dxa"/>
            </w:tcMar>
            <w:vAlign w:val="center"/>
          </w:tcPr>
          <w:p w14:paraId="26972904" w14:textId="77777777" w:rsidR="00A75C0F" w:rsidRPr="008A26D2" w:rsidRDefault="00A75C0F" w:rsidP="00AF5836">
            <w:pPr>
              <w:tabs>
                <w:tab w:val="left" w:pos="3375"/>
              </w:tabs>
              <w:jc w:val="both"/>
              <w:rPr>
                <w:rFonts w:ascii="Arial" w:hAnsi="Arial" w:cs="Arial"/>
                <w:sz w:val="20"/>
                <w:szCs w:val="20"/>
              </w:rPr>
            </w:pPr>
            <w:r w:rsidRPr="008A26D2">
              <w:rPr>
                <w:rFonts w:ascii="Arial" w:eastAsia="Arial Narrow" w:hAnsi="Arial" w:cs="Arial"/>
                <w:sz w:val="20"/>
                <w:szCs w:val="20"/>
              </w:rPr>
              <w:t>S3.2.5 Fortalecimiento de capacidades para la creación de Unidades Técnicas de Manejo Forestal Comunitario de forma satisfactoria dirigido a las Autoridades Regionales Forestales y de Fauna Silvestre</w:t>
            </w:r>
          </w:p>
        </w:tc>
      </w:tr>
      <w:tr w:rsidR="00A75C0F" w:rsidRPr="008A26D2" w14:paraId="67EBEE3E" w14:textId="77777777" w:rsidTr="00AF5836">
        <w:trPr>
          <w:trHeight w:val="577"/>
        </w:trPr>
        <w:tc>
          <w:tcPr>
            <w:tcW w:w="2268" w:type="dxa"/>
            <w:gridSpan w:val="2"/>
            <w:shd w:val="clear" w:color="auto" w:fill="auto"/>
            <w:tcMar>
              <w:top w:w="10" w:type="dxa"/>
              <w:left w:w="93" w:type="dxa"/>
              <w:bottom w:w="0" w:type="dxa"/>
              <w:right w:w="10" w:type="dxa"/>
            </w:tcMar>
            <w:vAlign w:val="center"/>
          </w:tcPr>
          <w:p w14:paraId="694C1A93"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Nombre del indicador:</w:t>
            </w:r>
          </w:p>
        </w:tc>
        <w:tc>
          <w:tcPr>
            <w:tcW w:w="5812" w:type="dxa"/>
            <w:gridSpan w:val="10"/>
            <w:shd w:val="clear" w:color="auto" w:fill="auto"/>
            <w:tcMar>
              <w:top w:w="51" w:type="dxa"/>
              <w:left w:w="227" w:type="dxa"/>
              <w:bottom w:w="51" w:type="dxa"/>
              <w:right w:w="227" w:type="dxa"/>
            </w:tcMar>
            <w:vAlign w:val="bottom"/>
          </w:tcPr>
          <w:p w14:paraId="27A45F62" w14:textId="77777777" w:rsidR="00A75C0F" w:rsidRPr="008A26D2" w:rsidRDefault="00A75C0F" w:rsidP="00AF5836">
            <w:pPr>
              <w:tabs>
                <w:tab w:val="left" w:pos="3375"/>
              </w:tabs>
              <w:jc w:val="both"/>
              <w:rPr>
                <w:rFonts w:ascii="Arial" w:hAnsi="Arial" w:cs="Arial"/>
                <w:sz w:val="20"/>
                <w:szCs w:val="20"/>
              </w:rPr>
            </w:pPr>
            <w:r w:rsidRPr="008A26D2">
              <w:rPr>
                <w:rFonts w:ascii="Arial" w:eastAsia="Times New Roman" w:hAnsi="Arial" w:cs="Arial"/>
                <w:sz w:val="20"/>
                <w:szCs w:val="20"/>
              </w:rPr>
              <w:t xml:space="preserve">Porcentaje de servidores de las </w:t>
            </w:r>
            <w:r w:rsidRPr="008A26D2">
              <w:rPr>
                <w:rFonts w:ascii="Arial" w:eastAsia="Arial Narrow" w:hAnsi="Arial" w:cs="Arial"/>
                <w:sz w:val="20"/>
                <w:szCs w:val="20"/>
              </w:rPr>
              <w:t>Autoridades Regionales Forestales y de Fauna Silvestre con alto grado de satisfacción sobre las capacitaciones recibidas para la creación de Unidades Técnicas de Manejo Forestal Comunitario</w:t>
            </w:r>
          </w:p>
        </w:tc>
      </w:tr>
      <w:tr w:rsidR="00A75C0F" w:rsidRPr="008A26D2" w14:paraId="23828018" w14:textId="77777777" w:rsidTr="00AF5836">
        <w:trPr>
          <w:trHeight w:val="577"/>
        </w:trPr>
        <w:tc>
          <w:tcPr>
            <w:tcW w:w="2268" w:type="dxa"/>
            <w:gridSpan w:val="2"/>
            <w:shd w:val="clear" w:color="auto" w:fill="auto"/>
            <w:tcMar>
              <w:top w:w="10" w:type="dxa"/>
              <w:left w:w="93" w:type="dxa"/>
              <w:bottom w:w="0" w:type="dxa"/>
              <w:right w:w="10" w:type="dxa"/>
            </w:tcMar>
            <w:vAlign w:val="center"/>
          </w:tcPr>
          <w:p w14:paraId="611FB0D7"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lastRenderedPageBreak/>
              <w:t>Justificación:</w:t>
            </w:r>
          </w:p>
        </w:tc>
        <w:tc>
          <w:tcPr>
            <w:tcW w:w="5812" w:type="dxa"/>
            <w:gridSpan w:val="10"/>
            <w:shd w:val="clear" w:color="auto" w:fill="auto"/>
            <w:tcMar>
              <w:top w:w="51" w:type="dxa"/>
              <w:left w:w="227" w:type="dxa"/>
              <w:bottom w:w="51" w:type="dxa"/>
              <w:right w:w="227" w:type="dxa"/>
            </w:tcMar>
            <w:vAlign w:val="center"/>
          </w:tcPr>
          <w:p w14:paraId="17D00CA9" w14:textId="77777777" w:rsidR="00A75C0F" w:rsidRPr="008A26D2" w:rsidRDefault="00A75C0F" w:rsidP="00AF5836">
            <w:pPr>
              <w:tabs>
                <w:tab w:val="left" w:pos="3375"/>
              </w:tabs>
              <w:jc w:val="both"/>
              <w:rPr>
                <w:rFonts w:ascii="Arial" w:hAnsi="Arial" w:cs="Arial"/>
                <w:sz w:val="20"/>
                <w:szCs w:val="20"/>
              </w:rPr>
            </w:pPr>
            <w:r w:rsidRPr="008A26D2">
              <w:rPr>
                <w:rFonts w:ascii="Arial" w:eastAsia="Times New Roman" w:hAnsi="Arial" w:cs="Arial"/>
                <w:sz w:val="20"/>
                <w:szCs w:val="20"/>
                <w:lang w:val="es-ES"/>
              </w:rPr>
              <w:t xml:space="preserve">El indicador cuantifica el porcentaje de </w:t>
            </w:r>
            <w:r w:rsidRPr="008A26D2">
              <w:rPr>
                <w:rFonts w:ascii="Arial" w:eastAsia="Times New Roman" w:hAnsi="Arial" w:cs="Arial"/>
                <w:sz w:val="20"/>
                <w:szCs w:val="20"/>
              </w:rPr>
              <w:t>servidores de las Autoridades Regionales Forestales y de Fauna Silvestre</w:t>
            </w:r>
            <w:r w:rsidRPr="008A26D2">
              <w:rPr>
                <w:rFonts w:ascii="Arial" w:eastAsia="Times New Roman" w:hAnsi="Arial" w:cs="Arial"/>
                <w:sz w:val="20"/>
                <w:szCs w:val="20"/>
                <w:lang w:val="es-ES"/>
              </w:rPr>
              <w:t xml:space="preserve"> que perciben un alto grado de satisfacción sobre las capacitaciones recibidas en </w:t>
            </w:r>
            <w:r w:rsidRPr="008A26D2">
              <w:rPr>
                <w:rFonts w:ascii="Arial" w:eastAsia="Arial Narrow" w:hAnsi="Arial" w:cs="Arial"/>
                <w:sz w:val="20"/>
                <w:szCs w:val="20"/>
              </w:rPr>
              <w:t>aspectos técnicos y administrativos para la creación de Unidades Técnicas de Manejo Forestal Comunitario</w:t>
            </w:r>
            <w:r w:rsidRPr="008A26D2">
              <w:rPr>
                <w:rFonts w:ascii="Arial" w:eastAsia="Times New Roman" w:hAnsi="Arial" w:cs="Arial"/>
                <w:sz w:val="20"/>
                <w:szCs w:val="20"/>
                <w:lang w:val="es-ES"/>
              </w:rPr>
              <w:t>. De esta manera, el indicador facilitará el seguimiento de la satisfacción del servicio para establecer acciones de mejora correspondientes.</w:t>
            </w:r>
          </w:p>
        </w:tc>
      </w:tr>
      <w:tr w:rsidR="00A75C0F" w:rsidRPr="008A26D2" w14:paraId="5D069108" w14:textId="77777777" w:rsidTr="00AF5836">
        <w:trPr>
          <w:trHeight w:val="352"/>
        </w:trPr>
        <w:tc>
          <w:tcPr>
            <w:tcW w:w="2268" w:type="dxa"/>
            <w:gridSpan w:val="2"/>
            <w:shd w:val="clear" w:color="auto" w:fill="auto"/>
            <w:tcMar>
              <w:top w:w="10" w:type="dxa"/>
              <w:left w:w="93" w:type="dxa"/>
              <w:bottom w:w="0" w:type="dxa"/>
              <w:right w:w="10" w:type="dxa"/>
            </w:tcMar>
            <w:vAlign w:val="center"/>
          </w:tcPr>
          <w:p w14:paraId="6078E43F"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Responsable del indicador:</w:t>
            </w:r>
          </w:p>
        </w:tc>
        <w:tc>
          <w:tcPr>
            <w:tcW w:w="5812" w:type="dxa"/>
            <w:gridSpan w:val="10"/>
            <w:shd w:val="clear" w:color="auto" w:fill="auto"/>
            <w:tcMar>
              <w:top w:w="51" w:type="dxa"/>
              <w:left w:w="227" w:type="dxa"/>
              <w:bottom w:w="51" w:type="dxa"/>
              <w:right w:w="227" w:type="dxa"/>
            </w:tcMar>
            <w:vAlign w:val="center"/>
          </w:tcPr>
          <w:p w14:paraId="18D92253" w14:textId="77777777" w:rsidR="00A75C0F" w:rsidRPr="008A26D2" w:rsidRDefault="00A75C0F" w:rsidP="00AF5836">
            <w:pPr>
              <w:tabs>
                <w:tab w:val="left" w:pos="3375"/>
              </w:tabs>
              <w:jc w:val="both"/>
              <w:rPr>
                <w:rFonts w:ascii="Arial" w:hAnsi="Arial" w:cs="Arial"/>
                <w:sz w:val="20"/>
                <w:szCs w:val="20"/>
              </w:rPr>
            </w:pPr>
            <w:r w:rsidRPr="008A26D2">
              <w:rPr>
                <w:rFonts w:ascii="Arial" w:eastAsia="Arial Narrow" w:hAnsi="Arial" w:cs="Arial"/>
                <w:sz w:val="20"/>
                <w:szCs w:val="20"/>
              </w:rPr>
              <w:t>Dirección de Fortalecimiento de Capacidades del Servicio Nacional Forestal y de Fauna Silvestre - SERFOR</w:t>
            </w:r>
          </w:p>
        </w:tc>
      </w:tr>
      <w:tr w:rsidR="00A75C0F" w:rsidRPr="008A26D2" w14:paraId="275B9C43" w14:textId="77777777" w:rsidTr="00AF5836">
        <w:trPr>
          <w:trHeight w:val="663"/>
        </w:trPr>
        <w:tc>
          <w:tcPr>
            <w:tcW w:w="2268" w:type="dxa"/>
            <w:gridSpan w:val="2"/>
            <w:shd w:val="clear" w:color="auto" w:fill="auto"/>
            <w:tcMar>
              <w:top w:w="10" w:type="dxa"/>
              <w:left w:w="93" w:type="dxa"/>
              <w:bottom w:w="0" w:type="dxa"/>
              <w:right w:w="10" w:type="dxa"/>
            </w:tcMar>
            <w:vAlign w:val="center"/>
          </w:tcPr>
          <w:p w14:paraId="5FF6D9AA"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Limitaciones para la medición del indicador:</w:t>
            </w:r>
          </w:p>
        </w:tc>
        <w:tc>
          <w:tcPr>
            <w:tcW w:w="5812" w:type="dxa"/>
            <w:gridSpan w:val="10"/>
            <w:shd w:val="clear" w:color="auto" w:fill="auto"/>
            <w:tcMar>
              <w:top w:w="51" w:type="dxa"/>
              <w:left w:w="227" w:type="dxa"/>
              <w:bottom w:w="51" w:type="dxa"/>
              <w:right w:w="227" w:type="dxa"/>
            </w:tcMar>
            <w:vAlign w:val="center"/>
          </w:tcPr>
          <w:p w14:paraId="1C092EF8"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sz w:val="20"/>
                <w:szCs w:val="20"/>
              </w:rPr>
              <w:t xml:space="preserve">No presenta limitaciones </w:t>
            </w:r>
          </w:p>
        </w:tc>
      </w:tr>
      <w:tr w:rsidR="00A75C0F" w:rsidRPr="008A26D2" w14:paraId="3FDFF853" w14:textId="77777777" w:rsidTr="00AF5836">
        <w:trPr>
          <w:trHeight w:val="231"/>
        </w:trPr>
        <w:tc>
          <w:tcPr>
            <w:tcW w:w="2268" w:type="dxa"/>
            <w:gridSpan w:val="2"/>
            <w:shd w:val="clear" w:color="auto" w:fill="auto"/>
            <w:tcMar>
              <w:top w:w="10" w:type="dxa"/>
              <w:left w:w="93" w:type="dxa"/>
              <w:bottom w:w="0" w:type="dxa"/>
              <w:right w:w="10" w:type="dxa"/>
            </w:tcMar>
            <w:vAlign w:val="center"/>
          </w:tcPr>
          <w:p w14:paraId="00868AB7"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 xml:space="preserve">Método de cálculo: </w:t>
            </w:r>
          </w:p>
        </w:tc>
        <w:tc>
          <w:tcPr>
            <w:tcW w:w="5812" w:type="dxa"/>
            <w:gridSpan w:val="10"/>
            <w:shd w:val="clear" w:color="auto" w:fill="auto"/>
            <w:tcMar>
              <w:top w:w="51" w:type="dxa"/>
              <w:left w:w="227" w:type="dxa"/>
              <w:bottom w:w="51" w:type="dxa"/>
              <w:right w:w="227" w:type="dxa"/>
            </w:tcMar>
            <w:vAlign w:val="center"/>
          </w:tcPr>
          <w:p w14:paraId="44842FD3" w14:textId="77777777" w:rsidR="00A75C0F" w:rsidRPr="008A26D2" w:rsidRDefault="00A75C0F" w:rsidP="00AF5836">
            <w:pPr>
              <w:spacing w:after="0" w:line="240" w:lineRule="auto"/>
              <w:rPr>
                <w:rFonts w:ascii="Arial" w:eastAsia="Arial Unicode MS" w:hAnsi="Arial" w:cs="Arial"/>
                <w:b/>
                <w:sz w:val="20"/>
                <w:szCs w:val="20"/>
              </w:rPr>
            </w:pPr>
            <w:r w:rsidRPr="008A26D2">
              <w:rPr>
                <w:rFonts w:ascii="Arial" w:eastAsia="Arial Unicode MS" w:hAnsi="Arial" w:cs="Arial"/>
                <w:b/>
                <w:sz w:val="20"/>
                <w:szCs w:val="20"/>
              </w:rPr>
              <w:t>1. Fórmula:</w:t>
            </w:r>
          </w:p>
          <w:p w14:paraId="1E2B84FA" w14:textId="77777777" w:rsidR="00A75C0F" w:rsidRPr="008A26D2" w:rsidRDefault="00A75C0F" w:rsidP="00AF5836">
            <w:pPr>
              <w:spacing w:after="0" w:line="240" w:lineRule="auto"/>
              <w:rPr>
                <w:rFonts w:ascii="Arial" w:eastAsia="Arial Unicode MS" w:hAnsi="Arial" w:cs="Arial"/>
                <w:sz w:val="20"/>
                <w:szCs w:val="20"/>
              </w:rPr>
            </w:pPr>
            <w:r w:rsidRPr="008A26D2">
              <w:rPr>
                <w:rFonts w:ascii="Arial" w:eastAsia="Arial Unicode MS" w:hAnsi="Arial" w:cs="Arial"/>
                <w:sz w:val="20"/>
                <w:szCs w:val="20"/>
              </w:rPr>
              <w:t xml:space="preserve">   </w:t>
            </w:r>
          </w:p>
          <w:p w14:paraId="0699292A" w14:textId="77777777" w:rsidR="00A75C0F" w:rsidRPr="008A26D2" w:rsidRDefault="00A75C0F" w:rsidP="00AF5836">
            <w:pPr>
              <w:spacing w:after="0" w:line="240" w:lineRule="auto"/>
              <w:jc w:val="both"/>
              <w:rPr>
                <w:rFonts w:ascii="Arial" w:eastAsia="Arial Unicode MS" w:hAnsi="Arial" w:cs="Arial"/>
                <w:sz w:val="20"/>
                <w:szCs w:val="20"/>
              </w:rPr>
            </w:pPr>
            <w:r w:rsidRPr="008A26D2">
              <w:rPr>
                <w:rFonts w:ascii="Arial" w:eastAsia="Arial Unicode MS" w:hAnsi="Arial" w:cs="Arial"/>
                <w:sz w:val="20"/>
                <w:szCs w:val="20"/>
              </w:rPr>
              <w:t>(A/B)*100</w:t>
            </w:r>
          </w:p>
          <w:p w14:paraId="3CCCE888" w14:textId="77777777" w:rsidR="00A75C0F" w:rsidRPr="008A26D2" w:rsidRDefault="00A75C0F" w:rsidP="00AF5836">
            <w:pPr>
              <w:spacing w:after="0" w:line="240" w:lineRule="auto"/>
              <w:jc w:val="both"/>
              <w:rPr>
                <w:rFonts w:ascii="Arial" w:eastAsia="Arial Unicode MS" w:hAnsi="Arial" w:cs="Arial"/>
                <w:sz w:val="20"/>
                <w:szCs w:val="20"/>
              </w:rPr>
            </w:pPr>
          </w:p>
          <w:p w14:paraId="1C016CB2" w14:textId="77777777" w:rsidR="00A75C0F" w:rsidRPr="008A26D2" w:rsidRDefault="00A75C0F" w:rsidP="00AF5836">
            <w:pPr>
              <w:spacing w:after="0" w:line="240" w:lineRule="auto"/>
              <w:jc w:val="both"/>
              <w:rPr>
                <w:rFonts w:ascii="Arial" w:eastAsia="Arial Unicode MS" w:hAnsi="Arial" w:cs="Arial"/>
                <w:sz w:val="20"/>
                <w:szCs w:val="20"/>
              </w:rPr>
            </w:pPr>
            <w:r w:rsidRPr="008A26D2">
              <w:rPr>
                <w:rFonts w:ascii="Arial" w:eastAsia="Arial Unicode MS" w:hAnsi="Arial" w:cs="Arial"/>
                <w:sz w:val="20"/>
                <w:szCs w:val="20"/>
              </w:rPr>
              <w:t>Donde:</w:t>
            </w:r>
          </w:p>
          <w:p w14:paraId="7DB3A07B" w14:textId="77777777" w:rsidR="00A75C0F" w:rsidRPr="008A26D2" w:rsidRDefault="00A75C0F" w:rsidP="00AF5836">
            <w:pPr>
              <w:spacing w:after="0" w:line="240" w:lineRule="auto"/>
              <w:ind w:left="289" w:hanging="289"/>
              <w:jc w:val="both"/>
              <w:rPr>
                <w:rFonts w:ascii="Arial" w:eastAsia="Arial Unicode MS" w:hAnsi="Arial" w:cs="Arial"/>
                <w:b/>
                <w:sz w:val="20"/>
                <w:szCs w:val="20"/>
              </w:rPr>
            </w:pPr>
            <w:r w:rsidRPr="008A26D2">
              <w:rPr>
                <w:rFonts w:ascii="Arial" w:eastAsia="Arial Unicode MS" w:hAnsi="Arial" w:cs="Arial"/>
                <w:sz w:val="20"/>
                <w:szCs w:val="20"/>
              </w:rPr>
              <w:t xml:space="preserve">A= Número </w:t>
            </w:r>
            <w:r w:rsidRPr="008A26D2">
              <w:rPr>
                <w:rFonts w:ascii="Arial" w:eastAsia="Times New Roman" w:hAnsi="Arial" w:cs="Arial"/>
                <w:sz w:val="20"/>
                <w:szCs w:val="20"/>
              </w:rPr>
              <w:t xml:space="preserve">de </w:t>
            </w:r>
            <w:r w:rsidRPr="008A26D2">
              <w:rPr>
                <w:rFonts w:ascii="Arial" w:eastAsia="Arial Narrow" w:hAnsi="Arial" w:cs="Arial"/>
                <w:sz w:val="20"/>
                <w:szCs w:val="20"/>
              </w:rPr>
              <w:t>servidores de las Autoridades Regionales Forestales y de Fauna Silvestre con alto grado de satisfacción sobre las capacitaciones recibidas para la creación de Unidades Técnicas de Manejo Forestal Comunitario</w:t>
            </w:r>
          </w:p>
          <w:p w14:paraId="6F209B3F" w14:textId="77777777" w:rsidR="00A75C0F" w:rsidRPr="008A26D2" w:rsidRDefault="00A75C0F" w:rsidP="00AF5836">
            <w:pPr>
              <w:spacing w:after="0" w:line="240" w:lineRule="auto"/>
              <w:ind w:left="289" w:hanging="289"/>
              <w:jc w:val="both"/>
              <w:rPr>
                <w:rFonts w:ascii="Arial" w:eastAsia="Arial Narrow" w:hAnsi="Arial" w:cs="Arial"/>
                <w:sz w:val="20"/>
                <w:szCs w:val="20"/>
              </w:rPr>
            </w:pPr>
            <w:r w:rsidRPr="008A26D2">
              <w:rPr>
                <w:rFonts w:ascii="Arial" w:eastAsia="Arial Unicode MS" w:hAnsi="Arial" w:cs="Arial"/>
                <w:sz w:val="20"/>
                <w:szCs w:val="20"/>
              </w:rPr>
              <w:t xml:space="preserve">B= Total de </w:t>
            </w:r>
            <w:r w:rsidRPr="008A26D2">
              <w:rPr>
                <w:rFonts w:ascii="Arial" w:eastAsia="Arial Narrow" w:hAnsi="Arial" w:cs="Arial"/>
                <w:sz w:val="20"/>
                <w:szCs w:val="20"/>
              </w:rPr>
              <w:t>servidores de las Autoridades Regionales Forestales y de Fauna Silvestre que reciben capacitaciones para la creación de Unidades Técnicas de Manejo Forestal Comunitario</w:t>
            </w:r>
          </w:p>
          <w:p w14:paraId="50F0B6CC" w14:textId="77777777" w:rsidR="00A75C0F" w:rsidRPr="008A26D2" w:rsidRDefault="00A75C0F" w:rsidP="00AF5836">
            <w:pPr>
              <w:spacing w:after="0" w:line="240" w:lineRule="auto"/>
              <w:ind w:left="289" w:hanging="289"/>
              <w:jc w:val="both"/>
              <w:rPr>
                <w:rFonts w:ascii="Arial" w:eastAsia="Arial Unicode MS" w:hAnsi="Arial" w:cs="Arial"/>
                <w:b/>
                <w:sz w:val="20"/>
                <w:szCs w:val="20"/>
              </w:rPr>
            </w:pPr>
          </w:p>
          <w:p w14:paraId="3DA19424" w14:textId="77777777" w:rsidR="00A75C0F" w:rsidRPr="008A26D2" w:rsidRDefault="00A75C0F" w:rsidP="00AF5836">
            <w:pPr>
              <w:spacing w:after="0" w:line="240" w:lineRule="auto"/>
              <w:jc w:val="both"/>
              <w:rPr>
                <w:rFonts w:ascii="Arial" w:eastAsia="Arial Unicode MS" w:hAnsi="Arial" w:cs="Arial"/>
                <w:sz w:val="20"/>
                <w:szCs w:val="20"/>
              </w:rPr>
            </w:pPr>
            <w:r w:rsidRPr="008A26D2">
              <w:rPr>
                <w:rFonts w:ascii="Arial" w:eastAsia="Arial Unicode MS" w:hAnsi="Arial" w:cs="Arial"/>
                <w:b/>
                <w:sz w:val="20"/>
                <w:szCs w:val="20"/>
              </w:rPr>
              <w:t>2.  Especificaciones técnicas:</w:t>
            </w:r>
          </w:p>
          <w:p w14:paraId="7ABCEF5C" w14:textId="77777777" w:rsidR="00A75C0F" w:rsidRPr="008A26D2" w:rsidRDefault="00A75C0F" w:rsidP="00AF5836">
            <w:pPr>
              <w:spacing w:after="0" w:line="240" w:lineRule="auto"/>
              <w:jc w:val="both"/>
              <w:rPr>
                <w:rFonts w:ascii="Arial" w:hAnsi="Arial" w:cs="Arial"/>
                <w:sz w:val="20"/>
                <w:szCs w:val="20"/>
              </w:rPr>
            </w:pPr>
          </w:p>
          <w:p w14:paraId="3D3784CC" w14:textId="77777777" w:rsidR="00A75C0F" w:rsidRPr="00212EE3" w:rsidRDefault="00A75C0F" w:rsidP="00AF5836">
            <w:pPr>
              <w:jc w:val="both"/>
              <w:rPr>
                <w:rFonts w:ascii="Arial" w:eastAsia="Times New Roman" w:hAnsi="Arial" w:cs="Arial"/>
                <w:sz w:val="20"/>
                <w:szCs w:val="20"/>
                <w:lang w:val="es-ES"/>
              </w:rPr>
            </w:pPr>
            <w:r w:rsidRPr="00212EE3">
              <w:rPr>
                <w:rFonts w:ascii="Arial" w:eastAsia="Times New Roman" w:hAnsi="Arial" w:cs="Arial"/>
                <w:sz w:val="20"/>
                <w:szCs w:val="20"/>
                <w:lang w:val="es-ES"/>
              </w:rPr>
              <w:t>La variable A se determina a partir de los servidores de las Autoridades Regionales Forestales y de Fauna Silvestre que tienen un alto grado de satisfacción, al elegir los dos niveles más altos de la escala, sobre las acciones de fortalecimiento de capacidades recibidas.</w:t>
            </w:r>
          </w:p>
          <w:p w14:paraId="15EE6100" w14:textId="33F855CA" w:rsidR="00A75C0F" w:rsidRDefault="00A75C0F" w:rsidP="00AF5836">
            <w:pPr>
              <w:jc w:val="both"/>
              <w:rPr>
                <w:rFonts w:ascii="Arial" w:eastAsia="Times New Roman" w:hAnsi="Arial" w:cs="Arial"/>
                <w:sz w:val="20"/>
                <w:szCs w:val="20"/>
                <w:lang w:val="es-ES"/>
              </w:rPr>
            </w:pPr>
            <w:r w:rsidRPr="00212EE3">
              <w:rPr>
                <w:rFonts w:ascii="Arial" w:eastAsia="Times New Roman" w:hAnsi="Arial" w:cs="Arial"/>
                <w:sz w:val="20"/>
                <w:szCs w:val="20"/>
                <w:lang w:val="es-ES"/>
              </w:rPr>
              <w:t xml:space="preserve">La variable B se determina </w:t>
            </w:r>
            <w:r w:rsidR="00B36209">
              <w:rPr>
                <w:rFonts w:ascii="Arial" w:eastAsia="Times New Roman" w:hAnsi="Arial" w:cs="Arial"/>
                <w:sz w:val="20"/>
                <w:szCs w:val="20"/>
                <w:lang w:val="es-ES"/>
              </w:rPr>
              <w:t>en base</w:t>
            </w:r>
            <w:r w:rsidRPr="00212EE3">
              <w:rPr>
                <w:rFonts w:ascii="Arial" w:eastAsia="Times New Roman" w:hAnsi="Arial" w:cs="Arial"/>
                <w:sz w:val="20"/>
                <w:szCs w:val="20"/>
                <w:lang w:val="es-ES"/>
              </w:rPr>
              <w:t xml:space="preserve"> </w:t>
            </w:r>
            <w:r w:rsidR="00B36209">
              <w:rPr>
                <w:rFonts w:ascii="Arial" w:eastAsia="Times New Roman" w:hAnsi="Arial" w:cs="Arial"/>
                <w:sz w:val="20"/>
                <w:szCs w:val="20"/>
                <w:lang w:val="es-ES"/>
              </w:rPr>
              <w:t>a</w:t>
            </w:r>
            <w:r w:rsidRPr="00212EE3">
              <w:rPr>
                <w:rFonts w:ascii="Arial" w:eastAsia="Times New Roman" w:hAnsi="Arial" w:cs="Arial"/>
                <w:sz w:val="20"/>
                <w:szCs w:val="20"/>
                <w:lang w:val="es-ES"/>
              </w:rPr>
              <w:t>l total de servidores de las Autoridades Regionales Forestales y de Fauna Silvestre que asisten a las capacitaciones</w:t>
            </w:r>
            <w:r w:rsidR="00B36209">
              <w:rPr>
                <w:rFonts w:ascii="Arial" w:eastAsia="Times New Roman" w:hAnsi="Arial" w:cs="Arial"/>
                <w:sz w:val="20"/>
                <w:szCs w:val="20"/>
                <w:lang w:val="es-ES"/>
              </w:rPr>
              <w:t xml:space="preserve"> en el año de medición</w:t>
            </w:r>
            <w:r>
              <w:rPr>
                <w:rFonts w:ascii="Arial" w:eastAsia="Times New Roman" w:hAnsi="Arial" w:cs="Arial"/>
                <w:sz w:val="20"/>
                <w:szCs w:val="20"/>
                <w:lang w:val="es-ES"/>
              </w:rPr>
              <w:t>.</w:t>
            </w:r>
          </w:p>
          <w:p w14:paraId="750BFD23" w14:textId="77777777" w:rsidR="00A75C0F" w:rsidRPr="008A26D2" w:rsidRDefault="00A75C0F" w:rsidP="00AF5836">
            <w:pPr>
              <w:jc w:val="both"/>
              <w:rPr>
                <w:rFonts w:ascii="Arial" w:eastAsia="Times New Roman" w:hAnsi="Arial" w:cs="Arial"/>
                <w:sz w:val="20"/>
                <w:szCs w:val="20"/>
                <w:lang w:val="es-ES"/>
              </w:rPr>
            </w:pPr>
            <w:r w:rsidRPr="008A26D2">
              <w:rPr>
                <w:rFonts w:ascii="Arial" w:eastAsia="Times New Roman" w:hAnsi="Arial" w:cs="Arial"/>
                <w:sz w:val="20"/>
                <w:szCs w:val="20"/>
                <w:lang w:val="es-ES"/>
              </w:rPr>
              <w:t xml:space="preserve">El indicador se calculará a partir de los resultados de la aplicación de las encuestas o entrevistas donde se pueda registrar el grado de satisfacción de los </w:t>
            </w:r>
            <w:r w:rsidRPr="008A26D2">
              <w:rPr>
                <w:rFonts w:ascii="Arial" w:eastAsia="Arial Narrow" w:hAnsi="Arial" w:cs="Arial"/>
                <w:sz w:val="20"/>
                <w:szCs w:val="20"/>
              </w:rPr>
              <w:t>servidores de las Autoridades Regionales Forestales y de Fauna Silvestre</w:t>
            </w:r>
            <w:r w:rsidRPr="008A26D2">
              <w:rPr>
                <w:rFonts w:ascii="Arial" w:eastAsia="Times New Roman" w:hAnsi="Arial" w:cs="Arial"/>
                <w:sz w:val="20"/>
                <w:szCs w:val="20"/>
                <w:lang w:val="es-ES"/>
              </w:rPr>
              <w:t>, identificando aquellos aspectos del servicio que se pueden mejorar y satisfacer al receptor.</w:t>
            </w:r>
          </w:p>
          <w:p w14:paraId="67FB1422" w14:textId="77777777" w:rsidR="00A75C0F" w:rsidRPr="008A26D2" w:rsidRDefault="00A75C0F" w:rsidP="00AF5836">
            <w:pPr>
              <w:jc w:val="both"/>
              <w:rPr>
                <w:rFonts w:ascii="Arial" w:hAnsi="Arial" w:cs="Arial"/>
                <w:bCs/>
                <w:sz w:val="20"/>
                <w:szCs w:val="20"/>
              </w:rPr>
            </w:pPr>
            <w:r w:rsidRPr="008A26D2">
              <w:rPr>
                <w:rFonts w:ascii="Arial" w:hAnsi="Arial" w:cs="Arial"/>
                <w:bCs/>
                <w:sz w:val="20"/>
                <w:szCs w:val="20"/>
              </w:rPr>
              <w:t>Para evaluar el grado de satisfacción se considerará los alcances metodológicos señalados en el Protocolo de Capacitación y Asistencia Técnica del SERFOR.</w:t>
            </w:r>
          </w:p>
          <w:p w14:paraId="0D3A1020" w14:textId="77777777" w:rsidR="00A75C0F" w:rsidRPr="008A26D2" w:rsidRDefault="00A75C0F" w:rsidP="00AF5836">
            <w:pPr>
              <w:spacing w:after="0" w:line="240" w:lineRule="auto"/>
              <w:jc w:val="both"/>
              <w:rPr>
                <w:rFonts w:ascii="Arial" w:hAnsi="Arial" w:cs="Arial"/>
                <w:sz w:val="20"/>
                <w:szCs w:val="20"/>
              </w:rPr>
            </w:pPr>
            <w:r w:rsidRPr="008A26D2">
              <w:rPr>
                <w:rFonts w:ascii="Arial" w:eastAsia="Arial Narrow" w:hAnsi="Arial" w:cs="Arial"/>
                <w:sz w:val="20"/>
                <w:szCs w:val="20"/>
              </w:rPr>
              <w:t>Se carece de línea base debido a que el servicio es nuevo, por ese motivo el SERFOR determinará la línea base antes del inicio de la implementación de la presente Política Nacional.</w:t>
            </w:r>
          </w:p>
          <w:p w14:paraId="07894F8E" w14:textId="77777777" w:rsidR="00A75C0F" w:rsidRPr="008A26D2" w:rsidRDefault="00A75C0F" w:rsidP="00AF5836">
            <w:pPr>
              <w:spacing w:after="0" w:line="240" w:lineRule="auto"/>
              <w:jc w:val="both"/>
              <w:rPr>
                <w:rFonts w:ascii="Arial" w:eastAsia="Arial Narrow" w:hAnsi="Arial" w:cs="Arial"/>
                <w:sz w:val="20"/>
                <w:szCs w:val="20"/>
              </w:rPr>
            </w:pPr>
          </w:p>
          <w:p w14:paraId="3C1655A2" w14:textId="77777777" w:rsidR="00A75C0F" w:rsidRPr="008A26D2" w:rsidRDefault="00A75C0F" w:rsidP="00AF5836">
            <w:pPr>
              <w:spacing w:after="0" w:line="240" w:lineRule="auto"/>
              <w:jc w:val="both"/>
              <w:rPr>
                <w:rFonts w:ascii="Arial" w:hAnsi="Arial" w:cs="Arial"/>
                <w:sz w:val="20"/>
                <w:szCs w:val="20"/>
              </w:rPr>
            </w:pPr>
            <w:r w:rsidRPr="008A26D2">
              <w:rPr>
                <w:rFonts w:ascii="Arial" w:eastAsia="Arial Narrow" w:hAnsi="Arial" w:cs="Arial"/>
                <w:sz w:val="20"/>
                <w:szCs w:val="20"/>
              </w:rPr>
              <w:t>Las Autoridades Regionales Forestales y de Fauna Silvestre comprenden a las Administraciones Técnicas Forestales y de Fauna Silvestre y los gobiernos regionales con funciones transferidas en materia forestal y de fauna silvestre.</w:t>
            </w:r>
          </w:p>
        </w:tc>
      </w:tr>
      <w:tr w:rsidR="00A75C0F" w:rsidRPr="008A26D2" w14:paraId="3E5AD690" w14:textId="77777777" w:rsidTr="00AF5836">
        <w:trPr>
          <w:trHeight w:val="686"/>
        </w:trPr>
        <w:tc>
          <w:tcPr>
            <w:tcW w:w="2268" w:type="dxa"/>
            <w:gridSpan w:val="2"/>
            <w:shd w:val="clear" w:color="auto" w:fill="auto"/>
            <w:tcMar>
              <w:top w:w="10" w:type="dxa"/>
              <w:left w:w="93" w:type="dxa"/>
              <w:bottom w:w="0" w:type="dxa"/>
              <w:right w:w="10" w:type="dxa"/>
            </w:tcMar>
            <w:vAlign w:val="center"/>
          </w:tcPr>
          <w:p w14:paraId="0E466524"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lastRenderedPageBreak/>
              <w:t>Sentido esperado del indicador:</w:t>
            </w:r>
          </w:p>
        </w:tc>
        <w:tc>
          <w:tcPr>
            <w:tcW w:w="1985" w:type="dxa"/>
            <w:gridSpan w:val="3"/>
            <w:shd w:val="clear" w:color="auto" w:fill="auto"/>
            <w:tcMar>
              <w:top w:w="10" w:type="dxa"/>
              <w:left w:w="283" w:type="dxa"/>
              <w:bottom w:w="0" w:type="dxa"/>
              <w:right w:w="283" w:type="dxa"/>
            </w:tcMar>
            <w:vAlign w:val="center"/>
          </w:tcPr>
          <w:p w14:paraId="3DA2D984" w14:textId="77777777" w:rsidR="00A75C0F" w:rsidRPr="008A26D2" w:rsidRDefault="00A75C0F" w:rsidP="00AF5836">
            <w:pPr>
              <w:tabs>
                <w:tab w:val="left" w:pos="3375"/>
              </w:tabs>
              <w:rPr>
                <w:rFonts w:ascii="Arial" w:hAnsi="Arial" w:cs="Arial"/>
                <w:sz w:val="20"/>
                <w:szCs w:val="20"/>
              </w:rPr>
            </w:pPr>
            <w:r w:rsidRPr="008A26D2">
              <w:rPr>
                <w:rFonts w:ascii="Arial" w:eastAsia="Arial Narrow" w:hAnsi="Arial" w:cs="Arial"/>
                <w:sz w:val="20"/>
                <w:szCs w:val="20"/>
              </w:rPr>
              <w:t>Ascendente</w:t>
            </w:r>
          </w:p>
        </w:tc>
        <w:tc>
          <w:tcPr>
            <w:tcW w:w="2424" w:type="dxa"/>
            <w:gridSpan w:val="5"/>
            <w:shd w:val="clear" w:color="auto" w:fill="auto"/>
            <w:tcMar>
              <w:top w:w="15" w:type="dxa"/>
              <w:left w:w="15" w:type="dxa"/>
              <w:bottom w:w="0" w:type="dxa"/>
              <w:right w:w="15" w:type="dxa"/>
            </w:tcMar>
            <w:vAlign w:val="center"/>
          </w:tcPr>
          <w:p w14:paraId="2B7F62B7" w14:textId="77777777" w:rsidR="00A75C0F" w:rsidRPr="008A26D2" w:rsidRDefault="00A75C0F" w:rsidP="00AF5836">
            <w:pPr>
              <w:tabs>
                <w:tab w:val="left" w:pos="3375"/>
              </w:tabs>
              <w:jc w:val="center"/>
              <w:rPr>
                <w:rFonts w:ascii="Arial" w:hAnsi="Arial" w:cs="Arial"/>
                <w:sz w:val="20"/>
                <w:szCs w:val="20"/>
              </w:rPr>
            </w:pPr>
            <w:r w:rsidRPr="008A26D2">
              <w:rPr>
                <w:rFonts w:ascii="Arial" w:eastAsia="Arial Narrow" w:hAnsi="Arial" w:cs="Arial"/>
                <w:b/>
                <w:sz w:val="20"/>
                <w:szCs w:val="20"/>
              </w:rPr>
              <w:t>Tipo de Indicador de Servicio</w:t>
            </w:r>
          </w:p>
        </w:tc>
        <w:tc>
          <w:tcPr>
            <w:tcW w:w="1403" w:type="dxa"/>
            <w:gridSpan w:val="2"/>
            <w:shd w:val="clear" w:color="auto" w:fill="auto"/>
            <w:tcMar>
              <w:top w:w="15" w:type="dxa"/>
              <w:left w:w="15" w:type="dxa"/>
              <w:bottom w:w="0" w:type="dxa"/>
              <w:right w:w="15" w:type="dxa"/>
            </w:tcMar>
            <w:vAlign w:val="center"/>
          </w:tcPr>
          <w:p w14:paraId="50FABE14"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sz w:val="20"/>
                <w:szCs w:val="20"/>
              </w:rPr>
              <w:t>Calidad - Percepción</w:t>
            </w:r>
          </w:p>
        </w:tc>
      </w:tr>
      <w:tr w:rsidR="00A75C0F" w:rsidRPr="008A26D2" w14:paraId="1D8868AD" w14:textId="77777777" w:rsidTr="00AF5836">
        <w:trPr>
          <w:trHeight w:val="13"/>
        </w:trPr>
        <w:tc>
          <w:tcPr>
            <w:tcW w:w="2268" w:type="dxa"/>
            <w:gridSpan w:val="2"/>
            <w:shd w:val="clear" w:color="auto" w:fill="auto"/>
            <w:tcMar>
              <w:top w:w="10" w:type="dxa"/>
              <w:left w:w="93" w:type="dxa"/>
              <w:bottom w:w="0" w:type="dxa"/>
              <w:right w:w="10" w:type="dxa"/>
            </w:tcMar>
            <w:vAlign w:val="center"/>
          </w:tcPr>
          <w:p w14:paraId="3DE62F39"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Fuente y base de datos:</w:t>
            </w:r>
          </w:p>
        </w:tc>
        <w:tc>
          <w:tcPr>
            <w:tcW w:w="5812" w:type="dxa"/>
            <w:gridSpan w:val="10"/>
            <w:shd w:val="clear" w:color="auto" w:fill="auto"/>
            <w:tcMar>
              <w:top w:w="51" w:type="dxa"/>
              <w:left w:w="227" w:type="dxa"/>
              <w:bottom w:w="51" w:type="dxa"/>
              <w:right w:w="227" w:type="dxa"/>
            </w:tcMar>
            <w:vAlign w:val="center"/>
          </w:tcPr>
          <w:p w14:paraId="42AE808A" w14:textId="6ED239B0" w:rsidR="00A75C0F" w:rsidRDefault="00A75C0F" w:rsidP="00AF5836">
            <w:pPr>
              <w:tabs>
                <w:tab w:val="left" w:pos="3375"/>
              </w:tabs>
              <w:rPr>
                <w:rFonts w:ascii="Arial" w:eastAsia="Arial Narrow" w:hAnsi="Arial" w:cs="Arial"/>
                <w:sz w:val="20"/>
                <w:szCs w:val="20"/>
              </w:rPr>
            </w:pPr>
            <w:r w:rsidRPr="008A26D2">
              <w:rPr>
                <w:rFonts w:ascii="Arial" w:eastAsia="Arial Narrow" w:hAnsi="Arial" w:cs="Arial"/>
                <w:sz w:val="20"/>
                <w:szCs w:val="20"/>
              </w:rPr>
              <w:t xml:space="preserve">Fuente: Dirección de Fortalecimiento de Capacidades del </w:t>
            </w:r>
            <w:r>
              <w:rPr>
                <w:rFonts w:ascii="Arial" w:eastAsia="Arial Narrow" w:hAnsi="Arial" w:cs="Arial"/>
                <w:sz w:val="20"/>
                <w:szCs w:val="20"/>
              </w:rPr>
              <w:t xml:space="preserve">Servicio Nacional Forestal y de Fauna Silvestre – </w:t>
            </w:r>
            <w:r w:rsidRPr="008A26D2">
              <w:rPr>
                <w:rFonts w:ascii="Arial" w:eastAsia="Arial Narrow" w:hAnsi="Arial" w:cs="Arial"/>
                <w:sz w:val="20"/>
                <w:szCs w:val="20"/>
              </w:rPr>
              <w:t>SERFOR</w:t>
            </w:r>
            <w:r>
              <w:rPr>
                <w:rFonts w:ascii="Arial" w:eastAsia="Arial Narrow" w:hAnsi="Arial" w:cs="Arial"/>
                <w:sz w:val="20"/>
                <w:szCs w:val="20"/>
              </w:rPr>
              <w:t>.</w:t>
            </w:r>
          </w:p>
          <w:p w14:paraId="3B85F803" w14:textId="0B76BDDA" w:rsidR="00A75C0F" w:rsidRPr="008A26D2" w:rsidRDefault="00A75C0F" w:rsidP="00B36209">
            <w:pPr>
              <w:tabs>
                <w:tab w:val="left" w:pos="3375"/>
              </w:tabs>
              <w:jc w:val="both"/>
              <w:rPr>
                <w:rFonts w:ascii="Arial" w:hAnsi="Arial" w:cs="Arial"/>
                <w:sz w:val="20"/>
                <w:szCs w:val="20"/>
              </w:rPr>
            </w:pPr>
            <w:r w:rsidRPr="008A26D2">
              <w:rPr>
                <w:rFonts w:ascii="Arial" w:eastAsia="Arial Narrow" w:hAnsi="Arial" w:cs="Arial"/>
                <w:sz w:val="20"/>
                <w:szCs w:val="20"/>
              </w:rPr>
              <w:t>Base de datos: Reporte de la Dirección de Fortalecimiento de Capacidades y de las Administraciones Técnicas Forestales y de Fauna Silvestre</w:t>
            </w:r>
            <w:r>
              <w:rPr>
                <w:rFonts w:ascii="Arial" w:eastAsia="Arial Narrow" w:hAnsi="Arial" w:cs="Arial"/>
                <w:sz w:val="20"/>
                <w:szCs w:val="20"/>
              </w:rPr>
              <w:t>.</w:t>
            </w:r>
            <w:r w:rsidRPr="008A26D2">
              <w:rPr>
                <w:rFonts w:ascii="Arial" w:eastAsia="Arial Narrow" w:hAnsi="Arial" w:cs="Arial"/>
                <w:sz w:val="20"/>
                <w:szCs w:val="20"/>
              </w:rPr>
              <w:t xml:space="preserve"> </w:t>
            </w:r>
          </w:p>
        </w:tc>
      </w:tr>
      <w:tr w:rsidR="00A75C0F" w:rsidRPr="008A26D2" w14:paraId="75C2CE62" w14:textId="77777777" w:rsidTr="00AF5836">
        <w:trPr>
          <w:trHeight w:val="436"/>
        </w:trPr>
        <w:tc>
          <w:tcPr>
            <w:tcW w:w="2268" w:type="dxa"/>
            <w:gridSpan w:val="2"/>
            <w:shd w:val="clear" w:color="auto" w:fill="auto"/>
            <w:tcMar>
              <w:top w:w="10" w:type="dxa"/>
              <w:left w:w="93" w:type="dxa"/>
              <w:bottom w:w="0" w:type="dxa"/>
              <w:right w:w="10" w:type="dxa"/>
            </w:tcMar>
            <w:vAlign w:val="center"/>
          </w:tcPr>
          <w:p w14:paraId="152489AB"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Supuestos:</w:t>
            </w:r>
          </w:p>
        </w:tc>
        <w:tc>
          <w:tcPr>
            <w:tcW w:w="5812" w:type="dxa"/>
            <w:gridSpan w:val="10"/>
            <w:shd w:val="clear" w:color="auto" w:fill="auto"/>
            <w:tcMar>
              <w:top w:w="51" w:type="dxa"/>
              <w:left w:w="227" w:type="dxa"/>
              <w:bottom w:w="51" w:type="dxa"/>
              <w:right w:w="227" w:type="dxa"/>
            </w:tcMar>
            <w:vAlign w:val="center"/>
          </w:tcPr>
          <w:p w14:paraId="35C23046" w14:textId="77777777" w:rsidR="00A75C0F" w:rsidRPr="008A26D2" w:rsidRDefault="00A75C0F" w:rsidP="00AF5836">
            <w:pPr>
              <w:tabs>
                <w:tab w:val="left" w:pos="3375"/>
              </w:tabs>
              <w:rPr>
                <w:rFonts w:ascii="Arial" w:hAnsi="Arial" w:cs="Arial"/>
                <w:sz w:val="20"/>
                <w:szCs w:val="20"/>
              </w:rPr>
            </w:pPr>
            <w:r w:rsidRPr="008A26D2">
              <w:rPr>
                <w:rFonts w:ascii="Arial" w:hAnsi="Arial" w:cs="Arial"/>
                <w:sz w:val="20"/>
                <w:szCs w:val="20"/>
              </w:rPr>
              <w:t xml:space="preserve">Disposición de las </w:t>
            </w:r>
            <w:r w:rsidRPr="008A26D2">
              <w:rPr>
                <w:rFonts w:ascii="Arial" w:eastAsia="Arial Narrow" w:hAnsi="Arial" w:cs="Arial"/>
                <w:sz w:val="20"/>
                <w:szCs w:val="20"/>
              </w:rPr>
              <w:t>Autoridades Regionales Forestales y de Fauna Silvestre para recibir las capacitaciones</w:t>
            </w:r>
          </w:p>
        </w:tc>
      </w:tr>
      <w:tr w:rsidR="00A75C0F" w:rsidRPr="008A26D2" w14:paraId="099C16FB" w14:textId="77777777" w:rsidTr="00AF5836">
        <w:trPr>
          <w:trHeight w:val="556"/>
        </w:trPr>
        <w:tc>
          <w:tcPr>
            <w:tcW w:w="1276" w:type="dxa"/>
            <w:shd w:val="clear" w:color="auto" w:fill="auto"/>
            <w:tcMar>
              <w:top w:w="10" w:type="dxa"/>
              <w:left w:w="10" w:type="dxa"/>
              <w:bottom w:w="0" w:type="dxa"/>
              <w:right w:w="10" w:type="dxa"/>
            </w:tcMar>
            <w:vAlign w:val="center"/>
          </w:tcPr>
          <w:p w14:paraId="4D748774"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 </w:t>
            </w:r>
          </w:p>
        </w:tc>
        <w:tc>
          <w:tcPr>
            <w:tcW w:w="992" w:type="dxa"/>
            <w:shd w:val="clear" w:color="auto" w:fill="auto"/>
            <w:tcMar>
              <w:top w:w="10" w:type="dxa"/>
              <w:left w:w="10" w:type="dxa"/>
              <w:bottom w:w="0" w:type="dxa"/>
              <w:right w:w="10" w:type="dxa"/>
            </w:tcMar>
            <w:vAlign w:val="center"/>
          </w:tcPr>
          <w:p w14:paraId="0A7D3EBE" w14:textId="77777777" w:rsidR="00A75C0F" w:rsidRPr="008A26D2" w:rsidRDefault="00A75C0F" w:rsidP="00B36209">
            <w:pPr>
              <w:tabs>
                <w:tab w:val="left" w:pos="3375"/>
              </w:tabs>
              <w:jc w:val="center"/>
              <w:rPr>
                <w:rFonts w:ascii="Arial" w:hAnsi="Arial" w:cs="Arial"/>
                <w:sz w:val="20"/>
                <w:szCs w:val="20"/>
              </w:rPr>
            </w:pPr>
            <w:r w:rsidRPr="008A26D2">
              <w:rPr>
                <w:rFonts w:ascii="Arial" w:hAnsi="Arial" w:cs="Arial"/>
                <w:b/>
                <w:sz w:val="20"/>
                <w:szCs w:val="20"/>
              </w:rPr>
              <w:t>Línea de base</w:t>
            </w:r>
          </w:p>
        </w:tc>
        <w:tc>
          <w:tcPr>
            <w:tcW w:w="5812" w:type="dxa"/>
            <w:gridSpan w:val="10"/>
            <w:shd w:val="clear" w:color="auto" w:fill="auto"/>
            <w:tcMar>
              <w:top w:w="10" w:type="dxa"/>
              <w:left w:w="10" w:type="dxa"/>
              <w:bottom w:w="0" w:type="dxa"/>
              <w:right w:w="10" w:type="dxa"/>
            </w:tcMar>
            <w:vAlign w:val="center"/>
          </w:tcPr>
          <w:p w14:paraId="01DCAB16"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b/>
                <w:sz w:val="20"/>
                <w:szCs w:val="20"/>
              </w:rPr>
              <w:t>Logros esperados</w:t>
            </w:r>
          </w:p>
        </w:tc>
      </w:tr>
      <w:tr w:rsidR="00A75C0F" w:rsidRPr="008A26D2" w14:paraId="0CB795B3" w14:textId="77777777" w:rsidTr="00AF5836">
        <w:trPr>
          <w:trHeight w:val="217"/>
        </w:trPr>
        <w:tc>
          <w:tcPr>
            <w:tcW w:w="1276" w:type="dxa"/>
            <w:shd w:val="clear" w:color="auto" w:fill="auto"/>
            <w:tcMar>
              <w:top w:w="10" w:type="dxa"/>
              <w:left w:w="10" w:type="dxa"/>
              <w:bottom w:w="0" w:type="dxa"/>
              <w:right w:w="10" w:type="dxa"/>
            </w:tcMar>
            <w:vAlign w:val="center"/>
          </w:tcPr>
          <w:p w14:paraId="442A4033"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Año</w:t>
            </w:r>
          </w:p>
        </w:tc>
        <w:tc>
          <w:tcPr>
            <w:tcW w:w="992" w:type="dxa"/>
            <w:shd w:val="clear" w:color="auto" w:fill="auto"/>
            <w:tcMar>
              <w:top w:w="10" w:type="dxa"/>
              <w:left w:w="10" w:type="dxa"/>
              <w:bottom w:w="0" w:type="dxa"/>
              <w:right w:w="10" w:type="dxa"/>
            </w:tcMar>
            <w:vAlign w:val="center"/>
          </w:tcPr>
          <w:p w14:paraId="23EDCB06"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2022</w:t>
            </w:r>
          </w:p>
        </w:tc>
        <w:tc>
          <w:tcPr>
            <w:tcW w:w="851" w:type="dxa"/>
            <w:shd w:val="clear" w:color="auto" w:fill="auto"/>
            <w:tcMar>
              <w:top w:w="10" w:type="dxa"/>
              <w:left w:w="10" w:type="dxa"/>
              <w:bottom w:w="0" w:type="dxa"/>
              <w:right w:w="10" w:type="dxa"/>
            </w:tcMar>
            <w:vAlign w:val="center"/>
          </w:tcPr>
          <w:p w14:paraId="74925BF3"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2023</w:t>
            </w:r>
          </w:p>
        </w:tc>
        <w:tc>
          <w:tcPr>
            <w:tcW w:w="708" w:type="dxa"/>
            <w:shd w:val="clear" w:color="auto" w:fill="auto"/>
            <w:vAlign w:val="center"/>
          </w:tcPr>
          <w:p w14:paraId="2DDE7104"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2024</w:t>
            </w:r>
          </w:p>
        </w:tc>
        <w:tc>
          <w:tcPr>
            <w:tcW w:w="709" w:type="dxa"/>
            <w:gridSpan w:val="2"/>
            <w:shd w:val="clear" w:color="auto" w:fill="auto"/>
            <w:vAlign w:val="center"/>
          </w:tcPr>
          <w:p w14:paraId="49A2641E"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2025</w:t>
            </w:r>
          </w:p>
        </w:tc>
        <w:tc>
          <w:tcPr>
            <w:tcW w:w="709" w:type="dxa"/>
            <w:shd w:val="clear" w:color="auto" w:fill="auto"/>
            <w:vAlign w:val="center"/>
          </w:tcPr>
          <w:p w14:paraId="75E7BF8B"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2026</w:t>
            </w:r>
          </w:p>
        </w:tc>
        <w:tc>
          <w:tcPr>
            <w:tcW w:w="709" w:type="dxa"/>
            <w:shd w:val="clear" w:color="auto" w:fill="auto"/>
            <w:vAlign w:val="center"/>
          </w:tcPr>
          <w:p w14:paraId="56AC1FDF"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2027</w:t>
            </w:r>
          </w:p>
        </w:tc>
        <w:tc>
          <w:tcPr>
            <w:tcW w:w="708" w:type="dxa"/>
            <w:shd w:val="clear" w:color="auto" w:fill="auto"/>
            <w:vAlign w:val="center"/>
          </w:tcPr>
          <w:p w14:paraId="244F88E7"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2028</w:t>
            </w:r>
          </w:p>
        </w:tc>
        <w:tc>
          <w:tcPr>
            <w:tcW w:w="709" w:type="dxa"/>
            <w:gridSpan w:val="2"/>
            <w:shd w:val="clear" w:color="auto" w:fill="auto"/>
            <w:vAlign w:val="center"/>
          </w:tcPr>
          <w:p w14:paraId="1A43C60F"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2029</w:t>
            </w:r>
          </w:p>
        </w:tc>
        <w:tc>
          <w:tcPr>
            <w:tcW w:w="709" w:type="dxa"/>
            <w:shd w:val="clear" w:color="auto" w:fill="auto"/>
            <w:tcMar>
              <w:top w:w="10" w:type="dxa"/>
              <w:left w:w="10" w:type="dxa"/>
              <w:bottom w:w="0" w:type="dxa"/>
              <w:right w:w="10" w:type="dxa"/>
            </w:tcMar>
            <w:vAlign w:val="center"/>
          </w:tcPr>
          <w:p w14:paraId="3511F382"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2030</w:t>
            </w:r>
          </w:p>
        </w:tc>
      </w:tr>
      <w:tr w:rsidR="00A75C0F" w:rsidRPr="008A26D2" w14:paraId="711954D6" w14:textId="77777777" w:rsidTr="00AF5836">
        <w:trPr>
          <w:trHeight w:val="81"/>
        </w:trPr>
        <w:tc>
          <w:tcPr>
            <w:tcW w:w="1276" w:type="dxa"/>
            <w:shd w:val="clear" w:color="auto" w:fill="auto"/>
            <w:tcMar>
              <w:top w:w="10" w:type="dxa"/>
              <w:left w:w="10" w:type="dxa"/>
              <w:bottom w:w="0" w:type="dxa"/>
              <w:right w:w="10" w:type="dxa"/>
            </w:tcMar>
            <w:vAlign w:val="center"/>
          </w:tcPr>
          <w:p w14:paraId="79F6B4D6"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Valor</w:t>
            </w:r>
          </w:p>
        </w:tc>
        <w:tc>
          <w:tcPr>
            <w:tcW w:w="992" w:type="dxa"/>
            <w:shd w:val="clear" w:color="auto" w:fill="auto"/>
            <w:tcMar>
              <w:top w:w="10" w:type="dxa"/>
              <w:left w:w="10" w:type="dxa"/>
              <w:bottom w:w="0" w:type="dxa"/>
              <w:right w:w="10" w:type="dxa"/>
            </w:tcMar>
            <w:vAlign w:val="center"/>
          </w:tcPr>
          <w:p w14:paraId="08847A85" w14:textId="77777777" w:rsidR="00A75C0F" w:rsidRPr="008A26D2" w:rsidRDefault="00A75C0F" w:rsidP="00AF5836">
            <w:pPr>
              <w:tabs>
                <w:tab w:val="left" w:pos="3375"/>
              </w:tabs>
              <w:jc w:val="center"/>
              <w:rPr>
                <w:rFonts w:ascii="Arial" w:hAnsi="Arial" w:cs="Arial"/>
                <w:sz w:val="20"/>
                <w:szCs w:val="20"/>
              </w:rPr>
            </w:pPr>
            <w:r w:rsidRPr="00B36209">
              <w:rPr>
                <w:rFonts w:ascii="Arial" w:hAnsi="Arial" w:cs="Arial"/>
                <w:sz w:val="20"/>
                <w:szCs w:val="20"/>
              </w:rPr>
              <w:t>ND</w:t>
            </w:r>
          </w:p>
        </w:tc>
        <w:tc>
          <w:tcPr>
            <w:tcW w:w="851" w:type="dxa"/>
            <w:shd w:val="clear" w:color="auto" w:fill="auto"/>
            <w:tcMar>
              <w:top w:w="10" w:type="dxa"/>
              <w:left w:w="10" w:type="dxa"/>
              <w:bottom w:w="0" w:type="dxa"/>
              <w:right w:w="10" w:type="dxa"/>
            </w:tcMar>
            <w:vAlign w:val="bottom"/>
          </w:tcPr>
          <w:p w14:paraId="5D5CEEB2"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sz w:val="20"/>
                <w:szCs w:val="20"/>
              </w:rPr>
              <w:t>60%</w:t>
            </w:r>
          </w:p>
        </w:tc>
        <w:tc>
          <w:tcPr>
            <w:tcW w:w="708" w:type="dxa"/>
            <w:shd w:val="clear" w:color="auto" w:fill="auto"/>
            <w:vAlign w:val="bottom"/>
          </w:tcPr>
          <w:p w14:paraId="513E0D36" w14:textId="77777777" w:rsidR="00A75C0F" w:rsidRPr="008A26D2" w:rsidRDefault="00A75C0F" w:rsidP="00AF5836">
            <w:pPr>
              <w:tabs>
                <w:tab w:val="left" w:pos="3375"/>
              </w:tabs>
              <w:jc w:val="center"/>
              <w:rPr>
                <w:rFonts w:ascii="Arial" w:hAnsi="Arial" w:cs="Arial"/>
                <w:sz w:val="20"/>
                <w:szCs w:val="20"/>
              </w:rPr>
            </w:pPr>
            <w:r w:rsidRPr="008A26D2">
              <w:rPr>
                <w:rFonts w:ascii="Arial" w:eastAsia="Arial Narrow" w:hAnsi="Arial" w:cs="Arial"/>
                <w:sz w:val="20"/>
                <w:szCs w:val="20"/>
              </w:rPr>
              <w:t>70%</w:t>
            </w:r>
          </w:p>
        </w:tc>
        <w:tc>
          <w:tcPr>
            <w:tcW w:w="709" w:type="dxa"/>
            <w:gridSpan w:val="2"/>
            <w:shd w:val="clear" w:color="auto" w:fill="auto"/>
            <w:vAlign w:val="bottom"/>
          </w:tcPr>
          <w:p w14:paraId="548DB5B2" w14:textId="77777777" w:rsidR="00A75C0F" w:rsidRPr="008A26D2" w:rsidRDefault="00A75C0F" w:rsidP="00AF5836">
            <w:pPr>
              <w:tabs>
                <w:tab w:val="left" w:pos="3375"/>
              </w:tabs>
              <w:jc w:val="center"/>
              <w:rPr>
                <w:rFonts w:ascii="Arial" w:hAnsi="Arial" w:cs="Arial"/>
                <w:sz w:val="20"/>
                <w:szCs w:val="20"/>
              </w:rPr>
            </w:pPr>
            <w:r w:rsidRPr="008A26D2">
              <w:rPr>
                <w:rFonts w:ascii="Arial" w:eastAsia="Arial Narrow" w:hAnsi="Arial" w:cs="Arial"/>
                <w:sz w:val="20"/>
                <w:szCs w:val="20"/>
              </w:rPr>
              <w:t>70%</w:t>
            </w:r>
          </w:p>
        </w:tc>
        <w:tc>
          <w:tcPr>
            <w:tcW w:w="709" w:type="dxa"/>
            <w:shd w:val="clear" w:color="auto" w:fill="auto"/>
            <w:vAlign w:val="bottom"/>
          </w:tcPr>
          <w:p w14:paraId="5B8048C7" w14:textId="77777777" w:rsidR="00A75C0F" w:rsidRPr="008A26D2" w:rsidRDefault="00A75C0F" w:rsidP="00AF5836">
            <w:pPr>
              <w:tabs>
                <w:tab w:val="left" w:pos="3375"/>
              </w:tabs>
              <w:jc w:val="center"/>
              <w:rPr>
                <w:rFonts w:ascii="Arial" w:hAnsi="Arial" w:cs="Arial"/>
                <w:sz w:val="20"/>
                <w:szCs w:val="20"/>
              </w:rPr>
            </w:pPr>
            <w:r w:rsidRPr="008A26D2">
              <w:rPr>
                <w:rFonts w:ascii="Arial" w:eastAsia="Arial Narrow" w:hAnsi="Arial" w:cs="Arial"/>
                <w:sz w:val="20"/>
                <w:szCs w:val="20"/>
              </w:rPr>
              <w:t>80%</w:t>
            </w:r>
          </w:p>
        </w:tc>
        <w:tc>
          <w:tcPr>
            <w:tcW w:w="709" w:type="dxa"/>
            <w:shd w:val="clear" w:color="auto" w:fill="auto"/>
            <w:vAlign w:val="bottom"/>
          </w:tcPr>
          <w:p w14:paraId="6374CF56" w14:textId="77777777" w:rsidR="00A75C0F" w:rsidRPr="008A26D2" w:rsidRDefault="00A75C0F" w:rsidP="00AF5836">
            <w:pPr>
              <w:tabs>
                <w:tab w:val="left" w:pos="3375"/>
              </w:tabs>
              <w:jc w:val="center"/>
              <w:rPr>
                <w:rFonts w:ascii="Arial" w:hAnsi="Arial" w:cs="Arial"/>
                <w:sz w:val="20"/>
                <w:szCs w:val="20"/>
              </w:rPr>
            </w:pPr>
            <w:r w:rsidRPr="008A26D2">
              <w:rPr>
                <w:rFonts w:ascii="Arial" w:eastAsia="Arial Narrow" w:hAnsi="Arial" w:cs="Arial"/>
                <w:sz w:val="20"/>
                <w:szCs w:val="20"/>
              </w:rPr>
              <w:t>85%</w:t>
            </w:r>
          </w:p>
        </w:tc>
        <w:tc>
          <w:tcPr>
            <w:tcW w:w="708" w:type="dxa"/>
            <w:shd w:val="clear" w:color="auto" w:fill="auto"/>
          </w:tcPr>
          <w:p w14:paraId="1342F64E" w14:textId="77777777" w:rsidR="00A75C0F" w:rsidRPr="008A26D2" w:rsidRDefault="00A75C0F" w:rsidP="00AF5836">
            <w:pPr>
              <w:tabs>
                <w:tab w:val="left" w:pos="3375"/>
              </w:tabs>
              <w:jc w:val="center"/>
              <w:rPr>
                <w:rFonts w:ascii="Arial" w:hAnsi="Arial" w:cs="Arial"/>
                <w:sz w:val="20"/>
                <w:szCs w:val="20"/>
              </w:rPr>
            </w:pPr>
            <w:r w:rsidRPr="008A26D2">
              <w:rPr>
                <w:rFonts w:ascii="Arial" w:eastAsia="Arial Narrow" w:hAnsi="Arial" w:cs="Arial"/>
                <w:sz w:val="20"/>
                <w:szCs w:val="20"/>
              </w:rPr>
              <w:t>85%</w:t>
            </w:r>
          </w:p>
        </w:tc>
        <w:tc>
          <w:tcPr>
            <w:tcW w:w="709" w:type="dxa"/>
            <w:gridSpan w:val="2"/>
            <w:shd w:val="clear" w:color="auto" w:fill="auto"/>
          </w:tcPr>
          <w:p w14:paraId="0AEFBC92" w14:textId="77777777" w:rsidR="00A75C0F" w:rsidRPr="008A26D2" w:rsidRDefault="00A75C0F" w:rsidP="00AF5836">
            <w:pPr>
              <w:tabs>
                <w:tab w:val="left" w:pos="3375"/>
              </w:tabs>
              <w:jc w:val="center"/>
              <w:rPr>
                <w:rFonts w:ascii="Arial" w:hAnsi="Arial" w:cs="Arial"/>
                <w:sz w:val="20"/>
                <w:szCs w:val="20"/>
              </w:rPr>
            </w:pPr>
            <w:r w:rsidRPr="008A26D2">
              <w:rPr>
                <w:rFonts w:ascii="Arial" w:eastAsia="Arial Narrow" w:hAnsi="Arial" w:cs="Arial"/>
                <w:sz w:val="20"/>
                <w:szCs w:val="20"/>
              </w:rPr>
              <w:t>85%</w:t>
            </w:r>
          </w:p>
        </w:tc>
        <w:tc>
          <w:tcPr>
            <w:tcW w:w="709" w:type="dxa"/>
            <w:shd w:val="clear" w:color="auto" w:fill="auto"/>
            <w:tcMar>
              <w:top w:w="10" w:type="dxa"/>
              <w:left w:w="10" w:type="dxa"/>
              <w:bottom w:w="0" w:type="dxa"/>
              <w:right w:w="10" w:type="dxa"/>
            </w:tcMar>
          </w:tcPr>
          <w:p w14:paraId="2A21E34A" w14:textId="77777777" w:rsidR="00A75C0F" w:rsidRPr="008A26D2" w:rsidRDefault="00A75C0F" w:rsidP="00AF5836">
            <w:pPr>
              <w:tabs>
                <w:tab w:val="left" w:pos="3375"/>
              </w:tabs>
              <w:jc w:val="center"/>
              <w:rPr>
                <w:rFonts w:ascii="Arial" w:hAnsi="Arial" w:cs="Arial"/>
                <w:sz w:val="20"/>
                <w:szCs w:val="20"/>
              </w:rPr>
            </w:pPr>
            <w:r w:rsidRPr="008A26D2">
              <w:rPr>
                <w:rFonts w:ascii="Arial" w:eastAsia="Arial Narrow" w:hAnsi="Arial" w:cs="Arial"/>
                <w:sz w:val="20"/>
                <w:szCs w:val="20"/>
              </w:rPr>
              <w:t>85%</w:t>
            </w:r>
          </w:p>
        </w:tc>
      </w:tr>
    </w:tbl>
    <w:p w14:paraId="73D89677" w14:textId="77777777" w:rsidR="00A75C0F" w:rsidRPr="008A26D2" w:rsidRDefault="00A75C0F" w:rsidP="00A75C0F"/>
    <w:p w14:paraId="0BDB082A" w14:textId="77777777" w:rsidR="0070592F" w:rsidRPr="008A26D2" w:rsidRDefault="0070592F" w:rsidP="00A75C0F"/>
    <w:tbl>
      <w:tblPr>
        <w:tblW w:w="8083" w:type="dxa"/>
        <w:jc w:val="center"/>
        <w:tblCellMar>
          <w:left w:w="70" w:type="dxa"/>
          <w:right w:w="70" w:type="dxa"/>
        </w:tblCellMar>
        <w:tblLook w:val="04A0" w:firstRow="1" w:lastRow="0" w:firstColumn="1" w:lastColumn="0" w:noHBand="0" w:noVBand="1"/>
      </w:tblPr>
      <w:tblGrid>
        <w:gridCol w:w="988"/>
        <w:gridCol w:w="1022"/>
        <w:gridCol w:w="962"/>
        <w:gridCol w:w="971"/>
        <w:gridCol w:w="708"/>
        <w:gridCol w:w="263"/>
        <w:gridCol w:w="445"/>
        <w:gridCol w:w="866"/>
        <w:gridCol w:w="140"/>
        <w:gridCol w:w="445"/>
        <w:gridCol w:w="688"/>
        <w:gridCol w:w="585"/>
      </w:tblGrid>
      <w:tr w:rsidR="00A75C0F" w:rsidRPr="008A26D2" w14:paraId="30A91E66" w14:textId="77777777" w:rsidTr="00B36209">
        <w:trPr>
          <w:trHeight w:val="565"/>
          <w:jc w:val="center"/>
        </w:trPr>
        <w:tc>
          <w:tcPr>
            <w:tcW w:w="8083" w:type="dxa"/>
            <w:gridSpan w:val="1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F1696EF" w14:textId="77777777" w:rsidR="00A75C0F" w:rsidRPr="008A26D2" w:rsidRDefault="00A75C0F" w:rsidP="00AF5836">
            <w:pPr>
              <w:spacing w:after="0" w:line="240" w:lineRule="auto"/>
              <w:jc w:val="center"/>
              <w:rPr>
                <w:rFonts w:ascii="Arial" w:eastAsia="Times New Roman" w:hAnsi="Arial" w:cs="Arial"/>
                <w:b/>
                <w:bCs/>
                <w:sz w:val="20"/>
                <w:szCs w:val="20"/>
              </w:rPr>
            </w:pPr>
            <w:r w:rsidRPr="008A26D2">
              <w:rPr>
                <w:rFonts w:ascii="Arial" w:eastAsia="Times New Roman" w:hAnsi="Arial" w:cs="Arial"/>
                <w:b/>
                <w:bCs/>
                <w:sz w:val="20"/>
                <w:szCs w:val="20"/>
              </w:rPr>
              <w:t>FICHA TÉCNICA DE INDICADOR DE SERVICIO 3.2.6</w:t>
            </w:r>
          </w:p>
        </w:tc>
      </w:tr>
      <w:tr w:rsidR="00A75C0F" w:rsidRPr="008A26D2" w14:paraId="2986EB25" w14:textId="77777777" w:rsidTr="00B36209">
        <w:trPr>
          <w:trHeight w:val="544"/>
          <w:jc w:val="center"/>
        </w:trPr>
        <w:tc>
          <w:tcPr>
            <w:tcW w:w="20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000525" w14:textId="77777777" w:rsidR="00A75C0F" w:rsidRPr="008A26D2" w:rsidRDefault="00A75C0F" w:rsidP="00AF5836">
            <w:pPr>
              <w:tabs>
                <w:tab w:val="left" w:pos="3375"/>
              </w:tabs>
              <w:jc w:val="both"/>
              <w:rPr>
                <w:rFonts w:ascii="Arial" w:eastAsia="Arial Narrow" w:hAnsi="Arial" w:cs="Arial"/>
                <w:b/>
                <w:sz w:val="20"/>
                <w:szCs w:val="20"/>
              </w:rPr>
            </w:pPr>
            <w:r w:rsidRPr="008A26D2">
              <w:rPr>
                <w:rFonts w:ascii="Arial" w:eastAsia="Arial Narrow" w:hAnsi="Arial" w:cs="Arial"/>
                <w:b/>
                <w:sz w:val="20"/>
                <w:szCs w:val="20"/>
              </w:rPr>
              <w:t>Objetivo prioritario:</w:t>
            </w:r>
          </w:p>
        </w:tc>
        <w:tc>
          <w:tcPr>
            <w:tcW w:w="6073"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14:paraId="12D25155" w14:textId="77777777" w:rsidR="00A75C0F" w:rsidRPr="008A26D2" w:rsidRDefault="00A75C0F" w:rsidP="00AF5836">
            <w:pPr>
              <w:tabs>
                <w:tab w:val="left" w:pos="3375"/>
              </w:tabs>
              <w:jc w:val="both"/>
              <w:rPr>
                <w:rFonts w:ascii="Arial" w:eastAsia="Arial Narrow" w:hAnsi="Arial" w:cs="Arial"/>
                <w:sz w:val="20"/>
                <w:szCs w:val="20"/>
              </w:rPr>
            </w:pPr>
            <w:r w:rsidRPr="008A26D2">
              <w:rPr>
                <w:rFonts w:ascii="Arial" w:eastAsia="Arial Narrow" w:hAnsi="Arial" w:cs="Arial"/>
                <w:sz w:val="20"/>
                <w:szCs w:val="20"/>
              </w:rPr>
              <w:t>OP3. Fortalecer la gobernanza forestal y de fauna silvestre</w:t>
            </w:r>
          </w:p>
        </w:tc>
      </w:tr>
      <w:tr w:rsidR="00A75C0F" w:rsidRPr="008A26D2" w14:paraId="17994BB0" w14:textId="77777777" w:rsidTr="00B36209">
        <w:trPr>
          <w:trHeight w:val="707"/>
          <w:jc w:val="center"/>
        </w:trPr>
        <w:tc>
          <w:tcPr>
            <w:tcW w:w="20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7F7A5EF" w14:textId="77777777" w:rsidR="00A75C0F" w:rsidRPr="008A26D2" w:rsidRDefault="00A75C0F" w:rsidP="00AF5836">
            <w:pPr>
              <w:tabs>
                <w:tab w:val="left" w:pos="3375"/>
              </w:tabs>
              <w:jc w:val="both"/>
              <w:rPr>
                <w:rFonts w:ascii="Arial" w:eastAsia="Arial Narrow" w:hAnsi="Arial" w:cs="Arial"/>
                <w:b/>
                <w:sz w:val="20"/>
                <w:szCs w:val="20"/>
              </w:rPr>
            </w:pPr>
            <w:r w:rsidRPr="008A26D2">
              <w:rPr>
                <w:rFonts w:ascii="Arial" w:eastAsia="Arial Narrow" w:hAnsi="Arial" w:cs="Arial"/>
                <w:b/>
                <w:sz w:val="20"/>
                <w:szCs w:val="20"/>
              </w:rPr>
              <w:t>Lineamiento de la política:</w:t>
            </w:r>
          </w:p>
        </w:tc>
        <w:tc>
          <w:tcPr>
            <w:tcW w:w="6073"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14:paraId="32A5A435" w14:textId="77777777" w:rsidR="00A75C0F" w:rsidRPr="008A26D2" w:rsidRDefault="00A75C0F" w:rsidP="00AF5836">
            <w:pPr>
              <w:tabs>
                <w:tab w:val="left" w:pos="3375"/>
              </w:tabs>
              <w:jc w:val="both"/>
              <w:rPr>
                <w:rFonts w:ascii="Arial" w:eastAsia="Arial Narrow" w:hAnsi="Arial" w:cs="Arial"/>
                <w:sz w:val="20"/>
                <w:szCs w:val="20"/>
              </w:rPr>
            </w:pPr>
            <w:r w:rsidRPr="008A26D2">
              <w:rPr>
                <w:rFonts w:ascii="Arial" w:eastAsia="Arial Narrow" w:hAnsi="Arial" w:cs="Arial"/>
                <w:sz w:val="20"/>
                <w:szCs w:val="20"/>
              </w:rPr>
              <w:t>L.3.2.  Desarrollar programas orientados a la mejora de la gestión y aprovechamiento sostenible de los recursos forestales y fauna silvestre en pueblos indígenas u originarios (comunidades nativas, comunidades campesinas, entre otros)</w:t>
            </w:r>
          </w:p>
        </w:tc>
      </w:tr>
      <w:tr w:rsidR="00A75C0F" w:rsidRPr="008A26D2" w14:paraId="4909B2B4" w14:textId="77777777" w:rsidTr="00B36209">
        <w:trPr>
          <w:trHeight w:val="405"/>
          <w:jc w:val="center"/>
        </w:trPr>
        <w:tc>
          <w:tcPr>
            <w:tcW w:w="20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EF96EE2" w14:textId="77777777" w:rsidR="00A75C0F" w:rsidRPr="008A26D2" w:rsidRDefault="00A75C0F" w:rsidP="00AF5836">
            <w:pPr>
              <w:tabs>
                <w:tab w:val="left" w:pos="3375"/>
              </w:tabs>
              <w:jc w:val="both"/>
              <w:rPr>
                <w:rFonts w:ascii="Arial" w:eastAsia="Arial Narrow" w:hAnsi="Arial" w:cs="Arial"/>
                <w:b/>
                <w:sz w:val="20"/>
                <w:szCs w:val="20"/>
              </w:rPr>
            </w:pPr>
            <w:r w:rsidRPr="008A26D2">
              <w:rPr>
                <w:rFonts w:ascii="Arial" w:eastAsia="Arial Narrow" w:hAnsi="Arial" w:cs="Arial"/>
                <w:b/>
                <w:sz w:val="20"/>
                <w:szCs w:val="20"/>
              </w:rPr>
              <w:t>Nombre del servicio:</w:t>
            </w:r>
          </w:p>
        </w:tc>
        <w:tc>
          <w:tcPr>
            <w:tcW w:w="6073"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14:paraId="721FCD08" w14:textId="77777777" w:rsidR="00A75C0F" w:rsidRPr="008A26D2" w:rsidRDefault="00A75C0F" w:rsidP="00AF5836">
            <w:pPr>
              <w:spacing w:after="0" w:line="240" w:lineRule="auto"/>
              <w:jc w:val="both"/>
              <w:rPr>
                <w:rFonts w:ascii="Arial" w:eastAsiaTheme="minorHAnsi" w:hAnsi="Arial" w:cs="Arial"/>
                <w:sz w:val="20"/>
                <w:szCs w:val="20"/>
              </w:rPr>
            </w:pPr>
            <w:r w:rsidRPr="008A26D2">
              <w:rPr>
                <w:rFonts w:ascii="Arial" w:eastAsia="Arial Narrow" w:hAnsi="Arial" w:cs="Arial"/>
                <w:sz w:val="20"/>
                <w:szCs w:val="20"/>
              </w:rPr>
              <w:t>S.3.2.6. Fortalecimiento de capacidades en la gestión comunitaria de los recursos forestales y fauna silvestre con pertinencia cultural a pueblos indígenas u originarios</w:t>
            </w:r>
          </w:p>
        </w:tc>
      </w:tr>
      <w:tr w:rsidR="00A75C0F" w:rsidRPr="008A26D2" w14:paraId="0D6973E2" w14:textId="77777777" w:rsidTr="00B36209">
        <w:trPr>
          <w:trHeight w:val="425"/>
          <w:jc w:val="center"/>
        </w:trPr>
        <w:tc>
          <w:tcPr>
            <w:tcW w:w="20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419748A" w14:textId="77777777" w:rsidR="00A75C0F" w:rsidRPr="008A26D2" w:rsidRDefault="00A75C0F" w:rsidP="00AF5836">
            <w:pPr>
              <w:tabs>
                <w:tab w:val="left" w:pos="3375"/>
              </w:tabs>
              <w:jc w:val="both"/>
              <w:rPr>
                <w:rFonts w:ascii="Arial" w:eastAsia="Arial Narrow" w:hAnsi="Arial" w:cs="Arial"/>
                <w:b/>
                <w:sz w:val="20"/>
                <w:szCs w:val="20"/>
              </w:rPr>
            </w:pPr>
            <w:r w:rsidRPr="008A26D2">
              <w:rPr>
                <w:rFonts w:ascii="Arial" w:eastAsia="Arial Narrow" w:hAnsi="Arial" w:cs="Arial"/>
                <w:b/>
                <w:sz w:val="20"/>
                <w:szCs w:val="20"/>
              </w:rPr>
              <w:t>Nombre del indicador:</w:t>
            </w:r>
          </w:p>
        </w:tc>
        <w:tc>
          <w:tcPr>
            <w:tcW w:w="6073"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14:paraId="2F98A11C" w14:textId="77777777" w:rsidR="00A75C0F" w:rsidRPr="008A26D2" w:rsidRDefault="00A75C0F" w:rsidP="00AF5836">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Porcentaje de pueblos indígenas u originarios que recibieron fortalecimiento de capacidades en gestión comunitaria de los recursos forestales y fauna silvestre con pertinencia cultural</w:t>
            </w:r>
          </w:p>
        </w:tc>
      </w:tr>
      <w:tr w:rsidR="00A75C0F" w:rsidRPr="008A26D2" w14:paraId="7BAFE77A" w14:textId="77777777" w:rsidTr="00B36209">
        <w:trPr>
          <w:trHeight w:val="524"/>
          <w:jc w:val="center"/>
        </w:trPr>
        <w:tc>
          <w:tcPr>
            <w:tcW w:w="20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18F6E3C" w14:textId="77777777" w:rsidR="00A75C0F" w:rsidRPr="008A26D2" w:rsidRDefault="00A75C0F" w:rsidP="00AF5836">
            <w:pPr>
              <w:tabs>
                <w:tab w:val="left" w:pos="3375"/>
              </w:tabs>
              <w:jc w:val="both"/>
              <w:rPr>
                <w:rFonts w:ascii="Arial" w:eastAsia="Arial Narrow" w:hAnsi="Arial" w:cs="Arial"/>
                <w:b/>
                <w:sz w:val="20"/>
                <w:szCs w:val="20"/>
              </w:rPr>
            </w:pPr>
            <w:r w:rsidRPr="008A26D2">
              <w:rPr>
                <w:rFonts w:ascii="Arial" w:eastAsia="Arial Narrow" w:hAnsi="Arial" w:cs="Arial"/>
                <w:b/>
                <w:sz w:val="20"/>
                <w:szCs w:val="20"/>
              </w:rPr>
              <w:t>Justificación:</w:t>
            </w:r>
          </w:p>
        </w:tc>
        <w:tc>
          <w:tcPr>
            <w:tcW w:w="6073"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14:paraId="1684B211" w14:textId="77777777" w:rsidR="00A75C0F" w:rsidRPr="008A26D2" w:rsidRDefault="00A75C0F" w:rsidP="00AF5836">
            <w:pPr>
              <w:tabs>
                <w:tab w:val="left" w:pos="3375"/>
              </w:tabs>
              <w:jc w:val="both"/>
              <w:rPr>
                <w:rFonts w:ascii="Arial" w:eastAsia="Arial Narrow" w:hAnsi="Arial" w:cs="Arial"/>
                <w:sz w:val="20"/>
                <w:szCs w:val="20"/>
              </w:rPr>
            </w:pPr>
            <w:r w:rsidRPr="008A26D2">
              <w:rPr>
                <w:rFonts w:ascii="Arial" w:eastAsia="Arial Narrow" w:hAnsi="Arial" w:cs="Arial"/>
                <w:sz w:val="20"/>
                <w:szCs w:val="20"/>
              </w:rPr>
              <w:t>El indicador permite medir el porcentaje de pueblos indígenas u originarios que han recibido fortalecimiento de capacidades en gestión comunitaria de los recursos forestales y fauna silvestre con enfoque cultural. De esta forma el indicador facilitara el seguimiento para establecer acciones de mejora correspondientes.</w:t>
            </w:r>
          </w:p>
        </w:tc>
      </w:tr>
      <w:tr w:rsidR="00A75C0F" w:rsidRPr="008A26D2" w14:paraId="382A0DDA" w14:textId="77777777" w:rsidTr="00B36209">
        <w:trPr>
          <w:trHeight w:val="546"/>
          <w:jc w:val="center"/>
        </w:trPr>
        <w:tc>
          <w:tcPr>
            <w:tcW w:w="20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6502118" w14:textId="77777777" w:rsidR="00A75C0F" w:rsidRPr="008A26D2" w:rsidRDefault="00A75C0F" w:rsidP="00AF5836">
            <w:pPr>
              <w:tabs>
                <w:tab w:val="left" w:pos="3375"/>
              </w:tabs>
              <w:jc w:val="both"/>
              <w:rPr>
                <w:rFonts w:ascii="Arial" w:eastAsia="Arial Narrow" w:hAnsi="Arial" w:cs="Arial"/>
                <w:b/>
                <w:sz w:val="20"/>
                <w:szCs w:val="20"/>
              </w:rPr>
            </w:pPr>
            <w:r w:rsidRPr="008A26D2">
              <w:rPr>
                <w:rFonts w:ascii="Arial" w:eastAsia="Arial Narrow" w:hAnsi="Arial" w:cs="Arial"/>
                <w:b/>
                <w:sz w:val="20"/>
                <w:szCs w:val="20"/>
              </w:rPr>
              <w:t>Responsable del indicador:</w:t>
            </w:r>
          </w:p>
        </w:tc>
        <w:tc>
          <w:tcPr>
            <w:tcW w:w="6073"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14:paraId="6B124D3D" w14:textId="77777777" w:rsidR="00A75C0F" w:rsidRPr="008A26D2" w:rsidRDefault="00A75C0F" w:rsidP="00AF5836">
            <w:pPr>
              <w:tabs>
                <w:tab w:val="left" w:pos="3375"/>
              </w:tabs>
              <w:jc w:val="both"/>
              <w:rPr>
                <w:rFonts w:ascii="Arial" w:eastAsia="Arial Narrow" w:hAnsi="Arial" w:cs="Arial"/>
                <w:sz w:val="20"/>
                <w:szCs w:val="20"/>
              </w:rPr>
            </w:pPr>
            <w:r w:rsidRPr="008A26D2">
              <w:rPr>
                <w:rFonts w:ascii="Arial" w:eastAsia="Arial Narrow" w:hAnsi="Arial" w:cs="Arial"/>
                <w:sz w:val="20"/>
                <w:szCs w:val="20"/>
              </w:rPr>
              <w:t>Unidad Funcional de Manejo Forestal Comunitario de la Dirección Ejecutiva del Servicio Nacional Forestal y de Fauna Silvestre – SERFOR</w:t>
            </w:r>
          </w:p>
        </w:tc>
      </w:tr>
      <w:tr w:rsidR="00A75C0F" w:rsidRPr="008A26D2" w14:paraId="3AE29C72" w14:textId="77777777" w:rsidTr="00B36209">
        <w:trPr>
          <w:trHeight w:val="579"/>
          <w:jc w:val="center"/>
        </w:trPr>
        <w:tc>
          <w:tcPr>
            <w:tcW w:w="20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062453A" w14:textId="77777777" w:rsidR="00A75C0F" w:rsidRPr="008A26D2" w:rsidRDefault="00A75C0F" w:rsidP="00AF5836">
            <w:pPr>
              <w:tabs>
                <w:tab w:val="left" w:pos="3375"/>
              </w:tabs>
              <w:jc w:val="both"/>
              <w:rPr>
                <w:rFonts w:ascii="Arial" w:eastAsia="Arial Narrow" w:hAnsi="Arial" w:cs="Arial"/>
                <w:b/>
                <w:sz w:val="20"/>
                <w:szCs w:val="20"/>
              </w:rPr>
            </w:pPr>
            <w:r w:rsidRPr="008A26D2">
              <w:rPr>
                <w:rFonts w:ascii="Arial" w:eastAsia="Arial Narrow" w:hAnsi="Arial" w:cs="Arial"/>
                <w:b/>
                <w:sz w:val="20"/>
                <w:szCs w:val="20"/>
              </w:rPr>
              <w:t>Limitaciones para la medición del indicador:</w:t>
            </w:r>
          </w:p>
        </w:tc>
        <w:tc>
          <w:tcPr>
            <w:tcW w:w="6073"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14:paraId="1506A487" w14:textId="77777777" w:rsidR="00A75C0F" w:rsidRPr="008A26D2" w:rsidRDefault="00A75C0F" w:rsidP="00AF5836">
            <w:pPr>
              <w:tabs>
                <w:tab w:val="left" w:pos="3375"/>
              </w:tabs>
              <w:jc w:val="both"/>
              <w:rPr>
                <w:rFonts w:ascii="Arial" w:eastAsia="Arial Narrow" w:hAnsi="Arial" w:cs="Arial"/>
                <w:sz w:val="20"/>
                <w:szCs w:val="20"/>
              </w:rPr>
            </w:pPr>
            <w:r w:rsidRPr="008A26D2">
              <w:rPr>
                <w:rFonts w:ascii="Arial" w:eastAsia="Arial Narrow" w:hAnsi="Arial" w:cs="Arial"/>
                <w:sz w:val="20"/>
                <w:szCs w:val="20"/>
              </w:rPr>
              <w:t>No presenta limitaciones</w:t>
            </w:r>
          </w:p>
        </w:tc>
      </w:tr>
      <w:tr w:rsidR="00A75C0F" w:rsidRPr="008A26D2" w14:paraId="19FB99A6" w14:textId="77777777" w:rsidTr="00B36209">
        <w:trPr>
          <w:trHeight w:val="693"/>
          <w:jc w:val="center"/>
        </w:trPr>
        <w:tc>
          <w:tcPr>
            <w:tcW w:w="20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2988D3E" w14:textId="77777777" w:rsidR="00A75C0F" w:rsidRPr="008A26D2" w:rsidRDefault="00A75C0F" w:rsidP="00AF5836">
            <w:pPr>
              <w:tabs>
                <w:tab w:val="left" w:pos="3375"/>
              </w:tabs>
              <w:jc w:val="both"/>
              <w:rPr>
                <w:rFonts w:ascii="Arial" w:eastAsia="Arial Narrow" w:hAnsi="Arial" w:cs="Arial"/>
                <w:b/>
                <w:sz w:val="20"/>
                <w:szCs w:val="20"/>
              </w:rPr>
            </w:pPr>
            <w:r w:rsidRPr="008A26D2">
              <w:rPr>
                <w:rFonts w:ascii="Arial" w:eastAsia="Arial Narrow" w:hAnsi="Arial" w:cs="Arial"/>
                <w:b/>
                <w:sz w:val="20"/>
                <w:szCs w:val="20"/>
              </w:rPr>
              <w:lastRenderedPageBreak/>
              <w:t>Método del cálculo:</w:t>
            </w:r>
          </w:p>
        </w:tc>
        <w:tc>
          <w:tcPr>
            <w:tcW w:w="6073" w:type="dxa"/>
            <w:gridSpan w:val="10"/>
            <w:tcBorders>
              <w:top w:val="single" w:sz="4" w:space="0" w:color="auto"/>
              <w:left w:val="single" w:sz="4" w:space="0" w:color="auto"/>
              <w:bottom w:val="single" w:sz="4" w:space="0" w:color="auto"/>
              <w:right w:val="single" w:sz="4" w:space="0" w:color="auto"/>
            </w:tcBorders>
            <w:shd w:val="clear" w:color="auto" w:fill="auto"/>
            <w:noWrap/>
            <w:vAlign w:val="center"/>
          </w:tcPr>
          <w:p w14:paraId="516F5678" w14:textId="77777777" w:rsidR="00A75C0F" w:rsidRPr="008A26D2" w:rsidRDefault="00A75C0F" w:rsidP="00AF5836">
            <w:pPr>
              <w:pStyle w:val="Prrafodelista"/>
              <w:numPr>
                <w:ilvl w:val="6"/>
                <w:numId w:val="20"/>
              </w:numPr>
              <w:tabs>
                <w:tab w:val="left" w:pos="3375"/>
              </w:tabs>
              <w:ind w:left="325" w:hanging="283"/>
              <w:jc w:val="both"/>
              <w:rPr>
                <w:rFonts w:ascii="Arial" w:eastAsia="Arial Narrow" w:hAnsi="Arial" w:cs="Arial"/>
                <w:b/>
                <w:bCs/>
                <w:sz w:val="20"/>
                <w:szCs w:val="20"/>
              </w:rPr>
            </w:pPr>
            <w:r w:rsidRPr="008A26D2">
              <w:rPr>
                <w:rFonts w:ascii="Arial" w:eastAsia="Arial Narrow" w:hAnsi="Arial" w:cs="Arial"/>
                <w:b/>
                <w:bCs/>
                <w:sz w:val="20"/>
                <w:szCs w:val="20"/>
              </w:rPr>
              <w:t>Fórmula:</w:t>
            </w:r>
          </w:p>
          <w:p w14:paraId="3755165B" w14:textId="77777777" w:rsidR="00A75C0F" w:rsidRPr="008A26D2" w:rsidRDefault="00A75C0F" w:rsidP="00AF5836">
            <w:pPr>
              <w:tabs>
                <w:tab w:val="left" w:pos="3375"/>
              </w:tabs>
              <w:jc w:val="both"/>
              <w:rPr>
                <w:rFonts w:ascii="Arial" w:eastAsia="Arial Narrow" w:hAnsi="Arial" w:cs="Arial"/>
                <w:sz w:val="20"/>
                <w:szCs w:val="20"/>
              </w:rPr>
            </w:pPr>
            <w:r w:rsidRPr="008A26D2">
              <w:rPr>
                <w:rFonts w:ascii="Arial" w:eastAsia="Arial Narrow" w:hAnsi="Arial" w:cs="Arial"/>
                <w:sz w:val="20"/>
                <w:szCs w:val="20"/>
              </w:rPr>
              <w:t>(A/B)*100</w:t>
            </w:r>
          </w:p>
          <w:p w14:paraId="564775F4" w14:textId="77777777" w:rsidR="00A75C0F" w:rsidRPr="008A26D2" w:rsidRDefault="00A75C0F" w:rsidP="00AF5836">
            <w:pPr>
              <w:tabs>
                <w:tab w:val="left" w:pos="3375"/>
              </w:tabs>
              <w:jc w:val="both"/>
              <w:rPr>
                <w:rFonts w:ascii="Arial" w:eastAsia="Arial Narrow" w:hAnsi="Arial" w:cs="Arial"/>
                <w:sz w:val="20"/>
                <w:szCs w:val="20"/>
              </w:rPr>
            </w:pPr>
            <w:r w:rsidRPr="008A26D2">
              <w:rPr>
                <w:rFonts w:ascii="Arial" w:eastAsia="Arial Narrow" w:hAnsi="Arial" w:cs="Arial"/>
                <w:sz w:val="20"/>
                <w:szCs w:val="20"/>
              </w:rPr>
              <w:t>Donde:</w:t>
            </w:r>
          </w:p>
          <w:p w14:paraId="0E84E3C4" w14:textId="77777777" w:rsidR="00A75C0F" w:rsidRPr="008A26D2" w:rsidRDefault="00A75C0F" w:rsidP="00AF5836">
            <w:pPr>
              <w:tabs>
                <w:tab w:val="left" w:pos="3375"/>
              </w:tabs>
              <w:ind w:left="325" w:hanging="325"/>
              <w:jc w:val="both"/>
              <w:rPr>
                <w:rFonts w:ascii="Arial" w:eastAsia="Arial Narrow" w:hAnsi="Arial" w:cs="Arial"/>
                <w:sz w:val="20"/>
                <w:szCs w:val="20"/>
              </w:rPr>
            </w:pPr>
            <w:r w:rsidRPr="008A26D2">
              <w:rPr>
                <w:rFonts w:ascii="Arial" w:eastAsia="Arial Narrow" w:hAnsi="Arial" w:cs="Arial"/>
                <w:sz w:val="20"/>
                <w:szCs w:val="20"/>
              </w:rPr>
              <w:t xml:space="preserve">A= Numero de pueblos indígenas u originarios que recibieron fortalecimiento de capacidades en gestión comunitaria de los recursos forestales y fauna silvestre con pertinencia cultural </w:t>
            </w:r>
          </w:p>
          <w:p w14:paraId="1B228CAE" w14:textId="77777777" w:rsidR="00A75C0F" w:rsidRPr="008A26D2" w:rsidRDefault="00A75C0F" w:rsidP="00AF5836">
            <w:pPr>
              <w:tabs>
                <w:tab w:val="left" w:pos="3375"/>
              </w:tabs>
              <w:ind w:left="325" w:hanging="325"/>
              <w:jc w:val="both"/>
              <w:rPr>
                <w:rFonts w:ascii="Arial" w:eastAsia="Arial Narrow" w:hAnsi="Arial" w:cs="Arial"/>
                <w:sz w:val="20"/>
                <w:szCs w:val="20"/>
              </w:rPr>
            </w:pPr>
            <w:r w:rsidRPr="008A26D2">
              <w:rPr>
                <w:rFonts w:ascii="Arial" w:eastAsia="Arial Narrow" w:hAnsi="Arial" w:cs="Arial"/>
                <w:sz w:val="20"/>
                <w:szCs w:val="20"/>
              </w:rPr>
              <w:t>B= Total de pueblos indígenas u originarios que participan del fortalecimiento de capacidades en gestión comunitaria de los recursos forestales y fauna silvestre</w:t>
            </w:r>
          </w:p>
          <w:p w14:paraId="177BA4B6" w14:textId="77777777" w:rsidR="00A75C0F" w:rsidRPr="008A26D2" w:rsidRDefault="00A75C0F" w:rsidP="00AF5836">
            <w:pPr>
              <w:pStyle w:val="Prrafodelista"/>
              <w:numPr>
                <w:ilvl w:val="0"/>
                <w:numId w:val="20"/>
              </w:numPr>
              <w:tabs>
                <w:tab w:val="left" w:pos="3375"/>
              </w:tabs>
              <w:ind w:left="325" w:hanging="283"/>
              <w:jc w:val="both"/>
              <w:rPr>
                <w:rFonts w:ascii="Arial" w:eastAsia="Arial Narrow" w:hAnsi="Arial" w:cs="Arial"/>
                <w:b/>
                <w:bCs/>
                <w:sz w:val="20"/>
                <w:szCs w:val="20"/>
              </w:rPr>
            </w:pPr>
            <w:r w:rsidRPr="008A26D2">
              <w:rPr>
                <w:rFonts w:ascii="Arial" w:eastAsia="Arial Narrow" w:hAnsi="Arial" w:cs="Arial"/>
                <w:b/>
                <w:bCs/>
                <w:sz w:val="20"/>
                <w:szCs w:val="20"/>
              </w:rPr>
              <w:t>Especificación técnica</w:t>
            </w:r>
          </w:p>
          <w:p w14:paraId="7D6AA81D" w14:textId="77777777" w:rsidR="00A75C0F" w:rsidRPr="00050AD5" w:rsidRDefault="00A75C0F" w:rsidP="00AF5836">
            <w:pPr>
              <w:tabs>
                <w:tab w:val="left" w:pos="3375"/>
              </w:tabs>
              <w:jc w:val="both"/>
              <w:rPr>
                <w:rFonts w:ascii="Arial" w:eastAsia="Arial Narrow" w:hAnsi="Arial" w:cs="Arial"/>
                <w:sz w:val="20"/>
                <w:szCs w:val="20"/>
              </w:rPr>
            </w:pPr>
            <w:r w:rsidRPr="00050AD5">
              <w:rPr>
                <w:rFonts w:ascii="Arial" w:eastAsia="Arial Narrow" w:hAnsi="Arial" w:cs="Arial"/>
                <w:sz w:val="20"/>
                <w:szCs w:val="20"/>
              </w:rPr>
              <w:t>La variable A se determina cuando el fortalecimiento de capacidades</w:t>
            </w:r>
            <w:r>
              <w:t xml:space="preserve"> en </w:t>
            </w:r>
            <w:r w:rsidRPr="007B3934">
              <w:rPr>
                <w:rFonts w:ascii="Arial" w:eastAsia="Arial Narrow" w:hAnsi="Arial" w:cs="Arial"/>
                <w:sz w:val="20"/>
                <w:szCs w:val="20"/>
              </w:rPr>
              <w:t>gestión comunitaria de los recursos forestales y fauna silvestre</w:t>
            </w:r>
            <w:r w:rsidRPr="00050AD5">
              <w:rPr>
                <w:rFonts w:ascii="Arial" w:eastAsia="Arial Narrow" w:hAnsi="Arial" w:cs="Arial"/>
                <w:sz w:val="20"/>
                <w:szCs w:val="20"/>
              </w:rPr>
              <w:t xml:space="preserve"> es entregado a </w:t>
            </w:r>
            <w:r>
              <w:rPr>
                <w:rFonts w:ascii="Arial" w:eastAsia="Arial Narrow" w:hAnsi="Arial" w:cs="Arial"/>
                <w:sz w:val="20"/>
                <w:szCs w:val="20"/>
              </w:rPr>
              <w:t xml:space="preserve">los </w:t>
            </w:r>
            <w:r w:rsidRPr="00050AD5">
              <w:rPr>
                <w:rFonts w:ascii="Arial" w:eastAsia="Arial Narrow" w:hAnsi="Arial" w:cs="Arial"/>
                <w:sz w:val="20"/>
                <w:szCs w:val="20"/>
              </w:rPr>
              <w:t>pueblos indígenas u originarios incorporando aspectos específicos como el respeto a su diversidad cultural, el contexto ambiental, las formas de organización, entre otros.</w:t>
            </w:r>
          </w:p>
          <w:p w14:paraId="7FC0641B" w14:textId="0DC023EB" w:rsidR="00A75C0F" w:rsidRDefault="00A75C0F" w:rsidP="00AF5836">
            <w:pPr>
              <w:tabs>
                <w:tab w:val="left" w:pos="3375"/>
              </w:tabs>
              <w:jc w:val="both"/>
              <w:rPr>
                <w:rFonts w:ascii="Arial" w:eastAsia="Arial Narrow" w:hAnsi="Arial" w:cs="Arial"/>
                <w:sz w:val="20"/>
                <w:szCs w:val="20"/>
              </w:rPr>
            </w:pPr>
            <w:r w:rsidRPr="00050AD5">
              <w:rPr>
                <w:rFonts w:ascii="Arial" w:eastAsia="Arial Narrow" w:hAnsi="Arial" w:cs="Arial"/>
                <w:sz w:val="20"/>
                <w:szCs w:val="20"/>
              </w:rPr>
              <w:t xml:space="preserve">La variable B se determina </w:t>
            </w:r>
            <w:r w:rsidR="00B36209">
              <w:rPr>
                <w:rFonts w:ascii="Arial" w:eastAsia="Arial Narrow" w:hAnsi="Arial" w:cs="Arial"/>
                <w:sz w:val="20"/>
                <w:szCs w:val="20"/>
              </w:rPr>
              <w:t>en base</w:t>
            </w:r>
            <w:r w:rsidRPr="00050AD5">
              <w:rPr>
                <w:rFonts w:ascii="Arial" w:eastAsia="Arial Narrow" w:hAnsi="Arial" w:cs="Arial"/>
                <w:sz w:val="20"/>
                <w:szCs w:val="20"/>
              </w:rPr>
              <w:t xml:space="preserve"> </w:t>
            </w:r>
            <w:r w:rsidR="00B36209">
              <w:rPr>
                <w:rFonts w:ascii="Arial" w:eastAsia="Arial Narrow" w:hAnsi="Arial" w:cs="Arial"/>
                <w:sz w:val="20"/>
                <w:szCs w:val="20"/>
              </w:rPr>
              <w:t>a</w:t>
            </w:r>
            <w:r w:rsidRPr="00050AD5">
              <w:rPr>
                <w:rFonts w:ascii="Arial" w:eastAsia="Arial Narrow" w:hAnsi="Arial" w:cs="Arial"/>
                <w:sz w:val="20"/>
                <w:szCs w:val="20"/>
              </w:rPr>
              <w:t xml:space="preserve">l total de pueblos indígenas u originarios que recibieron fortalecimiento de capacidades en </w:t>
            </w:r>
            <w:r w:rsidRPr="007B3934">
              <w:rPr>
                <w:rFonts w:ascii="Arial" w:eastAsia="Arial Narrow" w:hAnsi="Arial" w:cs="Arial"/>
                <w:sz w:val="20"/>
                <w:szCs w:val="20"/>
              </w:rPr>
              <w:t>gestión comunitaria de los recursos forestales y fauna silvestre</w:t>
            </w:r>
            <w:r w:rsidR="00B36209">
              <w:rPr>
                <w:rFonts w:ascii="Arial" w:eastAsia="Arial Narrow" w:hAnsi="Arial" w:cs="Arial"/>
                <w:sz w:val="20"/>
                <w:szCs w:val="20"/>
              </w:rPr>
              <w:t xml:space="preserve"> en el año de medición</w:t>
            </w:r>
            <w:r w:rsidRPr="00050AD5">
              <w:rPr>
                <w:rFonts w:ascii="Arial" w:eastAsia="Arial Narrow" w:hAnsi="Arial" w:cs="Arial"/>
                <w:sz w:val="20"/>
                <w:szCs w:val="20"/>
              </w:rPr>
              <w:t>.</w:t>
            </w:r>
          </w:p>
          <w:p w14:paraId="6BAFA76C" w14:textId="77777777" w:rsidR="00A75C0F" w:rsidRPr="008A26D2" w:rsidRDefault="00A75C0F" w:rsidP="00AF5836">
            <w:pPr>
              <w:tabs>
                <w:tab w:val="left" w:pos="3375"/>
              </w:tabs>
              <w:jc w:val="both"/>
              <w:rPr>
                <w:rFonts w:ascii="Arial" w:eastAsia="Arial Narrow" w:hAnsi="Arial" w:cs="Arial"/>
                <w:sz w:val="20"/>
                <w:szCs w:val="20"/>
              </w:rPr>
            </w:pPr>
            <w:r w:rsidRPr="008A26D2">
              <w:rPr>
                <w:rFonts w:ascii="Arial" w:eastAsia="Arial Narrow" w:hAnsi="Arial" w:cs="Arial"/>
                <w:sz w:val="20"/>
                <w:szCs w:val="20"/>
              </w:rPr>
              <w:t>El total de pueblos indígenas u originarios es de 55, de los cuales pertenecen a las 2703 comunidades nativas, y además a las 6682 comunidades campesinas en sierra y costa</w:t>
            </w:r>
            <w:r w:rsidRPr="008A26D2">
              <w:rPr>
                <w:rStyle w:val="Refdenotaalpie"/>
                <w:rFonts w:ascii="Arial" w:eastAsia="Arial Narrow" w:hAnsi="Arial" w:cs="Arial"/>
                <w:sz w:val="20"/>
                <w:szCs w:val="20"/>
              </w:rPr>
              <w:footnoteReference w:id="9"/>
            </w:r>
            <w:r w:rsidRPr="008A26D2">
              <w:rPr>
                <w:rFonts w:ascii="Arial" w:eastAsia="Arial Narrow" w:hAnsi="Arial" w:cs="Arial"/>
                <w:sz w:val="20"/>
                <w:szCs w:val="20"/>
              </w:rPr>
              <w:t>.</w:t>
            </w:r>
          </w:p>
          <w:p w14:paraId="4CB6C049" w14:textId="77777777" w:rsidR="00A75C0F" w:rsidRPr="008A26D2" w:rsidRDefault="00A75C0F" w:rsidP="00B36209">
            <w:pPr>
              <w:jc w:val="both"/>
              <w:rPr>
                <w:rFonts w:ascii="Arial" w:eastAsia="Arial Narrow" w:hAnsi="Arial" w:cs="Arial"/>
                <w:sz w:val="20"/>
                <w:szCs w:val="20"/>
              </w:rPr>
            </w:pPr>
            <w:r w:rsidRPr="008A26D2">
              <w:rPr>
                <w:rFonts w:ascii="Arial" w:eastAsia="Arial Narrow" w:hAnsi="Arial" w:cs="Arial"/>
                <w:sz w:val="20"/>
                <w:szCs w:val="20"/>
              </w:rPr>
              <w:t xml:space="preserve">Se carece de línea base porque no se contaba con la metodología para la medición del estándar, por ese motivo, el </w:t>
            </w:r>
            <w:r>
              <w:rPr>
                <w:rFonts w:ascii="Arial" w:eastAsia="Arial Narrow" w:hAnsi="Arial" w:cs="Arial"/>
                <w:sz w:val="20"/>
                <w:szCs w:val="20"/>
              </w:rPr>
              <w:t xml:space="preserve">Servicio Nacional Forestal y de Fauna Silvestre - </w:t>
            </w:r>
            <w:r w:rsidRPr="008A26D2">
              <w:rPr>
                <w:rFonts w:ascii="Arial" w:eastAsia="Arial Narrow" w:hAnsi="Arial" w:cs="Arial"/>
                <w:sz w:val="20"/>
                <w:szCs w:val="20"/>
              </w:rPr>
              <w:t>SERFOR determinará la línea base antes del inicio de la implementación de la presente Política Nacional.</w:t>
            </w:r>
          </w:p>
        </w:tc>
      </w:tr>
      <w:tr w:rsidR="00A75C0F" w:rsidRPr="008A26D2" w14:paraId="3CDBED17" w14:textId="77777777" w:rsidTr="00B36209">
        <w:trPr>
          <w:trHeight w:val="558"/>
          <w:jc w:val="center"/>
        </w:trPr>
        <w:tc>
          <w:tcPr>
            <w:tcW w:w="20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44222B6" w14:textId="77777777" w:rsidR="00A75C0F" w:rsidRPr="008A26D2" w:rsidRDefault="00A75C0F" w:rsidP="00AF5836">
            <w:pPr>
              <w:tabs>
                <w:tab w:val="left" w:pos="3375"/>
              </w:tabs>
              <w:jc w:val="both"/>
              <w:rPr>
                <w:rFonts w:ascii="Arial" w:eastAsia="Arial Narrow" w:hAnsi="Arial" w:cs="Arial"/>
                <w:b/>
                <w:sz w:val="20"/>
                <w:szCs w:val="20"/>
              </w:rPr>
            </w:pPr>
            <w:r w:rsidRPr="008A26D2">
              <w:rPr>
                <w:rFonts w:ascii="Arial" w:eastAsia="Arial Narrow" w:hAnsi="Arial" w:cs="Arial"/>
                <w:b/>
                <w:sz w:val="20"/>
                <w:szCs w:val="20"/>
              </w:rPr>
              <w:t>Sentido esperado del indicador:</w:t>
            </w:r>
          </w:p>
        </w:tc>
        <w:tc>
          <w:tcPr>
            <w:tcW w:w="29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83A7CCD" w14:textId="77777777" w:rsidR="00A75C0F" w:rsidRPr="008A26D2" w:rsidRDefault="00A75C0F" w:rsidP="00AF5836">
            <w:pPr>
              <w:tabs>
                <w:tab w:val="left" w:pos="3375"/>
              </w:tabs>
              <w:jc w:val="both"/>
              <w:rPr>
                <w:rFonts w:ascii="Arial" w:eastAsia="Arial Narrow" w:hAnsi="Arial" w:cs="Arial"/>
                <w:sz w:val="20"/>
                <w:szCs w:val="20"/>
              </w:rPr>
            </w:pPr>
            <w:r w:rsidRPr="008A26D2">
              <w:rPr>
                <w:rFonts w:ascii="Arial" w:eastAsia="Arial Narrow" w:hAnsi="Arial" w:cs="Arial"/>
                <w:sz w:val="20"/>
                <w:szCs w:val="20"/>
              </w:rPr>
              <w:t>Ascendente</w:t>
            </w:r>
          </w:p>
        </w:tc>
        <w:tc>
          <w:tcPr>
            <w:tcW w:w="145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6D2B8C3" w14:textId="77777777" w:rsidR="00A75C0F" w:rsidRPr="008A26D2" w:rsidRDefault="00A75C0F" w:rsidP="00AF5836">
            <w:pPr>
              <w:tabs>
                <w:tab w:val="left" w:pos="3375"/>
              </w:tabs>
              <w:jc w:val="both"/>
              <w:rPr>
                <w:rFonts w:ascii="Arial" w:eastAsia="Arial Narrow" w:hAnsi="Arial" w:cs="Arial"/>
                <w:b/>
                <w:sz w:val="20"/>
                <w:szCs w:val="20"/>
              </w:rPr>
            </w:pPr>
            <w:r w:rsidRPr="008A26D2">
              <w:rPr>
                <w:rFonts w:ascii="Arial" w:eastAsia="Arial Narrow" w:hAnsi="Arial" w:cs="Arial"/>
                <w:b/>
                <w:sz w:val="20"/>
                <w:szCs w:val="20"/>
              </w:rPr>
              <w:t>Tipo de indicador de servicio</w:t>
            </w:r>
          </w:p>
        </w:tc>
        <w:tc>
          <w:tcPr>
            <w:tcW w:w="171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D06E714" w14:textId="77777777" w:rsidR="00A75C0F" w:rsidRPr="008A26D2" w:rsidRDefault="00A75C0F" w:rsidP="00AF5836">
            <w:pPr>
              <w:tabs>
                <w:tab w:val="left" w:pos="3375"/>
              </w:tabs>
              <w:jc w:val="both"/>
              <w:rPr>
                <w:rFonts w:ascii="Arial" w:eastAsia="Arial Narrow" w:hAnsi="Arial" w:cs="Arial"/>
                <w:sz w:val="20"/>
                <w:szCs w:val="20"/>
              </w:rPr>
            </w:pPr>
            <w:r w:rsidRPr="008A26D2">
              <w:rPr>
                <w:rFonts w:ascii="Arial" w:eastAsia="Arial Narrow" w:hAnsi="Arial" w:cs="Arial"/>
                <w:sz w:val="20"/>
                <w:szCs w:val="20"/>
              </w:rPr>
              <w:t>Calidad – Pertinencia cultural</w:t>
            </w:r>
          </w:p>
        </w:tc>
      </w:tr>
      <w:tr w:rsidR="00A75C0F" w:rsidRPr="008A26D2" w14:paraId="7DF0FA8F" w14:textId="77777777" w:rsidTr="00B36209">
        <w:trPr>
          <w:trHeight w:val="532"/>
          <w:jc w:val="center"/>
        </w:trPr>
        <w:tc>
          <w:tcPr>
            <w:tcW w:w="20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C236AE3" w14:textId="77777777" w:rsidR="00A75C0F" w:rsidRPr="008A26D2" w:rsidRDefault="00A75C0F" w:rsidP="00AF5836">
            <w:pPr>
              <w:tabs>
                <w:tab w:val="left" w:pos="3375"/>
              </w:tabs>
              <w:jc w:val="both"/>
              <w:rPr>
                <w:rFonts w:ascii="Arial" w:eastAsia="Arial Narrow" w:hAnsi="Arial" w:cs="Arial"/>
                <w:b/>
                <w:sz w:val="20"/>
                <w:szCs w:val="20"/>
              </w:rPr>
            </w:pPr>
            <w:r w:rsidRPr="008A26D2">
              <w:rPr>
                <w:rFonts w:ascii="Arial" w:eastAsia="Arial Narrow" w:hAnsi="Arial" w:cs="Arial"/>
                <w:b/>
                <w:sz w:val="20"/>
                <w:szCs w:val="20"/>
              </w:rPr>
              <w:t>Fuente y base de datos:</w:t>
            </w:r>
          </w:p>
        </w:tc>
        <w:tc>
          <w:tcPr>
            <w:tcW w:w="6073"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14:paraId="55C87702" w14:textId="1F2EAA51" w:rsidR="00A75C0F" w:rsidRPr="008A26D2" w:rsidRDefault="00A75C0F" w:rsidP="00AF5836">
            <w:pPr>
              <w:tabs>
                <w:tab w:val="left" w:pos="3375"/>
              </w:tabs>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Fuente: Unidad Funcional de Manejo Forestal Comunitario de la Dirección Ejecutiva del </w:t>
            </w:r>
            <w:r>
              <w:rPr>
                <w:rFonts w:ascii="Arial" w:eastAsia="Arial Narrow" w:hAnsi="Arial" w:cs="Arial"/>
                <w:sz w:val="20"/>
                <w:szCs w:val="20"/>
              </w:rPr>
              <w:t xml:space="preserve">Servicio Nacional Forestal y de Fauna Silvestre – </w:t>
            </w:r>
            <w:r w:rsidRPr="008A26D2">
              <w:rPr>
                <w:rFonts w:ascii="Arial" w:eastAsia="Arial Narrow" w:hAnsi="Arial" w:cs="Arial"/>
                <w:sz w:val="20"/>
                <w:szCs w:val="20"/>
              </w:rPr>
              <w:t>SERFOR</w:t>
            </w:r>
            <w:r>
              <w:rPr>
                <w:rFonts w:ascii="Arial" w:eastAsia="Arial Narrow" w:hAnsi="Arial" w:cs="Arial"/>
                <w:sz w:val="20"/>
                <w:szCs w:val="20"/>
              </w:rPr>
              <w:t>.</w:t>
            </w:r>
          </w:p>
          <w:p w14:paraId="068A5AD3" w14:textId="77777777" w:rsidR="00A75C0F" w:rsidRPr="008A26D2" w:rsidRDefault="00A75C0F" w:rsidP="00AF5836">
            <w:pPr>
              <w:tabs>
                <w:tab w:val="left" w:pos="3375"/>
              </w:tabs>
              <w:spacing w:after="0" w:line="240" w:lineRule="auto"/>
              <w:jc w:val="both"/>
              <w:rPr>
                <w:rFonts w:ascii="Arial" w:eastAsia="Arial Narrow" w:hAnsi="Arial" w:cs="Arial"/>
                <w:sz w:val="20"/>
                <w:szCs w:val="20"/>
              </w:rPr>
            </w:pPr>
          </w:p>
          <w:p w14:paraId="04CB14FE" w14:textId="69EA92E5" w:rsidR="00A75C0F" w:rsidRPr="008A26D2" w:rsidRDefault="00A75C0F" w:rsidP="00AF5836">
            <w:pPr>
              <w:tabs>
                <w:tab w:val="left" w:pos="3375"/>
              </w:tabs>
              <w:jc w:val="both"/>
              <w:rPr>
                <w:rFonts w:ascii="Arial" w:eastAsia="Arial Narrow" w:hAnsi="Arial" w:cs="Arial"/>
                <w:sz w:val="20"/>
                <w:szCs w:val="20"/>
              </w:rPr>
            </w:pPr>
            <w:r w:rsidRPr="008A26D2">
              <w:rPr>
                <w:rFonts w:ascii="Arial" w:eastAsia="Arial Narrow" w:hAnsi="Arial" w:cs="Arial"/>
                <w:sz w:val="20"/>
                <w:szCs w:val="20"/>
              </w:rPr>
              <w:t xml:space="preserve">Base de datos: </w:t>
            </w:r>
            <w:r>
              <w:rPr>
                <w:rFonts w:ascii="Arial" w:eastAsia="Arial Narrow" w:hAnsi="Arial" w:cs="Arial"/>
                <w:sz w:val="20"/>
                <w:szCs w:val="20"/>
              </w:rPr>
              <w:t>R</w:t>
            </w:r>
            <w:r w:rsidRPr="008A26D2">
              <w:rPr>
                <w:rFonts w:ascii="Arial" w:eastAsia="Arial Narrow" w:hAnsi="Arial" w:cs="Arial"/>
                <w:sz w:val="20"/>
                <w:szCs w:val="20"/>
              </w:rPr>
              <w:t xml:space="preserve">eporte de fortalecimiento de capacidades en manejo forestal comunitario </w:t>
            </w:r>
          </w:p>
        </w:tc>
      </w:tr>
      <w:tr w:rsidR="00A75C0F" w:rsidRPr="008A26D2" w14:paraId="38BEFE68" w14:textId="77777777" w:rsidTr="00B36209">
        <w:trPr>
          <w:trHeight w:val="532"/>
          <w:jc w:val="center"/>
        </w:trPr>
        <w:tc>
          <w:tcPr>
            <w:tcW w:w="20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0C9392F" w14:textId="77777777" w:rsidR="00A75C0F" w:rsidRPr="008A26D2" w:rsidRDefault="00A75C0F" w:rsidP="00AF5836">
            <w:pPr>
              <w:tabs>
                <w:tab w:val="left" w:pos="3375"/>
              </w:tabs>
              <w:jc w:val="both"/>
              <w:rPr>
                <w:rFonts w:ascii="Arial" w:eastAsia="Arial Narrow" w:hAnsi="Arial" w:cs="Arial"/>
                <w:b/>
                <w:sz w:val="20"/>
                <w:szCs w:val="20"/>
              </w:rPr>
            </w:pPr>
            <w:r w:rsidRPr="008A26D2">
              <w:rPr>
                <w:rFonts w:ascii="Arial" w:eastAsia="Arial Narrow" w:hAnsi="Arial" w:cs="Arial"/>
                <w:b/>
                <w:sz w:val="20"/>
                <w:szCs w:val="20"/>
              </w:rPr>
              <w:t>Supuestos:</w:t>
            </w:r>
          </w:p>
        </w:tc>
        <w:tc>
          <w:tcPr>
            <w:tcW w:w="6073"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14:paraId="62A39604" w14:textId="77777777" w:rsidR="00A75C0F" w:rsidRPr="008A26D2" w:rsidRDefault="00A75C0F" w:rsidP="00AF5836">
            <w:pPr>
              <w:tabs>
                <w:tab w:val="left" w:pos="3375"/>
              </w:tabs>
              <w:jc w:val="both"/>
              <w:rPr>
                <w:rFonts w:ascii="Arial" w:eastAsia="Arial Narrow" w:hAnsi="Arial" w:cs="Arial"/>
                <w:sz w:val="20"/>
                <w:szCs w:val="20"/>
              </w:rPr>
            </w:pPr>
            <w:r w:rsidRPr="008A26D2">
              <w:rPr>
                <w:rFonts w:ascii="Arial" w:eastAsia="Arial Narrow" w:hAnsi="Arial" w:cs="Arial"/>
                <w:sz w:val="20"/>
                <w:szCs w:val="20"/>
              </w:rPr>
              <w:t>Interés y disponibilidad de los pueblos indígenas u originarios en el fortalecimiento de capacidades para la mejora continua de la gestión comunitaria de los recursos forestales y fauna silvestre.</w:t>
            </w:r>
          </w:p>
        </w:tc>
      </w:tr>
      <w:tr w:rsidR="00A75C0F" w:rsidRPr="008A26D2" w14:paraId="261FB381" w14:textId="77777777" w:rsidTr="00B36209">
        <w:trPr>
          <w:trHeight w:val="532"/>
          <w:jc w:val="center"/>
        </w:trPr>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14:paraId="1232A54A" w14:textId="77777777" w:rsidR="00A75C0F" w:rsidRPr="008A26D2" w:rsidRDefault="00A75C0F" w:rsidP="00AF5836">
            <w:pPr>
              <w:tabs>
                <w:tab w:val="left" w:pos="3375"/>
              </w:tabs>
              <w:jc w:val="both"/>
              <w:rPr>
                <w:rFonts w:ascii="Arial" w:eastAsia="Arial Narrow" w:hAnsi="Arial" w:cs="Arial"/>
                <w:sz w:val="20"/>
                <w:szCs w:val="20"/>
              </w:rPr>
            </w:pP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3BFBC2A1" w14:textId="77777777" w:rsidR="00A75C0F" w:rsidRPr="008A26D2" w:rsidRDefault="00A75C0F" w:rsidP="00AF5836">
            <w:pPr>
              <w:tabs>
                <w:tab w:val="left" w:pos="3375"/>
              </w:tabs>
              <w:jc w:val="center"/>
              <w:rPr>
                <w:rFonts w:ascii="Arial" w:eastAsia="Arial Narrow" w:hAnsi="Arial" w:cs="Arial"/>
                <w:b/>
                <w:sz w:val="20"/>
                <w:szCs w:val="20"/>
              </w:rPr>
            </w:pPr>
            <w:r w:rsidRPr="008A26D2">
              <w:rPr>
                <w:rFonts w:ascii="Arial" w:eastAsia="Arial Narrow" w:hAnsi="Arial" w:cs="Arial"/>
                <w:b/>
                <w:sz w:val="20"/>
                <w:szCs w:val="20"/>
              </w:rPr>
              <w:t>Línea de base</w:t>
            </w:r>
          </w:p>
        </w:tc>
        <w:tc>
          <w:tcPr>
            <w:tcW w:w="6073"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14:paraId="44665D8D" w14:textId="77777777" w:rsidR="00A75C0F" w:rsidRPr="008A26D2" w:rsidRDefault="00A75C0F" w:rsidP="00AF5836">
            <w:pPr>
              <w:tabs>
                <w:tab w:val="left" w:pos="3375"/>
              </w:tabs>
              <w:jc w:val="center"/>
              <w:rPr>
                <w:rFonts w:ascii="Arial" w:eastAsia="Arial Narrow" w:hAnsi="Arial" w:cs="Arial"/>
                <w:b/>
                <w:sz w:val="20"/>
                <w:szCs w:val="20"/>
              </w:rPr>
            </w:pPr>
            <w:r w:rsidRPr="008A26D2">
              <w:rPr>
                <w:rFonts w:ascii="Arial" w:eastAsia="Arial Narrow" w:hAnsi="Arial" w:cs="Arial"/>
                <w:b/>
                <w:sz w:val="20"/>
                <w:szCs w:val="20"/>
              </w:rPr>
              <w:t xml:space="preserve">Logros esperados </w:t>
            </w:r>
          </w:p>
        </w:tc>
      </w:tr>
      <w:tr w:rsidR="00A75C0F" w:rsidRPr="008A26D2" w14:paraId="6937E68B" w14:textId="77777777" w:rsidTr="00B36209">
        <w:trPr>
          <w:trHeight w:val="334"/>
          <w:jc w:val="center"/>
        </w:trPr>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14:paraId="29362811" w14:textId="77777777" w:rsidR="00A75C0F" w:rsidRPr="008A26D2" w:rsidRDefault="00A75C0F" w:rsidP="00AF5836">
            <w:pPr>
              <w:tabs>
                <w:tab w:val="left" w:pos="3375"/>
              </w:tabs>
              <w:jc w:val="both"/>
              <w:rPr>
                <w:rFonts w:ascii="Arial" w:eastAsia="Arial Narrow" w:hAnsi="Arial" w:cs="Arial"/>
                <w:b/>
                <w:sz w:val="20"/>
                <w:szCs w:val="20"/>
              </w:rPr>
            </w:pPr>
            <w:r w:rsidRPr="008A26D2">
              <w:rPr>
                <w:rFonts w:ascii="Arial" w:eastAsia="Arial Narrow" w:hAnsi="Arial" w:cs="Arial"/>
                <w:b/>
                <w:sz w:val="20"/>
                <w:szCs w:val="20"/>
              </w:rPr>
              <w:t>Año</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1DABE39A" w14:textId="77777777" w:rsidR="00A75C0F" w:rsidRPr="008A26D2" w:rsidRDefault="00A75C0F" w:rsidP="00AF5836">
            <w:pPr>
              <w:tabs>
                <w:tab w:val="left" w:pos="3375"/>
              </w:tabs>
              <w:jc w:val="center"/>
              <w:rPr>
                <w:rFonts w:ascii="Arial" w:eastAsia="Arial Narrow" w:hAnsi="Arial" w:cs="Arial"/>
                <w:b/>
                <w:sz w:val="20"/>
                <w:szCs w:val="20"/>
              </w:rPr>
            </w:pPr>
            <w:r w:rsidRPr="008A26D2">
              <w:rPr>
                <w:rFonts w:ascii="Arial" w:eastAsia="Arial Narrow" w:hAnsi="Arial" w:cs="Arial"/>
                <w:b/>
                <w:sz w:val="20"/>
                <w:szCs w:val="20"/>
              </w:rPr>
              <w:t>2022</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14:paraId="66475319" w14:textId="77777777" w:rsidR="00A75C0F" w:rsidRPr="008A26D2" w:rsidRDefault="00A75C0F" w:rsidP="00AF5836">
            <w:pPr>
              <w:tabs>
                <w:tab w:val="left" w:pos="3375"/>
              </w:tabs>
              <w:jc w:val="center"/>
              <w:rPr>
                <w:rFonts w:ascii="Arial" w:eastAsia="Arial Narrow" w:hAnsi="Arial" w:cs="Arial"/>
                <w:b/>
                <w:sz w:val="20"/>
                <w:szCs w:val="20"/>
              </w:rPr>
            </w:pPr>
            <w:r w:rsidRPr="008A26D2">
              <w:rPr>
                <w:rFonts w:ascii="Arial" w:eastAsia="Arial Narrow" w:hAnsi="Arial" w:cs="Arial"/>
                <w:b/>
                <w:sz w:val="20"/>
                <w:szCs w:val="20"/>
              </w:rPr>
              <w:t>2023</w:t>
            </w:r>
          </w:p>
        </w:tc>
        <w:tc>
          <w:tcPr>
            <w:tcW w:w="971" w:type="dxa"/>
            <w:tcBorders>
              <w:top w:val="single" w:sz="4" w:space="0" w:color="auto"/>
              <w:left w:val="single" w:sz="4" w:space="0" w:color="auto"/>
              <w:bottom w:val="single" w:sz="4" w:space="0" w:color="auto"/>
              <w:right w:val="single" w:sz="4" w:space="0" w:color="auto"/>
            </w:tcBorders>
            <w:shd w:val="clear" w:color="auto" w:fill="auto"/>
            <w:vAlign w:val="center"/>
          </w:tcPr>
          <w:p w14:paraId="594BE336" w14:textId="77777777" w:rsidR="00A75C0F" w:rsidRPr="008A26D2" w:rsidRDefault="00A75C0F" w:rsidP="00AF5836">
            <w:pPr>
              <w:tabs>
                <w:tab w:val="left" w:pos="3375"/>
              </w:tabs>
              <w:jc w:val="center"/>
              <w:rPr>
                <w:rFonts w:ascii="Arial" w:eastAsia="Arial Narrow" w:hAnsi="Arial" w:cs="Arial"/>
                <w:b/>
                <w:sz w:val="20"/>
                <w:szCs w:val="20"/>
              </w:rPr>
            </w:pPr>
            <w:r w:rsidRPr="008A26D2">
              <w:rPr>
                <w:rFonts w:ascii="Arial" w:eastAsia="Arial Narrow" w:hAnsi="Arial" w:cs="Arial"/>
                <w:b/>
                <w:sz w:val="20"/>
                <w:szCs w:val="20"/>
              </w:rPr>
              <w:t>2024</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F58757E" w14:textId="77777777" w:rsidR="00A75C0F" w:rsidRPr="008A26D2" w:rsidRDefault="00A75C0F" w:rsidP="00AF5836">
            <w:pPr>
              <w:tabs>
                <w:tab w:val="left" w:pos="3375"/>
              </w:tabs>
              <w:jc w:val="center"/>
              <w:rPr>
                <w:rFonts w:ascii="Arial" w:eastAsia="Arial Narrow" w:hAnsi="Arial" w:cs="Arial"/>
                <w:b/>
                <w:sz w:val="20"/>
                <w:szCs w:val="20"/>
              </w:rPr>
            </w:pPr>
            <w:r w:rsidRPr="008A26D2">
              <w:rPr>
                <w:rFonts w:ascii="Arial" w:eastAsia="Arial Narrow" w:hAnsi="Arial" w:cs="Arial"/>
                <w:b/>
                <w:sz w:val="20"/>
                <w:szCs w:val="20"/>
              </w:rPr>
              <w:t>2025</w:t>
            </w:r>
          </w:p>
        </w:tc>
        <w:tc>
          <w:tcPr>
            <w:tcW w:w="70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FA04BAD" w14:textId="77777777" w:rsidR="00A75C0F" w:rsidRPr="008A26D2" w:rsidRDefault="00A75C0F" w:rsidP="00AF5836">
            <w:pPr>
              <w:tabs>
                <w:tab w:val="left" w:pos="3375"/>
              </w:tabs>
              <w:jc w:val="center"/>
              <w:rPr>
                <w:rFonts w:ascii="Arial" w:eastAsia="Arial Narrow" w:hAnsi="Arial" w:cs="Arial"/>
                <w:b/>
                <w:sz w:val="20"/>
                <w:szCs w:val="20"/>
              </w:rPr>
            </w:pPr>
            <w:r w:rsidRPr="008A26D2">
              <w:rPr>
                <w:rFonts w:ascii="Arial" w:eastAsia="Arial Narrow" w:hAnsi="Arial" w:cs="Arial"/>
                <w:b/>
                <w:sz w:val="20"/>
                <w:szCs w:val="20"/>
              </w:rPr>
              <w:t>2026</w:t>
            </w:r>
          </w:p>
        </w:tc>
        <w:tc>
          <w:tcPr>
            <w:tcW w:w="866" w:type="dxa"/>
            <w:tcBorders>
              <w:top w:val="single" w:sz="4" w:space="0" w:color="auto"/>
              <w:left w:val="single" w:sz="4" w:space="0" w:color="auto"/>
              <w:bottom w:val="single" w:sz="4" w:space="0" w:color="auto"/>
              <w:right w:val="single" w:sz="4" w:space="0" w:color="auto"/>
            </w:tcBorders>
            <w:shd w:val="clear" w:color="auto" w:fill="auto"/>
            <w:vAlign w:val="center"/>
          </w:tcPr>
          <w:p w14:paraId="1383EAB7" w14:textId="77777777" w:rsidR="00A75C0F" w:rsidRPr="008A26D2" w:rsidRDefault="00A75C0F" w:rsidP="00AF5836">
            <w:pPr>
              <w:tabs>
                <w:tab w:val="left" w:pos="3375"/>
              </w:tabs>
              <w:jc w:val="center"/>
              <w:rPr>
                <w:rFonts w:ascii="Arial" w:eastAsia="Arial Narrow" w:hAnsi="Arial" w:cs="Arial"/>
                <w:b/>
                <w:sz w:val="20"/>
                <w:szCs w:val="20"/>
              </w:rPr>
            </w:pPr>
            <w:r w:rsidRPr="008A26D2">
              <w:rPr>
                <w:rFonts w:ascii="Arial" w:eastAsia="Arial Narrow" w:hAnsi="Arial" w:cs="Arial"/>
                <w:b/>
                <w:sz w:val="20"/>
                <w:szCs w:val="20"/>
              </w:rPr>
              <w:t>2027</w:t>
            </w:r>
          </w:p>
        </w:tc>
        <w:tc>
          <w:tcPr>
            <w:tcW w:w="58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6D0312B" w14:textId="77777777" w:rsidR="00A75C0F" w:rsidRPr="008A26D2" w:rsidRDefault="00A75C0F" w:rsidP="00AF5836">
            <w:pPr>
              <w:tabs>
                <w:tab w:val="left" w:pos="3375"/>
              </w:tabs>
              <w:jc w:val="center"/>
              <w:rPr>
                <w:rFonts w:ascii="Arial" w:eastAsia="Arial Narrow" w:hAnsi="Arial" w:cs="Arial"/>
                <w:b/>
                <w:sz w:val="20"/>
                <w:szCs w:val="20"/>
              </w:rPr>
            </w:pPr>
            <w:r w:rsidRPr="008A26D2">
              <w:rPr>
                <w:rFonts w:ascii="Arial" w:eastAsia="Arial Narrow" w:hAnsi="Arial" w:cs="Arial"/>
                <w:b/>
                <w:sz w:val="20"/>
                <w:szCs w:val="20"/>
              </w:rPr>
              <w:t>2028</w:t>
            </w:r>
          </w:p>
        </w:tc>
        <w:tc>
          <w:tcPr>
            <w:tcW w:w="688" w:type="dxa"/>
            <w:tcBorders>
              <w:top w:val="single" w:sz="4" w:space="0" w:color="auto"/>
              <w:left w:val="single" w:sz="4" w:space="0" w:color="auto"/>
              <w:bottom w:val="single" w:sz="4" w:space="0" w:color="auto"/>
              <w:right w:val="single" w:sz="4" w:space="0" w:color="auto"/>
            </w:tcBorders>
            <w:shd w:val="clear" w:color="auto" w:fill="auto"/>
            <w:vAlign w:val="center"/>
          </w:tcPr>
          <w:p w14:paraId="3BFB0B6C" w14:textId="77777777" w:rsidR="00A75C0F" w:rsidRPr="008A26D2" w:rsidRDefault="00A75C0F" w:rsidP="00AF5836">
            <w:pPr>
              <w:tabs>
                <w:tab w:val="left" w:pos="3375"/>
              </w:tabs>
              <w:jc w:val="center"/>
              <w:rPr>
                <w:rFonts w:ascii="Arial" w:eastAsia="Arial Narrow" w:hAnsi="Arial" w:cs="Arial"/>
                <w:b/>
                <w:sz w:val="20"/>
                <w:szCs w:val="20"/>
              </w:rPr>
            </w:pPr>
            <w:r w:rsidRPr="008A26D2">
              <w:rPr>
                <w:rFonts w:ascii="Arial" w:eastAsia="Arial Narrow" w:hAnsi="Arial" w:cs="Arial"/>
                <w:b/>
                <w:sz w:val="20"/>
                <w:szCs w:val="20"/>
              </w:rPr>
              <w:t>2029</w:t>
            </w:r>
          </w:p>
        </w:tc>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14:paraId="28F20F0B" w14:textId="77777777" w:rsidR="00A75C0F" w:rsidRPr="008A26D2" w:rsidRDefault="00A75C0F" w:rsidP="00AF5836">
            <w:pPr>
              <w:tabs>
                <w:tab w:val="left" w:pos="3375"/>
              </w:tabs>
              <w:jc w:val="center"/>
              <w:rPr>
                <w:rFonts w:ascii="Arial" w:eastAsia="Arial Narrow" w:hAnsi="Arial" w:cs="Arial"/>
                <w:b/>
                <w:sz w:val="20"/>
                <w:szCs w:val="20"/>
              </w:rPr>
            </w:pPr>
            <w:r w:rsidRPr="008A26D2">
              <w:rPr>
                <w:rFonts w:ascii="Arial" w:eastAsia="Arial Narrow" w:hAnsi="Arial" w:cs="Arial"/>
                <w:b/>
                <w:sz w:val="20"/>
                <w:szCs w:val="20"/>
              </w:rPr>
              <w:t>2030</w:t>
            </w:r>
          </w:p>
        </w:tc>
      </w:tr>
      <w:tr w:rsidR="00A75C0F" w:rsidRPr="008A26D2" w14:paraId="7B44563F" w14:textId="77777777" w:rsidTr="00B36209">
        <w:trPr>
          <w:trHeight w:val="410"/>
          <w:jc w:val="center"/>
        </w:trPr>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14:paraId="209462A0" w14:textId="77777777" w:rsidR="00A75C0F" w:rsidRPr="008A26D2" w:rsidRDefault="00A75C0F" w:rsidP="00AF5836">
            <w:pPr>
              <w:tabs>
                <w:tab w:val="left" w:pos="3375"/>
              </w:tabs>
              <w:jc w:val="both"/>
              <w:rPr>
                <w:rFonts w:ascii="Arial" w:eastAsia="Arial Narrow" w:hAnsi="Arial" w:cs="Arial"/>
                <w:b/>
                <w:sz w:val="20"/>
                <w:szCs w:val="20"/>
              </w:rPr>
            </w:pPr>
            <w:r w:rsidRPr="008A26D2">
              <w:rPr>
                <w:rFonts w:ascii="Arial" w:eastAsia="Arial Narrow" w:hAnsi="Arial" w:cs="Arial"/>
                <w:b/>
                <w:sz w:val="20"/>
                <w:szCs w:val="20"/>
              </w:rPr>
              <w:lastRenderedPageBreak/>
              <w:t>Valor</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77985ED3" w14:textId="77777777" w:rsidR="00A75C0F" w:rsidRPr="008A26D2" w:rsidRDefault="00A75C0F" w:rsidP="00AF5836">
            <w:pPr>
              <w:tabs>
                <w:tab w:val="left" w:pos="3375"/>
              </w:tabs>
              <w:jc w:val="both"/>
              <w:rPr>
                <w:rFonts w:ascii="Arial" w:eastAsia="Arial Narrow" w:hAnsi="Arial" w:cs="Arial"/>
                <w:sz w:val="20"/>
                <w:szCs w:val="20"/>
              </w:rPr>
            </w:pPr>
            <w:r w:rsidRPr="008A26D2">
              <w:rPr>
                <w:rFonts w:ascii="Arial" w:eastAsia="Arial Narrow" w:hAnsi="Arial" w:cs="Arial"/>
                <w:sz w:val="20"/>
                <w:szCs w:val="20"/>
              </w:rPr>
              <w:t>0%</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14:paraId="2B7AC887"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10%</w:t>
            </w:r>
          </w:p>
        </w:tc>
        <w:tc>
          <w:tcPr>
            <w:tcW w:w="971" w:type="dxa"/>
            <w:tcBorders>
              <w:top w:val="single" w:sz="4" w:space="0" w:color="auto"/>
              <w:left w:val="single" w:sz="4" w:space="0" w:color="auto"/>
              <w:bottom w:val="single" w:sz="4" w:space="0" w:color="auto"/>
              <w:right w:val="single" w:sz="4" w:space="0" w:color="auto"/>
            </w:tcBorders>
            <w:shd w:val="clear" w:color="auto" w:fill="auto"/>
            <w:vAlign w:val="center"/>
          </w:tcPr>
          <w:p w14:paraId="206BB0E5"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30%</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E6E1077"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40%</w:t>
            </w:r>
          </w:p>
        </w:tc>
        <w:tc>
          <w:tcPr>
            <w:tcW w:w="70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F7A85D0"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50%</w:t>
            </w:r>
          </w:p>
        </w:tc>
        <w:tc>
          <w:tcPr>
            <w:tcW w:w="866" w:type="dxa"/>
            <w:tcBorders>
              <w:top w:val="single" w:sz="4" w:space="0" w:color="auto"/>
              <w:left w:val="single" w:sz="4" w:space="0" w:color="auto"/>
              <w:bottom w:val="single" w:sz="4" w:space="0" w:color="auto"/>
              <w:right w:val="single" w:sz="4" w:space="0" w:color="auto"/>
            </w:tcBorders>
            <w:shd w:val="clear" w:color="auto" w:fill="auto"/>
            <w:vAlign w:val="center"/>
          </w:tcPr>
          <w:p w14:paraId="5A6C5B92"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60%</w:t>
            </w:r>
          </w:p>
        </w:tc>
        <w:tc>
          <w:tcPr>
            <w:tcW w:w="58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A01D62C"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70%</w:t>
            </w:r>
          </w:p>
        </w:tc>
        <w:tc>
          <w:tcPr>
            <w:tcW w:w="688" w:type="dxa"/>
            <w:tcBorders>
              <w:top w:val="single" w:sz="4" w:space="0" w:color="auto"/>
              <w:left w:val="single" w:sz="4" w:space="0" w:color="auto"/>
              <w:bottom w:val="single" w:sz="4" w:space="0" w:color="auto"/>
              <w:right w:val="single" w:sz="4" w:space="0" w:color="auto"/>
            </w:tcBorders>
            <w:shd w:val="clear" w:color="auto" w:fill="auto"/>
            <w:vAlign w:val="center"/>
          </w:tcPr>
          <w:p w14:paraId="0381F934"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80%</w:t>
            </w:r>
          </w:p>
        </w:tc>
        <w:tc>
          <w:tcPr>
            <w:tcW w:w="585" w:type="dxa"/>
            <w:tcBorders>
              <w:top w:val="single" w:sz="4" w:space="0" w:color="auto"/>
              <w:left w:val="single" w:sz="4" w:space="0" w:color="auto"/>
              <w:bottom w:val="single" w:sz="4" w:space="0" w:color="auto"/>
              <w:right w:val="single" w:sz="4" w:space="0" w:color="auto"/>
            </w:tcBorders>
            <w:shd w:val="clear" w:color="auto" w:fill="auto"/>
            <w:vAlign w:val="center"/>
          </w:tcPr>
          <w:p w14:paraId="2C42019B"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90%</w:t>
            </w:r>
          </w:p>
        </w:tc>
      </w:tr>
    </w:tbl>
    <w:p w14:paraId="07AD9EE9" w14:textId="77777777" w:rsidR="00A75C0F" w:rsidRPr="008A26D2" w:rsidRDefault="00A75C0F" w:rsidP="00A75C0F"/>
    <w:p w14:paraId="2AB5F30A" w14:textId="77777777" w:rsidR="00A75C0F" w:rsidRPr="008A26D2" w:rsidRDefault="00A75C0F" w:rsidP="00A75C0F"/>
    <w:tbl>
      <w:tblPr>
        <w:tblW w:w="8363"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1148"/>
        <w:gridCol w:w="836"/>
        <w:gridCol w:w="851"/>
        <w:gridCol w:w="709"/>
        <w:gridCol w:w="708"/>
        <w:gridCol w:w="709"/>
        <w:gridCol w:w="425"/>
        <w:gridCol w:w="284"/>
        <w:gridCol w:w="850"/>
        <w:gridCol w:w="567"/>
      </w:tblGrid>
      <w:tr w:rsidR="00A75C0F" w:rsidRPr="008A26D2" w14:paraId="37335D25" w14:textId="77777777" w:rsidTr="00AF5836">
        <w:trPr>
          <w:trHeight w:val="251"/>
        </w:trPr>
        <w:tc>
          <w:tcPr>
            <w:tcW w:w="8363" w:type="dxa"/>
            <w:gridSpan w:val="11"/>
            <w:shd w:val="clear" w:color="auto" w:fill="D9D9D9" w:themeFill="background1" w:themeFillShade="D9"/>
            <w:tcMar>
              <w:top w:w="10" w:type="dxa"/>
              <w:left w:w="10" w:type="dxa"/>
              <w:bottom w:w="0" w:type="dxa"/>
              <w:right w:w="10" w:type="dxa"/>
            </w:tcMar>
            <w:vAlign w:val="center"/>
          </w:tcPr>
          <w:p w14:paraId="2139886C"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b/>
                <w:sz w:val="20"/>
                <w:szCs w:val="20"/>
              </w:rPr>
              <w:t>FICHA TÉCNICA DE INDICADOR DE SERVICIO 3.2.7</w:t>
            </w:r>
          </w:p>
        </w:tc>
      </w:tr>
      <w:tr w:rsidR="00A75C0F" w:rsidRPr="008A26D2" w14:paraId="43E2F309" w14:textId="77777777" w:rsidTr="00AF5836">
        <w:trPr>
          <w:trHeight w:val="409"/>
        </w:trPr>
        <w:tc>
          <w:tcPr>
            <w:tcW w:w="2424" w:type="dxa"/>
            <w:gridSpan w:val="2"/>
            <w:shd w:val="clear" w:color="auto" w:fill="FFFFFF"/>
            <w:tcMar>
              <w:top w:w="10" w:type="dxa"/>
              <w:left w:w="93" w:type="dxa"/>
              <w:bottom w:w="0" w:type="dxa"/>
              <w:right w:w="10" w:type="dxa"/>
            </w:tcMar>
            <w:vAlign w:val="center"/>
          </w:tcPr>
          <w:p w14:paraId="488919FA"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Objetivo prioritario:</w:t>
            </w:r>
          </w:p>
        </w:tc>
        <w:tc>
          <w:tcPr>
            <w:tcW w:w="5939" w:type="dxa"/>
            <w:gridSpan w:val="9"/>
            <w:shd w:val="clear" w:color="auto" w:fill="FFFFFF"/>
            <w:tcMar>
              <w:top w:w="51" w:type="dxa"/>
              <w:left w:w="227" w:type="dxa"/>
              <w:bottom w:w="51" w:type="dxa"/>
              <w:right w:w="227" w:type="dxa"/>
            </w:tcMar>
            <w:vAlign w:val="center"/>
          </w:tcPr>
          <w:p w14:paraId="4EB654E0" w14:textId="77777777" w:rsidR="00A75C0F" w:rsidRPr="008A26D2" w:rsidRDefault="00A75C0F" w:rsidP="00AF5836">
            <w:pPr>
              <w:tabs>
                <w:tab w:val="left" w:pos="3375"/>
              </w:tabs>
              <w:jc w:val="both"/>
              <w:rPr>
                <w:rFonts w:ascii="Arial" w:hAnsi="Arial" w:cs="Arial"/>
                <w:sz w:val="20"/>
                <w:szCs w:val="20"/>
              </w:rPr>
            </w:pPr>
            <w:r w:rsidRPr="008A26D2">
              <w:rPr>
                <w:rFonts w:ascii="Arial" w:eastAsia="Arial Narrow" w:hAnsi="Arial" w:cs="Arial"/>
                <w:sz w:val="20"/>
                <w:szCs w:val="20"/>
              </w:rPr>
              <w:t>OP3 Fortalecer la gobernanza forestal y de fauna silvestre</w:t>
            </w:r>
          </w:p>
        </w:tc>
      </w:tr>
      <w:tr w:rsidR="00A75C0F" w:rsidRPr="008A26D2" w14:paraId="5B07DA04" w14:textId="77777777" w:rsidTr="00AF5836">
        <w:trPr>
          <w:trHeight w:val="436"/>
        </w:trPr>
        <w:tc>
          <w:tcPr>
            <w:tcW w:w="2424" w:type="dxa"/>
            <w:gridSpan w:val="2"/>
            <w:shd w:val="clear" w:color="auto" w:fill="auto"/>
            <w:tcMar>
              <w:top w:w="10" w:type="dxa"/>
              <w:left w:w="93" w:type="dxa"/>
              <w:bottom w:w="0" w:type="dxa"/>
              <w:right w:w="10" w:type="dxa"/>
            </w:tcMar>
            <w:vAlign w:val="center"/>
          </w:tcPr>
          <w:p w14:paraId="74927C0E"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Lineamiento de la política:</w:t>
            </w:r>
          </w:p>
        </w:tc>
        <w:tc>
          <w:tcPr>
            <w:tcW w:w="5939" w:type="dxa"/>
            <w:gridSpan w:val="9"/>
            <w:shd w:val="clear" w:color="auto" w:fill="auto"/>
            <w:tcMar>
              <w:top w:w="51" w:type="dxa"/>
              <w:left w:w="227" w:type="dxa"/>
              <w:bottom w:w="51" w:type="dxa"/>
              <w:right w:w="227" w:type="dxa"/>
            </w:tcMar>
            <w:vAlign w:val="center"/>
          </w:tcPr>
          <w:p w14:paraId="32AE127B" w14:textId="77777777" w:rsidR="00A75C0F" w:rsidRPr="008A26D2" w:rsidRDefault="00A75C0F" w:rsidP="00AF5836">
            <w:pPr>
              <w:tabs>
                <w:tab w:val="left" w:pos="3375"/>
              </w:tabs>
              <w:jc w:val="both"/>
              <w:rPr>
                <w:rFonts w:ascii="Arial" w:hAnsi="Arial" w:cs="Arial"/>
                <w:sz w:val="20"/>
                <w:szCs w:val="20"/>
              </w:rPr>
            </w:pPr>
            <w:r w:rsidRPr="008A26D2">
              <w:rPr>
                <w:rFonts w:ascii="Arial" w:eastAsia="Arial Narrow" w:hAnsi="Arial" w:cs="Arial"/>
                <w:sz w:val="20"/>
                <w:szCs w:val="20"/>
              </w:rPr>
              <w:t>L3.2 Desarrollar programas orientados a la mejora de la gestión y aprovechamiento sostenible de los recursos forestales y de fauna silvestre en pueblos indígenas u originarios (comunidades campesinas, comunidades nativas, entre otros)</w:t>
            </w:r>
          </w:p>
        </w:tc>
      </w:tr>
      <w:tr w:rsidR="00A75C0F" w:rsidRPr="008A26D2" w14:paraId="500E5C7E" w14:textId="77777777" w:rsidTr="00AF5836">
        <w:trPr>
          <w:trHeight w:val="404"/>
        </w:trPr>
        <w:tc>
          <w:tcPr>
            <w:tcW w:w="2424" w:type="dxa"/>
            <w:gridSpan w:val="2"/>
            <w:shd w:val="clear" w:color="auto" w:fill="auto"/>
            <w:tcMar>
              <w:top w:w="10" w:type="dxa"/>
              <w:left w:w="93" w:type="dxa"/>
              <w:bottom w:w="0" w:type="dxa"/>
              <w:right w:w="10" w:type="dxa"/>
            </w:tcMar>
            <w:vAlign w:val="center"/>
          </w:tcPr>
          <w:p w14:paraId="5743A36B"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Nombre del servicio:</w:t>
            </w:r>
          </w:p>
        </w:tc>
        <w:tc>
          <w:tcPr>
            <w:tcW w:w="5939" w:type="dxa"/>
            <w:gridSpan w:val="9"/>
            <w:shd w:val="clear" w:color="auto" w:fill="auto"/>
            <w:tcMar>
              <w:top w:w="51" w:type="dxa"/>
              <w:left w:w="227" w:type="dxa"/>
              <w:bottom w:w="51" w:type="dxa"/>
              <w:right w:w="227" w:type="dxa"/>
            </w:tcMar>
            <w:vAlign w:val="center"/>
          </w:tcPr>
          <w:p w14:paraId="58E12326"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sz w:val="20"/>
                <w:szCs w:val="20"/>
                <w:shd w:val="clear" w:color="auto" w:fill="FFFFFF"/>
              </w:rPr>
              <w:t xml:space="preserve">S3.2.7 </w:t>
            </w:r>
            <w:r w:rsidRPr="008A26D2">
              <w:rPr>
                <w:rFonts w:ascii="Arial" w:eastAsia="Arial Narrow" w:hAnsi="Arial" w:cs="Arial"/>
                <w:sz w:val="20"/>
                <w:szCs w:val="20"/>
              </w:rPr>
              <w:t>Otorgamiento de contratos de administración en Áreas Naturales Protegidas del Sistema Nacional de Áreas Naturales Protegidas de forma oportuna para actores estratégicos vinculados a la conservación de la diversidad biológica</w:t>
            </w:r>
          </w:p>
        </w:tc>
      </w:tr>
      <w:tr w:rsidR="00A75C0F" w:rsidRPr="008A26D2" w14:paraId="265C86C7" w14:textId="77777777" w:rsidTr="00AF5836">
        <w:trPr>
          <w:trHeight w:val="577"/>
        </w:trPr>
        <w:tc>
          <w:tcPr>
            <w:tcW w:w="2424" w:type="dxa"/>
            <w:gridSpan w:val="2"/>
            <w:shd w:val="clear" w:color="auto" w:fill="auto"/>
            <w:tcMar>
              <w:top w:w="10" w:type="dxa"/>
              <w:left w:w="93" w:type="dxa"/>
              <w:bottom w:w="0" w:type="dxa"/>
              <w:right w:w="10" w:type="dxa"/>
            </w:tcMar>
            <w:vAlign w:val="center"/>
          </w:tcPr>
          <w:p w14:paraId="51FF38FF"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Nombre del indicador:</w:t>
            </w:r>
          </w:p>
        </w:tc>
        <w:tc>
          <w:tcPr>
            <w:tcW w:w="5939" w:type="dxa"/>
            <w:gridSpan w:val="9"/>
            <w:shd w:val="clear" w:color="auto" w:fill="auto"/>
            <w:tcMar>
              <w:top w:w="51" w:type="dxa"/>
              <w:left w:w="227" w:type="dxa"/>
              <w:bottom w:w="51" w:type="dxa"/>
              <w:right w:w="227" w:type="dxa"/>
            </w:tcMar>
            <w:vAlign w:val="center"/>
          </w:tcPr>
          <w:p w14:paraId="473A65B4" w14:textId="77777777" w:rsidR="00A75C0F" w:rsidRPr="008A26D2" w:rsidRDefault="00A75C0F" w:rsidP="00AF5836">
            <w:pPr>
              <w:tabs>
                <w:tab w:val="left" w:pos="3375"/>
              </w:tabs>
              <w:jc w:val="both"/>
              <w:rPr>
                <w:rFonts w:ascii="Arial" w:hAnsi="Arial" w:cs="Arial"/>
                <w:sz w:val="20"/>
                <w:szCs w:val="20"/>
              </w:rPr>
            </w:pPr>
            <w:r w:rsidRPr="008A26D2">
              <w:rPr>
                <w:rFonts w:ascii="Arial" w:eastAsia="Arial Narrow" w:hAnsi="Arial" w:cs="Arial"/>
                <w:sz w:val="20"/>
                <w:szCs w:val="20"/>
              </w:rPr>
              <w:t xml:space="preserve">Porcentaje de contratos de administración otorgados oportunamente a actores estratégicos </w:t>
            </w:r>
            <w:r w:rsidRPr="008A26D2">
              <w:rPr>
                <w:rFonts w:ascii="Arial" w:hAnsi="Arial" w:cs="Arial"/>
                <w:sz w:val="20"/>
                <w:szCs w:val="20"/>
                <w:shd w:val="clear" w:color="auto" w:fill="FFFFFF"/>
              </w:rPr>
              <w:t>vinculados a la conservación de la diversidad biológica</w:t>
            </w:r>
          </w:p>
        </w:tc>
      </w:tr>
      <w:tr w:rsidR="00A75C0F" w:rsidRPr="008A26D2" w14:paraId="0E0D8FA6" w14:textId="77777777" w:rsidTr="00AF5836">
        <w:trPr>
          <w:trHeight w:val="577"/>
        </w:trPr>
        <w:tc>
          <w:tcPr>
            <w:tcW w:w="2424" w:type="dxa"/>
            <w:gridSpan w:val="2"/>
            <w:shd w:val="clear" w:color="auto" w:fill="auto"/>
            <w:tcMar>
              <w:top w:w="10" w:type="dxa"/>
              <w:left w:w="93" w:type="dxa"/>
              <w:bottom w:w="0" w:type="dxa"/>
              <w:right w:w="10" w:type="dxa"/>
            </w:tcMar>
            <w:vAlign w:val="center"/>
          </w:tcPr>
          <w:p w14:paraId="46AB58B5"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Justificación:</w:t>
            </w:r>
          </w:p>
        </w:tc>
        <w:tc>
          <w:tcPr>
            <w:tcW w:w="5939" w:type="dxa"/>
            <w:gridSpan w:val="9"/>
            <w:shd w:val="clear" w:color="auto" w:fill="auto"/>
            <w:tcMar>
              <w:top w:w="51" w:type="dxa"/>
              <w:left w:w="227" w:type="dxa"/>
              <w:bottom w:w="51" w:type="dxa"/>
              <w:right w:w="227" w:type="dxa"/>
            </w:tcMar>
            <w:vAlign w:val="center"/>
          </w:tcPr>
          <w:p w14:paraId="3676FE7B" w14:textId="77777777" w:rsidR="00A75C0F" w:rsidRPr="008A26D2" w:rsidRDefault="00A75C0F" w:rsidP="00AF5836">
            <w:pPr>
              <w:tabs>
                <w:tab w:val="left" w:pos="3375"/>
              </w:tabs>
              <w:jc w:val="both"/>
              <w:rPr>
                <w:rFonts w:ascii="Arial" w:hAnsi="Arial" w:cs="Arial"/>
                <w:sz w:val="20"/>
                <w:szCs w:val="20"/>
              </w:rPr>
            </w:pPr>
            <w:r w:rsidRPr="008A26D2">
              <w:rPr>
                <w:rFonts w:ascii="Arial" w:eastAsia="Times New Roman" w:hAnsi="Arial" w:cs="Arial"/>
                <w:sz w:val="20"/>
                <w:szCs w:val="20"/>
                <w:lang w:val="es-ES"/>
              </w:rPr>
              <w:t xml:space="preserve">El indicador permite cuantificar y medir el porcentaje de actores estratégicos que suscriben un contrato de administración de forma oportuna, es decir, dentro del plazo establecido por la normativa. </w:t>
            </w:r>
            <w:r w:rsidRPr="008A26D2">
              <w:rPr>
                <w:rFonts w:ascii="Arial" w:eastAsia="Arial Narrow" w:hAnsi="Arial" w:cs="Arial"/>
                <w:sz w:val="20"/>
                <w:szCs w:val="20"/>
              </w:rPr>
              <w:t>De esta manera, el indicador facilitará el seguimiento en la entrega del servicio y establecer acciones de mejora correspondientes.</w:t>
            </w:r>
          </w:p>
        </w:tc>
      </w:tr>
      <w:tr w:rsidR="00A75C0F" w:rsidRPr="008A26D2" w14:paraId="25B46743" w14:textId="77777777" w:rsidTr="00AF5836">
        <w:trPr>
          <w:trHeight w:val="352"/>
        </w:trPr>
        <w:tc>
          <w:tcPr>
            <w:tcW w:w="2424" w:type="dxa"/>
            <w:gridSpan w:val="2"/>
            <w:shd w:val="clear" w:color="auto" w:fill="auto"/>
            <w:tcMar>
              <w:top w:w="10" w:type="dxa"/>
              <w:left w:w="93" w:type="dxa"/>
              <w:bottom w:w="0" w:type="dxa"/>
              <w:right w:w="10" w:type="dxa"/>
            </w:tcMar>
            <w:vAlign w:val="center"/>
          </w:tcPr>
          <w:p w14:paraId="394C9A6A"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Responsable del indicador:</w:t>
            </w:r>
          </w:p>
        </w:tc>
        <w:tc>
          <w:tcPr>
            <w:tcW w:w="5939" w:type="dxa"/>
            <w:gridSpan w:val="9"/>
            <w:shd w:val="clear" w:color="auto" w:fill="auto"/>
            <w:tcMar>
              <w:top w:w="51" w:type="dxa"/>
              <w:left w:w="227" w:type="dxa"/>
              <w:bottom w:w="51" w:type="dxa"/>
              <w:right w:w="227" w:type="dxa"/>
            </w:tcMar>
            <w:vAlign w:val="center"/>
          </w:tcPr>
          <w:p w14:paraId="4ACC9672" w14:textId="0A04AF55" w:rsidR="00A75C0F" w:rsidRPr="008A26D2" w:rsidRDefault="00A75C0F" w:rsidP="00AF5836">
            <w:pPr>
              <w:tabs>
                <w:tab w:val="left" w:pos="3375"/>
              </w:tabs>
              <w:jc w:val="both"/>
              <w:rPr>
                <w:rFonts w:ascii="Arial" w:hAnsi="Arial" w:cs="Arial"/>
                <w:sz w:val="20"/>
                <w:szCs w:val="20"/>
              </w:rPr>
            </w:pPr>
            <w:r w:rsidRPr="008A26D2">
              <w:rPr>
                <w:rFonts w:ascii="Arial" w:eastAsia="Arial Narrow" w:hAnsi="Arial" w:cs="Arial"/>
                <w:sz w:val="20"/>
                <w:szCs w:val="20"/>
              </w:rPr>
              <w:t xml:space="preserve">Dirección de Gestión de las Áreas Naturales Protegidas </w:t>
            </w:r>
            <w:r>
              <w:rPr>
                <w:rFonts w:ascii="Arial" w:eastAsia="Arial Narrow" w:hAnsi="Arial" w:cs="Arial"/>
                <w:sz w:val="20"/>
                <w:szCs w:val="20"/>
              </w:rPr>
              <w:t xml:space="preserve">- </w:t>
            </w:r>
            <w:r w:rsidRPr="008A26D2">
              <w:rPr>
                <w:rFonts w:ascii="Arial" w:eastAsia="Arial Narrow" w:hAnsi="Arial" w:cs="Arial"/>
                <w:sz w:val="20"/>
                <w:szCs w:val="20"/>
              </w:rPr>
              <w:t>DGANP del Servicio Nacional de Áreas Naturales Protegidas por el Estado - SERNANP</w:t>
            </w:r>
          </w:p>
        </w:tc>
      </w:tr>
      <w:tr w:rsidR="00A75C0F" w:rsidRPr="008A26D2" w14:paraId="18C815A7" w14:textId="77777777" w:rsidTr="00AF5836">
        <w:trPr>
          <w:trHeight w:val="566"/>
        </w:trPr>
        <w:tc>
          <w:tcPr>
            <w:tcW w:w="2424" w:type="dxa"/>
            <w:gridSpan w:val="2"/>
            <w:shd w:val="clear" w:color="auto" w:fill="auto"/>
            <w:tcMar>
              <w:top w:w="10" w:type="dxa"/>
              <w:left w:w="93" w:type="dxa"/>
              <w:bottom w:w="0" w:type="dxa"/>
              <w:right w:w="10" w:type="dxa"/>
            </w:tcMar>
            <w:vAlign w:val="center"/>
          </w:tcPr>
          <w:p w14:paraId="14EA32A2"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Limitaciones para la medición del indicador:</w:t>
            </w:r>
          </w:p>
        </w:tc>
        <w:tc>
          <w:tcPr>
            <w:tcW w:w="5939" w:type="dxa"/>
            <w:gridSpan w:val="9"/>
            <w:shd w:val="clear" w:color="auto" w:fill="auto"/>
            <w:tcMar>
              <w:top w:w="51" w:type="dxa"/>
              <w:left w:w="227" w:type="dxa"/>
              <w:bottom w:w="51" w:type="dxa"/>
              <w:right w:w="227" w:type="dxa"/>
            </w:tcMar>
            <w:vAlign w:val="center"/>
          </w:tcPr>
          <w:p w14:paraId="77A53AA7" w14:textId="77777777" w:rsidR="00A75C0F" w:rsidRPr="008A26D2" w:rsidRDefault="00A75C0F" w:rsidP="00AF5836">
            <w:pPr>
              <w:tabs>
                <w:tab w:val="left" w:pos="3375"/>
              </w:tabs>
              <w:jc w:val="both"/>
              <w:rPr>
                <w:rFonts w:ascii="Arial" w:hAnsi="Arial" w:cs="Arial"/>
                <w:sz w:val="20"/>
                <w:szCs w:val="20"/>
              </w:rPr>
            </w:pPr>
            <w:r w:rsidRPr="008A26D2">
              <w:rPr>
                <w:rFonts w:ascii="Arial" w:hAnsi="Arial" w:cs="Arial"/>
                <w:sz w:val="20"/>
                <w:szCs w:val="20"/>
              </w:rPr>
              <w:t xml:space="preserve">No presenta limitaciones  </w:t>
            </w:r>
          </w:p>
        </w:tc>
      </w:tr>
      <w:tr w:rsidR="00A75C0F" w:rsidRPr="008A26D2" w14:paraId="3E1EE5F6" w14:textId="77777777" w:rsidTr="00AF5836">
        <w:trPr>
          <w:trHeight w:val="231"/>
        </w:trPr>
        <w:tc>
          <w:tcPr>
            <w:tcW w:w="2424" w:type="dxa"/>
            <w:gridSpan w:val="2"/>
            <w:shd w:val="clear" w:color="auto" w:fill="auto"/>
            <w:tcMar>
              <w:top w:w="10" w:type="dxa"/>
              <w:left w:w="93" w:type="dxa"/>
              <w:bottom w:w="0" w:type="dxa"/>
              <w:right w:w="10" w:type="dxa"/>
            </w:tcMar>
            <w:vAlign w:val="center"/>
          </w:tcPr>
          <w:p w14:paraId="4EF35A3E"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 xml:space="preserve">Método de cálculo: </w:t>
            </w:r>
          </w:p>
        </w:tc>
        <w:tc>
          <w:tcPr>
            <w:tcW w:w="5939" w:type="dxa"/>
            <w:gridSpan w:val="9"/>
            <w:shd w:val="clear" w:color="auto" w:fill="auto"/>
            <w:tcMar>
              <w:top w:w="51" w:type="dxa"/>
              <w:left w:w="227" w:type="dxa"/>
              <w:bottom w:w="51" w:type="dxa"/>
              <w:right w:w="227" w:type="dxa"/>
            </w:tcMar>
            <w:vAlign w:val="center"/>
          </w:tcPr>
          <w:p w14:paraId="68D9EDAA" w14:textId="77777777" w:rsidR="00A75C0F" w:rsidRPr="008A26D2" w:rsidRDefault="00A75C0F" w:rsidP="00AF5836">
            <w:pPr>
              <w:rPr>
                <w:rFonts w:ascii="Arial" w:eastAsia="Arial Narrow" w:hAnsi="Arial" w:cs="Arial"/>
                <w:b/>
                <w:sz w:val="20"/>
                <w:szCs w:val="20"/>
              </w:rPr>
            </w:pPr>
            <w:r w:rsidRPr="008A26D2">
              <w:rPr>
                <w:rFonts w:ascii="Arial" w:eastAsia="Arial Narrow" w:hAnsi="Arial" w:cs="Arial"/>
                <w:b/>
                <w:sz w:val="20"/>
                <w:szCs w:val="20"/>
              </w:rPr>
              <w:t>1. Fórmula:</w:t>
            </w:r>
          </w:p>
          <w:p w14:paraId="0B7F773D" w14:textId="77777777" w:rsidR="00A75C0F" w:rsidRPr="008A26D2" w:rsidRDefault="00A75C0F" w:rsidP="00AF5836">
            <w:pPr>
              <w:spacing w:after="0" w:line="240" w:lineRule="auto"/>
              <w:rPr>
                <w:rFonts w:ascii="Arial" w:eastAsia="Arial Unicode MS" w:hAnsi="Arial" w:cs="Arial"/>
                <w:sz w:val="20"/>
                <w:szCs w:val="20"/>
              </w:rPr>
            </w:pPr>
            <w:r w:rsidRPr="008A26D2">
              <w:rPr>
                <w:rFonts w:ascii="Arial" w:eastAsia="Arial Unicode MS" w:hAnsi="Arial" w:cs="Arial"/>
                <w:sz w:val="20"/>
                <w:szCs w:val="20"/>
              </w:rPr>
              <w:t>(A/B)*100</w:t>
            </w:r>
          </w:p>
          <w:p w14:paraId="340E28E4" w14:textId="77777777" w:rsidR="00A75C0F" w:rsidRPr="008A26D2" w:rsidRDefault="00A75C0F" w:rsidP="00AF5836">
            <w:pPr>
              <w:spacing w:after="0" w:line="240" w:lineRule="auto"/>
              <w:rPr>
                <w:rFonts w:ascii="Arial" w:eastAsia="Arial Unicode MS" w:hAnsi="Arial" w:cs="Arial"/>
                <w:sz w:val="20"/>
                <w:szCs w:val="20"/>
              </w:rPr>
            </w:pPr>
          </w:p>
          <w:p w14:paraId="1E43827B" w14:textId="77777777" w:rsidR="00A75C0F" w:rsidRPr="008A26D2" w:rsidRDefault="00A75C0F" w:rsidP="00AF5836">
            <w:pPr>
              <w:ind w:left="315" w:hanging="315"/>
              <w:jc w:val="both"/>
              <w:rPr>
                <w:rFonts w:ascii="Arial" w:hAnsi="Arial" w:cs="Arial"/>
                <w:bCs/>
                <w:sz w:val="20"/>
                <w:szCs w:val="20"/>
              </w:rPr>
            </w:pPr>
            <w:r w:rsidRPr="008A26D2">
              <w:rPr>
                <w:rFonts w:ascii="Arial" w:hAnsi="Arial" w:cs="Arial"/>
                <w:bCs/>
                <w:sz w:val="20"/>
                <w:szCs w:val="20"/>
              </w:rPr>
              <w:t xml:space="preserve">A = Número de </w:t>
            </w:r>
            <w:r w:rsidRPr="008A26D2">
              <w:rPr>
                <w:rFonts w:ascii="Arial" w:eastAsia="Arial Narrow" w:hAnsi="Arial" w:cs="Arial"/>
                <w:sz w:val="20"/>
                <w:szCs w:val="20"/>
              </w:rPr>
              <w:t xml:space="preserve">actores estratégicos </w:t>
            </w:r>
            <w:r w:rsidRPr="008A26D2">
              <w:rPr>
                <w:rFonts w:ascii="Arial" w:hAnsi="Arial" w:cs="Arial"/>
                <w:sz w:val="20"/>
                <w:szCs w:val="20"/>
                <w:shd w:val="clear" w:color="auto" w:fill="FFFFFF"/>
              </w:rPr>
              <w:t>vinculados a la conservación de la diversidad biológica</w:t>
            </w:r>
            <w:r w:rsidRPr="008A26D2" w:rsidDel="003238A2">
              <w:rPr>
                <w:rFonts w:ascii="Arial" w:eastAsia="Arial Narrow" w:hAnsi="Arial" w:cs="Arial"/>
                <w:sz w:val="20"/>
                <w:szCs w:val="20"/>
              </w:rPr>
              <w:t xml:space="preserve"> </w:t>
            </w:r>
            <w:r w:rsidRPr="008A26D2">
              <w:rPr>
                <w:rFonts w:ascii="Arial" w:hAnsi="Arial" w:cs="Arial"/>
                <w:bCs/>
                <w:sz w:val="20"/>
                <w:szCs w:val="20"/>
              </w:rPr>
              <w:t xml:space="preserve">que reciben otorgamiento de </w:t>
            </w:r>
            <w:r w:rsidRPr="008A26D2">
              <w:rPr>
                <w:rFonts w:ascii="Arial" w:eastAsia="Times New Roman" w:hAnsi="Arial" w:cs="Arial"/>
                <w:sz w:val="20"/>
                <w:szCs w:val="20"/>
              </w:rPr>
              <w:t>contrato de administración</w:t>
            </w:r>
            <w:r w:rsidRPr="008A26D2">
              <w:rPr>
                <w:rFonts w:ascii="Arial" w:hAnsi="Arial" w:cs="Arial"/>
                <w:bCs/>
                <w:sz w:val="20"/>
                <w:szCs w:val="20"/>
              </w:rPr>
              <w:t xml:space="preserve"> de manera oportuna</w:t>
            </w:r>
          </w:p>
          <w:p w14:paraId="1EF15F62" w14:textId="77777777" w:rsidR="00A75C0F" w:rsidRPr="008A26D2" w:rsidRDefault="00A75C0F" w:rsidP="00AF5836">
            <w:pPr>
              <w:spacing w:after="0" w:line="240" w:lineRule="auto"/>
              <w:ind w:left="315" w:hanging="315"/>
              <w:jc w:val="both"/>
              <w:rPr>
                <w:rFonts w:ascii="Arial" w:eastAsia="Arial Unicode MS" w:hAnsi="Arial" w:cs="Arial"/>
                <w:sz w:val="20"/>
                <w:szCs w:val="20"/>
              </w:rPr>
            </w:pPr>
            <w:r w:rsidRPr="008A26D2">
              <w:rPr>
                <w:rFonts w:ascii="Arial" w:hAnsi="Arial" w:cs="Arial"/>
                <w:bCs/>
                <w:sz w:val="20"/>
                <w:szCs w:val="20"/>
              </w:rPr>
              <w:t xml:space="preserve">B = Número de </w:t>
            </w:r>
            <w:r w:rsidRPr="008A26D2">
              <w:rPr>
                <w:rFonts w:ascii="Arial" w:eastAsia="Arial Narrow" w:hAnsi="Arial" w:cs="Arial"/>
                <w:sz w:val="20"/>
                <w:szCs w:val="20"/>
              </w:rPr>
              <w:t xml:space="preserve">actores estratégicos </w:t>
            </w:r>
            <w:r w:rsidRPr="008A26D2">
              <w:rPr>
                <w:rFonts w:ascii="Arial" w:hAnsi="Arial" w:cs="Arial"/>
                <w:sz w:val="20"/>
                <w:szCs w:val="20"/>
                <w:shd w:val="clear" w:color="auto" w:fill="FFFFFF"/>
              </w:rPr>
              <w:t>vinculados a la conservación de la diversidad biológica</w:t>
            </w:r>
            <w:r w:rsidRPr="008A26D2" w:rsidDel="003238A2">
              <w:rPr>
                <w:rFonts w:ascii="Arial" w:eastAsia="Arial Narrow" w:hAnsi="Arial" w:cs="Arial"/>
                <w:sz w:val="20"/>
                <w:szCs w:val="20"/>
              </w:rPr>
              <w:t xml:space="preserve"> </w:t>
            </w:r>
            <w:r w:rsidRPr="008A26D2">
              <w:rPr>
                <w:rFonts w:ascii="Arial" w:hAnsi="Arial" w:cs="Arial"/>
                <w:bCs/>
                <w:sz w:val="20"/>
                <w:szCs w:val="20"/>
              </w:rPr>
              <w:t xml:space="preserve">que reciben </w:t>
            </w:r>
            <w:r w:rsidRPr="008A26D2">
              <w:rPr>
                <w:rFonts w:ascii="Arial" w:eastAsia="Times New Roman" w:hAnsi="Arial" w:cs="Arial"/>
                <w:sz w:val="20"/>
                <w:szCs w:val="20"/>
              </w:rPr>
              <w:t>contratos de administración</w:t>
            </w:r>
          </w:p>
          <w:p w14:paraId="2CE4FD02" w14:textId="77777777" w:rsidR="00A75C0F" w:rsidRPr="008A26D2" w:rsidRDefault="00A75C0F" w:rsidP="00AF5836">
            <w:pPr>
              <w:rPr>
                <w:rFonts w:ascii="Arial" w:eastAsia="Arial Narrow" w:hAnsi="Arial" w:cs="Arial"/>
                <w:b/>
                <w:sz w:val="20"/>
                <w:szCs w:val="20"/>
              </w:rPr>
            </w:pPr>
          </w:p>
          <w:p w14:paraId="67CAF75D" w14:textId="77777777" w:rsidR="00A75C0F" w:rsidRPr="008A26D2" w:rsidRDefault="00A75C0F" w:rsidP="00AF5836">
            <w:pPr>
              <w:rPr>
                <w:rFonts w:ascii="Arial" w:eastAsia="Arial Narrow" w:hAnsi="Arial" w:cs="Arial"/>
                <w:b/>
                <w:sz w:val="20"/>
                <w:szCs w:val="20"/>
              </w:rPr>
            </w:pPr>
            <w:r w:rsidRPr="008A26D2">
              <w:rPr>
                <w:rFonts w:ascii="Arial" w:eastAsia="Arial Narrow" w:hAnsi="Arial" w:cs="Arial"/>
                <w:b/>
                <w:sz w:val="20"/>
                <w:szCs w:val="20"/>
              </w:rPr>
              <w:t>2. Especificaciones técnicas:</w:t>
            </w:r>
          </w:p>
          <w:p w14:paraId="7080891E" w14:textId="77777777" w:rsidR="00A75C0F" w:rsidRPr="008A26D2" w:rsidRDefault="00A75C0F" w:rsidP="00AF5836">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La variable A se determina sumando la cantidad de actores estratégicos que reciben el contrato de administración dentro del plazo máximo de atención.</w:t>
            </w:r>
          </w:p>
          <w:p w14:paraId="0E19380A" w14:textId="77777777" w:rsidR="00A75C0F" w:rsidRPr="008A26D2" w:rsidRDefault="00A75C0F" w:rsidP="00AF5836">
            <w:pPr>
              <w:spacing w:after="0" w:line="240" w:lineRule="auto"/>
              <w:jc w:val="both"/>
              <w:rPr>
                <w:rFonts w:ascii="Arial" w:eastAsia="Arial Narrow" w:hAnsi="Arial" w:cs="Arial"/>
                <w:sz w:val="20"/>
                <w:szCs w:val="20"/>
              </w:rPr>
            </w:pPr>
          </w:p>
          <w:p w14:paraId="7887A016" w14:textId="77777777" w:rsidR="00A75C0F" w:rsidRPr="008A26D2" w:rsidRDefault="00A75C0F" w:rsidP="00AF5836">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La variable B considera a todos los contratos de administración otorgados </w:t>
            </w:r>
            <w:r w:rsidRPr="008A26D2">
              <w:rPr>
                <w:rFonts w:ascii="Arial" w:eastAsia="Times New Roman" w:hAnsi="Arial" w:cs="Arial"/>
                <w:sz w:val="20"/>
                <w:szCs w:val="20"/>
              </w:rPr>
              <w:t>en el año de medición.</w:t>
            </w:r>
          </w:p>
          <w:p w14:paraId="7CDC4364" w14:textId="77777777" w:rsidR="00A75C0F" w:rsidRDefault="00A75C0F" w:rsidP="00AF5836">
            <w:pPr>
              <w:spacing w:after="0" w:line="240" w:lineRule="auto"/>
              <w:jc w:val="both"/>
              <w:rPr>
                <w:rFonts w:ascii="Arial" w:eastAsia="Arial Narrow" w:hAnsi="Arial" w:cs="Arial"/>
                <w:sz w:val="20"/>
                <w:szCs w:val="20"/>
              </w:rPr>
            </w:pPr>
          </w:p>
          <w:p w14:paraId="29124BAA" w14:textId="77777777" w:rsidR="00A75C0F" w:rsidRPr="008A26D2" w:rsidRDefault="00A75C0F" w:rsidP="00AF5836">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Los plazos de otorgamiento de contratos de administración se adecuan de acuerdo con cada modalidad, es decir, a solicitud de parte o por concurso de méritos a solicitud del </w:t>
            </w:r>
            <w:r w:rsidRPr="000067A7">
              <w:rPr>
                <w:rFonts w:ascii="Arial" w:eastAsia="Arial Narrow" w:hAnsi="Arial" w:cs="Arial"/>
                <w:sz w:val="20"/>
                <w:szCs w:val="20"/>
              </w:rPr>
              <w:t xml:space="preserve">Servicio Nacional de Áreas Naturales Protegidas por el Estado </w:t>
            </w:r>
            <w:r>
              <w:rPr>
                <w:rFonts w:ascii="Arial" w:eastAsia="Arial Narrow" w:hAnsi="Arial" w:cs="Arial"/>
                <w:sz w:val="20"/>
                <w:szCs w:val="20"/>
              </w:rPr>
              <w:t>-</w:t>
            </w:r>
            <w:r w:rsidRPr="008A26D2">
              <w:rPr>
                <w:rFonts w:ascii="Arial" w:eastAsia="Arial Narrow" w:hAnsi="Arial" w:cs="Arial"/>
                <w:sz w:val="20"/>
                <w:szCs w:val="20"/>
              </w:rPr>
              <w:t>SERNANP, siendo estos los siguientes:</w:t>
            </w:r>
          </w:p>
          <w:p w14:paraId="3DED87CF" w14:textId="77777777" w:rsidR="00A75C0F" w:rsidRPr="008A26D2" w:rsidRDefault="00A75C0F" w:rsidP="00AF5836">
            <w:pPr>
              <w:spacing w:after="0" w:line="240" w:lineRule="auto"/>
              <w:jc w:val="both"/>
              <w:rPr>
                <w:rFonts w:ascii="Arial" w:eastAsia="Arial Narrow" w:hAnsi="Arial" w:cs="Arial"/>
                <w:sz w:val="20"/>
                <w:szCs w:val="20"/>
              </w:rPr>
            </w:pPr>
          </w:p>
          <w:tbl>
            <w:tblPr>
              <w:tblStyle w:val="Tablaconcuadrcula"/>
              <w:tblW w:w="5424" w:type="dxa"/>
              <w:tblLayout w:type="fixed"/>
              <w:tblLook w:val="04A0" w:firstRow="1" w:lastRow="0" w:firstColumn="1" w:lastColumn="0" w:noHBand="0" w:noVBand="1"/>
            </w:tblPr>
            <w:tblGrid>
              <w:gridCol w:w="3440"/>
              <w:gridCol w:w="1984"/>
            </w:tblGrid>
            <w:tr w:rsidR="00A75C0F" w:rsidRPr="008A26D2" w14:paraId="4B868364" w14:textId="77777777" w:rsidTr="00B36209">
              <w:tc>
                <w:tcPr>
                  <w:tcW w:w="3440" w:type="dxa"/>
                  <w:shd w:val="clear" w:color="auto" w:fill="D9D9D9" w:themeFill="background1" w:themeFillShade="D9"/>
                </w:tcPr>
                <w:p w14:paraId="5C7FDBE0" w14:textId="77777777" w:rsidR="00A75C0F" w:rsidRPr="00B36209" w:rsidRDefault="00A75C0F" w:rsidP="00AF5836">
                  <w:pPr>
                    <w:jc w:val="center"/>
                    <w:rPr>
                      <w:rFonts w:ascii="Arial" w:eastAsia="Arial Narrow" w:hAnsi="Arial" w:cs="Arial"/>
                      <w:i/>
                      <w:iCs/>
                      <w:sz w:val="20"/>
                      <w:szCs w:val="20"/>
                    </w:rPr>
                  </w:pPr>
                  <w:r w:rsidRPr="00B36209">
                    <w:rPr>
                      <w:rFonts w:ascii="Arial" w:eastAsia="Arial Narrow" w:hAnsi="Arial" w:cs="Arial"/>
                      <w:i/>
                      <w:iCs/>
                      <w:sz w:val="20"/>
                      <w:szCs w:val="20"/>
                    </w:rPr>
                    <w:t>Procedimientos:</w:t>
                  </w:r>
                </w:p>
              </w:tc>
              <w:tc>
                <w:tcPr>
                  <w:tcW w:w="1984" w:type="dxa"/>
                  <w:shd w:val="clear" w:color="auto" w:fill="D9D9D9" w:themeFill="background1" w:themeFillShade="D9"/>
                </w:tcPr>
                <w:p w14:paraId="30230BC0" w14:textId="77777777" w:rsidR="00A75C0F" w:rsidRPr="00B36209" w:rsidRDefault="00A75C0F" w:rsidP="00AF5836">
                  <w:pPr>
                    <w:jc w:val="center"/>
                    <w:rPr>
                      <w:rFonts w:ascii="Arial" w:eastAsia="Arial Narrow" w:hAnsi="Arial" w:cs="Arial"/>
                      <w:i/>
                      <w:iCs/>
                      <w:sz w:val="20"/>
                      <w:szCs w:val="20"/>
                    </w:rPr>
                  </w:pPr>
                  <w:r w:rsidRPr="00B36209">
                    <w:rPr>
                      <w:rFonts w:ascii="Arial" w:eastAsia="Arial Narrow" w:hAnsi="Arial" w:cs="Arial"/>
                      <w:i/>
                      <w:iCs/>
                      <w:sz w:val="20"/>
                      <w:szCs w:val="20"/>
                    </w:rPr>
                    <w:t>Plazos máximos de atención:</w:t>
                  </w:r>
                </w:p>
              </w:tc>
            </w:tr>
            <w:tr w:rsidR="00A75C0F" w:rsidRPr="008A26D2" w14:paraId="18F392F3" w14:textId="77777777" w:rsidTr="00B36209">
              <w:tc>
                <w:tcPr>
                  <w:tcW w:w="3440" w:type="dxa"/>
                </w:tcPr>
                <w:p w14:paraId="026B677A" w14:textId="77777777" w:rsidR="00A75C0F" w:rsidRPr="008A26D2" w:rsidRDefault="00A75C0F" w:rsidP="00AF5836">
                  <w:pPr>
                    <w:jc w:val="both"/>
                    <w:rPr>
                      <w:rFonts w:ascii="Arial" w:eastAsia="Arial Narrow" w:hAnsi="Arial" w:cs="Arial"/>
                      <w:sz w:val="20"/>
                      <w:szCs w:val="20"/>
                    </w:rPr>
                  </w:pPr>
                  <w:r w:rsidRPr="008A26D2">
                    <w:rPr>
                      <w:rFonts w:ascii="Arial" w:eastAsia="Arial Narrow" w:hAnsi="Arial" w:cs="Arial"/>
                      <w:sz w:val="20"/>
                      <w:szCs w:val="20"/>
                    </w:rPr>
                    <w:t>A solicitud de parte</w:t>
                  </w:r>
                </w:p>
              </w:tc>
              <w:tc>
                <w:tcPr>
                  <w:tcW w:w="1984" w:type="dxa"/>
                </w:tcPr>
                <w:p w14:paraId="6D6D661F" w14:textId="77777777" w:rsidR="00A75C0F" w:rsidRPr="008A26D2" w:rsidRDefault="00A75C0F" w:rsidP="00AF5836">
                  <w:pPr>
                    <w:jc w:val="both"/>
                    <w:rPr>
                      <w:rFonts w:ascii="Arial" w:eastAsia="Arial Narrow" w:hAnsi="Arial" w:cs="Arial"/>
                      <w:sz w:val="20"/>
                      <w:szCs w:val="20"/>
                    </w:rPr>
                  </w:pPr>
                  <w:r w:rsidRPr="008A26D2">
                    <w:rPr>
                      <w:rFonts w:ascii="Arial" w:eastAsia="Arial Narrow" w:hAnsi="Arial" w:cs="Arial"/>
                      <w:sz w:val="20"/>
                      <w:szCs w:val="20"/>
                    </w:rPr>
                    <w:t>268 días calendario</w:t>
                  </w:r>
                </w:p>
              </w:tc>
            </w:tr>
            <w:tr w:rsidR="00A75C0F" w:rsidRPr="008A26D2" w14:paraId="5D4AB95B" w14:textId="77777777" w:rsidTr="00B36209">
              <w:tc>
                <w:tcPr>
                  <w:tcW w:w="3440" w:type="dxa"/>
                </w:tcPr>
                <w:p w14:paraId="53593D08" w14:textId="77777777" w:rsidR="00A75C0F" w:rsidRPr="008A26D2" w:rsidRDefault="00A75C0F" w:rsidP="00AF5836">
                  <w:pPr>
                    <w:jc w:val="both"/>
                    <w:rPr>
                      <w:rFonts w:ascii="Arial" w:eastAsia="Arial Narrow" w:hAnsi="Arial" w:cs="Arial"/>
                      <w:sz w:val="20"/>
                      <w:szCs w:val="20"/>
                    </w:rPr>
                  </w:pPr>
                  <w:r w:rsidRPr="008A26D2">
                    <w:rPr>
                      <w:rFonts w:ascii="Arial" w:eastAsia="Arial Narrow" w:hAnsi="Arial" w:cs="Arial"/>
                      <w:sz w:val="20"/>
                      <w:szCs w:val="20"/>
                    </w:rPr>
                    <w:t>Concurso de méritos a solicitud del SERNANP</w:t>
                  </w:r>
                </w:p>
              </w:tc>
              <w:tc>
                <w:tcPr>
                  <w:tcW w:w="1984" w:type="dxa"/>
                </w:tcPr>
                <w:p w14:paraId="2187440F" w14:textId="77777777" w:rsidR="00A75C0F" w:rsidRPr="008A26D2" w:rsidRDefault="00A75C0F" w:rsidP="00AF5836">
                  <w:pPr>
                    <w:jc w:val="both"/>
                    <w:rPr>
                      <w:rFonts w:ascii="Arial" w:eastAsia="Arial Narrow" w:hAnsi="Arial" w:cs="Arial"/>
                      <w:sz w:val="20"/>
                      <w:szCs w:val="20"/>
                    </w:rPr>
                  </w:pPr>
                  <w:r w:rsidRPr="008A26D2">
                    <w:rPr>
                      <w:rFonts w:ascii="Arial" w:eastAsia="Arial Narrow" w:hAnsi="Arial" w:cs="Arial"/>
                      <w:sz w:val="20"/>
                      <w:szCs w:val="20"/>
                    </w:rPr>
                    <w:t>193 días calendario</w:t>
                  </w:r>
                </w:p>
              </w:tc>
            </w:tr>
          </w:tbl>
          <w:p w14:paraId="16B5C3F5" w14:textId="77777777" w:rsidR="00A75C0F" w:rsidRPr="008A26D2" w:rsidRDefault="00A75C0F" w:rsidP="00AF5836">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 </w:t>
            </w:r>
          </w:p>
          <w:p w14:paraId="562B570F" w14:textId="77777777" w:rsidR="00A75C0F" w:rsidRPr="008A26D2" w:rsidRDefault="00A75C0F" w:rsidP="00AF5836">
            <w:pPr>
              <w:spacing w:after="0" w:line="240" w:lineRule="auto"/>
              <w:jc w:val="both"/>
              <w:rPr>
                <w:rFonts w:ascii="Arial" w:eastAsia="Arial Narrow" w:hAnsi="Arial" w:cs="Arial"/>
                <w:sz w:val="20"/>
                <w:szCs w:val="20"/>
              </w:rPr>
            </w:pPr>
          </w:p>
          <w:p w14:paraId="57B7B81C" w14:textId="70C6F7E3" w:rsidR="00A75C0F" w:rsidRPr="008A26D2" w:rsidRDefault="00A75C0F" w:rsidP="00AF5836">
            <w:pPr>
              <w:rPr>
                <w:rFonts w:ascii="Arial" w:hAnsi="Arial" w:cs="Arial"/>
                <w:sz w:val="20"/>
                <w:szCs w:val="20"/>
              </w:rPr>
            </w:pPr>
            <w:r w:rsidRPr="008A26D2">
              <w:rPr>
                <w:rFonts w:ascii="Arial" w:eastAsia="Arial Narrow" w:hAnsi="Arial" w:cs="Arial"/>
                <w:sz w:val="20"/>
                <w:szCs w:val="20"/>
              </w:rPr>
              <w:t xml:space="preserve">Se carece de línea base porque no se contaba con la metodología para la medición del estándar, por ese motivo, el </w:t>
            </w:r>
            <w:r w:rsidRPr="000067A7">
              <w:rPr>
                <w:rFonts w:ascii="Arial" w:eastAsia="Arial Narrow" w:hAnsi="Arial" w:cs="Arial"/>
                <w:sz w:val="20"/>
                <w:szCs w:val="20"/>
              </w:rPr>
              <w:t xml:space="preserve">Servicio Nacional de Áreas Naturales Protegidas por el Estado </w:t>
            </w:r>
            <w:r>
              <w:rPr>
                <w:rFonts w:ascii="Arial" w:eastAsia="Arial Narrow" w:hAnsi="Arial" w:cs="Arial"/>
                <w:sz w:val="20"/>
                <w:szCs w:val="20"/>
              </w:rPr>
              <w:t xml:space="preserve">- </w:t>
            </w:r>
            <w:r w:rsidRPr="008A26D2">
              <w:rPr>
                <w:rFonts w:ascii="Arial" w:eastAsia="Arial Narrow" w:hAnsi="Arial" w:cs="Arial"/>
                <w:sz w:val="20"/>
                <w:szCs w:val="20"/>
              </w:rPr>
              <w:t>SERNANP determinará la línea base antes del inicio de la implementación de la presente Política Nacional.</w:t>
            </w:r>
          </w:p>
        </w:tc>
      </w:tr>
      <w:tr w:rsidR="00A75C0F" w:rsidRPr="008A26D2" w14:paraId="26D40B5A" w14:textId="77777777" w:rsidTr="00B36209">
        <w:trPr>
          <w:trHeight w:val="686"/>
        </w:trPr>
        <w:tc>
          <w:tcPr>
            <w:tcW w:w="2424" w:type="dxa"/>
            <w:gridSpan w:val="2"/>
            <w:shd w:val="clear" w:color="auto" w:fill="auto"/>
            <w:tcMar>
              <w:top w:w="10" w:type="dxa"/>
              <w:left w:w="93" w:type="dxa"/>
              <w:bottom w:w="0" w:type="dxa"/>
              <w:right w:w="10" w:type="dxa"/>
            </w:tcMar>
            <w:vAlign w:val="center"/>
          </w:tcPr>
          <w:p w14:paraId="4268D566"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lastRenderedPageBreak/>
              <w:t>Sentido esperado del indicador:</w:t>
            </w:r>
          </w:p>
        </w:tc>
        <w:tc>
          <w:tcPr>
            <w:tcW w:w="1687" w:type="dxa"/>
            <w:gridSpan w:val="2"/>
            <w:shd w:val="clear" w:color="auto" w:fill="auto"/>
            <w:tcMar>
              <w:top w:w="10" w:type="dxa"/>
              <w:left w:w="283" w:type="dxa"/>
              <w:bottom w:w="0" w:type="dxa"/>
              <w:right w:w="283" w:type="dxa"/>
            </w:tcMar>
            <w:vAlign w:val="center"/>
          </w:tcPr>
          <w:p w14:paraId="4ACF8B63" w14:textId="77777777" w:rsidR="00A75C0F" w:rsidRPr="008A26D2" w:rsidRDefault="00A75C0F" w:rsidP="00AF5836">
            <w:pPr>
              <w:tabs>
                <w:tab w:val="left" w:pos="3375"/>
              </w:tabs>
              <w:rPr>
                <w:rFonts w:ascii="Arial" w:hAnsi="Arial" w:cs="Arial"/>
                <w:sz w:val="20"/>
                <w:szCs w:val="20"/>
              </w:rPr>
            </w:pPr>
            <w:r w:rsidRPr="008A26D2">
              <w:rPr>
                <w:rFonts w:ascii="Arial" w:hAnsi="Arial" w:cs="Arial"/>
                <w:sz w:val="20"/>
                <w:szCs w:val="20"/>
              </w:rPr>
              <w:t>Ascendente</w:t>
            </w:r>
          </w:p>
        </w:tc>
        <w:tc>
          <w:tcPr>
            <w:tcW w:w="2551" w:type="dxa"/>
            <w:gridSpan w:val="4"/>
            <w:shd w:val="clear" w:color="auto" w:fill="auto"/>
            <w:tcMar>
              <w:top w:w="15" w:type="dxa"/>
              <w:left w:w="15" w:type="dxa"/>
              <w:bottom w:w="0" w:type="dxa"/>
              <w:right w:w="15" w:type="dxa"/>
            </w:tcMar>
            <w:vAlign w:val="center"/>
          </w:tcPr>
          <w:p w14:paraId="17232CEF"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Tipo de indicador del servicio</w:t>
            </w:r>
          </w:p>
        </w:tc>
        <w:tc>
          <w:tcPr>
            <w:tcW w:w="1701" w:type="dxa"/>
            <w:gridSpan w:val="3"/>
            <w:shd w:val="clear" w:color="auto" w:fill="auto"/>
            <w:tcMar>
              <w:top w:w="15" w:type="dxa"/>
              <w:left w:w="15" w:type="dxa"/>
              <w:bottom w:w="0" w:type="dxa"/>
              <w:right w:w="15" w:type="dxa"/>
            </w:tcMar>
            <w:vAlign w:val="center"/>
          </w:tcPr>
          <w:p w14:paraId="3B7F89BE"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sz w:val="20"/>
                <w:szCs w:val="20"/>
              </w:rPr>
              <w:t>Calidad - Oportunidad</w:t>
            </w:r>
          </w:p>
        </w:tc>
      </w:tr>
      <w:tr w:rsidR="00A75C0F" w:rsidRPr="008A26D2" w14:paraId="2B55090E" w14:textId="77777777" w:rsidTr="00AF5836">
        <w:trPr>
          <w:trHeight w:val="13"/>
        </w:trPr>
        <w:tc>
          <w:tcPr>
            <w:tcW w:w="2424" w:type="dxa"/>
            <w:gridSpan w:val="2"/>
            <w:shd w:val="clear" w:color="auto" w:fill="auto"/>
            <w:tcMar>
              <w:top w:w="10" w:type="dxa"/>
              <w:left w:w="93" w:type="dxa"/>
              <w:bottom w:w="0" w:type="dxa"/>
              <w:right w:w="10" w:type="dxa"/>
            </w:tcMar>
            <w:vAlign w:val="center"/>
          </w:tcPr>
          <w:p w14:paraId="2FC4408E"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Fuente y base de datos:</w:t>
            </w:r>
          </w:p>
        </w:tc>
        <w:tc>
          <w:tcPr>
            <w:tcW w:w="5939" w:type="dxa"/>
            <w:gridSpan w:val="9"/>
            <w:shd w:val="clear" w:color="auto" w:fill="auto"/>
            <w:tcMar>
              <w:top w:w="51" w:type="dxa"/>
              <w:left w:w="227" w:type="dxa"/>
              <w:bottom w:w="51" w:type="dxa"/>
              <w:right w:w="227" w:type="dxa"/>
            </w:tcMar>
            <w:vAlign w:val="center"/>
          </w:tcPr>
          <w:p w14:paraId="16ED5EA8" w14:textId="2F601521" w:rsidR="00A75C0F" w:rsidRPr="008A26D2" w:rsidRDefault="00A75C0F" w:rsidP="00AF5836">
            <w:pPr>
              <w:tabs>
                <w:tab w:val="left" w:pos="3375"/>
              </w:tabs>
              <w:rPr>
                <w:rFonts w:ascii="Arial" w:hAnsi="Arial" w:cs="Arial"/>
                <w:sz w:val="20"/>
                <w:szCs w:val="20"/>
              </w:rPr>
            </w:pPr>
            <w:r w:rsidRPr="008A26D2">
              <w:rPr>
                <w:rFonts w:ascii="Arial" w:eastAsia="Arial Narrow" w:hAnsi="Arial" w:cs="Arial"/>
                <w:sz w:val="20"/>
                <w:szCs w:val="20"/>
              </w:rPr>
              <w:t xml:space="preserve">Fuente: Dirección de Gestión de las Áreas Naturales Protegidas (DGANP) del Servicio Nacional de Áreas Naturales Protegidas por el Estado </w:t>
            </w:r>
            <w:r>
              <w:rPr>
                <w:rFonts w:ascii="Arial" w:eastAsia="Arial Narrow" w:hAnsi="Arial" w:cs="Arial"/>
                <w:sz w:val="20"/>
                <w:szCs w:val="20"/>
              </w:rPr>
              <w:t xml:space="preserve">- </w:t>
            </w:r>
            <w:r w:rsidRPr="008A26D2">
              <w:rPr>
                <w:rFonts w:ascii="Arial" w:eastAsia="Arial Narrow" w:hAnsi="Arial" w:cs="Arial"/>
                <w:sz w:val="20"/>
                <w:szCs w:val="20"/>
              </w:rPr>
              <w:t>SERNANP</w:t>
            </w:r>
            <w:r w:rsidRPr="008A26D2">
              <w:rPr>
                <w:rFonts w:ascii="Arial" w:eastAsia="Arial Narrow" w:hAnsi="Arial" w:cs="Arial"/>
                <w:sz w:val="20"/>
                <w:szCs w:val="20"/>
              </w:rPr>
              <w:br/>
              <w:t>Base de datos: Informes anuales de la Dirección de Gestión de las Áreas Naturales Protegidas</w:t>
            </w:r>
            <w:r>
              <w:rPr>
                <w:rFonts w:ascii="Arial" w:eastAsia="Arial Narrow" w:hAnsi="Arial" w:cs="Arial"/>
                <w:sz w:val="20"/>
                <w:szCs w:val="20"/>
              </w:rPr>
              <w:t>.</w:t>
            </w:r>
          </w:p>
        </w:tc>
      </w:tr>
      <w:tr w:rsidR="00A75C0F" w:rsidRPr="008A26D2" w14:paraId="0134931D" w14:textId="77777777" w:rsidTr="00AF5836">
        <w:trPr>
          <w:trHeight w:val="419"/>
        </w:trPr>
        <w:tc>
          <w:tcPr>
            <w:tcW w:w="2424" w:type="dxa"/>
            <w:gridSpan w:val="2"/>
            <w:shd w:val="clear" w:color="auto" w:fill="auto"/>
            <w:tcMar>
              <w:top w:w="10" w:type="dxa"/>
              <w:left w:w="93" w:type="dxa"/>
              <w:bottom w:w="0" w:type="dxa"/>
              <w:right w:w="10" w:type="dxa"/>
            </w:tcMar>
            <w:vAlign w:val="center"/>
          </w:tcPr>
          <w:p w14:paraId="78493680"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Supuestos:</w:t>
            </w:r>
          </w:p>
        </w:tc>
        <w:tc>
          <w:tcPr>
            <w:tcW w:w="5939" w:type="dxa"/>
            <w:gridSpan w:val="9"/>
            <w:shd w:val="clear" w:color="auto" w:fill="auto"/>
            <w:tcMar>
              <w:top w:w="51" w:type="dxa"/>
              <w:left w:w="227" w:type="dxa"/>
              <w:bottom w:w="51" w:type="dxa"/>
              <w:right w:w="227" w:type="dxa"/>
            </w:tcMar>
            <w:vAlign w:val="center"/>
          </w:tcPr>
          <w:p w14:paraId="2BBCB33A" w14:textId="77777777" w:rsidR="00A75C0F" w:rsidRPr="008A26D2" w:rsidRDefault="00A75C0F" w:rsidP="00AF5836">
            <w:pPr>
              <w:tabs>
                <w:tab w:val="left" w:pos="3375"/>
              </w:tabs>
              <w:rPr>
                <w:rFonts w:ascii="Arial" w:eastAsia="Arial Narrow" w:hAnsi="Arial" w:cs="Arial"/>
                <w:sz w:val="20"/>
                <w:szCs w:val="20"/>
              </w:rPr>
            </w:pPr>
            <w:r w:rsidRPr="008A26D2">
              <w:rPr>
                <w:rFonts w:ascii="Arial" w:eastAsia="Arial Narrow" w:hAnsi="Arial" w:cs="Arial"/>
                <w:sz w:val="20"/>
                <w:szCs w:val="20"/>
              </w:rPr>
              <w:t>No presenta supuestos</w:t>
            </w:r>
          </w:p>
        </w:tc>
      </w:tr>
      <w:tr w:rsidR="00A75C0F" w:rsidRPr="008A26D2" w14:paraId="38596F0A" w14:textId="77777777" w:rsidTr="00B36209">
        <w:trPr>
          <w:trHeight w:val="556"/>
        </w:trPr>
        <w:tc>
          <w:tcPr>
            <w:tcW w:w="1276" w:type="dxa"/>
            <w:shd w:val="clear" w:color="auto" w:fill="auto"/>
            <w:tcMar>
              <w:top w:w="10" w:type="dxa"/>
              <w:left w:w="10" w:type="dxa"/>
              <w:bottom w:w="0" w:type="dxa"/>
              <w:right w:w="10" w:type="dxa"/>
            </w:tcMar>
            <w:vAlign w:val="center"/>
          </w:tcPr>
          <w:p w14:paraId="58FC673F"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 </w:t>
            </w:r>
          </w:p>
        </w:tc>
        <w:tc>
          <w:tcPr>
            <w:tcW w:w="1148" w:type="dxa"/>
            <w:shd w:val="clear" w:color="auto" w:fill="auto"/>
            <w:tcMar>
              <w:top w:w="10" w:type="dxa"/>
              <w:left w:w="10" w:type="dxa"/>
              <w:bottom w:w="0" w:type="dxa"/>
              <w:right w:w="10" w:type="dxa"/>
            </w:tcMar>
            <w:vAlign w:val="center"/>
          </w:tcPr>
          <w:p w14:paraId="6611C011"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b/>
                <w:sz w:val="20"/>
                <w:szCs w:val="20"/>
              </w:rPr>
              <w:t>Línea de base</w:t>
            </w:r>
          </w:p>
        </w:tc>
        <w:tc>
          <w:tcPr>
            <w:tcW w:w="5939" w:type="dxa"/>
            <w:gridSpan w:val="9"/>
            <w:shd w:val="clear" w:color="auto" w:fill="auto"/>
            <w:tcMar>
              <w:top w:w="10" w:type="dxa"/>
              <w:left w:w="10" w:type="dxa"/>
              <w:bottom w:w="0" w:type="dxa"/>
              <w:right w:w="10" w:type="dxa"/>
            </w:tcMar>
            <w:vAlign w:val="center"/>
          </w:tcPr>
          <w:p w14:paraId="52022BDC"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b/>
                <w:sz w:val="20"/>
                <w:szCs w:val="20"/>
              </w:rPr>
              <w:t>Logros esperados</w:t>
            </w:r>
          </w:p>
        </w:tc>
      </w:tr>
      <w:tr w:rsidR="00A75C0F" w:rsidRPr="008A26D2" w14:paraId="726B3A1B" w14:textId="77777777" w:rsidTr="00B36209">
        <w:trPr>
          <w:trHeight w:val="217"/>
        </w:trPr>
        <w:tc>
          <w:tcPr>
            <w:tcW w:w="1276" w:type="dxa"/>
            <w:shd w:val="clear" w:color="auto" w:fill="auto"/>
            <w:tcMar>
              <w:top w:w="10" w:type="dxa"/>
              <w:left w:w="10" w:type="dxa"/>
              <w:bottom w:w="0" w:type="dxa"/>
              <w:right w:w="10" w:type="dxa"/>
            </w:tcMar>
            <w:vAlign w:val="center"/>
          </w:tcPr>
          <w:p w14:paraId="5A059D7C"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Año</w:t>
            </w:r>
          </w:p>
        </w:tc>
        <w:tc>
          <w:tcPr>
            <w:tcW w:w="1148" w:type="dxa"/>
            <w:shd w:val="clear" w:color="auto" w:fill="auto"/>
            <w:tcMar>
              <w:top w:w="10" w:type="dxa"/>
              <w:left w:w="10" w:type="dxa"/>
              <w:bottom w:w="0" w:type="dxa"/>
              <w:right w:w="10" w:type="dxa"/>
            </w:tcMar>
            <w:vAlign w:val="center"/>
          </w:tcPr>
          <w:p w14:paraId="2477897F"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2022</w:t>
            </w:r>
          </w:p>
        </w:tc>
        <w:tc>
          <w:tcPr>
            <w:tcW w:w="836" w:type="dxa"/>
            <w:shd w:val="clear" w:color="auto" w:fill="auto"/>
            <w:tcMar>
              <w:top w:w="10" w:type="dxa"/>
              <w:left w:w="10" w:type="dxa"/>
              <w:bottom w:w="0" w:type="dxa"/>
              <w:right w:w="10" w:type="dxa"/>
            </w:tcMar>
            <w:vAlign w:val="center"/>
          </w:tcPr>
          <w:p w14:paraId="18E292BF"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2023</w:t>
            </w:r>
          </w:p>
        </w:tc>
        <w:tc>
          <w:tcPr>
            <w:tcW w:w="851" w:type="dxa"/>
            <w:shd w:val="clear" w:color="auto" w:fill="auto"/>
            <w:vAlign w:val="center"/>
          </w:tcPr>
          <w:p w14:paraId="47247969"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2024</w:t>
            </w:r>
          </w:p>
        </w:tc>
        <w:tc>
          <w:tcPr>
            <w:tcW w:w="709" w:type="dxa"/>
            <w:shd w:val="clear" w:color="auto" w:fill="auto"/>
            <w:vAlign w:val="center"/>
          </w:tcPr>
          <w:p w14:paraId="5D528AAF"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2025</w:t>
            </w:r>
          </w:p>
        </w:tc>
        <w:tc>
          <w:tcPr>
            <w:tcW w:w="708" w:type="dxa"/>
            <w:shd w:val="clear" w:color="auto" w:fill="auto"/>
            <w:vAlign w:val="center"/>
          </w:tcPr>
          <w:p w14:paraId="429F37BC"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2026</w:t>
            </w:r>
          </w:p>
        </w:tc>
        <w:tc>
          <w:tcPr>
            <w:tcW w:w="709" w:type="dxa"/>
            <w:shd w:val="clear" w:color="auto" w:fill="auto"/>
            <w:vAlign w:val="center"/>
          </w:tcPr>
          <w:p w14:paraId="712A112B"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2027</w:t>
            </w:r>
          </w:p>
        </w:tc>
        <w:tc>
          <w:tcPr>
            <w:tcW w:w="709" w:type="dxa"/>
            <w:gridSpan w:val="2"/>
            <w:shd w:val="clear" w:color="auto" w:fill="auto"/>
            <w:vAlign w:val="center"/>
          </w:tcPr>
          <w:p w14:paraId="75E191B5"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2028</w:t>
            </w:r>
          </w:p>
        </w:tc>
        <w:tc>
          <w:tcPr>
            <w:tcW w:w="850" w:type="dxa"/>
            <w:shd w:val="clear" w:color="auto" w:fill="auto"/>
            <w:vAlign w:val="center"/>
          </w:tcPr>
          <w:p w14:paraId="699FCCF4"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2029</w:t>
            </w:r>
          </w:p>
        </w:tc>
        <w:tc>
          <w:tcPr>
            <w:tcW w:w="567" w:type="dxa"/>
            <w:shd w:val="clear" w:color="auto" w:fill="auto"/>
            <w:tcMar>
              <w:top w:w="10" w:type="dxa"/>
              <w:left w:w="10" w:type="dxa"/>
              <w:bottom w:w="0" w:type="dxa"/>
              <w:right w:w="10" w:type="dxa"/>
            </w:tcMar>
            <w:vAlign w:val="center"/>
          </w:tcPr>
          <w:p w14:paraId="3286A4C0"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2030</w:t>
            </w:r>
          </w:p>
        </w:tc>
      </w:tr>
      <w:tr w:rsidR="00A75C0F" w:rsidRPr="008A26D2" w14:paraId="06BA3C42" w14:textId="77777777" w:rsidTr="00B36209">
        <w:trPr>
          <w:trHeight w:val="81"/>
        </w:trPr>
        <w:tc>
          <w:tcPr>
            <w:tcW w:w="1276" w:type="dxa"/>
            <w:shd w:val="clear" w:color="auto" w:fill="auto"/>
            <w:tcMar>
              <w:top w:w="10" w:type="dxa"/>
              <w:left w:w="10" w:type="dxa"/>
              <w:bottom w:w="0" w:type="dxa"/>
              <w:right w:w="10" w:type="dxa"/>
            </w:tcMar>
            <w:vAlign w:val="center"/>
          </w:tcPr>
          <w:p w14:paraId="16A10E47"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Valor</w:t>
            </w:r>
          </w:p>
        </w:tc>
        <w:tc>
          <w:tcPr>
            <w:tcW w:w="1148" w:type="dxa"/>
            <w:shd w:val="clear" w:color="auto" w:fill="auto"/>
            <w:tcMar>
              <w:top w:w="10" w:type="dxa"/>
              <w:left w:w="10" w:type="dxa"/>
              <w:bottom w:w="0" w:type="dxa"/>
              <w:right w:w="10" w:type="dxa"/>
            </w:tcMar>
            <w:vAlign w:val="center"/>
          </w:tcPr>
          <w:p w14:paraId="3BAD85FF" w14:textId="77777777" w:rsidR="00A75C0F" w:rsidRPr="008A26D2" w:rsidRDefault="00A75C0F" w:rsidP="00AF5836">
            <w:pPr>
              <w:tabs>
                <w:tab w:val="left" w:pos="3375"/>
              </w:tabs>
              <w:jc w:val="center"/>
              <w:rPr>
                <w:rFonts w:ascii="Arial" w:hAnsi="Arial" w:cs="Arial"/>
                <w:sz w:val="20"/>
                <w:szCs w:val="20"/>
              </w:rPr>
            </w:pPr>
            <w:r w:rsidRPr="00B36209">
              <w:rPr>
                <w:rFonts w:ascii="Arial" w:hAnsi="Arial" w:cs="Arial"/>
                <w:sz w:val="20"/>
                <w:szCs w:val="20"/>
              </w:rPr>
              <w:t>ND</w:t>
            </w:r>
          </w:p>
        </w:tc>
        <w:tc>
          <w:tcPr>
            <w:tcW w:w="836" w:type="dxa"/>
            <w:shd w:val="clear" w:color="auto" w:fill="auto"/>
            <w:tcMar>
              <w:top w:w="10" w:type="dxa"/>
              <w:left w:w="10" w:type="dxa"/>
              <w:bottom w:w="0" w:type="dxa"/>
              <w:right w:w="10" w:type="dxa"/>
            </w:tcMar>
            <w:vAlign w:val="bottom"/>
          </w:tcPr>
          <w:p w14:paraId="0AFA5710"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sz w:val="20"/>
                <w:szCs w:val="20"/>
              </w:rPr>
              <w:t>50%</w:t>
            </w:r>
          </w:p>
        </w:tc>
        <w:tc>
          <w:tcPr>
            <w:tcW w:w="851" w:type="dxa"/>
            <w:shd w:val="clear" w:color="auto" w:fill="auto"/>
            <w:vAlign w:val="bottom"/>
          </w:tcPr>
          <w:p w14:paraId="40EAC8F8"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sz w:val="20"/>
                <w:szCs w:val="20"/>
              </w:rPr>
              <w:t>60%</w:t>
            </w:r>
          </w:p>
        </w:tc>
        <w:tc>
          <w:tcPr>
            <w:tcW w:w="709" w:type="dxa"/>
            <w:shd w:val="clear" w:color="auto" w:fill="auto"/>
            <w:vAlign w:val="bottom"/>
          </w:tcPr>
          <w:p w14:paraId="0A2CA8DD"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sz w:val="20"/>
                <w:szCs w:val="20"/>
              </w:rPr>
              <w:t>70%</w:t>
            </w:r>
          </w:p>
        </w:tc>
        <w:tc>
          <w:tcPr>
            <w:tcW w:w="708" w:type="dxa"/>
            <w:shd w:val="clear" w:color="auto" w:fill="auto"/>
            <w:vAlign w:val="bottom"/>
          </w:tcPr>
          <w:p w14:paraId="6E56E6CC"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sz w:val="20"/>
                <w:szCs w:val="20"/>
              </w:rPr>
              <w:t>80%</w:t>
            </w:r>
          </w:p>
        </w:tc>
        <w:tc>
          <w:tcPr>
            <w:tcW w:w="709" w:type="dxa"/>
            <w:shd w:val="clear" w:color="auto" w:fill="auto"/>
            <w:vAlign w:val="bottom"/>
          </w:tcPr>
          <w:p w14:paraId="16E10903"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sz w:val="20"/>
                <w:szCs w:val="20"/>
              </w:rPr>
              <w:t>90%</w:t>
            </w:r>
          </w:p>
        </w:tc>
        <w:tc>
          <w:tcPr>
            <w:tcW w:w="709" w:type="dxa"/>
            <w:gridSpan w:val="2"/>
            <w:shd w:val="clear" w:color="auto" w:fill="auto"/>
            <w:vAlign w:val="bottom"/>
          </w:tcPr>
          <w:p w14:paraId="522376F4"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sz w:val="20"/>
                <w:szCs w:val="20"/>
              </w:rPr>
              <w:t>90%</w:t>
            </w:r>
          </w:p>
        </w:tc>
        <w:tc>
          <w:tcPr>
            <w:tcW w:w="850" w:type="dxa"/>
            <w:shd w:val="clear" w:color="auto" w:fill="auto"/>
            <w:vAlign w:val="bottom"/>
          </w:tcPr>
          <w:p w14:paraId="359757B1"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sz w:val="20"/>
                <w:szCs w:val="20"/>
              </w:rPr>
              <w:t>100%</w:t>
            </w:r>
          </w:p>
        </w:tc>
        <w:tc>
          <w:tcPr>
            <w:tcW w:w="567" w:type="dxa"/>
            <w:shd w:val="clear" w:color="auto" w:fill="auto"/>
            <w:tcMar>
              <w:top w:w="10" w:type="dxa"/>
              <w:left w:w="10" w:type="dxa"/>
              <w:bottom w:w="0" w:type="dxa"/>
              <w:right w:w="10" w:type="dxa"/>
            </w:tcMar>
            <w:vAlign w:val="bottom"/>
          </w:tcPr>
          <w:p w14:paraId="0A0BEE1B"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sz w:val="20"/>
                <w:szCs w:val="20"/>
              </w:rPr>
              <w:t>100%</w:t>
            </w:r>
          </w:p>
        </w:tc>
      </w:tr>
    </w:tbl>
    <w:p w14:paraId="31A6572A" w14:textId="77777777" w:rsidR="00A75C0F" w:rsidRPr="008A26D2" w:rsidRDefault="00A75C0F" w:rsidP="00A75C0F"/>
    <w:p w14:paraId="07F501B4" w14:textId="77777777" w:rsidR="002F5DAC" w:rsidRPr="00B139D9" w:rsidRDefault="002F5DAC" w:rsidP="002F5DAC">
      <w:pPr>
        <w:rPr>
          <w:rFonts w:eastAsia="Times New Roman"/>
        </w:rPr>
      </w:pPr>
    </w:p>
    <w:tbl>
      <w:tblPr>
        <w:tblW w:w="83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4"/>
        <w:gridCol w:w="822"/>
        <w:gridCol w:w="850"/>
        <w:gridCol w:w="29"/>
        <w:gridCol w:w="964"/>
        <w:gridCol w:w="704"/>
        <w:gridCol w:w="146"/>
        <w:gridCol w:w="718"/>
        <w:gridCol w:w="851"/>
        <w:gridCol w:w="709"/>
        <w:gridCol w:w="67"/>
        <w:gridCol w:w="641"/>
        <w:gridCol w:w="979"/>
      </w:tblGrid>
      <w:tr w:rsidR="002F5DAC" w:rsidRPr="00B139D9" w14:paraId="3B0C88E6" w14:textId="77777777" w:rsidTr="007502D1">
        <w:trPr>
          <w:trHeight w:val="251"/>
          <w:jc w:val="center"/>
        </w:trPr>
        <w:tc>
          <w:tcPr>
            <w:tcW w:w="8364" w:type="dxa"/>
            <w:gridSpan w:val="13"/>
            <w:shd w:val="clear" w:color="auto" w:fill="D9D9D9"/>
            <w:tcMar>
              <w:top w:w="10" w:type="dxa"/>
              <w:left w:w="10" w:type="dxa"/>
              <w:bottom w:w="0" w:type="dxa"/>
              <w:right w:w="10" w:type="dxa"/>
            </w:tcMar>
            <w:vAlign w:val="center"/>
          </w:tcPr>
          <w:p w14:paraId="5D4F01FF" w14:textId="77777777" w:rsidR="002F5DAC" w:rsidRPr="00B139D9" w:rsidRDefault="002F5DAC" w:rsidP="007502D1">
            <w:pPr>
              <w:tabs>
                <w:tab w:val="left" w:pos="3375"/>
              </w:tabs>
              <w:jc w:val="center"/>
              <w:rPr>
                <w:rFonts w:ascii="Arial" w:eastAsia="Times New Roman" w:hAnsi="Arial" w:cs="Arial"/>
                <w:sz w:val="20"/>
                <w:szCs w:val="20"/>
              </w:rPr>
            </w:pPr>
            <w:r w:rsidRPr="00B139D9">
              <w:rPr>
                <w:rFonts w:ascii="Arial" w:eastAsia="Times New Roman" w:hAnsi="Arial" w:cs="Arial"/>
                <w:b/>
                <w:sz w:val="20"/>
                <w:szCs w:val="20"/>
              </w:rPr>
              <w:t>FICHA TÉCNICA DE INDICADOR DE SERVICIO 3.3.1</w:t>
            </w:r>
          </w:p>
        </w:tc>
      </w:tr>
      <w:tr w:rsidR="002F5DAC" w:rsidRPr="00B139D9" w14:paraId="5D9B5945" w14:textId="77777777" w:rsidTr="007502D1">
        <w:trPr>
          <w:trHeight w:val="409"/>
          <w:jc w:val="center"/>
        </w:trPr>
        <w:tc>
          <w:tcPr>
            <w:tcW w:w="2585" w:type="dxa"/>
            <w:gridSpan w:val="4"/>
            <w:shd w:val="clear" w:color="auto" w:fill="FFFFFF"/>
            <w:tcMar>
              <w:top w:w="10" w:type="dxa"/>
              <w:left w:w="93" w:type="dxa"/>
              <w:bottom w:w="0" w:type="dxa"/>
              <w:right w:w="10" w:type="dxa"/>
            </w:tcMar>
            <w:vAlign w:val="center"/>
          </w:tcPr>
          <w:p w14:paraId="6AECC3A8" w14:textId="77777777" w:rsidR="002F5DAC" w:rsidRPr="00B139D9" w:rsidRDefault="002F5DAC" w:rsidP="007502D1">
            <w:pPr>
              <w:tabs>
                <w:tab w:val="left" w:pos="3375"/>
              </w:tabs>
              <w:rPr>
                <w:rFonts w:ascii="Arial" w:eastAsia="Times New Roman" w:hAnsi="Arial" w:cs="Arial"/>
                <w:sz w:val="20"/>
                <w:szCs w:val="20"/>
              </w:rPr>
            </w:pPr>
            <w:r w:rsidRPr="00B139D9">
              <w:rPr>
                <w:rFonts w:ascii="Arial" w:eastAsia="Times New Roman" w:hAnsi="Arial" w:cs="Arial"/>
                <w:b/>
                <w:sz w:val="20"/>
                <w:szCs w:val="20"/>
              </w:rPr>
              <w:t>Objetivo prioritario:</w:t>
            </w:r>
          </w:p>
        </w:tc>
        <w:tc>
          <w:tcPr>
            <w:tcW w:w="5779" w:type="dxa"/>
            <w:gridSpan w:val="9"/>
            <w:shd w:val="clear" w:color="auto" w:fill="FFFFFF"/>
            <w:tcMar>
              <w:top w:w="51" w:type="dxa"/>
              <w:left w:w="227" w:type="dxa"/>
              <w:bottom w:w="51" w:type="dxa"/>
              <w:right w:w="227" w:type="dxa"/>
            </w:tcMar>
            <w:vAlign w:val="center"/>
          </w:tcPr>
          <w:p w14:paraId="181AF7A6" w14:textId="77777777" w:rsidR="002F5DAC" w:rsidRPr="00B139D9" w:rsidRDefault="002F5DAC" w:rsidP="007502D1">
            <w:pPr>
              <w:tabs>
                <w:tab w:val="left" w:pos="3375"/>
              </w:tabs>
              <w:rPr>
                <w:rFonts w:ascii="Arial" w:eastAsia="Times New Roman" w:hAnsi="Arial" w:cs="Arial"/>
                <w:sz w:val="20"/>
                <w:szCs w:val="20"/>
              </w:rPr>
            </w:pPr>
            <w:r w:rsidRPr="00B139D9">
              <w:rPr>
                <w:rFonts w:ascii="Arial" w:eastAsia="Times New Roman" w:hAnsi="Arial" w:cs="Arial"/>
                <w:sz w:val="20"/>
                <w:szCs w:val="20"/>
              </w:rPr>
              <w:t>OP3 Fortalecer la gobernanza forestal y de fauna silvestre</w:t>
            </w:r>
          </w:p>
        </w:tc>
      </w:tr>
      <w:tr w:rsidR="002F5DAC" w:rsidRPr="00B139D9" w14:paraId="1C55E1E5" w14:textId="77777777" w:rsidTr="007502D1">
        <w:trPr>
          <w:trHeight w:val="436"/>
          <w:jc w:val="center"/>
        </w:trPr>
        <w:tc>
          <w:tcPr>
            <w:tcW w:w="2585" w:type="dxa"/>
            <w:gridSpan w:val="4"/>
            <w:tcMar>
              <w:top w:w="10" w:type="dxa"/>
              <w:left w:w="93" w:type="dxa"/>
              <w:bottom w:w="0" w:type="dxa"/>
              <w:right w:w="10" w:type="dxa"/>
            </w:tcMar>
            <w:vAlign w:val="center"/>
          </w:tcPr>
          <w:p w14:paraId="2BBC8E39" w14:textId="77777777" w:rsidR="002F5DAC" w:rsidRPr="00B139D9" w:rsidRDefault="002F5DAC" w:rsidP="007502D1">
            <w:pPr>
              <w:tabs>
                <w:tab w:val="left" w:pos="3375"/>
              </w:tabs>
              <w:rPr>
                <w:rFonts w:ascii="Arial" w:eastAsia="Times New Roman" w:hAnsi="Arial" w:cs="Arial"/>
                <w:sz w:val="20"/>
                <w:szCs w:val="20"/>
              </w:rPr>
            </w:pPr>
            <w:r w:rsidRPr="00B139D9">
              <w:rPr>
                <w:rFonts w:ascii="Arial" w:eastAsia="Times New Roman" w:hAnsi="Arial" w:cs="Arial"/>
                <w:b/>
                <w:sz w:val="20"/>
                <w:szCs w:val="20"/>
              </w:rPr>
              <w:t>Lineamiento de la política:</w:t>
            </w:r>
          </w:p>
        </w:tc>
        <w:tc>
          <w:tcPr>
            <w:tcW w:w="5779" w:type="dxa"/>
            <w:gridSpan w:val="9"/>
            <w:tcMar>
              <w:top w:w="51" w:type="dxa"/>
              <w:left w:w="227" w:type="dxa"/>
              <w:bottom w:w="51" w:type="dxa"/>
              <w:right w:w="227" w:type="dxa"/>
            </w:tcMar>
            <w:vAlign w:val="center"/>
          </w:tcPr>
          <w:p w14:paraId="7BA8F898" w14:textId="77777777" w:rsidR="002F5DAC" w:rsidRPr="00B139D9" w:rsidRDefault="002F5DAC" w:rsidP="007502D1">
            <w:pPr>
              <w:tabs>
                <w:tab w:val="left" w:pos="3375"/>
              </w:tabs>
              <w:rPr>
                <w:rFonts w:ascii="Arial" w:eastAsia="Times New Roman" w:hAnsi="Arial" w:cs="Arial"/>
                <w:sz w:val="20"/>
                <w:szCs w:val="20"/>
              </w:rPr>
            </w:pPr>
            <w:r w:rsidRPr="00B139D9">
              <w:rPr>
                <w:rFonts w:ascii="Arial" w:eastAsia="Times New Roman" w:hAnsi="Arial" w:cs="Arial"/>
                <w:sz w:val="20"/>
                <w:szCs w:val="20"/>
              </w:rPr>
              <w:t>L 3.3 Gestionar la información y el conocimiento en materia forestal y de fauna silvestre producido por los actores forestales y de fauna silvestre</w:t>
            </w:r>
          </w:p>
        </w:tc>
      </w:tr>
      <w:tr w:rsidR="002F5DAC" w:rsidRPr="00B139D9" w14:paraId="1D414F67" w14:textId="77777777" w:rsidTr="007502D1">
        <w:trPr>
          <w:trHeight w:val="404"/>
          <w:jc w:val="center"/>
        </w:trPr>
        <w:tc>
          <w:tcPr>
            <w:tcW w:w="2585" w:type="dxa"/>
            <w:gridSpan w:val="4"/>
            <w:tcMar>
              <w:top w:w="10" w:type="dxa"/>
              <w:left w:w="93" w:type="dxa"/>
              <w:bottom w:w="0" w:type="dxa"/>
              <w:right w:w="10" w:type="dxa"/>
            </w:tcMar>
            <w:vAlign w:val="center"/>
          </w:tcPr>
          <w:p w14:paraId="25C7DFA4" w14:textId="77777777" w:rsidR="002F5DAC" w:rsidRPr="00B139D9" w:rsidRDefault="002F5DAC" w:rsidP="007502D1">
            <w:pPr>
              <w:tabs>
                <w:tab w:val="left" w:pos="3375"/>
              </w:tabs>
              <w:rPr>
                <w:rFonts w:ascii="Arial" w:eastAsia="Times New Roman" w:hAnsi="Arial" w:cs="Arial"/>
                <w:sz w:val="20"/>
                <w:szCs w:val="20"/>
              </w:rPr>
            </w:pPr>
            <w:r w:rsidRPr="00B139D9">
              <w:rPr>
                <w:rFonts w:ascii="Arial" w:eastAsia="Times New Roman" w:hAnsi="Arial" w:cs="Arial"/>
                <w:b/>
                <w:sz w:val="20"/>
                <w:szCs w:val="20"/>
              </w:rPr>
              <w:t>Nombre del servicio:</w:t>
            </w:r>
          </w:p>
        </w:tc>
        <w:tc>
          <w:tcPr>
            <w:tcW w:w="5779" w:type="dxa"/>
            <w:gridSpan w:val="9"/>
            <w:tcMar>
              <w:top w:w="51" w:type="dxa"/>
              <w:left w:w="227" w:type="dxa"/>
              <w:bottom w:w="51" w:type="dxa"/>
              <w:right w:w="227" w:type="dxa"/>
            </w:tcMar>
            <w:vAlign w:val="center"/>
          </w:tcPr>
          <w:p w14:paraId="7FDB5B0F" w14:textId="65B5E315" w:rsidR="002F5DAC" w:rsidRPr="00F92F6D" w:rsidRDefault="002F5DAC" w:rsidP="007502D1">
            <w:pPr>
              <w:tabs>
                <w:tab w:val="left" w:pos="3375"/>
              </w:tabs>
              <w:rPr>
                <w:rFonts w:ascii="Arial" w:eastAsia="Times New Roman" w:hAnsi="Arial" w:cs="Arial"/>
                <w:color w:val="000000" w:themeColor="text1"/>
                <w:sz w:val="20"/>
                <w:szCs w:val="20"/>
              </w:rPr>
            </w:pPr>
            <w:r w:rsidRPr="00F92F6D">
              <w:rPr>
                <w:rFonts w:ascii="Arial" w:eastAsia="Times New Roman" w:hAnsi="Arial" w:cs="Arial"/>
                <w:color w:val="000000" w:themeColor="text1"/>
                <w:sz w:val="20"/>
                <w:szCs w:val="20"/>
              </w:rPr>
              <w:t>S3.3.1 Sistematización de la información forestal y de fauna silvestre de forma oportuna para las Autoridades Regionales Forestales y de Fauna Silvestre</w:t>
            </w:r>
          </w:p>
        </w:tc>
      </w:tr>
      <w:tr w:rsidR="002F5DAC" w:rsidRPr="00B139D9" w14:paraId="24CCC8C8" w14:textId="77777777" w:rsidTr="007502D1">
        <w:trPr>
          <w:trHeight w:val="577"/>
          <w:jc w:val="center"/>
        </w:trPr>
        <w:tc>
          <w:tcPr>
            <w:tcW w:w="2585" w:type="dxa"/>
            <w:gridSpan w:val="4"/>
            <w:tcMar>
              <w:top w:w="10" w:type="dxa"/>
              <w:left w:w="93" w:type="dxa"/>
              <w:bottom w:w="0" w:type="dxa"/>
              <w:right w:w="10" w:type="dxa"/>
            </w:tcMar>
            <w:vAlign w:val="center"/>
          </w:tcPr>
          <w:p w14:paraId="6D8FED1E" w14:textId="77777777" w:rsidR="002F5DAC" w:rsidRPr="00B139D9" w:rsidRDefault="002F5DAC" w:rsidP="007502D1">
            <w:pPr>
              <w:tabs>
                <w:tab w:val="left" w:pos="3375"/>
              </w:tabs>
              <w:rPr>
                <w:rFonts w:ascii="Arial" w:eastAsia="Times New Roman" w:hAnsi="Arial" w:cs="Arial"/>
                <w:sz w:val="20"/>
                <w:szCs w:val="20"/>
              </w:rPr>
            </w:pPr>
            <w:r w:rsidRPr="00B139D9">
              <w:rPr>
                <w:rFonts w:ascii="Arial" w:eastAsia="Times New Roman" w:hAnsi="Arial" w:cs="Arial"/>
                <w:b/>
                <w:sz w:val="20"/>
                <w:szCs w:val="20"/>
              </w:rPr>
              <w:lastRenderedPageBreak/>
              <w:t>Nombre del indicador:</w:t>
            </w:r>
          </w:p>
        </w:tc>
        <w:tc>
          <w:tcPr>
            <w:tcW w:w="5779" w:type="dxa"/>
            <w:gridSpan w:val="9"/>
            <w:tcMar>
              <w:top w:w="51" w:type="dxa"/>
              <w:left w:w="227" w:type="dxa"/>
              <w:bottom w:w="51" w:type="dxa"/>
              <w:right w:w="227" w:type="dxa"/>
            </w:tcMar>
            <w:vAlign w:val="bottom"/>
          </w:tcPr>
          <w:p w14:paraId="45889BC6" w14:textId="1ADE607F" w:rsidR="002F5DAC" w:rsidRPr="00F92F6D" w:rsidRDefault="00620619" w:rsidP="007502D1">
            <w:pPr>
              <w:tabs>
                <w:tab w:val="left" w:pos="3375"/>
              </w:tabs>
              <w:rPr>
                <w:rFonts w:ascii="Arial" w:eastAsia="Times New Roman" w:hAnsi="Arial" w:cs="Arial"/>
                <w:color w:val="000000" w:themeColor="text1"/>
                <w:sz w:val="20"/>
                <w:szCs w:val="20"/>
              </w:rPr>
            </w:pPr>
            <w:r w:rsidRPr="00F92F6D">
              <w:rPr>
                <w:rFonts w:ascii="Arial" w:eastAsia="Times New Roman" w:hAnsi="Arial" w:cs="Arial"/>
                <w:color w:val="000000" w:themeColor="text1"/>
                <w:sz w:val="20"/>
                <w:szCs w:val="20"/>
              </w:rPr>
              <w:t>Porcentaje de Autoridades Regionales Forestales y de Fauna Silvestre que reciben la información forestal y de fauna silvestre sistematizada en el SNIFFS de forma oportuna</w:t>
            </w:r>
            <w:r w:rsidR="002F5DAC" w:rsidRPr="00F92F6D">
              <w:rPr>
                <w:rFonts w:ascii="Arial" w:eastAsia="Times New Roman" w:hAnsi="Arial" w:cs="Arial"/>
                <w:color w:val="000000" w:themeColor="text1"/>
                <w:sz w:val="20"/>
                <w:szCs w:val="20"/>
              </w:rPr>
              <w:t>.</w:t>
            </w:r>
          </w:p>
        </w:tc>
      </w:tr>
      <w:tr w:rsidR="002F5DAC" w:rsidRPr="00B139D9" w14:paraId="1F142B02" w14:textId="77777777" w:rsidTr="007502D1">
        <w:trPr>
          <w:trHeight w:val="577"/>
          <w:jc w:val="center"/>
        </w:trPr>
        <w:tc>
          <w:tcPr>
            <w:tcW w:w="2585" w:type="dxa"/>
            <w:gridSpan w:val="4"/>
            <w:tcMar>
              <w:top w:w="10" w:type="dxa"/>
              <w:left w:w="93" w:type="dxa"/>
              <w:bottom w:w="0" w:type="dxa"/>
              <w:right w:w="10" w:type="dxa"/>
            </w:tcMar>
            <w:vAlign w:val="center"/>
          </w:tcPr>
          <w:p w14:paraId="5F3F6FEE" w14:textId="77777777" w:rsidR="002F5DAC" w:rsidRPr="00B139D9" w:rsidRDefault="002F5DAC" w:rsidP="007502D1">
            <w:pPr>
              <w:tabs>
                <w:tab w:val="left" w:pos="3375"/>
              </w:tabs>
              <w:rPr>
                <w:rFonts w:ascii="Arial" w:eastAsia="Times New Roman" w:hAnsi="Arial" w:cs="Arial"/>
                <w:sz w:val="20"/>
                <w:szCs w:val="20"/>
              </w:rPr>
            </w:pPr>
            <w:r w:rsidRPr="00B139D9">
              <w:rPr>
                <w:rFonts w:ascii="Arial" w:eastAsia="Times New Roman" w:hAnsi="Arial" w:cs="Arial"/>
                <w:b/>
                <w:sz w:val="20"/>
                <w:szCs w:val="20"/>
              </w:rPr>
              <w:t>Justificación:</w:t>
            </w:r>
          </w:p>
        </w:tc>
        <w:tc>
          <w:tcPr>
            <w:tcW w:w="5779" w:type="dxa"/>
            <w:gridSpan w:val="9"/>
            <w:tcMar>
              <w:top w:w="51" w:type="dxa"/>
              <w:left w:w="227" w:type="dxa"/>
              <w:bottom w:w="51" w:type="dxa"/>
              <w:right w:w="227" w:type="dxa"/>
            </w:tcMar>
            <w:vAlign w:val="center"/>
          </w:tcPr>
          <w:p w14:paraId="1FB5DE0C" w14:textId="66718CDF" w:rsidR="002F5DAC" w:rsidRPr="00F92F6D" w:rsidRDefault="002F5DAC" w:rsidP="007502D1">
            <w:pPr>
              <w:tabs>
                <w:tab w:val="left" w:pos="3375"/>
              </w:tabs>
              <w:jc w:val="both"/>
              <w:rPr>
                <w:rFonts w:ascii="Arial" w:eastAsia="Times New Roman" w:hAnsi="Arial" w:cs="Arial"/>
                <w:strike/>
                <w:color w:val="000000" w:themeColor="text1"/>
                <w:sz w:val="20"/>
                <w:szCs w:val="20"/>
              </w:rPr>
            </w:pPr>
            <w:r w:rsidRPr="00F92F6D">
              <w:rPr>
                <w:rFonts w:ascii="Arial" w:eastAsia="Times New Roman" w:hAnsi="Arial" w:cs="Arial"/>
                <w:color w:val="000000" w:themeColor="text1"/>
                <w:sz w:val="20"/>
                <w:szCs w:val="20"/>
              </w:rPr>
              <w:t xml:space="preserve">El presente indicador permite </w:t>
            </w:r>
            <w:r w:rsidRPr="00F92F6D">
              <w:rPr>
                <w:rFonts w:ascii="Arial" w:eastAsia="Arial Narrow" w:hAnsi="Arial" w:cs="Arial"/>
                <w:color w:val="000000" w:themeColor="text1"/>
                <w:sz w:val="20"/>
                <w:szCs w:val="20"/>
              </w:rPr>
              <w:t xml:space="preserve">medir la cantidad de </w:t>
            </w:r>
            <w:r w:rsidRPr="00F92F6D">
              <w:rPr>
                <w:rFonts w:ascii="Arial" w:eastAsia="Times New Roman" w:hAnsi="Arial" w:cs="Arial"/>
                <w:color w:val="000000" w:themeColor="text1"/>
                <w:sz w:val="20"/>
                <w:szCs w:val="20"/>
              </w:rPr>
              <w:t>Autoridades Regionales Forestales y de Fauna Silvestre</w:t>
            </w:r>
            <w:r w:rsidRPr="00F92F6D">
              <w:rPr>
                <w:rFonts w:ascii="Arial" w:eastAsia="Arial Narrow" w:hAnsi="Arial" w:cs="Arial"/>
                <w:color w:val="000000" w:themeColor="text1"/>
                <w:sz w:val="20"/>
                <w:szCs w:val="20"/>
              </w:rPr>
              <w:t xml:space="preserve"> cuya información ha sido sistematizada oportunamente </w:t>
            </w:r>
            <w:r w:rsidRPr="00F92F6D">
              <w:rPr>
                <w:rFonts w:ascii="Arial" w:eastAsia="Times New Roman" w:hAnsi="Arial" w:cs="Arial"/>
                <w:color w:val="000000" w:themeColor="text1"/>
                <w:sz w:val="20"/>
                <w:szCs w:val="20"/>
              </w:rPr>
              <w:t>a través del Sistema Nacional de Información Forestal y de Fauna Silvestre – SNIFFS, de forma que se facilite la disponibilidad de información a los usuarios forestales y de fauna silvestre.</w:t>
            </w:r>
          </w:p>
        </w:tc>
      </w:tr>
      <w:tr w:rsidR="002F5DAC" w:rsidRPr="00B139D9" w14:paraId="4A14C6C5" w14:textId="77777777" w:rsidTr="007502D1">
        <w:trPr>
          <w:trHeight w:val="352"/>
          <w:jc w:val="center"/>
        </w:trPr>
        <w:tc>
          <w:tcPr>
            <w:tcW w:w="2585" w:type="dxa"/>
            <w:gridSpan w:val="4"/>
            <w:tcMar>
              <w:top w:w="10" w:type="dxa"/>
              <w:left w:w="93" w:type="dxa"/>
              <w:bottom w:w="0" w:type="dxa"/>
              <w:right w:w="10" w:type="dxa"/>
            </w:tcMar>
            <w:vAlign w:val="center"/>
          </w:tcPr>
          <w:p w14:paraId="63C2AB7D" w14:textId="77777777" w:rsidR="002F5DAC" w:rsidRPr="00B139D9" w:rsidRDefault="002F5DAC" w:rsidP="007502D1">
            <w:pPr>
              <w:tabs>
                <w:tab w:val="left" w:pos="3375"/>
              </w:tabs>
              <w:rPr>
                <w:rFonts w:ascii="Arial" w:eastAsia="Times New Roman" w:hAnsi="Arial" w:cs="Arial"/>
                <w:sz w:val="20"/>
                <w:szCs w:val="20"/>
              </w:rPr>
            </w:pPr>
            <w:r w:rsidRPr="00B139D9">
              <w:rPr>
                <w:rFonts w:ascii="Arial" w:eastAsia="Times New Roman" w:hAnsi="Arial" w:cs="Arial"/>
                <w:b/>
                <w:sz w:val="20"/>
                <w:szCs w:val="20"/>
              </w:rPr>
              <w:t>Responsable del indicador:</w:t>
            </w:r>
          </w:p>
        </w:tc>
        <w:tc>
          <w:tcPr>
            <w:tcW w:w="5779" w:type="dxa"/>
            <w:gridSpan w:val="9"/>
            <w:tcMar>
              <w:top w:w="51" w:type="dxa"/>
              <w:left w:w="227" w:type="dxa"/>
              <w:bottom w:w="51" w:type="dxa"/>
              <w:right w:w="227" w:type="dxa"/>
            </w:tcMar>
            <w:vAlign w:val="center"/>
          </w:tcPr>
          <w:p w14:paraId="3E39CA5A" w14:textId="77777777" w:rsidR="002F5DAC" w:rsidRPr="00B139D9" w:rsidRDefault="002F5DAC" w:rsidP="007502D1">
            <w:pPr>
              <w:tabs>
                <w:tab w:val="left" w:pos="3375"/>
              </w:tabs>
              <w:rPr>
                <w:rFonts w:ascii="Arial" w:eastAsia="Times New Roman" w:hAnsi="Arial" w:cs="Arial"/>
                <w:sz w:val="20"/>
                <w:szCs w:val="20"/>
              </w:rPr>
            </w:pPr>
            <w:r w:rsidRPr="00B139D9">
              <w:rPr>
                <w:rFonts w:ascii="Arial" w:eastAsia="Times New Roman" w:hAnsi="Arial" w:cs="Arial"/>
                <w:sz w:val="20"/>
                <w:szCs w:val="20"/>
              </w:rPr>
              <w:t>Dirección General de Información y Ordenamiento Forestal y de Fauna Silvestre del Servicio Nacional Forestal y de Fauna Silvestre - SERFOR</w:t>
            </w:r>
          </w:p>
        </w:tc>
      </w:tr>
      <w:tr w:rsidR="002F5DAC" w:rsidRPr="00B139D9" w14:paraId="704E64CD" w14:textId="77777777" w:rsidTr="007502D1">
        <w:trPr>
          <w:trHeight w:val="452"/>
          <w:jc w:val="center"/>
        </w:trPr>
        <w:tc>
          <w:tcPr>
            <w:tcW w:w="2585" w:type="dxa"/>
            <w:gridSpan w:val="4"/>
            <w:tcMar>
              <w:top w:w="10" w:type="dxa"/>
              <w:left w:w="93" w:type="dxa"/>
              <w:bottom w:w="0" w:type="dxa"/>
              <w:right w:w="10" w:type="dxa"/>
            </w:tcMar>
            <w:vAlign w:val="center"/>
          </w:tcPr>
          <w:p w14:paraId="1A1A58DF" w14:textId="77777777" w:rsidR="002F5DAC" w:rsidRPr="00B139D9" w:rsidRDefault="002F5DAC" w:rsidP="007502D1">
            <w:pPr>
              <w:tabs>
                <w:tab w:val="left" w:pos="3375"/>
              </w:tabs>
              <w:rPr>
                <w:rFonts w:ascii="Arial" w:eastAsia="Times New Roman" w:hAnsi="Arial" w:cs="Arial"/>
                <w:sz w:val="20"/>
                <w:szCs w:val="20"/>
              </w:rPr>
            </w:pPr>
            <w:r w:rsidRPr="00B139D9">
              <w:rPr>
                <w:rFonts w:ascii="Arial" w:eastAsia="Times New Roman" w:hAnsi="Arial" w:cs="Arial"/>
                <w:b/>
                <w:sz w:val="20"/>
                <w:szCs w:val="20"/>
              </w:rPr>
              <w:t>Limitaciones para la medición del indicador:</w:t>
            </w:r>
          </w:p>
        </w:tc>
        <w:tc>
          <w:tcPr>
            <w:tcW w:w="5779" w:type="dxa"/>
            <w:gridSpan w:val="9"/>
            <w:tcMar>
              <w:top w:w="51" w:type="dxa"/>
              <w:left w:w="227" w:type="dxa"/>
              <w:bottom w:w="51" w:type="dxa"/>
              <w:right w:w="227" w:type="dxa"/>
            </w:tcMar>
            <w:vAlign w:val="center"/>
          </w:tcPr>
          <w:p w14:paraId="7FD02CAA" w14:textId="77777777" w:rsidR="002F5DAC" w:rsidRPr="00B139D9" w:rsidRDefault="002F5DAC" w:rsidP="007502D1">
            <w:pPr>
              <w:tabs>
                <w:tab w:val="left" w:pos="3375"/>
              </w:tabs>
              <w:rPr>
                <w:rFonts w:ascii="Arial" w:eastAsia="Times New Roman" w:hAnsi="Arial" w:cs="Arial"/>
                <w:sz w:val="20"/>
                <w:szCs w:val="20"/>
              </w:rPr>
            </w:pPr>
            <w:r w:rsidRPr="00B139D9">
              <w:rPr>
                <w:rFonts w:ascii="Arial" w:eastAsia="Times New Roman" w:hAnsi="Arial" w:cs="Arial"/>
                <w:sz w:val="20"/>
                <w:szCs w:val="20"/>
              </w:rPr>
              <w:t>No presenta limitaciones</w:t>
            </w:r>
          </w:p>
        </w:tc>
      </w:tr>
      <w:tr w:rsidR="002F5DAC" w:rsidRPr="00B139D9" w14:paraId="5967A4A9" w14:textId="77777777" w:rsidTr="007502D1">
        <w:trPr>
          <w:trHeight w:val="231"/>
          <w:jc w:val="center"/>
        </w:trPr>
        <w:tc>
          <w:tcPr>
            <w:tcW w:w="2585" w:type="dxa"/>
            <w:gridSpan w:val="4"/>
            <w:tcMar>
              <w:top w:w="10" w:type="dxa"/>
              <w:left w:w="93" w:type="dxa"/>
              <w:bottom w:w="0" w:type="dxa"/>
              <w:right w:w="10" w:type="dxa"/>
            </w:tcMar>
            <w:vAlign w:val="center"/>
          </w:tcPr>
          <w:p w14:paraId="0A7DEDCF" w14:textId="77777777" w:rsidR="002F5DAC" w:rsidRPr="00B139D9" w:rsidRDefault="002F5DAC" w:rsidP="007502D1">
            <w:pPr>
              <w:tabs>
                <w:tab w:val="left" w:pos="3375"/>
              </w:tabs>
              <w:rPr>
                <w:rFonts w:ascii="Arial" w:eastAsia="Times New Roman" w:hAnsi="Arial" w:cs="Arial"/>
                <w:sz w:val="20"/>
                <w:szCs w:val="20"/>
              </w:rPr>
            </w:pPr>
            <w:r w:rsidRPr="00B139D9">
              <w:rPr>
                <w:rFonts w:ascii="Arial" w:eastAsia="Times New Roman" w:hAnsi="Arial" w:cs="Arial"/>
                <w:b/>
                <w:sz w:val="20"/>
                <w:szCs w:val="20"/>
              </w:rPr>
              <w:t xml:space="preserve">Método de cálculo: </w:t>
            </w:r>
          </w:p>
        </w:tc>
        <w:tc>
          <w:tcPr>
            <w:tcW w:w="5779" w:type="dxa"/>
            <w:gridSpan w:val="9"/>
            <w:tcMar>
              <w:top w:w="51" w:type="dxa"/>
              <w:left w:w="227" w:type="dxa"/>
              <w:bottom w:w="51" w:type="dxa"/>
              <w:right w:w="227" w:type="dxa"/>
            </w:tcMar>
            <w:vAlign w:val="bottom"/>
          </w:tcPr>
          <w:p w14:paraId="1C18CFE1" w14:textId="77777777" w:rsidR="002F5DAC" w:rsidRPr="00F92F6D" w:rsidRDefault="002F5DAC" w:rsidP="007502D1">
            <w:pPr>
              <w:spacing w:after="0" w:line="240" w:lineRule="auto"/>
              <w:rPr>
                <w:rFonts w:ascii="Arial" w:eastAsia="Times New Roman" w:hAnsi="Arial" w:cs="Arial"/>
                <w:color w:val="000000" w:themeColor="text1"/>
                <w:sz w:val="20"/>
                <w:szCs w:val="20"/>
              </w:rPr>
            </w:pPr>
          </w:p>
          <w:p w14:paraId="7EEBAE9F" w14:textId="77777777" w:rsidR="002F5DAC" w:rsidRPr="00F92F6D" w:rsidRDefault="002F5DAC" w:rsidP="007502D1">
            <w:pPr>
              <w:tabs>
                <w:tab w:val="left" w:pos="3375"/>
              </w:tabs>
              <w:rPr>
                <w:rFonts w:ascii="Arial" w:eastAsia="Times New Roman" w:hAnsi="Arial" w:cs="Arial"/>
                <w:b/>
                <w:color w:val="000000" w:themeColor="text1"/>
                <w:sz w:val="20"/>
                <w:szCs w:val="20"/>
              </w:rPr>
            </w:pPr>
            <w:r w:rsidRPr="00F92F6D">
              <w:rPr>
                <w:rFonts w:ascii="Arial" w:eastAsia="Times New Roman" w:hAnsi="Arial" w:cs="Arial"/>
                <w:b/>
                <w:color w:val="000000" w:themeColor="text1"/>
                <w:sz w:val="20"/>
                <w:szCs w:val="20"/>
              </w:rPr>
              <w:t xml:space="preserve">1.  Fórmula:     </w:t>
            </w:r>
          </w:p>
          <w:p w14:paraId="3296F955" w14:textId="77777777" w:rsidR="002F5DAC" w:rsidRPr="00F92F6D" w:rsidRDefault="002F5DAC" w:rsidP="007502D1">
            <w:pPr>
              <w:spacing w:after="0" w:line="240" w:lineRule="auto"/>
              <w:jc w:val="both"/>
              <w:rPr>
                <w:rFonts w:ascii="Arial" w:eastAsia="Arial Unicode MS" w:hAnsi="Arial" w:cs="Arial"/>
                <w:color w:val="000000" w:themeColor="text1"/>
                <w:sz w:val="20"/>
                <w:szCs w:val="20"/>
              </w:rPr>
            </w:pPr>
            <w:r w:rsidRPr="00F92F6D">
              <w:rPr>
                <w:rFonts w:ascii="Arial" w:eastAsia="Arial Unicode MS" w:hAnsi="Arial" w:cs="Arial"/>
                <w:color w:val="000000" w:themeColor="text1"/>
                <w:sz w:val="20"/>
                <w:szCs w:val="20"/>
              </w:rPr>
              <w:t>(A/B)*100</w:t>
            </w:r>
          </w:p>
          <w:p w14:paraId="64E7F730" w14:textId="77777777" w:rsidR="002F5DAC" w:rsidRPr="00F92F6D" w:rsidRDefault="002F5DAC" w:rsidP="007502D1">
            <w:pPr>
              <w:spacing w:after="0" w:line="240" w:lineRule="auto"/>
              <w:jc w:val="both"/>
              <w:rPr>
                <w:rFonts w:ascii="Arial" w:eastAsia="Arial Unicode MS" w:hAnsi="Arial" w:cs="Arial"/>
                <w:color w:val="000000" w:themeColor="text1"/>
                <w:sz w:val="20"/>
                <w:szCs w:val="20"/>
              </w:rPr>
            </w:pPr>
          </w:p>
          <w:p w14:paraId="3202C6F4" w14:textId="77777777" w:rsidR="002F5DAC" w:rsidRPr="00F92F6D" w:rsidRDefault="002F5DAC" w:rsidP="007502D1">
            <w:pPr>
              <w:spacing w:after="0" w:line="240" w:lineRule="auto"/>
              <w:jc w:val="both"/>
              <w:rPr>
                <w:rFonts w:ascii="Arial" w:eastAsia="Arial Unicode MS" w:hAnsi="Arial" w:cs="Arial"/>
                <w:color w:val="000000" w:themeColor="text1"/>
                <w:sz w:val="20"/>
                <w:szCs w:val="20"/>
              </w:rPr>
            </w:pPr>
            <w:r w:rsidRPr="00F92F6D">
              <w:rPr>
                <w:rFonts w:ascii="Arial" w:eastAsia="Arial Unicode MS" w:hAnsi="Arial" w:cs="Arial"/>
                <w:color w:val="000000" w:themeColor="text1"/>
                <w:sz w:val="20"/>
                <w:szCs w:val="20"/>
              </w:rPr>
              <w:t>Donde:</w:t>
            </w:r>
          </w:p>
          <w:p w14:paraId="2F97424D" w14:textId="77777777" w:rsidR="002F5DAC" w:rsidRPr="00F92F6D" w:rsidRDefault="002F5DAC" w:rsidP="007502D1">
            <w:pPr>
              <w:spacing w:after="0" w:line="240" w:lineRule="auto"/>
              <w:jc w:val="both"/>
              <w:rPr>
                <w:rFonts w:ascii="Arial" w:eastAsia="Arial Unicode MS" w:hAnsi="Arial" w:cs="Arial"/>
                <w:color w:val="000000" w:themeColor="text1"/>
                <w:sz w:val="20"/>
                <w:szCs w:val="20"/>
              </w:rPr>
            </w:pPr>
          </w:p>
          <w:p w14:paraId="58D75EA2" w14:textId="7F1106BF" w:rsidR="002F5DAC" w:rsidRPr="00F92F6D" w:rsidRDefault="002F5DAC" w:rsidP="007502D1">
            <w:pPr>
              <w:ind w:left="315" w:hanging="315"/>
              <w:jc w:val="both"/>
              <w:rPr>
                <w:rFonts w:ascii="Arial" w:hAnsi="Arial" w:cs="Arial"/>
                <w:bCs/>
                <w:color w:val="000000" w:themeColor="text1"/>
                <w:sz w:val="20"/>
                <w:szCs w:val="20"/>
              </w:rPr>
            </w:pPr>
            <w:r w:rsidRPr="00F92F6D">
              <w:rPr>
                <w:rFonts w:ascii="Arial" w:hAnsi="Arial" w:cs="Arial"/>
                <w:bCs/>
                <w:color w:val="000000" w:themeColor="text1"/>
                <w:sz w:val="20"/>
                <w:szCs w:val="20"/>
              </w:rPr>
              <w:t xml:space="preserve">A = Número de </w:t>
            </w:r>
            <w:r w:rsidR="001771C3" w:rsidRPr="00F92F6D">
              <w:rPr>
                <w:rFonts w:ascii="Arial" w:eastAsia="Times New Roman" w:hAnsi="Arial" w:cs="Arial"/>
                <w:color w:val="000000" w:themeColor="text1"/>
                <w:sz w:val="20"/>
                <w:szCs w:val="20"/>
              </w:rPr>
              <w:t xml:space="preserve">Autoridades Regionales Forestales y de Fauna Silvestre que reciben la </w:t>
            </w:r>
            <w:r w:rsidR="00620619" w:rsidRPr="00F92F6D">
              <w:rPr>
                <w:rFonts w:ascii="Arial" w:eastAsia="Times New Roman" w:hAnsi="Arial" w:cs="Arial"/>
                <w:color w:val="000000" w:themeColor="text1"/>
                <w:sz w:val="20"/>
                <w:szCs w:val="20"/>
              </w:rPr>
              <w:t xml:space="preserve">información forestal y de fauna silvestre </w:t>
            </w:r>
            <w:r w:rsidR="001771C3" w:rsidRPr="00F92F6D">
              <w:rPr>
                <w:rFonts w:ascii="Arial" w:eastAsia="Times New Roman" w:hAnsi="Arial" w:cs="Arial"/>
                <w:color w:val="000000" w:themeColor="text1"/>
                <w:sz w:val="20"/>
                <w:szCs w:val="20"/>
              </w:rPr>
              <w:t>sistematiza</w:t>
            </w:r>
            <w:r w:rsidR="00620619" w:rsidRPr="00F92F6D">
              <w:rPr>
                <w:rFonts w:ascii="Arial" w:eastAsia="Times New Roman" w:hAnsi="Arial" w:cs="Arial"/>
                <w:color w:val="000000" w:themeColor="text1"/>
                <w:sz w:val="20"/>
                <w:szCs w:val="20"/>
              </w:rPr>
              <w:t>da</w:t>
            </w:r>
            <w:r w:rsidR="001771C3" w:rsidRPr="00F92F6D">
              <w:rPr>
                <w:rFonts w:ascii="Arial" w:eastAsia="Times New Roman" w:hAnsi="Arial" w:cs="Arial"/>
                <w:color w:val="000000" w:themeColor="text1"/>
                <w:sz w:val="20"/>
                <w:szCs w:val="20"/>
              </w:rPr>
              <w:t xml:space="preserve"> en el SNIFFS de forma oportuna.</w:t>
            </w:r>
          </w:p>
          <w:p w14:paraId="595664CF" w14:textId="73E90E15" w:rsidR="002F5DAC" w:rsidRPr="00F92F6D" w:rsidRDefault="002F5DAC" w:rsidP="007502D1">
            <w:pPr>
              <w:spacing w:after="0" w:line="240" w:lineRule="auto"/>
              <w:ind w:left="315" w:hanging="315"/>
              <w:jc w:val="both"/>
              <w:rPr>
                <w:rFonts w:ascii="Arial" w:eastAsia="Times New Roman" w:hAnsi="Arial" w:cs="Arial"/>
                <w:color w:val="000000" w:themeColor="text1"/>
                <w:sz w:val="20"/>
                <w:szCs w:val="20"/>
              </w:rPr>
            </w:pPr>
            <w:r w:rsidRPr="00F92F6D">
              <w:rPr>
                <w:rFonts w:ascii="Arial" w:hAnsi="Arial" w:cs="Arial"/>
                <w:bCs/>
                <w:color w:val="000000" w:themeColor="text1"/>
                <w:sz w:val="20"/>
                <w:szCs w:val="20"/>
              </w:rPr>
              <w:t xml:space="preserve">B = </w:t>
            </w:r>
            <w:r w:rsidR="000D07D5">
              <w:rPr>
                <w:rFonts w:ascii="Arial" w:hAnsi="Arial" w:cs="Arial"/>
                <w:bCs/>
                <w:color w:val="000000" w:themeColor="text1"/>
                <w:sz w:val="20"/>
                <w:szCs w:val="20"/>
              </w:rPr>
              <w:t xml:space="preserve">Número de </w:t>
            </w:r>
            <w:r w:rsidR="001771C3" w:rsidRPr="00F92F6D">
              <w:rPr>
                <w:rFonts w:ascii="Arial" w:hAnsi="Arial" w:cs="Arial"/>
                <w:bCs/>
                <w:color w:val="000000" w:themeColor="text1"/>
                <w:sz w:val="20"/>
                <w:szCs w:val="20"/>
              </w:rPr>
              <w:t>A</w:t>
            </w:r>
            <w:r w:rsidRPr="00F92F6D">
              <w:rPr>
                <w:rFonts w:ascii="Arial" w:hAnsi="Arial" w:cs="Arial"/>
                <w:bCs/>
                <w:color w:val="000000" w:themeColor="text1"/>
                <w:sz w:val="20"/>
                <w:szCs w:val="20"/>
              </w:rPr>
              <w:t xml:space="preserve">utoridades </w:t>
            </w:r>
            <w:r w:rsidR="001771C3" w:rsidRPr="00F92F6D">
              <w:rPr>
                <w:rFonts w:ascii="Arial" w:hAnsi="Arial" w:cs="Arial"/>
                <w:bCs/>
                <w:color w:val="000000" w:themeColor="text1"/>
                <w:sz w:val="20"/>
                <w:szCs w:val="20"/>
              </w:rPr>
              <w:t>R</w:t>
            </w:r>
            <w:r w:rsidRPr="00F92F6D">
              <w:rPr>
                <w:rFonts w:ascii="Arial" w:hAnsi="Arial" w:cs="Arial"/>
                <w:bCs/>
                <w:color w:val="000000" w:themeColor="text1"/>
                <w:sz w:val="20"/>
                <w:szCs w:val="20"/>
              </w:rPr>
              <w:t xml:space="preserve">egionales </w:t>
            </w:r>
            <w:r w:rsidR="001771C3" w:rsidRPr="00F92F6D">
              <w:rPr>
                <w:rFonts w:ascii="Arial" w:eastAsia="Times New Roman" w:hAnsi="Arial" w:cs="Arial"/>
                <w:color w:val="000000" w:themeColor="text1"/>
                <w:sz w:val="20"/>
                <w:szCs w:val="20"/>
              </w:rPr>
              <w:t>F</w:t>
            </w:r>
            <w:r w:rsidRPr="00F92F6D">
              <w:rPr>
                <w:rFonts w:ascii="Arial" w:eastAsia="Times New Roman" w:hAnsi="Arial" w:cs="Arial"/>
                <w:color w:val="000000" w:themeColor="text1"/>
                <w:sz w:val="20"/>
                <w:szCs w:val="20"/>
              </w:rPr>
              <w:t xml:space="preserve">orestales y de </w:t>
            </w:r>
            <w:r w:rsidR="001771C3" w:rsidRPr="00F92F6D">
              <w:rPr>
                <w:rFonts w:ascii="Arial" w:eastAsia="Times New Roman" w:hAnsi="Arial" w:cs="Arial"/>
                <w:color w:val="000000" w:themeColor="text1"/>
                <w:sz w:val="20"/>
                <w:szCs w:val="20"/>
              </w:rPr>
              <w:t>F</w:t>
            </w:r>
            <w:r w:rsidRPr="00F92F6D">
              <w:rPr>
                <w:rFonts w:ascii="Arial" w:eastAsia="Times New Roman" w:hAnsi="Arial" w:cs="Arial"/>
                <w:color w:val="000000" w:themeColor="text1"/>
                <w:sz w:val="20"/>
                <w:szCs w:val="20"/>
              </w:rPr>
              <w:t xml:space="preserve">auna </w:t>
            </w:r>
            <w:r w:rsidR="001771C3" w:rsidRPr="00F92F6D">
              <w:rPr>
                <w:rFonts w:ascii="Arial" w:eastAsia="Times New Roman" w:hAnsi="Arial" w:cs="Arial"/>
                <w:color w:val="000000" w:themeColor="text1"/>
                <w:sz w:val="20"/>
                <w:szCs w:val="20"/>
              </w:rPr>
              <w:t>S</w:t>
            </w:r>
            <w:r w:rsidRPr="00F92F6D">
              <w:rPr>
                <w:rFonts w:ascii="Arial" w:eastAsia="Times New Roman" w:hAnsi="Arial" w:cs="Arial"/>
                <w:color w:val="000000" w:themeColor="text1"/>
                <w:sz w:val="20"/>
                <w:szCs w:val="20"/>
              </w:rPr>
              <w:t>ilvestre</w:t>
            </w:r>
            <w:r w:rsidR="000D07D5">
              <w:rPr>
                <w:rFonts w:ascii="Arial" w:eastAsia="Times New Roman" w:hAnsi="Arial" w:cs="Arial"/>
                <w:color w:val="000000" w:themeColor="text1"/>
                <w:sz w:val="20"/>
                <w:szCs w:val="20"/>
              </w:rPr>
              <w:t xml:space="preserve"> </w:t>
            </w:r>
            <w:r w:rsidR="000D07D5" w:rsidRPr="000D07D5">
              <w:rPr>
                <w:rFonts w:ascii="Arial" w:eastAsia="Times New Roman" w:hAnsi="Arial" w:cs="Arial"/>
                <w:color w:val="000000" w:themeColor="text1"/>
                <w:sz w:val="20"/>
                <w:szCs w:val="20"/>
              </w:rPr>
              <w:t>que remiten información para su sistematización en el SNIFFS</w:t>
            </w:r>
            <w:r w:rsidRPr="00F92F6D">
              <w:rPr>
                <w:rFonts w:ascii="Arial" w:hAnsi="Arial" w:cs="Arial"/>
                <w:bCs/>
                <w:color w:val="000000" w:themeColor="text1"/>
                <w:sz w:val="20"/>
                <w:szCs w:val="20"/>
              </w:rPr>
              <w:t>.</w:t>
            </w:r>
          </w:p>
          <w:p w14:paraId="626651FB" w14:textId="77777777" w:rsidR="002F5DAC" w:rsidRPr="00F92F6D" w:rsidRDefault="002F5DAC" w:rsidP="007502D1">
            <w:pPr>
              <w:spacing w:after="0" w:line="240" w:lineRule="auto"/>
              <w:ind w:left="315" w:hanging="315"/>
              <w:jc w:val="both"/>
              <w:rPr>
                <w:rFonts w:ascii="Arial" w:eastAsia="Arial Unicode MS" w:hAnsi="Arial" w:cs="Arial"/>
                <w:color w:val="000000" w:themeColor="text1"/>
                <w:sz w:val="20"/>
                <w:szCs w:val="20"/>
              </w:rPr>
            </w:pPr>
          </w:p>
          <w:p w14:paraId="0A6402E6" w14:textId="77777777" w:rsidR="002F5DAC" w:rsidRPr="00F92F6D" w:rsidRDefault="002F5DAC" w:rsidP="007502D1">
            <w:pPr>
              <w:tabs>
                <w:tab w:val="left" w:pos="3375"/>
              </w:tabs>
              <w:jc w:val="both"/>
              <w:rPr>
                <w:rFonts w:ascii="Arial" w:eastAsia="Times New Roman" w:hAnsi="Arial" w:cs="Arial"/>
                <w:b/>
                <w:color w:val="000000" w:themeColor="text1"/>
                <w:sz w:val="20"/>
                <w:szCs w:val="20"/>
              </w:rPr>
            </w:pPr>
            <w:r w:rsidRPr="00F92F6D">
              <w:rPr>
                <w:rFonts w:ascii="Arial" w:eastAsia="Times New Roman" w:hAnsi="Arial" w:cs="Arial"/>
                <w:b/>
                <w:color w:val="000000" w:themeColor="text1"/>
                <w:sz w:val="20"/>
                <w:szCs w:val="20"/>
              </w:rPr>
              <w:t>2.  Especificaciones técnicas:</w:t>
            </w:r>
          </w:p>
          <w:p w14:paraId="1912AC5B" w14:textId="6D1D28B2" w:rsidR="002F5DAC" w:rsidRPr="00F92F6D" w:rsidRDefault="002F5DAC" w:rsidP="00EF6AF6">
            <w:pPr>
              <w:spacing w:after="0" w:line="240" w:lineRule="auto"/>
              <w:jc w:val="both"/>
              <w:rPr>
                <w:rFonts w:ascii="Arial" w:eastAsia="Arial Narrow" w:hAnsi="Arial" w:cs="Arial"/>
                <w:color w:val="000000" w:themeColor="text1"/>
                <w:sz w:val="16"/>
                <w:szCs w:val="16"/>
              </w:rPr>
            </w:pPr>
            <w:r w:rsidRPr="00F92F6D">
              <w:rPr>
                <w:rFonts w:ascii="Arial" w:eastAsia="Arial Narrow" w:hAnsi="Arial" w:cs="Arial"/>
                <w:color w:val="000000" w:themeColor="text1"/>
                <w:sz w:val="20"/>
                <w:szCs w:val="20"/>
              </w:rPr>
              <w:t xml:space="preserve">La variable A </w:t>
            </w:r>
            <w:r w:rsidR="00EF6AF6" w:rsidRPr="00F92F6D">
              <w:rPr>
                <w:rFonts w:ascii="Arial" w:eastAsia="Arial Narrow" w:hAnsi="Arial" w:cs="Arial"/>
                <w:color w:val="000000" w:themeColor="text1"/>
                <w:sz w:val="20"/>
                <w:szCs w:val="20"/>
              </w:rPr>
              <w:t xml:space="preserve">cuantifica el número de </w:t>
            </w:r>
            <w:r w:rsidR="00EF6AF6" w:rsidRPr="00F92F6D">
              <w:rPr>
                <w:rFonts w:ascii="Arial" w:eastAsia="Times New Roman" w:hAnsi="Arial" w:cs="Arial"/>
                <w:color w:val="000000" w:themeColor="text1"/>
                <w:sz w:val="20"/>
                <w:szCs w:val="20"/>
              </w:rPr>
              <w:t>Autoridades Regionales Forestales y de Fauna Silvestre que recibe</w:t>
            </w:r>
            <w:r w:rsidR="009F3019">
              <w:rPr>
                <w:rFonts w:ascii="Arial" w:eastAsia="Times New Roman" w:hAnsi="Arial" w:cs="Arial"/>
                <w:color w:val="000000" w:themeColor="text1"/>
                <w:sz w:val="20"/>
                <w:szCs w:val="20"/>
              </w:rPr>
              <w:t>n</w:t>
            </w:r>
            <w:r w:rsidR="00EF6AF6" w:rsidRPr="00F92F6D">
              <w:rPr>
                <w:rFonts w:ascii="Arial" w:eastAsia="Times New Roman" w:hAnsi="Arial" w:cs="Arial"/>
                <w:color w:val="000000" w:themeColor="text1"/>
                <w:sz w:val="20"/>
                <w:szCs w:val="20"/>
              </w:rPr>
              <w:t xml:space="preserve"> su información </w:t>
            </w:r>
            <w:r w:rsidR="00DD4A32" w:rsidRPr="00F92F6D">
              <w:rPr>
                <w:rFonts w:ascii="Arial" w:eastAsia="Times New Roman" w:hAnsi="Arial" w:cs="Arial"/>
                <w:color w:val="000000" w:themeColor="text1"/>
                <w:sz w:val="20"/>
                <w:szCs w:val="20"/>
              </w:rPr>
              <w:t xml:space="preserve">procesada y </w:t>
            </w:r>
            <w:r w:rsidR="00EF6AF6" w:rsidRPr="00F92F6D">
              <w:rPr>
                <w:rFonts w:ascii="Arial" w:eastAsia="Arial Narrow" w:hAnsi="Arial" w:cs="Arial"/>
                <w:color w:val="000000" w:themeColor="text1"/>
                <w:sz w:val="20"/>
                <w:szCs w:val="20"/>
              </w:rPr>
              <w:t xml:space="preserve">sistematizada a través del </w:t>
            </w:r>
            <w:r w:rsidRPr="00F92F6D">
              <w:rPr>
                <w:rFonts w:ascii="Arial" w:eastAsia="Times New Roman" w:hAnsi="Arial" w:cs="Arial"/>
                <w:color w:val="000000" w:themeColor="text1"/>
                <w:sz w:val="20"/>
                <w:szCs w:val="20"/>
              </w:rPr>
              <w:t>Sistema Nacional de Información Forestal y de Fauna Silvestre – SNIFFS</w:t>
            </w:r>
            <w:r w:rsidR="00EF6AF6" w:rsidRPr="00F92F6D">
              <w:rPr>
                <w:rFonts w:ascii="Arial" w:eastAsia="Times New Roman" w:hAnsi="Arial" w:cs="Arial"/>
                <w:color w:val="000000" w:themeColor="text1"/>
                <w:sz w:val="20"/>
                <w:szCs w:val="20"/>
              </w:rPr>
              <w:t xml:space="preserve"> </w:t>
            </w:r>
            <w:r w:rsidR="009F3019">
              <w:rPr>
                <w:rFonts w:ascii="Arial" w:eastAsia="Times New Roman" w:hAnsi="Arial" w:cs="Arial"/>
                <w:color w:val="000000" w:themeColor="text1"/>
                <w:sz w:val="20"/>
                <w:szCs w:val="20"/>
              </w:rPr>
              <w:t xml:space="preserve">en </w:t>
            </w:r>
            <w:r w:rsidR="00F92F6D" w:rsidRPr="00F92F6D">
              <w:rPr>
                <w:rFonts w:ascii="Arial" w:eastAsia="Arial Narrow" w:hAnsi="Arial" w:cs="Arial"/>
                <w:color w:val="000000" w:themeColor="text1"/>
                <w:sz w:val="20"/>
                <w:szCs w:val="20"/>
              </w:rPr>
              <w:t>un plazo máximo de 30 días calendario luego de su recepción</w:t>
            </w:r>
            <w:r w:rsidR="00F92F6D" w:rsidRPr="00F92F6D">
              <w:rPr>
                <w:rFonts w:ascii="Arial" w:eastAsia="Times New Roman" w:hAnsi="Arial" w:cs="Arial"/>
                <w:color w:val="000000" w:themeColor="text1"/>
                <w:sz w:val="20"/>
                <w:szCs w:val="20"/>
              </w:rPr>
              <w:t>.</w:t>
            </w:r>
          </w:p>
          <w:p w14:paraId="7C6AD72D" w14:textId="77777777" w:rsidR="002F5DAC" w:rsidRPr="00F92F6D" w:rsidRDefault="002F5DAC" w:rsidP="007502D1">
            <w:pPr>
              <w:spacing w:after="0" w:line="240" w:lineRule="auto"/>
              <w:jc w:val="both"/>
              <w:rPr>
                <w:rFonts w:ascii="Arial" w:eastAsia="Arial Narrow" w:hAnsi="Arial" w:cs="Arial"/>
                <w:color w:val="000000" w:themeColor="text1"/>
                <w:sz w:val="20"/>
                <w:szCs w:val="20"/>
              </w:rPr>
            </w:pPr>
            <w:r w:rsidRPr="00F92F6D">
              <w:rPr>
                <w:rFonts w:ascii="Arial" w:eastAsia="Arial Narrow" w:hAnsi="Arial" w:cs="Arial"/>
                <w:color w:val="000000" w:themeColor="text1"/>
                <w:sz w:val="20"/>
                <w:szCs w:val="20"/>
              </w:rPr>
              <w:t xml:space="preserve"> </w:t>
            </w:r>
          </w:p>
          <w:p w14:paraId="2BB3D6D1" w14:textId="45B3DA74" w:rsidR="002F5DAC" w:rsidRPr="00F92F6D" w:rsidRDefault="002F5DAC" w:rsidP="007502D1">
            <w:pPr>
              <w:spacing w:after="0" w:line="240" w:lineRule="auto"/>
              <w:jc w:val="both"/>
              <w:rPr>
                <w:rFonts w:ascii="Arial" w:eastAsia="Arial Narrow" w:hAnsi="Arial" w:cs="Arial"/>
                <w:color w:val="000000" w:themeColor="text1"/>
                <w:sz w:val="20"/>
                <w:szCs w:val="20"/>
              </w:rPr>
            </w:pPr>
            <w:r w:rsidRPr="00F92F6D">
              <w:rPr>
                <w:rFonts w:ascii="Arial" w:eastAsia="Arial Narrow" w:hAnsi="Arial" w:cs="Arial"/>
                <w:color w:val="000000" w:themeColor="text1"/>
                <w:sz w:val="20"/>
                <w:szCs w:val="20"/>
              </w:rPr>
              <w:t xml:space="preserve">La variable B </w:t>
            </w:r>
            <w:r w:rsidR="00DD4A32" w:rsidRPr="00F92F6D">
              <w:rPr>
                <w:rFonts w:ascii="Arial" w:eastAsia="Arial Narrow" w:hAnsi="Arial" w:cs="Arial"/>
                <w:color w:val="000000" w:themeColor="text1"/>
                <w:sz w:val="20"/>
                <w:szCs w:val="20"/>
              </w:rPr>
              <w:t xml:space="preserve">cuantifica el número de </w:t>
            </w:r>
            <w:r w:rsidR="001771C3" w:rsidRPr="00F92F6D">
              <w:rPr>
                <w:rFonts w:ascii="Arial" w:eastAsia="Arial Narrow" w:hAnsi="Arial" w:cs="Arial"/>
                <w:color w:val="000000" w:themeColor="text1"/>
                <w:sz w:val="20"/>
                <w:szCs w:val="20"/>
              </w:rPr>
              <w:t>A</w:t>
            </w:r>
            <w:r w:rsidRPr="00F92F6D">
              <w:rPr>
                <w:rFonts w:ascii="Arial" w:eastAsia="Arial Narrow" w:hAnsi="Arial" w:cs="Arial"/>
                <w:color w:val="000000" w:themeColor="text1"/>
                <w:sz w:val="20"/>
                <w:szCs w:val="20"/>
              </w:rPr>
              <w:t xml:space="preserve">utoridades </w:t>
            </w:r>
            <w:r w:rsidR="001771C3" w:rsidRPr="00F92F6D">
              <w:rPr>
                <w:rFonts w:ascii="Arial" w:eastAsia="Arial Narrow" w:hAnsi="Arial" w:cs="Arial"/>
                <w:color w:val="000000" w:themeColor="text1"/>
                <w:sz w:val="20"/>
                <w:szCs w:val="20"/>
              </w:rPr>
              <w:t>R</w:t>
            </w:r>
            <w:r w:rsidRPr="00F92F6D">
              <w:rPr>
                <w:rFonts w:ascii="Arial" w:eastAsia="Arial Narrow" w:hAnsi="Arial" w:cs="Arial"/>
                <w:color w:val="000000" w:themeColor="text1"/>
                <w:sz w:val="20"/>
                <w:szCs w:val="20"/>
              </w:rPr>
              <w:t xml:space="preserve">egionales </w:t>
            </w:r>
            <w:r w:rsidR="001771C3" w:rsidRPr="00F92F6D">
              <w:rPr>
                <w:rFonts w:ascii="Arial" w:eastAsia="Arial Narrow" w:hAnsi="Arial" w:cs="Arial"/>
                <w:color w:val="000000" w:themeColor="text1"/>
                <w:sz w:val="20"/>
                <w:szCs w:val="20"/>
              </w:rPr>
              <w:t>F</w:t>
            </w:r>
            <w:r w:rsidRPr="00F92F6D">
              <w:rPr>
                <w:rFonts w:ascii="Arial" w:eastAsia="Arial Narrow" w:hAnsi="Arial" w:cs="Arial"/>
                <w:color w:val="000000" w:themeColor="text1"/>
                <w:sz w:val="20"/>
                <w:szCs w:val="20"/>
              </w:rPr>
              <w:t xml:space="preserve">orestales y de </w:t>
            </w:r>
            <w:r w:rsidR="001771C3" w:rsidRPr="00F92F6D">
              <w:rPr>
                <w:rFonts w:ascii="Arial" w:eastAsia="Arial Narrow" w:hAnsi="Arial" w:cs="Arial"/>
                <w:color w:val="000000" w:themeColor="text1"/>
                <w:sz w:val="20"/>
                <w:szCs w:val="20"/>
              </w:rPr>
              <w:t>F</w:t>
            </w:r>
            <w:r w:rsidRPr="00F92F6D">
              <w:rPr>
                <w:rFonts w:ascii="Arial" w:eastAsia="Arial Narrow" w:hAnsi="Arial" w:cs="Arial"/>
                <w:color w:val="000000" w:themeColor="text1"/>
                <w:sz w:val="20"/>
                <w:szCs w:val="20"/>
              </w:rPr>
              <w:t xml:space="preserve">auna </w:t>
            </w:r>
            <w:r w:rsidR="001771C3" w:rsidRPr="00F92F6D">
              <w:rPr>
                <w:rFonts w:ascii="Arial" w:eastAsia="Arial Narrow" w:hAnsi="Arial" w:cs="Arial"/>
                <w:color w:val="000000" w:themeColor="text1"/>
                <w:sz w:val="20"/>
                <w:szCs w:val="20"/>
              </w:rPr>
              <w:t>S</w:t>
            </w:r>
            <w:r w:rsidRPr="00F92F6D">
              <w:rPr>
                <w:rFonts w:ascii="Arial" w:eastAsia="Arial Narrow" w:hAnsi="Arial" w:cs="Arial"/>
                <w:color w:val="000000" w:themeColor="text1"/>
                <w:sz w:val="20"/>
                <w:szCs w:val="20"/>
              </w:rPr>
              <w:t xml:space="preserve">ilvestre </w:t>
            </w:r>
            <w:r w:rsidR="00DD4A32" w:rsidRPr="00F92F6D">
              <w:rPr>
                <w:rFonts w:ascii="Arial" w:eastAsia="Arial Narrow" w:hAnsi="Arial" w:cs="Arial"/>
                <w:color w:val="000000" w:themeColor="text1"/>
                <w:sz w:val="20"/>
                <w:szCs w:val="20"/>
              </w:rPr>
              <w:t>que remiten información para su sistematización en el</w:t>
            </w:r>
            <w:r w:rsidRPr="00F92F6D">
              <w:rPr>
                <w:rFonts w:ascii="Arial" w:eastAsia="Arial Narrow" w:hAnsi="Arial" w:cs="Arial"/>
                <w:color w:val="000000" w:themeColor="text1"/>
                <w:sz w:val="20"/>
                <w:szCs w:val="20"/>
              </w:rPr>
              <w:t xml:space="preserve"> </w:t>
            </w:r>
            <w:r w:rsidR="00DD4A32" w:rsidRPr="00F92F6D">
              <w:rPr>
                <w:rFonts w:ascii="Arial" w:eastAsia="Arial Narrow" w:hAnsi="Arial" w:cs="Arial"/>
                <w:color w:val="000000" w:themeColor="text1"/>
                <w:sz w:val="20"/>
                <w:szCs w:val="20"/>
              </w:rPr>
              <w:t>SNIFFS. Se determina mediante el ingreso en el S</w:t>
            </w:r>
            <w:r w:rsidR="000D07D5">
              <w:rPr>
                <w:rFonts w:ascii="Arial" w:eastAsia="Arial Narrow" w:hAnsi="Arial" w:cs="Arial"/>
                <w:color w:val="000000" w:themeColor="text1"/>
                <w:sz w:val="20"/>
                <w:szCs w:val="20"/>
              </w:rPr>
              <w:t xml:space="preserve">istema de </w:t>
            </w:r>
            <w:r w:rsidR="00DD4A32" w:rsidRPr="00F92F6D">
              <w:rPr>
                <w:rFonts w:ascii="Arial" w:eastAsia="Arial Narrow" w:hAnsi="Arial" w:cs="Arial"/>
                <w:color w:val="000000" w:themeColor="text1"/>
                <w:sz w:val="20"/>
                <w:szCs w:val="20"/>
              </w:rPr>
              <w:t>G</w:t>
            </w:r>
            <w:r w:rsidR="000D07D5">
              <w:rPr>
                <w:rFonts w:ascii="Arial" w:eastAsia="Arial Narrow" w:hAnsi="Arial" w:cs="Arial"/>
                <w:color w:val="000000" w:themeColor="text1"/>
                <w:sz w:val="20"/>
                <w:szCs w:val="20"/>
              </w:rPr>
              <w:t xml:space="preserve">estión </w:t>
            </w:r>
            <w:r w:rsidR="00DD4A32" w:rsidRPr="00F92F6D">
              <w:rPr>
                <w:rFonts w:ascii="Arial" w:eastAsia="Arial Narrow" w:hAnsi="Arial" w:cs="Arial"/>
                <w:color w:val="000000" w:themeColor="text1"/>
                <w:sz w:val="20"/>
                <w:szCs w:val="20"/>
              </w:rPr>
              <w:t>D</w:t>
            </w:r>
            <w:r w:rsidR="000D07D5">
              <w:rPr>
                <w:rFonts w:ascii="Arial" w:eastAsia="Arial Narrow" w:hAnsi="Arial" w:cs="Arial"/>
                <w:color w:val="000000" w:themeColor="text1"/>
                <w:sz w:val="20"/>
                <w:szCs w:val="20"/>
              </w:rPr>
              <w:t>ocumentaria</w:t>
            </w:r>
            <w:r w:rsidR="00DD4A32" w:rsidRPr="00F92F6D">
              <w:rPr>
                <w:rFonts w:ascii="Arial" w:eastAsia="Arial Narrow" w:hAnsi="Arial" w:cs="Arial"/>
                <w:color w:val="000000" w:themeColor="text1"/>
                <w:sz w:val="20"/>
                <w:szCs w:val="20"/>
              </w:rPr>
              <w:t xml:space="preserve"> del SERFOR.</w:t>
            </w:r>
          </w:p>
          <w:p w14:paraId="16D4B85E" w14:textId="77777777" w:rsidR="000E2BCD" w:rsidRPr="00F92F6D" w:rsidRDefault="000E2BCD" w:rsidP="007502D1">
            <w:pPr>
              <w:spacing w:after="0" w:line="240" w:lineRule="auto"/>
              <w:jc w:val="both"/>
              <w:rPr>
                <w:rFonts w:ascii="Arial" w:eastAsia="Arial Narrow" w:hAnsi="Arial" w:cs="Arial"/>
                <w:color w:val="000000" w:themeColor="text1"/>
                <w:sz w:val="20"/>
                <w:szCs w:val="20"/>
              </w:rPr>
            </w:pPr>
          </w:p>
          <w:p w14:paraId="3FEEFA61" w14:textId="34A11A8F" w:rsidR="00AD20BF" w:rsidRPr="00F92F6D" w:rsidRDefault="00692203" w:rsidP="007502D1">
            <w:pPr>
              <w:spacing w:after="0" w:line="240" w:lineRule="auto"/>
              <w:jc w:val="both"/>
              <w:rPr>
                <w:rFonts w:ascii="Arial" w:eastAsia="Arial Narrow" w:hAnsi="Arial" w:cs="Arial"/>
                <w:color w:val="000000" w:themeColor="text1"/>
                <w:sz w:val="20"/>
                <w:szCs w:val="20"/>
              </w:rPr>
            </w:pPr>
            <w:r w:rsidRPr="00F92F6D">
              <w:rPr>
                <w:rFonts w:ascii="Arial" w:eastAsia="Arial Narrow" w:hAnsi="Arial" w:cs="Arial"/>
                <w:color w:val="000000" w:themeColor="text1"/>
                <w:sz w:val="20"/>
                <w:szCs w:val="20"/>
              </w:rPr>
              <w:t>Se denomina información procesada y sistematiza</w:t>
            </w:r>
            <w:r w:rsidR="00E41587">
              <w:rPr>
                <w:rFonts w:ascii="Arial" w:eastAsia="Arial Narrow" w:hAnsi="Arial" w:cs="Arial"/>
                <w:color w:val="000000" w:themeColor="text1"/>
                <w:sz w:val="20"/>
                <w:szCs w:val="20"/>
              </w:rPr>
              <w:t>da</w:t>
            </w:r>
            <w:r w:rsidRPr="00F92F6D">
              <w:rPr>
                <w:rFonts w:ascii="Arial" w:eastAsia="Arial Narrow" w:hAnsi="Arial" w:cs="Arial"/>
                <w:color w:val="000000" w:themeColor="text1"/>
                <w:sz w:val="20"/>
                <w:szCs w:val="20"/>
              </w:rPr>
              <w:t xml:space="preserve"> a </w:t>
            </w:r>
            <w:r w:rsidR="00A340ED" w:rsidRPr="00F92F6D">
              <w:rPr>
                <w:rFonts w:ascii="Arial" w:eastAsia="Arial Narrow" w:hAnsi="Arial" w:cs="Arial"/>
                <w:color w:val="000000" w:themeColor="text1"/>
                <w:sz w:val="20"/>
                <w:szCs w:val="20"/>
              </w:rPr>
              <w:t>la información</w:t>
            </w:r>
            <w:r w:rsidR="00AD20BF" w:rsidRPr="00F92F6D">
              <w:rPr>
                <w:rFonts w:ascii="Arial" w:eastAsia="Arial Narrow" w:hAnsi="Arial" w:cs="Arial"/>
                <w:color w:val="000000" w:themeColor="text1"/>
                <w:sz w:val="20"/>
                <w:szCs w:val="20"/>
              </w:rPr>
              <w:t xml:space="preserve"> recibida por las ARFFS </w:t>
            </w:r>
            <w:r w:rsidRPr="00F92F6D">
              <w:rPr>
                <w:rFonts w:ascii="Arial" w:eastAsia="Arial Narrow" w:hAnsi="Arial" w:cs="Arial"/>
                <w:color w:val="000000" w:themeColor="text1"/>
                <w:sz w:val="20"/>
                <w:szCs w:val="20"/>
              </w:rPr>
              <w:t xml:space="preserve">que ha pasado </w:t>
            </w:r>
            <w:r w:rsidR="00E41587">
              <w:rPr>
                <w:rFonts w:ascii="Arial" w:eastAsia="Arial Narrow" w:hAnsi="Arial" w:cs="Arial"/>
                <w:color w:val="000000" w:themeColor="text1"/>
                <w:sz w:val="20"/>
                <w:szCs w:val="20"/>
              </w:rPr>
              <w:t xml:space="preserve">por </w:t>
            </w:r>
            <w:r w:rsidRPr="00F92F6D">
              <w:rPr>
                <w:rFonts w:ascii="Arial" w:eastAsia="Arial Narrow" w:hAnsi="Arial" w:cs="Arial"/>
                <w:color w:val="000000" w:themeColor="text1"/>
                <w:sz w:val="20"/>
                <w:szCs w:val="20"/>
              </w:rPr>
              <w:t xml:space="preserve">los procesos de </w:t>
            </w:r>
            <w:r w:rsidR="00A340ED" w:rsidRPr="00F92F6D">
              <w:rPr>
                <w:rFonts w:ascii="Arial" w:eastAsia="Arial Narrow" w:hAnsi="Arial" w:cs="Arial"/>
                <w:color w:val="000000" w:themeColor="text1"/>
                <w:sz w:val="20"/>
                <w:szCs w:val="20"/>
              </w:rPr>
              <w:t>validación, consistencia, estandarización</w:t>
            </w:r>
            <w:r w:rsidR="00132B52" w:rsidRPr="00F92F6D">
              <w:rPr>
                <w:rFonts w:ascii="Arial" w:eastAsia="Arial Narrow" w:hAnsi="Arial" w:cs="Arial"/>
                <w:color w:val="000000" w:themeColor="text1"/>
                <w:sz w:val="20"/>
                <w:szCs w:val="20"/>
              </w:rPr>
              <w:t>,</w:t>
            </w:r>
            <w:r w:rsidR="00A340ED" w:rsidRPr="00F92F6D">
              <w:rPr>
                <w:rFonts w:ascii="Arial" w:eastAsia="Arial Narrow" w:hAnsi="Arial" w:cs="Arial"/>
                <w:color w:val="000000" w:themeColor="text1"/>
                <w:sz w:val="20"/>
                <w:szCs w:val="20"/>
              </w:rPr>
              <w:t xml:space="preserve"> consolidación </w:t>
            </w:r>
            <w:r w:rsidRPr="00F92F6D">
              <w:rPr>
                <w:rFonts w:ascii="Arial" w:eastAsia="Arial Narrow" w:hAnsi="Arial" w:cs="Arial"/>
                <w:color w:val="000000" w:themeColor="text1"/>
                <w:sz w:val="20"/>
                <w:szCs w:val="20"/>
              </w:rPr>
              <w:t>y</w:t>
            </w:r>
            <w:r w:rsidR="00132B52" w:rsidRPr="00F92F6D">
              <w:rPr>
                <w:rFonts w:ascii="Arial" w:eastAsia="Arial Narrow" w:hAnsi="Arial" w:cs="Arial"/>
                <w:color w:val="000000" w:themeColor="text1"/>
                <w:sz w:val="20"/>
                <w:szCs w:val="20"/>
              </w:rPr>
              <w:t xml:space="preserve">, finalmente, </w:t>
            </w:r>
            <w:r w:rsidR="00E41587">
              <w:rPr>
                <w:rFonts w:ascii="Arial" w:eastAsia="Arial Narrow" w:hAnsi="Arial" w:cs="Arial"/>
                <w:color w:val="000000" w:themeColor="text1"/>
                <w:sz w:val="20"/>
                <w:szCs w:val="20"/>
              </w:rPr>
              <w:t xml:space="preserve">su </w:t>
            </w:r>
            <w:r w:rsidRPr="00F92F6D">
              <w:rPr>
                <w:rFonts w:ascii="Arial" w:eastAsia="Arial Narrow" w:hAnsi="Arial" w:cs="Arial"/>
                <w:color w:val="000000" w:themeColor="text1"/>
                <w:sz w:val="20"/>
                <w:szCs w:val="20"/>
              </w:rPr>
              <w:t>dispo</w:t>
            </w:r>
            <w:r w:rsidR="00E41587">
              <w:rPr>
                <w:rFonts w:ascii="Arial" w:eastAsia="Arial Narrow" w:hAnsi="Arial" w:cs="Arial"/>
                <w:color w:val="000000" w:themeColor="text1"/>
                <w:sz w:val="20"/>
                <w:szCs w:val="20"/>
              </w:rPr>
              <w:t>sición</w:t>
            </w:r>
            <w:r w:rsidRPr="00F92F6D">
              <w:rPr>
                <w:rFonts w:ascii="Arial" w:eastAsia="Arial Narrow" w:hAnsi="Arial" w:cs="Arial"/>
                <w:color w:val="000000" w:themeColor="text1"/>
                <w:sz w:val="20"/>
                <w:szCs w:val="20"/>
              </w:rPr>
              <w:t xml:space="preserve"> en el SNIFFS.</w:t>
            </w:r>
          </w:p>
          <w:p w14:paraId="29CDDB6D" w14:textId="48D4E874" w:rsidR="00EF6AF6" w:rsidRPr="00F92F6D" w:rsidRDefault="00EF6AF6" w:rsidP="007502D1">
            <w:pPr>
              <w:spacing w:after="0" w:line="240" w:lineRule="auto"/>
              <w:jc w:val="both"/>
              <w:rPr>
                <w:rFonts w:ascii="Arial" w:eastAsia="Times New Roman" w:hAnsi="Arial" w:cs="Arial"/>
                <w:color w:val="000000" w:themeColor="text1"/>
                <w:sz w:val="20"/>
                <w:szCs w:val="20"/>
              </w:rPr>
            </w:pPr>
          </w:p>
        </w:tc>
      </w:tr>
      <w:tr w:rsidR="002F5DAC" w:rsidRPr="00B139D9" w14:paraId="573E04C4" w14:textId="77777777" w:rsidTr="007502D1">
        <w:trPr>
          <w:trHeight w:val="686"/>
          <w:jc w:val="center"/>
        </w:trPr>
        <w:tc>
          <w:tcPr>
            <w:tcW w:w="2585" w:type="dxa"/>
            <w:gridSpan w:val="4"/>
            <w:tcMar>
              <w:top w:w="10" w:type="dxa"/>
              <w:left w:w="93" w:type="dxa"/>
              <w:bottom w:w="0" w:type="dxa"/>
              <w:right w:w="10" w:type="dxa"/>
            </w:tcMar>
            <w:vAlign w:val="center"/>
          </w:tcPr>
          <w:p w14:paraId="7824CCD8" w14:textId="77777777" w:rsidR="002F5DAC" w:rsidRPr="00B139D9" w:rsidRDefault="002F5DAC" w:rsidP="007502D1">
            <w:pPr>
              <w:tabs>
                <w:tab w:val="left" w:pos="3375"/>
              </w:tabs>
              <w:rPr>
                <w:rFonts w:ascii="Arial" w:eastAsia="Times New Roman" w:hAnsi="Arial" w:cs="Arial"/>
                <w:sz w:val="20"/>
                <w:szCs w:val="20"/>
              </w:rPr>
            </w:pPr>
            <w:r w:rsidRPr="00B139D9">
              <w:rPr>
                <w:rFonts w:ascii="Arial" w:eastAsia="Times New Roman" w:hAnsi="Arial" w:cs="Arial"/>
                <w:b/>
                <w:sz w:val="20"/>
                <w:szCs w:val="20"/>
              </w:rPr>
              <w:lastRenderedPageBreak/>
              <w:t>Sentido esperado del indicador:</w:t>
            </w:r>
          </w:p>
        </w:tc>
        <w:tc>
          <w:tcPr>
            <w:tcW w:w="1668" w:type="dxa"/>
            <w:gridSpan w:val="2"/>
            <w:tcMar>
              <w:top w:w="10" w:type="dxa"/>
              <w:left w:w="283" w:type="dxa"/>
              <w:bottom w:w="0" w:type="dxa"/>
              <w:right w:w="283" w:type="dxa"/>
            </w:tcMar>
            <w:vAlign w:val="center"/>
          </w:tcPr>
          <w:p w14:paraId="36D3786D" w14:textId="77777777" w:rsidR="002F5DAC" w:rsidRPr="00B139D9" w:rsidRDefault="002F5DAC" w:rsidP="007502D1">
            <w:pPr>
              <w:tabs>
                <w:tab w:val="left" w:pos="3375"/>
              </w:tabs>
              <w:jc w:val="center"/>
              <w:rPr>
                <w:rFonts w:ascii="Arial" w:eastAsia="Times New Roman" w:hAnsi="Arial" w:cs="Arial"/>
                <w:sz w:val="20"/>
                <w:szCs w:val="20"/>
              </w:rPr>
            </w:pPr>
            <w:r w:rsidRPr="00B139D9">
              <w:rPr>
                <w:rFonts w:ascii="Arial" w:eastAsia="Times New Roman" w:hAnsi="Arial" w:cs="Arial"/>
                <w:sz w:val="20"/>
                <w:szCs w:val="20"/>
              </w:rPr>
              <w:t>Ascendente</w:t>
            </w:r>
          </w:p>
        </w:tc>
        <w:tc>
          <w:tcPr>
            <w:tcW w:w="2491" w:type="dxa"/>
            <w:gridSpan w:val="5"/>
            <w:tcMar>
              <w:top w:w="15" w:type="dxa"/>
              <w:left w:w="15" w:type="dxa"/>
              <w:bottom w:w="0" w:type="dxa"/>
              <w:right w:w="15" w:type="dxa"/>
            </w:tcMar>
            <w:vAlign w:val="center"/>
          </w:tcPr>
          <w:p w14:paraId="69BFAE1C" w14:textId="77777777" w:rsidR="002F5DAC" w:rsidRPr="00F92F6D" w:rsidRDefault="002F5DAC" w:rsidP="007502D1">
            <w:pPr>
              <w:tabs>
                <w:tab w:val="left" w:pos="3375"/>
              </w:tabs>
              <w:jc w:val="center"/>
              <w:rPr>
                <w:rFonts w:ascii="Arial" w:eastAsia="Times New Roman" w:hAnsi="Arial" w:cs="Arial"/>
                <w:color w:val="000000" w:themeColor="text1"/>
                <w:sz w:val="20"/>
                <w:szCs w:val="20"/>
              </w:rPr>
            </w:pPr>
            <w:r w:rsidRPr="00F92F6D">
              <w:rPr>
                <w:rFonts w:ascii="Arial" w:eastAsia="Times New Roman" w:hAnsi="Arial" w:cs="Arial"/>
                <w:b/>
                <w:color w:val="000000" w:themeColor="text1"/>
                <w:sz w:val="20"/>
                <w:szCs w:val="20"/>
              </w:rPr>
              <w:t>Tipo de Indicador de Servicio</w:t>
            </w:r>
          </w:p>
        </w:tc>
        <w:tc>
          <w:tcPr>
            <w:tcW w:w="1620" w:type="dxa"/>
            <w:gridSpan w:val="2"/>
            <w:tcMar>
              <w:top w:w="15" w:type="dxa"/>
              <w:left w:w="15" w:type="dxa"/>
              <w:bottom w:w="0" w:type="dxa"/>
              <w:right w:w="15" w:type="dxa"/>
            </w:tcMar>
            <w:vAlign w:val="center"/>
          </w:tcPr>
          <w:p w14:paraId="79875111" w14:textId="77777777" w:rsidR="002F5DAC" w:rsidRPr="00F92F6D" w:rsidRDefault="002F5DAC" w:rsidP="007502D1">
            <w:pPr>
              <w:tabs>
                <w:tab w:val="left" w:pos="3375"/>
              </w:tabs>
              <w:jc w:val="center"/>
              <w:rPr>
                <w:rFonts w:ascii="Arial" w:eastAsia="Times New Roman" w:hAnsi="Arial" w:cs="Arial"/>
                <w:color w:val="000000" w:themeColor="text1"/>
                <w:sz w:val="20"/>
                <w:szCs w:val="20"/>
              </w:rPr>
            </w:pPr>
            <w:r w:rsidRPr="00F92F6D">
              <w:rPr>
                <w:rFonts w:ascii="Arial" w:eastAsia="Times New Roman" w:hAnsi="Arial" w:cs="Arial"/>
                <w:color w:val="000000" w:themeColor="text1"/>
                <w:sz w:val="20"/>
                <w:szCs w:val="20"/>
              </w:rPr>
              <w:t xml:space="preserve">Calidad – Oportunidad </w:t>
            </w:r>
          </w:p>
        </w:tc>
      </w:tr>
      <w:tr w:rsidR="002F5DAC" w:rsidRPr="00B139D9" w14:paraId="30AF29AD" w14:textId="77777777" w:rsidTr="007502D1">
        <w:trPr>
          <w:trHeight w:val="13"/>
          <w:jc w:val="center"/>
        </w:trPr>
        <w:tc>
          <w:tcPr>
            <w:tcW w:w="2585" w:type="dxa"/>
            <w:gridSpan w:val="4"/>
            <w:tcMar>
              <w:top w:w="10" w:type="dxa"/>
              <w:left w:w="93" w:type="dxa"/>
              <w:bottom w:w="0" w:type="dxa"/>
              <w:right w:w="10" w:type="dxa"/>
            </w:tcMar>
            <w:vAlign w:val="center"/>
          </w:tcPr>
          <w:p w14:paraId="0149BC55" w14:textId="77777777" w:rsidR="002F5DAC" w:rsidRPr="00B139D9" w:rsidRDefault="002F5DAC" w:rsidP="007502D1">
            <w:pPr>
              <w:tabs>
                <w:tab w:val="left" w:pos="3375"/>
              </w:tabs>
              <w:rPr>
                <w:rFonts w:ascii="Arial" w:eastAsia="Times New Roman" w:hAnsi="Arial" w:cs="Arial"/>
                <w:sz w:val="20"/>
                <w:szCs w:val="20"/>
              </w:rPr>
            </w:pPr>
            <w:r w:rsidRPr="00B139D9">
              <w:rPr>
                <w:rFonts w:ascii="Arial" w:eastAsia="Times New Roman" w:hAnsi="Arial" w:cs="Arial"/>
                <w:b/>
                <w:sz w:val="20"/>
                <w:szCs w:val="20"/>
              </w:rPr>
              <w:t>Fuente y base de datos:</w:t>
            </w:r>
          </w:p>
        </w:tc>
        <w:tc>
          <w:tcPr>
            <w:tcW w:w="5779" w:type="dxa"/>
            <w:gridSpan w:val="9"/>
            <w:tcMar>
              <w:top w:w="51" w:type="dxa"/>
              <w:left w:w="227" w:type="dxa"/>
              <w:bottom w:w="51" w:type="dxa"/>
              <w:right w:w="227" w:type="dxa"/>
            </w:tcMar>
            <w:vAlign w:val="center"/>
          </w:tcPr>
          <w:p w14:paraId="04CAB64A" w14:textId="77777777" w:rsidR="002F5DAC" w:rsidRPr="00F92F6D" w:rsidRDefault="002F5DAC" w:rsidP="007502D1">
            <w:pPr>
              <w:tabs>
                <w:tab w:val="left" w:pos="3375"/>
              </w:tabs>
              <w:jc w:val="both"/>
              <w:rPr>
                <w:rFonts w:ascii="Arial" w:eastAsia="Times New Roman" w:hAnsi="Arial" w:cs="Arial"/>
                <w:color w:val="000000" w:themeColor="text1"/>
                <w:sz w:val="20"/>
                <w:szCs w:val="20"/>
              </w:rPr>
            </w:pPr>
            <w:r w:rsidRPr="00F92F6D">
              <w:rPr>
                <w:rFonts w:ascii="Arial" w:eastAsia="Times New Roman" w:hAnsi="Arial" w:cs="Arial"/>
                <w:color w:val="000000" w:themeColor="text1"/>
                <w:sz w:val="20"/>
                <w:szCs w:val="20"/>
              </w:rPr>
              <w:t>Fuente: Dirección General de Información y Ordenamiento Forestal y de Fauna Silvestre del Servicio Nacional Forestal y de Fauna Silvestre - SERFOR.</w:t>
            </w:r>
          </w:p>
          <w:p w14:paraId="6FBFEB34" w14:textId="3ACC8AF6" w:rsidR="002F5DAC" w:rsidRPr="00F92F6D" w:rsidRDefault="002F5DAC" w:rsidP="007502D1">
            <w:pPr>
              <w:tabs>
                <w:tab w:val="left" w:pos="3375"/>
              </w:tabs>
              <w:jc w:val="both"/>
              <w:rPr>
                <w:rFonts w:ascii="Arial" w:eastAsia="Times New Roman" w:hAnsi="Arial" w:cs="Arial"/>
                <w:color w:val="000000" w:themeColor="text1"/>
                <w:sz w:val="20"/>
                <w:szCs w:val="20"/>
              </w:rPr>
            </w:pPr>
            <w:r w:rsidRPr="00F92F6D">
              <w:rPr>
                <w:rFonts w:ascii="Arial" w:eastAsia="Times New Roman" w:hAnsi="Arial" w:cs="Arial"/>
                <w:color w:val="000000" w:themeColor="text1"/>
                <w:sz w:val="20"/>
                <w:szCs w:val="20"/>
              </w:rPr>
              <w:t>Base de datos: Sistema Nacional de Información Forestal y de Fauna Silvestre – SNIFFS</w:t>
            </w:r>
          </w:p>
        </w:tc>
      </w:tr>
      <w:tr w:rsidR="002F5DAC" w:rsidRPr="00B139D9" w14:paraId="5C615108" w14:textId="77777777" w:rsidTr="007502D1">
        <w:trPr>
          <w:trHeight w:val="436"/>
          <w:jc w:val="center"/>
        </w:trPr>
        <w:tc>
          <w:tcPr>
            <w:tcW w:w="2585" w:type="dxa"/>
            <w:gridSpan w:val="4"/>
            <w:tcMar>
              <w:top w:w="10" w:type="dxa"/>
              <w:left w:w="93" w:type="dxa"/>
              <w:bottom w:w="0" w:type="dxa"/>
              <w:right w:w="10" w:type="dxa"/>
            </w:tcMar>
            <w:vAlign w:val="center"/>
          </w:tcPr>
          <w:p w14:paraId="4ADEAF22" w14:textId="77777777" w:rsidR="002F5DAC" w:rsidRPr="00B139D9" w:rsidRDefault="002F5DAC" w:rsidP="007502D1">
            <w:pPr>
              <w:tabs>
                <w:tab w:val="left" w:pos="3375"/>
              </w:tabs>
              <w:rPr>
                <w:rFonts w:ascii="Arial" w:eastAsia="Times New Roman" w:hAnsi="Arial" w:cs="Arial"/>
                <w:sz w:val="20"/>
                <w:szCs w:val="20"/>
              </w:rPr>
            </w:pPr>
            <w:r w:rsidRPr="00B139D9">
              <w:rPr>
                <w:rFonts w:ascii="Arial" w:eastAsia="Times New Roman" w:hAnsi="Arial" w:cs="Arial"/>
                <w:b/>
                <w:sz w:val="20"/>
                <w:szCs w:val="20"/>
              </w:rPr>
              <w:t>Supuestos:</w:t>
            </w:r>
          </w:p>
        </w:tc>
        <w:tc>
          <w:tcPr>
            <w:tcW w:w="5779" w:type="dxa"/>
            <w:gridSpan w:val="9"/>
            <w:tcMar>
              <w:top w:w="51" w:type="dxa"/>
              <w:left w:w="227" w:type="dxa"/>
              <w:bottom w:w="51" w:type="dxa"/>
              <w:right w:w="227" w:type="dxa"/>
            </w:tcMar>
            <w:vAlign w:val="center"/>
          </w:tcPr>
          <w:p w14:paraId="5BF18AA9" w14:textId="77777777" w:rsidR="002F5DAC" w:rsidRPr="00F92F6D" w:rsidRDefault="002F5DAC" w:rsidP="007502D1">
            <w:pPr>
              <w:tabs>
                <w:tab w:val="left" w:pos="3375"/>
              </w:tabs>
              <w:jc w:val="both"/>
              <w:rPr>
                <w:rFonts w:ascii="Arial" w:eastAsia="Times New Roman" w:hAnsi="Arial" w:cs="Arial"/>
                <w:color w:val="000000" w:themeColor="text1"/>
                <w:sz w:val="20"/>
                <w:szCs w:val="20"/>
              </w:rPr>
            </w:pPr>
            <w:r w:rsidRPr="00F92F6D">
              <w:rPr>
                <w:rFonts w:ascii="Arial" w:eastAsia="Times New Roman" w:hAnsi="Arial" w:cs="Arial"/>
                <w:color w:val="000000" w:themeColor="text1"/>
                <w:sz w:val="20"/>
                <w:szCs w:val="20"/>
              </w:rPr>
              <w:t>La información remitida por las Autoridades Regionales Forestales y de Fauna Silvestre debe ser completa y consistente.</w:t>
            </w:r>
          </w:p>
        </w:tc>
      </w:tr>
      <w:tr w:rsidR="002F5DAC" w:rsidRPr="00B139D9" w14:paraId="773B5389" w14:textId="77777777" w:rsidTr="007502D1">
        <w:tblPrEx>
          <w:jc w:val="left"/>
        </w:tblPrEx>
        <w:trPr>
          <w:trHeight w:val="376"/>
        </w:trPr>
        <w:tc>
          <w:tcPr>
            <w:tcW w:w="884" w:type="dxa"/>
            <w:tcMar>
              <w:top w:w="10" w:type="dxa"/>
              <w:left w:w="10" w:type="dxa"/>
              <w:bottom w:w="0" w:type="dxa"/>
              <w:right w:w="10" w:type="dxa"/>
            </w:tcMar>
            <w:vAlign w:val="center"/>
          </w:tcPr>
          <w:p w14:paraId="1C6E7F5E" w14:textId="77777777" w:rsidR="002F5DAC" w:rsidRPr="00B139D9" w:rsidRDefault="002F5DAC" w:rsidP="007502D1">
            <w:pPr>
              <w:tabs>
                <w:tab w:val="left" w:pos="3375"/>
              </w:tabs>
              <w:jc w:val="center"/>
              <w:rPr>
                <w:rFonts w:ascii="Arial" w:eastAsia="Times New Roman" w:hAnsi="Arial" w:cs="Arial"/>
                <w:sz w:val="20"/>
                <w:szCs w:val="20"/>
              </w:rPr>
            </w:pPr>
          </w:p>
        </w:tc>
        <w:tc>
          <w:tcPr>
            <w:tcW w:w="822" w:type="dxa"/>
            <w:tcMar>
              <w:top w:w="10" w:type="dxa"/>
              <w:left w:w="10" w:type="dxa"/>
              <w:bottom w:w="0" w:type="dxa"/>
              <w:right w:w="10" w:type="dxa"/>
            </w:tcMar>
            <w:vAlign w:val="center"/>
          </w:tcPr>
          <w:p w14:paraId="5618FC5C" w14:textId="77777777" w:rsidR="002F5DAC" w:rsidRPr="00B139D9" w:rsidRDefault="002F5DAC" w:rsidP="007502D1">
            <w:pPr>
              <w:tabs>
                <w:tab w:val="left" w:pos="3375"/>
              </w:tabs>
              <w:jc w:val="center"/>
              <w:rPr>
                <w:rFonts w:ascii="Arial" w:eastAsia="Times New Roman" w:hAnsi="Arial" w:cs="Arial"/>
                <w:sz w:val="20"/>
                <w:szCs w:val="20"/>
              </w:rPr>
            </w:pPr>
            <w:r w:rsidRPr="00B139D9">
              <w:rPr>
                <w:rFonts w:ascii="Arial" w:eastAsia="Times New Roman" w:hAnsi="Arial" w:cs="Arial"/>
                <w:b/>
                <w:sz w:val="20"/>
                <w:szCs w:val="20"/>
              </w:rPr>
              <w:t>Línea de base</w:t>
            </w:r>
          </w:p>
        </w:tc>
        <w:tc>
          <w:tcPr>
            <w:tcW w:w="6658" w:type="dxa"/>
            <w:gridSpan w:val="11"/>
            <w:tcMar>
              <w:top w:w="10" w:type="dxa"/>
              <w:left w:w="10" w:type="dxa"/>
              <w:bottom w:w="0" w:type="dxa"/>
              <w:right w:w="10" w:type="dxa"/>
            </w:tcMar>
            <w:vAlign w:val="center"/>
          </w:tcPr>
          <w:p w14:paraId="17962CA4" w14:textId="77777777" w:rsidR="002F5DAC" w:rsidRPr="00B139D9" w:rsidRDefault="002F5DAC" w:rsidP="007502D1">
            <w:pPr>
              <w:tabs>
                <w:tab w:val="left" w:pos="3375"/>
              </w:tabs>
              <w:jc w:val="center"/>
              <w:rPr>
                <w:rFonts w:ascii="Arial" w:eastAsia="Times New Roman" w:hAnsi="Arial" w:cs="Arial"/>
                <w:sz w:val="20"/>
                <w:szCs w:val="20"/>
              </w:rPr>
            </w:pPr>
            <w:r w:rsidRPr="00B139D9">
              <w:rPr>
                <w:rFonts w:ascii="Arial" w:eastAsia="Times New Roman" w:hAnsi="Arial" w:cs="Arial"/>
                <w:b/>
                <w:sz w:val="20"/>
                <w:szCs w:val="20"/>
              </w:rPr>
              <w:t>Logros esperados</w:t>
            </w:r>
          </w:p>
        </w:tc>
      </w:tr>
      <w:tr w:rsidR="002F5DAC" w:rsidRPr="00B139D9" w14:paraId="36B12920" w14:textId="77777777" w:rsidTr="007502D1">
        <w:tblPrEx>
          <w:jc w:val="left"/>
        </w:tblPrEx>
        <w:trPr>
          <w:trHeight w:val="217"/>
        </w:trPr>
        <w:tc>
          <w:tcPr>
            <w:tcW w:w="884" w:type="dxa"/>
            <w:tcMar>
              <w:top w:w="10" w:type="dxa"/>
              <w:left w:w="10" w:type="dxa"/>
              <w:bottom w:w="0" w:type="dxa"/>
              <w:right w:w="10" w:type="dxa"/>
            </w:tcMar>
            <w:vAlign w:val="center"/>
          </w:tcPr>
          <w:p w14:paraId="3A00A54F" w14:textId="77777777" w:rsidR="002F5DAC" w:rsidRPr="00B139D9" w:rsidRDefault="002F5DAC" w:rsidP="007502D1">
            <w:pPr>
              <w:tabs>
                <w:tab w:val="left" w:pos="3375"/>
              </w:tabs>
              <w:jc w:val="center"/>
              <w:rPr>
                <w:rFonts w:ascii="Arial" w:eastAsia="Times New Roman" w:hAnsi="Arial" w:cs="Arial"/>
                <w:sz w:val="20"/>
                <w:szCs w:val="20"/>
              </w:rPr>
            </w:pPr>
            <w:r w:rsidRPr="00B139D9">
              <w:rPr>
                <w:rFonts w:ascii="Arial" w:eastAsia="Times New Roman" w:hAnsi="Arial" w:cs="Arial"/>
                <w:b/>
                <w:sz w:val="20"/>
                <w:szCs w:val="20"/>
              </w:rPr>
              <w:t>Año</w:t>
            </w:r>
          </w:p>
        </w:tc>
        <w:tc>
          <w:tcPr>
            <w:tcW w:w="822" w:type="dxa"/>
            <w:tcMar>
              <w:top w:w="10" w:type="dxa"/>
              <w:left w:w="10" w:type="dxa"/>
              <w:bottom w:w="0" w:type="dxa"/>
              <w:right w:w="10" w:type="dxa"/>
            </w:tcMar>
            <w:vAlign w:val="center"/>
          </w:tcPr>
          <w:p w14:paraId="45D288F6" w14:textId="77777777" w:rsidR="002F5DAC" w:rsidRPr="00B139D9" w:rsidRDefault="002F5DAC" w:rsidP="007502D1">
            <w:pPr>
              <w:tabs>
                <w:tab w:val="left" w:pos="3375"/>
              </w:tabs>
              <w:jc w:val="center"/>
              <w:rPr>
                <w:rFonts w:ascii="Arial" w:eastAsia="Times New Roman" w:hAnsi="Arial" w:cs="Arial"/>
                <w:b/>
                <w:sz w:val="20"/>
                <w:szCs w:val="20"/>
              </w:rPr>
            </w:pPr>
            <w:r w:rsidRPr="00B139D9">
              <w:rPr>
                <w:rFonts w:ascii="Arial" w:eastAsia="Times New Roman" w:hAnsi="Arial" w:cs="Arial"/>
                <w:b/>
                <w:sz w:val="20"/>
                <w:szCs w:val="20"/>
              </w:rPr>
              <w:t>2022</w:t>
            </w:r>
          </w:p>
        </w:tc>
        <w:tc>
          <w:tcPr>
            <w:tcW w:w="850" w:type="dxa"/>
            <w:tcMar>
              <w:top w:w="10" w:type="dxa"/>
              <w:left w:w="10" w:type="dxa"/>
              <w:bottom w:w="0" w:type="dxa"/>
              <w:right w:w="10" w:type="dxa"/>
            </w:tcMar>
            <w:vAlign w:val="center"/>
          </w:tcPr>
          <w:p w14:paraId="38DD2739" w14:textId="77777777" w:rsidR="002F5DAC" w:rsidRPr="00B139D9" w:rsidRDefault="002F5DAC" w:rsidP="007502D1">
            <w:pPr>
              <w:tabs>
                <w:tab w:val="left" w:pos="3375"/>
              </w:tabs>
              <w:jc w:val="center"/>
              <w:rPr>
                <w:rFonts w:ascii="Arial" w:eastAsia="Times New Roman" w:hAnsi="Arial" w:cs="Arial"/>
                <w:b/>
                <w:sz w:val="20"/>
                <w:szCs w:val="20"/>
              </w:rPr>
            </w:pPr>
            <w:r w:rsidRPr="00B139D9">
              <w:rPr>
                <w:rFonts w:ascii="Arial" w:eastAsia="Times New Roman" w:hAnsi="Arial" w:cs="Arial"/>
                <w:b/>
                <w:sz w:val="20"/>
                <w:szCs w:val="20"/>
              </w:rPr>
              <w:t>2023</w:t>
            </w:r>
          </w:p>
        </w:tc>
        <w:tc>
          <w:tcPr>
            <w:tcW w:w="993" w:type="dxa"/>
            <w:gridSpan w:val="2"/>
            <w:vAlign w:val="center"/>
          </w:tcPr>
          <w:p w14:paraId="17369817" w14:textId="77777777" w:rsidR="002F5DAC" w:rsidRPr="00B139D9" w:rsidRDefault="002F5DAC" w:rsidP="007502D1">
            <w:pPr>
              <w:tabs>
                <w:tab w:val="left" w:pos="3375"/>
              </w:tabs>
              <w:jc w:val="center"/>
              <w:rPr>
                <w:rFonts w:ascii="Arial" w:eastAsia="Times New Roman" w:hAnsi="Arial" w:cs="Arial"/>
                <w:b/>
                <w:sz w:val="20"/>
                <w:szCs w:val="20"/>
              </w:rPr>
            </w:pPr>
            <w:r w:rsidRPr="00B139D9">
              <w:rPr>
                <w:rFonts w:ascii="Arial" w:eastAsia="Times New Roman" w:hAnsi="Arial" w:cs="Arial"/>
                <w:b/>
                <w:sz w:val="20"/>
                <w:szCs w:val="20"/>
              </w:rPr>
              <w:t>2024</w:t>
            </w:r>
          </w:p>
        </w:tc>
        <w:tc>
          <w:tcPr>
            <w:tcW w:w="850" w:type="dxa"/>
            <w:gridSpan w:val="2"/>
            <w:vAlign w:val="center"/>
          </w:tcPr>
          <w:p w14:paraId="247570CA" w14:textId="77777777" w:rsidR="002F5DAC" w:rsidRPr="00B139D9" w:rsidRDefault="002F5DAC" w:rsidP="007502D1">
            <w:pPr>
              <w:tabs>
                <w:tab w:val="left" w:pos="3375"/>
              </w:tabs>
              <w:jc w:val="center"/>
              <w:rPr>
                <w:rFonts w:ascii="Arial" w:eastAsia="Times New Roman" w:hAnsi="Arial" w:cs="Arial"/>
                <w:b/>
                <w:sz w:val="20"/>
                <w:szCs w:val="20"/>
              </w:rPr>
            </w:pPr>
            <w:r w:rsidRPr="00B139D9">
              <w:rPr>
                <w:rFonts w:ascii="Arial" w:eastAsia="Times New Roman" w:hAnsi="Arial" w:cs="Arial"/>
                <w:b/>
                <w:sz w:val="20"/>
                <w:szCs w:val="20"/>
              </w:rPr>
              <w:t>2025</w:t>
            </w:r>
          </w:p>
        </w:tc>
        <w:tc>
          <w:tcPr>
            <w:tcW w:w="718" w:type="dxa"/>
            <w:vAlign w:val="center"/>
          </w:tcPr>
          <w:p w14:paraId="4874C555" w14:textId="77777777" w:rsidR="002F5DAC" w:rsidRPr="00B139D9" w:rsidRDefault="002F5DAC" w:rsidP="007502D1">
            <w:pPr>
              <w:tabs>
                <w:tab w:val="left" w:pos="3375"/>
              </w:tabs>
              <w:jc w:val="center"/>
              <w:rPr>
                <w:rFonts w:ascii="Arial" w:eastAsia="Times New Roman" w:hAnsi="Arial" w:cs="Arial"/>
                <w:b/>
                <w:sz w:val="20"/>
                <w:szCs w:val="20"/>
              </w:rPr>
            </w:pPr>
            <w:r w:rsidRPr="00B139D9">
              <w:rPr>
                <w:rFonts w:ascii="Arial" w:eastAsia="Times New Roman" w:hAnsi="Arial" w:cs="Arial"/>
                <w:b/>
                <w:sz w:val="20"/>
                <w:szCs w:val="20"/>
              </w:rPr>
              <w:t>2026</w:t>
            </w:r>
          </w:p>
        </w:tc>
        <w:tc>
          <w:tcPr>
            <w:tcW w:w="851" w:type="dxa"/>
            <w:vAlign w:val="center"/>
          </w:tcPr>
          <w:p w14:paraId="42C32073" w14:textId="77777777" w:rsidR="002F5DAC" w:rsidRPr="00B139D9" w:rsidRDefault="002F5DAC" w:rsidP="007502D1">
            <w:pPr>
              <w:tabs>
                <w:tab w:val="left" w:pos="3375"/>
              </w:tabs>
              <w:jc w:val="center"/>
              <w:rPr>
                <w:rFonts w:ascii="Arial" w:eastAsia="Times New Roman" w:hAnsi="Arial" w:cs="Arial"/>
                <w:b/>
                <w:sz w:val="20"/>
                <w:szCs w:val="20"/>
              </w:rPr>
            </w:pPr>
            <w:r w:rsidRPr="00B139D9">
              <w:rPr>
                <w:rFonts w:ascii="Arial" w:eastAsia="Times New Roman" w:hAnsi="Arial" w:cs="Arial"/>
                <w:b/>
                <w:sz w:val="20"/>
                <w:szCs w:val="20"/>
              </w:rPr>
              <w:t>2027</w:t>
            </w:r>
          </w:p>
        </w:tc>
        <w:tc>
          <w:tcPr>
            <w:tcW w:w="709" w:type="dxa"/>
            <w:vAlign w:val="center"/>
          </w:tcPr>
          <w:p w14:paraId="52C0BC0F" w14:textId="77777777" w:rsidR="002F5DAC" w:rsidRPr="00B139D9" w:rsidRDefault="002F5DAC" w:rsidP="007502D1">
            <w:pPr>
              <w:tabs>
                <w:tab w:val="left" w:pos="3375"/>
              </w:tabs>
              <w:jc w:val="center"/>
              <w:rPr>
                <w:rFonts w:ascii="Arial" w:eastAsia="Times New Roman" w:hAnsi="Arial" w:cs="Arial"/>
                <w:b/>
                <w:sz w:val="20"/>
                <w:szCs w:val="20"/>
              </w:rPr>
            </w:pPr>
            <w:r w:rsidRPr="00B139D9">
              <w:rPr>
                <w:rFonts w:ascii="Arial" w:eastAsia="Times New Roman" w:hAnsi="Arial" w:cs="Arial"/>
                <w:b/>
                <w:sz w:val="20"/>
                <w:szCs w:val="20"/>
              </w:rPr>
              <w:t>2028</w:t>
            </w:r>
          </w:p>
        </w:tc>
        <w:tc>
          <w:tcPr>
            <w:tcW w:w="708" w:type="dxa"/>
            <w:gridSpan w:val="2"/>
            <w:vAlign w:val="center"/>
          </w:tcPr>
          <w:p w14:paraId="46FB74F3" w14:textId="77777777" w:rsidR="002F5DAC" w:rsidRPr="00B139D9" w:rsidRDefault="002F5DAC" w:rsidP="007502D1">
            <w:pPr>
              <w:tabs>
                <w:tab w:val="left" w:pos="3375"/>
              </w:tabs>
              <w:jc w:val="center"/>
              <w:rPr>
                <w:rFonts w:ascii="Arial" w:eastAsia="Times New Roman" w:hAnsi="Arial" w:cs="Arial"/>
                <w:b/>
                <w:sz w:val="20"/>
                <w:szCs w:val="20"/>
              </w:rPr>
            </w:pPr>
            <w:r w:rsidRPr="00B139D9">
              <w:rPr>
                <w:rFonts w:ascii="Arial" w:eastAsia="Times New Roman" w:hAnsi="Arial" w:cs="Arial"/>
                <w:b/>
                <w:sz w:val="20"/>
                <w:szCs w:val="20"/>
              </w:rPr>
              <w:t>2029</w:t>
            </w:r>
          </w:p>
        </w:tc>
        <w:tc>
          <w:tcPr>
            <w:tcW w:w="979" w:type="dxa"/>
            <w:tcMar>
              <w:top w:w="10" w:type="dxa"/>
              <w:left w:w="10" w:type="dxa"/>
              <w:bottom w:w="0" w:type="dxa"/>
              <w:right w:w="10" w:type="dxa"/>
            </w:tcMar>
            <w:vAlign w:val="center"/>
          </w:tcPr>
          <w:p w14:paraId="37C25E87" w14:textId="77777777" w:rsidR="002F5DAC" w:rsidRPr="00B139D9" w:rsidRDefault="002F5DAC" w:rsidP="007502D1">
            <w:pPr>
              <w:tabs>
                <w:tab w:val="left" w:pos="3375"/>
              </w:tabs>
              <w:jc w:val="center"/>
              <w:rPr>
                <w:rFonts w:ascii="Arial" w:eastAsia="Times New Roman" w:hAnsi="Arial" w:cs="Arial"/>
                <w:b/>
                <w:sz w:val="20"/>
                <w:szCs w:val="20"/>
              </w:rPr>
            </w:pPr>
            <w:r w:rsidRPr="00B139D9">
              <w:rPr>
                <w:rFonts w:ascii="Arial" w:eastAsia="Times New Roman" w:hAnsi="Arial" w:cs="Arial"/>
                <w:b/>
                <w:sz w:val="20"/>
                <w:szCs w:val="20"/>
              </w:rPr>
              <w:t>2030</w:t>
            </w:r>
          </w:p>
        </w:tc>
      </w:tr>
      <w:tr w:rsidR="002F5DAC" w:rsidRPr="00B139D9" w14:paraId="3D5D371D" w14:textId="77777777" w:rsidTr="007502D1">
        <w:tblPrEx>
          <w:jc w:val="left"/>
        </w:tblPrEx>
        <w:trPr>
          <w:trHeight w:val="81"/>
        </w:trPr>
        <w:tc>
          <w:tcPr>
            <w:tcW w:w="884" w:type="dxa"/>
            <w:tcMar>
              <w:top w:w="10" w:type="dxa"/>
              <w:left w:w="10" w:type="dxa"/>
              <w:bottom w:w="0" w:type="dxa"/>
              <w:right w:w="10" w:type="dxa"/>
            </w:tcMar>
            <w:vAlign w:val="center"/>
          </w:tcPr>
          <w:p w14:paraId="4583806C" w14:textId="77777777" w:rsidR="002F5DAC" w:rsidRPr="00B139D9" w:rsidRDefault="002F5DAC" w:rsidP="007502D1">
            <w:pPr>
              <w:tabs>
                <w:tab w:val="left" w:pos="3375"/>
              </w:tabs>
              <w:jc w:val="center"/>
              <w:rPr>
                <w:rFonts w:ascii="Arial" w:eastAsia="Times New Roman" w:hAnsi="Arial" w:cs="Arial"/>
                <w:sz w:val="20"/>
                <w:szCs w:val="20"/>
              </w:rPr>
            </w:pPr>
            <w:r w:rsidRPr="00B139D9">
              <w:rPr>
                <w:rFonts w:ascii="Arial" w:eastAsia="Times New Roman" w:hAnsi="Arial" w:cs="Arial"/>
                <w:b/>
                <w:sz w:val="20"/>
                <w:szCs w:val="20"/>
              </w:rPr>
              <w:t>Valor</w:t>
            </w:r>
          </w:p>
        </w:tc>
        <w:tc>
          <w:tcPr>
            <w:tcW w:w="822" w:type="dxa"/>
            <w:tcMar>
              <w:top w:w="10" w:type="dxa"/>
              <w:left w:w="10" w:type="dxa"/>
              <w:bottom w:w="0" w:type="dxa"/>
              <w:right w:w="10" w:type="dxa"/>
            </w:tcMar>
            <w:vAlign w:val="center"/>
          </w:tcPr>
          <w:p w14:paraId="60E29A3B" w14:textId="77777777" w:rsidR="002F5DAC" w:rsidRPr="00F92F6D" w:rsidRDefault="002F5DAC" w:rsidP="007502D1">
            <w:pPr>
              <w:tabs>
                <w:tab w:val="left" w:pos="3375"/>
              </w:tabs>
              <w:jc w:val="center"/>
              <w:rPr>
                <w:rFonts w:ascii="Arial" w:eastAsia="Times New Roman" w:hAnsi="Arial" w:cs="Arial"/>
                <w:color w:val="000000" w:themeColor="text1"/>
                <w:sz w:val="20"/>
                <w:szCs w:val="20"/>
              </w:rPr>
            </w:pPr>
            <w:r w:rsidRPr="00F92F6D">
              <w:rPr>
                <w:rFonts w:ascii="Arial" w:eastAsia="Times New Roman" w:hAnsi="Arial" w:cs="Arial"/>
                <w:color w:val="000000" w:themeColor="text1"/>
                <w:sz w:val="20"/>
                <w:szCs w:val="20"/>
              </w:rPr>
              <w:t>50%</w:t>
            </w:r>
          </w:p>
        </w:tc>
        <w:tc>
          <w:tcPr>
            <w:tcW w:w="850" w:type="dxa"/>
            <w:tcMar>
              <w:top w:w="10" w:type="dxa"/>
              <w:left w:w="10" w:type="dxa"/>
              <w:bottom w:w="0" w:type="dxa"/>
              <w:right w:w="10" w:type="dxa"/>
            </w:tcMar>
            <w:vAlign w:val="center"/>
          </w:tcPr>
          <w:p w14:paraId="7043B1F5" w14:textId="77777777" w:rsidR="002F5DAC" w:rsidRPr="00F92F6D" w:rsidRDefault="002F5DAC" w:rsidP="007502D1">
            <w:pPr>
              <w:tabs>
                <w:tab w:val="left" w:pos="3375"/>
              </w:tabs>
              <w:jc w:val="center"/>
              <w:rPr>
                <w:rFonts w:ascii="Arial" w:eastAsia="Times New Roman" w:hAnsi="Arial" w:cs="Arial"/>
                <w:color w:val="000000" w:themeColor="text1"/>
                <w:sz w:val="20"/>
                <w:szCs w:val="20"/>
              </w:rPr>
            </w:pPr>
            <w:r w:rsidRPr="00F92F6D">
              <w:rPr>
                <w:rFonts w:ascii="Arial" w:eastAsia="Times New Roman" w:hAnsi="Arial" w:cs="Arial"/>
                <w:color w:val="000000" w:themeColor="text1"/>
                <w:sz w:val="20"/>
                <w:szCs w:val="20"/>
              </w:rPr>
              <w:t>55%</w:t>
            </w:r>
          </w:p>
        </w:tc>
        <w:tc>
          <w:tcPr>
            <w:tcW w:w="993" w:type="dxa"/>
            <w:gridSpan w:val="2"/>
            <w:vAlign w:val="center"/>
          </w:tcPr>
          <w:p w14:paraId="700EECC0" w14:textId="77777777" w:rsidR="002F5DAC" w:rsidRPr="00F92F6D" w:rsidRDefault="002F5DAC" w:rsidP="007502D1">
            <w:pPr>
              <w:tabs>
                <w:tab w:val="left" w:pos="3375"/>
              </w:tabs>
              <w:jc w:val="center"/>
              <w:rPr>
                <w:rFonts w:ascii="Arial" w:eastAsia="Times New Roman" w:hAnsi="Arial" w:cs="Arial"/>
                <w:color w:val="000000" w:themeColor="text1"/>
                <w:sz w:val="20"/>
                <w:szCs w:val="20"/>
              </w:rPr>
            </w:pPr>
            <w:r w:rsidRPr="00F92F6D">
              <w:rPr>
                <w:rFonts w:ascii="Arial" w:eastAsia="Times New Roman" w:hAnsi="Arial" w:cs="Arial"/>
                <w:color w:val="000000" w:themeColor="text1"/>
                <w:sz w:val="20"/>
                <w:szCs w:val="20"/>
              </w:rPr>
              <w:t>60%</w:t>
            </w:r>
          </w:p>
        </w:tc>
        <w:tc>
          <w:tcPr>
            <w:tcW w:w="850" w:type="dxa"/>
            <w:gridSpan w:val="2"/>
            <w:vAlign w:val="center"/>
          </w:tcPr>
          <w:p w14:paraId="079D7F8F" w14:textId="77777777" w:rsidR="002F5DAC" w:rsidRPr="00F92F6D" w:rsidRDefault="002F5DAC" w:rsidP="007502D1">
            <w:pPr>
              <w:tabs>
                <w:tab w:val="left" w:pos="3375"/>
              </w:tabs>
              <w:jc w:val="center"/>
              <w:rPr>
                <w:rFonts w:ascii="Arial" w:eastAsia="Times New Roman" w:hAnsi="Arial" w:cs="Arial"/>
                <w:color w:val="000000" w:themeColor="text1"/>
                <w:sz w:val="20"/>
                <w:szCs w:val="20"/>
              </w:rPr>
            </w:pPr>
            <w:r w:rsidRPr="00F92F6D">
              <w:rPr>
                <w:rFonts w:ascii="Arial" w:eastAsia="Times New Roman" w:hAnsi="Arial" w:cs="Arial"/>
                <w:color w:val="000000" w:themeColor="text1"/>
                <w:sz w:val="20"/>
                <w:szCs w:val="20"/>
              </w:rPr>
              <w:t>65%</w:t>
            </w:r>
          </w:p>
        </w:tc>
        <w:tc>
          <w:tcPr>
            <w:tcW w:w="718" w:type="dxa"/>
            <w:vAlign w:val="center"/>
          </w:tcPr>
          <w:p w14:paraId="40334387" w14:textId="77777777" w:rsidR="002F5DAC" w:rsidRPr="00F92F6D" w:rsidRDefault="002F5DAC" w:rsidP="007502D1">
            <w:pPr>
              <w:tabs>
                <w:tab w:val="left" w:pos="3375"/>
              </w:tabs>
              <w:jc w:val="center"/>
              <w:rPr>
                <w:rFonts w:ascii="Arial" w:eastAsia="Times New Roman" w:hAnsi="Arial" w:cs="Arial"/>
                <w:color w:val="000000" w:themeColor="text1"/>
                <w:sz w:val="20"/>
                <w:szCs w:val="20"/>
              </w:rPr>
            </w:pPr>
            <w:r w:rsidRPr="00F92F6D">
              <w:rPr>
                <w:rFonts w:ascii="Arial" w:eastAsia="Times New Roman" w:hAnsi="Arial" w:cs="Arial"/>
                <w:color w:val="000000" w:themeColor="text1"/>
                <w:sz w:val="20"/>
                <w:szCs w:val="20"/>
              </w:rPr>
              <w:t>70%</w:t>
            </w:r>
          </w:p>
        </w:tc>
        <w:tc>
          <w:tcPr>
            <w:tcW w:w="851" w:type="dxa"/>
            <w:vAlign w:val="center"/>
          </w:tcPr>
          <w:p w14:paraId="09B25CD3" w14:textId="77777777" w:rsidR="002F5DAC" w:rsidRPr="00F92F6D" w:rsidRDefault="002F5DAC" w:rsidP="007502D1">
            <w:pPr>
              <w:tabs>
                <w:tab w:val="left" w:pos="3375"/>
              </w:tabs>
              <w:jc w:val="center"/>
              <w:rPr>
                <w:rFonts w:ascii="Arial" w:eastAsia="Times New Roman" w:hAnsi="Arial" w:cs="Arial"/>
                <w:color w:val="000000" w:themeColor="text1"/>
                <w:sz w:val="20"/>
                <w:szCs w:val="20"/>
              </w:rPr>
            </w:pPr>
            <w:r w:rsidRPr="00F92F6D">
              <w:rPr>
                <w:rFonts w:ascii="Arial" w:eastAsia="Times New Roman" w:hAnsi="Arial" w:cs="Arial"/>
                <w:color w:val="000000" w:themeColor="text1"/>
                <w:sz w:val="20"/>
                <w:szCs w:val="20"/>
              </w:rPr>
              <w:t>75%</w:t>
            </w:r>
          </w:p>
        </w:tc>
        <w:tc>
          <w:tcPr>
            <w:tcW w:w="709" w:type="dxa"/>
            <w:vAlign w:val="center"/>
          </w:tcPr>
          <w:p w14:paraId="1A9FC8C5" w14:textId="77777777" w:rsidR="002F5DAC" w:rsidRPr="00F92F6D" w:rsidRDefault="002F5DAC" w:rsidP="007502D1">
            <w:pPr>
              <w:tabs>
                <w:tab w:val="left" w:pos="3375"/>
              </w:tabs>
              <w:jc w:val="center"/>
              <w:rPr>
                <w:rFonts w:ascii="Arial" w:eastAsia="Times New Roman" w:hAnsi="Arial" w:cs="Arial"/>
                <w:color w:val="000000" w:themeColor="text1"/>
                <w:sz w:val="20"/>
                <w:szCs w:val="20"/>
              </w:rPr>
            </w:pPr>
            <w:r w:rsidRPr="00F92F6D">
              <w:rPr>
                <w:rFonts w:ascii="Arial" w:eastAsia="Times New Roman" w:hAnsi="Arial" w:cs="Arial"/>
                <w:color w:val="000000" w:themeColor="text1"/>
                <w:sz w:val="20"/>
                <w:szCs w:val="20"/>
              </w:rPr>
              <w:t>80%</w:t>
            </w:r>
          </w:p>
        </w:tc>
        <w:tc>
          <w:tcPr>
            <w:tcW w:w="708" w:type="dxa"/>
            <w:gridSpan w:val="2"/>
            <w:vAlign w:val="center"/>
          </w:tcPr>
          <w:p w14:paraId="7EE5F74B" w14:textId="77777777" w:rsidR="002F5DAC" w:rsidRPr="00F92F6D" w:rsidRDefault="002F5DAC" w:rsidP="007502D1">
            <w:pPr>
              <w:tabs>
                <w:tab w:val="left" w:pos="3375"/>
              </w:tabs>
              <w:jc w:val="center"/>
              <w:rPr>
                <w:rFonts w:ascii="Arial" w:eastAsia="Times New Roman" w:hAnsi="Arial" w:cs="Arial"/>
                <w:color w:val="000000" w:themeColor="text1"/>
                <w:sz w:val="20"/>
                <w:szCs w:val="20"/>
              </w:rPr>
            </w:pPr>
            <w:r w:rsidRPr="00F92F6D">
              <w:rPr>
                <w:rFonts w:ascii="Arial" w:eastAsia="Times New Roman" w:hAnsi="Arial" w:cs="Arial"/>
                <w:color w:val="000000" w:themeColor="text1"/>
                <w:sz w:val="20"/>
                <w:szCs w:val="20"/>
              </w:rPr>
              <w:t>85%</w:t>
            </w:r>
          </w:p>
        </w:tc>
        <w:tc>
          <w:tcPr>
            <w:tcW w:w="979" w:type="dxa"/>
            <w:tcMar>
              <w:top w:w="10" w:type="dxa"/>
              <w:left w:w="10" w:type="dxa"/>
              <w:bottom w:w="0" w:type="dxa"/>
              <w:right w:w="10" w:type="dxa"/>
            </w:tcMar>
            <w:vAlign w:val="center"/>
          </w:tcPr>
          <w:p w14:paraId="574CEE42" w14:textId="77777777" w:rsidR="002F5DAC" w:rsidRPr="00F92F6D" w:rsidRDefault="002F5DAC" w:rsidP="007502D1">
            <w:pPr>
              <w:tabs>
                <w:tab w:val="left" w:pos="3375"/>
              </w:tabs>
              <w:jc w:val="center"/>
              <w:rPr>
                <w:rFonts w:ascii="Arial" w:eastAsia="Times New Roman" w:hAnsi="Arial" w:cs="Arial"/>
                <w:color w:val="000000" w:themeColor="text1"/>
                <w:sz w:val="20"/>
                <w:szCs w:val="20"/>
              </w:rPr>
            </w:pPr>
            <w:r w:rsidRPr="00F92F6D">
              <w:rPr>
                <w:rFonts w:ascii="Arial" w:eastAsia="Times New Roman" w:hAnsi="Arial" w:cs="Arial"/>
                <w:color w:val="000000" w:themeColor="text1"/>
                <w:sz w:val="20"/>
                <w:szCs w:val="20"/>
              </w:rPr>
              <w:t>90%</w:t>
            </w:r>
          </w:p>
        </w:tc>
      </w:tr>
    </w:tbl>
    <w:p w14:paraId="3C1824E8" w14:textId="77777777" w:rsidR="002F5DAC" w:rsidRDefault="002F5DAC" w:rsidP="002F5DAC"/>
    <w:p w14:paraId="70EDCDA2" w14:textId="77777777" w:rsidR="00A75C0F" w:rsidRPr="008A26D2" w:rsidRDefault="00A75C0F" w:rsidP="00A75C0F"/>
    <w:p w14:paraId="6DF6B0FE" w14:textId="77777777" w:rsidR="00A75C0F" w:rsidRPr="008A26D2" w:rsidRDefault="00A75C0F" w:rsidP="00A75C0F"/>
    <w:tbl>
      <w:tblPr>
        <w:tblW w:w="8222"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1"/>
        <w:gridCol w:w="847"/>
        <w:gridCol w:w="708"/>
        <w:gridCol w:w="15"/>
        <w:gridCol w:w="993"/>
        <w:gridCol w:w="850"/>
        <w:gridCol w:w="71"/>
        <w:gridCol w:w="780"/>
        <w:gridCol w:w="850"/>
        <w:gridCol w:w="851"/>
        <w:gridCol w:w="850"/>
        <w:gridCol w:w="836"/>
      </w:tblGrid>
      <w:tr w:rsidR="00A75C0F" w:rsidRPr="008A26D2" w14:paraId="538A49A8" w14:textId="77777777" w:rsidTr="00AF5836">
        <w:trPr>
          <w:trHeight w:val="397"/>
        </w:trPr>
        <w:tc>
          <w:tcPr>
            <w:tcW w:w="8222" w:type="dxa"/>
            <w:gridSpan w:val="12"/>
            <w:shd w:val="clear" w:color="auto" w:fill="D9D9D9" w:themeFill="background1" w:themeFillShade="D9"/>
            <w:tcMar>
              <w:top w:w="10" w:type="dxa"/>
              <w:left w:w="10" w:type="dxa"/>
              <w:bottom w:w="0" w:type="dxa"/>
              <w:right w:w="10" w:type="dxa"/>
            </w:tcMar>
            <w:vAlign w:val="center"/>
          </w:tcPr>
          <w:p w14:paraId="2BF0E4E7" w14:textId="77777777" w:rsidR="00A75C0F" w:rsidRPr="008A26D2" w:rsidRDefault="00A75C0F" w:rsidP="00AF5836">
            <w:pPr>
              <w:tabs>
                <w:tab w:val="left" w:pos="3375"/>
              </w:tabs>
              <w:spacing w:after="0"/>
              <w:jc w:val="center"/>
              <w:rPr>
                <w:rFonts w:ascii="Arial" w:hAnsi="Arial" w:cs="Arial"/>
                <w:b/>
                <w:sz w:val="20"/>
                <w:szCs w:val="20"/>
              </w:rPr>
            </w:pPr>
            <w:r w:rsidRPr="008A26D2">
              <w:rPr>
                <w:rFonts w:ascii="Arial" w:hAnsi="Arial" w:cs="Arial"/>
                <w:b/>
                <w:sz w:val="20"/>
                <w:szCs w:val="20"/>
              </w:rPr>
              <w:t>FICHA TÉCNICA DE INDICADOR DE SERVICIO 3.3.2</w:t>
            </w:r>
          </w:p>
        </w:tc>
      </w:tr>
      <w:tr w:rsidR="00A75C0F" w:rsidRPr="008A26D2" w14:paraId="2F9D80CA" w14:textId="77777777" w:rsidTr="00AF5836">
        <w:trPr>
          <w:trHeight w:val="409"/>
        </w:trPr>
        <w:tc>
          <w:tcPr>
            <w:tcW w:w="2141" w:type="dxa"/>
            <w:gridSpan w:val="4"/>
            <w:shd w:val="clear" w:color="auto" w:fill="FFFFFF"/>
            <w:tcMar>
              <w:top w:w="10" w:type="dxa"/>
              <w:left w:w="93" w:type="dxa"/>
              <w:bottom w:w="0" w:type="dxa"/>
              <w:right w:w="10" w:type="dxa"/>
            </w:tcMar>
            <w:vAlign w:val="center"/>
          </w:tcPr>
          <w:p w14:paraId="7B38A6C4" w14:textId="77777777" w:rsidR="00A75C0F" w:rsidRPr="008A26D2" w:rsidRDefault="00A75C0F" w:rsidP="00AF5836">
            <w:pPr>
              <w:tabs>
                <w:tab w:val="left" w:pos="3375"/>
              </w:tabs>
              <w:spacing w:after="0"/>
              <w:rPr>
                <w:rFonts w:ascii="Arial" w:hAnsi="Arial" w:cs="Arial"/>
                <w:sz w:val="20"/>
                <w:szCs w:val="20"/>
              </w:rPr>
            </w:pPr>
            <w:r w:rsidRPr="008A26D2">
              <w:rPr>
                <w:rFonts w:ascii="Arial" w:hAnsi="Arial" w:cs="Arial"/>
                <w:b/>
                <w:sz w:val="20"/>
                <w:szCs w:val="20"/>
              </w:rPr>
              <w:t>Objetivo prioritario:</w:t>
            </w:r>
          </w:p>
        </w:tc>
        <w:tc>
          <w:tcPr>
            <w:tcW w:w="6081" w:type="dxa"/>
            <w:gridSpan w:val="8"/>
            <w:shd w:val="clear" w:color="auto" w:fill="FFFFFF"/>
            <w:tcMar>
              <w:top w:w="51" w:type="dxa"/>
              <w:left w:w="227" w:type="dxa"/>
              <w:bottom w:w="51" w:type="dxa"/>
              <w:right w:w="227" w:type="dxa"/>
            </w:tcMar>
            <w:vAlign w:val="center"/>
          </w:tcPr>
          <w:p w14:paraId="4762AD41" w14:textId="77777777" w:rsidR="00A75C0F" w:rsidRPr="008A26D2" w:rsidRDefault="00A75C0F" w:rsidP="00AF5836">
            <w:pPr>
              <w:tabs>
                <w:tab w:val="left" w:pos="3375"/>
              </w:tabs>
              <w:spacing w:after="0"/>
              <w:ind w:left="-102"/>
              <w:jc w:val="both"/>
              <w:rPr>
                <w:rFonts w:ascii="Arial" w:hAnsi="Arial" w:cs="Arial"/>
                <w:sz w:val="20"/>
                <w:szCs w:val="20"/>
              </w:rPr>
            </w:pPr>
            <w:r w:rsidRPr="008A26D2">
              <w:rPr>
                <w:rFonts w:ascii="Arial" w:eastAsia="Arial Narrow" w:hAnsi="Arial" w:cs="Arial"/>
                <w:sz w:val="20"/>
                <w:szCs w:val="20"/>
              </w:rPr>
              <w:t>OP3 Fortalecer la gobernanza forestal y de fauna silvestre</w:t>
            </w:r>
          </w:p>
        </w:tc>
      </w:tr>
      <w:tr w:rsidR="00A75C0F" w:rsidRPr="008A26D2" w14:paraId="32B35A12" w14:textId="77777777" w:rsidTr="00AF5836">
        <w:trPr>
          <w:trHeight w:val="436"/>
        </w:trPr>
        <w:tc>
          <w:tcPr>
            <w:tcW w:w="2141" w:type="dxa"/>
            <w:gridSpan w:val="4"/>
            <w:shd w:val="clear" w:color="auto" w:fill="auto"/>
            <w:tcMar>
              <w:top w:w="10" w:type="dxa"/>
              <w:left w:w="93" w:type="dxa"/>
              <w:bottom w:w="0" w:type="dxa"/>
              <w:right w:w="10" w:type="dxa"/>
            </w:tcMar>
            <w:vAlign w:val="center"/>
          </w:tcPr>
          <w:p w14:paraId="4862879F" w14:textId="77777777" w:rsidR="00A75C0F" w:rsidRPr="008A26D2" w:rsidRDefault="00A75C0F" w:rsidP="00AF5836">
            <w:pPr>
              <w:tabs>
                <w:tab w:val="left" w:pos="3375"/>
              </w:tabs>
              <w:spacing w:after="0"/>
              <w:rPr>
                <w:rFonts w:ascii="Arial" w:hAnsi="Arial" w:cs="Arial"/>
                <w:sz w:val="20"/>
                <w:szCs w:val="20"/>
              </w:rPr>
            </w:pPr>
            <w:r w:rsidRPr="008A26D2">
              <w:rPr>
                <w:rFonts w:ascii="Arial" w:hAnsi="Arial" w:cs="Arial"/>
                <w:b/>
                <w:sz w:val="20"/>
                <w:szCs w:val="20"/>
              </w:rPr>
              <w:t>Lineamiento de la política:</w:t>
            </w:r>
          </w:p>
        </w:tc>
        <w:tc>
          <w:tcPr>
            <w:tcW w:w="6081" w:type="dxa"/>
            <w:gridSpan w:val="8"/>
            <w:shd w:val="clear" w:color="auto" w:fill="auto"/>
            <w:tcMar>
              <w:top w:w="51" w:type="dxa"/>
              <w:left w:w="227" w:type="dxa"/>
              <w:bottom w:w="51" w:type="dxa"/>
              <w:right w:w="227" w:type="dxa"/>
            </w:tcMar>
            <w:vAlign w:val="center"/>
          </w:tcPr>
          <w:p w14:paraId="06F9A81F" w14:textId="77777777" w:rsidR="00A75C0F" w:rsidRPr="008A26D2" w:rsidRDefault="00A75C0F" w:rsidP="00AF5836">
            <w:pPr>
              <w:tabs>
                <w:tab w:val="left" w:pos="3375"/>
              </w:tabs>
              <w:spacing w:after="0"/>
              <w:ind w:left="-102"/>
              <w:jc w:val="both"/>
              <w:rPr>
                <w:rFonts w:ascii="Arial" w:hAnsi="Arial" w:cs="Arial"/>
                <w:sz w:val="20"/>
                <w:szCs w:val="20"/>
              </w:rPr>
            </w:pPr>
            <w:r w:rsidRPr="008A26D2">
              <w:rPr>
                <w:rFonts w:ascii="Arial" w:eastAsia="Arial Narrow" w:hAnsi="Arial" w:cs="Arial"/>
                <w:sz w:val="20"/>
                <w:szCs w:val="20"/>
              </w:rPr>
              <w:t>L 3.3 Gestionar la información y el conocimiento en materia forestal y de fauna silvestre producido por los actores forestales y de fauna silvestre</w:t>
            </w:r>
          </w:p>
        </w:tc>
      </w:tr>
      <w:tr w:rsidR="00A75C0F" w:rsidRPr="008A26D2" w14:paraId="6980E53E" w14:textId="77777777" w:rsidTr="00AF5836">
        <w:trPr>
          <w:trHeight w:val="404"/>
        </w:trPr>
        <w:tc>
          <w:tcPr>
            <w:tcW w:w="2141" w:type="dxa"/>
            <w:gridSpan w:val="4"/>
            <w:shd w:val="clear" w:color="auto" w:fill="auto"/>
            <w:tcMar>
              <w:top w:w="10" w:type="dxa"/>
              <w:left w:w="93" w:type="dxa"/>
              <w:bottom w:w="0" w:type="dxa"/>
              <w:right w:w="10" w:type="dxa"/>
            </w:tcMar>
            <w:vAlign w:val="center"/>
          </w:tcPr>
          <w:p w14:paraId="25932FD8" w14:textId="77777777" w:rsidR="00A75C0F" w:rsidRPr="008A26D2" w:rsidRDefault="00A75C0F" w:rsidP="00AF5836">
            <w:pPr>
              <w:tabs>
                <w:tab w:val="left" w:pos="3375"/>
              </w:tabs>
              <w:spacing w:after="0"/>
              <w:rPr>
                <w:rFonts w:ascii="Arial" w:hAnsi="Arial" w:cs="Arial"/>
                <w:sz w:val="20"/>
                <w:szCs w:val="20"/>
              </w:rPr>
            </w:pPr>
            <w:r w:rsidRPr="008A26D2">
              <w:rPr>
                <w:rFonts w:ascii="Arial" w:hAnsi="Arial" w:cs="Arial"/>
                <w:b/>
                <w:sz w:val="20"/>
                <w:szCs w:val="20"/>
              </w:rPr>
              <w:t>Nombre del servicio:</w:t>
            </w:r>
          </w:p>
        </w:tc>
        <w:tc>
          <w:tcPr>
            <w:tcW w:w="6081" w:type="dxa"/>
            <w:gridSpan w:val="8"/>
            <w:shd w:val="clear" w:color="auto" w:fill="auto"/>
            <w:tcMar>
              <w:top w:w="51" w:type="dxa"/>
              <w:left w:w="227" w:type="dxa"/>
              <w:bottom w:w="51" w:type="dxa"/>
              <w:right w:w="227" w:type="dxa"/>
            </w:tcMar>
            <w:vAlign w:val="center"/>
          </w:tcPr>
          <w:p w14:paraId="1A9F3A00" w14:textId="77777777" w:rsidR="00A75C0F" w:rsidRPr="008A26D2" w:rsidRDefault="00A75C0F" w:rsidP="00AF5836">
            <w:pPr>
              <w:tabs>
                <w:tab w:val="left" w:pos="3375"/>
              </w:tabs>
              <w:spacing w:after="0"/>
              <w:ind w:left="-102"/>
              <w:jc w:val="both"/>
              <w:rPr>
                <w:rFonts w:ascii="Arial" w:hAnsi="Arial" w:cs="Arial"/>
                <w:sz w:val="20"/>
                <w:szCs w:val="20"/>
              </w:rPr>
            </w:pPr>
            <w:r w:rsidRPr="008A26D2">
              <w:rPr>
                <w:rFonts w:ascii="Arial" w:eastAsia="Arial Narrow" w:hAnsi="Arial" w:cs="Arial"/>
                <w:sz w:val="20"/>
                <w:szCs w:val="20"/>
              </w:rPr>
              <w:t>S3.3.2 Difusión de información sobre supervisión, fiscalización y capacitación de forma accesible para las entidades públicas, privadas y sociedad civil.</w:t>
            </w:r>
          </w:p>
        </w:tc>
      </w:tr>
      <w:tr w:rsidR="00A75C0F" w:rsidRPr="008A26D2" w14:paraId="71EB3CF4" w14:textId="77777777" w:rsidTr="00AF5836">
        <w:trPr>
          <w:trHeight w:val="577"/>
        </w:trPr>
        <w:tc>
          <w:tcPr>
            <w:tcW w:w="2141" w:type="dxa"/>
            <w:gridSpan w:val="4"/>
            <w:shd w:val="clear" w:color="auto" w:fill="auto"/>
            <w:tcMar>
              <w:top w:w="10" w:type="dxa"/>
              <w:left w:w="93" w:type="dxa"/>
              <w:bottom w:w="0" w:type="dxa"/>
              <w:right w:w="10" w:type="dxa"/>
            </w:tcMar>
            <w:vAlign w:val="center"/>
          </w:tcPr>
          <w:p w14:paraId="10E77429" w14:textId="77777777" w:rsidR="00A75C0F" w:rsidRPr="008A26D2" w:rsidRDefault="00A75C0F" w:rsidP="00AF5836">
            <w:pPr>
              <w:tabs>
                <w:tab w:val="left" w:pos="3375"/>
              </w:tabs>
              <w:spacing w:after="0"/>
              <w:rPr>
                <w:rFonts w:ascii="Arial" w:hAnsi="Arial" w:cs="Arial"/>
                <w:sz w:val="20"/>
                <w:szCs w:val="20"/>
              </w:rPr>
            </w:pPr>
            <w:r w:rsidRPr="008A26D2">
              <w:rPr>
                <w:rFonts w:ascii="Arial" w:hAnsi="Arial" w:cs="Arial"/>
                <w:b/>
                <w:sz w:val="20"/>
                <w:szCs w:val="20"/>
              </w:rPr>
              <w:t>Nombre del indicador:</w:t>
            </w:r>
          </w:p>
        </w:tc>
        <w:tc>
          <w:tcPr>
            <w:tcW w:w="6081" w:type="dxa"/>
            <w:gridSpan w:val="8"/>
            <w:shd w:val="clear" w:color="auto" w:fill="auto"/>
            <w:tcMar>
              <w:top w:w="51" w:type="dxa"/>
              <w:left w:w="227" w:type="dxa"/>
              <w:bottom w:w="51" w:type="dxa"/>
              <w:right w:w="227" w:type="dxa"/>
            </w:tcMar>
            <w:vAlign w:val="center"/>
          </w:tcPr>
          <w:p w14:paraId="1A600D4F" w14:textId="77777777" w:rsidR="00A75C0F" w:rsidRPr="00F92F6D" w:rsidRDefault="00A75C0F" w:rsidP="00AF5836">
            <w:pPr>
              <w:tabs>
                <w:tab w:val="left" w:pos="3375"/>
              </w:tabs>
              <w:spacing w:after="0"/>
              <w:ind w:left="-102"/>
              <w:jc w:val="both"/>
              <w:rPr>
                <w:rFonts w:ascii="Arial" w:hAnsi="Arial" w:cs="Arial"/>
                <w:sz w:val="20"/>
                <w:szCs w:val="20"/>
              </w:rPr>
            </w:pPr>
            <w:r w:rsidRPr="00F92F6D">
              <w:rPr>
                <w:rFonts w:ascii="Arial" w:hAnsi="Arial" w:cs="Arial"/>
                <w:sz w:val="20"/>
                <w:szCs w:val="20"/>
              </w:rPr>
              <w:t>Número de usuarios que acceden a los servicios de las plataformas de información del OSINFOR</w:t>
            </w:r>
          </w:p>
        </w:tc>
      </w:tr>
      <w:tr w:rsidR="00A75C0F" w:rsidRPr="008A26D2" w14:paraId="3938D0A2" w14:textId="77777777" w:rsidTr="00AF5836">
        <w:trPr>
          <w:trHeight w:val="577"/>
        </w:trPr>
        <w:tc>
          <w:tcPr>
            <w:tcW w:w="2141" w:type="dxa"/>
            <w:gridSpan w:val="4"/>
            <w:shd w:val="clear" w:color="auto" w:fill="auto"/>
            <w:tcMar>
              <w:top w:w="10" w:type="dxa"/>
              <w:left w:w="93" w:type="dxa"/>
              <w:bottom w:w="0" w:type="dxa"/>
              <w:right w:w="10" w:type="dxa"/>
            </w:tcMar>
            <w:vAlign w:val="center"/>
          </w:tcPr>
          <w:p w14:paraId="688E51C0" w14:textId="77777777" w:rsidR="00A75C0F" w:rsidRPr="008A26D2" w:rsidRDefault="00A75C0F" w:rsidP="00AF5836">
            <w:pPr>
              <w:tabs>
                <w:tab w:val="left" w:pos="3375"/>
              </w:tabs>
              <w:spacing w:after="0"/>
              <w:rPr>
                <w:rFonts w:ascii="Arial" w:hAnsi="Arial" w:cs="Arial"/>
                <w:sz w:val="20"/>
                <w:szCs w:val="20"/>
              </w:rPr>
            </w:pPr>
            <w:r w:rsidRPr="008A26D2">
              <w:rPr>
                <w:rFonts w:ascii="Arial" w:hAnsi="Arial" w:cs="Arial"/>
                <w:b/>
                <w:sz w:val="20"/>
                <w:szCs w:val="20"/>
              </w:rPr>
              <w:t>Justificación:</w:t>
            </w:r>
          </w:p>
        </w:tc>
        <w:tc>
          <w:tcPr>
            <w:tcW w:w="6081" w:type="dxa"/>
            <w:gridSpan w:val="8"/>
            <w:shd w:val="clear" w:color="auto" w:fill="auto"/>
            <w:tcMar>
              <w:top w:w="51" w:type="dxa"/>
              <w:left w:w="227" w:type="dxa"/>
              <w:bottom w:w="51" w:type="dxa"/>
              <w:right w:w="227" w:type="dxa"/>
            </w:tcMar>
            <w:vAlign w:val="center"/>
          </w:tcPr>
          <w:p w14:paraId="36E32F5B" w14:textId="77777777" w:rsidR="00A75C0F" w:rsidRPr="008A26D2" w:rsidRDefault="00A75C0F" w:rsidP="00AF5836">
            <w:pPr>
              <w:tabs>
                <w:tab w:val="left" w:pos="3375"/>
              </w:tabs>
              <w:spacing w:after="0"/>
              <w:ind w:left="-102"/>
              <w:jc w:val="both"/>
              <w:rPr>
                <w:rFonts w:ascii="Arial" w:hAnsi="Arial" w:cs="Arial"/>
                <w:sz w:val="20"/>
                <w:szCs w:val="20"/>
              </w:rPr>
            </w:pPr>
            <w:r w:rsidRPr="008A26D2">
              <w:rPr>
                <w:rFonts w:ascii="Arial" w:hAnsi="Arial" w:cs="Arial"/>
                <w:sz w:val="20"/>
                <w:szCs w:val="20"/>
              </w:rPr>
              <w:t>El indicador busca medir el número de usuarios que acceden a la información disponible en los servicios de las diversas plataformas de información.</w:t>
            </w:r>
          </w:p>
          <w:p w14:paraId="449C9285" w14:textId="77777777" w:rsidR="00A75C0F" w:rsidRPr="008A26D2" w:rsidRDefault="00A75C0F" w:rsidP="00AF5836">
            <w:pPr>
              <w:tabs>
                <w:tab w:val="left" w:pos="3375"/>
              </w:tabs>
              <w:spacing w:after="0"/>
              <w:ind w:left="-102"/>
              <w:jc w:val="both"/>
              <w:rPr>
                <w:rFonts w:ascii="Arial" w:hAnsi="Arial" w:cs="Arial"/>
                <w:sz w:val="20"/>
                <w:szCs w:val="20"/>
              </w:rPr>
            </w:pPr>
          </w:p>
          <w:p w14:paraId="45ADD7B3" w14:textId="77777777" w:rsidR="00A75C0F" w:rsidRPr="008A26D2" w:rsidRDefault="00A75C0F" w:rsidP="00AF5836">
            <w:pPr>
              <w:tabs>
                <w:tab w:val="left" w:pos="3375"/>
              </w:tabs>
              <w:spacing w:after="0"/>
              <w:ind w:left="-102"/>
              <w:jc w:val="both"/>
              <w:rPr>
                <w:rFonts w:ascii="Arial" w:hAnsi="Arial" w:cs="Arial"/>
                <w:sz w:val="20"/>
                <w:szCs w:val="20"/>
              </w:rPr>
            </w:pPr>
            <w:r w:rsidRPr="008A26D2">
              <w:rPr>
                <w:rFonts w:ascii="Arial" w:hAnsi="Arial" w:cs="Arial"/>
                <w:sz w:val="20"/>
                <w:szCs w:val="20"/>
              </w:rPr>
              <w:t>El OSINFOR pone a disposición de diversos usuarios del sector forestal y de fauna silvestre, los servicios de las plataformas de información sobre los resultados de la ejecución de sus procesos misionales, tales como supervisión y fiscalización, procedimiento sancionador y capacitación, a fin coadyuvar en la toma de decisiones.</w:t>
            </w:r>
          </w:p>
        </w:tc>
      </w:tr>
      <w:tr w:rsidR="00A75C0F" w:rsidRPr="008A26D2" w14:paraId="76493AA8" w14:textId="77777777" w:rsidTr="00AF5836">
        <w:trPr>
          <w:trHeight w:val="352"/>
        </w:trPr>
        <w:tc>
          <w:tcPr>
            <w:tcW w:w="2141" w:type="dxa"/>
            <w:gridSpan w:val="4"/>
            <w:shd w:val="clear" w:color="auto" w:fill="auto"/>
            <w:tcMar>
              <w:top w:w="10" w:type="dxa"/>
              <w:left w:w="93" w:type="dxa"/>
              <w:bottom w:w="0" w:type="dxa"/>
              <w:right w:w="10" w:type="dxa"/>
            </w:tcMar>
            <w:vAlign w:val="center"/>
          </w:tcPr>
          <w:p w14:paraId="53A8B230" w14:textId="77777777" w:rsidR="00A75C0F" w:rsidRPr="008A26D2" w:rsidRDefault="00A75C0F" w:rsidP="00AF5836">
            <w:pPr>
              <w:tabs>
                <w:tab w:val="left" w:pos="3375"/>
              </w:tabs>
              <w:spacing w:after="0"/>
              <w:rPr>
                <w:rFonts w:ascii="Arial" w:hAnsi="Arial" w:cs="Arial"/>
                <w:sz w:val="20"/>
                <w:szCs w:val="20"/>
              </w:rPr>
            </w:pPr>
            <w:r w:rsidRPr="008A26D2">
              <w:rPr>
                <w:rFonts w:ascii="Arial" w:hAnsi="Arial" w:cs="Arial"/>
                <w:b/>
                <w:sz w:val="20"/>
                <w:szCs w:val="20"/>
              </w:rPr>
              <w:t>Responsable del indicador:</w:t>
            </w:r>
          </w:p>
        </w:tc>
        <w:tc>
          <w:tcPr>
            <w:tcW w:w="6081" w:type="dxa"/>
            <w:gridSpan w:val="8"/>
            <w:shd w:val="clear" w:color="auto" w:fill="auto"/>
            <w:tcMar>
              <w:top w:w="51" w:type="dxa"/>
              <w:left w:w="227" w:type="dxa"/>
              <w:bottom w:w="51" w:type="dxa"/>
              <w:right w:w="227" w:type="dxa"/>
            </w:tcMar>
            <w:vAlign w:val="center"/>
          </w:tcPr>
          <w:p w14:paraId="09C8C564" w14:textId="77777777" w:rsidR="00A75C0F" w:rsidRPr="008A26D2" w:rsidRDefault="00A75C0F" w:rsidP="00AF5836">
            <w:pPr>
              <w:tabs>
                <w:tab w:val="left" w:pos="3375"/>
              </w:tabs>
              <w:spacing w:after="0"/>
              <w:ind w:left="-102"/>
              <w:jc w:val="both"/>
              <w:rPr>
                <w:rFonts w:ascii="Arial" w:hAnsi="Arial" w:cs="Arial"/>
                <w:sz w:val="20"/>
                <w:szCs w:val="20"/>
              </w:rPr>
            </w:pPr>
            <w:r w:rsidRPr="008A26D2">
              <w:rPr>
                <w:rFonts w:ascii="Arial" w:eastAsia="Arial Narrow" w:hAnsi="Arial" w:cs="Arial"/>
                <w:sz w:val="20"/>
                <w:szCs w:val="20"/>
              </w:rPr>
              <w:t>Dirección de Evaluación y Desarrollo de Capacidades Forestal y de Fauna silvestre del Organismo de Supervisión de los Recursos Forestales y de Fauna Silvestre – OSINFOR.</w:t>
            </w:r>
          </w:p>
        </w:tc>
      </w:tr>
      <w:tr w:rsidR="00A75C0F" w:rsidRPr="008A26D2" w14:paraId="6394BF12" w14:textId="77777777" w:rsidTr="00AF5836">
        <w:trPr>
          <w:trHeight w:val="558"/>
        </w:trPr>
        <w:tc>
          <w:tcPr>
            <w:tcW w:w="2141" w:type="dxa"/>
            <w:gridSpan w:val="4"/>
            <w:shd w:val="clear" w:color="auto" w:fill="auto"/>
            <w:tcMar>
              <w:top w:w="10" w:type="dxa"/>
              <w:left w:w="93" w:type="dxa"/>
              <w:bottom w:w="0" w:type="dxa"/>
              <w:right w:w="10" w:type="dxa"/>
            </w:tcMar>
            <w:vAlign w:val="center"/>
          </w:tcPr>
          <w:p w14:paraId="725C3B1C" w14:textId="77777777" w:rsidR="00A75C0F" w:rsidRPr="008A26D2" w:rsidRDefault="00A75C0F" w:rsidP="00AF5836">
            <w:pPr>
              <w:tabs>
                <w:tab w:val="left" w:pos="3375"/>
              </w:tabs>
              <w:spacing w:after="0"/>
              <w:rPr>
                <w:rFonts w:ascii="Arial" w:hAnsi="Arial" w:cs="Arial"/>
                <w:sz w:val="20"/>
                <w:szCs w:val="20"/>
              </w:rPr>
            </w:pPr>
            <w:r w:rsidRPr="008A26D2">
              <w:rPr>
                <w:rFonts w:ascii="Arial" w:hAnsi="Arial" w:cs="Arial"/>
                <w:b/>
                <w:sz w:val="20"/>
                <w:szCs w:val="20"/>
              </w:rPr>
              <w:t>Limitaciones para la medición del indicador:</w:t>
            </w:r>
          </w:p>
        </w:tc>
        <w:tc>
          <w:tcPr>
            <w:tcW w:w="6081" w:type="dxa"/>
            <w:gridSpan w:val="8"/>
            <w:shd w:val="clear" w:color="auto" w:fill="auto"/>
            <w:tcMar>
              <w:top w:w="51" w:type="dxa"/>
              <w:left w:w="227" w:type="dxa"/>
              <w:bottom w:w="51" w:type="dxa"/>
              <w:right w:w="227" w:type="dxa"/>
            </w:tcMar>
            <w:vAlign w:val="center"/>
          </w:tcPr>
          <w:p w14:paraId="57549995" w14:textId="77777777" w:rsidR="00A75C0F" w:rsidRPr="008A26D2" w:rsidRDefault="00A75C0F" w:rsidP="00AF5836">
            <w:pPr>
              <w:tabs>
                <w:tab w:val="left" w:pos="3375"/>
              </w:tabs>
              <w:spacing w:after="0"/>
              <w:ind w:left="-102"/>
              <w:jc w:val="both"/>
              <w:rPr>
                <w:rFonts w:ascii="Arial" w:hAnsi="Arial" w:cs="Arial"/>
                <w:sz w:val="20"/>
                <w:szCs w:val="20"/>
              </w:rPr>
            </w:pPr>
            <w:r w:rsidRPr="008A26D2">
              <w:rPr>
                <w:rFonts w:ascii="Arial" w:eastAsia="Arial Narrow" w:hAnsi="Arial" w:cs="Arial"/>
                <w:sz w:val="20"/>
                <w:szCs w:val="20"/>
              </w:rPr>
              <w:t>No presenta limitaciones</w:t>
            </w:r>
          </w:p>
        </w:tc>
      </w:tr>
      <w:tr w:rsidR="00A75C0F" w:rsidRPr="008A26D2" w14:paraId="5302D660" w14:textId="77777777" w:rsidTr="00AF5836">
        <w:trPr>
          <w:trHeight w:val="231"/>
        </w:trPr>
        <w:tc>
          <w:tcPr>
            <w:tcW w:w="2141" w:type="dxa"/>
            <w:gridSpan w:val="4"/>
            <w:shd w:val="clear" w:color="auto" w:fill="auto"/>
            <w:tcMar>
              <w:top w:w="10" w:type="dxa"/>
              <w:left w:w="93" w:type="dxa"/>
              <w:bottom w:w="0" w:type="dxa"/>
              <w:right w:w="10" w:type="dxa"/>
            </w:tcMar>
            <w:vAlign w:val="center"/>
          </w:tcPr>
          <w:p w14:paraId="5C72FC7D" w14:textId="77777777" w:rsidR="00A75C0F" w:rsidRPr="008A26D2" w:rsidRDefault="00A75C0F" w:rsidP="00AF5836">
            <w:pPr>
              <w:tabs>
                <w:tab w:val="left" w:pos="3375"/>
              </w:tabs>
              <w:spacing w:after="0"/>
              <w:rPr>
                <w:rFonts w:ascii="Arial" w:hAnsi="Arial" w:cs="Arial"/>
                <w:sz w:val="20"/>
                <w:szCs w:val="20"/>
              </w:rPr>
            </w:pPr>
            <w:r w:rsidRPr="008A26D2">
              <w:rPr>
                <w:rFonts w:ascii="Arial" w:hAnsi="Arial" w:cs="Arial"/>
                <w:b/>
                <w:sz w:val="20"/>
                <w:szCs w:val="20"/>
              </w:rPr>
              <w:lastRenderedPageBreak/>
              <w:t xml:space="preserve">Método de cálculo: </w:t>
            </w:r>
          </w:p>
        </w:tc>
        <w:tc>
          <w:tcPr>
            <w:tcW w:w="6081" w:type="dxa"/>
            <w:gridSpan w:val="8"/>
            <w:shd w:val="clear" w:color="auto" w:fill="auto"/>
            <w:tcMar>
              <w:top w:w="51" w:type="dxa"/>
              <w:left w:w="227" w:type="dxa"/>
              <w:bottom w:w="51" w:type="dxa"/>
              <w:right w:w="227" w:type="dxa"/>
            </w:tcMar>
            <w:vAlign w:val="center"/>
          </w:tcPr>
          <w:p w14:paraId="424D3747" w14:textId="77777777" w:rsidR="00A75C0F" w:rsidRPr="008A26D2" w:rsidRDefault="00A75C0F" w:rsidP="00AF5836">
            <w:pPr>
              <w:tabs>
                <w:tab w:val="left" w:pos="3375"/>
              </w:tabs>
              <w:spacing w:after="0"/>
              <w:ind w:left="-102"/>
              <w:jc w:val="both"/>
              <w:rPr>
                <w:rFonts w:ascii="Arial" w:eastAsia="Arial Narrow" w:hAnsi="Arial" w:cs="Arial"/>
                <w:b/>
                <w:sz w:val="20"/>
                <w:szCs w:val="20"/>
              </w:rPr>
            </w:pPr>
            <w:r w:rsidRPr="008A26D2">
              <w:rPr>
                <w:rFonts w:ascii="Arial" w:eastAsia="Arial Narrow" w:hAnsi="Arial" w:cs="Arial"/>
                <w:b/>
                <w:sz w:val="20"/>
                <w:szCs w:val="20"/>
              </w:rPr>
              <w:t>1. Fórmula:</w:t>
            </w:r>
          </w:p>
          <w:p w14:paraId="274E7FE7" w14:textId="77777777" w:rsidR="00A75C0F" w:rsidRPr="008A26D2" w:rsidRDefault="00A75C0F" w:rsidP="00AF5836">
            <w:pPr>
              <w:tabs>
                <w:tab w:val="left" w:pos="3375"/>
              </w:tabs>
              <w:spacing w:after="0"/>
              <w:ind w:left="-102"/>
              <w:jc w:val="both"/>
              <w:rPr>
                <w:rFonts w:ascii="Arial" w:eastAsia="Arial Narrow" w:hAnsi="Arial" w:cs="Arial"/>
                <w:sz w:val="20"/>
                <w:szCs w:val="20"/>
              </w:rPr>
            </w:pPr>
            <w:r w:rsidRPr="008A26D2">
              <w:rPr>
                <w:rFonts w:ascii="Arial" w:eastAsia="Arial Narrow" w:hAnsi="Arial" w:cs="Arial"/>
                <w:sz w:val="20"/>
                <w:szCs w:val="20"/>
              </w:rPr>
              <w:t xml:space="preserve">     NUA = CSIGOSFC + CSisFor</w:t>
            </w:r>
          </w:p>
          <w:p w14:paraId="098D83FC" w14:textId="77777777" w:rsidR="00A75C0F" w:rsidRPr="008A26D2" w:rsidRDefault="00A75C0F" w:rsidP="00AF5836">
            <w:pPr>
              <w:tabs>
                <w:tab w:val="left" w:pos="3375"/>
              </w:tabs>
              <w:spacing w:after="0"/>
              <w:ind w:left="-102" w:firstLine="285"/>
              <w:jc w:val="both"/>
              <w:rPr>
                <w:rFonts w:ascii="Arial" w:eastAsia="Arial Narrow" w:hAnsi="Arial" w:cs="Arial"/>
                <w:sz w:val="20"/>
                <w:szCs w:val="20"/>
              </w:rPr>
            </w:pPr>
          </w:p>
          <w:p w14:paraId="150CFD77" w14:textId="77777777" w:rsidR="00A75C0F" w:rsidRPr="008A26D2" w:rsidRDefault="00A75C0F" w:rsidP="00AF5836">
            <w:pPr>
              <w:tabs>
                <w:tab w:val="left" w:pos="3375"/>
              </w:tabs>
              <w:spacing w:after="0"/>
              <w:ind w:left="-102" w:firstLine="285"/>
              <w:jc w:val="both"/>
              <w:rPr>
                <w:rFonts w:ascii="Arial" w:eastAsia="Arial Narrow" w:hAnsi="Arial" w:cs="Arial"/>
                <w:sz w:val="20"/>
                <w:szCs w:val="20"/>
              </w:rPr>
            </w:pPr>
            <w:r w:rsidRPr="008A26D2">
              <w:rPr>
                <w:rFonts w:ascii="Arial" w:eastAsia="Arial Narrow" w:hAnsi="Arial" w:cs="Arial"/>
                <w:sz w:val="20"/>
                <w:szCs w:val="20"/>
              </w:rPr>
              <w:t>Donde:</w:t>
            </w:r>
          </w:p>
          <w:p w14:paraId="2E648A6F" w14:textId="77777777" w:rsidR="00A75C0F" w:rsidRPr="008A26D2" w:rsidRDefault="00A75C0F" w:rsidP="00AF5836">
            <w:pPr>
              <w:tabs>
                <w:tab w:val="left" w:pos="3375"/>
              </w:tabs>
              <w:spacing w:after="0"/>
              <w:ind w:left="183"/>
              <w:jc w:val="both"/>
              <w:rPr>
                <w:rFonts w:ascii="Arial" w:eastAsia="Arial Narrow" w:hAnsi="Arial" w:cs="Arial"/>
                <w:sz w:val="20"/>
                <w:szCs w:val="20"/>
              </w:rPr>
            </w:pPr>
            <w:r w:rsidRPr="008A26D2">
              <w:rPr>
                <w:rFonts w:ascii="Arial" w:eastAsia="Arial Narrow" w:hAnsi="Arial" w:cs="Arial"/>
                <w:sz w:val="20"/>
                <w:szCs w:val="20"/>
              </w:rPr>
              <w:t>NUA = Número de usuarios que acceden a las plataformas de información del OSINFOR</w:t>
            </w:r>
          </w:p>
          <w:p w14:paraId="621F93BF" w14:textId="77777777" w:rsidR="00A75C0F" w:rsidRPr="008A26D2" w:rsidRDefault="00A75C0F" w:rsidP="00AF5836">
            <w:pPr>
              <w:tabs>
                <w:tab w:val="left" w:pos="3375"/>
              </w:tabs>
              <w:spacing w:after="0"/>
              <w:ind w:left="183"/>
              <w:jc w:val="both"/>
              <w:rPr>
                <w:rFonts w:ascii="Arial" w:eastAsia="Arial Narrow" w:hAnsi="Arial" w:cs="Arial"/>
                <w:sz w:val="20"/>
                <w:szCs w:val="20"/>
              </w:rPr>
            </w:pPr>
            <w:r w:rsidRPr="008A26D2">
              <w:rPr>
                <w:rFonts w:ascii="Arial" w:eastAsia="Arial Narrow" w:hAnsi="Arial" w:cs="Arial"/>
                <w:sz w:val="20"/>
                <w:szCs w:val="20"/>
              </w:rPr>
              <w:t>CSIGOSFC = Número de usuarios que acceden al SIGOSFC al año</w:t>
            </w:r>
          </w:p>
          <w:p w14:paraId="7073F4E7" w14:textId="77777777" w:rsidR="00A75C0F" w:rsidRPr="008A26D2" w:rsidRDefault="00A75C0F" w:rsidP="00AF5836">
            <w:pPr>
              <w:tabs>
                <w:tab w:val="left" w:pos="3375"/>
              </w:tabs>
              <w:spacing w:after="0"/>
              <w:ind w:left="183"/>
              <w:jc w:val="both"/>
              <w:rPr>
                <w:rFonts w:ascii="Arial" w:eastAsia="Arial Narrow" w:hAnsi="Arial" w:cs="Arial"/>
                <w:sz w:val="20"/>
                <w:szCs w:val="20"/>
              </w:rPr>
            </w:pPr>
            <w:r w:rsidRPr="008A26D2">
              <w:rPr>
                <w:rFonts w:ascii="Arial" w:eastAsia="Arial Narrow" w:hAnsi="Arial" w:cs="Arial"/>
                <w:sz w:val="20"/>
                <w:szCs w:val="20"/>
              </w:rPr>
              <w:t>CSisFor = Número de usuarios que acceden al SISFOR al año</w:t>
            </w:r>
          </w:p>
          <w:p w14:paraId="2B873F0D" w14:textId="77777777" w:rsidR="00A75C0F" w:rsidRPr="008A26D2" w:rsidRDefault="00A75C0F" w:rsidP="00AF5836">
            <w:pPr>
              <w:tabs>
                <w:tab w:val="left" w:pos="3375"/>
              </w:tabs>
              <w:spacing w:after="0"/>
              <w:ind w:left="-102"/>
              <w:jc w:val="both"/>
              <w:rPr>
                <w:rFonts w:ascii="Arial" w:eastAsia="Arial Narrow" w:hAnsi="Arial" w:cs="Arial"/>
                <w:sz w:val="20"/>
                <w:szCs w:val="20"/>
              </w:rPr>
            </w:pPr>
          </w:p>
          <w:p w14:paraId="7E8A9662" w14:textId="77777777" w:rsidR="00A75C0F" w:rsidRPr="008A26D2" w:rsidRDefault="00A75C0F" w:rsidP="00AF5836">
            <w:pPr>
              <w:tabs>
                <w:tab w:val="left" w:pos="3375"/>
              </w:tabs>
              <w:spacing w:after="0"/>
              <w:ind w:left="-102"/>
              <w:jc w:val="both"/>
              <w:rPr>
                <w:rFonts w:ascii="Arial" w:eastAsia="Arial Narrow" w:hAnsi="Arial" w:cs="Arial"/>
                <w:b/>
                <w:sz w:val="20"/>
                <w:szCs w:val="20"/>
              </w:rPr>
            </w:pPr>
            <w:r w:rsidRPr="008A26D2">
              <w:rPr>
                <w:rFonts w:ascii="Arial" w:eastAsia="Arial Narrow" w:hAnsi="Arial" w:cs="Arial"/>
                <w:b/>
                <w:sz w:val="20"/>
                <w:szCs w:val="20"/>
              </w:rPr>
              <w:t>2. Especificaciones técnicas:</w:t>
            </w:r>
          </w:p>
          <w:p w14:paraId="25B82471" w14:textId="77777777" w:rsidR="00A75C0F" w:rsidRPr="008A26D2" w:rsidRDefault="00A75C0F" w:rsidP="00AF5836">
            <w:pPr>
              <w:tabs>
                <w:tab w:val="left" w:pos="3375"/>
              </w:tabs>
              <w:spacing w:after="0"/>
              <w:ind w:left="-102"/>
              <w:jc w:val="both"/>
              <w:rPr>
                <w:rFonts w:ascii="Arial" w:eastAsia="Arial Narrow" w:hAnsi="Arial" w:cs="Arial"/>
                <w:sz w:val="20"/>
                <w:szCs w:val="20"/>
              </w:rPr>
            </w:pPr>
          </w:p>
          <w:p w14:paraId="245AB9D3" w14:textId="77777777" w:rsidR="00A75C0F" w:rsidRPr="008A26D2" w:rsidRDefault="00A75C0F" w:rsidP="00AF5836">
            <w:pPr>
              <w:tabs>
                <w:tab w:val="left" w:pos="3375"/>
              </w:tabs>
              <w:spacing w:after="0"/>
              <w:ind w:left="-102"/>
              <w:jc w:val="both"/>
              <w:rPr>
                <w:rFonts w:ascii="Arial" w:eastAsia="Arial Narrow" w:hAnsi="Arial" w:cs="Arial"/>
                <w:sz w:val="20"/>
                <w:szCs w:val="20"/>
              </w:rPr>
            </w:pPr>
            <w:r>
              <w:rPr>
                <w:rFonts w:ascii="Arial" w:eastAsia="Arial Narrow" w:hAnsi="Arial" w:cs="Arial"/>
                <w:sz w:val="20"/>
                <w:szCs w:val="20"/>
              </w:rPr>
              <w:t xml:space="preserve">La variable </w:t>
            </w:r>
            <w:r w:rsidRPr="008A26D2">
              <w:rPr>
                <w:rFonts w:ascii="Arial" w:eastAsia="Arial Narrow" w:hAnsi="Arial" w:cs="Arial"/>
                <w:sz w:val="20"/>
                <w:szCs w:val="20"/>
              </w:rPr>
              <w:t xml:space="preserve">NUA </w:t>
            </w:r>
            <w:r>
              <w:rPr>
                <w:rFonts w:ascii="Arial" w:eastAsia="Arial Narrow" w:hAnsi="Arial" w:cs="Arial"/>
                <w:sz w:val="20"/>
                <w:szCs w:val="20"/>
              </w:rPr>
              <w:t xml:space="preserve">es determinado por la suma de las variables </w:t>
            </w:r>
            <w:r w:rsidRPr="008A26D2">
              <w:rPr>
                <w:rFonts w:ascii="Arial" w:eastAsia="Arial Narrow" w:hAnsi="Arial" w:cs="Arial"/>
                <w:sz w:val="20"/>
                <w:szCs w:val="20"/>
              </w:rPr>
              <w:t xml:space="preserve">CSIGOSFC </w:t>
            </w:r>
            <w:r>
              <w:rPr>
                <w:rFonts w:ascii="Arial" w:eastAsia="Arial Narrow" w:hAnsi="Arial" w:cs="Arial"/>
                <w:sz w:val="20"/>
                <w:szCs w:val="20"/>
              </w:rPr>
              <w:t>y</w:t>
            </w:r>
            <w:r w:rsidRPr="008A26D2">
              <w:rPr>
                <w:rFonts w:ascii="Arial" w:eastAsia="Arial Narrow" w:hAnsi="Arial" w:cs="Arial"/>
                <w:sz w:val="20"/>
                <w:szCs w:val="20"/>
              </w:rPr>
              <w:t xml:space="preserve"> CSisFor</w:t>
            </w:r>
            <w:r>
              <w:rPr>
                <w:rFonts w:ascii="Arial" w:eastAsia="Arial Narrow" w:hAnsi="Arial" w:cs="Arial"/>
                <w:sz w:val="20"/>
                <w:szCs w:val="20"/>
              </w:rPr>
              <w:t>.</w:t>
            </w:r>
          </w:p>
          <w:p w14:paraId="4797A506" w14:textId="77777777" w:rsidR="00A75C0F" w:rsidRDefault="00A75C0F" w:rsidP="00AF5836">
            <w:pPr>
              <w:tabs>
                <w:tab w:val="left" w:pos="3375"/>
              </w:tabs>
              <w:spacing w:after="0"/>
              <w:ind w:left="-102"/>
              <w:jc w:val="both"/>
              <w:rPr>
                <w:rFonts w:ascii="Arial" w:eastAsia="Arial Narrow" w:hAnsi="Arial" w:cs="Arial"/>
                <w:sz w:val="20"/>
                <w:szCs w:val="20"/>
              </w:rPr>
            </w:pPr>
          </w:p>
          <w:p w14:paraId="1FA2BB10" w14:textId="77777777" w:rsidR="00A75C0F" w:rsidRDefault="00A75C0F" w:rsidP="00AF5836">
            <w:pPr>
              <w:tabs>
                <w:tab w:val="left" w:pos="3375"/>
              </w:tabs>
              <w:spacing w:after="0"/>
              <w:ind w:left="-102"/>
              <w:jc w:val="both"/>
              <w:rPr>
                <w:rFonts w:ascii="Arial" w:eastAsia="Arial Narrow" w:hAnsi="Arial" w:cs="Arial"/>
                <w:sz w:val="20"/>
                <w:szCs w:val="20"/>
              </w:rPr>
            </w:pPr>
            <w:r>
              <w:rPr>
                <w:rFonts w:ascii="Arial" w:eastAsia="Arial Narrow" w:hAnsi="Arial" w:cs="Arial"/>
                <w:sz w:val="20"/>
                <w:szCs w:val="20"/>
              </w:rPr>
              <w:t>La variable</w:t>
            </w:r>
            <w:r w:rsidRPr="008A26D2">
              <w:rPr>
                <w:rFonts w:ascii="Arial" w:eastAsia="Arial Narrow" w:hAnsi="Arial" w:cs="Arial"/>
                <w:sz w:val="20"/>
                <w:szCs w:val="20"/>
              </w:rPr>
              <w:t xml:space="preserve"> CSIGOSFC </w:t>
            </w:r>
            <w:r>
              <w:rPr>
                <w:rFonts w:ascii="Arial" w:eastAsia="Arial Narrow" w:hAnsi="Arial" w:cs="Arial"/>
                <w:sz w:val="20"/>
                <w:szCs w:val="20"/>
              </w:rPr>
              <w:t xml:space="preserve">se determina por el registro generado cuando </w:t>
            </w:r>
            <w:r w:rsidRPr="008A26D2">
              <w:rPr>
                <w:rFonts w:ascii="Arial" w:eastAsia="Arial Narrow" w:hAnsi="Arial" w:cs="Arial"/>
                <w:sz w:val="20"/>
                <w:szCs w:val="20"/>
              </w:rPr>
              <w:t xml:space="preserve">un usuario </w:t>
            </w:r>
            <w:r>
              <w:rPr>
                <w:rFonts w:ascii="Arial" w:eastAsia="Arial Narrow" w:hAnsi="Arial" w:cs="Arial"/>
                <w:sz w:val="20"/>
                <w:szCs w:val="20"/>
              </w:rPr>
              <w:t xml:space="preserve">visita la </w:t>
            </w:r>
            <w:r w:rsidRPr="008A26D2">
              <w:rPr>
                <w:rFonts w:ascii="Arial" w:eastAsia="Arial Narrow" w:hAnsi="Arial" w:cs="Arial"/>
                <w:sz w:val="20"/>
                <w:szCs w:val="20"/>
              </w:rPr>
              <w:t>plataforma de</w:t>
            </w:r>
            <w:r>
              <w:rPr>
                <w:rFonts w:ascii="Arial" w:eastAsia="Arial Narrow" w:hAnsi="Arial" w:cs="Arial"/>
                <w:sz w:val="20"/>
                <w:szCs w:val="20"/>
              </w:rPr>
              <w:t xml:space="preserve">l </w:t>
            </w:r>
            <w:r w:rsidRPr="00C54118">
              <w:rPr>
                <w:rFonts w:ascii="Arial" w:eastAsia="Arial Narrow" w:hAnsi="Arial" w:cs="Arial"/>
                <w:sz w:val="20"/>
                <w:szCs w:val="20"/>
              </w:rPr>
              <w:t xml:space="preserve">Sistema de Información Gerencial </w:t>
            </w:r>
            <w:r>
              <w:rPr>
                <w:rFonts w:ascii="Arial" w:eastAsia="Arial Narrow" w:hAnsi="Arial" w:cs="Arial"/>
                <w:sz w:val="20"/>
                <w:szCs w:val="20"/>
              </w:rPr>
              <w:t xml:space="preserve">del </w:t>
            </w:r>
            <w:r w:rsidRPr="008A26D2">
              <w:rPr>
                <w:rFonts w:ascii="Arial" w:eastAsia="Arial Narrow" w:hAnsi="Arial" w:cs="Arial"/>
                <w:sz w:val="20"/>
                <w:szCs w:val="20"/>
              </w:rPr>
              <w:t>Organismo de Supervisión de los Recursos Forestales y de Fauna Silvestre</w:t>
            </w:r>
            <w:r>
              <w:rPr>
                <w:rFonts w:ascii="Arial" w:eastAsia="Arial Narrow" w:hAnsi="Arial" w:cs="Arial"/>
                <w:sz w:val="20"/>
                <w:szCs w:val="20"/>
              </w:rPr>
              <w:t xml:space="preserve"> –</w:t>
            </w:r>
            <w:r w:rsidRPr="008A26D2">
              <w:rPr>
                <w:rFonts w:ascii="Arial" w:eastAsia="Arial Narrow" w:hAnsi="Arial" w:cs="Arial"/>
                <w:sz w:val="20"/>
                <w:szCs w:val="20"/>
              </w:rPr>
              <w:t xml:space="preserve"> SIGOSFC</w:t>
            </w:r>
            <w:r>
              <w:rPr>
                <w:rFonts w:ascii="Arial" w:eastAsia="Arial Narrow" w:hAnsi="Arial" w:cs="Arial"/>
                <w:sz w:val="20"/>
                <w:szCs w:val="20"/>
              </w:rPr>
              <w:t>.</w:t>
            </w:r>
          </w:p>
          <w:p w14:paraId="40EF0D29" w14:textId="77777777" w:rsidR="00A75C0F" w:rsidRDefault="00A75C0F" w:rsidP="00AF5836">
            <w:pPr>
              <w:tabs>
                <w:tab w:val="left" w:pos="3375"/>
              </w:tabs>
              <w:spacing w:after="0"/>
              <w:ind w:left="-102"/>
              <w:jc w:val="both"/>
              <w:rPr>
                <w:rFonts w:ascii="Arial" w:eastAsia="Arial Narrow" w:hAnsi="Arial" w:cs="Arial"/>
                <w:sz w:val="20"/>
                <w:szCs w:val="20"/>
              </w:rPr>
            </w:pPr>
            <w:r w:rsidRPr="008A26D2">
              <w:rPr>
                <w:rFonts w:ascii="Arial" w:eastAsia="Arial Narrow" w:hAnsi="Arial" w:cs="Arial"/>
                <w:sz w:val="20"/>
                <w:szCs w:val="20"/>
              </w:rPr>
              <w:t>(</w:t>
            </w:r>
            <w:hyperlink r:id="rId11" w:history="1">
              <w:r w:rsidRPr="008A26D2">
                <w:rPr>
                  <w:rStyle w:val="Hipervnculo"/>
                  <w:rFonts w:ascii="Arial" w:eastAsia="Arial Narrow" w:hAnsi="Arial" w:cs="Arial"/>
                  <w:color w:val="auto"/>
                  <w:sz w:val="20"/>
                  <w:szCs w:val="20"/>
                </w:rPr>
                <w:t>https://sigosfc.osinfor.gob.pe/</w:t>
              </w:r>
            </w:hyperlink>
            <w:r w:rsidRPr="008A26D2">
              <w:rPr>
                <w:rFonts w:ascii="Arial" w:eastAsia="Arial Narrow" w:hAnsi="Arial" w:cs="Arial"/>
                <w:sz w:val="20"/>
                <w:szCs w:val="20"/>
              </w:rPr>
              <w:t>)</w:t>
            </w:r>
            <w:r>
              <w:rPr>
                <w:rFonts w:ascii="Arial" w:eastAsia="Arial Narrow" w:hAnsi="Arial" w:cs="Arial"/>
                <w:sz w:val="20"/>
                <w:szCs w:val="20"/>
              </w:rPr>
              <w:t>.</w:t>
            </w:r>
          </w:p>
          <w:p w14:paraId="2DD8A826" w14:textId="77777777" w:rsidR="00A75C0F" w:rsidRDefault="00A75C0F" w:rsidP="00AF5836">
            <w:pPr>
              <w:tabs>
                <w:tab w:val="left" w:pos="3375"/>
              </w:tabs>
              <w:spacing w:after="0"/>
              <w:ind w:left="-102"/>
              <w:jc w:val="both"/>
              <w:rPr>
                <w:rFonts w:ascii="Arial" w:eastAsia="Arial Narrow" w:hAnsi="Arial" w:cs="Arial"/>
                <w:sz w:val="20"/>
                <w:szCs w:val="20"/>
              </w:rPr>
            </w:pPr>
          </w:p>
          <w:p w14:paraId="6BB793DE" w14:textId="77777777" w:rsidR="00A75C0F" w:rsidRDefault="00A75C0F" w:rsidP="00AF5836">
            <w:pPr>
              <w:tabs>
                <w:tab w:val="left" w:pos="3375"/>
              </w:tabs>
              <w:spacing w:after="0"/>
              <w:ind w:left="-102"/>
              <w:jc w:val="both"/>
              <w:rPr>
                <w:rFonts w:ascii="Arial" w:eastAsia="Arial Narrow" w:hAnsi="Arial" w:cs="Arial"/>
                <w:sz w:val="20"/>
                <w:szCs w:val="20"/>
              </w:rPr>
            </w:pPr>
            <w:r>
              <w:rPr>
                <w:rFonts w:ascii="Arial" w:eastAsia="Arial Narrow" w:hAnsi="Arial" w:cs="Arial"/>
                <w:sz w:val="20"/>
                <w:szCs w:val="20"/>
              </w:rPr>
              <w:t>La variable</w:t>
            </w:r>
            <w:r w:rsidRPr="008A26D2">
              <w:rPr>
                <w:rFonts w:ascii="Arial" w:eastAsia="Arial Narrow" w:hAnsi="Arial" w:cs="Arial"/>
                <w:sz w:val="20"/>
                <w:szCs w:val="20"/>
              </w:rPr>
              <w:t xml:space="preserve"> CS</w:t>
            </w:r>
            <w:r>
              <w:rPr>
                <w:rFonts w:ascii="Arial" w:eastAsia="Arial Narrow" w:hAnsi="Arial" w:cs="Arial"/>
                <w:sz w:val="20"/>
                <w:szCs w:val="20"/>
              </w:rPr>
              <w:t>isFor</w:t>
            </w:r>
            <w:r w:rsidRPr="008A26D2">
              <w:rPr>
                <w:rFonts w:ascii="Arial" w:eastAsia="Arial Narrow" w:hAnsi="Arial" w:cs="Arial"/>
                <w:sz w:val="20"/>
                <w:szCs w:val="20"/>
              </w:rPr>
              <w:t xml:space="preserve"> </w:t>
            </w:r>
            <w:r>
              <w:rPr>
                <w:rFonts w:ascii="Arial" w:eastAsia="Arial Narrow" w:hAnsi="Arial" w:cs="Arial"/>
                <w:sz w:val="20"/>
                <w:szCs w:val="20"/>
              </w:rPr>
              <w:t xml:space="preserve">se determina por el registro generado cuando </w:t>
            </w:r>
            <w:r w:rsidRPr="008A26D2">
              <w:rPr>
                <w:rFonts w:ascii="Arial" w:eastAsia="Arial Narrow" w:hAnsi="Arial" w:cs="Arial"/>
                <w:sz w:val="20"/>
                <w:szCs w:val="20"/>
              </w:rPr>
              <w:t xml:space="preserve">un usuario </w:t>
            </w:r>
            <w:r>
              <w:rPr>
                <w:rFonts w:ascii="Arial" w:eastAsia="Arial Narrow" w:hAnsi="Arial" w:cs="Arial"/>
                <w:sz w:val="20"/>
                <w:szCs w:val="20"/>
              </w:rPr>
              <w:t xml:space="preserve">visita la </w:t>
            </w:r>
            <w:r w:rsidRPr="008A26D2">
              <w:rPr>
                <w:rFonts w:ascii="Arial" w:eastAsia="Arial Narrow" w:hAnsi="Arial" w:cs="Arial"/>
                <w:sz w:val="20"/>
                <w:szCs w:val="20"/>
              </w:rPr>
              <w:t>plataforma de</w:t>
            </w:r>
            <w:r>
              <w:rPr>
                <w:rFonts w:ascii="Arial" w:eastAsia="Arial Narrow" w:hAnsi="Arial" w:cs="Arial"/>
                <w:sz w:val="20"/>
                <w:szCs w:val="20"/>
              </w:rPr>
              <w:t xml:space="preserve">l </w:t>
            </w:r>
            <w:r w:rsidRPr="00FE4561">
              <w:rPr>
                <w:rFonts w:ascii="Arial" w:eastAsia="Arial Narrow" w:hAnsi="Arial" w:cs="Arial"/>
                <w:sz w:val="20"/>
                <w:szCs w:val="20"/>
              </w:rPr>
              <w:t>Sistema de información geográfica de supervisiones forestales y de fauna silvestre</w:t>
            </w:r>
            <w:r>
              <w:rPr>
                <w:rFonts w:ascii="Arial" w:eastAsia="Arial Narrow" w:hAnsi="Arial" w:cs="Arial"/>
                <w:sz w:val="20"/>
                <w:szCs w:val="20"/>
              </w:rPr>
              <w:t xml:space="preserve"> - SISFOR.</w:t>
            </w:r>
          </w:p>
          <w:p w14:paraId="7CB09239" w14:textId="77777777" w:rsidR="00A75C0F" w:rsidRDefault="00A75C0F" w:rsidP="00AF5836">
            <w:pPr>
              <w:tabs>
                <w:tab w:val="left" w:pos="3375"/>
              </w:tabs>
              <w:spacing w:after="0"/>
              <w:ind w:left="-102"/>
              <w:jc w:val="both"/>
              <w:rPr>
                <w:rFonts w:ascii="Arial" w:eastAsia="Arial Narrow" w:hAnsi="Arial" w:cs="Arial"/>
                <w:sz w:val="20"/>
                <w:szCs w:val="20"/>
              </w:rPr>
            </w:pPr>
            <w:r w:rsidRPr="008A26D2">
              <w:rPr>
                <w:rFonts w:ascii="Arial" w:eastAsia="Arial Narrow" w:hAnsi="Arial" w:cs="Arial"/>
                <w:sz w:val="20"/>
                <w:szCs w:val="20"/>
              </w:rPr>
              <w:t>(</w:t>
            </w:r>
            <w:hyperlink r:id="rId12" w:history="1">
              <w:r w:rsidRPr="008A26D2">
                <w:rPr>
                  <w:rStyle w:val="Hipervnculo"/>
                  <w:rFonts w:ascii="Arial" w:eastAsia="Arial Narrow" w:hAnsi="Arial" w:cs="Arial"/>
                  <w:color w:val="auto"/>
                  <w:sz w:val="20"/>
                  <w:szCs w:val="20"/>
                </w:rPr>
                <w:t>https://sisfor.osinfor.gob.pe/visor/</w:t>
              </w:r>
            </w:hyperlink>
            <w:r w:rsidRPr="008A26D2">
              <w:rPr>
                <w:rFonts w:ascii="Arial" w:eastAsia="Arial Narrow" w:hAnsi="Arial" w:cs="Arial"/>
                <w:sz w:val="20"/>
                <w:szCs w:val="20"/>
              </w:rPr>
              <w:t>).</w:t>
            </w:r>
          </w:p>
          <w:p w14:paraId="1CE6882D" w14:textId="056E2393" w:rsidR="00A75C0F" w:rsidRPr="008A26D2" w:rsidRDefault="00A75C0F" w:rsidP="00AF5836">
            <w:pPr>
              <w:tabs>
                <w:tab w:val="left" w:pos="3375"/>
              </w:tabs>
              <w:spacing w:after="0"/>
              <w:ind w:left="-102"/>
              <w:jc w:val="both"/>
              <w:rPr>
                <w:rFonts w:ascii="Arial" w:eastAsia="Arial Narrow" w:hAnsi="Arial" w:cs="Arial"/>
                <w:sz w:val="20"/>
                <w:szCs w:val="20"/>
              </w:rPr>
            </w:pPr>
          </w:p>
        </w:tc>
      </w:tr>
      <w:tr w:rsidR="00A75C0F" w:rsidRPr="008A26D2" w14:paraId="6D064B63" w14:textId="77777777" w:rsidTr="00AF5836">
        <w:trPr>
          <w:trHeight w:val="686"/>
        </w:trPr>
        <w:tc>
          <w:tcPr>
            <w:tcW w:w="2141" w:type="dxa"/>
            <w:gridSpan w:val="4"/>
            <w:shd w:val="clear" w:color="auto" w:fill="auto"/>
            <w:tcMar>
              <w:top w:w="10" w:type="dxa"/>
              <w:left w:w="93" w:type="dxa"/>
              <w:bottom w:w="0" w:type="dxa"/>
              <w:right w:w="10" w:type="dxa"/>
            </w:tcMar>
            <w:vAlign w:val="center"/>
          </w:tcPr>
          <w:p w14:paraId="2EE70B46" w14:textId="77777777" w:rsidR="00A75C0F" w:rsidRPr="008A26D2" w:rsidRDefault="00A75C0F" w:rsidP="00AF5836">
            <w:pPr>
              <w:tabs>
                <w:tab w:val="left" w:pos="3375"/>
              </w:tabs>
              <w:spacing w:after="0"/>
              <w:rPr>
                <w:rFonts w:ascii="Arial" w:hAnsi="Arial" w:cs="Arial"/>
                <w:sz w:val="20"/>
                <w:szCs w:val="20"/>
              </w:rPr>
            </w:pPr>
            <w:r w:rsidRPr="008A26D2">
              <w:rPr>
                <w:rFonts w:ascii="Arial" w:hAnsi="Arial" w:cs="Arial"/>
                <w:b/>
                <w:sz w:val="20"/>
                <w:szCs w:val="20"/>
              </w:rPr>
              <w:t>Sentido esperado del indicador:</w:t>
            </w:r>
          </w:p>
        </w:tc>
        <w:tc>
          <w:tcPr>
            <w:tcW w:w="1914" w:type="dxa"/>
            <w:gridSpan w:val="3"/>
            <w:shd w:val="clear" w:color="auto" w:fill="auto"/>
            <w:tcMar>
              <w:top w:w="10" w:type="dxa"/>
              <w:left w:w="283" w:type="dxa"/>
              <w:bottom w:w="0" w:type="dxa"/>
              <w:right w:w="283" w:type="dxa"/>
            </w:tcMar>
            <w:vAlign w:val="center"/>
          </w:tcPr>
          <w:p w14:paraId="70A85392" w14:textId="77777777" w:rsidR="00A75C0F" w:rsidRPr="008A26D2" w:rsidRDefault="00A75C0F" w:rsidP="00AF5836">
            <w:pPr>
              <w:tabs>
                <w:tab w:val="left" w:pos="3375"/>
              </w:tabs>
              <w:spacing w:after="0"/>
              <w:ind w:left="-102"/>
              <w:rPr>
                <w:rFonts w:ascii="Arial" w:hAnsi="Arial" w:cs="Arial"/>
                <w:sz w:val="20"/>
                <w:szCs w:val="20"/>
              </w:rPr>
            </w:pPr>
            <w:r w:rsidRPr="008A26D2">
              <w:rPr>
                <w:rFonts w:ascii="Arial" w:eastAsia="Arial Narrow" w:hAnsi="Arial" w:cs="Arial"/>
                <w:sz w:val="20"/>
                <w:szCs w:val="20"/>
              </w:rPr>
              <w:t>Ascendente</w:t>
            </w:r>
          </w:p>
        </w:tc>
        <w:tc>
          <w:tcPr>
            <w:tcW w:w="2481" w:type="dxa"/>
            <w:gridSpan w:val="3"/>
            <w:shd w:val="clear" w:color="auto" w:fill="auto"/>
            <w:tcMar>
              <w:top w:w="15" w:type="dxa"/>
              <w:left w:w="15" w:type="dxa"/>
              <w:bottom w:w="0" w:type="dxa"/>
              <w:right w:w="15" w:type="dxa"/>
            </w:tcMar>
            <w:vAlign w:val="center"/>
          </w:tcPr>
          <w:p w14:paraId="049AEB66" w14:textId="77777777" w:rsidR="00A75C0F" w:rsidRPr="008A26D2" w:rsidRDefault="00A75C0F" w:rsidP="00AF5836">
            <w:pPr>
              <w:tabs>
                <w:tab w:val="left" w:pos="3375"/>
              </w:tabs>
              <w:spacing w:after="0"/>
              <w:jc w:val="center"/>
              <w:rPr>
                <w:rFonts w:ascii="Arial" w:hAnsi="Arial" w:cs="Arial"/>
                <w:sz w:val="20"/>
                <w:szCs w:val="20"/>
              </w:rPr>
            </w:pPr>
            <w:r w:rsidRPr="008A26D2">
              <w:rPr>
                <w:rFonts w:ascii="Arial" w:eastAsia="Arial Narrow" w:hAnsi="Arial" w:cs="Arial"/>
                <w:b/>
                <w:sz w:val="20"/>
                <w:szCs w:val="20"/>
              </w:rPr>
              <w:t>Tipo de Indicador de Servicio</w:t>
            </w:r>
          </w:p>
        </w:tc>
        <w:tc>
          <w:tcPr>
            <w:tcW w:w="1686" w:type="dxa"/>
            <w:gridSpan w:val="2"/>
            <w:shd w:val="clear" w:color="auto" w:fill="auto"/>
            <w:tcMar>
              <w:top w:w="15" w:type="dxa"/>
              <w:left w:w="15" w:type="dxa"/>
              <w:bottom w:w="0" w:type="dxa"/>
              <w:right w:w="15" w:type="dxa"/>
            </w:tcMar>
            <w:vAlign w:val="center"/>
          </w:tcPr>
          <w:p w14:paraId="46455623" w14:textId="77777777" w:rsidR="00A75C0F" w:rsidRPr="008A26D2" w:rsidRDefault="00A75C0F" w:rsidP="00AF5836">
            <w:pPr>
              <w:tabs>
                <w:tab w:val="left" w:pos="3375"/>
              </w:tabs>
              <w:spacing w:after="0"/>
              <w:ind w:firstLine="113"/>
              <w:rPr>
                <w:rFonts w:ascii="Arial" w:hAnsi="Arial" w:cs="Arial"/>
                <w:sz w:val="20"/>
                <w:szCs w:val="20"/>
              </w:rPr>
            </w:pPr>
            <w:r w:rsidRPr="008A26D2">
              <w:rPr>
                <w:rFonts w:ascii="Arial" w:eastAsia="Arial Narrow" w:hAnsi="Arial" w:cs="Arial"/>
                <w:sz w:val="20"/>
                <w:szCs w:val="20"/>
              </w:rPr>
              <w:t>Calidad - Accesibilidad</w:t>
            </w:r>
          </w:p>
        </w:tc>
      </w:tr>
      <w:tr w:rsidR="00A75C0F" w:rsidRPr="008A26D2" w14:paraId="2ABD2A8A" w14:textId="77777777" w:rsidTr="00AF5836">
        <w:trPr>
          <w:trHeight w:val="828"/>
        </w:trPr>
        <w:tc>
          <w:tcPr>
            <w:tcW w:w="2141" w:type="dxa"/>
            <w:gridSpan w:val="4"/>
            <w:shd w:val="clear" w:color="auto" w:fill="auto"/>
            <w:tcMar>
              <w:top w:w="10" w:type="dxa"/>
              <w:left w:w="93" w:type="dxa"/>
              <w:bottom w:w="0" w:type="dxa"/>
              <w:right w:w="10" w:type="dxa"/>
            </w:tcMar>
            <w:vAlign w:val="center"/>
          </w:tcPr>
          <w:p w14:paraId="25870A87" w14:textId="77777777" w:rsidR="00A75C0F" w:rsidRPr="008A26D2" w:rsidRDefault="00A75C0F" w:rsidP="00AF5836">
            <w:pPr>
              <w:tabs>
                <w:tab w:val="left" w:pos="3375"/>
              </w:tabs>
              <w:spacing w:after="0"/>
              <w:rPr>
                <w:rFonts w:ascii="Arial" w:hAnsi="Arial" w:cs="Arial"/>
                <w:sz w:val="20"/>
                <w:szCs w:val="20"/>
              </w:rPr>
            </w:pPr>
            <w:r w:rsidRPr="008A26D2">
              <w:rPr>
                <w:rFonts w:ascii="Arial" w:hAnsi="Arial" w:cs="Arial"/>
                <w:b/>
                <w:sz w:val="20"/>
                <w:szCs w:val="20"/>
              </w:rPr>
              <w:t>Fuente y base de datos:</w:t>
            </w:r>
          </w:p>
        </w:tc>
        <w:tc>
          <w:tcPr>
            <w:tcW w:w="6081" w:type="dxa"/>
            <w:gridSpan w:val="8"/>
            <w:shd w:val="clear" w:color="auto" w:fill="auto"/>
            <w:tcMar>
              <w:top w:w="51" w:type="dxa"/>
              <w:left w:w="227" w:type="dxa"/>
              <w:bottom w:w="51" w:type="dxa"/>
              <w:right w:w="227" w:type="dxa"/>
            </w:tcMar>
            <w:vAlign w:val="center"/>
          </w:tcPr>
          <w:p w14:paraId="48ABB6BB" w14:textId="77777777" w:rsidR="00A75C0F" w:rsidRPr="008A26D2" w:rsidRDefault="00A75C0F" w:rsidP="00AF5836">
            <w:pPr>
              <w:tabs>
                <w:tab w:val="left" w:pos="3375"/>
              </w:tabs>
              <w:spacing w:after="0"/>
              <w:ind w:left="-102"/>
              <w:jc w:val="both"/>
              <w:rPr>
                <w:rFonts w:ascii="Arial" w:eastAsia="Arial Narrow" w:hAnsi="Arial" w:cs="Arial"/>
                <w:sz w:val="20"/>
                <w:szCs w:val="20"/>
              </w:rPr>
            </w:pPr>
            <w:r w:rsidRPr="008A26D2">
              <w:rPr>
                <w:rFonts w:ascii="Arial" w:eastAsia="Arial Narrow" w:hAnsi="Arial" w:cs="Arial"/>
                <w:sz w:val="20"/>
                <w:szCs w:val="20"/>
              </w:rPr>
              <w:t>Fuente: Dirección de Evaluación y Desarrollo de Capacidades Forestal y de Fauna silvestre del OSINFOR.</w:t>
            </w:r>
          </w:p>
          <w:p w14:paraId="7E8E0E07" w14:textId="77777777" w:rsidR="00A75C0F" w:rsidRPr="008A26D2" w:rsidRDefault="00A75C0F" w:rsidP="00AF5836">
            <w:pPr>
              <w:tabs>
                <w:tab w:val="left" w:pos="3375"/>
              </w:tabs>
              <w:spacing w:after="0"/>
              <w:ind w:left="-102"/>
              <w:jc w:val="both"/>
              <w:rPr>
                <w:rFonts w:ascii="Arial" w:hAnsi="Arial" w:cs="Arial"/>
                <w:sz w:val="20"/>
                <w:szCs w:val="20"/>
              </w:rPr>
            </w:pPr>
            <w:r w:rsidRPr="008A26D2">
              <w:rPr>
                <w:rFonts w:ascii="Arial" w:eastAsia="Arial Narrow" w:hAnsi="Arial" w:cs="Arial"/>
                <w:sz w:val="20"/>
                <w:szCs w:val="20"/>
              </w:rPr>
              <w:t>Base de datos: Sistema de Información Gerencial del OSINFOR - SIGOSFC</w:t>
            </w:r>
          </w:p>
        </w:tc>
      </w:tr>
      <w:tr w:rsidR="00A75C0F" w:rsidRPr="008A26D2" w14:paraId="4BB8204F" w14:textId="77777777" w:rsidTr="00AF5836">
        <w:trPr>
          <w:trHeight w:val="436"/>
        </w:trPr>
        <w:tc>
          <w:tcPr>
            <w:tcW w:w="2141" w:type="dxa"/>
            <w:gridSpan w:val="4"/>
            <w:shd w:val="clear" w:color="auto" w:fill="auto"/>
            <w:tcMar>
              <w:top w:w="10" w:type="dxa"/>
              <w:left w:w="93" w:type="dxa"/>
              <w:bottom w:w="0" w:type="dxa"/>
              <w:right w:w="10" w:type="dxa"/>
            </w:tcMar>
            <w:vAlign w:val="center"/>
          </w:tcPr>
          <w:p w14:paraId="3615BDAF" w14:textId="77777777" w:rsidR="00A75C0F" w:rsidRPr="008A26D2" w:rsidRDefault="00A75C0F" w:rsidP="00AF5836">
            <w:pPr>
              <w:tabs>
                <w:tab w:val="left" w:pos="3375"/>
              </w:tabs>
              <w:spacing w:after="0"/>
              <w:rPr>
                <w:rFonts w:ascii="Arial" w:hAnsi="Arial" w:cs="Arial"/>
                <w:sz w:val="20"/>
                <w:szCs w:val="20"/>
              </w:rPr>
            </w:pPr>
            <w:r w:rsidRPr="008A26D2">
              <w:rPr>
                <w:rFonts w:ascii="Arial" w:hAnsi="Arial" w:cs="Arial"/>
                <w:b/>
                <w:sz w:val="20"/>
                <w:szCs w:val="20"/>
              </w:rPr>
              <w:t>Supuestos:</w:t>
            </w:r>
          </w:p>
        </w:tc>
        <w:tc>
          <w:tcPr>
            <w:tcW w:w="6081" w:type="dxa"/>
            <w:gridSpan w:val="8"/>
            <w:shd w:val="clear" w:color="auto" w:fill="auto"/>
            <w:tcMar>
              <w:top w:w="51" w:type="dxa"/>
              <w:left w:w="227" w:type="dxa"/>
              <w:bottom w:w="51" w:type="dxa"/>
              <w:right w:w="227" w:type="dxa"/>
            </w:tcMar>
            <w:vAlign w:val="center"/>
          </w:tcPr>
          <w:p w14:paraId="7B1ABC56" w14:textId="77777777" w:rsidR="00A75C0F" w:rsidRPr="008A26D2" w:rsidRDefault="00A75C0F" w:rsidP="00AF5836">
            <w:pPr>
              <w:tabs>
                <w:tab w:val="left" w:pos="3375"/>
              </w:tabs>
              <w:spacing w:after="0"/>
              <w:ind w:left="-102"/>
              <w:jc w:val="both"/>
              <w:rPr>
                <w:rFonts w:ascii="Arial" w:hAnsi="Arial" w:cs="Arial"/>
                <w:sz w:val="20"/>
                <w:szCs w:val="20"/>
              </w:rPr>
            </w:pPr>
            <w:r w:rsidRPr="008A26D2">
              <w:rPr>
                <w:rFonts w:ascii="Arial" w:eastAsia="Arial Narrow" w:hAnsi="Arial" w:cs="Arial"/>
                <w:sz w:val="20"/>
                <w:szCs w:val="20"/>
              </w:rPr>
              <w:t>Se debería contar con el presupuesto suficiente para tener al personal que realiza el control de calidad.</w:t>
            </w:r>
          </w:p>
        </w:tc>
      </w:tr>
      <w:tr w:rsidR="00A75C0F" w:rsidRPr="008A26D2" w14:paraId="7CDC59C1" w14:textId="77777777" w:rsidTr="00256A23">
        <w:trPr>
          <w:trHeight w:val="556"/>
        </w:trPr>
        <w:tc>
          <w:tcPr>
            <w:tcW w:w="1418" w:type="dxa"/>
            <w:gridSpan w:val="2"/>
            <w:shd w:val="clear" w:color="auto" w:fill="auto"/>
            <w:tcMar>
              <w:top w:w="10" w:type="dxa"/>
              <w:left w:w="10" w:type="dxa"/>
              <w:bottom w:w="0" w:type="dxa"/>
              <w:right w:w="10" w:type="dxa"/>
            </w:tcMar>
            <w:vAlign w:val="center"/>
          </w:tcPr>
          <w:p w14:paraId="71BC5448" w14:textId="77777777" w:rsidR="00A75C0F" w:rsidRPr="008A26D2" w:rsidRDefault="00A75C0F" w:rsidP="00AF5836">
            <w:pPr>
              <w:tabs>
                <w:tab w:val="left" w:pos="3375"/>
              </w:tabs>
              <w:spacing w:after="0"/>
              <w:jc w:val="center"/>
              <w:rPr>
                <w:rFonts w:ascii="Arial" w:hAnsi="Arial" w:cs="Arial"/>
                <w:sz w:val="20"/>
                <w:szCs w:val="20"/>
              </w:rPr>
            </w:pPr>
            <w:r w:rsidRPr="008A26D2">
              <w:rPr>
                <w:rFonts w:ascii="Arial" w:hAnsi="Arial" w:cs="Arial"/>
                <w:b/>
                <w:sz w:val="20"/>
                <w:szCs w:val="20"/>
              </w:rPr>
              <w:t>Línea de base</w:t>
            </w:r>
          </w:p>
        </w:tc>
        <w:tc>
          <w:tcPr>
            <w:tcW w:w="6804" w:type="dxa"/>
            <w:gridSpan w:val="10"/>
            <w:shd w:val="clear" w:color="auto" w:fill="auto"/>
            <w:tcMar>
              <w:top w:w="10" w:type="dxa"/>
              <w:left w:w="10" w:type="dxa"/>
              <w:bottom w:w="0" w:type="dxa"/>
              <w:right w:w="10" w:type="dxa"/>
            </w:tcMar>
            <w:vAlign w:val="center"/>
          </w:tcPr>
          <w:p w14:paraId="60FA4956" w14:textId="77777777" w:rsidR="00A75C0F" w:rsidRPr="008A26D2" w:rsidRDefault="00A75C0F" w:rsidP="00AF5836">
            <w:pPr>
              <w:tabs>
                <w:tab w:val="left" w:pos="3375"/>
              </w:tabs>
              <w:spacing w:after="0"/>
              <w:jc w:val="center"/>
              <w:rPr>
                <w:rFonts w:ascii="Arial" w:hAnsi="Arial" w:cs="Arial"/>
                <w:sz w:val="20"/>
                <w:szCs w:val="20"/>
              </w:rPr>
            </w:pPr>
            <w:r w:rsidRPr="008A26D2">
              <w:rPr>
                <w:rFonts w:ascii="Arial" w:hAnsi="Arial" w:cs="Arial"/>
                <w:b/>
                <w:sz w:val="20"/>
                <w:szCs w:val="20"/>
              </w:rPr>
              <w:t>Logros esperados</w:t>
            </w:r>
          </w:p>
        </w:tc>
      </w:tr>
      <w:tr w:rsidR="00A75C0F" w:rsidRPr="008A26D2" w14:paraId="59E79898" w14:textId="77777777" w:rsidTr="00256A23">
        <w:trPr>
          <w:trHeight w:val="340"/>
        </w:trPr>
        <w:tc>
          <w:tcPr>
            <w:tcW w:w="571" w:type="dxa"/>
            <w:shd w:val="clear" w:color="auto" w:fill="auto"/>
            <w:tcMar>
              <w:top w:w="10" w:type="dxa"/>
              <w:left w:w="10" w:type="dxa"/>
              <w:bottom w:w="0" w:type="dxa"/>
              <w:right w:w="10" w:type="dxa"/>
            </w:tcMar>
            <w:vAlign w:val="center"/>
          </w:tcPr>
          <w:p w14:paraId="2C6C486F" w14:textId="77777777" w:rsidR="00A75C0F" w:rsidRPr="008A26D2" w:rsidRDefault="00A75C0F" w:rsidP="00AF5836">
            <w:pPr>
              <w:tabs>
                <w:tab w:val="left" w:pos="3375"/>
              </w:tabs>
              <w:spacing w:after="0"/>
              <w:jc w:val="center"/>
              <w:rPr>
                <w:rFonts w:ascii="Arial" w:hAnsi="Arial" w:cs="Arial"/>
                <w:sz w:val="20"/>
                <w:szCs w:val="20"/>
              </w:rPr>
            </w:pPr>
            <w:r w:rsidRPr="008A26D2">
              <w:rPr>
                <w:rFonts w:ascii="Arial" w:hAnsi="Arial" w:cs="Arial"/>
                <w:b/>
                <w:sz w:val="20"/>
                <w:szCs w:val="20"/>
              </w:rPr>
              <w:t>Año</w:t>
            </w:r>
          </w:p>
        </w:tc>
        <w:tc>
          <w:tcPr>
            <w:tcW w:w="847" w:type="dxa"/>
            <w:shd w:val="clear" w:color="auto" w:fill="auto"/>
            <w:tcMar>
              <w:top w:w="10" w:type="dxa"/>
              <w:left w:w="10" w:type="dxa"/>
              <w:bottom w:w="0" w:type="dxa"/>
              <w:right w:w="10" w:type="dxa"/>
            </w:tcMar>
            <w:vAlign w:val="center"/>
          </w:tcPr>
          <w:p w14:paraId="5123A5F6" w14:textId="77777777" w:rsidR="00A75C0F" w:rsidRPr="008A26D2" w:rsidRDefault="00A75C0F" w:rsidP="00AF5836">
            <w:pPr>
              <w:tabs>
                <w:tab w:val="left" w:pos="3375"/>
              </w:tabs>
              <w:spacing w:after="0"/>
              <w:jc w:val="center"/>
              <w:rPr>
                <w:rFonts w:ascii="Arial" w:hAnsi="Arial" w:cs="Arial"/>
                <w:b/>
                <w:sz w:val="20"/>
                <w:szCs w:val="20"/>
              </w:rPr>
            </w:pPr>
            <w:r w:rsidRPr="008A26D2">
              <w:rPr>
                <w:rFonts w:ascii="Arial" w:hAnsi="Arial" w:cs="Arial"/>
                <w:b/>
                <w:sz w:val="20"/>
                <w:szCs w:val="20"/>
              </w:rPr>
              <w:t>2021</w:t>
            </w:r>
          </w:p>
        </w:tc>
        <w:tc>
          <w:tcPr>
            <w:tcW w:w="708" w:type="dxa"/>
            <w:shd w:val="clear" w:color="auto" w:fill="auto"/>
            <w:tcMar>
              <w:top w:w="10" w:type="dxa"/>
              <w:left w:w="10" w:type="dxa"/>
              <w:bottom w:w="0" w:type="dxa"/>
              <w:right w:w="10" w:type="dxa"/>
            </w:tcMar>
            <w:vAlign w:val="center"/>
          </w:tcPr>
          <w:p w14:paraId="5FA2ADD3" w14:textId="77777777" w:rsidR="00A75C0F" w:rsidRPr="008A26D2" w:rsidRDefault="00A75C0F" w:rsidP="00AF5836">
            <w:pPr>
              <w:tabs>
                <w:tab w:val="left" w:pos="3375"/>
              </w:tabs>
              <w:spacing w:after="0"/>
              <w:jc w:val="center"/>
              <w:rPr>
                <w:rFonts w:ascii="Arial" w:hAnsi="Arial" w:cs="Arial"/>
                <w:b/>
                <w:sz w:val="20"/>
                <w:szCs w:val="20"/>
              </w:rPr>
            </w:pPr>
            <w:r w:rsidRPr="008A26D2">
              <w:rPr>
                <w:rFonts w:ascii="Arial" w:hAnsi="Arial" w:cs="Arial"/>
                <w:b/>
                <w:sz w:val="20"/>
                <w:szCs w:val="20"/>
              </w:rPr>
              <w:t>2023</w:t>
            </w:r>
          </w:p>
        </w:tc>
        <w:tc>
          <w:tcPr>
            <w:tcW w:w="1008" w:type="dxa"/>
            <w:gridSpan w:val="2"/>
            <w:shd w:val="clear" w:color="auto" w:fill="auto"/>
            <w:vAlign w:val="center"/>
          </w:tcPr>
          <w:p w14:paraId="7EF36139" w14:textId="77777777" w:rsidR="00A75C0F" w:rsidRPr="008A26D2" w:rsidRDefault="00A75C0F" w:rsidP="00AF5836">
            <w:pPr>
              <w:tabs>
                <w:tab w:val="left" w:pos="3375"/>
              </w:tabs>
              <w:spacing w:after="0"/>
              <w:jc w:val="center"/>
              <w:rPr>
                <w:rFonts w:ascii="Arial" w:hAnsi="Arial" w:cs="Arial"/>
                <w:b/>
                <w:sz w:val="20"/>
                <w:szCs w:val="20"/>
              </w:rPr>
            </w:pPr>
            <w:r w:rsidRPr="008A26D2">
              <w:rPr>
                <w:rFonts w:ascii="Arial" w:hAnsi="Arial" w:cs="Arial"/>
                <w:b/>
                <w:sz w:val="20"/>
                <w:szCs w:val="20"/>
              </w:rPr>
              <w:t>2024</w:t>
            </w:r>
          </w:p>
        </w:tc>
        <w:tc>
          <w:tcPr>
            <w:tcW w:w="850" w:type="dxa"/>
            <w:shd w:val="clear" w:color="auto" w:fill="auto"/>
            <w:vAlign w:val="center"/>
          </w:tcPr>
          <w:p w14:paraId="59E5C549" w14:textId="77777777" w:rsidR="00A75C0F" w:rsidRPr="008A26D2" w:rsidRDefault="00A75C0F" w:rsidP="00AF5836">
            <w:pPr>
              <w:tabs>
                <w:tab w:val="left" w:pos="3375"/>
              </w:tabs>
              <w:spacing w:after="0"/>
              <w:jc w:val="center"/>
              <w:rPr>
                <w:rFonts w:ascii="Arial" w:hAnsi="Arial" w:cs="Arial"/>
                <w:b/>
                <w:sz w:val="20"/>
                <w:szCs w:val="20"/>
              </w:rPr>
            </w:pPr>
            <w:r w:rsidRPr="008A26D2">
              <w:rPr>
                <w:rFonts w:ascii="Arial" w:hAnsi="Arial" w:cs="Arial"/>
                <w:b/>
                <w:sz w:val="20"/>
                <w:szCs w:val="20"/>
              </w:rPr>
              <w:t>2025</w:t>
            </w:r>
          </w:p>
        </w:tc>
        <w:tc>
          <w:tcPr>
            <w:tcW w:w="851" w:type="dxa"/>
            <w:gridSpan w:val="2"/>
            <w:shd w:val="clear" w:color="auto" w:fill="auto"/>
            <w:vAlign w:val="center"/>
          </w:tcPr>
          <w:p w14:paraId="5ECE6BD7" w14:textId="77777777" w:rsidR="00A75C0F" w:rsidRPr="008A26D2" w:rsidRDefault="00A75C0F" w:rsidP="00AF5836">
            <w:pPr>
              <w:tabs>
                <w:tab w:val="left" w:pos="3375"/>
              </w:tabs>
              <w:spacing w:after="0"/>
              <w:jc w:val="center"/>
              <w:rPr>
                <w:rFonts w:ascii="Arial" w:hAnsi="Arial" w:cs="Arial"/>
                <w:b/>
                <w:sz w:val="20"/>
                <w:szCs w:val="20"/>
              </w:rPr>
            </w:pPr>
            <w:r w:rsidRPr="008A26D2">
              <w:rPr>
                <w:rFonts w:ascii="Arial" w:hAnsi="Arial" w:cs="Arial"/>
                <w:b/>
                <w:sz w:val="20"/>
                <w:szCs w:val="20"/>
              </w:rPr>
              <w:t>2026</w:t>
            </w:r>
          </w:p>
        </w:tc>
        <w:tc>
          <w:tcPr>
            <w:tcW w:w="850" w:type="dxa"/>
            <w:shd w:val="clear" w:color="auto" w:fill="auto"/>
            <w:vAlign w:val="center"/>
          </w:tcPr>
          <w:p w14:paraId="300C0DA5" w14:textId="77777777" w:rsidR="00A75C0F" w:rsidRPr="008A26D2" w:rsidRDefault="00A75C0F" w:rsidP="00AF5836">
            <w:pPr>
              <w:tabs>
                <w:tab w:val="left" w:pos="3375"/>
              </w:tabs>
              <w:spacing w:after="0"/>
              <w:jc w:val="center"/>
              <w:rPr>
                <w:rFonts w:ascii="Arial" w:hAnsi="Arial" w:cs="Arial"/>
                <w:b/>
                <w:sz w:val="20"/>
                <w:szCs w:val="20"/>
              </w:rPr>
            </w:pPr>
            <w:r w:rsidRPr="008A26D2">
              <w:rPr>
                <w:rFonts w:ascii="Arial" w:hAnsi="Arial" w:cs="Arial"/>
                <w:b/>
                <w:sz w:val="20"/>
                <w:szCs w:val="20"/>
              </w:rPr>
              <w:t>2027</w:t>
            </w:r>
          </w:p>
        </w:tc>
        <w:tc>
          <w:tcPr>
            <w:tcW w:w="851" w:type="dxa"/>
            <w:shd w:val="clear" w:color="auto" w:fill="auto"/>
            <w:vAlign w:val="center"/>
          </w:tcPr>
          <w:p w14:paraId="5974340E" w14:textId="77777777" w:rsidR="00A75C0F" w:rsidRPr="008A26D2" w:rsidRDefault="00A75C0F" w:rsidP="00AF5836">
            <w:pPr>
              <w:tabs>
                <w:tab w:val="left" w:pos="3375"/>
              </w:tabs>
              <w:spacing w:after="0"/>
              <w:jc w:val="center"/>
              <w:rPr>
                <w:rFonts w:ascii="Arial" w:hAnsi="Arial" w:cs="Arial"/>
                <w:b/>
                <w:sz w:val="20"/>
                <w:szCs w:val="20"/>
              </w:rPr>
            </w:pPr>
            <w:r w:rsidRPr="008A26D2">
              <w:rPr>
                <w:rFonts w:ascii="Arial" w:hAnsi="Arial" w:cs="Arial"/>
                <w:b/>
                <w:sz w:val="20"/>
                <w:szCs w:val="20"/>
              </w:rPr>
              <w:t>2028</w:t>
            </w:r>
          </w:p>
        </w:tc>
        <w:tc>
          <w:tcPr>
            <w:tcW w:w="850" w:type="dxa"/>
            <w:shd w:val="clear" w:color="auto" w:fill="auto"/>
            <w:vAlign w:val="center"/>
          </w:tcPr>
          <w:p w14:paraId="59FDD101" w14:textId="77777777" w:rsidR="00A75C0F" w:rsidRPr="008A26D2" w:rsidRDefault="00A75C0F" w:rsidP="00AF5836">
            <w:pPr>
              <w:tabs>
                <w:tab w:val="left" w:pos="3375"/>
              </w:tabs>
              <w:spacing w:after="0"/>
              <w:jc w:val="center"/>
              <w:rPr>
                <w:rFonts w:ascii="Arial" w:hAnsi="Arial" w:cs="Arial"/>
                <w:b/>
                <w:sz w:val="20"/>
                <w:szCs w:val="20"/>
              </w:rPr>
            </w:pPr>
            <w:r w:rsidRPr="008A26D2">
              <w:rPr>
                <w:rFonts w:ascii="Arial" w:hAnsi="Arial" w:cs="Arial"/>
                <w:b/>
                <w:sz w:val="20"/>
                <w:szCs w:val="20"/>
              </w:rPr>
              <w:t>2029</w:t>
            </w:r>
          </w:p>
        </w:tc>
        <w:tc>
          <w:tcPr>
            <w:tcW w:w="836" w:type="dxa"/>
            <w:shd w:val="clear" w:color="auto" w:fill="auto"/>
            <w:tcMar>
              <w:top w:w="10" w:type="dxa"/>
              <w:left w:w="10" w:type="dxa"/>
              <w:bottom w:w="0" w:type="dxa"/>
              <w:right w:w="10" w:type="dxa"/>
            </w:tcMar>
            <w:vAlign w:val="center"/>
          </w:tcPr>
          <w:p w14:paraId="7947FDFC" w14:textId="77777777" w:rsidR="00A75C0F" w:rsidRPr="008A26D2" w:rsidRDefault="00A75C0F" w:rsidP="00AF5836">
            <w:pPr>
              <w:tabs>
                <w:tab w:val="left" w:pos="3375"/>
              </w:tabs>
              <w:spacing w:after="0"/>
              <w:jc w:val="center"/>
              <w:rPr>
                <w:rFonts w:ascii="Arial" w:hAnsi="Arial" w:cs="Arial"/>
                <w:b/>
                <w:sz w:val="20"/>
                <w:szCs w:val="20"/>
              </w:rPr>
            </w:pPr>
            <w:r w:rsidRPr="008A26D2">
              <w:rPr>
                <w:rFonts w:ascii="Arial" w:hAnsi="Arial" w:cs="Arial"/>
                <w:b/>
                <w:sz w:val="20"/>
                <w:szCs w:val="20"/>
              </w:rPr>
              <w:t>2030</w:t>
            </w:r>
          </w:p>
        </w:tc>
      </w:tr>
      <w:tr w:rsidR="00A75C0F" w:rsidRPr="008A26D2" w14:paraId="0C120AC5" w14:textId="77777777" w:rsidTr="00256A23">
        <w:trPr>
          <w:trHeight w:val="340"/>
        </w:trPr>
        <w:tc>
          <w:tcPr>
            <w:tcW w:w="571" w:type="dxa"/>
            <w:shd w:val="clear" w:color="auto" w:fill="auto"/>
            <w:tcMar>
              <w:top w:w="10" w:type="dxa"/>
              <w:left w:w="10" w:type="dxa"/>
              <w:bottom w:w="0" w:type="dxa"/>
              <w:right w:w="10" w:type="dxa"/>
            </w:tcMar>
            <w:vAlign w:val="center"/>
          </w:tcPr>
          <w:p w14:paraId="24D5D65D" w14:textId="77777777" w:rsidR="00A75C0F" w:rsidRPr="008A26D2" w:rsidRDefault="00A75C0F" w:rsidP="00AF5836">
            <w:pPr>
              <w:tabs>
                <w:tab w:val="left" w:pos="3375"/>
              </w:tabs>
              <w:spacing w:after="0"/>
              <w:jc w:val="center"/>
              <w:rPr>
                <w:rFonts w:ascii="Arial" w:hAnsi="Arial" w:cs="Arial"/>
                <w:sz w:val="20"/>
                <w:szCs w:val="20"/>
              </w:rPr>
            </w:pPr>
            <w:r w:rsidRPr="008A26D2">
              <w:rPr>
                <w:rFonts w:ascii="Arial" w:hAnsi="Arial" w:cs="Arial"/>
                <w:b/>
                <w:sz w:val="20"/>
                <w:szCs w:val="20"/>
              </w:rPr>
              <w:t>Valor</w:t>
            </w:r>
          </w:p>
        </w:tc>
        <w:tc>
          <w:tcPr>
            <w:tcW w:w="847" w:type="dxa"/>
            <w:shd w:val="clear" w:color="auto" w:fill="auto"/>
            <w:tcMar>
              <w:top w:w="10" w:type="dxa"/>
              <w:left w:w="10" w:type="dxa"/>
              <w:bottom w:w="0" w:type="dxa"/>
              <w:right w:w="10" w:type="dxa"/>
            </w:tcMar>
            <w:vAlign w:val="center"/>
          </w:tcPr>
          <w:p w14:paraId="3A8D6AC7" w14:textId="77777777" w:rsidR="00A75C0F" w:rsidRPr="008A26D2" w:rsidRDefault="00A75C0F" w:rsidP="00AF5836">
            <w:pPr>
              <w:tabs>
                <w:tab w:val="left" w:pos="3375"/>
              </w:tabs>
              <w:spacing w:after="0"/>
              <w:jc w:val="center"/>
              <w:rPr>
                <w:rFonts w:ascii="Arial" w:hAnsi="Arial" w:cs="Arial"/>
                <w:sz w:val="16"/>
                <w:szCs w:val="16"/>
              </w:rPr>
            </w:pPr>
            <w:r w:rsidRPr="008A26D2">
              <w:rPr>
                <w:rFonts w:ascii="Arial" w:hAnsi="Arial" w:cs="Arial"/>
                <w:sz w:val="16"/>
                <w:szCs w:val="16"/>
              </w:rPr>
              <w:t>74,989</w:t>
            </w:r>
          </w:p>
        </w:tc>
        <w:tc>
          <w:tcPr>
            <w:tcW w:w="708" w:type="dxa"/>
            <w:shd w:val="clear" w:color="auto" w:fill="auto"/>
            <w:tcMar>
              <w:top w:w="10" w:type="dxa"/>
              <w:left w:w="10" w:type="dxa"/>
              <w:bottom w:w="0" w:type="dxa"/>
              <w:right w:w="10" w:type="dxa"/>
            </w:tcMar>
            <w:vAlign w:val="center"/>
          </w:tcPr>
          <w:p w14:paraId="5E462896" w14:textId="77777777" w:rsidR="00A75C0F" w:rsidRPr="008A26D2" w:rsidRDefault="00A75C0F" w:rsidP="00AF5836">
            <w:pPr>
              <w:tabs>
                <w:tab w:val="left" w:pos="3375"/>
              </w:tabs>
              <w:spacing w:after="0"/>
              <w:jc w:val="center"/>
              <w:rPr>
                <w:rFonts w:ascii="Arial" w:hAnsi="Arial" w:cs="Arial"/>
                <w:sz w:val="16"/>
                <w:szCs w:val="16"/>
              </w:rPr>
            </w:pPr>
            <w:r w:rsidRPr="008A26D2">
              <w:rPr>
                <w:rFonts w:ascii="Arial" w:hAnsi="Arial" w:cs="Arial"/>
                <w:sz w:val="16"/>
                <w:szCs w:val="16"/>
              </w:rPr>
              <w:t>78,515</w:t>
            </w:r>
          </w:p>
        </w:tc>
        <w:tc>
          <w:tcPr>
            <w:tcW w:w="1008" w:type="dxa"/>
            <w:gridSpan w:val="2"/>
            <w:shd w:val="clear" w:color="auto" w:fill="auto"/>
            <w:vAlign w:val="center"/>
          </w:tcPr>
          <w:p w14:paraId="448FE998" w14:textId="77777777" w:rsidR="00A75C0F" w:rsidRPr="008A26D2" w:rsidRDefault="00A75C0F" w:rsidP="00AF5836">
            <w:pPr>
              <w:tabs>
                <w:tab w:val="left" w:pos="3375"/>
              </w:tabs>
              <w:spacing w:after="0"/>
              <w:jc w:val="center"/>
              <w:rPr>
                <w:rFonts w:ascii="Arial" w:hAnsi="Arial" w:cs="Arial"/>
                <w:sz w:val="16"/>
                <w:szCs w:val="16"/>
              </w:rPr>
            </w:pPr>
            <w:r w:rsidRPr="008A26D2">
              <w:rPr>
                <w:rFonts w:ascii="Arial" w:hAnsi="Arial" w:cs="Arial"/>
                <w:sz w:val="16"/>
                <w:szCs w:val="16"/>
              </w:rPr>
              <w:t>82,917</w:t>
            </w:r>
          </w:p>
        </w:tc>
        <w:tc>
          <w:tcPr>
            <w:tcW w:w="850" w:type="dxa"/>
            <w:shd w:val="clear" w:color="auto" w:fill="auto"/>
            <w:vAlign w:val="center"/>
          </w:tcPr>
          <w:p w14:paraId="600143A9" w14:textId="77777777" w:rsidR="00A75C0F" w:rsidRPr="008A26D2" w:rsidRDefault="00A75C0F" w:rsidP="00AF5836">
            <w:pPr>
              <w:tabs>
                <w:tab w:val="left" w:pos="3375"/>
              </w:tabs>
              <w:spacing w:after="0"/>
              <w:jc w:val="center"/>
              <w:rPr>
                <w:rFonts w:ascii="Arial" w:hAnsi="Arial" w:cs="Arial"/>
                <w:sz w:val="16"/>
                <w:szCs w:val="16"/>
              </w:rPr>
            </w:pPr>
            <w:r w:rsidRPr="008A26D2">
              <w:rPr>
                <w:rFonts w:ascii="Arial" w:hAnsi="Arial" w:cs="Arial"/>
                <w:sz w:val="16"/>
                <w:szCs w:val="16"/>
              </w:rPr>
              <w:t>84,430</w:t>
            </w:r>
          </w:p>
        </w:tc>
        <w:tc>
          <w:tcPr>
            <w:tcW w:w="851" w:type="dxa"/>
            <w:gridSpan w:val="2"/>
            <w:shd w:val="clear" w:color="auto" w:fill="auto"/>
            <w:vAlign w:val="center"/>
          </w:tcPr>
          <w:p w14:paraId="2B8D8343" w14:textId="77777777" w:rsidR="00A75C0F" w:rsidRPr="008A26D2" w:rsidRDefault="00A75C0F" w:rsidP="00AF5836">
            <w:pPr>
              <w:tabs>
                <w:tab w:val="left" w:pos="3375"/>
              </w:tabs>
              <w:spacing w:after="0"/>
              <w:jc w:val="center"/>
              <w:rPr>
                <w:rFonts w:ascii="Arial" w:hAnsi="Arial" w:cs="Arial"/>
                <w:sz w:val="16"/>
                <w:szCs w:val="16"/>
              </w:rPr>
            </w:pPr>
            <w:r w:rsidRPr="008A26D2">
              <w:rPr>
                <w:rFonts w:ascii="Arial" w:hAnsi="Arial" w:cs="Arial"/>
                <w:sz w:val="16"/>
                <w:szCs w:val="16"/>
              </w:rPr>
              <w:t>87,064</w:t>
            </w:r>
          </w:p>
        </w:tc>
        <w:tc>
          <w:tcPr>
            <w:tcW w:w="850" w:type="dxa"/>
            <w:shd w:val="clear" w:color="auto" w:fill="auto"/>
            <w:vAlign w:val="center"/>
          </w:tcPr>
          <w:p w14:paraId="6EF16526" w14:textId="77777777" w:rsidR="00A75C0F" w:rsidRPr="008A26D2" w:rsidRDefault="00A75C0F" w:rsidP="00AF5836">
            <w:pPr>
              <w:tabs>
                <w:tab w:val="left" w:pos="3375"/>
              </w:tabs>
              <w:spacing w:after="0"/>
              <w:jc w:val="center"/>
              <w:rPr>
                <w:rFonts w:ascii="Arial" w:hAnsi="Arial" w:cs="Arial"/>
                <w:sz w:val="16"/>
                <w:szCs w:val="16"/>
              </w:rPr>
            </w:pPr>
            <w:r w:rsidRPr="008A26D2">
              <w:rPr>
                <w:rFonts w:ascii="Arial" w:hAnsi="Arial" w:cs="Arial"/>
                <w:sz w:val="16"/>
                <w:szCs w:val="16"/>
              </w:rPr>
              <w:t>89,829</w:t>
            </w:r>
          </w:p>
        </w:tc>
        <w:tc>
          <w:tcPr>
            <w:tcW w:w="851" w:type="dxa"/>
            <w:shd w:val="clear" w:color="auto" w:fill="auto"/>
            <w:vAlign w:val="center"/>
          </w:tcPr>
          <w:p w14:paraId="3DC24B68" w14:textId="77777777" w:rsidR="00A75C0F" w:rsidRPr="008A26D2" w:rsidRDefault="00A75C0F" w:rsidP="00AF5836">
            <w:pPr>
              <w:tabs>
                <w:tab w:val="left" w:pos="3375"/>
              </w:tabs>
              <w:spacing w:after="0"/>
              <w:jc w:val="center"/>
              <w:rPr>
                <w:rFonts w:ascii="Arial" w:hAnsi="Arial" w:cs="Arial"/>
                <w:sz w:val="16"/>
                <w:szCs w:val="16"/>
              </w:rPr>
            </w:pPr>
            <w:r w:rsidRPr="008A26D2">
              <w:rPr>
                <w:rFonts w:ascii="Arial" w:hAnsi="Arial" w:cs="Arial"/>
                <w:sz w:val="16"/>
                <w:szCs w:val="16"/>
              </w:rPr>
              <w:t>93,736</w:t>
            </w:r>
          </w:p>
        </w:tc>
        <w:tc>
          <w:tcPr>
            <w:tcW w:w="850" w:type="dxa"/>
            <w:shd w:val="clear" w:color="auto" w:fill="auto"/>
            <w:vAlign w:val="center"/>
          </w:tcPr>
          <w:p w14:paraId="61D39E22" w14:textId="77777777" w:rsidR="00A75C0F" w:rsidRPr="008A26D2" w:rsidRDefault="00A75C0F" w:rsidP="00AF5836">
            <w:pPr>
              <w:tabs>
                <w:tab w:val="left" w:pos="3375"/>
              </w:tabs>
              <w:spacing w:after="0"/>
              <w:jc w:val="center"/>
              <w:rPr>
                <w:rFonts w:ascii="Arial" w:hAnsi="Arial" w:cs="Arial"/>
                <w:sz w:val="16"/>
                <w:szCs w:val="16"/>
              </w:rPr>
            </w:pPr>
            <w:r w:rsidRPr="008A26D2">
              <w:rPr>
                <w:rFonts w:ascii="Arial" w:hAnsi="Arial" w:cs="Arial"/>
                <w:sz w:val="16"/>
                <w:szCs w:val="16"/>
              </w:rPr>
              <w:t>96,795</w:t>
            </w:r>
          </w:p>
        </w:tc>
        <w:tc>
          <w:tcPr>
            <w:tcW w:w="836" w:type="dxa"/>
            <w:shd w:val="clear" w:color="auto" w:fill="auto"/>
            <w:tcMar>
              <w:top w:w="10" w:type="dxa"/>
              <w:left w:w="10" w:type="dxa"/>
              <w:bottom w:w="0" w:type="dxa"/>
              <w:right w:w="10" w:type="dxa"/>
            </w:tcMar>
            <w:vAlign w:val="center"/>
          </w:tcPr>
          <w:p w14:paraId="0E6677E3" w14:textId="77777777" w:rsidR="00A75C0F" w:rsidRPr="008A26D2" w:rsidRDefault="00A75C0F" w:rsidP="00AF5836">
            <w:pPr>
              <w:tabs>
                <w:tab w:val="left" w:pos="3375"/>
              </w:tabs>
              <w:spacing w:after="0"/>
              <w:jc w:val="center"/>
              <w:rPr>
                <w:rFonts w:ascii="Arial" w:hAnsi="Arial" w:cs="Arial"/>
                <w:sz w:val="16"/>
                <w:szCs w:val="16"/>
              </w:rPr>
            </w:pPr>
            <w:r w:rsidRPr="008A26D2">
              <w:rPr>
                <w:rFonts w:ascii="Arial" w:hAnsi="Arial" w:cs="Arial"/>
                <w:sz w:val="16"/>
                <w:szCs w:val="16"/>
              </w:rPr>
              <w:t>100,018</w:t>
            </w:r>
          </w:p>
        </w:tc>
      </w:tr>
    </w:tbl>
    <w:p w14:paraId="2B33F019" w14:textId="77777777" w:rsidR="00A75C0F" w:rsidRPr="008A26D2" w:rsidRDefault="00A75C0F" w:rsidP="00A75C0F"/>
    <w:p w14:paraId="028EC255" w14:textId="77777777" w:rsidR="00A75C0F" w:rsidRPr="008A26D2" w:rsidRDefault="00A75C0F" w:rsidP="00A75C0F"/>
    <w:tbl>
      <w:tblPr>
        <w:tblW w:w="500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28"/>
        <w:gridCol w:w="879"/>
        <w:gridCol w:w="895"/>
        <w:gridCol w:w="842"/>
        <w:gridCol w:w="838"/>
        <w:gridCol w:w="372"/>
        <w:gridCol w:w="597"/>
        <w:gridCol w:w="838"/>
        <w:gridCol w:w="981"/>
        <w:gridCol w:w="221"/>
        <w:gridCol w:w="748"/>
        <w:gridCol w:w="662"/>
      </w:tblGrid>
      <w:tr w:rsidR="00A75C0F" w:rsidRPr="008A26D2" w14:paraId="5E2623CB" w14:textId="77777777" w:rsidTr="00AF5836">
        <w:trPr>
          <w:trHeight w:val="251"/>
        </w:trPr>
        <w:tc>
          <w:tcPr>
            <w:tcW w:w="5000" w:type="pct"/>
            <w:gridSpan w:val="12"/>
            <w:shd w:val="clear" w:color="auto" w:fill="D9D9D9" w:themeFill="background1" w:themeFillShade="D9"/>
          </w:tcPr>
          <w:p w14:paraId="39C1E2CA"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b/>
                <w:sz w:val="20"/>
                <w:szCs w:val="20"/>
              </w:rPr>
              <w:t>FICHA TÉCNICA DE INDICADOR DE SERVICIO 3.3.3</w:t>
            </w:r>
          </w:p>
        </w:tc>
      </w:tr>
      <w:tr w:rsidR="00A75C0F" w:rsidRPr="008A26D2" w14:paraId="6ECB444E" w14:textId="77777777" w:rsidTr="00AF5836">
        <w:trPr>
          <w:trHeight w:val="409"/>
        </w:trPr>
        <w:tc>
          <w:tcPr>
            <w:tcW w:w="878" w:type="pct"/>
            <w:gridSpan w:val="2"/>
            <w:shd w:val="clear" w:color="auto" w:fill="FFFFFF"/>
          </w:tcPr>
          <w:p w14:paraId="78380D5E"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Objetivo prioritario:</w:t>
            </w:r>
          </w:p>
        </w:tc>
        <w:tc>
          <w:tcPr>
            <w:tcW w:w="4122" w:type="pct"/>
            <w:gridSpan w:val="10"/>
            <w:shd w:val="clear" w:color="auto" w:fill="FFFFFF"/>
            <w:tcMar>
              <w:top w:w="51" w:type="dxa"/>
              <w:left w:w="227" w:type="dxa"/>
              <w:bottom w:w="51" w:type="dxa"/>
              <w:right w:w="227" w:type="dxa"/>
            </w:tcMar>
            <w:vAlign w:val="center"/>
          </w:tcPr>
          <w:p w14:paraId="1965BB33" w14:textId="77777777" w:rsidR="00A75C0F" w:rsidRPr="008A26D2" w:rsidRDefault="00A75C0F" w:rsidP="00AF5836">
            <w:pPr>
              <w:tabs>
                <w:tab w:val="left" w:pos="3375"/>
              </w:tabs>
              <w:rPr>
                <w:rFonts w:ascii="Arial" w:hAnsi="Arial" w:cs="Arial"/>
                <w:sz w:val="20"/>
                <w:szCs w:val="20"/>
              </w:rPr>
            </w:pPr>
            <w:r w:rsidRPr="008A26D2">
              <w:rPr>
                <w:rFonts w:ascii="Arial" w:eastAsia="Arial Narrow" w:hAnsi="Arial" w:cs="Arial"/>
                <w:sz w:val="20"/>
                <w:szCs w:val="20"/>
              </w:rPr>
              <w:t>OP3 Fortalecer la gobernanza forestal y de fauna silvestre</w:t>
            </w:r>
          </w:p>
        </w:tc>
      </w:tr>
      <w:tr w:rsidR="00A75C0F" w:rsidRPr="008A26D2" w14:paraId="6ABBDF0F" w14:textId="77777777" w:rsidTr="00AF5836">
        <w:trPr>
          <w:trHeight w:val="436"/>
        </w:trPr>
        <w:tc>
          <w:tcPr>
            <w:tcW w:w="878" w:type="pct"/>
            <w:gridSpan w:val="2"/>
          </w:tcPr>
          <w:p w14:paraId="070847B2"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Lineamiento de la política:</w:t>
            </w:r>
          </w:p>
        </w:tc>
        <w:tc>
          <w:tcPr>
            <w:tcW w:w="4122" w:type="pct"/>
            <w:gridSpan w:val="10"/>
            <w:shd w:val="clear" w:color="auto" w:fill="auto"/>
            <w:tcMar>
              <w:top w:w="51" w:type="dxa"/>
              <w:left w:w="227" w:type="dxa"/>
              <w:bottom w:w="51" w:type="dxa"/>
              <w:right w:w="227" w:type="dxa"/>
            </w:tcMar>
            <w:vAlign w:val="center"/>
          </w:tcPr>
          <w:p w14:paraId="63B325BE" w14:textId="77777777" w:rsidR="00A75C0F" w:rsidRPr="008A26D2" w:rsidRDefault="00A75C0F" w:rsidP="00AF5836">
            <w:pPr>
              <w:tabs>
                <w:tab w:val="left" w:pos="3375"/>
              </w:tabs>
              <w:jc w:val="both"/>
              <w:rPr>
                <w:rFonts w:ascii="Arial" w:hAnsi="Arial" w:cs="Arial"/>
                <w:sz w:val="20"/>
                <w:szCs w:val="20"/>
              </w:rPr>
            </w:pPr>
            <w:r w:rsidRPr="008A26D2">
              <w:rPr>
                <w:rFonts w:ascii="Arial" w:eastAsia="Arial Narrow" w:hAnsi="Arial" w:cs="Arial"/>
                <w:sz w:val="20"/>
                <w:szCs w:val="20"/>
              </w:rPr>
              <w:t>L 3.3 Gestionar la información y el conocimiento en materia forestal y de fauna silvestre producido por los actores forestales y de fauna silvestre</w:t>
            </w:r>
          </w:p>
        </w:tc>
      </w:tr>
      <w:tr w:rsidR="00A75C0F" w:rsidRPr="008A26D2" w14:paraId="15397086" w14:textId="77777777" w:rsidTr="00AF5836">
        <w:trPr>
          <w:trHeight w:val="404"/>
        </w:trPr>
        <w:tc>
          <w:tcPr>
            <w:tcW w:w="878" w:type="pct"/>
            <w:gridSpan w:val="2"/>
          </w:tcPr>
          <w:p w14:paraId="44693803"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lastRenderedPageBreak/>
              <w:t>Nombre del servicio:</w:t>
            </w:r>
          </w:p>
        </w:tc>
        <w:tc>
          <w:tcPr>
            <w:tcW w:w="4122" w:type="pct"/>
            <w:gridSpan w:val="10"/>
            <w:shd w:val="clear" w:color="auto" w:fill="auto"/>
            <w:tcMar>
              <w:top w:w="51" w:type="dxa"/>
              <w:left w:w="227" w:type="dxa"/>
              <w:bottom w:w="51" w:type="dxa"/>
              <w:right w:w="227" w:type="dxa"/>
            </w:tcMar>
            <w:vAlign w:val="center"/>
          </w:tcPr>
          <w:p w14:paraId="1396A4B5" w14:textId="77777777" w:rsidR="00A75C0F" w:rsidRPr="008A26D2" w:rsidRDefault="00A75C0F" w:rsidP="00AF5836">
            <w:pPr>
              <w:tabs>
                <w:tab w:val="left" w:pos="3375"/>
              </w:tabs>
              <w:jc w:val="both"/>
              <w:rPr>
                <w:rFonts w:ascii="Arial" w:hAnsi="Arial" w:cs="Arial"/>
                <w:sz w:val="20"/>
                <w:szCs w:val="20"/>
              </w:rPr>
            </w:pPr>
            <w:r w:rsidRPr="008A26D2">
              <w:rPr>
                <w:rFonts w:ascii="Arial" w:eastAsia="Arial Narrow" w:hAnsi="Arial" w:cs="Arial"/>
                <w:sz w:val="20"/>
                <w:szCs w:val="20"/>
              </w:rPr>
              <w:t>S3.3.3 Asistencia técnica para la generación de información sobre las potencialidades y limitaciones del territorio dirigido a los gobiernos regionales</w:t>
            </w:r>
          </w:p>
        </w:tc>
      </w:tr>
      <w:tr w:rsidR="00A75C0F" w:rsidRPr="008A26D2" w14:paraId="0B8A30E6" w14:textId="77777777" w:rsidTr="00AF5836">
        <w:trPr>
          <w:trHeight w:val="577"/>
        </w:trPr>
        <w:tc>
          <w:tcPr>
            <w:tcW w:w="878" w:type="pct"/>
            <w:gridSpan w:val="2"/>
          </w:tcPr>
          <w:p w14:paraId="579E8411"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Nombre del indicador:</w:t>
            </w:r>
          </w:p>
        </w:tc>
        <w:tc>
          <w:tcPr>
            <w:tcW w:w="4122" w:type="pct"/>
            <w:gridSpan w:val="10"/>
            <w:shd w:val="clear" w:color="auto" w:fill="auto"/>
            <w:tcMar>
              <w:top w:w="51" w:type="dxa"/>
              <w:left w:w="227" w:type="dxa"/>
              <w:bottom w:w="51" w:type="dxa"/>
              <w:right w:w="227" w:type="dxa"/>
            </w:tcMar>
            <w:vAlign w:val="center"/>
          </w:tcPr>
          <w:p w14:paraId="773D73A3" w14:textId="77777777" w:rsidR="00A75C0F" w:rsidRPr="008A26D2" w:rsidRDefault="00A75C0F" w:rsidP="00256A23">
            <w:pPr>
              <w:tabs>
                <w:tab w:val="left" w:pos="3375"/>
              </w:tabs>
              <w:jc w:val="both"/>
              <w:rPr>
                <w:rFonts w:ascii="Arial" w:hAnsi="Arial" w:cs="Arial"/>
                <w:strike/>
                <w:sz w:val="20"/>
                <w:szCs w:val="20"/>
              </w:rPr>
            </w:pPr>
            <w:r w:rsidRPr="008A26D2">
              <w:rPr>
                <w:rFonts w:ascii="Arial" w:hAnsi="Arial" w:cs="Arial"/>
                <w:sz w:val="20"/>
                <w:szCs w:val="20"/>
              </w:rPr>
              <w:t>Porcentaje de gobiernos regionales que han recibido asistencia técnica para la generación de información sobre las potencialidades y limitaciones del territorio de forma fiable.</w:t>
            </w:r>
          </w:p>
        </w:tc>
      </w:tr>
      <w:tr w:rsidR="00A75C0F" w:rsidRPr="008A26D2" w14:paraId="3A989CB6" w14:textId="77777777" w:rsidTr="00AF5836">
        <w:trPr>
          <w:trHeight w:val="642"/>
        </w:trPr>
        <w:tc>
          <w:tcPr>
            <w:tcW w:w="878" w:type="pct"/>
            <w:gridSpan w:val="2"/>
          </w:tcPr>
          <w:p w14:paraId="4F82A49F"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Justificación:</w:t>
            </w:r>
          </w:p>
        </w:tc>
        <w:tc>
          <w:tcPr>
            <w:tcW w:w="4122" w:type="pct"/>
            <w:gridSpan w:val="10"/>
            <w:shd w:val="clear" w:color="auto" w:fill="auto"/>
            <w:tcMar>
              <w:top w:w="51" w:type="dxa"/>
              <w:left w:w="227" w:type="dxa"/>
              <w:bottom w:w="51" w:type="dxa"/>
              <w:right w:w="227" w:type="dxa"/>
            </w:tcMar>
            <w:vAlign w:val="center"/>
          </w:tcPr>
          <w:p w14:paraId="61F24306" w14:textId="77777777" w:rsidR="00A75C0F" w:rsidRPr="008A26D2" w:rsidRDefault="00A75C0F" w:rsidP="00AF5836">
            <w:pPr>
              <w:tabs>
                <w:tab w:val="left" w:pos="3375"/>
              </w:tabs>
              <w:jc w:val="both"/>
              <w:rPr>
                <w:rFonts w:ascii="Arial" w:hAnsi="Arial" w:cs="Arial"/>
                <w:sz w:val="20"/>
                <w:szCs w:val="20"/>
                <w:lang w:val="es-ES"/>
              </w:rPr>
            </w:pPr>
            <w:r w:rsidRPr="008A26D2">
              <w:rPr>
                <w:rFonts w:ascii="Arial" w:eastAsia="Times New Roman" w:hAnsi="Arial" w:cs="Arial"/>
                <w:sz w:val="20"/>
                <w:szCs w:val="20"/>
              </w:rPr>
              <w:t xml:space="preserve">El indicador permite cuantificar el porcentaje de gobiernos regionales que han </w:t>
            </w:r>
            <w:r w:rsidRPr="008A26D2">
              <w:rPr>
                <w:rFonts w:ascii="Arial" w:hAnsi="Arial" w:cs="Arial"/>
                <w:sz w:val="20"/>
                <w:szCs w:val="20"/>
              </w:rPr>
              <w:t>recibido asistencia técnica para la generación de información sobre las potencialidades y limitaciones del territorio, lo cual permite culminar la etapa de formulación de la Zonificación Ecológica y Económica</w:t>
            </w:r>
            <w:r w:rsidRPr="008A26D2">
              <w:rPr>
                <w:rFonts w:ascii="Arial" w:eastAsia="Times New Roman" w:hAnsi="Arial" w:cs="Arial"/>
                <w:sz w:val="20"/>
                <w:szCs w:val="20"/>
              </w:rPr>
              <w:t xml:space="preserve">. </w:t>
            </w:r>
            <w:r w:rsidRPr="008A26D2">
              <w:rPr>
                <w:rFonts w:ascii="Arial" w:hAnsi="Arial" w:cs="Arial"/>
                <w:sz w:val="20"/>
                <w:szCs w:val="20"/>
                <w:lang w:val="es-ES"/>
              </w:rPr>
              <w:t>De esta manera, el indicador facilitará el seguimiento en la entrega del servicio y establecer acciones de mejora correspondientes.</w:t>
            </w:r>
          </w:p>
          <w:p w14:paraId="26022029" w14:textId="77777777" w:rsidR="00A75C0F" w:rsidRPr="008A26D2" w:rsidRDefault="00A75C0F" w:rsidP="00AF5836">
            <w:pPr>
              <w:tabs>
                <w:tab w:val="left" w:pos="3375"/>
              </w:tabs>
              <w:jc w:val="both"/>
              <w:rPr>
                <w:rFonts w:ascii="Arial" w:eastAsia="Times New Roman" w:hAnsi="Arial" w:cs="Arial"/>
                <w:sz w:val="20"/>
                <w:szCs w:val="20"/>
              </w:rPr>
            </w:pPr>
            <w:r w:rsidRPr="008A26D2">
              <w:rPr>
                <w:rFonts w:ascii="Arial" w:eastAsia="Times New Roman" w:hAnsi="Arial" w:cs="Arial"/>
                <w:sz w:val="20"/>
                <w:szCs w:val="20"/>
              </w:rPr>
              <w:t>En ese sentido, en el marco de la articulación de los instrumentos de gestión regionales, la Ley Forestal y de Fauna Silvestre y lo señalado respecto de los planes de implementación de la zonificación forestal, dicho instrumento técnico, se realiza en el marco del enfoque ecosistémico y siguiendo la normativa sobre la Zonificación Ecológica y Económica, en lo que corresponda</w:t>
            </w:r>
          </w:p>
        </w:tc>
      </w:tr>
      <w:tr w:rsidR="00A75C0F" w:rsidRPr="008A26D2" w14:paraId="0312BFCD" w14:textId="77777777" w:rsidTr="00AF5836">
        <w:trPr>
          <w:trHeight w:val="352"/>
        </w:trPr>
        <w:tc>
          <w:tcPr>
            <w:tcW w:w="878" w:type="pct"/>
            <w:gridSpan w:val="2"/>
          </w:tcPr>
          <w:p w14:paraId="0BC0C777" w14:textId="77777777" w:rsidR="00A75C0F" w:rsidRPr="008A26D2" w:rsidRDefault="00A75C0F" w:rsidP="00AF5836">
            <w:pPr>
              <w:tabs>
                <w:tab w:val="left" w:pos="3375"/>
              </w:tabs>
              <w:rPr>
                <w:rFonts w:ascii="Arial" w:hAnsi="Arial" w:cs="Arial"/>
                <w:b/>
                <w:sz w:val="20"/>
                <w:szCs w:val="20"/>
              </w:rPr>
            </w:pPr>
            <w:r w:rsidRPr="008A26D2">
              <w:rPr>
                <w:rFonts w:ascii="Arial" w:hAnsi="Arial" w:cs="Arial"/>
                <w:b/>
                <w:sz w:val="20"/>
                <w:szCs w:val="20"/>
              </w:rPr>
              <w:t>Responsable del indicador:</w:t>
            </w:r>
          </w:p>
        </w:tc>
        <w:tc>
          <w:tcPr>
            <w:tcW w:w="4122" w:type="pct"/>
            <w:gridSpan w:val="10"/>
            <w:shd w:val="clear" w:color="auto" w:fill="auto"/>
            <w:tcMar>
              <w:top w:w="51" w:type="dxa"/>
              <w:left w:w="227" w:type="dxa"/>
              <w:bottom w:w="51" w:type="dxa"/>
              <w:right w:w="227" w:type="dxa"/>
            </w:tcMar>
            <w:vAlign w:val="center"/>
          </w:tcPr>
          <w:p w14:paraId="7DB0CF6F" w14:textId="77777777" w:rsidR="00A75C0F" w:rsidRPr="008A26D2" w:rsidRDefault="00A75C0F" w:rsidP="00AF5836">
            <w:pPr>
              <w:tabs>
                <w:tab w:val="left" w:pos="3375"/>
              </w:tabs>
              <w:jc w:val="both"/>
              <w:rPr>
                <w:rFonts w:ascii="Arial" w:hAnsi="Arial" w:cs="Arial"/>
                <w:sz w:val="20"/>
                <w:szCs w:val="20"/>
              </w:rPr>
            </w:pPr>
            <w:r w:rsidRPr="008A26D2">
              <w:rPr>
                <w:rFonts w:ascii="Arial" w:eastAsia="Arial Narrow" w:hAnsi="Arial" w:cs="Arial"/>
                <w:sz w:val="20"/>
                <w:szCs w:val="20"/>
              </w:rPr>
              <w:t>La Dirección General de Ordenamiento Territorial y de la Gestión Integrada de los Recursos Naturales del Ministerio del Ambiente - MINAM</w:t>
            </w:r>
          </w:p>
        </w:tc>
      </w:tr>
      <w:tr w:rsidR="00A75C0F" w:rsidRPr="008A26D2" w14:paraId="20758553" w14:textId="77777777" w:rsidTr="00AF5836">
        <w:trPr>
          <w:trHeight w:val="1072"/>
        </w:trPr>
        <w:tc>
          <w:tcPr>
            <w:tcW w:w="878" w:type="pct"/>
            <w:gridSpan w:val="2"/>
          </w:tcPr>
          <w:p w14:paraId="0154D34C"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Limitaciones para la medición del indicador:</w:t>
            </w:r>
          </w:p>
        </w:tc>
        <w:tc>
          <w:tcPr>
            <w:tcW w:w="4122" w:type="pct"/>
            <w:gridSpan w:val="10"/>
            <w:shd w:val="clear" w:color="auto" w:fill="auto"/>
            <w:tcMar>
              <w:top w:w="51" w:type="dxa"/>
              <w:left w:w="227" w:type="dxa"/>
              <w:bottom w:w="51" w:type="dxa"/>
              <w:right w:w="227" w:type="dxa"/>
            </w:tcMar>
            <w:vAlign w:val="center"/>
          </w:tcPr>
          <w:p w14:paraId="2E3ACA74" w14:textId="5175F6DB" w:rsidR="00A75C0F" w:rsidRPr="008A26D2" w:rsidRDefault="00A75C0F" w:rsidP="00AF5836">
            <w:pPr>
              <w:tabs>
                <w:tab w:val="left" w:pos="3375"/>
              </w:tabs>
              <w:rPr>
                <w:rFonts w:ascii="Arial" w:hAnsi="Arial" w:cs="Arial"/>
                <w:sz w:val="20"/>
                <w:szCs w:val="20"/>
              </w:rPr>
            </w:pPr>
            <w:r w:rsidRPr="008A26D2">
              <w:rPr>
                <w:rFonts w:ascii="Arial" w:eastAsia="Arial Narrow" w:hAnsi="Arial" w:cs="Arial"/>
                <w:sz w:val="20"/>
                <w:szCs w:val="20"/>
              </w:rPr>
              <w:t xml:space="preserve">La medición dependerá de la prioridad de los gobiernos regionales en avanzar la formulación de la Zonificación Ecológica y Económica </w:t>
            </w:r>
            <w:r>
              <w:rPr>
                <w:rFonts w:ascii="Arial" w:eastAsia="Arial Narrow" w:hAnsi="Arial" w:cs="Arial"/>
                <w:sz w:val="20"/>
                <w:szCs w:val="20"/>
              </w:rPr>
              <w:t xml:space="preserve">- </w:t>
            </w:r>
            <w:r w:rsidRPr="008A26D2">
              <w:rPr>
                <w:rFonts w:ascii="Arial" w:eastAsia="Arial Narrow" w:hAnsi="Arial" w:cs="Arial"/>
                <w:sz w:val="20"/>
                <w:szCs w:val="20"/>
              </w:rPr>
              <w:t>ZEE.</w:t>
            </w:r>
          </w:p>
        </w:tc>
      </w:tr>
      <w:tr w:rsidR="00A75C0F" w:rsidRPr="008A26D2" w14:paraId="50CC9F12" w14:textId="77777777" w:rsidTr="00AF5836">
        <w:trPr>
          <w:trHeight w:val="231"/>
        </w:trPr>
        <w:tc>
          <w:tcPr>
            <w:tcW w:w="878" w:type="pct"/>
            <w:gridSpan w:val="2"/>
          </w:tcPr>
          <w:p w14:paraId="578888E5"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 xml:space="preserve">Método de cálculo: </w:t>
            </w:r>
          </w:p>
        </w:tc>
        <w:tc>
          <w:tcPr>
            <w:tcW w:w="4122" w:type="pct"/>
            <w:gridSpan w:val="10"/>
            <w:shd w:val="clear" w:color="auto" w:fill="auto"/>
            <w:tcMar>
              <w:top w:w="51" w:type="dxa"/>
              <w:left w:w="227" w:type="dxa"/>
              <w:bottom w:w="51" w:type="dxa"/>
              <w:right w:w="227" w:type="dxa"/>
            </w:tcMar>
            <w:vAlign w:val="center"/>
          </w:tcPr>
          <w:p w14:paraId="2BF8A32E" w14:textId="77777777" w:rsidR="00A75C0F" w:rsidRPr="008A26D2" w:rsidRDefault="00A75C0F" w:rsidP="00AF5836">
            <w:pPr>
              <w:spacing w:after="0" w:line="240" w:lineRule="auto"/>
              <w:jc w:val="both"/>
              <w:rPr>
                <w:rFonts w:ascii="Arial" w:eastAsia="Arial Unicode MS" w:hAnsi="Arial" w:cs="Arial"/>
                <w:b/>
                <w:sz w:val="20"/>
                <w:szCs w:val="20"/>
              </w:rPr>
            </w:pPr>
            <w:r w:rsidRPr="008A26D2">
              <w:rPr>
                <w:rFonts w:ascii="Arial" w:eastAsia="Arial Unicode MS" w:hAnsi="Arial" w:cs="Arial"/>
                <w:b/>
                <w:sz w:val="20"/>
                <w:szCs w:val="20"/>
              </w:rPr>
              <w:t xml:space="preserve">1. Fórmula: </w:t>
            </w:r>
          </w:p>
          <w:p w14:paraId="7C98DFBE" w14:textId="77777777" w:rsidR="00A75C0F" w:rsidRPr="008A26D2" w:rsidRDefault="00A75C0F" w:rsidP="00AF5836">
            <w:pPr>
              <w:spacing w:after="0" w:line="240" w:lineRule="auto"/>
              <w:jc w:val="both"/>
              <w:rPr>
                <w:rFonts w:ascii="Arial" w:eastAsia="Arial Unicode MS" w:hAnsi="Arial" w:cs="Arial"/>
                <w:sz w:val="20"/>
                <w:szCs w:val="20"/>
              </w:rPr>
            </w:pPr>
          </w:p>
          <w:p w14:paraId="0FCC7988" w14:textId="77777777" w:rsidR="00A75C0F" w:rsidRPr="008A26D2" w:rsidRDefault="00A75C0F" w:rsidP="00AF5836">
            <w:pPr>
              <w:spacing w:after="0" w:line="240" w:lineRule="auto"/>
              <w:jc w:val="both"/>
              <w:rPr>
                <w:rFonts w:ascii="Arial" w:eastAsia="Arial Unicode MS" w:hAnsi="Arial" w:cs="Arial"/>
                <w:sz w:val="20"/>
                <w:szCs w:val="20"/>
              </w:rPr>
            </w:pPr>
            <w:r w:rsidRPr="008A26D2">
              <w:rPr>
                <w:rFonts w:ascii="Arial" w:eastAsia="Arial Unicode MS" w:hAnsi="Arial" w:cs="Arial"/>
                <w:sz w:val="20"/>
                <w:szCs w:val="20"/>
              </w:rPr>
              <w:t>(A/(B+C))*100</w:t>
            </w:r>
          </w:p>
          <w:p w14:paraId="325F1379" w14:textId="77777777" w:rsidR="00A75C0F" w:rsidRPr="008A26D2" w:rsidRDefault="00A75C0F" w:rsidP="00AF5836">
            <w:pPr>
              <w:spacing w:after="0" w:line="240" w:lineRule="auto"/>
              <w:jc w:val="both"/>
              <w:rPr>
                <w:rFonts w:ascii="Arial" w:eastAsia="Arial Unicode MS" w:hAnsi="Arial" w:cs="Arial"/>
                <w:sz w:val="20"/>
                <w:szCs w:val="20"/>
              </w:rPr>
            </w:pPr>
          </w:p>
          <w:p w14:paraId="047AE439" w14:textId="77777777" w:rsidR="00A75C0F" w:rsidRPr="008A26D2" w:rsidRDefault="00A75C0F" w:rsidP="00AF5836">
            <w:pPr>
              <w:spacing w:after="0" w:line="240" w:lineRule="auto"/>
              <w:jc w:val="both"/>
              <w:rPr>
                <w:rFonts w:ascii="Arial" w:eastAsia="Arial Unicode MS" w:hAnsi="Arial" w:cs="Arial"/>
                <w:sz w:val="20"/>
                <w:szCs w:val="20"/>
              </w:rPr>
            </w:pPr>
            <w:r w:rsidRPr="008A26D2">
              <w:rPr>
                <w:rFonts w:ascii="Arial" w:eastAsia="Arial Unicode MS" w:hAnsi="Arial" w:cs="Arial"/>
                <w:sz w:val="20"/>
                <w:szCs w:val="20"/>
              </w:rPr>
              <w:t>Donde:</w:t>
            </w:r>
          </w:p>
          <w:p w14:paraId="79921B52" w14:textId="77777777" w:rsidR="00A75C0F" w:rsidRPr="008A26D2" w:rsidRDefault="00A75C0F" w:rsidP="00AF5836">
            <w:pPr>
              <w:spacing w:after="0" w:line="240" w:lineRule="auto"/>
              <w:jc w:val="both"/>
              <w:rPr>
                <w:rFonts w:ascii="Arial" w:eastAsia="Arial Unicode MS" w:hAnsi="Arial" w:cs="Arial"/>
                <w:sz w:val="20"/>
                <w:szCs w:val="20"/>
              </w:rPr>
            </w:pPr>
          </w:p>
          <w:p w14:paraId="752F16F7" w14:textId="77777777" w:rsidR="00A75C0F" w:rsidRPr="008A26D2" w:rsidRDefault="00A75C0F" w:rsidP="00AF5836">
            <w:pPr>
              <w:spacing w:after="0" w:line="240" w:lineRule="auto"/>
              <w:ind w:left="388" w:hanging="388"/>
              <w:jc w:val="both"/>
              <w:rPr>
                <w:rFonts w:ascii="Arial" w:hAnsi="Arial" w:cs="Arial"/>
                <w:sz w:val="20"/>
                <w:szCs w:val="20"/>
              </w:rPr>
            </w:pPr>
            <w:r w:rsidRPr="008A26D2">
              <w:rPr>
                <w:rFonts w:ascii="Arial" w:eastAsia="Arial Unicode MS" w:hAnsi="Arial" w:cs="Arial"/>
                <w:sz w:val="20"/>
                <w:szCs w:val="20"/>
              </w:rPr>
              <w:t xml:space="preserve">A= Número de </w:t>
            </w:r>
            <w:r w:rsidRPr="008A26D2">
              <w:rPr>
                <w:rFonts w:ascii="Arial" w:hAnsi="Arial" w:cs="Arial"/>
                <w:sz w:val="20"/>
                <w:szCs w:val="20"/>
              </w:rPr>
              <w:t xml:space="preserve">gobiernos regionales que han recibido asistencia técnica para la generación de información sobre las potencialidades y limitaciones del territorio de forma fiable, culminando la etapa de formulación de la </w:t>
            </w:r>
            <w:r w:rsidRPr="008A26D2">
              <w:rPr>
                <w:rFonts w:ascii="Arial" w:eastAsia="Arial Narrow" w:hAnsi="Arial" w:cs="Arial"/>
                <w:sz w:val="20"/>
                <w:szCs w:val="20"/>
              </w:rPr>
              <w:t xml:space="preserve">Zonificación Ecológica y Económica </w:t>
            </w:r>
            <w:r>
              <w:rPr>
                <w:rFonts w:ascii="Arial" w:eastAsia="Arial Narrow" w:hAnsi="Arial" w:cs="Arial"/>
                <w:sz w:val="20"/>
                <w:szCs w:val="20"/>
              </w:rPr>
              <w:t xml:space="preserve">- </w:t>
            </w:r>
            <w:r w:rsidRPr="008A26D2">
              <w:rPr>
                <w:rFonts w:ascii="Arial" w:hAnsi="Arial" w:cs="Arial"/>
                <w:sz w:val="20"/>
                <w:szCs w:val="20"/>
              </w:rPr>
              <w:t>ZEE.</w:t>
            </w:r>
          </w:p>
          <w:p w14:paraId="2A90FD70" w14:textId="77777777" w:rsidR="00A75C0F" w:rsidRPr="008A26D2" w:rsidRDefault="00A75C0F" w:rsidP="00AF5836">
            <w:pPr>
              <w:spacing w:after="0" w:line="240" w:lineRule="auto"/>
              <w:ind w:left="388" w:hanging="388"/>
              <w:jc w:val="both"/>
              <w:rPr>
                <w:rFonts w:ascii="Arial" w:eastAsia="Arial Unicode MS" w:hAnsi="Arial" w:cs="Arial"/>
                <w:sz w:val="20"/>
                <w:szCs w:val="20"/>
              </w:rPr>
            </w:pPr>
          </w:p>
          <w:p w14:paraId="17578755" w14:textId="77777777" w:rsidR="00A75C0F" w:rsidRPr="008A26D2" w:rsidRDefault="00A75C0F" w:rsidP="00AF5836">
            <w:pPr>
              <w:spacing w:after="0" w:line="240" w:lineRule="auto"/>
              <w:ind w:left="388" w:hanging="388"/>
              <w:jc w:val="both"/>
              <w:rPr>
                <w:rFonts w:ascii="Arial" w:eastAsia="Arial Unicode MS" w:hAnsi="Arial" w:cs="Arial"/>
                <w:sz w:val="20"/>
                <w:szCs w:val="20"/>
              </w:rPr>
            </w:pPr>
            <w:r w:rsidRPr="008A26D2">
              <w:rPr>
                <w:rFonts w:ascii="Arial" w:eastAsia="Arial Unicode MS" w:hAnsi="Arial" w:cs="Arial"/>
                <w:sz w:val="20"/>
                <w:szCs w:val="20"/>
              </w:rPr>
              <w:t xml:space="preserve">B= Número de gobiernos regionales que no cuentan con </w:t>
            </w:r>
            <w:r w:rsidRPr="008A26D2">
              <w:rPr>
                <w:rFonts w:ascii="Arial" w:eastAsia="Arial Narrow" w:hAnsi="Arial" w:cs="Arial"/>
                <w:sz w:val="20"/>
                <w:szCs w:val="20"/>
              </w:rPr>
              <w:t xml:space="preserve">Zonificación Ecológica y Económica </w:t>
            </w:r>
            <w:r>
              <w:rPr>
                <w:rFonts w:ascii="Arial" w:eastAsia="Arial Narrow" w:hAnsi="Arial" w:cs="Arial"/>
                <w:sz w:val="20"/>
                <w:szCs w:val="20"/>
              </w:rPr>
              <w:t xml:space="preserve">- </w:t>
            </w:r>
            <w:r w:rsidRPr="008A26D2">
              <w:rPr>
                <w:rFonts w:ascii="Arial" w:eastAsia="Arial Unicode MS" w:hAnsi="Arial" w:cs="Arial"/>
                <w:sz w:val="20"/>
                <w:szCs w:val="20"/>
              </w:rPr>
              <w:t>ZEE a nivel de mesozonificación</w:t>
            </w:r>
          </w:p>
          <w:p w14:paraId="13EF92F6" w14:textId="77777777" w:rsidR="00A75C0F" w:rsidRPr="008A26D2" w:rsidRDefault="00A75C0F" w:rsidP="00AF5836">
            <w:pPr>
              <w:spacing w:after="0" w:line="240" w:lineRule="auto"/>
              <w:ind w:left="388" w:hanging="388"/>
              <w:jc w:val="both"/>
              <w:rPr>
                <w:rFonts w:ascii="Arial" w:eastAsia="Arial Unicode MS" w:hAnsi="Arial" w:cs="Arial"/>
                <w:sz w:val="20"/>
                <w:szCs w:val="20"/>
              </w:rPr>
            </w:pPr>
          </w:p>
          <w:p w14:paraId="68E59AFE" w14:textId="77777777" w:rsidR="00A75C0F" w:rsidRPr="008A26D2" w:rsidRDefault="00A75C0F" w:rsidP="00AF5836">
            <w:pPr>
              <w:spacing w:after="0" w:line="240" w:lineRule="auto"/>
              <w:ind w:left="388" w:hanging="388"/>
              <w:jc w:val="both"/>
              <w:rPr>
                <w:rFonts w:ascii="Arial" w:eastAsia="Arial Unicode MS" w:hAnsi="Arial" w:cs="Arial"/>
                <w:sz w:val="20"/>
                <w:szCs w:val="20"/>
              </w:rPr>
            </w:pPr>
            <w:r w:rsidRPr="008A26D2">
              <w:rPr>
                <w:rFonts w:ascii="Arial" w:eastAsia="Arial Unicode MS" w:hAnsi="Arial" w:cs="Arial"/>
                <w:sz w:val="20"/>
                <w:szCs w:val="20"/>
              </w:rPr>
              <w:t xml:space="preserve">C= Número de gobiernos regionales con </w:t>
            </w:r>
            <w:r w:rsidRPr="008A26D2">
              <w:rPr>
                <w:rFonts w:ascii="Arial" w:eastAsia="Arial Narrow" w:hAnsi="Arial" w:cs="Arial"/>
                <w:sz w:val="20"/>
                <w:szCs w:val="20"/>
              </w:rPr>
              <w:t xml:space="preserve">Zonificación Ecológica y Económica </w:t>
            </w:r>
            <w:r>
              <w:rPr>
                <w:rFonts w:ascii="Arial" w:eastAsia="Arial Narrow" w:hAnsi="Arial" w:cs="Arial"/>
                <w:sz w:val="20"/>
                <w:szCs w:val="20"/>
              </w:rPr>
              <w:t xml:space="preserve">- </w:t>
            </w:r>
            <w:r w:rsidRPr="008A26D2">
              <w:rPr>
                <w:rFonts w:ascii="Arial" w:eastAsia="Arial Unicode MS" w:hAnsi="Arial" w:cs="Arial"/>
                <w:sz w:val="20"/>
                <w:szCs w:val="20"/>
              </w:rPr>
              <w:t>ZEE a nivel de macrozonificación</w:t>
            </w:r>
          </w:p>
          <w:p w14:paraId="4B77E1E2" w14:textId="77777777" w:rsidR="00A75C0F" w:rsidRPr="008A26D2" w:rsidRDefault="00A75C0F" w:rsidP="00AF5836">
            <w:pPr>
              <w:spacing w:after="0" w:line="240" w:lineRule="auto"/>
              <w:jc w:val="both"/>
              <w:rPr>
                <w:rFonts w:ascii="Arial" w:eastAsia="Arial Unicode MS" w:hAnsi="Arial" w:cs="Arial"/>
                <w:sz w:val="20"/>
                <w:szCs w:val="20"/>
              </w:rPr>
            </w:pPr>
          </w:p>
          <w:p w14:paraId="51216C40" w14:textId="77777777" w:rsidR="00A75C0F" w:rsidRPr="008A26D2" w:rsidRDefault="00A75C0F" w:rsidP="00AF5836">
            <w:pPr>
              <w:spacing w:after="0" w:line="240" w:lineRule="auto"/>
              <w:jc w:val="both"/>
              <w:rPr>
                <w:rFonts w:ascii="Arial" w:eastAsia="Arial Unicode MS" w:hAnsi="Arial" w:cs="Arial"/>
                <w:b/>
                <w:sz w:val="20"/>
                <w:szCs w:val="20"/>
              </w:rPr>
            </w:pPr>
            <w:r w:rsidRPr="008A26D2">
              <w:rPr>
                <w:rFonts w:ascii="Arial" w:eastAsia="Arial Unicode MS" w:hAnsi="Arial" w:cs="Arial"/>
                <w:b/>
                <w:sz w:val="20"/>
                <w:szCs w:val="20"/>
              </w:rPr>
              <w:t>2. Especificaciones técnicas:</w:t>
            </w:r>
          </w:p>
          <w:p w14:paraId="0A42A23A" w14:textId="77777777" w:rsidR="00A75C0F" w:rsidRDefault="00A75C0F" w:rsidP="00AF5836">
            <w:pPr>
              <w:spacing w:after="0" w:line="240" w:lineRule="auto"/>
              <w:jc w:val="both"/>
              <w:rPr>
                <w:rFonts w:ascii="Arial" w:eastAsia="Arial Narrow" w:hAnsi="Arial" w:cs="Arial"/>
                <w:sz w:val="20"/>
                <w:szCs w:val="20"/>
              </w:rPr>
            </w:pPr>
          </w:p>
          <w:p w14:paraId="39564FC8" w14:textId="358C0102" w:rsidR="00A75C0F" w:rsidRDefault="00A75C0F" w:rsidP="00AF5836">
            <w:pPr>
              <w:spacing w:after="0" w:line="240" w:lineRule="auto"/>
              <w:jc w:val="both"/>
              <w:rPr>
                <w:rFonts w:ascii="Arial" w:eastAsia="Arial Narrow" w:hAnsi="Arial" w:cs="Arial"/>
                <w:sz w:val="20"/>
                <w:szCs w:val="20"/>
              </w:rPr>
            </w:pPr>
            <w:r>
              <w:rPr>
                <w:rFonts w:ascii="Arial" w:eastAsia="Arial Narrow" w:hAnsi="Arial" w:cs="Arial"/>
                <w:sz w:val="20"/>
                <w:szCs w:val="20"/>
              </w:rPr>
              <w:t xml:space="preserve">La variable A se determina a partir de los gobiernos regionales que recibieron asistencia </w:t>
            </w:r>
            <w:r w:rsidRPr="003C3CAB">
              <w:rPr>
                <w:rFonts w:ascii="Arial" w:eastAsia="Arial Narrow" w:hAnsi="Arial" w:cs="Arial"/>
                <w:sz w:val="20"/>
                <w:szCs w:val="20"/>
              </w:rPr>
              <w:t>técnica para la generación de información sobre las potencialidades y limitaciones de</w:t>
            </w:r>
            <w:r>
              <w:rPr>
                <w:rFonts w:ascii="Arial" w:eastAsia="Arial Narrow" w:hAnsi="Arial" w:cs="Arial"/>
                <w:sz w:val="20"/>
                <w:szCs w:val="20"/>
              </w:rPr>
              <w:t xml:space="preserve"> su</w:t>
            </w:r>
            <w:r w:rsidRPr="003C3CAB">
              <w:rPr>
                <w:rFonts w:ascii="Arial" w:eastAsia="Arial Narrow" w:hAnsi="Arial" w:cs="Arial"/>
                <w:sz w:val="20"/>
                <w:szCs w:val="20"/>
              </w:rPr>
              <w:t xml:space="preserve"> territorio</w:t>
            </w:r>
            <w:r>
              <w:rPr>
                <w:rFonts w:ascii="Arial" w:eastAsia="Arial Narrow" w:hAnsi="Arial" w:cs="Arial"/>
                <w:sz w:val="20"/>
                <w:szCs w:val="20"/>
              </w:rPr>
              <w:t xml:space="preserve"> en el marco de la normativa correspondiente</w:t>
            </w:r>
            <w:r w:rsidR="00256A23">
              <w:rPr>
                <w:rFonts w:ascii="Arial" w:eastAsia="Arial Narrow" w:hAnsi="Arial" w:cs="Arial"/>
                <w:sz w:val="20"/>
                <w:szCs w:val="20"/>
              </w:rPr>
              <w:t>.</w:t>
            </w:r>
          </w:p>
          <w:p w14:paraId="0603E836" w14:textId="77777777" w:rsidR="00256A23" w:rsidRDefault="00256A23" w:rsidP="00AF5836">
            <w:pPr>
              <w:spacing w:after="0" w:line="240" w:lineRule="auto"/>
              <w:jc w:val="both"/>
              <w:rPr>
                <w:rFonts w:ascii="Arial" w:eastAsia="Arial Narrow" w:hAnsi="Arial" w:cs="Arial"/>
                <w:sz w:val="20"/>
                <w:szCs w:val="20"/>
              </w:rPr>
            </w:pPr>
          </w:p>
          <w:p w14:paraId="3F3F74C9" w14:textId="5B1BB093" w:rsidR="00A75C0F" w:rsidRDefault="00A75C0F" w:rsidP="00AF5836">
            <w:pPr>
              <w:spacing w:after="0" w:line="240" w:lineRule="auto"/>
              <w:jc w:val="both"/>
              <w:rPr>
                <w:rFonts w:ascii="Arial" w:eastAsia="Arial Unicode MS" w:hAnsi="Arial" w:cs="Arial"/>
                <w:sz w:val="20"/>
                <w:szCs w:val="20"/>
              </w:rPr>
            </w:pPr>
            <w:r>
              <w:rPr>
                <w:rFonts w:ascii="Arial" w:eastAsia="Arial Narrow" w:hAnsi="Arial" w:cs="Arial"/>
                <w:sz w:val="20"/>
                <w:szCs w:val="20"/>
              </w:rPr>
              <w:lastRenderedPageBreak/>
              <w:t xml:space="preserve">La variable B se determina a partir del total de </w:t>
            </w:r>
            <w:r w:rsidRPr="008A26D2">
              <w:rPr>
                <w:rFonts w:ascii="Arial" w:eastAsia="Arial Unicode MS" w:hAnsi="Arial" w:cs="Arial"/>
                <w:sz w:val="20"/>
                <w:szCs w:val="20"/>
              </w:rPr>
              <w:t xml:space="preserve">gobiernos regionales que no cuentan con </w:t>
            </w:r>
            <w:r w:rsidRPr="008A26D2">
              <w:rPr>
                <w:rFonts w:ascii="Arial" w:eastAsia="Arial Narrow" w:hAnsi="Arial" w:cs="Arial"/>
                <w:sz w:val="20"/>
                <w:szCs w:val="20"/>
              </w:rPr>
              <w:t xml:space="preserve">Zonificación Ecológica y Económica </w:t>
            </w:r>
            <w:r>
              <w:rPr>
                <w:rFonts w:ascii="Arial" w:eastAsia="Arial Narrow" w:hAnsi="Arial" w:cs="Arial"/>
                <w:sz w:val="20"/>
                <w:szCs w:val="20"/>
              </w:rPr>
              <w:t xml:space="preserve">- </w:t>
            </w:r>
            <w:r w:rsidRPr="008A26D2">
              <w:rPr>
                <w:rFonts w:ascii="Arial" w:eastAsia="Arial Unicode MS" w:hAnsi="Arial" w:cs="Arial"/>
                <w:sz w:val="20"/>
                <w:szCs w:val="20"/>
              </w:rPr>
              <w:t>ZEE a nivel de mesozonificación</w:t>
            </w:r>
            <w:r>
              <w:rPr>
                <w:rFonts w:ascii="Arial" w:eastAsia="Arial Unicode MS" w:hAnsi="Arial" w:cs="Arial"/>
                <w:sz w:val="20"/>
                <w:szCs w:val="20"/>
              </w:rPr>
              <w:t>.</w:t>
            </w:r>
          </w:p>
          <w:p w14:paraId="38D1CBA5" w14:textId="77777777" w:rsidR="00256A23" w:rsidRDefault="00256A23" w:rsidP="00AF5836">
            <w:pPr>
              <w:spacing w:after="0" w:line="240" w:lineRule="auto"/>
              <w:jc w:val="both"/>
              <w:rPr>
                <w:rFonts w:ascii="Arial" w:eastAsia="Arial Unicode MS" w:hAnsi="Arial" w:cs="Arial"/>
                <w:sz w:val="20"/>
                <w:szCs w:val="20"/>
              </w:rPr>
            </w:pPr>
          </w:p>
          <w:p w14:paraId="007027A7" w14:textId="55001079" w:rsidR="00A75C0F" w:rsidRDefault="00A75C0F" w:rsidP="00AF5836">
            <w:pPr>
              <w:spacing w:after="0" w:line="240" w:lineRule="auto"/>
              <w:jc w:val="both"/>
              <w:rPr>
                <w:rFonts w:ascii="Arial" w:eastAsia="Arial Narrow" w:hAnsi="Arial" w:cs="Arial"/>
                <w:sz w:val="20"/>
                <w:szCs w:val="20"/>
              </w:rPr>
            </w:pPr>
            <w:r>
              <w:rPr>
                <w:rFonts w:ascii="Arial" w:eastAsia="Arial Narrow" w:hAnsi="Arial" w:cs="Arial"/>
                <w:sz w:val="20"/>
                <w:szCs w:val="20"/>
              </w:rPr>
              <w:t xml:space="preserve">La variable C se determina a partir del total de </w:t>
            </w:r>
            <w:r w:rsidRPr="008A26D2">
              <w:rPr>
                <w:rFonts w:ascii="Arial" w:eastAsia="Arial Unicode MS" w:hAnsi="Arial" w:cs="Arial"/>
                <w:sz w:val="20"/>
                <w:szCs w:val="20"/>
              </w:rPr>
              <w:t xml:space="preserve">gobiernos regionales con </w:t>
            </w:r>
            <w:r w:rsidRPr="008A26D2">
              <w:rPr>
                <w:rFonts w:ascii="Arial" w:eastAsia="Arial Narrow" w:hAnsi="Arial" w:cs="Arial"/>
                <w:sz w:val="20"/>
                <w:szCs w:val="20"/>
              </w:rPr>
              <w:t xml:space="preserve">Zonificación Ecológica y Económica </w:t>
            </w:r>
            <w:r>
              <w:rPr>
                <w:rFonts w:ascii="Arial" w:eastAsia="Arial Narrow" w:hAnsi="Arial" w:cs="Arial"/>
                <w:sz w:val="20"/>
                <w:szCs w:val="20"/>
              </w:rPr>
              <w:t xml:space="preserve">- </w:t>
            </w:r>
            <w:r w:rsidRPr="008A26D2">
              <w:rPr>
                <w:rFonts w:ascii="Arial" w:eastAsia="Arial Unicode MS" w:hAnsi="Arial" w:cs="Arial"/>
                <w:sz w:val="20"/>
                <w:szCs w:val="20"/>
              </w:rPr>
              <w:t>ZEE a nivel de m</w:t>
            </w:r>
            <w:r>
              <w:rPr>
                <w:rFonts w:ascii="Arial" w:eastAsia="Arial Unicode MS" w:hAnsi="Arial" w:cs="Arial"/>
                <w:sz w:val="20"/>
                <w:szCs w:val="20"/>
              </w:rPr>
              <w:t>acro</w:t>
            </w:r>
            <w:r w:rsidRPr="008A26D2">
              <w:rPr>
                <w:rFonts w:ascii="Arial" w:eastAsia="Arial Unicode MS" w:hAnsi="Arial" w:cs="Arial"/>
                <w:sz w:val="20"/>
                <w:szCs w:val="20"/>
              </w:rPr>
              <w:t>zonificación</w:t>
            </w:r>
            <w:r w:rsidR="00256A23">
              <w:rPr>
                <w:rFonts w:ascii="Arial" w:eastAsia="Arial Unicode MS" w:hAnsi="Arial" w:cs="Arial"/>
                <w:sz w:val="20"/>
                <w:szCs w:val="20"/>
              </w:rPr>
              <w:t xml:space="preserve"> en el año de medición</w:t>
            </w:r>
          </w:p>
          <w:p w14:paraId="69ADE2F8" w14:textId="7E84C7AC" w:rsidR="00A75C0F" w:rsidRPr="008A26D2" w:rsidRDefault="00A75C0F" w:rsidP="00AF5836">
            <w:pPr>
              <w:spacing w:after="0" w:line="240" w:lineRule="auto"/>
              <w:jc w:val="both"/>
              <w:rPr>
                <w:rFonts w:ascii="Arial" w:eastAsia="Arial Narrow" w:hAnsi="Arial" w:cs="Arial"/>
                <w:sz w:val="20"/>
                <w:szCs w:val="20"/>
              </w:rPr>
            </w:pPr>
          </w:p>
          <w:p w14:paraId="4EE931DD" w14:textId="0EA16C23" w:rsidR="00A75C0F" w:rsidRDefault="00A75C0F" w:rsidP="00AF5836">
            <w:pPr>
              <w:jc w:val="both"/>
              <w:rPr>
                <w:rFonts w:ascii="Arial" w:eastAsia="Times New Roman" w:hAnsi="Arial" w:cs="Arial"/>
                <w:sz w:val="20"/>
                <w:szCs w:val="20"/>
                <w:lang w:val="es-ES"/>
              </w:rPr>
            </w:pPr>
            <w:r>
              <w:rPr>
                <w:rFonts w:ascii="Arial" w:eastAsia="Times New Roman" w:hAnsi="Arial" w:cs="Arial"/>
                <w:sz w:val="20"/>
                <w:szCs w:val="20"/>
                <w:lang w:val="es-ES"/>
              </w:rPr>
              <w:t xml:space="preserve">Las asistencias técnicas en ZEE deben </w:t>
            </w:r>
            <w:r w:rsidRPr="000F4E01">
              <w:rPr>
                <w:rFonts w:ascii="Arial" w:eastAsia="Times New Roman" w:hAnsi="Arial" w:cs="Arial"/>
                <w:sz w:val="20"/>
                <w:szCs w:val="20"/>
                <w:lang w:val="es-ES"/>
              </w:rPr>
              <w:t>brind</w:t>
            </w:r>
            <w:r>
              <w:rPr>
                <w:rFonts w:ascii="Arial" w:eastAsia="Times New Roman" w:hAnsi="Arial" w:cs="Arial"/>
                <w:sz w:val="20"/>
                <w:szCs w:val="20"/>
                <w:lang w:val="es-ES"/>
              </w:rPr>
              <w:t>arse</w:t>
            </w:r>
            <w:r w:rsidRPr="000F4E01">
              <w:rPr>
                <w:rFonts w:ascii="Arial" w:eastAsia="Times New Roman" w:hAnsi="Arial" w:cs="Arial"/>
                <w:sz w:val="20"/>
                <w:szCs w:val="20"/>
                <w:lang w:val="es-ES"/>
              </w:rPr>
              <w:t xml:space="preserve"> conforme la norma para la gestión del proceso de capacitación en las entidades públicas aprobado por Resolución de Presidencia Ejecutiva Nº 141-2016-SERVIR-PE. Asimismo, se toma en cuenta la Ficha </w:t>
            </w:r>
            <w:r w:rsidR="00256A23">
              <w:rPr>
                <w:rFonts w:ascii="Arial" w:eastAsia="Times New Roman" w:hAnsi="Arial" w:cs="Arial"/>
                <w:sz w:val="20"/>
                <w:szCs w:val="20"/>
                <w:lang w:val="es-ES"/>
              </w:rPr>
              <w:t>T</w:t>
            </w:r>
            <w:r w:rsidRPr="000F4E01">
              <w:rPr>
                <w:rFonts w:ascii="Arial" w:eastAsia="Times New Roman" w:hAnsi="Arial" w:cs="Arial"/>
                <w:sz w:val="20"/>
                <w:szCs w:val="20"/>
                <w:lang w:val="es-ES"/>
              </w:rPr>
              <w:t xml:space="preserve">écnica de Zonificación Ecológica y Económica (Seguimiento y Monitoreo a los procesos de ordenamiento Territorial conforme el memorándum </w:t>
            </w:r>
            <w:r>
              <w:rPr>
                <w:rFonts w:ascii="Arial" w:eastAsia="Times New Roman" w:hAnsi="Arial" w:cs="Arial"/>
                <w:sz w:val="20"/>
                <w:szCs w:val="20"/>
                <w:lang w:val="es-ES"/>
              </w:rPr>
              <w:t>m</w:t>
            </w:r>
            <w:r w:rsidRPr="000F4E01">
              <w:rPr>
                <w:rFonts w:ascii="Arial" w:eastAsia="Times New Roman" w:hAnsi="Arial" w:cs="Arial"/>
                <w:sz w:val="20"/>
                <w:szCs w:val="20"/>
                <w:lang w:val="es-ES"/>
              </w:rPr>
              <w:t>últiple N° 050-2013-DVMDERN/MINAM)</w:t>
            </w:r>
            <w:r>
              <w:rPr>
                <w:rFonts w:ascii="Arial" w:eastAsia="Times New Roman" w:hAnsi="Arial" w:cs="Arial"/>
                <w:sz w:val="20"/>
                <w:szCs w:val="20"/>
                <w:lang w:val="es-ES"/>
              </w:rPr>
              <w:t>.</w:t>
            </w:r>
          </w:p>
          <w:p w14:paraId="632AD48F" w14:textId="77777777" w:rsidR="00A75C0F" w:rsidRPr="008A26D2" w:rsidRDefault="00A75C0F" w:rsidP="00AF5836">
            <w:pPr>
              <w:jc w:val="both"/>
              <w:rPr>
                <w:rFonts w:ascii="Arial" w:eastAsia="Times New Roman" w:hAnsi="Arial" w:cs="Arial"/>
                <w:sz w:val="20"/>
                <w:szCs w:val="20"/>
              </w:rPr>
            </w:pPr>
            <w:r w:rsidRPr="008A26D2">
              <w:rPr>
                <w:rFonts w:ascii="Arial" w:eastAsia="Times New Roman" w:hAnsi="Arial" w:cs="Arial"/>
                <w:sz w:val="20"/>
                <w:szCs w:val="20"/>
                <w:lang w:val="es-ES"/>
              </w:rPr>
              <w:t xml:space="preserve">Para la medición del presente indicador, la </w:t>
            </w:r>
            <w:r w:rsidRPr="008A26D2">
              <w:rPr>
                <w:rFonts w:ascii="Arial" w:hAnsi="Arial" w:cs="Arial"/>
                <w:sz w:val="20"/>
                <w:szCs w:val="20"/>
              </w:rPr>
              <w:t xml:space="preserve">asistencia técnica se da en el marco de la formulación de la </w:t>
            </w:r>
            <w:r w:rsidRPr="008A26D2">
              <w:rPr>
                <w:rFonts w:ascii="Arial" w:eastAsia="Arial Narrow" w:hAnsi="Arial" w:cs="Arial"/>
                <w:sz w:val="20"/>
                <w:szCs w:val="20"/>
              </w:rPr>
              <w:t xml:space="preserve">Zonificación Ecológica y Económica </w:t>
            </w:r>
            <w:r>
              <w:rPr>
                <w:rFonts w:ascii="Arial" w:eastAsia="Arial Narrow" w:hAnsi="Arial" w:cs="Arial"/>
                <w:sz w:val="20"/>
                <w:szCs w:val="20"/>
              </w:rPr>
              <w:t xml:space="preserve">- </w:t>
            </w:r>
            <w:r w:rsidRPr="008A26D2">
              <w:rPr>
                <w:rFonts w:ascii="Arial" w:hAnsi="Arial" w:cs="Arial"/>
                <w:sz w:val="20"/>
                <w:szCs w:val="20"/>
              </w:rPr>
              <w:t>ZEE, en ese sentido, d</w:t>
            </w:r>
            <w:r w:rsidRPr="008A26D2">
              <w:rPr>
                <w:rFonts w:ascii="Arial" w:eastAsia="Times New Roman" w:hAnsi="Arial" w:cs="Arial"/>
                <w:sz w:val="20"/>
                <w:szCs w:val="20"/>
              </w:rPr>
              <w:t>icho proceso comprende la asistencia técnica, seguimiento y opinión técnica, para la generación información temática especializada de los componentes del territorio, la cual contribuirá en las intervenciones en conservación, manejo sostenible y recuperación de ecosistemas, dicha actividades, según corresponda, requiere de la articulación con las instituciones públicas generadoras de información temática, así como la correspondiente opinión técnica, lo cual le confiere fiabilidad a la información generada.</w:t>
            </w:r>
          </w:p>
          <w:p w14:paraId="357B287A" w14:textId="61BE3B4D" w:rsidR="00A75C0F" w:rsidRPr="008A26D2" w:rsidRDefault="00A75C0F" w:rsidP="00256A23">
            <w:pPr>
              <w:spacing w:after="0" w:line="240" w:lineRule="auto"/>
              <w:jc w:val="both"/>
              <w:rPr>
                <w:rFonts w:ascii="Arial" w:hAnsi="Arial" w:cs="Arial"/>
                <w:sz w:val="20"/>
                <w:szCs w:val="20"/>
              </w:rPr>
            </w:pPr>
            <w:r w:rsidRPr="008A26D2">
              <w:rPr>
                <w:rFonts w:ascii="Arial" w:eastAsia="Arial Narrow" w:hAnsi="Arial" w:cs="Arial"/>
                <w:sz w:val="20"/>
                <w:szCs w:val="20"/>
              </w:rPr>
              <w:t>Se carece de línea base porque no se contaba con la metodología para la medición del estándar. El MINAM determinará la línea base antes del inicio de la implementación de la presente Política Nacional.</w:t>
            </w:r>
          </w:p>
        </w:tc>
      </w:tr>
      <w:tr w:rsidR="00A75C0F" w:rsidRPr="008A26D2" w14:paraId="2D8AEACF" w14:textId="77777777" w:rsidTr="00AF5836">
        <w:trPr>
          <w:trHeight w:val="686"/>
        </w:trPr>
        <w:tc>
          <w:tcPr>
            <w:tcW w:w="878" w:type="pct"/>
            <w:gridSpan w:val="2"/>
          </w:tcPr>
          <w:p w14:paraId="54FF4BB5"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lastRenderedPageBreak/>
              <w:t>Sentido esperado del indicador:</w:t>
            </w:r>
          </w:p>
        </w:tc>
        <w:tc>
          <w:tcPr>
            <w:tcW w:w="1762" w:type="pct"/>
            <w:gridSpan w:val="4"/>
            <w:shd w:val="clear" w:color="auto" w:fill="auto"/>
            <w:tcMar>
              <w:top w:w="10" w:type="dxa"/>
              <w:left w:w="283" w:type="dxa"/>
              <w:bottom w:w="0" w:type="dxa"/>
              <w:right w:w="283" w:type="dxa"/>
            </w:tcMar>
            <w:vAlign w:val="center"/>
          </w:tcPr>
          <w:p w14:paraId="6108343F" w14:textId="77777777" w:rsidR="00A75C0F" w:rsidRPr="008A26D2" w:rsidRDefault="00A75C0F" w:rsidP="00AF5836">
            <w:pPr>
              <w:tabs>
                <w:tab w:val="left" w:pos="3375"/>
              </w:tabs>
              <w:jc w:val="both"/>
              <w:rPr>
                <w:rFonts w:ascii="Arial" w:hAnsi="Arial" w:cs="Arial"/>
                <w:sz w:val="20"/>
                <w:szCs w:val="20"/>
              </w:rPr>
            </w:pPr>
            <w:r w:rsidRPr="008A26D2">
              <w:rPr>
                <w:rFonts w:ascii="Arial" w:eastAsia="Arial Narrow" w:hAnsi="Arial" w:cs="Arial"/>
                <w:sz w:val="20"/>
                <w:szCs w:val="20"/>
              </w:rPr>
              <w:t>Ascendente</w:t>
            </w:r>
          </w:p>
        </w:tc>
        <w:tc>
          <w:tcPr>
            <w:tcW w:w="1579" w:type="pct"/>
            <w:gridSpan w:val="4"/>
            <w:shd w:val="clear" w:color="auto" w:fill="auto"/>
            <w:tcMar>
              <w:top w:w="15" w:type="dxa"/>
              <w:left w:w="15" w:type="dxa"/>
              <w:bottom w:w="0" w:type="dxa"/>
              <w:right w:w="15" w:type="dxa"/>
            </w:tcMar>
            <w:vAlign w:val="center"/>
          </w:tcPr>
          <w:p w14:paraId="12C93865" w14:textId="77777777" w:rsidR="00A75C0F" w:rsidRPr="008A26D2" w:rsidRDefault="00A75C0F" w:rsidP="00256A23">
            <w:pPr>
              <w:tabs>
                <w:tab w:val="left" w:pos="3375"/>
              </w:tabs>
              <w:rPr>
                <w:rFonts w:ascii="Arial" w:hAnsi="Arial" w:cs="Arial"/>
                <w:sz w:val="20"/>
                <w:szCs w:val="20"/>
              </w:rPr>
            </w:pPr>
            <w:r w:rsidRPr="008A26D2">
              <w:rPr>
                <w:rFonts w:ascii="Arial" w:eastAsia="Arial Narrow" w:hAnsi="Arial" w:cs="Arial"/>
                <w:b/>
                <w:sz w:val="20"/>
                <w:szCs w:val="20"/>
              </w:rPr>
              <w:t>Tipo de Indicador de Servicio</w:t>
            </w:r>
          </w:p>
        </w:tc>
        <w:tc>
          <w:tcPr>
            <w:tcW w:w="781" w:type="pct"/>
            <w:gridSpan w:val="2"/>
            <w:shd w:val="clear" w:color="auto" w:fill="auto"/>
            <w:tcMar>
              <w:top w:w="15" w:type="dxa"/>
              <w:left w:w="15" w:type="dxa"/>
              <w:bottom w:w="0" w:type="dxa"/>
              <w:right w:w="15" w:type="dxa"/>
            </w:tcMar>
            <w:vAlign w:val="center"/>
          </w:tcPr>
          <w:p w14:paraId="4C85368F" w14:textId="77777777" w:rsidR="00A75C0F" w:rsidRPr="008A26D2" w:rsidRDefault="00A75C0F" w:rsidP="00AF5836">
            <w:pPr>
              <w:tabs>
                <w:tab w:val="left" w:pos="3375"/>
              </w:tabs>
              <w:jc w:val="both"/>
              <w:rPr>
                <w:rFonts w:ascii="Arial" w:hAnsi="Arial" w:cs="Arial"/>
                <w:sz w:val="20"/>
                <w:szCs w:val="20"/>
              </w:rPr>
            </w:pPr>
            <w:r w:rsidRPr="008A26D2">
              <w:rPr>
                <w:rFonts w:ascii="Arial" w:eastAsia="Arial Narrow" w:hAnsi="Arial" w:cs="Arial"/>
                <w:sz w:val="20"/>
                <w:szCs w:val="20"/>
              </w:rPr>
              <w:t>Calidad - Fiabilidad</w:t>
            </w:r>
          </w:p>
        </w:tc>
      </w:tr>
      <w:tr w:rsidR="00A75C0F" w:rsidRPr="008A26D2" w14:paraId="7B868C55" w14:textId="77777777" w:rsidTr="00AF5836">
        <w:trPr>
          <w:trHeight w:val="13"/>
        </w:trPr>
        <w:tc>
          <w:tcPr>
            <w:tcW w:w="878" w:type="pct"/>
            <w:gridSpan w:val="2"/>
          </w:tcPr>
          <w:p w14:paraId="455EDF64"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Fuente y base de datos:</w:t>
            </w:r>
          </w:p>
        </w:tc>
        <w:tc>
          <w:tcPr>
            <w:tcW w:w="4122" w:type="pct"/>
            <w:gridSpan w:val="10"/>
            <w:shd w:val="clear" w:color="auto" w:fill="auto"/>
            <w:tcMar>
              <w:top w:w="51" w:type="dxa"/>
              <w:left w:w="227" w:type="dxa"/>
              <w:bottom w:w="51" w:type="dxa"/>
              <w:right w:w="227" w:type="dxa"/>
            </w:tcMar>
            <w:vAlign w:val="center"/>
          </w:tcPr>
          <w:p w14:paraId="63ACD126" w14:textId="77777777" w:rsidR="00A75C0F" w:rsidRDefault="00A75C0F" w:rsidP="00AF5836">
            <w:pPr>
              <w:tabs>
                <w:tab w:val="left" w:pos="3375"/>
              </w:tabs>
              <w:jc w:val="both"/>
              <w:rPr>
                <w:rFonts w:ascii="Arial" w:eastAsia="Arial Narrow" w:hAnsi="Arial" w:cs="Arial"/>
                <w:sz w:val="20"/>
                <w:szCs w:val="20"/>
              </w:rPr>
            </w:pPr>
            <w:r w:rsidRPr="008A26D2">
              <w:rPr>
                <w:rFonts w:ascii="Arial" w:eastAsia="Arial Narrow" w:hAnsi="Arial" w:cs="Arial"/>
                <w:sz w:val="20"/>
                <w:szCs w:val="20"/>
              </w:rPr>
              <w:t>Fuente:  Dirección General de Ordenamiento Territorial y de la Gestión Integrada de los Recursos Naturales y Dirección de Instrumentos para el Ordenamiento Territorial y la Gestión Integrada de los Recursos Naturales del</w:t>
            </w:r>
            <w:r>
              <w:rPr>
                <w:rFonts w:ascii="Arial" w:eastAsia="Arial Narrow" w:hAnsi="Arial" w:cs="Arial"/>
                <w:sz w:val="20"/>
                <w:szCs w:val="20"/>
              </w:rPr>
              <w:t xml:space="preserve"> Ministerio del Ambiente –</w:t>
            </w:r>
            <w:r w:rsidRPr="008A26D2">
              <w:rPr>
                <w:rFonts w:ascii="Arial" w:eastAsia="Arial Narrow" w:hAnsi="Arial" w:cs="Arial"/>
                <w:sz w:val="20"/>
                <w:szCs w:val="20"/>
              </w:rPr>
              <w:t xml:space="preserve"> MINAM</w:t>
            </w:r>
            <w:r>
              <w:rPr>
                <w:rFonts w:ascii="Arial" w:eastAsia="Arial Narrow" w:hAnsi="Arial" w:cs="Arial"/>
                <w:sz w:val="20"/>
                <w:szCs w:val="20"/>
              </w:rPr>
              <w:t>.</w:t>
            </w:r>
          </w:p>
          <w:p w14:paraId="77E08621" w14:textId="49F26136" w:rsidR="00A75C0F" w:rsidRPr="008A26D2" w:rsidRDefault="00A75C0F" w:rsidP="00AF5836">
            <w:pPr>
              <w:tabs>
                <w:tab w:val="left" w:pos="3375"/>
              </w:tabs>
              <w:jc w:val="both"/>
              <w:rPr>
                <w:rFonts w:ascii="Arial" w:hAnsi="Arial" w:cs="Arial"/>
                <w:sz w:val="20"/>
                <w:szCs w:val="20"/>
              </w:rPr>
            </w:pPr>
            <w:r w:rsidRPr="008A26D2">
              <w:rPr>
                <w:rFonts w:ascii="Arial" w:eastAsia="Times New Roman" w:hAnsi="Arial" w:cs="Arial"/>
                <w:sz w:val="20"/>
                <w:szCs w:val="20"/>
              </w:rPr>
              <w:t>Base de datos: I</w:t>
            </w:r>
            <w:r w:rsidRPr="008A26D2">
              <w:rPr>
                <w:rFonts w:ascii="Arial" w:eastAsia="Times New Roman" w:hAnsi="Arial" w:cs="Arial"/>
                <w:sz w:val="20"/>
                <w:szCs w:val="20"/>
                <w:lang w:val="es-ES"/>
              </w:rPr>
              <w:t xml:space="preserve">nforme anual </w:t>
            </w:r>
            <w:r>
              <w:rPr>
                <w:rFonts w:ascii="Arial" w:eastAsia="Times New Roman" w:hAnsi="Arial" w:cs="Arial"/>
                <w:sz w:val="20"/>
                <w:szCs w:val="20"/>
                <w:lang w:val="es-ES"/>
              </w:rPr>
              <w:t xml:space="preserve">de </w:t>
            </w:r>
            <w:r w:rsidRPr="008A26D2">
              <w:rPr>
                <w:rFonts w:ascii="Arial" w:eastAsia="Times New Roman" w:hAnsi="Arial" w:cs="Arial"/>
                <w:sz w:val="20"/>
                <w:szCs w:val="20"/>
                <w:lang w:val="es-ES"/>
              </w:rPr>
              <w:t>la Dirección General de Ordenamiento Territorial y de la Gestión Integrada de los Recursos Naturales respecto del avance de la</w:t>
            </w:r>
            <w:r w:rsidRPr="008A26D2">
              <w:rPr>
                <w:rFonts w:ascii="Arial" w:hAnsi="Arial" w:cs="Arial"/>
                <w:sz w:val="20"/>
                <w:szCs w:val="20"/>
              </w:rPr>
              <w:t xml:space="preserve"> Zonificación Ecológica y Económica</w:t>
            </w:r>
            <w:r>
              <w:rPr>
                <w:rFonts w:ascii="Arial" w:hAnsi="Arial" w:cs="Arial"/>
                <w:sz w:val="20"/>
                <w:szCs w:val="20"/>
              </w:rPr>
              <w:t xml:space="preserve"> – ZEE</w:t>
            </w:r>
            <w:r w:rsidRPr="008A26D2">
              <w:rPr>
                <w:rFonts w:ascii="Arial" w:hAnsi="Arial" w:cs="Arial"/>
                <w:sz w:val="20"/>
                <w:szCs w:val="20"/>
              </w:rPr>
              <w:t>.</w:t>
            </w:r>
          </w:p>
        </w:tc>
      </w:tr>
      <w:tr w:rsidR="00A75C0F" w:rsidRPr="008A26D2" w14:paraId="33E8528D" w14:textId="77777777" w:rsidTr="00AF5836">
        <w:trPr>
          <w:trHeight w:val="436"/>
        </w:trPr>
        <w:tc>
          <w:tcPr>
            <w:tcW w:w="878" w:type="pct"/>
            <w:gridSpan w:val="2"/>
          </w:tcPr>
          <w:p w14:paraId="73C28BE4"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Supuestos:</w:t>
            </w:r>
          </w:p>
        </w:tc>
        <w:tc>
          <w:tcPr>
            <w:tcW w:w="4122" w:type="pct"/>
            <w:gridSpan w:val="10"/>
            <w:shd w:val="clear" w:color="auto" w:fill="auto"/>
            <w:tcMar>
              <w:top w:w="51" w:type="dxa"/>
              <w:left w:w="227" w:type="dxa"/>
              <w:bottom w:w="51" w:type="dxa"/>
              <w:right w:w="227" w:type="dxa"/>
            </w:tcMar>
            <w:vAlign w:val="center"/>
          </w:tcPr>
          <w:p w14:paraId="097DA324" w14:textId="77777777" w:rsidR="00A75C0F" w:rsidRPr="008A26D2" w:rsidRDefault="00A75C0F" w:rsidP="00AF5836">
            <w:pPr>
              <w:tabs>
                <w:tab w:val="left" w:pos="3375"/>
              </w:tabs>
              <w:rPr>
                <w:rFonts w:ascii="Arial" w:eastAsia="Arial Narrow" w:hAnsi="Arial" w:cs="Arial"/>
                <w:sz w:val="20"/>
                <w:szCs w:val="20"/>
              </w:rPr>
            </w:pPr>
            <w:r w:rsidRPr="008A26D2">
              <w:rPr>
                <w:rFonts w:ascii="Arial" w:eastAsia="Arial Narrow" w:hAnsi="Arial" w:cs="Arial"/>
                <w:sz w:val="20"/>
                <w:szCs w:val="20"/>
              </w:rPr>
              <w:t>No presenta supuestos</w:t>
            </w:r>
          </w:p>
        </w:tc>
      </w:tr>
      <w:tr w:rsidR="00A75C0F" w:rsidRPr="008A26D2" w14:paraId="0AE3EA56" w14:textId="77777777" w:rsidTr="00AF5836">
        <w:trPr>
          <w:trHeight w:val="556"/>
        </w:trPr>
        <w:tc>
          <w:tcPr>
            <w:tcW w:w="366" w:type="pct"/>
            <w:tcBorders>
              <w:right w:val="single" w:sz="4" w:space="0" w:color="auto"/>
            </w:tcBorders>
            <w:shd w:val="clear" w:color="auto" w:fill="auto"/>
            <w:tcMar>
              <w:top w:w="10" w:type="dxa"/>
              <w:left w:w="10" w:type="dxa"/>
              <w:bottom w:w="0" w:type="dxa"/>
              <w:right w:w="10" w:type="dxa"/>
            </w:tcMar>
            <w:vAlign w:val="center"/>
          </w:tcPr>
          <w:p w14:paraId="72B3C715"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 </w:t>
            </w:r>
          </w:p>
        </w:tc>
        <w:tc>
          <w:tcPr>
            <w:tcW w:w="512" w:type="pct"/>
            <w:tcBorders>
              <w:left w:val="single" w:sz="4" w:space="0" w:color="auto"/>
            </w:tcBorders>
            <w:shd w:val="clear" w:color="auto" w:fill="auto"/>
            <w:tcMar>
              <w:top w:w="10" w:type="dxa"/>
              <w:left w:w="10" w:type="dxa"/>
              <w:bottom w:w="0" w:type="dxa"/>
              <w:right w:w="10" w:type="dxa"/>
            </w:tcMar>
            <w:vAlign w:val="center"/>
          </w:tcPr>
          <w:p w14:paraId="75E964FD"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Línea de base</w:t>
            </w:r>
          </w:p>
        </w:tc>
        <w:tc>
          <w:tcPr>
            <w:tcW w:w="4122" w:type="pct"/>
            <w:gridSpan w:val="10"/>
          </w:tcPr>
          <w:p w14:paraId="15D44190"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b/>
                <w:sz w:val="20"/>
                <w:szCs w:val="20"/>
              </w:rPr>
              <w:t>Logros esperados</w:t>
            </w:r>
          </w:p>
        </w:tc>
      </w:tr>
      <w:tr w:rsidR="00A75C0F" w:rsidRPr="008A26D2" w14:paraId="26994407" w14:textId="77777777" w:rsidTr="00AF5836">
        <w:trPr>
          <w:trHeight w:val="217"/>
        </w:trPr>
        <w:tc>
          <w:tcPr>
            <w:tcW w:w="366" w:type="pct"/>
            <w:tcBorders>
              <w:right w:val="single" w:sz="4" w:space="0" w:color="auto"/>
            </w:tcBorders>
            <w:shd w:val="clear" w:color="auto" w:fill="auto"/>
            <w:tcMar>
              <w:top w:w="10" w:type="dxa"/>
              <w:left w:w="10" w:type="dxa"/>
              <w:bottom w:w="0" w:type="dxa"/>
              <w:right w:w="10" w:type="dxa"/>
            </w:tcMar>
            <w:vAlign w:val="center"/>
          </w:tcPr>
          <w:p w14:paraId="64A1A17C"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Año</w:t>
            </w:r>
          </w:p>
        </w:tc>
        <w:tc>
          <w:tcPr>
            <w:tcW w:w="512" w:type="pct"/>
            <w:tcBorders>
              <w:left w:val="single" w:sz="4" w:space="0" w:color="auto"/>
            </w:tcBorders>
            <w:shd w:val="clear" w:color="auto" w:fill="auto"/>
            <w:tcMar>
              <w:top w:w="10" w:type="dxa"/>
              <w:left w:w="10" w:type="dxa"/>
              <w:bottom w:w="0" w:type="dxa"/>
              <w:right w:w="10" w:type="dxa"/>
            </w:tcMar>
          </w:tcPr>
          <w:p w14:paraId="27BCED63"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2022</w:t>
            </w:r>
          </w:p>
        </w:tc>
        <w:tc>
          <w:tcPr>
            <w:tcW w:w="534" w:type="pct"/>
            <w:vAlign w:val="center"/>
          </w:tcPr>
          <w:p w14:paraId="15EBB28E"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2023</w:t>
            </w:r>
          </w:p>
        </w:tc>
        <w:tc>
          <w:tcPr>
            <w:tcW w:w="502" w:type="pct"/>
            <w:vAlign w:val="center"/>
          </w:tcPr>
          <w:p w14:paraId="0E2D9EEC"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2024</w:t>
            </w:r>
          </w:p>
        </w:tc>
        <w:tc>
          <w:tcPr>
            <w:tcW w:w="500" w:type="pct"/>
            <w:shd w:val="clear" w:color="auto" w:fill="auto"/>
            <w:tcMar>
              <w:top w:w="10" w:type="dxa"/>
              <w:left w:w="10" w:type="dxa"/>
              <w:bottom w:w="0" w:type="dxa"/>
              <w:right w:w="10" w:type="dxa"/>
            </w:tcMar>
            <w:vAlign w:val="center"/>
          </w:tcPr>
          <w:p w14:paraId="07367318"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2025</w:t>
            </w:r>
          </w:p>
        </w:tc>
        <w:tc>
          <w:tcPr>
            <w:tcW w:w="584" w:type="pct"/>
            <w:gridSpan w:val="2"/>
            <w:shd w:val="clear" w:color="auto" w:fill="auto"/>
            <w:vAlign w:val="center"/>
          </w:tcPr>
          <w:p w14:paraId="4EEA0B67"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2026</w:t>
            </w:r>
          </w:p>
        </w:tc>
        <w:tc>
          <w:tcPr>
            <w:tcW w:w="500" w:type="pct"/>
            <w:shd w:val="clear" w:color="auto" w:fill="auto"/>
            <w:vAlign w:val="center"/>
          </w:tcPr>
          <w:p w14:paraId="03C4444A"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2027</w:t>
            </w:r>
          </w:p>
        </w:tc>
        <w:tc>
          <w:tcPr>
            <w:tcW w:w="584" w:type="pct"/>
            <w:shd w:val="clear" w:color="auto" w:fill="auto"/>
            <w:vAlign w:val="center"/>
          </w:tcPr>
          <w:p w14:paraId="1B7C8481"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2028</w:t>
            </w:r>
          </w:p>
        </w:tc>
        <w:tc>
          <w:tcPr>
            <w:tcW w:w="584" w:type="pct"/>
            <w:gridSpan w:val="2"/>
            <w:shd w:val="clear" w:color="auto" w:fill="auto"/>
            <w:vAlign w:val="center"/>
          </w:tcPr>
          <w:p w14:paraId="12F4167E"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2029</w:t>
            </w:r>
          </w:p>
        </w:tc>
        <w:tc>
          <w:tcPr>
            <w:tcW w:w="333" w:type="pct"/>
            <w:shd w:val="clear" w:color="auto" w:fill="auto"/>
            <w:vAlign w:val="center"/>
          </w:tcPr>
          <w:p w14:paraId="390F9A25"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2030</w:t>
            </w:r>
          </w:p>
        </w:tc>
      </w:tr>
      <w:tr w:rsidR="00A75C0F" w:rsidRPr="008A26D2" w14:paraId="4DB1A920" w14:textId="77777777" w:rsidTr="00AF5836">
        <w:trPr>
          <w:trHeight w:val="81"/>
        </w:trPr>
        <w:tc>
          <w:tcPr>
            <w:tcW w:w="366" w:type="pct"/>
            <w:shd w:val="clear" w:color="auto" w:fill="auto"/>
            <w:tcMar>
              <w:top w:w="10" w:type="dxa"/>
              <w:left w:w="10" w:type="dxa"/>
              <w:bottom w:w="0" w:type="dxa"/>
              <w:right w:w="10" w:type="dxa"/>
            </w:tcMar>
            <w:vAlign w:val="center"/>
          </w:tcPr>
          <w:p w14:paraId="60D37810"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Valor</w:t>
            </w:r>
          </w:p>
        </w:tc>
        <w:tc>
          <w:tcPr>
            <w:tcW w:w="512" w:type="pct"/>
            <w:shd w:val="clear" w:color="auto" w:fill="auto"/>
            <w:tcMar>
              <w:top w:w="10" w:type="dxa"/>
              <w:left w:w="10" w:type="dxa"/>
              <w:bottom w:w="0" w:type="dxa"/>
              <w:right w:w="10" w:type="dxa"/>
            </w:tcMar>
          </w:tcPr>
          <w:p w14:paraId="2BB1EE82" w14:textId="77777777" w:rsidR="00A75C0F" w:rsidRPr="008A26D2" w:rsidRDefault="00A75C0F" w:rsidP="00AF5836">
            <w:pPr>
              <w:tabs>
                <w:tab w:val="left" w:pos="3375"/>
              </w:tabs>
              <w:jc w:val="center"/>
              <w:rPr>
                <w:rFonts w:ascii="Arial" w:hAnsi="Arial" w:cs="Arial"/>
                <w:sz w:val="20"/>
                <w:szCs w:val="20"/>
              </w:rPr>
            </w:pPr>
            <w:r w:rsidRPr="00256A23">
              <w:rPr>
                <w:rFonts w:ascii="Arial" w:hAnsi="Arial" w:cs="Arial"/>
                <w:sz w:val="20"/>
                <w:szCs w:val="20"/>
              </w:rPr>
              <w:t>ND</w:t>
            </w:r>
          </w:p>
        </w:tc>
        <w:tc>
          <w:tcPr>
            <w:tcW w:w="534" w:type="pct"/>
          </w:tcPr>
          <w:p w14:paraId="6417ABE5"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8%</w:t>
            </w:r>
          </w:p>
        </w:tc>
        <w:tc>
          <w:tcPr>
            <w:tcW w:w="502" w:type="pct"/>
          </w:tcPr>
          <w:p w14:paraId="7B2A52A5"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17%</w:t>
            </w:r>
          </w:p>
        </w:tc>
        <w:tc>
          <w:tcPr>
            <w:tcW w:w="500" w:type="pct"/>
            <w:shd w:val="clear" w:color="auto" w:fill="auto"/>
            <w:tcMar>
              <w:top w:w="10" w:type="dxa"/>
              <w:left w:w="10" w:type="dxa"/>
              <w:bottom w:w="0" w:type="dxa"/>
              <w:right w:w="10" w:type="dxa"/>
            </w:tcMar>
            <w:vAlign w:val="bottom"/>
          </w:tcPr>
          <w:p w14:paraId="21B177B5"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25%</w:t>
            </w:r>
          </w:p>
        </w:tc>
        <w:tc>
          <w:tcPr>
            <w:tcW w:w="584" w:type="pct"/>
            <w:gridSpan w:val="2"/>
            <w:shd w:val="clear" w:color="auto" w:fill="auto"/>
            <w:vAlign w:val="bottom"/>
          </w:tcPr>
          <w:p w14:paraId="304A26A8"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33%</w:t>
            </w:r>
          </w:p>
        </w:tc>
        <w:tc>
          <w:tcPr>
            <w:tcW w:w="500" w:type="pct"/>
            <w:shd w:val="clear" w:color="auto" w:fill="auto"/>
            <w:vAlign w:val="bottom"/>
          </w:tcPr>
          <w:p w14:paraId="27B9D4F2"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42%</w:t>
            </w:r>
          </w:p>
        </w:tc>
        <w:tc>
          <w:tcPr>
            <w:tcW w:w="584" w:type="pct"/>
            <w:shd w:val="clear" w:color="auto" w:fill="auto"/>
            <w:vAlign w:val="bottom"/>
          </w:tcPr>
          <w:p w14:paraId="1F2B208E"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50%</w:t>
            </w:r>
          </w:p>
        </w:tc>
        <w:tc>
          <w:tcPr>
            <w:tcW w:w="584" w:type="pct"/>
            <w:gridSpan w:val="2"/>
            <w:shd w:val="clear" w:color="auto" w:fill="auto"/>
            <w:vAlign w:val="bottom"/>
          </w:tcPr>
          <w:p w14:paraId="548CBCDA"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58%</w:t>
            </w:r>
          </w:p>
        </w:tc>
        <w:tc>
          <w:tcPr>
            <w:tcW w:w="333" w:type="pct"/>
            <w:shd w:val="clear" w:color="auto" w:fill="auto"/>
            <w:vAlign w:val="bottom"/>
          </w:tcPr>
          <w:p w14:paraId="3635EC29"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67%</w:t>
            </w:r>
          </w:p>
        </w:tc>
      </w:tr>
    </w:tbl>
    <w:p w14:paraId="33B20E5D" w14:textId="77777777" w:rsidR="00A75C0F" w:rsidRPr="008A26D2" w:rsidRDefault="00A75C0F" w:rsidP="00A75C0F"/>
    <w:p w14:paraId="50DDC22D" w14:textId="77777777" w:rsidR="00A75C0F" w:rsidRDefault="00A75C0F" w:rsidP="00A75C0F"/>
    <w:p w14:paraId="48B02F4C" w14:textId="77777777" w:rsidR="00846D49" w:rsidRPr="008A26D2" w:rsidRDefault="00846D49" w:rsidP="00A75C0F"/>
    <w:tbl>
      <w:tblPr>
        <w:tblW w:w="8494" w:type="dxa"/>
        <w:jc w:val="center"/>
        <w:tblCellMar>
          <w:left w:w="70" w:type="dxa"/>
          <w:right w:w="70" w:type="dxa"/>
        </w:tblCellMar>
        <w:tblLook w:val="04A0" w:firstRow="1" w:lastRow="0" w:firstColumn="1" w:lastColumn="0" w:noHBand="0" w:noVBand="1"/>
      </w:tblPr>
      <w:tblGrid>
        <w:gridCol w:w="739"/>
        <w:gridCol w:w="1271"/>
        <w:gridCol w:w="1040"/>
        <w:gridCol w:w="893"/>
        <w:gridCol w:w="708"/>
        <w:gridCol w:w="742"/>
        <w:gridCol w:w="866"/>
        <w:gridCol w:w="140"/>
        <w:gridCol w:w="542"/>
        <w:gridCol w:w="688"/>
        <w:gridCol w:w="865"/>
      </w:tblGrid>
      <w:tr w:rsidR="00A75C0F" w:rsidRPr="008A26D2" w14:paraId="5069B278" w14:textId="77777777" w:rsidTr="00AF5836">
        <w:trPr>
          <w:trHeight w:val="565"/>
          <w:jc w:val="center"/>
        </w:trPr>
        <w:tc>
          <w:tcPr>
            <w:tcW w:w="8494" w:type="dxa"/>
            <w:gridSpan w:val="11"/>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66F219F" w14:textId="77777777" w:rsidR="00A75C0F" w:rsidRPr="008A26D2" w:rsidRDefault="00A75C0F" w:rsidP="00AF5836">
            <w:pPr>
              <w:spacing w:after="0" w:line="240" w:lineRule="auto"/>
              <w:jc w:val="center"/>
              <w:rPr>
                <w:rFonts w:ascii="Arial" w:eastAsia="Times New Roman" w:hAnsi="Arial" w:cs="Arial"/>
                <w:b/>
                <w:bCs/>
                <w:sz w:val="20"/>
                <w:szCs w:val="20"/>
              </w:rPr>
            </w:pPr>
            <w:r w:rsidRPr="008A26D2">
              <w:rPr>
                <w:rFonts w:ascii="Arial" w:eastAsia="Times New Roman" w:hAnsi="Arial" w:cs="Arial"/>
                <w:b/>
                <w:bCs/>
                <w:sz w:val="20"/>
                <w:szCs w:val="20"/>
              </w:rPr>
              <w:lastRenderedPageBreak/>
              <w:t>FICHA TÉCNICA DE INDICADOR DE SERVICIO 3.3.4</w:t>
            </w:r>
          </w:p>
        </w:tc>
      </w:tr>
      <w:tr w:rsidR="00A75C0F" w:rsidRPr="008A26D2" w14:paraId="24C0C5E7" w14:textId="77777777" w:rsidTr="00AF5836">
        <w:trPr>
          <w:trHeight w:val="544"/>
          <w:jc w:val="center"/>
        </w:trPr>
        <w:tc>
          <w:tcPr>
            <w:tcW w:w="20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1F07A0B" w14:textId="77777777" w:rsidR="00A75C0F" w:rsidRPr="008A26D2" w:rsidRDefault="00A75C0F" w:rsidP="00AF5836">
            <w:pPr>
              <w:tabs>
                <w:tab w:val="left" w:pos="3375"/>
              </w:tabs>
              <w:jc w:val="both"/>
              <w:rPr>
                <w:rFonts w:ascii="Arial" w:eastAsia="Arial Narrow" w:hAnsi="Arial" w:cs="Arial"/>
                <w:b/>
                <w:sz w:val="20"/>
                <w:szCs w:val="20"/>
              </w:rPr>
            </w:pPr>
            <w:r w:rsidRPr="008A26D2">
              <w:rPr>
                <w:rFonts w:ascii="Arial" w:eastAsia="Arial Narrow" w:hAnsi="Arial" w:cs="Arial"/>
                <w:b/>
                <w:sz w:val="20"/>
                <w:szCs w:val="20"/>
              </w:rPr>
              <w:t>Objetivo prioritario:</w:t>
            </w:r>
          </w:p>
        </w:tc>
        <w:tc>
          <w:tcPr>
            <w:tcW w:w="6484"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0186A050" w14:textId="77777777" w:rsidR="00A75C0F" w:rsidRPr="008A26D2" w:rsidRDefault="00A75C0F" w:rsidP="00AF5836">
            <w:pPr>
              <w:tabs>
                <w:tab w:val="left" w:pos="3375"/>
              </w:tabs>
              <w:jc w:val="both"/>
              <w:rPr>
                <w:rFonts w:ascii="Arial" w:eastAsia="Arial Narrow" w:hAnsi="Arial" w:cs="Arial"/>
                <w:sz w:val="20"/>
                <w:szCs w:val="20"/>
              </w:rPr>
            </w:pPr>
            <w:r w:rsidRPr="008A26D2">
              <w:rPr>
                <w:rFonts w:ascii="Arial" w:eastAsia="Arial Narrow" w:hAnsi="Arial" w:cs="Arial"/>
                <w:sz w:val="20"/>
                <w:szCs w:val="20"/>
              </w:rPr>
              <w:t>OP3. Fortalecer la gobernanza forestal y de fauna silvestre</w:t>
            </w:r>
          </w:p>
        </w:tc>
      </w:tr>
      <w:tr w:rsidR="00A75C0F" w:rsidRPr="008A26D2" w14:paraId="6C197131" w14:textId="77777777" w:rsidTr="00AF5836">
        <w:trPr>
          <w:trHeight w:val="707"/>
          <w:jc w:val="center"/>
        </w:trPr>
        <w:tc>
          <w:tcPr>
            <w:tcW w:w="20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274F92B" w14:textId="77777777" w:rsidR="00A75C0F" w:rsidRPr="008A26D2" w:rsidRDefault="00A75C0F" w:rsidP="00AF5836">
            <w:pPr>
              <w:tabs>
                <w:tab w:val="left" w:pos="3375"/>
              </w:tabs>
              <w:jc w:val="both"/>
              <w:rPr>
                <w:rFonts w:ascii="Arial" w:eastAsia="Arial Narrow" w:hAnsi="Arial" w:cs="Arial"/>
                <w:b/>
                <w:sz w:val="20"/>
                <w:szCs w:val="20"/>
              </w:rPr>
            </w:pPr>
            <w:r w:rsidRPr="008A26D2">
              <w:rPr>
                <w:rFonts w:ascii="Arial" w:eastAsia="Arial Narrow" w:hAnsi="Arial" w:cs="Arial"/>
                <w:b/>
                <w:sz w:val="20"/>
                <w:szCs w:val="20"/>
              </w:rPr>
              <w:t>Lineamiento de la política:</w:t>
            </w:r>
          </w:p>
        </w:tc>
        <w:tc>
          <w:tcPr>
            <w:tcW w:w="6484"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2C87AD8B" w14:textId="77777777" w:rsidR="00A75C0F" w:rsidRPr="008A26D2" w:rsidRDefault="00A75C0F" w:rsidP="00AF5836">
            <w:pPr>
              <w:tabs>
                <w:tab w:val="left" w:pos="3375"/>
              </w:tabs>
              <w:jc w:val="both"/>
              <w:rPr>
                <w:rFonts w:ascii="Arial" w:eastAsia="Arial Narrow" w:hAnsi="Arial" w:cs="Arial"/>
                <w:sz w:val="20"/>
                <w:szCs w:val="20"/>
              </w:rPr>
            </w:pPr>
            <w:r w:rsidRPr="008A26D2">
              <w:rPr>
                <w:rFonts w:ascii="Arial" w:eastAsia="Arial Narrow" w:hAnsi="Arial" w:cs="Arial"/>
                <w:sz w:val="20"/>
                <w:szCs w:val="20"/>
              </w:rPr>
              <w:t>L.3.3.  Gestionar la información y el conocimiento en materia forestal y de fauna silvestre producido por los actores forestales y de fauna silvestre</w:t>
            </w:r>
          </w:p>
        </w:tc>
      </w:tr>
      <w:tr w:rsidR="00A75C0F" w:rsidRPr="008A26D2" w14:paraId="69B7CC2B" w14:textId="77777777" w:rsidTr="00AF5836">
        <w:trPr>
          <w:trHeight w:val="405"/>
          <w:jc w:val="center"/>
        </w:trPr>
        <w:tc>
          <w:tcPr>
            <w:tcW w:w="20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7185622" w14:textId="77777777" w:rsidR="00A75C0F" w:rsidRPr="008A26D2" w:rsidRDefault="00A75C0F" w:rsidP="00AF5836">
            <w:pPr>
              <w:tabs>
                <w:tab w:val="left" w:pos="3375"/>
              </w:tabs>
              <w:jc w:val="both"/>
              <w:rPr>
                <w:rFonts w:ascii="Arial" w:eastAsia="Arial Narrow" w:hAnsi="Arial" w:cs="Arial"/>
                <w:b/>
                <w:sz w:val="20"/>
                <w:szCs w:val="20"/>
              </w:rPr>
            </w:pPr>
            <w:r w:rsidRPr="008A26D2">
              <w:rPr>
                <w:rFonts w:ascii="Arial" w:eastAsia="Arial Narrow" w:hAnsi="Arial" w:cs="Arial"/>
                <w:b/>
                <w:sz w:val="20"/>
                <w:szCs w:val="20"/>
              </w:rPr>
              <w:t>Nombre del servicio:</w:t>
            </w:r>
          </w:p>
        </w:tc>
        <w:tc>
          <w:tcPr>
            <w:tcW w:w="6484"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6BAD12D1" w14:textId="77777777" w:rsidR="00A75C0F" w:rsidRPr="008A26D2" w:rsidRDefault="00A75C0F" w:rsidP="00AF5836">
            <w:pPr>
              <w:tabs>
                <w:tab w:val="left" w:pos="3375"/>
              </w:tabs>
              <w:jc w:val="both"/>
              <w:rPr>
                <w:rFonts w:ascii="Arial" w:eastAsia="Arial Narrow" w:hAnsi="Arial" w:cs="Arial"/>
                <w:sz w:val="20"/>
                <w:szCs w:val="20"/>
              </w:rPr>
            </w:pPr>
            <w:r w:rsidRPr="008A26D2">
              <w:rPr>
                <w:rFonts w:ascii="Arial" w:eastAsia="Arial Narrow" w:hAnsi="Arial" w:cs="Arial"/>
                <w:sz w:val="20"/>
                <w:szCs w:val="20"/>
              </w:rPr>
              <w:t>S.3.3.4.  Asistencia técnica para la formulación e implementación de planes de mejora continua e innovación publica de forma pertinente dirigida a las Autoridades Regionales Forestales y de fauna silvestre</w:t>
            </w:r>
          </w:p>
        </w:tc>
      </w:tr>
      <w:tr w:rsidR="00A75C0F" w:rsidRPr="008A26D2" w14:paraId="23FF68D7" w14:textId="77777777" w:rsidTr="00AF5836">
        <w:trPr>
          <w:trHeight w:val="425"/>
          <w:jc w:val="center"/>
        </w:trPr>
        <w:tc>
          <w:tcPr>
            <w:tcW w:w="20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206B5B" w14:textId="77777777" w:rsidR="00A75C0F" w:rsidRPr="008A26D2" w:rsidRDefault="00A75C0F" w:rsidP="00AF5836">
            <w:pPr>
              <w:tabs>
                <w:tab w:val="left" w:pos="3375"/>
              </w:tabs>
              <w:jc w:val="both"/>
              <w:rPr>
                <w:rFonts w:ascii="Arial" w:eastAsia="Arial Narrow" w:hAnsi="Arial" w:cs="Arial"/>
                <w:b/>
                <w:sz w:val="20"/>
                <w:szCs w:val="20"/>
              </w:rPr>
            </w:pPr>
            <w:r w:rsidRPr="008A26D2">
              <w:rPr>
                <w:rFonts w:ascii="Arial" w:eastAsia="Arial Narrow" w:hAnsi="Arial" w:cs="Arial"/>
                <w:b/>
                <w:sz w:val="20"/>
                <w:szCs w:val="20"/>
              </w:rPr>
              <w:t>Nombre del indicador:</w:t>
            </w:r>
          </w:p>
        </w:tc>
        <w:tc>
          <w:tcPr>
            <w:tcW w:w="6484"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5C364D1" w14:textId="77777777" w:rsidR="00A75C0F" w:rsidRPr="008A26D2" w:rsidRDefault="00A75C0F" w:rsidP="00AF5836">
            <w:pPr>
              <w:tabs>
                <w:tab w:val="left" w:pos="3375"/>
              </w:tabs>
              <w:jc w:val="both"/>
              <w:rPr>
                <w:rFonts w:ascii="Arial" w:eastAsia="Arial Narrow" w:hAnsi="Arial" w:cs="Arial"/>
                <w:sz w:val="20"/>
                <w:szCs w:val="20"/>
              </w:rPr>
            </w:pPr>
            <w:r w:rsidRPr="008A26D2">
              <w:rPr>
                <w:rFonts w:ascii="Arial" w:eastAsia="Arial Narrow" w:hAnsi="Arial" w:cs="Arial"/>
                <w:sz w:val="20"/>
                <w:szCs w:val="20"/>
              </w:rPr>
              <w:t>Porcentaje de Autoridades Regionales Forestales y de Fauna Silvestre que recibieron asistencia técnica de forma pertinente en la formulación e implementación de planes de mejora continua e innovación publica</w:t>
            </w:r>
          </w:p>
        </w:tc>
      </w:tr>
      <w:tr w:rsidR="00A75C0F" w:rsidRPr="008A26D2" w14:paraId="334FFC62" w14:textId="77777777" w:rsidTr="00AF5836">
        <w:trPr>
          <w:trHeight w:val="524"/>
          <w:jc w:val="center"/>
        </w:trPr>
        <w:tc>
          <w:tcPr>
            <w:tcW w:w="20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865BB74" w14:textId="77777777" w:rsidR="00A75C0F" w:rsidRPr="008A26D2" w:rsidRDefault="00A75C0F" w:rsidP="00AF5836">
            <w:pPr>
              <w:tabs>
                <w:tab w:val="left" w:pos="3375"/>
              </w:tabs>
              <w:jc w:val="both"/>
              <w:rPr>
                <w:rFonts w:ascii="Arial" w:eastAsia="Arial Narrow" w:hAnsi="Arial" w:cs="Arial"/>
                <w:b/>
                <w:sz w:val="20"/>
                <w:szCs w:val="20"/>
              </w:rPr>
            </w:pPr>
            <w:r w:rsidRPr="008A26D2">
              <w:rPr>
                <w:rFonts w:ascii="Arial" w:eastAsia="Arial Narrow" w:hAnsi="Arial" w:cs="Arial"/>
                <w:b/>
                <w:sz w:val="20"/>
                <w:szCs w:val="20"/>
              </w:rPr>
              <w:t>Justificación:</w:t>
            </w:r>
          </w:p>
        </w:tc>
        <w:tc>
          <w:tcPr>
            <w:tcW w:w="6484"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11D4FF3A" w14:textId="77777777" w:rsidR="00A75C0F" w:rsidRPr="008A26D2" w:rsidRDefault="00A75C0F" w:rsidP="00AF5836">
            <w:pPr>
              <w:tabs>
                <w:tab w:val="left" w:pos="3375"/>
              </w:tabs>
              <w:jc w:val="both"/>
              <w:rPr>
                <w:rFonts w:ascii="Arial" w:eastAsia="Arial Narrow" w:hAnsi="Arial" w:cs="Arial"/>
                <w:sz w:val="20"/>
                <w:szCs w:val="20"/>
              </w:rPr>
            </w:pPr>
            <w:r w:rsidRPr="008A26D2">
              <w:rPr>
                <w:rFonts w:ascii="Arial" w:eastAsia="Arial Narrow" w:hAnsi="Arial" w:cs="Arial"/>
                <w:sz w:val="20"/>
                <w:szCs w:val="20"/>
              </w:rPr>
              <w:t xml:space="preserve">El indicador mide el porcentaje de autoridades regionales forestales y de fauna silvestre que recibieron asistencia técnica con criterios territoriales, culturales, sociales y ambientales en la entrega de la asistencia técnica para la formulación e implementación de planes de mejora continua e innovación pública. </w:t>
            </w:r>
          </w:p>
        </w:tc>
      </w:tr>
      <w:tr w:rsidR="00A75C0F" w:rsidRPr="008A26D2" w14:paraId="399C131F" w14:textId="77777777" w:rsidTr="00AF5836">
        <w:trPr>
          <w:trHeight w:val="546"/>
          <w:jc w:val="center"/>
        </w:trPr>
        <w:tc>
          <w:tcPr>
            <w:tcW w:w="20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920ACE" w14:textId="77777777" w:rsidR="00A75C0F" w:rsidRPr="008A26D2" w:rsidRDefault="00A75C0F" w:rsidP="00AF5836">
            <w:pPr>
              <w:tabs>
                <w:tab w:val="left" w:pos="3375"/>
              </w:tabs>
              <w:jc w:val="both"/>
              <w:rPr>
                <w:rFonts w:ascii="Arial" w:eastAsia="Arial Narrow" w:hAnsi="Arial" w:cs="Arial"/>
                <w:b/>
                <w:sz w:val="20"/>
                <w:szCs w:val="20"/>
              </w:rPr>
            </w:pPr>
            <w:r w:rsidRPr="008A26D2">
              <w:rPr>
                <w:rFonts w:ascii="Arial" w:eastAsia="Arial Narrow" w:hAnsi="Arial" w:cs="Arial"/>
                <w:b/>
                <w:sz w:val="20"/>
                <w:szCs w:val="20"/>
              </w:rPr>
              <w:t>Responsable del indicador:</w:t>
            </w:r>
          </w:p>
        </w:tc>
        <w:tc>
          <w:tcPr>
            <w:tcW w:w="6484"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63B53416" w14:textId="7117807A" w:rsidR="00A75C0F" w:rsidRPr="008A26D2" w:rsidRDefault="00A75C0F" w:rsidP="00AF5836">
            <w:pPr>
              <w:tabs>
                <w:tab w:val="left" w:pos="3375"/>
              </w:tabs>
              <w:jc w:val="both"/>
              <w:rPr>
                <w:rFonts w:ascii="Arial" w:eastAsia="Arial Narrow" w:hAnsi="Arial" w:cs="Arial"/>
                <w:sz w:val="20"/>
                <w:szCs w:val="20"/>
              </w:rPr>
            </w:pPr>
            <w:r w:rsidRPr="008A26D2">
              <w:rPr>
                <w:rFonts w:ascii="Arial" w:eastAsia="Arial Narrow" w:hAnsi="Arial" w:cs="Arial"/>
                <w:sz w:val="20"/>
                <w:szCs w:val="20"/>
              </w:rPr>
              <w:t xml:space="preserve">Dirección de Gestión del Conocimiento del Servicio Nacional Forestal y de Fauna Silvestre </w:t>
            </w:r>
            <w:r>
              <w:rPr>
                <w:rFonts w:ascii="Arial" w:eastAsia="Arial Narrow" w:hAnsi="Arial" w:cs="Arial"/>
                <w:sz w:val="20"/>
                <w:szCs w:val="20"/>
              </w:rPr>
              <w:t>–</w:t>
            </w:r>
            <w:r w:rsidRPr="008A26D2">
              <w:rPr>
                <w:rFonts w:ascii="Arial" w:eastAsia="Arial Narrow" w:hAnsi="Arial" w:cs="Arial"/>
                <w:sz w:val="20"/>
                <w:szCs w:val="20"/>
              </w:rPr>
              <w:t xml:space="preserve"> SERFOR</w:t>
            </w:r>
          </w:p>
        </w:tc>
      </w:tr>
      <w:tr w:rsidR="00A75C0F" w:rsidRPr="008A26D2" w14:paraId="0D6DADE8" w14:textId="77777777" w:rsidTr="00AF5836">
        <w:trPr>
          <w:trHeight w:val="579"/>
          <w:jc w:val="center"/>
        </w:trPr>
        <w:tc>
          <w:tcPr>
            <w:tcW w:w="20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967204" w14:textId="77777777" w:rsidR="00A75C0F" w:rsidRPr="008A26D2" w:rsidRDefault="00A75C0F" w:rsidP="00AF5836">
            <w:pPr>
              <w:tabs>
                <w:tab w:val="left" w:pos="3375"/>
              </w:tabs>
              <w:jc w:val="both"/>
              <w:rPr>
                <w:rFonts w:ascii="Arial" w:eastAsia="Arial Narrow" w:hAnsi="Arial" w:cs="Arial"/>
                <w:b/>
                <w:sz w:val="20"/>
                <w:szCs w:val="20"/>
              </w:rPr>
            </w:pPr>
            <w:r w:rsidRPr="008A26D2">
              <w:rPr>
                <w:rFonts w:ascii="Arial" w:eastAsia="Arial Narrow" w:hAnsi="Arial" w:cs="Arial"/>
                <w:b/>
                <w:sz w:val="20"/>
                <w:szCs w:val="20"/>
              </w:rPr>
              <w:t>Limitaciones para la medición del indicador:</w:t>
            </w:r>
          </w:p>
        </w:tc>
        <w:tc>
          <w:tcPr>
            <w:tcW w:w="6484"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2DA0D08E" w14:textId="77777777" w:rsidR="00A75C0F" w:rsidRPr="008A26D2" w:rsidRDefault="00A75C0F" w:rsidP="00AF5836">
            <w:pPr>
              <w:tabs>
                <w:tab w:val="left" w:pos="3375"/>
              </w:tabs>
              <w:jc w:val="both"/>
              <w:rPr>
                <w:rFonts w:ascii="Arial" w:eastAsia="Arial Narrow" w:hAnsi="Arial" w:cs="Arial"/>
                <w:sz w:val="20"/>
                <w:szCs w:val="20"/>
              </w:rPr>
            </w:pPr>
            <w:r w:rsidRPr="008A26D2">
              <w:rPr>
                <w:rFonts w:ascii="Arial" w:eastAsia="Arial Narrow" w:hAnsi="Arial" w:cs="Arial"/>
                <w:sz w:val="20"/>
                <w:szCs w:val="20"/>
              </w:rPr>
              <w:t>No presenta limitaciones</w:t>
            </w:r>
          </w:p>
        </w:tc>
      </w:tr>
      <w:tr w:rsidR="00A75C0F" w:rsidRPr="008A26D2" w14:paraId="3DDED0BD" w14:textId="77777777" w:rsidTr="00AF5836">
        <w:trPr>
          <w:trHeight w:val="693"/>
          <w:jc w:val="center"/>
        </w:trPr>
        <w:tc>
          <w:tcPr>
            <w:tcW w:w="20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3B55A59" w14:textId="77777777" w:rsidR="00A75C0F" w:rsidRPr="008A26D2" w:rsidRDefault="00A75C0F" w:rsidP="00AF5836">
            <w:pPr>
              <w:tabs>
                <w:tab w:val="left" w:pos="3375"/>
              </w:tabs>
              <w:jc w:val="both"/>
              <w:rPr>
                <w:rFonts w:ascii="Arial" w:eastAsia="Arial Narrow" w:hAnsi="Arial" w:cs="Arial"/>
                <w:b/>
                <w:sz w:val="20"/>
                <w:szCs w:val="20"/>
              </w:rPr>
            </w:pPr>
            <w:r w:rsidRPr="008A26D2">
              <w:rPr>
                <w:rFonts w:ascii="Arial" w:eastAsia="Arial Narrow" w:hAnsi="Arial" w:cs="Arial"/>
                <w:b/>
                <w:sz w:val="20"/>
                <w:szCs w:val="20"/>
              </w:rPr>
              <w:t>Método del cálculo:</w:t>
            </w:r>
          </w:p>
        </w:tc>
        <w:tc>
          <w:tcPr>
            <w:tcW w:w="6484" w:type="dxa"/>
            <w:gridSpan w:val="9"/>
            <w:tcBorders>
              <w:top w:val="single" w:sz="4" w:space="0" w:color="auto"/>
              <w:left w:val="single" w:sz="4" w:space="0" w:color="auto"/>
              <w:bottom w:val="single" w:sz="4" w:space="0" w:color="auto"/>
              <w:right w:val="single" w:sz="4" w:space="0" w:color="auto"/>
            </w:tcBorders>
            <w:shd w:val="clear" w:color="auto" w:fill="auto"/>
            <w:noWrap/>
            <w:vAlign w:val="center"/>
          </w:tcPr>
          <w:p w14:paraId="1F57E399" w14:textId="77777777" w:rsidR="00A75C0F" w:rsidRPr="008A26D2" w:rsidRDefault="00A75C0F" w:rsidP="00AF5836">
            <w:pPr>
              <w:pStyle w:val="Prrafodelista"/>
              <w:numPr>
                <w:ilvl w:val="3"/>
                <w:numId w:val="20"/>
              </w:numPr>
              <w:tabs>
                <w:tab w:val="left" w:pos="3375"/>
              </w:tabs>
              <w:ind w:left="325" w:hanging="283"/>
              <w:jc w:val="both"/>
              <w:rPr>
                <w:rFonts w:ascii="Arial" w:eastAsia="Arial Narrow" w:hAnsi="Arial" w:cs="Arial"/>
                <w:b/>
                <w:bCs/>
                <w:sz w:val="20"/>
                <w:szCs w:val="20"/>
              </w:rPr>
            </w:pPr>
            <w:r w:rsidRPr="008A26D2">
              <w:rPr>
                <w:rFonts w:ascii="Arial" w:eastAsia="Arial Narrow" w:hAnsi="Arial" w:cs="Arial"/>
                <w:b/>
                <w:bCs/>
                <w:sz w:val="20"/>
                <w:szCs w:val="20"/>
              </w:rPr>
              <w:t>Fórmula:</w:t>
            </w:r>
          </w:p>
          <w:p w14:paraId="09C32134" w14:textId="77777777" w:rsidR="00A75C0F" w:rsidRPr="008A26D2" w:rsidRDefault="00A75C0F" w:rsidP="00AF5836">
            <w:pPr>
              <w:tabs>
                <w:tab w:val="left" w:pos="3375"/>
              </w:tabs>
              <w:ind w:firstLine="183"/>
              <w:jc w:val="both"/>
              <w:rPr>
                <w:rFonts w:ascii="Arial" w:eastAsia="Arial Narrow" w:hAnsi="Arial" w:cs="Arial"/>
                <w:sz w:val="20"/>
                <w:szCs w:val="20"/>
              </w:rPr>
            </w:pPr>
            <w:r w:rsidRPr="008A26D2">
              <w:rPr>
                <w:rFonts w:ascii="Arial" w:eastAsia="Arial Narrow" w:hAnsi="Arial" w:cs="Arial"/>
                <w:sz w:val="20"/>
                <w:szCs w:val="20"/>
              </w:rPr>
              <w:t>(A/B)*100</w:t>
            </w:r>
          </w:p>
          <w:p w14:paraId="1DDD7959" w14:textId="77777777" w:rsidR="00A75C0F" w:rsidRPr="008A26D2" w:rsidRDefault="00A75C0F" w:rsidP="00AF5836">
            <w:pPr>
              <w:tabs>
                <w:tab w:val="left" w:pos="3375"/>
              </w:tabs>
              <w:ind w:firstLine="183"/>
              <w:jc w:val="both"/>
              <w:rPr>
                <w:rFonts w:ascii="Arial" w:eastAsia="Arial Narrow" w:hAnsi="Arial" w:cs="Arial"/>
                <w:sz w:val="20"/>
                <w:szCs w:val="20"/>
              </w:rPr>
            </w:pPr>
            <w:r w:rsidRPr="008A26D2">
              <w:rPr>
                <w:rFonts w:ascii="Arial" w:eastAsia="Arial Narrow" w:hAnsi="Arial" w:cs="Arial"/>
                <w:sz w:val="20"/>
                <w:szCs w:val="20"/>
              </w:rPr>
              <w:t>Donde:</w:t>
            </w:r>
          </w:p>
          <w:p w14:paraId="5484FA50" w14:textId="77777777" w:rsidR="00A75C0F" w:rsidRPr="008A26D2" w:rsidRDefault="00A75C0F" w:rsidP="00AF5836">
            <w:pPr>
              <w:tabs>
                <w:tab w:val="left" w:pos="3375"/>
              </w:tabs>
              <w:ind w:left="467" w:hanging="284"/>
              <w:jc w:val="both"/>
              <w:rPr>
                <w:rFonts w:ascii="Arial" w:eastAsia="Arial Narrow" w:hAnsi="Arial" w:cs="Arial"/>
                <w:sz w:val="20"/>
                <w:szCs w:val="20"/>
              </w:rPr>
            </w:pPr>
            <w:r w:rsidRPr="008A26D2">
              <w:rPr>
                <w:rFonts w:ascii="Arial" w:eastAsia="Arial Narrow" w:hAnsi="Arial" w:cs="Arial"/>
                <w:sz w:val="20"/>
                <w:szCs w:val="20"/>
              </w:rPr>
              <w:t>A= Número de Autoridades Regionales Forestales y de Fauna Silvestre que recibieron asistencia técnica de forma pertinente en la formulación e implementación de planes de mejora continua e innovación publica</w:t>
            </w:r>
          </w:p>
          <w:p w14:paraId="0C83A4A2" w14:textId="77777777" w:rsidR="00A75C0F" w:rsidRPr="008A26D2" w:rsidRDefault="00A75C0F" w:rsidP="00AF5836">
            <w:pPr>
              <w:tabs>
                <w:tab w:val="left" w:pos="3375"/>
              </w:tabs>
              <w:ind w:left="467" w:hanging="284"/>
              <w:jc w:val="both"/>
              <w:rPr>
                <w:rFonts w:ascii="Arial" w:eastAsia="Arial Narrow" w:hAnsi="Arial" w:cs="Arial"/>
                <w:sz w:val="20"/>
                <w:szCs w:val="20"/>
              </w:rPr>
            </w:pPr>
            <w:r w:rsidRPr="008A26D2">
              <w:rPr>
                <w:rFonts w:ascii="Arial" w:eastAsia="Arial Narrow" w:hAnsi="Arial" w:cs="Arial"/>
                <w:sz w:val="20"/>
                <w:szCs w:val="20"/>
              </w:rPr>
              <w:t>B= Total de Autoridades Regionales Forestales y de Fauna Silvestre que recibieron asistencia técnica en la formulación e implementación de planes de mejora continua e innovación publica</w:t>
            </w:r>
          </w:p>
          <w:p w14:paraId="314F9EF6" w14:textId="77777777" w:rsidR="00A75C0F" w:rsidRPr="008A26D2" w:rsidRDefault="00A75C0F" w:rsidP="00AF5836">
            <w:pPr>
              <w:tabs>
                <w:tab w:val="left" w:pos="3375"/>
              </w:tabs>
              <w:ind w:left="325" w:hanging="283"/>
              <w:jc w:val="both"/>
              <w:rPr>
                <w:rFonts w:ascii="Arial" w:eastAsia="Arial Narrow" w:hAnsi="Arial" w:cs="Arial"/>
                <w:b/>
                <w:bCs/>
                <w:sz w:val="20"/>
                <w:szCs w:val="20"/>
              </w:rPr>
            </w:pPr>
            <w:r w:rsidRPr="008A26D2">
              <w:rPr>
                <w:rFonts w:ascii="Arial" w:eastAsia="Arial Narrow" w:hAnsi="Arial" w:cs="Arial"/>
                <w:b/>
                <w:bCs/>
                <w:sz w:val="20"/>
                <w:szCs w:val="20"/>
              </w:rPr>
              <w:t>2. Especificación técnica</w:t>
            </w:r>
          </w:p>
          <w:p w14:paraId="5692217A" w14:textId="77777777" w:rsidR="00A75C0F" w:rsidRPr="00347223" w:rsidRDefault="00A75C0F" w:rsidP="00AF5836">
            <w:pPr>
              <w:tabs>
                <w:tab w:val="left" w:pos="3375"/>
              </w:tabs>
              <w:jc w:val="both"/>
              <w:rPr>
                <w:rFonts w:ascii="Arial" w:eastAsia="Arial Narrow" w:hAnsi="Arial" w:cs="Arial"/>
                <w:sz w:val="20"/>
                <w:szCs w:val="20"/>
              </w:rPr>
            </w:pPr>
            <w:r w:rsidRPr="00347223">
              <w:rPr>
                <w:rFonts w:ascii="Arial" w:eastAsia="Arial Narrow" w:hAnsi="Arial" w:cs="Arial"/>
                <w:sz w:val="20"/>
                <w:szCs w:val="20"/>
              </w:rPr>
              <w:t xml:space="preserve">La variable A se determina cuando </w:t>
            </w:r>
            <w:r>
              <w:rPr>
                <w:rFonts w:ascii="Arial" w:eastAsia="Arial Narrow" w:hAnsi="Arial" w:cs="Arial"/>
                <w:sz w:val="20"/>
                <w:szCs w:val="20"/>
              </w:rPr>
              <w:t xml:space="preserve">la asistencia técnica </w:t>
            </w:r>
            <w:r w:rsidRPr="000227AA">
              <w:rPr>
                <w:rFonts w:ascii="Arial" w:eastAsia="Arial Narrow" w:hAnsi="Arial" w:cs="Arial"/>
                <w:sz w:val="20"/>
                <w:szCs w:val="20"/>
              </w:rPr>
              <w:t>para la formulación e implementación de planes de mejora continua e innovación pública</w:t>
            </w:r>
            <w:r>
              <w:rPr>
                <w:rFonts w:ascii="Arial" w:eastAsia="Arial Narrow" w:hAnsi="Arial" w:cs="Arial"/>
                <w:sz w:val="20"/>
                <w:szCs w:val="20"/>
              </w:rPr>
              <w:t xml:space="preserve"> </w:t>
            </w:r>
            <w:r w:rsidRPr="00347223">
              <w:rPr>
                <w:rFonts w:ascii="Arial" w:eastAsia="Arial Narrow" w:hAnsi="Arial" w:cs="Arial"/>
                <w:sz w:val="20"/>
                <w:szCs w:val="20"/>
              </w:rPr>
              <w:t>es entregad</w:t>
            </w:r>
            <w:r>
              <w:rPr>
                <w:rFonts w:ascii="Arial" w:eastAsia="Arial Narrow" w:hAnsi="Arial" w:cs="Arial"/>
                <w:sz w:val="20"/>
                <w:szCs w:val="20"/>
              </w:rPr>
              <w:t>a</w:t>
            </w:r>
            <w:r w:rsidRPr="00347223">
              <w:rPr>
                <w:rFonts w:ascii="Arial" w:eastAsia="Arial Narrow" w:hAnsi="Arial" w:cs="Arial"/>
                <w:sz w:val="20"/>
                <w:szCs w:val="20"/>
              </w:rPr>
              <w:t xml:space="preserve"> a las Autoridades Regionales Forestales y de Fauna Silvestre incorporando </w:t>
            </w:r>
            <w:r w:rsidRPr="000227AA">
              <w:rPr>
                <w:rFonts w:ascii="Arial" w:eastAsia="Arial Narrow" w:hAnsi="Arial" w:cs="Arial"/>
                <w:sz w:val="20"/>
                <w:szCs w:val="20"/>
              </w:rPr>
              <w:t>criterios territoriales, culturales, sociales y ambientales</w:t>
            </w:r>
            <w:r>
              <w:rPr>
                <w:rFonts w:ascii="Arial" w:eastAsia="Arial Narrow" w:hAnsi="Arial" w:cs="Arial"/>
                <w:sz w:val="20"/>
                <w:szCs w:val="20"/>
              </w:rPr>
              <w:t>.</w:t>
            </w:r>
          </w:p>
          <w:p w14:paraId="3F1B248E" w14:textId="087B5A9E" w:rsidR="00A75C0F" w:rsidRDefault="00A75C0F" w:rsidP="00AF5836">
            <w:pPr>
              <w:tabs>
                <w:tab w:val="left" w:pos="3375"/>
              </w:tabs>
              <w:jc w:val="both"/>
              <w:rPr>
                <w:rFonts w:ascii="Arial" w:eastAsia="Arial Narrow" w:hAnsi="Arial" w:cs="Arial"/>
                <w:sz w:val="20"/>
                <w:szCs w:val="20"/>
              </w:rPr>
            </w:pPr>
            <w:r w:rsidRPr="00347223">
              <w:rPr>
                <w:rFonts w:ascii="Arial" w:eastAsia="Arial Narrow" w:hAnsi="Arial" w:cs="Arial"/>
                <w:sz w:val="20"/>
                <w:szCs w:val="20"/>
              </w:rPr>
              <w:t xml:space="preserve">La variable B se determina </w:t>
            </w:r>
            <w:r w:rsidR="00256A23">
              <w:rPr>
                <w:rFonts w:ascii="Arial" w:eastAsia="Arial Narrow" w:hAnsi="Arial" w:cs="Arial"/>
                <w:sz w:val="20"/>
                <w:szCs w:val="20"/>
              </w:rPr>
              <w:t>en base</w:t>
            </w:r>
            <w:r w:rsidRPr="00347223">
              <w:rPr>
                <w:rFonts w:ascii="Arial" w:eastAsia="Arial Narrow" w:hAnsi="Arial" w:cs="Arial"/>
                <w:sz w:val="20"/>
                <w:szCs w:val="20"/>
              </w:rPr>
              <w:t xml:space="preserve"> </w:t>
            </w:r>
            <w:r w:rsidR="00256A23">
              <w:rPr>
                <w:rFonts w:ascii="Arial" w:eastAsia="Arial Narrow" w:hAnsi="Arial" w:cs="Arial"/>
                <w:sz w:val="20"/>
                <w:szCs w:val="20"/>
              </w:rPr>
              <w:t>a</w:t>
            </w:r>
            <w:r w:rsidRPr="00347223">
              <w:rPr>
                <w:rFonts w:ascii="Arial" w:eastAsia="Arial Narrow" w:hAnsi="Arial" w:cs="Arial"/>
                <w:sz w:val="20"/>
                <w:szCs w:val="20"/>
              </w:rPr>
              <w:t xml:space="preserve">l total de </w:t>
            </w:r>
            <w:r w:rsidRPr="008A26D2">
              <w:rPr>
                <w:rFonts w:ascii="Arial" w:eastAsia="Arial Narrow" w:hAnsi="Arial" w:cs="Arial"/>
                <w:sz w:val="20"/>
                <w:szCs w:val="20"/>
              </w:rPr>
              <w:t>Autoridades Regionales Forestales y de Fauna Silvestre</w:t>
            </w:r>
            <w:r>
              <w:rPr>
                <w:rFonts w:ascii="Arial" w:eastAsia="Arial Narrow" w:hAnsi="Arial" w:cs="Arial"/>
                <w:sz w:val="20"/>
                <w:szCs w:val="20"/>
              </w:rPr>
              <w:t>, los cuales suman 26.</w:t>
            </w:r>
          </w:p>
          <w:p w14:paraId="0F563042" w14:textId="77777777" w:rsidR="00A75C0F" w:rsidRPr="008A26D2" w:rsidRDefault="00A75C0F" w:rsidP="00AF5836">
            <w:pPr>
              <w:tabs>
                <w:tab w:val="left" w:pos="3375"/>
              </w:tabs>
              <w:jc w:val="both"/>
              <w:rPr>
                <w:rFonts w:ascii="Arial" w:eastAsia="Arial Narrow" w:hAnsi="Arial" w:cs="Arial"/>
                <w:sz w:val="20"/>
                <w:szCs w:val="20"/>
              </w:rPr>
            </w:pPr>
            <w:r w:rsidRPr="008A26D2">
              <w:rPr>
                <w:rFonts w:ascii="Arial" w:eastAsia="Arial Narrow" w:hAnsi="Arial" w:cs="Arial"/>
                <w:sz w:val="20"/>
                <w:szCs w:val="20"/>
              </w:rPr>
              <w:t xml:space="preserve">Se considera que la asistencia técnica es pertinente cuando en el diseño y la implementación del servicio incorporan aspectos específicos de cada territorio, debido, a la diversidad cultural, el contexto ambiental, las </w:t>
            </w:r>
            <w:r w:rsidRPr="008A26D2">
              <w:rPr>
                <w:rFonts w:ascii="Arial" w:eastAsia="Arial Narrow" w:hAnsi="Arial" w:cs="Arial"/>
                <w:sz w:val="20"/>
                <w:szCs w:val="20"/>
              </w:rPr>
              <w:lastRenderedPageBreak/>
              <w:t xml:space="preserve">formas de organización institucional, entre otros que son características particulares de cada zona. </w:t>
            </w:r>
          </w:p>
          <w:p w14:paraId="4A4E6E00" w14:textId="7F501079" w:rsidR="00A75C0F" w:rsidRPr="008A26D2" w:rsidRDefault="00A75C0F" w:rsidP="00881C3C">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Se carece de línea base porque el servicio es nuevo, por ese motivo, el SERFOR determinará la línea base antes del inicio de la implementación de la presente Política Nacional.</w:t>
            </w:r>
          </w:p>
        </w:tc>
      </w:tr>
      <w:tr w:rsidR="00A75C0F" w:rsidRPr="008A26D2" w14:paraId="053165EE" w14:textId="77777777" w:rsidTr="00AF5836">
        <w:trPr>
          <w:trHeight w:val="558"/>
          <w:jc w:val="center"/>
        </w:trPr>
        <w:tc>
          <w:tcPr>
            <w:tcW w:w="20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7FABB3A" w14:textId="77777777" w:rsidR="00A75C0F" w:rsidRPr="008A26D2" w:rsidRDefault="00A75C0F" w:rsidP="00AF5836">
            <w:pPr>
              <w:tabs>
                <w:tab w:val="left" w:pos="3375"/>
              </w:tabs>
              <w:jc w:val="both"/>
              <w:rPr>
                <w:rFonts w:ascii="Arial" w:eastAsia="Arial Narrow" w:hAnsi="Arial" w:cs="Arial"/>
                <w:b/>
                <w:sz w:val="20"/>
                <w:szCs w:val="20"/>
              </w:rPr>
            </w:pPr>
            <w:r w:rsidRPr="008A26D2">
              <w:rPr>
                <w:rFonts w:ascii="Arial" w:eastAsia="Arial Narrow" w:hAnsi="Arial" w:cs="Arial"/>
                <w:b/>
                <w:sz w:val="20"/>
                <w:szCs w:val="20"/>
              </w:rPr>
              <w:lastRenderedPageBreak/>
              <w:t>Sentido esperado del indicador:</w:t>
            </w:r>
          </w:p>
        </w:tc>
        <w:tc>
          <w:tcPr>
            <w:tcW w:w="264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8ED6E5F" w14:textId="77777777" w:rsidR="00A75C0F" w:rsidRPr="008A26D2" w:rsidRDefault="00A75C0F" w:rsidP="00AF5836">
            <w:pPr>
              <w:tabs>
                <w:tab w:val="left" w:pos="3375"/>
              </w:tabs>
              <w:jc w:val="both"/>
              <w:rPr>
                <w:rFonts w:ascii="Arial" w:eastAsia="Arial Narrow" w:hAnsi="Arial" w:cs="Arial"/>
                <w:sz w:val="20"/>
                <w:szCs w:val="20"/>
              </w:rPr>
            </w:pPr>
            <w:r w:rsidRPr="008A26D2">
              <w:rPr>
                <w:rFonts w:ascii="Arial" w:eastAsia="Arial Narrow" w:hAnsi="Arial" w:cs="Arial"/>
                <w:sz w:val="20"/>
                <w:szCs w:val="20"/>
              </w:rPr>
              <w:t>Ascendente</w:t>
            </w:r>
          </w:p>
        </w:tc>
        <w:tc>
          <w:tcPr>
            <w:tcW w:w="174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7B0053C" w14:textId="77777777" w:rsidR="00A75C0F" w:rsidRPr="008A26D2" w:rsidRDefault="00A75C0F" w:rsidP="00256A23">
            <w:pPr>
              <w:tabs>
                <w:tab w:val="left" w:pos="3375"/>
              </w:tabs>
              <w:rPr>
                <w:rFonts w:ascii="Arial" w:eastAsia="Arial Narrow" w:hAnsi="Arial" w:cs="Arial"/>
                <w:b/>
                <w:sz w:val="20"/>
                <w:szCs w:val="20"/>
              </w:rPr>
            </w:pPr>
            <w:r w:rsidRPr="008A26D2">
              <w:rPr>
                <w:rFonts w:ascii="Arial" w:eastAsia="Arial Narrow" w:hAnsi="Arial" w:cs="Arial"/>
                <w:b/>
                <w:sz w:val="20"/>
                <w:szCs w:val="20"/>
              </w:rPr>
              <w:t>Tipo de indicador de servicio</w:t>
            </w:r>
          </w:p>
        </w:tc>
        <w:tc>
          <w:tcPr>
            <w:tcW w:w="209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6C596A8" w14:textId="77777777" w:rsidR="00A75C0F" w:rsidRPr="008A26D2" w:rsidRDefault="00A75C0F" w:rsidP="00AF5836">
            <w:pPr>
              <w:tabs>
                <w:tab w:val="left" w:pos="3375"/>
              </w:tabs>
              <w:jc w:val="both"/>
              <w:rPr>
                <w:rFonts w:ascii="Arial" w:eastAsia="Arial Narrow" w:hAnsi="Arial" w:cs="Arial"/>
                <w:sz w:val="20"/>
                <w:szCs w:val="20"/>
              </w:rPr>
            </w:pPr>
            <w:r w:rsidRPr="008A26D2">
              <w:rPr>
                <w:rFonts w:ascii="Arial" w:eastAsia="Arial Narrow" w:hAnsi="Arial" w:cs="Arial"/>
                <w:sz w:val="20"/>
                <w:szCs w:val="20"/>
              </w:rPr>
              <w:t>Calidad - Pertinencia</w:t>
            </w:r>
          </w:p>
        </w:tc>
      </w:tr>
      <w:tr w:rsidR="00A75C0F" w:rsidRPr="008A26D2" w14:paraId="0C1C0E5D" w14:textId="77777777" w:rsidTr="00AF5836">
        <w:trPr>
          <w:trHeight w:val="532"/>
          <w:jc w:val="center"/>
        </w:trPr>
        <w:tc>
          <w:tcPr>
            <w:tcW w:w="20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200618" w14:textId="77777777" w:rsidR="00A75C0F" w:rsidRPr="008A26D2" w:rsidRDefault="00A75C0F" w:rsidP="00AF5836">
            <w:pPr>
              <w:tabs>
                <w:tab w:val="left" w:pos="3375"/>
              </w:tabs>
              <w:jc w:val="both"/>
              <w:rPr>
                <w:rFonts w:ascii="Arial" w:eastAsia="Arial Narrow" w:hAnsi="Arial" w:cs="Arial"/>
                <w:b/>
                <w:sz w:val="20"/>
                <w:szCs w:val="20"/>
              </w:rPr>
            </w:pPr>
            <w:r w:rsidRPr="008A26D2">
              <w:rPr>
                <w:rFonts w:ascii="Arial" w:eastAsia="Arial Narrow" w:hAnsi="Arial" w:cs="Arial"/>
                <w:b/>
                <w:sz w:val="20"/>
                <w:szCs w:val="20"/>
              </w:rPr>
              <w:t>Fuente y base de datos:</w:t>
            </w:r>
          </w:p>
        </w:tc>
        <w:tc>
          <w:tcPr>
            <w:tcW w:w="6484"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0E96AE20" w14:textId="77777777" w:rsidR="00A75C0F" w:rsidRPr="008A26D2" w:rsidRDefault="00A75C0F" w:rsidP="00AF5836">
            <w:pPr>
              <w:tabs>
                <w:tab w:val="left" w:pos="3375"/>
              </w:tabs>
              <w:jc w:val="both"/>
              <w:rPr>
                <w:rFonts w:ascii="Arial" w:eastAsia="Arial Narrow" w:hAnsi="Arial" w:cs="Arial"/>
                <w:sz w:val="20"/>
                <w:szCs w:val="20"/>
              </w:rPr>
            </w:pPr>
            <w:r w:rsidRPr="008A26D2">
              <w:rPr>
                <w:rFonts w:ascii="Arial" w:eastAsia="Arial Narrow" w:hAnsi="Arial" w:cs="Arial"/>
                <w:sz w:val="20"/>
                <w:szCs w:val="20"/>
              </w:rPr>
              <w:t xml:space="preserve">Fuente: Dirección de Gestión de Conocimiento del </w:t>
            </w:r>
            <w:r>
              <w:rPr>
                <w:rFonts w:ascii="Arial" w:eastAsia="Arial Narrow" w:hAnsi="Arial" w:cs="Arial"/>
                <w:sz w:val="20"/>
                <w:szCs w:val="20"/>
              </w:rPr>
              <w:t xml:space="preserve">Servicio Nacional Forestal y de Fauna Silvestre – </w:t>
            </w:r>
            <w:r w:rsidRPr="008A26D2">
              <w:rPr>
                <w:rFonts w:ascii="Arial" w:eastAsia="Arial Narrow" w:hAnsi="Arial" w:cs="Arial"/>
                <w:sz w:val="20"/>
                <w:szCs w:val="20"/>
              </w:rPr>
              <w:t>SERFOR</w:t>
            </w:r>
            <w:r>
              <w:rPr>
                <w:rFonts w:ascii="Arial" w:eastAsia="Arial Narrow" w:hAnsi="Arial" w:cs="Arial"/>
                <w:sz w:val="20"/>
                <w:szCs w:val="20"/>
              </w:rPr>
              <w:t>.</w:t>
            </w:r>
          </w:p>
          <w:p w14:paraId="45A2A837" w14:textId="3D94F130" w:rsidR="00A75C0F" w:rsidRPr="008A26D2" w:rsidRDefault="00A75C0F" w:rsidP="00AF5836">
            <w:pPr>
              <w:tabs>
                <w:tab w:val="left" w:pos="3375"/>
              </w:tabs>
              <w:jc w:val="both"/>
              <w:rPr>
                <w:rFonts w:ascii="Arial" w:eastAsia="Arial Narrow" w:hAnsi="Arial" w:cs="Arial"/>
                <w:sz w:val="20"/>
                <w:szCs w:val="20"/>
              </w:rPr>
            </w:pPr>
            <w:r w:rsidRPr="008A26D2">
              <w:rPr>
                <w:rFonts w:ascii="Arial" w:eastAsia="Arial Narrow" w:hAnsi="Arial" w:cs="Arial"/>
                <w:sz w:val="20"/>
                <w:szCs w:val="20"/>
              </w:rPr>
              <w:t>Base de datos: Reporte de la Dirección de Gestión de Conocimiento</w:t>
            </w:r>
            <w:r>
              <w:rPr>
                <w:rFonts w:ascii="Arial" w:eastAsia="Arial Narrow" w:hAnsi="Arial" w:cs="Arial"/>
                <w:sz w:val="20"/>
                <w:szCs w:val="20"/>
              </w:rPr>
              <w:t>.</w:t>
            </w:r>
          </w:p>
        </w:tc>
      </w:tr>
      <w:tr w:rsidR="00A75C0F" w:rsidRPr="008A26D2" w14:paraId="1D36EB76" w14:textId="77777777" w:rsidTr="00AF5836">
        <w:trPr>
          <w:trHeight w:val="532"/>
          <w:jc w:val="center"/>
        </w:trPr>
        <w:tc>
          <w:tcPr>
            <w:tcW w:w="20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B5FCB18" w14:textId="77777777" w:rsidR="00A75C0F" w:rsidRPr="008A26D2" w:rsidRDefault="00A75C0F" w:rsidP="00AF5836">
            <w:pPr>
              <w:tabs>
                <w:tab w:val="left" w:pos="3375"/>
              </w:tabs>
              <w:jc w:val="both"/>
              <w:rPr>
                <w:rFonts w:ascii="Arial" w:eastAsia="Arial Narrow" w:hAnsi="Arial" w:cs="Arial"/>
                <w:b/>
                <w:sz w:val="20"/>
                <w:szCs w:val="20"/>
              </w:rPr>
            </w:pPr>
            <w:r w:rsidRPr="008A26D2">
              <w:rPr>
                <w:rFonts w:ascii="Arial" w:eastAsia="Arial Narrow" w:hAnsi="Arial" w:cs="Arial"/>
                <w:b/>
                <w:sz w:val="20"/>
                <w:szCs w:val="20"/>
              </w:rPr>
              <w:t>Supuestos:</w:t>
            </w:r>
          </w:p>
        </w:tc>
        <w:tc>
          <w:tcPr>
            <w:tcW w:w="6484"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14FF323C" w14:textId="77777777" w:rsidR="00A75C0F" w:rsidRPr="008A26D2" w:rsidRDefault="00A75C0F" w:rsidP="00AF5836">
            <w:pPr>
              <w:tabs>
                <w:tab w:val="left" w:pos="3375"/>
              </w:tabs>
              <w:jc w:val="both"/>
              <w:rPr>
                <w:rFonts w:ascii="Arial" w:eastAsia="Arial Narrow" w:hAnsi="Arial" w:cs="Arial"/>
                <w:sz w:val="20"/>
                <w:szCs w:val="20"/>
              </w:rPr>
            </w:pPr>
            <w:r w:rsidRPr="008A26D2">
              <w:rPr>
                <w:rFonts w:ascii="Arial" w:eastAsia="Arial Narrow" w:hAnsi="Arial" w:cs="Arial"/>
                <w:sz w:val="20"/>
                <w:szCs w:val="20"/>
              </w:rPr>
              <w:t>Interés y disponibilidad de las Autoridades Regionales Forestales y de Fauna Silvestre en el fortalecimiento de sus servidores en la mejora continua de su gestión</w:t>
            </w:r>
            <w:r>
              <w:rPr>
                <w:rFonts w:ascii="Arial" w:eastAsia="Arial Narrow" w:hAnsi="Arial" w:cs="Arial"/>
                <w:sz w:val="20"/>
                <w:szCs w:val="20"/>
              </w:rPr>
              <w:t>.</w:t>
            </w:r>
          </w:p>
        </w:tc>
      </w:tr>
      <w:tr w:rsidR="00A75C0F" w:rsidRPr="008A26D2" w14:paraId="3FCC348D" w14:textId="77777777" w:rsidTr="00AF5836">
        <w:trPr>
          <w:trHeight w:val="532"/>
          <w:jc w:val="center"/>
        </w:trPr>
        <w:tc>
          <w:tcPr>
            <w:tcW w:w="739" w:type="dxa"/>
            <w:tcBorders>
              <w:top w:val="single" w:sz="4" w:space="0" w:color="auto"/>
              <w:left w:val="single" w:sz="4" w:space="0" w:color="auto"/>
              <w:bottom w:val="single" w:sz="4" w:space="0" w:color="auto"/>
              <w:right w:val="single" w:sz="4" w:space="0" w:color="auto"/>
            </w:tcBorders>
            <w:shd w:val="clear" w:color="auto" w:fill="auto"/>
            <w:vAlign w:val="center"/>
          </w:tcPr>
          <w:p w14:paraId="5EF3C22A" w14:textId="77777777" w:rsidR="00A75C0F" w:rsidRPr="008A26D2" w:rsidRDefault="00A75C0F" w:rsidP="00AF5836">
            <w:pPr>
              <w:tabs>
                <w:tab w:val="left" w:pos="3375"/>
              </w:tabs>
              <w:jc w:val="both"/>
              <w:rPr>
                <w:rFonts w:ascii="Arial" w:eastAsia="Arial Narrow" w:hAnsi="Arial" w:cs="Arial"/>
                <w:sz w:val="20"/>
                <w:szCs w:val="20"/>
              </w:rPr>
            </w:pP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14:paraId="486CBD38" w14:textId="77777777" w:rsidR="00A75C0F" w:rsidRPr="008A26D2" w:rsidRDefault="00A75C0F" w:rsidP="00AF5836">
            <w:pPr>
              <w:tabs>
                <w:tab w:val="left" w:pos="3375"/>
              </w:tabs>
              <w:jc w:val="center"/>
              <w:rPr>
                <w:rFonts w:ascii="Arial" w:eastAsia="Arial Narrow" w:hAnsi="Arial" w:cs="Arial"/>
                <w:b/>
                <w:sz w:val="20"/>
                <w:szCs w:val="20"/>
              </w:rPr>
            </w:pPr>
            <w:r w:rsidRPr="008A26D2">
              <w:rPr>
                <w:rFonts w:ascii="Arial" w:eastAsia="Arial Narrow" w:hAnsi="Arial" w:cs="Arial"/>
                <w:b/>
                <w:sz w:val="20"/>
                <w:szCs w:val="20"/>
              </w:rPr>
              <w:t>Línea de base</w:t>
            </w:r>
          </w:p>
        </w:tc>
        <w:tc>
          <w:tcPr>
            <w:tcW w:w="6484"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0EA3DFC5" w14:textId="77777777" w:rsidR="00A75C0F" w:rsidRPr="008A26D2" w:rsidRDefault="00A75C0F" w:rsidP="00AF5836">
            <w:pPr>
              <w:tabs>
                <w:tab w:val="left" w:pos="3375"/>
              </w:tabs>
              <w:jc w:val="center"/>
              <w:rPr>
                <w:rFonts w:ascii="Arial" w:eastAsia="Arial Narrow" w:hAnsi="Arial" w:cs="Arial"/>
                <w:b/>
                <w:sz w:val="20"/>
                <w:szCs w:val="20"/>
              </w:rPr>
            </w:pPr>
            <w:r w:rsidRPr="008A26D2">
              <w:rPr>
                <w:rFonts w:ascii="Arial" w:eastAsia="Arial Narrow" w:hAnsi="Arial" w:cs="Arial"/>
                <w:b/>
                <w:sz w:val="20"/>
                <w:szCs w:val="20"/>
              </w:rPr>
              <w:t xml:space="preserve">Logros esperados </w:t>
            </w:r>
          </w:p>
        </w:tc>
      </w:tr>
      <w:tr w:rsidR="00A75C0F" w:rsidRPr="008A26D2" w14:paraId="77CCDE36" w14:textId="77777777" w:rsidTr="00AF5836">
        <w:trPr>
          <w:trHeight w:val="334"/>
          <w:jc w:val="center"/>
        </w:trPr>
        <w:tc>
          <w:tcPr>
            <w:tcW w:w="739" w:type="dxa"/>
            <w:tcBorders>
              <w:top w:val="single" w:sz="4" w:space="0" w:color="auto"/>
              <w:left w:val="single" w:sz="4" w:space="0" w:color="auto"/>
              <w:bottom w:val="single" w:sz="4" w:space="0" w:color="auto"/>
              <w:right w:val="single" w:sz="4" w:space="0" w:color="auto"/>
            </w:tcBorders>
            <w:shd w:val="clear" w:color="auto" w:fill="auto"/>
            <w:vAlign w:val="center"/>
          </w:tcPr>
          <w:p w14:paraId="1808D09A" w14:textId="77777777" w:rsidR="00A75C0F" w:rsidRPr="008A26D2" w:rsidRDefault="00A75C0F" w:rsidP="00AF5836">
            <w:pPr>
              <w:tabs>
                <w:tab w:val="left" w:pos="3375"/>
              </w:tabs>
              <w:jc w:val="both"/>
              <w:rPr>
                <w:rFonts w:ascii="Arial" w:eastAsia="Arial Narrow" w:hAnsi="Arial" w:cs="Arial"/>
                <w:b/>
                <w:sz w:val="20"/>
                <w:szCs w:val="20"/>
              </w:rPr>
            </w:pPr>
            <w:r w:rsidRPr="008A26D2">
              <w:rPr>
                <w:rFonts w:ascii="Arial" w:eastAsia="Arial Narrow" w:hAnsi="Arial" w:cs="Arial"/>
                <w:b/>
                <w:sz w:val="20"/>
                <w:szCs w:val="20"/>
              </w:rPr>
              <w:t>Año</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14:paraId="25377372" w14:textId="77777777" w:rsidR="00A75C0F" w:rsidRPr="008A26D2" w:rsidRDefault="00A75C0F" w:rsidP="00AF5836">
            <w:pPr>
              <w:tabs>
                <w:tab w:val="left" w:pos="3375"/>
              </w:tabs>
              <w:jc w:val="center"/>
              <w:rPr>
                <w:rFonts w:ascii="Arial" w:eastAsia="Arial Narrow" w:hAnsi="Arial" w:cs="Arial"/>
                <w:b/>
                <w:sz w:val="20"/>
                <w:szCs w:val="20"/>
              </w:rPr>
            </w:pPr>
            <w:r w:rsidRPr="008A26D2">
              <w:rPr>
                <w:rFonts w:ascii="Arial" w:eastAsia="Arial Narrow" w:hAnsi="Arial" w:cs="Arial"/>
                <w:b/>
                <w:sz w:val="20"/>
                <w:szCs w:val="20"/>
              </w:rPr>
              <w:t>2022</w:t>
            </w:r>
          </w:p>
        </w:tc>
        <w:tc>
          <w:tcPr>
            <w:tcW w:w="1040" w:type="dxa"/>
            <w:tcBorders>
              <w:top w:val="single" w:sz="4" w:space="0" w:color="auto"/>
              <w:left w:val="single" w:sz="4" w:space="0" w:color="auto"/>
              <w:bottom w:val="single" w:sz="4" w:space="0" w:color="auto"/>
              <w:right w:val="single" w:sz="4" w:space="0" w:color="auto"/>
            </w:tcBorders>
            <w:shd w:val="clear" w:color="auto" w:fill="auto"/>
            <w:vAlign w:val="center"/>
          </w:tcPr>
          <w:p w14:paraId="5B54AB89" w14:textId="77777777" w:rsidR="00A75C0F" w:rsidRPr="008A26D2" w:rsidRDefault="00A75C0F" w:rsidP="00AF5836">
            <w:pPr>
              <w:tabs>
                <w:tab w:val="left" w:pos="3375"/>
              </w:tabs>
              <w:jc w:val="center"/>
              <w:rPr>
                <w:rFonts w:ascii="Arial" w:eastAsia="Arial Narrow" w:hAnsi="Arial" w:cs="Arial"/>
                <w:b/>
                <w:sz w:val="20"/>
                <w:szCs w:val="20"/>
              </w:rPr>
            </w:pPr>
            <w:r w:rsidRPr="008A26D2">
              <w:rPr>
                <w:rFonts w:ascii="Arial" w:eastAsia="Arial Narrow" w:hAnsi="Arial" w:cs="Arial"/>
                <w:b/>
                <w:sz w:val="20"/>
                <w:szCs w:val="20"/>
              </w:rPr>
              <w:t>2023</w:t>
            </w:r>
          </w:p>
        </w:tc>
        <w:tc>
          <w:tcPr>
            <w:tcW w:w="893" w:type="dxa"/>
            <w:tcBorders>
              <w:top w:val="single" w:sz="4" w:space="0" w:color="auto"/>
              <w:left w:val="single" w:sz="4" w:space="0" w:color="auto"/>
              <w:bottom w:val="single" w:sz="4" w:space="0" w:color="auto"/>
              <w:right w:val="single" w:sz="4" w:space="0" w:color="auto"/>
            </w:tcBorders>
            <w:shd w:val="clear" w:color="auto" w:fill="auto"/>
            <w:vAlign w:val="center"/>
          </w:tcPr>
          <w:p w14:paraId="5A459FC7" w14:textId="77777777" w:rsidR="00A75C0F" w:rsidRPr="008A26D2" w:rsidRDefault="00A75C0F" w:rsidP="00AF5836">
            <w:pPr>
              <w:tabs>
                <w:tab w:val="left" w:pos="3375"/>
              </w:tabs>
              <w:jc w:val="center"/>
              <w:rPr>
                <w:rFonts w:ascii="Arial" w:eastAsia="Arial Narrow" w:hAnsi="Arial" w:cs="Arial"/>
                <w:b/>
                <w:sz w:val="20"/>
                <w:szCs w:val="20"/>
              </w:rPr>
            </w:pPr>
            <w:r w:rsidRPr="008A26D2">
              <w:rPr>
                <w:rFonts w:ascii="Arial" w:eastAsia="Arial Narrow" w:hAnsi="Arial" w:cs="Arial"/>
                <w:b/>
                <w:sz w:val="20"/>
                <w:szCs w:val="20"/>
              </w:rPr>
              <w:t>2024</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3C0F7C8B" w14:textId="77777777" w:rsidR="00A75C0F" w:rsidRPr="008A26D2" w:rsidRDefault="00A75C0F" w:rsidP="00AF5836">
            <w:pPr>
              <w:tabs>
                <w:tab w:val="left" w:pos="3375"/>
              </w:tabs>
              <w:jc w:val="center"/>
              <w:rPr>
                <w:rFonts w:ascii="Arial" w:eastAsia="Arial Narrow" w:hAnsi="Arial" w:cs="Arial"/>
                <w:b/>
                <w:sz w:val="20"/>
                <w:szCs w:val="20"/>
              </w:rPr>
            </w:pPr>
            <w:r w:rsidRPr="008A26D2">
              <w:rPr>
                <w:rFonts w:ascii="Arial" w:eastAsia="Arial Narrow" w:hAnsi="Arial" w:cs="Arial"/>
                <w:b/>
                <w:sz w:val="20"/>
                <w:szCs w:val="20"/>
              </w:rPr>
              <w:t>2025</w:t>
            </w:r>
          </w:p>
        </w:tc>
        <w:tc>
          <w:tcPr>
            <w:tcW w:w="742" w:type="dxa"/>
            <w:tcBorders>
              <w:top w:val="single" w:sz="4" w:space="0" w:color="auto"/>
              <w:left w:val="single" w:sz="4" w:space="0" w:color="auto"/>
              <w:bottom w:val="single" w:sz="4" w:space="0" w:color="auto"/>
              <w:right w:val="single" w:sz="4" w:space="0" w:color="auto"/>
            </w:tcBorders>
            <w:shd w:val="clear" w:color="auto" w:fill="auto"/>
            <w:vAlign w:val="center"/>
          </w:tcPr>
          <w:p w14:paraId="3929C5E0" w14:textId="77777777" w:rsidR="00A75C0F" w:rsidRPr="008A26D2" w:rsidRDefault="00A75C0F" w:rsidP="00AF5836">
            <w:pPr>
              <w:tabs>
                <w:tab w:val="left" w:pos="3375"/>
              </w:tabs>
              <w:jc w:val="center"/>
              <w:rPr>
                <w:rFonts w:ascii="Arial" w:eastAsia="Arial Narrow" w:hAnsi="Arial" w:cs="Arial"/>
                <w:b/>
                <w:sz w:val="20"/>
                <w:szCs w:val="20"/>
              </w:rPr>
            </w:pPr>
            <w:r w:rsidRPr="008A26D2">
              <w:rPr>
                <w:rFonts w:ascii="Arial" w:eastAsia="Arial Narrow" w:hAnsi="Arial" w:cs="Arial"/>
                <w:b/>
                <w:sz w:val="20"/>
                <w:szCs w:val="20"/>
              </w:rPr>
              <w:t>2026</w:t>
            </w:r>
          </w:p>
        </w:tc>
        <w:tc>
          <w:tcPr>
            <w:tcW w:w="866" w:type="dxa"/>
            <w:tcBorders>
              <w:top w:val="single" w:sz="4" w:space="0" w:color="auto"/>
              <w:left w:val="single" w:sz="4" w:space="0" w:color="auto"/>
              <w:bottom w:val="single" w:sz="4" w:space="0" w:color="auto"/>
              <w:right w:val="single" w:sz="4" w:space="0" w:color="auto"/>
            </w:tcBorders>
            <w:shd w:val="clear" w:color="auto" w:fill="auto"/>
            <w:vAlign w:val="center"/>
          </w:tcPr>
          <w:p w14:paraId="1298F300" w14:textId="77777777" w:rsidR="00A75C0F" w:rsidRPr="008A26D2" w:rsidRDefault="00A75C0F" w:rsidP="00AF5836">
            <w:pPr>
              <w:tabs>
                <w:tab w:val="left" w:pos="3375"/>
              </w:tabs>
              <w:jc w:val="center"/>
              <w:rPr>
                <w:rFonts w:ascii="Arial" w:eastAsia="Arial Narrow" w:hAnsi="Arial" w:cs="Arial"/>
                <w:b/>
                <w:sz w:val="20"/>
                <w:szCs w:val="20"/>
              </w:rPr>
            </w:pPr>
            <w:r w:rsidRPr="008A26D2">
              <w:rPr>
                <w:rFonts w:ascii="Arial" w:eastAsia="Arial Narrow" w:hAnsi="Arial" w:cs="Arial"/>
                <w:b/>
                <w:sz w:val="20"/>
                <w:szCs w:val="20"/>
              </w:rPr>
              <w:t>2027</w:t>
            </w:r>
          </w:p>
        </w:tc>
        <w:tc>
          <w:tcPr>
            <w:tcW w:w="68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0AF0B90" w14:textId="77777777" w:rsidR="00A75C0F" w:rsidRPr="008A26D2" w:rsidRDefault="00A75C0F" w:rsidP="00AF5836">
            <w:pPr>
              <w:tabs>
                <w:tab w:val="left" w:pos="3375"/>
              </w:tabs>
              <w:jc w:val="center"/>
              <w:rPr>
                <w:rFonts w:ascii="Arial" w:eastAsia="Arial Narrow" w:hAnsi="Arial" w:cs="Arial"/>
                <w:b/>
                <w:sz w:val="20"/>
                <w:szCs w:val="20"/>
              </w:rPr>
            </w:pPr>
            <w:r w:rsidRPr="008A26D2">
              <w:rPr>
                <w:rFonts w:ascii="Arial" w:eastAsia="Arial Narrow" w:hAnsi="Arial" w:cs="Arial"/>
                <w:b/>
                <w:sz w:val="20"/>
                <w:szCs w:val="20"/>
              </w:rPr>
              <w:t>2028</w:t>
            </w:r>
          </w:p>
        </w:tc>
        <w:tc>
          <w:tcPr>
            <w:tcW w:w="688" w:type="dxa"/>
            <w:tcBorders>
              <w:top w:val="single" w:sz="4" w:space="0" w:color="auto"/>
              <w:left w:val="single" w:sz="4" w:space="0" w:color="auto"/>
              <w:bottom w:val="single" w:sz="4" w:space="0" w:color="auto"/>
              <w:right w:val="single" w:sz="4" w:space="0" w:color="auto"/>
            </w:tcBorders>
            <w:shd w:val="clear" w:color="auto" w:fill="auto"/>
            <w:vAlign w:val="center"/>
          </w:tcPr>
          <w:p w14:paraId="265B4E82" w14:textId="77777777" w:rsidR="00A75C0F" w:rsidRPr="008A26D2" w:rsidRDefault="00A75C0F" w:rsidP="00AF5836">
            <w:pPr>
              <w:tabs>
                <w:tab w:val="left" w:pos="3375"/>
              </w:tabs>
              <w:jc w:val="center"/>
              <w:rPr>
                <w:rFonts w:ascii="Arial" w:eastAsia="Arial Narrow" w:hAnsi="Arial" w:cs="Arial"/>
                <w:b/>
                <w:sz w:val="20"/>
                <w:szCs w:val="20"/>
              </w:rPr>
            </w:pPr>
            <w:r w:rsidRPr="008A26D2">
              <w:rPr>
                <w:rFonts w:ascii="Arial" w:eastAsia="Arial Narrow" w:hAnsi="Arial" w:cs="Arial"/>
                <w:b/>
                <w:sz w:val="20"/>
                <w:szCs w:val="20"/>
              </w:rPr>
              <w:t>2029</w:t>
            </w:r>
          </w:p>
        </w:tc>
        <w:tc>
          <w:tcPr>
            <w:tcW w:w="865" w:type="dxa"/>
            <w:tcBorders>
              <w:top w:val="single" w:sz="4" w:space="0" w:color="auto"/>
              <w:left w:val="single" w:sz="4" w:space="0" w:color="auto"/>
              <w:bottom w:val="single" w:sz="4" w:space="0" w:color="auto"/>
              <w:right w:val="single" w:sz="4" w:space="0" w:color="auto"/>
            </w:tcBorders>
            <w:shd w:val="clear" w:color="auto" w:fill="auto"/>
            <w:vAlign w:val="center"/>
          </w:tcPr>
          <w:p w14:paraId="17DF97BD" w14:textId="77777777" w:rsidR="00A75C0F" w:rsidRPr="008A26D2" w:rsidRDefault="00A75C0F" w:rsidP="00AF5836">
            <w:pPr>
              <w:tabs>
                <w:tab w:val="left" w:pos="3375"/>
              </w:tabs>
              <w:jc w:val="center"/>
              <w:rPr>
                <w:rFonts w:ascii="Arial" w:eastAsia="Arial Narrow" w:hAnsi="Arial" w:cs="Arial"/>
                <w:b/>
                <w:sz w:val="20"/>
                <w:szCs w:val="20"/>
              </w:rPr>
            </w:pPr>
            <w:r w:rsidRPr="008A26D2">
              <w:rPr>
                <w:rFonts w:ascii="Arial" w:eastAsia="Arial Narrow" w:hAnsi="Arial" w:cs="Arial"/>
                <w:b/>
                <w:sz w:val="20"/>
                <w:szCs w:val="20"/>
              </w:rPr>
              <w:t>2030</w:t>
            </w:r>
          </w:p>
        </w:tc>
      </w:tr>
      <w:tr w:rsidR="00A75C0F" w:rsidRPr="008A26D2" w14:paraId="4E5A2F35" w14:textId="77777777" w:rsidTr="00AF5836">
        <w:trPr>
          <w:trHeight w:val="410"/>
          <w:jc w:val="center"/>
        </w:trPr>
        <w:tc>
          <w:tcPr>
            <w:tcW w:w="739" w:type="dxa"/>
            <w:tcBorders>
              <w:top w:val="single" w:sz="4" w:space="0" w:color="auto"/>
              <w:left w:val="single" w:sz="4" w:space="0" w:color="auto"/>
              <w:bottom w:val="single" w:sz="4" w:space="0" w:color="auto"/>
              <w:right w:val="single" w:sz="4" w:space="0" w:color="auto"/>
            </w:tcBorders>
            <w:shd w:val="clear" w:color="auto" w:fill="auto"/>
            <w:vAlign w:val="center"/>
          </w:tcPr>
          <w:p w14:paraId="0975B26F" w14:textId="77777777" w:rsidR="00A75C0F" w:rsidRPr="008A26D2" w:rsidRDefault="00A75C0F" w:rsidP="00AF5836">
            <w:pPr>
              <w:tabs>
                <w:tab w:val="left" w:pos="3375"/>
              </w:tabs>
              <w:jc w:val="center"/>
              <w:rPr>
                <w:rFonts w:ascii="Arial" w:eastAsia="Arial Narrow" w:hAnsi="Arial" w:cs="Arial"/>
                <w:b/>
                <w:sz w:val="20"/>
                <w:szCs w:val="20"/>
              </w:rPr>
            </w:pPr>
            <w:r w:rsidRPr="008A26D2">
              <w:rPr>
                <w:rFonts w:ascii="Arial" w:eastAsia="Arial Narrow" w:hAnsi="Arial" w:cs="Arial"/>
                <w:b/>
                <w:sz w:val="20"/>
                <w:szCs w:val="20"/>
              </w:rPr>
              <w:t>Valor</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14:paraId="034B06B3" w14:textId="77777777" w:rsidR="00A75C0F" w:rsidRPr="008A26D2" w:rsidRDefault="00A75C0F" w:rsidP="00AF5836">
            <w:pPr>
              <w:tabs>
                <w:tab w:val="left" w:pos="3375"/>
              </w:tabs>
              <w:jc w:val="center"/>
              <w:rPr>
                <w:rFonts w:ascii="Arial" w:eastAsia="Arial Narrow" w:hAnsi="Arial" w:cs="Arial"/>
                <w:sz w:val="20"/>
                <w:szCs w:val="20"/>
              </w:rPr>
            </w:pPr>
            <w:r w:rsidRPr="00256A23">
              <w:rPr>
                <w:rFonts w:ascii="Arial" w:eastAsia="Arial Narrow" w:hAnsi="Arial" w:cs="Arial"/>
                <w:sz w:val="20"/>
                <w:szCs w:val="20"/>
              </w:rPr>
              <w:t>ND</w:t>
            </w:r>
          </w:p>
        </w:tc>
        <w:tc>
          <w:tcPr>
            <w:tcW w:w="1040" w:type="dxa"/>
            <w:tcBorders>
              <w:top w:val="single" w:sz="4" w:space="0" w:color="auto"/>
              <w:left w:val="single" w:sz="4" w:space="0" w:color="auto"/>
              <w:bottom w:val="single" w:sz="4" w:space="0" w:color="auto"/>
              <w:right w:val="single" w:sz="4" w:space="0" w:color="auto"/>
            </w:tcBorders>
            <w:shd w:val="clear" w:color="auto" w:fill="auto"/>
            <w:vAlign w:val="center"/>
          </w:tcPr>
          <w:p w14:paraId="704CA13E"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5%</w:t>
            </w:r>
          </w:p>
        </w:tc>
        <w:tc>
          <w:tcPr>
            <w:tcW w:w="893" w:type="dxa"/>
            <w:tcBorders>
              <w:top w:val="single" w:sz="4" w:space="0" w:color="auto"/>
              <w:left w:val="single" w:sz="4" w:space="0" w:color="auto"/>
              <w:bottom w:val="single" w:sz="4" w:space="0" w:color="auto"/>
              <w:right w:val="single" w:sz="4" w:space="0" w:color="auto"/>
            </w:tcBorders>
            <w:shd w:val="clear" w:color="auto" w:fill="auto"/>
            <w:vAlign w:val="center"/>
          </w:tcPr>
          <w:p w14:paraId="46D2CBC6"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15%</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1FE04C44"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25%</w:t>
            </w:r>
          </w:p>
        </w:tc>
        <w:tc>
          <w:tcPr>
            <w:tcW w:w="742" w:type="dxa"/>
            <w:tcBorders>
              <w:top w:val="single" w:sz="4" w:space="0" w:color="auto"/>
              <w:left w:val="single" w:sz="4" w:space="0" w:color="auto"/>
              <w:bottom w:val="single" w:sz="4" w:space="0" w:color="auto"/>
              <w:right w:val="single" w:sz="4" w:space="0" w:color="auto"/>
            </w:tcBorders>
            <w:shd w:val="clear" w:color="auto" w:fill="auto"/>
            <w:vAlign w:val="center"/>
          </w:tcPr>
          <w:p w14:paraId="7ADA7E4D"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35%</w:t>
            </w:r>
          </w:p>
        </w:tc>
        <w:tc>
          <w:tcPr>
            <w:tcW w:w="866" w:type="dxa"/>
            <w:tcBorders>
              <w:top w:val="single" w:sz="4" w:space="0" w:color="auto"/>
              <w:left w:val="single" w:sz="4" w:space="0" w:color="auto"/>
              <w:bottom w:val="single" w:sz="4" w:space="0" w:color="auto"/>
              <w:right w:val="single" w:sz="4" w:space="0" w:color="auto"/>
            </w:tcBorders>
            <w:shd w:val="clear" w:color="auto" w:fill="auto"/>
            <w:vAlign w:val="center"/>
          </w:tcPr>
          <w:p w14:paraId="2B2C599E"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45%</w:t>
            </w:r>
          </w:p>
        </w:tc>
        <w:tc>
          <w:tcPr>
            <w:tcW w:w="68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F76CFCC"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60%</w:t>
            </w:r>
          </w:p>
        </w:tc>
        <w:tc>
          <w:tcPr>
            <w:tcW w:w="688" w:type="dxa"/>
            <w:tcBorders>
              <w:top w:val="single" w:sz="4" w:space="0" w:color="auto"/>
              <w:left w:val="single" w:sz="4" w:space="0" w:color="auto"/>
              <w:bottom w:val="single" w:sz="4" w:space="0" w:color="auto"/>
              <w:right w:val="single" w:sz="4" w:space="0" w:color="auto"/>
            </w:tcBorders>
            <w:shd w:val="clear" w:color="auto" w:fill="auto"/>
            <w:vAlign w:val="center"/>
          </w:tcPr>
          <w:p w14:paraId="6C0EB74C"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75%</w:t>
            </w:r>
          </w:p>
        </w:tc>
        <w:tc>
          <w:tcPr>
            <w:tcW w:w="865" w:type="dxa"/>
            <w:tcBorders>
              <w:top w:val="single" w:sz="4" w:space="0" w:color="auto"/>
              <w:left w:val="single" w:sz="4" w:space="0" w:color="auto"/>
              <w:bottom w:val="single" w:sz="4" w:space="0" w:color="auto"/>
              <w:right w:val="single" w:sz="4" w:space="0" w:color="auto"/>
            </w:tcBorders>
            <w:shd w:val="clear" w:color="auto" w:fill="auto"/>
            <w:vAlign w:val="center"/>
          </w:tcPr>
          <w:p w14:paraId="0B9AD7EC"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85%</w:t>
            </w:r>
          </w:p>
        </w:tc>
      </w:tr>
    </w:tbl>
    <w:p w14:paraId="74D1E01D" w14:textId="77777777" w:rsidR="00A75C0F" w:rsidRPr="008A26D2" w:rsidRDefault="00A75C0F" w:rsidP="00A75C0F"/>
    <w:p w14:paraId="328FACE6" w14:textId="77777777" w:rsidR="00A75C0F" w:rsidRDefault="00A75C0F" w:rsidP="00A75C0F"/>
    <w:tbl>
      <w:tblPr>
        <w:tblW w:w="8632" w:type="dxa"/>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840"/>
        <w:gridCol w:w="720"/>
        <w:gridCol w:w="433"/>
        <w:gridCol w:w="275"/>
        <w:gridCol w:w="851"/>
        <w:gridCol w:w="552"/>
        <w:gridCol w:w="298"/>
        <w:gridCol w:w="993"/>
        <w:gridCol w:w="992"/>
        <w:gridCol w:w="992"/>
        <w:gridCol w:w="977"/>
      </w:tblGrid>
      <w:tr w:rsidR="00A75C0F" w:rsidRPr="008A26D2" w14:paraId="1D0E5422" w14:textId="77777777" w:rsidTr="00AF5836">
        <w:trPr>
          <w:trHeight w:val="251"/>
        </w:trPr>
        <w:tc>
          <w:tcPr>
            <w:tcW w:w="8632" w:type="dxa"/>
            <w:gridSpan w:val="12"/>
            <w:shd w:val="clear" w:color="auto" w:fill="D9D9D9"/>
            <w:tcMar>
              <w:top w:w="10" w:type="dxa"/>
              <w:left w:w="10" w:type="dxa"/>
              <w:bottom w:w="0" w:type="dxa"/>
              <w:right w:w="10" w:type="dxa"/>
            </w:tcMar>
            <w:vAlign w:val="center"/>
          </w:tcPr>
          <w:p w14:paraId="55258FE6" w14:textId="77777777" w:rsidR="00A75C0F" w:rsidRPr="008A26D2" w:rsidRDefault="00A75C0F" w:rsidP="00AF5836">
            <w:pPr>
              <w:tabs>
                <w:tab w:val="left" w:pos="3375"/>
              </w:tabs>
              <w:jc w:val="center"/>
              <w:rPr>
                <w:rFonts w:ascii="Arial" w:eastAsia="Arial Narrow" w:hAnsi="Arial" w:cs="Arial"/>
                <w:b/>
                <w:sz w:val="20"/>
                <w:szCs w:val="20"/>
              </w:rPr>
            </w:pPr>
            <w:r w:rsidRPr="008A26D2">
              <w:rPr>
                <w:rFonts w:ascii="Arial" w:eastAsia="Arial Narrow" w:hAnsi="Arial" w:cs="Arial"/>
                <w:b/>
                <w:sz w:val="20"/>
                <w:szCs w:val="20"/>
              </w:rPr>
              <w:t>FICHA TÉCNICA DE INDICADOR DE SERVICIO 3.3.5</w:t>
            </w:r>
          </w:p>
        </w:tc>
      </w:tr>
      <w:tr w:rsidR="00A75C0F" w:rsidRPr="008A26D2" w14:paraId="5CBC4427" w14:textId="77777777" w:rsidTr="00AF5836">
        <w:trPr>
          <w:trHeight w:val="409"/>
        </w:trPr>
        <w:tc>
          <w:tcPr>
            <w:tcW w:w="2702" w:type="dxa"/>
            <w:gridSpan w:val="4"/>
            <w:shd w:val="clear" w:color="auto" w:fill="FFFFFF"/>
            <w:tcMar>
              <w:top w:w="10" w:type="dxa"/>
              <w:left w:w="93" w:type="dxa"/>
              <w:bottom w:w="0" w:type="dxa"/>
              <w:right w:w="10" w:type="dxa"/>
            </w:tcMar>
            <w:vAlign w:val="center"/>
          </w:tcPr>
          <w:p w14:paraId="49BE4D34" w14:textId="77777777" w:rsidR="00A75C0F" w:rsidRPr="008A26D2" w:rsidRDefault="00A75C0F" w:rsidP="00AF5836">
            <w:pPr>
              <w:tabs>
                <w:tab w:val="left" w:pos="3375"/>
              </w:tabs>
              <w:rPr>
                <w:rFonts w:ascii="Arial" w:eastAsia="Arial Narrow" w:hAnsi="Arial" w:cs="Arial"/>
                <w:sz w:val="20"/>
                <w:szCs w:val="20"/>
              </w:rPr>
            </w:pPr>
            <w:r w:rsidRPr="008A26D2">
              <w:rPr>
                <w:rFonts w:ascii="Arial" w:eastAsia="Arial Narrow" w:hAnsi="Arial" w:cs="Arial"/>
                <w:b/>
                <w:sz w:val="20"/>
                <w:szCs w:val="20"/>
              </w:rPr>
              <w:t>Objetivo prioritario:</w:t>
            </w:r>
          </w:p>
        </w:tc>
        <w:tc>
          <w:tcPr>
            <w:tcW w:w="5930" w:type="dxa"/>
            <w:gridSpan w:val="8"/>
            <w:shd w:val="clear" w:color="auto" w:fill="FFFFFF"/>
            <w:tcMar>
              <w:top w:w="51" w:type="dxa"/>
              <w:left w:w="227" w:type="dxa"/>
              <w:bottom w:w="51" w:type="dxa"/>
              <w:right w:w="227" w:type="dxa"/>
            </w:tcMar>
            <w:vAlign w:val="center"/>
          </w:tcPr>
          <w:p w14:paraId="24A4AE37" w14:textId="77777777" w:rsidR="00A75C0F" w:rsidRPr="008A26D2" w:rsidRDefault="00A75C0F" w:rsidP="00AF5836">
            <w:pPr>
              <w:tabs>
                <w:tab w:val="left" w:pos="3375"/>
              </w:tabs>
              <w:jc w:val="both"/>
              <w:rPr>
                <w:rFonts w:ascii="Arial" w:eastAsia="Arial Narrow" w:hAnsi="Arial" w:cs="Arial"/>
                <w:sz w:val="20"/>
                <w:szCs w:val="20"/>
              </w:rPr>
            </w:pPr>
            <w:r w:rsidRPr="008A26D2">
              <w:rPr>
                <w:rFonts w:ascii="Arial" w:eastAsia="Arial Narrow" w:hAnsi="Arial" w:cs="Arial"/>
                <w:sz w:val="20"/>
                <w:szCs w:val="20"/>
              </w:rPr>
              <w:t>OP3 Fortalecer la gobernanza forestal y de fauna silvestre</w:t>
            </w:r>
          </w:p>
        </w:tc>
      </w:tr>
      <w:tr w:rsidR="00A75C0F" w:rsidRPr="008A26D2" w14:paraId="1548668C" w14:textId="77777777" w:rsidTr="00AF5836">
        <w:trPr>
          <w:trHeight w:val="436"/>
        </w:trPr>
        <w:tc>
          <w:tcPr>
            <w:tcW w:w="2702" w:type="dxa"/>
            <w:gridSpan w:val="4"/>
            <w:shd w:val="clear" w:color="auto" w:fill="auto"/>
            <w:tcMar>
              <w:top w:w="10" w:type="dxa"/>
              <w:left w:w="93" w:type="dxa"/>
              <w:bottom w:w="0" w:type="dxa"/>
              <w:right w:w="10" w:type="dxa"/>
            </w:tcMar>
            <w:vAlign w:val="center"/>
          </w:tcPr>
          <w:p w14:paraId="3D8F73A5" w14:textId="77777777" w:rsidR="00A75C0F" w:rsidRPr="008A26D2" w:rsidRDefault="00A75C0F" w:rsidP="00AF5836">
            <w:pPr>
              <w:tabs>
                <w:tab w:val="left" w:pos="3375"/>
              </w:tabs>
              <w:rPr>
                <w:rFonts w:ascii="Arial" w:eastAsia="Arial Narrow" w:hAnsi="Arial" w:cs="Arial"/>
                <w:sz w:val="20"/>
                <w:szCs w:val="20"/>
              </w:rPr>
            </w:pPr>
            <w:r w:rsidRPr="008A26D2">
              <w:rPr>
                <w:rFonts w:ascii="Arial" w:eastAsia="Arial Narrow" w:hAnsi="Arial" w:cs="Arial"/>
                <w:b/>
                <w:sz w:val="20"/>
                <w:szCs w:val="20"/>
              </w:rPr>
              <w:t>Lineamiento de la política:</w:t>
            </w:r>
          </w:p>
        </w:tc>
        <w:tc>
          <w:tcPr>
            <w:tcW w:w="5930" w:type="dxa"/>
            <w:gridSpan w:val="8"/>
            <w:shd w:val="clear" w:color="auto" w:fill="auto"/>
            <w:tcMar>
              <w:top w:w="51" w:type="dxa"/>
              <w:left w:w="227" w:type="dxa"/>
              <w:bottom w:w="51" w:type="dxa"/>
              <w:right w:w="227" w:type="dxa"/>
            </w:tcMar>
            <w:vAlign w:val="center"/>
          </w:tcPr>
          <w:p w14:paraId="435454DC" w14:textId="77777777" w:rsidR="00A75C0F" w:rsidRPr="008A26D2" w:rsidRDefault="00A75C0F" w:rsidP="00AF5836">
            <w:pPr>
              <w:tabs>
                <w:tab w:val="left" w:pos="3375"/>
              </w:tabs>
              <w:jc w:val="both"/>
              <w:rPr>
                <w:rFonts w:ascii="Arial" w:eastAsia="Arial Narrow" w:hAnsi="Arial" w:cs="Arial"/>
                <w:sz w:val="20"/>
                <w:szCs w:val="20"/>
              </w:rPr>
            </w:pPr>
            <w:r w:rsidRPr="008A26D2">
              <w:rPr>
                <w:rFonts w:ascii="Arial" w:eastAsia="Arial Narrow" w:hAnsi="Arial" w:cs="Arial"/>
                <w:sz w:val="20"/>
                <w:szCs w:val="20"/>
              </w:rPr>
              <w:t>L3.3. Gestionar la información y el conocimiento en materia forestal y de fauna silvestre producido por los actores forestales y de fauna silvestre</w:t>
            </w:r>
          </w:p>
        </w:tc>
      </w:tr>
      <w:tr w:rsidR="00A75C0F" w:rsidRPr="008A26D2" w14:paraId="7A166DD3" w14:textId="77777777" w:rsidTr="00AF5836">
        <w:trPr>
          <w:trHeight w:val="404"/>
        </w:trPr>
        <w:tc>
          <w:tcPr>
            <w:tcW w:w="2702" w:type="dxa"/>
            <w:gridSpan w:val="4"/>
            <w:shd w:val="clear" w:color="auto" w:fill="auto"/>
            <w:tcMar>
              <w:top w:w="10" w:type="dxa"/>
              <w:left w:w="93" w:type="dxa"/>
              <w:bottom w:w="0" w:type="dxa"/>
              <w:right w:w="10" w:type="dxa"/>
            </w:tcMar>
            <w:vAlign w:val="center"/>
          </w:tcPr>
          <w:p w14:paraId="1592CE8C" w14:textId="77777777" w:rsidR="00A75C0F" w:rsidRPr="008A26D2" w:rsidRDefault="00A75C0F" w:rsidP="00AF5836">
            <w:pPr>
              <w:tabs>
                <w:tab w:val="left" w:pos="3375"/>
              </w:tabs>
              <w:rPr>
                <w:rFonts w:ascii="Arial" w:eastAsia="Arial Narrow" w:hAnsi="Arial" w:cs="Arial"/>
                <w:sz w:val="20"/>
                <w:szCs w:val="20"/>
              </w:rPr>
            </w:pPr>
            <w:r w:rsidRPr="008A26D2">
              <w:rPr>
                <w:rFonts w:ascii="Arial" w:eastAsia="Arial Narrow" w:hAnsi="Arial" w:cs="Arial"/>
                <w:b/>
                <w:sz w:val="20"/>
                <w:szCs w:val="20"/>
              </w:rPr>
              <w:t>Nombre del servicio:</w:t>
            </w:r>
          </w:p>
        </w:tc>
        <w:tc>
          <w:tcPr>
            <w:tcW w:w="5930" w:type="dxa"/>
            <w:gridSpan w:val="8"/>
            <w:shd w:val="clear" w:color="auto" w:fill="auto"/>
            <w:tcMar>
              <w:top w:w="51" w:type="dxa"/>
              <w:left w:w="227" w:type="dxa"/>
              <w:bottom w:w="51" w:type="dxa"/>
              <w:right w:w="227" w:type="dxa"/>
            </w:tcMar>
            <w:vAlign w:val="center"/>
          </w:tcPr>
          <w:p w14:paraId="3C0A817D" w14:textId="77777777" w:rsidR="00A75C0F" w:rsidRPr="008A26D2" w:rsidRDefault="00A75C0F" w:rsidP="00AF5836">
            <w:pPr>
              <w:tabs>
                <w:tab w:val="left" w:pos="3375"/>
              </w:tabs>
              <w:ind w:left="35" w:hanging="35"/>
              <w:jc w:val="both"/>
              <w:rPr>
                <w:rFonts w:ascii="Arial" w:eastAsia="Arial Narrow" w:hAnsi="Arial" w:cs="Arial"/>
                <w:sz w:val="20"/>
                <w:szCs w:val="20"/>
              </w:rPr>
            </w:pPr>
            <w:r w:rsidRPr="008A26D2">
              <w:rPr>
                <w:rFonts w:ascii="Arial" w:eastAsia="Arial Narrow" w:hAnsi="Arial" w:cs="Arial"/>
                <w:sz w:val="20"/>
                <w:szCs w:val="20"/>
              </w:rPr>
              <w:t>S3.3.5.</w:t>
            </w:r>
            <w:r w:rsidRPr="008A26D2">
              <w:rPr>
                <w:rFonts w:ascii="Arial" w:hAnsi="Arial" w:cs="Arial"/>
                <w:sz w:val="20"/>
                <w:szCs w:val="20"/>
              </w:rPr>
              <w:t xml:space="preserve"> </w:t>
            </w:r>
            <w:r w:rsidRPr="008A26D2">
              <w:rPr>
                <w:rFonts w:ascii="Arial" w:eastAsia="Arial Narrow" w:hAnsi="Arial" w:cs="Arial"/>
                <w:sz w:val="20"/>
                <w:szCs w:val="20"/>
              </w:rPr>
              <w:t>Difusión de conocimientos y tecnologías integradas sobre la conservación y uso sostenible de ecosistemas forestales y de fauna silvestre amazónicos de forma satisfactoria para decisores de políticas públicas.</w:t>
            </w:r>
          </w:p>
        </w:tc>
      </w:tr>
      <w:tr w:rsidR="00A75C0F" w:rsidRPr="008A26D2" w14:paraId="2A0BDAC2" w14:textId="77777777" w:rsidTr="00AF5836">
        <w:trPr>
          <w:trHeight w:val="577"/>
        </w:trPr>
        <w:tc>
          <w:tcPr>
            <w:tcW w:w="2702" w:type="dxa"/>
            <w:gridSpan w:val="4"/>
            <w:shd w:val="clear" w:color="auto" w:fill="auto"/>
            <w:tcMar>
              <w:top w:w="10" w:type="dxa"/>
              <w:left w:w="93" w:type="dxa"/>
              <w:bottom w:w="0" w:type="dxa"/>
              <w:right w:w="10" w:type="dxa"/>
            </w:tcMar>
            <w:vAlign w:val="center"/>
          </w:tcPr>
          <w:p w14:paraId="49803A8D" w14:textId="77777777" w:rsidR="00A75C0F" w:rsidRPr="008A26D2" w:rsidRDefault="00A75C0F" w:rsidP="00AF5836">
            <w:pPr>
              <w:tabs>
                <w:tab w:val="left" w:pos="3375"/>
              </w:tabs>
              <w:rPr>
                <w:rFonts w:ascii="Arial" w:eastAsia="Arial Narrow" w:hAnsi="Arial" w:cs="Arial"/>
                <w:sz w:val="20"/>
                <w:szCs w:val="20"/>
              </w:rPr>
            </w:pPr>
            <w:r w:rsidRPr="008A26D2">
              <w:rPr>
                <w:rFonts w:ascii="Arial" w:eastAsia="Arial Narrow" w:hAnsi="Arial" w:cs="Arial"/>
                <w:b/>
                <w:sz w:val="20"/>
                <w:szCs w:val="20"/>
              </w:rPr>
              <w:t>Nombre del indicador:</w:t>
            </w:r>
          </w:p>
        </w:tc>
        <w:tc>
          <w:tcPr>
            <w:tcW w:w="5930" w:type="dxa"/>
            <w:gridSpan w:val="8"/>
            <w:shd w:val="clear" w:color="auto" w:fill="auto"/>
            <w:tcMar>
              <w:top w:w="51" w:type="dxa"/>
              <w:left w:w="227" w:type="dxa"/>
              <w:bottom w:w="51" w:type="dxa"/>
              <w:right w:w="227" w:type="dxa"/>
            </w:tcMar>
            <w:vAlign w:val="center"/>
          </w:tcPr>
          <w:p w14:paraId="575319A6" w14:textId="77777777" w:rsidR="00A75C0F" w:rsidRPr="008A26D2" w:rsidRDefault="00A75C0F" w:rsidP="00AF5836">
            <w:pPr>
              <w:tabs>
                <w:tab w:val="left" w:pos="3375"/>
              </w:tabs>
              <w:jc w:val="both"/>
              <w:rPr>
                <w:rFonts w:ascii="Arial" w:eastAsia="Arial Narrow" w:hAnsi="Arial" w:cs="Arial"/>
                <w:sz w:val="20"/>
                <w:szCs w:val="20"/>
              </w:rPr>
            </w:pPr>
            <w:r w:rsidRPr="008A26D2">
              <w:rPr>
                <w:rFonts w:ascii="Arial" w:eastAsia="Arial Narrow" w:hAnsi="Arial" w:cs="Arial"/>
                <w:sz w:val="20"/>
                <w:szCs w:val="20"/>
              </w:rPr>
              <w:t>Porcentaje de autoridades decisoras de políticas públicas de regiones amazónicas que valoran positivamente la información científica recibida en materia forestal y de fauna silvestre</w:t>
            </w:r>
          </w:p>
        </w:tc>
      </w:tr>
      <w:tr w:rsidR="00A75C0F" w:rsidRPr="008A26D2" w14:paraId="58F0BEC0" w14:textId="77777777" w:rsidTr="00AF5836">
        <w:trPr>
          <w:trHeight w:val="577"/>
        </w:trPr>
        <w:tc>
          <w:tcPr>
            <w:tcW w:w="2702" w:type="dxa"/>
            <w:gridSpan w:val="4"/>
            <w:shd w:val="clear" w:color="auto" w:fill="auto"/>
            <w:tcMar>
              <w:top w:w="10" w:type="dxa"/>
              <w:left w:w="93" w:type="dxa"/>
              <w:bottom w:w="0" w:type="dxa"/>
              <w:right w:w="10" w:type="dxa"/>
            </w:tcMar>
            <w:vAlign w:val="center"/>
          </w:tcPr>
          <w:p w14:paraId="23D41C12" w14:textId="77777777" w:rsidR="00A75C0F" w:rsidRPr="008A26D2" w:rsidRDefault="00A75C0F" w:rsidP="00AF5836">
            <w:pPr>
              <w:tabs>
                <w:tab w:val="left" w:pos="3375"/>
              </w:tabs>
              <w:rPr>
                <w:rFonts w:ascii="Arial" w:eastAsia="Arial Narrow" w:hAnsi="Arial" w:cs="Arial"/>
                <w:sz w:val="20"/>
                <w:szCs w:val="20"/>
              </w:rPr>
            </w:pPr>
            <w:r w:rsidRPr="008A26D2">
              <w:rPr>
                <w:rFonts w:ascii="Arial" w:eastAsia="Arial Narrow" w:hAnsi="Arial" w:cs="Arial"/>
                <w:b/>
                <w:sz w:val="20"/>
                <w:szCs w:val="20"/>
              </w:rPr>
              <w:t>Justificación:</w:t>
            </w:r>
          </w:p>
        </w:tc>
        <w:tc>
          <w:tcPr>
            <w:tcW w:w="5930" w:type="dxa"/>
            <w:gridSpan w:val="8"/>
            <w:shd w:val="clear" w:color="auto" w:fill="auto"/>
            <w:tcMar>
              <w:top w:w="51" w:type="dxa"/>
              <w:left w:w="227" w:type="dxa"/>
              <w:bottom w:w="51" w:type="dxa"/>
              <w:right w:w="227" w:type="dxa"/>
            </w:tcMar>
            <w:vAlign w:val="center"/>
          </w:tcPr>
          <w:p w14:paraId="1B459EFB" w14:textId="77777777" w:rsidR="00A75C0F" w:rsidRPr="008A26D2" w:rsidRDefault="00A75C0F" w:rsidP="00AF5836">
            <w:pPr>
              <w:tabs>
                <w:tab w:val="left" w:pos="3375"/>
              </w:tabs>
              <w:jc w:val="both"/>
              <w:rPr>
                <w:rFonts w:ascii="Arial" w:eastAsia="Arial Narrow" w:hAnsi="Arial" w:cs="Arial"/>
                <w:sz w:val="20"/>
                <w:szCs w:val="20"/>
              </w:rPr>
            </w:pPr>
            <w:r w:rsidRPr="008A26D2">
              <w:rPr>
                <w:rFonts w:ascii="Arial" w:eastAsia="Arial Narrow" w:hAnsi="Arial" w:cs="Arial"/>
                <w:sz w:val="20"/>
                <w:szCs w:val="20"/>
              </w:rPr>
              <w:t>Permite identificar el porcentaje de autoridades decisoras de políticas públicas que valoran positivamente la información recibida en relación al número total de autoridades de regiones amazónicas a las que se enviaron los boletines.</w:t>
            </w:r>
          </w:p>
        </w:tc>
      </w:tr>
      <w:tr w:rsidR="00A75C0F" w:rsidRPr="008A26D2" w14:paraId="7F11AACC" w14:textId="77777777" w:rsidTr="00AF5836">
        <w:trPr>
          <w:trHeight w:val="352"/>
        </w:trPr>
        <w:tc>
          <w:tcPr>
            <w:tcW w:w="2702" w:type="dxa"/>
            <w:gridSpan w:val="4"/>
            <w:shd w:val="clear" w:color="auto" w:fill="auto"/>
            <w:tcMar>
              <w:top w:w="10" w:type="dxa"/>
              <w:left w:w="93" w:type="dxa"/>
              <w:bottom w:w="0" w:type="dxa"/>
              <w:right w:w="10" w:type="dxa"/>
            </w:tcMar>
            <w:vAlign w:val="center"/>
          </w:tcPr>
          <w:p w14:paraId="26D2B51A" w14:textId="77777777" w:rsidR="00A75C0F" w:rsidRPr="008A26D2" w:rsidRDefault="00A75C0F" w:rsidP="00AF5836">
            <w:pPr>
              <w:tabs>
                <w:tab w:val="left" w:pos="3375"/>
              </w:tabs>
              <w:rPr>
                <w:rFonts w:ascii="Arial" w:eastAsia="Arial Narrow" w:hAnsi="Arial" w:cs="Arial"/>
                <w:sz w:val="20"/>
                <w:szCs w:val="20"/>
              </w:rPr>
            </w:pPr>
            <w:r w:rsidRPr="008A26D2">
              <w:rPr>
                <w:rFonts w:ascii="Arial" w:eastAsia="Arial Narrow" w:hAnsi="Arial" w:cs="Arial"/>
                <w:b/>
                <w:sz w:val="20"/>
                <w:szCs w:val="20"/>
              </w:rPr>
              <w:t>Responsable del indicador:</w:t>
            </w:r>
          </w:p>
        </w:tc>
        <w:tc>
          <w:tcPr>
            <w:tcW w:w="5930" w:type="dxa"/>
            <w:gridSpan w:val="8"/>
            <w:shd w:val="clear" w:color="auto" w:fill="auto"/>
            <w:tcMar>
              <w:top w:w="51" w:type="dxa"/>
              <w:left w:w="227" w:type="dxa"/>
              <w:bottom w:w="51" w:type="dxa"/>
              <w:right w:w="227" w:type="dxa"/>
            </w:tcMar>
            <w:vAlign w:val="center"/>
          </w:tcPr>
          <w:p w14:paraId="7C7A68C1" w14:textId="77777777" w:rsidR="00A75C0F" w:rsidRPr="008A26D2" w:rsidRDefault="00A75C0F" w:rsidP="00AF5836">
            <w:pPr>
              <w:tabs>
                <w:tab w:val="left" w:pos="3375"/>
              </w:tabs>
              <w:jc w:val="both"/>
              <w:rPr>
                <w:rFonts w:ascii="Arial" w:eastAsia="Arial Narrow" w:hAnsi="Arial" w:cs="Arial"/>
                <w:sz w:val="20"/>
                <w:szCs w:val="20"/>
              </w:rPr>
            </w:pPr>
            <w:r w:rsidRPr="008A26D2">
              <w:rPr>
                <w:rFonts w:ascii="Arial" w:eastAsia="Arial Narrow" w:hAnsi="Arial" w:cs="Arial"/>
                <w:sz w:val="20"/>
                <w:szCs w:val="20"/>
              </w:rPr>
              <w:t>Dirección de Investigación en Información y Gestión del Conocimiento del Instituto de Investigaciones de la Amazonía Peruana - IIAP</w:t>
            </w:r>
          </w:p>
        </w:tc>
      </w:tr>
      <w:tr w:rsidR="00A75C0F" w:rsidRPr="008A26D2" w14:paraId="6E4F1F4D" w14:textId="77777777" w:rsidTr="00AF5836">
        <w:trPr>
          <w:trHeight w:val="724"/>
        </w:trPr>
        <w:tc>
          <w:tcPr>
            <w:tcW w:w="2702" w:type="dxa"/>
            <w:gridSpan w:val="4"/>
            <w:shd w:val="clear" w:color="auto" w:fill="auto"/>
            <w:tcMar>
              <w:top w:w="10" w:type="dxa"/>
              <w:left w:w="93" w:type="dxa"/>
              <w:bottom w:w="0" w:type="dxa"/>
              <w:right w:w="10" w:type="dxa"/>
            </w:tcMar>
            <w:vAlign w:val="center"/>
          </w:tcPr>
          <w:p w14:paraId="63D24985" w14:textId="77777777" w:rsidR="00A75C0F" w:rsidRPr="008A26D2" w:rsidRDefault="00A75C0F" w:rsidP="00AF5836">
            <w:pPr>
              <w:tabs>
                <w:tab w:val="left" w:pos="3375"/>
              </w:tabs>
              <w:rPr>
                <w:rFonts w:ascii="Arial" w:eastAsia="Arial Narrow" w:hAnsi="Arial" w:cs="Arial"/>
                <w:sz w:val="20"/>
                <w:szCs w:val="20"/>
              </w:rPr>
            </w:pPr>
            <w:r w:rsidRPr="008A26D2">
              <w:rPr>
                <w:rFonts w:ascii="Arial" w:eastAsia="Arial Narrow" w:hAnsi="Arial" w:cs="Arial"/>
                <w:b/>
                <w:sz w:val="20"/>
                <w:szCs w:val="20"/>
              </w:rPr>
              <w:lastRenderedPageBreak/>
              <w:t>Limitaciones para la medición del indicador:</w:t>
            </w:r>
          </w:p>
        </w:tc>
        <w:tc>
          <w:tcPr>
            <w:tcW w:w="5930" w:type="dxa"/>
            <w:gridSpan w:val="8"/>
            <w:shd w:val="clear" w:color="auto" w:fill="auto"/>
            <w:tcMar>
              <w:top w:w="51" w:type="dxa"/>
              <w:left w:w="227" w:type="dxa"/>
              <w:bottom w:w="51" w:type="dxa"/>
              <w:right w:w="227" w:type="dxa"/>
            </w:tcMar>
            <w:vAlign w:val="center"/>
          </w:tcPr>
          <w:p w14:paraId="155B656F" w14:textId="77777777" w:rsidR="00A75C0F" w:rsidRPr="008A26D2" w:rsidRDefault="00A75C0F" w:rsidP="00AF5836">
            <w:pPr>
              <w:tabs>
                <w:tab w:val="left" w:pos="3375"/>
              </w:tabs>
              <w:jc w:val="both"/>
              <w:rPr>
                <w:rFonts w:ascii="Arial" w:eastAsia="Arial Narrow" w:hAnsi="Arial" w:cs="Arial"/>
                <w:sz w:val="20"/>
                <w:szCs w:val="20"/>
              </w:rPr>
            </w:pPr>
            <w:r w:rsidRPr="008A26D2">
              <w:rPr>
                <w:rFonts w:ascii="Arial" w:eastAsia="Arial Narrow" w:hAnsi="Arial" w:cs="Arial"/>
                <w:sz w:val="20"/>
                <w:szCs w:val="20"/>
              </w:rPr>
              <w:t>Motivaciones de los usuarios para responder las encuestas de evaluación del servicio.</w:t>
            </w:r>
          </w:p>
        </w:tc>
      </w:tr>
      <w:tr w:rsidR="00A75C0F" w:rsidRPr="008A26D2" w14:paraId="3EC1E0B8" w14:textId="77777777" w:rsidTr="00AF5836">
        <w:trPr>
          <w:trHeight w:val="231"/>
        </w:trPr>
        <w:tc>
          <w:tcPr>
            <w:tcW w:w="2702" w:type="dxa"/>
            <w:gridSpan w:val="4"/>
            <w:shd w:val="clear" w:color="auto" w:fill="auto"/>
            <w:tcMar>
              <w:top w:w="10" w:type="dxa"/>
              <w:left w:w="93" w:type="dxa"/>
              <w:bottom w:w="0" w:type="dxa"/>
              <w:right w:w="10" w:type="dxa"/>
            </w:tcMar>
            <w:vAlign w:val="center"/>
          </w:tcPr>
          <w:p w14:paraId="6C70ADDA" w14:textId="77777777" w:rsidR="00A75C0F" w:rsidRPr="008A26D2" w:rsidRDefault="00A75C0F" w:rsidP="00AF5836">
            <w:pPr>
              <w:tabs>
                <w:tab w:val="left" w:pos="3375"/>
              </w:tabs>
              <w:rPr>
                <w:rFonts w:ascii="Arial" w:eastAsia="Arial Narrow" w:hAnsi="Arial" w:cs="Arial"/>
                <w:sz w:val="20"/>
                <w:szCs w:val="20"/>
              </w:rPr>
            </w:pPr>
            <w:r w:rsidRPr="008A26D2">
              <w:rPr>
                <w:rFonts w:ascii="Arial" w:eastAsia="Arial Narrow" w:hAnsi="Arial" w:cs="Arial"/>
                <w:b/>
                <w:sz w:val="20"/>
                <w:szCs w:val="20"/>
              </w:rPr>
              <w:t xml:space="preserve">Método de cálculo: </w:t>
            </w:r>
          </w:p>
        </w:tc>
        <w:tc>
          <w:tcPr>
            <w:tcW w:w="5930" w:type="dxa"/>
            <w:gridSpan w:val="8"/>
            <w:shd w:val="clear" w:color="auto" w:fill="auto"/>
            <w:tcMar>
              <w:top w:w="51" w:type="dxa"/>
              <w:left w:w="227" w:type="dxa"/>
              <w:bottom w:w="51" w:type="dxa"/>
              <w:right w:w="227" w:type="dxa"/>
            </w:tcMar>
            <w:vAlign w:val="center"/>
          </w:tcPr>
          <w:p w14:paraId="39CA7F27" w14:textId="77777777" w:rsidR="00A75C0F" w:rsidRPr="008A26D2" w:rsidRDefault="00A75C0F" w:rsidP="00AF5836">
            <w:pPr>
              <w:numPr>
                <w:ilvl w:val="0"/>
                <w:numId w:val="27"/>
              </w:numPr>
              <w:spacing w:before="120" w:after="200" w:line="264" w:lineRule="auto"/>
              <w:ind w:left="175" w:hanging="175"/>
              <w:rPr>
                <w:rFonts w:ascii="Arial" w:eastAsia="Arial Narrow" w:hAnsi="Arial" w:cs="Arial"/>
                <w:b/>
                <w:sz w:val="20"/>
                <w:szCs w:val="20"/>
              </w:rPr>
            </w:pPr>
            <w:r w:rsidRPr="008A26D2">
              <w:rPr>
                <w:rFonts w:ascii="Arial" w:eastAsia="Arial Narrow" w:hAnsi="Arial" w:cs="Arial"/>
                <w:b/>
                <w:sz w:val="20"/>
                <w:szCs w:val="20"/>
              </w:rPr>
              <w:t>Fórmula</w:t>
            </w:r>
          </w:p>
          <w:p w14:paraId="287CD7DB" w14:textId="77777777" w:rsidR="00A75C0F" w:rsidRPr="008A26D2" w:rsidRDefault="00A75C0F" w:rsidP="00AF5836">
            <w:pPr>
              <w:tabs>
                <w:tab w:val="left" w:pos="3375"/>
              </w:tabs>
              <w:ind w:left="175"/>
              <w:rPr>
                <w:rFonts w:ascii="Arial" w:eastAsia="Arial Narrow" w:hAnsi="Arial" w:cs="Arial"/>
                <w:sz w:val="20"/>
                <w:szCs w:val="20"/>
              </w:rPr>
            </w:pPr>
            <w:r w:rsidRPr="008A26D2">
              <w:rPr>
                <w:rFonts w:ascii="Arial" w:eastAsia="Arial Narrow" w:hAnsi="Arial" w:cs="Arial"/>
                <w:sz w:val="20"/>
                <w:szCs w:val="20"/>
              </w:rPr>
              <w:t>(A/B)*100</w:t>
            </w:r>
          </w:p>
          <w:p w14:paraId="5871BA7C" w14:textId="77777777" w:rsidR="00A75C0F" w:rsidRPr="008A26D2" w:rsidRDefault="00A75C0F" w:rsidP="00AF5836">
            <w:pPr>
              <w:tabs>
                <w:tab w:val="left" w:pos="3375"/>
              </w:tabs>
              <w:ind w:left="175"/>
              <w:rPr>
                <w:rFonts w:ascii="Arial" w:eastAsia="Arial Narrow" w:hAnsi="Arial" w:cs="Arial"/>
                <w:sz w:val="20"/>
                <w:szCs w:val="20"/>
              </w:rPr>
            </w:pPr>
            <w:r w:rsidRPr="008A26D2">
              <w:rPr>
                <w:rFonts w:ascii="Arial" w:eastAsia="Arial Narrow" w:hAnsi="Arial" w:cs="Arial"/>
                <w:sz w:val="20"/>
                <w:szCs w:val="20"/>
              </w:rPr>
              <w:t>Donde:</w:t>
            </w:r>
          </w:p>
          <w:p w14:paraId="1E0BFD4B" w14:textId="77777777" w:rsidR="00A75C0F" w:rsidRPr="008A26D2" w:rsidRDefault="00A75C0F" w:rsidP="00AF5836">
            <w:pPr>
              <w:tabs>
                <w:tab w:val="left" w:pos="3375"/>
              </w:tabs>
              <w:ind w:left="461" w:hanging="284"/>
              <w:rPr>
                <w:rFonts w:ascii="Arial" w:eastAsia="Arial Narrow" w:hAnsi="Arial" w:cs="Arial"/>
                <w:sz w:val="20"/>
                <w:szCs w:val="20"/>
              </w:rPr>
            </w:pPr>
            <w:r w:rsidRPr="008A26D2">
              <w:rPr>
                <w:rFonts w:ascii="Arial" w:eastAsia="Arial Narrow" w:hAnsi="Arial" w:cs="Arial"/>
                <w:sz w:val="20"/>
                <w:szCs w:val="20"/>
              </w:rPr>
              <w:t>A= Número de autoridades decisoras de políticas públicas de regiones amazónicas que valoran positivamente la información científica recibida en materia forestal y de fauna silvestre.</w:t>
            </w:r>
          </w:p>
          <w:p w14:paraId="4D00DC58" w14:textId="77777777" w:rsidR="00A75C0F" w:rsidRPr="008A26D2" w:rsidRDefault="00A75C0F" w:rsidP="00AF5836">
            <w:pPr>
              <w:tabs>
                <w:tab w:val="left" w:pos="3375"/>
              </w:tabs>
              <w:ind w:left="461" w:hanging="284"/>
              <w:rPr>
                <w:rFonts w:ascii="Arial" w:eastAsia="Arial Narrow" w:hAnsi="Arial" w:cs="Arial"/>
                <w:sz w:val="20"/>
                <w:szCs w:val="20"/>
              </w:rPr>
            </w:pPr>
            <w:r w:rsidRPr="008A26D2">
              <w:rPr>
                <w:rFonts w:ascii="Arial" w:eastAsia="Arial Narrow" w:hAnsi="Arial" w:cs="Arial"/>
                <w:sz w:val="20"/>
                <w:szCs w:val="20"/>
              </w:rPr>
              <w:t>B= Total de autoridades decisoras de políticas públicas de regiones amazónicas que reciben información científica en materia forestal y de fauna silvestre.</w:t>
            </w:r>
          </w:p>
          <w:p w14:paraId="3511FB5A" w14:textId="77777777" w:rsidR="00A75C0F" w:rsidRPr="008A26D2" w:rsidRDefault="00A75C0F" w:rsidP="00AF5836">
            <w:pPr>
              <w:tabs>
                <w:tab w:val="left" w:pos="3375"/>
              </w:tabs>
              <w:rPr>
                <w:rFonts w:ascii="Arial" w:eastAsia="Arial Narrow" w:hAnsi="Arial" w:cs="Arial"/>
                <w:b/>
                <w:sz w:val="20"/>
                <w:szCs w:val="20"/>
              </w:rPr>
            </w:pPr>
            <w:r w:rsidRPr="008A26D2">
              <w:rPr>
                <w:rFonts w:ascii="Arial" w:eastAsia="Arial Narrow" w:hAnsi="Arial" w:cs="Arial"/>
                <w:b/>
                <w:sz w:val="20"/>
                <w:szCs w:val="20"/>
              </w:rPr>
              <w:t>2. Especificaciones técnicas:</w:t>
            </w:r>
          </w:p>
          <w:p w14:paraId="0DE48E4E" w14:textId="77777777" w:rsidR="00A75C0F" w:rsidRPr="00FF0EBB" w:rsidRDefault="00A75C0F" w:rsidP="00AF5836">
            <w:pPr>
              <w:tabs>
                <w:tab w:val="left" w:pos="3375"/>
              </w:tabs>
              <w:jc w:val="both"/>
              <w:rPr>
                <w:rFonts w:ascii="Arial" w:eastAsia="Arial Narrow" w:hAnsi="Arial" w:cs="Arial"/>
                <w:sz w:val="20"/>
                <w:szCs w:val="20"/>
              </w:rPr>
            </w:pPr>
            <w:r w:rsidRPr="00FF0EBB">
              <w:rPr>
                <w:rFonts w:ascii="Arial" w:eastAsia="Arial Narrow" w:hAnsi="Arial" w:cs="Arial"/>
                <w:sz w:val="20"/>
                <w:szCs w:val="20"/>
              </w:rPr>
              <w:t>La variable A se determina a partir de</w:t>
            </w:r>
            <w:r>
              <w:t xml:space="preserve"> las </w:t>
            </w:r>
            <w:r w:rsidRPr="00FF0EBB">
              <w:rPr>
                <w:rFonts w:ascii="Arial" w:eastAsia="Arial Narrow" w:hAnsi="Arial" w:cs="Arial"/>
                <w:sz w:val="20"/>
                <w:szCs w:val="20"/>
              </w:rPr>
              <w:t xml:space="preserve">autoridades decisoras de políticas públicas de regiones amazónicas que tienen un alto grado de </w:t>
            </w:r>
            <w:r>
              <w:rPr>
                <w:rFonts w:ascii="Arial" w:eastAsia="Arial Narrow" w:hAnsi="Arial" w:cs="Arial"/>
                <w:sz w:val="20"/>
                <w:szCs w:val="20"/>
              </w:rPr>
              <w:t>valoración</w:t>
            </w:r>
            <w:r w:rsidRPr="00FF0EBB">
              <w:rPr>
                <w:rFonts w:ascii="Arial" w:eastAsia="Arial Narrow" w:hAnsi="Arial" w:cs="Arial"/>
                <w:sz w:val="20"/>
                <w:szCs w:val="20"/>
              </w:rPr>
              <w:t>, al elegir los dos niveles más altos de la escala, sobre la</w:t>
            </w:r>
            <w:r>
              <w:rPr>
                <w:rFonts w:ascii="Arial" w:eastAsia="Arial Narrow" w:hAnsi="Arial" w:cs="Arial"/>
                <w:sz w:val="20"/>
                <w:szCs w:val="20"/>
              </w:rPr>
              <w:t xml:space="preserve"> información científica en materia forestal y de fauna silvestre recibida.</w:t>
            </w:r>
          </w:p>
          <w:p w14:paraId="1433FB50" w14:textId="77777777" w:rsidR="00A75C0F" w:rsidRDefault="00A75C0F" w:rsidP="00AF5836">
            <w:pPr>
              <w:tabs>
                <w:tab w:val="left" w:pos="3375"/>
              </w:tabs>
              <w:jc w:val="both"/>
              <w:rPr>
                <w:rFonts w:ascii="Arial" w:eastAsia="Arial Narrow" w:hAnsi="Arial" w:cs="Arial"/>
                <w:sz w:val="20"/>
                <w:szCs w:val="20"/>
              </w:rPr>
            </w:pPr>
            <w:r w:rsidRPr="00FF0EBB">
              <w:rPr>
                <w:rFonts w:ascii="Arial" w:eastAsia="Arial Narrow" w:hAnsi="Arial" w:cs="Arial"/>
                <w:sz w:val="20"/>
                <w:szCs w:val="20"/>
              </w:rPr>
              <w:t xml:space="preserve">La variable B se determina con el total de </w:t>
            </w:r>
            <w:r w:rsidRPr="00725FD1">
              <w:rPr>
                <w:rFonts w:ascii="Arial" w:eastAsia="Arial Narrow" w:hAnsi="Arial" w:cs="Arial"/>
                <w:sz w:val="20"/>
                <w:szCs w:val="20"/>
              </w:rPr>
              <w:t>autoridades decisoras de políticas públicas de regiones amazónicas</w:t>
            </w:r>
            <w:r>
              <w:rPr>
                <w:rFonts w:ascii="Arial" w:eastAsia="Arial Narrow" w:hAnsi="Arial" w:cs="Arial"/>
                <w:sz w:val="20"/>
                <w:szCs w:val="20"/>
              </w:rPr>
              <w:t xml:space="preserve"> que recibieron información científica en materia forestal y de fauna silvestre en el año de medición.</w:t>
            </w:r>
            <w:r w:rsidRPr="00725FD1">
              <w:rPr>
                <w:rFonts w:ascii="Arial" w:eastAsia="Arial Narrow" w:hAnsi="Arial" w:cs="Arial"/>
                <w:sz w:val="20"/>
                <w:szCs w:val="20"/>
              </w:rPr>
              <w:t xml:space="preserve"> </w:t>
            </w:r>
          </w:p>
          <w:p w14:paraId="293CEFA6" w14:textId="77777777" w:rsidR="00A75C0F" w:rsidRPr="008A26D2" w:rsidRDefault="00A75C0F" w:rsidP="00AF5836">
            <w:pPr>
              <w:tabs>
                <w:tab w:val="left" w:pos="3375"/>
              </w:tabs>
              <w:jc w:val="both"/>
              <w:rPr>
                <w:rFonts w:ascii="Arial" w:eastAsia="Arial Narrow" w:hAnsi="Arial" w:cs="Arial"/>
                <w:sz w:val="20"/>
                <w:szCs w:val="20"/>
              </w:rPr>
            </w:pPr>
            <w:r w:rsidRPr="008A26D2">
              <w:rPr>
                <w:rFonts w:ascii="Arial" w:eastAsia="Arial Narrow" w:hAnsi="Arial" w:cs="Arial"/>
                <w:sz w:val="20"/>
                <w:szCs w:val="20"/>
              </w:rPr>
              <w:t>El indicador se calculará a partir de los datos recopilados por un cuestionario de valoración del servicio disponible en línea en donde se va a registrar la valoración del usuario a cada contenido recibido.</w:t>
            </w:r>
          </w:p>
          <w:p w14:paraId="21C28700" w14:textId="77777777" w:rsidR="00A75C0F" w:rsidRPr="008A26D2" w:rsidRDefault="00A75C0F" w:rsidP="00AF5836">
            <w:pPr>
              <w:tabs>
                <w:tab w:val="left" w:pos="3375"/>
              </w:tabs>
              <w:jc w:val="both"/>
              <w:rPr>
                <w:rFonts w:ascii="Arial" w:eastAsia="Arial Narrow" w:hAnsi="Arial" w:cs="Arial"/>
                <w:strike/>
                <w:sz w:val="20"/>
                <w:szCs w:val="20"/>
              </w:rPr>
            </w:pPr>
            <w:r w:rsidRPr="008A26D2">
              <w:rPr>
                <w:rFonts w:ascii="Arial" w:eastAsia="Arial Narrow" w:hAnsi="Arial" w:cs="Arial"/>
                <w:sz w:val="20"/>
                <w:szCs w:val="20"/>
              </w:rPr>
              <w:t>Se considera que los usuarios tienen un alto grado de valoración del servicio al elegir calificaciones de 4 o 5 de una escala de evaluación de 1 al 5 (escala de Likert).</w:t>
            </w:r>
          </w:p>
        </w:tc>
      </w:tr>
      <w:tr w:rsidR="00A75C0F" w:rsidRPr="008A26D2" w14:paraId="6E146290" w14:textId="77777777" w:rsidTr="00AF5836">
        <w:trPr>
          <w:trHeight w:val="686"/>
        </w:trPr>
        <w:tc>
          <w:tcPr>
            <w:tcW w:w="2702" w:type="dxa"/>
            <w:gridSpan w:val="4"/>
            <w:shd w:val="clear" w:color="auto" w:fill="auto"/>
            <w:tcMar>
              <w:top w:w="10" w:type="dxa"/>
              <w:left w:w="93" w:type="dxa"/>
              <w:bottom w:w="0" w:type="dxa"/>
              <w:right w:w="10" w:type="dxa"/>
            </w:tcMar>
            <w:vAlign w:val="center"/>
          </w:tcPr>
          <w:p w14:paraId="2ED6C4E4" w14:textId="77777777" w:rsidR="00A75C0F" w:rsidRPr="008A26D2" w:rsidRDefault="00A75C0F" w:rsidP="00AF5836">
            <w:pPr>
              <w:tabs>
                <w:tab w:val="left" w:pos="3375"/>
              </w:tabs>
              <w:rPr>
                <w:rFonts w:ascii="Arial" w:eastAsia="Arial Narrow" w:hAnsi="Arial" w:cs="Arial"/>
                <w:sz w:val="20"/>
                <w:szCs w:val="20"/>
              </w:rPr>
            </w:pPr>
            <w:r w:rsidRPr="008A26D2">
              <w:rPr>
                <w:rFonts w:ascii="Arial" w:eastAsia="Arial Narrow" w:hAnsi="Arial" w:cs="Arial"/>
                <w:b/>
                <w:sz w:val="20"/>
                <w:szCs w:val="20"/>
              </w:rPr>
              <w:t>Sentido esperado del indicador:</w:t>
            </w:r>
          </w:p>
        </w:tc>
        <w:tc>
          <w:tcPr>
            <w:tcW w:w="1678" w:type="dxa"/>
            <w:gridSpan w:val="3"/>
            <w:shd w:val="clear" w:color="auto" w:fill="auto"/>
            <w:tcMar>
              <w:top w:w="10" w:type="dxa"/>
              <w:left w:w="283" w:type="dxa"/>
              <w:bottom w:w="0" w:type="dxa"/>
              <w:right w:w="283" w:type="dxa"/>
            </w:tcMar>
            <w:vAlign w:val="center"/>
          </w:tcPr>
          <w:p w14:paraId="004C34B3" w14:textId="77777777" w:rsidR="00A75C0F" w:rsidRPr="008A26D2" w:rsidRDefault="00A75C0F" w:rsidP="00AF5836">
            <w:pPr>
              <w:tabs>
                <w:tab w:val="left" w:pos="3375"/>
              </w:tabs>
              <w:rPr>
                <w:rFonts w:ascii="Arial" w:eastAsia="Arial Narrow" w:hAnsi="Arial" w:cs="Arial"/>
                <w:sz w:val="20"/>
                <w:szCs w:val="20"/>
              </w:rPr>
            </w:pPr>
            <w:r w:rsidRPr="008A26D2">
              <w:rPr>
                <w:rFonts w:ascii="Arial" w:eastAsia="Arial Narrow" w:hAnsi="Arial" w:cs="Arial"/>
                <w:sz w:val="20"/>
                <w:szCs w:val="20"/>
              </w:rPr>
              <w:t>Ascendente</w:t>
            </w:r>
          </w:p>
        </w:tc>
        <w:tc>
          <w:tcPr>
            <w:tcW w:w="2283" w:type="dxa"/>
            <w:gridSpan w:val="3"/>
            <w:shd w:val="clear" w:color="auto" w:fill="auto"/>
            <w:tcMar>
              <w:top w:w="15" w:type="dxa"/>
              <w:left w:w="15" w:type="dxa"/>
              <w:bottom w:w="0" w:type="dxa"/>
              <w:right w:w="15" w:type="dxa"/>
            </w:tcMar>
            <w:vAlign w:val="center"/>
          </w:tcPr>
          <w:p w14:paraId="068E70A7" w14:textId="77777777" w:rsidR="00A75C0F" w:rsidRPr="008A26D2" w:rsidRDefault="00A75C0F" w:rsidP="00AF5836">
            <w:pPr>
              <w:tabs>
                <w:tab w:val="left" w:pos="3375"/>
              </w:tabs>
              <w:rPr>
                <w:rFonts w:ascii="Arial" w:eastAsia="Arial Narrow" w:hAnsi="Arial" w:cs="Arial"/>
                <w:sz w:val="20"/>
                <w:szCs w:val="20"/>
              </w:rPr>
            </w:pPr>
            <w:r w:rsidRPr="008A26D2">
              <w:rPr>
                <w:rFonts w:ascii="Arial" w:eastAsia="Arial Narrow" w:hAnsi="Arial" w:cs="Arial"/>
                <w:b/>
                <w:sz w:val="20"/>
                <w:szCs w:val="20"/>
              </w:rPr>
              <w:t>Tipo de Indicador de Servicio</w:t>
            </w:r>
          </w:p>
        </w:tc>
        <w:tc>
          <w:tcPr>
            <w:tcW w:w="1969" w:type="dxa"/>
            <w:gridSpan w:val="2"/>
            <w:shd w:val="clear" w:color="auto" w:fill="auto"/>
            <w:tcMar>
              <w:top w:w="15" w:type="dxa"/>
              <w:left w:w="15" w:type="dxa"/>
              <w:bottom w:w="0" w:type="dxa"/>
              <w:right w:w="15" w:type="dxa"/>
            </w:tcMar>
            <w:vAlign w:val="center"/>
          </w:tcPr>
          <w:p w14:paraId="21845DEF" w14:textId="77777777" w:rsidR="00A75C0F" w:rsidRPr="008A26D2" w:rsidRDefault="00A75C0F" w:rsidP="00AF5836">
            <w:pPr>
              <w:tabs>
                <w:tab w:val="left" w:pos="3375"/>
              </w:tabs>
              <w:rPr>
                <w:rFonts w:ascii="Arial" w:eastAsia="Arial Narrow" w:hAnsi="Arial" w:cs="Arial"/>
                <w:sz w:val="20"/>
                <w:szCs w:val="20"/>
              </w:rPr>
            </w:pPr>
            <w:r w:rsidRPr="008A26D2">
              <w:rPr>
                <w:rFonts w:ascii="Arial" w:eastAsia="Arial Narrow" w:hAnsi="Arial" w:cs="Arial"/>
                <w:sz w:val="20"/>
                <w:szCs w:val="20"/>
              </w:rPr>
              <w:t xml:space="preserve"> Calidad - Percepción</w:t>
            </w:r>
          </w:p>
        </w:tc>
      </w:tr>
      <w:tr w:rsidR="00A75C0F" w:rsidRPr="008A26D2" w14:paraId="388703CC" w14:textId="77777777" w:rsidTr="00AF5836">
        <w:trPr>
          <w:trHeight w:val="13"/>
        </w:trPr>
        <w:tc>
          <w:tcPr>
            <w:tcW w:w="2702" w:type="dxa"/>
            <w:gridSpan w:val="4"/>
            <w:shd w:val="clear" w:color="auto" w:fill="auto"/>
            <w:tcMar>
              <w:top w:w="10" w:type="dxa"/>
              <w:left w:w="93" w:type="dxa"/>
              <w:bottom w:w="0" w:type="dxa"/>
              <w:right w:w="10" w:type="dxa"/>
            </w:tcMar>
            <w:vAlign w:val="center"/>
          </w:tcPr>
          <w:p w14:paraId="1F1625F0" w14:textId="77777777" w:rsidR="00A75C0F" w:rsidRPr="008A26D2" w:rsidRDefault="00A75C0F" w:rsidP="00AF5836">
            <w:pPr>
              <w:tabs>
                <w:tab w:val="left" w:pos="3375"/>
              </w:tabs>
              <w:rPr>
                <w:rFonts w:ascii="Arial" w:eastAsia="Arial Narrow" w:hAnsi="Arial" w:cs="Arial"/>
                <w:sz w:val="20"/>
                <w:szCs w:val="20"/>
              </w:rPr>
            </w:pPr>
            <w:r w:rsidRPr="008A26D2">
              <w:rPr>
                <w:rFonts w:ascii="Arial" w:eastAsia="Arial Narrow" w:hAnsi="Arial" w:cs="Arial"/>
                <w:b/>
                <w:sz w:val="20"/>
                <w:szCs w:val="20"/>
              </w:rPr>
              <w:t>Fuente y base de datos:</w:t>
            </w:r>
          </w:p>
        </w:tc>
        <w:tc>
          <w:tcPr>
            <w:tcW w:w="5930" w:type="dxa"/>
            <w:gridSpan w:val="8"/>
            <w:shd w:val="clear" w:color="auto" w:fill="auto"/>
            <w:tcMar>
              <w:top w:w="51" w:type="dxa"/>
              <w:left w:w="227" w:type="dxa"/>
              <w:bottom w:w="51" w:type="dxa"/>
              <w:right w:w="227" w:type="dxa"/>
            </w:tcMar>
            <w:vAlign w:val="center"/>
          </w:tcPr>
          <w:p w14:paraId="2FBA2E8C" w14:textId="15F58266" w:rsidR="00A75C0F" w:rsidRDefault="00A75C0F" w:rsidP="00AF5836">
            <w:pPr>
              <w:tabs>
                <w:tab w:val="left" w:pos="3375"/>
              </w:tabs>
              <w:rPr>
                <w:rFonts w:ascii="Arial" w:eastAsia="Arial Narrow" w:hAnsi="Arial" w:cs="Arial"/>
                <w:sz w:val="20"/>
                <w:szCs w:val="20"/>
              </w:rPr>
            </w:pPr>
            <w:r w:rsidRPr="008A26D2">
              <w:rPr>
                <w:rFonts w:ascii="Arial" w:eastAsia="Arial Narrow" w:hAnsi="Arial" w:cs="Arial"/>
                <w:sz w:val="20"/>
                <w:szCs w:val="20"/>
              </w:rPr>
              <w:t xml:space="preserve">Fuente: </w:t>
            </w:r>
            <w:r w:rsidRPr="00E91415">
              <w:rPr>
                <w:rFonts w:ascii="Arial" w:eastAsia="Arial Narrow" w:hAnsi="Arial" w:cs="Arial"/>
                <w:sz w:val="20"/>
                <w:szCs w:val="20"/>
              </w:rPr>
              <w:t>Dirección de Investigación en Información y Gestión del Conocimiento del Instituto de Investigaciones de la Amazonía Peruana</w:t>
            </w:r>
            <w:r>
              <w:rPr>
                <w:rFonts w:ascii="Arial" w:eastAsia="Arial Narrow" w:hAnsi="Arial" w:cs="Arial"/>
                <w:sz w:val="20"/>
                <w:szCs w:val="20"/>
              </w:rPr>
              <w:t>.</w:t>
            </w:r>
          </w:p>
          <w:p w14:paraId="149879D8" w14:textId="77777777" w:rsidR="00A75C0F" w:rsidRPr="008A26D2" w:rsidRDefault="00A75C0F" w:rsidP="00AF5836">
            <w:pPr>
              <w:tabs>
                <w:tab w:val="left" w:pos="3375"/>
              </w:tabs>
              <w:rPr>
                <w:rFonts w:ascii="Arial" w:eastAsia="Arial Narrow" w:hAnsi="Arial" w:cs="Arial"/>
                <w:sz w:val="20"/>
                <w:szCs w:val="20"/>
              </w:rPr>
            </w:pPr>
            <w:r w:rsidRPr="008A26D2">
              <w:rPr>
                <w:rFonts w:ascii="Arial" w:eastAsia="Arial Narrow" w:hAnsi="Arial" w:cs="Arial"/>
                <w:sz w:val="20"/>
                <w:szCs w:val="20"/>
              </w:rPr>
              <w:t>Base de datos: SITRADOC-IIAP, módulo de documentos de salida, encuesta en línea.</w:t>
            </w:r>
          </w:p>
        </w:tc>
      </w:tr>
      <w:tr w:rsidR="00A75C0F" w:rsidRPr="008A26D2" w14:paraId="752E45CF" w14:textId="77777777" w:rsidTr="00AF5836">
        <w:trPr>
          <w:trHeight w:val="436"/>
        </w:trPr>
        <w:tc>
          <w:tcPr>
            <w:tcW w:w="2702" w:type="dxa"/>
            <w:gridSpan w:val="4"/>
            <w:shd w:val="clear" w:color="auto" w:fill="auto"/>
            <w:tcMar>
              <w:top w:w="10" w:type="dxa"/>
              <w:left w:w="93" w:type="dxa"/>
              <w:bottom w:w="0" w:type="dxa"/>
              <w:right w:w="10" w:type="dxa"/>
            </w:tcMar>
            <w:vAlign w:val="center"/>
          </w:tcPr>
          <w:p w14:paraId="2EA98905" w14:textId="77777777" w:rsidR="00A75C0F" w:rsidRPr="008A26D2" w:rsidRDefault="00A75C0F" w:rsidP="00AF5836">
            <w:pPr>
              <w:tabs>
                <w:tab w:val="left" w:pos="3375"/>
              </w:tabs>
              <w:rPr>
                <w:rFonts w:ascii="Arial" w:eastAsia="Arial Narrow" w:hAnsi="Arial" w:cs="Arial"/>
                <w:sz w:val="20"/>
                <w:szCs w:val="20"/>
              </w:rPr>
            </w:pPr>
            <w:r w:rsidRPr="008A26D2">
              <w:rPr>
                <w:rFonts w:ascii="Arial" w:eastAsia="Arial Narrow" w:hAnsi="Arial" w:cs="Arial"/>
                <w:b/>
                <w:sz w:val="20"/>
                <w:szCs w:val="20"/>
              </w:rPr>
              <w:t>Supuestos:</w:t>
            </w:r>
          </w:p>
        </w:tc>
        <w:tc>
          <w:tcPr>
            <w:tcW w:w="5930" w:type="dxa"/>
            <w:gridSpan w:val="8"/>
            <w:shd w:val="clear" w:color="auto" w:fill="auto"/>
            <w:tcMar>
              <w:top w:w="51" w:type="dxa"/>
              <w:left w:w="227" w:type="dxa"/>
              <w:bottom w:w="51" w:type="dxa"/>
              <w:right w:w="227" w:type="dxa"/>
            </w:tcMar>
            <w:vAlign w:val="center"/>
          </w:tcPr>
          <w:p w14:paraId="38FA4B79" w14:textId="77777777" w:rsidR="00A75C0F" w:rsidRPr="008A26D2" w:rsidRDefault="00A75C0F" w:rsidP="00AF5836">
            <w:pPr>
              <w:tabs>
                <w:tab w:val="left" w:pos="3375"/>
              </w:tabs>
              <w:rPr>
                <w:rFonts w:ascii="Arial" w:eastAsia="Arial Narrow" w:hAnsi="Arial" w:cs="Arial"/>
                <w:sz w:val="20"/>
                <w:szCs w:val="20"/>
              </w:rPr>
            </w:pPr>
            <w:r w:rsidRPr="008A26D2">
              <w:rPr>
                <w:rFonts w:ascii="Arial" w:eastAsia="Arial Narrow" w:hAnsi="Arial" w:cs="Arial"/>
                <w:sz w:val="20"/>
                <w:szCs w:val="20"/>
              </w:rPr>
              <w:t xml:space="preserve">Se cuenta con las capacidades técnicas y financieras para implementar el presente indicador. </w:t>
            </w:r>
          </w:p>
        </w:tc>
      </w:tr>
      <w:tr w:rsidR="00A75C0F" w:rsidRPr="008A26D2" w14:paraId="00DC7862" w14:textId="77777777" w:rsidTr="00AF5836">
        <w:trPr>
          <w:trHeight w:val="556"/>
        </w:trPr>
        <w:tc>
          <w:tcPr>
            <w:tcW w:w="709" w:type="dxa"/>
            <w:shd w:val="clear" w:color="auto" w:fill="auto"/>
            <w:tcMar>
              <w:top w:w="10" w:type="dxa"/>
              <w:left w:w="10" w:type="dxa"/>
              <w:bottom w:w="0" w:type="dxa"/>
              <w:right w:w="10" w:type="dxa"/>
            </w:tcMar>
            <w:vAlign w:val="center"/>
          </w:tcPr>
          <w:p w14:paraId="0B3902C6" w14:textId="77777777" w:rsidR="00A75C0F" w:rsidRPr="008A26D2" w:rsidRDefault="00A75C0F" w:rsidP="00AF5836">
            <w:pPr>
              <w:tabs>
                <w:tab w:val="left" w:pos="3375"/>
              </w:tabs>
              <w:rPr>
                <w:rFonts w:ascii="Arial" w:eastAsia="Arial Narrow" w:hAnsi="Arial" w:cs="Arial"/>
                <w:sz w:val="20"/>
                <w:szCs w:val="20"/>
              </w:rPr>
            </w:pPr>
            <w:r w:rsidRPr="008A26D2">
              <w:rPr>
                <w:rFonts w:ascii="Arial" w:eastAsia="Arial Narrow" w:hAnsi="Arial" w:cs="Arial"/>
                <w:b/>
                <w:sz w:val="20"/>
                <w:szCs w:val="20"/>
              </w:rPr>
              <w:t> </w:t>
            </w:r>
          </w:p>
        </w:tc>
        <w:tc>
          <w:tcPr>
            <w:tcW w:w="840" w:type="dxa"/>
            <w:shd w:val="clear" w:color="auto" w:fill="auto"/>
            <w:tcMar>
              <w:top w:w="10" w:type="dxa"/>
              <w:left w:w="10" w:type="dxa"/>
              <w:bottom w:w="0" w:type="dxa"/>
              <w:right w:w="10" w:type="dxa"/>
            </w:tcMar>
            <w:vAlign w:val="center"/>
          </w:tcPr>
          <w:p w14:paraId="252C210D" w14:textId="77777777" w:rsidR="00A75C0F" w:rsidRPr="008A26D2" w:rsidRDefault="00A75C0F" w:rsidP="00256A23">
            <w:pPr>
              <w:tabs>
                <w:tab w:val="left" w:pos="3375"/>
              </w:tabs>
              <w:jc w:val="center"/>
              <w:rPr>
                <w:rFonts w:ascii="Arial" w:eastAsia="Arial Narrow" w:hAnsi="Arial" w:cs="Arial"/>
                <w:sz w:val="20"/>
                <w:szCs w:val="20"/>
              </w:rPr>
            </w:pPr>
            <w:r w:rsidRPr="008A26D2">
              <w:rPr>
                <w:rFonts w:ascii="Arial" w:eastAsia="Arial Narrow" w:hAnsi="Arial" w:cs="Arial"/>
                <w:b/>
                <w:sz w:val="20"/>
                <w:szCs w:val="20"/>
              </w:rPr>
              <w:t>Línea de base</w:t>
            </w:r>
          </w:p>
        </w:tc>
        <w:tc>
          <w:tcPr>
            <w:tcW w:w="7083" w:type="dxa"/>
            <w:gridSpan w:val="10"/>
            <w:shd w:val="clear" w:color="auto" w:fill="auto"/>
            <w:tcMar>
              <w:top w:w="10" w:type="dxa"/>
              <w:left w:w="10" w:type="dxa"/>
              <w:bottom w:w="0" w:type="dxa"/>
              <w:right w:w="10" w:type="dxa"/>
            </w:tcMar>
            <w:vAlign w:val="center"/>
          </w:tcPr>
          <w:p w14:paraId="28FCAF43" w14:textId="77777777" w:rsidR="00A75C0F" w:rsidRPr="008A26D2" w:rsidRDefault="00A75C0F" w:rsidP="00AF5836">
            <w:pPr>
              <w:tabs>
                <w:tab w:val="left" w:pos="3375"/>
              </w:tabs>
              <w:rPr>
                <w:rFonts w:ascii="Arial" w:eastAsia="Arial Narrow" w:hAnsi="Arial" w:cs="Arial"/>
                <w:b/>
                <w:sz w:val="20"/>
                <w:szCs w:val="20"/>
              </w:rPr>
            </w:pPr>
            <w:r w:rsidRPr="008A26D2">
              <w:rPr>
                <w:rFonts w:ascii="Arial" w:eastAsia="Arial Narrow" w:hAnsi="Arial" w:cs="Arial"/>
                <w:b/>
                <w:sz w:val="20"/>
                <w:szCs w:val="20"/>
              </w:rPr>
              <w:t xml:space="preserve">Logros esperados </w:t>
            </w:r>
          </w:p>
        </w:tc>
      </w:tr>
      <w:tr w:rsidR="00A75C0F" w:rsidRPr="008A26D2" w14:paraId="35D40C52" w14:textId="77777777" w:rsidTr="00AF5836">
        <w:trPr>
          <w:trHeight w:val="217"/>
        </w:trPr>
        <w:tc>
          <w:tcPr>
            <w:tcW w:w="709" w:type="dxa"/>
            <w:shd w:val="clear" w:color="auto" w:fill="auto"/>
            <w:tcMar>
              <w:top w:w="10" w:type="dxa"/>
              <w:left w:w="10" w:type="dxa"/>
              <w:bottom w:w="0" w:type="dxa"/>
              <w:right w:w="10" w:type="dxa"/>
            </w:tcMar>
            <w:vAlign w:val="center"/>
          </w:tcPr>
          <w:p w14:paraId="2502EF51" w14:textId="77777777" w:rsidR="00A75C0F" w:rsidRPr="008A26D2" w:rsidRDefault="00A75C0F" w:rsidP="00AF5836">
            <w:pPr>
              <w:tabs>
                <w:tab w:val="left" w:pos="3375"/>
              </w:tabs>
              <w:rPr>
                <w:rFonts w:ascii="Arial" w:eastAsia="Arial Narrow" w:hAnsi="Arial" w:cs="Arial"/>
                <w:sz w:val="20"/>
                <w:szCs w:val="20"/>
              </w:rPr>
            </w:pPr>
            <w:r w:rsidRPr="008A26D2">
              <w:rPr>
                <w:rFonts w:ascii="Arial" w:eastAsia="Arial Narrow" w:hAnsi="Arial" w:cs="Arial"/>
                <w:b/>
                <w:sz w:val="20"/>
                <w:szCs w:val="20"/>
              </w:rPr>
              <w:t>Año</w:t>
            </w:r>
          </w:p>
        </w:tc>
        <w:tc>
          <w:tcPr>
            <w:tcW w:w="840" w:type="dxa"/>
            <w:shd w:val="clear" w:color="auto" w:fill="auto"/>
            <w:tcMar>
              <w:top w:w="10" w:type="dxa"/>
              <w:left w:w="10" w:type="dxa"/>
              <w:bottom w:w="0" w:type="dxa"/>
              <w:right w:w="10" w:type="dxa"/>
            </w:tcMar>
            <w:vAlign w:val="center"/>
          </w:tcPr>
          <w:p w14:paraId="7CA3B43D" w14:textId="77777777" w:rsidR="00A75C0F" w:rsidRPr="008A26D2" w:rsidRDefault="00A75C0F" w:rsidP="00AF5836">
            <w:pPr>
              <w:tabs>
                <w:tab w:val="left" w:pos="3375"/>
              </w:tabs>
              <w:jc w:val="center"/>
              <w:rPr>
                <w:rFonts w:ascii="Arial" w:eastAsia="Arial Narrow" w:hAnsi="Arial" w:cs="Arial"/>
                <w:b/>
                <w:sz w:val="20"/>
                <w:szCs w:val="20"/>
              </w:rPr>
            </w:pPr>
            <w:r w:rsidRPr="008A26D2">
              <w:rPr>
                <w:rFonts w:ascii="Arial" w:eastAsia="Arial Narrow" w:hAnsi="Arial" w:cs="Arial"/>
                <w:b/>
                <w:sz w:val="20"/>
                <w:szCs w:val="20"/>
              </w:rPr>
              <w:t>2021</w:t>
            </w:r>
          </w:p>
        </w:tc>
        <w:tc>
          <w:tcPr>
            <w:tcW w:w="720" w:type="dxa"/>
            <w:shd w:val="clear" w:color="auto" w:fill="auto"/>
            <w:tcMar>
              <w:top w:w="10" w:type="dxa"/>
              <w:left w:w="10" w:type="dxa"/>
              <w:bottom w:w="0" w:type="dxa"/>
              <w:right w:w="10" w:type="dxa"/>
            </w:tcMar>
            <w:vAlign w:val="center"/>
          </w:tcPr>
          <w:p w14:paraId="2F468E3F" w14:textId="77777777" w:rsidR="00A75C0F" w:rsidRPr="008A26D2" w:rsidRDefault="00A75C0F" w:rsidP="00AF5836">
            <w:pPr>
              <w:tabs>
                <w:tab w:val="left" w:pos="3375"/>
              </w:tabs>
              <w:jc w:val="center"/>
              <w:rPr>
                <w:rFonts w:ascii="Arial" w:eastAsia="Arial Narrow" w:hAnsi="Arial" w:cs="Arial"/>
                <w:b/>
                <w:sz w:val="20"/>
                <w:szCs w:val="20"/>
              </w:rPr>
            </w:pPr>
            <w:r w:rsidRPr="008A26D2">
              <w:rPr>
                <w:rFonts w:ascii="Arial" w:eastAsia="Arial Narrow" w:hAnsi="Arial" w:cs="Arial"/>
                <w:b/>
                <w:sz w:val="20"/>
                <w:szCs w:val="20"/>
              </w:rPr>
              <w:t>2023</w:t>
            </w:r>
          </w:p>
        </w:tc>
        <w:tc>
          <w:tcPr>
            <w:tcW w:w="708" w:type="dxa"/>
            <w:gridSpan w:val="2"/>
            <w:shd w:val="clear" w:color="auto" w:fill="auto"/>
            <w:vAlign w:val="center"/>
          </w:tcPr>
          <w:p w14:paraId="40CBCF58" w14:textId="77777777" w:rsidR="00A75C0F" w:rsidRPr="008A26D2" w:rsidRDefault="00A75C0F" w:rsidP="00AF5836">
            <w:pPr>
              <w:jc w:val="center"/>
              <w:rPr>
                <w:rFonts w:ascii="Arial" w:hAnsi="Arial" w:cs="Arial"/>
                <w:b/>
                <w:sz w:val="20"/>
                <w:szCs w:val="20"/>
              </w:rPr>
            </w:pPr>
            <w:r w:rsidRPr="008A26D2">
              <w:rPr>
                <w:rFonts w:ascii="Arial" w:hAnsi="Arial" w:cs="Arial"/>
                <w:b/>
                <w:sz w:val="20"/>
                <w:szCs w:val="20"/>
              </w:rPr>
              <w:t>2024</w:t>
            </w:r>
          </w:p>
        </w:tc>
        <w:tc>
          <w:tcPr>
            <w:tcW w:w="851" w:type="dxa"/>
            <w:shd w:val="clear" w:color="auto" w:fill="auto"/>
            <w:vAlign w:val="center"/>
          </w:tcPr>
          <w:p w14:paraId="65DE2F3E" w14:textId="77777777" w:rsidR="00A75C0F" w:rsidRPr="008A26D2" w:rsidRDefault="00A75C0F" w:rsidP="00AF5836">
            <w:pPr>
              <w:tabs>
                <w:tab w:val="left" w:pos="3375"/>
              </w:tabs>
              <w:jc w:val="center"/>
              <w:rPr>
                <w:rFonts w:ascii="Arial" w:eastAsia="Arial Narrow" w:hAnsi="Arial" w:cs="Arial"/>
                <w:b/>
                <w:sz w:val="20"/>
                <w:szCs w:val="20"/>
              </w:rPr>
            </w:pPr>
            <w:r w:rsidRPr="008A26D2">
              <w:rPr>
                <w:rFonts w:ascii="Arial" w:eastAsia="Arial Narrow" w:hAnsi="Arial" w:cs="Arial"/>
                <w:b/>
                <w:sz w:val="20"/>
                <w:szCs w:val="20"/>
              </w:rPr>
              <w:t>2025</w:t>
            </w:r>
          </w:p>
        </w:tc>
        <w:tc>
          <w:tcPr>
            <w:tcW w:w="850" w:type="dxa"/>
            <w:gridSpan w:val="2"/>
            <w:shd w:val="clear" w:color="auto" w:fill="auto"/>
            <w:vAlign w:val="center"/>
          </w:tcPr>
          <w:p w14:paraId="17C75A48" w14:textId="77777777" w:rsidR="00A75C0F" w:rsidRPr="008A26D2" w:rsidRDefault="00A75C0F" w:rsidP="00AF5836">
            <w:pPr>
              <w:tabs>
                <w:tab w:val="left" w:pos="3375"/>
              </w:tabs>
              <w:jc w:val="center"/>
              <w:rPr>
                <w:rFonts w:ascii="Arial" w:eastAsia="Arial Narrow" w:hAnsi="Arial" w:cs="Arial"/>
                <w:b/>
                <w:sz w:val="20"/>
                <w:szCs w:val="20"/>
              </w:rPr>
            </w:pPr>
            <w:r w:rsidRPr="008A26D2">
              <w:rPr>
                <w:rFonts w:ascii="Arial" w:eastAsia="Arial Narrow" w:hAnsi="Arial" w:cs="Arial"/>
                <w:b/>
                <w:sz w:val="20"/>
                <w:szCs w:val="20"/>
              </w:rPr>
              <w:t>2026</w:t>
            </w:r>
          </w:p>
        </w:tc>
        <w:tc>
          <w:tcPr>
            <w:tcW w:w="993" w:type="dxa"/>
            <w:shd w:val="clear" w:color="auto" w:fill="auto"/>
            <w:vAlign w:val="center"/>
          </w:tcPr>
          <w:p w14:paraId="55DF4031" w14:textId="77777777" w:rsidR="00A75C0F" w:rsidRPr="008A26D2" w:rsidRDefault="00A75C0F" w:rsidP="00AF5836">
            <w:pPr>
              <w:tabs>
                <w:tab w:val="left" w:pos="3375"/>
              </w:tabs>
              <w:jc w:val="center"/>
              <w:rPr>
                <w:rFonts w:ascii="Arial" w:eastAsia="Arial Narrow" w:hAnsi="Arial" w:cs="Arial"/>
                <w:b/>
                <w:sz w:val="20"/>
                <w:szCs w:val="20"/>
              </w:rPr>
            </w:pPr>
            <w:r w:rsidRPr="008A26D2">
              <w:rPr>
                <w:rFonts w:ascii="Arial" w:eastAsia="Arial Narrow" w:hAnsi="Arial" w:cs="Arial"/>
                <w:b/>
                <w:sz w:val="20"/>
                <w:szCs w:val="20"/>
              </w:rPr>
              <w:t>2027</w:t>
            </w:r>
          </w:p>
        </w:tc>
        <w:tc>
          <w:tcPr>
            <w:tcW w:w="992" w:type="dxa"/>
            <w:shd w:val="clear" w:color="auto" w:fill="auto"/>
            <w:vAlign w:val="center"/>
          </w:tcPr>
          <w:p w14:paraId="70AE6EF1" w14:textId="77777777" w:rsidR="00A75C0F" w:rsidRPr="008A26D2" w:rsidRDefault="00A75C0F" w:rsidP="00AF5836">
            <w:pPr>
              <w:tabs>
                <w:tab w:val="left" w:pos="3375"/>
              </w:tabs>
              <w:jc w:val="center"/>
              <w:rPr>
                <w:rFonts w:ascii="Arial" w:eastAsia="Arial Narrow" w:hAnsi="Arial" w:cs="Arial"/>
                <w:b/>
                <w:sz w:val="20"/>
                <w:szCs w:val="20"/>
              </w:rPr>
            </w:pPr>
            <w:r w:rsidRPr="008A26D2">
              <w:rPr>
                <w:rFonts w:ascii="Arial" w:eastAsia="Arial Narrow" w:hAnsi="Arial" w:cs="Arial"/>
                <w:b/>
                <w:sz w:val="20"/>
                <w:szCs w:val="20"/>
              </w:rPr>
              <w:t>2028</w:t>
            </w:r>
          </w:p>
        </w:tc>
        <w:tc>
          <w:tcPr>
            <w:tcW w:w="992" w:type="dxa"/>
            <w:shd w:val="clear" w:color="auto" w:fill="auto"/>
            <w:vAlign w:val="center"/>
          </w:tcPr>
          <w:p w14:paraId="6EE2F6E7" w14:textId="77777777" w:rsidR="00A75C0F" w:rsidRPr="008A26D2" w:rsidRDefault="00A75C0F" w:rsidP="00AF5836">
            <w:pPr>
              <w:tabs>
                <w:tab w:val="left" w:pos="3375"/>
              </w:tabs>
              <w:jc w:val="center"/>
              <w:rPr>
                <w:rFonts w:ascii="Arial" w:eastAsia="Arial Narrow" w:hAnsi="Arial" w:cs="Arial"/>
                <w:b/>
                <w:sz w:val="20"/>
                <w:szCs w:val="20"/>
              </w:rPr>
            </w:pPr>
            <w:r w:rsidRPr="008A26D2">
              <w:rPr>
                <w:rFonts w:ascii="Arial" w:eastAsia="Arial Narrow" w:hAnsi="Arial" w:cs="Arial"/>
                <w:b/>
                <w:sz w:val="20"/>
                <w:szCs w:val="20"/>
              </w:rPr>
              <w:t>2029</w:t>
            </w:r>
          </w:p>
        </w:tc>
        <w:tc>
          <w:tcPr>
            <w:tcW w:w="977" w:type="dxa"/>
          </w:tcPr>
          <w:p w14:paraId="1426F6BA" w14:textId="77777777" w:rsidR="00A75C0F" w:rsidRPr="008A26D2" w:rsidRDefault="00A75C0F" w:rsidP="00AF5836">
            <w:pPr>
              <w:tabs>
                <w:tab w:val="left" w:pos="3375"/>
              </w:tabs>
              <w:jc w:val="center"/>
              <w:rPr>
                <w:rFonts w:ascii="Arial" w:eastAsia="Arial Narrow" w:hAnsi="Arial" w:cs="Arial"/>
                <w:b/>
                <w:sz w:val="20"/>
                <w:szCs w:val="20"/>
              </w:rPr>
            </w:pPr>
            <w:r w:rsidRPr="008A26D2">
              <w:rPr>
                <w:rFonts w:ascii="Arial" w:eastAsia="Arial Narrow" w:hAnsi="Arial" w:cs="Arial"/>
                <w:b/>
                <w:sz w:val="20"/>
                <w:szCs w:val="20"/>
              </w:rPr>
              <w:t>2030</w:t>
            </w:r>
          </w:p>
        </w:tc>
      </w:tr>
      <w:tr w:rsidR="00A75C0F" w:rsidRPr="008A26D2" w14:paraId="30527913" w14:textId="77777777" w:rsidTr="00AF5836">
        <w:trPr>
          <w:trHeight w:val="81"/>
        </w:trPr>
        <w:tc>
          <w:tcPr>
            <w:tcW w:w="709" w:type="dxa"/>
            <w:shd w:val="clear" w:color="auto" w:fill="auto"/>
            <w:tcMar>
              <w:top w:w="10" w:type="dxa"/>
              <w:left w:w="10" w:type="dxa"/>
              <w:bottom w:w="0" w:type="dxa"/>
              <w:right w:w="10" w:type="dxa"/>
            </w:tcMar>
            <w:vAlign w:val="center"/>
          </w:tcPr>
          <w:p w14:paraId="22E97BF5" w14:textId="77777777" w:rsidR="00A75C0F" w:rsidRPr="008A26D2" w:rsidRDefault="00A75C0F" w:rsidP="00AF5836">
            <w:pPr>
              <w:tabs>
                <w:tab w:val="left" w:pos="3375"/>
              </w:tabs>
              <w:rPr>
                <w:rFonts w:ascii="Arial" w:eastAsia="Arial Narrow" w:hAnsi="Arial" w:cs="Arial"/>
                <w:b/>
                <w:sz w:val="20"/>
                <w:szCs w:val="20"/>
              </w:rPr>
            </w:pPr>
            <w:r w:rsidRPr="008A26D2">
              <w:rPr>
                <w:rFonts w:ascii="Arial" w:eastAsia="Arial Narrow" w:hAnsi="Arial" w:cs="Arial"/>
                <w:b/>
                <w:sz w:val="20"/>
                <w:szCs w:val="20"/>
              </w:rPr>
              <w:lastRenderedPageBreak/>
              <w:t>Valor</w:t>
            </w:r>
          </w:p>
        </w:tc>
        <w:tc>
          <w:tcPr>
            <w:tcW w:w="840" w:type="dxa"/>
            <w:shd w:val="clear" w:color="auto" w:fill="auto"/>
            <w:tcMar>
              <w:top w:w="10" w:type="dxa"/>
              <w:left w:w="10" w:type="dxa"/>
              <w:bottom w:w="0" w:type="dxa"/>
              <w:right w:w="10" w:type="dxa"/>
            </w:tcMar>
            <w:vAlign w:val="center"/>
          </w:tcPr>
          <w:p w14:paraId="72453B7F"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17%</w:t>
            </w:r>
          </w:p>
        </w:tc>
        <w:tc>
          <w:tcPr>
            <w:tcW w:w="720" w:type="dxa"/>
            <w:shd w:val="clear" w:color="auto" w:fill="auto"/>
            <w:tcMar>
              <w:top w:w="10" w:type="dxa"/>
              <w:left w:w="10" w:type="dxa"/>
              <w:bottom w:w="0" w:type="dxa"/>
              <w:right w:w="10" w:type="dxa"/>
            </w:tcMar>
            <w:vAlign w:val="bottom"/>
          </w:tcPr>
          <w:p w14:paraId="65085AA4"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25%</w:t>
            </w:r>
          </w:p>
        </w:tc>
        <w:tc>
          <w:tcPr>
            <w:tcW w:w="708" w:type="dxa"/>
            <w:gridSpan w:val="2"/>
            <w:shd w:val="clear" w:color="auto" w:fill="auto"/>
            <w:vAlign w:val="bottom"/>
          </w:tcPr>
          <w:p w14:paraId="0C8A27D0"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30%</w:t>
            </w:r>
          </w:p>
        </w:tc>
        <w:tc>
          <w:tcPr>
            <w:tcW w:w="851" w:type="dxa"/>
            <w:shd w:val="clear" w:color="auto" w:fill="auto"/>
            <w:vAlign w:val="bottom"/>
          </w:tcPr>
          <w:p w14:paraId="2B260F0F"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35%</w:t>
            </w:r>
          </w:p>
        </w:tc>
        <w:tc>
          <w:tcPr>
            <w:tcW w:w="850" w:type="dxa"/>
            <w:gridSpan w:val="2"/>
            <w:shd w:val="clear" w:color="auto" w:fill="auto"/>
            <w:vAlign w:val="bottom"/>
          </w:tcPr>
          <w:p w14:paraId="6E1C8AA3"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40%</w:t>
            </w:r>
          </w:p>
        </w:tc>
        <w:tc>
          <w:tcPr>
            <w:tcW w:w="993" w:type="dxa"/>
            <w:shd w:val="clear" w:color="auto" w:fill="auto"/>
            <w:vAlign w:val="bottom"/>
          </w:tcPr>
          <w:p w14:paraId="57FF8766"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45%</w:t>
            </w:r>
          </w:p>
        </w:tc>
        <w:tc>
          <w:tcPr>
            <w:tcW w:w="992" w:type="dxa"/>
            <w:shd w:val="clear" w:color="auto" w:fill="auto"/>
            <w:vAlign w:val="bottom"/>
          </w:tcPr>
          <w:p w14:paraId="00FA3B63"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50%</w:t>
            </w:r>
          </w:p>
        </w:tc>
        <w:tc>
          <w:tcPr>
            <w:tcW w:w="992" w:type="dxa"/>
            <w:shd w:val="clear" w:color="auto" w:fill="auto"/>
            <w:vAlign w:val="bottom"/>
          </w:tcPr>
          <w:p w14:paraId="1AC4E496"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55%</w:t>
            </w:r>
          </w:p>
        </w:tc>
        <w:tc>
          <w:tcPr>
            <w:tcW w:w="977" w:type="dxa"/>
            <w:vAlign w:val="bottom"/>
          </w:tcPr>
          <w:p w14:paraId="0E821B00"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60%</w:t>
            </w:r>
          </w:p>
        </w:tc>
      </w:tr>
    </w:tbl>
    <w:p w14:paraId="66FB9438" w14:textId="77777777" w:rsidR="00A75C0F" w:rsidRPr="008A26D2" w:rsidRDefault="00A75C0F" w:rsidP="00A75C0F"/>
    <w:p w14:paraId="5C722762" w14:textId="77777777" w:rsidR="00A75C0F" w:rsidRPr="008A26D2" w:rsidRDefault="00A75C0F" w:rsidP="00A75C0F"/>
    <w:tbl>
      <w:tblPr>
        <w:tblW w:w="8926" w:type="dxa"/>
        <w:jc w:val="center"/>
        <w:tblLayout w:type="fixed"/>
        <w:tblCellMar>
          <w:left w:w="70" w:type="dxa"/>
          <w:right w:w="70" w:type="dxa"/>
        </w:tblCellMar>
        <w:tblLook w:val="04A0" w:firstRow="1" w:lastRow="0" w:firstColumn="1" w:lastColumn="0" w:noHBand="0" w:noVBand="1"/>
      </w:tblPr>
      <w:tblGrid>
        <w:gridCol w:w="1273"/>
        <w:gridCol w:w="990"/>
        <w:gridCol w:w="851"/>
        <w:gridCol w:w="850"/>
        <w:gridCol w:w="851"/>
        <w:gridCol w:w="850"/>
        <w:gridCol w:w="709"/>
        <w:gridCol w:w="851"/>
        <w:gridCol w:w="850"/>
        <w:gridCol w:w="851"/>
      </w:tblGrid>
      <w:tr w:rsidR="00A75C0F" w:rsidRPr="008A26D2" w14:paraId="0294E58F" w14:textId="77777777" w:rsidTr="00AF5836">
        <w:trPr>
          <w:trHeight w:val="442"/>
          <w:jc w:val="center"/>
        </w:trPr>
        <w:tc>
          <w:tcPr>
            <w:tcW w:w="8926" w:type="dxa"/>
            <w:gridSpan w:val="10"/>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25DC680" w14:textId="77777777" w:rsidR="00A75C0F" w:rsidRPr="008A26D2" w:rsidRDefault="00A75C0F" w:rsidP="00AF5836">
            <w:pPr>
              <w:spacing w:after="0" w:line="240" w:lineRule="auto"/>
              <w:jc w:val="center"/>
              <w:rPr>
                <w:rFonts w:ascii="Arial" w:eastAsia="Times New Roman" w:hAnsi="Arial" w:cs="Arial"/>
                <w:b/>
                <w:bCs/>
                <w:sz w:val="20"/>
                <w:szCs w:val="20"/>
              </w:rPr>
            </w:pPr>
            <w:r w:rsidRPr="008A26D2">
              <w:rPr>
                <w:rFonts w:ascii="Arial" w:eastAsia="Times New Roman" w:hAnsi="Arial" w:cs="Arial"/>
                <w:b/>
                <w:bCs/>
                <w:sz w:val="20"/>
                <w:szCs w:val="20"/>
              </w:rPr>
              <w:t>FICHA TÉCNICA DE INDICADOR DE SERVICIO 3.3.6</w:t>
            </w:r>
          </w:p>
        </w:tc>
      </w:tr>
      <w:tr w:rsidR="00A75C0F" w:rsidRPr="008A26D2" w14:paraId="7E78ECE1" w14:textId="77777777" w:rsidTr="00AF5836">
        <w:trPr>
          <w:trHeight w:val="421"/>
          <w:jc w:val="center"/>
        </w:trPr>
        <w:tc>
          <w:tcPr>
            <w:tcW w:w="22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5375640" w14:textId="77777777" w:rsidR="00A75C0F" w:rsidRPr="008A26D2" w:rsidRDefault="00A75C0F" w:rsidP="00AF5836">
            <w:pPr>
              <w:tabs>
                <w:tab w:val="left" w:pos="3375"/>
              </w:tabs>
              <w:spacing w:after="0" w:line="240" w:lineRule="auto"/>
              <w:jc w:val="both"/>
              <w:rPr>
                <w:rFonts w:ascii="Arial" w:eastAsia="Arial Narrow" w:hAnsi="Arial" w:cs="Arial"/>
                <w:b/>
                <w:sz w:val="20"/>
                <w:szCs w:val="20"/>
              </w:rPr>
            </w:pPr>
            <w:r w:rsidRPr="008A26D2">
              <w:rPr>
                <w:rFonts w:ascii="Arial" w:eastAsia="Arial Narrow" w:hAnsi="Arial" w:cs="Arial"/>
                <w:b/>
                <w:sz w:val="20"/>
                <w:szCs w:val="20"/>
              </w:rPr>
              <w:t>Objetivo prioritario:</w:t>
            </w:r>
          </w:p>
        </w:tc>
        <w:tc>
          <w:tcPr>
            <w:tcW w:w="6663"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56F48AAD" w14:textId="77777777" w:rsidR="00A75C0F" w:rsidRPr="008A26D2" w:rsidRDefault="00A75C0F" w:rsidP="00AF5836">
            <w:pPr>
              <w:tabs>
                <w:tab w:val="left" w:pos="3375"/>
              </w:tabs>
              <w:spacing w:after="0" w:line="240" w:lineRule="auto"/>
              <w:jc w:val="both"/>
              <w:rPr>
                <w:rFonts w:ascii="Arial" w:eastAsia="Arial Narrow" w:hAnsi="Arial" w:cs="Arial"/>
                <w:sz w:val="20"/>
                <w:szCs w:val="20"/>
              </w:rPr>
            </w:pPr>
            <w:r w:rsidRPr="008A26D2">
              <w:rPr>
                <w:rFonts w:ascii="Arial" w:eastAsia="Arial Narrow" w:hAnsi="Arial" w:cs="Arial"/>
                <w:sz w:val="20"/>
                <w:szCs w:val="20"/>
              </w:rPr>
              <w:t>OP3. Fortalecer la gobernanza forestal y de fauna silvestre</w:t>
            </w:r>
          </w:p>
        </w:tc>
      </w:tr>
      <w:tr w:rsidR="00A75C0F" w:rsidRPr="008A26D2" w14:paraId="061A9224" w14:textId="77777777" w:rsidTr="00AF5836">
        <w:trPr>
          <w:trHeight w:val="540"/>
          <w:jc w:val="center"/>
        </w:trPr>
        <w:tc>
          <w:tcPr>
            <w:tcW w:w="22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024725F" w14:textId="77777777" w:rsidR="00A75C0F" w:rsidRPr="008A26D2" w:rsidRDefault="00A75C0F" w:rsidP="00AF5836">
            <w:pPr>
              <w:tabs>
                <w:tab w:val="left" w:pos="3375"/>
              </w:tabs>
              <w:spacing w:after="0" w:line="240" w:lineRule="auto"/>
              <w:jc w:val="both"/>
              <w:rPr>
                <w:rFonts w:ascii="Arial" w:eastAsia="Arial Narrow" w:hAnsi="Arial" w:cs="Arial"/>
                <w:b/>
                <w:sz w:val="20"/>
                <w:szCs w:val="20"/>
              </w:rPr>
            </w:pPr>
            <w:r w:rsidRPr="008A26D2">
              <w:rPr>
                <w:rFonts w:ascii="Arial" w:eastAsia="Arial Narrow" w:hAnsi="Arial" w:cs="Arial"/>
                <w:b/>
                <w:sz w:val="20"/>
                <w:szCs w:val="20"/>
              </w:rPr>
              <w:t>Lineamiento de la política:</w:t>
            </w:r>
          </w:p>
        </w:tc>
        <w:tc>
          <w:tcPr>
            <w:tcW w:w="6663"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11445917" w14:textId="77777777" w:rsidR="00A75C0F" w:rsidRPr="008A26D2" w:rsidRDefault="00A75C0F" w:rsidP="00AF5836">
            <w:pPr>
              <w:tabs>
                <w:tab w:val="left" w:pos="3375"/>
              </w:tabs>
              <w:spacing w:after="0" w:line="240" w:lineRule="auto"/>
              <w:jc w:val="both"/>
              <w:rPr>
                <w:rFonts w:ascii="Arial" w:eastAsia="Arial Narrow" w:hAnsi="Arial" w:cs="Arial"/>
                <w:sz w:val="20"/>
                <w:szCs w:val="20"/>
              </w:rPr>
            </w:pPr>
            <w:r w:rsidRPr="008A26D2">
              <w:rPr>
                <w:rFonts w:ascii="Arial" w:eastAsia="Arial Narrow" w:hAnsi="Arial" w:cs="Arial"/>
                <w:sz w:val="20"/>
                <w:szCs w:val="20"/>
              </w:rPr>
              <w:t>L.3.3.  Gestionar la información y el conocimiento en materia forestal y de fauna silvestre producido por los actores forestales y de fauna silvestre</w:t>
            </w:r>
          </w:p>
        </w:tc>
      </w:tr>
      <w:tr w:rsidR="00A75C0F" w:rsidRPr="008A26D2" w14:paraId="792A495F" w14:textId="77777777" w:rsidTr="00AF5836">
        <w:trPr>
          <w:trHeight w:val="860"/>
          <w:jc w:val="center"/>
        </w:trPr>
        <w:tc>
          <w:tcPr>
            <w:tcW w:w="22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4651533" w14:textId="77777777" w:rsidR="00A75C0F" w:rsidRPr="008A26D2" w:rsidRDefault="00A75C0F" w:rsidP="00AF5836">
            <w:pPr>
              <w:tabs>
                <w:tab w:val="left" w:pos="3375"/>
              </w:tabs>
              <w:spacing w:after="0" w:line="240" w:lineRule="auto"/>
              <w:jc w:val="both"/>
              <w:rPr>
                <w:rFonts w:ascii="Arial" w:eastAsia="Arial Narrow" w:hAnsi="Arial" w:cs="Arial"/>
                <w:b/>
                <w:sz w:val="20"/>
                <w:szCs w:val="20"/>
              </w:rPr>
            </w:pPr>
            <w:r w:rsidRPr="008A26D2">
              <w:rPr>
                <w:rFonts w:ascii="Arial" w:eastAsia="Arial Narrow" w:hAnsi="Arial" w:cs="Arial"/>
                <w:b/>
                <w:sz w:val="20"/>
                <w:szCs w:val="20"/>
              </w:rPr>
              <w:t>Nombre del servicio:</w:t>
            </w:r>
          </w:p>
        </w:tc>
        <w:tc>
          <w:tcPr>
            <w:tcW w:w="6663"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4EB124F" w14:textId="77777777" w:rsidR="00A75C0F" w:rsidRPr="008A26D2" w:rsidRDefault="00A75C0F" w:rsidP="00AF5836">
            <w:pPr>
              <w:tabs>
                <w:tab w:val="left" w:pos="3375"/>
              </w:tabs>
              <w:spacing w:after="0" w:line="240" w:lineRule="auto"/>
              <w:jc w:val="both"/>
              <w:rPr>
                <w:rFonts w:ascii="Arial" w:eastAsia="Arial Narrow" w:hAnsi="Arial" w:cs="Arial"/>
                <w:sz w:val="20"/>
                <w:szCs w:val="20"/>
              </w:rPr>
            </w:pPr>
            <w:r w:rsidRPr="008A26D2">
              <w:rPr>
                <w:rFonts w:ascii="Arial" w:eastAsia="Arial Narrow" w:hAnsi="Arial" w:cs="Arial"/>
                <w:sz w:val="20"/>
                <w:szCs w:val="20"/>
              </w:rPr>
              <w:t>S.3.3.6.  Asistencia técnica para la sistematización del conocimiento tradicional de pueblos indígenas con pertinencia cultural dirigido a las Autoridades Regionales Forestales y de Fauna Silvestre</w:t>
            </w:r>
          </w:p>
        </w:tc>
      </w:tr>
      <w:tr w:rsidR="00A75C0F" w:rsidRPr="008A26D2" w14:paraId="64C98234" w14:textId="77777777" w:rsidTr="00AF5836">
        <w:trPr>
          <w:trHeight w:val="831"/>
          <w:jc w:val="center"/>
        </w:trPr>
        <w:tc>
          <w:tcPr>
            <w:tcW w:w="22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64DB845" w14:textId="77777777" w:rsidR="00A75C0F" w:rsidRPr="008A26D2" w:rsidRDefault="00A75C0F" w:rsidP="00AF5836">
            <w:pPr>
              <w:tabs>
                <w:tab w:val="left" w:pos="3375"/>
              </w:tabs>
              <w:spacing w:after="0" w:line="240" w:lineRule="auto"/>
              <w:jc w:val="both"/>
              <w:rPr>
                <w:rFonts w:ascii="Arial" w:eastAsia="Arial Narrow" w:hAnsi="Arial" w:cs="Arial"/>
                <w:b/>
                <w:sz w:val="20"/>
                <w:szCs w:val="20"/>
              </w:rPr>
            </w:pPr>
            <w:r w:rsidRPr="008A26D2">
              <w:rPr>
                <w:rFonts w:ascii="Arial" w:eastAsia="Arial Narrow" w:hAnsi="Arial" w:cs="Arial"/>
                <w:b/>
                <w:sz w:val="20"/>
                <w:szCs w:val="20"/>
              </w:rPr>
              <w:t>Nombre del indicador:</w:t>
            </w:r>
          </w:p>
        </w:tc>
        <w:tc>
          <w:tcPr>
            <w:tcW w:w="6663"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EA32B86" w14:textId="77777777" w:rsidR="00A75C0F" w:rsidRPr="008A26D2" w:rsidRDefault="00A75C0F" w:rsidP="00AF5836">
            <w:pPr>
              <w:tabs>
                <w:tab w:val="left" w:pos="3375"/>
              </w:tabs>
              <w:spacing w:after="0" w:line="240" w:lineRule="auto"/>
              <w:jc w:val="both"/>
              <w:rPr>
                <w:rFonts w:ascii="Arial" w:eastAsia="Arial Narrow" w:hAnsi="Arial" w:cs="Arial"/>
                <w:sz w:val="20"/>
                <w:szCs w:val="20"/>
              </w:rPr>
            </w:pPr>
            <w:r w:rsidRPr="008A26D2">
              <w:rPr>
                <w:rFonts w:ascii="Arial" w:eastAsia="Arial Narrow" w:hAnsi="Arial" w:cs="Arial"/>
                <w:sz w:val="20"/>
                <w:szCs w:val="20"/>
              </w:rPr>
              <w:t>Porcentaje de Autoridades Regionales Forestales y de Fauna Silvestre que recibieron asistencia técnica de forma pertinente para la sistematización del conocimiento tradicional de pueblos indígenas</w:t>
            </w:r>
          </w:p>
        </w:tc>
      </w:tr>
      <w:tr w:rsidR="00A75C0F" w:rsidRPr="008A26D2" w14:paraId="33489895" w14:textId="77777777" w:rsidTr="00AF5836">
        <w:trPr>
          <w:trHeight w:val="524"/>
          <w:jc w:val="center"/>
        </w:trPr>
        <w:tc>
          <w:tcPr>
            <w:tcW w:w="22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194EC85" w14:textId="77777777" w:rsidR="00A75C0F" w:rsidRPr="008A26D2" w:rsidRDefault="00A75C0F" w:rsidP="00AF5836">
            <w:pPr>
              <w:tabs>
                <w:tab w:val="left" w:pos="3375"/>
              </w:tabs>
              <w:spacing w:after="0" w:line="240" w:lineRule="auto"/>
              <w:jc w:val="both"/>
              <w:rPr>
                <w:rFonts w:ascii="Arial" w:eastAsia="Arial Narrow" w:hAnsi="Arial" w:cs="Arial"/>
                <w:b/>
                <w:sz w:val="20"/>
                <w:szCs w:val="20"/>
              </w:rPr>
            </w:pPr>
            <w:r w:rsidRPr="008A26D2">
              <w:rPr>
                <w:rFonts w:ascii="Arial" w:eastAsia="Arial Narrow" w:hAnsi="Arial" w:cs="Arial"/>
                <w:b/>
                <w:sz w:val="20"/>
                <w:szCs w:val="20"/>
              </w:rPr>
              <w:t>Justificación:</w:t>
            </w:r>
          </w:p>
        </w:tc>
        <w:tc>
          <w:tcPr>
            <w:tcW w:w="6663"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694265CF" w14:textId="77777777" w:rsidR="00A75C0F" w:rsidRPr="008A26D2" w:rsidRDefault="00A75C0F" w:rsidP="00AF5836">
            <w:pPr>
              <w:tabs>
                <w:tab w:val="left" w:pos="3375"/>
              </w:tabs>
              <w:spacing w:after="0" w:line="240" w:lineRule="auto"/>
              <w:jc w:val="both"/>
              <w:rPr>
                <w:rFonts w:ascii="Arial" w:eastAsia="Arial Narrow" w:hAnsi="Arial" w:cs="Arial"/>
                <w:sz w:val="20"/>
                <w:szCs w:val="20"/>
              </w:rPr>
            </w:pPr>
            <w:r w:rsidRPr="008A26D2">
              <w:rPr>
                <w:rFonts w:ascii="Arial" w:eastAsia="Arial Narrow" w:hAnsi="Arial" w:cs="Arial"/>
                <w:sz w:val="20"/>
                <w:szCs w:val="20"/>
              </w:rPr>
              <w:t>El indicador mide el porcentaje de Autoridades Regionales Forestales y de Fauna Silvestre que reciben asistencia técnica para sistematizar conocimientos tradicionales de pueblos indígenas, coadyuvando a desarrollar mecanismos de articulación y dialogo con los pueblos indígenas.</w:t>
            </w:r>
          </w:p>
        </w:tc>
      </w:tr>
      <w:tr w:rsidR="00A75C0F" w:rsidRPr="008A26D2" w14:paraId="2F5992EA" w14:textId="77777777" w:rsidTr="00AF5836">
        <w:trPr>
          <w:trHeight w:val="546"/>
          <w:jc w:val="center"/>
        </w:trPr>
        <w:tc>
          <w:tcPr>
            <w:tcW w:w="22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3125291" w14:textId="77777777" w:rsidR="00A75C0F" w:rsidRPr="008A26D2" w:rsidRDefault="00A75C0F" w:rsidP="00AF5836">
            <w:pPr>
              <w:tabs>
                <w:tab w:val="left" w:pos="3375"/>
              </w:tabs>
              <w:spacing w:after="0" w:line="240" w:lineRule="auto"/>
              <w:jc w:val="both"/>
              <w:rPr>
                <w:rFonts w:ascii="Arial" w:eastAsia="Arial Narrow" w:hAnsi="Arial" w:cs="Arial"/>
                <w:b/>
                <w:sz w:val="20"/>
                <w:szCs w:val="20"/>
              </w:rPr>
            </w:pPr>
            <w:r w:rsidRPr="008A26D2">
              <w:rPr>
                <w:rFonts w:ascii="Arial" w:eastAsia="Arial Narrow" w:hAnsi="Arial" w:cs="Arial"/>
                <w:b/>
                <w:sz w:val="20"/>
                <w:szCs w:val="20"/>
              </w:rPr>
              <w:t>Responsable del indicador:</w:t>
            </w:r>
          </w:p>
        </w:tc>
        <w:tc>
          <w:tcPr>
            <w:tcW w:w="6663"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0F62E42" w14:textId="0698533B" w:rsidR="00A75C0F" w:rsidRPr="008A26D2" w:rsidRDefault="00A75C0F" w:rsidP="00AF5836">
            <w:pPr>
              <w:tabs>
                <w:tab w:val="left" w:pos="3375"/>
              </w:tabs>
              <w:spacing w:after="0" w:line="240" w:lineRule="auto"/>
              <w:jc w:val="both"/>
              <w:rPr>
                <w:rFonts w:ascii="Arial" w:eastAsia="Arial Narrow" w:hAnsi="Arial" w:cs="Arial"/>
                <w:sz w:val="20"/>
                <w:szCs w:val="20"/>
              </w:rPr>
            </w:pPr>
            <w:r w:rsidRPr="008A26D2">
              <w:rPr>
                <w:rFonts w:ascii="Arial" w:eastAsia="Arial Narrow" w:hAnsi="Arial" w:cs="Arial"/>
                <w:sz w:val="20"/>
                <w:szCs w:val="20"/>
              </w:rPr>
              <w:t xml:space="preserve">Dirección de Gestión del Conocimiento de la Dirección General de Gestión del Conocimiento Forestal y de Fauna Silvestre (DGGCFFS) del Servicio Nacional Forestal y de Fauna Silvestre </w:t>
            </w:r>
            <w:r>
              <w:rPr>
                <w:rFonts w:ascii="Arial" w:eastAsia="Arial Narrow" w:hAnsi="Arial" w:cs="Arial"/>
                <w:sz w:val="20"/>
                <w:szCs w:val="20"/>
              </w:rPr>
              <w:t>–</w:t>
            </w:r>
            <w:r w:rsidRPr="008A26D2">
              <w:rPr>
                <w:rFonts w:ascii="Arial" w:eastAsia="Arial Narrow" w:hAnsi="Arial" w:cs="Arial"/>
                <w:sz w:val="20"/>
                <w:szCs w:val="20"/>
              </w:rPr>
              <w:t xml:space="preserve"> SERFOR</w:t>
            </w:r>
          </w:p>
        </w:tc>
      </w:tr>
      <w:tr w:rsidR="00A75C0F" w:rsidRPr="008A26D2" w14:paraId="6C183127" w14:textId="77777777" w:rsidTr="00AF5836">
        <w:trPr>
          <w:trHeight w:val="579"/>
          <w:jc w:val="center"/>
        </w:trPr>
        <w:tc>
          <w:tcPr>
            <w:tcW w:w="22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A65EC02" w14:textId="77777777" w:rsidR="00A75C0F" w:rsidRPr="008A26D2" w:rsidRDefault="00A75C0F" w:rsidP="00AF5836">
            <w:pPr>
              <w:tabs>
                <w:tab w:val="left" w:pos="3375"/>
              </w:tabs>
              <w:spacing w:after="0" w:line="240" w:lineRule="auto"/>
              <w:jc w:val="both"/>
              <w:rPr>
                <w:rFonts w:ascii="Arial" w:eastAsia="Arial Narrow" w:hAnsi="Arial" w:cs="Arial"/>
                <w:b/>
                <w:sz w:val="20"/>
                <w:szCs w:val="20"/>
              </w:rPr>
            </w:pPr>
            <w:r w:rsidRPr="008A26D2">
              <w:rPr>
                <w:rFonts w:ascii="Arial" w:eastAsia="Arial Narrow" w:hAnsi="Arial" w:cs="Arial"/>
                <w:b/>
                <w:sz w:val="20"/>
                <w:szCs w:val="20"/>
              </w:rPr>
              <w:t>Limitaciones para la medición del indicador:</w:t>
            </w:r>
          </w:p>
        </w:tc>
        <w:tc>
          <w:tcPr>
            <w:tcW w:w="6663"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531BC9C3" w14:textId="77777777" w:rsidR="00A75C0F" w:rsidRPr="008A26D2" w:rsidRDefault="00A75C0F" w:rsidP="00AF5836">
            <w:pPr>
              <w:tabs>
                <w:tab w:val="left" w:pos="3375"/>
              </w:tabs>
              <w:spacing w:after="0" w:line="240" w:lineRule="auto"/>
              <w:jc w:val="both"/>
              <w:rPr>
                <w:rFonts w:ascii="Arial" w:eastAsia="Arial Narrow" w:hAnsi="Arial" w:cs="Arial"/>
                <w:sz w:val="20"/>
                <w:szCs w:val="20"/>
              </w:rPr>
            </w:pPr>
            <w:r w:rsidRPr="008A26D2">
              <w:rPr>
                <w:rFonts w:ascii="Arial" w:eastAsia="Arial Narrow" w:hAnsi="Arial" w:cs="Arial"/>
                <w:sz w:val="20"/>
                <w:szCs w:val="20"/>
              </w:rPr>
              <w:t>No presenta limitaciones.</w:t>
            </w:r>
          </w:p>
        </w:tc>
      </w:tr>
      <w:tr w:rsidR="00A75C0F" w:rsidRPr="008A26D2" w14:paraId="257DD477" w14:textId="77777777" w:rsidTr="00256A23">
        <w:trPr>
          <w:trHeight w:val="841"/>
          <w:jc w:val="center"/>
        </w:trPr>
        <w:tc>
          <w:tcPr>
            <w:tcW w:w="22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2293E9" w14:textId="77777777" w:rsidR="00A75C0F" w:rsidRPr="008A26D2" w:rsidRDefault="00A75C0F" w:rsidP="00AF5836">
            <w:pPr>
              <w:tabs>
                <w:tab w:val="left" w:pos="3375"/>
              </w:tabs>
              <w:spacing w:after="0" w:line="240" w:lineRule="auto"/>
              <w:jc w:val="both"/>
              <w:rPr>
                <w:rFonts w:ascii="Arial" w:eastAsia="Arial Narrow" w:hAnsi="Arial" w:cs="Arial"/>
                <w:b/>
                <w:sz w:val="20"/>
                <w:szCs w:val="20"/>
              </w:rPr>
            </w:pPr>
            <w:r w:rsidRPr="008A26D2">
              <w:rPr>
                <w:rFonts w:ascii="Arial" w:eastAsia="Arial Narrow" w:hAnsi="Arial" w:cs="Arial"/>
                <w:b/>
                <w:sz w:val="20"/>
                <w:szCs w:val="20"/>
              </w:rPr>
              <w:t>Método del cálculo:</w:t>
            </w:r>
          </w:p>
        </w:tc>
        <w:tc>
          <w:tcPr>
            <w:tcW w:w="6663" w:type="dxa"/>
            <w:gridSpan w:val="8"/>
            <w:tcBorders>
              <w:top w:val="single" w:sz="4" w:space="0" w:color="auto"/>
              <w:left w:val="single" w:sz="4" w:space="0" w:color="auto"/>
              <w:bottom w:val="single" w:sz="4" w:space="0" w:color="auto"/>
              <w:right w:val="single" w:sz="4" w:space="0" w:color="auto"/>
            </w:tcBorders>
            <w:shd w:val="clear" w:color="auto" w:fill="auto"/>
            <w:noWrap/>
            <w:vAlign w:val="center"/>
          </w:tcPr>
          <w:p w14:paraId="04913D78" w14:textId="77777777" w:rsidR="00A75C0F" w:rsidRPr="008A26D2" w:rsidRDefault="00A75C0F" w:rsidP="00AF5836">
            <w:pPr>
              <w:pStyle w:val="Prrafodelista"/>
              <w:numPr>
                <w:ilvl w:val="3"/>
                <w:numId w:val="27"/>
              </w:numPr>
              <w:tabs>
                <w:tab w:val="left" w:pos="3375"/>
              </w:tabs>
              <w:spacing w:after="0" w:line="240" w:lineRule="auto"/>
              <w:ind w:left="357" w:hanging="284"/>
              <w:jc w:val="both"/>
              <w:rPr>
                <w:rFonts w:ascii="Arial" w:eastAsia="Arial Narrow" w:hAnsi="Arial" w:cs="Arial"/>
                <w:b/>
                <w:bCs/>
                <w:sz w:val="20"/>
                <w:szCs w:val="20"/>
              </w:rPr>
            </w:pPr>
            <w:r w:rsidRPr="008A26D2">
              <w:rPr>
                <w:rFonts w:ascii="Arial" w:eastAsia="Arial Narrow" w:hAnsi="Arial" w:cs="Arial"/>
                <w:b/>
                <w:bCs/>
                <w:sz w:val="20"/>
                <w:szCs w:val="20"/>
              </w:rPr>
              <w:t>Fórmula:</w:t>
            </w:r>
          </w:p>
          <w:p w14:paraId="52EFE6C1" w14:textId="77777777" w:rsidR="00A75C0F" w:rsidRPr="008A26D2" w:rsidRDefault="00A75C0F" w:rsidP="00AF5836">
            <w:pPr>
              <w:tabs>
                <w:tab w:val="left" w:pos="3375"/>
              </w:tabs>
              <w:spacing w:after="0" w:line="240" w:lineRule="auto"/>
              <w:ind w:firstLine="213"/>
              <w:jc w:val="both"/>
              <w:rPr>
                <w:rFonts w:ascii="Arial" w:eastAsia="Arial Narrow" w:hAnsi="Arial" w:cs="Arial"/>
                <w:sz w:val="20"/>
                <w:szCs w:val="20"/>
              </w:rPr>
            </w:pPr>
          </w:p>
          <w:p w14:paraId="587462DD" w14:textId="77777777" w:rsidR="00A75C0F" w:rsidRPr="008A26D2" w:rsidRDefault="00A75C0F" w:rsidP="00AF5836">
            <w:pPr>
              <w:tabs>
                <w:tab w:val="left" w:pos="3375"/>
              </w:tabs>
              <w:spacing w:after="0" w:line="240" w:lineRule="auto"/>
              <w:ind w:firstLine="213"/>
              <w:jc w:val="both"/>
              <w:rPr>
                <w:rFonts w:ascii="Arial" w:eastAsia="Arial Narrow" w:hAnsi="Arial" w:cs="Arial"/>
                <w:sz w:val="20"/>
                <w:szCs w:val="20"/>
              </w:rPr>
            </w:pPr>
            <w:r w:rsidRPr="008A26D2">
              <w:rPr>
                <w:rFonts w:ascii="Arial" w:eastAsia="Arial Narrow" w:hAnsi="Arial" w:cs="Arial"/>
                <w:sz w:val="20"/>
                <w:szCs w:val="20"/>
              </w:rPr>
              <w:t>(A/B)*100</w:t>
            </w:r>
          </w:p>
          <w:p w14:paraId="04018F95" w14:textId="77777777" w:rsidR="00A75C0F" w:rsidRPr="008A26D2" w:rsidRDefault="00A75C0F" w:rsidP="00AF5836">
            <w:pPr>
              <w:tabs>
                <w:tab w:val="left" w:pos="3375"/>
              </w:tabs>
              <w:spacing w:after="0" w:line="240" w:lineRule="auto"/>
              <w:jc w:val="both"/>
              <w:rPr>
                <w:rFonts w:ascii="Arial" w:eastAsia="Arial Narrow" w:hAnsi="Arial" w:cs="Arial"/>
                <w:sz w:val="20"/>
                <w:szCs w:val="20"/>
              </w:rPr>
            </w:pPr>
          </w:p>
          <w:p w14:paraId="4AEDEBB2" w14:textId="77777777" w:rsidR="00A75C0F" w:rsidRPr="008A26D2" w:rsidRDefault="00A75C0F" w:rsidP="00AF5836">
            <w:pPr>
              <w:tabs>
                <w:tab w:val="left" w:pos="3375"/>
              </w:tabs>
              <w:spacing w:after="0" w:line="240" w:lineRule="auto"/>
              <w:ind w:firstLine="213"/>
              <w:jc w:val="both"/>
              <w:rPr>
                <w:rFonts w:ascii="Arial" w:eastAsia="Arial Narrow" w:hAnsi="Arial" w:cs="Arial"/>
                <w:sz w:val="20"/>
                <w:szCs w:val="20"/>
              </w:rPr>
            </w:pPr>
            <w:r w:rsidRPr="008A26D2">
              <w:rPr>
                <w:rFonts w:ascii="Arial" w:eastAsia="Arial Narrow" w:hAnsi="Arial" w:cs="Arial"/>
                <w:sz w:val="20"/>
                <w:szCs w:val="20"/>
              </w:rPr>
              <w:t>Donde:</w:t>
            </w:r>
          </w:p>
          <w:p w14:paraId="2477D7B8" w14:textId="77777777" w:rsidR="00A75C0F" w:rsidRPr="008A26D2" w:rsidRDefault="00A75C0F" w:rsidP="00AF5836">
            <w:pPr>
              <w:tabs>
                <w:tab w:val="left" w:pos="3375"/>
              </w:tabs>
              <w:spacing w:after="0" w:line="240" w:lineRule="auto"/>
              <w:ind w:left="496" w:hanging="283"/>
              <w:jc w:val="both"/>
              <w:rPr>
                <w:rFonts w:ascii="Arial" w:eastAsia="Arial Narrow" w:hAnsi="Arial" w:cs="Arial"/>
                <w:sz w:val="20"/>
                <w:szCs w:val="20"/>
              </w:rPr>
            </w:pPr>
            <w:r w:rsidRPr="008A26D2">
              <w:rPr>
                <w:rFonts w:ascii="Arial" w:eastAsia="Arial Narrow" w:hAnsi="Arial" w:cs="Arial"/>
                <w:sz w:val="20"/>
                <w:szCs w:val="20"/>
              </w:rPr>
              <w:t>A= Numero de Autoridades Regionales Forestales y de Fauna Silvestre que recibieron asistencia técnica de forma pertinente para la sistematización del conocimiento tradicional de pueblos indígenas</w:t>
            </w:r>
          </w:p>
          <w:p w14:paraId="249B6F55" w14:textId="77777777" w:rsidR="00A75C0F" w:rsidRPr="008A26D2" w:rsidRDefault="00A75C0F" w:rsidP="00AF5836">
            <w:pPr>
              <w:tabs>
                <w:tab w:val="left" w:pos="3375"/>
              </w:tabs>
              <w:spacing w:after="0" w:line="240" w:lineRule="auto"/>
              <w:ind w:left="496" w:hanging="283"/>
              <w:jc w:val="both"/>
              <w:rPr>
                <w:rFonts w:ascii="Arial" w:eastAsia="Arial Narrow" w:hAnsi="Arial" w:cs="Arial"/>
                <w:sz w:val="20"/>
                <w:szCs w:val="20"/>
              </w:rPr>
            </w:pPr>
            <w:r w:rsidRPr="008A26D2">
              <w:rPr>
                <w:rFonts w:ascii="Arial" w:eastAsia="Arial Narrow" w:hAnsi="Arial" w:cs="Arial"/>
                <w:sz w:val="20"/>
                <w:szCs w:val="20"/>
              </w:rPr>
              <w:t>B= Total de autoridades regionales forestales y de fauna silvestre que recibieron asistencia técnica para la sistematización del conocimiento tradicional de pueblos indígenas</w:t>
            </w:r>
          </w:p>
          <w:p w14:paraId="7A0AE046" w14:textId="77777777" w:rsidR="00A75C0F" w:rsidRPr="008A26D2" w:rsidRDefault="00A75C0F" w:rsidP="00AF5836">
            <w:pPr>
              <w:tabs>
                <w:tab w:val="left" w:pos="3375"/>
              </w:tabs>
              <w:spacing w:after="0" w:line="240" w:lineRule="auto"/>
              <w:jc w:val="both"/>
              <w:rPr>
                <w:rFonts w:ascii="Arial" w:eastAsia="Arial Narrow" w:hAnsi="Arial" w:cs="Arial"/>
                <w:sz w:val="20"/>
                <w:szCs w:val="20"/>
              </w:rPr>
            </w:pPr>
          </w:p>
          <w:p w14:paraId="0E4AD9D0" w14:textId="77777777" w:rsidR="00A75C0F" w:rsidRPr="008A26D2" w:rsidRDefault="00A75C0F" w:rsidP="00AF5836">
            <w:pPr>
              <w:pStyle w:val="Prrafodelista"/>
              <w:numPr>
                <w:ilvl w:val="0"/>
                <w:numId w:val="27"/>
              </w:numPr>
              <w:tabs>
                <w:tab w:val="left" w:pos="3375"/>
              </w:tabs>
              <w:spacing w:after="0" w:line="240" w:lineRule="auto"/>
              <w:ind w:left="357" w:hanging="284"/>
              <w:jc w:val="both"/>
              <w:rPr>
                <w:rFonts w:ascii="Arial" w:eastAsia="Arial Narrow" w:hAnsi="Arial" w:cs="Arial"/>
                <w:b/>
                <w:bCs/>
                <w:sz w:val="20"/>
                <w:szCs w:val="20"/>
              </w:rPr>
            </w:pPr>
            <w:r w:rsidRPr="008A26D2">
              <w:rPr>
                <w:rFonts w:ascii="Arial" w:eastAsia="Arial Narrow" w:hAnsi="Arial" w:cs="Arial"/>
                <w:b/>
                <w:bCs/>
                <w:sz w:val="20"/>
                <w:szCs w:val="20"/>
              </w:rPr>
              <w:t>Especificación técnica:</w:t>
            </w:r>
          </w:p>
          <w:p w14:paraId="6892C81E" w14:textId="77777777" w:rsidR="00A75C0F" w:rsidRPr="004B04E5" w:rsidRDefault="00A75C0F" w:rsidP="00AF5836">
            <w:pPr>
              <w:tabs>
                <w:tab w:val="left" w:pos="3375"/>
              </w:tabs>
              <w:spacing w:after="0" w:line="240" w:lineRule="auto"/>
              <w:ind w:left="213"/>
              <w:jc w:val="both"/>
              <w:rPr>
                <w:rFonts w:ascii="Arial" w:eastAsia="Arial Narrow" w:hAnsi="Arial" w:cs="Arial"/>
                <w:sz w:val="20"/>
                <w:szCs w:val="20"/>
              </w:rPr>
            </w:pPr>
            <w:r w:rsidRPr="004B04E5">
              <w:rPr>
                <w:rFonts w:ascii="Arial" w:eastAsia="Arial Narrow" w:hAnsi="Arial" w:cs="Arial"/>
                <w:sz w:val="20"/>
                <w:szCs w:val="20"/>
              </w:rPr>
              <w:t xml:space="preserve">La variable A se determina cuando </w:t>
            </w:r>
            <w:r>
              <w:rPr>
                <w:rFonts w:ascii="Arial" w:eastAsia="Arial Narrow" w:hAnsi="Arial" w:cs="Arial"/>
                <w:sz w:val="20"/>
                <w:szCs w:val="20"/>
              </w:rPr>
              <w:t xml:space="preserve">la asistencia técnica </w:t>
            </w:r>
            <w:r w:rsidRPr="004B04E5">
              <w:rPr>
                <w:rFonts w:ascii="Arial" w:eastAsia="Arial Narrow" w:hAnsi="Arial" w:cs="Arial"/>
                <w:sz w:val="20"/>
                <w:szCs w:val="20"/>
              </w:rPr>
              <w:t>es entregad</w:t>
            </w:r>
            <w:r>
              <w:rPr>
                <w:rFonts w:ascii="Arial" w:eastAsia="Arial Narrow" w:hAnsi="Arial" w:cs="Arial"/>
                <w:sz w:val="20"/>
                <w:szCs w:val="20"/>
              </w:rPr>
              <w:t>a</w:t>
            </w:r>
            <w:r w:rsidRPr="004B04E5">
              <w:rPr>
                <w:rFonts w:ascii="Arial" w:eastAsia="Arial Narrow" w:hAnsi="Arial" w:cs="Arial"/>
                <w:sz w:val="20"/>
                <w:szCs w:val="20"/>
              </w:rPr>
              <w:t xml:space="preserve"> a las </w:t>
            </w:r>
            <w:r w:rsidRPr="008A26D2">
              <w:rPr>
                <w:rFonts w:ascii="Arial" w:eastAsia="Arial Narrow" w:hAnsi="Arial" w:cs="Arial"/>
                <w:sz w:val="20"/>
                <w:szCs w:val="20"/>
              </w:rPr>
              <w:t xml:space="preserve">Autoridades Regionales Forestales y de Fauna Silvestre </w:t>
            </w:r>
            <w:r w:rsidRPr="004B04E5">
              <w:rPr>
                <w:rFonts w:ascii="Arial" w:eastAsia="Arial Narrow" w:hAnsi="Arial" w:cs="Arial"/>
                <w:sz w:val="20"/>
                <w:szCs w:val="20"/>
              </w:rPr>
              <w:t xml:space="preserve">incorporando aspectos específicos </w:t>
            </w:r>
            <w:r w:rsidRPr="00CF5249">
              <w:rPr>
                <w:rFonts w:ascii="Arial" w:eastAsia="Arial Narrow" w:hAnsi="Arial" w:cs="Arial"/>
                <w:sz w:val="20"/>
                <w:szCs w:val="20"/>
              </w:rPr>
              <w:t>de cada territorio, la diversidad cultural, el contexto ambiental, las formas de organización institucional, entre otros que son características particulares de cada zona</w:t>
            </w:r>
            <w:r>
              <w:rPr>
                <w:rFonts w:ascii="Arial" w:eastAsia="Arial Narrow" w:hAnsi="Arial" w:cs="Arial"/>
                <w:sz w:val="20"/>
                <w:szCs w:val="20"/>
              </w:rPr>
              <w:t>.</w:t>
            </w:r>
          </w:p>
          <w:p w14:paraId="621412A5" w14:textId="77777777" w:rsidR="00A75C0F" w:rsidRDefault="00A75C0F" w:rsidP="00AF5836">
            <w:pPr>
              <w:tabs>
                <w:tab w:val="left" w:pos="3375"/>
              </w:tabs>
              <w:spacing w:after="0" w:line="240" w:lineRule="auto"/>
              <w:ind w:left="213"/>
              <w:jc w:val="both"/>
              <w:rPr>
                <w:rFonts w:ascii="Arial" w:eastAsia="Arial Narrow" w:hAnsi="Arial" w:cs="Arial"/>
                <w:sz w:val="20"/>
                <w:szCs w:val="20"/>
              </w:rPr>
            </w:pPr>
          </w:p>
          <w:p w14:paraId="371C256D" w14:textId="77777777" w:rsidR="00A75C0F" w:rsidRDefault="00A75C0F" w:rsidP="00AF5836">
            <w:pPr>
              <w:tabs>
                <w:tab w:val="left" w:pos="3375"/>
              </w:tabs>
              <w:spacing w:after="0" w:line="240" w:lineRule="auto"/>
              <w:ind w:left="213"/>
              <w:jc w:val="both"/>
              <w:rPr>
                <w:rFonts w:ascii="Arial" w:eastAsia="Arial Narrow" w:hAnsi="Arial" w:cs="Arial"/>
                <w:sz w:val="20"/>
                <w:szCs w:val="20"/>
              </w:rPr>
            </w:pPr>
            <w:r w:rsidRPr="004B04E5">
              <w:rPr>
                <w:rFonts w:ascii="Arial" w:eastAsia="Arial Narrow" w:hAnsi="Arial" w:cs="Arial"/>
                <w:sz w:val="20"/>
                <w:szCs w:val="20"/>
              </w:rPr>
              <w:t xml:space="preserve">La variable B se determina como el total de </w:t>
            </w:r>
            <w:r w:rsidRPr="001C4531">
              <w:rPr>
                <w:rFonts w:ascii="Arial" w:eastAsia="Arial Narrow" w:hAnsi="Arial" w:cs="Arial"/>
                <w:sz w:val="20"/>
                <w:szCs w:val="20"/>
              </w:rPr>
              <w:t>Autoridades Regionales Forestales y de Fauna Silvestre</w:t>
            </w:r>
            <w:r>
              <w:rPr>
                <w:rFonts w:ascii="Arial" w:eastAsia="Arial Narrow" w:hAnsi="Arial" w:cs="Arial"/>
                <w:sz w:val="20"/>
                <w:szCs w:val="20"/>
              </w:rPr>
              <w:t>, el cual asciende a 26.</w:t>
            </w:r>
          </w:p>
          <w:p w14:paraId="4DD48623" w14:textId="77777777" w:rsidR="00A75C0F" w:rsidRDefault="00A75C0F" w:rsidP="00AF5836">
            <w:pPr>
              <w:tabs>
                <w:tab w:val="left" w:pos="3375"/>
              </w:tabs>
              <w:spacing w:after="0" w:line="240" w:lineRule="auto"/>
              <w:ind w:left="213"/>
              <w:jc w:val="both"/>
              <w:rPr>
                <w:rFonts w:ascii="Arial" w:eastAsia="Arial Narrow" w:hAnsi="Arial" w:cs="Arial"/>
                <w:sz w:val="20"/>
                <w:szCs w:val="20"/>
              </w:rPr>
            </w:pPr>
          </w:p>
          <w:p w14:paraId="66F6CF5B" w14:textId="230489EB" w:rsidR="00A75C0F" w:rsidRPr="008A26D2" w:rsidRDefault="00A75C0F" w:rsidP="00256A23">
            <w:pPr>
              <w:spacing w:after="0" w:line="240" w:lineRule="auto"/>
              <w:ind w:left="211"/>
              <w:jc w:val="both"/>
              <w:rPr>
                <w:rFonts w:ascii="Arial" w:eastAsia="Arial Narrow" w:hAnsi="Arial" w:cs="Arial"/>
                <w:sz w:val="20"/>
                <w:szCs w:val="20"/>
              </w:rPr>
            </w:pPr>
            <w:r w:rsidRPr="008A26D2">
              <w:rPr>
                <w:rFonts w:ascii="Arial" w:eastAsia="Arial Narrow" w:hAnsi="Arial" w:cs="Arial"/>
                <w:sz w:val="20"/>
                <w:szCs w:val="20"/>
              </w:rPr>
              <w:t>Se carece de línea base porque el servicio es nuevo, por ese motivo, el SERFOR determinará la línea base antes del inicio de la implementación de la presente Política Nacional.</w:t>
            </w:r>
          </w:p>
        </w:tc>
      </w:tr>
      <w:tr w:rsidR="00A75C0F" w:rsidRPr="008A26D2" w14:paraId="57284ABE" w14:textId="77777777" w:rsidTr="00AF5836">
        <w:trPr>
          <w:trHeight w:val="436"/>
          <w:jc w:val="center"/>
        </w:trPr>
        <w:tc>
          <w:tcPr>
            <w:tcW w:w="22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74C9D1D" w14:textId="77777777" w:rsidR="00A75C0F" w:rsidRPr="008A26D2" w:rsidRDefault="00A75C0F" w:rsidP="00AF5836">
            <w:pPr>
              <w:tabs>
                <w:tab w:val="left" w:pos="3375"/>
              </w:tabs>
              <w:spacing w:after="0" w:line="240" w:lineRule="auto"/>
              <w:jc w:val="both"/>
              <w:rPr>
                <w:rFonts w:ascii="Arial" w:eastAsia="Arial Narrow" w:hAnsi="Arial" w:cs="Arial"/>
                <w:b/>
                <w:sz w:val="20"/>
                <w:szCs w:val="20"/>
              </w:rPr>
            </w:pPr>
            <w:r w:rsidRPr="008A26D2">
              <w:rPr>
                <w:rFonts w:ascii="Arial" w:eastAsia="Arial Narrow" w:hAnsi="Arial" w:cs="Arial"/>
                <w:b/>
                <w:sz w:val="20"/>
                <w:szCs w:val="20"/>
              </w:rPr>
              <w:t>Sentido esperado del indicador:</w:t>
            </w:r>
          </w:p>
        </w:tc>
        <w:tc>
          <w:tcPr>
            <w:tcW w:w="25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134511C" w14:textId="77777777" w:rsidR="00A75C0F" w:rsidRPr="008A26D2" w:rsidRDefault="00A75C0F" w:rsidP="00AF5836">
            <w:pPr>
              <w:tabs>
                <w:tab w:val="left" w:pos="3375"/>
              </w:tabs>
              <w:spacing w:after="0" w:line="240" w:lineRule="auto"/>
              <w:jc w:val="both"/>
              <w:rPr>
                <w:rFonts w:ascii="Arial" w:eastAsia="Arial Narrow" w:hAnsi="Arial" w:cs="Arial"/>
                <w:sz w:val="20"/>
                <w:szCs w:val="20"/>
              </w:rPr>
            </w:pPr>
            <w:r w:rsidRPr="008A26D2">
              <w:rPr>
                <w:rFonts w:ascii="Arial" w:eastAsia="Arial Narrow" w:hAnsi="Arial" w:cs="Arial"/>
                <w:sz w:val="20"/>
                <w:szCs w:val="20"/>
              </w:rPr>
              <w:t>Ascendente</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F183E0B" w14:textId="77777777" w:rsidR="00A75C0F" w:rsidRPr="008A26D2" w:rsidRDefault="00A75C0F" w:rsidP="00AF5836">
            <w:pPr>
              <w:tabs>
                <w:tab w:val="left" w:pos="3375"/>
              </w:tabs>
              <w:spacing w:after="0" w:line="240" w:lineRule="auto"/>
              <w:jc w:val="both"/>
              <w:rPr>
                <w:rFonts w:ascii="Arial" w:eastAsia="Arial Narrow" w:hAnsi="Arial" w:cs="Arial"/>
                <w:b/>
                <w:sz w:val="20"/>
                <w:szCs w:val="20"/>
              </w:rPr>
            </w:pPr>
            <w:r w:rsidRPr="008A26D2">
              <w:rPr>
                <w:rFonts w:ascii="Arial" w:eastAsia="Arial Narrow" w:hAnsi="Arial" w:cs="Arial"/>
                <w:b/>
                <w:sz w:val="20"/>
                <w:szCs w:val="20"/>
              </w:rPr>
              <w:t>Tipo de indicador de servicio</w:t>
            </w:r>
          </w:p>
        </w:tc>
        <w:tc>
          <w:tcPr>
            <w:tcW w:w="25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010FF8A" w14:textId="77777777" w:rsidR="00A75C0F" w:rsidRPr="008A26D2" w:rsidRDefault="00A75C0F" w:rsidP="00AF5836">
            <w:pPr>
              <w:tabs>
                <w:tab w:val="left" w:pos="3375"/>
              </w:tabs>
              <w:spacing w:after="0" w:line="240" w:lineRule="auto"/>
              <w:jc w:val="both"/>
              <w:rPr>
                <w:rFonts w:ascii="Arial" w:eastAsia="Arial Narrow" w:hAnsi="Arial" w:cs="Arial"/>
                <w:sz w:val="20"/>
                <w:szCs w:val="20"/>
              </w:rPr>
            </w:pPr>
            <w:r w:rsidRPr="008A26D2">
              <w:rPr>
                <w:rFonts w:ascii="Arial" w:eastAsia="Arial Narrow" w:hAnsi="Arial" w:cs="Arial"/>
                <w:sz w:val="20"/>
                <w:szCs w:val="20"/>
              </w:rPr>
              <w:t>Calidad – Pertinencia cultural</w:t>
            </w:r>
          </w:p>
        </w:tc>
      </w:tr>
      <w:tr w:rsidR="00A75C0F" w:rsidRPr="008A26D2" w14:paraId="22BA97B8" w14:textId="77777777" w:rsidTr="00AF5836">
        <w:trPr>
          <w:trHeight w:val="532"/>
          <w:jc w:val="center"/>
        </w:trPr>
        <w:tc>
          <w:tcPr>
            <w:tcW w:w="22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FC82D5F" w14:textId="77777777" w:rsidR="00A75C0F" w:rsidRPr="008A26D2" w:rsidRDefault="00A75C0F" w:rsidP="00AF5836">
            <w:pPr>
              <w:tabs>
                <w:tab w:val="left" w:pos="3375"/>
              </w:tabs>
              <w:spacing w:after="0" w:line="240" w:lineRule="auto"/>
              <w:jc w:val="both"/>
              <w:rPr>
                <w:rFonts w:ascii="Arial" w:eastAsia="Arial Narrow" w:hAnsi="Arial" w:cs="Arial"/>
                <w:b/>
                <w:sz w:val="20"/>
                <w:szCs w:val="20"/>
              </w:rPr>
            </w:pPr>
            <w:r w:rsidRPr="008A26D2">
              <w:rPr>
                <w:rFonts w:ascii="Arial" w:eastAsia="Arial Narrow" w:hAnsi="Arial" w:cs="Arial"/>
                <w:b/>
                <w:sz w:val="20"/>
                <w:szCs w:val="20"/>
              </w:rPr>
              <w:lastRenderedPageBreak/>
              <w:t>Fuente y base de datos:</w:t>
            </w:r>
          </w:p>
        </w:tc>
        <w:tc>
          <w:tcPr>
            <w:tcW w:w="6663"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D8160E3" w14:textId="77777777" w:rsidR="00A75C0F" w:rsidRPr="008A26D2" w:rsidRDefault="00A75C0F" w:rsidP="00AF5836">
            <w:pPr>
              <w:tabs>
                <w:tab w:val="left" w:pos="3375"/>
              </w:tabs>
              <w:spacing w:after="0" w:line="240" w:lineRule="auto"/>
              <w:jc w:val="both"/>
              <w:rPr>
                <w:rFonts w:ascii="Arial" w:eastAsia="Arial Narrow" w:hAnsi="Arial" w:cs="Arial"/>
                <w:sz w:val="20"/>
                <w:szCs w:val="20"/>
              </w:rPr>
            </w:pPr>
            <w:r w:rsidRPr="008A26D2">
              <w:rPr>
                <w:rFonts w:ascii="Arial" w:eastAsia="Arial Narrow" w:hAnsi="Arial" w:cs="Arial"/>
                <w:sz w:val="20"/>
                <w:szCs w:val="20"/>
              </w:rPr>
              <w:t>Fuente: Dirección de Gestión del Conocimiento Forestal y de Fauna Silvestre del SERFOR</w:t>
            </w:r>
          </w:p>
          <w:p w14:paraId="676EDA53" w14:textId="77777777" w:rsidR="00A75C0F" w:rsidRPr="008A26D2" w:rsidRDefault="00A75C0F" w:rsidP="00AF5836">
            <w:pPr>
              <w:tabs>
                <w:tab w:val="left" w:pos="3375"/>
              </w:tabs>
              <w:spacing w:after="0" w:line="240" w:lineRule="auto"/>
              <w:jc w:val="both"/>
              <w:rPr>
                <w:rFonts w:ascii="Arial" w:eastAsia="Arial Narrow" w:hAnsi="Arial" w:cs="Arial"/>
                <w:sz w:val="20"/>
                <w:szCs w:val="20"/>
              </w:rPr>
            </w:pPr>
            <w:r w:rsidRPr="008A26D2">
              <w:rPr>
                <w:rFonts w:ascii="Arial" w:eastAsia="Arial Narrow" w:hAnsi="Arial" w:cs="Arial"/>
                <w:sz w:val="20"/>
                <w:szCs w:val="20"/>
              </w:rPr>
              <w:t>Base de Datos: Reporte de asistencia técnica de la Dirección de Gestión del Conocimiento Forestal y de Fauna Silvestre del SERFOR</w:t>
            </w:r>
          </w:p>
        </w:tc>
      </w:tr>
      <w:tr w:rsidR="00A75C0F" w:rsidRPr="008A26D2" w14:paraId="135602AA" w14:textId="77777777" w:rsidTr="00AF5836">
        <w:trPr>
          <w:trHeight w:val="525"/>
          <w:jc w:val="center"/>
        </w:trPr>
        <w:tc>
          <w:tcPr>
            <w:tcW w:w="22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B5B2118" w14:textId="77777777" w:rsidR="00A75C0F" w:rsidRPr="008A26D2" w:rsidRDefault="00A75C0F" w:rsidP="00AF5836">
            <w:pPr>
              <w:tabs>
                <w:tab w:val="left" w:pos="3375"/>
              </w:tabs>
              <w:spacing w:after="0" w:line="240" w:lineRule="auto"/>
              <w:jc w:val="both"/>
              <w:rPr>
                <w:rFonts w:ascii="Arial" w:eastAsia="Arial Narrow" w:hAnsi="Arial" w:cs="Arial"/>
                <w:b/>
                <w:sz w:val="20"/>
                <w:szCs w:val="20"/>
              </w:rPr>
            </w:pPr>
            <w:r w:rsidRPr="008A26D2">
              <w:rPr>
                <w:rFonts w:ascii="Arial" w:eastAsia="Arial Narrow" w:hAnsi="Arial" w:cs="Arial"/>
                <w:b/>
                <w:sz w:val="20"/>
                <w:szCs w:val="20"/>
              </w:rPr>
              <w:t>Supuestos:</w:t>
            </w:r>
          </w:p>
        </w:tc>
        <w:tc>
          <w:tcPr>
            <w:tcW w:w="6663"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21178DA" w14:textId="77777777" w:rsidR="00A75C0F" w:rsidRPr="008A26D2" w:rsidRDefault="00A75C0F" w:rsidP="00AF5836">
            <w:pPr>
              <w:tabs>
                <w:tab w:val="left" w:pos="3375"/>
              </w:tabs>
              <w:spacing w:after="0" w:line="240" w:lineRule="auto"/>
              <w:jc w:val="both"/>
              <w:rPr>
                <w:rFonts w:ascii="Arial" w:eastAsia="Arial Narrow" w:hAnsi="Arial" w:cs="Arial"/>
                <w:sz w:val="20"/>
                <w:szCs w:val="20"/>
              </w:rPr>
            </w:pPr>
            <w:r w:rsidRPr="008A26D2">
              <w:rPr>
                <w:rFonts w:ascii="Arial" w:eastAsia="Arial Narrow" w:hAnsi="Arial" w:cs="Arial"/>
                <w:sz w:val="20"/>
                <w:szCs w:val="20"/>
              </w:rPr>
              <w:t>Interés y disponibilidad de los pueblos indígenas en el acceso a los conocimientos ancestrales de las comunidades nativas y campesinas en materia forestal y de fauna silvestre, con pertinencia intercultural y lingüística.</w:t>
            </w:r>
          </w:p>
        </w:tc>
      </w:tr>
      <w:tr w:rsidR="00A75C0F" w:rsidRPr="008A26D2" w14:paraId="6FC88028" w14:textId="77777777" w:rsidTr="00AF5836">
        <w:trPr>
          <w:trHeight w:val="532"/>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14:paraId="65B0E176" w14:textId="77777777" w:rsidR="00A75C0F" w:rsidRPr="008A26D2" w:rsidRDefault="00A75C0F" w:rsidP="00AF5836">
            <w:pPr>
              <w:tabs>
                <w:tab w:val="left" w:pos="3375"/>
              </w:tabs>
              <w:spacing w:after="0" w:line="240" w:lineRule="auto"/>
              <w:jc w:val="both"/>
              <w:rPr>
                <w:rFonts w:ascii="Arial" w:eastAsia="Arial Narrow" w:hAnsi="Arial" w:cs="Arial"/>
                <w:sz w:val="20"/>
                <w:szCs w:val="20"/>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DC6646D" w14:textId="77777777" w:rsidR="00A75C0F" w:rsidRPr="008A26D2" w:rsidRDefault="00A75C0F" w:rsidP="00AF5836">
            <w:pPr>
              <w:tabs>
                <w:tab w:val="left" w:pos="3375"/>
              </w:tabs>
              <w:spacing w:after="0" w:line="240" w:lineRule="auto"/>
              <w:jc w:val="center"/>
              <w:rPr>
                <w:rFonts w:ascii="Arial" w:eastAsia="Arial Narrow" w:hAnsi="Arial" w:cs="Arial"/>
                <w:b/>
                <w:sz w:val="20"/>
                <w:szCs w:val="20"/>
              </w:rPr>
            </w:pPr>
            <w:r w:rsidRPr="008A26D2">
              <w:rPr>
                <w:rFonts w:ascii="Arial" w:eastAsia="Arial Narrow" w:hAnsi="Arial" w:cs="Arial"/>
                <w:b/>
                <w:sz w:val="20"/>
                <w:szCs w:val="20"/>
              </w:rPr>
              <w:t>Línea de base</w:t>
            </w:r>
          </w:p>
        </w:tc>
        <w:tc>
          <w:tcPr>
            <w:tcW w:w="6663"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F078D67" w14:textId="77777777" w:rsidR="00A75C0F" w:rsidRPr="008A26D2" w:rsidRDefault="00A75C0F" w:rsidP="00AF5836">
            <w:pPr>
              <w:tabs>
                <w:tab w:val="left" w:pos="3375"/>
              </w:tabs>
              <w:spacing w:after="0" w:line="240" w:lineRule="auto"/>
              <w:jc w:val="center"/>
              <w:rPr>
                <w:rFonts w:ascii="Arial" w:eastAsia="Arial Narrow" w:hAnsi="Arial" w:cs="Arial"/>
                <w:b/>
                <w:sz w:val="20"/>
                <w:szCs w:val="20"/>
              </w:rPr>
            </w:pPr>
            <w:r w:rsidRPr="008A26D2">
              <w:rPr>
                <w:rFonts w:ascii="Arial" w:eastAsia="Arial Narrow" w:hAnsi="Arial" w:cs="Arial"/>
                <w:b/>
                <w:sz w:val="20"/>
                <w:szCs w:val="20"/>
              </w:rPr>
              <w:t>Logros esperados por año</w:t>
            </w:r>
          </w:p>
        </w:tc>
      </w:tr>
      <w:tr w:rsidR="00A75C0F" w:rsidRPr="008A26D2" w14:paraId="7345DAAF" w14:textId="77777777" w:rsidTr="00AF5836">
        <w:trPr>
          <w:trHeight w:val="334"/>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14:paraId="79E97344" w14:textId="77777777" w:rsidR="00A75C0F" w:rsidRPr="008A26D2" w:rsidRDefault="00A75C0F" w:rsidP="00AF5836">
            <w:pPr>
              <w:tabs>
                <w:tab w:val="left" w:pos="3375"/>
              </w:tabs>
              <w:spacing w:after="0" w:line="240" w:lineRule="auto"/>
              <w:jc w:val="both"/>
              <w:rPr>
                <w:rFonts w:ascii="Arial" w:eastAsia="Arial Narrow" w:hAnsi="Arial" w:cs="Arial"/>
                <w:b/>
                <w:sz w:val="20"/>
                <w:szCs w:val="20"/>
              </w:rPr>
            </w:pPr>
            <w:r w:rsidRPr="008A26D2">
              <w:rPr>
                <w:rFonts w:ascii="Arial" w:eastAsia="Arial Narrow" w:hAnsi="Arial" w:cs="Arial"/>
                <w:b/>
                <w:sz w:val="20"/>
                <w:szCs w:val="20"/>
              </w:rPr>
              <w:t>Año</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BF7F7E9" w14:textId="77777777" w:rsidR="00A75C0F" w:rsidRPr="008A26D2" w:rsidRDefault="00A75C0F" w:rsidP="00256A23">
            <w:pPr>
              <w:tabs>
                <w:tab w:val="left" w:pos="3375"/>
              </w:tabs>
              <w:spacing w:after="0" w:line="240" w:lineRule="auto"/>
              <w:jc w:val="center"/>
              <w:rPr>
                <w:rFonts w:ascii="Arial" w:eastAsia="Arial Narrow" w:hAnsi="Arial" w:cs="Arial"/>
                <w:b/>
                <w:sz w:val="20"/>
                <w:szCs w:val="20"/>
              </w:rPr>
            </w:pPr>
            <w:r w:rsidRPr="008A26D2">
              <w:rPr>
                <w:rFonts w:ascii="Arial" w:eastAsia="Arial Narrow" w:hAnsi="Arial" w:cs="Arial"/>
                <w:b/>
                <w:sz w:val="20"/>
                <w:szCs w:val="20"/>
              </w:rPr>
              <w:t>2022</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42EE5107" w14:textId="77777777" w:rsidR="00A75C0F" w:rsidRPr="008A26D2" w:rsidRDefault="00A75C0F" w:rsidP="00256A23">
            <w:pPr>
              <w:tabs>
                <w:tab w:val="left" w:pos="3375"/>
              </w:tabs>
              <w:spacing w:after="0" w:line="240" w:lineRule="auto"/>
              <w:jc w:val="center"/>
              <w:rPr>
                <w:rFonts w:ascii="Arial" w:eastAsia="Arial Narrow" w:hAnsi="Arial" w:cs="Arial"/>
                <w:b/>
                <w:sz w:val="20"/>
                <w:szCs w:val="20"/>
              </w:rPr>
            </w:pPr>
            <w:r w:rsidRPr="008A26D2">
              <w:rPr>
                <w:rFonts w:ascii="Arial" w:eastAsia="Arial Narrow" w:hAnsi="Arial" w:cs="Arial"/>
                <w:b/>
                <w:sz w:val="20"/>
                <w:szCs w:val="20"/>
              </w:rPr>
              <w:t>2023</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BA759E6" w14:textId="77777777" w:rsidR="00A75C0F" w:rsidRPr="008A26D2" w:rsidRDefault="00A75C0F" w:rsidP="00256A23">
            <w:pPr>
              <w:tabs>
                <w:tab w:val="left" w:pos="3375"/>
              </w:tabs>
              <w:spacing w:after="0" w:line="240" w:lineRule="auto"/>
              <w:jc w:val="center"/>
              <w:rPr>
                <w:rFonts w:ascii="Arial" w:eastAsia="Arial Narrow" w:hAnsi="Arial" w:cs="Arial"/>
                <w:b/>
                <w:sz w:val="20"/>
                <w:szCs w:val="20"/>
              </w:rPr>
            </w:pPr>
            <w:r w:rsidRPr="008A26D2">
              <w:rPr>
                <w:rFonts w:ascii="Arial" w:eastAsia="Arial Narrow" w:hAnsi="Arial" w:cs="Arial"/>
                <w:b/>
                <w:sz w:val="20"/>
                <w:szCs w:val="20"/>
              </w:rPr>
              <w:t>2024</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6E30BD05" w14:textId="77777777" w:rsidR="00A75C0F" w:rsidRPr="008A26D2" w:rsidRDefault="00A75C0F" w:rsidP="00256A23">
            <w:pPr>
              <w:tabs>
                <w:tab w:val="left" w:pos="3375"/>
              </w:tabs>
              <w:spacing w:after="0" w:line="240" w:lineRule="auto"/>
              <w:jc w:val="center"/>
              <w:rPr>
                <w:rFonts w:ascii="Arial" w:eastAsia="Arial Narrow" w:hAnsi="Arial" w:cs="Arial"/>
                <w:b/>
                <w:sz w:val="20"/>
                <w:szCs w:val="20"/>
              </w:rPr>
            </w:pPr>
            <w:r w:rsidRPr="008A26D2">
              <w:rPr>
                <w:rFonts w:ascii="Arial" w:eastAsia="Arial Narrow" w:hAnsi="Arial" w:cs="Arial"/>
                <w:b/>
                <w:sz w:val="20"/>
                <w:szCs w:val="20"/>
              </w:rPr>
              <w:t>2025</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ED05B4E" w14:textId="77777777" w:rsidR="00A75C0F" w:rsidRPr="008A26D2" w:rsidRDefault="00A75C0F" w:rsidP="00256A23">
            <w:pPr>
              <w:tabs>
                <w:tab w:val="left" w:pos="3375"/>
              </w:tabs>
              <w:spacing w:after="0" w:line="240" w:lineRule="auto"/>
              <w:jc w:val="center"/>
              <w:rPr>
                <w:rFonts w:ascii="Arial" w:eastAsia="Arial Narrow" w:hAnsi="Arial" w:cs="Arial"/>
                <w:b/>
                <w:sz w:val="20"/>
                <w:szCs w:val="20"/>
              </w:rPr>
            </w:pPr>
            <w:r w:rsidRPr="008A26D2">
              <w:rPr>
                <w:rFonts w:ascii="Arial" w:eastAsia="Arial Narrow" w:hAnsi="Arial" w:cs="Arial"/>
                <w:b/>
                <w:sz w:val="20"/>
                <w:szCs w:val="20"/>
              </w:rPr>
              <w:t>2026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A4BAE27" w14:textId="77777777" w:rsidR="00A75C0F" w:rsidRPr="008A26D2" w:rsidRDefault="00A75C0F" w:rsidP="00256A23">
            <w:pPr>
              <w:tabs>
                <w:tab w:val="left" w:pos="3375"/>
              </w:tabs>
              <w:spacing w:after="0" w:line="240" w:lineRule="auto"/>
              <w:jc w:val="center"/>
              <w:rPr>
                <w:rFonts w:ascii="Arial" w:eastAsia="Arial Narrow" w:hAnsi="Arial" w:cs="Arial"/>
                <w:b/>
                <w:sz w:val="20"/>
                <w:szCs w:val="20"/>
              </w:rPr>
            </w:pPr>
            <w:r w:rsidRPr="008A26D2">
              <w:rPr>
                <w:rFonts w:ascii="Arial" w:eastAsia="Arial Narrow" w:hAnsi="Arial" w:cs="Arial"/>
                <w:b/>
                <w:sz w:val="20"/>
                <w:szCs w:val="20"/>
              </w:rPr>
              <w:t>2027</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446500CF" w14:textId="77777777" w:rsidR="00A75C0F" w:rsidRPr="008A26D2" w:rsidRDefault="00A75C0F" w:rsidP="00256A23">
            <w:pPr>
              <w:tabs>
                <w:tab w:val="left" w:pos="3375"/>
              </w:tabs>
              <w:spacing w:after="0" w:line="240" w:lineRule="auto"/>
              <w:jc w:val="center"/>
              <w:rPr>
                <w:rFonts w:ascii="Arial" w:eastAsia="Arial Narrow" w:hAnsi="Arial" w:cs="Arial"/>
                <w:b/>
                <w:sz w:val="20"/>
                <w:szCs w:val="20"/>
              </w:rPr>
            </w:pPr>
            <w:r w:rsidRPr="008A26D2">
              <w:rPr>
                <w:rFonts w:ascii="Arial" w:eastAsia="Arial Narrow" w:hAnsi="Arial" w:cs="Arial"/>
                <w:b/>
                <w:sz w:val="20"/>
                <w:szCs w:val="20"/>
              </w:rPr>
              <w:t>2028</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1DCDBBD" w14:textId="77777777" w:rsidR="00A75C0F" w:rsidRPr="008A26D2" w:rsidRDefault="00A75C0F" w:rsidP="00256A23">
            <w:pPr>
              <w:tabs>
                <w:tab w:val="left" w:pos="3375"/>
              </w:tabs>
              <w:spacing w:after="0" w:line="240" w:lineRule="auto"/>
              <w:jc w:val="center"/>
              <w:rPr>
                <w:rFonts w:ascii="Arial" w:eastAsia="Arial Narrow" w:hAnsi="Arial" w:cs="Arial"/>
                <w:b/>
                <w:sz w:val="20"/>
                <w:szCs w:val="20"/>
              </w:rPr>
            </w:pPr>
            <w:r w:rsidRPr="008A26D2">
              <w:rPr>
                <w:rFonts w:ascii="Arial" w:eastAsia="Arial Narrow" w:hAnsi="Arial" w:cs="Arial"/>
                <w:b/>
                <w:sz w:val="20"/>
                <w:szCs w:val="20"/>
              </w:rPr>
              <w:t>2029</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40E6D9FF" w14:textId="77777777" w:rsidR="00A75C0F" w:rsidRPr="008A26D2" w:rsidRDefault="00A75C0F" w:rsidP="00256A23">
            <w:pPr>
              <w:tabs>
                <w:tab w:val="left" w:pos="3375"/>
              </w:tabs>
              <w:spacing w:after="0" w:line="240" w:lineRule="auto"/>
              <w:jc w:val="center"/>
              <w:rPr>
                <w:rFonts w:ascii="Arial" w:eastAsia="Arial Narrow" w:hAnsi="Arial" w:cs="Arial"/>
                <w:b/>
                <w:sz w:val="20"/>
                <w:szCs w:val="20"/>
              </w:rPr>
            </w:pPr>
            <w:r w:rsidRPr="008A26D2">
              <w:rPr>
                <w:rFonts w:ascii="Arial" w:eastAsia="Arial Narrow" w:hAnsi="Arial" w:cs="Arial"/>
                <w:b/>
                <w:sz w:val="20"/>
                <w:szCs w:val="20"/>
              </w:rPr>
              <w:t>2030</w:t>
            </w:r>
          </w:p>
        </w:tc>
      </w:tr>
      <w:tr w:rsidR="00A75C0F" w:rsidRPr="008A26D2" w14:paraId="4D5E06F1" w14:textId="77777777" w:rsidTr="00AF5836">
        <w:trPr>
          <w:trHeight w:val="410"/>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14:paraId="59E35D9D" w14:textId="77777777" w:rsidR="00A75C0F" w:rsidRPr="008A26D2" w:rsidRDefault="00A75C0F" w:rsidP="00AF5836">
            <w:pPr>
              <w:tabs>
                <w:tab w:val="left" w:pos="3375"/>
              </w:tabs>
              <w:spacing w:after="0" w:line="240" w:lineRule="auto"/>
              <w:jc w:val="both"/>
              <w:rPr>
                <w:rFonts w:ascii="Arial" w:eastAsia="Arial Narrow" w:hAnsi="Arial" w:cs="Arial"/>
                <w:b/>
                <w:sz w:val="20"/>
                <w:szCs w:val="20"/>
              </w:rPr>
            </w:pPr>
            <w:r w:rsidRPr="008A26D2">
              <w:rPr>
                <w:rFonts w:ascii="Arial" w:eastAsia="Arial Narrow" w:hAnsi="Arial" w:cs="Arial"/>
                <w:b/>
                <w:sz w:val="20"/>
                <w:szCs w:val="20"/>
              </w:rPr>
              <w:t>Valor</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28B3B90" w14:textId="77777777" w:rsidR="00A75C0F" w:rsidRPr="008A26D2" w:rsidRDefault="00A75C0F" w:rsidP="00256A23">
            <w:pPr>
              <w:tabs>
                <w:tab w:val="left" w:pos="3375"/>
              </w:tabs>
              <w:spacing w:after="0" w:line="240" w:lineRule="auto"/>
              <w:jc w:val="center"/>
              <w:rPr>
                <w:rFonts w:ascii="Arial" w:eastAsia="Arial Narrow" w:hAnsi="Arial" w:cs="Arial"/>
                <w:sz w:val="20"/>
                <w:szCs w:val="20"/>
              </w:rPr>
            </w:pPr>
            <w:r w:rsidRPr="00256A23">
              <w:rPr>
                <w:rFonts w:ascii="Arial" w:eastAsia="Arial Narrow" w:hAnsi="Arial" w:cs="Arial"/>
                <w:sz w:val="20"/>
                <w:szCs w:val="20"/>
              </w:rPr>
              <w:t>ND</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3278A987" w14:textId="77777777" w:rsidR="00A75C0F" w:rsidRPr="008A26D2" w:rsidRDefault="00A75C0F" w:rsidP="00256A23">
            <w:pPr>
              <w:tabs>
                <w:tab w:val="left" w:pos="3375"/>
              </w:tabs>
              <w:spacing w:after="0" w:line="240" w:lineRule="auto"/>
              <w:jc w:val="center"/>
              <w:rPr>
                <w:rFonts w:ascii="Arial" w:eastAsia="Arial Narrow" w:hAnsi="Arial" w:cs="Arial"/>
                <w:sz w:val="20"/>
                <w:szCs w:val="20"/>
              </w:rPr>
            </w:pPr>
            <w:r w:rsidRPr="008A26D2">
              <w:rPr>
                <w:rFonts w:ascii="Arial" w:eastAsia="Arial Narrow" w:hAnsi="Arial" w:cs="Arial"/>
                <w:sz w:val="20"/>
                <w:szCs w:val="20"/>
              </w:rPr>
              <w:t>5%</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A0C6BF2" w14:textId="77777777" w:rsidR="00A75C0F" w:rsidRPr="008A26D2" w:rsidRDefault="00A75C0F" w:rsidP="00256A23">
            <w:pPr>
              <w:tabs>
                <w:tab w:val="left" w:pos="3375"/>
              </w:tabs>
              <w:spacing w:after="0" w:line="240" w:lineRule="auto"/>
              <w:jc w:val="center"/>
              <w:rPr>
                <w:rFonts w:ascii="Arial" w:eastAsia="Arial Narrow" w:hAnsi="Arial" w:cs="Arial"/>
                <w:sz w:val="20"/>
                <w:szCs w:val="20"/>
              </w:rPr>
            </w:pPr>
            <w:r w:rsidRPr="008A26D2">
              <w:rPr>
                <w:rFonts w:ascii="Arial" w:eastAsia="Arial Narrow" w:hAnsi="Arial" w:cs="Arial"/>
                <w:sz w:val="20"/>
                <w:szCs w:val="20"/>
              </w:rPr>
              <w:t>10%</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299613D5" w14:textId="77777777" w:rsidR="00A75C0F" w:rsidRPr="008A26D2" w:rsidRDefault="00A75C0F" w:rsidP="00256A23">
            <w:pPr>
              <w:tabs>
                <w:tab w:val="left" w:pos="3375"/>
              </w:tabs>
              <w:spacing w:after="0" w:line="240" w:lineRule="auto"/>
              <w:jc w:val="center"/>
              <w:rPr>
                <w:rFonts w:ascii="Arial" w:eastAsia="Arial Narrow" w:hAnsi="Arial" w:cs="Arial"/>
                <w:sz w:val="20"/>
                <w:szCs w:val="20"/>
              </w:rPr>
            </w:pPr>
            <w:r w:rsidRPr="008A26D2">
              <w:rPr>
                <w:rFonts w:ascii="Arial" w:eastAsia="Arial Narrow" w:hAnsi="Arial" w:cs="Arial"/>
                <w:sz w:val="20"/>
                <w:szCs w:val="20"/>
              </w:rPr>
              <w:t>15%</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D83A1F3" w14:textId="77777777" w:rsidR="00A75C0F" w:rsidRPr="008A26D2" w:rsidRDefault="00A75C0F" w:rsidP="00256A23">
            <w:pPr>
              <w:tabs>
                <w:tab w:val="left" w:pos="3375"/>
              </w:tabs>
              <w:spacing w:after="0" w:line="240" w:lineRule="auto"/>
              <w:jc w:val="center"/>
              <w:rPr>
                <w:rFonts w:ascii="Arial" w:eastAsia="Arial Narrow" w:hAnsi="Arial" w:cs="Arial"/>
                <w:sz w:val="20"/>
                <w:szCs w:val="20"/>
              </w:rPr>
            </w:pPr>
            <w:r w:rsidRPr="008A26D2">
              <w:rPr>
                <w:rFonts w:ascii="Arial" w:eastAsia="Arial Narrow" w:hAnsi="Arial" w:cs="Arial"/>
                <w:sz w:val="20"/>
                <w:szCs w:val="20"/>
              </w:rPr>
              <w:t>20%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DE8E3BC" w14:textId="77777777" w:rsidR="00A75C0F" w:rsidRPr="008A26D2" w:rsidRDefault="00A75C0F" w:rsidP="00256A23">
            <w:pPr>
              <w:tabs>
                <w:tab w:val="left" w:pos="3375"/>
              </w:tabs>
              <w:spacing w:after="0" w:line="240" w:lineRule="auto"/>
              <w:jc w:val="center"/>
              <w:rPr>
                <w:rFonts w:ascii="Arial" w:eastAsia="Arial Narrow" w:hAnsi="Arial" w:cs="Arial"/>
                <w:sz w:val="20"/>
                <w:szCs w:val="20"/>
              </w:rPr>
            </w:pPr>
            <w:r w:rsidRPr="008A26D2">
              <w:rPr>
                <w:rFonts w:ascii="Arial" w:eastAsia="Arial Narrow" w:hAnsi="Arial" w:cs="Arial"/>
                <w:sz w:val="20"/>
                <w:szCs w:val="20"/>
              </w:rPr>
              <w:t>25%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2A7571E6" w14:textId="77777777" w:rsidR="00A75C0F" w:rsidRPr="008A26D2" w:rsidRDefault="00A75C0F" w:rsidP="00256A23">
            <w:pPr>
              <w:tabs>
                <w:tab w:val="left" w:pos="3375"/>
              </w:tabs>
              <w:spacing w:after="0" w:line="240" w:lineRule="auto"/>
              <w:jc w:val="center"/>
              <w:rPr>
                <w:rFonts w:ascii="Arial" w:eastAsia="Arial Narrow" w:hAnsi="Arial" w:cs="Arial"/>
                <w:sz w:val="20"/>
                <w:szCs w:val="20"/>
              </w:rPr>
            </w:pPr>
            <w:r w:rsidRPr="008A26D2">
              <w:rPr>
                <w:rFonts w:ascii="Arial" w:eastAsia="Arial Narrow" w:hAnsi="Arial" w:cs="Arial"/>
                <w:sz w:val="20"/>
                <w:szCs w:val="20"/>
              </w:rPr>
              <w:t>30%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69F4CC8" w14:textId="77777777" w:rsidR="00A75C0F" w:rsidRPr="008A26D2" w:rsidRDefault="00A75C0F" w:rsidP="00256A23">
            <w:pPr>
              <w:tabs>
                <w:tab w:val="left" w:pos="3375"/>
              </w:tabs>
              <w:spacing w:after="0" w:line="240" w:lineRule="auto"/>
              <w:jc w:val="center"/>
              <w:rPr>
                <w:rFonts w:ascii="Arial" w:eastAsia="Arial Narrow" w:hAnsi="Arial" w:cs="Arial"/>
                <w:sz w:val="20"/>
                <w:szCs w:val="20"/>
              </w:rPr>
            </w:pPr>
            <w:r w:rsidRPr="008A26D2">
              <w:rPr>
                <w:rFonts w:ascii="Arial" w:eastAsia="Arial Narrow" w:hAnsi="Arial" w:cs="Arial"/>
                <w:sz w:val="20"/>
                <w:szCs w:val="20"/>
              </w:rPr>
              <w:t>35%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585198C1" w14:textId="77777777" w:rsidR="00A75C0F" w:rsidRPr="008A26D2" w:rsidRDefault="00A75C0F" w:rsidP="00256A23">
            <w:pPr>
              <w:tabs>
                <w:tab w:val="left" w:pos="3375"/>
              </w:tabs>
              <w:spacing w:after="0" w:line="240" w:lineRule="auto"/>
              <w:jc w:val="center"/>
              <w:rPr>
                <w:rFonts w:ascii="Arial" w:eastAsia="Arial Narrow" w:hAnsi="Arial" w:cs="Arial"/>
                <w:sz w:val="20"/>
                <w:szCs w:val="20"/>
              </w:rPr>
            </w:pPr>
            <w:r w:rsidRPr="008A26D2">
              <w:rPr>
                <w:rFonts w:ascii="Arial" w:eastAsia="Arial Narrow" w:hAnsi="Arial" w:cs="Arial"/>
                <w:sz w:val="20"/>
                <w:szCs w:val="20"/>
              </w:rPr>
              <w:t>40%</w:t>
            </w:r>
          </w:p>
        </w:tc>
      </w:tr>
    </w:tbl>
    <w:p w14:paraId="2B3D3BCC" w14:textId="77777777" w:rsidR="00A75C0F" w:rsidRPr="008A26D2" w:rsidRDefault="00A75C0F" w:rsidP="00A75C0F"/>
    <w:p w14:paraId="672BB854" w14:textId="77777777" w:rsidR="00A75C0F" w:rsidRPr="008A26D2" w:rsidRDefault="00A75C0F" w:rsidP="00A75C0F"/>
    <w:tbl>
      <w:tblPr>
        <w:tblW w:w="864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1034"/>
        <w:gridCol w:w="10"/>
        <w:gridCol w:w="941"/>
        <w:gridCol w:w="850"/>
        <w:gridCol w:w="851"/>
        <w:gridCol w:w="850"/>
        <w:gridCol w:w="709"/>
        <w:gridCol w:w="709"/>
        <w:gridCol w:w="708"/>
        <w:gridCol w:w="709"/>
      </w:tblGrid>
      <w:tr w:rsidR="00A75C0F" w:rsidRPr="008A26D2" w14:paraId="4F22C32E" w14:textId="77777777" w:rsidTr="00AF5836">
        <w:trPr>
          <w:trHeight w:val="251"/>
        </w:trPr>
        <w:tc>
          <w:tcPr>
            <w:tcW w:w="8647" w:type="dxa"/>
            <w:gridSpan w:val="11"/>
            <w:shd w:val="clear" w:color="auto" w:fill="D9D9D9" w:themeFill="background1" w:themeFillShade="D9"/>
            <w:tcMar>
              <w:top w:w="10" w:type="dxa"/>
              <w:left w:w="10" w:type="dxa"/>
              <w:bottom w:w="0" w:type="dxa"/>
              <w:right w:w="10" w:type="dxa"/>
            </w:tcMar>
            <w:vAlign w:val="center"/>
          </w:tcPr>
          <w:p w14:paraId="134B69B3"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b/>
                <w:sz w:val="20"/>
                <w:szCs w:val="20"/>
              </w:rPr>
              <w:t>FICHA TÉCNICA DE INDICADOR DE SERVICIO 3.4.1</w:t>
            </w:r>
          </w:p>
        </w:tc>
      </w:tr>
      <w:tr w:rsidR="00A75C0F" w:rsidRPr="008A26D2" w14:paraId="715D5D31" w14:textId="77777777" w:rsidTr="00AF5836">
        <w:trPr>
          <w:trHeight w:val="409"/>
        </w:trPr>
        <w:tc>
          <w:tcPr>
            <w:tcW w:w="2320" w:type="dxa"/>
            <w:gridSpan w:val="3"/>
            <w:shd w:val="clear" w:color="auto" w:fill="FFFFFF"/>
            <w:tcMar>
              <w:top w:w="10" w:type="dxa"/>
              <w:left w:w="93" w:type="dxa"/>
              <w:bottom w:w="0" w:type="dxa"/>
              <w:right w:w="10" w:type="dxa"/>
            </w:tcMar>
            <w:vAlign w:val="center"/>
          </w:tcPr>
          <w:p w14:paraId="03A69CAC"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Objetivo prioritario:</w:t>
            </w:r>
          </w:p>
        </w:tc>
        <w:tc>
          <w:tcPr>
            <w:tcW w:w="6327" w:type="dxa"/>
            <w:gridSpan w:val="8"/>
            <w:shd w:val="clear" w:color="auto" w:fill="FFFFFF"/>
            <w:tcMar>
              <w:top w:w="51" w:type="dxa"/>
              <w:left w:w="227" w:type="dxa"/>
              <w:bottom w:w="51" w:type="dxa"/>
              <w:right w:w="227" w:type="dxa"/>
            </w:tcMar>
            <w:vAlign w:val="center"/>
          </w:tcPr>
          <w:p w14:paraId="29D5279C" w14:textId="77777777" w:rsidR="00A75C0F" w:rsidRPr="008A26D2" w:rsidRDefault="00A75C0F" w:rsidP="00AF5836">
            <w:pPr>
              <w:tabs>
                <w:tab w:val="left" w:pos="3375"/>
              </w:tabs>
              <w:jc w:val="both"/>
              <w:rPr>
                <w:rFonts w:ascii="Arial" w:hAnsi="Arial" w:cs="Arial"/>
                <w:sz w:val="20"/>
                <w:szCs w:val="20"/>
              </w:rPr>
            </w:pPr>
            <w:r w:rsidRPr="008A26D2">
              <w:rPr>
                <w:rFonts w:ascii="Arial" w:eastAsia="Arial Narrow" w:hAnsi="Arial" w:cs="Arial"/>
                <w:sz w:val="20"/>
                <w:szCs w:val="20"/>
              </w:rPr>
              <w:t>OP3 Fortalecer la gobernanza forestal y de fauna silvestre</w:t>
            </w:r>
          </w:p>
        </w:tc>
      </w:tr>
      <w:tr w:rsidR="00A75C0F" w:rsidRPr="008A26D2" w14:paraId="6533A885" w14:textId="77777777" w:rsidTr="00AF5836">
        <w:trPr>
          <w:trHeight w:val="436"/>
        </w:trPr>
        <w:tc>
          <w:tcPr>
            <w:tcW w:w="2320" w:type="dxa"/>
            <w:gridSpan w:val="3"/>
            <w:shd w:val="clear" w:color="auto" w:fill="auto"/>
            <w:tcMar>
              <w:top w:w="10" w:type="dxa"/>
              <w:left w:w="93" w:type="dxa"/>
              <w:bottom w:w="0" w:type="dxa"/>
              <w:right w:w="10" w:type="dxa"/>
            </w:tcMar>
            <w:vAlign w:val="center"/>
          </w:tcPr>
          <w:p w14:paraId="25CD129E"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Lineamiento de la política:</w:t>
            </w:r>
          </w:p>
        </w:tc>
        <w:tc>
          <w:tcPr>
            <w:tcW w:w="6327" w:type="dxa"/>
            <w:gridSpan w:val="8"/>
            <w:shd w:val="clear" w:color="auto" w:fill="auto"/>
            <w:tcMar>
              <w:top w:w="51" w:type="dxa"/>
              <w:left w:w="227" w:type="dxa"/>
              <w:bottom w:w="51" w:type="dxa"/>
              <w:right w:w="227" w:type="dxa"/>
            </w:tcMar>
            <w:vAlign w:val="center"/>
          </w:tcPr>
          <w:p w14:paraId="47500DF1" w14:textId="77777777" w:rsidR="00A75C0F" w:rsidRPr="008A26D2" w:rsidRDefault="00A75C0F" w:rsidP="00AF5836">
            <w:pPr>
              <w:tabs>
                <w:tab w:val="left" w:pos="3375"/>
              </w:tabs>
              <w:jc w:val="both"/>
              <w:rPr>
                <w:rFonts w:ascii="Arial" w:hAnsi="Arial" w:cs="Arial"/>
                <w:sz w:val="20"/>
                <w:szCs w:val="20"/>
              </w:rPr>
            </w:pPr>
            <w:r w:rsidRPr="008A26D2">
              <w:rPr>
                <w:rFonts w:ascii="Arial" w:eastAsia="Arial Narrow" w:hAnsi="Arial" w:cs="Arial"/>
                <w:sz w:val="20"/>
                <w:szCs w:val="20"/>
              </w:rPr>
              <w:t>L3.4 Desarrollar programas orientados a consolidar la institucionalidad y articulación en los tres niveles de gobierno en el ámbito forestal y de fauna silvestre</w:t>
            </w:r>
          </w:p>
        </w:tc>
      </w:tr>
      <w:tr w:rsidR="00A75C0F" w:rsidRPr="008A26D2" w14:paraId="6A1CE843" w14:textId="77777777" w:rsidTr="00AF5836">
        <w:trPr>
          <w:trHeight w:val="404"/>
        </w:trPr>
        <w:tc>
          <w:tcPr>
            <w:tcW w:w="2320" w:type="dxa"/>
            <w:gridSpan w:val="3"/>
            <w:shd w:val="clear" w:color="auto" w:fill="auto"/>
            <w:tcMar>
              <w:top w:w="10" w:type="dxa"/>
              <w:left w:w="93" w:type="dxa"/>
              <w:bottom w:w="0" w:type="dxa"/>
              <w:right w:w="10" w:type="dxa"/>
            </w:tcMar>
            <w:vAlign w:val="center"/>
          </w:tcPr>
          <w:p w14:paraId="09D4EB95"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Nombre del servicio:</w:t>
            </w:r>
          </w:p>
        </w:tc>
        <w:tc>
          <w:tcPr>
            <w:tcW w:w="6327" w:type="dxa"/>
            <w:gridSpan w:val="8"/>
            <w:shd w:val="clear" w:color="auto" w:fill="auto"/>
            <w:tcMar>
              <w:top w:w="51" w:type="dxa"/>
              <w:left w:w="227" w:type="dxa"/>
              <w:bottom w:w="51" w:type="dxa"/>
              <w:right w:w="227" w:type="dxa"/>
            </w:tcMar>
            <w:vAlign w:val="center"/>
          </w:tcPr>
          <w:p w14:paraId="485E70DF" w14:textId="77777777" w:rsidR="00A75C0F" w:rsidRPr="008A26D2" w:rsidRDefault="00A75C0F" w:rsidP="00AF5836">
            <w:pPr>
              <w:tabs>
                <w:tab w:val="left" w:pos="3375"/>
              </w:tabs>
              <w:jc w:val="both"/>
              <w:rPr>
                <w:rFonts w:ascii="Arial" w:hAnsi="Arial" w:cs="Arial"/>
                <w:sz w:val="20"/>
                <w:szCs w:val="20"/>
              </w:rPr>
            </w:pPr>
            <w:r w:rsidRPr="008A26D2">
              <w:rPr>
                <w:rFonts w:ascii="Arial" w:eastAsia="Arial Narrow" w:hAnsi="Arial" w:cs="Arial"/>
                <w:sz w:val="20"/>
                <w:szCs w:val="20"/>
              </w:rPr>
              <w:t>S3.4.1 Fortalecimiento de capacidades en aspectos técnicos y administrativos de forma satisfactoria para consolidar la institucionalidad de las Autoridades Regionales Forestales y de Fauna silvestre</w:t>
            </w:r>
          </w:p>
        </w:tc>
      </w:tr>
      <w:tr w:rsidR="00A75C0F" w:rsidRPr="008A26D2" w14:paraId="65A1B1DE" w14:textId="77777777" w:rsidTr="00AF5836">
        <w:trPr>
          <w:trHeight w:val="577"/>
        </w:trPr>
        <w:tc>
          <w:tcPr>
            <w:tcW w:w="2320" w:type="dxa"/>
            <w:gridSpan w:val="3"/>
            <w:shd w:val="clear" w:color="auto" w:fill="auto"/>
            <w:tcMar>
              <w:top w:w="10" w:type="dxa"/>
              <w:left w:w="93" w:type="dxa"/>
              <w:bottom w:w="0" w:type="dxa"/>
              <w:right w:w="10" w:type="dxa"/>
            </w:tcMar>
            <w:vAlign w:val="center"/>
          </w:tcPr>
          <w:p w14:paraId="72073697"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Nombre del indicador:</w:t>
            </w:r>
          </w:p>
        </w:tc>
        <w:tc>
          <w:tcPr>
            <w:tcW w:w="6327" w:type="dxa"/>
            <w:gridSpan w:val="8"/>
            <w:shd w:val="clear" w:color="auto" w:fill="auto"/>
            <w:tcMar>
              <w:top w:w="51" w:type="dxa"/>
              <w:left w:w="227" w:type="dxa"/>
              <w:bottom w:w="51" w:type="dxa"/>
              <w:right w:w="227" w:type="dxa"/>
            </w:tcMar>
            <w:vAlign w:val="bottom"/>
          </w:tcPr>
          <w:p w14:paraId="19C64069" w14:textId="77777777" w:rsidR="00A75C0F" w:rsidRPr="008A26D2" w:rsidRDefault="00A75C0F" w:rsidP="00AF5836">
            <w:pPr>
              <w:pBdr>
                <w:top w:val="nil"/>
                <w:left w:val="nil"/>
                <w:bottom w:val="nil"/>
                <w:right w:val="nil"/>
                <w:between w:val="nil"/>
              </w:pBdr>
              <w:tabs>
                <w:tab w:val="left" w:pos="3375"/>
              </w:tabs>
              <w:jc w:val="both"/>
              <w:rPr>
                <w:rFonts w:ascii="Arial" w:hAnsi="Arial" w:cs="Arial"/>
                <w:sz w:val="20"/>
                <w:szCs w:val="20"/>
              </w:rPr>
            </w:pPr>
            <w:r w:rsidRPr="008A26D2">
              <w:rPr>
                <w:rFonts w:ascii="Arial" w:eastAsia="Arial Narrow" w:hAnsi="Arial" w:cs="Arial"/>
                <w:sz w:val="20"/>
                <w:szCs w:val="20"/>
              </w:rPr>
              <w:t>Porcentaje de servidores de las Autoridades Regionales Forestales y de Fauna Silvestre con alto grado de satisfacción sobre las capacitaciones recibidas en aspectos técnicos y administrativos</w:t>
            </w:r>
          </w:p>
        </w:tc>
      </w:tr>
      <w:tr w:rsidR="00A75C0F" w:rsidRPr="008A26D2" w14:paraId="3A8847CA" w14:textId="77777777" w:rsidTr="00AF5836">
        <w:trPr>
          <w:trHeight w:val="577"/>
        </w:trPr>
        <w:tc>
          <w:tcPr>
            <w:tcW w:w="2320" w:type="dxa"/>
            <w:gridSpan w:val="3"/>
            <w:shd w:val="clear" w:color="auto" w:fill="auto"/>
            <w:tcMar>
              <w:top w:w="10" w:type="dxa"/>
              <w:left w:w="93" w:type="dxa"/>
              <w:bottom w:w="0" w:type="dxa"/>
              <w:right w:w="10" w:type="dxa"/>
            </w:tcMar>
            <w:vAlign w:val="center"/>
          </w:tcPr>
          <w:p w14:paraId="0731748F"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Justificación:</w:t>
            </w:r>
          </w:p>
        </w:tc>
        <w:tc>
          <w:tcPr>
            <w:tcW w:w="6327" w:type="dxa"/>
            <w:gridSpan w:val="8"/>
            <w:shd w:val="clear" w:color="auto" w:fill="auto"/>
            <w:tcMar>
              <w:top w:w="51" w:type="dxa"/>
              <w:left w:w="227" w:type="dxa"/>
              <w:bottom w:w="51" w:type="dxa"/>
              <w:right w:w="227" w:type="dxa"/>
            </w:tcMar>
            <w:vAlign w:val="center"/>
          </w:tcPr>
          <w:p w14:paraId="0F513C70" w14:textId="77777777" w:rsidR="00A75C0F" w:rsidRPr="008A26D2" w:rsidRDefault="00A75C0F" w:rsidP="00AF5836">
            <w:pPr>
              <w:jc w:val="both"/>
              <w:rPr>
                <w:rFonts w:ascii="Arial" w:hAnsi="Arial" w:cs="Arial"/>
                <w:strike/>
                <w:sz w:val="20"/>
                <w:szCs w:val="20"/>
              </w:rPr>
            </w:pPr>
            <w:r w:rsidRPr="008A26D2">
              <w:rPr>
                <w:rFonts w:ascii="Arial" w:eastAsia="Times New Roman" w:hAnsi="Arial" w:cs="Arial"/>
                <w:sz w:val="20"/>
                <w:szCs w:val="20"/>
                <w:lang w:val="es-ES"/>
              </w:rPr>
              <w:t xml:space="preserve">El indicador cuantifica el porcentaje de </w:t>
            </w:r>
            <w:r w:rsidRPr="008A26D2">
              <w:rPr>
                <w:rFonts w:ascii="Arial" w:eastAsia="Times New Roman" w:hAnsi="Arial" w:cs="Arial"/>
                <w:sz w:val="20"/>
                <w:szCs w:val="20"/>
              </w:rPr>
              <w:t>servidores de las Autoridades Regionales Forestales y de Fauna Silvestre</w:t>
            </w:r>
            <w:r w:rsidRPr="008A26D2">
              <w:rPr>
                <w:rFonts w:ascii="Arial" w:eastAsia="Times New Roman" w:hAnsi="Arial" w:cs="Arial"/>
                <w:sz w:val="20"/>
                <w:szCs w:val="20"/>
                <w:lang w:val="es-ES"/>
              </w:rPr>
              <w:t xml:space="preserve"> que perciben un alto grado de satisfacción sobre las capacitaciones recibidas en </w:t>
            </w:r>
            <w:r w:rsidRPr="008A26D2">
              <w:rPr>
                <w:rFonts w:ascii="Arial" w:eastAsia="Arial Narrow" w:hAnsi="Arial" w:cs="Arial"/>
                <w:sz w:val="20"/>
                <w:szCs w:val="20"/>
              </w:rPr>
              <w:t>aspectos técnicos y administrativos</w:t>
            </w:r>
            <w:r w:rsidRPr="008A26D2">
              <w:rPr>
                <w:rFonts w:ascii="Arial" w:eastAsia="Times New Roman" w:hAnsi="Arial" w:cs="Arial"/>
                <w:sz w:val="20"/>
                <w:szCs w:val="20"/>
                <w:lang w:val="es-ES"/>
              </w:rPr>
              <w:t>. De esta manera, el indicador facilitará el seguimiento de la satisfacción del servicio para establecer acciones de mejora correspondientes.</w:t>
            </w:r>
            <w:r w:rsidRPr="008A26D2">
              <w:rPr>
                <w:rFonts w:ascii="Arial" w:eastAsia="Arial Narrow" w:hAnsi="Arial" w:cs="Arial"/>
                <w:strike/>
                <w:sz w:val="20"/>
                <w:szCs w:val="20"/>
              </w:rPr>
              <w:t xml:space="preserve"> </w:t>
            </w:r>
          </w:p>
        </w:tc>
      </w:tr>
      <w:tr w:rsidR="00A75C0F" w:rsidRPr="008A26D2" w14:paraId="5557E368" w14:textId="77777777" w:rsidTr="00AF5836">
        <w:trPr>
          <w:trHeight w:val="352"/>
        </w:trPr>
        <w:tc>
          <w:tcPr>
            <w:tcW w:w="2320" w:type="dxa"/>
            <w:gridSpan w:val="3"/>
            <w:shd w:val="clear" w:color="auto" w:fill="auto"/>
            <w:tcMar>
              <w:top w:w="10" w:type="dxa"/>
              <w:left w:w="93" w:type="dxa"/>
              <w:bottom w:w="0" w:type="dxa"/>
              <w:right w:w="10" w:type="dxa"/>
            </w:tcMar>
            <w:vAlign w:val="center"/>
          </w:tcPr>
          <w:p w14:paraId="1936E594"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Responsable del indicador:</w:t>
            </w:r>
          </w:p>
        </w:tc>
        <w:tc>
          <w:tcPr>
            <w:tcW w:w="6327" w:type="dxa"/>
            <w:gridSpan w:val="8"/>
            <w:shd w:val="clear" w:color="auto" w:fill="auto"/>
            <w:tcMar>
              <w:top w:w="51" w:type="dxa"/>
              <w:left w:w="227" w:type="dxa"/>
              <w:bottom w:w="51" w:type="dxa"/>
              <w:right w:w="227" w:type="dxa"/>
            </w:tcMar>
            <w:vAlign w:val="center"/>
          </w:tcPr>
          <w:p w14:paraId="6A122665" w14:textId="77777777" w:rsidR="00A75C0F" w:rsidRPr="008A26D2" w:rsidRDefault="00A75C0F" w:rsidP="00AF5836">
            <w:pPr>
              <w:tabs>
                <w:tab w:val="left" w:pos="3375"/>
              </w:tabs>
              <w:rPr>
                <w:rFonts w:ascii="Arial" w:hAnsi="Arial" w:cs="Arial"/>
                <w:sz w:val="20"/>
                <w:szCs w:val="20"/>
              </w:rPr>
            </w:pPr>
            <w:r w:rsidRPr="008A26D2">
              <w:rPr>
                <w:rFonts w:ascii="Arial" w:eastAsia="Arial Narrow" w:hAnsi="Arial" w:cs="Arial"/>
                <w:sz w:val="20"/>
                <w:szCs w:val="20"/>
              </w:rPr>
              <w:t>Dirección de Fortalecimiento de Capacidades del Servicio Nacional Forestal y de Fauna Silvestre - SERFOR</w:t>
            </w:r>
          </w:p>
        </w:tc>
      </w:tr>
      <w:tr w:rsidR="00A75C0F" w:rsidRPr="008A26D2" w14:paraId="2C2E7394" w14:textId="77777777" w:rsidTr="00AF5836">
        <w:trPr>
          <w:trHeight w:val="784"/>
        </w:trPr>
        <w:tc>
          <w:tcPr>
            <w:tcW w:w="2320" w:type="dxa"/>
            <w:gridSpan w:val="3"/>
            <w:shd w:val="clear" w:color="auto" w:fill="auto"/>
            <w:tcMar>
              <w:top w:w="10" w:type="dxa"/>
              <w:left w:w="93" w:type="dxa"/>
              <w:bottom w:w="0" w:type="dxa"/>
              <w:right w:w="10" w:type="dxa"/>
            </w:tcMar>
            <w:vAlign w:val="center"/>
          </w:tcPr>
          <w:p w14:paraId="27BBEA25"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Limitaciones para la medición del indicador:</w:t>
            </w:r>
          </w:p>
        </w:tc>
        <w:tc>
          <w:tcPr>
            <w:tcW w:w="6327" w:type="dxa"/>
            <w:gridSpan w:val="8"/>
            <w:shd w:val="clear" w:color="auto" w:fill="auto"/>
            <w:tcMar>
              <w:top w:w="51" w:type="dxa"/>
              <w:left w:w="227" w:type="dxa"/>
              <w:bottom w:w="51" w:type="dxa"/>
              <w:right w:w="227" w:type="dxa"/>
            </w:tcMar>
            <w:vAlign w:val="center"/>
          </w:tcPr>
          <w:p w14:paraId="6F124D5A" w14:textId="77777777" w:rsidR="00A75C0F" w:rsidRPr="008A26D2" w:rsidRDefault="00A75C0F" w:rsidP="00AF5836">
            <w:pPr>
              <w:tabs>
                <w:tab w:val="left" w:pos="3375"/>
              </w:tabs>
              <w:rPr>
                <w:rFonts w:ascii="Arial" w:hAnsi="Arial" w:cs="Arial"/>
                <w:sz w:val="20"/>
                <w:szCs w:val="20"/>
              </w:rPr>
            </w:pPr>
            <w:r w:rsidRPr="008A26D2">
              <w:rPr>
                <w:rFonts w:ascii="Arial" w:eastAsia="Arial Narrow" w:hAnsi="Arial" w:cs="Arial"/>
                <w:sz w:val="20"/>
                <w:szCs w:val="20"/>
              </w:rPr>
              <w:t>No presenta limitaciones</w:t>
            </w:r>
          </w:p>
        </w:tc>
      </w:tr>
      <w:tr w:rsidR="00A75C0F" w:rsidRPr="008A26D2" w14:paraId="2FE650DB" w14:textId="77777777" w:rsidTr="00AF5836">
        <w:trPr>
          <w:trHeight w:val="231"/>
        </w:trPr>
        <w:tc>
          <w:tcPr>
            <w:tcW w:w="2320" w:type="dxa"/>
            <w:gridSpan w:val="3"/>
            <w:shd w:val="clear" w:color="auto" w:fill="auto"/>
            <w:tcMar>
              <w:top w:w="10" w:type="dxa"/>
              <w:left w:w="93" w:type="dxa"/>
              <w:bottom w:w="0" w:type="dxa"/>
              <w:right w:w="10" w:type="dxa"/>
            </w:tcMar>
            <w:vAlign w:val="center"/>
          </w:tcPr>
          <w:p w14:paraId="0D14AE3D"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 xml:space="preserve">Método de cálculo: </w:t>
            </w:r>
          </w:p>
        </w:tc>
        <w:tc>
          <w:tcPr>
            <w:tcW w:w="6327" w:type="dxa"/>
            <w:gridSpan w:val="8"/>
            <w:shd w:val="clear" w:color="auto" w:fill="auto"/>
            <w:tcMar>
              <w:top w:w="51" w:type="dxa"/>
              <w:left w:w="227" w:type="dxa"/>
              <w:bottom w:w="51" w:type="dxa"/>
              <w:right w:w="227" w:type="dxa"/>
            </w:tcMar>
            <w:vAlign w:val="center"/>
          </w:tcPr>
          <w:p w14:paraId="6D6D19D9" w14:textId="77777777" w:rsidR="00A75C0F" w:rsidRPr="008A26D2" w:rsidRDefault="00A75C0F" w:rsidP="00AF5836">
            <w:pPr>
              <w:pStyle w:val="Prrafodelista"/>
              <w:numPr>
                <w:ilvl w:val="0"/>
                <w:numId w:val="28"/>
              </w:numPr>
              <w:spacing w:after="0" w:line="240" w:lineRule="auto"/>
              <w:ind w:left="286" w:hanging="281"/>
              <w:rPr>
                <w:rFonts w:ascii="Arial" w:eastAsia="Arial Unicode MS" w:hAnsi="Arial" w:cs="Arial"/>
                <w:b/>
                <w:sz w:val="20"/>
                <w:szCs w:val="20"/>
              </w:rPr>
            </w:pPr>
            <w:r w:rsidRPr="008A26D2">
              <w:rPr>
                <w:rFonts w:ascii="Arial" w:eastAsia="Arial Unicode MS" w:hAnsi="Arial" w:cs="Arial"/>
                <w:b/>
                <w:sz w:val="20"/>
                <w:szCs w:val="20"/>
              </w:rPr>
              <w:t>Fórmula</w:t>
            </w:r>
          </w:p>
          <w:p w14:paraId="0D8582CF" w14:textId="77777777" w:rsidR="00A75C0F" w:rsidRPr="008A26D2" w:rsidRDefault="00A75C0F" w:rsidP="00AF5836">
            <w:pPr>
              <w:spacing w:after="0" w:line="240" w:lineRule="auto"/>
              <w:rPr>
                <w:rFonts w:ascii="Arial" w:eastAsia="Arial Unicode MS" w:hAnsi="Arial" w:cs="Arial"/>
                <w:b/>
                <w:sz w:val="20"/>
                <w:szCs w:val="20"/>
              </w:rPr>
            </w:pPr>
          </w:p>
          <w:p w14:paraId="55F8051B" w14:textId="77777777" w:rsidR="00A75C0F" w:rsidRPr="008A26D2" w:rsidRDefault="00A75C0F" w:rsidP="00AF5836">
            <w:pPr>
              <w:spacing w:after="0" w:line="240" w:lineRule="auto"/>
              <w:rPr>
                <w:rFonts w:ascii="Arial" w:eastAsia="Arial Unicode MS" w:hAnsi="Arial" w:cs="Arial"/>
                <w:sz w:val="20"/>
                <w:szCs w:val="20"/>
              </w:rPr>
            </w:pPr>
            <w:r w:rsidRPr="008A26D2">
              <w:rPr>
                <w:rFonts w:ascii="Arial" w:eastAsia="Arial Unicode MS" w:hAnsi="Arial" w:cs="Arial"/>
                <w:sz w:val="20"/>
                <w:szCs w:val="20"/>
              </w:rPr>
              <w:t>(A/B)*100</w:t>
            </w:r>
          </w:p>
          <w:p w14:paraId="26E8C8B5" w14:textId="77777777" w:rsidR="00A75C0F" w:rsidRPr="008A26D2" w:rsidRDefault="00A75C0F" w:rsidP="00AF5836">
            <w:pPr>
              <w:spacing w:after="0" w:line="240" w:lineRule="auto"/>
              <w:rPr>
                <w:rFonts w:ascii="Arial" w:eastAsia="Arial Unicode MS" w:hAnsi="Arial" w:cs="Arial"/>
                <w:sz w:val="20"/>
                <w:szCs w:val="20"/>
              </w:rPr>
            </w:pPr>
          </w:p>
          <w:p w14:paraId="4B6890CF" w14:textId="77777777" w:rsidR="00A75C0F" w:rsidRPr="008A26D2" w:rsidRDefault="00A75C0F" w:rsidP="00AF5836">
            <w:pPr>
              <w:spacing w:after="0" w:line="240" w:lineRule="auto"/>
              <w:jc w:val="both"/>
              <w:rPr>
                <w:rFonts w:ascii="Arial" w:eastAsia="Arial Unicode MS" w:hAnsi="Arial" w:cs="Arial"/>
                <w:sz w:val="20"/>
                <w:szCs w:val="20"/>
              </w:rPr>
            </w:pPr>
            <w:r w:rsidRPr="008A26D2">
              <w:rPr>
                <w:rFonts w:ascii="Arial" w:eastAsia="Arial Unicode MS" w:hAnsi="Arial" w:cs="Arial"/>
                <w:sz w:val="20"/>
                <w:szCs w:val="20"/>
              </w:rPr>
              <w:t>Donde:</w:t>
            </w:r>
          </w:p>
          <w:p w14:paraId="058832DD" w14:textId="6FD09391" w:rsidR="00A75C0F" w:rsidRPr="008A26D2" w:rsidRDefault="00A75C0F" w:rsidP="00AF5836">
            <w:pPr>
              <w:spacing w:after="0" w:line="240" w:lineRule="auto"/>
              <w:ind w:left="289" w:hanging="289"/>
              <w:jc w:val="both"/>
              <w:rPr>
                <w:rFonts w:ascii="Arial" w:eastAsia="Arial Unicode MS" w:hAnsi="Arial" w:cs="Arial"/>
                <w:b/>
                <w:sz w:val="20"/>
                <w:szCs w:val="20"/>
              </w:rPr>
            </w:pPr>
            <w:r w:rsidRPr="008A26D2">
              <w:rPr>
                <w:rFonts w:ascii="Arial" w:eastAsia="Arial Unicode MS" w:hAnsi="Arial" w:cs="Arial"/>
                <w:sz w:val="20"/>
                <w:szCs w:val="20"/>
              </w:rPr>
              <w:t>A=</w:t>
            </w:r>
            <w:r>
              <w:rPr>
                <w:rFonts w:ascii="Arial" w:eastAsia="Arial Unicode MS" w:hAnsi="Arial" w:cs="Arial"/>
                <w:sz w:val="20"/>
                <w:szCs w:val="20"/>
              </w:rPr>
              <w:t xml:space="preserve"> </w:t>
            </w:r>
            <w:r w:rsidRPr="008A26D2">
              <w:rPr>
                <w:rFonts w:ascii="Arial" w:eastAsia="Arial Unicode MS" w:hAnsi="Arial" w:cs="Arial"/>
                <w:sz w:val="20"/>
                <w:szCs w:val="20"/>
              </w:rPr>
              <w:t xml:space="preserve">Número </w:t>
            </w:r>
            <w:r w:rsidRPr="008A26D2">
              <w:rPr>
                <w:rFonts w:ascii="Arial" w:eastAsia="Times New Roman" w:hAnsi="Arial" w:cs="Arial"/>
                <w:sz w:val="20"/>
                <w:szCs w:val="20"/>
              </w:rPr>
              <w:t xml:space="preserve">de </w:t>
            </w:r>
            <w:r w:rsidRPr="008A26D2">
              <w:rPr>
                <w:rFonts w:ascii="Arial" w:eastAsia="Arial Narrow" w:hAnsi="Arial" w:cs="Arial"/>
                <w:sz w:val="20"/>
                <w:szCs w:val="20"/>
              </w:rPr>
              <w:t xml:space="preserve">servidores de las Autoridades Regionales Forestales y de Fauna Silvestre con alto grado de satisfacción </w:t>
            </w:r>
            <w:r w:rsidRPr="008A26D2">
              <w:rPr>
                <w:rFonts w:ascii="Arial" w:eastAsia="Arial Narrow" w:hAnsi="Arial" w:cs="Arial"/>
                <w:sz w:val="20"/>
                <w:szCs w:val="20"/>
              </w:rPr>
              <w:lastRenderedPageBreak/>
              <w:t>sobre las capacitaciones recibidas en aspectos técnicos y administrativos</w:t>
            </w:r>
          </w:p>
          <w:p w14:paraId="5513FDB5" w14:textId="77777777" w:rsidR="00A75C0F" w:rsidRPr="008A26D2" w:rsidRDefault="00A75C0F" w:rsidP="00AF5836">
            <w:pPr>
              <w:spacing w:after="0" w:line="240" w:lineRule="auto"/>
              <w:ind w:left="289" w:hanging="289"/>
              <w:jc w:val="both"/>
              <w:rPr>
                <w:rFonts w:ascii="Arial" w:eastAsia="Arial Unicode MS" w:hAnsi="Arial" w:cs="Arial"/>
                <w:b/>
                <w:sz w:val="20"/>
                <w:szCs w:val="20"/>
              </w:rPr>
            </w:pPr>
            <w:r w:rsidRPr="008A26D2">
              <w:rPr>
                <w:rFonts w:ascii="Arial" w:eastAsia="Arial Unicode MS" w:hAnsi="Arial" w:cs="Arial"/>
                <w:sz w:val="20"/>
                <w:szCs w:val="20"/>
              </w:rPr>
              <w:t xml:space="preserve">B= Total de </w:t>
            </w:r>
            <w:r w:rsidRPr="008A26D2">
              <w:rPr>
                <w:rFonts w:ascii="Arial" w:eastAsia="Arial Narrow" w:hAnsi="Arial" w:cs="Arial"/>
                <w:sz w:val="20"/>
                <w:szCs w:val="20"/>
              </w:rPr>
              <w:t>servidores de las Autoridades Regionales Forestales y de Fauna Silvestre que recibieron capacitaciones en aspectos técnicos y administrativos</w:t>
            </w:r>
          </w:p>
          <w:p w14:paraId="7AF8F625" w14:textId="77777777" w:rsidR="00A75C0F" w:rsidRPr="008A26D2" w:rsidRDefault="00A75C0F" w:rsidP="00AF5836">
            <w:pPr>
              <w:spacing w:after="0" w:line="240" w:lineRule="auto"/>
              <w:jc w:val="both"/>
              <w:rPr>
                <w:rFonts w:ascii="Arial" w:eastAsia="Arial Unicode MS" w:hAnsi="Arial" w:cs="Arial"/>
                <w:b/>
                <w:strike/>
                <w:sz w:val="20"/>
                <w:szCs w:val="20"/>
              </w:rPr>
            </w:pPr>
          </w:p>
          <w:p w14:paraId="3C07F123" w14:textId="77777777" w:rsidR="00A75C0F" w:rsidRPr="008A26D2" w:rsidRDefault="00A75C0F" w:rsidP="00AF5836">
            <w:pPr>
              <w:pStyle w:val="Prrafodelista"/>
              <w:numPr>
                <w:ilvl w:val="0"/>
                <w:numId w:val="28"/>
              </w:numPr>
              <w:spacing w:after="0" w:line="240" w:lineRule="auto"/>
              <w:ind w:left="289" w:hanging="284"/>
              <w:jc w:val="both"/>
              <w:rPr>
                <w:rFonts w:ascii="Arial" w:eastAsia="Arial Unicode MS" w:hAnsi="Arial" w:cs="Arial"/>
                <w:sz w:val="20"/>
                <w:szCs w:val="20"/>
              </w:rPr>
            </w:pPr>
            <w:r w:rsidRPr="008A26D2">
              <w:rPr>
                <w:rFonts w:ascii="Arial" w:eastAsia="Arial Unicode MS" w:hAnsi="Arial" w:cs="Arial"/>
                <w:b/>
                <w:sz w:val="20"/>
                <w:szCs w:val="20"/>
              </w:rPr>
              <w:t>Especificaciones técnicas</w:t>
            </w:r>
            <w:r w:rsidRPr="008A26D2">
              <w:rPr>
                <w:rFonts w:ascii="Arial" w:eastAsia="Arial Unicode MS" w:hAnsi="Arial" w:cs="Arial"/>
                <w:sz w:val="20"/>
                <w:szCs w:val="20"/>
              </w:rPr>
              <w:t>:</w:t>
            </w:r>
          </w:p>
          <w:p w14:paraId="17BAA3C2" w14:textId="77777777" w:rsidR="00A75C0F" w:rsidRPr="008A26D2" w:rsidRDefault="00A75C0F" w:rsidP="00AF5836">
            <w:pPr>
              <w:pStyle w:val="Prrafodelista"/>
              <w:spacing w:after="0" w:line="240" w:lineRule="auto"/>
              <w:ind w:left="147"/>
              <w:jc w:val="both"/>
              <w:rPr>
                <w:rFonts w:ascii="Arial" w:eastAsia="Arial Unicode MS" w:hAnsi="Arial" w:cs="Arial"/>
                <w:sz w:val="20"/>
                <w:szCs w:val="20"/>
              </w:rPr>
            </w:pPr>
          </w:p>
          <w:p w14:paraId="6E290D5C" w14:textId="77777777" w:rsidR="00A75C0F" w:rsidRPr="00192389" w:rsidRDefault="00A75C0F" w:rsidP="00AF5836">
            <w:pPr>
              <w:jc w:val="both"/>
              <w:rPr>
                <w:rFonts w:ascii="Arial" w:eastAsia="Times New Roman" w:hAnsi="Arial" w:cs="Arial"/>
                <w:sz w:val="20"/>
                <w:szCs w:val="20"/>
                <w:lang w:val="es-ES"/>
              </w:rPr>
            </w:pPr>
            <w:r w:rsidRPr="00192389">
              <w:rPr>
                <w:rFonts w:ascii="Arial" w:eastAsia="Times New Roman" w:hAnsi="Arial" w:cs="Arial"/>
                <w:sz w:val="20"/>
                <w:szCs w:val="20"/>
                <w:lang w:val="es-ES"/>
              </w:rPr>
              <w:t xml:space="preserve">La variable A se determina a partir de los </w:t>
            </w:r>
            <w:r w:rsidRPr="008A26D2">
              <w:rPr>
                <w:rFonts w:ascii="Arial" w:eastAsia="Arial Narrow" w:hAnsi="Arial" w:cs="Arial"/>
                <w:sz w:val="20"/>
                <w:szCs w:val="20"/>
              </w:rPr>
              <w:t xml:space="preserve">servidores de las Autoridades Regionales Forestales y de Fauna Silvestre </w:t>
            </w:r>
            <w:r w:rsidRPr="00192389">
              <w:rPr>
                <w:rFonts w:ascii="Arial" w:eastAsia="Times New Roman" w:hAnsi="Arial" w:cs="Arial"/>
                <w:sz w:val="20"/>
                <w:szCs w:val="20"/>
                <w:lang w:val="es-ES"/>
              </w:rPr>
              <w:t>que tienen un alto grado de satisfacción, al elegir los dos niveles más altos de la escala, sobre las acciones de fortalecimiento de capacidades recibidas.</w:t>
            </w:r>
          </w:p>
          <w:p w14:paraId="37F271FE" w14:textId="653AB38A" w:rsidR="00A75C0F" w:rsidRDefault="00A75C0F" w:rsidP="00AF5836">
            <w:pPr>
              <w:jc w:val="both"/>
              <w:rPr>
                <w:rFonts w:ascii="Arial" w:eastAsia="Times New Roman" w:hAnsi="Arial" w:cs="Arial"/>
                <w:sz w:val="20"/>
                <w:szCs w:val="20"/>
                <w:lang w:val="es-ES"/>
              </w:rPr>
            </w:pPr>
            <w:r w:rsidRPr="00192389">
              <w:rPr>
                <w:rFonts w:ascii="Arial" w:eastAsia="Times New Roman" w:hAnsi="Arial" w:cs="Arial"/>
                <w:sz w:val="20"/>
                <w:szCs w:val="20"/>
                <w:lang w:val="es-ES"/>
              </w:rPr>
              <w:t xml:space="preserve">La variable B se determina </w:t>
            </w:r>
            <w:r w:rsidR="00881C3C">
              <w:rPr>
                <w:rFonts w:ascii="Arial" w:eastAsia="Times New Roman" w:hAnsi="Arial" w:cs="Arial"/>
                <w:sz w:val="20"/>
                <w:szCs w:val="20"/>
                <w:lang w:val="es-ES"/>
              </w:rPr>
              <w:t>en base a</w:t>
            </w:r>
            <w:r w:rsidRPr="00192389">
              <w:rPr>
                <w:rFonts w:ascii="Arial" w:eastAsia="Times New Roman" w:hAnsi="Arial" w:cs="Arial"/>
                <w:sz w:val="20"/>
                <w:szCs w:val="20"/>
                <w:lang w:val="es-ES"/>
              </w:rPr>
              <w:t xml:space="preserve">l total de </w:t>
            </w:r>
            <w:r w:rsidRPr="008A26D2">
              <w:rPr>
                <w:rFonts w:ascii="Arial" w:eastAsia="Arial Narrow" w:hAnsi="Arial" w:cs="Arial"/>
                <w:sz w:val="20"/>
                <w:szCs w:val="20"/>
              </w:rPr>
              <w:t xml:space="preserve">servidores de las Autoridades Regionales Forestales y de Fauna Silvestre </w:t>
            </w:r>
            <w:r w:rsidRPr="00192389">
              <w:rPr>
                <w:rFonts w:ascii="Arial" w:eastAsia="Times New Roman" w:hAnsi="Arial" w:cs="Arial"/>
                <w:sz w:val="20"/>
                <w:szCs w:val="20"/>
                <w:lang w:val="es-ES"/>
              </w:rPr>
              <w:t>que asisten a las capacitaciones</w:t>
            </w:r>
            <w:r>
              <w:rPr>
                <w:rFonts w:ascii="Arial" w:eastAsia="Times New Roman" w:hAnsi="Arial" w:cs="Arial"/>
                <w:sz w:val="20"/>
                <w:szCs w:val="20"/>
                <w:lang w:val="es-ES"/>
              </w:rPr>
              <w:t xml:space="preserve"> en el año de medición. </w:t>
            </w:r>
          </w:p>
          <w:p w14:paraId="6B0BE294" w14:textId="77777777" w:rsidR="00A75C0F" w:rsidRPr="008A26D2" w:rsidRDefault="00A75C0F" w:rsidP="00AF5836">
            <w:pPr>
              <w:jc w:val="both"/>
              <w:rPr>
                <w:rFonts w:ascii="Arial" w:eastAsia="Times New Roman" w:hAnsi="Arial" w:cs="Arial"/>
                <w:sz w:val="20"/>
                <w:szCs w:val="20"/>
                <w:lang w:val="es-ES"/>
              </w:rPr>
            </w:pPr>
            <w:r w:rsidRPr="008A26D2">
              <w:rPr>
                <w:rFonts w:ascii="Arial" w:eastAsia="Times New Roman" w:hAnsi="Arial" w:cs="Arial"/>
                <w:sz w:val="20"/>
                <w:szCs w:val="20"/>
                <w:lang w:val="es-ES"/>
              </w:rPr>
              <w:t>El indicador se calculará a partir de los resultados de la aplicación de las encuestas o entrevistas donde se pueda registrar el grado de satisfacción de los servidores de las Autoridades Regionales Forestales y de Fauna Silvestre, identificando aquellos aspectos del servicio que se pueden mejorar y satisfacer al receptor.</w:t>
            </w:r>
          </w:p>
          <w:p w14:paraId="420048A4" w14:textId="77777777" w:rsidR="00A75C0F" w:rsidRPr="008A26D2" w:rsidRDefault="00A75C0F" w:rsidP="00AF5836">
            <w:pPr>
              <w:jc w:val="both"/>
              <w:rPr>
                <w:rFonts w:ascii="Arial" w:hAnsi="Arial" w:cs="Arial"/>
                <w:bCs/>
                <w:sz w:val="20"/>
                <w:szCs w:val="20"/>
              </w:rPr>
            </w:pPr>
            <w:r w:rsidRPr="008A26D2">
              <w:rPr>
                <w:rFonts w:ascii="Arial" w:hAnsi="Arial" w:cs="Arial"/>
                <w:bCs/>
                <w:sz w:val="20"/>
                <w:szCs w:val="20"/>
              </w:rPr>
              <w:t>Para evaluar el grado de satisfacción se considerará los alcances metodológicos señalados en el Protocolo de Capacitación y Asistencia Técnica del SERFOR.</w:t>
            </w:r>
          </w:p>
          <w:p w14:paraId="47B0DF9C" w14:textId="77777777" w:rsidR="00A75C0F" w:rsidRPr="008A26D2" w:rsidRDefault="00A75C0F" w:rsidP="00AF5836">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Se carece de línea base porque no se contaba con la metodología para la medición del estándar al ser un servicio nuevo. El SERFOR determinará la línea base antes del inicio de la implementación de la presente Política Nacional.</w:t>
            </w:r>
          </w:p>
          <w:p w14:paraId="677F3544" w14:textId="77777777" w:rsidR="00A75C0F" w:rsidRPr="008A26D2" w:rsidRDefault="00A75C0F" w:rsidP="00AF5836">
            <w:pPr>
              <w:spacing w:after="0" w:line="240" w:lineRule="auto"/>
              <w:jc w:val="both"/>
              <w:rPr>
                <w:rFonts w:ascii="Arial" w:hAnsi="Arial" w:cs="Arial"/>
                <w:sz w:val="20"/>
                <w:szCs w:val="20"/>
              </w:rPr>
            </w:pPr>
          </w:p>
          <w:p w14:paraId="162B6A7E" w14:textId="77777777" w:rsidR="00A75C0F" w:rsidRPr="008A26D2" w:rsidRDefault="00A75C0F" w:rsidP="00AF5836">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Las Autoridades Regionales Forestales y de Fauna Silvestre comprenden a las Administraciones Técnicas Forestales y de Fauna Silvestre y los gobiernos regionales con funciones transferidas en materia forestal y de fauna silvestre.</w:t>
            </w:r>
          </w:p>
          <w:p w14:paraId="1AA10FC2" w14:textId="77777777" w:rsidR="00A75C0F" w:rsidRPr="008A26D2" w:rsidRDefault="00A75C0F" w:rsidP="00AF5836">
            <w:pPr>
              <w:spacing w:after="0" w:line="240" w:lineRule="auto"/>
              <w:jc w:val="both"/>
              <w:rPr>
                <w:rFonts w:ascii="Arial" w:eastAsia="Arial Narrow" w:hAnsi="Arial" w:cs="Arial"/>
                <w:sz w:val="20"/>
                <w:szCs w:val="20"/>
              </w:rPr>
            </w:pPr>
          </w:p>
        </w:tc>
      </w:tr>
      <w:tr w:rsidR="00A75C0F" w:rsidRPr="008A26D2" w14:paraId="28973E0D" w14:textId="77777777" w:rsidTr="00881C3C">
        <w:trPr>
          <w:trHeight w:val="686"/>
        </w:trPr>
        <w:tc>
          <w:tcPr>
            <w:tcW w:w="2320" w:type="dxa"/>
            <w:gridSpan w:val="3"/>
            <w:shd w:val="clear" w:color="auto" w:fill="auto"/>
            <w:tcMar>
              <w:top w:w="10" w:type="dxa"/>
              <w:left w:w="93" w:type="dxa"/>
              <w:bottom w:w="0" w:type="dxa"/>
              <w:right w:w="10" w:type="dxa"/>
            </w:tcMar>
            <w:vAlign w:val="center"/>
          </w:tcPr>
          <w:p w14:paraId="31B8B10F"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lastRenderedPageBreak/>
              <w:t>Sentido esperado del indicador:</w:t>
            </w:r>
          </w:p>
        </w:tc>
        <w:tc>
          <w:tcPr>
            <w:tcW w:w="1791" w:type="dxa"/>
            <w:gridSpan w:val="2"/>
            <w:shd w:val="clear" w:color="auto" w:fill="auto"/>
            <w:tcMar>
              <w:top w:w="10" w:type="dxa"/>
              <w:left w:w="283" w:type="dxa"/>
              <w:bottom w:w="0" w:type="dxa"/>
              <w:right w:w="283" w:type="dxa"/>
            </w:tcMar>
            <w:vAlign w:val="center"/>
          </w:tcPr>
          <w:p w14:paraId="156D5B94" w14:textId="77777777" w:rsidR="00A75C0F" w:rsidRPr="008A26D2" w:rsidRDefault="00A75C0F" w:rsidP="00AF5836">
            <w:pPr>
              <w:tabs>
                <w:tab w:val="left" w:pos="3375"/>
              </w:tabs>
              <w:jc w:val="center"/>
              <w:rPr>
                <w:rFonts w:ascii="Arial" w:hAnsi="Arial" w:cs="Arial"/>
                <w:sz w:val="20"/>
                <w:szCs w:val="20"/>
              </w:rPr>
            </w:pPr>
            <w:r w:rsidRPr="008A26D2">
              <w:rPr>
                <w:rFonts w:ascii="Arial" w:eastAsia="Arial Narrow" w:hAnsi="Arial" w:cs="Arial"/>
                <w:sz w:val="20"/>
                <w:szCs w:val="20"/>
              </w:rPr>
              <w:t>Ascendente</w:t>
            </w:r>
          </w:p>
        </w:tc>
        <w:tc>
          <w:tcPr>
            <w:tcW w:w="3119" w:type="dxa"/>
            <w:gridSpan w:val="4"/>
            <w:shd w:val="clear" w:color="auto" w:fill="auto"/>
            <w:tcMar>
              <w:top w:w="15" w:type="dxa"/>
              <w:left w:w="15" w:type="dxa"/>
              <w:bottom w:w="0" w:type="dxa"/>
              <w:right w:w="15" w:type="dxa"/>
            </w:tcMar>
            <w:vAlign w:val="center"/>
          </w:tcPr>
          <w:p w14:paraId="1F5EE90D" w14:textId="77777777" w:rsidR="00A75C0F" w:rsidRPr="008A26D2" w:rsidRDefault="00A75C0F" w:rsidP="00AF5836">
            <w:pPr>
              <w:tabs>
                <w:tab w:val="left" w:pos="3375"/>
              </w:tabs>
              <w:jc w:val="center"/>
              <w:rPr>
                <w:rFonts w:ascii="Arial" w:hAnsi="Arial" w:cs="Arial"/>
                <w:sz w:val="20"/>
                <w:szCs w:val="20"/>
              </w:rPr>
            </w:pPr>
            <w:r w:rsidRPr="008A26D2">
              <w:rPr>
                <w:rFonts w:ascii="Arial" w:eastAsia="Arial Narrow" w:hAnsi="Arial" w:cs="Arial"/>
                <w:b/>
                <w:sz w:val="20"/>
                <w:szCs w:val="20"/>
              </w:rPr>
              <w:t>Tipo de Indicador de Servicio</w:t>
            </w:r>
          </w:p>
        </w:tc>
        <w:tc>
          <w:tcPr>
            <w:tcW w:w="1417" w:type="dxa"/>
            <w:gridSpan w:val="2"/>
            <w:shd w:val="clear" w:color="auto" w:fill="auto"/>
            <w:tcMar>
              <w:top w:w="15" w:type="dxa"/>
              <w:left w:w="15" w:type="dxa"/>
              <w:bottom w:w="0" w:type="dxa"/>
              <w:right w:w="15" w:type="dxa"/>
            </w:tcMar>
            <w:vAlign w:val="center"/>
          </w:tcPr>
          <w:p w14:paraId="171F589D" w14:textId="77777777" w:rsidR="00A75C0F" w:rsidRPr="008A26D2" w:rsidRDefault="00A75C0F" w:rsidP="00AF5836">
            <w:pPr>
              <w:tabs>
                <w:tab w:val="left" w:pos="3375"/>
              </w:tabs>
              <w:jc w:val="center"/>
              <w:rPr>
                <w:rFonts w:ascii="Arial" w:hAnsi="Arial" w:cs="Arial"/>
                <w:sz w:val="20"/>
                <w:szCs w:val="20"/>
              </w:rPr>
            </w:pPr>
            <w:r w:rsidRPr="008A26D2">
              <w:rPr>
                <w:rFonts w:ascii="Arial" w:eastAsia="Arial Narrow" w:hAnsi="Arial" w:cs="Arial"/>
                <w:sz w:val="20"/>
                <w:szCs w:val="20"/>
              </w:rPr>
              <w:t>Calidad - Percepción</w:t>
            </w:r>
          </w:p>
        </w:tc>
      </w:tr>
      <w:tr w:rsidR="00A75C0F" w:rsidRPr="008A26D2" w14:paraId="6FB8CF78" w14:textId="77777777" w:rsidTr="00AF5836">
        <w:trPr>
          <w:trHeight w:val="13"/>
        </w:trPr>
        <w:tc>
          <w:tcPr>
            <w:tcW w:w="2320" w:type="dxa"/>
            <w:gridSpan w:val="3"/>
            <w:shd w:val="clear" w:color="auto" w:fill="auto"/>
            <w:tcMar>
              <w:top w:w="10" w:type="dxa"/>
              <w:left w:w="93" w:type="dxa"/>
              <w:bottom w:w="0" w:type="dxa"/>
              <w:right w:w="10" w:type="dxa"/>
            </w:tcMar>
            <w:vAlign w:val="center"/>
          </w:tcPr>
          <w:p w14:paraId="4D344958"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Fuente y base de datos:</w:t>
            </w:r>
          </w:p>
        </w:tc>
        <w:tc>
          <w:tcPr>
            <w:tcW w:w="6327" w:type="dxa"/>
            <w:gridSpan w:val="8"/>
            <w:shd w:val="clear" w:color="auto" w:fill="auto"/>
            <w:tcMar>
              <w:top w:w="51" w:type="dxa"/>
              <w:left w:w="227" w:type="dxa"/>
              <w:bottom w:w="51" w:type="dxa"/>
              <w:right w:w="227" w:type="dxa"/>
            </w:tcMar>
            <w:vAlign w:val="center"/>
          </w:tcPr>
          <w:p w14:paraId="69EE9FE4" w14:textId="77777777" w:rsidR="00A75C0F" w:rsidRDefault="00A75C0F" w:rsidP="00AF5836">
            <w:pPr>
              <w:tabs>
                <w:tab w:val="left" w:pos="3375"/>
              </w:tabs>
              <w:jc w:val="both"/>
              <w:rPr>
                <w:rFonts w:ascii="Arial" w:eastAsia="Arial Narrow" w:hAnsi="Arial" w:cs="Arial"/>
                <w:sz w:val="20"/>
                <w:szCs w:val="20"/>
              </w:rPr>
            </w:pPr>
            <w:r w:rsidRPr="008A26D2">
              <w:rPr>
                <w:rFonts w:ascii="Arial" w:eastAsia="Arial Narrow" w:hAnsi="Arial" w:cs="Arial"/>
                <w:sz w:val="20"/>
                <w:szCs w:val="20"/>
              </w:rPr>
              <w:t xml:space="preserve">Fuente: Dirección de Fortalecimiento de Capacidades del </w:t>
            </w:r>
            <w:r>
              <w:rPr>
                <w:rFonts w:ascii="Arial" w:eastAsia="Arial Narrow" w:hAnsi="Arial" w:cs="Arial"/>
                <w:sz w:val="20"/>
                <w:szCs w:val="20"/>
              </w:rPr>
              <w:t xml:space="preserve">Servicio Nacional Forestal y de Fauna Silvestre – </w:t>
            </w:r>
            <w:r w:rsidRPr="008A26D2">
              <w:rPr>
                <w:rFonts w:ascii="Arial" w:eastAsia="Arial Narrow" w:hAnsi="Arial" w:cs="Arial"/>
                <w:sz w:val="20"/>
                <w:szCs w:val="20"/>
              </w:rPr>
              <w:t>SERFOR</w:t>
            </w:r>
            <w:r>
              <w:rPr>
                <w:rFonts w:ascii="Arial" w:eastAsia="Arial Narrow" w:hAnsi="Arial" w:cs="Arial"/>
                <w:sz w:val="20"/>
                <w:szCs w:val="20"/>
              </w:rPr>
              <w:t>.</w:t>
            </w:r>
          </w:p>
          <w:p w14:paraId="0278CF64" w14:textId="18069F29" w:rsidR="00A75C0F" w:rsidRPr="008A26D2" w:rsidRDefault="00A75C0F" w:rsidP="00AF5836">
            <w:pPr>
              <w:tabs>
                <w:tab w:val="left" w:pos="3375"/>
              </w:tabs>
              <w:jc w:val="both"/>
              <w:rPr>
                <w:rFonts w:ascii="Arial" w:hAnsi="Arial" w:cs="Arial"/>
                <w:sz w:val="20"/>
                <w:szCs w:val="20"/>
              </w:rPr>
            </w:pPr>
            <w:r w:rsidRPr="008A26D2">
              <w:rPr>
                <w:rFonts w:ascii="Arial" w:eastAsia="Arial Narrow" w:hAnsi="Arial" w:cs="Arial"/>
                <w:sz w:val="20"/>
                <w:szCs w:val="20"/>
              </w:rPr>
              <w:t>Base de datos: Reporte del SERFOR en materia de fortalecimiento de competencias en materia forestal y de fauna silvestre.</w:t>
            </w:r>
          </w:p>
        </w:tc>
      </w:tr>
      <w:tr w:rsidR="00A75C0F" w:rsidRPr="008A26D2" w14:paraId="3E511D7A" w14:textId="77777777" w:rsidTr="00AF5836">
        <w:trPr>
          <w:trHeight w:val="436"/>
        </w:trPr>
        <w:tc>
          <w:tcPr>
            <w:tcW w:w="2320" w:type="dxa"/>
            <w:gridSpan w:val="3"/>
            <w:shd w:val="clear" w:color="auto" w:fill="auto"/>
            <w:tcMar>
              <w:top w:w="10" w:type="dxa"/>
              <w:left w:w="93" w:type="dxa"/>
              <w:bottom w:w="0" w:type="dxa"/>
              <w:right w:w="10" w:type="dxa"/>
            </w:tcMar>
            <w:vAlign w:val="center"/>
          </w:tcPr>
          <w:p w14:paraId="1FFC2BE1"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Supuestos:</w:t>
            </w:r>
          </w:p>
        </w:tc>
        <w:tc>
          <w:tcPr>
            <w:tcW w:w="6327" w:type="dxa"/>
            <w:gridSpan w:val="8"/>
            <w:shd w:val="clear" w:color="auto" w:fill="auto"/>
            <w:tcMar>
              <w:top w:w="51" w:type="dxa"/>
              <w:left w:w="227" w:type="dxa"/>
              <w:bottom w:w="51" w:type="dxa"/>
              <w:right w:w="227" w:type="dxa"/>
            </w:tcMar>
            <w:vAlign w:val="center"/>
          </w:tcPr>
          <w:p w14:paraId="282C15E8" w14:textId="77777777" w:rsidR="00A75C0F" w:rsidRPr="008A26D2" w:rsidRDefault="00A75C0F" w:rsidP="00AF5836">
            <w:pPr>
              <w:tabs>
                <w:tab w:val="left" w:pos="3375"/>
              </w:tabs>
              <w:jc w:val="both"/>
              <w:rPr>
                <w:rFonts w:ascii="Arial" w:hAnsi="Arial" w:cs="Arial"/>
                <w:sz w:val="20"/>
                <w:szCs w:val="20"/>
              </w:rPr>
            </w:pPr>
            <w:r w:rsidRPr="008A26D2">
              <w:rPr>
                <w:rFonts w:ascii="Arial" w:eastAsia="Arial Narrow" w:hAnsi="Arial" w:cs="Arial"/>
                <w:sz w:val="20"/>
                <w:szCs w:val="20"/>
              </w:rPr>
              <w:t>Existe disposición de los profesionales de las Autoridades Regionales Forestales y de Fauna Silvestre para recibir asistencia técnica o asistir a los programas para el fortalecimiento de capacidades en materia forestal y de fauna silvestre.</w:t>
            </w:r>
          </w:p>
        </w:tc>
      </w:tr>
      <w:tr w:rsidR="00A75C0F" w:rsidRPr="008A26D2" w14:paraId="6C549353" w14:textId="77777777" w:rsidTr="00AF5836">
        <w:trPr>
          <w:trHeight w:val="556"/>
        </w:trPr>
        <w:tc>
          <w:tcPr>
            <w:tcW w:w="1276" w:type="dxa"/>
            <w:shd w:val="clear" w:color="auto" w:fill="auto"/>
            <w:tcMar>
              <w:top w:w="10" w:type="dxa"/>
              <w:left w:w="10" w:type="dxa"/>
              <w:bottom w:w="0" w:type="dxa"/>
              <w:right w:w="10" w:type="dxa"/>
            </w:tcMar>
            <w:vAlign w:val="center"/>
          </w:tcPr>
          <w:p w14:paraId="48E4B400"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 </w:t>
            </w:r>
          </w:p>
        </w:tc>
        <w:tc>
          <w:tcPr>
            <w:tcW w:w="1034" w:type="dxa"/>
            <w:shd w:val="clear" w:color="auto" w:fill="auto"/>
            <w:tcMar>
              <w:top w:w="10" w:type="dxa"/>
              <w:left w:w="10" w:type="dxa"/>
              <w:bottom w:w="0" w:type="dxa"/>
              <w:right w:w="10" w:type="dxa"/>
            </w:tcMar>
            <w:vAlign w:val="center"/>
          </w:tcPr>
          <w:p w14:paraId="08DA464F"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b/>
                <w:sz w:val="20"/>
                <w:szCs w:val="20"/>
              </w:rPr>
              <w:t>Línea de base</w:t>
            </w:r>
          </w:p>
        </w:tc>
        <w:tc>
          <w:tcPr>
            <w:tcW w:w="6337" w:type="dxa"/>
            <w:gridSpan w:val="9"/>
            <w:shd w:val="clear" w:color="auto" w:fill="auto"/>
            <w:tcMar>
              <w:top w:w="10" w:type="dxa"/>
              <w:left w:w="10" w:type="dxa"/>
              <w:bottom w:w="0" w:type="dxa"/>
              <w:right w:w="10" w:type="dxa"/>
            </w:tcMar>
            <w:vAlign w:val="center"/>
          </w:tcPr>
          <w:p w14:paraId="38C8042A"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b/>
                <w:sz w:val="20"/>
                <w:szCs w:val="20"/>
              </w:rPr>
              <w:t>Logros esperados</w:t>
            </w:r>
          </w:p>
        </w:tc>
      </w:tr>
      <w:tr w:rsidR="00A75C0F" w:rsidRPr="008A26D2" w14:paraId="4E067D95" w14:textId="77777777" w:rsidTr="00881C3C">
        <w:trPr>
          <w:trHeight w:val="217"/>
        </w:trPr>
        <w:tc>
          <w:tcPr>
            <w:tcW w:w="1276" w:type="dxa"/>
            <w:shd w:val="clear" w:color="auto" w:fill="auto"/>
            <w:tcMar>
              <w:top w:w="10" w:type="dxa"/>
              <w:left w:w="10" w:type="dxa"/>
              <w:bottom w:w="0" w:type="dxa"/>
              <w:right w:w="10" w:type="dxa"/>
            </w:tcMar>
            <w:vAlign w:val="center"/>
          </w:tcPr>
          <w:p w14:paraId="03A4CFB7"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b/>
                <w:sz w:val="20"/>
                <w:szCs w:val="20"/>
              </w:rPr>
              <w:t>Año</w:t>
            </w:r>
          </w:p>
        </w:tc>
        <w:tc>
          <w:tcPr>
            <w:tcW w:w="1034" w:type="dxa"/>
            <w:shd w:val="clear" w:color="auto" w:fill="auto"/>
            <w:tcMar>
              <w:top w:w="10" w:type="dxa"/>
              <w:left w:w="10" w:type="dxa"/>
              <w:bottom w:w="0" w:type="dxa"/>
              <w:right w:w="10" w:type="dxa"/>
            </w:tcMar>
            <w:vAlign w:val="center"/>
          </w:tcPr>
          <w:p w14:paraId="64C15CFF"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2021</w:t>
            </w:r>
          </w:p>
        </w:tc>
        <w:tc>
          <w:tcPr>
            <w:tcW w:w="951" w:type="dxa"/>
            <w:gridSpan w:val="2"/>
            <w:shd w:val="clear" w:color="auto" w:fill="auto"/>
            <w:tcMar>
              <w:top w:w="10" w:type="dxa"/>
              <w:left w:w="10" w:type="dxa"/>
              <w:bottom w:w="0" w:type="dxa"/>
              <w:right w:w="10" w:type="dxa"/>
            </w:tcMar>
            <w:vAlign w:val="center"/>
          </w:tcPr>
          <w:p w14:paraId="69198158"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2023</w:t>
            </w:r>
          </w:p>
        </w:tc>
        <w:tc>
          <w:tcPr>
            <w:tcW w:w="850" w:type="dxa"/>
            <w:shd w:val="clear" w:color="auto" w:fill="auto"/>
            <w:vAlign w:val="center"/>
          </w:tcPr>
          <w:p w14:paraId="1283FD97"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2024</w:t>
            </w:r>
          </w:p>
        </w:tc>
        <w:tc>
          <w:tcPr>
            <w:tcW w:w="851" w:type="dxa"/>
            <w:shd w:val="clear" w:color="auto" w:fill="auto"/>
            <w:vAlign w:val="center"/>
          </w:tcPr>
          <w:p w14:paraId="6CA43D8E"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2025</w:t>
            </w:r>
          </w:p>
        </w:tc>
        <w:tc>
          <w:tcPr>
            <w:tcW w:w="850" w:type="dxa"/>
            <w:shd w:val="clear" w:color="auto" w:fill="auto"/>
            <w:vAlign w:val="center"/>
          </w:tcPr>
          <w:p w14:paraId="73DA5729"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2026</w:t>
            </w:r>
          </w:p>
        </w:tc>
        <w:tc>
          <w:tcPr>
            <w:tcW w:w="709" w:type="dxa"/>
            <w:shd w:val="clear" w:color="auto" w:fill="auto"/>
            <w:vAlign w:val="center"/>
          </w:tcPr>
          <w:p w14:paraId="1A4EB35D"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2027</w:t>
            </w:r>
          </w:p>
        </w:tc>
        <w:tc>
          <w:tcPr>
            <w:tcW w:w="709" w:type="dxa"/>
            <w:shd w:val="clear" w:color="auto" w:fill="auto"/>
            <w:vAlign w:val="center"/>
          </w:tcPr>
          <w:p w14:paraId="5843A6D0"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2028</w:t>
            </w:r>
          </w:p>
        </w:tc>
        <w:tc>
          <w:tcPr>
            <w:tcW w:w="708" w:type="dxa"/>
            <w:shd w:val="clear" w:color="auto" w:fill="auto"/>
            <w:vAlign w:val="center"/>
          </w:tcPr>
          <w:p w14:paraId="366363F6"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2029</w:t>
            </w:r>
          </w:p>
        </w:tc>
        <w:tc>
          <w:tcPr>
            <w:tcW w:w="709" w:type="dxa"/>
            <w:shd w:val="clear" w:color="auto" w:fill="auto"/>
            <w:tcMar>
              <w:top w:w="10" w:type="dxa"/>
              <w:left w:w="10" w:type="dxa"/>
              <w:bottom w:w="0" w:type="dxa"/>
              <w:right w:w="10" w:type="dxa"/>
            </w:tcMar>
            <w:vAlign w:val="center"/>
          </w:tcPr>
          <w:p w14:paraId="1DFEAB83"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2030</w:t>
            </w:r>
          </w:p>
        </w:tc>
      </w:tr>
      <w:tr w:rsidR="00A75C0F" w:rsidRPr="008A26D2" w14:paraId="38EBDFCA" w14:textId="77777777" w:rsidTr="00881C3C">
        <w:trPr>
          <w:trHeight w:val="294"/>
        </w:trPr>
        <w:tc>
          <w:tcPr>
            <w:tcW w:w="1276" w:type="dxa"/>
            <w:shd w:val="clear" w:color="auto" w:fill="auto"/>
            <w:tcMar>
              <w:top w:w="10" w:type="dxa"/>
              <w:left w:w="10" w:type="dxa"/>
              <w:bottom w:w="0" w:type="dxa"/>
              <w:right w:w="10" w:type="dxa"/>
            </w:tcMar>
            <w:vAlign w:val="center"/>
          </w:tcPr>
          <w:p w14:paraId="6A0C916C"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Valor</w:t>
            </w:r>
          </w:p>
        </w:tc>
        <w:tc>
          <w:tcPr>
            <w:tcW w:w="1034" w:type="dxa"/>
            <w:shd w:val="clear" w:color="auto" w:fill="auto"/>
            <w:tcMar>
              <w:top w:w="10" w:type="dxa"/>
              <w:left w:w="10" w:type="dxa"/>
              <w:bottom w:w="0" w:type="dxa"/>
              <w:right w:w="10" w:type="dxa"/>
            </w:tcMar>
            <w:vAlign w:val="center"/>
          </w:tcPr>
          <w:p w14:paraId="7F33C355"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sz w:val="20"/>
                <w:szCs w:val="20"/>
              </w:rPr>
              <w:t>ND</w:t>
            </w:r>
          </w:p>
        </w:tc>
        <w:tc>
          <w:tcPr>
            <w:tcW w:w="951" w:type="dxa"/>
            <w:gridSpan w:val="2"/>
            <w:shd w:val="clear" w:color="auto" w:fill="auto"/>
            <w:tcMar>
              <w:top w:w="10" w:type="dxa"/>
              <w:left w:w="10" w:type="dxa"/>
              <w:bottom w:w="0" w:type="dxa"/>
              <w:right w:w="10" w:type="dxa"/>
            </w:tcMar>
            <w:vAlign w:val="bottom"/>
          </w:tcPr>
          <w:p w14:paraId="7FD991AE"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sz w:val="20"/>
                <w:szCs w:val="20"/>
              </w:rPr>
              <w:t>60%</w:t>
            </w:r>
          </w:p>
        </w:tc>
        <w:tc>
          <w:tcPr>
            <w:tcW w:w="850" w:type="dxa"/>
            <w:shd w:val="clear" w:color="auto" w:fill="auto"/>
            <w:vAlign w:val="bottom"/>
          </w:tcPr>
          <w:p w14:paraId="58B6BF83"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70%</w:t>
            </w:r>
          </w:p>
        </w:tc>
        <w:tc>
          <w:tcPr>
            <w:tcW w:w="851" w:type="dxa"/>
            <w:shd w:val="clear" w:color="auto" w:fill="auto"/>
            <w:vAlign w:val="bottom"/>
          </w:tcPr>
          <w:p w14:paraId="75DDF5CE"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70%</w:t>
            </w:r>
          </w:p>
        </w:tc>
        <w:tc>
          <w:tcPr>
            <w:tcW w:w="850" w:type="dxa"/>
            <w:shd w:val="clear" w:color="auto" w:fill="auto"/>
            <w:vAlign w:val="bottom"/>
          </w:tcPr>
          <w:p w14:paraId="5F2BCB48"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80%</w:t>
            </w:r>
          </w:p>
        </w:tc>
        <w:tc>
          <w:tcPr>
            <w:tcW w:w="709" w:type="dxa"/>
            <w:shd w:val="clear" w:color="auto" w:fill="auto"/>
            <w:vAlign w:val="bottom"/>
          </w:tcPr>
          <w:p w14:paraId="2E227547"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85%</w:t>
            </w:r>
          </w:p>
        </w:tc>
        <w:tc>
          <w:tcPr>
            <w:tcW w:w="709" w:type="dxa"/>
            <w:shd w:val="clear" w:color="auto" w:fill="auto"/>
          </w:tcPr>
          <w:p w14:paraId="7AFA02C0"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85%</w:t>
            </w:r>
          </w:p>
        </w:tc>
        <w:tc>
          <w:tcPr>
            <w:tcW w:w="708" w:type="dxa"/>
            <w:shd w:val="clear" w:color="auto" w:fill="auto"/>
          </w:tcPr>
          <w:p w14:paraId="64487769"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85%</w:t>
            </w:r>
          </w:p>
        </w:tc>
        <w:tc>
          <w:tcPr>
            <w:tcW w:w="709" w:type="dxa"/>
            <w:shd w:val="clear" w:color="auto" w:fill="auto"/>
            <w:tcMar>
              <w:top w:w="10" w:type="dxa"/>
              <w:left w:w="10" w:type="dxa"/>
              <w:bottom w:w="0" w:type="dxa"/>
              <w:right w:w="10" w:type="dxa"/>
            </w:tcMar>
          </w:tcPr>
          <w:p w14:paraId="4B19D421"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85%</w:t>
            </w:r>
          </w:p>
        </w:tc>
      </w:tr>
    </w:tbl>
    <w:p w14:paraId="4BF50E24" w14:textId="77777777" w:rsidR="00A75C0F" w:rsidRPr="008A26D2" w:rsidRDefault="00A75C0F" w:rsidP="00A75C0F"/>
    <w:p w14:paraId="132C590B" w14:textId="77777777" w:rsidR="00A75C0F" w:rsidRPr="008A26D2" w:rsidRDefault="00A75C0F" w:rsidP="00A75C0F"/>
    <w:tbl>
      <w:tblPr>
        <w:tblW w:w="8494" w:type="dxa"/>
        <w:jc w:val="center"/>
        <w:tblCellMar>
          <w:left w:w="70" w:type="dxa"/>
          <w:right w:w="70" w:type="dxa"/>
        </w:tblCellMar>
        <w:tblLook w:val="04A0" w:firstRow="1" w:lastRow="0" w:firstColumn="1" w:lastColumn="0" w:noHBand="0" w:noVBand="1"/>
      </w:tblPr>
      <w:tblGrid>
        <w:gridCol w:w="739"/>
        <w:gridCol w:w="1271"/>
        <w:gridCol w:w="1040"/>
        <w:gridCol w:w="893"/>
        <w:gridCol w:w="708"/>
        <w:gridCol w:w="263"/>
        <w:gridCol w:w="479"/>
        <w:gridCol w:w="866"/>
        <w:gridCol w:w="140"/>
        <w:gridCol w:w="542"/>
        <w:gridCol w:w="688"/>
        <w:gridCol w:w="865"/>
      </w:tblGrid>
      <w:tr w:rsidR="00A75C0F" w:rsidRPr="008A26D2" w14:paraId="41CA785F" w14:textId="77777777" w:rsidTr="00AF5836">
        <w:trPr>
          <w:trHeight w:val="565"/>
          <w:jc w:val="center"/>
        </w:trPr>
        <w:tc>
          <w:tcPr>
            <w:tcW w:w="8494" w:type="dxa"/>
            <w:gridSpan w:val="1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760A5EF" w14:textId="77777777" w:rsidR="00A75C0F" w:rsidRPr="008A26D2" w:rsidRDefault="00A75C0F" w:rsidP="00AF5836">
            <w:pPr>
              <w:spacing w:after="0" w:line="240" w:lineRule="auto"/>
              <w:jc w:val="center"/>
              <w:rPr>
                <w:rFonts w:ascii="Arial" w:eastAsia="Times New Roman" w:hAnsi="Arial" w:cs="Arial"/>
                <w:b/>
                <w:bCs/>
                <w:sz w:val="20"/>
                <w:szCs w:val="20"/>
              </w:rPr>
            </w:pPr>
            <w:r w:rsidRPr="008A26D2">
              <w:rPr>
                <w:rFonts w:ascii="Arial" w:eastAsia="Times New Roman" w:hAnsi="Arial" w:cs="Arial"/>
                <w:b/>
                <w:bCs/>
                <w:sz w:val="20"/>
                <w:szCs w:val="20"/>
              </w:rPr>
              <w:t>FICHA TÉCNICA DE INDICADOR DE SERVICIO 3.4.2</w:t>
            </w:r>
          </w:p>
        </w:tc>
      </w:tr>
      <w:tr w:rsidR="00A75C0F" w:rsidRPr="008A26D2" w14:paraId="1C75866C" w14:textId="77777777" w:rsidTr="00AF5836">
        <w:trPr>
          <w:trHeight w:val="544"/>
          <w:jc w:val="center"/>
        </w:trPr>
        <w:tc>
          <w:tcPr>
            <w:tcW w:w="20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F78B758" w14:textId="77777777" w:rsidR="00A75C0F" w:rsidRPr="008A26D2" w:rsidRDefault="00A75C0F" w:rsidP="00AF5836">
            <w:pPr>
              <w:tabs>
                <w:tab w:val="left" w:pos="3375"/>
              </w:tabs>
              <w:jc w:val="both"/>
              <w:rPr>
                <w:rFonts w:ascii="Arial" w:eastAsia="Arial Narrow" w:hAnsi="Arial" w:cs="Arial"/>
                <w:b/>
                <w:sz w:val="20"/>
                <w:szCs w:val="20"/>
              </w:rPr>
            </w:pPr>
            <w:r w:rsidRPr="008A26D2">
              <w:rPr>
                <w:rFonts w:ascii="Arial" w:eastAsia="Arial Narrow" w:hAnsi="Arial" w:cs="Arial"/>
                <w:b/>
                <w:sz w:val="20"/>
                <w:szCs w:val="20"/>
              </w:rPr>
              <w:t>Objetivo prioritario:</w:t>
            </w:r>
          </w:p>
        </w:tc>
        <w:tc>
          <w:tcPr>
            <w:tcW w:w="6484"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14:paraId="251E74DA" w14:textId="77777777" w:rsidR="00A75C0F" w:rsidRPr="008A26D2" w:rsidRDefault="00A75C0F" w:rsidP="00AF5836">
            <w:pPr>
              <w:tabs>
                <w:tab w:val="left" w:pos="3375"/>
              </w:tabs>
              <w:jc w:val="both"/>
              <w:rPr>
                <w:rFonts w:ascii="Arial" w:eastAsia="Arial Narrow" w:hAnsi="Arial" w:cs="Arial"/>
                <w:sz w:val="20"/>
                <w:szCs w:val="20"/>
              </w:rPr>
            </w:pPr>
            <w:r w:rsidRPr="008A26D2">
              <w:rPr>
                <w:rFonts w:ascii="Arial" w:eastAsia="Arial Narrow" w:hAnsi="Arial" w:cs="Arial"/>
                <w:sz w:val="20"/>
                <w:szCs w:val="20"/>
              </w:rPr>
              <w:t>OP3. Fortalecer la gobernanza forestal y de fauna silvestre</w:t>
            </w:r>
          </w:p>
        </w:tc>
      </w:tr>
      <w:tr w:rsidR="00A75C0F" w:rsidRPr="008A26D2" w14:paraId="1B3AD31A" w14:textId="77777777" w:rsidTr="00AF5836">
        <w:trPr>
          <w:trHeight w:val="707"/>
          <w:jc w:val="center"/>
        </w:trPr>
        <w:tc>
          <w:tcPr>
            <w:tcW w:w="20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B28BB0" w14:textId="77777777" w:rsidR="00A75C0F" w:rsidRPr="008A26D2" w:rsidRDefault="00A75C0F" w:rsidP="00AF5836">
            <w:pPr>
              <w:tabs>
                <w:tab w:val="left" w:pos="3375"/>
              </w:tabs>
              <w:jc w:val="both"/>
              <w:rPr>
                <w:rFonts w:ascii="Arial" w:eastAsia="Arial Narrow" w:hAnsi="Arial" w:cs="Arial"/>
                <w:b/>
                <w:sz w:val="20"/>
                <w:szCs w:val="20"/>
              </w:rPr>
            </w:pPr>
            <w:r w:rsidRPr="008A26D2">
              <w:rPr>
                <w:rFonts w:ascii="Arial" w:eastAsia="Arial Narrow" w:hAnsi="Arial" w:cs="Arial"/>
                <w:b/>
                <w:sz w:val="20"/>
                <w:szCs w:val="20"/>
              </w:rPr>
              <w:t>Lineamiento de la política:</w:t>
            </w:r>
          </w:p>
        </w:tc>
        <w:tc>
          <w:tcPr>
            <w:tcW w:w="6484"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14:paraId="53A5D074" w14:textId="77777777" w:rsidR="00A75C0F" w:rsidRPr="008A26D2" w:rsidRDefault="00A75C0F" w:rsidP="00AF5836">
            <w:pPr>
              <w:tabs>
                <w:tab w:val="left" w:pos="3375"/>
              </w:tabs>
              <w:jc w:val="both"/>
              <w:rPr>
                <w:rFonts w:ascii="Arial" w:eastAsia="Arial Narrow" w:hAnsi="Arial" w:cs="Arial"/>
                <w:sz w:val="20"/>
                <w:szCs w:val="20"/>
              </w:rPr>
            </w:pPr>
            <w:r w:rsidRPr="008A26D2">
              <w:rPr>
                <w:rFonts w:ascii="Arial" w:eastAsia="Arial Narrow" w:hAnsi="Arial" w:cs="Arial"/>
                <w:sz w:val="20"/>
                <w:szCs w:val="20"/>
              </w:rPr>
              <w:t>L.3.4.  Desarrollar programas orientados a consolidar la institucionalidad y la articulación en los tres niveles de gobierno en el ámbito forestal y de fauna silvestre</w:t>
            </w:r>
          </w:p>
        </w:tc>
      </w:tr>
      <w:tr w:rsidR="00A75C0F" w:rsidRPr="008A26D2" w14:paraId="6AE212C3" w14:textId="77777777" w:rsidTr="00AF5836">
        <w:trPr>
          <w:trHeight w:val="405"/>
          <w:jc w:val="center"/>
        </w:trPr>
        <w:tc>
          <w:tcPr>
            <w:tcW w:w="20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C14192" w14:textId="77777777" w:rsidR="00A75C0F" w:rsidRPr="008A26D2" w:rsidRDefault="00A75C0F" w:rsidP="00AF5836">
            <w:pPr>
              <w:tabs>
                <w:tab w:val="left" w:pos="3375"/>
              </w:tabs>
              <w:jc w:val="both"/>
              <w:rPr>
                <w:rFonts w:ascii="Arial" w:eastAsia="Arial Narrow" w:hAnsi="Arial" w:cs="Arial"/>
                <w:b/>
                <w:sz w:val="20"/>
                <w:szCs w:val="20"/>
              </w:rPr>
            </w:pPr>
            <w:r w:rsidRPr="008A26D2">
              <w:rPr>
                <w:rFonts w:ascii="Arial" w:eastAsia="Arial Narrow" w:hAnsi="Arial" w:cs="Arial"/>
                <w:b/>
                <w:sz w:val="20"/>
                <w:szCs w:val="20"/>
              </w:rPr>
              <w:t>Nombre del servicio:</w:t>
            </w:r>
          </w:p>
        </w:tc>
        <w:tc>
          <w:tcPr>
            <w:tcW w:w="6484"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14:paraId="22FD4F90" w14:textId="77777777" w:rsidR="00A75C0F" w:rsidRPr="008A26D2" w:rsidRDefault="00A75C0F" w:rsidP="00AF5836">
            <w:pPr>
              <w:tabs>
                <w:tab w:val="left" w:pos="3375"/>
              </w:tabs>
              <w:jc w:val="both"/>
              <w:rPr>
                <w:rFonts w:ascii="Arial" w:eastAsia="Arial Narrow" w:hAnsi="Arial" w:cs="Arial"/>
                <w:sz w:val="20"/>
                <w:szCs w:val="20"/>
              </w:rPr>
            </w:pPr>
            <w:r w:rsidRPr="008A26D2">
              <w:rPr>
                <w:rFonts w:ascii="Arial" w:eastAsia="Arial Narrow" w:hAnsi="Arial" w:cs="Arial"/>
                <w:sz w:val="20"/>
                <w:szCs w:val="20"/>
              </w:rPr>
              <w:t>S.3.4.2.  Asistencia técnica en gobernanza forestal y de fauna silvestre con pertinencia cultural para pueblos indígenas u originarios</w:t>
            </w:r>
          </w:p>
        </w:tc>
      </w:tr>
      <w:tr w:rsidR="00A75C0F" w:rsidRPr="008A26D2" w14:paraId="446CF23F" w14:textId="77777777" w:rsidTr="00AF5836">
        <w:trPr>
          <w:trHeight w:val="425"/>
          <w:jc w:val="center"/>
        </w:trPr>
        <w:tc>
          <w:tcPr>
            <w:tcW w:w="20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DF6BFAB" w14:textId="77777777" w:rsidR="00A75C0F" w:rsidRPr="008A26D2" w:rsidRDefault="00A75C0F" w:rsidP="00AF5836">
            <w:pPr>
              <w:tabs>
                <w:tab w:val="left" w:pos="3375"/>
              </w:tabs>
              <w:jc w:val="both"/>
              <w:rPr>
                <w:rFonts w:ascii="Arial" w:eastAsia="Arial Narrow" w:hAnsi="Arial" w:cs="Arial"/>
                <w:b/>
                <w:sz w:val="20"/>
                <w:szCs w:val="20"/>
              </w:rPr>
            </w:pPr>
            <w:r w:rsidRPr="008A26D2">
              <w:rPr>
                <w:rFonts w:ascii="Arial" w:eastAsia="Arial Narrow" w:hAnsi="Arial" w:cs="Arial"/>
                <w:b/>
                <w:sz w:val="20"/>
                <w:szCs w:val="20"/>
              </w:rPr>
              <w:t>Nombre del indicador:</w:t>
            </w:r>
          </w:p>
        </w:tc>
        <w:tc>
          <w:tcPr>
            <w:tcW w:w="6484"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14:paraId="7E23F4A2" w14:textId="77777777" w:rsidR="00A75C0F" w:rsidRPr="008A26D2" w:rsidRDefault="00A75C0F" w:rsidP="00AF5836">
            <w:pPr>
              <w:tabs>
                <w:tab w:val="left" w:pos="3375"/>
              </w:tabs>
              <w:jc w:val="both"/>
              <w:rPr>
                <w:rFonts w:ascii="Arial" w:eastAsia="Arial Narrow" w:hAnsi="Arial" w:cs="Arial"/>
                <w:sz w:val="20"/>
                <w:szCs w:val="20"/>
              </w:rPr>
            </w:pPr>
            <w:r w:rsidRPr="008A26D2">
              <w:rPr>
                <w:rFonts w:ascii="Arial" w:eastAsia="Arial Narrow" w:hAnsi="Arial" w:cs="Arial"/>
                <w:sz w:val="20"/>
                <w:szCs w:val="20"/>
              </w:rPr>
              <w:t>Porcentaje de pueblos indígenas u originarios que reciben asistencia técnica en gobernanza forestal y de fauna silvestre con pertinencia cultural.</w:t>
            </w:r>
          </w:p>
        </w:tc>
      </w:tr>
      <w:tr w:rsidR="00A75C0F" w:rsidRPr="008A26D2" w14:paraId="535F403B" w14:textId="77777777" w:rsidTr="00AF5836">
        <w:trPr>
          <w:trHeight w:val="524"/>
          <w:jc w:val="center"/>
        </w:trPr>
        <w:tc>
          <w:tcPr>
            <w:tcW w:w="20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2963D6B" w14:textId="77777777" w:rsidR="00A75C0F" w:rsidRPr="008A26D2" w:rsidRDefault="00A75C0F" w:rsidP="00AF5836">
            <w:pPr>
              <w:tabs>
                <w:tab w:val="left" w:pos="3375"/>
              </w:tabs>
              <w:jc w:val="both"/>
              <w:rPr>
                <w:rFonts w:ascii="Arial" w:eastAsia="Arial Narrow" w:hAnsi="Arial" w:cs="Arial"/>
                <w:b/>
                <w:sz w:val="20"/>
                <w:szCs w:val="20"/>
              </w:rPr>
            </w:pPr>
            <w:r w:rsidRPr="008A26D2">
              <w:rPr>
                <w:rFonts w:ascii="Arial" w:eastAsia="Arial Narrow" w:hAnsi="Arial" w:cs="Arial"/>
                <w:b/>
                <w:sz w:val="20"/>
                <w:szCs w:val="20"/>
              </w:rPr>
              <w:t>Justificación:</w:t>
            </w:r>
          </w:p>
        </w:tc>
        <w:tc>
          <w:tcPr>
            <w:tcW w:w="6484"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14:paraId="78BF063D" w14:textId="77777777" w:rsidR="00A75C0F" w:rsidRPr="008A26D2" w:rsidRDefault="00A75C0F" w:rsidP="00AF5836">
            <w:pPr>
              <w:tabs>
                <w:tab w:val="left" w:pos="3375"/>
              </w:tabs>
              <w:jc w:val="both"/>
              <w:rPr>
                <w:rFonts w:ascii="Arial" w:eastAsia="Arial Narrow" w:hAnsi="Arial" w:cs="Arial"/>
                <w:sz w:val="20"/>
                <w:szCs w:val="20"/>
              </w:rPr>
            </w:pPr>
            <w:r w:rsidRPr="008A26D2">
              <w:rPr>
                <w:rFonts w:ascii="Arial" w:eastAsia="Arial Narrow" w:hAnsi="Arial" w:cs="Arial"/>
                <w:sz w:val="20"/>
                <w:szCs w:val="20"/>
              </w:rPr>
              <w:t>El indicador permite medir el porcentaje de pueblos indígenas u originarios que han recibido asistencias técnicas en gobernanza forestal y de fauna silvestre con enfoque cultural. De esta forma el indicador facilitara el seguimiento para establecer acciones de mejora correspondientes.</w:t>
            </w:r>
          </w:p>
        </w:tc>
      </w:tr>
      <w:tr w:rsidR="00A75C0F" w:rsidRPr="008A26D2" w14:paraId="7E2C183C" w14:textId="77777777" w:rsidTr="00AF5836">
        <w:trPr>
          <w:trHeight w:val="546"/>
          <w:jc w:val="center"/>
        </w:trPr>
        <w:tc>
          <w:tcPr>
            <w:tcW w:w="20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82FEAD5" w14:textId="77777777" w:rsidR="00A75C0F" w:rsidRPr="008A26D2" w:rsidRDefault="00A75C0F" w:rsidP="00AF5836">
            <w:pPr>
              <w:tabs>
                <w:tab w:val="left" w:pos="3375"/>
              </w:tabs>
              <w:jc w:val="both"/>
              <w:rPr>
                <w:rFonts w:ascii="Arial" w:eastAsia="Arial Narrow" w:hAnsi="Arial" w:cs="Arial"/>
                <w:b/>
                <w:sz w:val="20"/>
                <w:szCs w:val="20"/>
              </w:rPr>
            </w:pPr>
            <w:r w:rsidRPr="008A26D2">
              <w:rPr>
                <w:rFonts w:ascii="Arial" w:eastAsia="Arial Narrow" w:hAnsi="Arial" w:cs="Arial"/>
                <w:b/>
                <w:sz w:val="20"/>
                <w:szCs w:val="20"/>
              </w:rPr>
              <w:t>Responsable del indicador:</w:t>
            </w:r>
          </w:p>
        </w:tc>
        <w:tc>
          <w:tcPr>
            <w:tcW w:w="6484"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14:paraId="3150A73A" w14:textId="77777777" w:rsidR="00A75C0F" w:rsidRPr="008A26D2" w:rsidRDefault="00A75C0F" w:rsidP="00AF5836">
            <w:pPr>
              <w:tabs>
                <w:tab w:val="left" w:pos="3375"/>
              </w:tabs>
              <w:jc w:val="both"/>
              <w:rPr>
                <w:rFonts w:ascii="Arial" w:eastAsia="Arial Narrow" w:hAnsi="Arial" w:cs="Arial"/>
                <w:sz w:val="20"/>
                <w:szCs w:val="20"/>
              </w:rPr>
            </w:pPr>
            <w:r w:rsidRPr="008A26D2">
              <w:rPr>
                <w:rFonts w:ascii="Arial" w:eastAsia="Arial Narrow" w:hAnsi="Arial" w:cs="Arial"/>
                <w:sz w:val="20"/>
                <w:szCs w:val="20"/>
              </w:rPr>
              <w:t>Unidad Funcional de Manejo Forestal Comunitario de la Dirección Ejecutiva del Servicio Nacional Forestal y de Fauna Silvestre – SERFOR</w:t>
            </w:r>
          </w:p>
        </w:tc>
      </w:tr>
      <w:tr w:rsidR="00A75C0F" w:rsidRPr="008A26D2" w14:paraId="182D00AD" w14:textId="77777777" w:rsidTr="00AF5836">
        <w:trPr>
          <w:trHeight w:val="579"/>
          <w:jc w:val="center"/>
        </w:trPr>
        <w:tc>
          <w:tcPr>
            <w:tcW w:w="20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CAAB087" w14:textId="77777777" w:rsidR="00A75C0F" w:rsidRPr="008A26D2" w:rsidRDefault="00A75C0F" w:rsidP="00AF5836">
            <w:pPr>
              <w:tabs>
                <w:tab w:val="left" w:pos="3375"/>
              </w:tabs>
              <w:jc w:val="both"/>
              <w:rPr>
                <w:rFonts w:ascii="Arial" w:eastAsia="Arial Narrow" w:hAnsi="Arial" w:cs="Arial"/>
                <w:b/>
                <w:sz w:val="20"/>
                <w:szCs w:val="20"/>
              </w:rPr>
            </w:pPr>
            <w:r w:rsidRPr="008A26D2">
              <w:rPr>
                <w:rFonts w:ascii="Arial" w:eastAsia="Arial Narrow" w:hAnsi="Arial" w:cs="Arial"/>
                <w:b/>
                <w:sz w:val="20"/>
                <w:szCs w:val="20"/>
              </w:rPr>
              <w:t>Limitaciones para la medición del indicador:</w:t>
            </w:r>
          </w:p>
        </w:tc>
        <w:tc>
          <w:tcPr>
            <w:tcW w:w="6484"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14:paraId="3B431943" w14:textId="77777777" w:rsidR="00A75C0F" w:rsidRPr="008A26D2" w:rsidRDefault="00A75C0F" w:rsidP="00AF5836">
            <w:pPr>
              <w:tabs>
                <w:tab w:val="left" w:pos="3375"/>
              </w:tabs>
              <w:jc w:val="both"/>
              <w:rPr>
                <w:rFonts w:ascii="Arial" w:eastAsia="Arial Narrow" w:hAnsi="Arial" w:cs="Arial"/>
                <w:sz w:val="20"/>
                <w:szCs w:val="20"/>
              </w:rPr>
            </w:pPr>
            <w:r w:rsidRPr="008A26D2">
              <w:rPr>
                <w:rFonts w:ascii="Arial" w:eastAsia="Arial Narrow" w:hAnsi="Arial" w:cs="Arial"/>
                <w:sz w:val="20"/>
                <w:szCs w:val="20"/>
              </w:rPr>
              <w:t>No presenta limitaciones</w:t>
            </w:r>
          </w:p>
        </w:tc>
      </w:tr>
      <w:tr w:rsidR="00A75C0F" w:rsidRPr="008A26D2" w14:paraId="55B884F8" w14:textId="77777777" w:rsidTr="00AF5836">
        <w:trPr>
          <w:trHeight w:val="693"/>
          <w:jc w:val="center"/>
        </w:trPr>
        <w:tc>
          <w:tcPr>
            <w:tcW w:w="20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17F9E74" w14:textId="77777777" w:rsidR="00A75C0F" w:rsidRPr="008A26D2" w:rsidRDefault="00A75C0F" w:rsidP="00AF5836">
            <w:pPr>
              <w:tabs>
                <w:tab w:val="left" w:pos="3375"/>
              </w:tabs>
              <w:jc w:val="both"/>
              <w:rPr>
                <w:rFonts w:ascii="Arial" w:eastAsia="Arial Narrow" w:hAnsi="Arial" w:cs="Arial"/>
                <w:b/>
                <w:sz w:val="20"/>
                <w:szCs w:val="20"/>
              </w:rPr>
            </w:pPr>
            <w:r w:rsidRPr="008A26D2">
              <w:rPr>
                <w:rFonts w:ascii="Arial" w:eastAsia="Arial Narrow" w:hAnsi="Arial" w:cs="Arial"/>
                <w:b/>
                <w:sz w:val="20"/>
                <w:szCs w:val="20"/>
              </w:rPr>
              <w:t>Método del cálculo:</w:t>
            </w:r>
          </w:p>
        </w:tc>
        <w:tc>
          <w:tcPr>
            <w:tcW w:w="6484" w:type="dxa"/>
            <w:gridSpan w:val="10"/>
            <w:tcBorders>
              <w:top w:val="single" w:sz="4" w:space="0" w:color="auto"/>
              <w:left w:val="single" w:sz="4" w:space="0" w:color="auto"/>
              <w:bottom w:val="single" w:sz="4" w:space="0" w:color="auto"/>
              <w:right w:val="single" w:sz="4" w:space="0" w:color="auto"/>
            </w:tcBorders>
            <w:shd w:val="clear" w:color="auto" w:fill="auto"/>
            <w:noWrap/>
            <w:vAlign w:val="center"/>
          </w:tcPr>
          <w:p w14:paraId="67EE850E" w14:textId="77777777" w:rsidR="00A75C0F" w:rsidRPr="008A26D2" w:rsidRDefault="00A75C0F" w:rsidP="00AF5836">
            <w:pPr>
              <w:pStyle w:val="Prrafodelista"/>
              <w:numPr>
                <w:ilvl w:val="3"/>
                <w:numId w:val="27"/>
              </w:numPr>
              <w:tabs>
                <w:tab w:val="left" w:pos="3375"/>
              </w:tabs>
              <w:ind w:left="325" w:hanging="283"/>
              <w:jc w:val="both"/>
              <w:rPr>
                <w:rFonts w:ascii="Arial" w:eastAsia="Arial Narrow" w:hAnsi="Arial" w:cs="Arial"/>
                <w:b/>
                <w:bCs/>
                <w:sz w:val="20"/>
                <w:szCs w:val="20"/>
              </w:rPr>
            </w:pPr>
            <w:r w:rsidRPr="008A26D2">
              <w:rPr>
                <w:rFonts w:ascii="Arial" w:eastAsia="Arial Narrow" w:hAnsi="Arial" w:cs="Arial"/>
                <w:b/>
                <w:bCs/>
                <w:sz w:val="20"/>
                <w:szCs w:val="20"/>
              </w:rPr>
              <w:t>Fórmula:</w:t>
            </w:r>
          </w:p>
          <w:p w14:paraId="44735DC6" w14:textId="77777777" w:rsidR="00A75C0F" w:rsidRPr="008A26D2" w:rsidRDefault="00A75C0F" w:rsidP="00AF5836">
            <w:pPr>
              <w:tabs>
                <w:tab w:val="left" w:pos="3375"/>
              </w:tabs>
              <w:ind w:firstLine="183"/>
              <w:jc w:val="both"/>
              <w:rPr>
                <w:rFonts w:ascii="Arial" w:eastAsia="Arial Narrow" w:hAnsi="Arial" w:cs="Arial"/>
                <w:sz w:val="20"/>
                <w:szCs w:val="20"/>
              </w:rPr>
            </w:pPr>
            <w:r w:rsidRPr="008A26D2">
              <w:rPr>
                <w:rFonts w:ascii="Arial" w:eastAsia="Arial Narrow" w:hAnsi="Arial" w:cs="Arial"/>
                <w:sz w:val="20"/>
                <w:szCs w:val="20"/>
              </w:rPr>
              <w:t>(A/B)*100</w:t>
            </w:r>
          </w:p>
          <w:p w14:paraId="18E16028" w14:textId="77777777" w:rsidR="00A75C0F" w:rsidRPr="008A26D2" w:rsidRDefault="00A75C0F" w:rsidP="00AF5836">
            <w:pPr>
              <w:tabs>
                <w:tab w:val="left" w:pos="3375"/>
              </w:tabs>
              <w:ind w:firstLine="183"/>
              <w:jc w:val="both"/>
              <w:rPr>
                <w:rFonts w:ascii="Arial" w:eastAsia="Arial Narrow" w:hAnsi="Arial" w:cs="Arial"/>
                <w:sz w:val="20"/>
                <w:szCs w:val="20"/>
              </w:rPr>
            </w:pPr>
            <w:r w:rsidRPr="008A26D2">
              <w:rPr>
                <w:rFonts w:ascii="Arial" w:eastAsia="Arial Narrow" w:hAnsi="Arial" w:cs="Arial"/>
                <w:sz w:val="20"/>
                <w:szCs w:val="20"/>
              </w:rPr>
              <w:t>Donde:</w:t>
            </w:r>
          </w:p>
          <w:p w14:paraId="19328F3D" w14:textId="51149C32" w:rsidR="00A75C0F" w:rsidRPr="008A26D2" w:rsidRDefault="00A75C0F" w:rsidP="00AF5836">
            <w:pPr>
              <w:tabs>
                <w:tab w:val="left" w:pos="3375"/>
              </w:tabs>
              <w:ind w:left="609" w:hanging="426"/>
              <w:jc w:val="both"/>
              <w:rPr>
                <w:rFonts w:ascii="Arial" w:eastAsia="Arial Narrow" w:hAnsi="Arial" w:cs="Arial"/>
                <w:sz w:val="20"/>
                <w:szCs w:val="20"/>
              </w:rPr>
            </w:pPr>
            <w:r w:rsidRPr="008A26D2">
              <w:rPr>
                <w:rFonts w:ascii="Arial" w:eastAsia="Arial Narrow" w:hAnsi="Arial" w:cs="Arial"/>
                <w:sz w:val="20"/>
                <w:szCs w:val="20"/>
              </w:rPr>
              <w:t>A= Numero de pueblos indígenas u originarios que recibieron asistencia técnica en gobernanza forestal y de fauna silvestre con pertinencia cultural</w:t>
            </w:r>
            <w:r>
              <w:rPr>
                <w:rFonts w:ascii="Arial" w:eastAsia="Arial Narrow" w:hAnsi="Arial" w:cs="Arial"/>
                <w:sz w:val="20"/>
                <w:szCs w:val="20"/>
              </w:rPr>
              <w:t>.</w:t>
            </w:r>
          </w:p>
          <w:p w14:paraId="43ADCD2F" w14:textId="77777777" w:rsidR="00A75C0F" w:rsidRPr="008A26D2" w:rsidRDefault="00A75C0F" w:rsidP="00AF5836">
            <w:pPr>
              <w:tabs>
                <w:tab w:val="left" w:pos="3375"/>
              </w:tabs>
              <w:ind w:left="609" w:hanging="426"/>
              <w:jc w:val="both"/>
              <w:rPr>
                <w:rFonts w:ascii="Arial" w:eastAsia="Arial Narrow" w:hAnsi="Arial" w:cs="Arial"/>
                <w:sz w:val="20"/>
                <w:szCs w:val="20"/>
              </w:rPr>
            </w:pPr>
            <w:r w:rsidRPr="008A26D2">
              <w:rPr>
                <w:rFonts w:ascii="Arial" w:eastAsia="Arial Narrow" w:hAnsi="Arial" w:cs="Arial"/>
                <w:sz w:val="20"/>
                <w:szCs w:val="20"/>
              </w:rPr>
              <w:t>B= Total de pueblos indígenas u originarios que recibieron asistencia técnica en gobernanza forestal y de fauna silvestre</w:t>
            </w:r>
            <w:r>
              <w:rPr>
                <w:rFonts w:ascii="Arial" w:eastAsia="Arial Narrow" w:hAnsi="Arial" w:cs="Arial"/>
                <w:sz w:val="20"/>
                <w:szCs w:val="20"/>
              </w:rPr>
              <w:t>.</w:t>
            </w:r>
          </w:p>
          <w:p w14:paraId="7DA55C7C" w14:textId="77777777" w:rsidR="00A75C0F" w:rsidRPr="008A26D2" w:rsidRDefault="00A75C0F" w:rsidP="00AF5836">
            <w:pPr>
              <w:pStyle w:val="Prrafodelista"/>
              <w:numPr>
                <w:ilvl w:val="3"/>
                <w:numId w:val="27"/>
              </w:numPr>
              <w:tabs>
                <w:tab w:val="left" w:pos="3375"/>
              </w:tabs>
              <w:ind w:left="325" w:hanging="283"/>
              <w:jc w:val="both"/>
              <w:rPr>
                <w:rFonts w:ascii="Arial" w:eastAsia="Arial Narrow" w:hAnsi="Arial" w:cs="Arial"/>
                <w:b/>
                <w:bCs/>
                <w:sz w:val="20"/>
                <w:szCs w:val="20"/>
              </w:rPr>
            </w:pPr>
            <w:r w:rsidRPr="008A26D2">
              <w:rPr>
                <w:rFonts w:ascii="Arial" w:eastAsia="Arial Narrow" w:hAnsi="Arial" w:cs="Arial"/>
                <w:b/>
                <w:bCs/>
                <w:sz w:val="20"/>
                <w:szCs w:val="20"/>
              </w:rPr>
              <w:t>Especificación técnica</w:t>
            </w:r>
          </w:p>
          <w:p w14:paraId="4BDA0E23" w14:textId="77777777" w:rsidR="00A75C0F" w:rsidRPr="00C36F44" w:rsidRDefault="00A75C0F" w:rsidP="00AF5836">
            <w:pPr>
              <w:tabs>
                <w:tab w:val="left" w:pos="3375"/>
              </w:tabs>
              <w:jc w:val="both"/>
              <w:rPr>
                <w:rFonts w:ascii="Arial" w:eastAsia="Arial Narrow" w:hAnsi="Arial" w:cs="Arial"/>
                <w:sz w:val="20"/>
                <w:szCs w:val="20"/>
              </w:rPr>
            </w:pPr>
            <w:r w:rsidRPr="00C36F44">
              <w:rPr>
                <w:rFonts w:ascii="Arial" w:eastAsia="Arial Narrow" w:hAnsi="Arial" w:cs="Arial"/>
                <w:sz w:val="20"/>
                <w:szCs w:val="20"/>
              </w:rPr>
              <w:t xml:space="preserve">La variable A se determina cuando el fortalecimiento de capacidades </w:t>
            </w:r>
            <w:r w:rsidRPr="008A26D2">
              <w:rPr>
                <w:rFonts w:ascii="Arial" w:eastAsia="Arial Narrow" w:hAnsi="Arial" w:cs="Arial"/>
                <w:sz w:val="20"/>
                <w:szCs w:val="20"/>
              </w:rPr>
              <w:t xml:space="preserve">en gobernanza forestal y de fauna silvestre </w:t>
            </w:r>
            <w:r w:rsidRPr="00C36F44">
              <w:rPr>
                <w:rFonts w:ascii="Arial" w:eastAsia="Arial Narrow" w:hAnsi="Arial" w:cs="Arial"/>
                <w:sz w:val="20"/>
                <w:szCs w:val="20"/>
              </w:rPr>
              <w:t>es entregado a l</w:t>
            </w:r>
            <w:r>
              <w:rPr>
                <w:rFonts w:ascii="Arial" w:eastAsia="Arial Narrow" w:hAnsi="Arial" w:cs="Arial"/>
                <w:sz w:val="20"/>
                <w:szCs w:val="20"/>
              </w:rPr>
              <w:t xml:space="preserve">os </w:t>
            </w:r>
            <w:r w:rsidRPr="008A26D2">
              <w:rPr>
                <w:rFonts w:ascii="Arial" w:eastAsia="Arial Narrow" w:hAnsi="Arial" w:cs="Arial"/>
                <w:sz w:val="20"/>
                <w:szCs w:val="20"/>
              </w:rPr>
              <w:t xml:space="preserve">pueblos indígenas u originarios </w:t>
            </w:r>
            <w:r w:rsidRPr="00C36F44">
              <w:rPr>
                <w:rFonts w:ascii="Arial" w:eastAsia="Arial Narrow" w:hAnsi="Arial" w:cs="Arial"/>
                <w:sz w:val="20"/>
                <w:szCs w:val="20"/>
              </w:rPr>
              <w:t>incorporando aspectos específicos como el respeto a su diversidad cultural, el contexto ambiental, las formas de organización, entre otros.</w:t>
            </w:r>
          </w:p>
          <w:p w14:paraId="075D2FC2" w14:textId="50CBE13A" w:rsidR="00A75C0F" w:rsidRDefault="00A75C0F" w:rsidP="00AF5836">
            <w:pPr>
              <w:tabs>
                <w:tab w:val="left" w:pos="3375"/>
              </w:tabs>
              <w:jc w:val="both"/>
              <w:rPr>
                <w:rFonts w:ascii="Arial" w:eastAsia="Arial Narrow" w:hAnsi="Arial" w:cs="Arial"/>
                <w:sz w:val="20"/>
                <w:szCs w:val="20"/>
              </w:rPr>
            </w:pPr>
            <w:r w:rsidRPr="00C36F44">
              <w:rPr>
                <w:rFonts w:ascii="Arial" w:eastAsia="Arial Narrow" w:hAnsi="Arial" w:cs="Arial"/>
                <w:sz w:val="20"/>
                <w:szCs w:val="20"/>
              </w:rPr>
              <w:t xml:space="preserve">La variable B se determina </w:t>
            </w:r>
            <w:r w:rsidR="00881C3C">
              <w:rPr>
                <w:rFonts w:ascii="Arial" w:eastAsia="Arial Narrow" w:hAnsi="Arial" w:cs="Arial"/>
                <w:sz w:val="20"/>
                <w:szCs w:val="20"/>
              </w:rPr>
              <w:t>en base</w:t>
            </w:r>
            <w:r w:rsidRPr="00C36F44">
              <w:rPr>
                <w:rFonts w:ascii="Arial" w:eastAsia="Arial Narrow" w:hAnsi="Arial" w:cs="Arial"/>
                <w:sz w:val="20"/>
                <w:szCs w:val="20"/>
              </w:rPr>
              <w:t xml:space="preserve"> </w:t>
            </w:r>
            <w:r w:rsidR="00881C3C">
              <w:rPr>
                <w:rFonts w:ascii="Arial" w:eastAsia="Arial Narrow" w:hAnsi="Arial" w:cs="Arial"/>
                <w:sz w:val="20"/>
                <w:szCs w:val="20"/>
              </w:rPr>
              <w:t>a</w:t>
            </w:r>
            <w:r w:rsidRPr="00C36F44">
              <w:rPr>
                <w:rFonts w:ascii="Arial" w:eastAsia="Arial Narrow" w:hAnsi="Arial" w:cs="Arial"/>
                <w:sz w:val="20"/>
                <w:szCs w:val="20"/>
              </w:rPr>
              <w:t xml:space="preserve">l total de </w:t>
            </w:r>
            <w:r w:rsidRPr="008A26D2">
              <w:rPr>
                <w:rFonts w:ascii="Arial" w:eastAsia="Arial Narrow" w:hAnsi="Arial" w:cs="Arial"/>
                <w:sz w:val="20"/>
                <w:szCs w:val="20"/>
              </w:rPr>
              <w:t xml:space="preserve">pueblos indígenas u originarios </w:t>
            </w:r>
            <w:r w:rsidRPr="00C36F44">
              <w:rPr>
                <w:rFonts w:ascii="Arial" w:eastAsia="Arial Narrow" w:hAnsi="Arial" w:cs="Arial"/>
                <w:sz w:val="20"/>
                <w:szCs w:val="20"/>
              </w:rPr>
              <w:t xml:space="preserve">que recibieron fortalecimiento de capacidades en </w:t>
            </w:r>
            <w:r w:rsidRPr="000452F1">
              <w:rPr>
                <w:rFonts w:ascii="Arial" w:eastAsia="Arial Narrow" w:hAnsi="Arial" w:cs="Arial"/>
                <w:sz w:val="20"/>
                <w:szCs w:val="20"/>
              </w:rPr>
              <w:t>gobernanza forestal y de fauna silvestre</w:t>
            </w:r>
            <w:r w:rsidR="00881C3C">
              <w:rPr>
                <w:rFonts w:ascii="Arial" w:eastAsia="Arial Narrow" w:hAnsi="Arial" w:cs="Arial"/>
                <w:sz w:val="20"/>
                <w:szCs w:val="20"/>
              </w:rPr>
              <w:t xml:space="preserve"> en el año de medición</w:t>
            </w:r>
            <w:r w:rsidRPr="00C36F44">
              <w:rPr>
                <w:rFonts w:ascii="Arial" w:eastAsia="Arial Narrow" w:hAnsi="Arial" w:cs="Arial"/>
                <w:sz w:val="20"/>
                <w:szCs w:val="20"/>
              </w:rPr>
              <w:t>.</w:t>
            </w:r>
          </w:p>
          <w:p w14:paraId="4FB58E9E" w14:textId="77777777" w:rsidR="00A75C0F" w:rsidRPr="008A26D2" w:rsidRDefault="00A75C0F" w:rsidP="00AF5836">
            <w:pPr>
              <w:tabs>
                <w:tab w:val="left" w:pos="3375"/>
              </w:tabs>
              <w:jc w:val="both"/>
              <w:rPr>
                <w:rFonts w:ascii="Arial" w:eastAsia="Arial Narrow" w:hAnsi="Arial" w:cs="Arial"/>
                <w:sz w:val="20"/>
                <w:szCs w:val="20"/>
              </w:rPr>
            </w:pPr>
            <w:r w:rsidRPr="008A26D2">
              <w:rPr>
                <w:rFonts w:ascii="Arial" w:eastAsia="Arial Narrow" w:hAnsi="Arial" w:cs="Arial"/>
                <w:sz w:val="20"/>
                <w:szCs w:val="20"/>
              </w:rPr>
              <w:lastRenderedPageBreak/>
              <w:t>El total de pueblos indígenas u originarios en Perú es de 55, a los cuales pertenecen las 2703 comunidades nativas además de las 6682 comunidades campesinas en sierra y costa</w:t>
            </w:r>
            <w:r w:rsidRPr="008A26D2">
              <w:rPr>
                <w:rStyle w:val="Refdenotaalpie"/>
                <w:rFonts w:ascii="Arial" w:eastAsia="Arial Narrow" w:hAnsi="Arial" w:cs="Arial"/>
                <w:sz w:val="20"/>
                <w:szCs w:val="20"/>
              </w:rPr>
              <w:footnoteReference w:id="10"/>
            </w:r>
            <w:r w:rsidRPr="008A26D2">
              <w:rPr>
                <w:rFonts w:ascii="Arial" w:eastAsia="Arial Narrow" w:hAnsi="Arial" w:cs="Arial"/>
                <w:sz w:val="20"/>
                <w:szCs w:val="20"/>
              </w:rPr>
              <w:t>.</w:t>
            </w:r>
          </w:p>
          <w:p w14:paraId="73EFE887" w14:textId="388C5493" w:rsidR="00A75C0F" w:rsidRPr="008A26D2" w:rsidRDefault="00A75C0F" w:rsidP="00881C3C">
            <w:pPr>
              <w:spacing w:after="0" w:line="240" w:lineRule="auto"/>
              <w:jc w:val="both"/>
              <w:rPr>
                <w:rFonts w:ascii="Arial" w:eastAsia="Arial Narrow" w:hAnsi="Arial" w:cs="Arial"/>
                <w:sz w:val="20"/>
                <w:szCs w:val="20"/>
              </w:rPr>
            </w:pPr>
            <w:r w:rsidRPr="008A26D2">
              <w:rPr>
                <w:rFonts w:ascii="Arial" w:eastAsia="Arial Narrow" w:hAnsi="Arial" w:cs="Arial"/>
                <w:sz w:val="20"/>
                <w:szCs w:val="20"/>
              </w:rPr>
              <w:t>Se carece de línea base porque el servicio es nuevo, por ese motivo, el SERFOR determinará la línea base antes del inicio de la implementación de la presente Política Nacional.</w:t>
            </w:r>
          </w:p>
        </w:tc>
      </w:tr>
      <w:tr w:rsidR="00A75C0F" w:rsidRPr="008A26D2" w14:paraId="6817BAB2" w14:textId="77777777" w:rsidTr="00AF5836">
        <w:trPr>
          <w:trHeight w:val="558"/>
          <w:jc w:val="center"/>
        </w:trPr>
        <w:tc>
          <w:tcPr>
            <w:tcW w:w="20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2D20DAA" w14:textId="77777777" w:rsidR="00A75C0F" w:rsidRPr="008A26D2" w:rsidRDefault="00A75C0F" w:rsidP="00AF5836">
            <w:pPr>
              <w:tabs>
                <w:tab w:val="left" w:pos="3375"/>
              </w:tabs>
              <w:jc w:val="both"/>
              <w:rPr>
                <w:rFonts w:ascii="Arial" w:eastAsia="Arial Narrow" w:hAnsi="Arial" w:cs="Arial"/>
                <w:b/>
                <w:sz w:val="20"/>
                <w:szCs w:val="20"/>
              </w:rPr>
            </w:pPr>
            <w:r w:rsidRPr="008A26D2">
              <w:rPr>
                <w:rFonts w:ascii="Arial" w:eastAsia="Arial Narrow" w:hAnsi="Arial" w:cs="Arial"/>
                <w:b/>
                <w:sz w:val="20"/>
                <w:szCs w:val="20"/>
              </w:rPr>
              <w:lastRenderedPageBreak/>
              <w:t>Sentido esperado del indicador:</w:t>
            </w:r>
          </w:p>
        </w:tc>
        <w:tc>
          <w:tcPr>
            <w:tcW w:w="29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F62F7FD" w14:textId="77777777" w:rsidR="00A75C0F" w:rsidRPr="008A26D2" w:rsidRDefault="00A75C0F" w:rsidP="00AF5836">
            <w:pPr>
              <w:tabs>
                <w:tab w:val="left" w:pos="3375"/>
              </w:tabs>
              <w:jc w:val="both"/>
              <w:rPr>
                <w:rFonts w:ascii="Arial" w:eastAsia="Arial Narrow" w:hAnsi="Arial" w:cs="Arial"/>
                <w:sz w:val="20"/>
                <w:szCs w:val="20"/>
              </w:rPr>
            </w:pPr>
            <w:r w:rsidRPr="008A26D2">
              <w:rPr>
                <w:rFonts w:ascii="Arial" w:eastAsia="Arial Narrow" w:hAnsi="Arial" w:cs="Arial"/>
                <w:sz w:val="20"/>
                <w:szCs w:val="20"/>
              </w:rPr>
              <w:t>Ascendente</w:t>
            </w:r>
          </w:p>
        </w:tc>
        <w:tc>
          <w:tcPr>
            <w:tcW w:w="14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2D09ED2" w14:textId="77777777" w:rsidR="00A75C0F" w:rsidRPr="008A26D2" w:rsidRDefault="00A75C0F" w:rsidP="00AF5836">
            <w:pPr>
              <w:tabs>
                <w:tab w:val="left" w:pos="3375"/>
              </w:tabs>
              <w:jc w:val="both"/>
              <w:rPr>
                <w:rFonts w:ascii="Arial" w:eastAsia="Arial Narrow" w:hAnsi="Arial" w:cs="Arial"/>
                <w:b/>
                <w:sz w:val="20"/>
                <w:szCs w:val="20"/>
              </w:rPr>
            </w:pPr>
            <w:r w:rsidRPr="008A26D2">
              <w:rPr>
                <w:rFonts w:ascii="Arial" w:eastAsia="Arial Narrow" w:hAnsi="Arial" w:cs="Arial"/>
                <w:b/>
                <w:sz w:val="20"/>
                <w:szCs w:val="20"/>
              </w:rPr>
              <w:t>Tipo de indicador de servicio</w:t>
            </w:r>
          </w:p>
        </w:tc>
        <w:tc>
          <w:tcPr>
            <w:tcW w:w="209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869A625" w14:textId="77777777" w:rsidR="00A75C0F" w:rsidRPr="008A26D2" w:rsidRDefault="00A75C0F" w:rsidP="00AF5836">
            <w:pPr>
              <w:tabs>
                <w:tab w:val="left" w:pos="3375"/>
              </w:tabs>
              <w:jc w:val="both"/>
              <w:rPr>
                <w:rFonts w:ascii="Arial" w:eastAsia="Arial Narrow" w:hAnsi="Arial" w:cs="Arial"/>
                <w:sz w:val="20"/>
                <w:szCs w:val="20"/>
              </w:rPr>
            </w:pPr>
            <w:r w:rsidRPr="008A26D2">
              <w:rPr>
                <w:rFonts w:ascii="Arial" w:eastAsia="Arial Narrow" w:hAnsi="Arial" w:cs="Arial"/>
                <w:sz w:val="20"/>
                <w:szCs w:val="20"/>
              </w:rPr>
              <w:t>Calidad – Pertinencia cultural</w:t>
            </w:r>
          </w:p>
        </w:tc>
      </w:tr>
      <w:tr w:rsidR="00A75C0F" w:rsidRPr="008A26D2" w14:paraId="0202EE04" w14:textId="77777777" w:rsidTr="00AF5836">
        <w:trPr>
          <w:trHeight w:val="532"/>
          <w:jc w:val="center"/>
        </w:trPr>
        <w:tc>
          <w:tcPr>
            <w:tcW w:w="20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1623606" w14:textId="77777777" w:rsidR="00A75C0F" w:rsidRPr="008A26D2" w:rsidRDefault="00A75C0F" w:rsidP="00AF5836">
            <w:pPr>
              <w:tabs>
                <w:tab w:val="left" w:pos="3375"/>
              </w:tabs>
              <w:jc w:val="both"/>
              <w:rPr>
                <w:rFonts w:ascii="Arial" w:eastAsia="Arial Narrow" w:hAnsi="Arial" w:cs="Arial"/>
                <w:b/>
                <w:sz w:val="20"/>
                <w:szCs w:val="20"/>
              </w:rPr>
            </w:pPr>
            <w:r w:rsidRPr="008A26D2">
              <w:rPr>
                <w:rFonts w:ascii="Arial" w:eastAsia="Arial Narrow" w:hAnsi="Arial" w:cs="Arial"/>
                <w:b/>
                <w:sz w:val="20"/>
                <w:szCs w:val="20"/>
              </w:rPr>
              <w:t>Fuente y base de datos:</w:t>
            </w:r>
          </w:p>
        </w:tc>
        <w:tc>
          <w:tcPr>
            <w:tcW w:w="6484"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14:paraId="5FBF6B94" w14:textId="77777777" w:rsidR="00A75C0F" w:rsidRPr="008A26D2" w:rsidRDefault="00A75C0F" w:rsidP="00AF5836">
            <w:pPr>
              <w:tabs>
                <w:tab w:val="left" w:pos="3375"/>
              </w:tabs>
              <w:jc w:val="both"/>
              <w:rPr>
                <w:rFonts w:ascii="Arial" w:eastAsia="Arial Narrow" w:hAnsi="Arial" w:cs="Arial"/>
                <w:sz w:val="20"/>
                <w:szCs w:val="20"/>
              </w:rPr>
            </w:pPr>
            <w:r w:rsidRPr="008A26D2">
              <w:rPr>
                <w:rFonts w:ascii="Arial" w:eastAsia="Arial Narrow" w:hAnsi="Arial" w:cs="Arial"/>
                <w:sz w:val="20"/>
                <w:szCs w:val="20"/>
              </w:rPr>
              <w:t xml:space="preserve">Fuente: Unidad Funcional de Manejo Forestal Comunitario del </w:t>
            </w:r>
            <w:r>
              <w:rPr>
                <w:rFonts w:ascii="Arial" w:eastAsia="Arial Narrow" w:hAnsi="Arial" w:cs="Arial"/>
                <w:sz w:val="20"/>
                <w:szCs w:val="20"/>
              </w:rPr>
              <w:t xml:space="preserve">Servicio Nacional Forestal y de Fauna Silvestre – </w:t>
            </w:r>
            <w:r w:rsidRPr="008A26D2">
              <w:rPr>
                <w:rFonts w:ascii="Arial" w:eastAsia="Arial Narrow" w:hAnsi="Arial" w:cs="Arial"/>
                <w:sz w:val="20"/>
                <w:szCs w:val="20"/>
              </w:rPr>
              <w:t>SERFOR</w:t>
            </w:r>
            <w:r>
              <w:rPr>
                <w:rFonts w:ascii="Arial" w:eastAsia="Arial Narrow" w:hAnsi="Arial" w:cs="Arial"/>
                <w:sz w:val="20"/>
                <w:szCs w:val="20"/>
              </w:rPr>
              <w:t>.</w:t>
            </w:r>
          </w:p>
          <w:p w14:paraId="4D8F0014" w14:textId="7A955175" w:rsidR="00A75C0F" w:rsidRPr="008A26D2" w:rsidRDefault="00A75C0F" w:rsidP="00AF5836">
            <w:pPr>
              <w:tabs>
                <w:tab w:val="left" w:pos="3375"/>
              </w:tabs>
              <w:jc w:val="both"/>
              <w:rPr>
                <w:rFonts w:ascii="Arial" w:eastAsia="Arial Narrow" w:hAnsi="Arial" w:cs="Arial"/>
                <w:sz w:val="20"/>
                <w:szCs w:val="20"/>
              </w:rPr>
            </w:pPr>
            <w:r w:rsidRPr="008A26D2">
              <w:rPr>
                <w:rFonts w:ascii="Arial" w:eastAsia="Arial Narrow" w:hAnsi="Arial" w:cs="Arial"/>
                <w:sz w:val="20"/>
                <w:szCs w:val="20"/>
              </w:rPr>
              <w:t>Base de datos: Reporte de asistencia técnica en gobernanza forestal y fauna silvestre</w:t>
            </w:r>
            <w:r>
              <w:rPr>
                <w:rFonts w:ascii="Arial" w:eastAsia="Arial Narrow" w:hAnsi="Arial" w:cs="Arial"/>
                <w:sz w:val="20"/>
                <w:szCs w:val="20"/>
              </w:rPr>
              <w:t>.</w:t>
            </w:r>
            <w:r w:rsidRPr="008A26D2">
              <w:rPr>
                <w:rFonts w:ascii="Arial" w:eastAsia="Arial Narrow" w:hAnsi="Arial" w:cs="Arial"/>
                <w:sz w:val="20"/>
                <w:szCs w:val="20"/>
              </w:rPr>
              <w:t xml:space="preserve"> </w:t>
            </w:r>
          </w:p>
        </w:tc>
      </w:tr>
      <w:tr w:rsidR="00A75C0F" w:rsidRPr="008A26D2" w14:paraId="674510B3" w14:textId="77777777" w:rsidTr="00AF5836">
        <w:trPr>
          <w:trHeight w:val="532"/>
          <w:jc w:val="center"/>
        </w:trPr>
        <w:tc>
          <w:tcPr>
            <w:tcW w:w="20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571AE66" w14:textId="77777777" w:rsidR="00A75C0F" w:rsidRPr="008A26D2" w:rsidRDefault="00A75C0F" w:rsidP="00AF5836">
            <w:pPr>
              <w:tabs>
                <w:tab w:val="left" w:pos="3375"/>
              </w:tabs>
              <w:jc w:val="both"/>
              <w:rPr>
                <w:rFonts w:ascii="Arial" w:eastAsia="Arial Narrow" w:hAnsi="Arial" w:cs="Arial"/>
                <w:b/>
                <w:sz w:val="20"/>
                <w:szCs w:val="20"/>
              </w:rPr>
            </w:pPr>
            <w:r w:rsidRPr="008A26D2">
              <w:rPr>
                <w:rFonts w:ascii="Arial" w:eastAsia="Arial Narrow" w:hAnsi="Arial" w:cs="Arial"/>
                <w:b/>
                <w:sz w:val="20"/>
                <w:szCs w:val="20"/>
              </w:rPr>
              <w:t>Supuestos:</w:t>
            </w:r>
          </w:p>
        </w:tc>
        <w:tc>
          <w:tcPr>
            <w:tcW w:w="6484"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14:paraId="353C5992" w14:textId="77777777" w:rsidR="00A75C0F" w:rsidRPr="008A26D2" w:rsidRDefault="00A75C0F" w:rsidP="00AF5836">
            <w:pPr>
              <w:tabs>
                <w:tab w:val="left" w:pos="3375"/>
              </w:tabs>
              <w:jc w:val="both"/>
              <w:rPr>
                <w:rFonts w:ascii="Arial" w:eastAsia="Arial Narrow" w:hAnsi="Arial" w:cs="Arial"/>
                <w:sz w:val="20"/>
                <w:szCs w:val="20"/>
              </w:rPr>
            </w:pPr>
            <w:r w:rsidRPr="008A26D2">
              <w:rPr>
                <w:rFonts w:ascii="Arial" w:eastAsia="Arial Narrow" w:hAnsi="Arial" w:cs="Arial"/>
                <w:sz w:val="20"/>
                <w:szCs w:val="20"/>
              </w:rPr>
              <w:t>Interés y disposición de los pueblos indígenas u originarios en mejorar y fortalecer la gestión comunal forestal y fauna silvestre.</w:t>
            </w:r>
          </w:p>
        </w:tc>
      </w:tr>
      <w:tr w:rsidR="00A75C0F" w:rsidRPr="008A26D2" w14:paraId="06A30D74" w14:textId="77777777" w:rsidTr="00AF5836">
        <w:trPr>
          <w:trHeight w:val="532"/>
          <w:jc w:val="center"/>
        </w:trPr>
        <w:tc>
          <w:tcPr>
            <w:tcW w:w="739" w:type="dxa"/>
            <w:tcBorders>
              <w:top w:val="single" w:sz="4" w:space="0" w:color="auto"/>
              <w:left w:val="single" w:sz="4" w:space="0" w:color="auto"/>
              <w:bottom w:val="single" w:sz="4" w:space="0" w:color="auto"/>
              <w:right w:val="single" w:sz="4" w:space="0" w:color="auto"/>
            </w:tcBorders>
            <w:shd w:val="clear" w:color="auto" w:fill="auto"/>
            <w:vAlign w:val="center"/>
          </w:tcPr>
          <w:p w14:paraId="5F9E9AFC" w14:textId="77777777" w:rsidR="00A75C0F" w:rsidRPr="008A26D2" w:rsidRDefault="00A75C0F" w:rsidP="00AF5836">
            <w:pPr>
              <w:tabs>
                <w:tab w:val="left" w:pos="3375"/>
              </w:tabs>
              <w:jc w:val="both"/>
              <w:rPr>
                <w:rFonts w:ascii="Arial" w:eastAsia="Arial Narrow" w:hAnsi="Arial" w:cs="Arial"/>
                <w:sz w:val="20"/>
                <w:szCs w:val="20"/>
              </w:rPr>
            </w:pP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14:paraId="62ACAE54" w14:textId="77777777" w:rsidR="00A75C0F" w:rsidRPr="008A26D2" w:rsidRDefault="00A75C0F" w:rsidP="00AF5836">
            <w:pPr>
              <w:tabs>
                <w:tab w:val="left" w:pos="3375"/>
              </w:tabs>
              <w:jc w:val="center"/>
              <w:rPr>
                <w:rFonts w:ascii="Arial" w:eastAsia="Arial Narrow" w:hAnsi="Arial" w:cs="Arial"/>
                <w:b/>
                <w:sz w:val="20"/>
                <w:szCs w:val="20"/>
              </w:rPr>
            </w:pPr>
            <w:r w:rsidRPr="008A26D2">
              <w:rPr>
                <w:rFonts w:ascii="Arial" w:eastAsia="Arial Narrow" w:hAnsi="Arial" w:cs="Arial"/>
                <w:b/>
                <w:sz w:val="20"/>
                <w:szCs w:val="20"/>
              </w:rPr>
              <w:t>Línea de base</w:t>
            </w:r>
          </w:p>
        </w:tc>
        <w:tc>
          <w:tcPr>
            <w:tcW w:w="6484"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14:paraId="15A8C53A" w14:textId="77777777" w:rsidR="00A75C0F" w:rsidRPr="008A26D2" w:rsidRDefault="00A75C0F" w:rsidP="00AF5836">
            <w:pPr>
              <w:tabs>
                <w:tab w:val="left" w:pos="3375"/>
              </w:tabs>
              <w:jc w:val="center"/>
              <w:rPr>
                <w:rFonts w:ascii="Arial" w:eastAsia="Arial Narrow" w:hAnsi="Arial" w:cs="Arial"/>
                <w:b/>
                <w:sz w:val="20"/>
                <w:szCs w:val="20"/>
              </w:rPr>
            </w:pPr>
            <w:r w:rsidRPr="008A26D2">
              <w:rPr>
                <w:rFonts w:ascii="Arial" w:eastAsia="Arial Narrow" w:hAnsi="Arial" w:cs="Arial"/>
                <w:b/>
                <w:sz w:val="20"/>
                <w:szCs w:val="20"/>
              </w:rPr>
              <w:t xml:space="preserve">Logros esperados </w:t>
            </w:r>
          </w:p>
        </w:tc>
      </w:tr>
      <w:tr w:rsidR="00A75C0F" w:rsidRPr="008A26D2" w14:paraId="61BF4BB3" w14:textId="77777777" w:rsidTr="00AF5836">
        <w:trPr>
          <w:trHeight w:val="334"/>
          <w:jc w:val="center"/>
        </w:trPr>
        <w:tc>
          <w:tcPr>
            <w:tcW w:w="739" w:type="dxa"/>
            <w:tcBorders>
              <w:top w:val="single" w:sz="4" w:space="0" w:color="auto"/>
              <w:left w:val="single" w:sz="4" w:space="0" w:color="auto"/>
              <w:bottom w:val="single" w:sz="4" w:space="0" w:color="auto"/>
              <w:right w:val="single" w:sz="4" w:space="0" w:color="auto"/>
            </w:tcBorders>
            <w:shd w:val="clear" w:color="auto" w:fill="auto"/>
            <w:vAlign w:val="center"/>
          </w:tcPr>
          <w:p w14:paraId="3847C447" w14:textId="77777777" w:rsidR="00A75C0F" w:rsidRPr="008A26D2" w:rsidRDefault="00A75C0F" w:rsidP="00AF5836">
            <w:pPr>
              <w:tabs>
                <w:tab w:val="left" w:pos="3375"/>
              </w:tabs>
              <w:jc w:val="both"/>
              <w:rPr>
                <w:rFonts w:ascii="Arial" w:eastAsia="Arial Narrow" w:hAnsi="Arial" w:cs="Arial"/>
                <w:b/>
                <w:sz w:val="20"/>
                <w:szCs w:val="20"/>
              </w:rPr>
            </w:pPr>
            <w:r w:rsidRPr="008A26D2">
              <w:rPr>
                <w:rFonts w:ascii="Arial" w:eastAsia="Arial Narrow" w:hAnsi="Arial" w:cs="Arial"/>
                <w:b/>
                <w:sz w:val="20"/>
                <w:szCs w:val="20"/>
              </w:rPr>
              <w:t>Año</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14:paraId="3441A6EB" w14:textId="77777777" w:rsidR="00A75C0F" w:rsidRPr="008A26D2" w:rsidRDefault="00A75C0F" w:rsidP="00AF5836">
            <w:pPr>
              <w:tabs>
                <w:tab w:val="left" w:pos="3375"/>
              </w:tabs>
              <w:jc w:val="center"/>
              <w:rPr>
                <w:rFonts w:ascii="Arial" w:eastAsia="Arial Narrow" w:hAnsi="Arial" w:cs="Arial"/>
                <w:b/>
                <w:sz w:val="20"/>
                <w:szCs w:val="20"/>
              </w:rPr>
            </w:pPr>
            <w:r w:rsidRPr="008A26D2">
              <w:rPr>
                <w:rFonts w:ascii="Arial" w:eastAsia="Arial Narrow" w:hAnsi="Arial" w:cs="Arial"/>
                <w:b/>
                <w:sz w:val="20"/>
                <w:szCs w:val="20"/>
              </w:rPr>
              <w:t>2022</w:t>
            </w:r>
          </w:p>
        </w:tc>
        <w:tc>
          <w:tcPr>
            <w:tcW w:w="1040" w:type="dxa"/>
            <w:tcBorders>
              <w:top w:val="single" w:sz="4" w:space="0" w:color="auto"/>
              <w:left w:val="single" w:sz="4" w:space="0" w:color="auto"/>
              <w:bottom w:val="single" w:sz="4" w:space="0" w:color="auto"/>
              <w:right w:val="single" w:sz="4" w:space="0" w:color="auto"/>
            </w:tcBorders>
            <w:shd w:val="clear" w:color="auto" w:fill="auto"/>
            <w:vAlign w:val="center"/>
          </w:tcPr>
          <w:p w14:paraId="55AD5804" w14:textId="77777777" w:rsidR="00A75C0F" w:rsidRPr="008A26D2" w:rsidRDefault="00A75C0F" w:rsidP="00AF5836">
            <w:pPr>
              <w:tabs>
                <w:tab w:val="left" w:pos="3375"/>
              </w:tabs>
              <w:jc w:val="center"/>
              <w:rPr>
                <w:rFonts w:ascii="Arial" w:eastAsia="Arial Narrow" w:hAnsi="Arial" w:cs="Arial"/>
                <w:b/>
                <w:sz w:val="20"/>
                <w:szCs w:val="20"/>
              </w:rPr>
            </w:pPr>
            <w:r w:rsidRPr="008A26D2">
              <w:rPr>
                <w:rFonts w:ascii="Arial" w:eastAsia="Arial Narrow" w:hAnsi="Arial" w:cs="Arial"/>
                <w:b/>
                <w:sz w:val="20"/>
                <w:szCs w:val="20"/>
              </w:rPr>
              <w:t>2023</w:t>
            </w:r>
          </w:p>
        </w:tc>
        <w:tc>
          <w:tcPr>
            <w:tcW w:w="893" w:type="dxa"/>
            <w:tcBorders>
              <w:top w:val="single" w:sz="4" w:space="0" w:color="auto"/>
              <w:left w:val="single" w:sz="4" w:space="0" w:color="auto"/>
              <w:bottom w:val="single" w:sz="4" w:space="0" w:color="auto"/>
              <w:right w:val="single" w:sz="4" w:space="0" w:color="auto"/>
            </w:tcBorders>
            <w:shd w:val="clear" w:color="auto" w:fill="auto"/>
            <w:vAlign w:val="center"/>
          </w:tcPr>
          <w:p w14:paraId="761678B4" w14:textId="77777777" w:rsidR="00A75C0F" w:rsidRPr="008A26D2" w:rsidRDefault="00A75C0F" w:rsidP="00AF5836">
            <w:pPr>
              <w:tabs>
                <w:tab w:val="left" w:pos="3375"/>
              </w:tabs>
              <w:jc w:val="center"/>
              <w:rPr>
                <w:rFonts w:ascii="Arial" w:eastAsia="Arial Narrow" w:hAnsi="Arial" w:cs="Arial"/>
                <w:b/>
                <w:sz w:val="20"/>
                <w:szCs w:val="20"/>
              </w:rPr>
            </w:pPr>
            <w:r w:rsidRPr="008A26D2">
              <w:rPr>
                <w:rFonts w:ascii="Arial" w:eastAsia="Arial Narrow" w:hAnsi="Arial" w:cs="Arial"/>
                <w:b/>
                <w:sz w:val="20"/>
                <w:szCs w:val="20"/>
              </w:rPr>
              <w:t>2024</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72176C4" w14:textId="77777777" w:rsidR="00A75C0F" w:rsidRPr="008A26D2" w:rsidRDefault="00A75C0F" w:rsidP="00AF5836">
            <w:pPr>
              <w:tabs>
                <w:tab w:val="left" w:pos="3375"/>
              </w:tabs>
              <w:jc w:val="center"/>
              <w:rPr>
                <w:rFonts w:ascii="Arial" w:eastAsia="Arial Narrow" w:hAnsi="Arial" w:cs="Arial"/>
                <w:b/>
                <w:sz w:val="20"/>
                <w:szCs w:val="20"/>
              </w:rPr>
            </w:pPr>
            <w:r w:rsidRPr="008A26D2">
              <w:rPr>
                <w:rFonts w:ascii="Arial" w:eastAsia="Arial Narrow" w:hAnsi="Arial" w:cs="Arial"/>
                <w:b/>
                <w:sz w:val="20"/>
                <w:szCs w:val="20"/>
              </w:rPr>
              <w:t>2025</w:t>
            </w:r>
          </w:p>
        </w:tc>
        <w:tc>
          <w:tcPr>
            <w:tcW w:w="74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9D63444" w14:textId="77777777" w:rsidR="00A75C0F" w:rsidRPr="008A26D2" w:rsidRDefault="00A75C0F" w:rsidP="00AF5836">
            <w:pPr>
              <w:tabs>
                <w:tab w:val="left" w:pos="3375"/>
              </w:tabs>
              <w:jc w:val="center"/>
              <w:rPr>
                <w:rFonts w:ascii="Arial" w:eastAsia="Arial Narrow" w:hAnsi="Arial" w:cs="Arial"/>
                <w:b/>
                <w:sz w:val="20"/>
                <w:szCs w:val="20"/>
              </w:rPr>
            </w:pPr>
            <w:r w:rsidRPr="008A26D2">
              <w:rPr>
                <w:rFonts w:ascii="Arial" w:eastAsia="Arial Narrow" w:hAnsi="Arial" w:cs="Arial"/>
                <w:b/>
                <w:sz w:val="20"/>
                <w:szCs w:val="20"/>
              </w:rPr>
              <w:t>2026</w:t>
            </w:r>
          </w:p>
        </w:tc>
        <w:tc>
          <w:tcPr>
            <w:tcW w:w="866" w:type="dxa"/>
            <w:tcBorders>
              <w:top w:val="single" w:sz="4" w:space="0" w:color="auto"/>
              <w:left w:val="single" w:sz="4" w:space="0" w:color="auto"/>
              <w:bottom w:val="single" w:sz="4" w:space="0" w:color="auto"/>
              <w:right w:val="single" w:sz="4" w:space="0" w:color="auto"/>
            </w:tcBorders>
            <w:shd w:val="clear" w:color="auto" w:fill="auto"/>
            <w:vAlign w:val="center"/>
          </w:tcPr>
          <w:p w14:paraId="699FE03B" w14:textId="77777777" w:rsidR="00A75C0F" w:rsidRPr="008A26D2" w:rsidRDefault="00A75C0F" w:rsidP="00AF5836">
            <w:pPr>
              <w:tabs>
                <w:tab w:val="left" w:pos="3375"/>
              </w:tabs>
              <w:jc w:val="center"/>
              <w:rPr>
                <w:rFonts w:ascii="Arial" w:eastAsia="Arial Narrow" w:hAnsi="Arial" w:cs="Arial"/>
                <w:b/>
                <w:sz w:val="20"/>
                <w:szCs w:val="20"/>
              </w:rPr>
            </w:pPr>
            <w:r w:rsidRPr="008A26D2">
              <w:rPr>
                <w:rFonts w:ascii="Arial" w:eastAsia="Arial Narrow" w:hAnsi="Arial" w:cs="Arial"/>
                <w:b/>
                <w:sz w:val="20"/>
                <w:szCs w:val="20"/>
              </w:rPr>
              <w:t>2027</w:t>
            </w:r>
          </w:p>
        </w:tc>
        <w:tc>
          <w:tcPr>
            <w:tcW w:w="68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56A14DF" w14:textId="77777777" w:rsidR="00A75C0F" w:rsidRPr="008A26D2" w:rsidRDefault="00A75C0F" w:rsidP="00AF5836">
            <w:pPr>
              <w:tabs>
                <w:tab w:val="left" w:pos="3375"/>
              </w:tabs>
              <w:jc w:val="center"/>
              <w:rPr>
                <w:rFonts w:ascii="Arial" w:eastAsia="Arial Narrow" w:hAnsi="Arial" w:cs="Arial"/>
                <w:b/>
                <w:sz w:val="20"/>
                <w:szCs w:val="20"/>
              </w:rPr>
            </w:pPr>
            <w:r w:rsidRPr="008A26D2">
              <w:rPr>
                <w:rFonts w:ascii="Arial" w:eastAsia="Arial Narrow" w:hAnsi="Arial" w:cs="Arial"/>
                <w:b/>
                <w:sz w:val="20"/>
                <w:szCs w:val="20"/>
              </w:rPr>
              <w:t>2028</w:t>
            </w:r>
          </w:p>
        </w:tc>
        <w:tc>
          <w:tcPr>
            <w:tcW w:w="688" w:type="dxa"/>
            <w:tcBorders>
              <w:top w:val="single" w:sz="4" w:space="0" w:color="auto"/>
              <w:left w:val="single" w:sz="4" w:space="0" w:color="auto"/>
              <w:bottom w:val="single" w:sz="4" w:space="0" w:color="auto"/>
              <w:right w:val="single" w:sz="4" w:space="0" w:color="auto"/>
            </w:tcBorders>
            <w:shd w:val="clear" w:color="auto" w:fill="auto"/>
            <w:vAlign w:val="center"/>
          </w:tcPr>
          <w:p w14:paraId="41AF75E5" w14:textId="77777777" w:rsidR="00A75C0F" w:rsidRPr="008A26D2" w:rsidRDefault="00A75C0F" w:rsidP="00AF5836">
            <w:pPr>
              <w:tabs>
                <w:tab w:val="left" w:pos="3375"/>
              </w:tabs>
              <w:jc w:val="center"/>
              <w:rPr>
                <w:rFonts w:ascii="Arial" w:eastAsia="Arial Narrow" w:hAnsi="Arial" w:cs="Arial"/>
                <w:b/>
                <w:sz w:val="20"/>
                <w:szCs w:val="20"/>
              </w:rPr>
            </w:pPr>
            <w:r w:rsidRPr="008A26D2">
              <w:rPr>
                <w:rFonts w:ascii="Arial" w:eastAsia="Arial Narrow" w:hAnsi="Arial" w:cs="Arial"/>
                <w:b/>
                <w:sz w:val="20"/>
                <w:szCs w:val="20"/>
              </w:rPr>
              <w:t>2029</w:t>
            </w:r>
          </w:p>
        </w:tc>
        <w:tc>
          <w:tcPr>
            <w:tcW w:w="865" w:type="dxa"/>
            <w:tcBorders>
              <w:top w:val="single" w:sz="4" w:space="0" w:color="auto"/>
              <w:left w:val="single" w:sz="4" w:space="0" w:color="auto"/>
              <w:bottom w:val="single" w:sz="4" w:space="0" w:color="auto"/>
              <w:right w:val="single" w:sz="4" w:space="0" w:color="auto"/>
            </w:tcBorders>
            <w:shd w:val="clear" w:color="auto" w:fill="auto"/>
            <w:vAlign w:val="center"/>
          </w:tcPr>
          <w:p w14:paraId="034AA597" w14:textId="77777777" w:rsidR="00A75C0F" w:rsidRPr="008A26D2" w:rsidRDefault="00A75C0F" w:rsidP="00AF5836">
            <w:pPr>
              <w:tabs>
                <w:tab w:val="left" w:pos="3375"/>
              </w:tabs>
              <w:jc w:val="center"/>
              <w:rPr>
                <w:rFonts w:ascii="Arial" w:eastAsia="Arial Narrow" w:hAnsi="Arial" w:cs="Arial"/>
                <w:b/>
                <w:sz w:val="20"/>
                <w:szCs w:val="20"/>
              </w:rPr>
            </w:pPr>
            <w:r w:rsidRPr="008A26D2">
              <w:rPr>
                <w:rFonts w:ascii="Arial" w:eastAsia="Arial Narrow" w:hAnsi="Arial" w:cs="Arial"/>
                <w:b/>
                <w:sz w:val="20"/>
                <w:szCs w:val="20"/>
              </w:rPr>
              <w:t>2030</w:t>
            </w:r>
          </w:p>
        </w:tc>
      </w:tr>
      <w:tr w:rsidR="00A75C0F" w:rsidRPr="008A26D2" w14:paraId="4E49FD26" w14:textId="77777777" w:rsidTr="00AF5836">
        <w:trPr>
          <w:trHeight w:val="410"/>
          <w:jc w:val="center"/>
        </w:trPr>
        <w:tc>
          <w:tcPr>
            <w:tcW w:w="739" w:type="dxa"/>
            <w:tcBorders>
              <w:top w:val="single" w:sz="4" w:space="0" w:color="auto"/>
              <w:left w:val="single" w:sz="4" w:space="0" w:color="auto"/>
              <w:bottom w:val="single" w:sz="4" w:space="0" w:color="auto"/>
              <w:right w:val="single" w:sz="4" w:space="0" w:color="auto"/>
            </w:tcBorders>
            <w:shd w:val="clear" w:color="auto" w:fill="auto"/>
            <w:vAlign w:val="center"/>
          </w:tcPr>
          <w:p w14:paraId="02C7F490" w14:textId="77777777" w:rsidR="00A75C0F" w:rsidRPr="008A26D2" w:rsidRDefault="00A75C0F" w:rsidP="00AF5836">
            <w:pPr>
              <w:tabs>
                <w:tab w:val="left" w:pos="3375"/>
              </w:tabs>
              <w:jc w:val="both"/>
              <w:rPr>
                <w:rFonts w:ascii="Arial" w:eastAsia="Arial Narrow" w:hAnsi="Arial" w:cs="Arial"/>
                <w:b/>
                <w:sz w:val="20"/>
                <w:szCs w:val="20"/>
              </w:rPr>
            </w:pPr>
            <w:r w:rsidRPr="008A26D2">
              <w:rPr>
                <w:rFonts w:ascii="Arial" w:eastAsia="Arial Narrow" w:hAnsi="Arial" w:cs="Arial"/>
                <w:b/>
                <w:sz w:val="20"/>
                <w:szCs w:val="20"/>
              </w:rPr>
              <w:t>Valor</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14:paraId="4BFDFD52" w14:textId="4D62EF56" w:rsidR="00A75C0F" w:rsidRPr="008A26D2" w:rsidRDefault="00A75C0F" w:rsidP="00AF5836">
            <w:pPr>
              <w:tabs>
                <w:tab w:val="left" w:pos="3375"/>
              </w:tabs>
              <w:jc w:val="center"/>
              <w:rPr>
                <w:rFonts w:ascii="Arial" w:eastAsia="Arial Narrow" w:hAnsi="Arial" w:cs="Arial"/>
                <w:sz w:val="20"/>
                <w:szCs w:val="20"/>
              </w:rPr>
            </w:pPr>
            <w:r w:rsidRPr="00881C3C">
              <w:rPr>
                <w:rFonts w:ascii="Arial" w:eastAsia="Arial Narrow" w:hAnsi="Arial" w:cs="Arial"/>
                <w:sz w:val="20"/>
                <w:szCs w:val="20"/>
              </w:rPr>
              <w:t>ND</w:t>
            </w:r>
          </w:p>
        </w:tc>
        <w:tc>
          <w:tcPr>
            <w:tcW w:w="1040" w:type="dxa"/>
            <w:tcBorders>
              <w:top w:val="single" w:sz="4" w:space="0" w:color="auto"/>
              <w:left w:val="single" w:sz="4" w:space="0" w:color="auto"/>
              <w:bottom w:val="single" w:sz="4" w:space="0" w:color="auto"/>
              <w:right w:val="single" w:sz="4" w:space="0" w:color="auto"/>
            </w:tcBorders>
            <w:shd w:val="clear" w:color="auto" w:fill="auto"/>
            <w:vAlign w:val="center"/>
          </w:tcPr>
          <w:p w14:paraId="69EC17CB"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5%</w:t>
            </w:r>
          </w:p>
        </w:tc>
        <w:tc>
          <w:tcPr>
            <w:tcW w:w="893" w:type="dxa"/>
            <w:tcBorders>
              <w:top w:val="single" w:sz="4" w:space="0" w:color="auto"/>
              <w:left w:val="single" w:sz="4" w:space="0" w:color="auto"/>
              <w:bottom w:val="single" w:sz="4" w:space="0" w:color="auto"/>
              <w:right w:val="single" w:sz="4" w:space="0" w:color="auto"/>
            </w:tcBorders>
            <w:shd w:val="clear" w:color="auto" w:fill="auto"/>
            <w:vAlign w:val="center"/>
          </w:tcPr>
          <w:p w14:paraId="2159B1E5"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10%</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90A6E4B"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15%</w:t>
            </w:r>
          </w:p>
        </w:tc>
        <w:tc>
          <w:tcPr>
            <w:tcW w:w="74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035ED63"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25%</w:t>
            </w:r>
          </w:p>
        </w:tc>
        <w:tc>
          <w:tcPr>
            <w:tcW w:w="866" w:type="dxa"/>
            <w:tcBorders>
              <w:top w:val="single" w:sz="4" w:space="0" w:color="auto"/>
              <w:left w:val="single" w:sz="4" w:space="0" w:color="auto"/>
              <w:bottom w:val="single" w:sz="4" w:space="0" w:color="auto"/>
              <w:right w:val="single" w:sz="4" w:space="0" w:color="auto"/>
            </w:tcBorders>
            <w:shd w:val="clear" w:color="auto" w:fill="auto"/>
            <w:vAlign w:val="center"/>
          </w:tcPr>
          <w:p w14:paraId="5FE0ED5E"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35%</w:t>
            </w:r>
          </w:p>
        </w:tc>
        <w:tc>
          <w:tcPr>
            <w:tcW w:w="68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2FF1979"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60%</w:t>
            </w:r>
          </w:p>
        </w:tc>
        <w:tc>
          <w:tcPr>
            <w:tcW w:w="688" w:type="dxa"/>
            <w:tcBorders>
              <w:top w:val="single" w:sz="4" w:space="0" w:color="auto"/>
              <w:left w:val="single" w:sz="4" w:space="0" w:color="auto"/>
              <w:bottom w:val="single" w:sz="4" w:space="0" w:color="auto"/>
              <w:right w:val="single" w:sz="4" w:space="0" w:color="auto"/>
            </w:tcBorders>
            <w:shd w:val="clear" w:color="auto" w:fill="auto"/>
            <w:vAlign w:val="center"/>
          </w:tcPr>
          <w:p w14:paraId="1F810722"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75%</w:t>
            </w:r>
          </w:p>
        </w:tc>
        <w:tc>
          <w:tcPr>
            <w:tcW w:w="865" w:type="dxa"/>
            <w:tcBorders>
              <w:top w:val="single" w:sz="4" w:space="0" w:color="auto"/>
              <w:left w:val="single" w:sz="4" w:space="0" w:color="auto"/>
              <w:bottom w:val="single" w:sz="4" w:space="0" w:color="auto"/>
              <w:right w:val="single" w:sz="4" w:space="0" w:color="auto"/>
            </w:tcBorders>
            <w:shd w:val="clear" w:color="auto" w:fill="auto"/>
            <w:vAlign w:val="center"/>
          </w:tcPr>
          <w:p w14:paraId="33FB6477"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95%</w:t>
            </w:r>
          </w:p>
        </w:tc>
      </w:tr>
    </w:tbl>
    <w:p w14:paraId="0781856E" w14:textId="77777777" w:rsidR="00A75C0F" w:rsidRPr="008A26D2" w:rsidRDefault="00A75C0F" w:rsidP="00A75C0F"/>
    <w:p w14:paraId="0EE892A6" w14:textId="77777777" w:rsidR="00A75C0F" w:rsidRPr="008A26D2" w:rsidRDefault="00A75C0F" w:rsidP="00A75C0F"/>
    <w:tbl>
      <w:tblPr>
        <w:tblW w:w="8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1015"/>
        <w:gridCol w:w="827"/>
        <w:gridCol w:w="851"/>
        <w:gridCol w:w="709"/>
        <w:gridCol w:w="708"/>
        <w:gridCol w:w="709"/>
        <w:gridCol w:w="709"/>
        <w:gridCol w:w="850"/>
        <w:gridCol w:w="567"/>
      </w:tblGrid>
      <w:tr w:rsidR="00A75C0F" w:rsidRPr="008A26D2" w14:paraId="619A983E" w14:textId="77777777" w:rsidTr="00AF5836">
        <w:trPr>
          <w:trHeight w:val="251"/>
        </w:trPr>
        <w:tc>
          <w:tcPr>
            <w:tcW w:w="8500" w:type="dxa"/>
            <w:gridSpan w:val="10"/>
            <w:shd w:val="clear" w:color="auto" w:fill="D9D9D9" w:themeFill="background1" w:themeFillShade="D9"/>
            <w:tcMar>
              <w:top w:w="10" w:type="dxa"/>
              <w:left w:w="10" w:type="dxa"/>
              <w:bottom w:w="0" w:type="dxa"/>
              <w:right w:w="10" w:type="dxa"/>
            </w:tcMar>
            <w:vAlign w:val="center"/>
          </w:tcPr>
          <w:p w14:paraId="0B4E9AF0"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b/>
                <w:sz w:val="20"/>
                <w:szCs w:val="20"/>
              </w:rPr>
              <w:t>FICHA TÉCNICA DE INDICADOR DE SERVICIO 3.5.1</w:t>
            </w:r>
          </w:p>
        </w:tc>
      </w:tr>
      <w:tr w:rsidR="00A75C0F" w:rsidRPr="008A26D2" w14:paraId="5E1E9EF5" w14:textId="77777777" w:rsidTr="00AF5836">
        <w:trPr>
          <w:trHeight w:val="409"/>
        </w:trPr>
        <w:tc>
          <w:tcPr>
            <w:tcW w:w="2570" w:type="dxa"/>
            <w:gridSpan w:val="2"/>
            <w:shd w:val="clear" w:color="auto" w:fill="FFFFFF"/>
            <w:tcMar>
              <w:top w:w="10" w:type="dxa"/>
              <w:left w:w="93" w:type="dxa"/>
              <w:bottom w:w="0" w:type="dxa"/>
              <w:right w:w="10" w:type="dxa"/>
            </w:tcMar>
            <w:vAlign w:val="center"/>
          </w:tcPr>
          <w:p w14:paraId="02CF5F10"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Objetivo prioritario:</w:t>
            </w:r>
          </w:p>
        </w:tc>
        <w:tc>
          <w:tcPr>
            <w:tcW w:w="5930" w:type="dxa"/>
            <w:gridSpan w:val="8"/>
            <w:shd w:val="clear" w:color="auto" w:fill="FFFFFF"/>
            <w:tcMar>
              <w:top w:w="51" w:type="dxa"/>
              <w:left w:w="227" w:type="dxa"/>
              <w:bottom w:w="51" w:type="dxa"/>
              <w:right w:w="227" w:type="dxa"/>
            </w:tcMar>
            <w:vAlign w:val="center"/>
          </w:tcPr>
          <w:p w14:paraId="687EA8CD" w14:textId="77777777" w:rsidR="00A75C0F" w:rsidRPr="008A26D2" w:rsidRDefault="00A75C0F" w:rsidP="00AF5836">
            <w:pPr>
              <w:tabs>
                <w:tab w:val="left" w:pos="3375"/>
              </w:tabs>
              <w:rPr>
                <w:rFonts w:ascii="Arial" w:hAnsi="Arial" w:cs="Arial"/>
                <w:sz w:val="20"/>
                <w:szCs w:val="20"/>
              </w:rPr>
            </w:pPr>
            <w:r w:rsidRPr="008A26D2">
              <w:rPr>
                <w:rFonts w:ascii="Arial" w:eastAsia="Arial Narrow" w:hAnsi="Arial" w:cs="Arial"/>
                <w:sz w:val="20"/>
                <w:szCs w:val="20"/>
              </w:rPr>
              <w:t>OP3 Fortalecer la gobernanza forestal y de fauna silvestre</w:t>
            </w:r>
          </w:p>
        </w:tc>
      </w:tr>
      <w:tr w:rsidR="00A75C0F" w:rsidRPr="008A26D2" w14:paraId="1031282C" w14:textId="77777777" w:rsidTr="00AF5836">
        <w:trPr>
          <w:trHeight w:val="436"/>
        </w:trPr>
        <w:tc>
          <w:tcPr>
            <w:tcW w:w="2570" w:type="dxa"/>
            <w:gridSpan w:val="2"/>
            <w:shd w:val="clear" w:color="auto" w:fill="auto"/>
            <w:tcMar>
              <w:top w:w="10" w:type="dxa"/>
              <w:left w:w="93" w:type="dxa"/>
              <w:bottom w:w="0" w:type="dxa"/>
              <w:right w:w="10" w:type="dxa"/>
            </w:tcMar>
            <w:vAlign w:val="center"/>
          </w:tcPr>
          <w:p w14:paraId="57C50FB8"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Lineamiento de la política:</w:t>
            </w:r>
          </w:p>
        </w:tc>
        <w:tc>
          <w:tcPr>
            <w:tcW w:w="5930" w:type="dxa"/>
            <w:gridSpan w:val="8"/>
            <w:shd w:val="clear" w:color="auto" w:fill="auto"/>
            <w:tcMar>
              <w:top w:w="51" w:type="dxa"/>
              <w:left w:w="227" w:type="dxa"/>
              <w:bottom w:w="51" w:type="dxa"/>
              <w:right w:w="227" w:type="dxa"/>
            </w:tcMar>
            <w:vAlign w:val="center"/>
          </w:tcPr>
          <w:p w14:paraId="3DF8E334" w14:textId="77777777" w:rsidR="00A75C0F" w:rsidRPr="008A26D2" w:rsidRDefault="00A75C0F" w:rsidP="00AF5836">
            <w:pPr>
              <w:tabs>
                <w:tab w:val="left" w:pos="3375"/>
              </w:tabs>
              <w:jc w:val="both"/>
              <w:rPr>
                <w:rFonts w:ascii="Arial" w:hAnsi="Arial" w:cs="Arial"/>
                <w:sz w:val="20"/>
                <w:szCs w:val="20"/>
              </w:rPr>
            </w:pPr>
            <w:r w:rsidRPr="008A26D2">
              <w:rPr>
                <w:rFonts w:ascii="Arial" w:eastAsia="Arial Narrow" w:hAnsi="Arial" w:cs="Arial"/>
                <w:sz w:val="20"/>
                <w:szCs w:val="20"/>
              </w:rPr>
              <w:t>L3.5 Sensibilizar sobre el valor e importancia de los bienes y servicios que brindan los ecosistemas forestales, otros ecosistemas de vegetación silvestre y de la fauna silvestre a la población</w:t>
            </w:r>
          </w:p>
        </w:tc>
      </w:tr>
      <w:tr w:rsidR="00A75C0F" w:rsidRPr="008A26D2" w14:paraId="4769DFE9" w14:textId="77777777" w:rsidTr="00AF5836">
        <w:trPr>
          <w:trHeight w:val="404"/>
        </w:trPr>
        <w:tc>
          <w:tcPr>
            <w:tcW w:w="2570" w:type="dxa"/>
            <w:gridSpan w:val="2"/>
            <w:shd w:val="clear" w:color="auto" w:fill="auto"/>
            <w:tcMar>
              <w:top w:w="10" w:type="dxa"/>
              <w:left w:w="93" w:type="dxa"/>
              <w:bottom w:w="0" w:type="dxa"/>
              <w:right w:w="10" w:type="dxa"/>
            </w:tcMar>
            <w:vAlign w:val="center"/>
          </w:tcPr>
          <w:p w14:paraId="48DED123"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Nombre del servicio:</w:t>
            </w:r>
          </w:p>
        </w:tc>
        <w:tc>
          <w:tcPr>
            <w:tcW w:w="5930" w:type="dxa"/>
            <w:gridSpan w:val="8"/>
            <w:shd w:val="clear" w:color="auto" w:fill="auto"/>
            <w:tcMar>
              <w:top w:w="51" w:type="dxa"/>
              <w:left w:w="227" w:type="dxa"/>
              <w:bottom w:w="51" w:type="dxa"/>
              <w:right w:w="227" w:type="dxa"/>
            </w:tcMar>
            <w:vAlign w:val="center"/>
          </w:tcPr>
          <w:p w14:paraId="270A0B8D" w14:textId="77777777" w:rsidR="00A75C0F" w:rsidRPr="008A26D2" w:rsidRDefault="00A75C0F" w:rsidP="00AF5836">
            <w:pPr>
              <w:tabs>
                <w:tab w:val="left" w:pos="3375"/>
              </w:tabs>
              <w:jc w:val="both"/>
              <w:rPr>
                <w:rFonts w:ascii="Arial" w:hAnsi="Arial" w:cs="Arial"/>
                <w:strike/>
                <w:sz w:val="20"/>
                <w:szCs w:val="20"/>
              </w:rPr>
            </w:pPr>
            <w:r w:rsidRPr="008A26D2">
              <w:rPr>
                <w:rFonts w:ascii="Arial" w:eastAsia="Arial Narrow" w:hAnsi="Arial" w:cs="Arial"/>
                <w:sz w:val="20"/>
                <w:szCs w:val="20"/>
              </w:rPr>
              <w:t>S3.5.1 Sensibilización sobre la conservación y aprovechamiento sostenible de los recursos forestales y de fauna silvestre con pertinencia cultural dirigido a la población en general</w:t>
            </w:r>
          </w:p>
        </w:tc>
      </w:tr>
      <w:tr w:rsidR="00A75C0F" w:rsidRPr="008A26D2" w14:paraId="62C24725" w14:textId="77777777" w:rsidTr="00AF5836">
        <w:trPr>
          <w:trHeight w:val="1007"/>
        </w:trPr>
        <w:tc>
          <w:tcPr>
            <w:tcW w:w="2570" w:type="dxa"/>
            <w:gridSpan w:val="2"/>
            <w:shd w:val="clear" w:color="auto" w:fill="auto"/>
            <w:tcMar>
              <w:top w:w="10" w:type="dxa"/>
              <w:left w:w="93" w:type="dxa"/>
              <w:bottom w:w="0" w:type="dxa"/>
              <w:right w:w="10" w:type="dxa"/>
            </w:tcMar>
            <w:vAlign w:val="center"/>
          </w:tcPr>
          <w:p w14:paraId="43BFD69F"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Nombre del indicador:</w:t>
            </w:r>
          </w:p>
        </w:tc>
        <w:tc>
          <w:tcPr>
            <w:tcW w:w="5930" w:type="dxa"/>
            <w:gridSpan w:val="8"/>
            <w:shd w:val="clear" w:color="auto" w:fill="auto"/>
            <w:tcMar>
              <w:top w:w="51" w:type="dxa"/>
              <w:left w:w="227" w:type="dxa"/>
              <w:bottom w:w="51" w:type="dxa"/>
              <w:right w:w="227" w:type="dxa"/>
            </w:tcMar>
            <w:vAlign w:val="center"/>
          </w:tcPr>
          <w:p w14:paraId="31995799" w14:textId="77777777" w:rsidR="00A75C0F" w:rsidRPr="008A26D2" w:rsidRDefault="00A75C0F" w:rsidP="00881C3C">
            <w:pPr>
              <w:tabs>
                <w:tab w:val="left" w:pos="3375"/>
              </w:tabs>
              <w:jc w:val="both"/>
              <w:rPr>
                <w:rFonts w:ascii="Arial" w:hAnsi="Arial" w:cs="Arial"/>
                <w:strike/>
                <w:sz w:val="20"/>
                <w:szCs w:val="20"/>
              </w:rPr>
            </w:pPr>
            <w:r w:rsidRPr="008A26D2">
              <w:rPr>
                <w:rFonts w:ascii="Arial" w:eastAsia="Arial Narrow" w:hAnsi="Arial" w:cs="Arial"/>
                <w:sz w:val="20"/>
                <w:szCs w:val="20"/>
              </w:rPr>
              <w:t>Porcentaje de regiones donde se realizan eventos de sensibilización a la población con enfoque cultural sobre la conservación y aprovechamiento sostenible de los recursos forestales y de la fauna silvestre</w:t>
            </w:r>
          </w:p>
        </w:tc>
      </w:tr>
      <w:tr w:rsidR="00A75C0F" w:rsidRPr="008A26D2" w14:paraId="1F5F7DE8" w14:textId="77777777" w:rsidTr="00AF5836">
        <w:trPr>
          <w:trHeight w:val="359"/>
        </w:trPr>
        <w:tc>
          <w:tcPr>
            <w:tcW w:w="2570" w:type="dxa"/>
            <w:gridSpan w:val="2"/>
            <w:shd w:val="clear" w:color="auto" w:fill="auto"/>
            <w:tcMar>
              <w:top w:w="10" w:type="dxa"/>
              <w:left w:w="93" w:type="dxa"/>
              <w:bottom w:w="0" w:type="dxa"/>
              <w:right w:w="10" w:type="dxa"/>
            </w:tcMar>
            <w:vAlign w:val="center"/>
          </w:tcPr>
          <w:p w14:paraId="523049FB"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Justificación:</w:t>
            </w:r>
          </w:p>
        </w:tc>
        <w:tc>
          <w:tcPr>
            <w:tcW w:w="5930" w:type="dxa"/>
            <w:gridSpan w:val="8"/>
            <w:shd w:val="clear" w:color="auto" w:fill="auto"/>
            <w:tcMar>
              <w:top w:w="51" w:type="dxa"/>
              <w:left w:w="227" w:type="dxa"/>
              <w:bottom w:w="51" w:type="dxa"/>
              <w:right w:w="227" w:type="dxa"/>
            </w:tcMar>
            <w:vAlign w:val="center"/>
          </w:tcPr>
          <w:p w14:paraId="2192FF79" w14:textId="77777777" w:rsidR="00A75C0F" w:rsidRPr="008A26D2" w:rsidRDefault="00A75C0F" w:rsidP="00AF5836">
            <w:pPr>
              <w:tabs>
                <w:tab w:val="left" w:pos="3375"/>
              </w:tabs>
              <w:jc w:val="both"/>
              <w:rPr>
                <w:rFonts w:ascii="Arial" w:hAnsi="Arial" w:cs="Arial"/>
                <w:sz w:val="20"/>
                <w:szCs w:val="20"/>
              </w:rPr>
            </w:pPr>
            <w:r w:rsidRPr="008A26D2">
              <w:rPr>
                <w:rFonts w:ascii="Arial" w:eastAsia="Arial Narrow" w:hAnsi="Arial" w:cs="Arial"/>
                <w:sz w:val="20"/>
                <w:szCs w:val="20"/>
              </w:rPr>
              <w:t xml:space="preserve">El presente indicador permite medir el porcentaje de regiones donde se realiza eventos de sensibilización con enfoque cultural sobre la conservación y aprovechamiento sostenible de los recursos forestales y de la fauna silvestre. De esta </w:t>
            </w:r>
            <w:r w:rsidRPr="008A26D2">
              <w:rPr>
                <w:rFonts w:ascii="Arial" w:eastAsia="Arial Narrow" w:hAnsi="Arial" w:cs="Arial"/>
                <w:sz w:val="20"/>
                <w:szCs w:val="20"/>
              </w:rPr>
              <w:lastRenderedPageBreak/>
              <w:t>forma el indicador facilitara el seguimiento para establecer acciones de mejora correspondientes.</w:t>
            </w:r>
          </w:p>
        </w:tc>
      </w:tr>
      <w:tr w:rsidR="00A75C0F" w:rsidRPr="008A26D2" w14:paraId="71612C91" w14:textId="77777777" w:rsidTr="00AF5836">
        <w:trPr>
          <w:trHeight w:val="540"/>
        </w:trPr>
        <w:tc>
          <w:tcPr>
            <w:tcW w:w="2570" w:type="dxa"/>
            <w:gridSpan w:val="2"/>
            <w:shd w:val="clear" w:color="auto" w:fill="auto"/>
            <w:tcMar>
              <w:top w:w="10" w:type="dxa"/>
              <w:left w:w="93" w:type="dxa"/>
              <w:bottom w:w="0" w:type="dxa"/>
              <w:right w:w="10" w:type="dxa"/>
            </w:tcMar>
            <w:vAlign w:val="center"/>
          </w:tcPr>
          <w:p w14:paraId="2D6DE28F"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lastRenderedPageBreak/>
              <w:t>Responsable del indicador:</w:t>
            </w:r>
          </w:p>
        </w:tc>
        <w:tc>
          <w:tcPr>
            <w:tcW w:w="5930" w:type="dxa"/>
            <w:gridSpan w:val="8"/>
            <w:shd w:val="clear" w:color="auto" w:fill="auto"/>
            <w:tcMar>
              <w:top w:w="51" w:type="dxa"/>
              <w:left w:w="227" w:type="dxa"/>
              <w:bottom w:w="51" w:type="dxa"/>
              <w:right w:w="227" w:type="dxa"/>
            </w:tcMar>
            <w:vAlign w:val="center"/>
          </w:tcPr>
          <w:p w14:paraId="6B99410B" w14:textId="77777777" w:rsidR="00A75C0F" w:rsidRPr="008A26D2" w:rsidRDefault="00A75C0F" w:rsidP="00AF5836">
            <w:pPr>
              <w:tabs>
                <w:tab w:val="left" w:pos="3375"/>
              </w:tabs>
              <w:jc w:val="both"/>
              <w:rPr>
                <w:rFonts w:ascii="Arial" w:hAnsi="Arial" w:cs="Arial"/>
                <w:sz w:val="20"/>
                <w:szCs w:val="20"/>
              </w:rPr>
            </w:pPr>
            <w:r w:rsidRPr="008A26D2">
              <w:rPr>
                <w:rFonts w:ascii="Arial" w:eastAsia="Arial Narrow" w:hAnsi="Arial" w:cs="Arial"/>
                <w:sz w:val="20"/>
                <w:szCs w:val="20"/>
              </w:rPr>
              <w:t>Dirección de Fortalecimiento de Capacidades del Servicio Nacional Forestal y de Fauna Silvestre -SERFOR</w:t>
            </w:r>
          </w:p>
        </w:tc>
      </w:tr>
      <w:tr w:rsidR="00A75C0F" w:rsidRPr="008A26D2" w14:paraId="5ADF101F" w14:textId="77777777" w:rsidTr="00AF5836">
        <w:trPr>
          <w:trHeight w:val="479"/>
        </w:trPr>
        <w:tc>
          <w:tcPr>
            <w:tcW w:w="2570" w:type="dxa"/>
            <w:gridSpan w:val="2"/>
            <w:shd w:val="clear" w:color="auto" w:fill="auto"/>
            <w:tcMar>
              <w:top w:w="10" w:type="dxa"/>
              <w:left w:w="93" w:type="dxa"/>
              <w:bottom w:w="0" w:type="dxa"/>
              <w:right w:w="10" w:type="dxa"/>
            </w:tcMar>
            <w:vAlign w:val="center"/>
          </w:tcPr>
          <w:p w14:paraId="37F7B455"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Limitaciones para la medición del indicador:</w:t>
            </w:r>
          </w:p>
        </w:tc>
        <w:tc>
          <w:tcPr>
            <w:tcW w:w="5930" w:type="dxa"/>
            <w:gridSpan w:val="8"/>
            <w:shd w:val="clear" w:color="auto" w:fill="auto"/>
            <w:tcMar>
              <w:top w:w="51" w:type="dxa"/>
              <w:left w:w="227" w:type="dxa"/>
              <w:bottom w:w="51" w:type="dxa"/>
              <w:right w:w="227" w:type="dxa"/>
            </w:tcMar>
            <w:vAlign w:val="center"/>
          </w:tcPr>
          <w:p w14:paraId="34CDEBE2" w14:textId="77777777" w:rsidR="00A75C0F" w:rsidRPr="008A26D2" w:rsidRDefault="00A75C0F" w:rsidP="00AF5836">
            <w:pPr>
              <w:tabs>
                <w:tab w:val="left" w:pos="3375"/>
              </w:tabs>
              <w:jc w:val="both"/>
              <w:rPr>
                <w:rFonts w:ascii="Arial" w:hAnsi="Arial" w:cs="Arial"/>
                <w:sz w:val="20"/>
                <w:szCs w:val="20"/>
              </w:rPr>
            </w:pPr>
            <w:r w:rsidRPr="008A26D2">
              <w:rPr>
                <w:rFonts w:ascii="Arial" w:eastAsia="Arial Narrow" w:hAnsi="Arial" w:cs="Arial"/>
                <w:sz w:val="20"/>
                <w:szCs w:val="20"/>
              </w:rPr>
              <w:t>No presenta limitaciones</w:t>
            </w:r>
          </w:p>
        </w:tc>
      </w:tr>
      <w:tr w:rsidR="00A75C0F" w:rsidRPr="008A26D2" w14:paraId="20D6BEDB" w14:textId="77777777" w:rsidTr="00AF5836">
        <w:trPr>
          <w:trHeight w:val="231"/>
        </w:trPr>
        <w:tc>
          <w:tcPr>
            <w:tcW w:w="2570" w:type="dxa"/>
            <w:gridSpan w:val="2"/>
            <w:shd w:val="clear" w:color="auto" w:fill="auto"/>
            <w:tcMar>
              <w:top w:w="10" w:type="dxa"/>
              <w:left w:w="93" w:type="dxa"/>
              <w:bottom w:w="0" w:type="dxa"/>
              <w:right w:w="10" w:type="dxa"/>
            </w:tcMar>
            <w:vAlign w:val="center"/>
          </w:tcPr>
          <w:p w14:paraId="3A7A58FE"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 xml:space="preserve">Método de cálculo: </w:t>
            </w:r>
          </w:p>
        </w:tc>
        <w:tc>
          <w:tcPr>
            <w:tcW w:w="5930" w:type="dxa"/>
            <w:gridSpan w:val="8"/>
            <w:shd w:val="clear" w:color="auto" w:fill="auto"/>
            <w:tcMar>
              <w:top w:w="51" w:type="dxa"/>
              <w:left w:w="227" w:type="dxa"/>
              <w:bottom w:w="51" w:type="dxa"/>
              <w:right w:w="227" w:type="dxa"/>
            </w:tcMar>
            <w:vAlign w:val="center"/>
          </w:tcPr>
          <w:p w14:paraId="02B4D90D" w14:textId="77777777" w:rsidR="00A75C0F" w:rsidRPr="008A26D2" w:rsidRDefault="00A75C0F" w:rsidP="00AF5836">
            <w:pPr>
              <w:spacing w:after="0" w:line="240" w:lineRule="auto"/>
              <w:jc w:val="both"/>
              <w:rPr>
                <w:rFonts w:ascii="Arial" w:eastAsia="Arial Narrow" w:hAnsi="Arial" w:cs="Arial"/>
                <w:b/>
                <w:sz w:val="20"/>
                <w:szCs w:val="20"/>
              </w:rPr>
            </w:pPr>
            <w:r w:rsidRPr="008A26D2">
              <w:rPr>
                <w:rFonts w:ascii="Arial" w:eastAsia="Arial Narrow" w:hAnsi="Arial" w:cs="Arial"/>
                <w:b/>
                <w:sz w:val="20"/>
                <w:szCs w:val="20"/>
              </w:rPr>
              <w:t>1. Fórmula:</w:t>
            </w:r>
          </w:p>
          <w:p w14:paraId="6EF773DA" w14:textId="77777777" w:rsidR="00A75C0F" w:rsidRPr="008A26D2" w:rsidRDefault="00A75C0F" w:rsidP="00AF5836">
            <w:pPr>
              <w:spacing w:after="0" w:line="240" w:lineRule="auto"/>
              <w:jc w:val="both"/>
              <w:rPr>
                <w:rFonts w:ascii="Arial" w:eastAsia="Arial Unicode MS" w:hAnsi="Arial" w:cs="Arial"/>
                <w:sz w:val="20"/>
                <w:szCs w:val="20"/>
              </w:rPr>
            </w:pPr>
          </w:p>
          <w:p w14:paraId="262471E1" w14:textId="77777777" w:rsidR="00A75C0F" w:rsidRPr="008A26D2" w:rsidRDefault="00A75C0F" w:rsidP="00AF5836">
            <w:pPr>
              <w:spacing w:after="0" w:line="240" w:lineRule="auto"/>
              <w:jc w:val="both"/>
              <w:rPr>
                <w:rFonts w:ascii="Arial" w:eastAsia="Arial Unicode MS" w:hAnsi="Arial" w:cs="Arial"/>
                <w:sz w:val="20"/>
                <w:szCs w:val="20"/>
              </w:rPr>
            </w:pPr>
            <w:r w:rsidRPr="008A26D2">
              <w:rPr>
                <w:rFonts w:ascii="Arial" w:eastAsia="Arial Unicode MS" w:hAnsi="Arial" w:cs="Arial"/>
                <w:sz w:val="20"/>
                <w:szCs w:val="20"/>
              </w:rPr>
              <w:t>(A/B)*100</w:t>
            </w:r>
          </w:p>
          <w:p w14:paraId="5F317CB5" w14:textId="77777777" w:rsidR="00A75C0F" w:rsidRPr="008A26D2" w:rsidRDefault="00A75C0F" w:rsidP="00AF5836">
            <w:pPr>
              <w:spacing w:after="0" w:line="240" w:lineRule="auto"/>
              <w:jc w:val="both"/>
              <w:rPr>
                <w:rFonts w:ascii="Arial" w:eastAsia="Arial Unicode MS" w:hAnsi="Arial" w:cs="Arial"/>
                <w:sz w:val="20"/>
                <w:szCs w:val="20"/>
              </w:rPr>
            </w:pPr>
          </w:p>
          <w:p w14:paraId="088A1FE5" w14:textId="77777777" w:rsidR="00A75C0F" w:rsidRPr="008A26D2" w:rsidRDefault="00A75C0F" w:rsidP="00AF5836">
            <w:pPr>
              <w:spacing w:after="0" w:line="240" w:lineRule="auto"/>
              <w:jc w:val="both"/>
              <w:rPr>
                <w:rFonts w:ascii="Arial" w:eastAsia="Arial Unicode MS" w:hAnsi="Arial" w:cs="Arial"/>
                <w:sz w:val="20"/>
                <w:szCs w:val="20"/>
              </w:rPr>
            </w:pPr>
            <w:r w:rsidRPr="008A26D2">
              <w:rPr>
                <w:rFonts w:ascii="Arial" w:eastAsia="Arial Unicode MS" w:hAnsi="Arial" w:cs="Arial"/>
                <w:sz w:val="20"/>
                <w:szCs w:val="20"/>
              </w:rPr>
              <w:t>Donde:</w:t>
            </w:r>
          </w:p>
          <w:p w14:paraId="35F65C80" w14:textId="67849D91" w:rsidR="00A75C0F" w:rsidRPr="008A26D2" w:rsidRDefault="00A75C0F" w:rsidP="00AF5836">
            <w:pPr>
              <w:spacing w:after="0" w:line="240" w:lineRule="auto"/>
              <w:ind w:left="319" w:hanging="319"/>
              <w:jc w:val="both"/>
              <w:rPr>
                <w:rFonts w:ascii="Arial" w:eastAsia="Arial Unicode MS" w:hAnsi="Arial" w:cs="Arial"/>
                <w:sz w:val="20"/>
                <w:szCs w:val="20"/>
              </w:rPr>
            </w:pPr>
            <w:r w:rsidRPr="008A26D2">
              <w:rPr>
                <w:rFonts w:ascii="Arial" w:eastAsia="Arial Unicode MS" w:hAnsi="Arial" w:cs="Arial"/>
                <w:sz w:val="20"/>
                <w:szCs w:val="20"/>
              </w:rPr>
              <w:t xml:space="preserve">A= Número de </w:t>
            </w:r>
            <w:r w:rsidRPr="008A26D2">
              <w:rPr>
                <w:rFonts w:ascii="Arial" w:eastAsia="Arial Narrow" w:hAnsi="Arial" w:cs="Arial"/>
                <w:sz w:val="20"/>
                <w:szCs w:val="20"/>
              </w:rPr>
              <w:t>regiones donde se realizan eventos de sensibilización a la población con enfoque cultural sobre la conservación y aprovechamiento sostenible de los recursos forestales y de fauna silvestre</w:t>
            </w:r>
          </w:p>
          <w:p w14:paraId="474758D7" w14:textId="77777777" w:rsidR="00A75C0F" w:rsidRPr="008A26D2" w:rsidRDefault="00A75C0F" w:rsidP="00AF5836">
            <w:pPr>
              <w:spacing w:after="0" w:line="240" w:lineRule="auto"/>
              <w:ind w:left="319" w:hanging="319"/>
              <w:jc w:val="both"/>
              <w:rPr>
                <w:rFonts w:ascii="Arial" w:eastAsia="Arial Narrow" w:hAnsi="Arial" w:cs="Arial"/>
                <w:sz w:val="20"/>
                <w:szCs w:val="20"/>
              </w:rPr>
            </w:pPr>
            <w:r w:rsidRPr="008A26D2">
              <w:rPr>
                <w:rFonts w:ascii="Arial" w:eastAsia="Arial Unicode MS" w:hAnsi="Arial" w:cs="Arial"/>
                <w:sz w:val="20"/>
                <w:szCs w:val="20"/>
              </w:rPr>
              <w:t xml:space="preserve">B= </w:t>
            </w:r>
            <w:r w:rsidRPr="008A26D2">
              <w:rPr>
                <w:rFonts w:ascii="Arial" w:eastAsia="Arial Narrow" w:hAnsi="Arial" w:cs="Arial"/>
                <w:sz w:val="20"/>
                <w:szCs w:val="20"/>
              </w:rPr>
              <w:t>Total de regiones</w:t>
            </w:r>
          </w:p>
          <w:p w14:paraId="17280EBE" w14:textId="77777777" w:rsidR="00A75C0F" w:rsidRPr="008A26D2" w:rsidRDefault="00A75C0F" w:rsidP="00AF5836">
            <w:pPr>
              <w:spacing w:after="0" w:line="240" w:lineRule="auto"/>
              <w:jc w:val="both"/>
              <w:rPr>
                <w:rFonts w:ascii="Arial" w:eastAsia="Arial Narrow" w:hAnsi="Arial" w:cs="Arial"/>
                <w:sz w:val="20"/>
                <w:szCs w:val="20"/>
              </w:rPr>
            </w:pPr>
            <w:r w:rsidRPr="008A26D2">
              <w:rPr>
                <w:rFonts w:ascii="Arial" w:eastAsia="Arial Narrow" w:hAnsi="Arial" w:cs="Arial"/>
                <w:sz w:val="20"/>
                <w:szCs w:val="20"/>
              </w:rPr>
              <w:br/>
            </w:r>
            <w:r w:rsidRPr="008A26D2">
              <w:rPr>
                <w:rFonts w:ascii="Arial" w:eastAsia="Arial Narrow" w:hAnsi="Arial" w:cs="Arial"/>
                <w:b/>
                <w:sz w:val="20"/>
                <w:szCs w:val="20"/>
              </w:rPr>
              <w:t>2.  Especificaciones técnicas:</w:t>
            </w:r>
          </w:p>
          <w:p w14:paraId="76CA524E" w14:textId="77777777" w:rsidR="00A75C0F" w:rsidRDefault="00A75C0F" w:rsidP="00AF5836">
            <w:pPr>
              <w:spacing w:after="0" w:line="240" w:lineRule="auto"/>
              <w:jc w:val="both"/>
              <w:rPr>
                <w:rFonts w:ascii="Arial" w:eastAsia="Arial Narrow" w:hAnsi="Arial" w:cs="Arial"/>
                <w:sz w:val="20"/>
                <w:szCs w:val="20"/>
              </w:rPr>
            </w:pPr>
          </w:p>
          <w:p w14:paraId="4AC47EE2" w14:textId="77777777" w:rsidR="00A75C0F" w:rsidRPr="00DE1B5D" w:rsidRDefault="00A75C0F" w:rsidP="00AF5836">
            <w:pPr>
              <w:spacing w:after="0" w:line="240" w:lineRule="auto"/>
              <w:jc w:val="both"/>
              <w:rPr>
                <w:rFonts w:ascii="Arial" w:eastAsia="Arial Narrow" w:hAnsi="Arial" w:cs="Arial"/>
                <w:sz w:val="20"/>
                <w:szCs w:val="20"/>
              </w:rPr>
            </w:pPr>
            <w:r w:rsidRPr="00DE1B5D">
              <w:rPr>
                <w:rFonts w:ascii="Arial" w:eastAsia="Arial Narrow" w:hAnsi="Arial" w:cs="Arial"/>
                <w:sz w:val="20"/>
                <w:szCs w:val="20"/>
              </w:rPr>
              <w:t xml:space="preserve">La variable A se determina cuando </w:t>
            </w:r>
            <w:r>
              <w:rPr>
                <w:rFonts w:ascii="Arial" w:eastAsia="Arial Narrow" w:hAnsi="Arial" w:cs="Arial"/>
                <w:sz w:val="20"/>
                <w:szCs w:val="20"/>
              </w:rPr>
              <w:t>las regiones realizan eventos de sensibilización sobre la conservación y aprovechamiento sostenible de los recursos forestales y de fauna silvestre teniendo en cuenta el lenguaje y practicas sociales de la población a quienes se dirige el evento.</w:t>
            </w:r>
          </w:p>
          <w:p w14:paraId="6F448A60" w14:textId="77777777" w:rsidR="00A75C0F" w:rsidRDefault="00A75C0F" w:rsidP="00AF5836">
            <w:pPr>
              <w:spacing w:after="0" w:line="240" w:lineRule="auto"/>
              <w:jc w:val="both"/>
              <w:rPr>
                <w:rFonts w:ascii="Arial" w:eastAsia="Arial Narrow" w:hAnsi="Arial" w:cs="Arial"/>
                <w:sz w:val="20"/>
                <w:szCs w:val="20"/>
              </w:rPr>
            </w:pPr>
          </w:p>
          <w:p w14:paraId="4206FAF7" w14:textId="7352CEA0" w:rsidR="00A75C0F" w:rsidRPr="008A26D2" w:rsidRDefault="00A75C0F" w:rsidP="00AF5836">
            <w:pPr>
              <w:spacing w:after="0" w:line="240" w:lineRule="auto"/>
              <w:jc w:val="both"/>
              <w:rPr>
                <w:rFonts w:ascii="Arial" w:hAnsi="Arial" w:cs="Arial"/>
                <w:sz w:val="20"/>
                <w:szCs w:val="20"/>
              </w:rPr>
            </w:pPr>
            <w:r w:rsidRPr="00DE1B5D">
              <w:rPr>
                <w:rFonts w:ascii="Arial" w:eastAsia="Arial Narrow" w:hAnsi="Arial" w:cs="Arial"/>
                <w:sz w:val="20"/>
                <w:szCs w:val="20"/>
              </w:rPr>
              <w:t xml:space="preserve">La variable B se determina </w:t>
            </w:r>
            <w:r w:rsidR="00881C3C">
              <w:rPr>
                <w:rFonts w:ascii="Arial" w:eastAsia="Arial Narrow" w:hAnsi="Arial" w:cs="Arial"/>
                <w:sz w:val="20"/>
                <w:szCs w:val="20"/>
              </w:rPr>
              <w:t>en base</w:t>
            </w:r>
            <w:r w:rsidRPr="00DE1B5D">
              <w:rPr>
                <w:rFonts w:ascii="Arial" w:eastAsia="Arial Narrow" w:hAnsi="Arial" w:cs="Arial"/>
                <w:sz w:val="20"/>
                <w:szCs w:val="20"/>
              </w:rPr>
              <w:t xml:space="preserve"> </w:t>
            </w:r>
            <w:r w:rsidR="00881C3C">
              <w:rPr>
                <w:rFonts w:ascii="Arial" w:eastAsia="Arial Narrow" w:hAnsi="Arial" w:cs="Arial"/>
                <w:sz w:val="20"/>
                <w:szCs w:val="20"/>
              </w:rPr>
              <w:t>a</w:t>
            </w:r>
            <w:r w:rsidRPr="00DE1B5D">
              <w:rPr>
                <w:rFonts w:ascii="Arial" w:eastAsia="Arial Narrow" w:hAnsi="Arial" w:cs="Arial"/>
                <w:sz w:val="20"/>
                <w:szCs w:val="20"/>
              </w:rPr>
              <w:t xml:space="preserve">l total de </w:t>
            </w:r>
            <w:r>
              <w:rPr>
                <w:rFonts w:ascii="Arial" w:eastAsia="Arial Narrow" w:hAnsi="Arial" w:cs="Arial"/>
                <w:sz w:val="20"/>
                <w:szCs w:val="20"/>
              </w:rPr>
              <w:t>regiones, el cual asciende a 25.</w:t>
            </w:r>
          </w:p>
        </w:tc>
      </w:tr>
      <w:tr w:rsidR="00A75C0F" w:rsidRPr="008A26D2" w14:paraId="05C50816" w14:textId="77777777" w:rsidTr="00AF5836">
        <w:trPr>
          <w:trHeight w:val="815"/>
        </w:trPr>
        <w:tc>
          <w:tcPr>
            <w:tcW w:w="2570" w:type="dxa"/>
            <w:gridSpan w:val="2"/>
            <w:shd w:val="clear" w:color="auto" w:fill="auto"/>
            <w:tcMar>
              <w:top w:w="10" w:type="dxa"/>
              <w:left w:w="93" w:type="dxa"/>
              <w:bottom w:w="0" w:type="dxa"/>
              <w:right w:w="10" w:type="dxa"/>
            </w:tcMar>
            <w:vAlign w:val="center"/>
          </w:tcPr>
          <w:p w14:paraId="6964AB54"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Sentido esperado del indicador:</w:t>
            </w:r>
          </w:p>
        </w:tc>
        <w:tc>
          <w:tcPr>
            <w:tcW w:w="1678" w:type="dxa"/>
            <w:gridSpan w:val="2"/>
            <w:shd w:val="clear" w:color="auto" w:fill="auto"/>
            <w:tcMar>
              <w:top w:w="10" w:type="dxa"/>
              <w:left w:w="283" w:type="dxa"/>
              <w:bottom w:w="0" w:type="dxa"/>
              <w:right w:w="283" w:type="dxa"/>
            </w:tcMar>
            <w:vAlign w:val="center"/>
          </w:tcPr>
          <w:p w14:paraId="560D9233" w14:textId="77777777" w:rsidR="00A75C0F" w:rsidRPr="008A26D2" w:rsidRDefault="00A75C0F" w:rsidP="00AF5836">
            <w:pPr>
              <w:tabs>
                <w:tab w:val="left" w:pos="3375"/>
              </w:tabs>
              <w:rPr>
                <w:rFonts w:ascii="Arial" w:hAnsi="Arial" w:cs="Arial"/>
                <w:sz w:val="20"/>
                <w:szCs w:val="20"/>
              </w:rPr>
            </w:pPr>
            <w:r w:rsidRPr="008A26D2">
              <w:rPr>
                <w:rFonts w:ascii="Arial" w:eastAsia="Arial Narrow" w:hAnsi="Arial" w:cs="Arial"/>
                <w:sz w:val="20"/>
                <w:szCs w:val="20"/>
              </w:rPr>
              <w:t>Ascendente</w:t>
            </w:r>
          </w:p>
        </w:tc>
        <w:tc>
          <w:tcPr>
            <w:tcW w:w="2835" w:type="dxa"/>
            <w:gridSpan w:val="4"/>
            <w:shd w:val="clear" w:color="auto" w:fill="auto"/>
            <w:tcMar>
              <w:top w:w="15" w:type="dxa"/>
              <w:left w:w="15" w:type="dxa"/>
              <w:bottom w:w="0" w:type="dxa"/>
              <w:right w:w="15" w:type="dxa"/>
            </w:tcMar>
            <w:vAlign w:val="center"/>
          </w:tcPr>
          <w:p w14:paraId="61AEA2D0" w14:textId="77777777" w:rsidR="00A75C0F" w:rsidRPr="008A26D2" w:rsidRDefault="00A75C0F" w:rsidP="00AF5836">
            <w:pPr>
              <w:tabs>
                <w:tab w:val="left" w:pos="3375"/>
              </w:tabs>
              <w:jc w:val="center"/>
              <w:rPr>
                <w:rFonts w:ascii="Arial" w:hAnsi="Arial" w:cs="Arial"/>
                <w:sz w:val="20"/>
                <w:szCs w:val="20"/>
              </w:rPr>
            </w:pPr>
            <w:r w:rsidRPr="008A26D2">
              <w:rPr>
                <w:rFonts w:ascii="Arial" w:eastAsia="Arial Narrow" w:hAnsi="Arial" w:cs="Arial"/>
                <w:b/>
                <w:sz w:val="20"/>
                <w:szCs w:val="20"/>
              </w:rPr>
              <w:t>Tipo de Indicador de Servicio</w:t>
            </w:r>
          </w:p>
        </w:tc>
        <w:tc>
          <w:tcPr>
            <w:tcW w:w="1417" w:type="dxa"/>
            <w:gridSpan w:val="2"/>
            <w:shd w:val="clear" w:color="auto" w:fill="auto"/>
            <w:tcMar>
              <w:top w:w="15" w:type="dxa"/>
              <w:left w:w="15" w:type="dxa"/>
              <w:bottom w:w="0" w:type="dxa"/>
              <w:right w:w="15" w:type="dxa"/>
            </w:tcMar>
            <w:vAlign w:val="center"/>
          </w:tcPr>
          <w:p w14:paraId="03A9022C" w14:textId="77777777" w:rsidR="00A75C0F" w:rsidRPr="008A26D2" w:rsidRDefault="00A75C0F" w:rsidP="00AF5836">
            <w:pPr>
              <w:tabs>
                <w:tab w:val="left" w:pos="3375"/>
              </w:tabs>
              <w:jc w:val="center"/>
              <w:rPr>
                <w:rFonts w:ascii="Arial" w:hAnsi="Arial" w:cs="Arial"/>
                <w:sz w:val="20"/>
                <w:szCs w:val="20"/>
              </w:rPr>
            </w:pPr>
            <w:r w:rsidRPr="008A26D2">
              <w:rPr>
                <w:rFonts w:ascii="Arial" w:eastAsia="Arial Narrow" w:hAnsi="Arial" w:cs="Arial"/>
                <w:sz w:val="20"/>
                <w:szCs w:val="20"/>
              </w:rPr>
              <w:t>Calidad – Pertinencia cultural</w:t>
            </w:r>
          </w:p>
        </w:tc>
      </w:tr>
      <w:tr w:rsidR="00A75C0F" w:rsidRPr="008A26D2" w14:paraId="5AFB7E00" w14:textId="77777777" w:rsidTr="00AF5836">
        <w:trPr>
          <w:trHeight w:val="1588"/>
        </w:trPr>
        <w:tc>
          <w:tcPr>
            <w:tcW w:w="2570" w:type="dxa"/>
            <w:gridSpan w:val="2"/>
            <w:shd w:val="clear" w:color="auto" w:fill="auto"/>
            <w:tcMar>
              <w:top w:w="10" w:type="dxa"/>
              <w:left w:w="93" w:type="dxa"/>
              <w:bottom w:w="0" w:type="dxa"/>
              <w:right w:w="10" w:type="dxa"/>
            </w:tcMar>
            <w:vAlign w:val="center"/>
          </w:tcPr>
          <w:p w14:paraId="72D3ED03"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Fuente y base de datos:</w:t>
            </w:r>
          </w:p>
        </w:tc>
        <w:tc>
          <w:tcPr>
            <w:tcW w:w="5930" w:type="dxa"/>
            <w:gridSpan w:val="8"/>
            <w:shd w:val="clear" w:color="auto" w:fill="auto"/>
            <w:tcMar>
              <w:top w:w="51" w:type="dxa"/>
              <w:left w:w="227" w:type="dxa"/>
              <w:bottom w:w="51" w:type="dxa"/>
              <w:right w:w="227" w:type="dxa"/>
            </w:tcMar>
            <w:vAlign w:val="center"/>
          </w:tcPr>
          <w:p w14:paraId="47386EB2" w14:textId="4ACDCC95" w:rsidR="00A75C0F" w:rsidRPr="008A26D2" w:rsidRDefault="00A75C0F" w:rsidP="00AF5836">
            <w:pPr>
              <w:tabs>
                <w:tab w:val="left" w:pos="3375"/>
              </w:tabs>
              <w:jc w:val="both"/>
              <w:rPr>
                <w:rFonts w:ascii="Arial" w:hAnsi="Arial" w:cs="Arial"/>
                <w:sz w:val="20"/>
                <w:szCs w:val="20"/>
              </w:rPr>
            </w:pPr>
            <w:r w:rsidRPr="008A26D2">
              <w:rPr>
                <w:rFonts w:ascii="Arial" w:eastAsia="Arial Narrow" w:hAnsi="Arial" w:cs="Arial"/>
                <w:sz w:val="20"/>
                <w:szCs w:val="20"/>
              </w:rPr>
              <w:t xml:space="preserve">Fuente: Dirección de Fortalecimiento de Capacidades del </w:t>
            </w:r>
            <w:r>
              <w:rPr>
                <w:rFonts w:ascii="Arial" w:eastAsia="Arial Narrow" w:hAnsi="Arial" w:cs="Arial"/>
                <w:sz w:val="20"/>
                <w:szCs w:val="20"/>
              </w:rPr>
              <w:t xml:space="preserve">Servicio Nacional Forestal y de Fauna Silvestre – </w:t>
            </w:r>
            <w:r w:rsidRPr="008A26D2">
              <w:rPr>
                <w:rFonts w:ascii="Arial" w:eastAsia="Arial Narrow" w:hAnsi="Arial" w:cs="Arial"/>
                <w:sz w:val="20"/>
                <w:szCs w:val="20"/>
              </w:rPr>
              <w:t>SERFOR</w:t>
            </w:r>
            <w:r>
              <w:rPr>
                <w:rFonts w:ascii="Arial" w:eastAsia="Arial Narrow" w:hAnsi="Arial" w:cs="Arial"/>
                <w:sz w:val="20"/>
                <w:szCs w:val="20"/>
              </w:rPr>
              <w:t>.</w:t>
            </w:r>
            <w:r w:rsidRPr="008A26D2">
              <w:rPr>
                <w:rFonts w:ascii="Arial" w:eastAsia="Arial Narrow" w:hAnsi="Arial" w:cs="Arial"/>
                <w:sz w:val="20"/>
                <w:szCs w:val="20"/>
              </w:rPr>
              <w:br/>
              <w:t>Base de datos: Reporte de campañas de sensibilización de la Dirección de Fortalecimiento de Capacidades y reportes de las Administraciones Técnicas Forestales y de Fauna Silvestre</w:t>
            </w:r>
            <w:r>
              <w:rPr>
                <w:rFonts w:ascii="Arial" w:eastAsia="Arial Narrow" w:hAnsi="Arial" w:cs="Arial"/>
                <w:sz w:val="20"/>
                <w:szCs w:val="20"/>
              </w:rPr>
              <w:t>.</w:t>
            </w:r>
            <w:r w:rsidRPr="008A26D2">
              <w:rPr>
                <w:rFonts w:ascii="Arial" w:eastAsia="Arial Narrow" w:hAnsi="Arial" w:cs="Arial"/>
                <w:sz w:val="20"/>
                <w:szCs w:val="20"/>
              </w:rPr>
              <w:t xml:space="preserve"> </w:t>
            </w:r>
          </w:p>
        </w:tc>
      </w:tr>
      <w:tr w:rsidR="00A75C0F" w:rsidRPr="008A26D2" w14:paraId="02A4B641" w14:textId="77777777" w:rsidTr="00AF5836">
        <w:trPr>
          <w:trHeight w:val="491"/>
        </w:trPr>
        <w:tc>
          <w:tcPr>
            <w:tcW w:w="2570" w:type="dxa"/>
            <w:gridSpan w:val="2"/>
            <w:shd w:val="clear" w:color="auto" w:fill="auto"/>
            <w:tcMar>
              <w:top w:w="10" w:type="dxa"/>
              <w:left w:w="93" w:type="dxa"/>
              <w:bottom w:w="0" w:type="dxa"/>
              <w:right w:w="10" w:type="dxa"/>
            </w:tcMar>
            <w:vAlign w:val="center"/>
          </w:tcPr>
          <w:p w14:paraId="7D1DAFF2"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Supuestos:</w:t>
            </w:r>
          </w:p>
        </w:tc>
        <w:tc>
          <w:tcPr>
            <w:tcW w:w="5930" w:type="dxa"/>
            <w:gridSpan w:val="8"/>
            <w:shd w:val="clear" w:color="auto" w:fill="auto"/>
            <w:tcMar>
              <w:top w:w="51" w:type="dxa"/>
              <w:left w:w="227" w:type="dxa"/>
              <w:bottom w:w="51" w:type="dxa"/>
              <w:right w:w="227" w:type="dxa"/>
            </w:tcMar>
            <w:vAlign w:val="center"/>
          </w:tcPr>
          <w:p w14:paraId="76F3D0F8" w14:textId="77777777" w:rsidR="00A75C0F" w:rsidRPr="008A26D2" w:rsidRDefault="00A75C0F" w:rsidP="00AF5836">
            <w:pPr>
              <w:tabs>
                <w:tab w:val="left" w:pos="3375"/>
              </w:tabs>
              <w:rPr>
                <w:rFonts w:ascii="Arial" w:hAnsi="Arial" w:cs="Arial"/>
                <w:sz w:val="20"/>
                <w:szCs w:val="20"/>
              </w:rPr>
            </w:pPr>
            <w:r w:rsidRPr="008A26D2">
              <w:rPr>
                <w:rFonts w:ascii="Arial" w:eastAsia="Arial Narrow" w:hAnsi="Arial" w:cs="Arial"/>
                <w:sz w:val="20"/>
                <w:szCs w:val="20"/>
              </w:rPr>
              <w:t>Se diseñan estrategias culturales para diferentes zonas del país.</w:t>
            </w:r>
          </w:p>
        </w:tc>
      </w:tr>
      <w:tr w:rsidR="00A75C0F" w:rsidRPr="008A26D2" w14:paraId="4015F94F" w14:textId="77777777" w:rsidTr="00881C3C">
        <w:trPr>
          <w:trHeight w:val="472"/>
        </w:trPr>
        <w:tc>
          <w:tcPr>
            <w:tcW w:w="1555" w:type="dxa"/>
            <w:shd w:val="clear" w:color="auto" w:fill="auto"/>
            <w:tcMar>
              <w:top w:w="10" w:type="dxa"/>
              <w:left w:w="10" w:type="dxa"/>
              <w:bottom w:w="0" w:type="dxa"/>
              <w:right w:w="10" w:type="dxa"/>
            </w:tcMar>
            <w:vAlign w:val="center"/>
          </w:tcPr>
          <w:p w14:paraId="03F08E58" w14:textId="77777777" w:rsidR="00A75C0F" w:rsidRPr="008A26D2" w:rsidRDefault="00A75C0F" w:rsidP="00AF5836">
            <w:pPr>
              <w:tabs>
                <w:tab w:val="left" w:pos="3375"/>
              </w:tabs>
              <w:rPr>
                <w:rFonts w:ascii="Arial" w:hAnsi="Arial" w:cs="Arial"/>
                <w:sz w:val="20"/>
                <w:szCs w:val="20"/>
              </w:rPr>
            </w:pPr>
            <w:r w:rsidRPr="008A26D2">
              <w:rPr>
                <w:rFonts w:ascii="Arial" w:hAnsi="Arial" w:cs="Arial"/>
                <w:b/>
                <w:sz w:val="20"/>
                <w:szCs w:val="20"/>
              </w:rPr>
              <w:t> </w:t>
            </w:r>
          </w:p>
        </w:tc>
        <w:tc>
          <w:tcPr>
            <w:tcW w:w="1015" w:type="dxa"/>
            <w:shd w:val="clear" w:color="auto" w:fill="auto"/>
            <w:tcMar>
              <w:top w:w="10" w:type="dxa"/>
              <w:left w:w="10" w:type="dxa"/>
              <w:bottom w:w="0" w:type="dxa"/>
              <w:right w:w="10" w:type="dxa"/>
            </w:tcMar>
            <w:vAlign w:val="center"/>
          </w:tcPr>
          <w:p w14:paraId="3E917853" w14:textId="77777777" w:rsidR="00A75C0F" w:rsidRPr="008A26D2" w:rsidRDefault="00A75C0F" w:rsidP="00881C3C">
            <w:pPr>
              <w:tabs>
                <w:tab w:val="left" w:pos="3375"/>
              </w:tabs>
              <w:jc w:val="center"/>
              <w:rPr>
                <w:rFonts w:ascii="Arial" w:hAnsi="Arial" w:cs="Arial"/>
                <w:sz w:val="20"/>
                <w:szCs w:val="20"/>
              </w:rPr>
            </w:pPr>
            <w:r w:rsidRPr="008A26D2">
              <w:rPr>
                <w:rFonts w:ascii="Arial" w:hAnsi="Arial" w:cs="Arial"/>
                <w:b/>
                <w:sz w:val="20"/>
                <w:szCs w:val="20"/>
              </w:rPr>
              <w:t>Línea de base</w:t>
            </w:r>
          </w:p>
        </w:tc>
        <w:tc>
          <w:tcPr>
            <w:tcW w:w="5930" w:type="dxa"/>
            <w:gridSpan w:val="8"/>
            <w:shd w:val="clear" w:color="auto" w:fill="auto"/>
            <w:tcMar>
              <w:top w:w="10" w:type="dxa"/>
              <w:left w:w="10" w:type="dxa"/>
              <w:bottom w:w="0" w:type="dxa"/>
              <w:right w:w="10" w:type="dxa"/>
            </w:tcMar>
            <w:vAlign w:val="center"/>
          </w:tcPr>
          <w:p w14:paraId="6DC1D504"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b/>
                <w:sz w:val="20"/>
                <w:szCs w:val="20"/>
              </w:rPr>
              <w:t>Logros esperados</w:t>
            </w:r>
          </w:p>
        </w:tc>
      </w:tr>
      <w:tr w:rsidR="00A75C0F" w:rsidRPr="008A26D2" w14:paraId="2677E436" w14:textId="77777777" w:rsidTr="00881C3C">
        <w:trPr>
          <w:trHeight w:val="217"/>
        </w:trPr>
        <w:tc>
          <w:tcPr>
            <w:tcW w:w="1555" w:type="dxa"/>
            <w:shd w:val="clear" w:color="auto" w:fill="auto"/>
            <w:tcMar>
              <w:top w:w="10" w:type="dxa"/>
              <w:left w:w="10" w:type="dxa"/>
              <w:bottom w:w="0" w:type="dxa"/>
              <w:right w:w="10" w:type="dxa"/>
            </w:tcMar>
            <w:vAlign w:val="center"/>
          </w:tcPr>
          <w:p w14:paraId="260A131C"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b/>
                <w:sz w:val="20"/>
                <w:szCs w:val="20"/>
              </w:rPr>
              <w:t>Año</w:t>
            </w:r>
          </w:p>
        </w:tc>
        <w:tc>
          <w:tcPr>
            <w:tcW w:w="1015" w:type="dxa"/>
            <w:shd w:val="clear" w:color="auto" w:fill="auto"/>
            <w:tcMar>
              <w:top w:w="10" w:type="dxa"/>
              <w:left w:w="10" w:type="dxa"/>
              <w:bottom w:w="0" w:type="dxa"/>
              <w:right w:w="10" w:type="dxa"/>
            </w:tcMar>
            <w:vAlign w:val="center"/>
          </w:tcPr>
          <w:p w14:paraId="6B8BD09E"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2022</w:t>
            </w:r>
          </w:p>
        </w:tc>
        <w:tc>
          <w:tcPr>
            <w:tcW w:w="827" w:type="dxa"/>
            <w:shd w:val="clear" w:color="auto" w:fill="auto"/>
            <w:tcMar>
              <w:top w:w="10" w:type="dxa"/>
              <w:left w:w="10" w:type="dxa"/>
              <w:bottom w:w="0" w:type="dxa"/>
              <w:right w:w="10" w:type="dxa"/>
            </w:tcMar>
            <w:vAlign w:val="center"/>
          </w:tcPr>
          <w:p w14:paraId="6DCF271F"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2023</w:t>
            </w:r>
          </w:p>
        </w:tc>
        <w:tc>
          <w:tcPr>
            <w:tcW w:w="851" w:type="dxa"/>
            <w:shd w:val="clear" w:color="auto" w:fill="auto"/>
            <w:vAlign w:val="center"/>
          </w:tcPr>
          <w:p w14:paraId="3F1CB57D" w14:textId="77777777" w:rsidR="00A75C0F" w:rsidRPr="008A26D2" w:rsidRDefault="00A75C0F" w:rsidP="00AF5836">
            <w:pPr>
              <w:tabs>
                <w:tab w:val="left" w:pos="3375"/>
              </w:tabs>
              <w:rPr>
                <w:rFonts w:ascii="Arial" w:hAnsi="Arial" w:cs="Arial"/>
                <w:b/>
                <w:sz w:val="20"/>
                <w:szCs w:val="20"/>
              </w:rPr>
            </w:pPr>
            <w:r w:rsidRPr="008A26D2">
              <w:rPr>
                <w:rFonts w:ascii="Arial" w:hAnsi="Arial" w:cs="Arial"/>
                <w:b/>
                <w:sz w:val="20"/>
                <w:szCs w:val="20"/>
              </w:rPr>
              <w:t>2024</w:t>
            </w:r>
          </w:p>
        </w:tc>
        <w:tc>
          <w:tcPr>
            <w:tcW w:w="709" w:type="dxa"/>
            <w:shd w:val="clear" w:color="auto" w:fill="auto"/>
            <w:vAlign w:val="center"/>
          </w:tcPr>
          <w:p w14:paraId="4B6B6589" w14:textId="77777777" w:rsidR="00A75C0F" w:rsidRPr="008A26D2" w:rsidRDefault="00A75C0F" w:rsidP="00AF5836">
            <w:pPr>
              <w:tabs>
                <w:tab w:val="left" w:pos="3375"/>
              </w:tabs>
              <w:rPr>
                <w:rFonts w:ascii="Arial" w:hAnsi="Arial" w:cs="Arial"/>
                <w:b/>
                <w:sz w:val="20"/>
                <w:szCs w:val="20"/>
              </w:rPr>
            </w:pPr>
            <w:r w:rsidRPr="008A26D2">
              <w:rPr>
                <w:rFonts w:ascii="Arial" w:hAnsi="Arial" w:cs="Arial"/>
                <w:b/>
                <w:sz w:val="20"/>
                <w:szCs w:val="20"/>
              </w:rPr>
              <w:t>2025</w:t>
            </w:r>
          </w:p>
        </w:tc>
        <w:tc>
          <w:tcPr>
            <w:tcW w:w="708" w:type="dxa"/>
            <w:shd w:val="clear" w:color="auto" w:fill="auto"/>
            <w:vAlign w:val="center"/>
          </w:tcPr>
          <w:p w14:paraId="72230C89" w14:textId="77777777" w:rsidR="00A75C0F" w:rsidRPr="008A26D2" w:rsidRDefault="00A75C0F" w:rsidP="00AF5836">
            <w:pPr>
              <w:tabs>
                <w:tab w:val="left" w:pos="3375"/>
              </w:tabs>
              <w:rPr>
                <w:rFonts w:ascii="Arial" w:hAnsi="Arial" w:cs="Arial"/>
                <w:b/>
                <w:sz w:val="20"/>
                <w:szCs w:val="20"/>
              </w:rPr>
            </w:pPr>
            <w:r w:rsidRPr="008A26D2">
              <w:rPr>
                <w:rFonts w:ascii="Arial" w:hAnsi="Arial" w:cs="Arial"/>
                <w:b/>
                <w:sz w:val="20"/>
                <w:szCs w:val="20"/>
              </w:rPr>
              <w:t>2026</w:t>
            </w:r>
          </w:p>
        </w:tc>
        <w:tc>
          <w:tcPr>
            <w:tcW w:w="709" w:type="dxa"/>
            <w:shd w:val="clear" w:color="auto" w:fill="auto"/>
            <w:vAlign w:val="center"/>
          </w:tcPr>
          <w:p w14:paraId="45A4E6D2" w14:textId="77777777" w:rsidR="00A75C0F" w:rsidRPr="008A26D2" w:rsidRDefault="00A75C0F" w:rsidP="00AF5836">
            <w:pPr>
              <w:tabs>
                <w:tab w:val="left" w:pos="3375"/>
              </w:tabs>
              <w:rPr>
                <w:rFonts w:ascii="Arial" w:hAnsi="Arial" w:cs="Arial"/>
                <w:b/>
                <w:sz w:val="20"/>
                <w:szCs w:val="20"/>
              </w:rPr>
            </w:pPr>
            <w:r w:rsidRPr="008A26D2">
              <w:rPr>
                <w:rFonts w:ascii="Arial" w:hAnsi="Arial" w:cs="Arial"/>
                <w:b/>
                <w:sz w:val="20"/>
                <w:szCs w:val="20"/>
              </w:rPr>
              <w:t>2027</w:t>
            </w:r>
          </w:p>
        </w:tc>
        <w:tc>
          <w:tcPr>
            <w:tcW w:w="709" w:type="dxa"/>
            <w:shd w:val="clear" w:color="auto" w:fill="auto"/>
            <w:vAlign w:val="center"/>
          </w:tcPr>
          <w:p w14:paraId="6237D44A" w14:textId="77777777" w:rsidR="00A75C0F" w:rsidRPr="008A26D2" w:rsidRDefault="00A75C0F" w:rsidP="00AF5836">
            <w:pPr>
              <w:tabs>
                <w:tab w:val="left" w:pos="3375"/>
              </w:tabs>
              <w:rPr>
                <w:rFonts w:ascii="Arial" w:hAnsi="Arial" w:cs="Arial"/>
                <w:b/>
                <w:sz w:val="20"/>
                <w:szCs w:val="20"/>
              </w:rPr>
            </w:pPr>
            <w:r w:rsidRPr="008A26D2">
              <w:rPr>
                <w:rFonts w:ascii="Arial" w:hAnsi="Arial" w:cs="Arial"/>
                <w:b/>
                <w:sz w:val="20"/>
                <w:szCs w:val="20"/>
              </w:rPr>
              <w:t>2028</w:t>
            </w:r>
          </w:p>
        </w:tc>
        <w:tc>
          <w:tcPr>
            <w:tcW w:w="850" w:type="dxa"/>
            <w:shd w:val="clear" w:color="auto" w:fill="auto"/>
            <w:vAlign w:val="center"/>
          </w:tcPr>
          <w:p w14:paraId="12D7F819" w14:textId="77777777" w:rsidR="00A75C0F" w:rsidRPr="008A26D2" w:rsidRDefault="00A75C0F" w:rsidP="00AF5836">
            <w:pPr>
              <w:tabs>
                <w:tab w:val="left" w:pos="3375"/>
              </w:tabs>
              <w:rPr>
                <w:rFonts w:ascii="Arial" w:hAnsi="Arial" w:cs="Arial"/>
                <w:b/>
                <w:sz w:val="20"/>
                <w:szCs w:val="20"/>
              </w:rPr>
            </w:pPr>
            <w:r w:rsidRPr="008A26D2">
              <w:rPr>
                <w:rFonts w:ascii="Arial" w:hAnsi="Arial" w:cs="Arial"/>
                <w:b/>
                <w:sz w:val="20"/>
                <w:szCs w:val="20"/>
              </w:rPr>
              <w:t>2029</w:t>
            </w:r>
          </w:p>
        </w:tc>
        <w:tc>
          <w:tcPr>
            <w:tcW w:w="567" w:type="dxa"/>
            <w:shd w:val="clear" w:color="auto" w:fill="auto"/>
            <w:tcMar>
              <w:top w:w="10" w:type="dxa"/>
              <w:left w:w="10" w:type="dxa"/>
              <w:bottom w:w="0" w:type="dxa"/>
              <w:right w:w="10" w:type="dxa"/>
            </w:tcMar>
            <w:vAlign w:val="center"/>
          </w:tcPr>
          <w:p w14:paraId="02558910" w14:textId="77777777" w:rsidR="00A75C0F" w:rsidRPr="008A26D2" w:rsidRDefault="00A75C0F" w:rsidP="00AF5836">
            <w:pPr>
              <w:tabs>
                <w:tab w:val="left" w:pos="3375"/>
              </w:tabs>
              <w:rPr>
                <w:rFonts w:ascii="Arial" w:hAnsi="Arial" w:cs="Arial"/>
                <w:b/>
                <w:sz w:val="20"/>
                <w:szCs w:val="20"/>
              </w:rPr>
            </w:pPr>
            <w:r w:rsidRPr="008A26D2">
              <w:rPr>
                <w:rFonts w:ascii="Arial" w:hAnsi="Arial" w:cs="Arial"/>
                <w:b/>
                <w:sz w:val="20"/>
                <w:szCs w:val="20"/>
              </w:rPr>
              <w:t>2030</w:t>
            </w:r>
          </w:p>
        </w:tc>
      </w:tr>
      <w:tr w:rsidR="00A75C0F" w:rsidRPr="008A26D2" w14:paraId="6E4DE332" w14:textId="77777777" w:rsidTr="00881C3C">
        <w:trPr>
          <w:trHeight w:val="81"/>
        </w:trPr>
        <w:tc>
          <w:tcPr>
            <w:tcW w:w="1555" w:type="dxa"/>
            <w:shd w:val="clear" w:color="auto" w:fill="auto"/>
            <w:tcMar>
              <w:top w:w="10" w:type="dxa"/>
              <w:left w:w="10" w:type="dxa"/>
              <w:bottom w:w="0" w:type="dxa"/>
              <w:right w:w="10" w:type="dxa"/>
            </w:tcMar>
            <w:vAlign w:val="center"/>
          </w:tcPr>
          <w:p w14:paraId="607AA457" w14:textId="77777777" w:rsidR="00A75C0F" w:rsidRPr="008A26D2" w:rsidRDefault="00A75C0F" w:rsidP="00AF5836">
            <w:pPr>
              <w:tabs>
                <w:tab w:val="left" w:pos="3375"/>
              </w:tabs>
              <w:jc w:val="center"/>
              <w:rPr>
                <w:rFonts w:ascii="Arial" w:hAnsi="Arial" w:cs="Arial"/>
                <w:b/>
                <w:sz w:val="20"/>
                <w:szCs w:val="20"/>
              </w:rPr>
            </w:pPr>
            <w:r w:rsidRPr="008A26D2">
              <w:rPr>
                <w:rFonts w:ascii="Arial" w:hAnsi="Arial" w:cs="Arial"/>
                <w:b/>
                <w:sz w:val="20"/>
                <w:szCs w:val="20"/>
              </w:rPr>
              <w:t>Valor</w:t>
            </w:r>
          </w:p>
        </w:tc>
        <w:tc>
          <w:tcPr>
            <w:tcW w:w="1015" w:type="dxa"/>
            <w:shd w:val="clear" w:color="auto" w:fill="auto"/>
            <w:tcMar>
              <w:top w:w="10" w:type="dxa"/>
              <w:left w:w="10" w:type="dxa"/>
              <w:bottom w:w="0" w:type="dxa"/>
              <w:right w:w="10" w:type="dxa"/>
            </w:tcMar>
            <w:vAlign w:val="center"/>
          </w:tcPr>
          <w:p w14:paraId="5BFF7B57" w14:textId="77777777" w:rsidR="00A75C0F" w:rsidRPr="008A26D2" w:rsidRDefault="00A75C0F" w:rsidP="00AF5836">
            <w:pPr>
              <w:tabs>
                <w:tab w:val="left" w:pos="3375"/>
              </w:tabs>
              <w:jc w:val="center"/>
              <w:rPr>
                <w:rFonts w:ascii="Arial" w:hAnsi="Arial" w:cs="Arial"/>
                <w:sz w:val="20"/>
                <w:szCs w:val="20"/>
              </w:rPr>
            </w:pPr>
            <w:r w:rsidRPr="008A26D2">
              <w:rPr>
                <w:rFonts w:ascii="Arial" w:hAnsi="Arial" w:cs="Arial"/>
                <w:sz w:val="20"/>
                <w:szCs w:val="20"/>
              </w:rPr>
              <w:t>35%</w:t>
            </w:r>
          </w:p>
        </w:tc>
        <w:tc>
          <w:tcPr>
            <w:tcW w:w="827" w:type="dxa"/>
            <w:shd w:val="clear" w:color="auto" w:fill="auto"/>
            <w:tcMar>
              <w:top w:w="10" w:type="dxa"/>
              <w:left w:w="10" w:type="dxa"/>
              <w:bottom w:w="0" w:type="dxa"/>
              <w:right w:w="10" w:type="dxa"/>
            </w:tcMar>
            <w:vAlign w:val="bottom"/>
          </w:tcPr>
          <w:p w14:paraId="732B9B5C"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45%</w:t>
            </w:r>
          </w:p>
        </w:tc>
        <w:tc>
          <w:tcPr>
            <w:tcW w:w="851" w:type="dxa"/>
            <w:shd w:val="clear" w:color="auto" w:fill="auto"/>
          </w:tcPr>
          <w:p w14:paraId="6AF401B2"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50%</w:t>
            </w:r>
          </w:p>
        </w:tc>
        <w:tc>
          <w:tcPr>
            <w:tcW w:w="709" w:type="dxa"/>
            <w:shd w:val="clear" w:color="auto" w:fill="auto"/>
          </w:tcPr>
          <w:p w14:paraId="2DF1EB72" w14:textId="77777777" w:rsidR="00A75C0F" w:rsidRPr="008A26D2" w:rsidRDefault="00A75C0F" w:rsidP="00AF5836">
            <w:pPr>
              <w:tabs>
                <w:tab w:val="left" w:pos="3375"/>
              </w:tabs>
              <w:jc w:val="center"/>
              <w:rPr>
                <w:rFonts w:ascii="Arial" w:hAnsi="Arial" w:cs="Arial"/>
                <w:sz w:val="20"/>
                <w:szCs w:val="20"/>
              </w:rPr>
            </w:pPr>
            <w:r w:rsidRPr="008A26D2">
              <w:rPr>
                <w:rFonts w:ascii="Arial" w:eastAsia="Arial Narrow" w:hAnsi="Arial" w:cs="Arial"/>
                <w:sz w:val="20"/>
                <w:szCs w:val="20"/>
              </w:rPr>
              <w:t>60%</w:t>
            </w:r>
          </w:p>
        </w:tc>
        <w:tc>
          <w:tcPr>
            <w:tcW w:w="708" w:type="dxa"/>
            <w:shd w:val="clear" w:color="auto" w:fill="auto"/>
          </w:tcPr>
          <w:p w14:paraId="34E24FE7"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70%</w:t>
            </w:r>
          </w:p>
        </w:tc>
        <w:tc>
          <w:tcPr>
            <w:tcW w:w="709" w:type="dxa"/>
            <w:shd w:val="clear" w:color="auto" w:fill="auto"/>
          </w:tcPr>
          <w:p w14:paraId="69202270"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70%</w:t>
            </w:r>
          </w:p>
        </w:tc>
        <w:tc>
          <w:tcPr>
            <w:tcW w:w="709" w:type="dxa"/>
            <w:shd w:val="clear" w:color="auto" w:fill="auto"/>
          </w:tcPr>
          <w:p w14:paraId="10D61482"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80%</w:t>
            </w:r>
          </w:p>
        </w:tc>
        <w:tc>
          <w:tcPr>
            <w:tcW w:w="850" w:type="dxa"/>
            <w:shd w:val="clear" w:color="auto" w:fill="auto"/>
          </w:tcPr>
          <w:p w14:paraId="7FDD6F54"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85%</w:t>
            </w:r>
          </w:p>
        </w:tc>
        <w:tc>
          <w:tcPr>
            <w:tcW w:w="567" w:type="dxa"/>
            <w:shd w:val="clear" w:color="auto" w:fill="auto"/>
            <w:tcMar>
              <w:top w:w="10" w:type="dxa"/>
              <w:left w:w="10" w:type="dxa"/>
              <w:bottom w:w="0" w:type="dxa"/>
              <w:right w:w="10" w:type="dxa"/>
            </w:tcMar>
          </w:tcPr>
          <w:p w14:paraId="6D04DAE1" w14:textId="77777777" w:rsidR="00A75C0F" w:rsidRPr="008A26D2" w:rsidRDefault="00A75C0F" w:rsidP="00AF5836">
            <w:pPr>
              <w:tabs>
                <w:tab w:val="left" w:pos="3375"/>
              </w:tabs>
              <w:jc w:val="center"/>
              <w:rPr>
                <w:rFonts w:ascii="Arial" w:eastAsia="Arial Narrow" w:hAnsi="Arial" w:cs="Arial"/>
                <w:sz w:val="20"/>
                <w:szCs w:val="20"/>
              </w:rPr>
            </w:pPr>
            <w:r w:rsidRPr="008A26D2">
              <w:rPr>
                <w:rFonts w:ascii="Arial" w:eastAsia="Arial Narrow" w:hAnsi="Arial" w:cs="Arial"/>
                <w:sz w:val="20"/>
                <w:szCs w:val="20"/>
              </w:rPr>
              <w:t>90%</w:t>
            </w:r>
          </w:p>
        </w:tc>
      </w:tr>
    </w:tbl>
    <w:p w14:paraId="3D11DFF0" w14:textId="77777777" w:rsidR="00A75C0F" w:rsidRPr="008A26D2" w:rsidRDefault="00A75C0F" w:rsidP="00A75C0F"/>
    <w:p w14:paraId="6B9AD86D" w14:textId="7C35318E" w:rsidR="00A75C0F" w:rsidRPr="00312FCD" w:rsidRDefault="00A75C0F" w:rsidP="00237AFB">
      <w:pPr>
        <w:sectPr w:rsidR="00A75C0F" w:rsidRPr="00312FCD" w:rsidSect="007605C4">
          <w:pgSz w:w="11906" w:h="16838"/>
          <w:pgMar w:top="1418" w:right="1701" w:bottom="1418" w:left="1701" w:header="709" w:footer="281" w:gutter="0"/>
          <w:cols w:space="720"/>
        </w:sectPr>
      </w:pPr>
    </w:p>
    <w:p w14:paraId="3A7F5E3F" w14:textId="59273955" w:rsidR="00090599" w:rsidRPr="009C232C" w:rsidRDefault="00090599" w:rsidP="009C232C">
      <w:pPr>
        <w:spacing w:after="0" w:line="240" w:lineRule="auto"/>
        <w:jc w:val="center"/>
        <w:rPr>
          <w:rFonts w:ascii="Arial" w:hAnsi="Arial" w:cs="Arial"/>
          <w:b/>
          <w:bCs/>
        </w:rPr>
      </w:pPr>
      <w:r w:rsidRPr="009C232C">
        <w:rPr>
          <w:rFonts w:ascii="Arial" w:hAnsi="Arial" w:cs="Arial"/>
          <w:b/>
          <w:bCs/>
        </w:rPr>
        <w:lastRenderedPageBreak/>
        <w:t>ANEXO N° 2</w:t>
      </w:r>
    </w:p>
    <w:p w14:paraId="42C57AE5" w14:textId="77777777" w:rsidR="004E0EB9" w:rsidRPr="00846D49" w:rsidRDefault="004E0EB9" w:rsidP="004E0EB9">
      <w:pPr>
        <w:spacing w:after="0" w:line="240" w:lineRule="auto"/>
        <w:jc w:val="center"/>
        <w:rPr>
          <w:rFonts w:ascii="Arial" w:hAnsi="Arial" w:cs="Arial"/>
          <w:b/>
          <w:bCs/>
        </w:rPr>
      </w:pPr>
      <w:r>
        <w:rPr>
          <w:rFonts w:ascii="Arial" w:hAnsi="Arial" w:cs="Arial"/>
          <w:b/>
          <w:bCs/>
        </w:rPr>
        <w:t>Matriz</w:t>
      </w:r>
      <w:r w:rsidRPr="009C232C">
        <w:rPr>
          <w:rFonts w:ascii="Arial" w:hAnsi="Arial" w:cs="Arial"/>
          <w:b/>
          <w:bCs/>
        </w:rPr>
        <w:t xml:space="preserve"> de actividades operativas</w:t>
      </w:r>
    </w:p>
    <w:p w14:paraId="2D08893F" w14:textId="77777777" w:rsidR="004E0EB9" w:rsidRPr="00846D49" w:rsidRDefault="004E0EB9" w:rsidP="004E0EB9">
      <w:pPr>
        <w:rPr>
          <w:b/>
          <w:bCs/>
        </w:rPr>
      </w:pPr>
    </w:p>
    <w:tbl>
      <w:tblPr>
        <w:tblW w:w="15931" w:type="dxa"/>
        <w:tblInd w:w="-714" w:type="dxa"/>
        <w:shd w:val="clear" w:color="auto" w:fill="FFFFFF" w:themeFill="background1"/>
        <w:tblCellMar>
          <w:left w:w="70" w:type="dxa"/>
          <w:right w:w="70" w:type="dxa"/>
        </w:tblCellMar>
        <w:tblLook w:val="04A0" w:firstRow="1" w:lastRow="0" w:firstColumn="1" w:lastColumn="0" w:noHBand="0" w:noVBand="1"/>
      </w:tblPr>
      <w:tblGrid>
        <w:gridCol w:w="384"/>
        <w:gridCol w:w="1693"/>
        <w:gridCol w:w="1800"/>
        <w:gridCol w:w="2143"/>
        <w:gridCol w:w="2233"/>
        <w:gridCol w:w="1814"/>
        <w:gridCol w:w="1553"/>
        <w:gridCol w:w="1560"/>
        <w:gridCol w:w="1218"/>
        <w:gridCol w:w="1373"/>
        <w:gridCol w:w="12"/>
        <w:gridCol w:w="148"/>
      </w:tblGrid>
      <w:tr w:rsidR="00846D49" w:rsidRPr="00846D49" w14:paraId="6B5B4FC1" w14:textId="77777777" w:rsidTr="00AF5836">
        <w:trPr>
          <w:gridAfter w:val="1"/>
          <w:wAfter w:w="148" w:type="dxa"/>
          <w:trHeight w:val="404"/>
          <w:tblHeader/>
        </w:trPr>
        <w:tc>
          <w:tcPr>
            <w:tcW w:w="384"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FCC5F20" w14:textId="77777777" w:rsidR="00881C3C" w:rsidRPr="00846D49" w:rsidRDefault="00881C3C" w:rsidP="00AF5836">
            <w:pPr>
              <w:spacing w:after="0" w:line="240" w:lineRule="auto"/>
              <w:jc w:val="center"/>
              <w:rPr>
                <w:rFonts w:ascii="Arial Narrow" w:eastAsia="Times New Roman" w:hAnsi="Arial Narrow"/>
                <w:b/>
                <w:bCs/>
                <w:sz w:val="16"/>
                <w:szCs w:val="16"/>
              </w:rPr>
            </w:pPr>
            <w:r w:rsidRPr="00846D49">
              <w:rPr>
                <w:rFonts w:ascii="Arial Narrow" w:eastAsia="Times New Roman" w:hAnsi="Arial Narrow"/>
                <w:b/>
                <w:bCs/>
                <w:sz w:val="16"/>
                <w:szCs w:val="16"/>
              </w:rPr>
              <w:t>N°</w:t>
            </w:r>
          </w:p>
        </w:tc>
        <w:tc>
          <w:tcPr>
            <w:tcW w:w="1693"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6A17FB" w14:textId="77777777" w:rsidR="00881C3C" w:rsidRPr="00846D49" w:rsidRDefault="00881C3C" w:rsidP="00AF5836">
            <w:pPr>
              <w:spacing w:after="0" w:line="240" w:lineRule="auto"/>
              <w:jc w:val="center"/>
              <w:rPr>
                <w:rFonts w:ascii="Arial Narrow" w:eastAsia="Times New Roman" w:hAnsi="Arial Narrow"/>
                <w:b/>
                <w:bCs/>
                <w:sz w:val="16"/>
                <w:szCs w:val="16"/>
              </w:rPr>
            </w:pPr>
            <w:r w:rsidRPr="00846D49">
              <w:rPr>
                <w:rFonts w:ascii="Arial Narrow" w:eastAsia="Times New Roman" w:hAnsi="Arial Narrow"/>
                <w:b/>
                <w:bCs/>
                <w:sz w:val="16"/>
                <w:szCs w:val="16"/>
              </w:rPr>
              <w:t>LINEAMIENTOS</w:t>
            </w:r>
          </w:p>
        </w:tc>
        <w:tc>
          <w:tcPr>
            <w:tcW w:w="180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726CB5A" w14:textId="77777777" w:rsidR="00881C3C" w:rsidRPr="00846D49" w:rsidRDefault="00881C3C" w:rsidP="00AF5836">
            <w:pPr>
              <w:spacing w:after="0" w:line="240" w:lineRule="auto"/>
              <w:jc w:val="center"/>
              <w:rPr>
                <w:rFonts w:ascii="Arial Narrow" w:eastAsia="Times New Roman" w:hAnsi="Arial Narrow"/>
                <w:b/>
                <w:bCs/>
                <w:sz w:val="16"/>
                <w:szCs w:val="16"/>
              </w:rPr>
            </w:pPr>
            <w:r w:rsidRPr="00846D49">
              <w:rPr>
                <w:rFonts w:ascii="Arial Narrow" w:eastAsia="Times New Roman" w:hAnsi="Arial Narrow"/>
                <w:b/>
                <w:bCs/>
                <w:sz w:val="16"/>
                <w:szCs w:val="16"/>
              </w:rPr>
              <w:t>SERVICIOS</w:t>
            </w:r>
          </w:p>
        </w:tc>
        <w:tc>
          <w:tcPr>
            <w:tcW w:w="2143"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6542D5E" w14:textId="77777777" w:rsidR="00881C3C" w:rsidRPr="00846D49" w:rsidRDefault="00881C3C" w:rsidP="00AF5836">
            <w:pPr>
              <w:spacing w:after="0" w:line="240" w:lineRule="auto"/>
              <w:jc w:val="center"/>
              <w:rPr>
                <w:rFonts w:ascii="Arial Narrow" w:eastAsia="Times New Roman" w:hAnsi="Arial Narrow"/>
                <w:b/>
                <w:bCs/>
                <w:sz w:val="16"/>
                <w:szCs w:val="16"/>
              </w:rPr>
            </w:pPr>
            <w:r w:rsidRPr="00846D49">
              <w:rPr>
                <w:rFonts w:ascii="Arial Narrow" w:eastAsia="Times New Roman" w:hAnsi="Arial Narrow"/>
                <w:b/>
                <w:bCs/>
                <w:sz w:val="16"/>
                <w:szCs w:val="16"/>
              </w:rPr>
              <w:t>ACTIVIDAD OPERATIVA</w:t>
            </w:r>
          </w:p>
        </w:tc>
        <w:tc>
          <w:tcPr>
            <w:tcW w:w="2233"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65D1150" w14:textId="77777777" w:rsidR="00881C3C" w:rsidRPr="00846D49" w:rsidRDefault="00881C3C" w:rsidP="00AF5836">
            <w:pPr>
              <w:spacing w:after="0" w:line="240" w:lineRule="auto"/>
              <w:jc w:val="center"/>
              <w:rPr>
                <w:rFonts w:ascii="Arial Narrow" w:eastAsia="Times New Roman" w:hAnsi="Arial Narrow"/>
                <w:b/>
                <w:bCs/>
                <w:sz w:val="16"/>
                <w:szCs w:val="16"/>
              </w:rPr>
            </w:pPr>
            <w:r w:rsidRPr="00846D49">
              <w:rPr>
                <w:rFonts w:ascii="Arial Narrow" w:eastAsia="Times New Roman" w:hAnsi="Arial Narrow"/>
                <w:b/>
                <w:bCs/>
                <w:sz w:val="16"/>
                <w:szCs w:val="16"/>
              </w:rPr>
              <w:t>UNIDAD DE MEDIDA</w:t>
            </w:r>
          </w:p>
        </w:tc>
        <w:tc>
          <w:tcPr>
            <w:tcW w:w="7530"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B6E23AC" w14:textId="77777777" w:rsidR="00881C3C" w:rsidRPr="00846D49" w:rsidRDefault="00881C3C" w:rsidP="00AF5836">
            <w:pPr>
              <w:spacing w:after="0" w:line="240" w:lineRule="auto"/>
              <w:jc w:val="center"/>
              <w:rPr>
                <w:rFonts w:ascii="Arial Narrow" w:eastAsia="Times New Roman" w:hAnsi="Arial Narrow"/>
                <w:b/>
                <w:bCs/>
                <w:sz w:val="16"/>
                <w:szCs w:val="16"/>
              </w:rPr>
            </w:pPr>
            <w:r w:rsidRPr="00846D49">
              <w:rPr>
                <w:rFonts w:ascii="Arial Narrow" w:eastAsia="Times New Roman" w:hAnsi="Arial Narrow"/>
                <w:b/>
                <w:bCs/>
                <w:sz w:val="16"/>
                <w:szCs w:val="16"/>
              </w:rPr>
              <w:t>RESPONSABLE</w:t>
            </w:r>
          </w:p>
        </w:tc>
      </w:tr>
      <w:tr w:rsidR="00846D49" w:rsidRPr="00846D49" w14:paraId="4E224CAB" w14:textId="77777777" w:rsidTr="00AF5836">
        <w:trPr>
          <w:gridAfter w:val="2"/>
          <w:wAfter w:w="160" w:type="dxa"/>
          <w:trHeight w:val="510"/>
          <w:tblHeader/>
        </w:trPr>
        <w:tc>
          <w:tcPr>
            <w:tcW w:w="384"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0F89E3" w14:textId="77777777" w:rsidR="00881C3C" w:rsidRPr="00846D49" w:rsidRDefault="00881C3C" w:rsidP="00AF5836">
            <w:pPr>
              <w:spacing w:after="0" w:line="240" w:lineRule="auto"/>
              <w:rPr>
                <w:rFonts w:ascii="Arial Narrow" w:eastAsia="Times New Roman" w:hAnsi="Arial Narrow"/>
                <w:b/>
                <w:bCs/>
                <w:sz w:val="16"/>
                <w:szCs w:val="16"/>
              </w:rPr>
            </w:pPr>
          </w:p>
        </w:tc>
        <w:tc>
          <w:tcPr>
            <w:tcW w:w="1693"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4299D29" w14:textId="77777777" w:rsidR="00881C3C" w:rsidRPr="00846D49" w:rsidRDefault="00881C3C" w:rsidP="00AF5836">
            <w:pPr>
              <w:spacing w:after="0" w:line="240" w:lineRule="auto"/>
              <w:rPr>
                <w:rFonts w:ascii="Arial Narrow" w:eastAsia="Times New Roman" w:hAnsi="Arial Narrow"/>
                <w:b/>
                <w:bCs/>
                <w:sz w:val="16"/>
                <w:szCs w:val="16"/>
              </w:rPr>
            </w:pPr>
          </w:p>
        </w:tc>
        <w:tc>
          <w:tcPr>
            <w:tcW w:w="180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B7F039C" w14:textId="77777777" w:rsidR="00881C3C" w:rsidRPr="00846D49" w:rsidRDefault="00881C3C" w:rsidP="00AF5836">
            <w:pPr>
              <w:spacing w:after="0" w:line="240" w:lineRule="auto"/>
              <w:rPr>
                <w:rFonts w:ascii="Arial Narrow" w:eastAsia="Times New Roman" w:hAnsi="Arial Narrow"/>
                <w:b/>
                <w:bCs/>
                <w:sz w:val="16"/>
                <w:szCs w:val="16"/>
              </w:rPr>
            </w:pPr>
          </w:p>
        </w:tc>
        <w:tc>
          <w:tcPr>
            <w:tcW w:w="2143"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2BA7015" w14:textId="77777777" w:rsidR="00881C3C" w:rsidRPr="00846D49" w:rsidRDefault="00881C3C" w:rsidP="00AF5836">
            <w:pPr>
              <w:spacing w:after="0" w:line="240" w:lineRule="auto"/>
              <w:rPr>
                <w:rFonts w:ascii="Arial Narrow" w:eastAsia="Times New Roman" w:hAnsi="Arial Narrow"/>
                <w:b/>
                <w:bCs/>
                <w:sz w:val="16"/>
                <w:szCs w:val="16"/>
              </w:rPr>
            </w:pPr>
          </w:p>
        </w:tc>
        <w:tc>
          <w:tcPr>
            <w:tcW w:w="2233"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6AAB7F" w14:textId="77777777" w:rsidR="00881C3C" w:rsidRPr="00846D49" w:rsidRDefault="00881C3C" w:rsidP="00AF5836">
            <w:pPr>
              <w:spacing w:after="0" w:line="240" w:lineRule="auto"/>
              <w:rPr>
                <w:rFonts w:ascii="Arial Narrow" w:eastAsia="Times New Roman" w:hAnsi="Arial Narrow"/>
                <w:b/>
                <w:bCs/>
                <w:sz w:val="16"/>
                <w:szCs w:val="16"/>
              </w:rPr>
            </w:pPr>
          </w:p>
        </w:tc>
        <w:tc>
          <w:tcPr>
            <w:tcW w:w="18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842071E" w14:textId="77777777" w:rsidR="00881C3C" w:rsidRPr="00846D49" w:rsidRDefault="00881C3C" w:rsidP="00AF5836">
            <w:pPr>
              <w:spacing w:after="0" w:line="240" w:lineRule="auto"/>
              <w:jc w:val="center"/>
              <w:rPr>
                <w:rFonts w:ascii="Arial Narrow" w:eastAsia="Times New Roman" w:hAnsi="Arial Narrow"/>
                <w:b/>
                <w:bCs/>
                <w:sz w:val="16"/>
                <w:szCs w:val="16"/>
              </w:rPr>
            </w:pPr>
            <w:r w:rsidRPr="00846D49">
              <w:rPr>
                <w:rFonts w:ascii="Arial Narrow" w:eastAsia="Times New Roman" w:hAnsi="Arial Narrow"/>
                <w:b/>
                <w:bCs/>
                <w:sz w:val="16"/>
                <w:szCs w:val="16"/>
              </w:rPr>
              <w:t>UNIDAD DE ORGANIZACIÓN RESPONSABLE</w:t>
            </w:r>
          </w:p>
        </w:tc>
        <w:tc>
          <w:tcPr>
            <w:tcW w:w="15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817FDE2" w14:textId="77777777" w:rsidR="00881C3C" w:rsidRPr="00846D49" w:rsidRDefault="00881C3C" w:rsidP="00AF5836">
            <w:pPr>
              <w:spacing w:after="0" w:line="240" w:lineRule="auto"/>
              <w:jc w:val="center"/>
              <w:rPr>
                <w:rFonts w:ascii="Arial Narrow" w:eastAsia="Times New Roman" w:hAnsi="Arial Narrow"/>
                <w:b/>
                <w:bCs/>
                <w:sz w:val="16"/>
                <w:szCs w:val="16"/>
              </w:rPr>
            </w:pPr>
            <w:r w:rsidRPr="00846D49">
              <w:rPr>
                <w:rFonts w:ascii="Arial Narrow" w:eastAsia="Times New Roman" w:hAnsi="Arial Narrow"/>
                <w:b/>
                <w:bCs/>
                <w:sz w:val="16"/>
                <w:szCs w:val="16"/>
              </w:rPr>
              <w:t>UNIDAD EJECUTORA (UE)</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B73CE32" w14:textId="77777777" w:rsidR="00881C3C" w:rsidRPr="00846D49" w:rsidRDefault="00881C3C" w:rsidP="00AF5836">
            <w:pPr>
              <w:spacing w:after="0" w:line="240" w:lineRule="auto"/>
              <w:jc w:val="center"/>
              <w:rPr>
                <w:rFonts w:ascii="Arial Narrow" w:eastAsia="Times New Roman" w:hAnsi="Arial Narrow"/>
                <w:b/>
                <w:bCs/>
                <w:sz w:val="16"/>
                <w:szCs w:val="16"/>
              </w:rPr>
            </w:pPr>
            <w:r w:rsidRPr="00846D49">
              <w:rPr>
                <w:rFonts w:ascii="Arial Narrow" w:eastAsia="Times New Roman" w:hAnsi="Arial Narrow"/>
                <w:b/>
                <w:bCs/>
                <w:sz w:val="16"/>
                <w:szCs w:val="16"/>
              </w:rPr>
              <w:t>PLIEGO O ENTIDAD</w:t>
            </w:r>
          </w:p>
        </w:tc>
        <w:tc>
          <w:tcPr>
            <w:tcW w:w="12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4BA4130" w14:textId="77777777" w:rsidR="00881C3C" w:rsidRPr="00846D49" w:rsidRDefault="00881C3C" w:rsidP="00AF5836">
            <w:pPr>
              <w:spacing w:after="0" w:line="240" w:lineRule="auto"/>
              <w:jc w:val="center"/>
              <w:rPr>
                <w:rFonts w:ascii="Arial Narrow" w:eastAsia="Times New Roman" w:hAnsi="Arial Narrow"/>
                <w:b/>
                <w:bCs/>
                <w:sz w:val="16"/>
                <w:szCs w:val="16"/>
              </w:rPr>
            </w:pPr>
            <w:r w:rsidRPr="00846D49">
              <w:rPr>
                <w:rFonts w:ascii="Arial Narrow" w:eastAsia="Times New Roman" w:hAnsi="Arial Narrow"/>
                <w:b/>
                <w:bCs/>
                <w:sz w:val="16"/>
                <w:szCs w:val="16"/>
              </w:rPr>
              <w:t xml:space="preserve">SECTOR </w:t>
            </w:r>
            <w:r w:rsidRPr="00846D49">
              <w:rPr>
                <w:rFonts w:ascii="Arial Narrow" w:eastAsia="Times New Roman" w:hAnsi="Arial Narrow"/>
                <w:b/>
                <w:bCs/>
                <w:sz w:val="16"/>
                <w:szCs w:val="16"/>
              </w:rPr>
              <w:br/>
              <w:t>(APLICA AL GN)</w:t>
            </w:r>
          </w:p>
        </w:tc>
        <w:tc>
          <w:tcPr>
            <w:tcW w:w="137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8638CED" w14:textId="77777777" w:rsidR="00881C3C" w:rsidRPr="00846D49" w:rsidRDefault="00881C3C" w:rsidP="00AF5836">
            <w:pPr>
              <w:spacing w:after="0" w:line="240" w:lineRule="auto"/>
              <w:jc w:val="center"/>
              <w:rPr>
                <w:rFonts w:ascii="Arial Narrow" w:eastAsia="Times New Roman" w:hAnsi="Arial Narrow"/>
                <w:b/>
                <w:bCs/>
                <w:sz w:val="16"/>
                <w:szCs w:val="16"/>
              </w:rPr>
            </w:pPr>
            <w:r w:rsidRPr="00846D49">
              <w:rPr>
                <w:rFonts w:ascii="Arial Narrow" w:eastAsia="Times New Roman" w:hAnsi="Arial Narrow"/>
                <w:b/>
                <w:bCs/>
                <w:sz w:val="16"/>
                <w:szCs w:val="16"/>
              </w:rPr>
              <w:t>NIVEL DE GOBIERNO</w:t>
            </w:r>
          </w:p>
        </w:tc>
      </w:tr>
      <w:tr w:rsidR="00846D49" w:rsidRPr="00846D49" w14:paraId="4A5AEC5B" w14:textId="77777777" w:rsidTr="00AF5836">
        <w:trPr>
          <w:gridAfter w:val="2"/>
          <w:wAfter w:w="160" w:type="dxa"/>
          <w:trHeight w:val="1275"/>
        </w:trPr>
        <w:tc>
          <w:tcPr>
            <w:tcW w:w="384"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4E41D8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w:t>
            </w:r>
          </w:p>
        </w:tc>
        <w:tc>
          <w:tcPr>
            <w:tcW w:w="1693"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E4DA2FB"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L1.1 Fortalecer la protección y recuperación de ecosistemas forestales y otros ecosistemas de vegetación silvestre, así como las especies de fauna silvestre y sus hábitats coadyuvando a la mitigación del cambio climático</w:t>
            </w:r>
          </w:p>
        </w:tc>
        <w:tc>
          <w:tcPr>
            <w:tcW w:w="180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3722FFA"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S1.1.1 Reconocimiento de hábitats críticos, ecosistemas frágiles y zonas prioritarias para la conservación de los recursos genéticos de flora y fauna silvestre de forma fiable para las entidades con competencias en materia forestal y de fauna silvestre.</w:t>
            </w:r>
          </w:p>
        </w:tc>
        <w:tc>
          <w:tcPr>
            <w:tcW w:w="21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EA77DE2"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AO001. Identificación e implementación de medidas de conservación de los hábitats críticos de las especies de fauna y flora silvestre amenazadas</w:t>
            </w:r>
          </w:p>
        </w:tc>
        <w:tc>
          <w:tcPr>
            <w:tcW w:w="223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952EC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Hectárea</w:t>
            </w:r>
          </w:p>
        </w:tc>
        <w:tc>
          <w:tcPr>
            <w:tcW w:w="181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831574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Gestión Sostenible del Patrimonio Forestal y Dirección de Gestión Sostenible del Patrimonio de Fauna Silvestre</w:t>
            </w:r>
          </w:p>
        </w:tc>
        <w:tc>
          <w:tcPr>
            <w:tcW w:w="155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7EEDCD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001-1503: Servicio Nacional Forestal y de Fauna Silvestre-SERFOR - Sede Central</w:t>
            </w: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19C1DD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165: Servicio Nacional Forestal y de Fauna Silvestre - SERFOR</w:t>
            </w:r>
          </w:p>
        </w:tc>
        <w:tc>
          <w:tcPr>
            <w:tcW w:w="12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D30CDB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13: Agrario y de Riego</w:t>
            </w:r>
          </w:p>
        </w:tc>
        <w:tc>
          <w:tcPr>
            <w:tcW w:w="13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450C9D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Gobierno Nacional</w:t>
            </w:r>
          </w:p>
        </w:tc>
      </w:tr>
      <w:tr w:rsidR="00846D49" w:rsidRPr="00846D49" w14:paraId="696555AD" w14:textId="77777777" w:rsidTr="00AF5836">
        <w:trPr>
          <w:gridAfter w:val="2"/>
          <w:wAfter w:w="160" w:type="dxa"/>
          <w:trHeight w:val="1020"/>
        </w:trPr>
        <w:tc>
          <w:tcPr>
            <w:tcW w:w="384"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D2A36F4"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78AE496"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670464E"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C45E2E5"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AO002. Identificación e implementación de medidas de gestión sostenible de los ecosistemas frágiles para su incorporación en la Lista sectorial de Ecosistemas Frágiles.</w:t>
            </w:r>
          </w:p>
        </w:tc>
        <w:tc>
          <w:tcPr>
            <w:tcW w:w="223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01E4CB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Hectárea</w:t>
            </w:r>
          </w:p>
        </w:tc>
        <w:tc>
          <w:tcPr>
            <w:tcW w:w="181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573284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Inventario y Valoración y Dirección de Catastro, Zonificación y Ordenamiento</w:t>
            </w:r>
          </w:p>
        </w:tc>
        <w:tc>
          <w:tcPr>
            <w:tcW w:w="155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DDC42E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001-1503: Servicio Nacional Forestal y de Fauna Silvestre-SERFOR - Sede Central</w:t>
            </w: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5FF19A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165: Servicio Nacional Forestal y de Fauna Silvestre - SERFOR</w:t>
            </w:r>
          </w:p>
        </w:tc>
        <w:tc>
          <w:tcPr>
            <w:tcW w:w="12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687893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8A8A8E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Gobierno Nacional</w:t>
            </w:r>
          </w:p>
        </w:tc>
      </w:tr>
      <w:tr w:rsidR="00846D49" w:rsidRPr="00846D49" w14:paraId="34643131" w14:textId="77777777" w:rsidTr="00AF5836">
        <w:trPr>
          <w:gridAfter w:val="2"/>
          <w:wAfter w:w="160" w:type="dxa"/>
          <w:trHeight w:val="1020"/>
        </w:trPr>
        <w:tc>
          <w:tcPr>
            <w:tcW w:w="384"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F94B5EC"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714040A"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5EBBD4A"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FC98891"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AO003. Evaluación y monitoreo de las poblaciones de las especies de fauna y flora silvestre, con prioridad en las especies amenazadas, endémicas, las incluidas en los convenios internacionales y las que se encuentren bajo manejo y aprovechamiento.</w:t>
            </w:r>
          </w:p>
        </w:tc>
        <w:tc>
          <w:tcPr>
            <w:tcW w:w="223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188DD7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Reporte</w:t>
            </w:r>
          </w:p>
        </w:tc>
        <w:tc>
          <w:tcPr>
            <w:tcW w:w="181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AA61B2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xml:space="preserve">Dirección de Gestión Sostenible del Patrimonio Forestal </w:t>
            </w:r>
          </w:p>
        </w:tc>
        <w:tc>
          <w:tcPr>
            <w:tcW w:w="155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16D05C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001-1503: Servicio Nacional Forestal y de Fauna Silvestre-SERFOR - Sede Central</w:t>
            </w: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83963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165: Servicio Nacional Forestal y de Fauna Silvestre - SERFOR</w:t>
            </w:r>
          </w:p>
        </w:tc>
        <w:tc>
          <w:tcPr>
            <w:tcW w:w="12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92747B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13: Agrario y de Riego</w:t>
            </w:r>
          </w:p>
        </w:tc>
        <w:tc>
          <w:tcPr>
            <w:tcW w:w="13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2F677F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Gobierno Nacional</w:t>
            </w:r>
          </w:p>
        </w:tc>
      </w:tr>
      <w:tr w:rsidR="00846D49" w:rsidRPr="00846D49" w14:paraId="560B71FD" w14:textId="77777777" w:rsidTr="00AF5836">
        <w:trPr>
          <w:gridAfter w:val="2"/>
          <w:wAfter w:w="160" w:type="dxa"/>
          <w:trHeight w:val="765"/>
        </w:trPr>
        <w:tc>
          <w:tcPr>
            <w:tcW w:w="384"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2BFFA13"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9E95324"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7275450"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ADA4F70"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AO004. Identificación de zonas prioritarias para la conservación de los recursos genéticos de flora y fauna silvestre.</w:t>
            </w:r>
          </w:p>
        </w:tc>
        <w:tc>
          <w:tcPr>
            <w:tcW w:w="223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426556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Hectárea</w:t>
            </w:r>
          </w:p>
        </w:tc>
        <w:tc>
          <w:tcPr>
            <w:tcW w:w="181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DA62DF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xml:space="preserve">Dirección de Gestión Sostenible del Patrimonio Forestal </w:t>
            </w:r>
          </w:p>
        </w:tc>
        <w:tc>
          <w:tcPr>
            <w:tcW w:w="155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B3E8B1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96ABED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F27C42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39DC14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7F3EC3B2" w14:textId="77777777" w:rsidTr="00AF5836">
        <w:trPr>
          <w:gridAfter w:val="2"/>
          <w:wAfter w:w="160" w:type="dxa"/>
          <w:trHeight w:val="576"/>
        </w:trPr>
        <w:tc>
          <w:tcPr>
            <w:tcW w:w="38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020EA8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2</w:t>
            </w:r>
          </w:p>
        </w:tc>
        <w:tc>
          <w:tcPr>
            <w:tcW w:w="16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9D1FAEF"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 xml:space="preserve"> L1.1 Fortalecer la protección y recuperación de ecosistemas forestales y otros ecosistemas de vegetación silvestre, así como las especies de fauna silvestre y sus hábitats coadyuvando a la </w:t>
            </w:r>
            <w:r w:rsidRPr="00846D49">
              <w:rPr>
                <w:rFonts w:ascii="Arial Narrow" w:eastAsia="Times New Roman" w:hAnsi="Arial Narrow"/>
                <w:sz w:val="16"/>
                <w:szCs w:val="16"/>
              </w:rPr>
              <w:lastRenderedPageBreak/>
              <w:t>mitigación del cambio climático</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947E03"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lastRenderedPageBreak/>
              <w:t> S1.1.2 Vigilancia y monitoreo de las enfermedades que afectan a la fauna silvestre y de agentes zoonóticos potenciales de forma continua en beneficio de la población</w:t>
            </w:r>
          </w:p>
        </w:tc>
        <w:tc>
          <w:tcPr>
            <w:tcW w:w="21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6B3151A"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AO001. Monitoreo y Vigilancia de enfermedades de fauna silvestre y de agentes potencialmente zoonóticos.</w:t>
            </w:r>
          </w:p>
        </w:tc>
        <w:tc>
          <w:tcPr>
            <w:tcW w:w="223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F3D626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Informe</w:t>
            </w:r>
          </w:p>
        </w:tc>
        <w:tc>
          <w:tcPr>
            <w:tcW w:w="181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0F41E9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Gestión Sostenible del Patrimonio de Fauna Silvestre</w:t>
            </w:r>
          </w:p>
        </w:tc>
        <w:tc>
          <w:tcPr>
            <w:tcW w:w="155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045A02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A1CEAB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264D7A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1B105F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1D9DDA5A" w14:textId="77777777" w:rsidTr="00AF5836">
        <w:trPr>
          <w:gridAfter w:val="2"/>
          <w:wAfter w:w="160" w:type="dxa"/>
          <w:trHeight w:val="765"/>
        </w:trPr>
        <w:tc>
          <w:tcPr>
            <w:tcW w:w="384"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E6843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3</w:t>
            </w:r>
          </w:p>
        </w:tc>
        <w:tc>
          <w:tcPr>
            <w:tcW w:w="1693"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76C23C1"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L1.1 Fortalecer la protección y recuperación de ecosistemas forestales y otros ecosistemas de vegetación silvestre, así como las especies de fauna silvestre y sus hábitats coadyuvando a la mitigación del cambio climático</w:t>
            </w:r>
          </w:p>
        </w:tc>
        <w:tc>
          <w:tcPr>
            <w:tcW w:w="180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AA465CD"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S1.1.3   Asistencia técnica en gestión de riesgos ante incendios forestales de forma pertinente a los gobiernos regionales</w:t>
            </w:r>
          </w:p>
        </w:tc>
        <w:tc>
          <w:tcPr>
            <w:tcW w:w="2143" w:type="dxa"/>
            <w:tcBorders>
              <w:top w:val="single" w:sz="4" w:space="0" w:color="auto"/>
              <w:left w:val="nil"/>
              <w:bottom w:val="single" w:sz="4" w:space="0" w:color="auto"/>
              <w:right w:val="single" w:sz="4" w:space="0" w:color="auto"/>
            </w:tcBorders>
            <w:shd w:val="clear" w:color="auto" w:fill="FFFFFF" w:themeFill="background1"/>
            <w:vAlign w:val="center"/>
            <w:hideMark/>
          </w:tcPr>
          <w:p w14:paraId="7FE23645"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 xml:space="preserve">AO001. Realización de asistencia técnica en gestión de riesgos ante incendios forestales </w:t>
            </w:r>
          </w:p>
        </w:tc>
        <w:tc>
          <w:tcPr>
            <w:tcW w:w="2233" w:type="dxa"/>
            <w:tcBorders>
              <w:top w:val="single" w:sz="4" w:space="0" w:color="auto"/>
              <w:left w:val="nil"/>
              <w:bottom w:val="single" w:sz="4" w:space="0" w:color="auto"/>
              <w:right w:val="single" w:sz="4" w:space="0" w:color="auto"/>
            </w:tcBorders>
            <w:shd w:val="clear" w:color="auto" w:fill="FFFFFF" w:themeFill="background1"/>
            <w:vAlign w:val="center"/>
            <w:hideMark/>
          </w:tcPr>
          <w:p w14:paraId="2448FC3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Persona asistida</w:t>
            </w:r>
          </w:p>
        </w:tc>
        <w:tc>
          <w:tcPr>
            <w:tcW w:w="1814" w:type="dxa"/>
            <w:tcBorders>
              <w:top w:val="single" w:sz="4" w:space="0" w:color="auto"/>
              <w:left w:val="nil"/>
              <w:bottom w:val="single" w:sz="4" w:space="0" w:color="auto"/>
              <w:right w:val="single" w:sz="4" w:space="0" w:color="auto"/>
            </w:tcBorders>
            <w:shd w:val="clear" w:color="auto" w:fill="FFFFFF" w:themeFill="background1"/>
            <w:vAlign w:val="center"/>
            <w:hideMark/>
          </w:tcPr>
          <w:p w14:paraId="1F017DB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xml:space="preserve">Dirección Gestión Sostenible del Patrimonio Forestal </w:t>
            </w:r>
          </w:p>
        </w:tc>
        <w:tc>
          <w:tcPr>
            <w:tcW w:w="1553" w:type="dxa"/>
            <w:tcBorders>
              <w:top w:val="single" w:sz="4" w:space="0" w:color="auto"/>
              <w:left w:val="nil"/>
              <w:bottom w:val="single" w:sz="4" w:space="0" w:color="auto"/>
              <w:right w:val="single" w:sz="4" w:space="0" w:color="auto"/>
            </w:tcBorders>
            <w:shd w:val="clear" w:color="auto" w:fill="FFFFFF" w:themeFill="background1"/>
            <w:vAlign w:val="center"/>
            <w:hideMark/>
          </w:tcPr>
          <w:p w14:paraId="174088E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1D010C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single" w:sz="4" w:space="0" w:color="auto"/>
              <w:left w:val="nil"/>
              <w:bottom w:val="single" w:sz="4" w:space="0" w:color="auto"/>
              <w:right w:val="single" w:sz="4" w:space="0" w:color="auto"/>
            </w:tcBorders>
            <w:shd w:val="clear" w:color="auto" w:fill="FFFFFF" w:themeFill="background1"/>
            <w:vAlign w:val="center"/>
            <w:hideMark/>
          </w:tcPr>
          <w:p w14:paraId="46218C5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single" w:sz="4" w:space="0" w:color="auto"/>
              <w:left w:val="nil"/>
              <w:bottom w:val="single" w:sz="4" w:space="0" w:color="auto"/>
              <w:right w:val="single" w:sz="4" w:space="0" w:color="auto"/>
            </w:tcBorders>
            <w:shd w:val="clear" w:color="auto" w:fill="FFFFFF" w:themeFill="background1"/>
            <w:vAlign w:val="center"/>
            <w:hideMark/>
          </w:tcPr>
          <w:p w14:paraId="1012003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64F2EDA3" w14:textId="77777777" w:rsidTr="00AF5836">
        <w:trPr>
          <w:gridAfter w:val="2"/>
          <w:wAfter w:w="160" w:type="dxa"/>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BCE68EA"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89BB804"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8EF5795"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30FFB8B6"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AO002. Capacitación para la prevención, control y combate de incendios forestales.</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5D5DDFD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Persona</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7560AD5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Administraciones Técnicas Forestales y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18E5EC7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47AC9A2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43A34BC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6A9EB0D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38FF69AE" w14:textId="77777777" w:rsidTr="00AF5836">
        <w:trPr>
          <w:gridAfter w:val="2"/>
          <w:wAfter w:w="160" w:type="dxa"/>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569375A2"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7214A582"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1D1E6E61"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tcPr>
          <w:p w14:paraId="337D4659"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AO003. Sensibilización para la prevención, control y combate de incendios forestales.</w:t>
            </w:r>
          </w:p>
        </w:tc>
        <w:tc>
          <w:tcPr>
            <w:tcW w:w="2233" w:type="dxa"/>
            <w:tcBorders>
              <w:top w:val="nil"/>
              <w:left w:val="nil"/>
              <w:bottom w:val="single" w:sz="4" w:space="0" w:color="auto"/>
              <w:right w:val="single" w:sz="4" w:space="0" w:color="auto"/>
            </w:tcBorders>
            <w:shd w:val="clear" w:color="auto" w:fill="FFFFFF" w:themeFill="background1"/>
            <w:vAlign w:val="center"/>
          </w:tcPr>
          <w:p w14:paraId="6800864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Persona</w:t>
            </w:r>
          </w:p>
        </w:tc>
        <w:tc>
          <w:tcPr>
            <w:tcW w:w="1814" w:type="dxa"/>
            <w:tcBorders>
              <w:top w:val="nil"/>
              <w:left w:val="nil"/>
              <w:bottom w:val="single" w:sz="4" w:space="0" w:color="auto"/>
              <w:right w:val="single" w:sz="4" w:space="0" w:color="auto"/>
            </w:tcBorders>
            <w:shd w:val="clear" w:color="auto" w:fill="FFFFFF" w:themeFill="background1"/>
            <w:vAlign w:val="center"/>
          </w:tcPr>
          <w:p w14:paraId="772BD8E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Administraciones Técnicas Forestales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682D464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tcPr>
          <w:p w14:paraId="2BEEC1E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tcPr>
          <w:p w14:paraId="019285A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tcPr>
          <w:p w14:paraId="6D1E285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2C300439" w14:textId="77777777" w:rsidTr="00AF5836">
        <w:trPr>
          <w:gridAfter w:val="2"/>
          <w:wAfter w:w="160" w:type="dxa"/>
          <w:trHeight w:val="765"/>
        </w:trPr>
        <w:tc>
          <w:tcPr>
            <w:tcW w:w="384"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3985FAD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4</w:t>
            </w:r>
          </w:p>
        </w:tc>
        <w:tc>
          <w:tcPr>
            <w:tcW w:w="1693"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63F4367C"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L1.2 Incrementar la superficie de plantaciones forestales y sistemas agroforestales</w:t>
            </w:r>
          </w:p>
        </w:tc>
        <w:tc>
          <w:tcPr>
            <w:tcW w:w="180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2ADB17FA"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S1.2.1 Fortalecimiento de capacidades en materia de plantaciones forestales y sistemas agroforestales de forma satisfactoria a los productores agrarios y organizaciones campesinas y nativas</w:t>
            </w: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32339EFF"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AO001. Capacitación y asistencia técnica para el Registro Nacional de Plantaciones Forestales</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016779E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Persona</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79BD320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Promoción y Competitividad</w:t>
            </w:r>
          </w:p>
          <w:p w14:paraId="6A35ABA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Administraciones Técnicas Forestales y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280650E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 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155B5D3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6D145EB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4181D0B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35DF79D6" w14:textId="77777777" w:rsidTr="00AF5836">
        <w:trPr>
          <w:gridAfter w:val="2"/>
          <w:wAfter w:w="160" w:type="dxa"/>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91EC417"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C5587D6"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84902A5"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val="restart"/>
            <w:tcBorders>
              <w:top w:val="nil"/>
              <w:left w:val="nil"/>
              <w:right w:val="single" w:sz="4" w:space="0" w:color="auto"/>
            </w:tcBorders>
            <w:shd w:val="clear" w:color="auto" w:fill="FFFFFF" w:themeFill="background1"/>
            <w:vAlign w:val="center"/>
            <w:hideMark/>
          </w:tcPr>
          <w:p w14:paraId="63F74EFA"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 xml:space="preserve">AO002. Capacitación y asistencia técnica en plantaciones forestales y sistemas agroforestales </w:t>
            </w:r>
          </w:p>
        </w:tc>
        <w:tc>
          <w:tcPr>
            <w:tcW w:w="2233" w:type="dxa"/>
            <w:vMerge w:val="restart"/>
            <w:tcBorders>
              <w:top w:val="nil"/>
              <w:left w:val="nil"/>
              <w:right w:val="single" w:sz="4" w:space="0" w:color="auto"/>
            </w:tcBorders>
            <w:shd w:val="clear" w:color="auto" w:fill="FFFFFF" w:themeFill="background1"/>
            <w:vAlign w:val="center"/>
            <w:hideMark/>
          </w:tcPr>
          <w:p w14:paraId="219DC14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Persona</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3C0BE52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General de Política y Competitividad Forestal y de Fauna Silvestre</w:t>
            </w:r>
          </w:p>
          <w:p w14:paraId="2F6303C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Administraciones Técnicas Forestales y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0493BCE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 SERFOR - Sede Central</w:t>
            </w:r>
          </w:p>
          <w:p w14:paraId="32C205AA" w14:textId="77777777" w:rsidR="00881C3C" w:rsidRPr="00846D49" w:rsidRDefault="00881C3C" w:rsidP="00AF5836">
            <w:pPr>
              <w:spacing w:after="0" w:line="240" w:lineRule="auto"/>
              <w:jc w:val="center"/>
              <w:rPr>
                <w:rFonts w:ascii="Arial Narrow" w:eastAsia="Times New Roman" w:hAnsi="Arial Narrow"/>
                <w:sz w:val="16"/>
                <w:szCs w:val="16"/>
              </w:rPr>
            </w:pPr>
          </w:p>
          <w:p w14:paraId="5860233F"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7B35159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3E89CBF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4762D70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3ED1241A" w14:textId="77777777" w:rsidTr="00AF5836">
        <w:trPr>
          <w:gridAfter w:val="2"/>
          <w:wAfter w:w="160" w:type="dxa"/>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5951E839"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3646B89C"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522513B5"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bottom w:val="single" w:sz="4" w:space="0" w:color="auto"/>
              <w:right w:val="single" w:sz="4" w:space="0" w:color="auto"/>
            </w:tcBorders>
            <w:shd w:val="clear" w:color="auto" w:fill="FFFFFF" w:themeFill="background1"/>
            <w:vAlign w:val="center"/>
          </w:tcPr>
          <w:p w14:paraId="7371FB31"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left w:val="nil"/>
              <w:bottom w:val="single" w:sz="4" w:space="0" w:color="auto"/>
              <w:right w:val="single" w:sz="4" w:space="0" w:color="auto"/>
            </w:tcBorders>
            <w:shd w:val="clear" w:color="auto" w:fill="FFFFFF" w:themeFill="background1"/>
            <w:vAlign w:val="center"/>
          </w:tcPr>
          <w:p w14:paraId="76BE6AFA"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021AF37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PI Plantaciones</w:t>
            </w:r>
          </w:p>
        </w:tc>
        <w:tc>
          <w:tcPr>
            <w:tcW w:w="1553" w:type="dxa"/>
            <w:tcBorders>
              <w:top w:val="nil"/>
              <w:left w:val="nil"/>
              <w:bottom w:val="single" w:sz="4" w:space="0" w:color="auto"/>
              <w:right w:val="single" w:sz="4" w:space="0" w:color="auto"/>
            </w:tcBorders>
            <w:shd w:val="clear" w:color="auto" w:fill="FFFFFF" w:themeFill="background1"/>
            <w:vAlign w:val="center"/>
          </w:tcPr>
          <w:p w14:paraId="5EFB767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003-1737: Fomento y Gestión Sostenible de la Producción Forestal en el Perú</w:t>
            </w:r>
          </w:p>
        </w:tc>
        <w:tc>
          <w:tcPr>
            <w:tcW w:w="1560" w:type="dxa"/>
            <w:tcBorders>
              <w:top w:val="nil"/>
              <w:left w:val="nil"/>
              <w:bottom w:val="single" w:sz="4" w:space="0" w:color="auto"/>
              <w:right w:val="single" w:sz="4" w:space="0" w:color="auto"/>
            </w:tcBorders>
            <w:shd w:val="clear" w:color="auto" w:fill="FFFFFF" w:themeFill="background1"/>
            <w:vAlign w:val="center"/>
          </w:tcPr>
          <w:p w14:paraId="6FFDC48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tcPr>
          <w:p w14:paraId="756A1A9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tcPr>
          <w:p w14:paraId="028B8DF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1C6C4B4C" w14:textId="77777777" w:rsidTr="00AF5836">
        <w:trPr>
          <w:gridAfter w:val="2"/>
          <w:wAfter w:w="160" w:type="dxa"/>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862D335"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24DA054"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70C6498"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317C1043"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AO003. Capacitación sobre los alcances del Programa de financiamiento para las plantaciones forestales comerciales en el marco del Fondo AGROPERÚ</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7F889A4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Persona</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3692872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Promoción y Competitividad</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2E56DCD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55624A5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36CAD49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1E4A1DF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2F33F613" w14:textId="77777777" w:rsidTr="00AF5836">
        <w:trPr>
          <w:gridAfter w:val="2"/>
          <w:wAfter w:w="160" w:type="dxa"/>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1916FCA"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37A4F4E"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64142A5"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50A69B0B"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AO004. Capacitación sobre estrategias, planes, programas y proyectos para el desarrollo plantaciones forestales comerciales</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2296CC7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Persona</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0E2DBD8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Promoción y Competitividad</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0BCDB46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6D8E6F4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0C50599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018A3C3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0653A4E9" w14:textId="77777777" w:rsidTr="00AF5836">
        <w:trPr>
          <w:gridAfter w:val="2"/>
          <w:wAfter w:w="160" w:type="dxa"/>
          <w:trHeight w:val="429"/>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773FB4F"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77D0B2F"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322E782"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7D185378"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AO005. Capacitación Asistencia y en la línea de establecimiento de plantaciones forestales</w:t>
            </w:r>
          </w:p>
          <w:p w14:paraId="29471C5B"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281788F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Productor asistido</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29EEC85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Unidad de Cadena de Valor Agroforestal, Forestal y Silvopastoril</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4887C20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011-1296: Programa de Desarrollo Productivo Agrario Rural - AGRORURAL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1B2BC1B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013: Ministerio de Desarrollo Agrario y Riego</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78B3594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1374E3C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3B924C2B" w14:textId="77777777" w:rsidTr="00AF5836">
        <w:trPr>
          <w:gridAfter w:val="2"/>
          <w:wAfter w:w="160" w:type="dxa"/>
          <w:trHeight w:val="765"/>
        </w:trPr>
        <w:tc>
          <w:tcPr>
            <w:tcW w:w="384"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51EA410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5</w:t>
            </w:r>
          </w:p>
        </w:tc>
        <w:tc>
          <w:tcPr>
            <w:tcW w:w="1693"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22CDA733"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L1.2 Incrementar la superficie de plantaciones forestales y sistemas agroforestales</w:t>
            </w:r>
          </w:p>
        </w:tc>
        <w:tc>
          <w:tcPr>
            <w:tcW w:w="180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46941A75"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S1.2.2 Instalación de plantaciones forestales y sistemas agroforestales de forma oportuna en beneficio de los productores agrarios</w:t>
            </w: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3AC7C68F"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 xml:space="preserve">AO001. Capacitación y asistencia técnica en plantaciones forestales y sistemas agroforestales </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1D191D7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Hectárea</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678B221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General de Política y Competitividad Forestal y de Fauna Silvestre</w:t>
            </w:r>
          </w:p>
          <w:p w14:paraId="5FA77C02" w14:textId="77777777" w:rsidR="00881C3C" w:rsidRPr="00846D49" w:rsidRDefault="00881C3C" w:rsidP="00AF5836">
            <w:pPr>
              <w:spacing w:after="0" w:line="240" w:lineRule="auto"/>
              <w:jc w:val="center"/>
              <w:rPr>
                <w:rFonts w:ascii="Arial Narrow" w:eastAsia="Times New Roman" w:hAnsi="Arial Narrow"/>
                <w:sz w:val="16"/>
                <w:szCs w:val="16"/>
              </w:rPr>
            </w:pPr>
          </w:p>
          <w:p w14:paraId="374D46A6"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Administraciones Técnicas Forestales y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2A9C13B1"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001-1503: Servicio Nacional Forestal y de Fauna Silvestre- 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40AC286B"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279776C6"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78B464F7"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Gobierno Nacional</w:t>
            </w:r>
          </w:p>
        </w:tc>
      </w:tr>
      <w:tr w:rsidR="00846D49" w:rsidRPr="00846D49" w14:paraId="0B1CCEF8" w14:textId="77777777" w:rsidTr="00AF5836">
        <w:trPr>
          <w:gridAfter w:val="2"/>
          <w:wAfter w:w="160" w:type="dxa"/>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7680F1F2"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4BCED96F"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59784F5D"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tcPr>
          <w:p w14:paraId="77898D08"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AO002. Optimización de factores de producción forestal para la competitividad – CUI 2454392</w:t>
            </w:r>
          </w:p>
        </w:tc>
        <w:tc>
          <w:tcPr>
            <w:tcW w:w="2233" w:type="dxa"/>
            <w:tcBorders>
              <w:top w:val="nil"/>
              <w:left w:val="nil"/>
              <w:bottom w:val="single" w:sz="4" w:space="0" w:color="auto"/>
              <w:right w:val="single" w:sz="4" w:space="0" w:color="auto"/>
            </w:tcBorders>
            <w:shd w:val="clear" w:color="auto" w:fill="FFFFFF" w:themeFill="background1"/>
            <w:vAlign w:val="center"/>
          </w:tcPr>
          <w:p w14:paraId="72F45B7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Hectárea</w:t>
            </w:r>
          </w:p>
        </w:tc>
        <w:tc>
          <w:tcPr>
            <w:tcW w:w="1814" w:type="dxa"/>
            <w:tcBorders>
              <w:top w:val="nil"/>
              <w:left w:val="nil"/>
              <w:bottom w:val="single" w:sz="4" w:space="0" w:color="auto"/>
              <w:right w:val="single" w:sz="4" w:space="0" w:color="auto"/>
            </w:tcBorders>
            <w:shd w:val="clear" w:color="auto" w:fill="FFFFFF" w:themeFill="background1"/>
            <w:vAlign w:val="center"/>
          </w:tcPr>
          <w:p w14:paraId="23661CA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PI Plantaciones</w:t>
            </w:r>
          </w:p>
        </w:tc>
        <w:tc>
          <w:tcPr>
            <w:tcW w:w="1553" w:type="dxa"/>
            <w:tcBorders>
              <w:top w:val="nil"/>
              <w:left w:val="nil"/>
              <w:bottom w:val="single" w:sz="4" w:space="0" w:color="auto"/>
              <w:right w:val="single" w:sz="4" w:space="0" w:color="auto"/>
            </w:tcBorders>
            <w:shd w:val="clear" w:color="auto" w:fill="FFFFFF" w:themeFill="background1"/>
            <w:vAlign w:val="center"/>
          </w:tcPr>
          <w:p w14:paraId="1F65271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003-1737: Fomento y Gestión Sostenible de la Producción Forestal en el Perú</w:t>
            </w:r>
          </w:p>
        </w:tc>
        <w:tc>
          <w:tcPr>
            <w:tcW w:w="1560" w:type="dxa"/>
            <w:tcBorders>
              <w:top w:val="nil"/>
              <w:left w:val="nil"/>
              <w:bottom w:val="single" w:sz="4" w:space="0" w:color="auto"/>
              <w:right w:val="single" w:sz="4" w:space="0" w:color="auto"/>
            </w:tcBorders>
            <w:shd w:val="clear" w:color="auto" w:fill="FFFFFF" w:themeFill="background1"/>
            <w:vAlign w:val="center"/>
          </w:tcPr>
          <w:p w14:paraId="0698F4E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tcPr>
          <w:p w14:paraId="34F7CBB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tcPr>
          <w:p w14:paraId="214FBD4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558E0981" w14:textId="77777777" w:rsidTr="00AF5836">
        <w:trPr>
          <w:gridAfter w:val="2"/>
          <w:wAfter w:w="160" w:type="dxa"/>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B3CBDD5"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44B87FF"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0ACFF9B"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77D69919"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AO003. Asistencia y capacitación en la línea de establecimiento de plantaciones forestales</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7EBC525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Hectárea</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19AF89A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Unidad de Cadena de Valor Agroforestal, Entidad Forestal y Silvopastoril</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7E3FBDF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011-1296: Programa de Desarrollo Productivo Agrario Rural - AGRORURAL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6E680D8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013: Ministerio de Desarrollo Agrario y Riego</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28DB57C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01C3F4A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635CD056" w14:textId="77777777" w:rsidTr="00AF5836">
        <w:trPr>
          <w:gridAfter w:val="2"/>
          <w:wAfter w:w="160" w:type="dxa"/>
          <w:trHeight w:val="1530"/>
        </w:trPr>
        <w:tc>
          <w:tcPr>
            <w:tcW w:w="384" w:type="dxa"/>
            <w:tcBorders>
              <w:top w:val="nil"/>
              <w:left w:val="single" w:sz="4" w:space="0" w:color="auto"/>
              <w:bottom w:val="single" w:sz="4" w:space="0" w:color="auto"/>
              <w:right w:val="single" w:sz="4" w:space="0" w:color="auto"/>
            </w:tcBorders>
            <w:shd w:val="clear" w:color="auto" w:fill="FFFFFF" w:themeFill="background1"/>
            <w:vAlign w:val="center"/>
            <w:hideMark/>
          </w:tcPr>
          <w:p w14:paraId="450F7B5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6</w:t>
            </w:r>
          </w:p>
        </w:tc>
        <w:tc>
          <w:tcPr>
            <w:tcW w:w="1693" w:type="dxa"/>
            <w:tcBorders>
              <w:top w:val="nil"/>
              <w:left w:val="nil"/>
              <w:bottom w:val="single" w:sz="4" w:space="0" w:color="auto"/>
              <w:right w:val="single" w:sz="4" w:space="0" w:color="auto"/>
            </w:tcBorders>
            <w:shd w:val="clear" w:color="auto" w:fill="FFFFFF" w:themeFill="background1"/>
            <w:vAlign w:val="center"/>
            <w:hideMark/>
          </w:tcPr>
          <w:p w14:paraId="7DFBDBDF"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L1.3 Desarrollar estrategias de restauración y recuperación de los ecosistemas forestales y otros ecosistemas de vegetación silvestre deforestados o degradados</w:t>
            </w:r>
          </w:p>
        </w:tc>
        <w:tc>
          <w:tcPr>
            <w:tcW w:w="1800" w:type="dxa"/>
            <w:tcBorders>
              <w:top w:val="nil"/>
              <w:left w:val="nil"/>
              <w:bottom w:val="single" w:sz="4" w:space="0" w:color="auto"/>
              <w:right w:val="single" w:sz="4" w:space="0" w:color="auto"/>
            </w:tcBorders>
            <w:shd w:val="clear" w:color="auto" w:fill="FFFFFF" w:themeFill="background1"/>
            <w:vAlign w:val="center"/>
            <w:hideMark/>
          </w:tcPr>
          <w:p w14:paraId="422EF259"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S1.3.1 Fortalecimiento de capacidades para la identificación de áreas degradadas en ecosistemas terrestres, accesible a gobiernos regionales.</w:t>
            </w: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1E140F62"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AO001. Implementación y operación de un sistema de identificación, categorización y priorización de áreas degradadas para la restauración de ecosistemas</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029EEE4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Entidad</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2628052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xml:space="preserve">Dirección General de Ordenamiento Territorial Ambiental </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685B014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001-1293: Ministerio del Ambiente - Administración General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064C527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005: Ministerio del Ambiente</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3905558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05: Ambiental</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1CAE3CB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73AFC79C" w14:textId="77777777" w:rsidTr="00AF5836">
        <w:trPr>
          <w:gridAfter w:val="2"/>
          <w:wAfter w:w="160" w:type="dxa"/>
          <w:trHeight w:val="1020"/>
        </w:trPr>
        <w:tc>
          <w:tcPr>
            <w:tcW w:w="384"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7AB15D7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7</w:t>
            </w:r>
          </w:p>
        </w:tc>
        <w:tc>
          <w:tcPr>
            <w:tcW w:w="1693"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015C73FC"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 xml:space="preserve">L1.3 Desarrollar estrategias de restauración y recuperación de los ecosistemas forestales y </w:t>
            </w:r>
            <w:r w:rsidRPr="00846D49">
              <w:rPr>
                <w:rFonts w:ascii="Arial Narrow" w:eastAsia="Times New Roman" w:hAnsi="Arial Narrow"/>
                <w:sz w:val="16"/>
                <w:szCs w:val="16"/>
              </w:rPr>
              <w:lastRenderedPageBreak/>
              <w:t>otros ecosistemas de vegetación silvestre deforestados o degradados</w:t>
            </w:r>
          </w:p>
        </w:tc>
        <w:tc>
          <w:tcPr>
            <w:tcW w:w="180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52DA297E"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lastRenderedPageBreak/>
              <w:t>S1.3.2 Asistencia técnica y capacitación en materia de</w:t>
            </w:r>
            <w:r w:rsidRPr="00846D49">
              <w:rPr>
                <w:rFonts w:ascii="Arial" w:eastAsia="Arial Narrow" w:hAnsi="Arial" w:cs="Arial"/>
                <w:sz w:val="20"/>
                <w:szCs w:val="20"/>
              </w:rPr>
              <w:t xml:space="preserve"> </w:t>
            </w:r>
            <w:r w:rsidRPr="00846D49">
              <w:rPr>
                <w:rFonts w:ascii="Arial Narrow" w:eastAsia="Times New Roman" w:hAnsi="Arial Narrow"/>
                <w:sz w:val="16"/>
                <w:szCs w:val="16"/>
              </w:rPr>
              <w:t xml:space="preserve">restauración de ecosistemas forestales y otros ecosistemas de </w:t>
            </w:r>
            <w:r w:rsidRPr="00846D49">
              <w:rPr>
                <w:rFonts w:ascii="Arial Narrow" w:eastAsia="Times New Roman" w:hAnsi="Arial Narrow"/>
                <w:sz w:val="16"/>
                <w:szCs w:val="16"/>
              </w:rPr>
              <w:lastRenderedPageBreak/>
              <w:t>vegetación silvestre impartidos de forma satisfactoria a los gobiernos regionales, gobiernos locales y usuarios forestales y de fauna silvestre.</w:t>
            </w: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1676A14A"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lastRenderedPageBreak/>
              <w:t>AO001. Identificación de zonas prioritarias para desarrollo de actividades y proyectos de restauración con enfoque de paisaje</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6016630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Hectárea</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55E1165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xml:space="preserve">Dirección General de Gestión Sostenible del Patrimonio Forestal y de Fauna Silvestre </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372421C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00301B3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509103F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665205A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3752C806" w14:textId="77777777" w:rsidTr="00AF5836">
        <w:trPr>
          <w:gridAfter w:val="2"/>
          <w:wAfter w:w="160" w:type="dxa"/>
          <w:trHeight w:val="102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98993BF"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DF5EBC3"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E628ED4"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760E1F92"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AO002. Identificación de mecanismos financieros y diseño de incentivos adecuados que faciliten las inversiones y financiamiento en restauración.</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16DE2BF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xml:space="preserve">Mecanismo </w:t>
            </w:r>
            <w:r w:rsidRPr="00846D49">
              <w:rPr>
                <w:rFonts w:ascii="Arial Narrow" w:eastAsia="Times New Roman" w:hAnsi="Arial Narrow"/>
                <w:sz w:val="16"/>
                <w:szCs w:val="16"/>
              </w:rPr>
              <w:br/>
              <w:t>implementado</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6449430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xml:space="preserve">Dirección General de Gestión Sostenible del Patrimonio Forestal y de Fauna Silvestre </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699D220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4C2F797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54541EB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3A2BA48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205B7B2C" w14:textId="77777777" w:rsidTr="00AF5836">
        <w:trPr>
          <w:gridAfter w:val="2"/>
          <w:wAfter w:w="160" w:type="dxa"/>
          <w:trHeight w:val="102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DD05BE0"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D61AE71"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76DE783"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7E576AD9"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AO003. Promoción de la investigación aplicada e innovación tecnológica como soporte técnico-científico para desarrollar proyectos y actividades de restauración.</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7AAAF40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xml:space="preserve">Investigación </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0B5F96D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General de Gestión Sostenible del Patrimonio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6D2B87A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3A001D0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3166B66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4C70D9A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1113F08B" w14:textId="77777777" w:rsidTr="00AF5836">
        <w:trPr>
          <w:gridAfter w:val="2"/>
          <w:wAfter w:w="160" w:type="dxa"/>
          <w:trHeight w:val="102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090F8BC"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4A33584"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448CE1E"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7817FB1C"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AO004. Capacitación a los profesionales y técnicos que planifican, implementan y monitorean las actividades y proyectos de restauración.</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4B09537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Persona capacitada</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3FD2C9A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xml:space="preserve">Dirección General de Gestión Sostenible del Patrimonio Forestal y de Fauna Silvestre </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148FD17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6C6346A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379A43A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3421D5C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581D3D73" w14:textId="77777777" w:rsidTr="00AF5836">
        <w:trPr>
          <w:gridAfter w:val="2"/>
          <w:wAfter w:w="160" w:type="dxa"/>
          <w:trHeight w:val="102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4FFBA85"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1A358BC"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28FE4AA"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3544025C"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AO005. Promoción de instrumentos de gestión y normatividad para facilitar la restauración</w:t>
            </w:r>
            <w:r w:rsidRPr="00846D49">
              <w:rPr>
                <w:rFonts w:ascii="Arial Narrow" w:eastAsia="Times New Roman" w:hAnsi="Arial Narrow"/>
                <w:strike/>
                <w:sz w:val="16"/>
                <w:szCs w:val="16"/>
              </w:rPr>
              <w:t xml:space="preserve"> </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0D1B4A8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Persona</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6B07055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xml:space="preserve">Dirección General de Gestión Sostenible del Patrimonio Forestal y de Fauna Silvestre </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0764D4D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4245134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6F01F50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3921935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1337F8A2" w14:textId="77777777" w:rsidTr="00AF5836">
        <w:trPr>
          <w:gridAfter w:val="2"/>
          <w:wAfter w:w="160" w:type="dxa"/>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4CB595D"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83036E7"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CB707F9"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04B99CF3"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AO006. Promoción para la identificación y recuperación de áreas degradadas</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5FC6C04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Hectárea</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66CC9314" w14:textId="77777777" w:rsidR="00881C3C" w:rsidRPr="00846D49" w:rsidRDefault="00881C3C" w:rsidP="00AF5836">
            <w:pPr>
              <w:spacing w:after="0" w:line="240" w:lineRule="auto"/>
              <w:jc w:val="center"/>
              <w:rPr>
                <w:rFonts w:ascii="Arial Narrow" w:eastAsia="Times New Roman" w:hAnsi="Arial Narrow"/>
                <w:sz w:val="16"/>
                <w:szCs w:val="16"/>
                <w:highlight w:val="green"/>
              </w:rPr>
            </w:pPr>
            <w:r w:rsidRPr="00846D49">
              <w:rPr>
                <w:rFonts w:ascii="Arial Narrow" w:eastAsia="Times New Roman" w:hAnsi="Arial Narrow"/>
                <w:sz w:val="16"/>
                <w:szCs w:val="16"/>
              </w:rPr>
              <w:t>Administraciones Técnicas Forestales y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5133542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39317AD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3A41ABC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04678A7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017EF88D" w14:textId="77777777" w:rsidTr="00AF5836">
        <w:trPr>
          <w:gridAfter w:val="2"/>
          <w:wAfter w:w="160" w:type="dxa"/>
          <w:trHeight w:val="765"/>
        </w:trPr>
        <w:tc>
          <w:tcPr>
            <w:tcW w:w="384"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654A2CE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8</w:t>
            </w:r>
          </w:p>
        </w:tc>
        <w:tc>
          <w:tcPr>
            <w:tcW w:w="1693"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69AA6446"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L1.3 Desarrollar estrategias de restauración y recuperación de los ecosistemas forestales y otros ecosistemas de vegetación silvestre deforestados o degradados</w:t>
            </w:r>
          </w:p>
        </w:tc>
        <w:tc>
          <w:tcPr>
            <w:tcW w:w="180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48D5CC03"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 xml:space="preserve">S1.3.3 Asistencia técnica para la formulación de proyectos de inversión pública destinados a la recuperación de áreas degradadas en zonas de influencia de cultivos ilícitos, mediante la reforestación, de forma pertinente a los </w:t>
            </w:r>
            <w:r w:rsidRPr="00846D49">
              <w:rPr>
                <w:rFonts w:ascii="Arial Narrow" w:eastAsia="Times New Roman" w:hAnsi="Arial Narrow"/>
                <w:sz w:val="16"/>
                <w:szCs w:val="16"/>
              </w:rPr>
              <w:lastRenderedPageBreak/>
              <w:t>gobiernos regionales y gobiernos locales</w:t>
            </w: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4D006F39"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lastRenderedPageBreak/>
              <w:t>AO001. Promoción y asesoría a Gobiernos Regionales y Gobiernos Locales para la formulación de proyectos de reforestación</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24B7B94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Proyecto</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374B648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xml:space="preserve">DEVIDA-Oficinas Zonales </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625D894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xml:space="preserve">006-1715: Unidad de Gestión de Apoyo al Desarrollo Sostenible del VRAEM </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3968660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012: Comisión Nacional para el Desarrollo y Vida Sin Drogas - DEVIDA</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751DD57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01: Presidencia Consejo de Ministros</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1493B47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40D83E49" w14:textId="77777777" w:rsidTr="00AF5836">
        <w:trPr>
          <w:gridAfter w:val="2"/>
          <w:wAfter w:w="160" w:type="dxa"/>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F11D8FD"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ABE62B6"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4DDCECA"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6C52D9B9"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AO002. Admisión, evaluación, calificación y priorización de proyectos de reforestación con solicitud de financiamiento</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41776CD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Proyecto</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1D975DD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DEVIDA-Oficina de Planeamiento y Presupuesto</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52F7732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001-1064: Comisión Nacional para el Desarrollo y Vida Sin Drogas - DEVIDA</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7A0A1AB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012: Comisión Nacional para el Desarrollo y Vida Sin Drogas - DEVIDA</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70AF3C4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01: Presidencia Consejo de Ministros</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0DA9A98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374694B9" w14:textId="77777777" w:rsidTr="00AF5836">
        <w:trPr>
          <w:gridAfter w:val="2"/>
          <w:wAfter w:w="160" w:type="dxa"/>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2DA457E"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AA8DDD8"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B5396F6"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60D33FFF"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AO003. Capacitación de los profesionales y técnicos que planifican, implementan y monitorean las actividades y proyectos de restauración.</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234AF14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Eventos</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0D1804B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DEVIDA-Dirección de Articulación Territorial</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6D7ACAD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001-1064: Comisión Nacional para el Desarrollo y Vida Sin Drogas - DEVIDA</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1AC4371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012: Comisión Nacional para el Desarrollo y Vida Sin Drogas - DEVIDA</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7482C5A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01: Presidencia Consejo de Ministros</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57E6408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72352011" w14:textId="77777777" w:rsidTr="00AF5836">
        <w:trPr>
          <w:gridAfter w:val="2"/>
          <w:wAfter w:w="160" w:type="dxa"/>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9C44597"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9AE7729"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51E60C5"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59734F97"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AO004. Establecimiento de espacios de coordinación y articulación entre instituciones públicas, sociedad civil, privados y población para una efectiva gestión en restauración de ecosistemas y tierras forestales degradados.</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37C12E8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Reporte</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092275E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xml:space="preserve">DEVIDA-Oficinas Zonales </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0A12646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001-1064: Comisión Nacional para el Desarrollo y Vida Sin Drogas - DEVIDA</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7EA3A24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012: Comisión Nacional para el Desarrollo y Vida Sin Drogas - DEVIDA</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66967C1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01: Presidencia Consejo de Ministros</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3622DAE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447170A8" w14:textId="77777777" w:rsidTr="00AF5836">
        <w:trPr>
          <w:gridAfter w:val="2"/>
          <w:wAfter w:w="160" w:type="dxa"/>
          <w:trHeight w:val="1785"/>
        </w:trPr>
        <w:tc>
          <w:tcPr>
            <w:tcW w:w="384" w:type="dxa"/>
            <w:tcBorders>
              <w:top w:val="nil"/>
              <w:left w:val="single" w:sz="4" w:space="0" w:color="auto"/>
              <w:bottom w:val="single" w:sz="4" w:space="0" w:color="auto"/>
              <w:right w:val="single" w:sz="4" w:space="0" w:color="auto"/>
            </w:tcBorders>
            <w:shd w:val="clear" w:color="auto" w:fill="FFFFFF" w:themeFill="background1"/>
            <w:vAlign w:val="center"/>
            <w:hideMark/>
          </w:tcPr>
          <w:p w14:paraId="7B1C1CF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w:t>
            </w:r>
          </w:p>
        </w:tc>
        <w:tc>
          <w:tcPr>
            <w:tcW w:w="1693" w:type="dxa"/>
            <w:tcBorders>
              <w:top w:val="nil"/>
              <w:left w:val="nil"/>
              <w:bottom w:val="single" w:sz="4" w:space="0" w:color="auto"/>
              <w:right w:val="single" w:sz="4" w:space="0" w:color="auto"/>
            </w:tcBorders>
            <w:shd w:val="clear" w:color="auto" w:fill="FFFFFF" w:themeFill="background1"/>
            <w:vAlign w:val="center"/>
            <w:hideMark/>
          </w:tcPr>
          <w:p w14:paraId="008F31A1"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L1.4 Incentivar el desarrollo de mecanismos de retribución por servicios ecosistémicos para la conservación, recuperación y uso sostenible de los ecosistemas forestales y otros ecosistemas de vegetación silvestre</w:t>
            </w:r>
          </w:p>
        </w:tc>
        <w:tc>
          <w:tcPr>
            <w:tcW w:w="1800" w:type="dxa"/>
            <w:tcBorders>
              <w:top w:val="nil"/>
              <w:left w:val="nil"/>
              <w:bottom w:val="single" w:sz="4" w:space="0" w:color="auto"/>
              <w:right w:val="single" w:sz="4" w:space="0" w:color="auto"/>
            </w:tcBorders>
            <w:shd w:val="clear" w:color="auto" w:fill="FFFFFF" w:themeFill="background1"/>
            <w:vAlign w:val="center"/>
            <w:hideMark/>
          </w:tcPr>
          <w:p w14:paraId="106FAC82"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S1.4.1 Asistencia técnica para el desarrollo de mecanismos financieros orientados a la conservación y gestión de los ecosistemas forestales y otros ecosistemas de vegetación silvestre y medidas frente al cambio climático, satisfactoriamente a las Autoridades Regionales Forestales y de Fauna Silvestre y otros usuarios forestales y de fauna silvestre.</w:t>
            </w: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2739A17D"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AO001. Identificación y diseño de herramientas económicas metodológicas que contribuya a la gestión sostenible del patrimonio forestal y de fauna silvestre</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68F5087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Estudio</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1B52D3C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Inventario y Valoración</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5394265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7590447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3A9EF65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7F5D96D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6DBB87D3" w14:textId="77777777" w:rsidTr="00AF5836">
        <w:trPr>
          <w:gridAfter w:val="2"/>
          <w:wAfter w:w="160" w:type="dxa"/>
          <w:trHeight w:val="77"/>
        </w:trPr>
        <w:tc>
          <w:tcPr>
            <w:tcW w:w="384" w:type="dxa"/>
            <w:tcBorders>
              <w:top w:val="nil"/>
              <w:left w:val="single" w:sz="4" w:space="0" w:color="auto"/>
              <w:bottom w:val="single" w:sz="4" w:space="0" w:color="auto"/>
              <w:right w:val="single" w:sz="4" w:space="0" w:color="auto"/>
            </w:tcBorders>
            <w:shd w:val="clear" w:color="auto" w:fill="FFFFFF" w:themeFill="background1"/>
            <w:vAlign w:val="center"/>
            <w:hideMark/>
          </w:tcPr>
          <w:p w14:paraId="4EFBA4E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w:t>
            </w:r>
          </w:p>
        </w:tc>
        <w:tc>
          <w:tcPr>
            <w:tcW w:w="1693" w:type="dxa"/>
            <w:tcBorders>
              <w:top w:val="nil"/>
              <w:left w:val="nil"/>
              <w:bottom w:val="single" w:sz="4" w:space="0" w:color="auto"/>
              <w:right w:val="single" w:sz="4" w:space="0" w:color="auto"/>
            </w:tcBorders>
            <w:shd w:val="clear" w:color="auto" w:fill="FFFFFF" w:themeFill="background1"/>
            <w:vAlign w:val="center"/>
            <w:hideMark/>
          </w:tcPr>
          <w:p w14:paraId="26F179B9"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L1.4 Incentivar el desarrollo de mecanismos de retribución por servicios ecosistémicos para la conservación, recuperación y uso sostenible de los ecosistemas forestales y otros ecosistemas de vegetación silvestre</w:t>
            </w:r>
          </w:p>
        </w:tc>
        <w:tc>
          <w:tcPr>
            <w:tcW w:w="1800" w:type="dxa"/>
            <w:tcBorders>
              <w:top w:val="nil"/>
              <w:left w:val="nil"/>
              <w:bottom w:val="single" w:sz="4" w:space="0" w:color="auto"/>
              <w:right w:val="single" w:sz="4" w:space="0" w:color="auto"/>
            </w:tcBorders>
            <w:shd w:val="clear" w:color="auto" w:fill="FFFFFF" w:themeFill="background1"/>
            <w:vAlign w:val="center"/>
            <w:hideMark/>
          </w:tcPr>
          <w:p w14:paraId="18D77F35"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S1.4.2 Asistencia técnica para el diseño y actualización de metodologías sobre la estimación del pago por acceso y uso de los recursos forestales y de fauna silvestre de forma satisfactoria dirigida a las Autoridades Regionales Forestales y de Fauna Silvestre</w:t>
            </w: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1E37D54B"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AO001. Identificación y diseño de herramientas económicas metodológicas que contribuya a la gestión sostenible del patrimonio forestal y de fauna silvestre</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5EFE6B3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Estudio</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61634BE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Inventario y Valoración</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3963EEF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49D2E12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3A147F3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3F60557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03FC2ECB" w14:textId="77777777" w:rsidTr="00AF5836">
        <w:trPr>
          <w:gridAfter w:val="2"/>
          <w:wAfter w:w="160" w:type="dxa"/>
          <w:trHeight w:val="434"/>
        </w:trPr>
        <w:tc>
          <w:tcPr>
            <w:tcW w:w="384"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4E56A27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lastRenderedPageBreak/>
              <w:t>11</w:t>
            </w:r>
          </w:p>
        </w:tc>
        <w:tc>
          <w:tcPr>
            <w:tcW w:w="1693"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6CA27508"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L1.5 Incrementar el avance del proceso de ordenamiento forestal en el país</w:t>
            </w:r>
          </w:p>
        </w:tc>
        <w:tc>
          <w:tcPr>
            <w:tcW w:w="180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2F70A5A6"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S1.5.1 Asistencia técnica en zonificación forestal de forma fiable para los gobiernos regionales</w:t>
            </w:r>
          </w:p>
        </w:tc>
        <w:tc>
          <w:tcPr>
            <w:tcW w:w="2143" w:type="dxa"/>
            <w:vMerge w:val="restart"/>
            <w:tcBorders>
              <w:top w:val="nil"/>
              <w:left w:val="nil"/>
              <w:right w:val="single" w:sz="4" w:space="0" w:color="auto"/>
            </w:tcBorders>
            <w:shd w:val="clear" w:color="auto" w:fill="FFFFFF" w:themeFill="background1"/>
            <w:vAlign w:val="center"/>
            <w:hideMark/>
          </w:tcPr>
          <w:p w14:paraId="0F8FA0F5"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AO001. Capacitación y asistencia técnica a los gobiernos regionales en la etapa de preparación y formulación de la zonificación forestal</w:t>
            </w:r>
          </w:p>
        </w:tc>
        <w:tc>
          <w:tcPr>
            <w:tcW w:w="2233" w:type="dxa"/>
            <w:vMerge w:val="restart"/>
            <w:tcBorders>
              <w:top w:val="nil"/>
              <w:left w:val="nil"/>
              <w:right w:val="single" w:sz="4" w:space="0" w:color="auto"/>
            </w:tcBorders>
            <w:shd w:val="clear" w:color="auto" w:fill="FFFFFF" w:themeFill="background1"/>
            <w:vAlign w:val="center"/>
            <w:hideMark/>
          </w:tcPr>
          <w:p w14:paraId="141E8DB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Eventos</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732EFCC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Catastro, Zonificación y Ordenamiento</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6CA4DFB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 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0C2880B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08DF071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6F1E99B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15587770" w14:textId="77777777" w:rsidTr="00AF5836">
        <w:trPr>
          <w:gridAfter w:val="2"/>
          <w:wAfter w:w="160" w:type="dxa"/>
          <w:trHeight w:val="434"/>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7C9BDA77"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0218F455"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1261FFFA"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bottom w:val="single" w:sz="4" w:space="0" w:color="auto"/>
              <w:right w:val="single" w:sz="4" w:space="0" w:color="auto"/>
            </w:tcBorders>
            <w:shd w:val="clear" w:color="auto" w:fill="FFFFFF" w:themeFill="background1"/>
            <w:vAlign w:val="center"/>
          </w:tcPr>
          <w:p w14:paraId="54A5DBE9"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left w:val="nil"/>
              <w:bottom w:val="single" w:sz="4" w:space="0" w:color="auto"/>
              <w:right w:val="single" w:sz="4" w:space="0" w:color="auto"/>
            </w:tcBorders>
            <w:shd w:val="clear" w:color="auto" w:fill="FFFFFF" w:themeFill="background1"/>
            <w:vAlign w:val="center"/>
          </w:tcPr>
          <w:p w14:paraId="79F24C10"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5F5CFA8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PI Ordenamiento</w:t>
            </w:r>
          </w:p>
        </w:tc>
        <w:tc>
          <w:tcPr>
            <w:tcW w:w="1553" w:type="dxa"/>
            <w:tcBorders>
              <w:top w:val="nil"/>
              <w:left w:val="nil"/>
              <w:bottom w:val="single" w:sz="4" w:space="0" w:color="auto"/>
              <w:right w:val="single" w:sz="4" w:space="0" w:color="auto"/>
            </w:tcBorders>
            <w:shd w:val="clear" w:color="auto" w:fill="FFFFFF" w:themeFill="background1"/>
            <w:vAlign w:val="center"/>
          </w:tcPr>
          <w:p w14:paraId="0D03B22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003-1737: Fomento y Gestión Sostenible de la Producción Forestal en el Perú</w:t>
            </w:r>
          </w:p>
        </w:tc>
        <w:tc>
          <w:tcPr>
            <w:tcW w:w="1560" w:type="dxa"/>
            <w:tcBorders>
              <w:top w:val="nil"/>
              <w:left w:val="nil"/>
              <w:bottom w:val="single" w:sz="4" w:space="0" w:color="auto"/>
              <w:right w:val="single" w:sz="4" w:space="0" w:color="auto"/>
            </w:tcBorders>
            <w:shd w:val="clear" w:color="auto" w:fill="FFFFFF" w:themeFill="background1"/>
            <w:vAlign w:val="center"/>
          </w:tcPr>
          <w:p w14:paraId="61D598D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tcPr>
          <w:p w14:paraId="5A547B4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tcPr>
          <w:p w14:paraId="760ABF4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655D5BEB" w14:textId="77777777" w:rsidTr="00AF5836">
        <w:trPr>
          <w:gridAfter w:val="2"/>
          <w:wAfter w:w="160" w:type="dxa"/>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DEAAE2B"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F28A773"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5ACBC1F"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0EB9C6D5"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AO002. Capacitación y asistencia técnica a los gobiernos regionales en la etapa de aprobación de la zonificación forestal</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080D9D7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Eventos</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0D5FA28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Catastro, Zonificación y Ordenamiento</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28EAA78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 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4D2AA0E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776B2E6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65E034F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34E226CA" w14:textId="77777777" w:rsidTr="00AF5836">
        <w:trPr>
          <w:gridAfter w:val="2"/>
          <w:wAfter w:w="160" w:type="dxa"/>
          <w:trHeight w:val="127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99C454D"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B1B6947"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5A27527"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34752106"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AO003. Capacitación y asistencia técnica a los gobiernos regionales en la etapa de monitoreo y evaluación de la zonificación forestal en el marco del módulo de monitoreo del patrimonio nacional forestal y de fauna silvestre del Sistema Nacional de Información Forestal y de Fauna Silvestre - SNIFFS</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0C80C47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Eventos</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42FCCDA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Catastro, Zonificación y Ordenamiento</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776B99F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 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75FED8C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4CCEEC6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394F5E5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4390805E" w14:textId="77777777" w:rsidTr="00AF5836">
        <w:trPr>
          <w:gridAfter w:val="2"/>
          <w:wAfter w:w="160" w:type="dxa"/>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2F6D34B"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214E220"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633C575"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6B2AFF8E"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AO004. Participación en el proceso de zonificación forestal y fauna silvestre para la adecuada gestión de estos recursos.</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6B9AD38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Informe</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2DB30139" w14:textId="77777777" w:rsidR="00881C3C" w:rsidRPr="00846D49" w:rsidRDefault="00881C3C" w:rsidP="00AF5836">
            <w:pPr>
              <w:spacing w:after="0" w:line="240" w:lineRule="auto"/>
              <w:jc w:val="center"/>
              <w:rPr>
                <w:rFonts w:ascii="Arial Narrow" w:eastAsia="Times New Roman" w:hAnsi="Arial Narrow"/>
                <w:sz w:val="16"/>
                <w:szCs w:val="16"/>
                <w:highlight w:val="yellow"/>
              </w:rPr>
            </w:pPr>
            <w:r w:rsidRPr="00846D49">
              <w:rPr>
                <w:rFonts w:ascii="Arial Narrow" w:eastAsia="Times New Roman" w:hAnsi="Arial Narrow"/>
                <w:sz w:val="16"/>
                <w:szCs w:val="16"/>
              </w:rPr>
              <w:t>Administraciones Técnicas Forestales y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4742AD5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 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63FFCC7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6753315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7D97CC9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12BDB553" w14:textId="77777777" w:rsidTr="00AF5836">
        <w:trPr>
          <w:gridAfter w:val="2"/>
          <w:wAfter w:w="160" w:type="dxa"/>
          <w:trHeight w:val="765"/>
        </w:trPr>
        <w:tc>
          <w:tcPr>
            <w:tcW w:w="384"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199962F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12</w:t>
            </w:r>
          </w:p>
        </w:tc>
        <w:tc>
          <w:tcPr>
            <w:tcW w:w="1693"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2C75E516"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L1.5 Incrementar el avance del proceso de ordenamiento forestal en el país</w:t>
            </w:r>
          </w:p>
        </w:tc>
        <w:tc>
          <w:tcPr>
            <w:tcW w:w="180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41E24A8B"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S1.5.2 Implementación de las unidades de ordenamiento forestal de forma fiable para las Autoridades Regionales Forestales y de Fauna Silvestre</w:t>
            </w: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21529043"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AO001. Capacitación y asistencia técnica en el establecimiento de unidades de ordenamiento forestal</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7775250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Eventos</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641AF48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Catastro, Zonificación y Ordenamiento</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7922ED1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 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4BEDE78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00D879D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0BC8003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1233A095" w14:textId="77777777" w:rsidTr="00AF5836">
        <w:trPr>
          <w:gridAfter w:val="2"/>
          <w:wAfter w:w="160" w:type="dxa"/>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2E1E09F"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E72FD13"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C63CB23"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3B74B7EF"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 xml:space="preserve">AO002. Implementación y establecimiento de unidades de ordenamiento forestal </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07C12AD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Hectárea</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1895138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Catastro, Zonificación y Ordenamiento</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2A1A2BC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 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490F65E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6EC580F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29F0B3E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4CA04EBB" w14:textId="77777777" w:rsidTr="00AF5836">
        <w:trPr>
          <w:gridAfter w:val="2"/>
          <w:wAfter w:w="160" w:type="dxa"/>
          <w:trHeight w:val="434"/>
        </w:trPr>
        <w:tc>
          <w:tcPr>
            <w:tcW w:w="384"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61A435E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lastRenderedPageBreak/>
              <w:t>13</w:t>
            </w:r>
          </w:p>
        </w:tc>
        <w:tc>
          <w:tcPr>
            <w:tcW w:w="1693"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73B53E47"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L1.6 Fomentar el aprovechamiento sostenible de los recursos forestales y de fauna silvestre</w:t>
            </w:r>
          </w:p>
        </w:tc>
        <w:tc>
          <w:tcPr>
            <w:tcW w:w="180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0B2315B1"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S1.6.1 Fortalecimiento de capacidades en el aprovechamiento sostenible y conservación de los recursos forestales y de fauna silvestre de forma satisfactoria a los usuarios forestales y de fauna silvestre</w:t>
            </w: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5C03F05B"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AO001. Realización de asistencia técnica para el aprovechamiento sostenible de los recursos forestales y de fauna silvestre en beneficio de los usuarios del bosque</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1E28B0B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Persona</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1A105EA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Fortalecimiento de Capacidades</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010B33E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25D2466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0EE4E84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7EB04DA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4AB638C2" w14:textId="77777777" w:rsidTr="00AF5836">
        <w:trPr>
          <w:gridAfter w:val="2"/>
          <w:wAfter w:w="160" w:type="dxa"/>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CF9479B"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23CDFD2"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4636550"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643288B9"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 xml:space="preserve">AO002. Capacitación a los actores forestales y de fauna silvestre para el acceso a los recursos forestales y de fauna silvestre </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01B4192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Persona</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7536590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Fortalecimiento de Capacidades</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4102CD5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238C8B5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61CAC22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3A863BF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0D7C1997" w14:textId="77777777" w:rsidTr="00AF5836">
        <w:trPr>
          <w:gridAfter w:val="2"/>
          <w:wAfter w:w="160" w:type="dxa"/>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BAC4AC2"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BBCDDFA"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79C9013"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1C4FCA9F"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 xml:space="preserve">AO003. </w:t>
            </w:r>
            <w:r w:rsidRPr="00846D49">
              <w:rPr>
                <w:rFonts w:ascii="Arial Narrow" w:eastAsia="Times New Roman" w:hAnsi="Arial Narrow"/>
                <w:strike/>
                <w:sz w:val="16"/>
                <w:szCs w:val="16"/>
              </w:rPr>
              <w:t>I</w:t>
            </w:r>
            <w:r w:rsidRPr="00846D49">
              <w:rPr>
                <w:rFonts w:ascii="Arial Narrow" w:eastAsia="Times New Roman" w:hAnsi="Arial Narrow"/>
                <w:sz w:val="16"/>
                <w:szCs w:val="16"/>
              </w:rPr>
              <w:t>mplementación de programas de capacitación para dar valor a los recursos forestales y de fauna silvestre en beneficio de las comunidades y otros actores</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3C1D059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Persona</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406B29F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Fortalecimiento de Capacidades</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6A35117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10EADE7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1D6445F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2ADD791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29255A8E" w14:textId="77777777" w:rsidTr="00AF5836">
        <w:trPr>
          <w:gridAfter w:val="2"/>
          <w:wAfter w:w="160" w:type="dxa"/>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CEE7757"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3653B5F"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DA35B3E"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6EF0280C"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AO004. Realización de capacitación a los usuarios de fauna silvestre para su aprovechamiento sostenible y conservación del recurso fauna silvestre y sus hábitats.</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0E3D3BF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Persona</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5E33147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Gestión Sostenible del Patrimonio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68A575A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2EA009C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4CA4A76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63B81C5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542D14BE" w14:textId="77777777" w:rsidTr="00AF5836">
        <w:trPr>
          <w:gridAfter w:val="2"/>
          <w:wAfter w:w="160" w:type="dxa"/>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90FBE99"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C0FB23A"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13508DA"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7AA16C5B"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AO005. Realización de asistencia técnica para el aprovechamiento sostenible de los recursos forestales y de fauna silvestre en beneficio de los usuarios del bosque</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1DC6E51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Persona</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725014F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Gestión Sostenible del Patrimonio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054272D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613BC99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4DB2786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52C1141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2FB7567C" w14:textId="77777777" w:rsidTr="00AF5836">
        <w:trPr>
          <w:gridAfter w:val="2"/>
          <w:wAfter w:w="160" w:type="dxa"/>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60819B0F"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672666B6"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473F5345"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tcPr>
          <w:p w14:paraId="636A6145"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AO006. Acciones de conservación y protección del patrimonio forestal</w:t>
            </w:r>
          </w:p>
          <w:p w14:paraId="032280CB" w14:textId="77777777" w:rsidR="00881C3C" w:rsidRPr="00846D49" w:rsidRDefault="00881C3C" w:rsidP="00AF5836">
            <w:pPr>
              <w:spacing w:after="0" w:line="240" w:lineRule="auto"/>
              <w:rPr>
                <w:rFonts w:ascii="Arial Narrow" w:eastAsia="Times New Roman" w:hAnsi="Arial Narrow"/>
                <w:sz w:val="16"/>
                <w:szCs w:val="16"/>
                <w:highlight w:val="yellow"/>
              </w:rPr>
            </w:pPr>
          </w:p>
        </w:tc>
        <w:tc>
          <w:tcPr>
            <w:tcW w:w="2233" w:type="dxa"/>
            <w:tcBorders>
              <w:top w:val="nil"/>
              <w:left w:val="nil"/>
              <w:bottom w:val="single" w:sz="4" w:space="0" w:color="auto"/>
              <w:right w:val="single" w:sz="4" w:space="0" w:color="auto"/>
            </w:tcBorders>
            <w:shd w:val="clear" w:color="auto" w:fill="FFFFFF" w:themeFill="background1"/>
            <w:vAlign w:val="center"/>
          </w:tcPr>
          <w:p w14:paraId="5DB38E5D" w14:textId="77777777" w:rsidR="00881C3C" w:rsidRPr="00846D49" w:rsidRDefault="00881C3C" w:rsidP="00AF5836">
            <w:pPr>
              <w:spacing w:after="0" w:line="240" w:lineRule="auto"/>
              <w:jc w:val="center"/>
              <w:rPr>
                <w:rFonts w:ascii="Arial Narrow" w:eastAsia="Times New Roman" w:hAnsi="Arial Narrow"/>
                <w:sz w:val="16"/>
                <w:szCs w:val="16"/>
                <w:highlight w:val="yellow"/>
              </w:rPr>
            </w:pPr>
            <w:r w:rsidRPr="00846D49">
              <w:rPr>
                <w:rFonts w:ascii="Arial Narrow" w:eastAsia="Times New Roman" w:hAnsi="Arial Narrow"/>
                <w:sz w:val="16"/>
                <w:szCs w:val="16"/>
              </w:rPr>
              <w:t>Persona</w:t>
            </w:r>
          </w:p>
        </w:tc>
        <w:tc>
          <w:tcPr>
            <w:tcW w:w="1814" w:type="dxa"/>
            <w:tcBorders>
              <w:top w:val="nil"/>
              <w:left w:val="nil"/>
              <w:bottom w:val="single" w:sz="4" w:space="0" w:color="auto"/>
              <w:right w:val="single" w:sz="4" w:space="0" w:color="auto"/>
            </w:tcBorders>
            <w:shd w:val="clear" w:color="auto" w:fill="FFFFFF" w:themeFill="background1"/>
            <w:vAlign w:val="center"/>
          </w:tcPr>
          <w:p w14:paraId="4C695C7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Gestión Sostenible del Patrimonio Forestal</w:t>
            </w:r>
          </w:p>
        </w:tc>
        <w:tc>
          <w:tcPr>
            <w:tcW w:w="1553" w:type="dxa"/>
            <w:tcBorders>
              <w:top w:val="nil"/>
              <w:left w:val="nil"/>
              <w:bottom w:val="single" w:sz="4" w:space="0" w:color="auto"/>
              <w:right w:val="single" w:sz="4" w:space="0" w:color="auto"/>
            </w:tcBorders>
            <w:shd w:val="clear" w:color="auto" w:fill="FFFFFF" w:themeFill="background1"/>
            <w:vAlign w:val="center"/>
          </w:tcPr>
          <w:p w14:paraId="010DAB3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tcPr>
          <w:p w14:paraId="046EDA6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tcPr>
          <w:p w14:paraId="2BBCEDA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Riego</w:t>
            </w:r>
          </w:p>
        </w:tc>
        <w:tc>
          <w:tcPr>
            <w:tcW w:w="1373" w:type="dxa"/>
            <w:tcBorders>
              <w:top w:val="nil"/>
              <w:left w:val="nil"/>
              <w:bottom w:val="single" w:sz="4" w:space="0" w:color="auto"/>
              <w:right w:val="single" w:sz="4" w:space="0" w:color="auto"/>
            </w:tcBorders>
            <w:shd w:val="clear" w:color="auto" w:fill="FFFFFF" w:themeFill="background1"/>
            <w:vAlign w:val="center"/>
          </w:tcPr>
          <w:p w14:paraId="09F5A49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76FDD91E" w14:textId="77777777" w:rsidTr="00AF5836">
        <w:trPr>
          <w:gridAfter w:val="2"/>
          <w:wAfter w:w="160" w:type="dxa"/>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77DA249"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9C79470"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8965A94"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val="restart"/>
            <w:tcBorders>
              <w:top w:val="nil"/>
              <w:left w:val="nil"/>
              <w:right w:val="single" w:sz="4" w:space="0" w:color="auto"/>
            </w:tcBorders>
            <w:shd w:val="clear" w:color="auto" w:fill="FFFFFF" w:themeFill="background1"/>
            <w:vAlign w:val="center"/>
            <w:hideMark/>
          </w:tcPr>
          <w:p w14:paraId="5B1D9F57"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 xml:space="preserve">AO007. Realización de capacitaciones y asistencia técnica a productores en el manejo, aprovechamiento y </w:t>
            </w:r>
            <w:r w:rsidRPr="00846D49">
              <w:rPr>
                <w:rFonts w:ascii="Arial Narrow" w:eastAsia="Times New Roman" w:hAnsi="Arial Narrow"/>
                <w:sz w:val="16"/>
                <w:szCs w:val="16"/>
              </w:rPr>
              <w:lastRenderedPageBreak/>
              <w:t>competitividad forestal y de fauna silvestre</w:t>
            </w:r>
          </w:p>
        </w:tc>
        <w:tc>
          <w:tcPr>
            <w:tcW w:w="2233" w:type="dxa"/>
            <w:vMerge w:val="restart"/>
            <w:tcBorders>
              <w:top w:val="nil"/>
              <w:left w:val="nil"/>
              <w:right w:val="single" w:sz="4" w:space="0" w:color="auto"/>
            </w:tcBorders>
            <w:shd w:val="clear" w:color="auto" w:fill="FFFFFF" w:themeFill="background1"/>
            <w:vAlign w:val="center"/>
            <w:hideMark/>
          </w:tcPr>
          <w:p w14:paraId="1A76BE5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lastRenderedPageBreak/>
              <w:t>Persona</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586FBBD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Administraciones Técnicas Forestales y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5186B49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37CC1F7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2CDFDAB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22D5969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453A3B67"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037F46B1"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44C7B244"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3C0EBCDC"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1C701BD1"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left w:val="nil"/>
              <w:right w:val="single" w:sz="4" w:space="0" w:color="auto"/>
            </w:tcBorders>
            <w:shd w:val="clear" w:color="auto" w:fill="FFFFFF" w:themeFill="background1"/>
            <w:vAlign w:val="center"/>
          </w:tcPr>
          <w:p w14:paraId="13E7D6E1"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402B20D3"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51970323"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 xml:space="preserve">100-722: REGION AMAZONAS-AGRICULTURA </w:t>
            </w:r>
          </w:p>
        </w:tc>
        <w:tc>
          <w:tcPr>
            <w:tcW w:w="1560" w:type="dxa"/>
            <w:tcBorders>
              <w:top w:val="nil"/>
              <w:left w:val="nil"/>
              <w:bottom w:val="single" w:sz="4" w:space="0" w:color="auto"/>
              <w:right w:val="single" w:sz="4" w:space="0" w:color="auto"/>
            </w:tcBorders>
            <w:shd w:val="clear" w:color="auto" w:fill="FFFFFF" w:themeFill="background1"/>
            <w:vAlign w:val="center"/>
          </w:tcPr>
          <w:p w14:paraId="2960304E"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hAnsi="Arial Narrow"/>
                <w:sz w:val="16"/>
                <w:szCs w:val="16"/>
              </w:rPr>
              <w:t>440: Gobierno Regional del Departamento de Amazonas</w:t>
            </w:r>
          </w:p>
        </w:tc>
        <w:tc>
          <w:tcPr>
            <w:tcW w:w="1218" w:type="dxa"/>
            <w:tcBorders>
              <w:top w:val="nil"/>
              <w:left w:val="nil"/>
              <w:bottom w:val="single" w:sz="4" w:space="0" w:color="auto"/>
              <w:right w:val="single" w:sz="4" w:space="0" w:color="auto"/>
            </w:tcBorders>
            <w:shd w:val="clear" w:color="auto" w:fill="FFFFFF" w:themeFill="background1"/>
            <w:vAlign w:val="center"/>
          </w:tcPr>
          <w:p w14:paraId="6A29EAF6"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6527DC45"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2C233F52" w14:textId="77777777" w:rsidTr="00AF5836">
        <w:trPr>
          <w:gridAfter w:val="2"/>
          <w:wAfter w:w="160" w:type="dxa"/>
          <w:trHeight w:val="231"/>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6605AD51"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02D6E089"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08708EA9"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611DA749" w14:textId="77777777" w:rsidR="00881C3C" w:rsidRPr="00846D49" w:rsidRDefault="00881C3C" w:rsidP="00AF5836">
            <w:pPr>
              <w:spacing w:after="0" w:line="240" w:lineRule="auto"/>
              <w:rPr>
                <w:rFonts w:ascii="Arial Narrow" w:eastAsia="Times New Roman" w:hAnsi="Arial Narrow"/>
                <w:sz w:val="16"/>
                <w:szCs w:val="16"/>
                <w:highlight w:val="yellow"/>
              </w:rPr>
            </w:pPr>
          </w:p>
        </w:tc>
        <w:tc>
          <w:tcPr>
            <w:tcW w:w="2233" w:type="dxa"/>
            <w:vMerge/>
            <w:tcBorders>
              <w:left w:val="nil"/>
              <w:right w:val="single" w:sz="4" w:space="0" w:color="auto"/>
            </w:tcBorders>
            <w:shd w:val="clear" w:color="auto" w:fill="FFFFFF" w:themeFill="background1"/>
            <w:vAlign w:val="center"/>
          </w:tcPr>
          <w:p w14:paraId="49A78DB3"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3BF3F60D"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19332B63"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100-771: REGION AYACUCHO-AGRICULTURA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5B14468F"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hAnsi="Arial Narrow"/>
                <w:sz w:val="16"/>
                <w:szCs w:val="16"/>
              </w:rPr>
              <w:t>444: Gobierno Regional del Departamento de Ayacucho</w:t>
            </w:r>
          </w:p>
        </w:tc>
        <w:tc>
          <w:tcPr>
            <w:tcW w:w="1218" w:type="dxa"/>
            <w:tcBorders>
              <w:top w:val="nil"/>
              <w:left w:val="nil"/>
              <w:bottom w:val="single" w:sz="4" w:space="0" w:color="auto"/>
              <w:right w:val="single" w:sz="4" w:space="0" w:color="auto"/>
            </w:tcBorders>
            <w:shd w:val="clear" w:color="auto" w:fill="FFFFFF" w:themeFill="background1"/>
            <w:vAlign w:val="center"/>
          </w:tcPr>
          <w:p w14:paraId="33E3D4BC"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466502A5"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0C83DB07"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5F40FC49"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5B1B7201"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46F1895F"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3B2FE8C3" w14:textId="77777777" w:rsidR="00881C3C" w:rsidRPr="00846D49" w:rsidRDefault="00881C3C" w:rsidP="00AF5836">
            <w:pPr>
              <w:spacing w:after="0" w:line="240" w:lineRule="auto"/>
              <w:rPr>
                <w:rFonts w:ascii="Arial Narrow" w:eastAsia="Times New Roman" w:hAnsi="Arial Narrow"/>
                <w:sz w:val="16"/>
                <w:szCs w:val="16"/>
                <w:highlight w:val="yellow"/>
              </w:rPr>
            </w:pPr>
          </w:p>
        </w:tc>
        <w:tc>
          <w:tcPr>
            <w:tcW w:w="2233" w:type="dxa"/>
            <w:vMerge/>
            <w:tcBorders>
              <w:left w:val="nil"/>
              <w:right w:val="single" w:sz="4" w:space="0" w:color="auto"/>
            </w:tcBorders>
            <w:shd w:val="clear" w:color="auto" w:fill="FFFFFF" w:themeFill="background1"/>
            <w:vAlign w:val="center"/>
          </w:tcPr>
          <w:p w14:paraId="38016638"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28BB42F8"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3304E8A7"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100-806: REGION HUANUCO-AGRICULTURA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5E5E3039"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hAnsi="Arial Narrow"/>
                <w:sz w:val="16"/>
                <w:szCs w:val="16"/>
              </w:rPr>
              <w:t>448: Gobierno Regional del Departamento de Huánuco</w:t>
            </w:r>
          </w:p>
        </w:tc>
        <w:tc>
          <w:tcPr>
            <w:tcW w:w="1218" w:type="dxa"/>
            <w:tcBorders>
              <w:top w:val="nil"/>
              <w:left w:val="nil"/>
              <w:bottom w:val="single" w:sz="4" w:space="0" w:color="auto"/>
              <w:right w:val="single" w:sz="4" w:space="0" w:color="auto"/>
            </w:tcBorders>
            <w:shd w:val="clear" w:color="auto" w:fill="FFFFFF" w:themeFill="background1"/>
            <w:vAlign w:val="center"/>
          </w:tcPr>
          <w:p w14:paraId="5E6CE794"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12FCEFAF"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39309C43"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397655D7"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0BC7D8B9"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0CD1ECDA"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6C783126" w14:textId="77777777" w:rsidR="00881C3C" w:rsidRPr="00846D49" w:rsidRDefault="00881C3C" w:rsidP="00AF5836">
            <w:pPr>
              <w:spacing w:after="0" w:line="240" w:lineRule="auto"/>
              <w:rPr>
                <w:rFonts w:ascii="Arial Narrow" w:eastAsia="Times New Roman" w:hAnsi="Arial Narrow"/>
                <w:sz w:val="16"/>
                <w:szCs w:val="16"/>
                <w:highlight w:val="yellow"/>
              </w:rPr>
            </w:pPr>
          </w:p>
        </w:tc>
        <w:tc>
          <w:tcPr>
            <w:tcW w:w="2233" w:type="dxa"/>
            <w:vMerge/>
            <w:tcBorders>
              <w:left w:val="nil"/>
              <w:right w:val="single" w:sz="4" w:space="0" w:color="auto"/>
            </w:tcBorders>
            <w:shd w:val="clear" w:color="auto" w:fill="FFFFFF" w:themeFill="background1"/>
            <w:vAlign w:val="center"/>
          </w:tcPr>
          <w:p w14:paraId="5A02635B"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28AA9145"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3293DD88"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100-832: REGION LA LIBERTAD-AGRICULTURA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6DA67F99"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hAnsi="Arial Narrow"/>
                <w:sz w:val="16"/>
                <w:szCs w:val="16"/>
              </w:rPr>
              <w:t>451: Gobierno Regional del Departamento de La Libertad</w:t>
            </w:r>
          </w:p>
        </w:tc>
        <w:tc>
          <w:tcPr>
            <w:tcW w:w="1218" w:type="dxa"/>
            <w:tcBorders>
              <w:top w:val="nil"/>
              <w:left w:val="nil"/>
              <w:bottom w:val="single" w:sz="4" w:space="0" w:color="auto"/>
              <w:right w:val="single" w:sz="4" w:space="0" w:color="auto"/>
            </w:tcBorders>
            <w:shd w:val="clear" w:color="auto" w:fill="FFFFFF" w:themeFill="background1"/>
            <w:vAlign w:val="center"/>
          </w:tcPr>
          <w:p w14:paraId="2779FE94"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0E28401F"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7D453AFE"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18E77642"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02B07322"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463D98D2"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441C9658" w14:textId="77777777" w:rsidR="00881C3C" w:rsidRPr="00846D49" w:rsidRDefault="00881C3C" w:rsidP="00AF5836">
            <w:pPr>
              <w:spacing w:after="0" w:line="240" w:lineRule="auto"/>
              <w:rPr>
                <w:rFonts w:ascii="Arial Narrow" w:eastAsia="Times New Roman" w:hAnsi="Arial Narrow"/>
                <w:sz w:val="16"/>
                <w:szCs w:val="16"/>
                <w:highlight w:val="yellow"/>
              </w:rPr>
            </w:pPr>
          </w:p>
        </w:tc>
        <w:tc>
          <w:tcPr>
            <w:tcW w:w="2233" w:type="dxa"/>
            <w:vMerge/>
            <w:tcBorders>
              <w:left w:val="nil"/>
              <w:right w:val="single" w:sz="4" w:space="0" w:color="auto"/>
            </w:tcBorders>
            <w:shd w:val="clear" w:color="auto" w:fill="FFFFFF" w:themeFill="background1"/>
            <w:vAlign w:val="center"/>
          </w:tcPr>
          <w:p w14:paraId="17C08796"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501E4242"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33E0C3BB"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100-865: REGION LORETO-AGRICULTURA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50C1AA09"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hAnsi="Arial Narrow"/>
                <w:sz w:val="16"/>
                <w:szCs w:val="16"/>
              </w:rPr>
              <w:t>453: Gobierno Regional del Departamento de Loreto</w:t>
            </w:r>
          </w:p>
        </w:tc>
        <w:tc>
          <w:tcPr>
            <w:tcW w:w="1218" w:type="dxa"/>
            <w:tcBorders>
              <w:top w:val="nil"/>
              <w:left w:val="nil"/>
              <w:bottom w:val="single" w:sz="4" w:space="0" w:color="auto"/>
              <w:right w:val="single" w:sz="4" w:space="0" w:color="auto"/>
            </w:tcBorders>
            <w:shd w:val="clear" w:color="auto" w:fill="FFFFFF" w:themeFill="background1"/>
            <w:vAlign w:val="center"/>
          </w:tcPr>
          <w:p w14:paraId="30A4F197"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42D4EAEC"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50277729"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63F52B9D"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4F97244A"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74580731"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7018DA9C" w14:textId="77777777" w:rsidR="00881C3C" w:rsidRPr="00846D49" w:rsidRDefault="00881C3C" w:rsidP="00AF5836">
            <w:pPr>
              <w:spacing w:after="0" w:line="240" w:lineRule="auto"/>
              <w:rPr>
                <w:rFonts w:ascii="Arial Narrow" w:eastAsia="Times New Roman" w:hAnsi="Arial Narrow"/>
                <w:sz w:val="16"/>
                <w:szCs w:val="16"/>
                <w:highlight w:val="yellow"/>
              </w:rPr>
            </w:pPr>
          </w:p>
        </w:tc>
        <w:tc>
          <w:tcPr>
            <w:tcW w:w="2233" w:type="dxa"/>
            <w:vMerge/>
            <w:tcBorders>
              <w:left w:val="nil"/>
              <w:right w:val="single" w:sz="4" w:space="0" w:color="auto"/>
            </w:tcBorders>
            <w:shd w:val="clear" w:color="auto" w:fill="FFFFFF" w:themeFill="background1"/>
            <w:vAlign w:val="center"/>
          </w:tcPr>
          <w:p w14:paraId="04877D99"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5CEA11D9"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1ABBA5AC"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100-876: REGION MADRE DE DIOS-AGRICULTURA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2BCF8A48"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hAnsi="Arial Narrow"/>
                <w:sz w:val="16"/>
                <w:szCs w:val="16"/>
              </w:rPr>
              <w:t>454: Gobierno Regional del Departamento de Madre De Dios</w:t>
            </w:r>
          </w:p>
        </w:tc>
        <w:tc>
          <w:tcPr>
            <w:tcW w:w="1218" w:type="dxa"/>
            <w:tcBorders>
              <w:top w:val="nil"/>
              <w:left w:val="nil"/>
              <w:bottom w:val="single" w:sz="4" w:space="0" w:color="auto"/>
              <w:right w:val="single" w:sz="4" w:space="0" w:color="auto"/>
            </w:tcBorders>
            <w:shd w:val="clear" w:color="auto" w:fill="FFFFFF" w:themeFill="background1"/>
            <w:vAlign w:val="center"/>
          </w:tcPr>
          <w:p w14:paraId="53F8BAFB"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082A0C53"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71D403C4" w14:textId="77777777" w:rsidTr="00AF5836">
        <w:trPr>
          <w:gridAfter w:val="2"/>
          <w:wAfter w:w="160" w:type="dxa"/>
          <w:trHeight w:val="108"/>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151343C7"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1F1BE1A4"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0BAC1AD6"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648E3771" w14:textId="77777777" w:rsidR="00881C3C" w:rsidRPr="00846D49" w:rsidRDefault="00881C3C" w:rsidP="00AF5836">
            <w:pPr>
              <w:spacing w:after="0" w:line="240" w:lineRule="auto"/>
              <w:rPr>
                <w:rFonts w:ascii="Arial Narrow" w:eastAsia="Times New Roman" w:hAnsi="Arial Narrow"/>
                <w:sz w:val="16"/>
                <w:szCs w:val="16"/>
                <w:highlight w:val="yellow"/>
              </w:rPr>
            </w:pPr>
          </w:p>
        </w:tc>
        <w:tc>
          <w:tcPr>
            <w:tcW w:w="2233" w:type="dxa"/>
            <w:vMerge/>
            <w:tcBorders>
              <w:left w:val="nil"/>
              <w:right w:val="single" w:sz="4" w:space="0" w:color="auto"/>
            </w:tcBorders>
            <w:shd w:val="clear" w:color="auto" w:fill="FFFFFF" w:themeFill="background1"/>
            <w:vAlign w:val="center"/>
          </w:tcPr>
          <w:p w14:paraId="3EF1D0A1"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5DDD7D83"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1525004E"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100-924: REGION SAN MARTIN-AGRICULTURA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47897186"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hAnsi="Arial Narrow"/>
                <w:sz w:val="16"/>
                <w:szCs w:val="16"/>
              </w:rPr>
              <w:t>459: Gobierno Regional del Departamento de San Martin</w:t>
            </w:r>
          </w:p>
        </w:tc>
        <w:tc>
          <w:tcPr>
            <w:tcW w:w="1218" w:type="dxa"/>
            <w:tcBorders>
              <w:top w:val="nil"/>
              <w:left w:val="nil"/>
              <w:bottom w:val="single" w:sz="4" w:space="0" w:color="auto"/>
              <w:right w:val="single" w:sz="4" w:space="0" w:color="auto"/>
            </w:tcBorders>
            <w:shd w:val="clear" w:color="auto" w:fill="FFFFFF" w:themeFill="background1"/>
            <w:vAlign w:val="center"/>
          </w:tcPr>
          <w:p w14:paraId="7ED4FC90"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4BEA2D2D"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190984B9"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6DA17009"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6553F098"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6041E3A3"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5AC6DE0C" w14:textId="77777777" w:rsidR="00881C3C" w:rsidRPr="00846D49" w:rsidRDefault="00881C3C" w:rsidP="00AF5836">
            <w:pPr>
              <w:spacing w:after="0" w:line="240" w:lineRule="auto"/>
              <w:rPr>
                <w:rFonts w:ascii="Arial Narrow" w:eastAsia="Times New Roman" w:hAnsi="Arial Narrow"/>
                <w:sz w:val="16"/>
                <w:szCs w:val="16"/>
                <w:highlight w:val="yellow"/>
              </w:rPr>
            </w:pPr>
          </w:p>
        </w:tc>
        <w:tc>
          <w:tcPr>
            <w:tcW w:w="2233" w:type="dxa"/>
            <w:vMerge/>
            <w:tcBorders>
              <w:left w:val="nil"/>
              <w:right w:val="single" w:sz="4" w:space="0" w:color="auto"/>
            </w:tcBorders>
            <w:shd w:val="clear" w:color="auto" w:fill="FFFFFF" w:themeFill="background1"/>
            <w:vAlign w:val="center"/>
          </w:tcPr>
          <w:p w14:paraId="1A41598A"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5814BB2E"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2E5DA875"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100-937: REGION TUMBES-AGRICULTURA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5A1454B0"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hAnsi="Arial Narrow"/>
                <w:sz w:val="16"/>
                <w:szCs w:val="16"/>
              </w:rPr>
              <w:t>461: Gobierno Regional del Departamento de Tumbes</w:t>
            </w:r>
          </w:p>
        </w:tc>
        <w:tc>
          <w:tcPr>
            <w:tcW w:w="1218" w:type="dxa"/>
            <w:tcBorders>
              <w:top w:val="nil"/>
              <w:left w:val="nil"/>
              <w:bottom w:val="single" w:sz="4" w:space="0" w:color="auto"/>
              <w:right w:val="single" w:sz="4" w:space="0" w:color="auto"/>
            </w:tcBorders>
            <w:shd w:val="clear" w:color="auto" w:fill="FFFFFF" w:themeFill="background1"/>
            <w:vAlign w:val="center"/>
          </w:tcPr>
          <w:p w14:paraId="5901C904"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34897991"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413539F6"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1D3566E7"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24B98084"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7B83FE33"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bottom w:val="single" w:sz="4" w:space="0" w:color="auto"/>
              <w:right w:val="single" w:sz="4" w:space="0" w:color="auto"/>
            </w:tcBorders>
            <w:shd w:val="clear" w:color="auto" w:fill="FFFFFF" w:themeFill="background1"/>
            <w:vAlign w:val="center"/>
          </w:tcPr>
          <w:p w14:paraId="11BBD7DA" w14:textId="77777777" w:rsidR="00881C3C" w:rsidRPr="00846D49" w:rsidRDefault="00881C3C" w:rsidP="00AF5836">
            <w:pPr>
              <w:spacing w:after="0" w:line="240" w:lineRule="auto"/>
              <w:rPr>
                <w:rFonts w:ascii="Arial Narrow" w:eastAsia="Times New Roman" w:hAnsi="Arial Narrow"/>
                <w:sz w:val="16"/>
                <w:szCs w:val="16"/>
                <w:highlight w:val="yellow"/>
              </w:rPr>
            </w:pPr>
          </w:p>
        </w:tc>
        <w:tc>
          <w:tcPr>
            <w:tcW w:w="2233" w:type="dxa"/>
            <w:vMerge/>
            <w:tcBorders>
              <w:left w:val="nil"/>
              <w:bottom w:val="single" w:sz="4" w:space="0" w:color="auto"/>
              <w:right w:val="single" w:sz="4" w:space="0" w:color="auto"/>
            </w:tcBorders>
            <w:shd w:val="clear" w:color="auto" w:fill="FFFFFF" w:themeFill="background1"/>
            <w:vAlign w:val="center"/>
          </w:tcPr>
          <w:p w14:paraId="6E547A45"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39E38C1F"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69836032"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100-947: REGION UCAYALI-AGRICULTURA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700E3D52"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hAnsi="Arial Narrow"/>
                <w:sz w:val="16"/>
                <w:szCs w:val="16"/>
              </w:rPr>
              <w:t>462: Gobierno Regional del Departamento de Ucayali</w:t>
            </w:r>
          </w:p>
        </w:tc>
        <w:tc>
          <w:tcPr>
            <w:tcW w:w="1218" w:type="dxa"/>
            <w:tcBorders>
              <w:top w:val="nil"/>
              <w:left w:val="nil"/>
              <w:bottom w:val="single" w:sz="4" w:space="0" w:color="auto"/>
              <w:right w:val="single" w:sz="4" w:space="0" w:color="auto"/>
            </w:tcBorders>
            <w:shd w:val="clear" w:color="auto" w:fill="FFFFFF" w:themeFill="background1"/>
            <w:vAlign w:val="center"/>
          </w:tcPr>
          <w:p w14:paraId="6D5366DA"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339DA0F9"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5CBBE391" w14:textId="77777777" w:rsidTr="00AF5836">
        <w:trPr>
          <w:gridAfter w:val="2"/>
          <w:wAfter w:w="160" w:type="dxa"/>
          <w:trHeight w:val="765"/>
        </w:trPr>
        <w:tc>
          <w:tcPr>
            <w:tcW w:w="384" w:type="dxa"/>
            <w:vMerge w:val="restart"/>
            <w:tcBorders>
              <w:top w:val="nil"/>
              <w:left w:val="single" w:sz="4" w:space="0" w:color="auto"/>
              <w:right w:val="single" w:sz="4" w:space="0" w:color="auto"/>
            </w:tcBorders>
            <w:shd w:val="clear" w:color="auto" w:fill="FFFFFF" w:themeFill="background1"/>
            <w:vAlign w:val="center"/>
            <w:hideMark/>
          </w:tcPr>
          <w:p w14:paraId="31FD737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14</w:t>
            </w:r>
          </w:p>
        </w:tc>
        <w:tc>
          <w:tcPr>
            <w:tcW w:w="1693" w:type="dxa"/>
            <w:vMerge w:val="restart"/>
            <w:tcBorders>
              <w:top w:val="nil"/>
              <w:left w:val="single" w:sz="4" w:space="0" w:color="auto"/>
              <w:right w:val="single" w:sz="4" w:space="0" w:color="auto"/>
            </w:tcBorders>
            <w:shd w:val="clear" w:color="auto" w:fill="FFFFFF" w:themeFill="background1"/>
            <w:vAlign w:val="center"/>
            <w:hideMark/>
          </w:tcPr>
          <w:p w14:paraId="6343D261"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L1.6 Fomentar el aprovechamiento sostenible de los recursos forestales y de fauna silvestre</w:t>
            </w:r>
          </w:p>
        </w:tc>
        <w:tc>
          <w:tcPr>
            <w:tcW w:w="1800" w:type="dxa"/>
            <w:vMerge w:val="restart"/>
            <w:tcBorders>
              <w:top w:val="nil"/>
              <w:left w:val="single" w:sz="4" w:space="0" w:color="auto"/>
              <w:right w:val="single" w:sz="4" w:space="0" w:color="auto"/>
            </w:tcBorders>
            <w:shd w:val="clear" w:color="auto" w:fill="FFFFFF" w:themeFill="background1"/>
            <w:vAlign w:val="center"/>
            <w:hideMark/>
          </w:tcPr>
          <w:p w14:paraId="3BEAC2E2"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S1.6.2 Fortalecimiento de capacidades para el otorgamiento de derechos impartidos satisfactoriamente a las Autoridades Regionales Forestales y de Fauna Silvestre</w:t>
            </w: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3843244E"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AO001. Capacitación para el adecuado otorgamiento de derechos en materia forestal por parte de las autoridades regionales forestales y de fauna silvestre</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02D493C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Persona</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303567F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Gestión Sostenible del Patrimonio Forestal</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0BE3786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308F054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79CB147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7EDC191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704FC426" w14:textId="77777777" w:rsidTr="00AF5836">
        <w:trPr>
          <w:gridAfter w:val="2"/>
          <w:wAfter w:w="160" w:type="dxa"/>
          <w:trHeight w:val="765"/>
        </w:trPr>
        <w:tc>
          <w:tcPr>
            <w:tcW w:w="384" w:type="dxa"/>
            <w:vMerge/>
            <w:tcBorders>
              <w:left w:val="single" w:sz="4" w:space="0" w:color="auto"/>
              <w:right w:val="single" w:sz="4" w:space="0" w:color="auto"/>
            </w:tcBorders>
            <w:shd w:val="clear" w:color="auto" w:fill="FFFFFF" w:themeFill="background1"/>
            <w:vAlign w:val="center"/>
            <w:hideMark/>
          </w:tcPr>
          <w:p w14:paraId="2F162BE3"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left w:val="single" w:sz="4" w:space="0" w:color="auto"/>
              <w:right w:val="single" w:sz="4" w:space="0" w:color="auto"/>
            </w:tcBorders>
            <w:shd w:val="clear" w:color="auto" w:fill="FFFFFF" w:themeFill="background1"/>
            <w:vAlign w:val="center"/>
            <w:hideMark/>
          </w:tcPr>
          <w:p w14:paraId="009E60C3"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left w:val="single" w:sz="4" w:space="0" w:color="auto"/>
              <w:right w:val="single" w:sz="4" w:space="0" w:color="auto"/>
            </w:tcBorders>
            <w:shd w:val="clear" w:color="auto" w:fill="FFFFFF" w:themeFill="background1"/>
            <w:vAlign w:val="center"/>
            <w:hideMark/>
          </w:tcPr>
          <w:p w14:paraId="56F2BC48"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392DECC6"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AO002.  Capacitación para el adecuado otorgamiento de derechos en materia de fauna silvestre por parte de las autoridades regionales forestales y de fauna silvestre</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31E14C5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Persona</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2B3A420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xml:space="preserve">Dirección de Gestión Sostenible del Patrimonio de Fauna Silvestre </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7502F42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0D5C990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3467E2A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106E3E1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172001FD" w14:textId="77777777" w:rsidTr="00AF5836">
        <w:trPr>
          <w:gridAfter w:val="2"/>
          <w:wAfter w:w="160" w:type="dxa"/>
          <w:trHeight w:val="119"/>
        </w:trPr>
        <w:tc>
          <w:tcPr>
            <w:tcW w:w="384" w:type="dxa"/>
            <w:vMerge/>
            <w:tcBorders>
              <w:left w:val="single" w:sz="4" w:space="0" w:color="auto"/>
              <w:right w:val="single" w:sz="4" w:space="0" w:color="auto"/>
            </w:tcBorders>
            <w:shd w:val="clear" w:color="auto" w:fill="FFFFFF" w:themeFill="background1"/>
            <w:vAlign w:val="center"/>
            <w:hideMark/>
          </w:tcPr>
          <w:p w14:paraId="3F24EBED"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left w:val="single" w:sz="4" w:space="0" w:color="auto"/>
              <w:right w:val="single" w:sz="4" w:space="0" w:color="auto"/>
            </w:tcBorders>
            <w:shd w:val="clear" w:color="auto" w:fill="FFFFFF" w:themeFill="background1"/>
            <w:vAlign w:val="center"/>
            <w:hideMark/>
          </w:tcPr>
          <w:p w14:paraId="067BC256"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left w:val="single" w:sz="4" w:space="0" w:color="auto"/>
              <w:right w:val="single" w:sz="4" w:space="0" w:color="auto"/>
            </w:tcBorders>
            <w:shd w:val="clear" w:color="auto" w:fill="FFFFFF" w:themeFill="background1"/>
            <w:vAlign w:val="center"/>
            <w:hideMark/>
          </w:tcPr>
          <w:p w14:paraId="54DB0B8C"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val="restart"/>
            <w:tcBorders>
              <w:top w:val="nil"/>
              <w:left w:val="nil"/>
              <w:right w:val="single" w:sz="4" w:space="0" w:color="auto"/>
            </w:tcBorders>
            <w:shd w:val="clear" w:color="auto" w:fill="FFFFFF" w:themeFill="background1"/>
            <w:vAlign w:val="center"/>
            <w:hideMark/>
          </w:tcPr>
          <w:p w14:paraId="7256DD70"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AO003.  Capacitación productores y manejadores forestales y de fauna silvestre en el manejo eficiente de los recursos forestales y fauna silvestre</w:t>
            </w:r>
          </w:p>
        </w:tc>
        <w:tc>
          <w:tcPr>
            <w:tcW w:w="2233" w:type="dxa"/>
            <w:vMerge w:val="restart"/>
            <w:tcBorders>
              <w:top w:val="nil"/>
              <w:left w:val="nil"/>
              <w:right w:val="single" w:sz="4" w:space="0" w:color="auto"/>
            </w:tcBorders>
            <w:shd w:val="clear" w:color="auto" w:fill="FFFFFF" w:themeFill="background1"/>
            <w:vAlign w:val="center"/>
            <w:hideMark/>
          </w:tcPr>
          <w:p w14:paraId="0979FAE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Persona</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279AB13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Administraciones Técnicas Forestales y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748CF07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5DF186C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15CD5FA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02DA98A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3328FCFA" w14:textId="77777777" w:rsidTr="00AF5836">
        <w:trPr>
          <w:gridAfter w:val="2"/>
          <w:wAfter w:w="160" w:type="dxa"/>
          <w:trHeight w:val="70"/>
        </w:trPr>
        <w:tc>
          <w:tcPr>
            <w:tcW w:w="384" w:type="dxa"/>
            <w:vMerge/>
            <w:tcBorders>
              <w:left w:val="single" w:sz="4" w:space="0" w:color="auto"/>
              <w:right w:val="single" w:sz="4" w:space="0" w:color="auto"/>
            </w:tcBorders>
            <w:shd w:val="clear" w:color="auto" w:fill="FFFFFF" w:themeFill="background1"/>
            <w:vAlign w:val="center"/>
          </w:tcPr>
          <w:p w14:paraId="41F8F1EC"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left w:val="single" w:sz="4" w:space="0" w:color="auto"/>
              <w:right w:val="single" w:sz="4" w:space="0" w:color="auto"/>
            </w:tcBorders>
            <w:shd w:val="clear" w:color="auto" w:fill="FFFFFF" w:themeFill="background1"/>
            <w:vAlign w:val="center"/>
          </w:tcPr>
          <w:p w14:paraId="0665BF42"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left w:val="single" w:sz="4" w:space="0" w:color="auto"/>
              <w:right w:val="single" w:sz="4" w:space="0" w:color="auto"/>
            </w:tcBorders>
            <w:shd w:val="clear" w:color="auto" w:fill="FFFFFF" w:themeFill="background1"/>
            <w:vAlign w:val="center"/>
          </w:tcPr>
          <w:p w14:paraId="0866F643"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71020D0D"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left w:val="nil"/>
              <w:right w:val="single" w:sz="4" w:space="0" w:color="auto"/>
            </w:tcBorders>
            <w:shd w:val="clear" w:color="auto" w:fill="FFFFFF" w:themeFill="background1"/>
            <w:vAlign w:val="center"/>
          </w:tcPr>
          <w:p w14:paraId="76BBAC12"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18C53497"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607F36AE"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 xml:space="preserve">100-722: REGION AMAZONAS-AGRICULTURA </w:t>
            </w:r>
          </w:p>
        </w:tc>
        <w:tc>
          <w:tcPr>
            <w:tcW w:w="1560" w:type="dxa"/>
            <w:tcBorders>
              <w:top w:val="nil"/>
              <w:left w:val="nil"/>
              <w:bottom w:val="single" w:sz="4" w:space="0" w:color="auto"/>
              <w:right w:val="single" w:sz="4" w:space="0" w:color="auto"/>
            </w:tcBorders>
            <w:shd w:val="clear" w:color="auto" w:fill="FFFFFF" w:themeFill="background1"/>
            <w:vAlign w:val="center"/>
          </w:tcPr>
          <w:p w14:paraId="0B61A966"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hAnsi="Arial Narrow"/>
                <w:sz w:val="16"/>
                <w:szCs w:val="16"/>
              </w:rPr>
              <w:t>440: Gobierno Regional del Departamento de Amazonas</w:t>
            </w:r>
          </w:p>
        </w:tc>
        <w:tc>
          <w:tcPr>
            <w:tcW w:w="1218" w:type="dxa"/>
            <w:tcBorders>
              <w:top w:val="nil"/>
              <w:left w:val="nil"/>
              <w:bottom w:val="single" w:sz="4" w:space="0" w:color="auto"/>
              <w:right w:val="single" w:sz="4" w:space="0" w:color="auto"/>
            </w:tcBorders>
            <w:shd w:val="clear" w:color="auto" w:fill="FFFFFF" w:themeFill="background1"/>
            <w:vAlign w:val="center"/>
          </w:tcPr>
          <w:p w14:paraId="3CAC6F05"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3E2BD8CD"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Gobierno Regional</w:t>
            </w:r>
          </w:p>
        </w:tc>
      </w:tr>
      <w:tr w:rsidR="00846D49" w:rsidRPr="00846D49" w14:paraId="475FA054" w14:textId="77777777" w:rsidTr="00AF5836">
        <w:trPr>
          <w:gridAfter w:val="2"/>
          <w:wAfter w:w="160" w:type="dxa"/>
          <w:trHeight w:val="129"/>
        </w:trPr>
        <w:tc>
          <w:tcPr>
            <w:tcW w:w="384" w:type="dxa"/>
            <w:vMerge/>
            <w:tcBorders>
              <w:left w:val="single" w:sz="4" w:space="0" w:color="auto"/>
              <w:right w:val="single" w:sz="4" w:space="0" w:color="auto"/>
            </w:tcBorders>
            <w:shd w:val="clear" w:color="auto" w:fill="FFFFFF" w:themeFill="background1"/>
            <w:vAlign w:val="center"/>
          </w:tcPr>
          <w:p w14:paraId="467DC7C1"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left w:val="single" w:sz="4" w:space="0" w:color="auto"/>
              <w:right w:val="single" w:sz="4" w:space="0" w:color="auto"/>
            </w:tcBorders>
            <w:shd w:val="clear" w:color="auto" w:fill="FFFFFF" w:themeFill="background1"/>
            <w:vAlign w:val="center"/>
          </w:tcPr>
          <w:p w14:paraId="62651526"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left w:val="single" w:sz="4" w:space="0" w:color="auto"/>
              <w:right w:val="single" w:sz="4" w:space="0" w:color="auto"/>
            </w:tcBorders>
            <w:shd w:val="clear" w:color="auto" w:fill="FFFFFF" w:themeFill="background1"/>
            <w:vAlign w:val="center"/>
          </w:tcPr>
          <w:p w14:paraId="5AE92B12"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3E262A54"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left w:val="nil"/>
              <w:right w:val="single" w:sz="4" w:space="0" w:color="auto"/>
            </w:tcBorders>
            <w:shd w:val="clear" w:color="auto" w:fill="FFFFFF" w:themeFill="background1"/>
            <w:vAlign w:val="center"/>
          </w:tcPr>
          <w:p w14:paraId="5932BBB8"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0A586E9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7D9679A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100-771: REGION AYACUCHO-AGRICULTURA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10C5F8BA" w14:textId="77777777" w:rsidR="00881C3C" w:rsidRPr="00846D49" w:rsidRDefault="00881C3C" w:rsidP="00AF5836">
            <w:pPr>
              <w:spacing w:after="0" w:line="240" w:lineRule="auto"/>
              <w:jc w:val="center"/>
              <w:rPr>
                <w:rFonts w:ascii="Arial Narrow" w:hAnsi="Arial Narrow"/>
                <w:sz w:val="16"/>
                <w:szCs w:val="16"/>
              </w:rPr>
            </w:pPr>
            <w:r w:rsidRPr="00846D49">
              <w:rPr>
                <w:rFonts w:ascii="Arial Narrow" w:hAnsi="Arial Narrow"/>
                <w:sz w:val="16"/>
                <w:szCs w:val="16"/>
              </w:rPr>
              <w:t>444: Gobierno Regional del Departamento de Ayacucho</w:t>
            </w:r>
          </w:p>
        </w:tc>
        <w:tc>
          <w:tcPr>
            <w:tcW w:w="1218" w:type="dxa"/>
            <w:tcBorders>
              <w:top w:val="nil"/>
              <w:left w:val="nil"/>
              <w:bottom w:val="single" w:sz="4" w:space="0" w:color="auto"/>
              <w:right w:val="single" w:sz="4" w:space="0" w:color="auto"/>
            </w:tcBorders>
            <w:shd w:val="clear" w:color="auto" w:fill="FFFFFF" w:themeFill="background1"/>
            <w:vAlign w:val="center"/>
          </w:tcPr>
          <w:p w14:paraId="15E3B13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5B11726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1E9889BB" w14:textId="77777777" w:rsidTr="00AF5836">
        <w:trPr>
          <w:gridAfter w:val="2"/>
          <w:wAfter w:w="160" w:type="dxa"/>
          <w:trHeight w:val="70"/>
        </w:trPr>
        <w:tc>
          <w:tcPr>
            <w:tcW w:w="384" w:type="dxa"/>
            <w:vMerge/>
            <w:tcBorders>
              <w:left w:val="single" w:sz="4" w:space="0" w:color="auto"/>
              <w:right w:val="single" w:sz="4" w:space="0" w:color="auto"/>
            </w:tcBorders>
            <w:shd w:val="clear" w:color="auto" w:fill="FFFFFF" w:themeFill="background1"/>
            <w:vAlign w:val="center"/>
          </w:tcPr>
          <w:p w14:paraId="3A96A376"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left w:val="single" w:sz="4" w:space="0" w:color="auto"/>
              <w:right w:val="single" w:sz="4" w:space="0" w:color="auto"/>
            </w:tcBorders>
            <w:shd w:val="clear" w:color="auto" w:fill="FFFFFF" w:themeFill="background1"/>
            <w:vAlign w:val="center"/>
          </w:tcPr>
          <w:p w14:paraId="4009C3C1"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left w:val="single" w:sz="4" w:space="0" w:color="auto"/>
              <w:right w:val="single" w:sz="4" w:space="0" w:color="auto"/>
            </w:tcBorders>
            <w:shd w:val="clear" w:color="auto" w:fill="FFFFFF" w:themeFill="background1"/>
            <w:vAlign w:val="center"/>
          </w:tcPr>
          <w:p w14:paraId="51A78D71"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23EA0916"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left w:val="nil"/>
              <w:right w:val="single" w:sz="4" w:space="0" w:color="auto"/>
            </w:tcBorders>
            <w:shd w:val="clear" w:color="auto" w:fill="FFFFFF" w:themeFill="background1"/>
            <w:vAlign w:val="center"/>
          </w:tcPr>
          <w:p w14:paraId="646B4D15"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0379126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56C3788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100-806: REGION HUANUCO-AGRICULTURA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23F35944" w14:textId="77777777" w:rsidR="00881C3C" w:rsidRPr="00846D49" w:rsidRDefault="00881C3C" w:rsidP="00AF5836">
            <w:pPr>
              <w:spacing w:after="0" w:line="240" w:lineRule="auto"/>
              <w:jc w:val="center"/>
              <w:rPr>
                <w:rFonts w:ascii="Arial Narrow" w:hAnsi="Arial Narrow"/>
                <w:sz w:val="16"/>
                <w:szCs w:val="16"/>
              </w:rPr>
            </w:pPr>
            <w:r w:rsidRPr="00846D49">
              <w:rPr>
                <w:rFonts w:ascii="Arial Narrow" w:hAnsi="Arial Narrow"/>
                <w:sz w:val="16"/>
                <w:szCs w:val="16"/>
              </w:rPr>
              <w:t>448: Gobierno Regional del Departamento de Huánuco</w:t>
            </w:r>
          </w:p>
        </w:tc>
        <w:tc>
          <w:tcPr>
            <w:tcW w:w="1218" w:type="dxa"/>
            <w:tcBorders>
              <w:top w:val="nil"/>
              <w:left w:val="nil"/>
              <w:bottom w:val="single" w:sz="4" w:space="0" w:color="auto"/>
              <w:right w:val="single" w:sz="4" w:space="0" w:color="auto"/>
            </w:tcBorders>
            <w:shd w:val="clear" w:color="auto" w:fill="FFFFFF" w:themeFill="background1"/>
            <w:vAlign w:val="center"/>
          </w:tcPr>
          <w:p w14:paraId="49B43C1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2272865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23D17367" w14:textId="77777777" w:rsidTr="00AF5836">
        <w:trPr>
          <w:gridAfter w:val="2"/>
          <w:wAfter w:w="160" w:type="dxa"/>
          <w:trHeight w:val="70"/>
        </w:trPr>
        <w:tc>
          <w:tcPr>
            <w:tcW w:w="384" w:type="dxa"/>
            <w:vMerge/>
            <w:tcBorders>
              <w:left w:val="single" w:sz="4" w:space="0" w:color="auto"/>
              <w:right w:val="single" w:sz="4" w:space="0" w:color="auto"/>
            </w:tcBorders>
            <w:shd w:val="clear" w:color="auto" w:fill="FFFFFF" w:themeFill="background1"/>
            <w:vAlign w:val="center"/>
          </w:tcPr>
          <w:p w14:paraId="5CE88168"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left w:val="single" w:sz="4" w:space="0" w:color="auto"/>
              <w:right w:val="single" w:sz="4" w:space="0" w:color="auto"/>
            </w:tcBorders>
            <w:shd w:val="clear" w:color="auto" w:fill="FFFFFF" w:themeFill="background1"/>
            <w:vAlign w:val="center"/>
          </w:tcPr>
          <w:p w14:paraId="5EB94EA4"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left w:val="single" w:sz="4" w:space="0" w:color="auto"/>
              <w:right w:val="single" w:sz="4" w:space="0" w:color="auto"/>
            </w:tcBorders>
            <w:shd w:val="clear" w:color="auto" w:fill="FFFFFF" w:themeFill="background1"/>
            <w:vAlign w:val="center"/>
          </w:tcPr>
          <w:p w14:paraId="060ADDF2"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69F143C2"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left w:val="nil"/>
              <w:right w:val="single" w:sz="4" w:space="0" w:color="auto"/>
            </w:tcBorders>
            <w:shd w:val="clear" w:color="auto" w:fill="FFFFFF" w:themeFill="background1"/>
            <w:vAlign w:val="center"/>
          </w:tcPr>
          <w:p w14:paraId="67C1682E"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01C68C7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3907B6A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100-832: REGION LA LIBERTAD-AGRICULTURA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77F7F7F1" w14:textId="77777777" w:rsidR="00881C3C" w:rsidRPr="00846D49" w:rsidRDefault="00881C3C" w:rsidP="00AF5836">
            <w:pPr>
              <w:spacing w:after="0" w:line="240" w:lineRule="auto"/>
              <w:jc w:val="center"/>
              <w:rPr>
                <w:rFonts w:ascii="Arial Narrow" w:hAnsi="Arial Narrow"/>
                <w:sz w:val="16"/>
                <w:szCs w:val="16"/>
              </w:rPr>
            </w:pPr>
            <w:r w:rsidRPr="00846D49">
              <w:rPr>
                <w:rFonts w:ascii="Arial Narrow" w:hAnsi="Arial Narrow"/>
                <w:sz w:val="16"/>
                <w:szCs w:val="16"/>
              </w:rPr>
              <w:t>451: Gobierno Regional del Departamento de La Libertad</w:t>
            </w:r>
          </w:p>
        </w:tc>
        <w:tc>
          <w:tcPr>
            <w:tcW w:w="1218" w:type="dxa"/>
            <w:tcBorders>
              <w:top w:val="nil"/>
              <w:left w:val="nil"/>
              <w:bottom w:val="single" w:sz="4" w:space="0" w:color="auto"/>
              <w:right w:val="single" w:sz="4" w:space="0" w:color="auto"/>
            </w:tcBorders>
            <w:shd w:val="clear" w:color="auto" w:fill="FFFFFF" w:themeFill="background1"/>
            <w:vAlign w:val="center"/>
          </w:tcPr>
          <w:p w14:paraId="7EEFDB5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52BFD16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28836386" w14:textId="77777777" w:rsidTr="00AF5836">
        <w:trPr>
          <w:gridAfter w:val="2"/>
          <w:wAfter w:w="160" w:type="dxa"/>
          <w:trHeight w:val="70"/>
        </w:trPr>
        <w:tc>
          <w:tcPr>
            <w:tcW w:w="384" w:type="dxa"/>
            <w:vMerge/>
            <w:tcBorders>
              <w:left w:val="single" w:sz="4" w:space="0" w:color="auto"/>
              <w:right w:val="single" w:sz="4" w:space="0" w:color="auto"/>
            </w:tcBorders>
            <w:shd w:val="clear" w:color="auto" w:fill="FFFFFF" w:themeFill="background1"/>
            <w:vAlign w:val="center"/>
          </w:tcPr>
          <w:p w14:paraId="3544EA1F"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left w:val="single" w:sz="4" w:space="0" w:color="auto"/>
              <w:right w:val="single" w:sz="4" w:space="0" w:color="auto"/>
            </w:tcBorders>
            <w:shd w:val="clear" w:color="auto" w:fill="FFFFFF" w:themeFill="background1"/>
            <w:vAlign w:val="center"/>
          </w:tcPr>
          <w:p w14:paraId="2FD6677A"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left w:val="single" w:sz="4" w:space="0" w:color="auto"/>
              <w:right w:val="single" w:sz="4" w:space="0" w:color="auto"/>
            </w:tcBorders>
            <w:shd w:val="clear" w:color="auto" w:fill="FFFFFF" w:themeFill="background1"/>
            <w:vAlign w:val="center"/>
          </w:tcPr>
          <w:p w14:paraId="4F4C8059"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44E4A5AE"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left w:val="nil"/>
              <w:right w:val="single" w:sz="4" w:space="0" w:color="auto"/>
            </w:tcBorders>
            <w:shd w:val="clear" w:color="auto" w:fill="FFFFFF" w:themeFill="background1"/>
            <w:vAlign w:val="center"/>
          </w:tcPr>
          <w:p w14:paraId="12B4EBC4"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41C572B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4ECF301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100-865: REGION LORETO-AGRICULTURA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7D740EF5" w14:textId="77777777" w:rsidR="00881C3C" w:rsidRPr="00846D49" w:rsidRDefault="00881C3C" w:rsidP="00AF5836">
            <w:pPr>
              <w:spacing w:after="0" w:line="240" w:lineRule="auto"/>
              <w:jc w:val="center"/>
              <w:rPr>
                <w:rFonts w:ascii="Arial Narrow" w:hAnsi="Arial Narrow"/>
                <w:sz w:val="16"/>
                <w:szCs w:val="16"/>
              </w:rPr>
            </w:pPr>
            <w:r w:rsidRPr="00846D49">
              <w:rPr>
                <w:rFonts w:ascii="Arial Narrow" w:hAnsi="Arial Narrow"/>
                <w:sz w:val="16"/>
                <w:szCs w:val="16"/>
              </w:rPr>
              <w:t>453: Gobierno Regional del Departamento de Loreto</w:t>
            </w:r>
          </w:p>
        </w:tc>
        <w:tc>
          <w:tcPr>
            <w:tcW w:w="1218" w:type="dxa"/>
            <w:tcBorders>
              <w:top w:val="nil"/>
              <w:left w:val="nil"/>
              <w:bottom w:val="single" w:sz="4" w:space="0" w:color="auto"/>
              <w:right w:val="single" w:sz="4" w:space="0" w:color="auto"/>
            </w:tcBorders>
            <w:shd w:val="clear" w:color="auto" w:fill="FFFFFF" w:themeFill="background1"/>
            <w:vAlign w:val="center"/>
          </w:tcPr>
          <w:p w14:paraId="686EC6D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7CCEE71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085D5F9F" w14:textId="77777777" w:rsidTr="00AF5836">
        <w:trPr>
          <w:gridAfter w:val="2"/>
          <w:wAfter w:w="160" w:type="dxa"/>
          <w:trHeight w:val="70"/>
        </w:trPr>
        <w:tc>
          <w:tcPr>
            <w:tcW w:w="384" w:type="dxa"/>
            <w:vMerge/>
            <w:tcBorders>
              <w:left w:val="single" w:sz="4" w:space="0" w:color="auto"/>
              <w:right w:val="single" w:sz="4" w:space="0" w:color="auto"/>
            </w:tcBorders>
            <w:shd w:val="clear" w:color="auto" w:fill="FFFFFF" w:themeFill="background1"/>
            <w:vAlign w:val="center"/>
          </w:tcPr>
          <w:p w14:paraId="538DD855"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left w:val="single" w:sz="4" w:space="0" w:color="auto"/>
              <w:right w:val="single" w:sz="4" w:space="0" w:color="auto"/>
            </w:tcBorders>
            <w:shd w:val="clear" w:color="auto" w:fill="FFFFFF" w:themeFill="background1"/>
            <w:vAlign w:val="center"/>
          </w:tcPr>
          <w:p w14:paraId="03B107C1"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left w:val="single" w:sz="4" w:space="0" w:color="auto"/>
              <w:right w:val="single" w:sz="4" w:space="0" w:color="auto"/>
            </w:tcBorders>
            <w:shd w:val="clear" w:color="auto" w:fill="FFFFFF" w:themeFill="background1"/>
            <w:vAlign w:val="center"/>
          </w:tcPr>
          <w:p w14:paraId="3983268B"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776A7B82"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left w:val="nil"/>
              <w:right w:val="single" w:sz="4" w:space="0" w:color="auto"/>
            </w:tcBorders>
            <w:shd w:val="clear" w:color="auto" w:fill="FFFFFF" w:themeFill="background1"/>
            <w:vAlign w:val="center"/>
          </w:tcPr>
          <w:p w14:paraId="4B112256"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6B5F1DA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3B0246E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100-876: REGION MADRE DE DIOS-AGRICULTURA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616793E3" w14:textId="77777777" w:rsidR="00881C3C" w:rsidRPr="00846D49" w:rsidRDefault="00881C3C" w:rsidP="00AF5836">
            <w:pPr>
              <w:spacing w:after="0" w:line="240" w:lineRule="auto"/>
              <w:jc w:val="center"/>
              <w:rPr>
                <w:rFonts w:ascii="Arial Narrow" w:hAnsi="Arial Narrow"/>
                <w:sz w:val="16"/>
                <w:szCs w:val="16"/>
              </w:rPr>
            </w:pPr>
            <w:r w:rsidRPr="00846D49">
              <w:rPr>
                <w:rFonts w:ascii="Arial Narrow" w:hAnsi="Arial Narrow"/>
                <w:sz w:val="16"/>
                <w:szCs w:val="16"/>
              </w:rPr>
              <w:t>454: Gobierno Regional del Departamento de Madre De Dios</w:t>
            </w:r>
          </w:p>
        </w:tc>
        <w:tc>
          <w:tcPr>
            <w:tcW w:w="1218" w:type="dxa"/>
            <w:tcBorders>
              <w:top w:val="nil"/>
              <w:left w:val="nil"/>
              <w:bottom w:val="single" w:sz="4" w:space="0" w:color="auto"/>
              <w:right w:val="single" w:sz="4" w:space="0" w:color="auto"/>
            </w:tcBorders>
            <w:shd w:val="clear" w:color="auto" w:fill="FFFFFF" w:themeFill="background1"/>
            <w:vAlign w:val="center"/>
          </w:tcPr>
          <w:p w14:paraId="5DA1689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1436761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7EF300E9" w14:textId="77777777" w:rsidTr="00AF5836">
        <w:trPr>
          <w:gridAfter w:val="2"/>
          <w:wAfter w:w="160" w:type="dxa"/>
          <w:trHeight w:val="70"/>
        </w:trPr>
        <w:tc>
          <w:tcPr>
            <w:tcW w:w="384" w:type="dxa"/>
            <w:vMerge/>
            <w:tcBorders>
              <w:left w:val="single" w:sz="4" w:space="0" w:color="auto"/>
              <w:right w:val="single" w:sz="4" w:space="0" w:color="auto"/>
            </w:tcBorders>
            <w:shd w:val="clear" w:color="auto" w:fill="FFFFFF" w:themeFill="background1"/>
            <w:vAlign w:val="center"/>
          </w:tcPr>
          <w:p w14:paraId="012A15A1"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left w:val="single" w:sz="4" w:space="0" w:color="auto"/>
              <w:right w:val="single" w:sz="4" w:space="0" w:color="auto"/>
            </w:tcBorders>
            <w:shd w:val="clear" w:color="auto" w:fill="FFFFFF" w:themeFill="background1"/>
            <w:vAlign w:val="center"/>
          </w:tcPr>
          <w:p w14:paraId="468C842D"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left w:val="single" w:sz="4" w:space="0" w:color="auto"/>
              <w:right w:val="single" w:sz="4" w:space="0" w:color="auto"/>
            </w:tcBorders>
            <w:shd w:val="clear" w:color="auto" w:fill="FFFFFF" w:themeFill="background1"/>
            <w:vAlign w:val="center"/>
          </w:tcPr>
          <w:p w14:paraId="17B77F27"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7595C113"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left w:val="nil"/>
              <w:right w:val="single" w:sz="4" w:space="0" w:color="auto"/>
            </w:tcBorders>
            <w:shd w:val="clear" w:color="auto" w:fill="FFFFFF" w:themeFill="background1"/>
            <w:vAlign w:val="center"/>
          </w:tcPr>
          <w:p w14:paraId="0D1CE1CD"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280F3E8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6BDE9EB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100-924: REGION SAN MARTIN-AGRICULTURA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567B3B2D" w14:textId="77777777" w:rsidR="00881C3C" w:rsidRPr="00846D49" w:rsidRDefault="00881C3C" w:rsidP="00AF5836">
            <w:pPr>
              <w:spacing w:after="0" w:line="240" w:lineRule="auto"/>
              <w:jc w:val="center"/>
              <w:rPr>
                <w:rFonts w:ascii="Arial Narrow" w:hAnsi="Arial Narrow"/>
                <w:sz w:val="16"/>
                <w:szCs w:val="16"/>
              </w:rPr>
            </w:pPr>
            <w:r w:rsidRPr="00846D49">
              <w:rPr>
                <w:rFonts w:ascii="Arial Narrow" w:hAnsi="Arial Narrow"/>
                <w:sz w:val="16"/>
                <w:szCs w:val="16"/>
              </w:rPr>
              <w:t>459: Gobierno Regional del Departamento de San Martin</w:t>
            </w:r>
          </w:p>
        </w:tc>
        <w:tc>
          <w:tcPr>
            <w:tcW w:w="1218" w:type="dxa"/>
            <w:tcBorders>
              <w:top w:val="nil"/>
              <w:left w:val="nil"/>
              <w:bottom w:val="single" w:sz="4" w:space="0" w:color="auto"/>
              <w:right w:val="single" w:sz="4" w:space="0" w:color="auto"/>
            </w:tcBorders>
            <w:shd w:val="clear" w:color="auto" w:fill="FFFFFF" w:themeFill="background1"/>
            <w:vAlign w:val="center"/>
          </w:tcPr>
          <w:p w14:paraId="509A1AD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4303AC3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4FF6B8A2" w14:textId="77777777" w:rsidTr="00AF5836">
        <w:trPr>
          <w:gridAfter w:val="2"/>
          <w:wAfter w:w="160" w:type="dxa"/>
          <w:trHeight w:val="70"/>
        </w:trPr>
        <w:tc>
          <w:tcPr>
            <w:tcW w:w="384" w:type="dxa"/>
            <w:vMerge/>
            <w:tcBorders>
              <w:left w:val="single" w:sz="4" w:space="0" w:color="auto"/>
              <w:right w:val="single" w:sz="4" w:space="0" w:color="auto"/>
            </w:tcBorders>
            <w:shd w:val="clear" w:color="auto" w:fill="FFFFFF" w:themeFill="background1"/>
            <w:vAlign w:val="center"/>
          </w:tcPr>
          <w:p w14:paraId="4B76F4A9"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left w:val="single" w:sz="4" w:space="0" w:color="auto"/>
              <w:right w:val="single" w:sz="4" w:space="0" w:color="auto"/>
            </w:tcBorders>
            <w:shd w:val="clear" w:color="auto" w:fill="FFFFFF" w:themeFill="background1"/>
            <w:vAlign w:val="center"/>
          </w:tcPr>
          <w:p w14:paraId="2D94E7B7"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left w:val="single" w:sz="4" w:space="0" w:color="auto"/>
              <w:right w:val="single" w:sz="4" w:space="0" w:color="auto"/>
            </w:tcBorders>
            <w:shd w:val="clear" w:color="auto" w:fill="FFFFFF" w:themeFill="background1"/>
            <w:vAlign w:val="center"/>
          </w:tcPr>
          <w:p w14:paraId="448A15AC"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006E3830"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left w:val="nil"/>
              <w:right w:val="single" w:sz="4" w:space="0" w:color="auto"/>
            </w:tcBorders>
            <w:shd w:val="clear" w:color="auto" w:fill="FFFFFF" w:themeFill="background1"/>
            <w:vAlign w:val="center"/>
          </w:tcPr>
          <w:p w14:paraId="1F6E2E9B"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60FEA76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24682CF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100-937: REGION TUMBES-AGRICULTURA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4B92A18D" w14:textId="77777777" w:rsidR="00881C3C" w:rsidRPr="00846D49" w:rsidRDefault="00881C3C" w:rsidP="00AF5836">
            <w:pPr>
              <w:spacing w:after="0" w:line="240" w:lineRule="auto"/>
              <w:jc w:val="center"/>
              <w:rPr>
                <w:rFonts w:ascii="Arial Narrow" w:hAnsi="Arial Narrow"/>
                <w:sz w:val="16"/>
                <w:szCs w:val="16"/>
              </w:rPr>
            </w:pPr>
            <w:r w:rsidRPr="00846D49">
              <w:rPr>
                <w:rFonts w:ascii="Arial Narrow" w:hAnsi="Arial Narrow"/>
                <w:sz w:val="16"/>
                <w:szCs w:val="16"/>
              </w:rPr>
              <w:t>461: Gobierno Regional del Departamento de Tumbes</w:t>
            </w:r>
          </w:p>
        </w:tc>
        <w:tc>
          <w:tcPr>
            <w:tcW w:w="1218" w:type="dxa"/>
            <w:tcBorders>
              <w:top w:val="nil"/>
              <w:left w:val="nil"/>
              <w:bottom w:val="single" w:sz="4" w:space="0" w:color="auto"/>
              <w:right w:val="single" w:sz="4" w:space="0" w:color="auto"/>
            </w:tcBorders>
            <w:shd w:val="clear" w:color="auto" w:fill="FFFFFF" w:themeFill="background1"/>
            <w:vAlign w:val="center"/>
          </w:tcPr>
          <w:p w14:paraId="534C8E8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3B0528B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3730E968" w14:textId="77777777" w:rsidTr="00AF5836">
        <w:trPr>
          <w:gridAfter w:val="2"/>
          <w:wAfter w:w="160" w:type="dxa"/>
          <w:trHeight w:val="70"/>
        </w:trPr>
        <w:tc>
          <w:tcPr>
            <w:tcW w:w="384" w:type="dxa"/>
            <w:vMerge/>
            <w:tcBorders>
              <w:left w:val="single" w:sz="4" w:space="0" w:color="auto"/>
              <w:bottom w:val="single" w:sz="4" w:space="0" w:color="auto"/>
              <w:right w:val="single" w:sz="4" w:space="0" w:color="auto"/>
            </w:tcBorders>
            <w:shd w:val="clear" w:color="auto" w:fill="FFFFFF" w:themeFill="background1"/>
            <w:vAlign w:val="center"/>
          </w:tcPr>
          <w:p w14:paraId="471610BE"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left w:val="single" w:sz="4" w:space="0" w:color="auto"/>
              <w:bottom w:val="single" w:sz="4" w:space="0" w:color="auto"/>
              <w:right w:val="single" w:sz="4" w:space="0" w:color="auto"/>
            </w:tcBorders>
            <w:shd w:val="clear" w:color="auto" w:fill="FFFFFF" w:themeFill="background1"/>
            <w:vAlign w:val="center"/>
          </w:tcPr>
          <w:p w14:paraId="348D2676"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left w:val="single" w:sz="4" w:space="0" w:color="auto"/>
              <w:bottom w:val="single" w:sz="4" w:space="0" w:color="auto"/>
              <w:right w:val="single" w:sz="4" w:space="0" w:color="auto"/>
            </w:tcBorders>
            <w:shd w:val="clear" w:color="auto" w:fill="FFFFFF" w:themeFill="background1"/>
            <w:vAlign w:val="center"/>
          </w:tcPr>
          <w:p w14:paraId="260943C0"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bottom w:val="single" w:sz="4" w:space="0" w:color="auto"/>
              <w:right w:val="single" w:sz="4" w:space="0" w:color="auto"/>
            </w:tcBorders>
            <w:shd w:val="clear" w:color="auto" w:fill="FFFFFF" w:themeFill="background1"/>
            <w:vAlign w:val="center"/>
          </w:tcPr>
          <w:p w14:paraId="4C78F025"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left w:val="nil"/>
              <w:bottom w:val="single" w:sz="4" w:space="0" w:color="auto"/>
              <w:right w:val="single" w:sz="4" w:space="0" w:color="auto"/>
            </w:tcBorders>
            <w:shd w:val="clear" w:color="auto" w:fill="FFFFFF" w:themeFill="background1"/>
            <w:vAlign w:val="center"/>
          </w:tcPr>
          <w:p w14:paraId="56A19BA6"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10DD11D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0C02131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100-947: REGION UCAYALI-AGRICULTURA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46A4073E" w14:textId="77777777" w:rsidR="00881C3C" w:rsidRPr="00846D49" w:rsidRDefault="00881C3C" w:rsidP="00AF5836">
            <w:pPr>
              <w:spacing w:after="0" w:line="240" w:lineRule="auto"/>
              <w:jc w:val="center"/>
              <w:rPr>
                <w:rFonts w:ascii="Arial Narrow" w:hAnsi="Arial Narrow"/>
                <w:sz w:val="16"/>
                <w:szCs w:val="16"/>
              </w:rPr>
            </w:pPr>
            <w:r w:rsidRPr="00846D49">
              <w:rPr>
                <w:rFonts w:ascii="Arial Narrow" w:hAnsi="Arial Narrow"/>
                <w:sz w:val="16"/>
                <w:szCs w:val="16"/>
              </w:rPr>
              <w:t>462: Gobierno Regional del Departamento de Ucayali</w:t>
            </w:r>
          </w:p>
        </w:tc>
        <w:tc>
          <w:tcPr>
            <w:tcW w:w="1218" w:type="dxa"/>
            <w:tcBorders>
              <w:top w:val="nil"/>
              <w:left w:val="nil"/>
              <w:bottom w:val="single" w:sz="4" w:space="0" w:color="auto"/>
              <w:right w:val="single" w:sz="4" w:space="0" w:color="auto"/>
            </w:tcBorders>
            <w:shd w:val="clear" w:color="auto" w:fill="FFFFFF" w:themeFill="background1"/>
            <w:vAlign w:val="center"/>
          </w:tcPr>
          <w:p w14:paraId="1DB6A8D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03783FB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45574A62" w14:textId="77777777" w:rsidTr="00AF5836">
        <w:trPr>
          <w:gridAfter w:val="2"/>
          <w:wAfter w:w="160" w:type="dxa"/>
          <w:trHeight w:val="765"/>
        </w:trPr>
        <w:tc>
          <w:tcPr>
            <w:tcW w:w="384"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6A770EC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15</w:t>
            </w:r>
          </w:p>
        </w:tc>
        <w:tc>
          <w:tcPr>
            <w:tcW w:w="1693"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747EB385"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L1.6 Fomentar el aprovechamiento sostenible de los recursos forestales y de fauna silvestre</w:t>
            </w:r>
          </w:p>
        </w:tc>
        <w:tc>
          <w:tcPr>
            <w:tcW w:w="180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3BB9DD3E"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S1.6.3 Otorgamiento de derechos de aprovechamiento de recursos forestales y fauna silvestre de forma oportuna a los usuarios forestales y de fauna silvestre</w:t>
            </w:r>
          </w:p>
          <w:p w14:paraId="64696AF6" w14:textId="77777777" w:rsidR="00881C3C" w:rsidRPr="00846D49" w:rsidRDefault="00881C3C" w:rsidP="00AF5836"/>
        </w:tc>
        <w:tc>
          <w:tcPr>
            <w:tcW w:w="2143" w:type="dxa"/>
            <w:tcBorders>
              <w:top w:val="nil"/>
              <w:left w:val="nil"/>
              <w:bottom w:val="single" w:sz="4" w:space="0" w:color="auto"/>
              <w:right w:val="single" w:sz="4" w:space="0" w:color="auto"/>
            </w:tcBorders>
            <w:shd w:val="clear" w:color="auto" w:fill="FFFFFF" w:themeFill="background1"/>
            <w:vAlign w:val="center"/>
            <w:hideMark/>
          </w:tcPr>
          <w:p w14:paraId="3B395E99"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AO001. Aplicación de programas para el fortalecimiento de capacidades de los usuarios del bosque</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22EED76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Persona</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3FC9FFE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xml:space="preserve">Dirección General de Gestión Sostenible del Patrimonio Forestal y de Fauna Silvestre </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436C16D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24B4231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2DB3416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50E03B7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56BCC9D4" w14:textId="77777777" w:rsidTr="00AF5836">
        <w:trPr>
          <w:gridAfter w:val="2"/>
          <w:wAfter w:w="160" w:type="dxa"/>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0CD63E0"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27D4CC9"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BF78EA4"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val="restart"/>
            <w:tcBorders>
              <w:top w:val="nil"/>
              <w:left w:val="nil"/>
              <w:right w:val="single" w:sz="4" w:space="0" w:color="auto"/>
            </w:tcBorders>
            <w:shd w:val="clear" w:color="auto" w:fill="FFFFFF" w:themeFill="background1"/>
            <w:vAlign w:val="center"/>
          </w:tcPr>
          <w:p w14:paraId="2327F854"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 xml:space="preserve">AO 002:  Evaluación, aprobación y otorgamiento de derechos de aprovechamiento forestal y de </w:t>
            </w:r>
            <w:r w:rsidRPr="00846D49">
              <w:rPr>
                <w:rFonts w:ascii="Arial Narrow" w:eastAsia="Times New Roman" w:hAnsi="Arial Narrow"/>
                <w:sz w:val="16"/>
                <w:szCs w:val="16"/>
              </w:rPr>
              <w:lastRenderedPageBreak/>
              <w:t>fauna silvestre bajo la modalidad de Título Habilitante (permisos, autorizaciones forestales, concesiones, entre otros), con seguimiento.</w:t>
            </w:r>
          </w:p>
        </w:tc>
        <w:tc>
          <w:tcPr>
            <w:tcW w:w="2233" w:type="dxa"/>
            <w:vMerge w:val="restart"/>
            <w:tcBorders>
              <w:top w:val="nil"/>
              <w:left w:val="nil"/>
              <w:right w:val="single" w:sz="4" w:space="0" w:color="auto"/>
            </w:tcBorders>
            <w:shd w:val="clear" w:color="auto" w:fill="FFFFFF" w:themeFill="background1"/>
            <w:vAlign w:val="center"/>
          </w:tcPr>
          <w:p w14:paraId="4F6E84A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lastRenderedPageBreak/>
              <w:t>Hectárea</w:t>
            </w:r>
          </w:p>
        </w:tc>
        <w:tc>
          <w:tcPr>
            <w:tcW w:w="1814" w:type="dxa"/>
            <w:tcBorders>
              <w:top w:val="nil"/>
              <w:left w:val="nil"/>
              <w:bottom w:val="single" w:sz="4" w:space="0" w:color="auto"/>
              <w:right w:val="single" w:sz="4" w:space="0" w:color="auto"/>
            </w:tcBorders>
            <w:shd w:val="clear" w:color="auto" w:fill="FFFFFF" w:themeFill="background1"/>
            <w:vAlign w:val="center"/>
          </w:tcPr>
          <w:p w14:paraId="5DE5031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xml:space="preserve">Dirección de General de Gestión Sostenible del </w:t>
            </w:r>
            <w:r w:rsidRPr="00846D49">
              <w:rPr>
                <w:rFonts w:ascii="Arial Narrow" w:eastAsia="Times New Roman" w:hAnsi="Arial Narrow"/>
                <w:sz w:val="16"/>
                <w:szCs w:val="16"/>
              </w:rPr>
              <w:lastRenderedPageBreak/>
              <w:t xml:space="preserve">Patrimonio Forestal y de Fauna Silvestre </w:t>
            </w:r>
          </w:p>
          <w:p w14:paraId="35B386AE" w14:textId="77777777" w:rsidR="00881C3C" w:rsidRPr="00846D49" w:rsidRDefault="00881C3C" w:rsidP="00AF5836">
            <w:pPr>
              <w:spacing w:after="0" w:line="240" w:lineRule="auto"/>
              <w:jc w:val="center"/>
              <w:rPr>
                <w:rFonts w:ascii="Arial Narrow" w:eastAsia="Times New Roman" w:hAnsi="Arial Narrow"/>
                <w:sz w:val="16"/>
                <w:szCs w:val="16"/>
              </w:rPr>
            </w:pPr>
          </w:p>
          <w:p w14:paraId="4342A37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Administraciones Técnicas Forestales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6E8504E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lastRenderedPageBreak/>
              <w:t>001-1503: Servicio Nacional Forestal y de Fauna Silvestre-</w:t>
            </w:r>
            <w:r w:rsidRPr="00846D49">
              <w:rPr>
                <w:rFonts w:ascii="Arial Narrow" w:eastAsia="Times New Roman" w:hAnsi="Arial Narrow"/>
                <w:sz w:val="16"/>
                <w:szCs w:val="16"/>
              </w:rPr>
              <w:lastRenderedPageBreak/>
              <w:t>SERFOR – Sede Central</w:t>
            </w:r>
          </w:p>
        </w:tc>
        <w:tc>
          <w:tcPr>
            <w:tcW w:w="1560" w:type="dxa"/>
            <w:tcBorders>
              <w:top w:val="nil"/>
              <w:left w:val="nil"/>
              <w:bottom w:val="single" w:sz="4" w:space="0" w:color="auto"/>
              <w:right w:val="single" w:sz="4" w:space="0" w:color="auto"/>
            </w:tcBorders>
            <w:shd w:val="clear" w:color="auto" w:fill="FFFFFF" w:themeFill="background1"/>
            <w:vAlign w:val="center"/>
          </w:tcPr>
          <w:p w14:paraId="001A36D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lastRenderedPageBreak/>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tcPr>
          <w:p w14:paraId="08B681A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tcPr>
          <w:p w14:paraId="5C98388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2344E79E" w14:textId="77777777" w:rsidTr="00AF5836">
        <w:trPr>
          <w:gridAfter w:val="2"/>
          <w:wAfter w:w="160" w:type="dxa"/>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2397A92D"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0C41F10D"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58C9410F"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3BD1C546"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left w:val="nil"/>
              <w:right w:val="single" w:sz="4" w:space="0" w:color="auto"/>
            </w:tcBorders>
            <w:shd w:val="clear" w:color="auto" w:fill="FFFFFF" w:themeFill="background1"/>
            <w:vAlign w:val="center"/>
          </w:tcPr>
          <w:p w14:paraId="7989ECB0"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3B4A091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224C43A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xml:space="preserve">100-722: REGION AMAZONAS-AGRICULTURA </w:t>
            </w:r>
          </w:p>
        </w:tc>
        <w:tc>
          <w:tcPr>
            <w:tcW w:w="1560" w:type="dxa"/>
            <w:tcBorders>
              <w:top w:val="nil"/>
              <w:left w:val="nil"/>
              <w:bottom w:val="single" w:sz="4" w:space="0" w:color="auto"/>
              <w:right w:val="single" w:sz="4" w:space="0" w:color="auto"/>
            </w:tcBorders>
            <w:shd w:val="clear" w:color="auto" w:fill="FFFFFF" w:themeFill="background1"/>
            <w:vAlign w:val="center"/>
          </w:tcPr>
          <w:p w14:paraId="62CD08C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440: Gobierno Regional del Departamento de Amazonas</w:t>
            </w:r>
          </w:p>
        </w:tc>
        <w:tc>
          <w:tcPr>
            <w:tcW w:w="1218" w:type="dxa"/>
            <w:tcBorders>
              <w:top w:val="nil"/>
              <w:left w:val="nil"/>
              <w:bottom w:val="single" w:sz="4" w:space="0" w:color="auto"/>
              <w:right w:val="single" w:sz="4" w:space="0" w:color="auto"/>
            </w:tcBorders>
            <w:shd w:val="clear" w:color="auto" w:fill="FFFFFF" w:themeFill="background1"/>
            <w:vAlign w:val="center"/>
          </w:tcPr>
          <w:p w14:paraId="6ED6BEB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3F5E649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5094EA5D" w14:textId="77777777" w:rsidTr="00AF5836">
        <w:trPr>
          <w:gridAfter w:val="2"/>
          <w:wAfter w:w="160" w:type="dxa"/>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2576632E"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49C799D4"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096523C0"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0819260A"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left w:val="nil"/>
              <w:right w:val="single" w:sz="4" w:space="0" w:color="auto"/>
            </w:tcBorders>
            <w:shd w:val="clear" w:color="auto" w:fill="FFFFFF" w:themeFill="background1"/>
            <w:vAlign w:val="center"/>
          </w:tcPr>
          <w:p w14:paraId="47D50455"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5213FB4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639BE12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100-771: REGION AYACUCHO-AGRICULTURA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6E1999D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444: Gobierno Regional del Departamento de Ayacucho</w:t>
            </w:r>
          </w:p>
        </w:tc>
        <w:tc>
          <w:tcPr>
            <w:tcW w:w="1218" w:type="dxa"/>
            <w:tcBorders>
              <w:top w:val="nil"/>
              <w:left w:val="nil"/>
              <w:bottom w:val="single" w:sz="4" w:space="0" w:color="auto"/>
              <w:right w:val="single" w:sz="4" w:space="0" w:color="auto"/>
            </w:tcBorders>
            <w:shd w:val="clear" w:color="auto" w:fill="FFFFFF" w:themeFill="background1"/>
            <w:vAlign w:val="center"/>
          </w:tcPr>
          <w:p w14:paraId="6730A76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5093C90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0C0F9121" w14:textId="77777777" w:rsidTr="00AF5836">
        <w:trPr>
          <w:gridAfter w:val="2"/>
          <w:wAfter w:w="160" w:type="dxa"/>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7BEFC82D"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38DF50BF"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6A298687"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561ACC66"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left w:val="nil"/>
              <w:right w:val="single" w:sz="4" w:space="0" w:color="auto"/>
            </w:tcBorders>
            <w:shd w:val="clear" w:color="auto" w:fill="FFFFFF" w:themeFill="background1"/>
            <w:vAlign w:val="center"/>
          </w:tcPr>
          <w:p w14:paraId="5D203959"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3844F26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481563C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100-806: REGION HUANUCO-AGRICULTURA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77A12F1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448: Gobierno Regional del Departamento de Huánuco</w:t>
            </w:r>
          </w:p>
        </w:tc>
        <w:tc>
          <w:tcPr>
            <w:tcW w:w="1218" w:type="dxa"/>
            <w:tcBorders>
              <w:top w:val="nil"/>
              <w:left w:val="nil"/>
              <w:bottom w:val="single" w:sz="4" w:space="0" w:color="auto"/>
              <w:right w:val="single" w:sz="4" w:space="0" w:color="auto"/>
            </w:tcBorders>
            <w:shd w:val="clear" w:color="auto" w:fill="FFFFFF" w:themeFill="background1"/>
            <w:vAlign w:val="center"/>
          </w:tcPr>
          <w:p w14:paraId="7D97895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397D040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76505754" w14:textId="77777777" w:rsidTr="00AF5836">
        <w:trPr>
          <w:gridAfter w:val="2"/>
          <w:wAfter w:w="160" w:type="dxa"/>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4C3F4EA4"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33B8D780"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55300EE2"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2FB7D596"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left w:val="nil"/>
              <w:right w:val="single" w:sz="4" w:space="0" w:color="auto"/>
            </w:tcBorders>
            <w:shd w:val="clear" w:color="auto" w:fill="FFFFFF" w:themeFill="background1"/>
            <w:vAlign w:val="center"/>
          </w:tcPr>
          <w:p w14:paraId="3A899B08"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4C0D5CF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37B37DF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100-832: REGION LA LIBERTAD-AGRICULTURA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7BF5371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451: Gobierno Regional del Departamento de La Libertad</w:t>
            </w:r>
          </w:p>
        </w:tc>
        <w:tc>
          <w:tcPr>
            <w:tcW w:w="1218" w:type="dxa"/>
            <w:tcBorders>
              <w:top w:val="nil"/>
              <w:left w:val="nil"/>
              <w:bottom w:val="single" w:sz="4" w:space="0" w:color="auto"/>
              <w:right w:val="single" w:sz="4" w:space="0" w:color="auto"/>
            </w:tcBorders>
            <w:shd w:val="clear" w:color="auto" w:fill="FFFFFF" w:themeFill="background1"/>
            <w:vAlign w:val="center"/>
          </w:tcPr>
          <w:p w14:paraId="094F419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4093848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38204110" w14:textId="77777777" w:rsidTr="00AF5836">
        <w:trPr>
          <w:gridAfter w:val="2"/>
          <w:wAfter w:w="160" w:type="dxa"/>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03333060"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5DD373EB"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1412DC30"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3295D170"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left w:val="nil"/>
              <w:right w:val="single" w:sz="4" w:space="0" w:color="auto"/>
            </w:tcBorders>
            <w:shd w:val="clear" w:color="auto" w:fill="FFFFFF" w:themeFill="background1"/>
            <w:vAlign w:val="center"/>
          </w:tcPr>
          <w:p w14:paraId="389091C6"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1D353BD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1E45519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100-865: REGION LORETO-AGRICULTURA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6457E75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453: Gobierno Regional del Departamento de Loreto</w:t>
            </w:r>
          </w:p>
        </w:tc>
        <w:tc>
          <w:tcPr>
            <w:tcW w:w="1218" w:type="dxa"/>
            <w:tcBorders>
              <w:top w:val="nil"/>
              <w:left w:val="nil"/>
              <w:bottom w:val="single" w:sz="4" w:space="0" w:color="auto"/>
              <w:right w:val="single" w:sz="4" w:space="0" w:color="auto"/>
            </w:tcBorders>
            <w:shd w:val="clear" w:color="auto" w:fill="FFFFFF" w:themeFill="background1"/>
            <w:vAlign w:val="center"/>
          </w:tcPr>
          <w:p w14:paraId="1B5209F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3555D02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7F0973D5" w14:textId="77777777" w:rsidTr="00AF5836">
        <w:trPr>
          <w:gridAfter w:val="2"/>
          <w:wAfter w:w="160" w:type="dxa"/>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486CE02C"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13E0DE44"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34BB87DB"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1957BC65"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left w:val="nil"/>
              <w:right w:val="single" w:sz="4" w:space="0" w:color="auto"/>
            </w:tcBorders>
            <w:shd w:val="clear" w:color="auto" w:fill="FFFFFF" w:themeFill="background1"/>
            <w:vAlign w:val="center"/>
          </w:tcPr>
          <w:p w14:paraId="55E32E61"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0777283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014E8BD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100-876: REGION MADRE DE DIOS-AGRICULTURA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3D568F7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454: Gobierno Regional del Departamento de Madre De Dios</w:t>
            </w:r>
          </w:p>
        </w:tc>
        <w:tc>
          <w:tcPr>
            <w:tcW w:w="1218" w:type="dxa"/>
            <w:tcBorders>
              <w:top w:val="nil"/>
              <w:left w:val="nil"/>
              <w:bottom w:val="single" w:sz="4" w:space="0" w:color="auto"/>
              <w:right w:val="single" w:sz="4" w:space="0" w:color="auto"/>
            </w:tcBorders>
            <w:shd w:val="clear" w:color="auto" w:fill="FFFFFF" w:themeFill="background1"/>
            <w:vAlign w:val="center"/>
          </w:tcPr>
          <w:p w14:paraId="3CCBA1F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6B10D00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4A01EE35" w14:textId="77777777" w:rsidTr="00AF5836">
        <w:trPr>
          <w:gridAfter w:val="2"/>
          <w:wAfter w:w="160" w:type="dxa"/>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28ADA3BF"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286FA97C"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5EC5BE61"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63258240"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left w:val="nil"/>
              <w:right w:val="single" w:sz="4" w:space="0" w:color="auto"/>
            </w:tcBorders>
            <w:shd w:val="clear" w:color="auto" w:fill="FFFFFF" w:themeFill="background1"/>
            <w:vAlign w:val="center"/>
          </w:tcPr>
          <w:p w14:paraId="3102CA7C"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531ECCD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5FA52D1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100-924: REGION SAN MARTIN-AGRICULTURA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5EC0D00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459: Gobierno Regional del Departamento de San Martin</w:t>
            </w:r>
          </w:p>
        </w:tc>
        <w:tc>
          <w:tcPr>
            <w:tcW w:w="1218" w:type="dxa"/>
            <w:tcBorders>
              <w:top w:val="nil"/>
              <w:left w:val="nil"/>
              <w:bottom w:val="single" w:sz="4" w:space="0" w:color="auto"/>
              <w:right w:val="single" w:sz="4" w:space="0" w:color="auto"/>
            </w:tcBorders>
            <w:shd w:val="clear" w:color="auto" w:fill="FFFFFF" w:themeFill="background1"/>
            <w:vAlign w:val="center"/>
          </w:tcPr>
          <w:p w14:paraId="25F8BD1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527ABF1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0AB96F9B" w14:textId="77777777" w:rsidTr="00AF5836">
        <w:trPr>
          <w:gridAfter w:val="2"/>
          <w:wAfter w:w="160" w:type="dxa"/>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471C5613"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251EE32E"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2CFE321B"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2ED4F9D8"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left w:val="nil"/>
              <w:right w:val="single" w:sz="4" w:space="0" w:color="auto"/>
            </w:tcBorders>
            <w:shd w:val="clear" w:color="auto" w:fill="FFFFFF" w:themeFill="background1"/>
            <w:vAlign w:val="center"/>
          </w:tcPr>
          <w:p w14:paraId="3B81AA9C"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787B060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22A30ED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100-937: REGION TUMBES-AGRICULTURA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647D0EE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461: Gobierno Regional del Departamento de Tumbes</w:t>
            </w:r>
          </w:p>
        </w:tc>
        <w:tc>
          <w:tcPr>
            <w:tcW w:w="1218" w:type="dxa"/>
            <w:tcBorders>
              <w:top w:val="nil"/>
              <w:left w:val="nil"/>
              <w:bottom w:val="single" w:sz="4" w:space="0" w:color="auto"/>
              <w:right w:val="single" w:sz="4" w:space="0" w:color="auto"/>
            </w:tcBorders>
            <w:shd w:val="clear" w:color="auto" w:fill="FFFFFF" w:themeFill="background1"/>
            <w:vAlign w:val="center"/>
          </w:tcPr>
          <w:p w14:paraId="2CB22BC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4A466C6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0FF3E604" w14:textId="77777777" w:rsidTr="00AF5836">
        <w:trPr>
          <w:gridAfter w:val="2"/>
          <w:wAfter w:w="160" w:type="dxa"/>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06FB4C07"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71A05D4A"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3027DB4A"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bottom w:val="single" w:sz="4" w:space="0" w:color="auto"/>
              <w:right w:val="single" w:sz="4" w:space="0" w:color="auto"/>
            </w:tcBorders>
            <w:shd w:val="clear" w:color="auto" w:fill="FFFFFF" w:themeFill="background1"/>
            <w:vAlign w:val="center"/>
          </w:tcPr>
          <w:p w14:paraId="04148605"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left w:val="nil"/>
              <w:bottom w:val="single" w:sz="4" w:space="0" w:color="auto"/>
              <w:right w:val="single" w:sz="4" w:space="0" w:color="auto"/>
            </w:tcBorders>
            <w:shd w:val="clear" w:color="auto" w:fill="FFFFFF" w:themeFill="background1"/>
            <w:vAlign w:val="center"/>
          </w:tcPr>
          <w:p w14:paraId="22662305"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435A28F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74E1933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100-947: REGION UCAYALI-AGRICULTURA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0CDAAEB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462: Gobierno Regional del Departamento de Ucayali</w:t>
            </w:r>
          </w:p>
        </w:tc>
        <w:tc>
          <w:tcPr>
            <w:tcW w:w="1218" w:type="dxa"/>
            <w:tcBorders>
              <w:top w:val="nil"/>
              <w:left w:val="nil"/>
              <w:bottom w:val="single" w:sz="4" w:space="0" w:color="auto"/>
              <w:right w:val="single" w:sz="4" w:space="0" w:color="auto"/>
            </w:tcBorders>
            <w:shd w:val="clear" w:color="auto" w:fill="FFFFFF" w:themeFill="background1"/>
            <w:vAlign w:val="center"/>
          </w:tcPr>
          <w:p w14:paraId="3C6E037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6388BE2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122A5B5D" w14:textId="77777777" w:rsidTr="00AF5836">
        <w:trPr>
          <w:gridAfter w:val="2"/>
          <w:wAfter w:w="160" w:type="dxa"/>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ACBE6FF"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B697950"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85FC023"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val="restart"/>
            <w:tcBorders>
              <w:top w:val="nil"/>
              <w:left w:val="nil"/>
              <w:right w:val="single" w:sz="4" w:space="0" w:color="auto"/>
            </w:tcBorders>
            <w:shd w:val="clear" w:color="auto" w:fill="FFFFFF" w:themeFill="background1"/>
            <w:vAlign w:val="center"/>
          </w:tcPr>
          <w:p w14:paraId="4C5AE2E5"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 xml:space="preserve">AO 003: Evaluación, aprobación y otorgamiento de derechos de aprovechamiento forestal y de fauna silvestre bajo la modalidad de acto administrativo </w:t>
            </w:r>
            <w:r w:rsidRPr="00846D49">
              <w:rPr>
                <w:rFonts w:ascii="Arial Narrow" w:eastAsia="Times New Roman" w:hAnsi="Arial Narrow"/>
                <w:sz w:val="16"/>
                <w:szCs w:val="16"/>
              </w:rPr>
              <w:lastRenderedPageBreak/>
              <w:t>(autorización de funcionamiento, Licencia, Extracción, investigación, desbosque, cambio de uso, Guía de Transporte Forestal, entre otros), con seguimiento.</w:t>
            </w:r>
          </w:p>
        </w:tc>
        <w:tc>
          <w:tcPr>
            <w:tcW w:w="2233" w:type="dxa"/>
            <w:vMerge w:val="restart"/>
            <w:tcBorders>
              <w:top w:val="nil"/>
              <w:left w:val="nil"/>
              <w:right w:val="single" w:sz="4" w:space="0" w:color="auto"/>
            </w:tcBorders>
            <w:shd w:val="clear" w:color="auto" w:fill="FFFFFF" w:themeFill="background1"/>
            <w:vAlign w:val="center"/>
          </w:tcPr>
          <w:p w14:paraId="55BF3F6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lastRenderedPageBreak/>
              <w:t>Persona</w:t>
            </w:r>
          </w:p>
        </w:tc>
        <w:tc>
          <w:tcPr>
            <w:tcW w:w="1814" w:type="dxa"/>
            <w:tcBorders>
              <w:top w:val="nil"/>
              <w:left w:val="nil"/>
              <w:bottom w:val="single" w:sz="4" w:space="0" w:color="auto"/>
              <w:right w:val="single" w:sz="4" w:space="0" w:color="auto"/>
            </w:tcBorders>
            <w:shd w:val="clear" w:color="auto" w:fill="FFFFFF" w:themeFill="background1"/>
            <w:vAlign w:val="center"/>
          </w:tcPr>
          <w:p w14:paraId="24F07F4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xml:space="preserve">Dirección de General de Gestión Sostenible del Patrimonio Forestal y de Fauna Silvestre </w:t>
            </w:r>
          </w:p>
          <w:p w14:paraId="394FA25B" w14:textId="77777777" w:rsidR="00881C3C" w:rsidRPr="00846D49" w:rsidRDefault="00881C3C" w:rsidP="00AF5836">
            <w:pPr>
              <w:spacing w:after="0" w:line="240" w:lineRule="auto"/>
              <w:jc w:val="center"/>
              <w:rPr>
                <w:rFonts w:ascii="Arial Narrow" w:eastAsia="Times New Roman" w:hAnsi="Arial Narrow"/>
                <w:sz w:val="16"/>
                <w:szCs w:val="16"/>
              </w:rPr>
            </w:pPr>
          </w:p>
          <w:p w14:paraId="3F14558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lastRenderedPageBreak/>
              <w:t>Administraciones Técnicas Forestales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0A22C98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lastRenderedPageBreak/>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tcPr>
          <w:p w14:paraId="739B236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tcPr>
          <w:p w14:paraId="21AAFA7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tcPr>
          <w:p w14:paraId="3756A5F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0C0D0F8C" w14:textId="77777777" w:rsidTr="00AF5836">
        <w:trPr>
          <w:gridAfter w:val="2"/>
          <w:wAfter w:w="160" w:type="dxa"/>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DFFB5B4"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5EAC010"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9D70174"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385F783D"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left w:val="nil"/>
              <w:right w:val="single" w:sz="4" w:space="0" w:color="auto"/>
            </w:tcBorders>
            <w:shd w:val="clear" w:color="auto" w:fill="FFFFFF" w:themeFill="background1"/>
            <w:vAlign w:val="center"/>
          </w:tcPr>
          <w:p w14:paraId="41947F5F"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78E736B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592B67E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xml:space="preserve">100-722: REGION AMAZONAS-AGRICULTURA </w:t>
            </w:r>
          </w:p>
        </w:tc>
        <w:tc>
          <w:tcPr>
            <w:tcW w:w="1560" w:type="dxa"/>
            <w:tcBorders>
              <w:top w:val="nil"/>
              <w:left w:val="nil"/>
              <w:bottom w:val="single" w:sz="4" w:space="0" w:color="auto"/>
              <w:right w:val="single" w:sz="4" w:space="0" w:color="auto"/>
            </w:tcBorders>
            <w:shd w:val="clear" w:color="auto" w:fill="FFFFFF" w:themeFill="background1"/>
            <w:vAlign w:val="center"/>
          </w:tcPr>
          <w:p w14:paraId="713D8C7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440: Gobierno Regional del Departamento de Amazonas</w:t>
            </w:r>
          </w:p>
        </w:tc>
        <w:tc>
          <w:tcPr>
            <w:tcW w:w="1218" w:type="dxa"/>
            <w:tcBorders>
              <w:top w:val="nil"/>
              <w:left w:val="nil"/>
              <w:bottom w:val="single" w:sz="4" w:space="0" w:color="auto"/>
              <w:right w:val="single" w:sz="4" w:space="0" w:color="auto"/>
            </w:tcBorders>
            <w:shd w:val="clear" w:color="auto" w:fill="FFFFFF" w:themeFill="background1"/>
            <w:vAlign w:val="center"/>
          </w:tcPr>
          <w:p w14:paraId="6141932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2BB64F4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39B5C28C" w14:textId="77777777" w:rsidTr="00AF5836">
        <w:trPr>
          <w:gridAfter w:val="2"/>
          <w:wAfter w:w="160" w:type="dxa"/>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6C1A27C7"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4274E6CB"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19C6C9FF"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7A4003B7"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left w:val="nil"/>
              <w:right w:val="single" w:sz="4" w:space="0" w:color="auto"/>
            </w:tcBorders>
            <w:shd w:val="clear" w:color="auto" w:fill="FFFFFF" w:themeFill="background1"/>
            <w:vAlign w:val="center"/>
          </w:tcPr>
          <w:p w14:paraId="04DB79A5"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72D673A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281F96C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100-771: REGION AYACUCHO-AGRICULTURA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5EE8F4B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444: Gobierno Regional del Departamento de Ayacucho</w:t>
            </w:r>
          </w:p>
        </w:tc>
        <w:tc>
          <w:tcPr>
            <w:tcW w:w="1218" w:type="dxa"/>
            <w:tcBorders>
              <w:top w:val="nil"/>
              <w:left w:val="nil"/>
              <w:bottom w:val="single" w:sz="4" w:space="0" w:color="auto"/>
              <w:right w:val="single" w:sz="4" w:space="0" w:color="auto"/>
            </w:tcBorders>
            <w:shd w:val="clear" w:color="auto" w:fill="FFFFFF" w:themeFill="background1"/>
            <w:vAlign w:val="center"/>
          </w:tcPr>
          <w:p w14:paraId="2A01CE5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225533E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46102D69" w14:textId="77777777" w:rsidTr="00AF5836">
        <w:trPr>
          <w:gridAfter w:val="2"/>
          <w:wAfter w:w="160" w:type="dxa"/>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0CF53839"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367AA17F"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19926738"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208EA045"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left w:val="nil"/>
              <w:right w:val="single" w:sz="4" w:space="0" w:color="auto"/>
            </w:tcBorders>
            <w:shd w:val="clear" w:color="auto" w:fill="FFFFFF" w:themeFill="background1"/>
            <w:vAlign w:val="center"/>
          </w:tcPr>
          <w:p w14:paraId="1AA73123"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1B14DCC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0A66F96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100-806: REGION HUANUCO-AGRICULTURA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2B7A3A2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448: Gobierno Regional del Departamento de Huánuco</w:t>
            </w:r>
          </w:p>
        </w:tc>
        <w:tc>
          <w:tcPr>
            <w:tcW w:w="1218" w:type="dxa"/>
            <w:tcBorders>
              <w:top w:val="nil"/>
              <w:left w:val="nil"/>
              <w:bottom w:val="single" w:sz="4" w:space="0" w:color="auto"/>
              <w:right w:val="single" w:sz="4" w:space="0" w:color="auto"/>
            </w:tcBorders>
            <w:shd w:val="clear" w:color="auto" w:fill="FFFFFF" w:themeFill="background1"/>
            <w:vAlign w:val="center"/>
          </w:tcPr>
          <w:p w14:paraId="0B15FFA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65FD6B7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636204FC" w14:textId="77777777" w:rsidTr="00AF5836">
        <w:trPr>
          <w:gridAfter w:val="2"/>
          <w:wAfter w:w="160" w:type="dxa"/>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75AB010A"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3C53CC0D"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75C7EC74"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11C72743"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left w:val="nil"/>
              <w:right w:val="single" w:sz="4" w:space="0" w:color="auto"/>
            </w:tcBorders>
            <w:shd w:val="clear" w:color="auto" w:fill="FFFFFF" w:themeFill="background1"/>
            <w:vAlign w:val="center"/>
          </w:tcPr>
          <w:p w14:paraId="2039F867"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6AFB50B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4653AF3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100-832: REGION LA LIBERTAD-AGRICULTURA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137639F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451: Gobierno Regional del Departamento de La Libertad</w:t>
            </w:r>
          </w:p>
        </w:tc>
        <w:tc>
          <w:tcPr>
            <w:tcW w:w="1218" w:type="dxa"/>
            <w:tcBorders>
              <w:top w:val="nil"/>
              <w:left w:val="nil"/>
              <w:bottom w:val="single" w:sz="4" w:space="0" w:color="auto"/>
              <w:right w:val="single" w:sz="4" w:space="0" w:color="auto"/>
            </w:tcBorders>
            <w:shd w:val="clear" w:color="auto" w:fill="FFFFFF" w:themeFill="background1"/>
            <w:vAlign w:val="center"/>
          </w:tcPr>
          <w:p w14:paraId="399954F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4A5CC0E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27AFD056" w14:textId="77777777" w:rsidTr="00AF5836">
        <w:trPr>
          <w:gridAfter w:val="2"/>
          <w:wAfter w:w="160" w:type="dxa"/>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42661CED"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627080B8"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1106FDC5"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544229C2"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left w:val="nil"/>
              <w:right w:val="single" w:sz="4" w:space="0" w:color="auto"/>
            </w:tcBorders>
            <w:shd w:val="clear" w:color="auto" w:fill="FFFFFF" w:themeFill="background1"/>
            <w:vAlign w:val="center"/>
          </w:tcPr>
          <w:p w14:paraId="0948E45A"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4C6D014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0CD5C2B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100-865: REGION LORETO-AGRICULTURA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7F9B2DA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453: Gobierno Regional del Departamento de Loreto</w:t>
            </w:r>
          </w:p>
        </w:tc>
        <w:tc>
          <w:tcPr>
            <w:tcW w:w="1218" w:type="dxa"/>
            <w:tcBorders>
              <w:top w:val="nil"/>
              <w:left w:val="nil"/>
              <w:bottom w:val="single" w:sz="4" w:space="0" w:color="auto"/>
              <w:right w:val="single" w:sz="4" w:space="0" w:color="auto"/>
            </w:tcBorders>
            <w:shd w:val="clear" w:color="auto" w:fill="FFFFFF" w:themeFill="background1"/>
            <w:vAlign w:val="center"/>
          </w:tcPr>
          <w:p w14:paraId="7F34788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1B019B4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6C99C26A" w14:textId="77777777" w:rsidTr="00AF5836">
        <w:trPr>
          <w:gridAfter w:val="2"/>
          <w:wAfter w:w="160" w:type="dxa"/>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1ED83448"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675A7B1B"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1531A98E"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2D4271E5"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left w:val="nil"/>
              <w:right w:val="single" w:sz="4" w:space="0" w:color="auto"/>
            </w:tcBorders>
            <w:shd w:val="clear" w:color="auto" w:fill="FFFFFF" w:themeFill="background1"/>
            <w:vAlign w:val="center"/>
          </w:tcPr>
          <w:p w14:paraId="691838B4"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61443B6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11A82C2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100-876: REGION MADRE DE DIOS-AGRICULTURA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7BB3659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454: Gobierno Regional del Departamento de Madre De Dios</w:t>
            </w:r>
          </w:p>
        </w:tc>
        <w:tc>
          <w:tcPr>
            <w:tcW w:w="1218" w:type="dxa"/>
            <w:tcBorders>
              <w:top w:val="nil"/>
              <w:left w:val="nil"/>
              <w:bottom w:val="single" w:sz="4" w:space="0" w:color="auto"/>
              <w:right w:val="single" w:sz="4" w:space="0" w:color="auto"/>
            </w:tcBorders>
            <w:shd w:val="clear" w:color="auto" w:fill="FFFFFF" w:themeFill="background1"/>
            <w:vAlign w:val="center"/>
          </w:tcPr>
          <w:p w14:paraId="2C4CD78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1AF60E9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0271A4DC" w14:textId="77777777" w:rsidTr="00AF5836">
        <w:trPr>
          <w:gridAfter w:val="2"/>
          <w:wAfter w:w="160" w:type="dxa"/>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61C4525E"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4398D5B6"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594B80BB"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40966910"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left w:val="nil"/>
              <w:right w:val="single" w:sz="4" w:space="0" w:color="auto"/>
            </w:tcBorders>
            <w:shd w:val="clear" w:color="auto" w:fill="FFFFFF" w:themeFill="background1"/>
            <w:vAlign w:val="center"/>
          </w:tcPr>
          <w:p w14:paraId="65497090"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4D7037C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6518A39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100-924: REGION SAN MARTIN-AGRICULTURA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7D497B1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459: Gobierno Regional del Departamento de San Martin</w:t>
            </w:r>
          </w:p>
        </w:tc>
        <w:tc>
          <w:tcPr>
            <w:tcW w:w="1218" w:type="dxa"/>
            <w:tcBorders>
              <w:top w:val="nil"/>
              <w:left w:val="nil"/>
              <w:bottom w:val="single" w:sz="4" w:space="0" w:color="auto"/>
              <w:right w:val="single" w:sz="4" w:space="0" w:color="auto"/>
            </w:tcBorders>
            <w:shd w:val="clear" w:color="auto" w:fill="FFFFFF" w:themeFill="background1"/>
            <w:vAlign w:val="center"/>
          </w:tcPr>
          <w:p w14:paraId="07046FB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503E55E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0766F069" w14:textId="77777777" w:rsidTr="00AF5836">
        <w:trPr>
          <w:gridAfter w:val="2"/>
          <w:wAfter w:w="160" w:type="dxa"/>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5CCE32A9"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6D7A53B6"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08EA678E"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23935E92"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left w:val="nil"/>
              <w:right w:val="single" w:sz="4" w:space="0" w:color="auto"/>
            </w:tcBorders>
            <w:shd w:val="clear" w:color="auto" w:fill="FFFFFF" w:themeFill="background1"/>
            <w:vAlign w:val="center"/>
          </w:tcPr>
          <w:p w14:paraId="679FD26A"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7958225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452B65A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100-937: REGION TUMBES-AGRICULTURA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2CE6F0D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461: Gobierno Regional del Departamento de Tumbes</w:t>
            </w:r>
          </w:p>
        </w:tc>
        <w:tc>
          <w:tcPr>
            <w:tcW w:w="1218" w:type="dxa"/>
            <w:tcBorders>
              <w:top w:val="nil"/>
              <w:left w:val="nil"/>
              <w:bottom w:val="single" w:sz="4" w:space="0" w:color="auto"/>
              <w:right w:val="single" w:sz="4" w:space="0" w:color="auto"/>
            </w:tcBorders>
            <w:shd w:val="clear" w:color="auto" w:fill="FFFFFF" w:themeFill="background1"/>
            <w:vAlign w:val="center"/>
          </w:tcPr>
          <w:p w14:paraId="32B30F2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1A59F05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417B385C" w14:textId="77777777" w:rsidTr="00AF5836">
        <w:trPr>
          <w:gridAfter w:val="2"/>
          <w:wAfter w:w="160" w:type="dxa"/>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1321B0B5"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0E84CAF3"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176A92CA"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bottom w:val="single" w:sz="4" w:space="0" w:color="auto"/>
              <w:right w:val="single" w:sz="4" w:space="0" w:color="auto"/>
            </w:tcBorders>
            <w:shd w:val="clear" w:color="auto" w:fill="FFFFFF" w:themeFill="background1"/>
            <w:vAlign w:val="center"/>
          </w:tcPr>
          <w:p w14:paraId="6E8DFFEF"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left w:val="nil"/>
              <w:bottom w:val="single" w:sz="4" w:space="0" w:color="auto"/>
              <w:right w:val="single" w:sz="4" w:space="0" w:color="auto"/>
            </w:tcBorders>
            <w:shd w:val="clear" w:color="auto" w:fill="FFFFFF" w:themeFill="background1"/>
            <w:vAlign w:val="center"/>
          </w:tcPr>
          <w:p w14:paraId="58A068A3"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1CDB15F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1BE5D1D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100-947: REGION UCAYALI-AGRICULTURA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5AB0C2C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462: Gobierno Regional del Departamento de Ucayali</w:t>
            </w:r>
          </w:p>
        </w:tc>
        <w:tc>
          <w:tcPr>
            <w:tcW w:w="1218" w:type="dxa"/>
            <w:tcBorders>
              <w:top w:val="nil"/>
              <w:left w:val="nil"/>
              <w:bottom w:val="single" w:sz="4" w:space="0" w:color="auto"/>
              <w:right w:val="single" w:sz="4" w:space="0" w:color="auto"/>
            </w:tcBorders>
            <w:shd w:val="clear" w:color="auto" w:fill="FFFFFF" w:themeFill="background1"/>
            <w:vAlign w:val="center"/>
          </w:tcPr>
          <w:p w14:paraId="4A2E498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6CC7A11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43B6D501" w14:textId="77777777" w:rsidTr="00AF5836">
        <w:trPr>
          <w:gridAfter w:val="2"/>
          <w:wAfter w:w="160" w:type="dxa"/>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F2DEEF9"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035A039"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4507568"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val="restart"/>
            <w:tcBorders>
              <w:top w:val="nil"/>
              <w:left w:val="nil"/>
              <w:right w:val="single" w:sz="4" w:space="0" w:color="auto"/>
            </w:tcBorders>
            <w:shd w:val="clear" w:color="auto" w:fill="FFFFFF" w:themeFill="background1"/>
            <w:vAlign w:val="center"/>
          </w:tcPr>
          <w:p w14:paraId="4DB51AA8" w14:textId="77777777" w:rsidR="00881C3C" w:rsidRPr="00846D49" w:rsidRDefault="00881C3C" w:rsidP="00AF5836">
            <w:pPr>
              <w:spacing w:after="0" w:line="240" w:lineRule="auto"/>
              <w:rPr>
                <w:rFonts w:ascii="Arial Narrow" w:eastAsia="Times New Roman" w:hAnsi="Arial Narrow"/>
                <w:strike/>
                <w:sz w:val="16"/>
                <w:szCs w:val="16"/>
              </w:rPr>
            </w:pPr>
            <w:r w:rsidRPr="00846D49">
              <w:rPr>
                <w:rFonts w:ascii="Arial Narrow" w:eastAsia="Times New Roman" w:hAnsi="Arial Narrow"/>
                <w:sz w:val="16"/>
                <w:szCs w:val="16"/>
              </w:rPr>
              <w:t xml:space="preserve">AO004.  Aprobación de Planes Generales de Manejo (Plan General de Manejo Forestal -PGMF, Plan Manejo Forestal Intermedio -PMFI, Plan de Manejo de Fauna Silvestre -PMFS, Plan Operativo de Bosques Locales, Plan de Manejo de Fauna Silvestre Simplificado -PMFSS, Declaración de Manejo -DEMA </w:t>
            </w:r>
            <w:r w:rsidRPr="00846D49">
              <w:rPr>
                <w:rFonts w:ascii="Arial Narrow" w:eastAsia="Times New Roman" w:hAnsi="Arial Narrow"/>
                <w:sz w:val="16"/>
                <w:szCs w:val="16"/>
              </w:rPr>
              <w:lastRenderedPageBreak/>
              <w:t>Forestales y de Fauna Silvestre, entre otros)</w:t>
            </w:r>
          </w:p>
        </w:tc>
        <w:tc>
          <w:tcPr>
            <w:tcW w:w="2233" w:type="dxa"/>
            <w:vMerge w:val="restart"/>
            <w:tcBorders>
              <w:top w:val="nil"/>
              <w:left w:val="nil"/>
              <w:right w:val="single" w:sz="4" w:space="0" w:color="auto"/>
            </w:tcBorders>
            <w:shd w:val="clear" w:color="auto" w:fill="FFFFFF" w:themeFill="background1"/>
            <w:vAlign w:val="center"/>
          </w:tcPr>
          <w:p w14:paraId="37CC6CE2"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lastRenderedPageBreak/>
              <w:t>Plan</w:t>
            </w:r>
          </w:p>
        </w:tc>
        <w:tc>
          <w:tcPr>
            <w:tcW w:w="1814" w:type="dxa"/>
            <w:tcBorders>
              <w:top w:val="nil"/>
              <w:left w:val="nil"/>
              <w:bottom w:val="single" w:sz="4" w:space="0" w:color="auto"/>
              <w:right w:val="single" w:sz="4" w:space="0" w:color="auto"/>
            </w:tcBorders>
            <w:shd w:val="clear" w:color="auto" w:fill="FFFFFF" w:themeFill="background1"/>
            <w:vAlign w:val="center"/>
          </w:tcPr>
          <w:p w14:paraId="3879E96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xml:space="preserve">Dirección de General de Gestión Sostenible del Patrimonio Forestal y de Fauna Silvestre </w:t>
            </w:r>
          </w:p>
          <w:p w14:paraId="37FAE875"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Administraciones Técnicas Forestales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2FB4AF84"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tcPr>
          <w:p w14:paraId="41BE1AB8"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tcPr>
          <w:p w14:paraId="3513CE6D"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tcPr>
          <w:p w14:paraId="53E2ED4F"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Gobierno Nacional</w:t>
            </w:r>
          </w:p>
        </w:tc>
      </w:tr>
      <w:tr w:rsidR="00846D49" w:rsidRPr="00846D49" w14:paraId="5D4AB92A" w14:textId="77777777" w:rsidTr="00AF5836">
        <w:trPr>
          <w:gridAfter w:val="2"/>
          <w:wAfter w:w="160" w:type="dxa"/>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8165104"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B2EF57F"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38CEA53"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500615E4"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left w:val="nil"/>
              <w:right w:val="single" w:sz="4" w:space="0" w:color="auto"/>
            </w:tcBorders>
            <w:shd w:val="clear" w:color="auto" w:fill="FFFFFF" w:themeFill="background1"/>
            <w:vAlign w:val="center"/>
          </w:tcPr>
          <w:p w14:paraId="1482BE52"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76CC183E"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0ECAF52B"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 xml:space="preserve">100-722: REGION AMAZONAS-AGRICULTURA </w:t>
            </w:r>
          </w:p>
        </w:tc>
        <w:tc>
          <w:tcPr>
            <w:tcW w:w="1560" w:type="dxa"/>
            <w:tcBorders>
              <w:top w:val="nil"/>
              <w:left w:val="nil"/>
              <w:bottom w:val="single" w:sz="4" w:space="0" w:color="auto"/>
              <w:right w:val="single" w:sz="4" w:space="0" w:color="auto"/>
            </w:tcBorders>
            <w:shd w:val="clear" w:color="auto" w:fill="FFFFFF" w:themeFill="background1"/>
            <w:vAlign w:val="center"/>
          </w:tcPr>
          <w:p w14:paraId="1B2C22CD"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hAnsi="Arial Narrow"/>
                <w:sz w:val="16"/>
                <w:szCs w:val="16"/>
              </w:rPr>
              <w:t>440: Gobierno Regional del Departamento de Amazonas</w:t>
            </w:r>
          </w:p>
        </w:tc>
        <w:tc>
          <w:tcPr>
            <w:tcW w:w="1218" w:type="dxa"/>
            <w:tcBorders>
              <w:top w:val="nil"/>
              <w:left w:val="nil"/>
              <w:bottom w:val="single" w:sz="4" w:space="0" w:color="auto"/>
              <w:right w:val="single" w:sz="4" w:space="0" w:color="auto"/>
            </w:tcBorders>
            <w:shd w:val="clear" w:color="auto" w:fill="FFFFFF" w:themeFill="background1"/>
            <w:vAlign w:val="center"/>
          </w:tcPr>
          <w:p w14:paraId="073FE473"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392BB850"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Gobierno Regional</w:t>
            </w:r>
          </w:p>
        </w:tc>
      </w:tr>
      <w:tr w:rsidR="00846D49" w:rsidRPr="00846D49" w14:paraId="34867413" w14:textId="77777777" w:rsidTr="00AF5836">
        <w:trPr>
          <w:gridAfter w:val="2"/>
          <w:wAfter w:w="160" w:type="dxa"/>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16AE73E0"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3DA01644"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418309E4"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5B1F4BD7"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left w:val="nil"/>
              <w:right w:val="single" w:sz="4" w:space="0" w:color="auto"/>
            </w:tcBorders>
            <w:shd w:val="clear" w:color="auto" w:fill="FFFFFF" w:themeFill="background1"/>
            <w:vAlign w:val="center"/>
          </w:tcPr>
          <w:p w14:paraId="5AAD530B"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4657A1F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2AED59D2"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100-771: REGION AYACUCHO-AGRICULTURA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6E9BA60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444: Gobierno Regional del Departamento de Ayacucho</w:t>
            </w:r>
          </w:p>
        </w:tc>
        <w:tc>
          <w:tcPr>
            <w:tcW w:w="1218" w:type="dxa"/>
            <w:tcBorders>
              <w:top w:val="nil"/>
              <w:left w:val="nil"/>
              <w:bottom w:val="single" w:sz="4" w:space="0" w:color="auto"/>
              <w:right w:val="single" w:sz="4" w:space="0" w:color="auto"/>
            </w:tcBorders>
            <w:shd w:val="clear" w:color="auto" w:fill="FFFFFF" w:themeFill="background1"/>
            <w:vAlign w:val="center"/>
          </w:tcPr>
          <w:p w14:paraId="643C509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78ECEE7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48BAE858" w14:textId="77777777" w:rsidTr="00AF5836">
        <w:trPr>
          <w:gridAfter w:val="2"/>
          <w:wAfter w:w="160" w:type="dxa"/>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251FD326"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50F40EE7"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3DEC934D"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37DBD394"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left w:val="nil"/>
              <w:right w:val="single" w:sz="4" w:space="0" w:color="auto"/>
            </w:tcBorders>
            <w:shd w:val="clear" w:color="auto" w:fill="FFFFFF" w:themeFill="background1"/>
            <w:vAlign w:val="center"/>
          </w:tcPr>
          <w:p w14:paraId="0750B01B"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3D80BF6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0F3B5964"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100-806: REGION HUANUCO-AGRICULTURA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72E100A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448: Gobierno Regional del Departamento de Huánuco</w:t>
            </w:r>
          </w:p>
        </w:tc>
        <w:tc>
          <w:tcPr>
            <w:tcW w:w="1218" w:type="dxa"/>
            <w:tcBorders>
              <w:top w:val="nil"/>
              <w:left w:val="nil"/>
              <w:bottom w:val="single" w:sz="4" w:space="0" w:color="auto"/>
              <w:right w:val="single" w:sz="4" w:space="0" w:color="auto"/>
            </w:tcBorders>
            <w:shd w:val="clear" w:color="auto" w:fill="FFFFFF" w:themeFill="background1"/>
            <w:vAlign w:val="center"/>
          </w:tcPr>
          <w:p w14:paraId="3CE40B9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139EA8B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65AEF7A0" w14:textId="77777777" w:rsidTr="00AF5836">
        <w:trPr>
          <w:gridAfter w:val="2"/>
          <w:wAfter w:w="160" w:type="dxa"/>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45704179"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7E8CA010"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73E56F3C"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43E94084"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left w:val="nil"/>
              <w:right w:val="single" w:sz="4" w:space="0" w:color="auto"/>
            </w:tcBorders>
            <w:shd w:val="clear" w:color="auto" w:fill="FFFFFF" w:themeFill="background1"/>
            <w:vAlign w:val="center"/>
          </w:tcPr>
          <w:p w14:paraId="665CDB32"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135205C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4CB54DE2"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100-832: REGION LA LIBERTAD-AGRICULTURA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6279AAB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451: Gobierno Regional del Departamento de La Libertad</w:t>
            </w:r>
          </w:p>
        </w:tc>
        <w:tc>
          <w:tcPr>
            <w:tcW w:w="1218" w:type="dxa"/>
            <w:tcBorders>
              <w:top w:val="nil"/>
              <w:left w:val="nil"/>
              <w:bottom w:val="single" w:sz="4" w:space="0" w:color="auto"/>
              <w:right w:val="single" w:sz="4" w:space="0" w:color="auto"/>
            </w:tcBorders>
            <w:shd w:val="clear" w:color="auto" w:fill="FFFFFF" w:themeFill="background1"/>
            <w:vAlign w:val="center"/>
          </w:tcPr>
          <w:p w14:paraId="709749F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76FD122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29F8C39C" w14:textId="77777777" w:rsidTr="00AF5836">
        <w:trPr>
          <w:gridAfter w:val="2"/>
          <w:wAfter w:w="160" w:type="dxa"/>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045EA6A5"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3E2BC289"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2FD2DD42"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477EFE80"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left w:val="nil"/>
              <w:right w:val="single" w:sz="4" w:space="0" w:color="auto"/>
            </w:tcBorders>
            <w:shd w:val="clear" w:color="auto" w:fill="FFFFFF" w:themeFill="background1"/>
            <w:vAlign w:val="center"/>
          </w:tcPr>
          <w:p w14:paraId="6DF63FF3"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1B004A1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7527DF52"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100-865: REGION LORETO-AGRICULTURA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15AF541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453: Gobierno Regional del Departamento de Loreto</w:t>
            </w:r>
          </w:p>
        </w:tc>
        <w:tc>
          <w:tcPr>
            <w:tcW w:w="1218" w:type="dxa"/>
            <w:tcBorders>
              <w:top w:val="nil"/>
              <w:left w:val="nil"/>
              <w:bottom w:val="single" w:sz="4" w:space="0" w:color="auto"/>
              <w:right w:val="single" w:sz="4" w:space="0" w:color="auto"/>
            </w:tcBorders>
            <w:shd w:val="clear" w:color="auto" w:fill="FFFFFF" w:themeFill="background1"/>
            <w:vAlign w:val="center"/>
          </w:tcPr>
          <w:p w14:paraId="023A91D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1BF891A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60FB0E04" w14:textId="77777777" w:rsidTr="00AF5836">
        <w:trPr>
          <w:gridAfter w:val="2"/>
          <w:wAfter w:w="160" w:type="dxa"/>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4774FF87"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6E7BBF4C"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1C66BDF9"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2C92BA92"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left w:val="nil"/>
              <w:right w:val="single" w:sz="4" w:space="0" w:color="auto"/>
            </w:tcBorders>
            <w:shd w:val="clear" w:color="auto" w:fill="FFFFFF" w:themeFill="background1"/>
            <w:vAlign w:val="center"/>
          </w:tcPr>
          <w:p w14:paraId="140C46F6"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360B0FA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6163592B"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100-876: REGION MADRE DE DIOS-AGRICULTURA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3B60C3F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454: Gobierno Regional del Departamento de Madre De Dios</w:t>
            </w:r>
          </w:p>
        </w:tc>
        <w:tc>
          <w:tcPr>
            <w:tcW w:w="1218" w:type="dxa"/>
            <w:tcBorders>
              <w:top w:val="nil"/>
              <w:left w:val="nil"/>
              <w:bottom w:val="single" w:sz="4" w:space="0" w:color="auto"/>
              <w:right w:val="single" w:sz="4" w:space="0" w:color="auto"/>
            </w:tcBorders>
            <w:shd w:val="clear" w:color="auto" w:fill="FFFFFF" w:themeFill="background1"/>
            <w:vAlign w:val="center"/>
          </w:tcPr>
          <w:p w14:paraId="0A4B233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7F93B7B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49690BFE" w14:textId="77777777" w:rsidTr="00AF5836">
        <w:trPr>
          <w:gridAfter w:val="2"/>
          <w:wAfter w:w="160" w:type="dxa"/>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1A558E17"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5F38CBA4"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20E930C4"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2D008F0B"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left w:val="nil"/>
              <w:right w:val="single" w:sz="4" w:space="0" w:color="auto"/>
            </w:tcBorders>
            <w:shd w:val="clear" w:color="auto" w:fill="FFFFFF" w:themeFill="background1"/>
            <w:vAlign w:val="center"/>
          </w:tcPr>
          <w:p w14:paraId="097C698C"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04E9DD7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1AE16A75"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100-924: REGION SAN MARTIN-AGRICULTURA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54BDD0A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459: Gobierno Regional del Departamento de San Martin</w:t>
            </w:r>
          </w:p>
        </w:tc>
        <w:tc>
          <w:tcPr>
            <w:tcW w:w="1218" w:type="dxa"/>
            <w:tcBorders>
              <w:top w:val="nil"/>
              <w:left w:val="nil"/>
              <w:bottom w:val="single" w:sz="4" w:space="0" w:color="auto"/>
              <w:right w:val="single" w:sz="4" w:space="0" w:color="auto"/>
            </w:tcBorders>
            <w:shd w:val="clear" w:color="auto" w:fill="FFFFFF" w:themeFill="background1"/>
            <w:vAlign w:val="center"/>
          </w:tcPr>
          <w:p w14:paraId="10F9D7A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5BD304B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1641F472" w14:textId="77777777" w:rsidTr="00AF5836">
        <w:trPr>
          <w:gridAfter w:val="2"/>
          <w:wAfter w:w="160" w:type="dxa"/>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5DFDE07F"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6F9A3E14"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0B4C6C38"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0DE06A00"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left w:val="nil"/>
              <w:right w:val="single" w:sz="4" w:space="0" w:color="auto"/>
            </w:tcBorders>
            <w:shd w:val="clear" w:color="auto" w:fill="FFFFFF" w:themeFill="background1"/>
            <w:vAlign w:val="center"/>
          </w:tcPr>
          <w:p w14:paraId="754F4AAD"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7DF0D66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1B5DAACC"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100-937: REGION TUMBES-AGRICULTURA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736E204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461: Gobierno Regional del Departamento de Tumbes</w:t>
            </w:r>
          </w:p>
        </w:tc>
        <w:tc>
          <w:tcPr>
            <w:tcW w:w="1218" w:type="dxa"/>
            <w:tcBorders>
              <w:top w:val="nil"/>
              <w:left w:val="nil"/>
              <w:bottom w:val="single" w:sz="4" w:space="0" w:color="auto"/>
              <w:right w:val="single" w:sz="4" w:space="0" w:color="auto"/>
            </w:tcBorders>
            <w:shd w:val="clear" w:color="auto" w:fill="FFFFFF" w:themeFill="background1"/>
            <w:vAlign w:val="center"/>
          </w:tcPr>
          <w:p w14:paraId="62DA6C7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7080BF9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2AE330D0" w14:textId="77777777" w:rsidTr="00AF5836">
        <w:trPr>
          <w:gridAfter w:val="2"/>
          <w:wAfter w:w="160" w:type="dxa"/>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7B4B7A13"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199721BE"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55F62CCC"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bottom w:val="single" w:sz="4" w:space="0" w:color="auto"/>
              <w:right w:val="single" w:sz="4" w:space="0" w:color="auto"/>
            </w:tcBorders>
            <w:shd w:val="clear" w:color="auto" w:fill="FFFFFF" w:themeFill="background1"/>
            <w:vAlign w:val="center"/>
          </w:tcPr>
          <w:p w14:paraId="60215F7B"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left w:val="nil"/>
              <w:bottom w:val="single" w:sz="4" w:space="0" w:color="auto"/>
              <w:right w:val="single" w:sz="4" w:space="0" w:color="auto"/>
            </w:tcBorders>
            <w:shd w:val="clear" w:color="auto" w:fill="FFFFFF" w:themeFill="background1"/>
            <w:vAlign w:val="center"/>
          </w:tcPr>
          <w:p w14:paraId="7B58D58F"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1A05D40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6CA3B46E"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100-947: REGION UCAYALI-AGRICULTURA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5F4DE06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462: Gobierno Regional del Departamento de Ucayali</w:t>
            </w:r>
          </w:p>
        </w:tc>
        <w:tc>
          <w:tcPr>
            <w:tcW w:w="1218" w:type="dxa"/>
            <w:tcBorders>
              <w:top w:val="nil"/>
              <w:left w:val="nil"/>
              <w:bottom w:val="single" w:sz="4" w:space="0" w:color="auto"/>
              <w:right w:val="single" w:sz="4" w:space="0" w:color="auto"/>
            </w:tcBorders>
            <w:shd w:val="clear" w:color="auto" w:fill="FFFFFF" w:themeFill="background1"/>
            <w:vAlign w:val="center"/>
          </w:tcPr>
          <w:p w14:paraId="49A61CB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04A78D4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0B05257F" w14:textId="77777777" w:rsidTr="00AF5836">
        <w:trPr>
          <w:gridAfter w:val="2"/>
          <w:wAfter w:w="160" w:type="dxa"/>
          <w:trHeight w:val="77"/>
        </w:trPr>
        <w:tc>
          <w:tcPr>
            <w:tcW w:w="384" w:type="dxa"/>
            <w:tcBorders>
              <w:top w:val="nil"/>
              <w:left w:val="single" w:sz="4" w:space="0" w:color="auto"/>
              <w:bottom w:val="single" w:sz="4" w:space="0" w:color="auto"/>
              <w:right w:val="single" w:sz="4" w:space="0" w:color="auto"/>
            </w:tcBorders>
            <w:shd w:val="clear" w:color="auto" w:fill="FFFFFF" w:themeFill="background1"/>
            <w:vAlign w:val="center"/>
            <w:hideMark/>
          </w:tcPr>
          <w:p w14:paraId="68D45D7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w:t>
            </w:r>
          </w:p>
        </w:tc>
        <w:tc>
          <w:tcPr>
            <w:tcW w:w="1693" w:type="dxa"/>
            <w:tcBorders>
              <w:top w:val="nil"/>
              <w:left w:val="nil"/>
              <w:bottom w:val="single" w:sz="4" w:space="0" w:color="auto"/>
              <w:right w:val="single" w:sz="4" w:space="0" w:color="auto"/>
            </w:tcBorders>
            <w:shd w:val="clear" w:color="auto" w:fill="FFFFFF" w:themeFill="background1"/>
            <w:vAlign w:val="center"/>
            <w:hideMark/>
          </w:tcPr>
          <w:p w14:paraId="3613CB58"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L1.6 Fomentar el aprovechamiento sostenible de los recursos forestales y de fauna silvestre</w:t>
            </w:r>
          </w:p>
        </w:tc>
        <w:tc>
          <w:tcPr>
            <w:tcW w:w="1800" w:type="dxa"/>
            <w:tcBorders>
              <w:top w:val="nil"/>
              <w:left w:val="nil"/>
              <w:bottom w:val="single" w:sz="4" w:space="0" w:color="auto"/>
              <w:right w:val="single" w:sz="4" w:space="0" w:color="auto"/>
            </w:tcBorders>
            <w:shd w:val="clear" w:color="auto" w:fill="FFFFFF" w:themeFill="background1"/>
            <w:vAlign w:val="center"/>
            <w:hideMark/>
          </w:tcPr>
          <w:p w14:paraId="306CD2A0"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S1.6.4 Otorgamiento de derechos para el aprovechamiento sostenible de los recursos forestales, flora y fauna silvestre en Áreas Naturales Protegidas de administración nacional de forma oportuna dirigido a los usuarios forestales, flora y de fauna silvestre</w:t>
            </w: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59D90DEE"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AO001.  Otorgamiento y renovación de derechos para el aprovechamiento de recursos renovables en Áreas Naturales Protegidas</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76F83A1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Hectárea</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2BD8EA3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Unidad Operativa Funcional de Manejo de Recursos de la Dirección de Gestión de las Áreas Naturales Protegidas UOFMR-DGANP</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3B9DBE1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001-1309: Servicio Nacional de Áreas Naturales Protegidas por El Estado - SERNANP</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2D92FD4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050: Servicio Nacional de Áreas Naturales Protegidas por El Estado - SERNANP</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7B0A929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05: Ambiental</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5FA6548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62FB3CCA" w14:textId="77777777" w:rsidTr="00AF5836">
        <w:trPr>
          <w:gridAfter w:val="2"/>
          <w:wAfter w:w="160" w:type="dxa"/>
          <w:trHeight w:val="1785"/>
        </w:trPr>
        <w:tc>
          <w:tcPr>
            <w:tcW w:w="384" w:type="dxa"/>
            <w:tcBorders>
              <w:top w:val="nil"/>
              <w:left w:val="single" w:sz="4" w:space="0" w:color="auto"/>
              <w:bottom w:val="single" w:sz="4" w:space="0" w:color="auto"/>
              <w:right w:val="single" w:sz="4" w:space="0" w:color="auto"/>
            </w:tcBorders>
            <w:shd w:val="clear" w:color="auto" w:fill="auto"/>
            <w:vAlign w:val="center"/>
            <w:hideMark/>
          </w:tcPr>
          <w:p w14:paraId="5F7C2EE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lastRenderedPageBreak/>
              <w:t>17</w:t>
            </w:r>
          </w:p>
        </w:tc>
        <w:tc>
          <w:tcPr>
            <w:tcW w:w="1693" w:type="dxa"/>
            <w:tcBorders>
              <w:top w:val="nil"/>
              <w:left w:val="nil"/>
              <w:bottom w:val="single" w:sz="4" w:space="0" w:color="auto"/>
              <w:right w:val="single" w:sz="4" w:space="0" w:color="auto"/>
            </w:tcBorders>
            <w:shd w:val="clear" w:color="auto" w:fill="auto"/>
            <w:vAlign w:val="center"/>
            <w:hideMark/>
          </w:tcPr>
          <w:p w14:paraId="3A2170B3"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L1.6 Fomentar el aprovechamiento sostenible de los recursos forestales y de fauna silvestre</w:t>
            </w:r>
          </w:p>
        </w:tc>
        <w:tc>
          <w:tcPr>
            <w:tcW w:w="1800" w:type="dxa"/>
            <w:tcBorders>
              <w:top w:val="nil"/>
              <w:left w:val="nil"/>
              <w:bottom w:val="single" w:sz="4" w:space="0" w:color="auto"/>
              <w:right w:val="single" w:sz="4" w:space="0" w:color="auto"/>
            </w:tcBorders>
            <w:shd w:val="clear" w:color="auto" w:fill="auto"/>
            <w:vAlign w:val="center"/>
            <w:hideMark/>
          </w:tcPr>
          <w:p w14:paraId="2FED4FC1"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S1.6.5 Licenciamiento del uso de la marca “Aliado por la Conservación” de forma oportuna a los titulares de derechos de aprovechamiento de recursos forestales, flora y fauna silvestre en Áreas Naturales Protegidas de administración nacional.</w:t>
            </w:r>
          </w:p>
        </w:tc>
        <w:tc>
          <w:tcPr>
            <w:tcW w:w="2143" w:type="dxa"/>
            <w:tcBorders>
              <w:top w:val="nil"/>
              <w:left w:val="nil"/>
              <w:bottom w:val="single" w:sz="4" w:space="0" w:color="auto"/>
              <w:right w:val="single" w:sz="4" w:space="0" w:color="auto"/>
            </w:tcBorders>
            <w:shd w:val="clear" w:color="auto" w:fill="auto"/>
            <w:vAlign w:val="center"/>
            <w:hideMark/>
          </w:tcPr>
          <w:p w14:paraId="3E1978F4"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AO001.   Licenciamiento de la marca Aliado por la Conservación a beneficiarios de los recursos naturales de las ANP</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7241FA4F"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Hectárea</w:t>
            </w:r>
          </w:p>
        </w:tc>
        <w:tc>
          <w:tcPr>
            <w:tcW w:w="1814" w:type="dxa"/>
            <w:tcBorders>
              <w:top w:val="nil"/>
              <w:left w:val="nil"/>
              <w:bottom w:val="single" w:sz="4" w:space="0" w:color="auto"/>
              <w:right w:val="single" w:sz="4" w:space="0" w:color="auto"/>
            </w:tcBorders>
            <w:shd w:val="clear" w:color="auto" w:fill="auto"/>
            <w:vAlign w:val="center"/>
            <w:hideMark/>
          </w:tcPr>
          <w:p w14:paraId="682CA87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Gestión de las Áreas Naturales Protegidas-DGANP</w:t>
            </w:r>
          </w:p>
        </w:tc>
        <w:tc>
          <w:tcPr>
            <w:tcW w:w="1553" w:type="dxa"/>
            <w:tcBorders>
              <w:top w:val="nil"/>
              <w:left w:val="nil"/>
              <w:bottom w:val="single" w:sz="4" w:space="0" w:color="auto"/>
              <w:right w:val="single" w:sz="4" w:space="0" w:color="auto"/>
            </w:tcBorders>
            <w:shd w:val="clear" w:color="auto" w:fill="auto"/>
            <w:vAlign w:val="center"/>
            <w:hideMark/>
          </w:tcPr>
          <w:p w14:paraId="1447387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001-1309: Servicio Nacional de Áreas Naturales Protegidas por El Estado - SERNANP</w:t>
            </w:r>
          </w:p>
        </w:tc>
        <w:tc>
          <w:tcPr>
            <w:tcW w:w="1560" w:type="dxa"/>
            <w:tcBorders>
              <w:top w:val="nil"/>
              <w:left w:val="nil"/>
              <w:bottom w:val="single" w:sz="4" w:space="0" w:color="auto"/>
              <w:right w:val="single" w:sz="4" w:space="0" w:color="auto"/>
            </w:tcBorders>
            <w:shd w:val="clear" w:color="auto" w:fill="auto"/>
            <w:vAlign w:val="center"/>
            <w:hideMark/>
          </w:tcPr>
          <w:p w14:paraId="0B4D19C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050: Servicio Nacional de Áreas Naturales Protegidas por El Estado - SERNANP</w:t>
            </w:r>
          </w:p>
        </w:tc>
        <w:tc>
          <w:tcPr>
            <w:tcW w:w="1218" w:type="dxa"/>
            <w:tcBorders>
              <w:top w:val="nil"/>
              <w:left w:val="nil"/>
              <w:bottom w:val="single" w:sz="4" w:space="0" w:color="auto"/>
              <w:right w:val="single" w:sz="4" w:space="0" w:color="auto"/>
            </w:tcBorders>
            <w:shd w:val="clear" w:color="auto" w:fill="auto"/>
            <w:vAlign w:val="center"/>
            <w:hideMark/>
          </w:tcPr>
          <w:p w14:paraId="27E288C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05: Ambiental</w:t>
            </w:r>
          </w:p>
        </w:tc>
        <w:tc>
          <w:tcPr>
            <w:tcW w:w="1373" w:type="dxa"/>
            <w:tcBorders>
              <w:top w:val="nil"/>
              <w:left w:val="nil"/>
              <w:bottom w:val="single" w:sz="4" w:space="0" w:color="auto"/>
              <w:right w:val="single" w:sz="4" w:space="0" w:color="auto"/>
            </w:tcBorders>
            <w:shd w:val="clear" w:color="auto" w:fill="auto"/>
            <w:vAlign w:val="center"/>
            <w:hideMark/>
          </w:tcPr>
          <w:p w14:paraId="38A6684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681FCE66" w14:textId="77777777" w:rsidTr="00AF5836">
        <w:trPr>
          <w:gridAfter w:val="2"/>
          <w:wAfter w:w="160" w:type="dxa"/>
          <w:trHeight w:val="1785"/>
        </w:trPr>
        <w:tc>
          <w:tcPr>
            <w:tcW w:w="384" w:type="dxa"/>
            <w:tcBorders>
              <w:top w:val="nil"/>
              <w:left w:val="single" w:sz="4" w:space="0" w:color="auto"/>
              <w:bottom w:val="single" w:sz="4" w:space="0" w:color="auto"/>
              <w:right w:val="single" w:sz="4" w:space="0" w:color="auto"/>
            </w:tcBorders>
            <w:shd w:val="clear" w:color="auto" w:fill="auto"/>
            <w:vAlign w:val="center"/>
          </w:tcPr>
          <w:p w14:paraId="5B57F8C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18</w:t>
            </w:r>
          </w:p>
        </w:tc>
        <w:tc>
          <w:tcPr>
            <w:tcW w:w="1693" w:type="dxa"/>
            <w:tcBorders>
              <w:top w:val="nil"/>
              <w:left w:val="nil"/>
              <w:bottom w:val="single" w:sz="4" w:space="0" w:color="auto"/>
              <w:right w:val="single" w:sz="4" w:space="0" w:color="auto"/>
            </w:tcBorders>
            <w:shd w:val="clear" w:color="auto" w:fill="auto"/>
            <w:vAlign w:val="center"/>
          </w:tcPr>
          <w:p w14:paraId="58F003F8"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L1.6 Fomentar el aprovechamiento sostenible de los recursos forestales y de fauna silvestre</w:t>
            </w:r>
          </w:p>
        </w:tc>
        <w:tc>
          <w:tcPr>
            <w:tcW w:w="1800" w:type="dxa"/>
            <w:tcBorders>
              <w:top w:val="nil"/>
              <w:left w:val="nil"/>
              <w:bottom w:val="single" w:sz="4" w:space="0" w:color="auto"/>
              <w:right w:val="single" w:sz="4" w:space="0" w:color="auto"/>
            </w:tcBorders>
            <w:shd w:val="clear" w:color="auto" w:fill="auto"/>
            <w:vAlign w:val="center"/>
          </w:tcPr>
          <w:p w14:paraId="0AD52FD7"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S1.6.6 Fortalecimiento de capacidades en sistemas de manejo para la producción sostenible de recursos forestales y de fauna silvestre amazónica de forma satisfactoria a usuarios forestales y de fauna silvestre y entidades públicas.</w:t>
            </w:r>
          </w:p>
        </w:tc>
        <w:tc>
          <w:tcPr>
            <w:tcW w:w="2143" w:type="dxa"/>
            <w:tcBorders>
              <w:top w:val="nil"/>
              <w:left w:val="nil"/>
              <w:bottom w:val="single" w:sz="4" w:space="0" w:color="auto"/>
              <w:right w:val="single" w:sz="4" w:space="0" w:color="auto"/>
            </w:tcBorders>
            <w:shd w:val="clear" w:color="auto" w:fill="auto"/>
            <w:vAlign w:val="center"/>
          </w:tcPr>
          <w:p w14:paraId="2F99106A"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 AO001. Capacitación en desarrollo socio productivo y ambiental de la amazonia</w:t>
            </w:r>
          </w:p>
        </w:tc>
        <w:tc>
          <w:tcPr>
            <w:tcW w:w="2233" w:type="dxa"/>
            <w:tcBorders>
              <w:top w:val="nil"/>
              <w:left w:val="nil"/>
              <w:bottom w:val="single" w:sz="4" w:space="0" w:color="auto"/>
              <w:right w:val="single" w:sz="4" w:space="0" w:color="auto"/>
            </w:tcBorders>
            <w:shd w:val="clear" w:color="auto" w:fill="FFFFFF" w:themeFill="background1"/>
            <w:vAlign w:val="center"/>
          </w:tcPr>
          <w:p w14:paraId="1E178D0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Persona capacitada</w:t>
            </w:r>
          </w:p>
        </w:tc>
        <w:tc>
          <w:tcPr>
            <w:tcW w:w="1814" w:type="dxa"/>
            <w:tcBorders>
              <w:top w:val="nil"/>
              <w:left w:val="nil"/>
              <w:bottom w:val="single" w:sz="4" w:space="0" w:color="auto"/>
              <w:right w:val="single" w:sz="4" w:space="0" w:color="auto"/>
            </w:tcBorders>
            <w:shd w:val="clear" w:color="auto" w:fill="auto"/>
            <w:vAlign w:val="center"/>
          </w:tcPr>
          <w:p w14:paraId="0889E2D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investigación en Información y Gestión del Conocimiento.</w:t>
            </w:r>
          </w:p>
        </w:tc>
        <w:tc>
          <w:tcPr>
            <w:tcW w:w="1553" w:type="dxa"/>
            <w:tcBorders>
              <w:top w:val="nil"/>
              <w:left w:val="nil"/>
              <w:bottom w:val="single" w:sz="4" w:space="0" w:color="auto"/>
              <w:right w:val="single" w:sz="4" w:space="0" w:color="auto"/>
            </w:tcBorders>
            <w:shd w:val="clear" w:color="auto" w:fill="auto"/>
            <w:vAlign w:val="center"/>
          </w:tcPr>
          <w:p w14:paraId="2CD02CC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001-53: Instituto De Investigaciones de la Amazonia Peruana</w:t>
            </w:r>
          </w:p>
        </w:tc>
        <w:tc>
          <w:tcPr>
            <w:tcW w:w="1560" w:type="dxa"/>
            <w:tcBorders>
              <w:top w:val="nil"/>
              <w:left w:val="nil"/>
              <w:bottom w:val="single" w:sz="4" w:space="0" w:color="auto"/>
              <w:right w:val="single" w:sz="4" w:space="0" w:color="auto"/>
            </w:tcBorders>
            <w:shd w:val="clear" w:color="auto" w:fill="auto"/>
            <w:vAlign w:val="center"/>
          </w:tcPr>
          <w:p w14:paraId="4952532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055: Instituto De Investigaciones de la Amazonia Peruana</w:t>
            </w:r>
          </w:p>
        </w:tc>
        <w:tc>
          <w:tcPr>
            <w:tcW w:w="1218" w:type="dxa"/>
            <w:tcBorders>
              <w:top w:val="nil"/>
              <w:left w:val="nil"/>
              <w:bottom w:val="single" w:sz="4" w:space="0" w:color="auto"/>
              <w:right w:val="single" w:sz="4" w:space="0" w:color="auto"/>
            </w:tcBorders>
            <w:shd w:val="clear" w:color="auto" w:fill="auto"/>
            <w:vAlign w:val="center"/>
          </w:tcPr>
          <w:p w14:paraId="764D44A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05: Ambiental</w:t>
            </w:r>
          </w:p>
        </w:tc>
        <w:tc>
          <w:tcPr>
            <w:tcW w:w="1373" w:type="dxa"/>
            <w:tcBorders>
              <w:top w:val="nil"/>
              <w:left w:val="nil"/>
              <w:bottom w:val="single" w:sz="4" w:space="0" w:color="auto"/>
              <w:right w:val="single" w:sz="4" w:space="0" w:color="auto"/>
            </w:tcBorders>
            <w:shd w:val="clear" w:color="auto" w:fill="auto"/>
            <w:vAlign w:val="center"/>
          </w:tcPr>
          <w:p w14:paraId="0D50999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45F31DA1" w14:textId="77777777" w:rsidTr="00AF5836">
        <w:trPr>
          <w:gridAfter w:val="2"/>
          <w:wAfter w:w="160" w:type="dxa"/>
          <w:trHeight w:val="765"/>
        </w:trPr>
        <w:tc>
          <w:tcPr>
            <w:tcW w:w="384"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273E1BE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19</w:t>
            </w:r>
          </w:p>
        </w:tc>
        <w:tc>
          <w:tcPr>
            <w:tcW w:w="1693"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14C09E79"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L1.7 Fomentar la conservación y aprovechamiento sostenible de la vicuña como una prioridad estratégica para el desarrollo sostenible de las poblaciones altoandinas.</w:t>
            </w:r>
          </w:p>
        </w:tc>
        <w:tc>
          <w:tcPr>
            <w:tcW w:w="180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3C8C349D"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S1.7.1. Otorgamiento de derechos para el aprovechamiento sostenible de la vicuña de forma oportuna para las personas naturales o jurídicas</w:t>
            </w: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69CB4EC3"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AO001.  Otorgamiento de derechos para la conservación y aprovechamiento de la vicuña, su fibra y sus hábitats.</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379985F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Persona</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17B59A5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Gestión Sostenible del Patrimonio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2CEDEEB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3EECB64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1A19B80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67B5D68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37A8011E" w14:textId="77777777" w:rsidTr="00AF5836">
        <w:trPr>
          <w:gridAfter w:val="2"/>
          <w:wAfter w:w="160" w:type="dxa"/>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AC4929E"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23964CF"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EDD0F85"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31A9559C"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AO002.  Capacitación a nuevos manejadores de fauna silvestre en la cadena productiva de la fibra de vicuña.</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484608A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Persona</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41C5E2D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Gestión Sostenible del Patrimonio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5F9CA14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16E42A1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4A2E78A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73D7C4D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3BD14B9B" w14:textId="77777777" w:rsidTr="00AF5836">
        <w:trPr>
          <w:gridAfter w:val="2"/>
          <w:wAfter w:w="160" w:type="dxa"/>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33FA39B"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B7444A0"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679ADBB"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750A9F4B"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AO003. Seguimiento y monitoreo a las declaraciones de manejo de Camélidos Sudamericanos (Vicuñas).</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338E019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Inspección</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69DF2BA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Administraciones Técnicas Forestales y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319AC24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191B9CA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5356308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2C906DC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7909A533" w14:textId="77777777" w:rsidTr="00AF5836">
        <w:trPr>
          <w:gridAfter w:val="2"/>
          <w:wAfter w:w="160" w:type="dxa"/>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74E55FE"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345E590"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B849B8D"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5950730C"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AO004. Aprobación de Declaraciones de Manejo (DEMA) para aprovechamiento de camélidos sudamericanos.</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7E5A72E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Documento</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6EF6855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Administraciones Técnicas Forestales y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026760C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52F7C4D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06469E0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5E297F6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294BA05C" w14:textId="77777777" w:rsidTr="00AF5836">
        <w:trPr>
          <w:gridAfter w:val="2"/>
          <w:wAfter w:w="160" w:type="dxa"/>
          <w:trHeight w:val="765"/>
        </w:trPr>
        <w:tc>
          <w:tcPr>
            <w:tcW w:w="384" w:type="dxa"/>
            <w:tcBorders>
              <w:top w:val="nil"/>
              <w:left w:val="single" w:sz="4" w:space="0" w:color="auto"/>
              <w:bottom w:val="single" w:sz="4" w:space="0" w:color="auto"/>
              <w:right w:val="single" w:sz="4" w:space="0" w:color="auto"/>
            </w:tcBorders>
            <w:shd w:val="clear" w:color="auto" w:fill="FFFFFF" w:themeFill="background1"/>
            <w:vAlign w:val="center"/>
            <w:hideMark/>
          </w:tcPr>
          <w:p w14:paraId="02138F5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lastRenderedPageBreak/>
              <w:t>20</w:t>
            </w:r>
          </w:p>
        </w:tc>
        <w:tc>
          <w:tcPr>
            <w:tcW w:w="1693" w:type="dxa"/>
            <w:tcBorders>
              <w:top w:val="nil"/>
              <w:left w:val="single" w:sz="4" w:space="0" w:color="auto"/>
              <w:bottom w:val="single" w:sz="4" w:space="0" w:color="auto"/>
              <w:right w:val="single" w:sz="4" w:space="0" w:color="auto"/>
            </w:tcBorders>
            <w:shd w:val="clear" w:color="auto" w:fill="FFFFFF" w:themeFill="background1"/>
            <w:vAlign w:val="center"/>
            <w:hideMark/>
          </w:tcPr>
          <w:p w14:paraId="436FA3C0"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L1.7 Fomentar la conservación y aprovechamiento sostenible de la vicuña como una prioridad estratégica para el desarrollo sostenible de las poblaciones altoandinas</w:t>
            </w:r>
          </w:p>
        </w:tc>
        <w:tc>
          <w:tcPr>
            <w:tcW w:w="1800" w:type="dxa"/>
            <w:tcBorders>
              <w:top w:val="nil"/>
              <w:left w:val="single" w:sz="4" w:space="0" w:color="auto"/>
              <w:bottom w:val="single" w:sz="4" w:space="0" w:color="auto"/>
              <w:right w:val="single" w:sz="4" w:space="0" w:color="auto"/>
            </w:tcBorders>
            <w:shd w:val="clear" w:color="auto" w:fill="FFFFFF" w:themeFill="background1"/>
            <w:vAlign w:val="center"/>
            <w:hideMark/>
          </w:tcPr>
          <w:p w14:paraId="2CE9C2BD"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S1.7.2 Promoción de la oferta exportable de prendas de vestir, accesorios y textiles del hogar confeccionados con fibra de vicuña de forma oportuna para beneficio de las empresas comercializadoras de productos de fibra de vicuña.</w:t>
            </w: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1EE089CE"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AO001. Participación de la oferta exportable calificada en plataforma comercial especializada como Perú Moda</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27135FB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Persona</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2D4B5B4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Promoción de las Exportaciones</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3EF87E7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001-11: Comisión de promoción del Perú para la Exportación y el Turismo - PROMPERU</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5E1786D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008: Comisión de promoción del Perú para la Exportación y el Turismo - PROMPERU</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479E005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Comercio Exterior y Turismo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137FCF9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5720E298" w14:textId="77777777" w:rsidTr="00AF5836">
        <w:trPr>
          <w:gridAfter w:val="2"/>
          <w:wAfter w:w="160" w:type="dxa"/>
          <w:trHeight w:val="292"/>
        </w:trPr>
        <w:tc>
          <w:tcPr>
            <w:tcW w:w="384" w:type="dxa"/>
            <w:tcBorders>
              <w:top w:val="nil"/>
              <w:left w:val="single" w:sz="4" w:space="0" w:color="auto"/>
              <w:bottom w:val="single" w:sz="4" w:space="0" w:color="auto"/>
              <w:right w:val="single" w:sz="4" w:space="0" w:color="auto"/>
            </w:tcBorders>
            <w:shd w:val="clear" w:color="auto" w:fill="FFFFFF" w:themeFill="background1"/>
            <w:vAlign w:val="center"/>
            <w:hideMark/>
          </w:tcPr>
          <w:p w14:paraId="5553AE5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21</w:t>
            </w:r>
          </w:p>
        </w:tc>
        <w:tc>
          <w:tcPr>
            <w:tcW w:w="1693" w:type="dxa"/>
            <w:tcBorders>
              <w:top w:val="nil"/>
              <w:left w:val="nil"/>
              <w:bottom w:val="single" w:sz="4" w:space="0" w:color="auto"/>
              <w:right w:val="single" w:sz="4" w:space="0" w:color="auto"/>
            </w:tcBorders>
            <w:shd w:val="clear" w:color="auto" w:fill="FFFFFF" w:themeFill="background1"/>
            <w:vAlign w:val="center"/>
            <w:hideMark/>
          </w:tcPr>
          <w:p w14:paraId="0654B719"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L1.7 Fomentar la conservación y aprovechamiento sostenible de la vicuña como una prioridad estratégica para el desarrollo sostenible de las poblaciones altoandinas.</w:t>
            </w:r>
          </w:p>
        </w:tc>
        <w:tc>
          <w:tcPr>
            <w:tcW w:w="1800" w:type="dxa"/>
            <w:tcBorders>
              <w:top w:val="nil"/>
              <w:left w:val="nil"/>
              <w:bottom w:val="single" w:sz="4" w:space="0" w:color="auto"/>
              <w:right w:val="single" w:sz="4" w:space="0" w:color="auto"/>
            </w:tcBorders>
            <w:shd w:val="clear" w:color="auto" w:fill="FFFFFF" w:themeFill="background1"/>
            <w:vAlign w:val="center"/>
            <w:hideMark/>
          </w:tcPr>
          <w:p w14:paraId="7B00EBFB"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S1.7.3 Fortalecimiento de capacidades sobre el aprovechamiento sostenible de la vicuña de forma satisfactoria a los titulares de manejo, gobiernos regionales y Administraciones Técnicas Forestales y de Fauna Silvestre.</w:t>
            </w: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6D69FB56"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AO001.</w:t>
            </w:r>
            <w:r w:rsidRPr="00846D49">
              <w:t xml:space="preserve"> </w:t>
            </w:r>
            <w:r w:rsidRPr="00846D49">
              <w:rPr>
                <w:rFonts w:ascii="Arial Narrow" w:eastAsia="Times New Roman" w:hAnsi="Arial Narrow"/>
                <w:sz w:val="16"/>
                <w:szCs w:val="16"/>
              </w:rPr>
              <w:t>Fortalecer las capacidades de las autoridades regionales y titulares en la gestión y en buenas prácticas de manejo de la vicuña y sus hábitats (manejo sanitario, captura, esquila, repoblamiento, entre otros)</w:t>
            </w:r>
          </w:p>
        </w:tc>
        <w:tc>
          <w:tcPr>
            <w:tcW w:w="2233" w:type="dxa"/>
            <w:tcBorders>
              <w:top w:val="nil"/>
              <w:left w:val="nil"/>
              <w:bottom w:val="single" w:sz="4" w:space="0" w:color="auto"/>
              <w:right w:val="single" w:sz="4" w:space="0" w:color="auto"/>
            </w:tcBorders>
            <w:shd w:val="clear" w:color="auto" w:fill="FFFFFF" w:themeFill="background1"/>
            <w:vAlign w:val="center"/>
          </w:tcPr>
          <w:p w14:paraId="15DBF58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Persona</w:t>
            </w:r>
          </w:p>
        </w:tc>
        <w:tc>
          <w:tcPr>
            <w:tcW w:w="1814" w:type="dxa"/>
            <w:tcBorders>
              <w:top w:val="nil"/>
              <w:left w:val="nil"/>
              <w:bottom w:val="single" w:sz="4" w:space="0" w:color="auto"/>
              <w:right w:val="single" w:sz="4" w:space="0" w:color="auto"/>
            </w:tcBorders>
            <w:shd w:val="clear" w:color="auto" w:fill="FFFFFF" w:themeFill="background1"/>
            <w:vAlign w:val="center"/>
          </w:tcPr>
          <w:p w14:paraId="3266E31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Gestión Sostenible del Patrimonio de Fauna Silvestre</w:t>
            </w:r>
          </w:p>
          <w:p w14:paraId="30226875"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553" w:type="dxa"/>
            <w:tcBorders>
              <w:top w:val="nil"/>
              <w:left w:val="nil"/>
              <w:bottom w:val="single" w:sz="4" w:space="0" w:color="auto"/>
              <w:right w:val="single" w:sz="4" w:space="0" w:color="auto"/>
            </w:tcBorders>
            <w:shd w:val="clear" w:color="auto" w:fill="FFFFFF" w:themeFill="background1"/>
            <w:vAlign w:val="center"/>
          </w:tcPr>
          <w:p w14:paraId="330E237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tcPr>
          <w:p w14:paraId="4072CF8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tcPr>
          <w:p w14:paraId="0F90B60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tcPr>
          <w:p w14:paraId="3DA3FCA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6ADAA427" w14:textId="77777777" w:rsidTr="00AF5836">
        <w:trPr>
          <w:gridAfter w:val="2"/>
          <w:wAfter w:w="160" w:type="dxa"/>
          <w:trHeight w:val="56"/>
        </w:trPr>
        <w:tc>
          <w:tcPr>
            <w:tcW w:w="38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3A1BD1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22</w:t>
            </w:r>
          </w:p>
        </w:tc>
        <w:tc>
          <w:tcPr>
            <w:tcW w:w="1693" w:type="dxa"/>
            <w:tcBorders>
              <w:top w:val="single" w:sz="4" w:space="0" w:color="auto"/>
              <w:left w:val="nil"/>
              <w:bottom w:val="single" w:sz="4" w:space="0" w:color="auto"/>
              <w:right w:val="single" w:sz="4" w:space="0" w:color="auto"/>
            </w:tcBorders>
            <w:shd w:val="clear" w:color="auto" w:fill="FFFFFF" w:themeFill="background1"/>
            <w:vAlign w:val="center"/>
            <w:hideMark/>
          </w:tcPr>
          <w:p w14:paraId="0EDF9CA2"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L1.8 Fortalecer capacidades para el cumplimiento de la legislación forestal y de fauna silvestre</w:t>
            </w:r>
          </w:p>
        </w:tc>
        <w:tc>
          <w:tcPr>
            <w:tcW w:w="1800" w:type="dxa"/>
            <w:tcBorders>
              <w:top w:val="single" w:sz="4" w:space="0" w:color="auto"/>
              <w:left w:val="nil"/>
              <w:bottom w:val="single" w:sz="4" w:space="0" w:color="auto"/>
              <w:right w:val="single" w:sz="4" w:space="0" w:color="auto"/>
            </w:tcBorders>
            <w:shd w:val="clear" w:color="auto" w:fill="FFFFFF" w:themeFill="background1"/>
            <w:vAlign w:val="center"/>
            <w:hideMark/>
          </w:tcPr>
          <w:p w14:paraId="3388A9B3"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S1.8.1 Fortalecimiento de capacidades en la gestión, control y vigilancia de los recursos forestales y de fauna silvestre brindados de manera oportuna para los titulares de títulos habilitantes</w:t>
            </w:r>
          </w:p>
        </w:tc>
        <w:tc>
          <w:tcPr>
            <w:tcW w:w="2143" w:type="dxa"/>
            <w:tcBorders>
              <w:top w:val="single" w:sz="4" w:space="0" w:color="auto"/>
              <w:left w:val="nil"/>
              <w:bottom w:val="single" w:sz="4" w:space="0" w:color="auto"/>
              <w:right w:val="single" w:sz="4" w:space="0" w:color="auto"/>
            </w:tcBorders>
            <w:shd w:val="clear" w:color="auto" w:fill="FFFFFF" w:themeFill="background1"/>
            <w:vAlign w:val="center"/>
            <w:hideMark/>
          </w:tcPr>
          <w:p w14:paraId="1CE3105F"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AO001. Realización de actividades de capacitación para los actores forestales y de fauna silvestre (Títulos Habilitantes, especialistas, comités Control y Vigilancia)</w:t>
            </w:r>
          </w:p>
        </w:tc>
        <w:tc>
          <w:tcPr>
            <w:tcW w:w="2233" w:type="dxa"/>
            <w:tcBorders>
              <w:top w:val="single" w:sz="4" w:space="0" w:color="auto"/>
              <w:left w:val="nil"/>
              <w:bottom w:val="single" w:sz="4" w:space="0" w:color="auto"/>
              <w:right w:val="single" w:sz="4" w:space="0" w:color="auto"/>
            </w:tcBorders>
            <w:shd w:val="clear" w:color="auto" w:fill="FFFFFF" w:themeFill="background1"/>
            <w:vAlign w:val="center"/>
            <w:hideMark/>
          </w:tcPr>
          <w:p w14:paraId="4DF7C5E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Persona capacitada</w:t>
            </w:r>
          </w:p>
        </w:tc>
        <w:tc>
          <w:tcPr>
            <w:tcW w:w="1814" w:type="dxa"/>
            <w:tcBorders>
              <w:top w:val="single" w:sz="4" w:space="0" w:color="auto"/>
              <w:left w:val="nil"/>
              <w:bottom w:val="single" w:sz="4" w:space="0" w:color="auto"/>
              <w:right w:val="single" w:sz="4" w:space="0" w:color="auto"/>
            </w:tcBorders>
            <w:shd w:val="clear" w:color="auto" w:fill="FFFFFF" w:themeFill="background1"/>
            <w:vAlign w:val="center"/>
            <w:hideMark/>
          </w:tcPr>
          <w:p w14:paraId="3570345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Evaluación Forestal y de Fauna Silvestre</w:t>
            </w:r>
          </w:p>
        </w:tc>
        <w:tc>
          <w:tcPr>
            <w:tcW w:w="1553" w:type="dxa"/>
            <w:tcBorders>
              <w:top w:val="single" w:sz="4" w:space="0" w:color="auto"/>
              <w:left w:val="nil"/>
              <w:bottom w:val="single" w:sz="4" w:space="0" w:color="auto"/>
              <w:right w:val="single" w:sz="4" w:space="0" w:color="auto"/>
            </w:tcBorders>
            <w:shd w:val="clear" w:color="auto" w:fill="FFFFFF" w:themeFill="background1"/>
            <w:vAlign w:val="center"/>
            <w:hideMark/>
          </w:tcPr>
          <w:p w14:paraId="2C95C0E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001-1319: Organismo de Supervisión de los Recursos Forestales y de Fauna Silvestre - OSINFOR</w:t>
            </w:r>
          </w:p>
        </w:tc>
        <w:tc>
          <w:tcPr>
            <w:tcW w:w="15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0815639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024: Organismo Supervisor de los Recursos Forestales y de Fauna Silvestre</w:t>
            </w:r>
          </w:p>
        </w:tc>
        <w:tc>
          <w:tcPr>
            <w:tcW w:w="1218" w:type="dxa"/>
            <w:tcBorders>
              <w:top w:val="single" w:sz="4" w:space="0" w:color="auto"/>
              <w:left w:val="nil"/>
              <w:bottom w:val="single" w:sz="4" w:space="0" w:color="auto"/>
              <w:right w:val="single" w:sz="4" w:space="0" w:color="auto"/>
            </w:tcBorders>
            <w:shd w:val="clear" w:color="auto" w:fill="FFFFFF" w:themeFill="background1"/>
            <w:vAlign w:val="center"/>
            <w:hideMark/>
          </w:tcPr>
          <w:p w14:paraId="37994D6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01: Presidencia Consejo de Ministros</w:t>
            </w:r>
          </w:p>
        </w:tc>
        <w:tc>
          <w:tcPr>
            <w:tcW w:w="1373" w:type="dxa"/>
            <w:tcBorders>
              <w:top w:val="single" w:sz="4" w:space="0" w:color="auto"/>
              <w:left w:val="nil"/>
              <w:bottom w:val="single" w:sz="4" w:space="0" w:color="auto"/>
              <w:right w:val="single" w:sz="4" w:space="0" w:color="auto"/>
            </w:tcBorders>
            <w:shd w:val="clear" w:color="auto" w:fill="FFFFFF" w:themeFill="background1"/>
            <w:vAlign w:val="center"/>
            <w:hideMark/>
          </w:tcPr>
          <w:p w14:paraId="0F3B23D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27B38A2E" w14:textId="77777777" w:rsidTr="00AF5836">
        <w:trPr>
          <w:gridAfter w:val="2"/>
          <w:wAfter w:w="160" w:type="dxa"/>
          <w:trHeight w:val="765"/>
        </w:trPr>
        <w:tc>
          <w:tcPr>
            <w:tcW w:w="384"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60D85D1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23</w:t>
            </w:r>
          </w:p>
        </w:tc>
        <w:tc>
          <w:tcPr>
            <w:tcW w:w="1693"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6777E4A4"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L1.9 Reducir los niveles de tala ilegal, caza furtiva y del tráfico ilegal forestal y de fauna silvestre.</w:t>
            </w:r>
          </w:p>
        </w:tc>
        <w:tc>
          <w:tcPr>
            <w:tcW w:w="180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7D8B44A3"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S1.9.1 Fortalecimiento de capacidades en vigilancia y control de forma satisfactoria a las Autoridades Regionales Forestales y de Fauna Silvestre.</w:t>
            </w: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62D511FB" w14:textId="289EBBB2" w:rsidR="00881C3C" w:rsidRPr="00846D49" w:rsidRDefault="00881C3C" w:rsidP="00AF5836">
            <w:pPr>
              <w:spacing w:after="0" w:line="240" w:lineRule="auto"/>
              <w:rPr>
                <w:rFonts w:ascii="Arial Narrow" w:eastAsia="Times New Roman" w:hAnsi="Arial Narrow"/>
                <w:strike/>
                <w:sz w:val="16"/>
                <w:szCs w:val="16"/>
              </w:rPr>
            </w:pPr>
            <w:r w:rsidRPr="00846D49">
              <w:rPr>
                <w:rFonts w:ascii="Arial Narrow" w:eastAsia="Times New Roman" w:hAnsi="Arial Narrow"/>
                <w:sz w:val="16"/>
                <w:szCs w:val="16"/>
              </w:rPr>
              <w:t xml:space="preserve">AO001. Fortalecimiento de capacidades a </w:t>
            </w:r>
            <w:r w:rsidR="00F306F0" w:rsidRPr="00846D49">
              <w:rPr>
                <w:rFonts w:ascii="Arial Narrow" w:eastAsia="Times New Roman" w:hAnsi="Arial Narrow"/>
                <w:sz w:val="16"/>
                <w:szCs w:val="16"/>
              </w:rPr>
              <w:t>las Administraciones Técnicas Forestales y de Fauna Silvestre</w:t>
            </w:r>
            <w:r w:rsidRPr="00846D49">
              <w:rPr>
                <w:rFonts w:ascii="Arial Narrow" w:eastAsia="Times New Roman" w:hAnsi="Arial Narrow"/>
                <w:sz w:val="16"/>
                <w:szCs w:val="16"/>
              </w:rPr>
              <w:t xml:space="preserve"> y </w:t>
            </w:r>
            <w:r w:rsidR="00F306F0" w:rsidRPr="00846D49">
              <w:rPr>
                <w:rFonts w:ascii="Arial Narrow" w:eastAsia="Times New Roman" w:hAnsi="Arial Narrow"/>
                <w:sz w:val="16"/>
                <w:szCs w:val="16"/>
              </w:rPr>
              <w:t>Autoridades Regionales Forestales y de Fauna Silvestre</w:t>
            </w:r>
            <w:r w:rsidRPr="00846D49">
              <w:rPr>
                <w:rFonts w:ascii="Arial Narrow" w:eastAsia="Times New Roman" w:hAnsi="Arial Narrow"/>
                <w:sz w:val="16"/>
                <w:szCs w:val="16"/>
              </w:rPr>
              <w:t xml:space="preserve">, </w:t>
            </w:r>
            <w:r w:rsidR="00F306F0" w:rsidRPr="00846D49">
              <w:rPr>
                <w:rFonts w:ascii="Arial Narrow" w:eastAsia="Times New Roman" w:hAnsi="Arial Narrow"/>
                <w:sz w:val="16"/>
                <w:szCs w:val="16"/>
              </w:rPr>
              <w:t>comunidades nativas</w:t>
            </w:r>
            <w:r w:rsidRPr="00846D49">
              <w:rPr>
                <w:rFonts w:ascii="Arial Narrow" w:eastAsia="Times New Roman" w:hAnsi="Arial Narrow"/>
                <w:sz w:val="16"/>
                <w:szCs w:val="16"/>
              </w:rPr>
              <w:t xml:space="preserve"> y </w:t>
            </w:r>
            <w:r w:rsidR="00F306F0" w:rsidRPr="00846D49">
              <w:rPr>
                <w:rFonts w:ascii="Arial Narrow" w:eastAsia="Times New Roman" w:hAnsi="Arial Narrow"/>
                <w:sz w:val="16"/>
                <w:szCs w:val="16"/>
              </w:rPr>
              <w:t>comunidades campesinas</w:t>
            </w:r>
            <w:r w:rsidRPr="00846D49">
              <w:rPr>
                <w:rFonts w:ascii="Arial Narrow" w:eastAsia="Times New Roman" w:hAnsi="Arial Narrow"/>
                <w:sz w:val="16"/>
                <w:szCs w:val="16"/>
              </w:rPr>
              <w:t xml:space="preserve"> en temas de vigilancia y control forestal y de fauna silvestre</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231FB243"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Persona</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1206734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Control de la Gestión del Patrimonio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1C815AD0"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2985A63F"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074779B6"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5C14DEC8"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Gobierno Nacional</w:t>
            </w:r>
          </w:p>
        </w:tc>
      </w:tr>
      <w:tr w:rsidR="00846D49" w:rsidRPr="00846D49" w14:paraId="5564B195" w14:textId="77777777" w:rsidTr="00AF5836">
        <w:trPr>
          <w:gridAfter w:val="2"/>
          <w:wAfter w:w="160" w:type="dxa"/>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DC8D34A"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C5E89CA"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1D8BDF0"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12FB5278"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AO002. Ejecución de Operativos inopinados en zonas de alta incidencia de caza furtiva.</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4E97748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Operativos</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235D211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Control de la Gestión del Patrimonio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46CBAAA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0E5F8C9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02A112E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785E515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30EA3028" w14:textId="77777777" w:rsidTr="00AF5836">
        <w:trPr>
          <w:gridAfter w:val="2"/>
          <w:wAfter w:w="160" w:type="dxa"/>
          <w:trHeight w:val="231"/>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2FD8CA7"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409AF3F"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294CFCB"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41F4524C"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AO003. Sensibilización en el tráfico ilegal de productos forestales y de fauna silvestre (transporte, comercio, tenencia, entre otros) a productores forestales y de fauna silvestre</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5506064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Persona</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632A9A8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trike/>
                <w:sz w:val="16"/>
                <w:szCs w:val="16"/>
              </w:rPr>
              <w:t>A</w:t>
            </w:r>
            <w:r w:rsidRPr="00846D49">
              <w:rPr>
                <w:rFonts w:ascii="Arial Narrow" w:eastAsia="Times New Roman" w:hAnsi="Arial Narrow"/>
                <w:sz w:val="16"/>
                <w:szCs w:val="16"/>
              </w:rPr>
              <w:t>dministración Técnica Forestales y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7476AEE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0821359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7D1232A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3E2F1FF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153D5072" w14:textId="77777777" w:rsidTr="00AF5836">
        <w:trPr>
          <w:gridAfter w:val="2"/>
          <w:wAfter w:w="160" w:type="dxa"/>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34637D0"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7D7F2C3"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28918A1"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3082A0A5"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AO004. Ejecución de intervenciones de control, fiscalización, supervisión, contra el tráfico y comercio ilegal de productos forestales y de fauna silvestre.</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1E59B0B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Intervención</w:t>
            </w:r>
          </w:p>
        </w:tc>
        <w:tc>
          <w:tcPr>
            <w:tcW w:w="1814" w:type="dxa"/>
            <w:tcBorders>
              <w:top w:val="nil"/>
              <w:left w:val="nil"/>
              <w:bottom w:val="single" w:sz="4" w:space="0" w:color="auto"/>
              <w:right w:val="single" w:sz="4" w:space="0" w:color="auto"/>
            </w:tcBorders>
            <w:shd w:val="clear" w:color="auto" w:fill="FFFFFF" w:themeFill="background1"/>
            <w:hideMark/>
          </w:tcPr>
          <w:p w14:paraId="71DCF6A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trike/>
                <w:sz w:val="16"/>
                <w:szCs w:val="16"/>
              </w:rPr>
              <w:t>A</w:t>
            </w:r>
            <w:r w:rsidRPr="00846D49">
              <w:rPr>
                <w:rFonts w:ascii="Arial Narrow" w:eastAsia="Times New Roman" w:hAnsi="Arial Narrow"/>
                <w:sz w:val="16"/>
                <w:szCs w:val="16"/>
              </w:rPr>
              <w:t>dministración Técnica Forestales y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44EE676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0901263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0C230ED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37FD8DF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693E7615" w14:textId="77777777" w:rsidTr="00AF5836">
        <w:trPr>
          <w:gridAfter w:val="2"/>
          <w:wAfter w:w="160" w:type="dxa"/>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C43F2F6"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5CCC780"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C0E1DFE"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64A15E5B"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AO005. Realización de operativos de control forestal y de fauna silvestre en coordinación con la Policía Nacional del Perú -PNP y FEMA</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1DADB50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Operativos</w:t>
            </w:r>
          </w:p>
        </w:tc>
        <w:tc>
          <w:tcPr>
            <w:tcW w:w="1814" w:type="dxa"/>
            <w:tcBorders>
              <w:top w:val="nil"/>
              <w:left w:val="nil"/>
              <w:bottom w:val="single" w:sz="4" w:space="0" w:color="auto"/>
              <w:right w:val="single" w:sz="4" w:space="0" w:color="auto"/>
            </w:tcBorders>
            <w:shd w:val="clear" w:color="auto" w:fill="FFFFFF" w:themeFill="background1"/>
            <w:hideMark/>
          </w:tcPr>
          <w:p w14:paraId="2C06C3E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trike/>
                <w:sz w:val="16"/>
                <w:szCs w:val="16"/>
              </w:rPr>
              <w:t>A</w:t>
            </w:r>
            <w:r w:rsidRPr="00846D49">
              <w:rPr>
                <w:rFonts w:ascii="Arial Narrow" w:eastAsia="Times New Roman" w:hAnsi="Arial Narrow"/>
                <w:sz w:val="16"/>
                <w:szCs w:val="16"/>
              </w:rPr>
              <w:t>dministración Técnica Forestales y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1A975B0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3B8AEB2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5B6C6DC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69BBEB4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50302688" w14:textId="77777777" w:rsidTr="00AF5836">
        <w:trPr>
          <w:gridAfter w:val="2"/>
          <w:wAfter w:w="160" w:type="dxa"/>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C44FBAB"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D778226"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CC8BA09"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0B9590AA"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 006: Elaboración de un Diseño del sistema de alerta Regional para el control de actividades ilegales, propuesta elaborada y validada con la FEMA y la Policía Nacional del Perú -PNP.</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03DB6F6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Documento</w:t>
            </w:r>
          </w:p>
        </w:tc>
        <w:tc>
          <w:tcPr>
            <w:tcW w:w="1814" w:type="dxa"/>
            <w:tcBorders>
              <w:top w:val="nil"/>
              <w:left w:val="nil"/>
              <w:bottom w:val="single" w:sz="4" w:space="0" w:color="auto"/>
              <w:right w:val="single" w:sz="4" w:space="0" w:color="auto"/>
            </w:tcBorders>
            <w:shd w:val="clear" w:color="auto" w:fill="FFFFFF" w:themeFill="background1"/>
            <w:hideMark/>
          </w:tcPr>
          <w:p w14:paraId="144C706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trike/>
                <w:sz w:val="16"/>
                <w:szCs w:val="16"/>
              </w:rPr>
              <w:t>A</w:t>
            </w:r>
            <w:r w:rsidRPr="00846D49">
              <w:rPr>
                <w:rFonts w:ascii="Arial Narrow" w:eastAsia="Times New Roman" w:hAnsi="Arial Narrow"/>
                <w:sz w:val="16"/>
                <w:szCs w:val="16"/>
              </w:rPr>
              <w:t>dministración Técnica Forestales y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5380A73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099B984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312D0D6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28689BD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6B1196F1" w14:textId="77777777" w:rsidTr="00AF5836">
        <w:trPr>
          <w:gridAfter w:val="2"/>
          <w:wAfter w:w="160" w:type="dxa"/>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243008D"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F791690"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3635706"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350E4A50"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 007: Participación en inspecciones convocadas por la fiscalía en materia ambiental para determinar delitos en materia forestal y fauna silvestre</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00459D5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Inspección</w:t>
            </w:r>
          </w:p>
        </w:tc>
        <w:tc>
          <w:tcPr>
            <w:tcW w:w="1814" w:type="dxa"/>
            <w:tcBorders>
              <w:top w:val="nil"/>
              <w:left w:val="nil"/>
              <w:bottom w:val="single" w:sz="4" w:space="0" w:color="auto"/>
              <w:right w:val="single" w:sz="4" w:space="0" w:color="auto"/>
            </w:tcBorders>
            <w:shd w:val="clear" w:color="auto" w:fill="FFFFFF" w:themeFill="background1"/>
            <w:hideMark/>
          </w:tcPr>
          <w:p w14:paraId="09B1772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trike/>
                <w:sz w:val="16"/>
                <w:szCs w:val="16"/>
              </w:rPr>
              <w:t>A</w:t>
            </w:r>
            <w:r w:rsidRPr="00846D49">
              <w:rPr>
                <w:rFonts w:ascii="Arial Narrow" w:eastAsia="Times New Roman" w:hAnsi="Arial Narrow"/>
                <w:sz w:val="16"/>
                <w:szCs w:val="16"/>
              </w:rPr>
              <w:t>dministración Técnica Forestales y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78360D7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4CB013D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19F727C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39BEE2D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60AA9F3A" w14:textId="77777777" w:rsidTr="00AF5836">
        <w:trPr>
          <w:gridAfter w:val="2"/>
          <w:wAfter w:w="160" w:type="dxa"/>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CD87BE9"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81663E6"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E03489E"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6F05BBF9"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AO008. Ejecución de operativos inopinados en coordinación con la PNP y FEMA para reducir actividades ilegales que atenten contra los recursos forestales y de fauna silvestre.</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4A0932D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Operativos</w:t>
            </w:r>
          </w:p>
        </w:tc>
        <w:tc>
          <w:tcPr>
            <w:tcW w:w="1814" w:type="dxa"/>
            <w:tcBorders>
              <w:top w:val="nil"/>
              <w:left w:val="nil"/>
              <w:bottom w:val="single" w:sz="4" w:space="0" w:color="auto"/>
              <w:right w:val="single" w:sz="4" w:space="0" w:color="auto"/>
            </w:tcBorders>
            <w:shd w:val="clear" w:color="auto" w:fill="FFFFFF" w:themeFill="background1"/>
            <w:hideMark/>
          </w:tcPr>
          <w:p w14:paraId="5DF07E2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trike/>
                <w:sz w:val="16"/>
                <w:szCs w:val="16"/>
              </w:rPr>
              <w:t>A</w:t>
            </w:r>
            <w:r w:rsidRPr="00846D49">
              <w:rPr>
                <w:rFonts w:ascii="Arial Narrow" w:eastAsia="Times New Roman" w:hAnsi="Arial Narrow"/>
                <w:sz w:val="16"/>
                <w:szCs w:val="16"/>
              </w:rPr>
              <w:t>dministración Técnica Forestales y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6E25924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3268EF3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7EAE6AA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043E2F5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00E70A88" w14:textId="77777777" w:rsidTr="00AF5836">
        <w:trPr>
          <w:gridAfter w:val="2"/>
          <w:wAfter w:w="160" w:type="dxa"/>
          <w:trHeight w:val="1020"/>
        </w:trPr>
        <w:tc>
          <w:tcPr>
            <w:tcW w:w="384" w:type="dxa"/>
            <w:tcBorders>
              <w:top w:val="nil"/>
              <w:left w:val="single" w:sz="4" w:space="0" w:color="auto"/>
              <w:bottom w:val="single" w:sz="4" w:space="0" w:color="auto"/>
              <w:right w:val="single" w:sz="4" w:space="0" w:color="auto"/>
            </w:tcBorders>
            <w:shd w:val="clear" w:color="auto" w:fill="FFFFFF" w:themeFill="background1"/>
            <w:vAlign w:val="center"/>
            <w:hideMark/>
          </w:tcPr>
          <w:p w14:paraId="0CAB5BA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lastRenderedPageBreak/>
              <w:t>24</w:t>
            </w:r>
          </w:p>
        </w:tc>
        <w:tc>
          <w:tcPr>
            <w:tcW w:w="1693" w:type="dxa"/>
            <w:tcBorders>
              <w:top w:val="nil"/>
              <w:left w:val="nil"/>
              <w:bottom w:val="single" w:sz="4" w:space="0" w:color="auto"/>
              <w:right w:val="single" w:sz="4" w:space="0" w:color="auto"/>
            </w:tcBorders>
            <w:shd w:val="clear" w:color="auto" w:fill="FFFFFF" w:themeFill="background1"/>
            <w:vAlign w:val="center"/>
            <w:hideMark/>
          </w:tcPr>
          <w:p w14:paraId="24E6BDA7"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L1.9 Reducir los niveles de tala ilegal, caza furtiva y del tráfico ilegal forestal y de fauna silvestre.</w:t>
            </w:r>
          </w:p>
        </w:tc>
        <w:tc>
          <w:tcPr>
            <w:tcW w:w="1800" w:type="dxa"/>
            <w:tcBorders>
              <w:top w:val="nil"/>
              <w:left w:val="nil"/>
              <w:bottom w:val="single" w:sz="4" w:space="0" w:color="auto"/>
              <w:right w:val="single" w:sz="4" w:space="0" w:color="auto"/>
            </w:tcBorders>
            <w:shd w:val="clear" w:color="auto" w:fill="FFFFFF" w:themeFill="background1"/>
            <w:vAlign w:val="center"/>
            <w:hideMark/>
          </w:tcPr>
          <w:p w14:paraId="43066FCF"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S1.9.2 Operaciones policiales contra el crimen organizado en materia forestal de forma continua para beneficio de la población</w:t>
            </w: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68FC1E41"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AO001. Implementación de operativos para la reducción de la tala ilegal forestal</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2B219D7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Operativos</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43A2059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xml:space="preserve">División Contra la Tala Ilegal y Protección de Recursos Naturales </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39BD504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026-1312: Dirección Ejecutiva de Investigación Criminal y Apoyo a la Justicia PNP- DIREICAJ PNP</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2EBD157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007: M. del Interior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26ECA0F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xml:space="preserve">07: Interior </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5EE7E27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6568EA34" w14:textId="77777777" w:rsidTr="00AF5836">
        <w:trPr>
          <w:gridAfter w:val="2"/>
          <w:wAfter w:w="160" w:type="dxa"/>
          <w:trHeight w:val="576"/>
        </w:trPr>
        <w:tc>
          <w:tcPr>
            <w:tcW w:w="384" w:type="dxa"/>
            <w:tcBorders>
              <w:top w:val="nil"/>
              <w:left w:val="single" w:sz="4" w:space="0" w:color="auto"/>
              <w:bottom w:val="single" w:sz="4" w:space="0" w:color="auto"/>
              <w:right w:val="single" w:sz="4" w:space="0" w:color="auto"/>
            </w:tcBorders>
            <w:shd w:val="clear" w:color="auto" w:fill="FFFFFF" w:themeFill="background1"/>
            <w:vAlign w:val="center"/>
            <w:hideMark/>
          </w:tcPr>
          <w:p w14:paraId="3A8BB21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25</w:t>
            </w:r>
          </w:p>
        </w:tc>
        <w:tc>
          <w:tcPr>
            <w:tcW w:w="1693" w:type="dxa"/>
            <w:tcBorders>
              <w:top w:val="nil"/>
              <w:left w:val="nil"/>
              <w:bottom w:val="single" w:sz="4" w:space="0" w:color="auto"/>
              <w:right w:val="single" w:sz="4" w:space="0" w:color="auto"/>
            </w:tcBorders>
            <w:shd w:val="clear" w:color="auto" w:fill="FFFFFF" w:themeFill="background1"/>
            <w:vAlign w:val="center"/>
            <w:hideMark/>
          </w:tcPr>
          <w:p w14:paraId="1C3BD60E"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L1.9 Reducir los niveles de tala ilegal, caza furtiva y del tráfico ilegal forestal y de fauna silvestre.</w:t>
            </w:r>
          </w:p>
        </w:tc>
        <w:tc>
          <w:tcPr>
            <w:tcW w:w="1800" w:type="dxa"/>
            <w:tcBorders>
              <w:top w:val="nil"/>
              <w:left w:val="nil"/>
              <w:bottom w:val="single" w:sz="4" w:space="0" w:color="auto"/>
              <w:right w:val="single" w:sz="4" w:space="0" w:color="auto"/>
            </w:tcBorders>
            <w:shd w:val="clear" w:color="auto" w:fill="FFFFFF" w:themeFill="background1"/>
            <w:vAlign w:val="center"/>
            <w:hideMark/>
          </w:tcPr>
          <w:p w14:paraId="3E8F90C8"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S1.9.3 Operaciones policiales para contrarrestar la comisión de delitos y faltas en desmedro de la fauna silvestre de forma permanente para beneficio de la población.</w:t>
            </w: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24B21D41"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AO001. Implementación de operativos para la reducción del tráfico de fauna silvestre</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6018FCD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Operativos</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39A9713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xml:space="preserve">División Contra la Tala Ilegal y Protección de Recursos Naturales </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346A31E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026-1312: Dirección Ejecutiva de Investigación Criminal y Apoyo a la Justicia PNP- DIREICAJ PNP</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6908AD8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007: M. del Interior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0CF6DD2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xml:space="preserve">07: Interior </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758E0BD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5A14352E" w14:textId="77777777" w:rsidTr="00AF5836">
        <w:trPr>
          <w:gridAfter w:val="2"/>
          <w:wAfter w:w="160" w:type="dxa"/>
          <w:trHeight w:val="765"/>
        </w:trPr>
        <w:tc>
          <w:tcPr>
            <w:tcW w:w="384"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04EDC89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26</w:t>
            </w:r>
          </w:p>
        </w:tc>
        <w:tc>
          <w:tcPr>
            <w:tcW w:w="1693"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31356B27"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L1.9 Reducir los niveles de tala ilegal, caza furtiva y del tráfico ilegal forestal y de fauna silvestre.</w:t>
            </w:r>
          </w:p>
        </w:tc>
        <w:tc>
          <w:tcPr>
            <w:tcW w:w="180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695C7B47"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S1.9.4 Vigilancia y control eficaz de las actividades forestales y fauna silvestre en el ámbito marítimo, fluvial y lacustre para prevenir y reprimir el tráfico ilegal forestal y de fauna silvestre de forma continua en beneficio de la población</w:t>
            </w: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1BF230E8"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AO001. Inspección ocular de especies en extinción</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354AED2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Inspección</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1678C5D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Comandancia de Operaciones Guardacostas - DICAPI . MINDEF</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324A865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004-471: Marina de Guerra del Perú</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700FE0F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026: M. de Defensa</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2C3724A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26: Defensa</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5A85CCF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2E7ACEE5" w14:textId="77777777" w:rsidTr="00AF5836">
        <w:trPr>
          <w:gridAfter w:val="2"/>
          <w:wAfter w:w="160" w:type="dxa"/>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4491AAC"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3912715"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2950800"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6A60CAC1"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AO002. Implementación de Operativos generados por denuncias canalizadas a través de las Capitanías de Puerto</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1E4F376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Operativos</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600CB2A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Comandancia de Operaciones Guardacostas - DICAPI . MINDEF</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622F44E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004-471: Marina de Guerra del Perú</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4A742D2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026: M. de Defensa</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65F466E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26: Defensa</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6C1CF89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0B23ECF6" w14:textId="77777777" w:rsidTr="00AF5836">
        <w:trPr>
          <w:gridAfter w:val="2"/>
          <w:wAfter w:w="160" w:type="dxa"/>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85FE6A8"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2208F1A"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61EAAA4"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21853963"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AO003. Seguimiento de las acciones implementadas para la atención de denuncias por parte de las Autoridades Regionales Forestales y de Fauna Silvestre - ARFFS.</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0EF73C5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Informe</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3DD2CA5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Comandancia de Operaciones Guardacostas - DICAPI . MINDEF</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5AA96BA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004-471: Marina de Guerra del Peru</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3093F62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026: M. de Defensa</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3756319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26: Defensa</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00BA6E3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7B042F32" w14:textId="77777777" w:rsidTr="00AF5836">
        <w:trPr>
          <w:gridAfter w:val="2"/>
          <w:wAfter w:w="160" w:type="dxa"/>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C4641D4"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E584AA8"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C34C8CE"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60083C09"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AO004. Inspección ocular de Astilleros, Varaderos, etc., con el fin de verificar la procedencia del material utilizado para la construcción de las naves</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36F3FDC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Inspección</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495AE92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Comandancia de Operaciones Guardacostas - DICAPI . MINDEF</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3FB013D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004-471: Marina de Guerra del Peru</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60F5737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026: M. de Defensa</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435CB3E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26: Defensa</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566EFD9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1BE94536" w14:textId="77777777" w:rsidTr="00AF5836">
        <w:trPr>
          <w:gridAfter w:val="2"/>
          <w:wAfter w:w="160" w:type="dxa"/>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A939616"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AF1ACD3"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47FE488"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196F12FF"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AO005. Implementación de Operativos que se generan por las denuncias que reciben las Capitanías de Puerto</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55386F1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Operativos</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710AB6D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Comandancia de Operaciones Guardacostas - DICAPI . MINDEF</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431669F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004-471: Marina de Guerra del Perú</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4DEC2AB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026: M. de Defensa</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7830276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26: Defensa</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6A6410E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6CE8563C" w14:textId="77777777" w:rsidTr="00AF5836">
        <w:trPr>
          <w:gridAfter w:val="2"/>
          <w:wAfter w:w="160" w:type="dxa"/>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F10F38B"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85C0DEA"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E8E8B7E"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6D8A5788"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AO006. Seguimiento de las acciones implementadas para la atención de denuncias.</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6F4CF8D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Informe</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76F404E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Comandancia de Operaciones Guardacostas - DICAPI . MINDEF</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0A6C40C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004-471: Marina de Guerra del Perú</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75FDAA5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026: M. de Defensa</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1F7CD79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26: Defensa</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1366E19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3A2DB6F8" w14:textId="77777777" w:rsidTr="00AF5836">
        <w:trPr>
          <w:gridAfter w:val="2"/>
          <w:wAfter w:w="160" w:type="dxa"/>
          <w:trHeight w:val="765"/>
        </w:trPr>
        <w:tc>
          <w:tcPr>
            <w:tcW w:w="384"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28411E7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27</w:t>
            </w:r>
          </w:p>
        </w:tc>
        <w:tc>
          <w:tcPr>
            <w:tcW w:w="1693"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653B10B3"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L1.9 Reducir los niveles de tala ilegal, caza furtiva y del tráfico ilegal forestal y de fauna silvestre.</w:t>
            </w:r>
          </w:p>
        </w:tc>
        <w:tc>
          <w:tcPr>
            <w:tcW w:w="180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25FC8FD3"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S1.9.5 Vigilancia en el bosque y en la cadena productiva forestal y de fauna silvestre de forma permanente para beneficio de la población</w:t>
            </w: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65266199"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AO001. Inspección ocular de especies CITES</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0C7B238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Hectárea</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6B0E5F3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Control de la Gestión del Patrimonio Forestal y de Fauna Silvestre (DCGPFFS)</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21686A4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3DC2B5D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71C7810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0DACD32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7CCA3914" w14:textId="77777777" w:rsidTr="00AF5836">
        <w:trPr>
          <w:gridAfter w:val="2"/>
          <w:wAfter w:w="160" w:type="dxa"/>
          <w:trHeight w:val="292"/>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6D1113A"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D8E9C57"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31066EA"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val="restart"/>
            <w:tcBorders>
              <w:top w:val="nil"/>
              <w:left w:val="nil"/>
              <w:right w:val="single" w:sz="4" w:space="0" w:color="auto"/>
            </w:tcBorders>
            <w:shd w:val="clear" w:color="auto" w:fill="FFFFFF" w:themeFill="background1"/>
            <w:vAlign w:val="center"/>
            <w:hideMark/>
          </w:tcPr>
          <w:p w14:paraId="2748C00E"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 001a: Inspección Ocular de especies NO CITES</w:t>
            </w:r>
          </w:p>
        </w:tc>
        <w:tc>
          <w:tcPr>
            <w:tcW w:w="2233" w:type="dxa"/>
            <w:vMerge w:val="restart"/>
            <w:tcBorders>
              <w:top w:val="nil"/>
              <w:left w:val="nil"/>
              <w:right w:val="single" w:sz="4" w:space="0" w:color="auto"/>
            </w:tcBorders>
            <w:shd w:val="clear" w:color="auto" w:fill="FFFFFF" w:themeFill="background1"/>
            <w:vAlign w:val="center"/>
            <w:hideMark/>
          </w:tcPr>
          <w:p w14:paraId="2CFC908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Hectárea</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7041B22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Administraciones Técnicas Forestales y de Fauna Silvestre</w:t>
            </w:r>
          </w:p>
          <w:p w14:paraId="235B9E71"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0CDA11A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24E4A4F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7298608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5ABC16F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55F73027" w14:textId="77777777" w:rsidTr="00AF5836">
        <w:trPr>
          <w:gridAfter w:val="2"/>
          <w:wAfter w:w="160" w:type="dxa"/>
          <w:trHeight w:val="292"/>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74FCA04F"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1A9EF435"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5F0B5252"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5061EF0D"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left w:val="nil"/>
              <w:right w:val="single" w:sz="4" w:space="0" w:color="auto"/>
            </w:tcBorders>
            <w:shd w:val="clear" w:color="auto" w:fill="FFFFFF" w:themeFill="background1"/>
            <w:vAlign w:val="center"/>
          </w:tcPr>
          <w:p w14:paraId="581CA8B4"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5E80D93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10199B9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xml:space="preserve">100-722: REGION AMAZONAS-AGRICULTURA </w:t>
            </w:r>
          </w:p>
        </w:tc>
        <w:tc>
          <w:tcPr>
            <w:tcW w:w="1560" w:type="dxa"/>
            <w:tcBorders>
              <w:top w:val="nil"/>
              <w:left w:val="nil"/>
              <w:bottom w:val="single" w:sz="4" w:space="0" w:color="auto"/>
              <w:right w:val="single" w:sz="4" w:space="0" w:color="auto"/>
            </w:tcBorders>
            <w:shd w:val="clear" w:color="auto" w:fill="FFFFFF" w:themeFill="background1"/>
            <w:vAlign w:val="center"/>
          </w:tcPr>
          <w:p w14:paraId="4173122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440: Gobierno Regional del Departamento de Amazonas</w:t>
            </w:r>
          </w:p>
        </w:tc>
        <w:tc>
          <w:tcPr>
            <w:tcW w:w="1218" w:type="dxa"/>
            <w:tcBorders>
              <w:top w:val="nil"/>
              <w:left w:val="nil"/>
              <w:bottom w:val="single" w:sz="4" w:space="0" w:color="auto"/>
              <w:right w:val="single" w:sz="4" w:space="0" w:color="auto"/>
            </w:tcBorders>
            <w:shd w:val="clear" w:color="auto" w:fill="FFFFFF" w:themeFill="background1"/>
            <w:vAlign w:val="center"/>
          </w:tcPr>
          <w:p w14:paraId="768C264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79A54FE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1E1C7F3E" w14:textId="77777777" w:rsidTr="00AF5836">
        <w:trPr>
          <w:gridAfter w:val="2"/>
          <w:wAfter w:w="160" w:type="dxa"/>
          <w:trHeight w:val="292"/>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06FF1CEA"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04050132"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4F0B99E1"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0B1B27DB"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left w:val="nil"/>
              <w:right w:val="single" w:sz="4" w:space="0" w:color="auto"/>
            </w:tcBorders>
            <w:shd w:val="clear" w:color="auto" w:fill="FFFFFF" w:themeFill="background1"/>
            <w:vAlign w:val="center"/>
          </w:tcPr>
          <w:p w14:paraId="2BD4AB3E"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18BA233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37E5EFF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100-771: REGION AYACUCHO-AGRICULTURA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0B32A6C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444: Gobierno Regional del Departamento de Ayacucho</w:t>
            </w:r>
          </w:p>
        </w:tc>
        <w:tc>
          <w:tcPr>
            <w:tcW w:w="1218" w:type="dxa"/>
            <w:tcBorders>
              <w:top w:val="nil"/>
              <w:left w:val="nil"/>
              <w:bottom w:val="single" w:sz="4" w:space="0" w:color="auto"/>
              <w:right w:val="single" w:sz="4" w:space="0" w:color="auto"/>
            </w:tcBorders>
            <w:shd w:val="clear" w:color="auto" w:fill="FFFFFF" w:themeFill="background1"/>
            <w:vAlign w:val="center"/>
          </w:tcPr>
          <w:p w14:paraId="3135CD6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7816CF5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4AFFBEE5" w14:textId="77777777" w:rsidTr="00AF5836">
        <w:trPr>
          <w:gridAfter w:val="2"/>
          <w:wAfter w:w="160" w:type="dxa"/>
          <w:trHeight w:val="292"/>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464A2A24"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263F7EE5"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6CF3EC88"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64C61956"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left w:val="nil"/>
              <w:right w:val="single" w:sz="4" w:space="0" w:color="auto"/>
            </w:tcBorders>
            <w:shd w:val="clear" w:color="auto" w:fill="FFFFFF" w:themeFill="background1"/>
            <w:vAlign w:val="center"/>
          </w:tcPr>
          <w:p w14:paraId="1EC6E2DE"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4EFA245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6D50A7D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100-806: REGION HUANUCO-AGRICULTURA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4A44EB6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448: Gobierno Regional del Departamento de Huánuco</w:t>
            </w:r>
          </w:p>
        </w:tc>
        <w:tc>
          <w:tcPr>
            <w:tcW w:w="1218" w:type="dxa"/>
            <w:tcBorders>
              <w:top w:val="nil"/>
              <w:left w:val="nil"/>
              <w:bottom w:val="single" w:sz="4" w:space="0" w:color="auto"/>
              <w:right w:val="single" w:sz="4" w:space="0" w:color="auto"/>
            </w:tcBorders>
            <w:shd w:val="clear" w:color="auto" w:fill="FFFFFF" w:themeFill="background1"/>
            <w:vAlign w:val="center"/>
          </w:tcPr>
          <w:p w14:paraId="5108B77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5674697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7088E17C" w14:textId="77777777" w:rsidTr="00AF5836">
        <w:trPr>
          <w:gridAfter w:val="2"/>
          <w:wAfter w:w="160" w:type="dxa"/>
          <w:trHeight w:val="292"/>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504B32E7"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6FECAE58"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65E94B6B"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41FF45FA"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left w:val="nil"/>
              <w:right w:val="single" w:sz="4" w:space="0" w:color="auto"/>
            </w:tcBorders>
            <w:shd w:val="clear" w:color="auto" w:fill="FFFFFF" w:themeFill="background1"/>
            <w:vAlign w:val="center"/>
          </w:tcPr>
          <w:p w14:paraId="792C5631"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34F395D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7FC8B65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100-832: REGION LA LIBERTAD-AGRICULTURA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52091CB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451: Gobierno Regional del Departamento de La Libertad</w:t>
            </w:r>
          </w:p>
        </w:tc>
        <w:tc>
          <w:tcPr>
            <w:tcW w:w="1218" w:type="dxa"/>
            <w:tcBorders>
              <w:top w:val="nil"/>
              <w:left w:val="nil"/>
              <w:bottom w:val="single" w:sz="4" w:space="0" w:color="auto"/>
              <w:right w:val="single" w:sz="4" w:space="0" w:color="auto"/>
            </w:tcBorders>
            <w:shd w:val="clear" w:color="auto" w:fill="FFFFFF" w:themeFill="background1"/>
            <w:vAlign w:val="center"/>
          </w:tcPr>
          <w:p w14:paraId="42A0BB1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2B36CDF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4ABF45F1" w14:textId="77777777" w:rsidTr="00AF5836">
        <w:trPr>
          <w:gridAfter w:val="2"/>
          <w:wAfter w:w="160" w:type="dxa"/>
          <w:trHeight w:val="292"/>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4E3F40F1"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6BAB30CB"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217BD462"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268F782A"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left w:val="nil"/>
              <w:right w:val="single" w:sz="4" w:space="0" w:color="auto"/>
            </w:tcBorders>
            <w:shd w:val="clear" w:color="auto" w:fill="FFFFFF" w:themeFill="background1"/>
            <w:vAlign w:val="center"/>
          </w:tcPr>
          <w:p w14:paraId="69019E73"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7E288EA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74F54D3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100-865: REGION LORETO-AGRICULTURA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01A0522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453: Gobierno Regional del Departamento de Loreto</w:t>
            </w:r>
          </w:p>
        </w:tc>
        <w:tc>
          <w:tcPr>
            <w:tcW w:w="1218" w:type="dxa"/>
            <w:tcBorders>
              <w:top w:val="nil"/>
              <w:left w:val="nil"/>
              <w:bottom w:val="single" w:sz="4" w:space="0" w:color="auto"/>
              <w:right w:val="single" w:sz="4" w:space="0" w:color="auto"/>
            </w:tcBorders>
            <w:shd w:val="clear" w:color="auto" w:fill="FFFFFF" w:themeFill="background1"/>
            <w:vAlign w:val="center"/>
          </w:tcPr>
          <w:p w14:paraId="7E7CA94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0F765C4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6DD394F1" w14:textId="77777777" w:rsidTr="00AF5836">
        <w:trPr>
          <w:gridAfter w:val="2"/>
          <w:wAfter w:w="160" w:type="dxa"/>
          <w:trHeight w:val="292"/>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26EB1E32"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24F2305E"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7A365592"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117DB090"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left w:val="nil"/>
              <w:right w:val="single" w:sz="4" w:space="0" w:color="auto"/>
            </w:tcBorders>
            <w:shd w:val="clear" w:color="auto" w:fill="FFFFFF" w:themeFill="background1"/>
            <w:vAlign w:val="center"/>
          </w:tcPr>
          <w:p w14:paraId="1DEB34CB"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6355173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5268F0D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100-876: REGION MADRE DE DIOS-AGRICULTURA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1EEC9A7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454: Gobierno Regional del Departamento de Madre De Dios</w:t>
            </w:r>
          </w:p>
        </w:tc>
        <w:tc>
          <w:tcPr>
            <w:tcW w:w="1218" w:type="dxa"/>
            <w:tcBorders>
              <w:top w:val="nil"/>
              <w:left w:val="nil"/>
              <w:bottom w:val="single" w:sz="4" w:space="0" w:color="auto"/>
              <w:right w:val="single" w:sz="4" w:space="0" w:color="auto"/>
            </w:tcBorders>
            <w:shd w:val="clear" w:color="auto" w:fill="FFFFFF" w:themeFill="background1"/>
            <w:vAlign w:val="center"/>
          </w:tcPr>
          <w:p w14:paraId="75ED79D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32687EC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141B4BCB" w14:textId="77777777" w:rsidTr="00AF5836">
        <w:trPr>
          <w:gridAfter w:val="2"/>
          <w:wAfter w:w="160" w:type="dxa"/>
          <w:trHeight w:val="292"/>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6905D1CB"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1F4E367C"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168CEF71"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37CA84F6"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left w:val="nil"/>
              <w:right w:val="single" w:sz="4" w:space="0" w:color="auto"/>
            </w:tcBorders>
            <w:shd w:val="clear" w:color="auto" w:fill="FFFFFF" w:themeFill="background1"/>
            <w:vAlign w:val="center"/>
          </w:tcPr>
          <w:p w14:paraId="6F5BB312"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2BF1B45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72A0891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100-924: REGION SAN MARTIN-AGRICULTURA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13B7C0C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459: Gobierno Regional del Departamento de San Martin</w:t>
            </w:r>
          </w:p>
        </w:tc>
        <w:tc>
          <w:tcPr>
            <w:tcW w:w="1218" w:type="dxa"/>
            <w:tcBorders>
              <w:top w:val="nil"/>
              <w:left w:val="nil"/>
              <w:bottom w:val="single" w:sz="4" w:space="0" w:color="auto"/>
              <w:right w:val="single" w:sz="4" w:space="0" w:color="auto"/>
            </w:tcBorders>
            <w:shd w:val="clear" w:color="auto" w:fill="FFFFFF" w:themeFill="background1"/>
            <w:vAlign w:val="center"/>
          </w:tcPr>
          <w:p w14:paraId="0B6C27C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4F3DE23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7B6FB67C" w14:textId="77777777" w:rsidTr="00AF5836">
        <w:trPr>
          <w:gridAfter w:val="2"/>
          <w:wAfter w:w="160" w:type="dxa"/>
          <w:trHeight w:val="292"/>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763763FD"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4603D86C"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1C927649"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39D09A33"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left w:val="nil"/>
              <w:right w:val="single" w:sz="4" w:space="0" w:color="auto"/>
            </w:tcBorders>
            <w:shd w:val="clear" w:color="auto" w:fill="FFFFFF" w:themeFill="background1"/>
            <w:vAlign w:val="center"/>
          </w:tcPr>
          <w:p w14:paraId="12B85B8A"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459C7BC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1F452F1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100-937: REGION TUMBES-AGRICULTURA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3C2BC51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461: Gobierno Regional del Departamento de Tumbes</w:t>
            </w:r>
          </w:p>
        </w:tc>
        <w:tc>
          <w:tcPr>
            <w:tcW w:w="1218" w:type="dxa"/>
            <w:tcBorders>
              <w:top w:val="nil"/>
              <w:left w:val="nil"/>
              <w:bottom w:val="single" w:sz="4" w:space="0" w:color="auto"/>
              <w:right w:val="single" w:sz="4" w:space="0" w:color="auto"/>
            </w:tcBorders>
            <w:shd w:val="clear" w:color="auto" w:fill="FFFFFF" w:themeFill="background1"/>
            <w:vAlign w:val="center"/>
          </w:tcPr>
          <w:p w14:paraId="7633FCD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43785C0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515A54BC" w14:textId="77777777" w:rsidTr="00AF5836">
        <w:trPr>
          <w:gridAfter w:val="2"/>
          <w:wAfter w:w="160" w:type="dxa"/>
          <w:trHeight w:val="292"/>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07B89E7F"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50A533E5"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6CC4B626"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bottom w:val="single" w:sz="4" w:space="0" w:color="auto"/>
              <w:right w:val="single" w:sz="4" w:space="0" w:color="auto"/>
            </w:tcBorders>
            <w:shd w:val="clear" w:color="auto" w:fill="FFFFFF" w:themeFill="background1"/>
            <w:vAlign w:val="center"/>
          </w:tcPr>
          <w:p w14:paraId="518CC777"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left w:val="nil"/>
              <w:bottom w:val="single" w:sz="4" w:space="0" w:color="auto"/>
              <w:right w:val="single" w:sz="4" w:space="0" w:color="auto"/>
            </w:tcBorders>
            <w:shd w:val="clear" w:color="auto" w:fill="FFFFFF" w:themeFill="background1"/>
            <w:vAlign w:val="center"/>
          </w:tcPr>
          <w:p w14:paraId="20CCFD38"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731B10C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705F8E6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100-947: REGION UCAYALI-AGRICULTURA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1CE7568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462: Gobierno Regional del Departamento de Ucayali</w:t>
            </w:r>
          </w:p>
        </w:tc>
        <w:tc>
          <w:tcPr>
            <w:tcW w:w="1218" w:type="dxa"/>
            <w:tcBorders>
              <w:top w:val="nil"/>
              <w:left w:val="nil"/>
              <w:bottom w:val="single" w:sz="4" w:space="0" w:color="auto"/>
              <w:right w:val="single" w:sz="4" w:space="0" w:color="auto"/>
            </w:tcBorders>
            <w:shd w:val="clear" w:color="auto" w:fill="FFFFFF" w:themeFill="background1"/>
            <w:vAlign w:val="center"/>
          </w:tcPr>
          <w:p w14:paraId="71EFEAD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1C10F38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7C59626E" w14:textId="77777777" w:rsidTr="00AF5836">
        <w:trPr>
          <w:gridAfter w:val="2"/>
          <w:wAfter w:w="160" w:type="dxa"/>
          <w:trHeight w:val="102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17184F8"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B06DB4F"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1184EE6"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val="restart"/>
            <w:tcBorders>
              <w:top w:val="single" w:sz="4" w:space="0" w:color="auto"/>
              <w:left w:val="nil"/>
              <w:bottom w:val="single" w:sz="4" w:space="0" w:color="auto"/>
              <w:right w:val="single" w:sz="4" w:space="0" w:color="auto"/>
            </w:tcBorders>
            <w:shd w:val="clear" w:color="auto" w:fill="FFFFFF" w:themeFill="background1"/>
            <w:vAlign w:val="center"/>
            <w:hideMark/>
          </w:tcPr>
          <w:p w14:paraId="7C97A84A"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AO002. Supervisión de actos administrativos diferentes a títulos habilitantes</w:t>
            </w:r>
          </w:p>
        </w:tc>
        <w:tc>
          <w:tcPr>
            <w:tcW w:w="2233" w:type="dxa"/>
            <w:vMerge w:val="restart"/>
            <w:tcBorders>
              <w:top w:val="single" w:sz="4" w:space="0" w:color="auto"/>
              <w:left w:val="nil"/>
              <w:bottom w:val="single" w:sz="4" w:space="0" w:color="auto"/>
              <w:right w:val="single" w:sz="4" w:space="0" w:color="auto"/>
            </w:tcBorders>
            <w:shd w:val="clear" w:color="auto" w:fill="FFFFFF" w:themeFill="background1"/>
            <w:vAlign w:val="center"/>
            <w:hideMark/>
          </w:tcPr>
          <w:p w14:paraId="61201DC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Hectárea</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2824830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Control de la Gestión del Patrimonio Forestal y de Fauna Silvestre (DCGPFFS)</w:t>
            </w:r>
          </w:p>
          <w:p w14:paraId="1BC2EAC0" w14:textId="77777777" w:rsidR="00881C3C" w:rsidRPr="00846D49" w:rsidRDefault="00881C3C" w:rsidP="00AF5836">
            <w:pPr>
              <w:spacing w:after="0" w:line="240" w:lineRule="auto"/>
              <w:jc w:val="center"/>
              <w:rPr>
                <w:rFonts w:ascii="Arial Narrow" w:eastAsia="Times New Roman" w:hAnsi="Arial Narrow"/>
                <w:sz w:val="16"/>
                <w:szCs w:val="16"/>
              </w:rPr>
            </w:pPr>
          </w:p>
          <w:p w14:paraId="1FB4875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Administraciones Técnicas Forestales y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6BB9DCC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545821B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5411B4A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464C68B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7E39AD63" w14:textId="77777777" w:rsidTr="00AF5836">
        <w:trPr>
          <w:gridAfter w:val="2"/>
          <w:wAfter w:w="160" w:type="dxa"/>
          <w:trHeight w:val="657"/>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0C221A23"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13517414"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36DEE20E"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1F93152B"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689FE38B"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58E92BE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04471A8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xml:space="preserve">100-722: REGION AMAZONAS-AGRICULTURA </w:t>
            </w:r>
          </w:p>
        </w:tc>
        <w:tc>
          <w:tcPr>
            <w:tcW w:w="1560" w:type="dxa"/>
            <w:tcBorders>
              <w:top w:val="nil"/>
              <w:left w:val="nil"/>
              <w:bottom w:val="single" w:sz="4" w:space="0" w:color="auto"/>
              <w:right w:val="single" w:sz="4" w:space="0" w:color="auto"/>
            </w:tcBorders>
            <w:shd w:val="clear" w:color="auto" w:fill="FFFFFF" w:themeFill="background1"/>
            <w:vAlign w:val="center"/>
          </w:tcPr>
          <w:p w14:paraId="36D1C1C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440: Gobierno Regional del Departamento de Amazonas</w:t>
            </w:r>
          </w:p>
        </w:tc>
        <w:tc>
          <w:tcPr>
            <w:tcW w:w="1218" w:type="dxa"/>
            <w:tcBorders>
              <w:top w:val="nil"/>
              <w:left w:val="nil"/>
              <w:bottom w:val="single" w:sz="4" w:space="0" w:color="auto"/>
              <w:right w:val="single" w:sz="4" w:space="0" w:color="auto"/>
            </w:tcBorders>
            <w:shd w:val="clear" w:color="auto" w:fill="FFFFFF" w:themeFill="background1"/>
            <w:vAlign w:val="center"/>
          </w:tcPr>
          <w:p w14:paraId="2803B82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31BB6C6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6BBF4550" w14:textId="77777777" w:rsidTr="00AF5836">
        <w:trPr>
          <w:gridAfter w:val="2"/>
          <w:wAfter w:w="160" w:type="dxa"/>
          <w:trHeight w:val="283"/>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05BD9B3D"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55F938C4"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5503AD97"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09275366"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44B725DA"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4134061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03D9AD4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100-771: REGION AYACUCHO-AGRICULTURA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50D8E38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444: Gobierno Regional del Departamento de Ayacucho</w:t>
            </w:r>
          </w:p>
        </w:tc>
        <w:tc>
          <w:tcPr>
            <w:tcW w:w="1218" w:type="dxa"/>
            <w:tcBorders>
              <w:top w:val="nil"/>
              <w:left w:val="nil"/>
              <w:bottom w:val="single" w:sz="4" w:space="0" w:color="auto"/>
              <w:right w:val="single" w:sz="4" w:space="0" w:color="auto"/>
            </w:tcBorders>
            <w:shd w:val="clear" w:color="auto" w:fill="FFFFFF" w:themeFill="background1"/>
            <w:vAlign w:val="center"/>
          </w:tcPr>
          <w:p w14:paraId="2B9E1D2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6BD1D40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696479E4" w14:textId="77777777" w:rsidTr="00AF5836">
        <w:trPr>
          <w:gridAfter w:val="2"/>
          <w:wAfter w:w="160" w:type="dxa"/>
          <w:trHeight w:val="277"/>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23D3002E"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70BAB0C3"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451C10B1"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60B926D9"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3A1436C9"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3486A2B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2C1C732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100-806: REGION HUANUCO-AGRICULTURA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5A7AC65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448: Gobierno Regional del Departamento de Huánuco</w:t>
            </w:r>
          </w:p>
        </w:tc>
        <w:tc>
          <w:tcPr>
            <w:tcW w:w="1218" w:type="dxa"/>
            <w:tcBorders>
              <w:top w:val="nil"/>
              <w:left w:val="nil"/>
              <w:bottom w:val="single" w:sz="4" w:space="0" w:color="auto"/>
              <w:right w:val="single" w:sz="4" w:space="0" w:color="auto"/>
            </w:tcBorders>
            <w:shd w:val="clear" w:color="auto" w:fill="FFFFFF" w:themeFill="background1"/>
            <w:vAlign w:val="center"/>
          </w:tcPr>
          <w:p w14:paraId="33178DE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29ACE89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6A7D34B4" w14:textId="77777777" w:rsidTr="00AF5836">
        <w:trPr>
          <w:gridAfter w:val="2"/>
          <w:wAfter w:w="160" w:type="dxa"/>
          <w:trHeight w:val="427"/>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4EA51C22"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2F352B4E"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25CB18D8"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7B84D136"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315AEE0B"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086AE55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07ED80D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100-832: REGION LA LIBERTAD-AGRICULTURA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3D758FF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451: Gobierno Regional del Departamento de La Libertad</w:t>
            </w:r>
          </w:p>
        </w:tc>
        <w:tc>
          <w:tcPr>
            <w:tcW w:w="1218" w:type="dxa"/>
            <w:tcBorders>
              <w:top w:val="nil"/>
              <w:left w:val="nil"/>
              <w:bottom w:val="single" w:sz="4" w:space="0" w:color="auto"/>
              <w:right w:val="single" w:sz="4" w:space="0" w:color="auto"/>
            </w:tcBorders>
            <w:shd w:val="clear" w:color="auto" w:fill="FFFFFF" w:themeFill="background1"/>
            <w:vAlign w:val="center"/>
          </w:tcPr>
          <w:p w14:paraId="62204C2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0C17073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6117DA34" w14:textId="77777777" w:rsidTr="00AF5836">
        <w:trPr>
          <w:gridAfter w:val="2"/>
          <w:wAfter w:w="160" w:type="dxa"/>
          <w:trHeight w:val="421"/>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605BC829"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3C1AC6E1"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6A4C747C"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121DB595"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18CBC443"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5C34FB7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77A07FE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100-865: REGION LORETO-AGRICULTURA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635812D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453: Gobierno Regional del Departamento de Loreto</w:t>
            </w:r>
          </w:p>
        </w:tc>
        <w:tc>
          <w:tcPr>
            <w:tcW w:w="1218" w:type="dxa"/>
            <w:tcBorders>
              <w:top w:val="nil"/>
              <w:left w:val="nil"/>
              <w:bottom w:val="single" w:sz="4" w:space="0" w:color="auto"/>
              <w:right w:val="single" w:sz="4" w:space="0" w:color="auto"/>
            </w:tcBorders>
            <w:shd w:val="clear" w:color="auto" w:fill="FFFFFF" w:themeFill="background1"/>
            <w:vAlign w:val="center"/>
          </w:tcPr>
          <w:p w14:paraId="44D8A6F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468B17A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7D4C8E54" w14:textId="77777777" w:rsidTr="00AF5836">
        <w:trPr>
          <w:gridAfter w:val="2"/>
          <w:wAfter w:w="160" w:type="dxa"/>
          <w:trHeight w:val="58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6B1AE9FC"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028F545F"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4FA482AC"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7535E93C"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30419118"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5E68079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57F7AC0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100-876: REGION MADRE DE DIOS-AGRICULTURA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538E8A2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454: Gobierno Regional del Departamento de Madre De Dios</w:t>
            </w:r>
          </w:p>
        </w:tc>
        <w:tc>
          <w:tcPr>
            <w:tcW w:w="1218" w:type="dxa"/>
            <w:tcBorders>
              <w:top w:val="nil"/>
              <w:left w:val="nil"/>
              <w:bottom w:val="single" w:sz="4" w:space="0" w:color="auto"/>
              <w:right w:val="single" w:sz="4" w:space="0" w:color="auto"/>
            </w:tcBorders>
            <w:shd w:val="clear" w:color="auto" w:fill="FFFFFF" w:themeFill="background1"/>
            <w:vAlign w:val="center"/>
          </w:tcPr>
          <w:p w14:paraId="1E56508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705B655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76781B33" w14:textId="77777777" w:rsidTr="00AF5836">
        <w:trPr>
          <w:gridAfter w:val="2"/>
          <w:wAfter w:w="160" w:type="dxa"/>
          <w:trHeight w:val="4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7CFD1BEE"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15257D90"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5A4EB9C7"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1939F78A"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5FDA205A"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4E1817E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0D58DDE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100-924: REGION SAN MARTIN-AGRICULTURA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254554C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459: Gobierno Regional del Departamento de San Martin</w:t>
            </w:r>
          </w:p>
        </w:tc>
        <w:tc>
          <w:tcPr>
            <w:tcW w:w="1218" w:type="dxa"/>
            <w:tcBorders>
              <w:top w:val="nil"/>
              <w:left w:val="nil"/>
              <w:bottom w:val="single" w:sz="4" w:space="0" w:color="auto"/>
              <w:right w:val="single" w:sz="4" w:space="0" w:color="auto"/>
            </w:tcBorders>
            <w:shd w:val="clear" w:color="auto" w:fill="FFFFFF" w:themeFill="background1"/>
            <w:vAlign w:val="center"/>
          </w:tcPr>
          <w:p w14:paraId="6FD27E8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794C12B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5992A98A" w14:textId="77777777" w:rsidTr="00AF5836">
        <w:trPr>
          <w:gridAfter w:val="2"/>
          <w:wAfter w:w="160" w:type="dxa"/>
          <w:trHeight w:val="558"/>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78B8706E"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56BE245F"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57862674"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507E1717"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1048BD3A"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519014D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1F7B58F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100-937: REGION TUMBES-AGRICULTURA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5A11AB3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461: Gobierno Regional del Departamento de Tumbes</w:t>
            </w:r>
          </w:p>
        </w:tc>
        <w:tc>
          <w:tcPr>
            <w:tcW w:w="1218" w:type="dxa"/>
            <w:tcBorders>
              <w:top w:val="nil"/>
              <w:left w:val="nil"/>
              <w:bottom w:val="single" w:sz="4" w:space="0" w:color="auto"/>
              <w:right w:val="single" w:sz="4" w:space="0" w:color="auto"/>
            </w:tcBorders>
            <w:shd w:val="clear" w:color="auto" w:fill="FFFFFF" w:themeFill="background1"/>
            <w:vAlign w:val="center"/>
          </w:tcPr>
          <w:p w14:paraId="72E1430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46D44CC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714196B6" w14:textId="77777777" w:rsidTr="00AF5836">
        <w:trPr>
          <w:gridAfter w:val="2"/>
          <w:wAfter w:w="160" w:type="dxa"/>
          <w:trHeight w:val="554"/>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6A7EE9E6"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21E0036F"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29F07BDD"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09CC8C27"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072976DC"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5CC17C5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05CCB63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100-947: REGION UCAYALI-AGRICULTURA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1977C2F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462: Gobierno Regional del Departamento de Ucayali</w:t>
            </w:r>
          </w:p>
        </w:tc>
        <w:tc>
          <w:tcPr>
            <w:tcW w:w="1218" w:type="dxa"/>
            <w:tcBorders>
              <w:top w:val="nil"/>
              <w:left w:val="nil"/>
              <w:bottom w:val="single" w:sz="4" w:space="0" w:color="auto"/>
              <w:right w:val="single" w:sz="4" w:space="0" w:color="auto"/>
            </w:tcBorders>
            <w:shd w:val="clear" w:color="auto" w:fill="FFFFFF" w:themeFill="background1"/>
            <w:vAlign w:val="center"/>
          </w:tcPr>
          <w:p w14:paraId="2280175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270B22C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44F5B7C3" w14:textId="77777777" w:rsidTr="00AF5836">
        <w:trPr>
          <w:gridAfter w:val="2"/>
          <w:wAfter w:w="160" w:type="dxa"/>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C3FB854"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38F643B"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F04ECB3"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1AF94A86"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AO003. Verificación de exportaciones forestales y de fauna silvestre</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68ACB2B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Supervisión</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4450437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Control de la Gestión del Patrimonio Forestal y de Fauna Silvestre (DCGPFFS)</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5638D5D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5D6F857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1A61396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1EE4A75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7EE7CF4E" w14:textId="77777777" w:rsidTr="00AF5836">
        <w:trPr>
          <w:gridAfter w:val="2"/>
          <w:wAfter w:w="160" w:type="dxa"/>
          <w:trHeight w:val="102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1977BEC"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B79DC88"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D0E3868"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val="restart"/>
            <w:tcBorders>
              <w:top w:val="single" w:sz="4" w:space="0" w:color="auto"/>
              <w:left w:val="nil"/>
              <w:bottom w:val="single" w:sz="4" w:space="0" w:color="auto"/>
              <w:right w:val="single" w:sz="4" w:space="0" w:color="auto"/>
            </w:tcBorders>
            <w:shd w:val="clear" w:color="auto" w:fill="FFFFFF" w:themeFill="background1"/>
            <w:vAlign w:val="center"/>
            <w:hideMark/>
          </w:tcPr>
          <w:p w14:paraId="4596AFF1"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AO004. Ejecución de operativos generados por denuncias canalizadas, alertas y otros</w:t>
            </w:r>
          </w:p>
        </w:tc>
        <w:tc>
          <w:tcPr>
            <w:tcW w:w="2233" w:type="dxa"/>
            <w:vMerge w:val="restart"/>
            <w:tcBorders>
              <w:top w:val="single" w:sz="4" w:space="0" w:color="auto"/>
              <w:left w:val="nil"/>
              <w:bottom w:val="single" w:sz="4" w:space="0" w:color="auto"/>
              <w:right w:val="single" w:sz="4" w:space="0" w:color="auto"/>
            </w:tcBorders>
            <w:shd w:val="clear" w:color="auto" w:fill="FFFFFF" w:themeFill="background1"/>
            <w:vAlign w:val="center"/>
            <w:hideMark/>
          </w:tcPr>
          <w:p w14:paraId="40E8994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Operativos</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364DF64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Control de la Gestión del Patrimonio Forestal y de Fauna Silvestre (DCGPFFS</w:t>
            </w:r>
          </w:p>
          <w:p w14:paraId="67ED59A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Administraciones Técnicas Forestales y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179467E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3362F0C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75BB85F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360F2AC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 y Regional</w:t>
            </w:r>
          </w:p>
        </w:tc>
      </w:tr>
      <w:tr w:rsidR="00846D49" w:rsidRPr="00846D49" w14:paraId="582A4AB6"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E08CF16"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2FD3A42"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7B0E9D1"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3906C9B9"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54758D08"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3CB0490B"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51EEFC5E"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 xml:space="preserve">100-722: REGION AMAZONAS-AGRICULTURA </w:t>
            </w:r>
          </w:p>
        </w:tc>
        <w:tc>
          <w:tcPr>
            <w:tcW w:w="1560" w:type="dxa"/>
            <w:tcBorders>
              <w:top w:val="nil"/>
              <w:left w:val="nil"/>
              <w:bottom w:val="single" w:sz="4" w:space="0" w:color="auto"/>
              <w:right w:val="single" w:sz="4" w:space="0" w:color="auto"/>
            </w:tcBorders>
            <w:shd w:val="clear" w:color="auto" w:fill="FFFFFF" w:themeFill="background1"/>
            <w:vAlign w:val="center"/>
          </w:tcPr>
          <w:p w14:paraId="58548607"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hAnsi="Arial Narrow"/>
                <w:sz w:val="16"/>
                <w:szCs w:val="16"/>
              </w:rPr>
              <w:t>440: Gobierno Regional del Departamento de Amazonas</w:t>
            </w:r>
          </w:p>
        </w:tc>
        <w:tc>
          <w:tcPr>
            <w:tcW w:w="1218" w:type="dxa"/>
            <w:tcBorders>
              <w:top w:val="nil"/>
              <w:left w:val="nil"/>
              <w:bottom w:val="single" w:sz="4" w:space="0" w:color="auto"/>
              <w:right w:val="single" w:sz="4" w:space="0" w:color="auto"/>
            </w:tcBorders>
            <w:shd w:val="clear" w:color="auto" w:fill="FFFFFF" w:themeFill="background1"/>
            <w:vAlign w:val="center"/>
          </w:tcPr>
          <w:p w14:paraId="3DA69941"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3B521CD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34600547"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69810EB1"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171D8FB1"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641E48A6"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78D5EFDA"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425F7F72"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64A91EF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4716C34D"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100-771: REGION AYACUCHO-AGRICULTURA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4F4F3052"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hAnsi="Arial Narrow"/>
                <w:sz w:val="16"/>
                <w:szCs w:val="16"/>
              </w:rPr>
              <w:t>444: Gobierno Regional del Departamento de Ayacucho</w:t>
            </w:r>
          </w:p>
        </w:tc>
        <w:tc>
          <w:tcPr>
            <w:tcW w:w="1218" w:type="dxa"/>
            <w:tcBorders>
              <w:top w:val="nil"/>
              <w:left w:val="nil"/>
              <w:bottom w:val="single" w:sz="4" w:space="0" w:color="auto"/>
              <w:right w:val="single" w:sz="4" w:space="0" w:color="auto"/>
            </w:tcBorders>
            <w:shd w:val="clear" w:color="auto" w:fill="FFFFFF" w:themeFill="background1"/>
            <w:vAlign w:val="center"/>
          </w:tcPr>
          <w:p w14:paraId="2BFDA157"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3C23617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39B9A1F0"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62B73AD9"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2A5990AB"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490FB0EF"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7A039F3B"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7800958A"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4975B9C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44640D3C"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100-806: REGION HUANUCO-AGRICULTURA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4D5C94C2"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hAnsi="Arial Narrow"/>
                <w:sz w:val="16"/>
                <w:szCs w:val="16"/>
              </w:rPr>
              <w:t>448: Gobierno Regional del Departamento de Huánuco</w:t>
            </w:r>
          </w:p>
        </w:tc>
        <w:tc>
          <w:tcPr>
            <w:tcW w:w="1218" w:type="dxa"/>
            <w:tcBorders>
              <w:top w:val="nil"/>
              <w:left w:val="nil"/>
              <w:bottom w:val="single" w:sz="4" w:space="0" w:color="auto"/>
              <w:right w:val="single" w:sz="4" w:space="0" w:color="auto"/>
            </w:tcBorders>
            <w:shd w:val="clear" w:color="auto" w:fill="FFFFFF" w:themeFill="background1"/>
            <w:vAlign w:val="center"/>
          </w:tcPr>
          <w:p w14:paraId="73C3A7C5"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340833D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56D9B9EB"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21863E12"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3607EFC3"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6985E0A8"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50087E8C"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70EBA1D0"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1AABAA6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46B5761B"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100-832: REGION LA LIBERTAD-AGRICULTURA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3A80BC3B"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hAnsi="Arial Narrow"/>
                <w:sz w:val="16"/>
                <w:szCs w:val="16"/>
              </w:rPr>
              <w:t>451: Gobierno Regional del Departamento de La Libertad</w:t>
            </w:r>
          </w:p>
        </w:tc>
        <w:tc>
          <w:tcPr>
            <w:tcW w:w="1218" w:type="dxa"/>
            <w:tcBorders>
              <w:top w:val="nil"/>
              <w:left w:val="nil"/>
              <w:bottom w:val="single" w:sz="4" w:space="0" w:color="auto"/>
              <w:right w:val="single" w:sz="4" w:space="0" w:color="auto"/>
            </w:tcBorders>
            <w:shd w:val="clear" w:color="auto" w:fill="FFFFFF" w:themeFill="background1"/>
            <w:vAlign w:val="center"/>
          </w:tcPr>
          <w:p w14:paraId="77C1F5C7"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66FEC50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6060320C"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79BE496E"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1413F1BB"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5C2D54A5"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5215233E"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0FF5F18B"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69402A2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5D9EE187"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100-865: REGION LORETO-AGRICULTURA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333EE870"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hAnsi="Arial Narrow"/>
                <w:sz w:val="16"/>
                <w:szCs w:val="16"/>
              </w:rPr>
              <w:t>453: Gobierno Regional del Departamento de Loreto</w:t>
            </w:r>
          </w:p>
        </w:tc>
        <w:tc>
          <w:tcPr>
            <w:tcW w:w="1218" w:type="dxa"/>
            <w:tcBorders>
              <w:top w:val="nil"/>
              <w:left w:val="nil"/>
              <w:bottom w:val="single" w:sz="4" w:space="0" w:color="auto"/>
              <w:right w:val="single" w:sz="4" w:space="0" w:color="auto"/>
            </w:tcBorders>
            <w:shd w:val="clear" w:color="auto" w:fill="FFFFFF" w:themeFill="background1"/>
            <w:vAlign w:val="center"/>
          </w:tcPr>
          <w:p w14:paraId="0F67D5D9"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1D83B26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7A6071C2"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656CD045"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1A7EE613"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114D15D0"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554A74CC"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246FA4B5"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6A0E6B2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46308D61"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100-876: REGION MADRE DE DIOS-AGRICULTURA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4FACAB83"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hAnsi="Arial Narrow"/>
                <w:sz w:val="16"/>
                <w:szCs w:val="16"/>
              </w:rPr>
              <w:t>454: Gobierno Regional del Departamento de Madre De Dios</w:t>
            </w:r>
          </w:p>
        </w:tc>
        <w:tc>
          <w:tcPr>
            <w:tcW w:w="1218" w:type="dxa"/>
            <w:tcBorders>
              <w:top w:val="nil"/>
              <w:left w:val="nil"/>
              <w:bottom w:val="single" w:sz="4" w:space="0" w:color="auto"/>
              <w:right w:val="single" w:sz="4" w:space="0" w:color="auto"/>
            </w:tcBorders>
            <w:shd w:val="clear" w:color="auto" w:fill="FFFFFF" w:themeFill="background1"/>
            <w:vAlign w:val="center"/>
          </w:tcPr>
          <w:p w14:paraId="2E3CA24C"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672B120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3934B82D"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60F9150A"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4EA8FA52"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439805E3"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3A26B719"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7A4B078E"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2B6DCBB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2E2E2D4A"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100-924: REGION SAN MARTIN-AGRICULTURA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3C8C2DA0"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hAnsi="Arial Narrow"/>
                <w:sz w:val="16"/>
                <w:szCs w:val="16"/>
              </w:rPr>
              <w:t>459: Gobierno Regional del Departamento de San Martin</w:t>
            </w:r>
          </w:p>
        </w:tc>
        <w:tc>
          <w:tcPr>
            <w:tcW w:w="1218" w:type="dxa"/>
            <w:tcBorders>
              <w:top w:val="nil"/>
              <w:left w:val="nil"/>
              <w:bottom w:val="single" w:sz="4" w:space="0" w:color="auto"/>
              <w:right w:val="single" w:sz="4" w:space="0" w:color="auto"/>
            </w:tcBorders>
            <w:shd w:val="clear" w:color="auto" w:fill="FFFFFF" w:themeFill="background1"/>
            <w:vAlign w:val="center"/>
          </w:tcPr>
          <w:p w14:paraId="68BF2060"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0749E72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126E0DB5"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368A725C"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78520F5B"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7F241163"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25BC0292"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38BB5B67"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06AE596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69A7CBB5"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100-937: REGION TUMBES-AGRICULTURA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653EC70D"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hAnsi="Arial Narrow"/>
                <w:sz w:val="16"/>
                <w:szCs w:val="16"/>
              </w:rPr>
              <w:t>461: Gobierno Regional del Departamento de Tumbes</w:t>
            </w:r>
          </w:p>
        </w:tc>
        <w:tc>
          <w:tcPr>
            <w:tcW w:w="1218" w:type="dxa"/>
            <w:tcBorders>
              <w:top w:val="nil"/>
              <w:left w:val="nil"/>
              <w:bottom w:val="single" w:sz="4" w:space="0" w:color="auto"/>
              <w:right w:val="single" w:sz="4" w:space="0" w:color="auto"/>
            </w:tcBorders>
            <w:shd w:val="clear" w:color="auto" w:fill="FFFFFF" w:themeFill="background1"/>
            <w:vAlign w:val="center"/>
          </w:tcPr>
          <w:p w14:paraId="346737EF"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76D9891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752435C6"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23108916"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4C67CA89"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44D1D6CA"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4129E83D"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7FBF325D"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64FC218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37A02385"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100-947: REGION UCAYALI-AGRICULTURA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157F847A"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hAnsi="Arial Narrow"/>
                <w:sz w:val="16"/>
                <w:szCs w:val="16"/>
              </w:rPr>
              <w:t>462: Gobierno Regional del Departamento de Ucayali</w:t>
            </w:r>
          </w:p>
        </w:tc>
        <w:tc>
          <w:tcPr>
            <w:tcW w:w="1218" w:type="dxa"/>
            <w:tcBorders>
              <w:top w:val="nil"/>
              <w:left w:val="nil"/>
              <w:bottom w:val="single" w:sz="4" w:space="0" w:color="auto"/>
              <w:right w:val="single" w:sz="4" w:space="0" w:color="auto"/>
            </w:tcBorders>
            <w:shd w:val="clear" w:color="auto" w:fill="FFFFFF" w:themeFill="background1"/>
            <w:vAlign w:val="center"/>
          </w:tcPr>
          <w:p w14:paraId="580A0A05"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142F498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0534B041"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092FF18E"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0F529B8C"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6F25FDDB"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val="restart"/>
            <w:tcBorders>
              <w:top w:val="single" w:sz="4" w:space="0" w:color="auto"/>
              <w:left w:val="nil"/>
              <w:bottom w:val="single" w:sz="4" w:space="0" w:color="auto"/>
              <w:right w:val="single" w:sz="4" w:space="0" w:color="auto"/>
            </w:tcBorders>
            <w:shd w:val="clear" w:color="auto" w:fill="FFFFFF" w:themeFill="background1"/>
            <w:vAlign w:val="center"/>
          </w:tcPr>
          <w:p w14:paraId="1F88BD03"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AO005. Ejecución de operativos orientadas a reducir las actividades ilegales en el aprovechamiento de los recursos forestales y de fauna silvestre</w:t>
            </w:r>
          </w:p>
        </w:tc>
        <w:tc>
          <w:tcPr>
            <w:tcW w:w="2233" w:type="dxa"/>
            <w:vMerge w:val="restart"/>
            <w:tcBorders>
              <w:top w:val="single" w:sz="4" w:space="0" w:color="auto"/>
              <w:left w:val="nil"/>
              <w:bottom w:val="single" w:sz="4" w:space="0" w:color="auto"/>
              <w:right w:val="single" w:sz="4" w:space="0" w:color="auto"/>
            </w:tcBorders>
            <w:shd w:val="clear" w:color="auto" w:fill="FFFFFF" w:themeFill="background1"/>
            <w:vAlign w:val="center"/>
          </w:tcPr>
          <w:p w14:paraId="5BC7D8B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Operativos</w:t>
            </w:r>
          </w:p>
        </w:tc>
        <w:tc>
          <w:tcPr>
            <w:tcW w:w="1814" w:type="dxa"/>
            <w:tcBorders>
              <w:top w:val="nil"/>
              <w:left w:val="nil"/>
              <w:bottom w:val="single" w:sz="4" w:space="0" w:color="auto"/>
              <w:right w:val="single" w:sz="4" w:space="0" w:color="auto"/>
            </w:tcBorders>
            <w:shd w:val="clear" w:color="auto" w:fill="FFFFFF" w:themeFill="background1"/>
            <w:vAlign w:val="center"/>
          </w:tcPr>
          <w:p w14:paraId="1CD16F9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29B2096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xml:space="preserve">100-722: REGION AMAZONAS-AGRICULTURA </w:t>
            </w:r>
          </w:p>
        </w:tc>
        <w:tc>
          <w:tcPr>
            <w:tcW w:w="1560" w:type="dxa"/>
            <w:tcBorders>
              <w:top w:val="nil"/>
              <w:left w:val="nil"/>
              <w:bottom w:val="single" w:sz="4" w:space="0" w:color="auto"/>
              <w:right w:val="single" w:sz="4" w:space="0" w:color="auto"/>
            </w:tcBorders>
            <w:shd w:val="clear" w:color="auto" w:fill="FFFFFF" w:themeFill="background1"/>
            <w:vAlign w:val="center"/>
          </w:tcPr>
          <w:p w14:paraId="2E1ECA2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440: Gobierno Regional del Departamento de Amazonas</w:t>
            </w:r>
          </w:p>
        </w:tc>
        <w:tc>
          <w:tcPr>
            <w:tcW w:w="1218" w:type="dxa"/>
            <w:tcBorders>
              <w:top w:val="nil"/>
              <w:left w:val="nil"/>
              <w:bottom w:val="single" w:sz="4" w:space="0" w:color="auto"/>
              <w:right w:val="single" w:sz="4" w:space="0" w:color="auto"/>
            </w:tcBorders>
            <w:shd w:val="clear" w:color="auto" w:fill="FFFFFF" w:themeFill="background1"/>
            <w:vAlign w:val="center"/>
          </w:tcPr>
          <w:p w14:paraId="6E3EBE1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780F7CD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3F23FC97"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515A5BFE"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128809D3"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07EDA25F"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427ACB43"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7BD49E61"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26CCF5A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1FF9292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100-771: REGION AYACUCHO-AGRICULTURA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34AC0E4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444: Gobierno Regional del Departamento de Ayacucho</w:t>
            </w:r>
          </w:p>
        </w:tc>
        <w:tc>
          <w:tcPr>
            <w:tcW w:w="1218" w:type="dxa"/>
            <w:tcBorders>
              <w:top w:val="nil"/>
              <w:left w:val="nil"/>
              <w:bottom w:val="single" w:sz="4" w:space="0" w:color="auto"/>
              <w:right w:val="single" w:sz="4" w:space="0" w:color="auto"/>
            </w:tcBorders>
            <w:shd w:val="clear" w:color="auto" w:fill="FFFFFF" w:themeFill="background1"/>
            <w:vAlign w:val="center"/>
          </w:tcPr>
          <w:p w14:paraId="47AC056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2D58B4F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2B6B453F"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629E0CE9"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6462419A"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287B8D8F"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26F26DE8"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3D6F37A5"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6EB6910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6CE69C7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100-806: REGION HUANUCO-AGRICULTURA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660CB89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448: Gobierno Regional del Departamento de Huánuco</w:t>
            </w:r>
          </w:p>
        </w:tc>
        <w:tc>
          <w:tcPr>
            <w:tcW w:w="1218" w:type="dxa"/>
            <w:tcBorders>
              <w:top w:val="nil"/>
              <w:left w:val="nil"/>
              <w:bottom w:val="single" w:sz="4" w:space="0" w:color="auto"/>
              <w:right w:val="single" w:sz="4" w:space="0" w:color="auto"/>
            </w:tcBorders>
            <w:shd w:val="clear" w:color="auto" w:fill="FFFFFF" w:themeFill="background1"/>
            <w:vAlign w:val="center"/>
          </w:tcPr>
          <w:p w14:paraId="1113ABA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3AAD74E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1AA309F2"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4D4C4E9D"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0370B6E1"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1624810D"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117782C1"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30DFCDFA"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14EDBB9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7F41C26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100-832: REGION LA LIBERTAD-AGRICULTURA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18CAE42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451: Gobierno Regional del Departamento de La Libertad</w:t>
            </w:r>
          </w:p>
        </w:tc>
        <w:tc>
          <w:tcPr>
            <w:tcW w:w="1218" w:type="dxa"/>
            <w:tcBorders>
              <w:top w:val="nil"/>
              <w:left w:val="nil"/>
              <w:bottom w:val="single" w:sz="4" w:space="0" w:color="auto"/>
              <w:right w:val="single" w:sz="4" w:space="0" w:color="auto"/>
            </w:tcBorders>
            <w:shd w:val="clear" w:color="auto" w:fill="FFFFFF" w:themeFill="background1"/>
            <w:vAlign w:val="center"/>
          </w:tcPr>
          <w:p w14:paraId="3A9E4DD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661DA72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0D5C50B2"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7BC13CE9"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3F4AB918"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30ABB0B3"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45A69AD8"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238F25D0"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45AA722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36E9467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100-865: REGION LORETO-AGRICULTURA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2E40FAF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453: Gobierno Regional del Departamento de Loreto</w:t>
            </w:r>
          </w:p>
        </w:tc>
        <w:tc>
          <w:tcPr>
            <w:tcW w:w="1218" w:type="dxa"/>
            <w:tcBorders>
              <w:top w:val="nil"/>
              <w:left w:val="nil"/>
              <w:bottom w:val="single" w:sz="4" w:space="0" w:color="auto"/>
              <w:right w:val="single" w:sz="4" w:space="0" w:color="auto"/>
            </w:tcBorders>
            <w:shd w:val="clear" w:color="auto" w:fill="FFFFFF" w:themeFill="background1"/>
            <w:vAlign w:val="center"/>
          </w:tcPr>
          <w:p w14:paraId="0DE9280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44B275C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3F72933B"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29907F80"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27782C3D"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4845F8BA"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3F63C5DF"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71AACEBB"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40C9CA2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185D1B8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100-876: REGION MADRE DE DIOS-AGRICULTURA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46F4D57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454: Gobierno Regional del Departamento de Madre De Dios</w:t>
            </w:r>
          </w:p>
        </w:tc>
        <w:tc>
          <w:tcPr>
            <w:tcW w:w="1218" w:type="dxa"/>
            <w:tcBorders>
              <w:top w:val="nil"/>
              <w:left w:val="nil"/>
              <w:bottom w:val="single" w:sz="4" w:space="0" w:color="auto"/>
              <w:right w:val="single" w:sz="4" w:space="0" w:color="auto"/>
            </w:tcBorders>
            <w:shd w:val="clear" w:color="auto" w:fill="FFFFFF" w:themeFill="background1"/>
            <w:vAlign w:val="center"/>
          </w:tcPr>
          <w:p w14:paraId="39AE198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671583E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2208AF3C"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29871581"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3E50ABE3"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37DEFBE2"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0071CD78"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28E42932"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540D2A4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181B8CD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100-924: REGION SAN MARTIN-AGRICULTURA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73F8031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459: Gobierno Regional del Departamento de San Martin</w:t>
            </w:r>
          </w:p>
        </w:tc>
        <w:tc>
          <w:tcPr>
            <w:tcW w:w="1218" w:type="dxa"/>
            <w:tcBorders>
              <w:top w:val="nil"/>
              <w:left w:val="nil"/>
              <w:bottom w:val="single" w:sz="4" w:space="0" w:color="auto"/>
              <w:right w:val="single" w:sz="4" w:space="0" w:color="auto"/>
            </w:tcBorders>
            <w:shd w:val="clear" w:color="auto" w:fill="FFFFFF" w:themeFill="background1"/>
            <w:vAlign w:val="center"/>
          </w:tcPr>
          <w:p w14:paraId="0C9BF03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555B138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1B7A0D53"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42374313"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5D15052B"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0A743796"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27853DBA"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3D9DBFF1"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67D9634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19C3909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100-937: REGION TUMBES-AGRICULTURA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7E8F926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461: Gobierno Regional del Departamento de Tumbes</w:t>
            </w:r>
          </w:p>
        </w:tc>
        <w:tc>
          <w:tcPr>
            <w:tcW w:w="1218" w:type="dxa"/>
            <w:tcBorders>
              <w:top w:val="nil"/>
              <w:left w:val="nil"/>
              <w:bottom w:val="single" w:sz="4" w:space="0" w:color="auto"/>
              <w:right w:val="single" w:sz="4" w:space="0" w:color="auto"/>
            </w:tcBorders>
            <w:shd w:val="clear" w:color="auto" w:fill="FFFFFF" w:themeFill="background1"/>
            <w:vAlign w:val="center"/>
          </w:tcPr>
          <w:p w14:paraId="64EF67A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4F69735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24857184"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345DD849"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0F3F25AA"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0494A6A1"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55C926FC"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20E969BD"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358A497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1531DB0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100-947: REGION UCAYALI-AGRICULTURA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34ABC81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462: Gobierno Regional del Departamento de Ucayali</w:t>
            </w:r>
          </w:p>
        </w:tc>
        <w:tc>
          <w:tcPr>
            <w:tcW w:w="1218" w:type="dxa"/>
            <w:tcBorders>
              <w:top w:val="nil"/>
              <w:left w:val="nil"/>
              <w:bottom w:val="single" w:sz="4" w:space="0" w:color="auto"/>
              <w:right w:val="single" w:sz="4" w:space="0" w:color="auto"/>
            </w:tcBorders>
            <w:shd w:val="clear" w:color="auto" w:fill="FFFFFF" w:themeFill="background1"/>
            <w:vAlign w:val="center"/>
          </w:tcPr>
          <w:p w14:paraId="3D274D6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27D153B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519C201F" w14:textId="77777777" w:rsidTr="00AF5836">
        <w:trPr>
          <w:gridAfter w:val="2"/>
          <w:wAfter w:w="160" w:type="dxa"/>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E60AD38"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DE21622"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577F98E"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val="restart"/>
            <w:tcBorders>
              <w:top w:val="single" w:sz="4" w:space="0" w:color="auto"/>
              <w:left w:val="nil"/>
              <w:bottom w:val="single" w:sz="4" w:space="0" w:color="auto"/>
              <w:right w:val="single" w:sz="4" w:space="0" w:color="auto"/>
            </w:tcBorders>
            <w:shd w:val="clear" w:color="auto" w:fill="FFFFFF" w:themeFill="background1"/>
            <w:vAlign w:val="center"/>
            <w:hideMark/>
          </w:tcPr>
          <w:p w14:paraId="16ADA94F"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AO006. Ejecución de inspecciones convocadas por la Fiscalía Especializada en Materia Ambiental</w:t>
            </w:r>
          </w:p>
        </w:tc>
        <w:tc>
          <w:tcPr>
            <w:tcW w:w="2233" w:type="dxa"/>
            <w:vMerge w:val="restart"/>
            <w:tcBorders>
              <w:top w:val="single" w:sz="4" w:space="0" w:color="auto"/>
              <w:left w:val="nil"/>
              <w:bottom w:val="single" w:sz="4" w:space="0" w:color="auto"/>
              <w:right w:val="single" w:sz="4" w:space="0" w:color="auto"/>
            </w:tcBorders>
            <w:shd w:val="clear" w:color="auto" w:fill="FFFFFF" w:themeFill="background1"/>
            <w:vAlign w:val="center"/>
            <w:hideMark/>
          </w:tcPr>
          <w:p w14:paraId="1F4504C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Inspección</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35D43DC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Administraciones Técnicas Forestales y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2A52B0B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415249E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0CE8F7B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6073B2B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6C66936A" w14:textId="77777777" w:rsidTr="00AF5836">
        <w:trPr>
          <w:gridAfter w:val="2"/>
          <w:wAfter w:w="160" w:type="dxa"/>
          <w:trHeight w:val="188"/>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6D8938F3"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445AAD80"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65BEDEA4"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66701CEE"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7612D11E"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4AED530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0D95FE7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xml:space="preserve">100-722: REGION AMAZONAS-AGRICULTURA </w:t>
            </w:r>
          </w:p>
        </w:tc>
        <w:tc>
          <w:tcPr>
            <w:tcW w:w="1560" w:type="dxa"/>
            <w:tcBorders>
              <w:top w:val="nil"/>
              <w:left w:val="nil"/>
              <w:bottom w:val="single" w:sz="4" w:space="0" w:color="auto"/>
              <w:right w:val="single" w:sz="4" w:space="0" w:color="auto"/>
            </w:tcBorders>
            <w:shd w:val="clear" w:color="auto" w:fill="FFFFFF" w:themeFill="background1"/>
            <w:vAlign w:val="center"/>
          </w:tcPr>
          <w:p w14:paraId="4E4F0DE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440: Gobierno Regional del Departamento de Amazonas</w:t>
            </w:r>
          </w:p>
        </w:tc>
        <w:tc>
          <w:tcPr>
            <w:tcW w:w="1218" w:type="dxa"/>
            <w:tcBorders>
              <w:top w:val="nil"/>
              <w:left w:val="nil"/>
              <w:bottom w:val="single" w:sz="4" w:space="0" w:color="auto"/>
              <w:right w:val="single" w:sz="4" w:space="0" w:color="auto"/>
            </w:tcBorders>
            <w:shd w:val="clear" w:color="auto" w:fill="FFFFFF" w:themeFill="background1"/>
            <w:vAlign w:val="center"/>
          </w:tcPr>
          <w:p w14:paraId="49D5B42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266E315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3B569B0A"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3632430B"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4142C873"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3A10BA3F"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2EC5CDE4"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757876D9"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2974469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6CC3D32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100-771: REGION AYACUCHO-AGRICULTURA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2F88A55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444: Gobierno Regional del Departamento de Ayacucho</w:t>
            </w:r>
          </w:p>
        </w:tc>
        <w:tc>
          <w:tcPr>
            <w:tcW w:w="1218" w:type="dxa"/>
            <w:tcBorders>
              <w:top w:val="nil"/>
              <w:left w:val="nil"/>
              <w:bottom w:val="single" w:sz="4" w:space="0" w:color="auto"/>
              <w:right w:val="single" w:sz="4" w:space="0" w:color="auto"/>
            </w:tcBorders>
            <w:shd w:val="clear" w:color="auto" w:fill="FFFFFF" w:themeFill="background1"/>
            <w:vAlign w:val="center"/>
          </w:tcPr>
          <w:p w14:paraId="283C8FC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366427C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4624D0F8"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0486ACBF"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3D9DD442"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6AE4BCA5"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6425E985"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1D7C7C98"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4BC48E9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4E9DFEC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100-806: REGION HUANUCO-AGRICULTURA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1E43272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448: Gobierno Regional del Departamento de Huánuco</w:t>
            </w:r>
          </w:p>
        </w:tc>
        <w:tc>
          <w:tcPr>
            <w:tcW w:w="1218" w:type="dxa"/>
            <w:tcBorders>
              <w:top w:val="nil"/>
              <w:left w:val="nil"/>
              <w:bottom w:val="single" w:sz="4" w:space="0" w:color="auto"/>
              <w:right w:val="single" w:sz="4" w:space="0" w:color="auto"/>
            </w:tcBorders>
            <w:shd w:val="clear" w:color="auto" w:fill="FFFFFF" w:themeFill="background1"/>
            <w:vAlign w:val="center"/>
          </w:tcPr>
          <w:p w14:paraId="1141D25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253039C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37711CD7"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0D719FDA"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5B0E14EF"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4645EB24"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035AA783"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47D9017D"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6B1AFB6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052B032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100-832: REGION LA LIBERTAD-AGRICULTURA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5E2477C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451: Gobierno Regional del Departamento de La Libertad</w:t>
            </w:r>
          </w:p>
        </w:tc>
        <w:tc>
          <w:tcPr>
            <w:tcW w:w="1218" w:type="dxa"/>
            <w:tcBorders>
              <w:top w:val="nil"/>
              <w:left w:val="nil"/>
              <w:bottom w:val="single" w:sz="4" w:space="0" w:color="auto"/>
              <w:right w:val="single" w:sz="4" w:space="0" w:color="auto"/>
            </w:tcBorders>
            <w:shd w:val="clear" w:color="auto" w:fill="FFFFFF" w:themeFill="background1"/>
            <w:vAlign w:val="center"/>
          </w:tcPr>
          <w:p w14:paraId="38142F9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797277F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4842C1BD"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096C4358"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19603547"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1AE8A203"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699C0FEC"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231BD1D7"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7D4DD74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2E49C00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100-865: REGION LORETO-AGRICULTURA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5E5792C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453: Gobierno Regional del Departamento de Loreto</w:t>
            </w:r>
          </w:p>
        </w:tc>
        <w:tc>
          <w:tcPr>
            <w:tcW w:w="1218" w:type="dxa"/>
            <w:tcBorders>
              <w:top w:val="nil"/>
              <w:left w:val="nil"/>
              <w:bottom w:val="single" w:sz="4" w:space="0" w:color="auto"/>
              <w:right w:val="single" w:sz="4" w:space="0" w:color="auto"/>
            </w:tcBorders>
            <w:shd w:val="clear" w:color="auto" w:fill="FFFFFF" w:themeFill="background1"/>
            <w:vAlign w:val="center"/>
          </w:tcPr>
          <w:p w14:paraId="60A76AE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11BE2FF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75D9D76F"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440F538A"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1B04B3D8"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1E742FBA"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6A57A645"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3F928BA5"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740405F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5965CA7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100-876: REGION MADRE DE DIOS-AGRICULTURA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311438A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454: Gobierno Regional del Departamento de Madre De Dios</w:t>
            </w:r>
          </w:p>
        </w:tc>
        <w:tc>
          <w:tcPr>
            <w:tcW w:w="1218" w:type="dxa"/>
            <w:tcBorders>
              <w:top w:val="nil"/>
              <w:left w:val="nil"/>
              <w:bottom w:val="single" w:sz="4" w:space="0" w:color="auto"/>
              <w:right w:val="single" w:sz="4" w:space="0" w:color="auto"/>
            </w:tcBorders>
            <w:shd w:val="clear" w:color="auto" w:fill="FFFFFF" w:themeFill="background1"/>
            <w:vAlign w:val="center"/>
          </w:tcPr>
          <w:p w14:paraId="6FCF26B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790CA9C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1BE1A869"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412ABAAE"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1F487AB5"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3A982EE5"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7B4BE96B"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2A46B318"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7551780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5177B73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100-924: REGION SAN MARTIN-AGRICULTURA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78BC4B7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459: Gobierno Regional del Departamento de San Martin</w:t>
            </w:r>
          </w:p>
        </w:tc>
        <w:tc>
          <w:tcPr>
            <w:tcW w:w="1218" w:type="dxa"/>
            <w:tcBorders>
              <w:top w:val="nil"/>
              <w:left w:val="nil"/>
              <w:bottom w:val="single" w:sz="4" w:space="0" w:color="auto"/>
              <w:right w:val="single" w:sz="4" w:space="0" w:color="auto"/>
            </w:tcBorders>
            <w:shd w:val="clear" w:color="auto" w:fill="FFFFFF" w:themeFill="background1"/>
            <w:vAlign w:val="center"/>
          </w:tcPr>
          <w:p w14:paraId="6AA8CF1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691D15F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12AE7B81" w14:textId="77777777" w:rsidTr="00AF5836">
        <w:trPr>
          <w:gridAfter w:val="2"/>
          <w:wAfter w:w="160" w:type="dxa"/>
          <w:trHeight w:val="216"/>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3B0696A4"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06CDEAE5"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24B91A73"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6C387DA6"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4E393B45"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04A3AA8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15D2869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100-937: REGION TUMBES-AGRICULTURA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48821E8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461: Gobierno Regional del Departamento de Tumbes</w:t>
            </w:r>
          </w:p>
        </w:tc>
        <w:tc>
          <w:tcPr>
            <w:tcW w:w="1218" w:type="dxa"/>
            <w:tcBorders>
              <w:top w:val="nil"/>
              <w:left w:val="nil"/>
              <w:bottom w:val="single" w:sz="4" w:space="0" w:color="auto"/>
              <w:right w:val="single" w:sz="4" w:space="0" w:color="auto"/>
            </w:tcBorders>
            <w:shd w:val="clear" w:color="auto" w:fill="FFFFFF" w:themeFill="background1"/>
            <w:vAlign w:val="center"/>
          </w:tcPr>
          <w:p w14:paraId="42D917E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1D77A98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491A9BD0"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4AC4BBD6"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7866CE84"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1B0D8CA0"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71D8948A"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1CC757BD"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267DACD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3E5BF93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100-947: REGION UCAYALI-AGRICULTURA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69746F4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462: Gobierno Regional del Departamento de Ucayali</w:t>
            </w:r>
          </w:p>
        </w:tc>
        <w:tc>
          <w:tcPr>
            <w:tcW w:w="1218" w:type="dxa"/>
            <w:tcBorders>
              <w:top w:val="nil"/>
              <w:left w:val="nil"/>
              <w:bottom w:val="single" w:sz="4" w:space="0" w:color="auto"/>
              <w:right w:val="single" w:sz="4" w:space="0" w:color="auto"/>
            </w:tcBorders>
            <w:shd w:val="clear" w:color="auto" w:fill="FFFFFF" w:themeFill="background1"/>
            <w:vAlign w:val="center"/>
          </w:tcPr>
          <w:p w14:paraId="32DE98E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209D2ED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783551BA" w14:textId="77777777" w:rsidTr="00AF5836">
        <w:trPr>
          <w:gridAfter w:val="2"/>
          <w:wAfter w:w="160" w:type="dxa"/>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CD84CC3"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1059248"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DC9ABE6"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val="restart"/>
            <w:tcBorders>
              <w:top w:val="nil"/>
              <w:left w:val="nil"/>
              <w:right w:val="single" w:sz="4" w:space="0" w:color="auto"/>
            </w:tcBorders>
            <w:shd w:val="clear" w:color="auto" w:fill="FFFFFF" w:themeFill="background1"/>
            <w:vAlign w:val="center"/>
            <w:hideMark/>
          </w:tcPr>
          <w:p w14:paraId="7CD464ED"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 007: Ejecución de Operativos</w:t>
            </w:r>
            <w:r w:rsidRPr="00846D49">
              <w:rPr>
                <w:rFonts w:ascii="Arial Narrow" w:eastAsia="Times New Roman" w:hAnsi="Arial Narrow"/>
                <w:sz w:val="16"/>
                <w:szCs w:val="16"/>
                <w:shd w:val="clear" w:color="auto" w:fill="FFFF00"/>
              </w:rPr>
              <w:t xml:space="preserve"> </w:t>
            </w:r>
            <w:r w:rsidRPr="00846D49">
              <w:rPr>
                <w:rFonts w:ascii="Arial Narrow" w:eastAsia="Times New Roman" w:hAnsi="Arial Narrow"/>
                <w:sz w:val="16"/>
                <w:szCs w:val="16"/>
              </w:rPr>
              <w:t>Inopinados en coordinación con la Policía Nacional del Perú y Fiscalía Especializada en Materia Ambiental - FEMA</w:t>
            </w:r>
          </w:p>
        </w:tc>
        <w:tc>
          <w:tcPr>
            <w:tcW w:w="2233" w:type="dxa"/>
            <w:vMerge w:val="restart"/>
            <w:tcBorders>
              <w:top w:val="nil"/>
              <w:left w:val="nil"/>
              <w:right w:val="single" w:sz="4" w:space="0" w:color="auto"/>
            </w:tcBorders>
            <w:shd w:val="clear" w:color="auto" w:fill="FFFFFF" w:themeFill="background1"/>
            <w:vAlign w:val="center"/>
            <w:hideMark/>
          </w:tcPr>
          <w:p w14:paraId="7B30D82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Intervención</w:t>
            </w:r>
          </w:p>
        </w:tc>
        <w:tc>
          <w:tcPr>
            <w:tcW w:w="1814" w:type="dxa"/>
            <w:tcBorders>
              <w:top w:val="nil"/>
              <w:left w:val="nil"/>
              <w:bottom w:val="single" w:sz="4" w:space="0" w:color="auto"/>
              <w:right w:val="single" w:sz="4" w:space="0" w:color="auto"/>
            </w:tcBorders>
            <w:shd w:val="clear" w:color="auto" w:fill="FFFFFF" w:themeFill="background1"/>
            <w:hideMark/>
          </w:tcPr>
          <w:p w14:paraId="1BE113F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Administraciones Técnicas Forestales y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24C8467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3245467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26ACEBE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52E3620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56EA87F6"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308D57F0"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39736655"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1B29A40C"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278719AE"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left w:val="nil"/>
              <w:right w:val="single" w:sz="4" w:space="0" w:color="auto"/>
            </w:tcBorders>
            <w:shd w:val="clear" w:color="auto" w:fill="FFFFFF" w:themeFill="background1"/>
            <w:vAlign w:val="center"/>
          </w:tcPr>
          <w:p w14:paraId="04F10055"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2CA6615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05F23E9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xml:space="preserve">100-722: REGION AMAZONAS-AGRICULTURA </w:t>
            </w:r>
          </w:p>
        </w:tc>
        <w:tc>
          <w:tcPr>
            <w:tcW w:w="1560" w:type="dxa"/>
            <w:tcBorders>
              <w:top w:val="nil"/>
              <w:left w:val="nil"/>
              <w:bottom w:val="single" w:sz="4" w:space="0" w:color="auto"/>
              <w:right w:val="single" w:sz="4" w:space="0" w:color="auto"/>
            </w:tcBorders>
            <w:shd w:val="clear" w:color="auto" w:fill="FFFFFF" w:themeFill="background1"/>
            <w:vAlign w:val="center"/>
          </w:tcPr>
          <w:p w14:paraId="3958393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440: Gobierno Regional del Departamento de Amazonas</w:t>
            </w:r>
          </w:p>
        </w:tc>
        <w:tc>
          <w:tcPr>
            <w:tcW w:w="1218" w:type="dxa"/>
            <w:tcBorders>
              <w:top w:val="nil"/>
              <w:left w:val="nil"/>
              <w:bottom w:val="single" w:sz="4" w:space="0" w:color="auto"/>
              <w:right w:val="single" w:sz="4" w:space="0" w:color="auto"/>
            </w:tcBorders>
            <w:shd w:val="clear" w:color="auto" w:fill="FFFFFF" w:themeFill="background1"/>
            <w:vAlign w:val="center"/>
          </w:tcPr>
          <w:p w14:paraId="0896DCD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1EA2643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17F215F9"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7E6ED23D"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7C84613F"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7D93AE16"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258A7A1B"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left w:val="nil"/>
              <w:right w:val="single" w:sz="4" w:space="0" w:color="auto"/>
            </w:tcBorders>
            <w:shd w:val="clear" w:color="auto" w:fill="FFFFFF" w:themeFill="background1"/>
            <w:vAlign w:val="center"/>
          </w:tcPr>
          <w:p w14:paraId="4C7B17E1"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294FE3D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78E36A9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100-771: REGION AYACUCHO-AGRICULTURA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477C2BD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444: Gobierno Regional del Departamento de Ayacucho</w:t>
            </w:r>
          </w:p>
        </w:tc>
        <w:tc>
          <w:tcPr>
            <w:tcW w:w="1218" w:type="dxa"/>
            <w:tcBorders>
              <w:top w:val="nil"/>
              <w:left w:val="nil"/>
              <w:bottom w:val="single" w:sz="4" w:space="0" w:color="auto"/>
              <w:right w:val="single" w:sz="4" w:space="0" w:color="auto"/>
            </w:tcBorders>
            <w:shd w:val="clear" w:color="auto" w:fill="FFFFFF" w:themeFill="background1"/>
            <w:vAlign w:val="center"/>
          </w:tcPr>
          <w:p w14:paraId="01ABD2C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37C1915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41D3404B"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3D41A7A1"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1AC8B1D8"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205B6398"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6D087391"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left w:val="nil"/>
              <w:right w:val="single" w:sz="4" w:space="0" w:color="auto"/>
            </w:tcBorders>
            <w:shd w:val="clear" w:color="auto" w:fill="FFFFFF" w:themeFill="background1"/>
            <w:vAlign w:val="center"/>
          </w:tcPr>
          <w:p w14:paraId="7846681A"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401492F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7057391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100-806: REGION HUANUCO-AGRICULTURA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5D36110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448: Gobierno Regional del Departamento de Huánuco</w:t>
            </w:r>
          </w:p>
        </w:tc>
        <w:tc>
          <w:tcPr>
            <w:tcW w:w="1218" w:type="dxa"/>
            <w:tcBorders>
              <w:top w:val="nil"/>
              <w:left w:val="nil"/>
              <w:bottom w:val="single" w:sz="4" w:space="0" w:color="auto"/>
              <w:right w:val="single" w:sz="4" w:space="0" w:color="auto"/>
            </w:tcBorders>
            <w:shd w:val="clear" w:color="auto" w:fill="FFFFFF" w:themeFill="background1"/>
            <w:vAlign w:val="center"/>
          </w:tcPr>
          <w:p w14:paraId="7E3731B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267A6DC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7ABF60A3"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60564985"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694F7012"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278B4CF0"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26136A55"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left w:val="nil"/>
              <w:right w:val="single" w:sz="4" w:space="0" w:color="auto"/>
            </w:tcBorders>
            <w:shd w:val="clear" w:color="auto" w:fill="FFFFFF" w:themeFill="background1"/>
            <w:vAlign w:val="center"/>
          </w:tcPr>
          <w:p w14:paraId="51E2FBDF"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0BE56E4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7BC58D6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100-832: REGION LA LIBERTAD-AGRICULTURA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64CFD92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451: Gobierno Regional del Departamento de La Libertad</w:t>
            </w:r>
          </w:p>
        </w:tc>
        <w:tc>
          <w:tcPr>
            <w:tcW w:w="1218" w:type="dxa"/>
            <w:tcBorders>
              <w:top w:val="nil"/>
              <w:left w:val="nil"/>
              <w:bottom w:val="single" w:sz="4" w:space="0" w:color="auto"/>
              <w:right w:val="single" w:sz="4" w:space="0" w:color="auto"/>
            </w:tcBorders>
            <w:shd w:val="clear" w:color="auto" w:fill="FFFFFF" w:themeFill="background1"/>
            <w:vAlign w:val="center"/>
          </w:tcPr>
          <w:p w14:paraId="14C99FE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1609383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45227C6E"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1AEB3D4F"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4D9BCF59"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6D6E6664"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3F5AFB18"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left w:val="nil"/>
              <w:right w:val="single" w:sz="4" w:space="0" w:color="auto"/>
            </w:tcBorders>
            <w:shd w:val="clear" w:color="auto" w:fill="FFFFFF" w:themeFill="background1"/>
            <w:vAlign w:val="center"/>
          </w:tcPr>
          <w:p w14:paraId="205FAFCC"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11E7E40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0824906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100-865: REGION LORETO-AGRICULTURA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7DC3A1E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453: Gobierno Regional del Departamento de Loreto</w:t>
            </w:r>
          </w:p>
        </w:tc>
        <w:tc>
          <w:tcPr>
            <w:tcW w:w="1218" w:type="dxa"/>
            <w:tcBorders>
              <w:top w:val="nil"/>
              <w:left w:val="nil"/>
              <w:bottom w:val="single" w:sz="4" w:space="0" w:color="auto"/>
              <w:right w:val="single" w:sz="4" w:space="0" w:color="auto"/>
            </w:tcBorders>
            <w:shd w:val="clear" w:color="auto" w:fill="FFFFFF" w:themeFill="background1"/>
            <w:vAlign w:val="center"/>
          </w:tcPr>
          <w:p w14:paraId="5527958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6AA132B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27F316DB"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570C506A"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0E75E527"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5BE4B932"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70A19D8F"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left w:val="nil"/>
              <w:right w:val="single" w:sz="4" w:space="0" w:color="auto"/>
            </w:tcBorders>
            <w:shd w:val="clear" w:color="auto" w:fill="FFFFFF" w:themeFill="background1"/>
            <w:vAlign w:val="center"/>
          </w:tcPr>
          <w:p w14:paraId="03267475"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754E699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5C34E14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100-876: REGION MADRE DE DIOS-AGRICULTURA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73B4410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454: Gobierno Regional del Departamento de Madre De Dios</w:t>
            </w:r>
          </w:p>
        </w:tc>
        <w:tc>
          <w:tcPr>
            <w:tcW w:w="1218" w:type="dxa"/>
            <w:tcBorders>
              <w:top w:val="nil"/>
              <w:left w:val="nil"/>
              <w:bottom w:val="single" w:sz="4" w:space="0" w:color="auto"/>
              <w:right w:val="single" w:sz="4" w:space="0" w:color="auto"/>
            </w:tcBorders>
            <w:shd w:val="clear" w:color="auto" w:fill="FFFFFF" w:themeFill="background1"/>
            <w:vAlign w:val="center"/>
          </w:tcPr>
          <w:p w14:paraId="652FA59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6FF1BD2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373B75F8"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33C08954"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7C613713"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388AD2C2"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40C423E2"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left w:val="nil"/>
              <w:right w:val="single" w:sz="4" w:space="0" w:color="auto"/>
            </w:tcBorders>
            <w:shd w:val="clear" w:color="auto" w:fill="FFFFFF" w:themeFill="background1"/>
            <w:vAlign w:val="center"/>
          </w:tcPr>
          <w:p w14:paraId="3FA172EA"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2FC23E5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49DF814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100-924: REGION SAN MARTIN-AGRICULTURA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1E70490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459: Gobierno Regional del Departamento de San Martin</w:t>
            </w:r>
          </w:p>
        </w:tc>
        <w:tc>
          <w:tcPr>
            <w:tcW w:w="1218" w:type="dxa"/>
            <w:tcBorders>
              <w:top w:val="nil"/>
              <w:left w:val="nil"/>
              <w:bottom w:val="single" w:sz="4" w:space="0" w:color="auto"/>
              <w:right w:val="single" w:sz="4" w:space="0" w:color="auto"/>
            </w:tcBorders>
            <w:shd w:val="clear" w:color="auto" w:fill="FFFFFF" w:themeFill="background1"/>
            <w:vAlign w:val="center"/>
          </w:tcPr>
          <w:p w14:paraId="54AF6F0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6942802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0211AC2A"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7F297319"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74317546"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286CED8D"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75E1FC15"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left w:val="nil"/>
              <w:right w:val="single" w:sz="4" w:space="0" w:color="auto"/>
            </w:tcBorders>
            <w:shd w:val="clear" w:color="auto" w:fill="FFFFFF" w:themeFill="background1"/>
            <w:vAlign w:val="center"/>
          </w:tcPr>
          <w:p w14:paraId="7990A4DE"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3D11C09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6D159ED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100-937: REGION TUMBES-AGRICULTURA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717B9D5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461: Gobierno Regional del Departamento de Tumbes</w:t>
            </w:r>
          </w:p>
        </w:tc>
        <w:tc>
          <w:tcPr>
            <w:tcW w:w="1218" w:type="dxa"/>
            <w:tcBorders>
              <w:top w:val="nil"/>
              <w:left w:val="nil"/>
              <w:bottom w:val="single" w:sz="4" w:space="0" w:color="auto"/>
              <w:right w:val="single" w:sz="4" w:space="0" w:color="auto"/>
            </w:tcBorders>
            <w:shd w:val="clear" w:color="auto" w:fill="FFFFFF" w:themeFill="background1"/>
            <w:vAlign w:val="center"/>
          </w:tcPr>
          <w:p w14:paraId="2E4FB03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42278B2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074FF8DC"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7B0670B1"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411E214D"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3BF06036"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bottom w:val="single" w:sz="4" w:space="0" w:color="auto"/>
              <w:right w:val="single" w:sz="4" w:space="0" w:color="auto"/>
            </w:tcBorders>
            <w:shd w:val="clear" w:color="auto" w:fill="FFFFFF" w:themeFill="background1"/>
            <w:vAlign w:val="center"/>
          </w:tcPr>
          <w:p w14:paraId="0FA7DE46"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left w:val="nil"/>
              <w:bottom w:val="single" w:sz="4" w:space="0" w:color="auto"/>
              <w:right w:val="single" w:sz="4" w:space="0" w:color="auto"/>
            </w:tcBorders>
            <w:shd w:val="clear" w:color="auto" w:fill="FFFFFF" w:themeFill="background1"/>
            <w:vAlign w:val="center"/>
          </w:tcPr>
          <w:p w14:paraId="3606D110"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3E8F1E0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13804D9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100-947: REGION UCAYALI-AGRICULTURA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3C2C3E5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462: Gobierno Regional del Departamento de Ucayali</w:t>
            </w:r>
          </w:p>
        </w:tc>
        <w:tc>
          <w:tcPr>
            <w:tcW w:w="1218" w:type="dxa"/>
            <w:tcBorders>
              <w:top w:val="nil"/>
              <w:left w:val="nil"/>
              <w:bottom w:val="single" w:sz="4" w:space="0" w:color="auto"/>
              <w:right w:val="single" w:sz="4" w:space="0" w:color="auto"/>
            </w:tcBorders>
            <w:shd w:val="clear" w:color="auto" w:fill="FFFFFF" w:themeFill="background1"/>
            <w:vAlign w:val="center"/>
          </w:tcPr>
          <w:p w14:paraId="085F7B5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520AE71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0204F2FC" w14:textId="77777777" w:rsidTr="00AF5836">
        <w:trPr>
          <w:gridAfter w:val="2"/>
          <w:wAfter w:w="160" w:type="dxa"/>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20AB670"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005A81A"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40EB6E0"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val="restart"/>
            <w:tcBorders>
              <w:top w:val="nil"/>
              <w:left w:val="nil"/>
              <w:right w:val="single" w:sz="4" w:space="0" w:color="auto"/>
            </w:tcBorders>
            <w:shd w:val="clear" w:color="auto" w:fill="FFFFFF" w:themeFill="background1"/>
            <w:vAlign w:val="center"/>
            <w:hideMark/>
          </w:tcPr>
          <w:p w14:paraId="038A8985"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 008: Ejecución de Intervenciones orientadas a reducir las actividades ilegales que atenten contra los recursos forestales y de fauna silvestre.</w:t>
            </w:r>
          </w:p>
        </w:tc>
        <w:tc>
          <w:tcPr>
            <w:tcW w:w="2233" w:type="dxa"/>
            <w:vMerge w:val="restart"/>
            <w:tcBorders>
              <w:top w:val="nil"/>
              <w:left w:val="nil"/>
              <w:right w:val="single" w:sz="4" w:space="0" w:color="auto"/>
            </w:tcBorders>
            <w:shd w:val="clear" w:color="auto" w:fill="FFFFFF" w:themeFill="background1"/>
            <w:vAlign w:val="center"/>
            <w:hideMark/>
          </w:tcPr>
          <w:p w14:paraId="74CA542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Intervención</w:t>
            </w:r>
          </w:p>
        </w:tc>
        <w:tc>
          <w:tcPr>
            <w:tcW w:w="1814" w:type="dxa"/>
            <w:tcBorders>
              <w:top w:val="nil"/>
              <w:left w:val="nil"/>
              <w:bottom w:val="single" w:sz="4" w:space="0" w:color="auto"/>
              <w:right w:val="single" w:sz="4" w:space="0" w:color="auto"/>
            </w:tcBorders>
            <w:shd w:val="clear" w:color="auto" w:fill="FFFFFF" w:themeFill="background1"/>
            <w:hideMark/>
          </w:tcPr>
          <w:p w14:paraId="110A8BA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Administraciones Técnicas Forestales y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5C9B228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4689B2F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2BA2D67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21096F7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7E77EFC9"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12EA521D"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425CEE97"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0239EF5A"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039FF0AB"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left w:val="nil"/>
              <w:right w:val="single" w:sz="4" w:space="0" w:color="auto"/>
            </w:tcBorders>
            <w:shd w:val="clear" w:color="auto" w:fill="FFFFFF" w:themeFill="background1"/>
            <w:vAlign w:val="center"/>
          </w:tcPr>
          <w:p w14:paraId="29E0809B"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24B2726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6CDC65B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xml:space="preserve">100-722: REGION AMAZONAS-AGRICULTURA </w:t>
            </w:r>
          </w:p>
        </w:tc>
        <w:tc>
          <w:tcPr>
            <w:tcW w:w="1560" w:type="dxa"/>
            <w:tcBorders>
              <w:top w:val="nil"/>
              <w:left w:val="nil"/>
              <w:bottom w:val="single" w:sz="4" w:space="0" w:color="auto"/>
              <w:right w:val="single" w:sz="4" w:space="0" w:color="auto"/>
            </w:tcBorders>
            <w:shd w:val="clear" w:color="auto" w:fill="FFFFFF" w:themeFill="background1"/>
            <w:vAlign w:val="center"/>
          </w:tcPr>
          <w:p w14:paraId="5E3658A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440: Gobierno Regional del Departamento de Amazonas</w:t>
            </w:r>
          </w:p>
        </w:tc>
        <w:tc>
          <w:tcPr>
            <w:tcW w:w="1218" w:type="dxa"/>
            <w:tcBorders>
              <w:top w:val="nil"/>
              <w:left w:val="nil"/>
              <w:bottom w:val="single" w:sz="4" w:space="0" w:color="auto"/>
              <w:right w:val="single" w:sz="4" w:space="0" w:color="auto"/>
            </w:tcBorders>
            <w:shd w:val="clear" w:color="auto" w:fill="FFFFFF" w:themeFill="background1"/>
            <w:vAlign w:val="center"/>
          </w:tcPr>
          <w:p w14:paraId="65F4185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6056D6B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3A39E355"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5A36F2E5"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09112538"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71CD89A4"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75265089"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left w:val="nil"/>
              <w:right w:val="single" w:sz="4" w:space="0" w:color="auto"/>
            </w:tcBorders>
            <w:shd w:val="clear" w:color="auto" w:fill="FFFFFF" w:themeFill="background1"/>
            <w:vAlign w:val="center"/>
          </w:tcPr>
          <w:p w14:paraId="59EC90A1"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637549E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25A00AF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100-771: REGION AYACUCHO-AGRICULTURA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07D1717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444: Gobierno Regional del Departamento de Ayacucho</w:t>
            </w:r>
          </w:p>
        </w:tc>
        <w:tc>
          <w:tcPr>
            <w:tcW w:w="1218" w:type="dxa"/>
            <w:tcBorders>
              <w:top w:val="nil"/>
              <w:left w:val="nil"/>
              <w:bottom w:val="single" w:sz="4" w:space="0" w:color="auto"/>
              <w:right w:val="single" w:sz="4" w:space="0" w:color="auto"/>
            </w:tcBorders>
            <w:shd w:val="clear" w:color="auto" w:fill="FFFFFF" w:themeFill="background1"/>
            <w:vAlign w:val="center"/>
          </w:tcPr>
          <w:p w14:paraId="08FB6E0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30B8BD1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243E1AF7"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59D30985"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102124C3"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628C0077"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2FFAB4D7"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left w:val="nil"/>
              <w:right w:val="single" w:sz="4" w:space="0" w:color="auto"/>
            </w:tcBorders>
            <w:shd w:val="clear" w:color="auto" w:fill="FFFFFF" w:themeFill="background1"/>
            <w:vAlign w:val="center"/>
          </w:tcPr>
          <w:p w14:paraId="3FF86D41"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3884259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40A2D69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100-806: REGION HUANUCO-AGRICULTURA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420E41C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448: Gobierno Regional del Departamento de Huánuco</w:t>
            </w:r>
          </w:p>
        </w:tc>
        <w:tc>
          <w:tcPr>
            <w:tcW w:w="1218" w:type="dxa"/>
            <w:tcBorders>
              <w:top w:val="nil"/>
              <w:left w:val="nil"/>
              <w:bottom w:val="single" w:sz="4" w:space="0" w:color="auto"/>
              <w:right w:val="single" w:sz="4" w:space="0" w:color="auto"/>
            </w:tcBorders>
            <w:shd w:val="clear" w:color="auto" w:fill="FFFFFF" w:themeFill="background1"/>
            <w:vAlign w:val="center"/>
          </w:tcPr>
          <w:p w14:paraId="37FF607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5B248CE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20ACD3B3"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7D9D2D2D"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11DB0113"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19C4F4C5"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33EEEC41"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left w:val="nil"/>
              <w:right w:val="single" w:sz="4" w:space="0" w:color="auto"/>
            </w:tcBorders>
            <w:shd w:val="clear" w:color="auto" w:fill="FFFFFF" w:themeFill="background1"/>
            <w:vAlign w:val="center"/>
          </w:tcPr>
          <w:p w14:paraId="6FEA466A"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099C315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481CBDF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100-832: REGION LA LIBERTAD-AGRICULTURA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11B0F99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451: Gobierno Regional del Departamento de La Libertad</w:t>
            </w:r>
          </w:p>
        </w:tc>
        <w:tc>
          <w:tcPr>
            <w:tcW w:w="1218" w:type="dxa"/>
            <w:tcBorders>
              <w:top w:val="nil"/>
              <w:left w:val="nil"/>
              <w:bottom w:val="single" w:sz="4" w:space="0" w:color="auto"/>
              <w:right w:val="single" w:sz="4" w:space="0" w:color="auto"/>
            </w:tcBorders>
            <w:shd w:val="clear" w:color="auto" w:fill="FFFFFF" w:themeFill="background1"/>
            <w:vAlign w:val="center"/>
          </w:tcPr>
          <w:p w14:paraId="4D63BA3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05EAEDA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4B41CF11"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2142494E"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0702EF8F"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16ACF999"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04F0225A"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left w:val="nil"/>
              <w:right w:val="single" w:sz="4" w:space="0" w:color="auto"/>
            </w:tcBorders>
            <w:shd w:val="clear" w:color="auto" w:fill="FFFFFF" w:themeFill="background1"/>
            <w:vAlign w:val="center"/>
          </w:tcPr>
          <w:p w14:paraId="0B6279EA"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5BEBC7B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7F59C32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100-865: REGION LORETO-AGRICULTURA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31A0527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453: Gobierno Regional del Departamento de Loreto</w:t>
            </w:r>
          </w:p>
        </w:tc>
        <w:tc>
          <w:tcPr>
            <w:tcW w:w="1218" w:type="dxa"/>
            <w:tcBorders>
              <w:top w:val="nil"/>
              <w:left w:val="nil"/>
              <w:bottom w:val="single" w:sz="4" w:space="0" w:color="auto"/>
              <w:right w:val="single" w:sz="4" w:space="0" w:color="auto"/>
            </w:tcBorders>
            <w:shd w:val="clear" w:color="auto" w:fill="FFFFFF" w:themeFill="background1"/>
            <w:vAlign w:val="center"/>
          </w:tcPr>
          <w:p w14:paraId="6E88419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7C4A58E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3940A4F6"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36B192B9"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55568AFD"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741EE632"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607207A5"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left w:val="nil"/>
              <w:right w:val="single" w:sz="4" w:space="0" w:color="auto"/>
            </w:tcBorders>
            <w:shd w:val="clear" w:color="auto" w:fill="FFFFFF" w:themeFill="background1"/>
            <w:vAlign w:val="center"/>
          </w:tcPr>
          <w:p w14:paraId="119C2BF9"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2F4F999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1BC32CA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100-876: REGION MADRE DE DIOS-AGRICULTURA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2995393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454: Gobierno Regional del Departamento de Madre De Dios</w:t>
            </w:r>
          </w:p>
        </w:tc>
        <w:tc>
          <w:tcPr>
            <w:tcW w:w="1218" w:type="dxa"/>
            <w:tcBorders>
              <w:top w:val="nil"/>
              <w:left w:val="nil"/>
              <w:bottom w:val="single" w:sz="4" w:space="0" w:color="auto"/>
              <w:right w:val="single" w:sz="4" w:space="0" w:color="auto"/>
            </w:tcBorders>
            <w:shd w:val="clear" w:color="auto" w:fill="FFFFFF" w:themeFill="background1"/>
            <w:vAlign w:val="center"/>
          </w:tcPr>
          <w:p w14:paraId="5CBFF8E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4BBD53B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3D9DED82"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00054E48"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6698DC9F"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1154B002"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78F101CF"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left w:val="nil"/>
              <w:right w:val="single" w:sz="4" w:space="0" w:color="auto"/>
            </w:tcBorders>
            <w:shd w:val="clear" w:color="auto" w:fill="FFFFFF" w:themeFill="background1"/>
            <w:vAlign w:val="center"/>
          </w:tcPr>
          <w:p w14:paraId="50DF4E2C"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21C6BE1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60770C2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100-924: REGION SAN MARTIN-AGRICULTURA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521972C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459: Gobierno Regional del Departamento de San Martin</w:t>
            </w:r>
          </w:p>
        </w:tc>
        <w:tc>
          <w:tcPr>
            <w:tcW w:w="1218" w:type="dxa"/>
            <w:tcBorders>
              <w:top w:val="nil"/>
              <w:left w:val="nil"/>
              <w:bottom w:val="single" w:sz="4" w:space="0" w:color="auto"/>
              <w:right w:val="single" w:sz="4" w:space="0" w:color="auto"/>
            </w:tcBorders>
            <w:shd w:val="clear" w:color="auto" w:fill="FFFFFF" w:themeFill="background1"/>
            <w:vAlign w:val="center"/>
          </w:tcPr>
          <w:p w14:paraId="3554405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7C35F8F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7E9E6CCB"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6EAD67C5"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0D72DEB7"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0AD6C68F"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6C8C18A4"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left w:val="nil"/>
              <w:right w:val="single" w:sz="4" w:space="0" w:color="auto"/>
            </w:tcBorders>
            <w:shd w:val="clear" w:color="auto" w:fill="FFFFFF" w:themeFill="background1"/>
            <w:vAlign w:val="center"/>
          </w:tcPr>
          <w:p w14:paraId="559A2A5D"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1658031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497B198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100-937: REGION TUMBES-AGRICULTURA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128FA5F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461: Gobierno Regional del Departamento de Tumbes</w:t>
            </w:r>
          </w:p>
        </w:tc>
        <w:tc>
          <w:tcPr>
            <w:tcW w:w="1218" w:type="dxa"/>
            <w:tcBorders>
              <w:top w:val="nil"/>
              <w:left w:val="nil"/>
              <w:bottom w:val="single" w:sz="4" w:space="0" w:color="auto"/>
              <w:right w:val="single" w:sz="4" w:space="0" w:color="auto"/>
            </w:tcBorders>
            <w:shd w:val="clear" w:color="auto" w:fill="FFFFFF" w:themeFill="background1"/>
            <w:vAlign w:val="center"/>
          </w:tcPr>
          <w:p w14:paraId="2BDEBE9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1B43444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6D885525"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1EC09944"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5DC4805F"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567D9EF7"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bottom w:val="single" w:sz="4" w:space="0" w:color="auto"/>
              <w:right w:val="single" w:sz="4" w:space="0" w:color="auto"/>
            </w:tcBorders>
            <w:shd w:val="clear" w:color="auto" w:fill="FFFFFF" w:themeFill="background1"/>
            <w:vAlign w:val="center"/>
          </w:tcPr>
          <w:p w14:paraId="2C485D7F"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left w:val="nil"/>
              <w:bottom w:val="single" w:sz="4" w:space="0" w:color="auto"/>
              <w:right w:val="single" w:sz="4" w:space="0" w:color="auto"/>
            </w:tcBorders>
            <w:shd w:val="clear" w:color="auto" w:fill="FFFFFF" w:themeFill="background1"/>
            <w:vAlign w:val="center"/>
          </w:tcPr>
          <w:p w14:paraId="6F379CF6"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438D82A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26DB03B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100-947: REGION UCAYALI-AGRICULTURA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3B292C7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462: Gobierno Regional del Departamento de Ucayali</w:t>
            </w:r>
          </w:p>
        </w:tc>
        <w:tc>
          <w:tcPr>
            <w:tcW w:w="1218" w:type="dxa"/>
            <w:tcBorders>
              <w:top w:val="nil"/>
              <w:left w:val="nil"/>
              <w:bottom w:val="single" w:sz="4" w:space="0" w:color="auto"/>
              <w:right w:val="single" w:sz="4" w:space="0" w:color="auto"/>
            </w:tcBorders>
            <w:shd w:val="clear" w:color="auto" w:fill="FFFFFF" w:themeFill="background1"/>
            <w:vAlign w:val="center"/>
          </w:tcPr>
          <w:p w14:paraId="359A92B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05FA472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70559DCE" w14:textId="77777777" w:rsidTr="00AF5836">
        <w:trPr>
          <w:gridAfter w:val="2"/>
          <w:wAfter w:w="160" w:type="dxa"/>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2374C34"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E731FC3"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1965082"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val="restart"/>
            <w:tcBorders>
              <w:top w:val="single" w:sz="4" w:space="0" w:color="auto"/>
              <w:left w:val="nil"/>
              <w:bottom w:val="single" w:sz="4" w:space="0" w:color="auto"/>
              <w:right w:val="single" w:sz="4" w:space="0" w:color="auto"/>
            </w:tcBorders>
            <w:shd w:val="clear" w:color="auto" w:fill="FFFFFF" w:themeFill="background1"/>
            <w:vAlign w:val="center"/>
            <w:hideMark/>
          </w:tcPr>
          <w:p w14:paraId="5E9B6ECE"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 009: Acciones de Control del transporte y comercialización de productos forestales y de fauna silvestre</w:t>
            </w:r>
          </w:p>
        </w:tc>
        <w:tc>
          <w:tcPr>
            <w:tcW w:w="2233" w:type="dxa"/>
            <w:vMerge w:val="restart"/>
            <w:tcBorders>
              <w:top w:val="single" w:sz="4" w:space="0" w:color="auto"/>
              <w:left w:val="nil"/>
              <w:bottom w:val="single" w:sz="4" w:space="0" w:color="auto"/>
              <w:right w:val="single" w:sz="4" w:space="0" w:color="auto"/>
            </w:tcBorders>
            <w:shd w:val="clear" w:color="auto" w:fill="FFFFFF" w:themeFill="background1"/>
            <w:vAlign w:val="center"/>
            <w:hideMark/>
          </w:tcPr>
          <w:p w14:paraId="0BF6BE0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Intervención</w:t>
            </w:r>
          </w:p>
        </w:tc>
        <w:tc>
          <w:tcPr>
            <w:tcW w:w="1814" w:type="dxa"/>
            <w:tcBorders>
              <w:top w:val="nil"/>
              <w:left w:val="nil"/>
              <w:bottom w:val="single" w:sz="4" w:space="0" w:color="auto"/>
              <w:right w:val="single" w:sz="4" w:space="0" w:color="auto"/>
            </w:tcBorders>
            <w:shd w:val="clear" w:color="auto" w:fill="FFFFFF" w:themeFill="background1"/>
            <w:hideMark/>
          </w:tcPr>
          <w:p w14:paraId="13E53A0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Administraciones Técnicas Forestales y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5BEF374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0329068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57ECFB9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397C4AF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088EDC79"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F93D622"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58A9838"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0FE42DC"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2557B356"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3087B3AC"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6104A79F"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0A9F6C4F"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 xml:space="preserve">100-722: REGION AMAZONAS-AGRICULTURA </w:t>
            </w:r>
          </w:p>
        </w:tc>
        <w:tc>
          <w:tcPr>
            <w:tcW w:w="1560" w:type="dxa"/>
            <w:tcBorders>
              <w:top w:val="nil"/>
              <w:left w:val="nil"/>
              <w:bottom w:val="single" w:sz="4" w:space="0" w:color="auto"/>
              <w:right w:val="single" w:sz="4" w:space="0" w:color="auto"/>
            </w:tcBorders>
            <w:shd w:val="clear" w:color="auto" w:fill="FFFFFF" w:themeFill="background1"/>
            <w:vAlign w:val="center"/>
          </w:tcPr>
          <w:p w14:paraId="210ADB9B"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hAnsi="Arial Narrow"/>
                <w:sz w:val="16"/>
                <w:szCs w:val="16"/>
              </w:rPr>
              <w:t>440: Gobierno Regional del Departamento de Amazonas</w:t>
            </w:r>
          </w:p>
        </w:tc>
        <w:tc>
          <w:tcPr>
            <w:tcW w:w="1218" w:type="dxa"/>
            <w:tcBorders>
              <w:top w:val="nil"/>
              <w:left w:val="nil"/>
              <w:bottom w:val="single" w:sz="4" w:space="0" w:color="auto"/>
              <w:right w:val="single" w:sz="4" w:space="0" w:color="auto"/>
            </w:tcBorders>
            <w:shd w:val="clear" w:color="auto" w:fill="FFFFFF" w:themeFill="background1"/>
            <w:vAlign w:val="center"/>
          </w:tcPr>
          <w:p w14:paraId="38979908"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2AD6ABF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63624211" w14:textId="77777777" w:rsidTr="00AF5836">
        <w:trPr>
          <w:gridAfter w:val="2"/>
          <w:wAfter w:w="160" w:type="dxa"/>
          <w:trHeight w:val="74"/>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6BACCFF7"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5FB337E8"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79749ED0"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09FD821C"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5D75190D"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704F005B"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21CD8DD5"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100-771: REGION AYACUCHO-AGRICULTURA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65C6F812"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hAnsi="Arial Narrow"/>
                <w:sz w:val="16"/>
                <w:szCs w:val="16"/>
              </w:rPr>
              <w:t>444: Gobierno Regional del Departamento de Ayacucho</w:t>
            </w:r>
          </w:p>
        </w:tc>
        <w:tc>
          <w:tcPr>
            <w:tcW w:w="1218" w:type="dxa"/>
            <w:tcBorders>
              <w:top w:val="nil"/>
              <w:left w:val="nil"/>
              <w:bottom w:val="single" w:sz="4" w:space="0" w:color="auto"/>
              <w:right w:val="single" w:sz="4" w:space="0" w:color="auto"/>
            </w:tcBorders>
            <w:shd w:val="clear" w:color="auto" w:fill="FFFFFF" w:themeFill="background1"/>
            <w:vAlign w:val="center"/>
          </w:tcPr>
          <w:p w14:paraId="1D27C69F"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19FB93D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7895FAFA" w14:textId="77777777" w:rsidTr="00AF5836">
        <w:trPr>
          <w:gridAfter w:val="2"/>
          <w:wAfter w:w="160" w:type="dxa"/>
          <w:trHeight w:val="231"/>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4B8D6629"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0A950086"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1141CF0D"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24B0EC4F"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32664A39"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193A370A"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695E354D"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100-806: REGION HUANUCO-AGRICULTURA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5E2FAD6D"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hAnsi="Arial Narrow"/>
                <w:sz w:val="16"/>
                <w:szCs w:val="16"/>
              </w:rPr>
              <w:t>448: Gobierno Regional del Departamento de Huánuco</w:t>
            </w:r>
          </w:p>
        </w:tc>
        <w:tc>
          <w:tcPr>
            <w:tcW w:w="1218" w:type="dxa"/>
            <w:tcBorders>
              <w:top w:val="nil"/>
              <w:left w:val="nil"/>
              <w:bottom w:val="single" w:sz="4" w:space="0" w:color="auto"/>
              <w:right w:val="single" w:sz="4" w:space="0" w:color="auto"/>
            </w:tcBorders>
            <w:shd w:val="clear" w:color="auto" w:fill="FFFFFF" w:themeFill="background1"/>
            <w:vAlign w:val="center"/>
          </w:tcPr>
          <w:p w14:paraId="661D225C"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06BC159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134C8262" w14:textId="77777777" w:rsidTr="00AF5836">
        <w:trPr>
          <w:gridAfter w:val="2"/>
          <w:wAfter w:w="160" w:type="dxa"/>
          <w:trHeight w:val="89"/>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2CCA4BF2"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67D057F5"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3ECB3210"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144C6469"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51B4C664"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1F2BD7A7"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6FFCD5AA"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100-832: REGION LA LIBERTAD-AGRICULTURA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519DDD35"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hAnsi="Arial Narrow"/>
                <w:sz w:val="16"/>
                <w:szCs w:val="16"/>
              </w:rPr>
              <w:t>451: Gobierno Regional del Departamento de La Libertad</w:t>
            </w:r>
          </w:p>
        </w:tc>
        <w:tc>
          <w:tcPr>
            <w:tcW w:w="1218" w:type="dxa"/>
            <w:tcBorders>
              <w:top w:val="nil"/>
              <w:left w:val="nil"/>
              <w:bottom w:val="single" w:sz="4" w:space="0" w:color="auto"/>
              <w:right w:val="single" w:sz="4" w:space="0" w:color="auto"/>
            </w:tcBorders>
            <w:shd w:val="clear" w:color="auto" w:fill="FFFFFF" w:themeFill="background1"/>
            <w:vAlign w:val="center"/>
          </w:tcPr>
          <w:p w14:paraId="303C1D3C"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0D3A5E9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1BDBC76E"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793298CE"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251D0150"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64C811E2"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6A62F14D"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70D00DE2"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78B17B0E"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4BCAADEA"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100-865: REGION LORETO-AGRICULTURA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397EBE27"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hAnsi="Arial Narrow"/>
                <w:sz w:val="16"/>
                <w:szCs w:val="16"/>
              </w:rPr>
              <w:t>453: Gobierno Regional del Departamento de Loreto</w:t>
            </w:r>
          </w:p>
        </w:tc>
        <w:tc>
          <w:tcPr>
            <w:tcW w:w="1218" w:type="dxa"/>
            <w:tcBorders>
              <w:top w:val="nil"/>
              <w:left w:val="nil"/>
              <w:bottom w:val="single" w:sz="4" w:space="0" w:color="auto"/>
              <w:right w:val="single" w:sz="4" w:space="0" w:color="auto"/>
            </w:tcBorders>
            <w:shd w:val="clear" w:color="auto" w:fill="FFFFFF" w:themeFill="background1"/>
            <w:vAlign w:val="center"/>
          </w:tcPr>
          <w:p w14:paraId="4E51B755"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2FF3179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2C1C9CE5" w14:textId="77777777" w:rsidTr="00AF5836">
        <w:trPr>
          <w:gridAfter w:val="2"/>
          <w:wAfter w:w="160" w:type="dxa"/>
          <w:trHeight w:val="97"/>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597E91D0"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67ACC402"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69E86CB2"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149EDF0E"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2DDFCF43"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7E1F1980"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0A222D61"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100-876: REGION MADRE DE DIOS-AGRICULTURA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5C3388AD"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hAnsi="Arial Narrow"/>
                <w:sz w:val="16"/>
                <w:szCs w:val="16"/>
              </w:rPr>
              <w:t>454: Gobierno Regional del Departamento de Madre De Dios</w:t>
            </w:r>
          </w:p>
        </w:tc>
        <w:tc>
          <w:tcPr>
            <w:tcW w:w="1218" w:type="dxa"/>
            <w:tcBorders>
              <w:top w:val="nil"/>
              <w:left w:val="nil"/>
              <w:bottom w:val="single" w:sz="4" w:space="0" w:color="auto"/>
              <w:right w:val="single" w:sz="4" w:space="0" w:color="auto"/>
            </w:tcBorders>
            <w:shd w:val="clear" w:color="auto" w:fill="FFFFFF" w:themeFill="background1"/>
            <w:vAlign w:val="center"/>
          </w:tcPr>
          <w:p w14:paraId="400F35A8"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228A3B9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156D1CC9"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60BBC7E5"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1EF079B4"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0A79BC3F"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7B3765CB"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174923B2"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6BEB1C62"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35ACC8B3"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100-924: REGION SAN MARTIN-AGRICULTURA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409C407C"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hAnsi="Arial Narrow"/>
                <w:sz w:val="16"/>
                <w:szCs w:val="16"/>
              </w:rPr>
              <w:t>459: Gobierno Regional del Departamento de San Martin</w:t>
            </w:r>
          </w:p>
        </w:tc>
        <w:tc>
          <w:tcPr>
            <w:tcW w:w="1218" w:type="dxa"/>
            <w:tcBorders>
              <w:top w:val="nil"/>
              <w:left w:val="nil"/>
              <w:bottom w:val="single" w:sz="4" w:space="0" w:color="auto"/>
              <w:right w:val="single" w:sz="4" w:space="0" w:color="auto"/>
            </w:tcBorders>
            <w:shd w:val="clear" w:color="auto" w:fill="FFFFFF" w:themeFill="background1"/>
            <w:vAlign w:val="center"/>
          </w:tcPr>
          <w:p w14:paraId="4562BD7F"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780C92E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7A8EDE6C"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5F61593"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CA677FB"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95587EA"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214BEA89"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78714B07"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2D5853C4"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3092425F"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100-937: REGION TUMBES-AGRICULTURA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76090AE1"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hAnsi="Arial Narrow"/>
                <w:sz w:val="16"/>
                <w:szCs w:val="16"/>
              </w:rPr>
              <w:t>461: Gobierno Regional del Departamento de Tumbes</w:t>
            </w:r>
          </w:p>
        </w:tc>
        <w:tc>
          <w:tcPr>
            <w:tcW w:w="1218" w:type="dxa"/>
            <w:tcBorders>
              <w:top w:val="nil"/>
              <w:left w:val="nil"/>
              <w:bottom w:val="single" w:sz="4" w:space="0" w:color="auto"/>
              <w:right w:val="single" w:sz="4" w:space="0" w:color="auto"/>
            </w:tcBorders>
            <w:shd w:val="clear" w:color="auto" w:fill="FFFFFF" w:themeFill="background1"/>
            <w:vAlign w:val="center"/>
          </w:tcPr>
          <w:p w14:paraId="53F347CF"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3716A39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17241E55"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5F7DE21"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1116C6F"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479AD00"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3AEEA833"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70B78624"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4BA1F635"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1F6F3515"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100-947: REGION UCAYALI-AGRICULTURA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08543AB4"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hAnsi="Arial Narrow"/>
                <w:sz w:val="16"/>
                <w:szCs w:val="16"/>
              </w:rPr>
              <w:t>462: Gobierno Regional del Departamento de Ucayali</w:t>
            </w:r>
          </w:p>
        </w:tc>
        <w:tc>
          <w:tcPr>
            <w:tcW w:w="1218" w:type="dxa"/>
            <w:tcBorders>
              <w:top w:val="nil"/>
              <w:left w:val="nil"/>
              <w:bottom w:val="single" w:sz="4" w:space="0" w:color="auto"/>
              <w:right w:val="single" w:sz="4" w:space="0" w:color="auto"/>
            </w:tcBorders>
            <w:shd w:val="clear" w:color="auto" w:fill="FFFFFF" w:themeFill="background1"/>
            <w:vAlign w:val="center"/>
          </w:tcPr>
          <w:p w14:paraId="225CB73A"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59EDE98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7C54E85D" w14:textId="77777777" w:rsidTr="00AF5836">
        <w:trPr>
          <w:gridAfter w:val="2"/>
          <w:wAfter w:w="160" w:type="dxa"/>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FAC7141"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581A44D"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9890813"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val="restart"/>
            <w:tcBorders>
              <w:top w:val="single" w:sz="4" w:space="0" w:color="auto"/>
              <w:left w:val="nil"/>
              <w:bottom w:val="single" w:sz="4" w:space="0" w:color="auto"/>
              <w:right w:val="single" w:sz="4" w:space="0" w:color="auto"/>
            </w:tcBorders>
            <w:shd w:val="clear" w:color="auto" w:fill="FFFFFF" w:themeFill="background1"/>
            <w:vAlign w:val="center"/>
            <w:hideMark/>
          </w:tcPr>
          <w:p w14:paraId="69077C2B"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 010: Ejecución de inspecciones a centros de transformación primaria, lugares de acopio, depósitos, centros de comercialización, y otros actos administrativos en materia forestal</w:t>
            </w:r>
          </w:p>
        </w:tc>
        <w:tc>
          <w:tcPr>
            <w:tcW w:w="2233" w:type="dxa"/>
            <w:vMerge w:val="restart"/>
            <w:tcBorders>
              <w:top w:val="single" w:sz="4" w:space="0" w:color="auto"/>
              <w:left w:val="nil"/>
              <w:bottom w:val="single" w:sz="4" w:space="0" w:color="auto"/>
              <w:right w:val="single" w:sz="4" w:space="0" w:color="auto"/>
            </w:tcBorders>
            <w:shd w:val="clear" w:color="auto" w:fill="FFFFFF" w:themeFill="background1"/>
            <w:vAlign w:val="center"/>
            <w:hideMark/>
          </w:tcPr>
          <w:p w14:paraId="5F33717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Intervención</w:t>
            </w:r>
          </w:p>
        </w:tc>
        <w:tc>
          <w:tcPr>
            <w:tcW w:w="1814" w:type="dxa"/>
            <w:tcBorders>
              <w:top w:val="nil"/>
              <w:left w:val="nil"/>
              <w:bottom w:val="single" w:sz="4" w:space="0" w:color="auto"/>
              <w:right w:val="single" w:sz="4" w:space="0" w:color="auto"/>
            </w:tcBorders>
            <w:shd w:val="clear" w:color="auto" w:fill="FFFFFF" w:themeFill="background1"/>
            <w:hideMark/>
          </w:tcPr>
          <w:p w14:paraId="53948EA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Administraciones Técnicas Forestales y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0531DE9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6534D74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37331D1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3EEF45C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7D6E8435" w14:textId="77777777" w:rsidTr="00AF5836">
        <w:trPr>
          <w:gridAfter w:val="2"/>
          <w:wAfter w:w="160" w:type="dxa"/>
          <w:trHeight w:val="311"/>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60632867"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5711D18E"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61A12221"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7DA73B41"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139922B4"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74D5110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2CFC32B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xml:space="preserve">100-722: REGION AMAZONAS-AGRICULTURA </w:t>
            </w:r>
          </w:p>
        </w:tc>
        <w:tc>
          <w:tcPr>
            <w:tcW w:w="1560" w:type="dxa"/>
            <w:tcBorders>
              <w:top w:val="nil"/>
              <w:left w:val="nil"/>
              <w:bottom w:val="single" w:sz="4" w:space="0" w:color="auto"/>
              <w:right w:val="single" w:sz="4" w:space="0" w:color="auto"/>
            </w:tcBorders>
            <w:shd w:val="clear" w:color="auto" w:fill="FFFFFF" w:themeFill="background1"/>
            <w:vAlign w:val="center"/>
          </w:tcPr>
          <w:p w14:paraId="6233187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440: Gobierno Regional del Departamento de Amazonas</w:t>
            </w:r>
          </w:p>
        </w:tc>
        <w:tc>
          <w:tcPr>
            <w:tcW w:w="1218" w:type="dxa"/>
            <w:tcBorders>
              <w:top w:val="nil"/>
              <w:left w:val="nil"/>
              <w:bottom w:val="single" w:sz="4" w:space="0" w:color="auto"/>
              <w:right w:val="single" w:sz="4" w:space="0" w:color="auto"/>
            </w:tcBorders>
            <w:shd w:val="clear" w:color="auto" w:fill="FFFFFF" w:themeFill="background1"/>
            <w:vAlign w:val="center"/>
          </w:tcPr>
          <w:p w14:paraId="5D3E294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34C179E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055D4A2D"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13D2D7AC"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1AA8A30D"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5283DABA"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276AE378"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4AA53A86"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3FC30EE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391FA72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100-771: REGION AYACUCHO-AGRICULTURA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0E5C914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444: Gobierno Regional del Departamento de Ayacucho</w:t>
            </w:r>
          </w:p>
        </w:tc>
        <w:tc>
          <w:tcPr>
            <w:tcW w:w="1218" w:type="dxa"/>
            <w:tcBorders>
              <w:top w:val="nil"/>
              <w:left w:val="nil"/>
              <w:bottom w:val="single" w:sz="4" w:space="0" w:color="auto"/>
              <w:right w:val="single" w:sz="4" w:space="0" w:color="auto"/>
            </w:tcBorders>
            <w:shd w:val="clear" w:color="auto" w:fill="FFFFFF" w:themeFill="background1"/>
            <w:vAlign w:val="center"/>
          </w:tcPr>
          <w:p w14:paraId="103F4D2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677EC52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42C4CD00"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66F342E3"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1D59F48E"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1F07A941"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03F4E8E6"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65978191"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0052727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75FF04F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100-806: REGION HUANUCO-AGRICULTURA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536D821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448: Gobierno Regional del Departamento de Huánuco</w:t>
            </w:r>
          </w:p>
        </w:tc>
        <w:tc>
          <w:tcPr>
            <w:tcW w:w="1218" w:type="dxa"/>
            <w:tcBorders>
              <w:top w:val="nil"/>
              <w:left w:val="nil"/>
              <w:bottom w:val="single" w:sz="4" w:space="0" w:color="auto"/>
              <w:right w:val="single" w:sz="4" w:space="0" w:color="auto"/>
            </w:tcBorders>
            <w:shd w:val="clear" w:color="auto" w:fill="FFFFFF" w:themeFill="background1"/>
            <w:vAlign w:val="center"/>
          </w:tcPr>
          <w:p w14:paraId="2B24B43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3A21EE6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7442E1B5"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12F94714"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00288816"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2DF961DA"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532BA1F7"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4BF16AAE"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079668E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3043620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100-832: REGION LA LIBERTAD-AGRICULTURA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24136C0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451: Gobierno Regional del Departamento de La Libertad</w:t>
            </w:r>
          </w:p>
        </w:tc>
        <w:tc>
          <w:tcPr>
            <w:tcW w:w="1218" w:type="dxa"/>
            <w:tcBorders>
              <w:top w:val="nil"/>
              <w:left w:val="nil"/>
              <w:bottom w:val="single" w:sz="4" w:space="0" w:color="auto"/>
              <w:right w:val="single" w:sz="4" w:space="0" w:color="auto"/>
            </w:tcBorders>
            <w:shd w:val="clear" w:color="auto" w:fill="FFFFFF" w:themeFill="background1"/>
            <w:vAlign w:val="center"/>
          </w:tcPr>
          <w:p w14:paraId="1824DE3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596E370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3AD1AD45"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44D9E3DA"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7606E8DA"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021FD80E"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1AB03115"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7457BB9C"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64C53D5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7DD015F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100-865: REGION LORETO-AGRICULTURA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32E878C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453: Gobierno Regional del Departamento de Loreto</w:t>
            </w:r>
          </w:p>
        </w:tc>
        <w:tc>
          <w:tcPr>
            <w:tcW w:w="1218" w:type="dxa"/>
            <w:tcBorders>
              <w:top w:val="nil"/>
              <w:left w:val="nil"/>
              <w:bottom w:val="single" w:sz="4" w:space="0" w:color="auto"/>
              <w:right w:val="single" w:sz="4" w:space="0" w:color="auto"/>
            </w:tcBorders>
            <w:shd w:val="clear" w:color="auto" w:fill="FFFFFF" w:themeFill="background1"/>
            <w:vAlign w:val="center"/>
          </w:tcPr>
          <w:p w14:paraId="1B6D690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4F63982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616B4E49"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18F10F61"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72E7B182"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3D91CE0D"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1D9A8C16"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4CFCE6C8"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1D2E68B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1874EB9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100-876: REGION MADRE DE DIOS-AGRICULTURA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587E938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454: Gobierno Regional del Departamento de Madre De Dios</w:t>
            </w:r>
          </w:p>
        </w:tc>
        <w:tc>
          <w:tcPr>
            <w:tcW w:w="1218" w:type="dxa"/>
            <w:tcBorders>
              <w:top w:val="nil"/>
              <w:left w:val="nil"/>
              <w:bottom w:val="single" w:sz="4" w:space="0" w:color="auto"/>
              <w:right w:val="single" w:sz="4" w:space="0" w:color="auto"/>
            </w:tcBorders>
            <w:shd w:val="clear" w:color="auto" w:fill="FFFFFF" w:themeFill="background1"/>
            <w:vAlign w:val="center"/>
          </w:tcPr>
          <w:p w14:paraId="0AEFCC6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2C80B9F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39376DE9"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6CA735A3"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65C1965D"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4EB25A35"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2B3B76BA"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23467E63"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626B540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4A82CBD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100-924: REGION SAN MARTIN-AGRICULTURA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16D294E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459: Gobierno Regional del Departamento de San Martin</w:t>
            </w:r>
          </w:p>
        </w:tc>
        <w:tc>
          <w:tcPr>
            <w:tcW w:w="1218" w:type="dxa"/>
            <w:tcBorders>
              <w:top w:val="nil"/>
              <w:left w:val="nil"/>
              <w:bottom w:val="single" w:sz="4" w:space="0" w:color="auto"/>
              <w:right w:val="single" w:sz="4" w:space="0" w:color="auto"/>
            </w:tcBorders>
            <w:shd w:val="clear" w:color="auto" w:fill="FFFFFF" w:themeFill="background1"/>
            <w:vAlign w:val="center"/>
          </w:tcPr>
          <w:p w14:paraId="27A82D2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79D9F27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3A7F8B5D"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1E8063C8"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3E80A4DB"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68413E0C"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29F6400E"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67042FED"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26AF84F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368BF65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100-937: REGION TUMBES-AGRICULTURA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3275DA1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461: Gobierno Regional del Departamento de Tumbes</w:t>
            </w:r>
          </w:p>
        </w:tc>
        <w:tc>
          <w:tcPr>
            <w:tcW w:w="1218" w:type="dxa"/>
            <w:tcBorders>
              <w:top w:val="nil"/>
              <w:left w:val="nil"/>
              <w:bottom w:val="single" w:sz="4" w:space="0" w:color="auto"/>
              <w:right w:val="single" w:sz="4" w:space="0" w:color="auto"/>
            </w:tcBorders>
            <w:shd w:val="clear" w:color="auto" w:fill="FFFFFF" w:themeFill="background1"/>
            <w:vAlign w:val="center"/>
          </w:tcPr>
          <w:p w14:paraId="6E3D966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4BC0B22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7A59E626"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4A1238AA"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3814AF58"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0C9797CB"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2EA6EB8A"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54A6C7BA"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1D49060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157A3EF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100-947: REGION UCAYALI-AGRICULTURA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0DCEA1E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462: Gobierno Regional del Departamento de Ucayali</w:t>
            </w:r>
          </w:p>
        </w:tc>
        <w:tc>
          <w:tcPr>
            <w:tcW w:w="1218" w:type="dxa"/>
            <w:tcBorders>
              <w:top w:val="nil"/>
              <w:left w:val="nil"/>
              <w:bottom w:val="single" w:sz="4" w:space="0" w:color="auto"/>
              <w:right w:val="single" w:sz="4" w:space="0" w:color="auto"/>
            </w:tcBorders>
            <w:shd w:val="clear" w:color="auto" w:fill="FFFFFF" w:themeFill="background1"/>
            <w:vAlign w:val="center"/>
          </w:tcPr>
          <w:p w14:paraId="4B263E1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1529A98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5F14C359" w14:textId="77777777" w:rsidTr="00AF5836">
        <w:trPr>
          <w:gridAfter w:val="2"/>
          <w:wAfter w:w="160" w:type="dxa"/>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5DF49E5"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222CD67"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C2EC1E2"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val="restart"/>
            <w:tcBorders>
              <w:top w:val="single" w:sz="4" w:space="0" w:color="auto"/>
              <w:left w:val="nil"/>
              <w:bottom w:val="single" w:sz="4" w:space="0" w:color="auto"/>
              <w:right w:val="single" w:sz="4" w:space="0" w:color="auto"/>
            </w:tcBorders>
            <w:shd w:val="clear" w:color="auto" w:fill="FFFFFF" w:themeFill="background1"/>
            <w:vAlign w:val="center"/>
            <w:hideMark/>
          </w:tcPr>
          <w:p w14:paraId="38D0D04C"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 011: Ejecución de intervenciones de inspecciones a centros de cría en cautiverio y personas naturales para seguimiento y monitoreo del estado de la fauna silvestre mantenida en sus instalaciones.</w:t>
            </w:r>
          </w:p>
        </w:tc>
        <w:tc>
          <w:tcPr>
            <w:tcW w:w="2233" w:type="dxa"/>
            <w:vMerge w:val="restart"/>
            <w:tcBorders>
              <w:top w:val="single" w:sz="4" w:space="0" w:color="auto"/>
              <w:left w:val="nil"/>
              <w:bottom w:val="single" w:sz="4" w:space="0" w:color="auto"/>
              <w:right w:val="single" w:sz="4" w:space="0" w:color="auto"/>
            </w:tcBorders>
            <w:shd w:val="clear" w:color="auto" w:fill="FFFFFF" w:themeFill="background1"/>
            <w:vAlign w:val="center"/>
            <w:hideMark/>
          </w:tcPr>
          <w:p w14:paraId="3DD3BB3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Intervención</w:t>
            </w:r>
          </w:p>
        </w:tc>
        <w:tc>
          <w:tcPr>
            <w:tcW w:w="1814" w:type="dxa"/>
            <w:tcBorders>
              <w:top w:val="nil"/>
              <w:left w:val="nil"/>
              <w:bottom w:val="single" w:sz="4" w:space="0" w:color="auto"/>
              <w:right w:val="single" w:sz="4" w:space="0" w:color="auto"/>
            </w:tcBorders>
            <w:shd w:val="clear" w:color="auto" w:fill="FFFFFF" w:themeFill="background1"/>
            <w:hideMark/>
          </w:tcPr>
          <w:p w14:paraId="7EC305D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Administraciones Técnicas Forestales y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1AC53FB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1C2AF5B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37219FA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1FF6EDF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002D8C8D" w14:textId="77777777" w:rsidTr="00AF5836">
        <w:trPr>
          <w:gridAfter w:val="2"/>
          <w:wAfter w:w="160" w:type="dxa"/>
          <w:trHeight w:val="104"/>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3A970F44"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503166B0"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123D569E"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5630955B"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20DEB979"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1B7E22A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51038C3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xml:space="preserve">100-722: REGION AMAZONAS-AGRICULTURA </w:t>
            </w:r>
          </w:p>
        </w:tc>
        <w:tc>
          <w:tcPr>
            <w:tcW w:w="1560" w:type="dxa"/>
            <w:tcBorders>
              <w:top w:val="nil"/>
              <w:left w:val="nil"/>
              <w:bottom w:val="single" w:sz="4" w:space="0" w:color="auto"/>
              <w:right w:val="single" w:sz="4" w:space="0" w:color="auto"/>
            </w:tcBorders>
            <w:shd w:val="clear" w:color="auto" w:fill="FFFFFF" w:themeFill="background1"/>
            <w:vAlign w:val="center"/>
          </w:tcPr>
          <w:p w14:paraId="10274BB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440: Gobierno Regional del Departamento de Amazonas</w:t>
            </w:r>
          </w:p>
        </w:tc>
        <w:tc>
          <w:tcPr>
            <w:tcW w:w="1218" w:type="dxa"/>
            <w:tcBorders>
              <w:top w:val="nil"/>
              <w:left w:val="nil"/>
              <w:bottom w:val="single" w:sz="4" w:space="0" w:color="auto"/>
              <w:right w:val="single" w:sz="4" w:space="0" w:color="auto"/>
            </w:tcBorders>
            <w:shd w:val="clear" w:color="auto" w:fill="FFFFFF" w:themeFill="background1"/>
            <w:vAlign w:val="center"/>
          </w:tcPr>
          <w:p w14:paraId="4E90594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12BD388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75E3C0DF" w14:textId="77777777" w:rsidTr="00AF5836">
        <w:trPr>
          <w:gridAfter w:val="2"/>
          <w:wAfter w:w="160" w:type="dxa"/>
          <w:trHeight w:val="24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6E75AEF9"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33C677AD"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5FE9FB64"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2E5E1979"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6B04113E"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1616730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7646D46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100-771: REGION AYACUCHO-AGRICULTURA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164ED0C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444: Gobierno Regional del Departamento de Ayacucho</w:t>
            </w:r>
          </w:p>
        </w:tc>
        <w:tc>
          <w:tcPr>
            <w:tcW w:w="1218" w:type="dxa"/>
            <w:tcBorders>
              <w:top w:val="nil"/>
              <w:left w:val="nil"/>
              <w:bottom w:val="single" w:sz="4" w:space="0" w:color="auto"/>
              <w:right w:val="single" w:sz="4" w:space="0" w:color="auto"/>
            </w:tcBorders>
            <w:shd w:val="clear" w:color="auto" w:fill="FFFFFF" w:themeFill="background1"/>
            <w:vAlign w:val="center"/>
          </w:tcPr>
          <w:p w14:paraId="68AD259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5588A30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306672D2"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3D6B3016"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5420863F"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7ECAF8F2"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4BBD68DB"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3C6C66A9"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25AB37B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3485248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100-806: REGION HUANUCO-AGRICULTURA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72D7EA1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448: Gobierno Regional del Departamento de Huánuco</w:t>
            </w:r>
          </w:p>
        </w:tc>
        <w:tc>
          <w:tcPr>
            <w:tcW w:w="1218" w:type="dxa"/>
            <w:tcBorders>
              <w:top w:val="nil"/>
              <w:left w:val="nil"/>
              <w:bottom w:val="single" w:sz="4" w:space="0" w:color="auto"/>
              <w:right w:val="single" w:sz="4" w:space="0" w:color="auto"/>
            </w:tcBorders>
            <w:shd w:val="clear" w:color="auto" w:fill="FFFFFF" w:themeFill="background1"/>
            <w:vAlign w:val="center"/>
          </w:tcPr>
          <w:p w14:paraId="603D8A3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33ED446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10AE12F7"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654FB3BC"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3DAF1E25"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02244C09"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45859989"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315FF351"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49062D0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0CFA9E7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100-832: REGION LA LIBERTAD-AGRICULTURA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059E202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451: Gobierno Regional del Departamento de La Libertad</w:t>
            </w:r>
          </w:p>
        </w:tc>
        <w:tc>
          <w:tcPr>
            <w:tcW w:w="1218" w:type="dxa"/>
            <w:tcBorders>
              <w:top w:val="nil"/>
              <w:left w:val="nil"/>
              <w:bottom w:val="single" w:sz="4" w:space="0" w:color="auto"/>
              <w:right w:val="single" w:sz="4" w:space="0" w:color="auto"/>
            </w:tcBorders>
            <w:shd w:val="clear" w:color="auto" w:fill="FFFFFF" w:themeFill="background1"/>
            <w:vAlign w:val="center"/>
          </w:tcPr>
          <w:p w14:paraId="1E44921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47A499D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6694E153"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011A4302"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67895CD2"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1BBACDDE"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687879F7"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70EBDB09"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233ECE1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3B75693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100-865: REGION LORETO-AGRICULTURA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2252AF3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453: Gobierno Regional del Departamento de Loreto</w:t>
            </w:r>
          </w:p>
        </w:tc>
        <w:tc>
          <w:tcPr>
            <w:tcW w:w="1218" w:type="dxa"/>
            <w:tcBorders>
              <w:top w:val="nil"/>
              <w:left w:val="nil"/>
              <w:bottom w:val="single" w:sz="4" w:space="0" w:color="auto"/>
              <w:right w:val="single" w:sz="4" w:space="0" w:color="auto"/>
            </w:tcBorders>
            <w:shd w:val="clear" w:color="auto" w:fill="FFFFFF" w:themeFill="background1"/>
            <w:vAlign w:val="center"/>
          </w:tcPr>
          <w:p w14:paraId="5919707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3FFCF6C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14B5DD43"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78951899"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0ADD918F"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7125C4AE"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50F74E15"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3A7B53AC"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2845B15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14B252B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100-876: REGION MADRE DE DIOS-AGRICULTURA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181C221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454: Gobierno Regional del Departamento de Madre De Dios</w:t>
            </w:r>
          </w:p>
        </w:tc>
        <w:tc>
          <w:tcPr>
            <w:tcW w:w="1218" w:type="dxa"/>
            <w:tcBorders>
              <w:top w:val="nil"/>
              <w:left w:val="nil"/>
              <w:bottom w:val="single" w:sz="4" w:space="0" w:color="auto"/>
              <w:right w:val="single" w:sz="4" w:space="0" w:color="auto"/>
            </w:tcBorders>
            <w:shd w:val="clear" w:color="auto" w:fill="FFFFFF" w:themeFill="background1"/>
            <w:vAlign w:val="center"/>
          </w:tcPr>
          <w:p w14:paraId="0A542CD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5A47EF5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01D1CFDF"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1FF60219"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3BBB39BF"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18A324DD"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45C9E8E8"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6DF8F614"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0305496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7CDD38F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100-924: REGION SAN MARTIN-AGRICULTURA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4DE08D4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459: Gobierno Regional del Departamento de San Martin</w:t>
            </w:r>
          </w:p>
        </w:tc>
        <w:tc>
          <w:tcPr>
            <w:tcW w:w="1218" w:type="dxa"/>
            <w:tcBorders>
              <w:top w:val="nil"/>
              <w:left w:val="nil"/>
              <w:bottom w:val="single" w:sz="4" w:space="0" w:color="auto"/>
              <w:right w:val="single" w:sz="4" w:space="0" w:color="auto"/>
            </w:tcBorders>
            <w:shd w:val="clear" w:color="auto" w:fill="FFFFFF" w:themeFill="background1"/>
            <w:vAlign w:val="center"/>
          </w:tcPr>
          <w:p w14:paraId="3A98599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01B1172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1FE995D6"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692040EE"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1567CDAA"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4A49B179"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082A4A13"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59686995"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15A7593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50155B0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100-937: REGION TUMBES-AGRICULTURA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5E521E8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461: Gobierno Regional del Departamento de Tumbes</w:t>
            </w:r>
          </w:p>
        </w:tc>
        <w:tc>
          <w:tcPr>
            <w:tcW w:w="1218" w:type="dxa"/>
            <w:tcBorders>
              <w:top w:val="nil"/>
              <w:left w:val="nil"/>
              <w:bottom w:val="single" w:sz="4" w:space="0" w:color="auto"/>
              <w:right w:val="single" w:sz="4" w:space="0" w:color="auto"/>
            </w:tcBorders>
            <w:shd w:val="clear" w:color="auto" w:fill="FFFFFF" w:themeFill="background1"/>
            <w:vAlign w:val="center"/>
          </w:tcPr>
          <w:p w14:paraId="0F699B4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6176A6C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6258EE3B"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5F25EF48"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4D59945E"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009DB39E"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single" w:sz="4" w:space="0" w:color="auto"/>
              <w:left w:val="nil"/>
              <w:bottom w:val="single" w:sz="4" w:space="0" w:color="auto"/>
              <w:right w:val="single" w:sz="4" w:space="0" w:color="auto"/>
            </w:tcBorders>
            <w:shd w:val="clear" w:color="auto" w:fill="FFFFFF" w:themeFill="background1"/>
            <w:vAlign w:val="center"/>
          </w:tcPr>
          <w:p w14:paraId="3D00633B"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single" w:sz="4" w:space="0" w:color="auto"/>
              <w:left w:val="nil"/>
              <w:bottom w:val="single" w:sz="4" w:space="0" w:color="auto"/>
              <w:right w:val="single" w:sz="4" w:space="0" w:color="auto"/>
            </w:tcBorders>
            <w:shd w:val="clear" w:color="auto" w:fill="FFFFFF" w:themeFill="background1"/>
            <w:vAlign w:val="center"/>
          </w:tcPr>
          <w:p w14:paraId="52EB9611"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32E8E1F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2B32A29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100-947: REGION UCAYALI-AGRICULTURA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50955CF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462: Gobierno Regional del Departamento de Ucayali</w:t>
            </w:r>
          </w:p>
        </w:tc>
        <w:tc>
          <w:tcPr>
            <w:tcW w:w="1218" w:type="dxa"/>
            <w:tcBorders>
              <w:top w:val="nil"/>
              <w:left w:val="nil"/>
              <w:bottom w:val="single" w:sz="4" w:space="0" w:color="auto"/>
              <w:right w:val="single" w:sz="4" w:space="0" w:color="auto"/>
            </w:tcBorders>
            <w:shd w:val="clear" w:color="auto" w:fill="FFFFFF" w:themeFill="background1"/>
            <w:vAlign w:val="center"/>
          </w:tcPr>
          <w:p w14:paraId="0D1C5A3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13BD5B0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6EDDDE44" w14:textId="77777777" w:rsidTr="00AF5836">
        <w:trPr>
          <w:gridAfter w:val="2"/>
          <w:wAfter w:w="160" w:type="dxa"/>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8B84878"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0C0E0D0"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27D4E67"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val="restart"/>
            <w:tcBorders>
              <w:top w:val="nil"/>
              <w:left w:val="nil"/>
              <w:right w:val="single" w:sz="4" w:space="0" w:color="auto"/>
            </w:tcBorders>
            <w:shd w:val="clear" w:color="auto" w:fill="FFFFFF" w:themeFill="background1"/>
            <w:vAlign w:val="center"/>
            <w:hideMark/>
          </w:tcPr>
          <w:p w14:paraId="3C3579CB"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 012: Gestión y vigilancia del bosque y sus recursos forestales.</w:t>
            </w:r>
          </w:p>
        </w:tc>
        <w:tc>
          <w:tcPr>
            <w:tcW w:w="2233" w:type="dxa"/>
            <w:vMerge w:val="restart"/>
            <w:tcBorders>
              <w:top w:val="nil"/>
              <w:left w:val="nil"/>
              <w:right w:val="single" w:sz="4" w:space="0" w:color="auto"/>
            </w:tcBorders>
            <w:shd w:val="clear" w:color="auto" w:fill="FFFFFF" w:themeFill="background1"/>
            <w:vAlign w:val="center"/>
            <w:hideMark/>
          </w:tcPr>
          <w:p w14:paraId="6A8E394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Hectárea</w:t>
            </w:r>
          </w:p>
        </w:tc>
        <w:tc>
          <w:tcPr>
            <w:tcW w:w="1814" w:type="dxa"/>
            <w:tcBorders>
              <w:top w:val="nil"/>
              <w:left w:val="nil"/>
              <w:bottom w:val="single" w:sz="4" w:space="0" w:color="auto"/>
              <w:right w:val="single" w:sz="4" w:space="0" w:color="auto"/>
            </w:tcBorders>
            <w:shd w:val="clear" w:color="auto" w:fill="FFFFFF" w:themeFill="background1"/>
            <w:hideMark/>
          </w:tcPr>
          <w:p w14:paraId="6D39805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Administraciones Técnicas Forestales y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51FE428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224A3D1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15162FE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0F37E87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2DF807A3" w14:textId="77777777" w:rsidTr="00AF5836">
        <w:trPr>
          <w:gridAfter w:val="2"/>
          <w:wAfter w:w="160" w:type="dxa"/>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0A4CA04"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CE6EA45"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1B64BB5"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69833525"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left w:val="nil"/>
              <w:right w:val="single" w:sz="4" w:space="0" w:color="auto"/>
            </w:tcBorders>
            <w:shd w:val="clear" w:color="auto" w:fill="FFFFFF" w:themeFill="background1"/>
            <w:vAlign w:val="center"/>
          </w:tcPr>
          <w:p w14:paraId="699AB6D6"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6F652D3F"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1785AD3F"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 xml:space="preserve">100-722: REGION AMAZONAS-AGRICULTURA </w:t>
            </w:r>
          </w:p>
        </w:tc>
        <w:tc>
          <w:tcPr>
            <w:tcW w:w="1560" w:type="dxa"/>
            <w:tcBorders>
              <w:top w:val="nil"/>
              <w:left w:val="nil"/>
              <w:bottom w:val="single" w:sz="4" w:space="0" w:color="auto"/>
              <w:right w:val="single" w:sz="4" w:space="0" w:color="auto"/>
            </w:tcBorders>
            <w:shd w:val="clear" w:color="auto" w:fill="FFFFFF" w:themeFill="background1"/>
            <w:vAlign w:val="center"/>
          </w:tcPr>
          <w:p w14:paraId="7E53F7F7"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hAnsi="Arial Narrow"/>
                <w:sz w:val="16"/>
                <w:szCs w:val="16"/>
              </w:rPr>
              <w:t>440: Gobierno Regional del Departamento de Amazonas</w:t>
            </w:r>
          </w:p>
        </w:tc>
        <w:tc>
          <w:tcPr>
            <w:tcW w:w="1218" w:type="dxa"/>
            <w:tcBorders>
              <w:top w:val="nil"/>
              <w:left w:val="nil"/>
              <w:bottom w:val="single" w:sz="4" w:space="0" w:color="auto"/>
              <w:right w:val="single" w:sz="4" w:space="0" w:color="auto"/>
            </w:tcBorders>
            <w:shd w:val="clear" w:color="auto" w:fill="FFFFFF" w:themeFill="background1"/>
            <w:vAlign w:val="center"/>
          </w:tcPr>
          <w:p w14:paraId="765CB3C4"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5D695BE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02B85BFD" w14:textId="77777777" w:rsidTr="00AF5836">
        <w:trPr>
          <w:gridAfter w:val="2"/>
          <w:wAfter w:w="160" w:type="dxa"/>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1F49B3B6"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69800922"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6FEB4A25"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308863C1"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left w:val="nil"/>
              <w:right w:val="single" w:sz="4" w:space="0" w:color="auto"/>
            </w:tcBorders>
            <w:shd w:val="clear" w:color="auto" w:fill="FFFFFF" w:themeFill="background1"/>
            <w:vAlign w:val="center"/>
          </w:tcPr>
          <w:p w14:paraId="7B67B5C2"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54B4BABA"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346C5719"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100-771: REGION AYACUCHO-AGRICULTURA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3B5638A4"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hAnsi="Arial Narrow"/>
                <w:sz w:val="16"/>
                <w:szCs w:val="16"/>
              </w:rPr>
              <w:t>444: Gobierno Regional del Departamento de Ayacucho</w:t>
            </w:r>
          </w:p>
        </w:tc>
        <w:tc>
          <w:tcPr>
            <w:tcW w:w="1218" w:type="dxa"/>
            <w:tcBorders>
              <w:top w:val="nil"/>
              <w:left w:val="nil"/>
              <w:bottom w:val="single" w:sz="4" w:space="0" w:color="auto"/>
              <w:right w:val="single" w:sz="4" w:space="0" w:color="auto"/>
            </w:tcBorders>
            <w:shd w:val="clear" w:color="auto" w:fill="FFFFFF" w:themeFill="background1"/>
            <w:vAlign w:val="center"/>
          </w:tcPr>
          <w:p w14:paraId="75C7CE41"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0D409C4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083EC6E8" w14:textId="77777777" w:rsidTr="00AF5836">
        <w:trPr>
          <w:gridAfter w:val="2"/>
          <w:wAfter w:w="160" w:type="dxa"/>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75ADA69D"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21DDCD99"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55253B06"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10564A39"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left w:val="nil"/>
              <w:right w:val="single" w:sz="4" w:space="0" w:color="auto"/>
            </w:tcBorders>
            <w:shd w:val="clear" w:color="auto" w:fill="FFFFFF" w:themeFill="background1"/>
            <w:vAlign w:val="center"/>
          </w:tcPr>
          <w:p w14:paraId="596A158B"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55C94F1C"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26ECC84E"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100-806: REGION HUANUCO-AGRICULTURA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64CD17B9"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hAnsi="Arial Narrow"/>
                <w:sz w:val="16"/>
                <w:szCs w:val="16"/>
              </w:rPr>
              <w:t>448: Gobierno Regional del Departamento de Huánuco</w:t>
            </w:r>
          </w:p>
        </w:tc>
        <w:tc>
          <w:tcPr>
            <w:tcW w:w="1218" w:type="dxa"/>
            <w:tcBorders>
              <w:top w:val="nil"/>
              <w:left w:val="nil"/>
              <w:bottom w:val="single" w:sz="4" w:space="0" w:color="auto"/>
              <w:right w:val="single" w:sz="4" w:space="0" w:color="auto"/>
            </w:tcBorders>
            <w:shd w:val="clear" w:color="auto" w:fill="FFFFFF" w:themeFill="background1"/>
            <w:vAlign w:val="center"/>
          </w:tcPr>
          <w:p w14:paraId="2B1407AC"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3A7727C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7589AE52" w14:textId="77777777" w:rsidTr="00AF5836">
        <w:trPr>
          <w:gridAfter w:val="2"/>
          <w:wAfter w:w="160" w:type="dxa"/>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6B61672E"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12C032B2"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72658830"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3C269C1D"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left w:val="nil"/>
              <w:right w:val="single" w:sz="4" w:space="0" w:color="auto"/>
            </w:tcBorders>
            <w:shd w:val="clear" w:color="auto" w:fill="FFFFFF" w:themeFill="background1"/>
            <w:vAlign w:val="center"/>
          </w:tcPr>
          <w:p w14:paraId="303FD5FC"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1C00E909"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69F8B27E"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100-832: REGION LA LIBERTAD-AGRICULTURA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04E47CC5"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hAnsi="Arial Narrow"/>
                <w:sz w:val="16"/>
                <w:szCs w:val="16"/>
              </w:rPr>
              <w:t>451: Gobierno Regional del Departamento de La Libertad</w:t>
            </w:r>
          </w:p>
        </w:tc>
        <w:tc>
          <w:tcPr>
            <w:tcW w:w="1218" w:type="dxa"/>
            <w:tcBorders>
              <w:top w:val="nil"/>
              <w:left w:val="nil"/>
              <w:bottom w:val="single" w:sz="4" w:space="0" w:color="auto"/>
              <w:right w:val="single" w:sz="4" w:space="0" w:color="auto"/>
            </w:tcBorders>
            <w:shd w:val="clear" w:color="auto" w:fill="FFFFFF" w:themeFill="background1"/>
            <w:vAlign w:val="center"/>
          </w:tcPr>
          <w:p w14:paraId="4C9341BF"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484E0E5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4287B3EE" w14:textId="77777777" w:rsidTr="00AF5836">
        <w:trPr>
          <w:gridAfter w:val="2"/>
          <w:wAfter w:w="160" w:type="dxa"/>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DF163E5"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0921571"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F4D744E"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4973AFAC"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left w:val="nil"/>
              <w:right w:val="single" w:sz="4" w:space="0" w:color="auto"/>
            </w:tcBorders>
            <w:shd w:val="clear" w:color="auto" w:fill="FFFFFF" w:themeFill="background1"/>
            <w:vAlign w:val="center"/>
          </w:tcPr>
          <w:p w14:paraId="7627436E"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5B52CD05"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12900E9D"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100-865: REGION LORETO-AGRICULTURA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3B8D4FB0"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hAnsi="Arial Narrow"/>
                <w:sz w:val="16"/>
                <w:szCs w:val="16"/>
              </w:rPr>
              <w:t>453: Gobierno Regional del Departamento de Loreto</w:t>
            </w:r>
          </w:p>
        </w:tc>
        <w:tc>
          <w:tcPr>
            <w:tcW w:w="1218" w:type="dxa"/>
            <w:tcBorders>
              <w:top w:val="nil"/>
              <w:left w:val="nil"/>
              <w:bottom w:val="single" w:sz="4" w:space="0" w:color="auto"/>
              <w:right w:val="single" w:sz="4" w:space="0" w:color="auto"/>
            </w:tcBorders>
            <w:shd w:val="clear" w:color="auto" w:fill="FFFFFF" w:themeFill="background1"/>
            <w:vAlign w:val="center"/>
          </w:tcPr>
          <w:p w14:paraId="3736E4AF"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4FEFEDE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6734CA17" w14:textId="77777777" w:rsidTr="00AF5836">
        <w:trPr>
          <w:gridAfter w:val="2"/>
          <w:wAfter w:w="160" w:type="dxa"/>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B0E7D96"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5F4D250"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C35136A"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5B36A6DE"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left w:val="nil"/>
              <w:right w:val="single" w:sz="4" w:space="0" w:color="auto"/>
            </w:tcBorders>
            <w:shd w:val="clear" w:color="auto" w:fill="FFFFFF" w:themeFill="background1"/>
            <w:vAlign w:val="center"/>
          </w:tcPr>
          <w:p w14:paraId="5AAC78ED"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25A7F39E"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3739ADDF"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100-876: REGION MADRE DE DIOS-AGRICULTURA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3AD003B4"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hAnsi="Arial Narrow"/>
                <w:sz w:val="16"/>
                <w:szCs w:val="16"/>
              </w:rPr>
              <w:t>454: Gobierno Regional del Departamento de Madre De Dios</w:t>
            </w:r>
          </w:p>
        </w:tc>
        <w:tc>
          <w:tcPr>
            <w:tcW w:w="1218" w:type="dxa"/>
            <w:tcBorders>
              <w:top w:val="nil"/>
              <w:left w:val="nil"/>
              <w:bottom w:val="single" w:sz="4" w:space="0" w:color="auto"/>
              <w:right w:val="single" w:sz="4" w:space="0" w:color="auto"/>
            </w:tcBorders>
            <w:shd w:val="clear" w:color="auto" w:fill="FFFFFF" w:themeFill="background1"/>
            <w:vAlign w:val="center"/>
          </w:tcPr>
          <w:p w14:paraId="592AD300"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5AED933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7A02887F" w14:textId="77777777" w:rsidTr="00AF5836">
        <w:trPr>
          <w:gridAfter w:val="2"/>
          <w:wAfter w:w="160" w:type="dxa"/>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F39C7E4"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6B6797B"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15F1CB4"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68DD07FE"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left w:val="nil"/>
              <w:right w:val="single" w:sz="4" w:space="0" w:color="auto"/>
            </w:tcBorders>
            <w:shd w:val="clear" w:color="auto" w:fill="FFFFFF" w:themeFill="background1"/>
            <w:vAlign w:val="center"/>
          </w:tcPr>
          <w:p w14:paraId="02889CFA"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4DFAE668"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2D65F77B"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100-924: REGION SAN MARTIN-AGRICULTURA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3BD3F00B"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hAnsi="Arial Narrow"/>
                <w:sz w:val="16"/>
                <w:szCs w:val="16"/>
              </w:rPr>
              <w:t>459: Gobierno Regional del Departamento de San Martin</w:t>
            </w:r>
          </w:p>
        </w:tc>
        <w:tc>
          <w:tcPr>
            <w:tcW w:w="1218" w:type="dxa"/>
            <w:tcBorders>
              <w:top w:val="nil"/>
              <w:left w:val="nil"/>
              <w:bottom w:val="single" w:sz="4" w:space="0" w:color="auto"/>
              <w:right w:val="single" w:sz="4" w:space="0" w:color="auto"/>
            </w:tcBorders>
            <w:shd w:val="clear" w:color="auto" w:fill="FFFFFF" w:themeFill="background1"/>
            <w:vAlign w:val="center"/>
          </w:tcPr>
          <w:p w14:paraId="4CAC9EFA"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155BB38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22182851" w14:textId="77777777" w:rsidTr="00AF5836">
        <w:trPr>
          <w:gridAfter w:val="2"/>
          <w:wAfter w:w="160" w:type="dxa"/>
          <w:trHeight w:val="434"/>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E3B5D28"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671AC75"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1F1F80B"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1AC59B49"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left w:val="nil"/>
              <w:right w:val="single" w:sz="4" w:space="0" w:color="auto"/>
            </w:tcBorders>
            <w:shd w:val="clear" w:color="auto" w:fill="FFFFFF" w:themeFill="background1"/>
            <w:vAlign w:val="center"/>
          </w:tcPr>
          <w:p w14:paraId="29E2F877"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0362C8DF"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7FC0CC1A"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100-937: REGION TUMBES-AGRICULTURA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22631162"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hAnsi="Arial Narrow"/>
                <w:sz w:val="16"/>
                <w:szCs w:val="16"/>
              </w:rPr>
              <w:t>461: Gobierno Regional del Departamento de Tumbes</w:t>
            </w:r>
          </w:p>
        </w:tc>
        <w:tc>
          <w:tcPr>
            <w:tcW w:w="1218" w:type="dxa"/>
            <w:tcBorders>
              <w:top w:val="nil"/>
              <w:left w:val="nil"/>
              <w:bottom w:val="single" w:sz="4" w:space="0" w:color="auto"/>
              <w:right w:val="single" w:sz="4" w:space="0" w:color="auto"/>
            </w:tcBorders>
            <w:shd w:val="clear" w:color="auto" w:fill="FFFFFF" w:themeFill="background1"/>
            <w:vAlign w:val="center"/>
          </w:tcPr>
          <w:p w14:paraId="4D9EB3E4"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5C68231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707080BA" w14:textId="77777777" w:rsidTr="00AF5836">
        <w:trPr>
          <w:gridAfter w:val="2"/>
          <w:wAfter w:w="160" w:type="dxa"/>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3CF6CEB"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7921D69"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B7EF4CC"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bottom w:val="single" w:sz="4" w:space="0" w:color="auto"/>
              <w:right w:val="single" w:sz="4" w:space="0" w:color="auto"/>
            </w:tcBorders>
            <w:shd w:val="clear" w:color="auto" w:fill="FFFFFF" w:themeFill="background1"/>
            <w:vAlign w:val="center"/>
          </w:tcPr>
          <w:p w14:paraId="30822408"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left w:val="nil"/>
              <w:bottom w:val="single" w:sz="4" w:space="0" w:color="auto"/>
              <w:right w:val="single" w:sz="4" w:space="0" w:color="auto"/>
            </w:tcBorders>
            <w:shd w:val="clear" w:color="auto" w:fill="FFFFFF" w:themeFill="background1"/>
            <w:vAlign w:val="center"/>
          </w:tcPr>
          <w:p w14:paraId="0BAD0C4B"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08BD545E"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625A59B0"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100-947: REGION UCAYALI-AGRICULTURA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3F2F8FFA"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hAnsi="Arial Narrow"/>
                <w:sz w:val="16"/>
                <w:szCs w:val="16"/>
              </w:rPr>
              <w:t>462: Gobierno Regional del Departamento de Ucayali</w:t>
            </w:r>
          </w:p>
        </w:tc>
        <w:tc>
          <w:tcPr>
            <w:tcW w:w="1218" w:type="dxa"/>
            <w:tcBorders>
              <w:top w:val="nil"/>
              <w:left w:val="nil"/>
              <w:bottom w:val="single" w:sz="4" w:space="0" w:color="auto"/>
              <w:right w:val="single" w:sz="4" w:space="0" w:color="auto"/>
            </w:tcBorders>
            <w:shd w:val="clear" w:color="auto" w:fill="FFFFFF" w:themeFill="background1"/>
            <w:vAlign w:val="center"/>
          </w:tcPr>
          <w:p w14:paraId="1EB337E6"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5C74305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41EC4632" w14:textId="77777777" w:rsidTr="00AF5836">
        <w:trPr>
          <w:gridAfter w:val="2"/>
          <w:wAfter w:w="160" w:type="dxa"/>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7076612"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1E375D0"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E2B8C05"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val="restart"/>
            <w:tcBorders>
              <w:top w:val="nil"/>
              <w:left w:val="nil"/>
              <w:right w:val="single" w:sz="4" w:space="0" w:color="auto"/>
            </w:tcBorders>
            <w:shd w:val="clear" w:color="auto" w:fill="FFFFFF" w:themeFill="background1"/>
            <w:vAlign w:val="center"/>
            <w:hideMark/>
          </w:tcPr>
          <w:p w14:paraId="17A78565"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 013: Conducción de Procedimiento Administrativo Sancionador (PAS)</w:t>
            </w:r>
          </w:p>
        </w:tc>
        <w:tc>
          <w:tcPr>
            <w:tcW w:w="2233" w:type="dxa"/>
            <w:vMerge w:val="restart"/>
            <w:tcBorders>
              <w:top w:val="nil"/>
              <w:left w:val="nil"/>
              <w:right w:val="single" w:sz="4" w:space="0" w:color="auto"/>
            </w:tcBorders>
            <w:shd w:val="clear" w:color="auto" w:fill="FFFFFF" w:themeFill="background1"/>
            <w:vAlign w:val="center"/>
            <w:hideMark/>
          </w:tcPr>
          <w:p w14:paraId="10B5249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Procedimientos</w:t>
            </w:r>
          </w:p>
        </w:tc>
        <w:tc>
          <w:tcPr>
            <w:tcW w:w="1814" w:type="dxa"/>
            <w:tcBorders>
              <w:top w:val="nil"/>
              <w:left w:val="nil"/>
              <w:bottom w:val="single" w:sz="4" w:space="0" w:color="auto"/>
              <w:right w:val="single" w:sz="4" w:space="0" w:color="auto"/>
            </w:tcBorders>
            <w:shd w:val="clear" w:color="auto" w:fill="FFFFFF" w:themeFill="background1"/>
            <w:hideMark/>
          </w:tcPr>
          <w:p w14:paraId="104AB2B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Administraciones Técnicas Forestales y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1CB5FC5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0C9EF08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487EFB4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4A79E8F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68685924" w14:textId="77777777" w:rsidTr="00AF5836">
        <w:trPr>
          <w:gridAfter w:val="2"/>
          <w:wAfter w:w="160" w:type="dxa"/>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04DB18D"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FA12957"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4BBD482"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74D45A43"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left w:val="nil"/>
              <w:right w:val="single" w:sz="4" w:space="0" w:color="auto"/>
            </w:tcBorders>
            <w:shd w:val="clear" w:color="auto" w:fill="FFFFFF" w:themeFill="background1"/>
            <w:vAlign w:val="center"/>
          </w:tcPr>
          <w:p w14:paraId="1197B0C8"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0365A6A0"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6DB603EA"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 xml:space="preserve">100-722: REGION AMAZONAS-AGRICULTURA </w:t>
            </w:r>
          </w:p>
        </w:tc>
        <w:tc>
          <w:tcPr>
            <w:tcW w:w="1560" w:type="dxa"/>
            <w:tcBorders>
              <w:top w:val="nil"/>
              <w:left w:val="nil"/>
              <w:bottom w:val="single" w:sz="4" w:space="0" w:color="auto"/>
              <w:right w:val="single" w:sz="4" w:space="0" w:color="auto"/>
            </w:tcBorders>
            <w:shd w:val="clear" w:color="auto" w:fill="FFFFFF" w:themeFill="background1"/>
            <w:vAlign w:val="center"/>
          </w:tcPr>
          <w:p w14:paraId="7AC12642"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hAnsi="Arial Narrow"/>
                <w:sz w:val="16"/>
                <w:szCs w:val="16"/>
              </w:rPr>
              <w:t>440: Gobierno Regional del Departamento de Amazonas</w:t>
            </w:r>
          </w:p>
        </w:tc>
        <w:tc>
          <w:tcPr>
            <w:tcW w:w="1218" w:type="dxa"/>
            <w:tcBorders>
              <w:top w:val="nil"/>
              <w:left w:val="nil"/>
              <w:bottom w:val="single" w:sz="4" w:space="0" w:color="auto"/>
              <w:right w:val="single" w:sz="4" w:space="0" w:color="auto"/>
            </w:tcBorders>
            <w:shd w:val="clear" w:color="auto" w:fill="FFFFFF" w:themeFill="background1"/>
            <w:vAlign w:val="center"/>
          </w:tcPr>
          <w:p w14:paraId="5EE5B4BA"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2D531C1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6C7F8C99" w14:textId="77777777" w:rsidTr="00AF5836">
        <w:trPr>
          <w:gridAfter w:val="2"/>
          <w:wAfter w:w="160" w:type="dxa"/>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630B74A"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5F43301"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4556BC7"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6C1496E5"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left w:val="nil"/>
              <w:right w:val="single" w:sz="4" w:space="0" w:color="auto"/>
            </w:tcBorders>
            <w:shd w:val="clear" w:color="auto" w:fill="FFFFFF" w:themeFill="background1"/>
            <w:vAlign w:val="center"/>
          </w:tcPr>
          <w:p w14:paraId="6CEDB4B8"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763AD57A"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4A1C930B"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100-771: REGION AYACUCHO-AGRICULTURA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4541F239"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hAnsi="Arial Narrow"/>
                <w:sz w:val="16"/>
                <w:szCs w:val="16"/>
              </w:rPr>
              <w:t>444: Gobierno Regional del Departamento de Ayacucho</w:t>
            </w:r>
          </w:p>
        </w:tc>
        <w:tc>
          <w:tcPr>
            <w:tcW w:w="1218" w:type="dxa"/>
            <w:tcBorders>
              <w:top w:val="nil"/>
              <w:left w:val="nil"/>
              <w:bottom w:val="single" w:sz="4" w:space="0" w:color="auto"/>
              <w:right w:val="single" w:sz="4" w:space="0" w:color="auto"/>
            </w:tcBorders>
            <w:shd w:val="clear" w:color="auto" w:fill="FFFFFF" w:themeFill="background1"/>
            <w:vAlign w:val="center"/>
          </w:tcPr>
          <w:p w14:paraId="0DF65DC3"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3F77A84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78643A31"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441BD7E"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90F8AFA"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4536A92"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0F2C1D09"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left w:val="nil"/>
              <w:right w:val="single" w:sz="4" w:space="0" w:color="auto"/>
            </w:tcBorders>
            <w:shd w:val="clear" w:color="auto" w:fill="FFFFFF" w:themeFill="background1"/>
            <w:vAlign w:val="center"/>
          </w:tcPr>
          <w:p w14:paraId="2A62AC60"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267BAB01"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715C0DD1"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100-806: REGION HUANUCO-AGRICULTURA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738AFD90"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hAnsi="Arial Narrow"/>
                <w:sz w:val="16"/>
                <w:szCs w:val="16"/>
              </w:rPr>
              <w:t>448: Gobierno Regional del Departamento de Huánuco</w:t>
            </w:r>
          </w:p>
        </w:tc>
        <w:tc>
          <w:tcPr>
            <w:tcW w:w="1218" w:type="dxa"/>
            <w:tcBorders>
              <w:top w:val="nil"/>
              <w:left w:val="nil"/>
              <w:bottom w:val="single" w:sz="4" w:space="0" w:color="auto"/>
              <w:right w:val="single" w:sz="4" w:space="0" w:color="auto"/>
            </w:tcBorders>
            <w:shd w:val="clear" w:color="auto" w:fill="FFFFFF" w:themeFill="background1"/>
            <w:vAlign w:val="center"/>
          </w:tcPr>
          <w:p w14:paraId="362E7A38"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3013886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589AC6F7"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8197026"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2F02F81"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35B4F91"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31083023"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left w:val="nil"/>
              <w:right w:val="single" w:sz="4" w:space="0" w:color="auto"/>
            </w:tcBorders>
            <w:shd w:val="clear" w:color="auto" w:fill="FFFFFF" w:themeFill="background1"/>
            <w:vAlign w:val="center"/>
          </w:tcPr>
          <w:p w14:paraId="222B8CFA"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7BCC19A0"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600001EA"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100-832: REGION LA LIBERTAD-AGRICULTURA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7B565255"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hAnsi="Arial Narrow"/>
                <w:sz w:val="16"/>
                <w:szCs w:val="16"/>
              </w:rPr>
              <w:t>451: Gobierno Regional del Departamento de La Libertad</w:t>
            </w:r>
          </w:p>
        </w:tc>
        <w:tc>
          <w:tcPr>
            <w:tcW w:w="1218" w:type="dxa"/>
            <w:tcBorders>
              <w:top w:val="nil"/>
              <w:left w:val="nil"/>
              <w:bottom w:val="single" w:sz="4" w:space="0" w:color="auto"/>
              <w:right w:val="single" w:sz="4" w:space="0" w:color="auto"/>
            </w:tcBorders>
            <w:shd w:val="clear" w:color="auto" w:fill="FFFFFF" w:themeFill="background1"/>
            <w:vAlign w:val="center"/>
          </w:tcPr>
          <w:p w14:paraId="39A18F66"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0607141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3F18A094"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4CFE14C"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6030C34"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DF820CC"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630F2054"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left w:val="nil"/>
              <w:right w:val="single" w:sz="4" w:space="0" w:color="auto"/>
            </w:tcBorders>
            <w:shd w:val="clear" w:color="auto" w:fill="FFFFFF" w:themeFill="background1"/>
            <w:vAlign w:val="center"/>
          </w:tcPr>
          <w:p w14:paraId="565817D9"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0C97B7CD"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3372F064"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100-865: REGION LORETO-AGRICULTURA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5B7CF9A7"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hAnsi="Arial Narrow"/>
                <w:sz w:val="16"/>
                <w:szCs w:val="16"/>
              </w:rPr>
              <w:t>453: Gobierno Regional del Departamento de Loreto</w:t>
            </w:r>
          </w:p>
        </w:tc>
        <w:tc>
          <w:tcPr>
            <w:tcW w:w="1218" w:type="dxa"/>
            <w:tcBorders>
              <w:top w:val="nil"/>
              <w:left w:val="nil"/>
              <w:bottom w:val="single" w:sz="4" w:space="0" w:color="auto"/>
              <w:right w:val="single" w:sz="4" w:space="0" w:color="auto"/>
            </w:tcBorders>
            <w:shd w:val="clear" w:color="auto" w:fill="FFFFFF" w:themeFill="background1"/>
            <w:vAlign w:val="center"/>
          </w:tcPr>
          <w:p w14:paraId="648266E3"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79B20FE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4867D2C8"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ED52642"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229794F"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C1FA28A"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74AB75FA"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left w:val="nil"/>
              <w:right w:val="single" w:sz="4" w:space="0" w:color="auto"/>
            </w:tcBorders>
            <w:shd w:val="clear" w:color="auto" w:fill="FFFFFF" w:themeFill="background1"/>
            <w:vAlign w:val="center"/>
          </w:tcPr>
          <w:p w14:paraId="70D9DC99"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70F0BF42"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5EE6338C"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100-876: REGION MADRE DE DIOS-AGRICULTURA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40546357"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hAnsi="Arial Narrow"/>
                <w:sz w:val="16"/>
                <w:szCs w:val="16"/>
              </w:rPr>
              <w:t>454: Gobierno Regional del Departamento de Madre De Dios</w:t>
            </w:r>
          </w:p>
        </w:tc>
        <w:tc>
          <w:tcPr>
            <w:tcW w:w="1218" w:type="dxa"/>
            <w:tcBorders>
              <w:top w:val="nil"/>
              <w:left w:val="nil"/>
              <w:bottom w:val="single" w:sz="4" w:space="0" w:color="auto"/>
              <w:right w:val="single" w:sz="4" w:space="0" w:color="auto"/>
            </w:tcBorders>
            <w:shd w:val="clear" w:color="auto" w:fill="FFFFFF" w:themeFill="background1"/>
            <w:vAlign w:val="center"/>
          </w:tcPr>
          <w:p w14:paraId="0073E683"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795EE44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38D0B780" w14:textId="77777777" w:rsidTr="00AF5836">
        <w:trPr>
          <w:gridAfter w:val="2"/>
          <w:wAfter w:w="160" w:type="dxa"/>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20E0C03"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FEFA242"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730AFA5"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11CF158D"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left w:val="nil"/>
              <w:right w:val="single" w:sz="4" w:space="0" w:color="auto"/>
            </w:tcBorders>
            <w:shd w:val="clear" w:color="auto" w:fill="FFFFFF" w:themeFill="background1"/>
            <w:vAlign w:val="center"/>
          </w:tcPr>
          <w:p w14:paraId="507A7613"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0510850E"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65CD2EDE"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100-924: REGION SAN MARTIN-AGRICULTURA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0B8BF11D"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hAnsi="Arial Narrow"/>
                <w:sz w:val="16"/>
                <w:szCs w:val="16"/>
              </w:rPr>
              <w:t>459: Gobierno Regional del Departamento de San Martin</w:t>
            </w:r>
          </w:p>
        </w:tc>
        <w:tc>
          <w:tcPr>
            <w:tcW w:w="1218" w:type="dxa"/>
            <w:tcBorders>
              <w:top w:val="nil"/>
              <w:left w:val="nil"/>
              <w:bottom w:val="single" w:sz="4" w:space="0" w:color="auto"/>
              <w:right w:val="single" w:sz="4" w:space="0" w:color="auto"/>
            </w:tcBorders>
            <w:shd w:val="clear" w:color="auto" w:fill="FFFFFF" w:themeFill="background1"/>
            <w:vAlign w:val="center"/>
          </w:tcPr>
          <w:p w14:paraId="12AD9FAF"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29D3AE4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3C36FBD2" w14:textId="77777777" w:rsidTr="00AF5836">
        <w:trPr>
          <w:gridAfter w:val="2"/>
          <w:wAfter w:w="160" w:type="dxa"/>
          <w:trHeight w:val="231"/>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A1C72B5"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0694EFC"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3081375"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37DF375C"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left w:val="nil"/>
              <w:right w:val="single" w:sz="4" w:space="0" w:color="auto"/>
            </w:tcBorders>
            <w:shd w:val="clear" w:color="auto" w:fill="FFFFFF" w:themeFill="background1"/>
            <w:vAlign w:val="center"/>
          </w:tcPr>
          <w:p w14:paraId="095BA5AF"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1BEFD536"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5AD339A7"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100-937: REGION TUMBES-AGRICULTURA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7457AEFB"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hAnsi="Arial Narrow"/>
                <w:sz w:val="16"/>
                <w:szCs w:val="16"/>
              </w:rPr>
              <w:t>461: Gobierno Regional del Departamento de Tumbes</w:t>
            </w:r>
          </w:p>
        </w:tc>
        <w:tc>
          <w:tcPr>
            <w:tcW w:w="1218" w:type="dxa"/>
            <w:tcBorders>
              <w:top w:val="nil"/>
              <w:left w:val="nil"/>
              <w:bottom w:val="single" w:sz="4" w:space="0" w:color="auto"/>
              <w:right w:val="single" w:sz="4" w:space="0" w:color="auto"/>
            </w:tcBorders>
            <w:shd w:val="clear" w:color="auto" w:fill="FFFFFF" w:themeFill="background1"/>
            <w:vAlign w:val="center"/>
          </w:tcPr>
          <w:p w14:paraId="62E0C1ED"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637C8CE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r>
      <w:tr w:rsidR="00846D49" w:rsidRPr="00846D49" w14:paraId="7EADEF54" w14:textId="77777777" w:rsidTr="00AF5836">
        <w:trPr>
          <w:gridAfter w:val="2"/>
          <w:wAfter w:w="160" w:type="dxa"/>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4678913"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30252F4"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B352531"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bottom w:val="single" w:sz="4" w:space="0" w:color="auto"/>
              <w:right w:val="single" w:sz="4" w:space="0" w:color="auto"/>
            </w:tcBorders>
            <w:shd w:val="clear" w:color="auto" w:fill="FFFFFF" w:themeFill="background1"/>
            <w:vAlign w:val="center"/>
          </w:tcPr>
          <w:p w14:paraId="40E0BEBD"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left w:val="nil"/>
              <w:bottom w:val="single" w:sz="4" w:space="0" w:color="auto"/>
              <w:right w:val="single" w:sz="4" w:space="0" w:color="auto"/>
            </w:tcBorders>
            <w:shd w:val="clear" w:color="auto" w:fill="FFFFFF" w:themeFill="background1"/>
            <w:vAlign w:val="center"/>
          </w:tcPr>
          <w:p w14:paraId="09022EE8"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33CE3061"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0822D8A0"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100-947: REGION UCAYALI-AGRICULTURA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3BDD2E5E"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Arial Narrow" w:hAnsi="Arial Narrow" w:cs="Arial Narrow"/>
                <w:sz w:val="16"/>
                <w:szCs w:val="16"/>
              </w:rPr>
              <w:t>024: Organismo Supervisor de los Recursos Forestales y de Fauna Silvestre</w:t>
            </w:r>
          </w:p>
        </w:tc>
        <w:tc>
          <w:tcPr>
            <w:tcW w:w="1218" w:type="dxa"/>
            <w:tcBorders>
              <w:top w:val="nil"/>
              <w:left w:val="nil"/>
              <w:bottom w:val="single" w:sz="4" w:space="0" w:color="auto"/>
              <w:right w:val="single" w:sz="4" w:space="0" w:color="auto"/>
            </w:tcBorders>
            <w:shd w:val="clear" w:color="auto" w:fill="FFFFFF" w:themeFill="background1"/>
            <w:vAlign w:val="center"/>
          </w:tcPr>
          <w:p w14:paraId="2F48A77D"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Arial Narrow" w:hAnsi="Arial Narrow" w:cs="Arial Narrow"/>
                <w:sz w:val="16"/>
                <w:szCs w:val="16"/>
              </w:rPr>
              <w:t>01: Presidencia Consejo de Ministros</w:t>
            </w:r>
          </w:p>
        </w:tc>
        <w:tc>
          <w:tcPr>
            <w:tcW w:w="1373" w:type="dxa"/>
            <w:tcBorders>
              <w:top w:val="nil"/>
              <w:left w:val="nil"/>
              <w:bottom w:val="single" w:sz="4" w:space="0" w:color="auto"/>
              <w:right w:val="single" w:sz="4" w:space="0" w:color="auto"/>
            </w:tcBorders>
            <w:shd w:val="clear" w:color="auto" w:fill="FFFFFF" w:themeFill="background1"/>
            <w:vAlign w:val="center"/>
          </w:tcPr>
          <w:p w14:paraId="114E2A0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Arial Narrow" w:hAnsi="Arial Narrow" w:cs="Arial Narrow"/>
                <w:sz w:val="16"/>
                <w:szCs w:val="16"/>
              </w:rPr>
              <w:t>Gobierno Nacional</w:t>
            </w:r>
          </w:p>
        </w:tc>
      </w:tr>
      <w:tr w:rsidR="00846D49" w:rsidRPr="00846D49" w14:paraId="4E6B79ED" w14:textId="77777777" w:rsidTr="00AF5836">
        <w:trPr>
          <w:gridAfter w:val="2"/>
          <w:wAfter w:w="160" w:type="dxa"/>
          <w:trHeight w:val="765"/>
        </w:trPr>
        <w:tc>
          <w:tcPr>
            <w:tcW w:w="384" w:type="dxa"/>
            <w:vMerge w:val="restart"/>
            <w:tcBorders>
              <w:top w:val="nil"/>
              <w:left w:val="single" w:sz="4" w:space="0" w:color="auto"/>
              <w:right w:val="single" w:sz="4" w:space="0" w:color="auto"/>
            </w:tcBorders>
            <w:shd w:val="clear" w:color="auto" w:fill="FFFFFF" w:themeFill="background1"/>
            <w:vAlign w:val="center"/>
          </w:tcPr>
          <w:p w14:paraId="71C36598"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28</w:t>
            </w:r>
          </w:p>
        </w:tc>
        <w:tc>
          <w:tcPr>
            <w:tcW w:w="1693" w:type="dxa"/>
            <w:vMerge w:val="restart"/>
            <w:tcBorders>
              <w:top w:val="nil"/>
              <w:left w:val="single" w:sz="4" w:space="0" w:color="auto"/>
              <w:right w:val="single" w:sz="4" w:space="0" w:color="auto"/>
            </w:tcBorders>
            <w:shd w:val="clear" w:color="auto" w:fill="FFFFFF" w:themeFill="background1"/>
            <w:vAlign w:val="center"/>
          </w:tcPr>
          <w:p w14:paraId="701D70A0"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L1.9 Reducir los niveles de tala ilegal, caza furtiva y del tráfico ilegal forestal y de fauna silvestre.</w:t>
            </w:r>
          </w:p>
        </w:tc>
        <w:tc>
          <w:tcPr>
            <w:tcW w:w="1800" w:type="dxa"/>
            <w:vMerge w:val="restart"/>
            <w:tcBorders>
              <w:top w:val="nil"/>
              <w:left w:val="single" w:sz="4" w:space="0" w:color="auto"/>
              <w:right w:val="single" w:sz="4" w:space="0" w:color="auto"/>
            </w:tcBorders>
            <w:shd w:val="clear" w:color="auto" w:fill="FFFFFF" w:themeFill="background1"/>
            <w:vAlign w:val="center"/>
          </w:tcPr>
          <w:p w14:paraId="3476A66F"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S1.9.6 Fiscalización del cumplimiento de las obligaciones para la gestión forestal de manera oportuna a titulares de títulos habilitantes</w:t>
            </w:r>
          </w:p>
        </w:tc>
        <w:tc>
          <w:tcPr>
            <w:tcW w:w="2143" w:type="dxa"/>
            <w:tcBorders>
              <w:left w:val="nil"/>
              <w:bottom w:val="single" w:sz="4" w:space="0" w:color="auto"/>
              <w:right w:val="single" w:sz="4" w:space="0" w:color="auto"/>
            </w:tcBorders>
            <w:shd w:val="clear" w:color="auto" w:fill="FFFFFF" w:themeFill="background1"/>
            <w:vAlign w:val="center"/>
          </w:tcPr>
          <w:p w14:paraId="46DBB0FD"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cs="Times New Roman"/>
                <w:sz w:val="16"/>
                <w:szCs w:val="16"/>
                <w:lang w:eastAsia="en-US"/>
              </w:rPr>
              <w:t>Evaluación documental de insumos para la supervisión (de gabinete y campo) a titulares de títulos habilitantes</w:t>
            </w:r>
          </w:p>
        </w:tc>
        <w:tc>
          <w:tcPr>
            <w:tcW w:w="2233" w:type="dxa"/>
            <w:tcBorders>
              <w:left w:val="nil"/>
              <w:bottom w:val="single" w:sz="4" w:space="0" w:color="auto"/>
              <w:right w:val="single" w:sz="4" w:space="0" w:color="auto"/>
            </w:tcBorders>
            <w:shd w:val="clear" w:color="auto" w:fill="FFFFFF" w:themeFill="background1"/>
            <w:vAlign w:val="center"/>
          </w:tcPr>
          <w:p w14:paraId="7521AA6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cs="Times New Roman"/>
                <w:sz w:val="16"/>
                <w:szCs w:val="16"/>
                <w:lang w:eastAsia="en-US"/>
              </w:rPr>
              <w:t>Acción</w:t>
            </w:r>
          </w:p>
        </w:tc>
        <w:tc>
          <w:tcPr>
            <w:tcW w:w="1814" w:type="dxa"/>
            <w:tcBorders>
              <w:top w:val="nil"/>
              <w:left w:val="nil"/>
              <w:bottom w:val="single" w:sz="4" w:space="0" w:color="auto"/>
              <w:right w:val="single" w:sz="4" w:space="0" w:color="auto"/>
            </w:tcBorders>
            <w:shd w:val="clear" w:color="auto" w:fill="FFFFFF" w:themeFill="background1"/>
            <w:vAlign w:val="center"/>
          </w:tcPr>
          <w:p w14:paraId="27924E9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cs="Times New Roman"/>
                <w:sz w:val="16"/>
                <w:szCs w:val="16"/>
                <w:lang w:eastAsia="en-US"/>
              </w:rPr>
              <w:t>Dirección de Supervisión y Fiscalización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32DDBA5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cs="Times New Roman"/>
                <w:sz w:val="16"/>
                <w:szCs w:val="16"/>
                <w:lang w:eastAsia="en-US"/>
              </w:rPr>
              <w:t>001-1319: Organismo de Supervisión de los Recursos Forestales y de Fauna Silvestre - OSINFOR</w:t>
            </w:r>
          </w:p>
        </w:tc>
        <w:tc>
          <w:tcPr>
            <w:tcW w:w="1560" w:type="dxa"/>
            <w:tcBorders>
              <w:top w:val="nil"/>
              <w:left w:val="nil"/>
              <w:bottom w:val="single" w:sz="4" w:space="0" w:color="auto"/>
              <w:right w:val="single" w:sz="4" w:space="0" w:color="auto"/>
            </w:tcBorders>
            <w:shd w:val="clear" w:color="auto" w:fill="FFFFFF" w:themeFill="background1"/>
            <w:vAlign w:val="center"/>
          </w:tcPr>
          <w:p w14:paraId="7F4374DF" w14:textId="77777777" w:rsidR="00881C3C" w:rsidRPr="00846D49" w:rsidRDefault="00881C3C" w:rsidP="00AF5836">
            <w:pPr>
              <w:spacing w:after="0" w:line="240" w:lineRule="auto"/>
              <w:jc w:val="center"/>
              <w:rPr>
                <w:rFonts w:ascii="Arial Narrow" w:hAnsi="Arial Narrow"/>
                <w:sz w:val="16"/>
                <w:szCs w:val="16"/>
              </w:rPr>
            </w:pPr>
            <w:r w:rsidRPr="00846D49">
              <w:rPr>
                <w:rFonts w:ascii="Arial Narrow" w:eastAsia="Arial Narrow" w:hAnsi="Arial Narrow" w:cs="Arial Narrow"/>
                <w:sz w:val="16"/>
                <w:szCs w:val="16"/>
              </w:rPr>
              <w:t>024: Organismo Supervisor de los Recursos Forestales y de Fauna Silvestre</w:t>
            </w:r>
          </w:p>
        </w:tc>
        <w:tc>
          <w:tcPr>
            <w:tcW w:w="1218" w:type="dxa"/>
            <w:tcBorders>
              <w:top w:val="nil"/>
              <w:left w:val="nil"/>
              <w:bottom w:val="single" w:sz="4" w:space="0" w:color="auto"/>
              <w:right w:val="single" w:sz="4" w:space="0" w:color="auto"/>
            </w:tcBorders>
            <w:shd w:val="clear" w:color="auto" w:fill="FFFFFF" w:themeFill="background1"/>
            <w:vAlign w:val="center"/>
          </w:tcPr>
          <w:p w14:paraId="59E78F3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Arial Narrow" w:hAnsi="Arial Narrow" w:cs="Arial Narrow"/>
                <w:sz w:val="16"/>
                <w:szCs w:val="16"/>
              </w:rPr>
              <w:t>01: Presidencia Consejo de Ministros</w:t>
            </w:r>
          </w:p>
        </w:tc>
        <w:tc>
          <w:tcPr>
            <w:tcW w:w="1373" w:type="dxa"/>
            <w:tcBorders>
              <w:top w:val="nil"/>
              <w:left w:val="nil"/>
              <w:bottom w:val="single" w:sz="4" w:space="0" w:color="auto"/>
              <w:right w:val="single" w:sz="4" w:space="0" w:color="auto"/>
            </w:tcBorders>
            <w:shd w:val="clear" w:color="auto" w:fill="FFFFFF" w:themeFill="background1"/>
            <w:vAlign w:val="center"/>
          </w:tcPr>
          <w:p w14:paraId="236E02B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Arial Narrow" w:hAnsi="Arial Narrow" w:cs="Arial Narrow"/>
                <w:sz w:val="16"/>
                <w:szCs w:val="16"/>
              </w:rPr>
              <w:t>Gobierno Nacional</w:t>
            </w:r>
          </w:p>
        </w:tc>
      </w:tr>
      <w:tr w:rsidR="00846D49" w:rsidRPr="00846D49" w14:paraId="31D49F70" w14:textId="77777777" w:rsidTr="00AF5836">
        <w:trPr>
          <w:gridAfter w:val="2"/>
          <w:wAfter w:w="160" w:type="dxa"/>
          <w:trHeight w:val="765"/>
        </w:trPr>
        <w:tc>
          <w:tcPr>
            <w:tcW w:w="384" w:type="dxa"/>
            <w:vMerge/>
            <w:tcBorders>
              <w:left w:val="single" w:sz="4" w:space="0" w:color="auto"/>
              <w:right w:val="single" w:sz="4" w:space="0" w:color="auto"/>
            </w:tcBorders>
            <w:shd w:val="clear" w:color="auto" w:fill="FFFFFF" w:themeFill="background1"/>
            <w:vAlign w:val="center"/>
          </w:tcPr>
          <w:p w14:paraId="0C316992"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left w:val="single" w:sz="4" w:space="0" w:color="auto"/>
              <w:right w:val="single" w:sz="4" w:space="0" w:color="auto"/>
            </w:tcBorders>
            <w:shd w:val="clear" w:color="auto" w:fill="FFFFFF" w:themeFill="background1"/>
            <w:vAlign w:val="center"/>
          </w:tcPr>
          <w:p w14:paraId="5EABABCD"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left w:val="single" w:sz="4" w:space="0" w:color="auto"/>
              <w:right w:val="single" w:sz="4" w:space="0" w:color="auto"/>
            </w:tcBorders>
            <w:shd w:val="clear" w:color="auto" w:fill="FFFFFF" w:themeFill="background1"/>
            <w:vAlign w:val="center"/>
          </w:tcPr>
          <w:p w14:paraId="7AEAC64A"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left w:val="nil"/>
              <w:bottom w:val="single" w:sz="4" w:space="0" w:color="auto"/>
              <w:right w:val="single" w:sz="4" w:space="0" w:color="auto"/>
            </w:tcBorders>
            <w:shd w:val="clear" w:color="auto" w:fill="FFFFFF" w:themeFill="background1"/>
            <w:vAlign w:val="center"/>
          </w:tcPr>
          <w:p w14:paraId="1BC5F787"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cs="Times New Roman"/>
                <w:sz w:val="16"/>
                <w:szCs w:val="16"/>
                <w:lang w:eastAsia="en-US"/>
              </w:rPr>
              <w:t>Planificación anual de las supervisiones (de gabinete y campo) a titulares de títulos habilitantes</w:t>
            </w:r>
          </w:p>
        </w:tc>
        <w:tc>
          <w:tcPr>
            <w:tcW w:w="2233" w:type="dxa"/>
            <w:tcBorders>
              <w:left w:val="nil"/>
              <w:bottom w:val="single" w:sz="4" w:space="0" w:color="auto"/>
              <w:right w:val="single" w:sz="4" w:space="0" w:color="auto"/>
            </w:tcBorders>
            <w:shd w:val="clear" w:color="auto" w:fill="FFFFFF" w:themeFill="background1"/>
            <w:vAlign w:val="center"/>
          </w:tcPr>
          <w:p w14:paraId="14B5A63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cs="Times New Roman"/>
                <w:sz w:val="16"/>
                <w:szCs w:val="16"/>
                <w:lang w:eastAsia="en-US"/>
              </w:rPr>
              <w:t>Documento</w:t>
            </w:r>
          </w:p>
        </w:tc>
        <w:tc>
          <w:tcPr>
            <w:tcW w:w="1814" w:type="dxa"/>
            <w:tcBorders>
              <w:top w:val="nil"/>
              <w:left w:val="nil"/>
              <w:bottom w:val="single" w:sz="4" w:space="0" w:color="auto"/>
              <w:right w:val="single" w:sz="4" w:space="0" w:color="auto"/>
            </w:tcBorders>
            <w:shd w:val="clear" w:color="auto" w:fill="FFFFFF" w:themeFill="background1"/>
            <w:vAlign w:val="center"/>
          </w:tcPr>
          <w:p w14:paraId="17B6AAA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cs="Times New Roman"/>
                <w:sz w:val="16"/>
                <w:szCs w:val="16"/>
                <w:lang w:eastAsia="en-US"/>
              </w:rPr>
              <w:t>Dirección de Supervisión y Fiscalización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55BEA41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cs="Times New Roman"/>
                <w:sz w:val="16"/>
                <w:szCs w:val="16"/>
                <w:lang w:eastAsia="en-US"/>
              </w:rPr>
              <w:t>001-1319: Organismo de Supervisión de los Recursos Forestales y de Fauna Silvestre - OSINFOR</w:t>
            </w:r>
          </w:p>
        </w:tc>
        <w:tc>
          <w:tcPr>
            <w:tcW w:w="1560" w:type="dxa"/>
            <w:tcBorders>
              <w:top w:val="nil"/>
              <w:left w:val="nil"/>
              <w:bottom w:val="single" w:sz="4" w:space="0" w:color="auto"/>
              <w:right w:val="single" w:sz="4" w:space="0" w:color="auto"/>
            </w:tcBorders>
            <w:shd w:val="clear" w:color="auto" w:fill="FFFFFF" w:themeFill="background1"/>
            <w:vAlign w:val="center"/>
          </w:tcPr>
          <w:p w14:paraId="0DAAAA48" w14:textId="77777777" w:rsidR="00881C3C" w:rsidRPr="00846D49" w:rsidRDefault="00881C3C" w:rsidP="00AF5836">
            <w:pPr>
              <w:spacing w:after="0" w:line="240" w:lineRule="auto"/>
              <w:jc w:val="center"/>
              <w:rPr>
                <w:rFonts w:ascii="Arial Narrow" w:hAnsi="Arial Narrow"/>
                <w:sz w:val="16"/>
                <w:szCs w:val="16"/>
              </w:rPr>
            </w:pPr>
            <w:r w:rsidRPr="00846D49">
              <w:rPr>
                <w:rFonts w:ascii="Arial Narrow" w:eastAsia="Arial Narrow" w:hAnsi="Arial Narrow" w:cs="Arial Narrow"/>
                <w:sz w:val="16"/>
                <w:szCs w:val="16"/>
              </w:rPr>
              <w:t>024: Organismo Supervisor de los Recursos Forestales y de Fauna Silvestre</w:t>
            </w:r>
          </w:p>
        </w:tc>
        <w:tc>
          <w:tcPr>
            <w:tcW w:w="1218" w:type="dxa"/>
            <w:tcBorders>
              <w:top w:val="nil"/>
              <w:left w:val="nil"/>
              <w:bottom w:val="single" w:sz="4" w:space="0" w:color="auto"/>
              <w:right w:val="single" w:sz="4" w:space="0" w:color="auto"/>
            </w:tcBorders>
            <w:shd w:val="clear" w:color="auto" w:fill="FFFFFF" w:themeFill="background1"/>
            <w:vAlign w:val="center"/>
          </w:tcPr>
          <w:p w14:paraId="6753330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Arial Narrow" w:hAnsi="Arial Narrow" w:cs="Arial Narrow"/>
                <w:sz w:val="16"/>
                <w:szCs w:val="16"/>
              </w:rPr>
              <w:t>01: Presidencia Consejo de Ministros</w:t>
            </w:r>
          </w:p>
        </w:tc>
        <w:tc>
          <w:tcPr>
            <w:tcW w:w="1373" w:type="dxa"/>
            <w:tcBorders>
              <w:top w:val="nil"/>
              <w:left w:val="nil"/>
              <w:bottom w:val="single" w:sz="4" w:space="0" w:color="auto"/>
              <w:right w:val="single" w:sz="4" w:space="0" w:color="auto"/>
            </w:tcBorders>
            <w:shd w:val="clear" w:color="auto" w:fill="FFFFFF" w:themeFill="background1"/>
            <w:vAlign w:val="center"/>
          </w:tcPr>
          <w:p w14:paraId="7DDA113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Arial Narrow" w:hAnsi="Arial Narrow" w:cs="Arial Narrow"/>
                <w:sz w:val="16"/>
                <w:szCs w:val="16"/>
              </w:rPr>
              <w:t>Gobierno Nacional</w:t>
            </w:r>
          </w:p>
        </w:tc>
      </w:tr>
      <w:tr w:rsidR="00846D49" w:rsidRPr="00846D49" w14:paraId="6C01E292" w14:textId="77777777" w:rsidTr="00AF5836">
        <w:trPr>
          <w:gridAfter w:val="2"/>
          <w:wAfter w:w="160" w:type="dxa"/>
          <w:trHeight w:val="765"/>
        </w:trPr>
        <w:tc>
          <w:tcPr>
            <w:tcW w:w="384" w:type="dxa"/>
            <w:vMerge/>
            <w:tcBorders>
              <w:left w:val="single" w:sz="4" w:space="0" w:color="auto"/>
              <w:right w:val="single" w:sz="4" w:space="0" w:color="auto"/>
            </w:tcBorders>
            <w:shd w:val="clear" w:color="auto" w:fill="FFFFFF" w:themeFill="background1"/>
            <w:vAlign w:val="center"/>
          </w:tcPr>
          <w:p w14:paraId="44F567C6"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left w:val="single" w:sz="4" w:space="0" w:color="auto"/>
              <w:right w:val="single" w:sz="4" w:space="0" w:color="auto"/>
            </w:tcBorders>
            <w:shd w:val="clear" w:color="auto" w:fill="FFFFFF" w:themeFill="background1"/>
            <w:vAlign w:val="center"/>
          </w:tcPr>
          <w:p w14:paraId="159AF9D7"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left w:val="single" w:sz="4" w:space="0" w:color="auto"/>
              <w:right w:val="single" w:sz="4" w:space="0" w:color="auto"/>
            </w:tcBorders>
            <w:shd w:val="clear" w:color="auto" w:fill="FFFFFF" w:themeFill="background1"/>
            <w:vAlign w:val="center"/>
          </w:tcPr>
          <w:p w14:paraId="756F5796"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left w:val="nil"/>
              <w:bottom w:val="single" w:sz="4" w:space="0" w:color="auto"/>
              <w:right w:val="single" w:sz="4" w:space="0" w:color="auto"/>
            </w:tcBorders>
            <w:shd w:val="clear" w:color="auto" w:fill="FFFFFF" w:themeFill="background1"/>
            <w:vAlign w:val="center"/>
          </w:tcPr>
          <w:p w14:paraId="4B801552"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cs="Times New Roman"/>
                <w:sz w:val="16"/>
                <w:szCs w:val="16"/>
                <w:lang w:eastAsia="en-US"/>
              </w:rPr>
              <w:t>Programación periódica (focalización mensualizada) de las supervisiones (de gabinete y campo) a titulares de títulos habilitantes</w:t>
            </w:r>
          </w:p>
        </w:tc>
        <w:tc>
          <w:tcPr>
            <w:tcW w:w="2233" w:type="dxa"/>
            <w:tcBorders>
              <w:left w:val="nil"/>
              <w:bottom w:val="single" w:sz="4" w:space="0" w:color="auto"/>
              <w:right w:val="single" w:sz="4" w:space="0" w:color="auto"/>
            </w:tcBorders>
            <w:shd w:val="clear" w:color="auto" w:fill="FFFFFF" w:themeFill="background1"/>
            <w:vAlign w:val="center"/>
          </w:tcPr>
          <w:p w14:paraId="0BBEC02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cs="Times New Roman"/>
                <w:sz w:val="16"/>
                <w:szCs w:val="16"/>
                <w:lang w:eastAsia="en-US"/>
              </w:rPr>
              <w:t>Acción</w:t>
            </w:r>
          </w:p>
        </w:tc>
        <w:tc>
          <w:tcPr>
            <w:tcW w:w="1814" w:type="dxa"/>
            <w:tcBorders>
              <w:top w:val="nil"/>
              <w:left w:val="nil"/>
              <w:bottom w:val="single" w:sz="4" w:space="0" w:color="auto"/>
              <w:right w:val="single" w:sz="4" w:space="0" w:color="auto"/>
            </w:tcBorders>
            <w:shd w:val="clear" w:color="auto" w:fill="FFFFFF" w:themeFill="background1"/>
            <w:vAlign w:val="center"/>
          </w:tcPr>
          <w:p w14:paraId="2FDDADE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cs="Times New Roman"/>
                <w:sz w:val="16"/>
                <w:szCs w:val="16"/>
                <w:lang w:eastAsia="en-US"/>
              </w:rPr>
              <w:t>Dirección de Supervisión y Fiscalización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6665FAD8" w14:textId="77777777" w:rsidR="00881C3C" w:rsidRPr="00846D49" w:rsidRDefault="00881C3C" w:rsidP="00AF5836">
            <w:pPr>
              <w:spacing w:after="0" w:line="240" w:lineRule="auto"/>
              <w:jc w:val="center"/>
              <w:rPr>
                <w:rFonts w:ascii="Arial Narrow" w:eastAsia="Times New Roman" w:hAnsi="Arial Narrow"/>
                <w:sz w:val="16"/>
                <w:szCs w:val="16"/>
              </w:rPr>
            </w:pPr>
            <w:bookmarkStart w:id="23" w:name="_Hlk82686349"/>
            <w:r w:rsidRPr="00846D49">
              <w:rPr>
                <w:rFonts w:ascii="Arial Narrow" w:eastAsia="Times New Roman" w:hAnsi="Arial Narrow" w:cs="Times New Roman"/>
                <w:sz w:val="16"/>
                <w:szCs w:val="16"/>
                <w:lang w:eastAsia="en-US"/>
              </w:rPr>
              <w:t>001-1319: Organismo de Supervisión de los Recursos Forestales y de Fauna Silvestre - OSINFOR</w:t>
            </w:r>
            <w:bookmarkEnd w:id="23"/>
          </w:p>
        </w:tc>
        <w:tc>
          <w:tcPr>
            <w:tcW w:w="1560" w:type="dxa"/>
            <w:tcBorders>
              <w:top w:val="nil"/>
              <w:left w:val="nil"/>
              <w:bottom w:val="single" w:sz="4" w:space="0" w:color="auto"/>
              <w:right w:val="single" w:sz="4" w:space="0" w:color="auto"/>
            </w:tcBorders>
            <w:shd w:val="clear" w:color="auto" w:fill="FFFFFF" w:themeFill="background1"/>
            <w:vAlign w:val="center"/>
          </w:tcPr>
          <w:p w14:paraId="71550E93" w14:textId="77777777" w:rsidR="00881C3C" w:rsidRPr="00846D49" w:rsidRDefault="00881C3C" w:rsidP="00AF5836">
            <w:pPr>
              <w:spacing w:after="0" w:line="240" w:lineRule="auto"/>
              <w:jc w:val="center"/>
              <w:rPr>
                <w:rFonts w:ascii="Arial Narrow" w:hAnsi="Arial Narrow"/>
                <w:sz w:val="16"/>
                <w:szCs w:val="16"/>
              </w:rPr>
            </w:pPr>
            <w:r w:rsidRPr="00846D49">
              <w:rPr>
                <w:rFonts w:ascii="Arial Narrow" w:eastAsia="Arial Narrow" w:hAnsi="Arial Narrow" w:cs="Arial Narrow"/>
                <w:sz w:val="16"/>
                <w:szCs w:val="16"/>
              </w:rPr>
              <w:t>024: Organismo Supervisor de los Recursos Forestales y de Fauna Silvestre</w:t>
            </w:r>
          </w:p>
        </w:tc>
        <w:tc>
          <w:tcPr>
            <w:tcW w:w="1218" w:type="dxa"/>
            <w:tcBorders>
              <w:top w:val="nil"/>
              <w:left w:val="nil"/>
              <w:bottom w:val="single" w:sz="4" w:space="0" w:color="auto"/>
              <w:right w:val="single" w:sz="4" w:space="0" w:color="auto"/>
            </w:tcBorders>
            <w:shd w:val="clear" w:color="auto" w:fill="FFFFFF" w:themeFill="background1"/>
            <w:vAlign w:val="center"/>
          </w:tcPr>
          <w:p w14:paraId="671D22F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Arial Narrow" w:hAnsi="Arial Narrow" w:cs="Arial Narrow"/>
                <w:sz w:val="16"/>
                <w:szCs w:val="16"/>
              </w:rPr>
              <w:t>01: Presidencia Consejo de Ministros</w:t>
            </w:r>
          </w:p>
        </w:tc>
        <w:tc>
          <w:tcPr>
            <w:tcW w:w="1373" w:type="dxa"/>
            <w:tcBorders>
              <w:top w:val="nil"/>
              <w:left w:val="nil"/>
              <w:bottom w:val="single" w:sz="4" w:space="0" w:color="auto"/>
              <w:right w:val="single" w:sz="4" w:space="0" w:color="auto"/>
            </w:tcBorders>
            <w:shd w:val="clear" w:color="auto" w:fill="FFFFFF" w:themeFill="background1"/>
            <w:vAlign w:val="center"/>
          </w:tcPr>
          <w:p w14:paraId="63D48BB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Arial Narrow" w:hAnsi="Arial Narrow" w:cs="Arial Narrow"/>
                <w:sz w:val="16"/>
                <w:szCs w:val="16"/>
              </w:rPr>
              <w:t>Gobierno Nacional</w:t>
            </w:r>
          </w:p>
        </w:tc>
      </w:tr>
      <w:tr w:rsidR="00846D49" w:rsidRPr="00846D49" w14:paraId="23BB2185" w14:textId="77777777" w:rsidTr="00AF5836">
        <w:trPr>
          <w:gridAfter w:val="2"/>
          <w:wAfter w:w="160" w:type="dxa"/>
          <w:trHeight w:val="765"/>
        </w:trPr>
        <w:tc>
          <w:tcPr>
            <w:tcW w:w="384" w:type="dxa"/>
            <w:vMerge/>
            <w:tcBorders>
              <w:left w:val="single" w:sz="4" w:space="0" w:color="auto"/>
              <w:right w:val="single" w:sz="4" w:space="0" w:color="auto"/>
            </w:tcBorders>
            <w:shd w:val="clear" w:color="auto" w:fill="FFFFFF" w:themeFill="background1"/>
            <w:vAlign w:val="center"/>
          </w:tcPr>
          <w:p w14:paraId="1F5DE01F"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left w:val="single" w:sz="4" w:space="0" w:color="auto"/>
              <w:right w:val="single" w:sz="4" w:space="0" w:color="auto"/>
            </w:tcBorders>
            <w:shd w:val="clear" w:color="auto" w:fill="FFFFFF" w:themeFill="background1"/>
            <w:vAlign w:val="center"/>
          </w:tcPr>
          <w:p w14:paraId="6F6BBA15"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left w:val="single" w:sz="4" w:space="0" w:color="auto"/>
              <w:right w:val="single" w:sz="4" w:space="0" w:color="auto"/>
            </w:tcBorders>
            <w:shd w:val="clear" w:color="auto" w:fill="FFFFFF" w:themeFill="background1"/>
            <w:vAlign w:val="center"/>
          </w:tcPr>
          <w:p w14:paraId="12CEBA02"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left w:val="nil"/>
              <w:bottom w:val="single" w:sz="4" w:space="0" w:color="auto"/>
              <w:right w:val="single" w:sz="4" w:space="0" w:color="auto"/>
            </w:tcBorders>
            <w:shd w:val="clear" w:color="auto" w:fill="FFFFFF" w:themeFill="background1"/>
            <w:vAlign w:val="center"/>
          </w:tcPr>
          <w:p w14:paraId="1FC2944D"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cs="Times New Roman"/>
                <w:sz w:val="16"/>
                <w:szCs w:val="16"/>
                <w:lang w:eastAsia="en-US"/>
              </w:rPr>
              <w:t>Notificación de las supervisiones a titulares de títulos habilitantes</w:t>
            </w:r>
          </w:p>
        </w:tc>
        <w:tc>
          <w:tcPr>
            <w:tcW w:w="2233" w:type="dxa"/>
            <w:tcBorders>
              <w:left w:val="nil"/>
              <w:bottom w:val="single" w:sz="4" w:space="0" w:color="auto"/>
              <w:right w:val="single" w:sz="4" w:space="0" w:color="auto"/>
            </w:tcBorders>
            <w:shd w:val="clear" w:color="auto" w:fill="FFFFFF" w:themeFill="background1"/>
            <w:vAlign w:val="center"/>
          </w:tcPr>
          <w:p w14:paraId="06C022F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cs="Times New Roman"/>
                <w:sz w:val="16"/>
                <w:szCs w:val="16"/>
                <w:lang w:eastAsia="en-US"/>
              </w:rPr>
              <w:t>Acción</w:t>
            </w:r>
          </w:p>
        </w:tc>
        <w:tc>
          <w:tcPr>
            <w:tcW w:w="1814" w:type="dxa"/>
            <w:tcBorders>
              <w:top w:val="nil"/>
              <w:left w:val="nil"/>
              <w:bottom w:val="single" w:sz="4" w:space="0" w:color="auto"/>
              <w:right w:val="single" w:sz="4" w:space="0" w:color="auto"/>
            </w:tcBorders>
            <w:shd w:val="clear" w:color="auto" w:fill="FFFFFF" w:themeFill="background1"/>
            <w:vAlign w:val="center"/>
          </w:tcPr>
          <w:p w14:paraId="140950A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cs="Times New Roman"/>
                <w:sz w:val="16"/>
                <w:szCs w:val="16"/>
                <w:lang w:eastAsia="en-US"/>
              </w:rPr>
              <w:t>Dirección de Supervisión y Fiscalización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44677C4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cs="Times New Roman"/>
                <w:sz w:val="16"/>
                <w:szCs w:val="16"/>
                <w:lang w:eastAsia="en-US"/>
              </w:rPr>
              <w:t>001-1319: Organismo de Supervisión de los Recursos Forestales y de Fauna Silvestre - OSINFOR</w:t>
            </w:r>
          </w:p>
        </w:tc>
        <w:tc>
          <w:tcPr>
            <w:tcW w:w="1560" w:type="dxa"/>
            <w:tcBorders>
              <w:top w:val="nil"/>
              <w:left w:val="nil"/>
              <w:bottom w:val="single" w:sz="4" w:space="0" w:color="auto"/>
              <w:right w:val="single" w:sz="4" w:space="0" w:color="auto"/>
            </w:tcBorders>
            <w:shd w:val="clear" w:color="auto" w:fill="FFFFFF" w:themeFill="background1"/>
            <w:vAlign w:val="center"/>
          </w:tcPr>
          <w:p w14:paraId="5118257B" w14:textId="77777777" w:rsidR="00881C3C" w:rsidRPr="00846D49" w:rsidRDefault="00881C3C" w:rsidP="00AF5836">
            <w:pPr>
              <w:spacing w:after="0" w:line="240" w:lineRule="auto"/>
              <w:jc w:val="center"/>
              <w:rPr>
                <w:rFonts w:ascii="Arial Narrow" w:hAnsi="Arial Narrow"/>
                <w:sz w:val="16"/>
                <w:szCs w:val="16"/>
              </w:rPr>
            </w:pPr>
            <w:r w:rsidRPr="00846D49">
              <w:rPr>
                <w:rFonts w:ascii="Arial Narrow" w:eastAsia="Arial Narrow" w:hAnsi="Arial Narrow" w:cs="Arial Narrow"/>
                <w:sz w:val="16"/>
                <w:szCs w:val="16"/>
              </w:rPr>
              <w:t>024: Organismo Supervisor de los Recursos Forestales y de Fauna Silvestre</w:t>
            </w:r>
          </w:p>
        </w:tc>
        <w:tc>
          <w:tcPr>
            <w:tcW w:w="1218" w:type="dxa"/>
            <w:tcBorders>
              <w:top w:val="nil"/>
              <w:left w:val="nil"/>
              <w:bottom w:val="single" w:sz="4" w:space="0" w:color="auto"/>
              <w:right w:val="single" w:sz="4" w:space="0" w:color="auto"/>
            </w:tcBorders>
            <w:shd w:val="clear" w:color="auto" w:fill="FFFFFF" w:themeFill="background1"/>
            <w:vAlign w:val="center"/>
          </w:tcPr>
          <w:p w14:paraId="2662D08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Arial Narrow" w:hAnsi="Arial Narrow" w:cs="Arial Narrow"/>
                <w:sz w:val="16"/>
                <w:szCs w:val="16"/>
              </w:rPr>
              <w:t>01: Presidencia Consejo de Ministros</w:t>
            </w:r>
          </w:p>
        </w:tc>
        <w:tc>
          <w:tcPr>
            <w:tcW w:w="1373" w:type="dxa"/>
            <w:tcBorders>
              <w:top w:val="nil"/>
              <w:left w:val="nil"/>
              <w:bottom w:val="single" w:sz="4" w:space="0" w:color="auto"/>
              <w:right w:val="single" w:sz="4" w:space="0" w:color="auto"/>
            </w:tcBorders>
            <w:shd w:val="clear" w:color="auto" w:fill="FFFFFF" w:themeFill="background1"/>
            <w:vAlign w:val="center"/>
          </w:tcPr>
          <w:p w14:paraId="37E693A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Arial Narrow" w:hAnsi="Arial Narrow" w:cs="Arial Narrow"/>
                <w:sz w:val="16"/>
                <w:szCs w:val="16"/>
              </w:rPr>
              <w:t>Gobierno Nacional</w:t>
            </w:r>
          </w:p>
        </w:tc>
      </w:tr>
      <w:tr w:rsidR="00846D49" w:rsidRPr="00846D49" w14:paraId="74F7E36E" w14:textId="77777777" w:rsidTr="00AF5836">
        <w:trPr>
          <w:gridAfter w:val="2"/>
          <w:wAfter w:w="160" w:type="dxa"/>
          <w:trHeight w:val="765"/>
        </w:trPr>
        <w:tc>
          <w:tcPr>
            <w:tcW w:w="384" w:type="dxa"/>
            <w:vMerge/>
            <w:tcBorders>
              <w:left w:val="single" w:sz="4" w:space="0" w:color="auto"/>
              <w:bottom w:val="single" w:sz="4" w:space="0" w:color="auto"/>
              <w:right w:val="single" w:sz="4" w:space="0" w:color="auto"/>
            </w:tcBorders>
            <w:shd w:val="clear" w:color="auto" w:fill="FFFFFF" w:themeFill="background1"/>
            <w:vAlign w:val="center"/>
          </w:tcPr>
          <w:p w14:paraId="5D01B977"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left w:val="single" w:sz="4" w:space="0" w:color="auto"/>
              <w:bottom w:val="single" w:sz="4" w:space="0" w:color="auto"/>
              <w:right w:val="single" w:sz="4" w:space="0" w:color="auto"/>
            </w:tcBorders>
            <w:shd w:val="clear" w:color="auto" w:fill="FFFFFF" w:themeFill="background1"/>
            <w:vAlign w:val="center"/>
          </w:tcPr>
          <w:p w14:paraId="2634F561"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left w:val="single" w:sz="4" w:space="0" w:color="auto"/>
              <w:bottom w:val="single" w:sz="4" w:space="0" w:color="auto"/>
              <w:right w:val="single" w:sz="4" w:space="0" w:color="auto"/>
            </w:tcBorders>
            <w:shd w:val="clear" w:color="auto" w:fill="FFFFFF" w:themeFill="background1"/>
            <w:vAlign w:val="center"/>
          </w:tcPr>
          <w:p w14:paraId="58B65A56"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left w:val="nil"/>
              <w:bottom w:val="single" w:sz="4" w:space="0" w:color="auto"/>
              <w:right w:val="single" w:sz="4" w:space="0" w:color="auto"/>
            </w:tcBorders>
            <w:shd w:val="clear" w:color="auto" w:fill="FFFFFF" w:themeFill="background1"/>
            <w:vAlign w:val="center"/>
          </w:tcPr>
          <w:p w14:paraId="66B475BF"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cs="Times New Roman"/>
                <w:sz w:val="16"/>
                <w:szCs w:val="16"/>
                <w:lang w:eastAsia="en-US"/>
              </w:rPr>
              <w:t>Ejecución de las supervisiones (de gabinete y campo) a titulares de títulos habilitantes</w:t>
            </w:r>
          </w:p>
        </w:tc>
        <w:tc>
          <w:tcPr>
            <w:tcW w:w="2233" w:type="dxa"/>
            <w:tcBorders>
              <w:left w:val="nil"/>
              <w:bottom w:val="single" w:sz="4" w:space="0" w:color="auto"/>
              <w:right w:val="single" w:sz="4" w:space="0" w:color="auto"/>
            </w:tcBorders>
            <w:shd w:val="clear" w:color="auto" w:fill="FFFFFF" w:themeFill="background1"/>
            <w:vAlign w:val="center"/>
          </w:tcPr>
          <w:p w14:paraId="34161EC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cs="Times New Roman"/>
                <w:sz w:val="16"/>
                <w:szCs w:val="16"/>
                <w:lang w:eastAsia="en-US"/>
              </w:rPr>
              <w:t>Acción</w:t>
            </w:r>
          </w:p>
        </w:tc>
        <w:tc>
          <w:tcPr>
            <w:tcW w:w="1814" w:type="dxa"/>
            <w:tcBorders>
              <w:top w:val="nil"/>
              <w:left w:val="nil"/>
              <w:bottom w:val="single" w:sz="4" w:space="0" w:color="auto"/>
              <w:right w:val="single" w:sz="4" w:space="0" w:color="auto"/>
            </w:tcBorders>
            <w:shd w:val="clear" w:color="auto" w:fill="FFFFFF" w:themeFill="background1"/>
            <w:vAlign w:val="center"/>
          </w:tcPr>
          <w:p w14:paraId="4FA815A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cs="Times New Roman"/>
                <w:sz w:val="16"/>
                <w:szCs w:val="16"/>
                <w:lang w:eastAsia="en-US"/>
              </w:rPr>
              <w:t>Dirección de Supervisión y Fiscalización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7E52B10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cs="Times New Roman"/>
                <w:sz w:val="16"/>
                <w:szCs w:val="16"/>
                <w:lang w:eastAsia="en-US"/>
              </w:rPr>
              <w:t>001-1319: Organismo de Supervisión de los Recursos Forestales y de Fauna Silvestre - OSINFOR</w:t>
            </w:r>
          </w:p>
        </w:tc>
        <w:tc>
          <w:tcPr>
            <w:tcW w:w="1560" w:type="dxa"/>
            <w:tcBorders>
              <w:top w:val="nil"/>
              <w:left w:val="nil"/>
              <w:bottom w:val="single" w:sz="4" w:space="0" w:color="auto"/>
              <w:right w:val="single" w:sz="4" w:space="0" w:color="auto"/>
            </w:tcBorders>
            <w:shd w:val="clear" w:color="auto" w:fill="FFFFFF" w:themeFill="background1"/>
            <w:vAlign w:val="center"/>
          </w:tcPr>
          <w:p w14:paraId="455F51AF" w14:textId="77777777" w:rsidR="00881C3C" w:rsidRPr="00846D49" w:rsidRDefault="00881C3C" w:rsidP="00AF5836">
            <w:pPr>
              <w:spacing w:after="0" w:line="240" w:lineRule="auto"/>
              <w:jc w:val="center"/>
              <w:rPr>
                <w:rFonts w:ascii="Arial Narrow" w:hAnsi="Arial Narrow"/>
                <w:sz w:val="16"/>
                <w:szCs w:val="16"/>
              </w:rPr>
            </w:pPr>
            <w:r w:rsidRPr="00846D49">
              <w:rPr>
                <w:rFonts w:ascii="Arial Narrow" w:eastAsia="Arial Narrow" w:hAnsi="Arial Narrow" w:cs="Arial Narrow"/>
                <w:sz w:val="16"/>
                <w:szCs w:val="16"/>
              </w:rPr>
              <w:t>024: Organismo Supervisor de los Recursos Forestales y de Fauna Silvestre</w:t>
            </w:r>
          </w:p>
        </w:tc>
        <w:tc>
          <w:tcPr>
            <w:tcW w:w="1218" w:type="dxa"/>
            <w:tcBorders>
              <w:top w:val="nil"/>
              <w:left w:val="nil"/>
              <w:bottom w:val="single" w:sz="4" w:space="0" w:color="auto"/>
              <w:right w:val="single" w:sz="4" w:space="0" w:color="auto"/>
            </w:tcBorders>
            <w:shd w:val="clear" w:color="auto" w:fill="FFFFFF" w:themeFill="background1"/>
            <w:vAlign w:val="center"/>
          </w:tcPr>
          <w:p w14:paraId="74CD7A1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Arial Narrow" w:hAnsi="Arial Narrow" w:cs="Arial Narrow"/>
                <w:sz w:val="16"/>
                <w:szCs w:val="16"/>
              </w:rPr>
              <w:t>01: Presidencia Consejo de Ministros</w:t>
            </w:r>
          </w:p>
        </w:tc>
        <w:tc>
          <w:tcPr>
            <w:tcW w:w="1373" w:type="dxa"/>
            <w:tcBorders>
              <w:top w:val="nil"/>
              <w:left w:val="nil"/>
              <w:bottom w:val="single" w:sz="4" w:space="0" w:color="auto"/>
              <w:right w:val="single" w:sz="4" w:space="0" w:color="auto"/>
            </w:tcBorders>
            <w:shd w:val="clear" w:color="auto" w:fill="FFFFFF" w:themeFill="background1"/>
            <w:vAlign w:val="center"/>
          </w:tcPr>
          <w:p w14:paraId="09D2BF0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Arial Narrow" w:hAnsi="Arial Narrow" w:cs="Arial Narrow"/>
                <w:sz w:val="16"/>
                <w:szCs w:val="16"/>
              </w:rPr>
              <w:t>Gobierno Nacional</w:t>
            </w:r>
          </w:p>
        </w:tc>
      </w:tr>
      <w:tr w:rsidR="00846D49" w:rsidRPr="00846D49" w14:paraId="1373F6F9" w14:textId="77777777" w:rsidTr="00AF5836">
        <w:trPr>
          <w:gridAfter w:val="2"/>
          <w:wAfter w:w="160" w:type="dxa"/>
          <w:trHeight w:val="765"/>
        </w:trPr>
        <w:tc>
          <w:tcPr>
            <w:tcW w:w="384" w:type="dxa"/>
            <w:tcBorders>
              <w:top w:val="nil"/>
              <w:left w:val="single" w:sz="4" w:space="0" w:color="auto"/>
              <w:bottom w:val="single" w:sz="4" w:space="0" w:color="auto"/>
              <w:right w:val="single" w:sz="4" w:space="0" w:color="auto"/>
            </w:tcBorders>
            <w:shd w:val="clear" w:color="auto" w:fill="FFFFFF" w:themeFill="background1"/>
            <w:vAlign w:val="center"/>
            <w:hideMark/>
          </w:tcPr>
          <w:p w14:paraId="64DCFC6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29</w:t>
            </w:r>
          </w:p>
        </w:tc>
        <w:tc>
          <w:tcPr>
            <w:tcW w:w="1693" w:type="dxa"/>
            <w:tcBorders>
              <w:top w:val="nil"/>
              <w:left w:val="single" w:sz="4" w:space="0" w:color="auto"/>
              <w:bottom w:val="single" w:sz="4" w:space="0" w:color="auto"/>
              <w:right w:val="single" w:sz="4" w:space="0" w:color="auto"/>
            </w:tcBorders>
            <w:shd w:val="clear" w:color="auto" w:fill="FFFFFF" w:themeFill="background1"/>
            <w:vAlign w:val="center"/>
            <w:hideMark/>
          </w:tcPr>
          <w:p w14:paraId="0CCAF42D"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 xml:space="preserve">L1.10 Desarrollar programas de fortalecimiento de capacidades para la gestión eficiente del uso del territorio en los ecosistemas forestales y otros ecosistemas de vegetación silvestre contribuyendo a la </w:t>
            </w:r>
            <w:r w:rsidRPr="00846D49">
              <w:rPr>
                <w:rFonts w:ascii="Arial Narrow" w:eastAsia="Times New Roman" w:hAnsi="Arial Narrow"/>
                <w:sz w:val="16"/>
                <w:szCs w:val="16"/>
              </w:rPr>
              <w:lastRenderedPageBreak/>
              <w:t>adaptación del cambio climático.</w:t>
            </w:r>
          </w:p>
        </w:tc>
        <w:tc>
          <w:tcPr>
            <w:tcW w:w="1800" w:type="dxa"/>
            <w:tcBorders>
              <w:top w:val="nil"/>
              <w:left w:val="single" w:sz="4" w:space="0" w:color="auto"/>
              <w:bottom w:val="single" w:sz="4" w:space="0" w:color="auto"/>
              <w:right w:val="single" w:sz="4" w:space="0" w:color="auto"/>
            </w:tcBorders>
            <w:shd w:val="clear" w:color="auto" w:fill="FFFFFF" w:themeFill="background1"/>
            <w:vAlign w:val="center"/>
            <w:hideMark/>
          </w:tcPr>
          <w:p w14:paraId="61061B24"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lastRenderedPageBreak/>
              <w:t xml:space="preserve">S1.10.1 Fortalecimiento de capacidades en gestión del uso del territorio para la conservación y aprovechamiento de los ecosistemas forestales y otros ecosistemas de vegetación silvestre de forma satisfactoria dirigida a las Autoridades Regionales </w:t>
            </w:r>
            <w:r w:rsidRPr="00846D49">
              <w:rPr>
                <w:rFonts w:ascii="Arial Narrow" w:eastAsia="Times New Roman" w:hAnsi="Arial Narrow"/>
                <w:sz w:val="16"/>
                <w:szCs w:val="16"/>
              </w:rPr>
              <w:lastRenderedPageBreak/>
              <w:t>Forestales y de Fauna Silvestre.</w:t>
            </w: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424C2824"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lastRenderedPageBreak/>
              <w:t>AO001. Capacitación para la gestión del uso del territorio para la conservación y aprovechamiento de los ecosistemas forestales y otros ecosistemas de vegetación silvestre</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7EACD4C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Persona capacitada</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476BBF1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Gestión Sostenible del Patrimonio Forestal</w:t>
            </w:r>
          </w:p>
          <w:p w14:paraId="0B8FC03D" w14:textId="77777777" w:rsidR="00881C3C" w:rsidRPr="00846D49" w:rsidRDefault="00881C3C" w:rsidP="00AF5836">
            <w:pPr>
              <w:spacing w:after="0" w:line="240" w:lineRule="auto"/>
              <w:jc w:val="center"/>
              <w:rPr>
                <w:rFonts w:ascii="Arial Narrow" w:eastAsia="Times New Roman" w:hAnsi="Arial Narrow"/>
                <w:sz w:val="16"/>
                <w:szCs w:val="16"/>
              </w:rPr>
            </w:pPr>
          </w:p>
          <w:p w14:paraId="24CE8B9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Administraciones Técnicas Forestales y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22CD4EB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39515A7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0108192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2EB93D5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24466C1D" w14:textId="77777777" w:rsidTr="00AF5836">
        <w:trPr>
          <w:gridAfter w:val="2"/>
          <w:wAfter w:w="160" w:type="dxa"/>
          <w:trHeight w:val="765"/>
        </w:trPr>
        <w:tc>
          <w:tcPr>
            <w:tcW w:w="384" w:type="dxa"/>
            <w:tcBorders>
              <w:top w:val="nil"/>
              <w:left w:val="single" w:sz="4" w:space="0" w:color="auto"/>
              <w:bottom w:val="single" w:sz="4" w:space="0" w:color="auto"/>
              <w:right w:val="single" w:sz="4" w:space="0" w:color="auto"/>
            </w:tcBorders>
            <w:shd w:val="clear" w:color="auto" w:fill="FFFFFF" w:themeFill="background1"/>
            <w:vAlign w:val="center"/>
          </w:tcPr>
          <w:p w14:paraId="62D679CC"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30</w:t>
            </w:r>
          </w:p>
        </w:tc>
        <w:tc>
          <w:tcPr>
            <w:tcW w:w="1693" w:type="dxa"/>
            <w:tcBorders>
              <w:top w:val="nil"/>
              <w:left w:val="single" w:sz="4" w:space="0" w:color="auto"/>
              <w:bottom w:val="single" w:sz="4" w:space="0" w:color="auto"/>
              <w:right w:val="single" w:sz="4" w:space="0" w:color="auto"/>
            </w:tcBorders>
            <w:shd w:val="clear" w:color="auto" w:fill="FFFFFF" w:themeFill="background1"/>
            <w:vAlign w:val="center"/>
          </w:tcPr>
          <w:p w14:paraId="590B664E"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L2.1 Mejorar la formación académica y laboral de acuerdo a las necesidades de las actividades forestales y de fauna silvestre y las exigencias del mercado</w:t>
            </w:r>
          </w:p>
        </w:tc>
        <w:tc>
          <w:tcPr>
            <w:tcW w:w="1800" w:type="dxa"/>
            <w:tcBorders>
              <w:top w:val="nil"/>
              <w:left w:val="single" w:sz="4" w:space="0" w:color="auto"/>
              <w:bottom w:val="single" w:sz="4" w:space="0" w:color="auto"/>
              <w:right w:val="single" w:sz="4" w:space="0" w:color="auto"/>
            </w:tcBorders>
            <w:shd w:val="clear" w:color="auto" w:fill="FFFFFF" w:themeFill="background1"/>
            <w:vAlign w:val="center"/>
          </w:tcPr>
          <w:p w14:paraId="2560A2BE" w14:textId="77777777" w:rsidR="00881C3C" w:rsidRPr="00846D49" w:rsidRDefault="00881C3C" w:rsidP="00AF5836">
            <w:pPr>
              <w:spacing w:after="0" w:line="240" w:lineRule="auto"/>
              <w:rPr>
                <w:rFonts w:ascii="Arial Narrow" w:eastAsia="Times New Roman" w:hAnsi="Arial Narrow"/>
                <w:sz w:val="16"/>
                <w:szCs w:val="16"/>
                <w:highlight w:val="yellow"/>
              </w:rPr>
            </w:pPr>
            <w:r w:rsidRPr="00846D49">
              <w:rPr>
                <w:rFonts w:ascii="Arial Narrow" w:eastAsia="Times New Roman" w:hAnsi="Arial Narrow"/>
                <w:sz w:val="16"/>
                <w:szCs w:val="16"/>
              </w:rPr>
              <w:t>S2.1.1 Fortalecimiento de capacidades en actividades productivas de la cadena forestal y fauna silvestre de forma satisfactoria dirigido a profesionales y técnicos forestales y de fauna silvestre</w:t>
            </w:r>
          </w:p>
        </w:tc>
        <w:tc>
          <w:tcPr>
            <w:tcW w:w="2143" w:type="dxa"/>
            <w:tcBorders>
              <w:top w:val="nil"/>
              <w:left w:val="nil"/>
              <w:bottom w:val="single" w:sz="4" w:space="0" w:color="auto"/>
              <w:right w:val="single" w:sz="4" w:space="0" w:color="auto"/>
            </w:tcBorders>
            <w:shd w:val="clear" w:color="auto" w:fill="FFFFFF" w:themeFill="background1"/>
            <w:vAlign w:val="center"/>
          </w:tcPr>
          <w:p w14:paraId="075015CA"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AO001. Sensibilización y capacitación en el manejo de los recursos forestales, ecosistemas forestales y de fauna silvestre</w:t>
            </w:r>
          </w:p>
        </w:tc>
        <w:tc>
          <w:tcPr>
            <w:tcW w:w="2233" w:type="dxa"/>
            <w:tcBorders>
              <w:top w:val="nil"/>
              <w:left w:val="nil"/>
              <w:bottom w:val="single" w:sz="4" w:space="0" w:color="auto"/>
              <w:right w:val="single" w:sz="4" w:space="0" w:color="auto"/>
            </w:tcBorders>
            <w:shd w:val="clear" w:color="auto" w:fill="FFFFFF" w:themeFill="background1"/>
            <w:vAlign w:val="center"/>
          </w:tcPr>
          <w:p w14:paraId="266093C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Persona</w:t>
            </w:r>
          </w:p>
        </w:tc>
        <w:tc>
          <w:tcPr>
            <w:tcW w:w="1814" w:type="dxa"/>
            <w:tcBorders>
              <w:top w:val="nil"/>
              <w:left w:val="nil"/>
              <w:bottom w:val="single" w:sz="4" w:space="0" w:color="auto"/>
              <w:right w:val="single" w:sz="4" w:space="0" w:color="auto"/>
            </w:tcBorders>
            <w:shd w:val="clear" w:color="auto" w:fill="FFFFFF" w:themeFill="background1"/>
            <w:vAlign w:val="center"/>
          </w:tcPr>
          <w:p w14:paraId="6212891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Fortalecimiento de Capacidades</w:t>
            </w:r>
          </w:p>
        </w:tc>
        <w:tc>
          <w:tcPr>
            <w:tcW w:w="1553" w:type="dxa"/>
            <w:tcBorders>
              <w:top w:val="nil"/>
              <w:left w:val="nil"/>
              <w:bottom w:val="single" w:sz="4" w:space="0" w:color="auto"/>
              <w:right w:val="single" w:sz="4" w:space="0" w:color="auto"/>
            </w:tcBorders>
            <w:shd w:val="clear" w:color="auto" w:fill="FFFFFF" w:themeFill="background1"/>
            <w:vAlign w:val="center"/>
          </w:tcPr>
          <w:p w14:paraId="7C21457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tcPr>
          <w:p w14:paraId="2372BC7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tcPr>
          <w:p w14:paraId="03B54A7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tcPr>
          <w:p w14:paraId="5CF7AA2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69455E4B" w14:textId="77777777" w:rsidTr="00AF5836">
        <w:trPr>
          <w:gridAfter w:val="2"/>
          <w:wAfter w:w="160" w:type="dxa"/>
          <w:trHeight w:val="765"/>
        </w:trPr>
        <w:tc>
          <w:tcPr>
            <w:tcW w:w="384"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3CAE49E2" w14:textId="77777777" w:rsidR="00881C3C" w:rsidRPr="00846D49" w:rsidRDefault="00881C3C" w:rsidP="00AF5836">
            <w:pPr>
              <w:spacing w:after="0" w:line="240" w:lineRule="auto"/>
              <w:jc w:val="center"/>
              <w:rPr>
                <w:rFonts w:ascii="Arial Narrow" w:eastAsia="Times New Roman" w:hAnsi="Arial Narrow"/>
                <w:sz w:val="16"/>
                <w:szCs w:val="16"/>
                <w:highlight w:val="yellow"/>
              </w:rPr>
            </w:pPr>
            <w:r w:rsidRPr="00846D49">
              <w:rPr>
                <w:rFonts w:ascii="Arial Narrow" w:eastAsia="Times New Roman" w:hAnsi="Arial Narrow"/>
                <w:sz w:val="16"/>
                <w:szCs w:val="16"/>
              </w:rPr>
              <w:t>31</w:t>
            </w:r>
          </w:p>
        </w:tc>
        <w:tc>
          <w:tcPr>
            <w:tcW w:w="1693"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14:paraId="05554988"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 L2.2 Incrementar el acceso a financiamiento e incentivos para el desarrollo de las actividades forestales y de fauna silvestre</w:t>
            </w:r>
          </w:p>
        </w:tc>
        <w:tc>
          <w:tcPr>
            <w:tcW w:w="1800"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14:paraId="33F2A57F"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S2.2.1. Promoción de mecanismos de financiamiento e incentivos para el desarrollo de actividades productivas en las cadenas forestales y de fauna silvestre de forma satisfactoria dirigido a los usuarios forestales y de fauna silvestre</w:t>
            </w: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7EC3D0B9"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AO001 Elaboración, aprobación y difusión de lineamientos para el otorgamiento de incentivos por la adopción de buenas prácticas</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392B565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Documento</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4E9D5C7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Promoción y Competitividad</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05F0446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6D7CE5B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6B86074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0FD13E0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3C35EBDE" w14:textId="77777777" w:rsidTr="00AF5836">
        <w:trPr>
          <w:gridAfter w:val="2"/>
          <w:wAfter w:w="160" w:type="dxa"/>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53F5597"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09C33C61"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21F00365"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0FBF0F56"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 002 Evaluación y aprobación de incentivos por la adopción de buenas prácticas, en el ámbito de sus competencias</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2FBC215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Informe</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5F5720C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Promoción y Competitividad</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2C9151E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5DFFDC1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3BAA472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0E7867E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64B473B1" w14:textId="77777777" w:rsidTr="00AF5836">
        <w:trPr>
          <w:gridAfter w:val="2"/>
          <w:wAfter w:w="160" w:type="dxa"/>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BA68846"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3EC6E376"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6F10ED6C"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777133FA"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 003 Elaboración, actualización y centralización en una base de datos la información sobre incentivos otorgados por SERFOR y otros proveedores de incentivos</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4CE405D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Base de datos</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62BFF07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Promoción y Competitividad</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7879521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614EE0B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2A0EEA4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193D6E1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4643554C" w14:textId="77777777" w:rsidTr="00AF5836">
        <w:trPr>
          <w:gridAfter w:val="2"/>
          <w:wAfter w:w="160" w:type="dxa"/>
          <w:trHeight w:val="1020"/>
        </w:trPr>
        <w:tc>
          <w:tcPr>
            <w:tcW w:w="384" w:type="dxa"/>
            <w:vMerge w:val="restart"/>
            <w:tcBorders>
              <w:top w:val="single" w:sz="4" w:space="0" w:color="auto"/>
              <w:left w:val="single" w:sz="4" w:space="0" w:color="auto"/>
              <w:right w:val="single" w:sz="4" w:space="0" w:color="auto"/>
            </w:tcBorders>
            <w:shd w:val="clear" w:color="auto" w:fill="FFFFFF" w:themeFill="background1"/>
            <w:vAlign w:val="center"/>
            <w:hideMark/>
          </w:tcPr>
          <w:p w14:paraId="79C72E41"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32</w:t>
            </w:r>
          </w:p>
        </w:tc>
        <w:tc>
          <w:tcPr>
            <w:tcW w:w="1693" w:type="dxa"/>
            <w:vMerge w:val="restart"/>
            <w:tcBorders>
              <w:top w:val="nil"/>
              <w:left w:val="single" w:sz="4" w:space="0" w:color="auto"/>
              <w:right w:val="single" w:sz="4" w:space="0" w:color="auto"/>
            </w:tcBorders>
            <w:shd w:val="clear" w:color="auto" w:fill="FFFFFF" w:themeFill="background1"/>
            <w:vAlign w:val="center"/>
            <w:hideMark/>
          </w:tcPr>
          <w:p w14:paraId="69467576"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L2.2 Incrementar el acceso a financiamiento e incentivos para el desarrollo de las actividades forestales y de fauna silvestre</w:t>
            </w:r>
          </w:p>
        </w:tc>
        <w:tc>
          <w:tcPr>
            <w:tcW w:w="1800" w:type="dxa"/>
            <w:vMerge w:val="restart"/>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14:paraId="4F1527D4"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S2.2.2 Atención de solicitudes de cartas de no objeción a los programas que contribuyan a la mitigación y adaptación al cambio climático para las actividades forestales y de fauna silvestre, de forma oportuna, de entidades acreditadas ante el Fondo Verde para el Clima</w:t>
            </w: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79A5C26F"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 AO001. Revisión y evaluación del Decreto Supremo Nº 219-2020-EF y el Manual de Operaciones.</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6721150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xml:space="preserve">Informe </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7B30C5B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General de Asuntos de Economía Internacional, Competencia y Productividad -DGAEICYP - MEF</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191E20A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001-46: MEF-Administración General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33D8580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009: Ministerio de Economía y Finanzas</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0DB4D8F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09: Economía y Finanzas</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6DF40A7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216F4A1A" w14:textId="77777777" w:rsidTr="00AF5836">
        <w:trPr>
          <w:gridAfter w:val="2"/>
          <w:wAfter w:w="160" w:type="dxa"/>
          <w:trHeight w:val="1020"/>
        </w:trPr>
        <w:tc>
          <w:tcPr>
            <w:tcW w:w="384" w:type="dxa"/>
            <w:vMerge/>
            <w:tcBorders>
              <w:left w:val="single" w:sz="4" w:space="0" w:color="auto"/>
              <w:bottom w:val="single" w:sz="4" w:space="0" w:color="auto"/>
              <w:right w:val="single" w:sz="4" w:space="0" w:color="auto"/>
            </w:tcBorders>
            <w:shd w:val="clear" w:color="auto" w:fill="FFFFFF" w:themeFill="background1"/>
            <w:vAlign w:val="center"/>
            <w:hideMark/>
          </w:tcPr>
          <w:p w14:paraId="202C1010"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left w:val="single" w:sz="4" w:space="0" w:color="auto"/>
              <w:bottom w:val="single" w:sz="4" w:space="0" w:color="auto"/>
              <w:right w:val="single" w:sz="4" w:space="0" w:color="auto"/>
            </w:tcBorders>
            <w:shd w:val="clear" w:color="auto" w:fill="FFFFFF" w:themeFill="background1"/>
            <w:vAlign w:val="center"/>
            <w:hideMark/>
          </w:tcPr>
          <w:p w14:paraId="55710C47"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CF0F128"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726084EA"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 AO002. Actualización del Programa País</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7BD7E8B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Documento</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25086B8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General de Asuntos de Economía Internacional, Competencia y Productividad -DGAEICYP - MEF</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4F1133C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001-46: MEF-Administración General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61FBC25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009: Ministerio de Economía y Finanzas</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125C53A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09: Economía y Finanzas</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7B02471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741C7305" w14:textId="77777777" w:rsidTr="00AF5836">
        <w:trPr>
          <w:gridAfter w:val="2"/>
          <w:wAfter w:w="160" w:type="dxa"/>
          <w:trHeight w:val="1020"/>
        </w:trPr>
        <w:tc>
          <w:tcPr>
            <w:tcW w:w="384" w:type="dxa"/>
            <w:tcBorders>
              <w:left w:val="single" w:sz="4" w:space="0" w:color="auto"/>
              <w:bottom w:val="single" w:sz="4" w:space="0" w:color="auto"/>
              <w:right w:val="single" w:sz="4" w:space="0" w:color="auto"/>
            </w:tcBorders>
            <w:shd w:val="clear" w:color="auto" w:fill="FFFFFF" w:themeFill="background1"/>
            <w:vAlign w:val="center"/>
          </w:tcPr>
          <w:p w14:paraId="457A9931"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lastRenderedPageBreak/>
              <w:t>33</w:t>
            </w:r>
          </w:p>
        </w:tc>
        <w:tc>
          <w:tcPr>
            <w:tcW w:w="1693" w:type="dxa"/>
            <w:tcBorders>
              <w:left w:val="single" w:sz="4" w:space="0" w:color="auto"/>
              <w:bottom w:val="single" w:sz="4" w:space="0" w:color="auto"/>
              <w:right w:val="single" w:sz="4" w:space="0" w:color="auto"/>
            </w:tcBorders>
            <w:shd w:val="clear" w:color="auto" w:fill="FFFFFF" w:themeFill="background1"/>
            <w:vAlign w:val="center"/>
          </w:tcPr>
          <w:p w14:paraId="0B53CD29"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L2.3 Mejorar la infraestructura, equipamiento y servicios para las actividades forestales y de fauna silvestre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F26800"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S2.3.1 Cofinanciamiento de planes de negocio para mejorar las capacidades productivas y empresariales de forma oportuna a los pequeños y medianos productores forestales y de fauna silvestre organizados.</w:t>
            </w:r>
          </w:p>
        </w:tc>
        <w:tc>
          <w:tcPr>
            <w:tcW w:w="2143" w:type="dxa"/>
            <w:tcBorders>
              <w:top w:val="nil"/>
              <w:left w:val="nil"/>
              <w:bottom w:val="single" w:sz="4" w:space="0" w:color="auto"/>
              <w:right w:val="single" w:sz="4" w:space="0" w:color="auto"/>
            </w:tcBorders>
            <w:shd w:val="clear" w:color="auto" w:fill="FFFFFF" w:themeFill="background1"/>
            <w:vAlign w:val="center"/>
          </w:tcPr>
          <w:p w14:paraId="768C9420"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AO001. Implementación de Planes de Negocio</w:t>
            </w:r>
          </w:p>
        </w:tc>
        <w:tc>
          <w:tcPr>
            <w:tcW w:w="2233" w:type="dxa"/>
            <w:tcBorders>
              <w:top w:val="nil"/>
              <w:left w:val="nil"/>
              <w:bottom w:val="single" w:sz="4" w:space="0" w:color="auto"/>
              <w:right w:val="single" w:sz="4" w:space="0" w:color="auto"/>
            </w:tcBorders>
            <w:shd w:val="clear" w:color="auto" w:fill="FFFFFF" w:themeFill="background1"/>
            <w:vAlign w:val="center"/>
          </w:tcPr>
          <w:p w14:paraId="0A1B7E7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Productor</w:t>
            </w:r>
          </w:p>
        </w:tc>
        <w:tc>
          <w:tcPr>
            <w:tcW w:w="1814" w:type="dxa"/>
            <w:tcBorders>
              <w:top w:val="nil"/>
              <w:left w:val="nil"/>
              <w:bottom w:val="single" w:sz="4" w:space="0" w:color="auto"/>
              <w:right w:val="single" w:sz="4" w:space="0" w:color="auto"/>
            </w:tcBorders>
            <w:shd w:val="clear" w:color="auto" w:fill="FFFFFF" w:themeFill="background1"/>
            <w:vAlign w:val="center"/>
          </w:tcPr>
          <w:p w14:paraId="5BCEA7C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Unidad de Monitoreo - UM</w:t>
            </w:r>
          </w:p>
        </w:tc>
        <w:tc>
          <w:tcPr>
            <w:tcW w:w="1553" w:type="dxa"/>
            <w:tcBorders>
              <w:top w:val="nil"/>
              <w:left w:val="nil"/>
              <w:bottom w:val="single" w:sz="4" w:space="0" w:color="auto"/>
              <w:right w:val="single" w:sz="4" w:space="0" w:color="auto"/>
            </w:tcBorders>
            <w:shd w:val="clear" w:color="auto" w:fill="FFFFFF" w:themeFill="background1"/>
            <w:vAlign w:val="center"/>
          </w:tcPr>
          <w:p w14:paraId="2206E79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012-1297: Programa de Compensación para la Competitividad</w:t>
            </w:r>
          </w:p>
        </w:tc>
        <w:tc>
          <w:tcPr>
            <w:tcW w:w="1560" w:type="dxa"/>
            <w:tcBorders>
              <w:top w:val="nil"/>
              <w:left w:val="nil"/>
              <w:bottom w:val="single" w:sz="4" w:space="0" w:color="auto"/>
              <w:right w:val="single" w:sz="4" w:space="0" w:color="auto"/>
            </w:tcBorders>
            <w:shd w:val="clear" w:color="auto" w:fill="FFFFFF" w:themeFill="background1"/>
            <w:vAlign w:val="center"/>
          </w:tcPr>
          <w:p w14:paraId="7DEE659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013: M. de Desarrollo Agrario y de Riego</w:t>
            </w:r>
          </w:p>
        </w:tc>
        <w:tc>
          <w:tcPr>
            <w:tcW w:w="1218" w:type="dxa"/>
            <w:tcBorders>
              <w:top w:val="nil"/>
              <w:left w:val="nil"/>
              <w:bottom w:val="single" w:sz="4" w:space="0" w:color="auto"/>
              <w:right w:val="single" w:sz="4" w:space="0" w:color="auto"/>
            </w:tcBorders>
            <w:shd w:val="clear" w:color="auto" w:fill="FFFFFF" w:themeFill="background1"/>
            <w:vAlign w:val="center"/>
          </w:tcPr>
          <w:p w14:paraId="3DBC295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tcPr>
          <w:p w14:paraId="768C015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42714155" w14:textId="77777777" w:rsidTr="00AF5836">
        <w:trPr>
          <w:gridAfter w:val="2"/>
          <w:wAfter w:w="160" w:type="dxa"/>
          <w:trHeight w:val="510"/>
        </w:trPr>
        <w:tc>
          <w:tcPr>
            <w:tcW w:w="384" w:type="dxa"/>
            <w:vMerge w:val="restart"/>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14:paraId="02756FF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34</w:t>
            </w:r>
          </w:p>
        </w:tc>
        <w:tc>
          <w:tcPr>
            <w:tcW w:w="1693"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544465"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L2.4 Incrementar la generación de investigaciones e innovación, así como el desarrollo y transferencia de tecnologías en materia forestal y de fauna silvestre, y sus microorganismos asociados, incluyendo sus recursos genéticos</w:t>
            </w:r>
          </w:p>
        </w:tc>
        <w:tc>
          <w:tcPr>
            <w:tcW w:w="180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1D0BA59"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S 2.4.1 Transferencia de tecnologías agrarias liberadas de forma pertinente para los usuarios forestales y de fauna silvestre</w:t>
            </w:r>
          </w:p>
        </w:tc>
        <w:tc>
          <w:tcPr>
            <w:tcW w:w="2143"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14:paraId="2F89C937"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AO001. Generación de paquetes tecnológicos para las especies forestales de prioridad nacional.</w:t>
            </w:r>
          </w:p>
        </w:tc>
        <w:tc>
          <w:tcPr>
            <w:tcW w:w="2233"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14:paraId="53F9178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Tecnología</w:t>
            </w:r>
          </w:p>
        </w:tc>
        <w:tc>
          <w:tcPr>
            <w:tcW w:w="1814"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14:paraId="16075F2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Coordinación del Área Forestal del INIA</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33D9D98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001-160: Instituto Nacional de Innovación Agraria</w:t>
            </w:r>
          </w:p>
        </w:tc>
        <w:tc>
          <w:tcPr>
            <w:tcW w:w="1560" w:type="dxa"/>
            <w:vMerge w:val="restart"/>
            <w:tcBorders>
              <w:top w:val="nil"/>
              <w:left w:val="nil"/>
              <w:right w:val="single" w:sz="4" w:space="0" w:color="auto"/>
            </w:tcBorders>
            <w:shd w:val="clear" w:color="auto" w:fill="FFFFFF" w:themeFill="background1"/>
            <w:vAlign w:val="center"/>
            <w:hideMark/>
          </w:tcPr>
          <w:p w14:paraId="477A9D4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w:t>
            </w:r>
          </w:p>
          <w:p w14:paraId="45F198F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163: Instituto Nacional de Innovación Agraria</w:t>
            </w:r>
          </w:p>
        </w:tc>
        <w:tc>
          <w:tcPr>
            <w:tcW w:w="1218" w:type="dxa"/>
            <w:vMerge w:val="restart"/>
            <w:tcBorders>
              <w:top w:val="nil"/>
              <w:left w:val="nil"/>
              <w:right w:val="single" w:sz="4" w:space="0" w:color="auto"/>
            </w:tcBorders>
            <w:shd w:val="clear" w:color="auto" w:fill="FFFFFF" w:themeFill="background1"/>
            <w:vAlign w:val="center"/>
            <w:hideMark/>
          </w:tcPr>
          <w:p w14:paraId="60854D0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w:t>
            </w:r>
          </w:p>
          <w:p w14:paraId="74EA2DC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vMerge w:val="restart"/>
            <w:tcBorders>
              <w:top w:val="nil"/>
              <w:left w:val="nil"/>
              <w:right w:val="single" w:sz="4" w:space="0" w:color="auto"/>
            </w:tcBorders>
            <w:shd w:val="clear" w:color="auto" w:fill="FFFFFF" w:themeFill="background1"/>
            <w:vAlign w:val="center"/>
            <w:hideMark/>
          </w:tcPr>
          <w:p w14:paraId="56EB631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w:t>
            </w:r>
          </w:p>
          <w:p w14:paraId="1F4558E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10074512" w14:textId="77777777" w:rsidTr="00AF5836">
        <w:trPr>
          <w:gridAfter w:val="2"/>
          <w:wAfter w:w="160" w:type="dxa"/>
          <w:trHeight w:val="510"/>
        </w:trPr>
        <w:tc>
          <w:tcPr>
            <w:tcW w:w="384" w:type="dxa"/>
            <w:vMerge/>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14:paraId="0DE42D6D"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5AF7662"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75D4187"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0FA7AD2A"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2EAAE4EC" w14:textId="77777777" w:rsidR="00881C3C" w:rsidRPr="00846D49" w:rsidRDefault="00881C3C" w:rsidP="00AF5836">
            <w:pPr>
              <w:spacing w:after="0" w:line="240" w:lineRule="auto"/>
              <w:rPr>
                <w:rFonts w:ascii="Arial Narrow" w:eastAsia="Times New Roman" w:hAnsi="Arial Narrow"/>
                <w:sz w:val="16"/>
                <w:szCs w:val="16"/>
              </w:rPr>
            </w:pPr>
          </w:p>
        </w:tc>
        <w:tc>
          <w:tcPr>
            <w:tcW w:w="1814"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6D1D0234" w14:textId="77777777" w:rsidR="00881C3C" w:rsidRPr="00846D49" w:rsidRDefault="00881C3C" w:rsidP="00AF5836">
            <w:pPr>
              <w:spacing w:after="0" w:line="240" w:lineRule="auto"/>
              <w:rPr>
                <w:rFonts w:ascii="Arial Narrow" w:eastAsia="Times New Roman" w:hAnsi="Arial Narrow"/>
                <w:sz w:val="16"/>
                <w:szCs w:val="16"/>
              </w:rPr>
            </w:pP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0CEA883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013-1446: Estación Experimental Agraria El Porvenir- San Martin</w:t>
            </w:r>
          </w:p>
        </w:tc>
        <w:tc>
          <w:tcPr>
            <w:tcW w:w="1560" w:type="dxa"/>
            <w:vMerge/>
            <w:tcBorders>
              <w:left w:val="nil"/>
              <w:right w:val="single" w:sz="4" w:space="0" w:color="auto"/>
            </w:tcBorders>
            <w:shd w:val="clear" w:color="auto" w:fill="FFFFFF" w:themeFill="background1"/>
            <w:vAlign w:val="center"/>
            <w:hideMark/>
          </w:tcPr>
          <w:p w14:paraId="1C797609"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218" w:type="dxa"/>
            <w:vMerge/>
            <w:tcBorders>
              <w:left w:val="nil"/>
              <w:right w:val="single" w:sz="4" w:space="0" w:color="auto"/>
            </w:tcBorders>
            <w:shd w:val="clear" w:color="auto" w:fill="FFFFFF" w:themeFill="background1"/>
            <w:vAlign w:val="center"/>
            <w:hideMark/>
          </w:tcPr>
          <w:p w14:paraId="7AB203FE"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373" w:type="dxa"/>
            <w:vMerge/>
            <w:tcBorders>
              <w:left w:val="nil"/>
              <w:right w:val="single" w:sz="4" w:space="0" w:color="auto"/>
            </w:tcBorders>
            <w:shd w:val="clear" w:color="auto" w:fill="FFFFFF" w:themeFill="background1"/>
            <w:vAlign w:val="center"/>
            <w:hideMark/>
          </w:tcPr>
          <w:p w14:paraId="1A50277A" w14:textId="77777777" w:rsidR="00881C3C" w:rsidRPr="00846D49" w:rsidRDefault="00881C3C" w:rsidP="00AF5836">
            <w:pPr>
              <w:spacing w:after="0" w:line="240" w:lineRule="auto"/>
              <w:jc w:val="center"/>
              <w:rPr>
                <w:rFonts w:ascii="Arial Narrow" w:eastAsia="Times New Roman" w:hAnsi="Arial Narrow"/>
                <w:sz w:val="16"/>
                <w:szCs w:val="16"/>
              </w:rPr>
            </w:pPr>
          </w:p>
        </w:tc>
      </w:tr>
      <w:tr w:rsidR="00846D49" w:rsidRPr="00846D49" w14:paraId="77D5499E" w14:textId="77777777" w:rsidTr="00AF5836">
        <w:trPr>
          <w:gridAfter w:val="2"/>
          <w:wAfter w:w="160" w:type="dxa"/>
          <w:trHeight w:val="510"/>
        </w:trPr>
        <w:tc>
          <w:tcPr>
            <w:tcW w:w="384" w:type="dxa"/>
            <w:vMerge/>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14:paraId="01F17D8A"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869BAE0"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32EF80"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6C1B0752"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63F4BE83" w14:textId="77777777" w:rsidR="00881C3C" w:rsidRPr="00846D49" w:rsidRDefault="00881C3C" w:rsidP="00AF5836">
            <w:pPr>
              <w:spacing w:after="0" w:line="240" w:lineRule="auto"/>
              <w:rPr>
                <w:rFonts w:ascii="Arial Narrow" w:eastAsia="Times New Roman" w:hAnsi="Arial Narrow"/>
                <w:sz w:val="16"/>
                <w:szCs w:val="16"/>
              </w:rPr>
            </w:pPr>
          </w:p>
        </w:tc>
        <w:tc>
          <w:tcPr>
            <w:tcW w:w="1814"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3F3D8CD1" w14:textId="77777777" w:rsidR="00881C3C" w:rsidRPr="00846D49" w:rsidRDefault="00881C3C" w:rsidP="00AF5836">
            <w:pPr>
              <w:spacing w:after="0" w:line="240" w:lineRule="auto"/>
              <w:rPr>
                <w:rFonts w:ascii="Arial Narrow" w:eastAsia="Times New Roman" w:hAnsi="Arial Narrow"/>
                <w:sz w:val="16"/>
                <w:szCs w:val="16"/>
              </w:rPr>
            </w:pP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375016F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014-1447: Estación Experimental Agraria Illpa- Puno</w:t>
            </w:r>
          </w:p>
        </w:tc>
        <w:tc>
          <w:tcPr>
            <w:tcW w:w="1560" w:type="dxa"/>
            <w:vMerge/>
            <w:tcBorders>
              <w:left w:val="nil"/>
              <w:right w:val="single" w:sz="4" w:space="0" w:color="auto"/>
            </w:tcBorders>
            <w:shd w:val="clear" w:color="auto" w:fill="FFFFFF" w:themeFill="background1"/>
            <w:vAlign w:val="center"/>
            <w:hideMark/>
          </w:tcPr>
          <w:p w14:paraId="168E41A0" w14:textId="77777777" w:rsidR="00881C3C" w:rsidRPr="00846D49" w:rsidRDefault="00881C3C" w:rsidP="00AF5836">
            <w:pPr>
              <w:spacing w:after="0" w:line="240" w:lineRule="auto"/>
              <w:jc w:val="center"/>
              <w:rPr>
                <w:rFonts w:eastAsia="Times New Roman"/>
              </w:rPr>
            </w:pPr>
          </w:p>
        </w:tc>
        <w:tc>
          <w:tcPr>
            <w:tcW w:w="1218" w:type="dxa"/>
            <w:vMerge/>
            <w:tcBorders>
              <w:left w:val="nil"/>
              <w:right w:val="single" w:sz="4" w:space="0" w:color="auto"/>
            </w:tcBorders>
            <w:shd w:val="clear" w:color="auto" w:fill="FFFFFF" w:themeFill="background1"/>
            <w:vAlign w:val="center"/>
            <w:hideMark/>
          </w:tcPr>
          <w:p w14:paraId="6A785191" w14:textId="77777777" w:rsidR="00881C3C" w:rsidRPr="00846D49" w:rsidRDefault="00881C3C" w:rsidP="00AF5836">
            <w:pPr>
              <w:spacing w:after="0" w:line="240" w:lineRule="auto"/>
              <w:jc w:val="center"/>
              <w:rPr>
                <w:rFonts w:eastAsia="Times New Roman"/>
              </w:rPr>
            </w:pPr>
          </w:p>
        </w:tc>
        <w:tc>
          <w:tcPr>
            <w:tcW w:w="1373" w:type="dxa"/>
            <w:vMerge/>
            <w:tcBorders>
              <w:left w:val="nil"/>
              <w:right w:val="single" w:sz="4" w:space="0" w:color="auto"/>
            </w:tcBorders>
            <w:shd w:val="clear" w:color="auto" w:fill="FFFFFF" w:themeFill="background1"/>
            <w:vAlign w:val="center"/>
            <w:hideMark/>
          </w:tcPr>
          <w:p w14:paraId="24DE1B98" w14:textId="77777777" w:rsidR="00881C3C" w:rsidRPr="00846D49" w:rsidRDefault="00881C3C" w:rsidP="00AF5836">
            <w:pPr>
              <w:spacing w:after="0" w:line="240" w:lineRule="auto"/>
              <w:jc w:val="center"/>
              <w:rPr>
                <w:rFonts w:eastAsia="Times New Roman"/>
              </w:rPr>
            </w:pPr>
          </w:p>
        </w:tc>
      </w:tr>
      <w:tr w:rsidR="00846D49" w:rsidRPr="00846D49" w14:paraId="595B286B" w14:textId="77777777" w:rsidTr="00AF5836">
        <w:trPr>
          <w:gridAfter w:val="2"/>
          <w:wAfter w:w="160" w:type="dxa"/>
          <w:trHeight w:val="510"/>
        </w:trPr>
        <w:tc>
          <w:tcPr>
            <w:tcW w:w="384" w:type="dxa"/>
            <w:vMerge/>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14:paraId="4C762377"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B3B69D0"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1574BBE"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6D01A98A"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73D1F416" w14:textId="77777777" w:rsidR="00881C3C" w:rsidRPr="00846D49" w:rsidRDefault="00881C3C" w:rsidP="00AF5836">
            <w:pPr>
              <w:spacing w:after="0" w:line="240" w:lineRule="auto"/>
              <w:rPr>
                <w:rFonts w:ascii="Arial Narrow" w:eastAsia="Times New Roman" w:hAnsi="Arial Narrow"/>
                <w:sz w:val="16"/>
                <w:szCs w:val="16"/>
              </w:rPr>
            </w:pPr>
          </w:p>
        </w:tc>
        <w:tc>
          <w:tcPr>
            <w:tcW w:w="1814"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588DF1FE" w14:textId="77777777" w:rsidR="00881C3C" w:rsidRPr="00846D49" w:rsidRDefault="00881C3C" w:rsidP="00AF5836">
            <w:pPr>
              <w:spacing w:after="0" w:line="240" w:lineRule="auto"/>
              <w:rPr>
                <w:rFonts w:ascii="Arial Narrow" w:eastAsia="Times New Roman" w:hAnsi="Arial Narrow"/>
                <w:sz w:val="16"/>
                <w:szCs w:val="16"/>
              </w:rPr>
            </w:pP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58897CC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015-1448: Estación Experimental Agraria Pucallpa- Ucayali</w:t>
            </w:r>
          </w:p>
        </w:tc>
        <w:tc>
          <w:tcPr>
            <w:tcW w:w="1560" w:type="dxa"/>
            <w:vMerge/>
            <w:tcBorders>
              <w:left w:val="nil"/>
              <w:right w:val="single" w:sz="4" w:space="0" w:color="auto"/>
            </w:tcBorders>
            <w:shd w:val="clear" w:color="auto" w:fill="FFFFFF" w:themeFill="background1"/>
            <w:vAlign w:val="center"/>
            <w:hideMark/>
          </w:tcPr>
          <w:p w14:paraId="2D85DB61" w14:textId="77777777" w:rsidR="00881C3C" w:rsidRPr="00846D49" w:rsidRDefault="00881C3C" w:rsidP="00AF5836">
            <w:pPr>
              <w:spacing w:after="0" w:line="240" w:lineRule="auto"/>
              <w:jc w:val="center"/>
              <w:rPr>
                <w:rFonts w:eastAsia="Times New Roman"/>
              </w:rPr>
            </w:pPr>
          </w:p>
        </w:tc>
        <w:tc>
          <w:tcPr>
            <w:tcW w:w="1218" w:type="dxa"/>
            <w:vMerge/>
            <w:tcBorders>
              <w:left w:val="nil"/>
              <w:right w:val="single" w:sz="4" w:space="0" w:color="auto"/>
            </w:tcBorders>
            <w:shd w:val="clear" w:color="auto" w:fill="FFFFFF" w:themeFill="background1"/>
            <w:vAlign w:val="center"/>
            <w:hideMark/>
          </w:tcPr>
          <w:p w14:paraId="033DEB56" w14:textId="77777777" w:rsidR="00881C3C" w:rsidRPr="00846D49" w:rsidRDefault="00881C3C" w:rsidP="00AF5836">
            <w:pPr>
              <w:spacing w:after="0" w:line="240" w:lineRule="auto"/>
              <w:jc w:val="center"/>
              <w:rPr>
                <w:rFonts w:eastAsia="Times New Roman"/>
              </w:rPr>
            </w:pPr>
          </w:p>
        </w:tc>
        <w:tc>
          <w:tcPr>
            <w:tcW w:w="1373" w:type="dxa"/>
            <w:vMerge/>
            <w:tcBorders>
              <w:left w:val="nil"/>
              <w:right w:val="single" w:sz="4" w:space="0" w:color="auto"/>
            </w:tcBorders>
            <w:shd w:val="clear" w:color="auto" w:fill="FFFFFF" w:themeFill="background1"/>
            <w:vAlign w:val="center"/>
            <w:hideMark/>
          </w:tcPr>
          <w:p w14:paraId="797A0693" w14:textId="77777777" w:rsidR="00881C3C" w:rsidRPr="00846D49" w:rsidRDefault="00881C3C" w:rsidP="00AF5836">
            <w:pPr>
              <w:spacing w:after="0" w:line="240" w:lineRule="auto"/>
              <w:jc w:val="center"/>
              <w:rPr>
                <w:rFonts w:eastAsia="Times New Roman"/>
              </w:rPr>
            </w:pPr>
          </w:p>
        </w:tc>
      </w:tr>
      <w:tr w:rsidR="00846D49" w:rsidRPr="00846D49" w14:paraId="09DD0C96" w14:textId="77777777" w:rsidTr="00AF5836">
        <w:trPr>
          <w:gridAfter w:val="2"/>
          <w:wAfter w:w="160" w:type="dxa"/>
          <w:trHeight w:val="510"/>
        </w:trPr>
        <w:tc>
          <w:tcPr>
            <w:tcW w:w="384" w:type="dxa"/>
            <w:vMerge/>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14:paraId="192A7ABF"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DB3BE1E"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3913860"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352C8C8C"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0918B041" w14:textId="77777777" w:rsidR="00881C3C" w:rsidRPr="00846D49" w:rsidRDefault="00881C3C" w:rsidP="00AF5836">
            <w:pPr>
              <w:spacing w:after="0" w:line="240" w:lineRule="auto"/>
              <w:rPr>
                <w:rFonts w:ascii="Arial Narrow" w:eastAsia="Times New Roman" w:hAnsi="Arial Narrow"/>
                <w:sz w:val="16"/>
                <w:szCs w:val="16"/>
              </w:rPr>
            </w:pPr>
          </w:p>
        </w:tc>
        <w:tc>
          <w:tcPr>
            <w:tcW w:w="1814"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132E557A" w14:textId="77777777" w:rsidR="00881C3C" w:rsidRPr="00846D49" w:rsidRDefault="00881C3C" w:rsidP="00AF5836">
            <w:pPr>
              <w:spacing w:after="0" w:line="240" w:lineRule="auto"/>
              <w:rPr>
                <w:rFonts w:ascii="Arial Narrow" w:eastAsia="Times New Roman" w:hAnsi="Arial Narrow"/>
                <w:sz w:val="16"/>
                <w:szCs w:val="16"/>
              </w:rPr>
            </w:pP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7391F51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016-1449: Estación Experimental Agraria Santa Ana – Junín</w:t>
            </w:r>
          </w:p>
        </w:tc>
        <w:tc>
          <w:tcPr>
            <w:tcW w:w="1560" w:type="dxa"/>
            <w:vMerge/>
            <w:tcBorders>
              <w:left w:val="nil"/>
              <w:right w:val="single" w:sz="4" w:space="0" w:color="auto"/>
            </w:tcBorders>
            <w:shd w:val="clear" w:color="auto" w:fill="FFFFFF" w:themeFill="background1"/>
            <w:vAlign w:val="center"/>
            <w:hideMark/>
          </w:tcPr>
          <w:p w14:paraId="4173A5E1" w14:textId="77777777" w:rsidR="00881C3C" w:rsidRPr="00846D49" w:rsidRDefault="00881C3C" w:rsidP="00AF5836">
            <w:pPr>
              <w:spacing w:after="0" w:line="240" w:lineRule="auto"/>
              <w:jc w:val="center"/>
              <w:rPr>
                <w:rFonts w:eastAsia="Times New Roman"/>
              </w:rPr>
            </w:pPr>
          </w:p>
        </w:tc>
        <w:tc>
          <w:tcPr>
            <w:tcW w:w="1218" w:type="dxa"/>
            <w:vMerge/>
            <w:tcBorders>
              <w:left w:val="nil"/>
              <w:right w:val="single" w:sz="4" w:space="0" w:color="auto"/>
            </w:tcBorders>
            <w:shd w:val="clear" w:color="auto" w:fill="FFFFFF" w:themeFill="background1"/>
            <w:vAlign w:val="center"/>
            <w:hideMark/>
          </w:tcPr>
          <w:p w14:paraId="0CAF89C6" w14:textId="77777777" w:rsidR="00881C3C" w:rsidRPr="00846D49" w:rsidRDefault="00881C3C" w:rsidP="00AF5836">
            <w:pPr>
              <w:spacing w:after="0" w:line="240" w:lineRule="auto"/>
              <w:jc w:val="center"/>
              <w:rPr>
                <w:rFonts w:eastAsia="Times New Roman"/>
              </w:rPr>
            </w:pPr>
          </w:p>
        </w:tc>
        <w:tc>
          <w:tcPr>
            <w:tcW w:w="1373" w:type="dxa"/>
            <w:vMerge/>
            <w:tcBorders>
              <w:left w:val="nil"/>
              <w:right w:val="single" w:sz="4" w:space="0" w:color="auto"/>
            </w:tcBorders>
            <w:shd w:val="clear" w:color="auto" w:fill="FFFFFF" w:themeFill="background1"/>
            <w:vAlign w:val="center"/>
            <w:hideMark/>
          </w:tcPr>
          <w:p w14:paraId="45452D06" w14:textId="77777777" w:rsidR="00881C3C" w:rsidRPr="00846D49" w:rsidRDefault="00881C3C" w:rsidP="00AF5836">
            <w:pPr>
              <w:spacing w:after="0" w:line="240" w:lineRule="auto"/>
              <w:jc w:val="center"/>
              <w:rPr>
                <w:rFonts w:eastAsia="Times New Roman"/>
              </w:rPr>
            </w:pPr>
          </w:p>
        </w:tc>
      </w:tr>
      <w:tr w:rsidR="00846D49" w:rsidRPr="00846D49" w14:paraId="5DFAC81E" w14:textId="77777777" w:rsidTr="00AF5836">
        <w:trPr>
          <w:gridAfter w:val="2"/>
          <w:wAfter w:w="160" w:type="dxa"/>
          <w:trHeight w:val="765"/>
        </w:trPr>
        <w:tc>
          <w:tcPr>
            <w:tcW w:w="384" w:type="dxa"/>
            <w:vMerge/>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14:paraId="00387BF6"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1F838F4"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AAD9F09"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71BB25E4"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33A99763" w14:textId="77777777" w:rsidR="00881C3C" w:rsidRPr="00846D49" w:rsidRDefault="00881C3C" w:rsidP="00AF5836">
            <w:pPr>
              <w:spacing w:after="0" w:line="240" w:lineRule="auto"/>
              <w:rPr>
                <w:rFonts w:ascii="Arial Narrow" w:eastAsia="Times New Roman" w:hAnsi="Arial Narrow"/>
                <w:sz w:val="16"/>
                <w:szCs w:val="16"/>
              </w:rPr>
            </w:pPr>
          </w:p>
        </w:tc>
        <w:tc>
          <w:tcPr>
            <w:tcW w:w="1814"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0C2178AD" w14:textId="77777777" w:rsidR="00881C3C" w:rsidRPr="00846D49" w:rsidRDefault="00881C3C" w:rsidP="00AF5836">
            <w:pPr>
              <w:spacing w:after="0" w:line="240" w:lineRule="auto"/>
              <w:rPr>
                <w:rFonts w:ascii="Arial Narrow" w:eastAsia="Times New Roman" w:hAnsi="Arial Narrow"/>
                <w:sz w:val="16"/>
                <w:szCs w:val="16"/>
              </w:rPr>
            </w:pP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7B1F31C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017-1450: Estación Experimental Agraria Vista Florida - Lambayeque</w:t>
            </w:r>
          </w:p>
        </w:tc>
        <w:tc>
          <w:tcPr>
            <w:tcW w:w="1560" w:type="dxa"/>
            <w:vMerge/>
            <w:tcBorders>
              <w:left w:val="nil"/>
              <w:right w:val="single" w:sz="4" w:space="0" w:color="auto"/>
            </w:tcBorders>
            <w:shd w:val="clear" w:color="auto" w:fill="FFFFFF" w:themeFill="background1"/>
            <w:vAlign w:val="center"/>
            <w:hideMark/>
          </w:tcPr>
          <w:p w14:paraId="76C68513" w14:textId="77777777" w:rsidR="00881C3C" w:rsidRPr="00846D49" w:rsidRDefault="00881C3C" w:rsidP="00AF5836">
            <w:pPr>
              <w:spacing w:after="0" w:line="240" w:lineRule="auto"/>
              <w:jc w:val="center"/>
              <w:rPr>
                <w:rFonts w:eastAsia="Times New Roman"/>
              </w:rPr>
            </w:pPr>
          </w:p>
        </w:tc>
        <w:tc>
          <w:tcPr>
            <w:tcW w:w="1218" w:type="dxa"/>
            <w:vMerge/>
            <w:tcBorders>
              <w:left w:val="nil"/>
              <w:right w:val="single" w:sz="4" w:space="0" w:color="auto"/>
            </w:tcBorders>
            <w:shd w:val="clear" w:color="auto" w:fill="FFFFFF" w:themeFill="background1"/>
            <w:vAlign w:val="center"/>
            <w:hideMark/>
          </w:tcPr>
          <w:p w14:paraId="38EC10A1" w14:textId="77777777" w:rsidR="00881C3C" w:rsidRPr="00846D49" w:rsidRDefault="00881C3C" w:rsidP="00AF5836">
            <w:pPr>
              <w:spacing w:after="0" w:line="240" w:lineRule="auto"/>
              <w:jc w:val="center"/>
              <w:rPr>
                <w:rFonts w:eastAsia="Times New Roman"/>
              </w:rPr>
            </w:pPr>
          </w:p>
        </w:tc>
        <w:tc>
          <w:tcPr>
            <w:tcW w:w="1373" w:type="dxa"/>
            <w:vMerge/>
            <w:tcBorders>
              <w:left w:val="nil"/>
              <w:right w:val="single" w:sz="4" w:space="0" w:color="auto"/>
            </w:tcBorders>
            <w:shd w:val="clear" w:color="auto" w:fill="FFFFFF" w:themeFill="background1"/>
            <w:vAlign w:val="center"/>
            <w:hideMark/>
          </w:tcPr>
          <w:p w14:paraId="5346CB86" w14:textId="77777777" w:rsidR="00881C3C" w:rsidRPr="00846D49" w:rsidRDefault="00881C3C" w:rsidP="00AF5836">
            <w:pPr>
              <w:spacing w:after="0" w:line="240" w:lineRule="auto"/>
              <w:jc w:val="center"/>
              <w:rPr>
                <w:rFonts w:eastAsia="Times New Roman"/>
              </w:rPr>
            </w:pPr>
          </w:p>
        </w:tc>
      </w:tr>
      <w:tr w:rsidR="00846D49" w:rsidRPr="00846D49" w14:paraId="7078FA33" w14:textId="77777777" w:rsidTr="00AF5836">
        <w:trPr>
          <w:gridAfter w:val="2"/>
          <w:wAfter w:w="160" w:type="dxa"/>
          <w:trHeight w:val="510"/>
        </w:trPr>
        <w:tc>
          <w:tcPr>
            <w:tcW w:w="384" w:type="dxa"/>
            <w:vMerge/>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14:paraId="78DC0B13"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CA1D27D"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714BF2E"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51F72346"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11110CEC" w14:textId="77777777" w:rsidR="00881C3C" w:rsidRPr="00846D49" w:rsidRDefault="00881C3C" w:rsidP="00AF5836">
            <w:pPr>
              <w:spacing w:after="0" w:line="240" w:lineRule="auto"/>
              <w:rPr>
                <w:rFonts w:ascii="Arial Narrow" w:eastAsia="Times New Roman" w:hAnsi="Arial Narrow"/>
                <w:sz w:val="16"/>
                <w:szCs w:val="16"/>
              </w:rPr>
            </w:pPr>
          </w:p>
        </w:tc>
        <w:tc>
          <w:tcPr>
            <w:tcW w:w="1814"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56298111" w14:textId="77777777" w:rsidR="00881C3C" w:rsidRPr="00846D49" w:rsidRDefault="00881C3C" w:rsidP="00AF5836">
            <w:pPr>
              <w:spacing w:after="0" w:line="240" w:lineRule="auto"/>
              <w:rPr>
                <w:rFonts w:ascii="Arial Narrow" w:eastAsia="Times New Roman" w:hAnsi="Arial Narrow"/>
                <w:sz w:val="16"/>
                <w:szCs w:val="16"/>
              </w:rPr>
            </w:pP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1149400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018-1451: Estación Experimental Agraria Andenes - Cuzco</w:t>
            </w:r>
          </w:p>
        </w:tc>
        <w:tc>
          <w:tcPr>
            <w:tcW w:w="1560" w:type="dxa"/>
            <w:vMerge/>
            <w:tcBorders>
              <w:left w:val="nil"/>
              <w:bottom w:val="single" w:sz="4" w:space="0" w:color="auto"/>
              <w:right w:val="single" w:sz="4" w:space="0" w:color="auto"/>
            </w:tcBorders>
            <w:shd w:val="clear" w:color="auto" w:fill="FFFFFF" w:themeFill="background1"/>
            <w:vAlign w:val="center"/>
            <w:hideMark/>
          </w:tcPr>
          <w:p w14:paraId="4229C74C" w14:textId="77777777" w:rsidR="00881C3C" w:rsidRPr="00846D49" w:rsidRDefault="00881C3C" w:rsidP="00AF5836">
            <w:pPr>
              <w:spacing w:after="0" w:line="240" w:lineRule="auto"/>
              <w:jc w:val="center"/>
              <w:rPr>
                <w:rFonts w:eastAsia="Times New Roman"/>
              </w:rPr>
            </w:pPr>
          </w:p>
        </w:tc>
        <w:tc>
          <w:tcPr>
            <w:tcW w:w="1218" w:type="dxa"/>
            <w:vMerge/>
            <w:tcBorders>
              <w:left w:val="nil"/>
              <w:bottom w:val="single" w:sz="4" w:space="0" w:color="auto"/>
              <w:right w:val="single" w:sz="4" w:space="0" w:color="auto"/>
            </w:tcBorders>
            <w:shd w:val="clear" w:color="auto" w:fill="FFFFFF" w:themeFill="background1"/>
            <w:vAlign w:val="center"/>
            <w:hideMark/>
          </w:tcPr>
          <w:p w14:paraId="57CF9363" w14:textId="77777777" w:rsidR="00881C3C" w:rsidRPr="00846D49" w:rsidRDefault="00881C3C" w:rsidP="00AF5836">
            <w:pPr>
              <w:spacing w:after="0" w:line="240" w:lineRule="auto"/>
              <w:jc w:val="center"/>
              <w:rPr>
                <w:rFonts w:eastAsia="Times New Roman"/>
              </w:rPr>
            </w:pPr>
          </w:p>
        </w:tc>
        <w:tc>
          <w:tcPr>
            <w:tcW w:w="1373" w:type="dxa"/>
            <w:vMerge/>
            <w:tcBorders>
              <w:left w:val="nil"/>
              <w:bottom w:val="single" w:sz="4" w:space="0" w:color="auto"/>
              <w:right w:val="single" w:sz="4" w:space="0" w:color="auto"/>
            </w:tcBorders>
            <w:shd w:val="clear" w:color="auto" w:fill="FFFFFF" w:themeFill="background1"/>
            <w:vAlign w:val="center"/>
            <w:hideMark/>
          </w:tcPr>
          <w:p w14:paraId="51562291" w14:textId="77777777" w:rsidR="00881C3C" w:rsidRPr="00846D49" w:rsidRDefault="00881C3C" w:rsidP="00AF5836">
            <w:pPr>
              <w:spacing w:after="0" w:line="240" w:lineRule="auto"/>
              <w:jc w:val="center"/>
              <w:rPr>
                <w:rFonts w:eastAsia="Times New Roman"/>
              </w:rPr>
            </w:pPr>
          </w:p>
        </w:tc>
      </w:tr>
      <w:tr w:rsidR="00846D49" w:rsidRPr="00846D49" w14:paraId="154A3EBE" w14:textId="77777777" w:rsidTr="00AF5836">
        <w:trPr>
          <w:gridAfter w:val="2"/>
          <w:wAfter w:w="160" w:type="dxa"/>
          <w:trHeight w:val="450"/>
        </w:trPr>
        <w:tc>
          <w:tcPr>
            <w:tcW w:w="384"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6C237B7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35</w:t>
            </w:r>
          </w:p>
        </w:tc>
        <w:tc>
          <w:tcPr>
            <w:tcW w:w="1693" w:type="dxa"/>
            <w:vMerge w:val="restart"/>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14:paraId="2843CD9C"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 xml:space="preserve">L2.4 Incrementar la generación de investigaciones e innovación, así como el desarrollo y transferencia de tecnologías en materia forestal y de fauna silvestre, y sus microorganismos </w:t>
            </w:r>
            <w:r w:rsidRPr="00846D49">
              <w:rPr>
                <w:rFonts w:ascii="Arial Narrow" w:eastAsia="Times New Roman" w:hAnsi="Arial Narrow"/>
                <w:sz w:val="16"/>
                <w:szCs w:val="16"/>
              </w:rPr>
              <w:lastRenderedPageBreak/>
              <w:t>asociados, incluyendo sus recursos genéticos</w:t>
            </w:r>
          </w:p>
        </w:tc>
        <w:tc>
          <w:tcPr>
            <w:tcW w:w="1800"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14:paraId="4C33A3A0"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lastRenderedPageBreak/>
              <w:t>S2.4.2 Captación de fondos para proyectos de investigación, desarrollo e innovación (I+D+í) en temas forestales y de fauna silvestre de forma oportuna dirigido a entidades públicas y privadas del Sistema Nacional de Ciencia, Tecnología e Innovación.</w:t>
            </w:r>
          </w:p>
        </w:tc>
        <w:tc>
          <w:tcPr>
            <w:tcW w:w="2143"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741915AD"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AO001. Realización de Apoyo a proyectos de investigación en ciencia, tecnología e innovación tecnológica.</w:t>
            </w:r>
          </w:p>
        </w:tc>
        <w:tc>
          <w:tcPr>
            <w:tcW w:w="2233"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016184E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Proyecto</w:t>
            </w:r>
          </w:p>
        </w:tc>
        <w:tc>
          <w:tcPr>
            <w:tcW w:w="1814"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1534AA4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Ejecutiva - PROCIENCIA</w:t>
            </w:r>
          </w:p>
        </w:tc>
        <w:tc>
          <w:tcPr>
            <w:tcW w:w="1553"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2074174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Programa Nacional de Investigación Científica y Estudios Avanzados- PROCIENCIA</w:t>
            </w:r>
          </w:p>
        </w:tc>
        <w:tc>
          <w:tcPr>
            <w:tcW w:w="156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20AE668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114: Consejo Nacional De Ciencia, Tecnología E Innovación Tecnológica</w:t>
            </w:r>
          </w:p>
        </w:tc>
        <w:tc>
          <w:tcPr>
            <w:tcW w:w="1218"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5D9F6BA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01: Presidencia Consejo Ministros</w:t>
            </w:r>
          </w:p>
        </w:tc>
        <w:tc>
          <w:tcPr>
            <w:tcW w:w="1373"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47F1760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r>
      <w:tr w:rsidR="00846D49" w:rsidRPr="00846D49" w14:paraId="01688F07" w14:textId="77777777" w:rsidTr="00AF5836">
        <w:trPr>
          <w:trHeight w:val="30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C55C215"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61038F45"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609C3CA1"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4CEE246"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FCB85F2" w14:textId="77777777" w:rsidR="00881C3C" w:rsidRPr="00846D49" w:rsidRDefault="00881C3C" w:rsidP="00AF5836">
            <w:pPr>
              <w:spacing w:after="0" w:line="240" w:lineRule="auto"/>
              <w:rPr>
                <w:rFonts w:ascii="Arial Narrow" w:eastAsia="Times New Roman" w:hAnsi="Arial Narrow"/>
                <w:sz w:val="16"/>
                <w:szCs w:val="16"/>
              </w:rPr>
            </w:pPr>
          </w:p>
        </w:tc>
        <w:tc>
          <w:tcPr>
            <w:tcW w:w="181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DDE920B" w14:textId="77777777" w:rsidR="00881C3C" w:rsidRPr="00846D49" w:rsidRDefault="00881C3C" w:rsidP="00AF5836">
            <w:pPr>
              <w:spacing w:after="0" w:line="240" w:lineRule="auto"/>
              <w:rPr>
                <w:rFonts w:ascii="Arial Narrow" w:eastAsia="Times New Roman" w:hAnsi="Arial Narrow"/>
                <w:sz w:val="16"/>
                <w:szCs w:val="16"/>
              </w:rPr>
            </w:pPr>
          </w:p>
        </w:tc>
        <w:tc>
          <w:tcPr>
            <w:tcW w:w="155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E959707" w14:textId="77777777" w:rsidR="00881C3C" w:rsidRPr="00846D49" w:rsidRDefault="00881C3C" w:rsidP="00AF5836">
            <w:pPr>
              <w:spacing w:after="0" w:line="240" w:lineRule="auto"/>
              <w:rPr>
                <w:rFonts w:ascii="Arial Narrow" w:eastAsia="Times New Roman" w:hAnsi="Arial Narrow"/>
                <w:sz w:val="16"/>
                <w:szCs w:val="16"/>
              </w:rPr>
            </w:pPr>
          </w:p>
        </w:tc>
        <w:tc>
          <w:tcPr>
            <w:tcW w:w="156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BCF91BB" w14:textId="77777777" w:rsidR="00881C3C" w:rsidRPr="00846D49" w:rsidRDefault="00881C3C" w:rsidP="00AF5836">
            <w:pPr>
              <w:spacing w:after="0" w:line="240" w:lineRule="auto"/>
              <w:rPr>
                <w:rFonts w:ascii="Arial Narrow" w:eastAsia="Times New Roman" w:hAnsi="Arial Narrow"/>
                <w:sz w:val="16"/>
                <w:szCs w:val="16"/>
              </w:rPr>
            </w:pPr>
          </w:p>
        </w:tc>
        <w:tc>
          <w:tcPr>
            <w:tcW w:w="121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5167087" w14:textId="77777777" w:rsidR="00881C3C" w:rsidRPr="00846D49" w:rsidRDefault="00881C3C" w:rsidP="00AF5836">
            <w:pPr>
              <w:spacing w:after="0" w:line="240" w:lineRule="auto"/>
              <w:rPr>
                <w:rFonts w:ascii="Arial Narrow" w:eastAsia="Times New Roman" w:hAnsi="Arial Narrow"/>
                <w:sz w:val="16"/>
                <w:szCs w:val="16"/>
              </w:rPr>
            </w:pPr>
          </w:p>
        </w:tc>
        <w:tc>
          <w:tcPr>
            <w:tcW w:w="137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8E7AA5B" w14:textId="77777777" w:rsidR="00881C3C" w:rsidRPr="00846D49" w:rsidRDefault="00881C3C" w:rsidP="00AF5836">
            <w:pPr>
              <w:spacing w:after="0" w:line="240" w:lineRule="auto"/>
              <w:rPr>
                <w:rFonts w:ascii="Arial Narrow" w:eastAsia="Times New Roman" w:hAnsi="Arial Narrow"/>
                <w:sz w:val="16"/>
                <w:szCs w:val="16"/>
              </w:rPr>
            </w:pPr>
          </w:p>
        </w:tc>
        <w:tc>
          <w:tcPr>
            <w:tcW w:w="160" w:type="dxa"/>
            <w:gridSpan w:val="2"/>
            <w:tcBorders>
              <w:top w:val="nil"/>
              <w:left w:val="nil"/>
              <w:bottom w:val="nil"/>
              <w:right w:val="nil"/>
            </w:tcBorders>
            <w:shd w:val="clear" w:color="auto" w:fill="FFFFFF" w:themeFill="background1"/>
            <w:noWrap/>
            <w:vAlign w:val="bottom"/>
            <w:hideMark/>
          </w:tcPr>
          <w:p w14:paraId="7A7F518D" w14:textId="77777777" w:rsidR="00881C3C" w:rsidRPr="00846D49" w:rsidRDefault="00881C3C" w:rsidP="00AF5836">
            <w:pPr>
              <w:spacing w:after="0" w:line="240" w:lineRule="auto"/>
              <w:jc w:val="center"/>
              <w:rPr>
                <w:rFonts w:ascii="Arial Narrow" w:eastAsia="Times New Roman" w:hAnsi="Arial Narrow"/>
                <w:sz w:val="16"/>
                <w:szCs w:val="16"/>
              </w:rPr>
            </w:pPr>
          </w:p>
        </w:tc>
      </w:tr>
      <w:tr w:rsidR="00846D49" w:rsidRPr="00846D49" w14:paraId="703E4C09" w14:textId="77777777" w:rsidTr="00AF5836">
        <w:trPr>
          <w:trHeight w:val="79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343BC50"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789C0873"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14FD22BF"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E2AB81A"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7E5988F" w14:textId="77777777" w:rsidR="00881C3C" w:rsidRPr="00846D49" w:rsidRDefault="00881C3C" w:rsidP="00AF5836">
            <w:pPr>
              <w:spacing w:after="0" w:line="240" w:lineRule="auto"/>
              <w:rPr>
                <w:rFonts w:ascii="Arial Narrow" w:eastAsia="Times New Roman" w:hAnsi="Arial Narrow"/>
                <w:sz w:val="16"/>
                <w:szCs w:val="16"/>
              </w:rPr>
            </w:pPr>
          </w:p>
        </w:tc>
        <w:tc>
          <w:tcPr>
            <w:tcW w:w="181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E1A7AFF" w14:textId="77777777" w:rsidR="00881C3C" w:rsidRPr="00846D49" w:rsidRDefault="00881C3C" w:rsidP="00AF5836">
            <w:pPr>
              <w:spacing w:after="0" w:line="240" w:lineRule="auto"/>
              <w:rPr>
                <w:rFonts w:ascii="Arial Narrow" w:eastAsia="Times New Roman" w:hAnsi="Arial Narrow"/>
                <w:sz w:val="16"/>
                <w:szCs w:val="16"/>
              </w:rPr>
            </w:pPr>
          </w:p>
        </w:tc>
        <w:tc>
          <w:tcPr>
            <w:tcW w:w="155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8ED4254" w14:textId="77777777" w:rsidR="00881C3C" w:rsidRPr="00846D49" w:rsidRDefault="00881C3C" w:rsidP="00AF5836">
            <w:pPr>
              <w:spacing w:after="0" w:line="240" w:lineRule="auto"/>
              <w:rPr>
                <w:rFonts w:ascii="Arial Narrow" w:eastAsia="Times New Roman" w:hAnsi="Arial Narrow"/>
                <w:sz w:val="16"/>
                <w:szCs w:val="16"/>
              </w:rPr>
            </w:pPr>
          </w:p>
        </w:tc>
        <w:tc>
          <w:tcPr>
            <w:tcW w:w="156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1168B79" w14:textId="77777777" w:rsidR="00881C3C" w:rsidRPr="00846D49" w:rsidRDefault="00881C3C" w:rsidP="00AF5836">
            <w:pPr>
              <w:spacing w:after="0" w:line="240" w:lineRule="auto"/>
              <w:rPr>
                <w:rFonts w:ascii="Arial Narrow" w:eastAsia="Times New Roman" w:hAnsi="Arial Narrow"/>
                <w:sz w:val="16"/>
                <w:szCs w:val="16"/>
              </w:rPr>
            </w:pPr>
          </w:p>
        </w:tc>
        <w:tc>
          <w:tcPr>
            <w:tcW w:w="121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8F17DA5" w14:textId="77777777" w:rsidR="00881C3C" w:rsidRPr="00846D49" w:rsidRDefault="00881C3C" w:rsidP="00AF5836">
            <w:pPr>
              <w:spacing w:after="0" w:line="240" w:lineRule="auto"/>
              <w:rPr>
                <w:rFonts w:ascii="Arial Narrow" w:eastAsia="Times New Roman" w:hAnsi="Arial Narrow"/>
                <w:sz w:val="16"/>
                <w:szCs w:val="16"/>
              </w:rPr>
            </w:pPr>
          </w:p>
        </w:tc>
        <w:tc>
          <w:tcPr>
            <w:tcW w:w="137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36DF0DF" w14:textId="77777777" w:rsidR="00881C3C" w:rsidRPr="00846D49" w:rsidRDefault="00881C3C" w:rsidP="00AF5836">
            <w:pPr>
              <w:spacing w:after="0" w:line="240" w:lineRule="auto"/>
              <w:rPr>
                <w:rFonts w:ascii="Arial Narrow" w:eastAsia="Times New Roman" w:hAnsi="Arial Narrow"/>
                <w:sz w:val="16"/>
                <w:szCs w:val="16"/>
              </w:rPr>
            </w:pPr>
          </w:p>
        </w:tc>
        <w:tc>
          <w:tcPr>
            <w:tcW w:w="160" w:type="dxa"/>
            <w:gridSpan w:val="2"/>
            <w:tcBorders>
              <w:top w:val="nil"/>
              <w:left w:val="nil"/>
              <w:bottom w:val="nil"/>
              <w:right w:val="nil"/>
            </w:tcBorders>
            <w:shd w:val="clear" w:color="auto" w:fill="FFFFFF" w:themeFill="background1"/>
            <w:noWrap/>
            <w:vAlign w:val="bottom"/>
            <w:hideMark/>
          </w:tcPr>
          <w:p w14:paraId="2BBE4AE4" w14:textId="77777777" w:rsidR="00881C3C" w:rsidRPr="00846D49" w:rsidRDefault="00881C3C" w:rsidP="00AF5836">
            <w:pPr>
              <w:spacing w:after="0" w:line="240" w:lineRule="auto"/>
              <w:rPr>
                <w:rFonts w:ascii="Times New Roman" w:eastAsia="Times New Roman" w:hAnsi="Times New Roman" w:cs="Times New Roman"/>
                <w:sz w:val="20"/>
                <w:szCs w:val="20"/>
              </w:rPr>
            </w:pPr>
          </w:p>
          <w:p w14:paraId="3E4BE94A" w14:textId="77777777" w:rsidR="00881C3C" w:rsidRPr="00846D49" w:rsidRDefault="00881C3C" w:rsidP="00AF5836">
            <w:pPr>
              <w:spacing w:after="0" w:line="240" w:lineRule="auto"/>
              <w:rPr>
                <w:rFonts w:ascii="Times New Roman" w:eastAsia="Times New Roman" w:hAnsi="Times New Roman" w:cs="Times New Roman"/>
                <w:sz w:val="20"/>
                <w:szCs w:val="20"/>
              </w:rPr>
            </w:pPr>
          </w:p>
          <w:p w14:paraId="01419B45" w14:textId="77777777" w:rsidR="00881C3C" w:rsidRPr="00846D49" w:rsidRDefault="00881C3C" w:rsidP="00AF5836">
            <w:pPr>
              <w:spacing w:after="0" w:line="240" w:lineRule="auto"/>
              <w:rPr>
                <w:rFonts w:ascii="Times New Roman" w:eastAsia="Times New Roman" w:hAnsi="Times New Roman" w:cs="Times New Roman"/>
                <w:sz w:val="20"/>
                <w:szCs w:val="20"/>
              </w:rPr>
            </w:pPr>
          </w:p>
          <w:p w14:paraId="4CEE624F"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79E83407" w14:textId="77777777" w:rsidTr="00AF5836">
        <w:trPr>
          <w:trHeight w:val="795"/>
        </w:trPr>
        <w:tc>
          <w:tcPr>
            <w:tcW w:w="384" w:type="dxa"/>
            <w:tcBorders>
              <w:top w:val="nil"/>
              <w:left w:val="single" w:sz="4" w:space="0" w:color="auto"/>
              <w:bottom w:val="single" w:sz="4" w:space="0" w:color="auto"/>
              <w:right w:val="single" w:sz="4" w:space="0" w:color="auto"/>
            </w:tcBorders>
            <w:shd w:val="clear" w:color="auto" w:fill="FFFFFF" w:themeFill="background1"/>
            <w:vAlign w:val="center"/>
          </w:tcPr>
          <w:p w14:paraId="20F7EAAF"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36</w:t>
            </w:r>
          </w:p>
        </w:tc>
        <w:tc>
          <w:tcPr>
            <w:tcW w:w="1693" w:type="dxa"/>
            <w:tcBorders>
              <w:top w:val="nil"/>
              <w:left w:val="single" w:sz="4" w:space="0" w:color="auto"/>
              <w:bottom w:val="single" w:sz="4" w:space="0" w:color="000000"/>
              <w:right w:val="single" w:sz="4" w:space="0" w:color="auto"/>
            </w:tcBorders>
            <w:shd w:val="clear" w:color="auto" w:fill="FFFFFF" w:themeFill="background1"/>
            <w:vAlign w:val="center"/>
          </w:tcPr>
          <w:p w14:paraId="61F30753"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L2.4 Incrementar la generación de investigaciones e innovación, así como el desarrollo y transferencia de tecnologías en materia forestal y de fauna silvestre, y sus microorganismos asociados, incluyendo sus recursos genéticos</w:t>
            </w:r>
          </w:p>
        </w:tc>
        <w:tc>
          <w:tcPr>
            <w:tcW w:w="1800" w:type="dxa"/>
            <w:tcBorders>
              <w:top w:val="nil"/>
              <w:left w:val="single" w:sz="4" w:space="0" w:color="auto"/>
              <w:bottom w:val="single" w:sz="4" w:space="0" w:color="000000"/>
              <w:right w:val="single" w:sz="4" w:space="0" w:color="auto"/>
            </w:tcBorders>
            <w:shd w:val="clear" w:color="auto" w:fill="FFFFFF" w:themeFill="background1"/>
            <w:vAlign w:val="center"/>
          </w:tcPr>
          <w:p w14:paraId="436CED7E"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S2.4.3 Asistencia técnica en la identificación de las necesidades de investigación forestal y de fauna silvestre de forma satisfactoria para las Autoridades Regionales Forestales y de Fauna Silvestre</w:t>
            </w:r>
          </w:p>
        </w:tc>
        <w:tc>
          <w:tcPr>
            <w:tcW w:w="2143" w:type="dxa"/>
            <w:tcBorders>
              <w:top w:val="nil"/>
              <w:left w:val="single" w:sz="4" w:space="0" w:color="auto"/>
              <w:bottom w:val="single" w:sz="4" w:space="0" w:color="auto"/>
              <w:right w:val="single" w:sz="4" w:space="0" w:color="auto"/>
            </w:tcBorders>
            <w:shd w:val="clear" w:color="auto" w:fill="FFFFFF" w:themeFill="background1"/>
            <w:vAlign w:val="center"/>
          </w:tcPr>
          <w:p w14:paraId="44DFDBA8"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AO001. Implementación del Plan Nacional de Investigación Forestal y de Fauna Silvestre</w:t>
            </w:r>
          </w:p>
        </w:tc>
        <w:tc>
          <w:tcPr>
            <w:tcW w:w="2233" w:type="dxa"/>
            <w:tcBorders>
              <w:top w:val="nil"/>
              <w:left w:val="single" w:sz="4" w:space="0" w:color="auto"/>
              <w:bottom w:val="single" w:sz="4" w:space="0" w:color="auto"/>
              <w:right w:val="single" w:sz="4" w:space="0" w:color="auto"/>
            </w:tcBorders>
            <w:shd w:val="clear" w:color="auto" w:fill="FFFFFF" w:themeFill="background1"/>
            <w:vAlign w:val="center"/>
          </w:tcPr>
          <w:p w14:paraId="5AFA908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Informe</w:t>
            </w:r>
          </w:p>
        </w:tc>
        <w:tc>
          <w:tcPr>
            <w:tcW w:w="1814" w:type="dxa"/>
            <w:tcBorders>
              <w:top w:val="nil"/>
              <w:left w:val="single" w:sz="4" w:space="0" w:color="auto"/>
              <w:bottom w:val="single" w:sz="4" w:space="0" w:color="auto"/>
              <w:right w:val="single" w:sz="4" w:space="0" w:color="auto"/>
            </w:tcBorders>
            <w:shd w:val="clear" w:color="auto" w:fill="FFFFFF" w:themeFill="background1"/>
            <w:vAlign w:val="center"/>
          </w:tcPr>
          <w:p w14:paraId="598846DD"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Dirección Estudios e Investigación</w:t>
            </w:r>
          </w:p>
        </w:tc>
        <w:tc>
          <w:tcPr>
            <w:tcW w:w="1553" w:type="dxa"/>
            <w:tcBorders>
              <w:top w:val="nil"/>
              <w:left w:val="single" w:sz="4" w:space="0" w:color="auto"/>
              <w:bottom w:val="single" w:sz="4" w:space="0" w:color="auto"/>
              <w:right w:val="single" w:sz="4" w:space="0" w:color="auto"/>
            </w:tcBorders>
            <w:shd w:val="clear" w:color="auto" w:fill="FFFFFF" w:themeFill="background1"/>
            <w:vAlign w:val="center"/>
          </w:tcPr>
          <w:p w14:paraId="5C137DBA"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single" w:sz="4" w:space="0" w:color="auto"/>
              <w:bottom w:val="single" w:sz="4" w:space="0" w:color="auto"/>
              <w:right w:val="single" w:sz="4" w:space="0" w:color="auto"/>
            </w:tcBorders>
            <w:shd w:val="clear" w:color="auto" w:fill="FFFFFF" w:themeFill="background1"/>
            <w:vAlign w:val="center"/>
          </w:tcPr>
          <w:p w14:paraId="72CB228E"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single" w:sz="4" w:space="0" w:color="auto"/>
              <w:bottom w:val="single" w:sz="4" w:space="0" w:color="auto"/>
              <w:right w:val="single" w:sz="4" w:space="0" w:color="auto"/>
            </w:tcBorders>
            <w:shd w:val="clear" w:color="auto" w:fill="FFFFFF" w:themeFill="background1"/>
            <w:vAlign w:val="center"/>
          </w:tcPr>
          <w:p w14:paraId="75F9A78E"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single" w:sz="4" w:space="0" w:color="auto"/>
              <w:bottom w:val="single" w:sz="4" w:space="0" w:color="auto"/>
              <w:right w:val="single" w:sz="4" w:space="0" w:color="auto"/>
            </w:tcBorders>
            <w:shd w:val="clear" w:color="auto" w:fill="FFFFFF" w:themeFill="background1"/>
            <w:vAlign w:val="center"/>
          </w:tcPr>
          <w:p w14:paraId="059DEA1A"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tcBorders>
              <w:top w:val="nil"/>
              <w:left w:val="nil"/>
              <w:bottom w:val="nil"/>
              <w:right w:val="nil"/>
            </w:tcBorders>
            <w:shd w:val="clear" w:color="auto" w:fill="FFFFFF" w:themeFill="background1"/>
            <w:noWrap/>
            <w:vAlign w:val="bottom"/>
          </w:tcPr>
          <w:p w14:paraId="162A9022"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1B096994" w14:textId="77777777" w:rsidTr="00AF5836">
        <w:trPr>
          <w:trHeight w:val="765"/>
        </w:trPr>
        <w:tc>
          <w:tcPr>
            <w:tcW w:w="384"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14:paraId="5C20DBE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37</w:t>
            </w:r>
          </w:p>
        </w:tc>
        <w:tc>
          <w:tcPr>
            <w:tcW w:w="1693"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14:paraId="73A18515"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L2.4 Incrementar la generación de investigaciones e innovación, así como el desarrollo y transferencia de tecnologías en materia forestal y de fauna silvestre, y sus microorganismos asociados, incluyendo sus recursos genéticos</w:t>
            </w:r>
          </w:p>
        </w:tc>
        <w:tc>
          <w:tcPr>
            <w:tcW w:w="1800"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14:paraId="167B781C" w14:textId="0D863225"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 xml:space="preserve">S2.4.4 </w:t>
            </w:r>
            <w:r w:rsidR="00017563" w:rsidRPr="00846D49">
              <w:rPr>
                <w:rFonts w:ascii="Arial Narrow" w:eastAsia="Times New Roman" w:hAnsi="Arial Narrow"/>
                <w:sz w:val="16"/>
                <w:szCs w:val="16"/>
              </w:rPr>
              <w:t>Investigación, estudios, tecnologías e innovación sobre los recursos forestales y de fauna silvestre de forma pertinente para los usuarios forestales y de fauna silvestre.</w:t>
            </w:r>
          </w:p>
          <w:p w14:paraId="19BB78DB"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48182341"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AO001. Investigación en ecosistemas, especies de flora maderable, no maderable y fauna silvestre, y sus recursos genéticos</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610D493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Estudio</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55BE52D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Estudios e Investigación</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017DD59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537875A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4F47239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772C866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022D32FB"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7E3BC334" w14:textId="77777777" w:rsidTr="00AF5836">
        <w:trPr>
          <w:trHeight w:val="1275"/>
        </w:trPr>
        <w:tc>
          <w:tcPr>
            <w:tcW w:w="384"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5324148E"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2A356880"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5DF6B2F7"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5C3C9DF9"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AO002. Otorgamiento de autorización de investigación científica de flora, fauna silvestre y microorganismo asociados fuera de ANP, con o sin acceso a los recursos genéticos, de exportación con fines científicos y contratos de acceso a recursos genético.</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1C85370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Persona</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3D9D75D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xml:space="preserve">- Dirección de Gestión Sostenible del Patrimonio Forestal y </w:t>
            </w:r>
          </w:p>
          <w:p w14:paraId="5CBD9E1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xml:space="preserve">- Dirección de Gestión Sostenible del Patrimonio de Fauna Silvestre </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7166463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7BA0D43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63F953C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6F0F325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350AE68F"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14F64BA4" w14:textId="77777777" w:rsidTr="00AF5836">
        <w:trPr>
          <w:trHeight w:val="1275"/>
        </w:trPr>
        <w:tc>
          <w:tcPr>
            <w:tcW w:w="384"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55BC9820"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3F24F5BE"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07F44601"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412E4EE2"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AO003. Autorización, registro, seguimiento e implementación de instituciones científicas nacionales depositarias de material biológico.</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2895089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Persona</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7878916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xml:space="preserve">- Dirección de Gestión Sostenible del Patrimonio Forestal y </w:t>
            </w:r>
          </w:p>
          <w:p w14:paraId="446F0DD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xml:space="preserve">- Dirección de Gestión Sostenible del Patrimonio de Fauna Silvestre </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73738B0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32AAABF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58951EB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6BC749F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576D3E27"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7D5B12A3" w14:textId="77777777" w:rsidTr="00AF5836">
        <w:trPr>
          <w:trHeight w:val="510"/>
        </w:trPr>
        <w:tc>
          <w:tcPr>
            <w:tcW w:w="384"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47C09484"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420E5FCC"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3C7DF8C4"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47BD4102"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 xml:space="preserve">AO004. Realización de estudio silvicultural y requerimientos edafoclimáticos de las principales </w:t>
            </w:r>
            <w:r w:rsidRPr="00846D49">
              <w:rPr>
                <w:rFonts w:ascii="Arial Narrow" w:eastAsia="Times New Roman" w:hAnsi="Arial Narrow"/>
                <w:sz w:val="16"/>
                <w:szCs w:val="16"/>
              </w:rPr>
              <w:lastRenderedPageBreak/>
              <w:t>especies forestales de prioridad nacional</w:t>
            </w:r>
          </w:p>
        </w:tc>
        <w:tc>
          <w:tcPr>
            <w:tcW w:w="2233"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4273C05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lastRenderedPageBreak/>
              <w:t>Reporte</w:t>
            </w:r>
          </w:p>
        </w:tc>
        <w:tc>
          <w:tcPr>
            <w:tcW w:w="1814"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6DA6C8E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Coordinación del Área Forestal del INIA</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32765D6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001-160: Instituto Nacional de Innovación Agraria</w:t>
            </w:r>
          </w:p>
        </w:tc>
        <w:tc>
          <w:tcPr>
            <w:tcW w:w="156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01EADCD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163: Instituto Nacional de Innovación Agraria</w:t>
            </w:r>
          </w:p>
        </w:tc>
        <w:tc>
          <w:tcPr>
            <w:tcW w:w="1218"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2A27E1F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5714150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3878622C"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58922538" w14:textId="77777777" w:rsidTr="00AF5836">
        <w:trPr>
          <w:trHeight w:val="510"/>
        </w:trPr>
        <w:tc>
          <w:tcPr>
            <w:tcW w:w="384"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29E7038F"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1E8040AB"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393DB10B"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EBDD36F"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364F409" w14:textId="77777777" w:rsidR="00881C3C" w:rsidRPr="00846D49" w:rsidRDefault="00881C3C" w:rsidP="00AF5836">
            <w:pPr>
              <w:spacing w:after="0" w:line="240" w:lineRule="auto"/>
              <w:rPr>
                <w:rFonts w:ascii="Arial Narrow" w:eastAsia="Times New Roman" w:hAnsi="Arial Narrow"/>
                <w:sz w:val="16"/>
                <w:szCs w:val="16"/>
              </w:rPr>
            </w:pPr>
          </w:p>
        </w:tc>
        <w:tc>
          <w:tcPr>
            <w:tcW w:w="181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2F2C546" w14:textId="77777777" w:rsidR="00881C3C" w:rsidRPr="00846D49" w:rsidRDefault="00881C3C" w:rsidP="00AF5836">
            <w:pPr>
              <w:spacing w:after="0" w:line="240" w:lineRule="auto"/>
              <w:rPr>
                <w:rFonts w:ascii="Arial Narrow" w:eastAsia="Times New Roman" w:hAnsi="Arial Narrow"/>
                <w:sz w:val="16"/>
                <w:szCs w:val="16"/>
              </w:rPr>
            </w:pP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6686FD9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013-1446: Estación Experimental Agraria El Porvenir- San Martin</w:t>
            </w:r>
          </w:p>
        </w:tc>
        <w:tc>
          <w:tcPr>
            <w:tcW w:w="156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3BCABE1" w14:textId="77777777" w:rsidR="00881C3C" w:rsidRPr="00846D49" w:rsidRDefault="00881C3C" w:rsidP="00AF5836">
            <w:pPr>
              <w:spacing w:after="0" w:line="240" w:lineRule="auto"/>
              <w:rPr>
                <w:rFonts w:ascii="Arial Narrow" w:eastAsia="Times New Roman" w:hAnsi="Arial Narrow"/>
                <w:sz w:val="16"/>
                <w:szCs w:val="16"/>
              </w:rPr>
            </w:pPr>
          </w:p>
        </w:tc>
        <w:tc>
          <w:tcPr>
            <w:tcW w:w="121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81ABEE3" w14:textId="77777777" w:rsidR="00881C3C" w:rsidRPr="00846D49" w:rsidRDefault="00881C3C" w:rsidP="00AF5836">
            <w:pPr>
              <w:spacing w:after="0" w:line="240" w:lineRule="auto"/>
              <w:rPr>
                <w:rFonts w:ascii="Arial Narrow" w:eastAsia="Times New Roman" w:hAnsi="Arial Narrow"/>
                <w:sz w:val="16"/>
                <w:szCs w:val="16"/>
              </w:rPr>
            </w:pPr>
          </w:p>
        </w:tc>
        <w:tc>
          <w:tcPr>
            <w:tcW w:w="137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519F6BD" w14:textId="77777777" w:rsidR="00881C3C" w:rsidRPr="00846D49" w:rsidRDefault="00881C3C" w:rsidP="00AF5836">
            <w:pPr>
              <w:spacing w:after="0" w:line="240" w:lineRule="auto"/>
              <w:rPr>
                <w:rFonts w:ascii="Arial Narrow" w:eastAsia="Times New Roman" w:hAnsi="Arial Narrow"/>
                <w:sz w:val="16"/>
                <w:szCs w:val="16"/>
              </w:rPr>
            </w:pPr>
          </w:p>
        </w:tc>
        <w:tc>
          <w:tcPr>
            <w:tcW w:w="160" w:type="dxa"/>
            <w:gridSpan w:val="2"/>
            <w:shd w:val="clear" w:color="auto" w:fill="FFFFFF" w:themeFill="background1"/>
            <w:vAlign w:val="center"/>
            <w:hideMark/>
          </w:tcPr>
          <w:p w14:paraId="201B7632"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41E171CD" w14:textId="77777777" w:rsidTr="00AF5836">
        <w:trPr>
          <w:trHeight w:val="510"/>
        </w:trPr>
        <w:tc>
          <w:tcPr>
            <w:tcW w:w="384"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79AAB300"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24A20927"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7745E446"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F5339BB"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6DA8EC7" w14:textId="77777777" w:rsidR="00881C3C" w:rsidRPr="00846D49" w:rsidRDefault="00881C3C" w:rsidP="00AF5836">
            <w:pPr>
              <w:spacing w:after="0" w:line="240" w:lineRule="auto"/>
              <w:rPr>
                <w:rFonts w:ascii="Arial Narrow" w:eastAsia="Times New Roman" w:hAnsi="Arial Narrow"/>
                <w:sz w:val="16"/>
                <w:szCs w:val="16"/>
              </w:rPr>
            </w:pPr>
          </w:p>
        </w:tc>
        <w:tc>
          <w:tcPr>
            <w:tcW w:w="181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9A44BF3" w14:textId="77777777" w:rsidR="00881C3C" w:rsidRPr="00846D49" w:rsidRDefault="00881C3C" w:rsidP="00AF5836">
            <w:pPr>
              <w:spacing w:after="0" w:line="240" w:lineRule="auto"/>
              <w:rPr>
                <w:rFonts w:ascii="Arial Narrow" w:eastAsia="Times New Roman" w:hAnsi="Arial Narrow"/>
                <w:sz w:val="16"/>
                <w:szCs w:val="16"/>
              </w:rPr>
            </w:pP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3F02731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014-1447: Estación Experimental Agraria Illpa- Puno</w:t>
            </w:r>
          </w:p>
        </w:tc>
        <w:tc>
          <w:tcPr>
            <w:tcW w:w="156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C05C33F" w14:textId="77777777" w:rsidR="00881C3C" w:rsidRPr="00846D49" w:rsidRDefault="00881C3C" w:rsidP="00AF5836">
            <w:pPr>
              <w:spacing w:after="0" w:line="240" w:lineRule="auto"/>
              <w:rPr>
                <w:rFonts w:ascii="Arial Narrow" w:eastAsia="Times New Roman" w:hAnsi="Arial Narrow"/>
                <w:sz w:val="16"/>
                <w:szCs w:val="16"/>
              </w:rPr>
            </w:pPr>
          </w:p>
        </w:tc>
        <w:tc>
          <w:tcPr>
            <w:tcW w:w="121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42020D3" w14:textId="77777777" w:rsidR="00881C3C" w:rsidRPr="00846D49" w:rsidRDefault="00881C3C" w:rsidP="00AF5836">
            <w:pPr>
              <w:spacing w:after="0" w:line="240" w:lineRule="auto"/>
              <w:rPr>
                <w:rFonts w:ascii="Arial Narrow" w:eastAsia="Times New Roman" w:hAnsi="Arial Narrow"/>
                <w:sz w:val="16"/>
                <w:szCs w:val="16"/>
              </w:rPr>
            </w:pPr>
          </w:p>
        </w:tc>
        <w:tc>
          <w:tcPr>
            <w:tcW w:w="137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F982FCB" w14:textId="77777777" w:rsidR="00881C3C" w:rsidRPr="00846D49" w:rsidRDefault="00881C3C" w:rsidP="00AF5836">
            <w:pPr>
              <w:spacing w:after="0" w:line="240" w:lineRule="auto"/>
              <w:rPr>
                <w:rFonts w:ascii="Arial Narrow" w:eastAsia="Times New Roman" w:hAnsi="Arial Narrow"/>
                <w:sz w:val="16"/>
                <w:szCs w:val="16"/>
              </w:rPr>
            </w:pPr>
          </w:p>
        </w:tc>
        <w:tc>
          <w:tcPr>
            <w:tcW w:w="160" w:type="dxa"/>
            <w:gridSpan w:val="2"/>
            <w:shd w:val="clear" w:color="auto" w:fill="FFFFFF" w:themeFill="background1"/>
            <w:vAlign w:val="center"/>
            <w:hideMark/>
          </w:tcPr>
          <w:p w14:paraId="4C6E6339"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04F2EDD6" w14:textId="77777777" w:rsidTr="00AF5836">
        <w:trPr>
          <w:trHeight w:val="510"/>
        </w:trPr>
        <w:tc>
          <w:tcPr>
            <w:tcW w:w="384"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00D79520"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6980A352"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07067190"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D3F480E"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FBBF10B" w14:textId="77777777" w:rsidR="00881C3C" w:rsidRPr="00846D49" w:rsidRDefault="00881C3C" w:rsidP="00AF5836">
            <w:pPr>
              <w:spacing w:after="0" w:line="240" w:lineRule="auto"/>
              <w:rPr>
                <w:rFonts w:ascii="Arial Narrow" w:eastAsia="Times New Roman" w:hAnsi="Arial Narrow"/>
                <w:sz w:val="16"/>
                <w:szCs w:val="16"/>
              </w:rPr>
            </w:pPr>
          </w:p>
        </w:tc>
        <w:tc>
          <w:tcPr>
            <w:tcW w:w="181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81AF011" w14:textId="77777777" w:rsidR="00881C3C" w:rsidRPr="00846D49" w:rsidRDefault="00881C3C" w:rsidP="00AF5836">
            <w:pPr>
              <w:spacing w:after="0" w:line="240" w:lineRule="auto"/>
              <w:rPr>
                <w:rFonts w:ascii="Arial Narrow" w:eastAsia="Times New Roman" w:hAnsi="Arial Narrow"/>
                <w:sz w:val="16"/>
                <w:szCs w:val="16"/>
              </w:rPr>
            </w:pP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0C78711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015-1448: Estación Experimental Agraria Pucallpa- Ucayali</w:t>
            </w:r>
          </w:p>
        </w:tc>
        <w:tc>
          <w:tcPr>
            <w:tcW w:w="156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396C8E3" w14:textId="77777777" w:rsidR="00881C3C" w:rsidRPr="00846D49" w:rsidRDefault="00881C3C" w:rsidP="00AF5836">
            <w:pPr>
              <w:spacing w:after="0" w:line="240" w:lineRule="auto"/>
              <w:rPr>
                <w:rFonts w:ascii="Arial Narrow" w:eastAsia="Times New Roman" w:hAnsi="Arial Narrow"/>
                <w:sz w:val="16"/>
                <w:szCs w:val="16"/>
              </w:rPr>
            </w:pPr>
          </w:p>
        </w:tc>
        <w:tc>
          <w:tcPr>
            <w:tcW w:w="121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AA55DEB" w14:textId="77777777" w:rsidR="00881C3C" w:rsidRPr="00846D49" w:rsidRDefault="00881C3C" w:rsidP="00AF5836">
            <w:pPr>
              <w:spacing w:after="0" w:line="240" w:lineRule="auto"/>
              <w:rPr>
                <w:rFonts w:ascii="Arial Narrow" w:eastAsia="Times New Roman" w:hAnsi="Arial Narrow"/>
                <w:sz w:val="16"/>
                <w:szCs w:val="16"/>
              </w:rPr>
            </w:pPr>
          </w:p>
        </w:tc>
        <w:tc>
          <w:tcPr>
            <w:tcW w:w="137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510D5B7" w14:textId="77777777" w:rsidR="00881C3C" w:rsidRPr="00846D49" w:rsidRDefault="00881C3C" w:rsidP="00AF5836">
            <w:pPr>
              <w:spacing w:after="0" w:line="240" w:lineRule="auto"/>
              <w:rPr>
                <w:rFonts w:ascii="Arial Narrow" w:eastAsia="Times New Roman" w:hAnsi="Arial Narrow"/>
                <w:sz w:val="16"/>
                <w:szCs w:val="16"/>
              </w:rPr>
            </w:pPr>
          </w:p>
        </w:tc>
        <w:tc>
          <w:tcPr>
            <w:tcW w:w="160" w:type="dxa"/>
            <w:gridSpan w:val="2"/>
            <w:shd w:val="clear" w:color="auto" w:fill="FFFFFF" w:themeFill="background1"/>
            <w:vAlign w:val="center"/>
            <w:hideMark/>
          </w:tcPr>
          <w:p w14:paraId="31E3A30D"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06DF2AE6" w14:textId="77777777" w:rsidTr="00AF5836">
        <w:trPr>
          <w:trHeight w:val="510"/>
        </w:trPr>
        <w:tc>
          <w:tcPr>
            <w:tcW w:w="384"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769AE27C"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2EEFB4A5"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3CF1F2B0"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8F80E20"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F42A057" w14:textId="77777777" w:rsidR="00881C3C" w:rsidRPr="00846D49" w:rsidRDefault="00881C3C" w:rsidP="00AF5836">
            <w:pPr>
              <w:spacing w:after="0" w:line="240" w:lineRule="auto"/>
              <w:rPr>
                <w:rFonts w:ascii="Arial Narrow" w:eastAsia="Times New Roman" w:hAnsi="Arial Narrow"/>
                <w:sz w:val="16"/>
                <w:szCs w:val="16"/>
              </w:rPr>
            </w:pPr>
          </w:p>
        </w:tc>
        <w:tc>
          <w:tcPr>
            <w:tcW w:w="181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A0E04B8" w14:textId="77777777" w:rsidR="00881C3C" w:rsidRPr="00846D49" w:rsidRDefault="00881C3C" w:rsidP="00AF5836">
            <w:pPr>
              <w:spacing w:after="0" w:line="240" w:lineRule="auto"/>
              <w:rPr>
                <w:rFonts w:ascii="Arial Narrow" w:eastAsia="Times New Roman" w:hAnsi="Arial Narrow"/>
                <w:sz w:val="16"/>
                <w:szCs w:val="16"/>
              </w:rPr>
            </w:pP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16D7DBE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016-1449: Estación Experimental Agraria Santa Ana – Junín</w:t>
            </w:r>
          </w:p>
        </w:tc>
        <w:tc>
          <w:tcPr>
            <w:tcW w:w="156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21B7385" w14:textId="77777777" w:rsidR="00881C3C" w:rsidRPr="00846D49" w:rsidRDefault="00881C3C" w:rsidP="00AF5836">
            <w:pPr>
              <w:spacing w:after="0" w:line="240" w:lineRule="auto"/>
              <w:rPr>
                <w:rFonts w:ascii="Arial Narrow" w:eastAsia="Times New Roman" w:hAnsi="Arial Narrow"/>
                <w:sz w:val="16"/>
                <w:szCs w:val="16"/>
              </w:rPr>
            </w:pPr>
          </w:p>
        </w:tc>
        <w:tc>
          <w:tcPr>
            <w:tcW w:w="121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22BB047" w14:textId="77777777" w:rsidR="00881C3C" w:rsidRPr="00846D49" w:rsidRDefault="00881C3C" w:rsidP="00AF5836">
            <w:pPr>
              <w:spacing w:after="0" w:line="240" w:lineRule="auto"/>
              <w:rPr>
                <w:rFonts w:ascii="Arial Narrow" w:eastAsia="Times New Roman" w:hAnsi="Arial Narrow"/>
                <w:sz w:val="16"/>
                <w:szCs w:val="16"/>
              </w:rPr>
            </w:pPr>
          </w:p>
        </w:tc>
        <w:tc>
          <w:tcPr>
            <w:tcW w:w="137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1164A1F" w14:textId="77777777" w:rsidR="00881C3C" w:rsidRPr="00846D49" w:rsidRDefault="00881C3C" w:rsidP="00AF5836">
            <w:pPr>
              <w:spacing w:after="0" w:line="240" w:lineRule="auto"/>
              <w:rPr>
                <w:rFonts w:ascii="Arial Narrow" w:eastAsia="Times New Roman" w:hAnsi="Arial Narrow"/>
                <w:sz w:val="16"/>
                <w:szCs w:val="16"/>
              </w:rPr>
            </w:pPr>
          </w:p>
        </w:tc>
        <w:tc>
          <w:tcPr>
            <w:tcW w:w="160" w:type="dxa"/>
            <w:gridSpan w:val="2"/>
            <w:shd w:val="clear" w:color="auto" w:fill="FFFFFF" w:themeFill="background1"/>
            <w:vAlign w:val="center"/>
            <w:hideMark/>
          </w:tcPr>
          <w:p w14:paraId="4F262ED3"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36864AF4" w14:textId="77777777" w:rsidTr="00AF5836">
        <w:trPr>
          <w:trHeight w:val="765"/>
        </w:trPr>
        <w:tc>
          <w:tcPr>
            <w:tcW w:w="384"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3A7D7B1E"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7AE90543"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587BD399"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17182F4"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AB99379" w14:textId="77777777" w:rsidR="00881C3C" w:rsidRPr="00846D49" w:rsidRDefault="00881C3C" w:rsidP="00AF5836">
            <w:pPr>
              <w:spacing w:after="0" w:line="240" w:lineRule="auto"/>
              <w:rPr>
                <w:rFonts w:ascii="Arial Narrow" w:eastAsia="Times New Roman" w:hAnsi="Arial Narrow"/>
                <w:sz w:val="16"/>
                <w:szCs w:val="16"/>
              </w:rPr>
            </w:pPr>
          </w:p>
        </w:tc>
        <w:tc>
          <w:tcPr>
            <w:tcW w:w="181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C5B51B6" w14:textId="77777777" w:rsidR="00881C3C" w:rsidRPr="00846D49" w:rsidRDefault="00881C3C" w:rsidP="00AF5836">
            <w:pPr>
              <w:spacing w:after="0" w:line="240" w:lineRule="auto"/>
              <w:rPr>
                <w:rFonts w:ascii="Arial Narrow" w:eastAsia="Times New Roman" w:hAnsi="Arial Narrow"/>
                <w:sz w:val="16"/>
                <w:szCs w:val="16"/>
              </w:rPr>
            </w:pP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365A9B4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017-1450: Estación Experimental Agraria Vista Florida - Lambayeque</w:t>
            </w:r>
          </w:p>
        </w:tc>
        <w:tc>
          <w:tcPr>
            <w:tcW w:w="156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D036BF9" w14:textId="77777777" w:rsidR="00881C3C" w:rsidRPr="00846D49" w:rsidRDefault="00881C3C" w:rsidP="00AF5836">
            <w:pPr>
              <w:spacing w:after="0" w:line="240" w:lineRule="auto"/>
              <w:rPr>
                <w:rFonts w:ascii="Arial Narrow" w:eastAsia="Times New Roman" w:hAnsi="Arial Narrow"/>
                <w:sz w:val="16"/>
                <w:szCs w:val="16"/>
              </w:rPr>
            </w:pPr>
          </w:p>
        </w:tc>
        <w:tc>
          <w:tcPr>
            <w:tcW w:w="121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7521B5B" w14:textId="77777777" w:rsidR="00881C3C" w:rsidRPr="00846D49" w:rsidRDefault="00881C3C" w:rsidP="00AF5836">
            <w:pPr>
              <w:spacing w:after="0" w:line="240" w:lineRule="auto"/>
              <w:rPr>
                <w:rFonts w:ascii="Arial Narrow" w:eastAsia="Times New Roman" w:hAnsi="Arial Narrow"/>
                <w:sz w:val="16"/>
                <w:szCs w:val="16"/>
              </w:rPr>
            </w:pPr>
          </w:p>
        </w:tc>
        <w:tc>
          <w:tcPr>
            <w:tcW w:w="137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3F03B1D" w14:textId="77777777" w:rsidR="00881C3C" w:rsidRPr="00846D49" w:rsidRDefault="00881C3C" w:rsidP="00AF5836">
            <w:pPr>
              <w:spacing w:after="0" w:line="240" w:lineRule="auto"/>
              <w:rPr>
                <w:rFonts w:ascii="Arial Narrow" w:eastAsia="Times New Roman" w:hAnsi="Arial Narrow"/>
                <w:sz w:val="16"/>
                <w:szCs w:val="16"/>
              </w:rPr>
            </w:pPr>
          </w:p>
        </w:tc>
        <w:tc>
          <w:tcPr>
            <w:tcW w:w="160" w:type="dxa"/>
            <w:gridSpan w:val="2"/>
            <w:shd w:val="clear" w:color="auto" w:fill="FFFFFF" w:themeFill="background1"/>
            <w:vAlign w:val="center"/>
            <w:hideMark/>
          </w:tcPr>
          <w:p w14:paraId="7218A531"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557C4E9C" w14:textId="77777777" w:rsidTr="00AF5836">
        <w:trPr>
          <w:trHeight w:val="510"/>
        </w:trPr>
        <w:tc>
          <w:tcPr>
            <w:tcW w:w="384"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58F639BF"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79123CAF"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4BAEFFC8"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3977F64"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5FEC9BD" w14:textId="77777777" w:rsidR="00881C3C" w:rsidRPr="00846D49" w:rsidRDefault="00881C3C" w:rsidP="00AF5836">
            <w:pPr>
              <w:spacing w:after="0" w:line="240" w:lineRule="auto"/>
              <w:rPr>
                <w:rFonts w:ascii="Arial Narrow" w:eastAsia="Times New Roman" w:hAnsi="Arial Narrow"/>
                <w:sz w:val="16"/>
                <w:szCs w:val="16"/>
              </w:rPr>
            </w:pPr>
          </w:p>
        </w:tc>
        <w:tc>
          <w:tcPr>
            <w:tcW w:w="181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A8E2A29" w14:textId="77777777" w:rsidR="00881C3C" w:rsidRPr="00846D49" w:rsidRDefault="00881C3C" w:rsidP="00AF5836">
            <w:pPr>
              <w:spacing w:after="0" w:line="240" w:lineRule="auto"/>
              <w:rPr>
                <w:rFonts w:ascii="Arial Narrow" w:eastAsia="Times New Roman" w:hAnsi="Arial Narrow"/>
                <w:sz w:val="16"/>
                <w:szCs w:val="16"/>
              </w:rPr>
            </w:pP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0AF419D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018-1451: Estación Experimental Agraria Andenes - Cuzco</w:t>
            </w:r>
          </w:p>
        </w:tc>
        <w:tc>
          <w:tcPr>
            <w:tcW w:w="156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1906117" w14:textId="77777777" w:rsidR="00881C3C" w:rsidRPr="00846D49" w:rsidRDefault="00881C3C" w:rsidP="00AF5836">
            <w:pPr>
              <w:spacing w:after="0" w:line="240" w:lineRule="auto"/>
              <w:rPr>
                <w:rFonts w:ascii="Arial Narrow" w:eastAsia="Times New Roman" w:hAnsi="Arial Narrow"/>
                <w:sz w:val="16"/>
                <w:szCs w:val="16"/>
              </w:rPr>
            </w:pPr>
          </w:p>
        </w:tc>
        <w:tc>
          <w:tcPr>
            <w:tcW w:w="121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AE97F3B" w14:textId="77777777" w:rsidR="00881C3C" w:rsidRPr="00846D49" w:rsidRDefault="00881C3C" w:rsidP="00AF5836">
            <w:pPr>
              <w:spacing w:after="0" w:line="240" w:lineRule="auto"/>
              <w:rPr>
                <w:rFonts w:ascii="Arial Narrow" w:eastAsia="Times New Roman" w:hAnsi="Arial Narrow"/>
                <w:sz w:val="16"/>
                <w:szCs w:val="16"/>
              </w:rPr>
            </w:pPr>
          </w:p>
        </w:tc>
        <w:tc>
          <w:tcPr>
            <w:tcW w:w="137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AC2C609" w14:textId="77777777" w:rsidR="00881C3C" w:rsidRPr="00846D49" w:rsidRDefault="00881C3C" w:rsidP="00AF5836">
            <w:pPr>
              <w:spacing w:after="0" w:line="240" w:lineRule="auto"/>
              <w:rPr>
                <w:rFonts w:ascii="Arial Narrow" w:eastAsia="Times New Roman" w:hAnsi="Arial Narrow"/>
                <w:sz w:val="16"/>
                <w:szCs w:val="16"/>
              </w:rPr>
            </w:pPr>
          </w:p>
        </w:tc>
        <w:tc>
          <w:tcPr>
            <w:tcW w:w="160" w:type="dxa"/>
            <w:gridSpan w:val="2"/>
            <w:shd w:val="clear" w:color="auto" w:fill="FFFFFF" w:themeFill="background1"/>
            <w:vAlign w:val="center"/>
            <w:hideMark/>
          </w:tcPr>
          <w:p w14:paraId="7D342BAC"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11230BE8" w14:textId="77777777" w:rsidTr="00AF5836">
        <w:trPr>
          <w:trHeight w:val="510"/>
        </w:trPr>
        <w:tc>
          <w:tcPr>
            <w:tcW w:w="384"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1CE08A85"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6D2ECD9B"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3792A37A"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0F965604"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AO005. Realización de estudio tecnológico de la madera mediante técnicas no destructivas en plantaciones forestales a nivel nacional</w:t>
            </w:r>
          </w:p>
        </w:tc>
        <w:tc>
          <w:tcPr>
            <w:tcW w:w="2233"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156E910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Reporte</w:t>
            </w:r>
          </w:p>
        </w:tc>
        <w:tc>
          <w:tcPr>
            <w:tcW w:w="1814"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4DBD73A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Coordinación del Área Forestal del INIA</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780AD8E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001-160: Instituto Nacional de Innovación Agraria</w:t>
            </w:r>
          </w:p>
        </w:tc>
        <w:tc>
          <w:tcPr>
            <w:tcW w:w="156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532F42A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163: Instituto Nacional de Innovación Agraria</w:t>
            </w:r>
          </w:p>
        </w:tc>
        <w:tc>
          <w:tcPr>
            <w:tcW w:w="1218"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571DA1F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26DB66A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49FD2FE4"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4A955954" w14:textId="77777777" w:rsidTr="00AF5836">
        <w:trPr>
          <w:trHeight w:val="510"/>
        </w:trPr>
        <w:tc>
          <w:tcPr>
            <w:tcW w:w="384"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088C811A"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1141704E"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167E1A1C"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EBC595E"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ABD6A01" w14:textId="77777777" w:rsidR="00881C3C" w:rsidRPr="00846D49" w:rsidRDefault="00881C3C" w:rsidP="00AF5836">
            <w:pPr>
              <w:spacing w:after="0" w:line="240" w:lineRule="auto"/>
              <w:rPr>
                <w:rFonts w:ascii="Arial Narrow" w:eastAsia="Times New Roman" w:hAnsi="Arial Narrow"/>
                <w:sz w:val="16"/>
                <w:szCs w:val="16"/>
              </w:rPr>
            </w:pPr>
          </w:p>
        </w:tc>
        <w:tc>
          <w:tcPr>
            <w:tcW w:w="181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F986FC4" w14:textId="77777777" w:rsidR="00881C3C" w:rsidRPr="00846D49" w:rsidRDefault="00881C3C" w:rsidP="00AF5836">
            <w:pPr>
              <w:spacing w:after="0" w:line="240" w:lineRule="auto"/>
              <w:rPr>
                <w:rFonts w:ascii="Arial Narrow" w:eastAsia="Times New Roman" w:hAnsi="Arial Narrow"/>
                <w:sz w:val="16"/>
                <w:szCs w:val="16"/>
              </w:rPr>
            </w:pP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4604B66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013-1446: Estación Experimental Agraria El Porvenir- San Martin</w:t>
            </w:r>
          </w:p>
        </w:tc>
        <w:tc>
          <w:tcPr>
            <w:tcW w:w="156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DD56A99" w14:textId="77777777" w:rsidR="00881C3C" w:rsidRPr="00846D49" w:rsidRDefault="00881C3C" w:rsidP="00AF5836">
            <w:pPr>
              <w:spacing w:after="0" w:line="240" w:lineRule="auto"/>
              <w:rPr>
                <w:rFonts w:ascii="Arial Narrow" w:eastAsia="Times New Roman" w:hAnsi="Arial Narrow"/>
                <w:sz w:val="16"/>
                <w:szCs w:val="16"/>
              </w:rPr>
            </w:pPr>
          </w:p>
        </w:tc>
        <w:tc>
          <w:tcPr>
            <w:tcW w:w="121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F6754BC" w14:textId="77777777" w:rsidR="00881C3C" w:rsidRPr="00846D49" w:rsidRDefault="00881C3C" w:rsidP="00AF5836">
            <w:pPr>
              <w:spacing w:after="0" w:line="240" w:lineRule="auto"/>
              <w:rPr>
                <w:rFonts w:ascii="Arial Narrow" w:eastAsia="Times New Roman" w:hAnsi="Arial Narrow"/>
                <w:sz w:val="16"/>
                <w:szCs w:val="16"/>
              </w:rPr>
            </w:pPr>
          </w:p>
        </w:tc>
        <w:tc>
          <w:tcPr>
            <w:tcW w:w="137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A2A9260" w14:textId="77777777" w:rsidR="00881C3C" w:rsidRPr="00846D49" w:rsidRDefault="00881C3C" w:rsidP="00AF5836">
            <w:pPr>
              <w:spacing w:after="0" w:line="240" w:lineRule="auto"/>
              <w:rPr>
                <w:rFonts w:ascii="Arial Narrow" w:eastAsia="Times New Roman" w:hAnsi="Arial Narrow"/>
                <w:sz w:val="16"/>
                <w:szCs w:val="16"/>
              </w:rPr>
            </w:pPr>
          </w:p>
        </w:tc>
        <w:tc>
          <w:tcPr>
            <w:tcW w:w="160" w:type="dxa"/>
            <w:gridSpan w:val="2"/>
            <w:shd w:val="clear" w:color="auto" w:fill="FFFFFF" w:themeFill="background1"/>
            <w:vAlign w:val="center"/>
            <w:hideMark/>
          </w:tcPr>
          <w:p w14:paraId="4E3E6429"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2F260308" w14:textId="77777777" w:rsidTr="00AF5836">
        <w:trPr>
          <w:trHeight w:val="510"/>
        </w:trPr>
        <w:tc>
          <w:tcPr>
            <w:tcW w:w="384"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5E90BC96"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719FB4DC"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16EA4B1E"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55086A8"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D4A9CD1" w14:textId="77777777" w:rsidR="00881C3C" w:rsidRPr="00846D49" w:rsidRDefault="00881C3C" w:rsidP="00AF5836">
            <w:pPr>
              <w:spacing w:after="0" w:line="240" w:lineRule="auto"/>
              <w:rPr>
                <w:rFonts w:ascii="Arial Narrow" w:eastAsia="Times New Roman" w:hAnsi="Arial Narrow"/>
                <w:sz w:val="16"/>
                <w:szCs w:val="16"/>
              </w:rPr>
            </w:pPr>
          </w:p>
        </w:tc>
        <w:tc>
          <w:tcPr>
            <w:tcW w:w="181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26EEA32" w14:textId="77777777" w:rsidR="00881C3C" w:rsidRPr="00846D49" w:rsidRDefault="00881C3C" w:rsidP="00AF5836">
            <w:pPr>
              <w:spacing w:after="0" w:line="240" w:lineRule="auto"/>
              <w:rPr>
                <w:rFonts w:ascii="Arial Narrow" w:eastAsia="Times New Roman" w:hAnsi="Arial Narrow"/>
                <w:sz w:val="16"/>
                <w:szCs w:val="16"/>
              </w:rPr>
            </w:pP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541B6C2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014-1447: Estación Experimental Agraria Illpa- Puno</w:t>
            </w:r>
          </w:p>
        </w:tc>
        <w:tc>
          <w:tcPr>
            <w:tcW w:w="156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B104ABD" w14:textId="77777777" w:rsidR="00881C3C" w:rsidRPr="00846D49" w:rsidRDefault="00881C3C" w:rsidP="00AF5836">
            <w:pPr>
              <w:spacing w:after="0" w:line="240" w:lineRule="auto"/>
              <w:rPr>
                <w:rFonts w:ascii="Arial Narrow" w:eastAsia="Times New Roman" w:hAnsi="Arial Narrow"/>
                <w:sz w:val="16"/>
                <w:szCs w:val="16"/>
              </w:rPr>
            </w:pPr>
          </w:p>
        </w:tc>
        <w:tc>
          <w:tcPr>
            <w:tcW w:w="121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B100E32" w14:textId="77777777" w:rsidR="00881C3C" w:rsidRPr="00846D49" w:rsidRDefault="00881C3C" w:rsidP="00AF5836">
            <w:pPr>
              <w:spacing w:after="0" w:line="240" w:lineRule="auto"/>
              <w:rPr>
                <w:rFonts w:ascii="Arial Narrow" w:eastAsia="Times New Roman" w:hAnsi="Arial Narrow"/>
                <w:sz w:val="16"/>
                <w:szCs w:val="16"/>
              </w:rPr>
            </w:pPr>
          </w:p>
        </w:tc>
        <w:tc>
          <w:tcPr>
            <w:tcW w:w="137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1FD96B1" w14:textId="77777777" w:rsidR="00881C3C" w:rsidRPr="00846D49" w:rsidRDefault="00881C3C" w:rsidP="00AF5836">
            <w:pPr>
              <w:spacing w:after="0" w:line="240" w:lineRule="auto"/>
              <w:rPr>
                <w:rFonts w:ascii="Arial Narrow" w:eastAsia="Times New Roman" w:hAnsi="Arial Narrow"/>
                <w:sz w:val="16"/>
                <w:szCs w:val="16"/>
              </w:rPr>
            </w:pPr>
          </w:p>
        </w:tc>
        <w:tc>
          <w:tcPr>
            <w:tcW w:w="160" w:type="dxa"/>
            <w:gridSpan w:val="2"/>
            <w:shd w:val="clear" w:color="auto" w:fill="FFFFFF" w:themeFill="background1"/>
            <w:vAlign w:val="center"/>
            <w:hideMark/>
          </w:tcPr>
          <w:p w14:paraId="688AC7F5"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65EFCA0E" w14:textId="77777777" w:rsidTr="00AF5836">
        <w:trPr>
          <w:trHeight w:val="510"/>
        </w:trPr>
        <w:tc>
          <w:tcPr>
            <w:tcW w:w="384"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604F1B80"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55DEF649"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659B20DD"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B48B008"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E95CC0A" w14:textId="77777777" w:rsidR="00881C3C" w:rsidRPr="00846D49" w:rsidRDefault="00881C3C" w:rsidP="00AF5836">
            <w:pPr>
              <w:spacing w:after="0" w:line="240" w:lineRule="auto"/>
              <w:rPr>
                <w:rFonts w:ascii="Arial Narrow" w:eastAsia="Times New Roman" w:hAnsi="Arial Narrow"/>
                <w:sz w:val="16"/>
                <w:szCs w:val="16"/>
              </w:rPr>
            </w:pPr>
          </w:p>
        </w:tc>
        <w:tc>
          <w:tcPr>
            <w:tcW w:w="181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3C1911F" w14:textId="77777777" w:rsidR="00881C3C" w:rsidRPr="00846D49" w:rsidRDefault="00881C3C" w:rsidP="00AF5836">
            <w:pPr>
              <w:spacing w:after="0" w:line="240" w:lineRule="auto"/>
              <w:rPr>
                <w:rFonts w:ascii="Arial Narrow" w:eastAsia="Times New Roman" w:hAnsi="Arial Narrow"/>
                <w:sz w:val="16"/>
                <w:szCs w:val="16"/>
              </w:rPr>
            </w:pP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43E924E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015-1448: Estación Experimental Agraria Pucallpa- Ucayali</w:t>
            </w:r>
          </w:p>
        </w:tc>
        <w:tc>
          <w:tcPr>
            <w:tcW w:w="156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239BF88" w14:textId="77777777" w:rsidR="00881C3C" w:rsidRPr="00846D49" w:rsidRDefault="00881C3C" w:rsidP="00AF5836">
            <w:pPr>
              <w:spacing w:after="0" w:line="240" w:lineRule="auto"/>
              <w:rPr>
                <w:rFonts w:ascii="Arial Narrow" w:eastAsia="Times New Roman" w:hAnsi="Arial Narrow"/>
                <w:sz w:val="16"/>
                <w:szCs w:val="16"/>
              </w:rPr>
            </w:pPr>
          </w:p>
        </w:tc>
        <w:tc>
          <w:tcPr>
            <w:tcW w:w="121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C75A9C8" w14:textId="77777777" w:rsidR="00881C3C" w:rsidRPr="00846D49" w:rsidRDefault="00881C3C" w:rsidP="00AF5836">
            <w:pPr>
              <w:spacing w:after="0" w:line="240" w:lineRule="auto"/>
              <w:rPr>
                <w:rFonts w:ascii="Arial Narrow" w:eastAsia="Times New Roman" w:hAnsi="Arial Narrow"/>
                <w:sz w:val="16"/>
                <w:szCs w:val="16"/>
              </w:rPr>
            </w:pPr>
          </w:p>
        </w:tc>
        <w:tc>
          <w:tcPr>
            <w:tcW w:w="137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8FF54A5" w14:textId="77777777" w:rsidR="00881C3C" w:rsidRPr="00846D49" w:rsidRDefault="00881C3C" w:rsidP="00AF5836">
            <w:pPr>
              <w:spacing w:after="0" w:line="240" w:lineRule="auto"/>
              <w:rPr>
                <w:rFonts w:ascii="Arial Narrow" w:eastAsia="Times New Roman" w:hAnsi="Arial Narrow"/>
                <w:sz w:val="16"/>
                <w:szCs w:val="16"/>
              </w:rPr>
            </w:pPr>
          </w:p>
        </w:tc>
        <w:tc>
          <w:tcPr>
            <w:tcW w:w="160" w:type="dxa"/>
            <w:gridSpan w:val="2"/>
            <w:shd w:val="clear" w:color="auto" w:fill="FFFFFF" w:themeFill="background1"/>
            <w:vAlign w:val="center"/>
            <w:hideMark/>
          </w:tcPr>
          <w:p w14:paraId="665F0280"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3928D4DC" w14:textId="77777777" w:rsidTr="00AF5836">
        <w:trPr>
          <w:trHeight w:val="510"/>
        </w:trPr>
        <w:tc>
          <w:tcPr>
            <w:tcW w:w="384"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3B2767F5"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71CBF8EB"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3919442F"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9599FCF"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E548EC9" w14:textId="77777777" w:rsidR="00881C3C" w:rsidRPr="00846D49" w:rsidRDefault="00881C3C" w:rsidP="00AF5836">
            <w:pPr>
              <w:spacing w:after="0" w:line="240" w:lineRule="auto"/>
              <w:rPr>
                <w:rFonts w:ascii="Arial Narrow" w:eastAsia="Times New Roman" w:hAnsi="Arial Narrow"/>
                <w:sz w:val="16"/>
                <w:szCs w:val="16"/>
              </w:rPr>
            </w:pPr>
          </w:p>
        </w:tc>
        <w:tc>
          <w:tcPr>
            <w:tcW w:w="181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CF66C8B" w14:textId="77777777" w:rsidR="00881C3C" w:rsidRPr="00846D49" w:rsidRDefault="00881C3C" w:rsidP="00AF5836">
            <w:pPr>
              <w:spacing w:after="0" w:line="240" w:lineRule="auto"/>
              <w:rPr>
                <w:rFonts w:ascii="Arial Narrow" w:eastAsia="Times New Roman" w:hAnsi="Arial Narrow"/>
                <w:sz w:val="16"/>
                <w:szCs w:val="16"/>
              </w:rPr>
            </w:pP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04AEDAD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016-1449: Estación Experimental Agraria Santa Ana – Junín</w:t>
            </w:r>
          </w:p>
        </w:tc>
        <w:tc>
          <w:tcPr>
            <w:tcW w:w="156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30DB1AF" w14:textId="77777777" w:rsidR="00881C3C" w:rsidRPr="00846D49" w:rsidRDefault="00881C3C" w:rsidP="00AF5836">
            <w:pPr>
              <w:spacing w:after="0" w:line="240" w:lineRule="auto"/>
              <w:rPr>
                <w:rFonts w:ascii="Arial Narrow" w:eastAsia="Times New Roman" w:hAnsi="Arial Narrow"/>
                <w:sz w:val="16"/>
                <w:szCs w:val="16"/>
              </w:rPr>
            </w:pPr>
          </w:p>
        </w:tc>
        <w:tc>
          <w:tcPr>
            <w:tcW w:w="121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F666907" w14:textId="77777777" w:rsidR="00881C3C" w:rsidRPr="00846D49" w:rsidRDefault="00881C3C" w:rsidP="00AF5836">
            <w:pPr>
              <w:spacing w:after="0" w:line="240" w:lineRule="auto"/>
              <w:rPr>
                <w:rFonts w:ascii="Arial Narrow" w:eastAsia="Times New Roman" w:hAnsi="Arial Narrow"/>
                <w:sz w:val="16"/>
                <w:szCs w:val="16"/>
              </w:rPr>
            </w:pPr>
          </w:p>
        </w:tc>
        <w:tc>
          <w:tcPr>
            <w:tcW w:w="137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6D8254F" w14:textId="77777777" w:rsidR="00881C3C" w:rsidRPr="00846D49" w:rsidRDefault="00881C3C" w:rsidP="00AF5836">
            <w:pPr>
              <w:spacing w:after="0" w:line="240" w:lineRule="auto"/>
              <w:rPr>
                <w:rFonts w:ascii="Arial Narrow" w:eastAsia="Times New Roman" w:hAnsi="Arial Narrow"/>
                <w:sz w:val="16"/>
                <w:szCs w:val="16"/>
              </w:rPr>
            </w:pPr>
          </w:p>
        </w:tc>
        <w:tc>
          <w:tcPr>
            <w:tcW w:w="160" w:type="dxa"/>
            <w:gridSpan w:val="2"/>
            <w:shd w:val="clear" w:color="auto" w:fill="FFFFFF" w:themeFill="background1"/>
            <w:vAlign w:val="center"/>
            <w:hideMark/>
          </w:tcPr>
          <w:p w14:paraId="7D1C1399"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4D8E6B35" w14:textId="77777777" w:rsidTr="00AF5836">
        <w:trPr>
          <w:trHeight w:val="765"/>
        </w:trPr>
        <w:tc>
          <w:tcPr>
            <w:tcW w:w="384"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6E7AD48F"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79396D94"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2B2DBBE1"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48D7CFC"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30085A6" w14:textId="77777777" w:rsidR="00881C3C" w:rsidRPr="00846D49" w:rsidRDefault="00881C3C" w:rsidP="00AF5836">
            <w:pPr>
              <w:spacing w:after="0" w:line="240" w:lineRule="auto"/>
              <w:rPr>
                <w:rFonts w:ascii="Arial Narrow" w:eastAsia="Times New Roman" w:hAnsi="Arial Narrow"/>
                <w:sz w:val="16"/>
                <w:szCs w:val="16"/>
              </w:rPr>
            </w:pPr>
          </w:p>
        </w:tc>
        <w:tc>
          <w:tcPr>
            <w:tcW w:w="181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613EA54" w14:textId="77777777" w:rsidR="00881C3C" w:rsidRPr="00846D49" w:rsidRDefault="00881C3C" w:rsidP="00AF5836">
            <w:pPr>
              <w:spacing w:after="0" w:line="240" w:lineRule="auto"/>
              <w:rPr>
                <w:rFonts w:ascii="Arial Narrow" w:eastAsia="Times New Roman" w:hAnsi="Arial Narrow"/>
                <w:sz w:val="16"/>
                <w:szCs w:val="16"/>
              </w:rPr>
            </w:pP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151154C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017-1450: Estación Experimental Agraria Vista Florida - Lambayeque</w:t>
            </w:r>
          </w:p>
        </w:tc>
        <w:tc>
          <w:tcPr>
            <w:tcW w:w="156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4ED71D0" w14:textId="77777777" w:rsidR="00881C3C" w:rsidRPr="00846D49" w:rsidRDefault="00881C3C" w:rsidP="00AF5836">
            <w:pPr>
              <w:spacing w:after="0" w:line="240" w:lineRule="auto"/>
              <w:rPr>
                <w:rFonts w:ascii="Arial Narrow" w:eastAsia="Times New Roman" w:hAnsi="Arial Narrow"/>
                <w:sz w:val="16"/>
                <w:szCs w:val="16"/>
              </w:rPr>
            </w:pPr>
          </w:p>
        </w:tc>
        <w:tc>
          <w:tcPr>
            <w:tcW w:w="121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4342283" w14:textId="77777777" w:rsidR="00881C3C" w:rsidRPr="00846D49" w:rsidRDefault="00881C3C" w:rsidP="00AF5836">
            <w:pPr>
              <w:spacing w:after="0" w:line="240" w:lineRule="auto"/>
              <w:rPr>
                <w:rFonts w:ascii="Arial Narrow" w:eastAsia="Times New Roman" w:hAnsi="Arial Narrow"/>
                <w:sz w:val="16"/>
                <w:szCs w:val="16"/>
              </w:rPr>
            </w:pPr>
          </w:p>
        </w:tc>
        <w:tc>
          <w:tcPr>
            <w:tcW w:w="137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F1CCF49" w14:textId="77777777" w:rsidR="00881C3C" w:rsidRPr="00846D49" w:rsidRDefault="00881C3C" w:rsidP="00AF5836">
            <w:pPr>
              <w:spacing w:after="0" w:line="240" w:lineRule="auto"/>
              <w:rPr>
                <w:rFonts w:ascii="Arial Narrow" w:eastAsia="Times New Roman" w:hAnsi="Arial Narrow"/>
                <w:sz w:val="16"/>
                <w:szCs w:val="16"/>
              </w:rPr>
            </w:pPr>
          </w:p>
        </w:tc>
        <w:tc>
          <w:tcPr>
            <w:tcW w:w="160" w:type="dxa"/>
            <w:gridSpan w:val="2"/>
            <w:shd w:val="clear" w:color="auto" w:fill="FFFFFF" w:themeFill="background1"/>
            <w:vAlign w:val="center"/>
            <w:hideMark/>
          </w:tcPr>
          <w:p w14:paraId="1F48F93D"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2D986A8B" w14:textId="77777777" w:rsidTr="00AF5836">
        <w:trPr>
          <w:trHeight w:val="510"/>
        </w:trPr>
        <w:tc>
          <w:tcPr>
            <w:tcW w:w="384"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6BB3A61F"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65F8D33E"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15CCE597"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0909331"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56BA79F" w14:textId="77777777" w:rsidR="00881C3C" w:rsidRPr="00846D49" w:rsidRDefault="00881C3C" w:rsidP="00AF5836">
            <w:pPr>
              <w:spacing w:after="0" w:line="240" w:lineRule="auto"/>
              <w:rPr>
                <w:rFonts w:ascii="Arial Narrow" w:eastAsia="Times New Roman" w:hAnsi="Arial Narrow"/>
                <w:sz w:val="16"/>
                <w:szCs w:val="16"/>
              </w:rPr>
            </w:pPr>
          </w:p>
        </w:tc>
        <w:tc>
          <w:tcPr>
            <w:tcW w:w="181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E0A8376" w14:textId="77777777" w:rsidR="00881C3C" w:rsidRPr="00846D49" w:rsidRDefault="00881C3C" w:rsidP="00AF5836">
            <w:pPr>
              <w:spacing w:after="0" w:line="240" w:lineRule="auto"/>
              <w:rPr>
                <w:rFonts w:ascii="Arial Narrow" w:eastAsia="Times New Roman" w:hAnsi="Arial Narrow"/>
                <w:sz w:val="16"/>
                <w:szCs w:val="16"/>
              </w:rPr>
            </w:pP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346213B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018-1451: Estación Experimental Agraria Andenes - Cuzco</w:t>
            </w:r>
          </w:p>
        </w:tc>
        <w:tc>
          <w:tcPr>
            <w:tcW w:w="156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19B491E" w14:textId="77777777" w:rsidR="00881C3C" w:rsidRPr="00846D49" w:rsidRDefault="00881C3C" w:rsidP="00AF5836">
            <w:pPr>
              <w:spacing w:after="0" w:line="240" w:lineRule="auto"/>
              <w:rPr>
                <w:rFonts w:ascii="Arial Narrow" w:eastAsia="Times New Roman" w:hAnsi="Arial Narrow"/>
                <w:sz w:val="16"/>
                <w:szCs w:val="16"/>
              </w:rPr>
            </w:pPr>
          </w:p>
        </w:tc>
        <w:tc>
          <w:tcPr>
            <w:tcW w:w="121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D50E47C" w14:textId="77777777" w:rsidR="00881C3C" w:rsidRPr="00846D49" w:rsidRDefault="00881C3C" w:rsidP="00AF5836">
            <w:pPr>
              <w:spacing w:after="0" w:line="240" w:lineRule="auto"/>
              <w:rPr>
                <w:rFonts w:ascii="Arial Narrow" w:eastAsia="Times New Roman" w:hAnsi="Arial Narrow"/>
                <w:sz w:val="16"/>
                <w:szCs w:val="16"/>
              </w:rPr>
            </w:pPr>
          </w:p>
        </w:tc>
        <w:tc>
          <w:tcPr>
            <w:tcW w:w="137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35A21B2" w14:textId="77777777" w:rsidR="00881C3C" w:rsidRPr="00846D49" w:rsidRDefault="00881C3C" w:rsidP="00AF5836">
            <w:pPr>
              <w:spacing w:after="0" w:line="240" w:lineRule="auto"/>
              <w:rPr>
                <w:rFonts w:ascii="Arial Narrow" w:eastAsia="Times New Roman" w:hAnsi="Arial Narrow"/>
                <w:sz w:val="16"/>
                <w:szCs w:val="16"/>
              </w:rPr>
            </w:pPr>
          </w:p>
        </w:tc>
        <w:tc>
          <w:tcPr>
            <w:tcW w:w="160" w:type="dxa"/>
            <w:gridSpan w:val="2"/>
            <w:shd w:val="clear" w:color="auto" w:fill="FFFFFF" w:themeFill="background1"/>
            <w:vAlign w:val="center"/>
            <w:hideMark/>
          </w:tcPr>
          <w:p w14:paraId="03CB696F"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064BA305" w14:textId="77777777" w:rsidTr="00AF5836">
        <w:trPr>
          <w:trHeight w:val="1020"/>
        </w:trPr>
        <w:tc>
          <w:tcPr>
            <w:tcW w:w="384" w:type="dxa"/>
            <w:vMerge w:val="restart"/>
            <w:tcBorders>
              <w:top w:val="nil"/>
              <w:left w:val="single" w:sz="4" w:space="0" w:color="auto"/>
              <w:right w:val="single" w:sz="4" w:space="0" w:color="auto"/>
            </w:tcBorders>
            <w:shd w:val="clear" w:color="auto" w:fill="FFFFFF" w:themeFill="background1"/>
            <w:vAlign w:val="center"/>
            <w:hideMark/>
          </w:tcPr>
          <w:p w14:paraId="4B3C183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38</w:t>
            </w:r>
          </w:p>
        </w:tc>
        <w:tc>
          <w:tcPr>
            <w:tcW w:w="1693" w:type="dxa"/>
            <w:vMerge w:val="restart"/>
            <w:tcBorders>
              <w:top w:val="nil"/>
              <w:left w:val="single" w:sz="4" w:space="0" w:color="auto"/>
              <w:right w:val="single" w:sz="4" w:space="0" w:color="auto"/>
            </w:tcBorders>
            <w:shd w:val="clear" w:color="auto" w:fill="FFFFFF" w:themeFill="background1"/>
            <w:vAlign w:val="center"/>
            <w:hideMark/>
          </w:tcPr>
          <w:p w14:paraId="5B798E8E"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L2.4 Incrementar la generación de investigaciones e innovación, así como el desarrollo y transferencia de tecnologías en materia forestal y de fauna silvestre, y sus microorganismos asociados, incluyendo sus recursos genéticos.</w:t>
            </w:r>
          </w:p>
        </w:tc>
        <w:tc>
          <w:tcPr>
            <w:tcW w:w="1800" w:type="dxa"/>
            <w:vMerge w:val="restart"/>
            <w:tcBorders>
              <w:top w:val="nil"/>
              <w:left w:val="single" w:sz="4" w:space="0" w:color="auto"/>
              <w:right w:val="single" w:sz="4" w:space="0" w:color="auto"/>
            </w:tcBorders>
            <w:shd w:val="clear" w:color="auto" w:fill="FFFFFF" w:themeFill="background1"/>
            <w:vAlign w:val="center"/>
            <w:hideMark/>
          </w:tcPr>
          <w:p w14:paraId="615ECD9A"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S2.4.5 Otorgamiento de derechos relacionados con investigación científica y acceso a los recursos genéticos y sus derivados en materia forestal y de fauna silvestre de forma oportuna a usuarios forestales y de fauna silvestre</w:t>
            </w: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0D027BFE"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hAnsi="Arial Narrow"/>
                <w:sz w:val="16"/>
                <w:szCs w:val="16"/>
              </w:rPr>
              <w:t>AO001. Otorgamiento de autorización de investigación científica de flora y/o fauna silvestre y microorganismo asociados fuera de ANP.</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335B7A1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Autorización</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5767B4B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xml:space="preserve">- Dirección de Gestión Sostenible del Patrimonio Forestal y </w:t>
            </w:r>
          </w:p>
          <w:p w14:paraId="408DEEE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Dirección de Gestión Sostenible del Patrimonio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20132D3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1ABAAF9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06EFCD9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38AECC2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24DA099F" w14:textId="77777777" w:rsidR="00881C3C" w:rsidRPr="00846D49" w:rsidRDefault="00881C3C" w:rsidP="00AF5836">
            <w:pPr>
              <w:spacing w:after="0" w:line="240" w:lineRule="auto"/>
              <w:rPr>
                <w:rFonts w:ascii="Times New Roman" w:eastAsia="Times New Roman" w:hAnsi="Times New Roman" w:cs="Times New Roman"/>
                <w:sz w:val="20"/>
                <w:szCs w:val="20"/>
              </w:rPr>
            </w:pPr>
          </w:p>
          <w:p w14:paraId="5BAFE75C"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2224EF4E" w14:textId="77777777" w:rsidTr="00AF5836">
        <w:trPr>
          <w:trHeight w:val="945"/>
        </w:trPr>
        <w:tc>
          <w:tcPr>
            <w:tcW w:w="384" w:type="dxa"/>
            <w:vMerge/>
            <w:tcBorders>
              <w:left w:val="single" w:sz="4" w:space="0" w:color="auto"/>
              <w:right w:val="single" w:sz="4" w:space="0" w:color="auto"/>
            </w:tcBorders>
            <w:shd w:val="clear" w:color="auto" w:fill="FFFFFF" w:themeFill="background1"/>
            <w:vAlign w:val="center"/>
            <w:hideMark/>
          </w:tcPr>
          <w:p w14:paraId="1EB9AE31"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left w:val="single" w:sz="4" w:space="0" w:color="auto"/>
              <w:right w:val="single" w:sz="4" w:space="0" w:color="auto"/>
            </w:tcBorders>
            <w:shd w:val="clear" w:color="auto" w:fill="FFFFFF" w:themeFill="background1"/>
            <w:vAlign w:val="center"/>
            <w:hideMark/>
          </w:tcPr>
          <w:p w14:paraId="545C4A31"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left w:val="single" w:sz="4" w:space="0" w:color="auto"/>
              <w:right w:val="single" w:sz="4" w:space="0" w:color="auto"/>
            </w:tcBorders>
            <w:shd w:val="clear" w:color="auto" w:fill="FFFFFF" w:themeFill="background1"/>
            <w:vAlign w:val="center"/>
            <w:hideMark/>
          </w:tcPr>
          <w:p w14:paraId="73972312"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0829719D"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hAnsi="Arial Narrow"/>
                <w:sz w:val="16"/>
                <w:szCs w:val="16"/>
              </w:rPr>
              <w:t>AO002. Otorgamiento de permisos de exportación de fauna y flora silvestre NO CITES con fines científicos; y, permisos de exportación, importación y reexportación de fauna y flora silvestre CITES con fines científicos.</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38F8421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Certificado</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270D479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xml:space="preserve">- Dirección de Gestión Sostenible del Patrimonio Forestal y </w:t>
            </w:r>
          </w:p>
          <w:p w14:paraId="437FA19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Dirección de Gestión Sostenible del Patrimonio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12676A9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246FD31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71018C0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636568E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4476D5C3" w14:textId="77777777" w:rsidR="00881C3C" w:rsidRPr="00846D49" w:rsidRDefault="00881C3C" w:rsidP="00AF5836">
            <w:pPr>
              <w:spacing w:after="0" w:line="240" w:lineRule="auto"/>
              <w:rPr>
                <w:rFonts w:ascii="Times New Roman" w:eastAsia="Times New Roman" w:hAnsi="Times New Roman" w:cs="Times New Roman"/>
                <w:sz w:val="20"/>
                <w:szCs w:val="20"/>
              </w:rPr>
            </w:pPr>
          </w:p>
          <w:p w14:paraId="1DF3843E"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6A0B8594" w14:textId="77777777" w:rsidTr="00AF5836">
        <w:trPr>
          <w:trHeight w:val="945"/>
        </w:trPr>
        <w:tc>
          <w:tcPr>
            <w:tcW w:w="384" w:type="dxa"/>
            <w:vMerge/>
            <w:tcBorders>
              <w:left w:val="single" w:sz="4" w:space="0" w:color="auto"/>
              <w:right w:val="single" w:sz="4" w:space="0" w:color="auto"/>
            </w:tcBorders>
            <w:shd w:val="clear" w:color="auto" w:fill="FFFFFF" w:themeFill="background1"/>
            <w:vAlign w:val="center"/>
          </w:tcPr>
          <w:p w14:paraId="7DFD4053"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left w:val="single" w:sz="4" w:space="0" w:color="auto"/>
              <w:right w:val="single" w:sz="4" w:space="0" w:color="auto"/>
            </w:tcBorders>
            <w:shd w:val="clear" w:color="auto" w:fill="FFFFFF" w:themeFill="background1"/>
            <w:vAlign w:val="center"/>
          </w:tcPr>
          <w:p w14:paraId="7799AACF"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left w:val="single" w:sz="4" w:space="0" w:color="auto"/>
              <w:right w:val="single" w:sz="4" w:space="0" w:color="auto"/>
            </w:tcBorders>
            <w:shd w:val="clear" w:color="auto" w:fill="FFFFFF" w:themeFill="background1"/>
            <w:vAlign w:val="center"/>
          </w:tcPr>
          <w:p w14:paraId="5D3AAE60"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tcPr>
          <w:p w14:paraId="2F40775C"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hAnsi="Arial Narrow"/>
                <w:sz w:val="16"/>
                <w:szCs w:val="16"/>
              </w:rPr>
              <w:t>AO003. Autorización, registro, seguimiento e implementación de instituciones científicas nacionales depositarias de material biológico.</w:t>
            </w:r>
          </w:p>
        </w:tc>
        <w:tc>
          <w:tcPr>
            <w:tcW w:w="2233" w:type="dxa"/>
            <w:tcBorders>
              <w:top w:val="nil"/>
              <w:left w:val="nil"/>
              <w:bottom w:val="single" w:sz="4" w:space="0" w:color="auto"/>
              <w:right w:val="single" w:sz="4" w:space="0" w:color="auto"/>
            </w:tcBorders>
            <w:shd w:val="clear" w:color="auto" w:fill="FFFFFF" w:themeFill="background1"/>
            <w:vAlign w:val="center"/>
          </w:tcPr>
          <w:p w14:paraId="572FE02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Arial Narrow" w:hAnsi="Arial Narrow" w:cs="Arial Narrow"/>
                <w:sz w:val="16"/>
                <w:szCs w:val="16"/>
              </w:rPr>
              <w:t>Reporte</w:t>
            </w:r>
          </w:p>
        </w:tc>
        <w:tc>
          <w:tcPr>
            <w:tcW w:w="1814" w:type="dxa"/>
            <w:tcBorders>
              <w:top w:val="nil"/>
              <w:left w:val="nil"/>
              <w:bottom w:val="single" w:sz="4" w:space="0" w:color="auto"/>
              <w:right w:val="single" w:sz="4" w:space="0" w:color="auto"/>
            </w:tcBorders>
            <w:shd w:val="clear" w:color="auto" w:fill="FFFFFF" w:themeFill="background1"/>
            <w:vAlign w:val="center"/>
          </w:tcPr>
          <w:p w14:paraId="62B65EC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xml:space="preserve">- Dirección de Gestión Sostenible del Patrimonio Forestal y </w:t>
            </w:r>
          </w:p>
          <w:p w14:paraId="095EDDC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Dirección de Gestión Sostenible del Patrimonio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176DBFF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tcPr>
          <w:p w14:paraId="686AC09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tcPr>
          <w:p w14:paraId="626C75B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tcPr>
          <w:p w14:paraId="75EBF0A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tcPr>
          <w:p w14:paraId="777BF8FA"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3B83B355" w14:textId="77777777" w:rsidTr="00AF5836">
        <w:trPr>
          <w:trHeight w:val="945"/>
        </w:trPr>
        <w:tc>
          <w:tcPr>
            <w:tcW w:w="384" w:type="dxa"/>
            <w:vMerge/>
            <w:tcBorders>
              <w:left w:val="single" w:sz="4" w:space="0" w:color="auto"/>
              <w:bottom w:val="single" w:sz="4" w:space="0" w:color="000000"/>
              <w:right w:val="single" w:sz="4" w:space="0" w:color="auto"/>
            </w:tcBorders>
            <w:shd w:val="clear" w:color="auto" w:fill="FFFFFF" w:themeFill="background1"/>
            <w:vAlign w:val="center"/>
          </w:tcPr>
          <w:p w14:paraId="57107B38"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left w:val="single" w:sz="4" w:space="0" w:color="auto"/>
              <w:bottom w:val="single" w:sz="4" w:space="0" w:color="000000"/>
              <w:right w:val="single" w:sz="4" w:space="0" w:color="auto"/>
            </w:tcBorders>
            <w:shd w:val="clear" w:color="auto" w:fill="FFFFFF" w:themeFill="background1"/>
            <w:vAlign w:val="center"/>
          </w:tcPr>
          <w:p w14:paraId="2E54083C"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left w:val="single" w:sz="4" w:space="0" w:color="auto"/>
              <w:bottom w:val="single" w:sz="4" w:space="0" w:color="000000"/>
              <w:right w:val="single" w:sz="4" w:space="0" w:color="auto"/>
            </w:tcBorders>
            <w:shd w:val="clear" w:color="auto" w:fill="FFFFFF" w:themeFill="background1"/>
            <w:vAlign w:val="center"/>
          </w:tcPr>
          <w:p w14:paraId="68CCA70F"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tcPr>
          <w:p w14:paraId="0E31CC4F"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hAnsi="Arial Narrow"/>
                <w:sz w:val="16"/>
                <w:szCs w:val="16"/>
              </w:rPr>
              <w:t>AO004. Otorgamiento de autorizaciones y contratos de acceso a los recursos genéticos y sus derivados de flora y/o fauna silvestre sin y con fines comerciales</w:t>
            </w:r>
          </w:p>
        </w:tc>
        <w:tc>
          <w:tcPr>
            <w:tcW w:w="2233" w:type="dxa"/>
            <w:tcBorders>
              <w:top w:val="nil"/>
              <w:left w:val="nil"/>
              <w:bottom w:val="single" w:sz="4" w:space="0" w:color="auto"/>
              <w:right w:val="single" w:sz="4" w:space="0" w:color="auto"/>
            </w:tcBorders>
            <w:shd w:val="clear" w:color="auto" w:fill="FFFFFF" w:themeFill="background1"/>
            <w:vAlign w:val="center"/>
          </w:tcPr>
          <w:p w14:paraId="2777AEB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Autorización</w:t>
            </w:r>
          </w:p>
        </w:tc>
        <w:tc>
          <w:tcPr>
            <w:tcW w:w="1814" w:type="dxa"/>
            <w:tcBorders>
              <w:top w:val="nil"/>
              <w:left w:val="nil"/>
              <w:bottom w:val="single" w:sz="4" w:space="0" w:color="auto"/>
              <w:right w:val="single" w:sz="4" w:space="0" w:color="auto"/>
            </w:tcBorders>
            <w:shd w:val="clear" w:color="auto" w:fill="FFFFFF" w:themeFill="background1"/>
            <w:vAlign w:val="center"/>
          </w:tcPr>
          <w:p w14:paraId="35768F4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Gestión Sostenible del Patrimonio Forestal y Dirección de Gestión Sostenible del Patrimonio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206366B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tcPr>
          <w:p w14:paraId="2069599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tcPr>
          <w:p w14:paraId="049EFC8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tcPr>
          <w:p w14:paraId="6249A3F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tcPr>
          <w:p w14:paraId="3E256440"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0A852E1F" w14:textId="77777777" w:rsidTr="00AF5836">
        <w:trPr>
          <w:trHeight w:val="510"/>
        </w:trPr>
        <w:tc>
          <w:tcPr>
            <w:tcW w:w="384"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468393A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39</w:t>
            </w:r>
          </w:p>
        </w:tc>
        <w:tc>
          <w:tcPr>
            <w:tcW w:w="1693"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40C53ED8"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L2.5 Lograr el aprovechamiento de nuevas especies forestales y de fauna silvestre con potencial para el mercado nacional e internacional.</w:t>
            </w:r>
          </w:p>
        </w:tc>
        <w:tc>
          <w:tcPr>
            <w:tcW w:w="180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6A08CCFE"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2.5.1 Provisión de material genético de calidad de forma fiable para los usuarios forestales.</w:t>
            </w:r>
          </w:p>
        </w:tc>
        <w:tc>
          <w:tcPr>
            <w:tcW w:w="2143"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6EAD1505"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AO001. Selección genética de fuentes semilleras garantizadas de las especies forestales de prioridad nacional</w:t>
            </w:r>
          </w:p>
        </w:tc>
        <w:tc>
          <w:tcPr>
            <w:tcW w:w="2233"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010C5E7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Reporte</w:t>
            </w:r>
          </w:p>
        </w:tc>
        <w:tc>
          <w:tcPr>
            <w:tcW w:w="1814"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529112F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Coordinación del Área Forestal del INIA</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22913A6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001-160: Instituto Nacional de Innovación Agraria</w:t>
            </w:r>
          </w:p>
        </w:tc>
        <w:tc>
          <w:tcPr>
            <w:tcW w:w="156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3879D72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163: Instituto Nacional de Innovación Agraria</w:t>
            </w:r>
          </w:p>
        </w:tc>
        <w:tc>
          <w:tcPr>
            <w:tcW w:w="1218"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354008A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7498B07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20B63E6A"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20F4CF1B" w14:textId="77777777" w:rsidTr="00AF5836">
        <w:trPr>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24704EC"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994AB45"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77B7898"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6CE22BB"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D172CA9" w14:textId="77777777" w:rsidR="00881C3C" w:rsidRPr="00846D49" w:rsidRDefault="00881C3C" w:rsidP="00AF5836">
            <w:pPr>
              <w:spacing w:after="0" w:line="240" w:lineRule="auto"/>
              <w:rPr>
                <w:rFonts w:ascii="Arial Narrow" w:eastAsia="Times New Roman" w:hAnsi="Arial Narrow"/>
                <w:sz w:val="16"/>
                <w:szCs w:val="16"/>
              </w:rPr>
            </w:pPr>
          </w:p>
        </w:tc>
        <w:tc>
          <w:tcPr>
            <w:tcW w:w="181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D19293D" w14:textId="77777777" w:rsidR="00881C3C" w:rsidRPr="00846D49" w:rsidRDefault="00881C3C" w:rsidP="00AF5836">
            <w:pPr>
              <w:spacing w:after="0" w:line="240" w:lineRule="auto"/>
              <w:rPr>
                <w:rFonts w:ascii="Arial Narrow" w:eastAsia="Times New Roman" w:hAnsi="Arial Narrow"/>
                <w:sz w:val="16"/>
                <w:szCs w:val="16"/>
              </w:rPr>
            </w:pP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194FB47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013-1446: Estación Experimental Agraria El Porvenir- San Martin</w:t>
            </w:r>
          </w:p>
        </w:tc>
        <w:tc>
          <w:tcPr>
            <w:tcW w:w="156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1CB38FC" w14:textId="77777777" w:rsidR="00881C3C" w:rsidRPr="00846D49" w:rsidRDefault="00881C3C" w:rsidP="00AF5836">
            <w:pPr>
              <w:spacing w:after="0" w:line="240" w:lineRule="auto"/>
              <w:rPr>
                <w:rFonts w:ascii="Arial Narrow" w:eastAsia="Times New Roman" w:hAnsi="Arial Narrow"/>
                <w:sz w:val="16"/>
                <w:szCs w:val="16"/>
              </w:rPr>
            </w:pPr>
          </w:p>
        </w:tc>
        <w:tc>
          <w:tcPr>
            <w:tcW w:w="121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C55E9C7" w14:textId="77777777" w:rsidR="00881C3C" w:rsidRPr="00846D49" w:rsidRDefault="00881C3C" w:rsidP="00AF5836">
            <w:pPr>
              <w:spacing w:after="0" w:line="240" w:lineRule="auto"/>
              <w:rPr>
                <w:rFonts w:ascii="Arial Narrow" w:eastAsia="Times New Roman" w:hAnsi="Arial Narrow"/>
                <w:sz w:val="16"/>
                <w:szCs w:val="16"/>
              </w:rPr>
            </w:pPr>
          </w:p>
        </w:tc>
        <w:tc>
          <w:tcPr>
            <w:tcW w:w="137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6F61CAE" w14:textId="77777777" w:rsidR="00881C3C" w:rsidRPr="00846D49" w:rsidRDefault="00881C3C" w:rsidP="00AF5836">
            <w:pPr>
              <w:spacing w:after="0" w:line="240" w:lineRule="auto"/>
              <w:rPr>
                <w:rFonts w:ascii="Arial Narrow" w:eastAsia="Times New Roman" w:hAnsi="Arial Narrow"/>
                <w:sz w:val="16"/>
                <w:szCs w:val="16"/>
              </w:rPr>
            </w:pPr>
          </w:p>
        </w:tc>
        <w:tc>
          <w:tcPr>
            <w:tcW w:w="160" w:type="dxa"/>
            <w:gridSpan w:val="2"/>
            <w:shd w:val="clear" w:color="auto" w:fill="FFFFFF" w:themeFill="background1"/>
            <w:vAlign w:val="center"/>
            <w:hideMark/>
          </w:tcPr>
          <w:p w14:paraId="3AB7318D"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478653B9" w14:textId="77777777" w:rsidTr="00AF5836">
        <w:trPr>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ABA1353"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F845328"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27716FA"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DB92898"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3573CC4" w14:textId="77777777" w:rsidR="00881C3C" w:rsidRPr="00846D49" w:rsidRDefault="00881C3C" w:rsidP="00AF5836">
            <w:pPr>
              <w:spacing w:after="0" w:line="240" w:lineRule="auto"/>
              <w:rPr>
                <w:rFonts w:ascii="Arial Narrow" w:eastAsia="Times New Roman" w:hAnsi="Arial Narrow"/>
                <w:sz w:val="16"/>
                <w:szCs w:val="16"/>
              </w:rPr>
            </w:pPr>
          </w:p>
        </w:tc>
        <w:tc>
          <w:tcPr>
            <w:tcW w:w="181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4C2F443" w14:textId="77777777" w:rsidR="00881C3C" w:rsidRPr="00846D49" w:rsidRDefault="00881C3C" w:rsidP="00AF5836">
            <w:pPr>
              <w:spacing w:after="0" w:line="240" w:lineRule="auto"/>
              <w:rPr>
                <w:rFonts w:ascii="Arial Narrow" w:eastAsia="Times New Roman" w:hAnsi="Arial Narrow"/>
                <w:sz w:val="16"/>
                <w:szCs w:val="16"/>
              </w:rPr>
            </w:pP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462165A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014-1447: Estación Experimental Agraria Illpa- Puno</w:t>
            </w:r>
          </w:p>
        </w:tc>
        <w:tc>
          <w:tcPr>
            <w:tcW w:w="156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A44FA01" w14:textId="77777777" w:rsidR="00881C3C" w:rsidRPr="00846D49" w:rsidRDefault="00881C3C" w:rsidP="00AF5836">
            <w:pPr>
              <w:spacing w:after="0" w:line="240" w:lineRule="auto"/>
              <w:rPr>
                <w:rFonts w:ascii="Arial Narrow" w:eastAsia="Times New Roman" w:hAnsi="Arial Narrow"/>
                <w:sz w:val="16"/>
                <w:szCs w:val="16"/>
              </w:rPr>
            </w:pPr>
          </w:p>
        </w:tc>
        <w:tc>
          <w:tcPr>
            <w:tcW w:w="121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337BF66" w14:textId="77777777" w:rsidR="00881C3C" w:rsidRPr="00846D49" w:rsidRDefault="00881C3C" w:rsidP="00AF5836">
            <w:pPr>
              <w:spacing w:after="0" w:line="240" w:lineRule="auto"/>
              <w:rPr>
                <w:rFonts w:ascii="Arial Narrow" w:eastAsia="Times New Roman" w:hAnsi="Arial Narrow"/>
                <w:sz w:val="16"/>
                <w:szCs w:val="16"/>
              </w:rPr>
            </w:pPr>
          </w:p>
        </w:tc>
        <w:tc>
          <w:tcPr>
            <w:tcW w:w="137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CB66706" w14:textId="77777777" w:rsidR="00881C3C" w:rsidRPr="00846D49" w:rsidRDefault="00881C3C" w:rsidP="00AF5836">
            <w:pPr>
              <w:spacing w:after="0" w:line="240" w:lineRule="auto"/>
              <w:rPr>
                <w:rFonts w:ascii="Arial Narrow" w:eastAsia="Times New Roman" w:hAnsi="Arial Narrow"/>
                <w:sz w:val="16"/>
                <w:szCs w:val="16"/>
              </w:rPr>
            </w:pPr>
          </w:p>
        </w:tc>
        <w:tc>
          <w:tcPr>
            <w:tcW w:w="160" w:type="dxa"/>
            <w:gridSpan w:val="2"/>
            <w:shd w:val="clear" w:color="auto" w:fill="FFFFFF" w:themeFill="background1"/>
            <w:vAlign w:val="center"/>
            <w:hideMark/>
          </w:tcPr>
          <w:p w14:paraId="5C9B2925"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70B2EEF8" w14:textId="77777777" w:rsidTr="00AF5836">
        <w:trPr>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746AD89"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D7C25A1"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EBC688E"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D03EBF8"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A8087E0" w14:textId="77777777" w:rsidR="00881C3C" w:rsidRPr="00846D49" w:rsidRDefault="00881C3C" w:rsidP="00AF5836">
            <w:pPr>
              <w:spacing w:after="0" w:line="240" w:lineRule="auto"/>
              <w:rPr>
                <w:rFonts w:ascii="Arial Narrow" w:eastAsia="Times New Roman" w:hAnsi="Arial Narrow"/>
                <w:sz w:val="16"/>
                <w:szCs w:val="16"/>
              </w:rPr>
            </w:pPr>
          </w:p>
        </w:tc>
        <w:tc>
          <w:tcPr>
            <w:tcW w:w="181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FE95CBD" w14:textId="77777777" w:rsidR="00881C3C" w:rsidRPr="00846D49" w:rsidRDefault="00881C3C" w:rsidP="00AF5836">
            <w:pPr>
              <w:spacing w:after="0" w:line="240" w:lineRule="auto"/>
              <w:rPr>
                <w:rFonts w:ascii="Arial Narrow" w:eastAsia="Times New Roman" w:hAnsi="Arial Narrow"/>
                <w:sz w:val="16"/>
                <w:szCs w:val="16"/>
              </w:rPr>
            </w:pP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4697999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015-1448: Estación Experimental Agraria Pucallpa- Ucayali</w:t>
            </w:r>
          </w:p>
        </w:tc>
        <w:tc>
          <w:tcPr>
            <w:tcW w:w="156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0ED563B" w14:textId="77777777" w:rsidR="00881C3C" w:rsidRPr="00846D49" w:rsidRDefault="00881C3C" w:rsidP="00AF5836">
            <w:pPr>
              <w:spacing w:after="0" w:line="240" w:lineRule="auto"/>
              <w:rPr>
                <w:rFonts w:ascii="Arial Narrow" w:eastAsia="Times New Roman" w:hAnsi="Arial Narrow"/>
                <w:sz w:val="16"/>
                <w:szCs w:val="16"/>
              </w:rPr>
            </w:pPr>
          </w:p>
        </w:tc>
        <w:tc>
          <w:tcPr>
            <w:tcW w:w="121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C11FDBB" w14:textId="77777777" w:rsidR="00881C3C" w:rsidRPr="00846D49" w:rsidRDefault="00881C3C" w:rsidP="00AF5836">
            <w:pPr>
              <w:spacing w:after="0" w:line="240" w:lineRule="auto"/>
              <w:rPr>
                <w:rFonts w:ascii="Arial Narrow" w:eastAsia="Times New Roman" w:hAnsi="Arial Narrow"/>
                <w:sz w:val="16"/>
                <w:szCs w:val="16"/>
              </w:rPr>
            </w:pPr>
          </w:p>
        </w:tc>
        <w:tc>
          <w:tcPr>
            <w:tcW w:w="137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93FE925" w14:textId="77777777" w:rsidR="00881C3C" w:rsidRPr="00846D49" w:rsidRDefault="00881C3C" w:rsidP="00AF5836">
            <w:pPr>
              <w:spacing w:after="0" w:line="240" w:lineRule="auto"/>
              <w:rPr>
                <w:rFonts w:ascii="Arial Narrow" w:eastAsia="Times New Roman" w:hAnsi="Arial Narrow"/>
                <w:sz w:val="16"/>
                <w:szCs w:val="16"/>
              </w:rPr>
            </w:pPr>
          </w:p>
        </w:tc>
        <w:tc>
          <w:tcPr>
            <w:tcW w:w="160" w:type="dxa"/>
            <w:gridSpan w:val="2"/>
            <w:shd w:val="clear" w:color="auto" w:fill="FFFFFF" w:themeFill="background1"/>
            <w:vAlign w:val="center"/>
            <w:hideMark/>
          </w:tcPr>
          <w:p w14:paraId="73DFEDCE"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1EC89CC2" w14:textId="77777777" w:rsidTr="00AF5836">
        <w:trPr>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B86991B"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5AC61C6"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12FAEEA"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D561382"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A374D87" w14:textId="77777777" w:rsidR="00881C3C" w:rsidRPr="00846D49" w:rsidRDefault="00881C3C" w:rsidP="00AF5836">
            <w:pPr>
              <w:spacing w:after="0" w:line="240" w:lineRule="auto"/>
              <w:rPr>
                <w:rFonts w:ascii="Arial Narrow" w:eastAsia="Times New Roman" w:hAnsi="Arial Narrow"/>
                <w:sz w:val="16"/>
                <w:szCs w:val="16"/>
              </w:rPr>
            </w:pPr>
          </w:p>
        </w:tc>
        <w:tc>
          <w:tcPr>
            <w:tcW w:w="181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6A5EBB7" w14:textId="77777777" w:rsidR="00881C3C" w:rsidRPr="00846D49" w:rsidRDefault="00881C3C" w:rsidP="00AF5836">
            <w:pPr>
              <w:spacing w:after="0" w:line="240" w:lineRule="auto"/>
              <w:rPr>
                <w:rFonts w:ascii="Arial Narrow" w:eastAsia="Times New Roman" w:hAnsi="Arial Narrow"/>
                <w:sz w:val="16"/>
                <w:szCs w:val="16"/>
              </w:rPr>
            </w:pP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3650A3B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016-1449: Estación Experimental Agraria Santa Ana – Junín</w:t>
            </w:r>
          </w:p>
        </w:tc>
        <w:tc>
          <w:tcPr>
            <w:tcW w:w="156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EA6AF2D" w14:textId="77777777" w:rsidR="00881C3C" w:rsidRPr="00846D49" w:rsidRDefault="00881C3C" w:rsidP="00AF5836">
            <w:pPr>
              <w:spacing w:after="0" w:line="240" w:lineRule="auto"/>
              <w:rPr>
                <w:rFonts w:ascii="Arial Narrow" w:eastAsia="Times New Roman" w:hAnsi="Arial Narrow"/>
                <w:sz w:val="16"/>
                <w:szCs w:val="16"/>
              </w:rPr>
            </w:pPr>
          </w:p>
        </w:tc>
        <w:tc>
          <w:tcPr>
            <w:tcW w:w="121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B9B348D" w14:textId="77777777" w:rsidR="00881C3C" w:rsidRPr="00846D49" w:rsidRDefault="00881C3C" w:rsidP="00AF5836">
            <w:pPr>
              <w:spacing w:after="0" w:line="240" w:lineRule="auto"/>
              <w:rPr>
                <w:rFonts w:ascii="Arial Narrow" w:eastAsia="Times New Roman" w:hAnsi="Arial Narrow"/>
                <w:sz w:val="16"/>
                <w:szCs w:val="16"/>
              </w:rPr>
            </w:pPr>
          </w:p>
        </w:tc>
        <w:tc>
          <w:tcPr>
            <w:tcW w:w="137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C3BF1F2" w14:textId="77777777" w:rsidR="00881C3C" w:rsidRPr="00846D49" w:rsidRDefault="00881C3C" w:rsidP="00AF5836">
            <w:pPr>
              <w:spacing w:after="0" w:line="240" w:lineRule="auto"/>
              <w:rPr>
                <w:rFonts w:ascii="Arial Narrow" w:eastAsia="Times New Roman" w:hAnsi="Arial Narrow"/>
                <w:sz w:val="16"/>
                <w:szCs w:val="16"/>
              </w:rPr>
            </w:pPr>
          </w:p>
        </w:tc>
        <w:tc>
          <w:tcPr>
            <w:tcW w:w="160" w:type="dxa"/>
            <w:gridSpan w:val="2"/>
            <w:shd w:val="clear" w:color="auto" w:fill="FFFFFF" w:themeFill="background1"/>
            <w:vAlign w:val="center"/>
            <w:hideMark/>
          </w:tcPr>
          <w:p w14:paraId="62BD99F8"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7F51E26F" w14:textId="77777777" w:rsidTr="00AF5836">
        <w:trPr>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13273E7"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7952BF3"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0C3EA9D"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70C3AA3"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B32627F" w14:textId="77777777" w:rsidR="00881C3C" w:rsidRPr="00846D49" w:rsidRDefault="00881C3C" w:rsidP="00AF5836">
            <w:pPr>
              <w:spacing w:after="0" w:line="240" w:lineRule="auto"/>
              <w:rPr>
                <w:rFonts w:ascii="Arial Narrow" w:eastAsia="Times New Roman" w:hAnsi="Arial Narrow"/>
                <w:sz w:val="16"/>
                <w:szCs w:val="16"/>
              </w:rPr>
            </w:pPr>
          </w:p>
        </w:tc>
        <w:tc>
          <w:tcPr>
            <w:tcW w:w="181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6F96F77" w14:textId="77777777" w:rsidR="00881C3C" w:rsidRPr="00846D49" w:rsidRDefault="00881C3C" w:rsidP="00AF5836">
            <w:pPr>
              <w:spacing w:after="0" w:line="240" w:lineRule="auto"/>
              <w:rPr>
                <w:rFonts w:ascii="Arial Narrow" w:eastAsia="Times New Roman" w:hAnsi="Arial Narrow"/>
                <w:sz w:val="16"/>
                <w:szCs w:val="16"/>
              </w:rPr>
            </w:pP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7A35ED1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017-1450: Estación Experimental Agraria Vista Florida - Lambayeque</w:t>
            </w:r>
          </w:p>
        </w:tc>
        <w:tc>
          <w:tcPr>
            <w:tcW w:w="156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1D5626D" w14:textId="77777777" w:rsidR="00881C3C" w:rsidRPr="00846D49" w:rsidRDefault="00881C3C" w:rsidP="00AF5836">
            <w:pPr>
              <w:spacing w:after="0" w:line="240" w:lineRule="auto"/>
              <w:rPr>
                <w:rFonts w:ascii="Arial Narrow" w:eastAsia="Times New Roman" w:hAnsi="Arial Narrow"/>
                <w:sz w:val="16"/>
                <w:szCs w:val="16"/>
              </w:rPr>
            </w:pPr>
          </w:p>
        </w:tc>
        <w:tc>
          <w:tcPr>
            <w:tcW w:w="121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22DA5C5" w14:textId="77777777" w:rsidR="00881C3C" w:rsidRPr="00846D49" w:rsidRDefault="00881C3C" w:rsidP="00AF5836">
            <w:pPr>
              <w:spacing w:after="0" w:line="240" w:lineRule="auto"/>
              <w:rPr>
                <w:rFonts w:ascii="Arial Narrow" w:eastAsia="Times New Roman" w:hAnsi="Arial Narrow"/>
                <w:sz w:val="16"/>
                <w:szCs w:val="16"/>
              </w:rPr>
            </w:pPr>
          </w:p>
        </w:tc>
        <w:tc>
          <w:tcPr>
            <w:tcW w:w="137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C3D5CEB" w14:textId="77777777" w:rsidR="00881C3C" w:rsidRPr="00846D49" w:rsidRDefault="00881C3C" w:rsidP="00AF5836">
            <w:pPr>
              <w:spacing w:after="0" w:line="240" w:lineRule="auto"/>
              <w:rPr>
                <w:rFonts w:ascii="Arial Narrow" w:eastAsia="Times New Roman" w:hAnsi="Arial Narrow"/>
                <w:sz w:val="16"/>
                <w:szCs w:val="16"/>
              </w:rPr>
            </w:pPr>
          </w:p>
        </w:tc>
        <w:tc>
          <w:tcPr>
            <w:tcW w:w="160" w:type="dxa"/>
            <w:gridSpan w:val="2"/>
            <w:shd w:val="clear" w:color="auto" w:fill="FFFFFF" w:themeFill="background1"/>
            <w:vAlign w:val="center"/>
            <w:hideMark/>
          </w:tcPr>
          <w:p w14:paraId="392298EF"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477BF2D2" w14:textId="77777777" w:rsidTr="00AF5836">
        <w:trPr>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368C5D2"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579C8C0"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C176830"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904A544"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2452BDF" w14:textId="77777777" w:rsidR="00881C3C" w:rsidRPr="00846D49" w:rsidRDefault="00881C3C" w:rsidP="00AF5836">
            <w:pPr>
              <w:spacing w:after="0" w:line="240" w:lineRule="auto"/>
              <w:rPr>
                <w:rFonts w:ascii="Arial Narrow" w:eastAsia="Times New Roman" w:hAnsi="Arial Narrow"/>
                <w:sz w:val="16"/>
                <w:szCs w:val="16"/>
              </w:rPr>
            </w:pPr>
          </w:p>
        </w:tc>
        <w:tc>
          <w:tcPr>
            <w:tcW w:w="181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2B0E1C0" w14:textId="77777777" w:rsidR="00881C3C" w:rsidRPr="00846D49" w:rsidRDefault="00881C3C" w:rsidP="00AF5836">
            <w:pPr>
              <w:spacing w:after="0" w:line="240" w:lineRule="auto"/>
              <w:rPr>
                <w:rFonts w:ascii="Arial Narrow" w:eastAsia="Times New Roman" w:hAnsi="Arial Narrow"/>
                <w:sz w:val="16"/>
                <w:szCs w:val="16"/>
              </w:rPr>
            </w:pP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06D1777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018-1451: Estación Experimental Agraria Andenes - Cuzco</w:t>
            </w:r>
          </w:p>
        </w:tc>
        <w:tc>
          <w:tcPr>
            <w:tcW w:w="156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CE1D040" w14:textId="77777777" w:rsidR="00881C3C" w:rsidRPr="00846D49" w:rsidRDefault="00881C3C" w:rsidP="00AF5836">
            <w:pPr>
              <w:spacing w:after="0" w:line="240" w:lineRule="auto"/>
              <w:rPr>
                <w:rFonts w:ascii="Arial Narrow" w:eastAsia="Times New Roman" w:hAnsi="Arial Narrow"/>
                <w:sz w:val="16"/>
                <w:szCs w:val="16"/>
              </w:rPr>
            </w:pPr>
          </w:p>
        </w:tc>
        <w:tc>
          <w:tcPr>
            <w:tcW w:w="121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DFEF8EB" w14:textId="77777777" w:rsidR="00881C3C" w:rsidRPr="00846D49" w:rsidRDefault="00881C3C" w:rsidP="00AF5836">
            <w:pPr>
              <w:spacing w:after="0" w:line="240" w:lineRule="auto"/>
              <w:rPr>
                <w:rFonts w:ascii="Arial Narrow" w:eastAsia="Times New Roman" w:hAnsi="Arial Narrow"/>
                <w:sz w:val="16"/>
                <w:szCs w:val="16"/>
              </w:rPr>
            </w:pPr>
          </w:p>
        </w:tc>
        <w:tc>
          <w:tcPr>
            <w:tcW w:w="137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9A04F1F" w14:textId="77777777" w:rsidR="00881C3C" w:rsidRPr="00846D49" w:rsidRDefault="00881C3C" w:rsidP="00AF5836">
            <w:pPr>
              <w:spacing w:after="0" w:line="240" w:lineRule="auto"/>
              <w:rPr>
                <w:rFonts w:ascii="Arial Narrow" w:eastAsia="Times New Roman" w:hAnsi="Arial Narrow"/>
                <w:sz w:val="16"/>
                <w:szCs w:val="16"/>
              </w:rPr>
            </w:pPr>
          </w:p>
        </w:tc>
        <w:tc>
          <w:tcPr>
            <w:tcW w:w="160" w:type="dxa"/>
            <w:gridSpan w:val="2"/>
            <w:shd w:val="clear" w:color="auto" w:fill="FFFFFF" w:themeFill="background1"/>
            <w:vAlign w:val="center"/>
            <w:hideMark/>
          </w:tcPr>
          <w:p w14:paraId="46084CED"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79ED8DAF" w14:textId="77777777" w:rsidTr="00AF5836">
        <w:trPr>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91F2A24"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BA0AEB3"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E5ADA2D"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1E70BF53"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AO002. Habilitación de herbarios forestales para servicios de identificación taxonómica de especies forestales.</w:t>
            </w:r>
          </w:p>
        </w:tc>
        <w:tc>
          <w:tcPr>
            <w:tcW w:w="2233"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666897D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Reporte</w:t>
            </w:r>
          </w:p>
        </w:tc>
        <w:tc>
          <w:tcPr>
            <w:tcW w:w="1814"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5596C26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Coordinación del Área Forestal del INIA</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13AD412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015-1448: Estación Experimental Agraria Pucallpa- Ucayali</w:t>
            </w:r>
          </w:p>
        </w:tc>
        <w:tc>
          <w:tcPr>
            <w:tcW w:w="156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78A8B36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163: Instituto Nacional de Innovación Agraria</w:t>
            </w:r>
          </w:p>
        </w:tc>
        <w:tc>
          <w:tcPr>
            <w:tcW w:w="1218"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7AF67E0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5D4CF09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6BB78170"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22682728" w14:textId="77777777" w:rsidTr="00AF5836">
        <w:trPr>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9617746"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B298648"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311476F"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8EE278B"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36FDE82" w14:textId="77777777" w:rsidR="00881C3C" w:rsidRPr="00846D49" w:rsidRDefault="00881C3C" w:rsidP="00AF5836">
            <w:pPr>
              <w:spacing w:after="0" w:line="240" w:lineRule="auto"/>
              <w:rPr>
                <w:rFonts w:ascii="Arial Narrow" w:eastAsia="Times New Roman" w:hAnsi="Arial Narrow"/>
                <w:sz w:val="16"/>
                <w:szCs w:val="16"/>
              </w:rPr>
            </w:pPr>
          </w:p>
        </w:tc>
        <w:tc>
          <w:tcPr>
            <w:tcW w:w="181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5B7E0FE" w14:textId="77777777" w:rsidR="00881C3C" w:rsidRPr="00846D49" w:rsidRDefault="00881C3C" w:rsidP="00AF5836">
            <w:pPr>
              <w:spacing w:after="0" w:line="240" w:lineRule="auto"/>
              <w:rPr>
                <w:rFonts w:ascii="Arial Narrow" w:eastAsia="Times New Roman" w:hAnsi="Arial Narrow"/>
                <w:sz w:val="16"/>
                <w:szCs w:val="16"/>
              </w:rPr>
            </w:pP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3A3F39D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016-1449: Estación Experimental Agraria Santa Ana – Junín</w:t>
            </w:r>
          </w:p>
        </w:tc>
        <w:tc>
          <w:tcPr>
            <w:tcW w:w="156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69B4846" w14:textId="77777777" w:rsidR="00881C3C" w:rsidRPr="00846D49" w:rsidRDefault="00881C3C" w:rsidP="00AF5836">
            <w:pPr>
              <w:spacing w:after="0" w:line="240" w:lineRule="auto"/>
              <w:rPr>
                <w:rFonts w:ascii="Arial Narrow" w:eastAsia="Times New Roman" w:hAnsi="Arial Narrow"/>
                <w:sz w:val="16"/>
                <w:szCs w:val="16"/>
              </w:rPr>
            </w:pPr>
          </w:p>
        </w:tc>
        <w:tc>
          <w:tcPr>
            <w:tcW w:w="121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E30645F" w14:textId="77777777" w:rsidR="00881C3C" w:rsidRPr="00846D49" w:rsidRDefault="00881C3C" w:rsidP="00AF5836">
            <w:pPr>
              <w:spacing w:after="0" w:line="240" w:lineRule="auto"/>
              <w:rPr>
                <w:rFonts w:ascii="Arial Narrow" w:eastAsia="Times New Roman" w:hAnsi="Arial Narrow"/>
                <w:sz w:val="16"/>
                <w:szCs w:val="16"/>
              </w:rPr>
            </w:pPr>
          </w:p>
        </w:tc>
        <w:tc>
          <w:tcPr>
            <w:tcW w:w="137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1875A2B" w14:textId="77777777" w:rsidR="00881C3C" w:rsidRPr="00846D49" w:rsidRDefault="00881C3C" w:rsidP="00AF5836">
            <w:pPr>
              <w:spacing w:after="0" w:line="240" w:lineRule="auto"/>
              <w:rPr>
                <w:rFonts w:ascii="Arial Narrow" w:eastAsia="Times New Roman" w:hAnsi="Arial Narrow"/>
                <w:sz w:val="16"/>
                <w:szCs w:val="16"/>
              </w:rPr>
            </w:pPr>
          </w:p>
        </w:tc>
        <w:tc>
          <w:tcPr>
            <w:tcW w:w="160" w:type="dxa"/>
            <w:gridSpan w:val="2"/>
            <w:shd w:val="clear" w:color="auto" w:fill="FFFFFF" w:themeFill="background1"/>
            <w:vAlign w:val="center"/>
            <w:hideMark/>
          </w:tcPr>
          <w:p w14:paraId="109AEC4E"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29D3A724" w14:textId="77777777" w:rsidTr="00AF5836">
        <w:trPr>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0B2F390"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C36A079"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6B70E89"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07B569AD"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AO003. Habilitación de laboratorio para investigación en semillas forestales.</w:t>
            </w:r>
          </w:p>
        </w:tc>
        <w:tc>
          <w:tcPr>
            <w:tcW w:w="2233"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55A3C56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Reporte</w:t>
            </w:r>
          </w:p>
        </w:tc>
        <w:tc>
          <w:tcPr>
            <w:tcW w:w="1814"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06D8B2B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Coordinación del Área Forestal del INIA</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424C2BE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015-1448: Estación Experimental Agraria Pucallpa- Ucayali</w:t>
            </w:r>
          </w:p>
        </w:tc>
        <w:tc>
          <w:tcPr>
            <w:tcW w:w="156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7F3E3E6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163: Instituto Nacional de Innovación Agraria</w:t>
            </w:r>
          </w:p>
        </w:tc>
        <w:tc>
          <w:tcPr>
            <w:tcW w:w="1218"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11EDA3D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64B2D9C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3C587D82"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7E5DE9CB" w14:textId="77777777" w:rsidTr="00AF5836">
        <w:trPr>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7BFCB6C"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3EBC2AD"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6985BE3"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E09E2A9"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C496D60" w14:textId="77777777" w:rsidR="00881C3C" w:rsidRPr="00846D49" w:rsidRDefault="00881C3C" w:rsidP="00AF5836">
            <w:pPr>
              <w:spacing w:after="0" w:line="240" w:lineRule="auto"/>
              <w:rPr>
                <w:rFonts w:ascii="Arial Narrow" w:eastAsia="Times New Roman" w:hAnsi="Arial Narrow"/>
                <w:sz w:val="16"/>
                <w:szCs w:val="16"/>
              </w:rPr>
            </w:pPr>
          </w:p>
        </w:tc>
        <w:tc>
          <w:tcPr>
            <w:tcW w:w="181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7F5B8A4" w14:textId="77777777" w:rsidR="00881C3C" w:rsidRPr="00846D49" w:rsidRDefault="00881C3C" w:rsidP="00AF5836">
            <w:pPr>
              <w:spacing w:after="0" w:line="240" w:lineRule="auto"/>
              <w:rPr>
                <w:rFonts w:ascii="Arial Narrow" w:eastAsia="Times New Roman" w:hAnsi="Arial Narrow"/>
                <w:sz w:val="16"/>
                <w:szCs w:val="16"/>
              </w:rPr>
            </w:pP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28B9515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016-1449: Estación Experimental Agraria Santa Ana – Junín</w:t>
            </w:r>
          </w:p>
        </w:tc>
        <w:tc>
          <w:tcPr>
            <w:tcW w:w="156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871F721" w14:textId="77777777" w:rsidR="00881C3C" w:rsidRPr="00846D49" w:rsidRDefault="00881C3C" w:rsidP="00AF5836">
            <w:pPr>
              <w:spacing w:after="0" w:line="240" w:lineRule="auto"/>
              <w:rPr>
                <w:rFonts w:ascii="Arial Narrow" w:eastAsia="Times New Roman" w:hAnsi="Arial Narrow"/>
                <w:sz w:val="16"/>
                <w:szCs w:val="16"/>
              </w:rPr>
            </w:pPr>
          </w:p>
        </w:tc>
        <w:tc>
          <w:tcPr>
            <w:tcW w:w="121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722913D" w14:textId="77777777" w:rsidR="00881C3C" w:rsidRPr="00846D49" w:rsidRDefault="00881C3C" w:rsidP="00AF5836">
            <w:pPr>
              <w:spacing w:after="0" w:line="240" w:lineRule="auto"/>
              <w:rPr>
                <w:rFonts w:ascii="Arial Narrow" w:eastAsia="Times New Roman" w:hAnsi="Arial Narrow"/>
                <w:sz w:val="16"/>
                <w:szCs w:val="16"/>
              </w:rPr>
            </w:pPr>
          </w:p>
        </w:tc>
        <w:tc>
          <w:tcPr>
            <w:tcW w:w="137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42AD2B7" w14:textId="77777777" w:rsidR="00881C3C" w:rsidRPr="00846D49" w:rsidRDefault="00881C3C" w:rsidP="00AF5836">
            <w:pPr>
              <w:spacing w:after="0" w:line="240" w:lineRule="auto"/>
              <w:rPr>
                <w:rFonts w:ascii="Arial Narrow" w:eastAsia="Times New Roman" w:hAnsi="Arial Narrow"/>
                <w:sz w:val="16"/>
                <w:szCs w:val="16"/>
              </w:rPr>
            </w:pPr>
          </w:p>
        </w:tc>
        <w:tc>
          <w:tcPr>
            <w:tcW w:w="160" w:type="dxa"/>
            <w:gridSpan w:val="2"/>
            <w:shd w:val="clear" w:color="auto" w:fill="FFFFFF" w:themeFill="background1"/>
            <w:vAlign w:val="center"/>
            <w:hideMark/>
          </w:tcPr>
          <w:p w14:paraId="79E26C33"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0DA8EBE4" w14:textId="77777777" w:rsidTr="00AF5836">
        <w:trPr>
          <w:trHeight w:val="510"/>
        </w:trPr>
        <w:tc>
          <w:tcPr>
            <w:tcW w:w="384" w:type="dxa"/>
            <w:vMerge w:val="restart"/>
            <w:tcBorders>
              <w:top w:val="nil"/>
              <w:left w:val="single" w:sz="4" w:space="0" w:color="auto"/>
              <w:right w:val="single" w:sz="4" w:space="0" w:color="auto"/>
            </w:tcBorders>
            <w:shd w:val="clear" w:color="auto" w:fill="auto"/>
            <w:vAlign w:val="center"/>
          </w:tcPr>
          <w:p w14:paraId="73DF07F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40</w:t>
            </w:r>
          </w:p>
        </w:tc>
        <w:tc>
          <w:tcPr>
            <w:tcW w:w="16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E411B8B"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L2.5 Lograr el aprovechamiento de nuevas especies forestales y de fauna silvestre con potencial para el mercado nacional e internacional.</w:t>
            </w:r>
          </w:p>
        </w:tc>
        <w:tc>
          <w:tcPr>
            <w:tcW w:w="1800" w:type="dxa"/>
            <w:vMerge w:val="restart"/>
            <w:tcBorders>
              <w:top w:val="nil"/>
              <w:left w:val="single" w:sz="4" w:space="0" w:color="auto"/>
              <w:right w:val="single" w:sz="4" w:space="0" w:color="auto"/>
            </w:tcBorders>
            <w:shd w:val="clear" w:color="auto" w:fill="auto"/>
            <w:vAlign w:val="center"/>
          </w:tcPr>
          <w:p w14:paraId="32CA7FBC"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S 2.5.2. Asistencia técnica en diseño y desarrollo de productos brindados de manera satisfactoria a las unidades productivas de la cadena forestal, madera y textil.</w:t>
            </w:r>
          </w:p>
        </w:tc>
        <w:tc>
          <w:tcPr>
            <w:tcW w:w="2143" w:type="dxa"/>
            <w:tcBorders>
              <w:top w:val="nil"/>
              <w:left w:val="single" w:sz="4" w:space="0" w:color="auto"/>
              <w:bottom w:val="single" w:sz="4" w:space="0" w:color="auto"/>
              <w:right w:val="single" w:sz="4" w:space="0" w:color="auto"/>
            </w:tcBorders>
            <w:shd w:val="clear" w:color="auto" w:fill="auto"/>
            <w:vAlign w:val="center"/>
          </w:tcPr>
          <w:p w14:paraId="1D9319C7"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 001 Gestión de servicios de información tecnológica especializada</w:t>
            </w:r>
          </w:p>
        </w:tc>
        <w:tc>
          <w:tcPr>
            <w:tcW w:w="2233" w:type="dxa"/>
            <w:tcBorders>
              <w:top w:val="nil"/>
              <w:left w:val="single" w:sz="4" w:space="0" w:color="auto"/>
              <w:bottom w:val="single" w:sz="4" w:space="0" w:color="auto"/>
              <w:right w:val="single" w:sz="4" w:space="0" w:color="auto"/>
            </w:tcBorders>
            <w:shd w:val="clear" w:color="auto" w:fill="FFFFFF" w:themeFill="background1"/>
            <w:vAlign w:val="center"/>
          </w:tcPr>
          <w:p w14:paraId="2F50AFE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Servicio</w:t>
            </w:r>
          </w:p>
        </w:tc>
        <w:tc>
          <w:tcPr>
            <w:tcW w:w="1814" w:type="dxa"/>
            <w:tcBorders>
              <w:top w:val="nil"/>
              <w:left w:val="nil"/>
              <w:bottom w:val="single" w:sz="4" w:space="0" w:color="auto"/>
              <w:right w:val="single" w:sz="4" w:space="0" w:color="auto"/>
            </w:tcBorders>
            <w:shd w:val="clear" w:color="auto" w:fill="auto"/>
            <w:vAlign w:val="center"/>
          </w:tcPr>
          <w:p w14:paraId="4578E4C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CITE Forestal Pucallpa</w:t>
            </w:r>
          </w:p>
          <w:p w14:paraId="49ED27B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CITE Forestal Maynas</w:t>
            </w:r>
          </w:p>
          <w:p w14:paraId="2A1982A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CITE Textil Camélidos Arequipa</w:t>
            </w:r>
          </w:p>
          <w:p w14:paraId="2FB52A9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CITE Madera Lima</w:t>
            </w:r>
          </w:p>
          <w:p w14:paraId="542F9D0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xml:space="preserve"> CITE Textil Camélidos Puno</w:t>
            </w:r>
          </w:p>
          <w:p w14:paraId="41A6E10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xml:space="preserve"> CITE Textil Camélidos Cusco</w:t>
            </w:r>
          </w:p>
        </w:tc>
        <w:tc>
          <w:tcPr>
            <w:tcW w:w="1553" w:type="dxa"/>
            <w:tcBorders>
              <w:top w:val="nil"/>
              <w:left w:val="single" w:sz="4" w:space="0" w:color="auto"/>
              <w:bottom w:val="single" w:sz="4" w:space="0" w:color="auto"/>
              <w:right w:val="single" w:sz="4" w:space="0" w:color="auto"/>
            </w:tcBorders>
            <w:shd w:val="clear" w:color="auto" w:fill="auto"/>
            <w:vAlign w:val="center"/>
          </w:tcPr>
          <w:p w14:paraId="3A1426E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001-194: Instituto Tecnológico de la Producción - ITP</w:t>
            </w:r>
          </w:p>
        </w:tc>
        <w:tc>
          <w:tcPr>
            <w:tcW w:w="1560" w:type="dxa"/>
            <w:tcBorders>
              <w:top w:val="nil"/>
              <w:left w:val="single" w:sz="4" w:space="0" w:color="auto"/>
              <w:bottom w:val="single" w:sz="4" w:space="0" w:color="auto"/>
              <w:right w:val="single" w:sz="4" w:space="0" w:color="auto"/>
            </w:tcBorders>
            <w:shd w:val="clear" w:color="auto" w:fill="auto"/>
            <w:vAlign w:val="center"/>
          </w:tcPr>
          <w:p w14:paraId="3224754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241: Instituto Tecnológico de la Producción - ITP</w:t>
            </w:r>
          </w:p>
        </w:tc>
        <w:tc>
          <w:tcPr>
            <w:tcW w:w="1218" w:type="dxa"/>
            <w:tcBorders>
              <w:top w:val="nil"/>
              <w:left w:val="single" w:sz="4" w:space="0" w:color="auto"/>
              <w:bottom w:val="single" w:sz="4" w:space="0" w:color="auto"/>
              <w:right w:val="single" w:sz="4" w:space="0" w:color="auto"/>
            </w:tcBorders>
            <w:shd w:val="clear" w:color="auto" w:fill="auto"/>
            <w:vAlign w:val="center"/>
          </w:tcPr>
          <w:p w14:paraId="3BB51CE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38: Producción</w:t>
            </w:r>
          </w:p>
        </w:tc>
        <w:tc>
          <w:tcPr>
            <w:tcW w:w="1373" w:type="dxa"/>
            <w:tcBorders>
              <w:top w:val="nil"/>
              <w:left w:val="single" w:sz="4" w:space="0" w:color="auto"/>
              <w:bottom w:val="single" w:sz="4" w:space="0" w:color="auto"/>
              <w:right w:val="single" w:sz="4" w:space="0" w:color="auto"/>
            </w:tcBorders>
            <w:shd w:val="clear" w:color="auto" w:fill="auto"/>
            <w:vAlign w:val="center"/>
          </w:tcPr>
          <w:p w14:paraId="2E23D05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tcPr>
          <w:p w14:paraId="2EFD944B" w14:textId="77777777" w:rsidR="00881C3C" w:rsidRPr="00846D49" w:rsidRDefault="00881C3C" w:rsidP="00AF5836">
            <w:pPr>
              <w:spacing w:after="0" w:line="240" w:lineRule="auto"/>
              <w:rPr>
                <w:rFonts w:ascii="Times New Roman" w:eastAsia="Times New Roman" w:hAnsi="Times New Roman" w:cs="Times New Roman"/>
                <w:sz w:val="20"/>
                <w:szCs w:val="20"/>
              </w:rPr>
            </w:pPr>
          </w:p>
          <w:p w14:paraId="512EDB89"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63FD0311" w14:textId="77777777" w:rsidTr="00AF5836">
        <w:trPr>
          <w:trHeight w:val="510"/>
        </w:trPr>
        <w:tc>
          <w:tcPr>
            <w:tcW w:w="384" w:type="dxa"/>
            <w:vMerge/>
            <w:tcBorders>
              <w:left w:val="single" w:sz="4" w:space="0" w:color="auto"/>
              <w:bottom w:val="single" w:sz="4" w:space="0" w:color="auto"/>
              <w:right w:val="single" w:sz="4" w:space="0" w:color="auto"/>
            </w:tcBorders>
            <w:shd w:val="clear" w:color="auto" w:fill="auto"/>
            <w:vAlign w:val="center"/>
          </w:tcPr>
          <w:p w14:paraId="246E4A7E"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693"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62C943F"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left w:val="single" w:sz="4" w:space="0" w:color="auto"/>
              <w:bottom w:val="single" w:sz="4" w:space="0" w:color="auto"/>
              <w:right w:val="single" w:sz="4" w:space="0" w:color="auto"/>
            </w:tcBorders>
            <w:shd w:val="clear" w:color="auto" w:fill="auto"/>
            <w:vAlign w:val="center"/>
          </w:tcPr>
          <w:p w14:paraId="674011DF"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single" w:sz="4" w:space="0" w:color="auto"/>
              <w:bottom w:val="single" w:sz="4" w:space="0" w:color="auto"/>
              <w:right w:val="single" w:sz="4" w:space="0" w:color="auto"/>
            </w:tcBorders>
            <w:shd w:val="clear" w:color="auto" w:fill="auto"/>
            <w:vAlign w:val="center"/>
          </w:tcPr>
          <w:p w14:paraId="1FFA81D0" w14:textId="6B2A5FEB"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 xml:space="preserve">AO 001 Gestión </w:t>
            </w:r>
            <w:r w:rsidR="00F306F0" w:rsidRPr="00846D49">
              <w:rPr>
                <w:rFonts w:ascii="Arial Narrow" w:eastAsia="Times New Roman" w:hAnsi="Arial Narrow"/>
                <w:sz w:val="16"/>
                <w:szCs w:val="16"/>
              </w:rPr>
              <w:t>d</w:t>
            </w:r>
            <w:r w:rsidRPr="00846D49">
              <w:rPr>
                <w:rFonts w:ascii="Arial Narrow" w:eastAsia="Times New Roman" w:hAnsi="Arial Narrow"/>
                <w:sz w:val="16"/>
                <w:szCs w:val="16"/>
              </w:rPr>
              <w:t>el Seguimiento y Evaluación de los CITE</w:t>
            </w:r>
          </w:p>
        </w:tc>
        <w:tc>
          <w:tcPr>
            <w:tcW w:w="2233" w:type="dxa"/>
            <w:tcBorders>
              <w:top w:val="nil"/>
              <w:left w:val="single" w:sz="4" w:space="0" w:color="auto"/>
              <w:bottom w:val="single" w:sz="4" w:space="0" w:color="auto"/>
              <w:right w:val="single" w:sz="4" w:space="0" w:color="auto"/>
            </w:tcBorders>
            <w:shd w:val="clear" w:color="auto" w:fill="FFFFFF" w:themeFill="background1"/>
            <w:vAlign w:val="center"/>
          </w:tcPr>
          <w:p w14:paraId="6852CE5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Acción</w:t>
            </w:r>
          </w:p>
        </w:tc>
        <w:tc>
          <w:tcPr>
            <w:tcW w:w="1814" w:type="dxa"/>
            <w:tcBorders>
              <w:top w:val="single" w:sz="4" w:space="0" w:color="auto"/>
              <w:left w:val="nil"/>
              <w:bottom w:val="single" w:sz="4" w:space="0" w:color="auto"/>
              <w:right w:val="single" w:sz="4" w:space="0" w:color="auto"/>
            </w:tcBorders>
            <w:shd w:val="clear" w:color="auto" w:fill="auto"/>
            <w:vAlign w:val="center"/>
          </w:tcPr>
          <w:p w14:paraId="4BC1FDC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CITE Forestal Pucallpa</w:t>
            </w:r>
          </w:p>
          <w:p w14:paraId="6C30800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CITE Forestal Maynas</w:t>
            </w:r>
          </w:p>
          <w:p w14:paraId="1BAD294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CITE Textil Camélidos Arequipa</w:t>
            </w:r>
          </w:p>
          <w:p w14:paraId="5D151EE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CITE Madera Lima</w:t>
            </w:r>
          </w:p>
          <w:p w14:paraId="0E4F277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lastRenderedPageBreak/>
              <w:t xml:space="preserve"> CITE Textil Camélidos Puno</w:t>
            </w:r>
          </w:p>
          <w:p w14:paraId="0DA8AAE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xml:space="preserve"> CITE Textil Camélidos Cusco</w:t>
            </w:r>
          </w:p>
        </w:tc>
        <w:tc>
          <w:tcPr>
            <w:tcW w:w="1553" w:type="dxa"/>
            <w:tcBorders>
              <w:top w:val="nil"/>
              <w:left w:val="single" w:sz="4" w:space="0" w:color="auto"/>
              <w:bottom w:val="single" w:sz="4" w:space="0" w:color="auto"/>
              <w:right w:val="single" w:sz="4" w:space="0" w:color="auto"/>
            </w:tcBorders>
            <w:shd w:val="clear" w:color="auto" w:fill="auto"/>
            <w:vAlign w:val="center"/>
          </w:tcPr>
          <w:p w14:paraId="1AB1817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lastRenderedPageBreak/>
              <w:t>001-194: Instituto Tecnológico de la Producción - ITP</w:t>
            </w:r>
          </w:p>
        </w:tc>
        <w:tc>
          <w:tcPr>
            <w:tcW w:w="1560" w:type="dxa"/>
            <w:tcBorders>
              <w:top w:val="nil"/>
              <w:left w:val="single" w:sz="4" w:space="0" w:color="auto"/>
              <w:bottom w:val="single" w:sz="4" w:space="0" w:color="auto"/>
              <w:right w:val="single" w:sz="4" w:space="0" w:color="auto"/>
            </w:tcBorders>
            <w:shd w:val="clear" w:color="auto" w:fill="auto"/>
            <w:vAlign w:val="center"/>
          </w:tcPr>
          <w:p w14:paraId="26C07D6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241: Instituto Tecnológico de la Producción - ITP</w:t>
            </w:r>
          </w:p>
        </w:tc>
        <w:tc>
          <w:tcPr>
            <w:tcW w:w="1218" w:type="dxa"/>
            <w:tcBorders>
              <w:top w:val="nil"/>
              <w:left w:val="single" w:sz="4" w:space="0" w:color="auto"/>
              <w:bottom w:val="single" w:sz="4" w:space="0" w:color="auto"/>
              <w:right w:val="single" w:sz="4" w:space="0" w:color="auto"/>
            </w:tcBorders>
            <w:shd w:val="clear" w:color="auto" w:fill="auto"/>
            <w:vAlign w:val="center"/>
          </w:tcPr>
          <w:p w14:paraId="4196F98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38: Producción</w:t>
            </w:r>
          </w:p>
        </w:tc>
        <w:tc>
          <w:tcPr>
            <w:tcW w:w="1373" w:type="dxa"/>
            <w:tcBorders>
              <w:top w:val="nil"/>
              <w:left w:val="single" w:sz="4" w:space="0" w:color="auto"/>
              <w:bottom w:val="single" w:sz="4" w:space="0" w:color="auto"/>
              <w:right w:val="single" w:sz="4" w:space="0" w:color="auto"/>
            </w:tcBorders>
            <w:shd w:val="clear" w:color="auto" w:fill="auto"/>
            <w:vAlign w:val="center"/>
          </w:tcPr>
          <w:p w14:paraId="57F0BE6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tcPr>
          <w:p w14:paraId="49C6A036"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11C9D7A2" w14:textId="77777777" w:rsidTr="00AF5836">
        <w:trPr>
          <w:trHeight w:val="510"/>
        </w:trPr>
        <w:tc>
          <w:tcPr>
            <w:tcW w:w="384"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7C6BA00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41</w:t>
            </w:r>
          </w:p>
        </w:tc>
        <w:tc>
          <w:tcPr>
            <w:tcW w:w="1693" w:type="dxa"/>
            <w:vMerge w:val="restart"/>
            <w:tcBorders>
              <w:top w:val="single" w:sz="4" w:space="0" w:color="auto"/>
              <w:left w:val="single" w:sz="4" w:space="0" w:color="auto"/>
              <w:bottom w:val="nil"/>
              <w:right w:val="single" w:sz="4" w:space="0" w:color="auto"/>
            </w:tcBorders>
            <w:shd w:val="clear" w:color="auto" w:fill="FFFFFF" w:themeFill="background1"/>
            <w:vAlign w:val="center"/>
            <w:hideMark/>
          </w:tcPr>
          <w:p w14:paraId="47E637BB"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L2.6 Incrementar el comercio nacional e internacional de especímenes, productos y subproductos de flora y fauna silvestre provenientes de actividades de aprovechamiento autorizadas.</w:t>
            </w:r>
          </w:p>
        </w:tc>
        <w:tc>
          <w:tcPr>
            <w:tcW w:w="180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65F4D407"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S2.6.1 Fortalecimiento de capacidades para el cumplimiento de criterios técnicos y normativos en el proceso de transformación de productos de fibra de vicuña de forma satisfactoria a los titulares de manejo.</w:t>
            </w:r>
          </w:p>
        </w:tc>
        <w:tc>
          <w:tcPr>
            <w:tcW w:w="2143"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7C76FB3D"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AO001. Participación en eventos para la promoción comercial de los recursos forestales y de fauna silvestre</w:t>
            </w:r>
          </w:p>
        </w:tc>
        <w:tc>
          <w:tcPr>
            <w:tcW w:w="2233"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7B91462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Persona</w:t>
            </w:r>
          </w:p>
        </w:tc>
        <w:tc>
          <w:tcPr>
            <w:tcW w:w="1814" w:type="dxa"/>
            <w:vMerge w:val="restart"/>
            <w:tcBorders>
              <w:top w:val="single" w:sz="4" w:space="0" w:color="auto"/>
              <w:left w:val="nil"/>
              <w:right w:val="single" w:sz="4" w:space="0" w:color="auto"/>
            </w:tcBorders>
            <w:shd w:val="clear" w:color="auto" w:fill="FFFFFF" w:themeFill="background1"/>
            <w:vAlign w:val="center"/>
          </w:tcPr>
          <w:p w14:paraId="0F3DFF4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Promoción y Competitividad</w:t>
            </w:r>
          </w:p>
        </w:tc>
        <w:tc>
          <w:tcPr>
            <w:tcW w:w="1553" w:type="dxa"/>
            <w:vMerge w:val="restart"/>
            <w:tcBorders>
              <w:top w:val="nil"/>
              <w:left w:val="single" w:sz="4" w:space="0" w:color="auto"/>
              <w:bottom w:val="single" w:sz="4" w:space="0" w:color="auto"/>
              <w:right w:val="single" w:sz="4" w:space="0" w:color="auto"/>
            </w:tcBorders>
            <w:shd w:val="clear" w:color="auto" w:fill="FFFFFF" w:themeFill="background1"/>
            <w:vAlign w:val="center"/>
          </w:tcPr>
          <w:p w14:paraId="5877BD1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vMerge w:val="restart"/>
            <w:tcBorders>
              <w:top w:val="nil"/>
              <w:left w:val="single" w:sz="4" w:space="0" w:color="auto"/>
              <w:bottom w:val="single" w:sz="4" w:space="0" w:color="auto"/>
              <w:right w:val="single" w:sz="4" w:space="0" w:color="auto"/>
            </w:tcBorders>
            <w:shd w:val="clear" w:color="auto" w:fill="FFFFFF" w:themeFill="background1"/>
            <w:vAlign w:val="center"/>
          </w:tcPr>
          <w:p w14:paraId="049DAA7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2FA271C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05F3962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6CD3BB6B"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0FE72D3B" w14:textId="77777777" w:rsidTr="00AF5836">
        <w:trPr>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7621ABA"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nil"/>
              <w:right w:val="single" w:sz="4" w:space="0" w:color="auto"/>
            </w:tcBorders>
            <w:shd w:val="clear" w:color="auto" w:fill="FFFFFF" w:themeFill="background1"/>
            <w:vAlign w:val="center"/>
            <w:hideMark/>
          </w:tcPr>
          <w:p w14:paraId="59A7FFE0"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D1017F5"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D73D4D8"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FB916D8" w14:textId="77777777" w:rsidR="00881C3C" w:rsidRPr="00846D49" w:rsidRDefault="00881C3C" w:rsidP="00AF5836">
            <w:pPr>
              <w:spacing w:after="0" w:line="240" w:lineRule="auto"/>
              <w:rPr>
                <w:rFonts w:ascii="Arial Narrow" w:eastAsia="Times New Roman" w:hAnsi="Arial Narrow"/>
                <w:sz w:val="16"/>
                <w:szCs w:val="16"/>
              </w:rPr>
            </w:pPr>
          </w:p>
        </w:tc>
        <w:tc>
          <w:tcPr>
            <w:tcW w:w="1814" w:type="dxa"/>
            <w:vMerge/>
            <w:tcBorders>
              <w:left w:val="nil"/>
              <w:bottom w:val="single" w:sz="4" w:space="0" w:color="auto"/>
              <w:right w:val="single" w:sz="4" w:space="0" w:color="auto"/>
            </w:tcBorders>
            <w:shd w:val="clear" w:color="auto" w:fill="FFFFFF" w:themeFill="background1"/>
            <w:vAlign w:val="center"/>
            <w:hideMark/>
          </w:tcPr>
          <w:p w14:paraId="6AAE3508"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55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8356892" w14:textId="77777777" w:rsidR="00881C3C" w:rsidRPr="00846D49" w:rsidRDefault="00881C3C" w:rsidP="00AF5836">
            <w:pPr>
              <w:spacing w:after="0" w:line="240" w:lineRule="auto"/>
              <w:rPr>
                <w:rFonts w:ascii="Arial Narrow" w:eastAsia="Times New Roman" w:hAnsi="Arial Narrow"/>
                <w:sz w:val="16"/>
                <w:szCs w:val="16"/>
              </w:rPr>
            </w:pPr>
          </w:p>
        </w:tc>
        <w:tc>
          <w:tcPr>
            <w:tcW w:w="156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3F97BC2" w14:textId="77777777" w:rsidR="00881C3C" w:rsidRPr="00846D49" w:rsidRDefault="00881C3C" w:rsidP="00AF5836">
            <w:pPr>
              <w:spacing w:after="0" w:line="240" w:lineRule="auto"/>
              <w:rPr>
                <w:rFonts w:ascii="Arial Narrow" w:eastAsia="Times New Roman" w:hAnsi="Arial Narrow"/>
                <w:sz w:val="16"/>
                <w:szCs w:val="16"/>
                <w:highlight w:val="magenta"/>
              </w:rPr>
            </w:pPr>
          </w:p>
        </w:tc>
        <w:tc>
          <w:tcPr>
            <w:tcW w:w="121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50DAFB2" w14:textId="77777777" w:rsidR="00881C3C" w:rsidRPr="00846D49" w:rsidRDefault="00881C3C" w:rsidP="00AF5836">
            <w:pPr>
              <w:spacing w:after="0" w:line="240" w:lineRule="auto"/>
              <w:rPr>
                <w:rFonts w:ascii="Arial Narrow" w:eastAsia="Times New Roman" w:hAnsi="Arial Narrow"/>
                <w:sz w:val="16"/>
                <w:szCs w:val="16"/>
              </w:rPr>
            </w:pPr>
          </w:p>
        </w:tc>
        <w:tc>
          <w:tcPr>
            <w:tcW w:w="137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91A20FF" w14:textId="77777777" w:rsidR="00881C3C" w:rsidRPr="00846D49" w:rsidRDefault="00881C3C" w:rsidP="00AF5836">
            <w:pPr>
              <w:spacing w:after="0" w:line="240" w:lineRule="auto"/>
              <w:rPr>
                <w:rFonts w:ascii="Arial Narrow" w:eastAsia="Times New Roman" w:hAnsi="Arial Narrow"/>
                <w:sz w:val="16"/>
                <w:szCs w:val="16"/>
              </w:rPr>
            </w:pPr>
          </w:p>
        </w:tc>
        <w:tc>
          <w:tcPr>
            <w:tcW w:w="160" w:type="dxa"/>
            <w:gridSpan w:val="2"/>
            <w:shd w:val="clear" w:color="auto" w:fill="FFFFFF" w:themeFill="background1"/>
            <w:vAlign w:val="center"/>
            <w:hideMark/>
          </w:tcPr>
          <w:p w14:paraId="3A70AE9A"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09AC6F39" w14:textId="77777777" w:rsidTr="00AF5836">
        <w:trPr>
          <w:trHeight w:val="300"/>
        </w:trPr>
        <w:tc>
          <w:tcPr>
            <w:tcW w:w="384"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32BED76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42</w:t>
            </w:r>
          </w:p>
        </w:tc>
        <w:tc>
          <w:tcPr>
            <w:tcW w:w="1693" w:type="dxa"/>
            <w:vMerge w:val="restart"/>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14:paraId="5E5A28EA"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L2.6 Incrementar el comercio nacional e internacional de especímenes, productos y subproductos de flora y fauna silvestre provenientes de actividades de aprovechamiento autorizadas.</w:t>
            </w:r>
          </w:p>
        </w:tc>
        <w:tc>
          <w:tcPr>
            <w:tcW w:w="1800"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14:paraId="43E07013"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S2.6.2 Fortalecimiento de capacidades para la identificación de oportunidades y tendencias de los mercados internacionales de forma satisfactoria a instituciones públicas y privadas así como empresas exportadoras y con potencial exportador de la actividad forestal y de fauna silvestre</w:t>
            </w:r>
          </w:p>
        </w:tc>
        <w:tc>
          <w:tcPr>
            <w:tcW w:w="2143"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1438654B"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AO001. Capacitaciones a empresas exportadoras y con potencial exportador sobre oportunidades y tendencias en los mercados internacionales para la cadena forestal y de fauna silvestre</w:t>
            </w:r>
          </w:p>
        </w:tc>
        <w:tc>
          <w:tcPr>
            <w:tcW w:w="2233"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14:paraId="5292A04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Capacitación</w:t>
            </w:r>
          </w:p>
        </w:tc>
        <w:tc>
          <w:tcPr>
            <w:tcW w:w="1814"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5E1C6A5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xml:space="preserve">Dirección General de Políticas de Desarrollo de Comercio Exterior-Dirección de Desarrollo de Capacidades y Oferta Exportable  </w:t>
            </w:r>
          </w:p>
        </w:tc>
        <w:tc>
          <w:tcPr>
            <w:tcW w:w="1553"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0328403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xml:space="preserve">001-1070: Ministerio de Comercio Exterior y Turismo - Dirección General de Administración </w:t>
            </w:r>
          </w:p>
        </w:tc>
        <w:tc>
          <w:tcPr>
            <w:tcW w:w="156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3A33F85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035: Ministerio de Comercio Exterior y Turismo</w:t>
            </w:r>
          </w:p>
        </w:tc>
        <w:tc>
          <w:tcPr>
            <w:tcW w:w="1218"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76CBC9B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35: Comercio Exterior y Turismo</w:t>
            </w:r>
          </w:p>
        </w:tc>
        <w:tc>
          <w:tcPr>
            <w:tcW w:w="1373"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0306A90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319058D3"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41BC35B0" w14:textId="77777777" w:rsidTr="00AF5836">
        <w:trPr>
          <w:trHeight w:val="30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7339CA6"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14:paraId="520D55F5"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64A7870C"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9F4B88C"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0C587687" w14:textId="77777777" w:rsidR="00881C3C" w:rsidRPr="00846D49" w:rsidRDefault="00881C3C" w:rsidP="00AF5836">
            <w:pPr>
              <w:spacing w:after="0" w:line="240" w:lineRule="auto"/>
              <w:rPr>
                <w:rFonts w:ascii="Arial Narrow" w:eastAsia="Times New Roman" w:hAnsi="Arial Narrow"/>
                <w:sz w:val="16"/>
                <w:szCs w:val="16"/>
              </w:rPr>
            </w:pPr>
          </w:p>
        </w:tc>
        <w:tc>
          <w:tcPr>
            <w:tcW w:w="181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8C7DE34" w14:textId="77777777" w:rsidR="00881C3C" w:rsidRPr="00846D49" w:rsidRDefault="00881C3C" w:rsidP="00AF5836">
            <w:pPr>
              <w:spacing w:after="0" w:line="240" w:lineRule="auto"/>
              <w:rPr>
                <w:rFonts w:ascii="Arial Narrow" w:eastAsia="Times New Roman" w:hAnsi="Arial Narrow"/>
                <w:sz w:val="16"/>
                <w:szCs w:val="16"/>
              </w:rPr>
            </w:pPr>
          </w:p>
        </w:tc>
        <w:tc>
          <w:tcPr>
            <w:tcW w:w="155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6A43D77" w14:textId="77777777" w:rsidR="00881C3C" w:rsidRPr="00846D49" w:rsidRDefault="00881C3C" w:rsidP="00AF5836">
            <w:pPr>
              <w:spacing w:after="0" w:line="240" w:lineRule="auto"/>
              <w:rPr>
                <w:rFonts w:ascii="Arial Narrow" w:eastAsia="Times New Roman" w:hAnsi="Arial Narrow"/>
                <w:sz w:val="16"/>
                <w:szCs w:val="16"/>
              </w:rPr>
            </w:pPr>
          </w:p>
        </w:tc>
        <w:tc>
          <w:tcPr>
            <w:tcW w:w="156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5D6F07F" w14:textId="77777777" w:rsidR="00881C3C" w:rsidRPr="00846D49" w:rsidRDefault="00881C3C" w:rsidP="00AF5836">
            <w:pPr>
              <w:spacing w:after="0" w:line="240" w:lineRule="auto"/>
              <w:rPr>
                <w:rFonts w:ascii="Arial Narrow" w:eastAsia="Times New Roman" w:hAnsi="Arial Narrow"/>
                <w:sz w:val="16"/>
                <w:szCs w:val="16"/>
              </w:rPr>
            </w:pPr>
          </w:p>
        </w:tc>
        <w:tc>
          <w:tcPr>
            <w:tcW w:w="121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1D5120D" w14:textId="77777777" w:rsidR="00881C3C" w:rsidRPr="00846D49" w:rsidRDefault="00881C3C" w:rsidP="00AF5836">
            <w:pPr>
              <w:spacing w:after="0" w:line="240" w:lineRule="auto"/>
              <w:rPr>
                <w:rFonts w:ascii="Arial Narrow" w:eastAsia="Times New Roman" w:hAnsi="Arial Narrow"/>
                <w:sz w:val="16"/>
                <w:szCs w:val="16"/>
              </w:rPr>
            </w:pPr>
          </w:p>
        </w:tc>
        <w:tc>
          <w:tcPr>
            <w:tcW w:w="137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622555D" w14:textId="77777777" w:rsidR="00881C3C" w:rsidRPr="00846D49" w:rsidRDefault="00881C3C" w:rsidP="00AF5836">
            <w:pPr>
              <w:spacing w:after="0" w:line="240" w:lineRule="auto"/>
              <w:rPr>
                <w:rFonts w:ascii="Arial Narrow" w:eastAsia="Times New Roman" w:hAnsi="Arial Narrow"/>
                <w:sz w:val="16"/>
                <w:szCs w:val="16"/>
              </w:rPr>
            </w:pPr>
          </w:p>
        </w:tc>
        <w:tc>
          <w:tcPr>
            <w:tcW w:w="160" w:type="dxa"/>
            <w:gridSpan w:val="2"/>
            <w:tcBorders>
              <w:top w:val="nil"/>
              <w:left w:val="nil"/>
              <w:bottom w:val="nil"/>
              <w:right w:val="nil"/>
            </w:tcBorders>
            <w:shd w:val="clear" w:color="auto" w:fill="FFFFFF" w:themeFill="background1"/>
            <w:noWrap/>
            <w:vAlign w:val="bottom"/>
            <w:hideMark/>
          </w:tcPr>
          <w:p w14:paraId="2E31A60E" w14:textId="77777777" w:rsidR="00881C3C" w:rsidRPr="00846D49" w:rsidRDefault="00881C3C" w:rsidP="00AF5836">
            <w:pPr>
              <w:spacing w:after="0" w:line="240" w:lineRule="auto"/>
              <w:jc w:val="center"/>
              <w:rPr>
                <w:rFonts w:ascii="Arial Narrow" w:eastAsia="Times New Roman" w:hAnsi="Arial Narrow"/>
                <w:sz w:val="16"/>
                <w:szCs w:val="16"/>
              </w:rPr>
            </w:pPr>
          </w:p>
        </w:tc>
      </w:tr>
      <w:tr w:rsidR="00846D49" w:rsidRPr="00846D49" w14:paraId="5F5B0E2F" w14:textId="77777777" w:rsidTr="00AF5836">
        <w:trPr>
          <w:trHeight w:val="30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C64692A"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14:paraId="6323745B"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6233A9E3"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30959B4"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48C35257" w14:textId="77777777" w:rsidR="00881C3C" w:rsidRPr="00846D49" w:rsidRDefault="00881C3C" w:rsidP="00AF5836">
            <w:pPr>
              <w:spacing w:after="0" w:line="240" w:lineRule="auto"/>
              <w:rPr>
                <w:rFonts w:ascii="Arial Narrow" w:eastAsia="Times New Roman" w:hAnsi="Arial Narrow"/>
                <w:sz w:val="16"/>
                <w:szCs w:val="16"/>
              </w:rPr>
            </w:pPr>
          </w:p>
        </w:tc>
        <w:tc>
          <w:tcPr>
            <w:tcW w:w="181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83AA881" w14:textId="77777777" w:rsidR="00881C3C" w:rsidRPr="00846D49" w:rsidRDefault="00881C3C" w:rsidP="00AF5836">
            <w:pPr>
              <w:spacing w:after="0" w:line="240" w:lineRule="auto"/>
              <w:rPr>
                <w:rFonts w:ascii="Arial Narrow" w:eastAsia="Times New Roman" w:hAnsi="Arial Narrow"/>
                <w:sz w:val="16"/>
                <w:szCs w:val="16"/>
              </w:rPr>
            </w:pPr>
          </w:p>
        </w:tc>
        <w:tc>
          <w:tcPr>
            <w:tcW w:w="155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D5F089F" w14:textId="77777777" w:rsidR="00881C3C" w:rsidRPr="00846D49" w:rsidRDefault="00881C3C" w:rsidP="00AF5836">
            <w:pPr>
              <w:spacing w:after="0" w:line="240" w:lineRule="auto"/>
              <w:rPr>
                <w:rFonts w:ascii="Arial Narrow" w:eastAsia="Times New Roman" w:hAnsi="Arial Narrow"/>
                <w:sz w:val="16"/>
                <w:szCs w:val="16"/>
              </w:rPr>
            </w:pPr>
          </w:p>
        </w:tc>
        <w:tc>
          <w:tcPr>
            <w:tcW w:w="156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1DA9899" w14:textId="77777777" w:rsidR="00881C3C" w:rsidRPr="00846D49" w:rsidRDefault="00881C3C" w:rsidP="00AF5836">
            <w:pPr>
              <w:spacing w:after="0" w:line="240" w:lineRule="auto"/>
              <w:rPr>
                <w:rFonts w:ascii="Arial Narrow" w:eastAsia="Times New Roman" w:hAnsi="Arial Narrow"/>
                <w:sz w:val="16"/>
                <w:szCs w:val="16"/>
              </w:rPr>
            </w:pPr>
          </w:p>
        </w:tc>
        <w:tc>
          <w:tcPr>
            <w:tcW w:w="121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A1D0172" w14:textId="77777777" w:rsidR="00881C3C" w:rsidRPr="00846D49" w:rsidRDefault="00881C3C" w:rsidP="00AF5836">
            <w:pPr>
              <w:spacing w:after="0" w:line="240" w:lineRule="auto"/>
              <w:rPr>
                <w:rFonts w:ascii="Arial Narrow" w:eastAsia="Times New Roman" w:hAnsi="Arial Narrow"/>
                <w:sz w:val="16"/>
                <w:szCs w:val="16"/>
              </w:rPr>
            </w:pPr>
          </w:p>
        </w:tc>
        <w:tc>
          <w:tcPr>
            <w:tcW w:w="137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5CD406A" w14:textId="77777777" w:rsidR="00881C3C" w:rsidRPr="00846D49" w:rsidRDefault="00881C3C" w:rsidP="00AF5836">
            <w:pPr>
              <w:spacing w:after="0" w:line="240" w:lineRule="auto"/>
              <w:rPr>
                <w:rFonts w:ascii="Arial Narrow" w:eastAsia="Times New Roman" w:hAnsi="Arial Narrow"/>
                <w:sz w:val="16"/>
                <w:szCs w:val="16"/>
              </w:rPr>
            </w:pPr>
          </w:p>
        </w:tc>
        <w:tc>
          <w:tcPr>
            <w:tcW w:w="160" w:type="dxa"/>
            <w:gridSpan w:val="2"/>
            <w:tcBorders>
              <w:top w:val="nil"/>
              <w:left w:val="nil"/>
              <w:bottom w:val="nil"/>
              <w:right w:val="nil"/>
            </w:tcBorders>
            <w:shd w:val="clear" w:color="auto" w:fill="FFFFFF" w:themeFill="background1"/>
            <w:noWrap/>
            <w:vAlign w:val="bottom"/>
            <w:hideMark/>
          </w:tcPr>
          <w:p w14:paraId="3E2CFFB8"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1531C783" w14:textId="77777777" w:rsidTr="00AF5836">
        <w:trPr>
          <w:trHeight w:val="30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33C00D5"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6FF8CA76"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367BFDF7"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DCAB230"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422C3E2" w14:textId="77777777" w:rsidR="00881C3C" w:rsidRPr="00846D49" w:rsidRDefault="00881C3C" w:rsidP="00AF5836">
            <w:pPr>
              <w:spacing w:after="0" w:line="240" w:lineRule="auto"/>
              <w:rPr>
                <w:rFonts w:ascii="Arial Narrow" w:eastAsia="Times New Roman" w:hAnsi="Arial Narrow"/>
                <w:sz w:val="16"/>
                <w:szCs w:val="16"/>
              </w:rPr>
            </w:pPr>
          </w:p>
        </w:tc>
        <w:tc>
          <w:tcPr>
            <w:tcW w:w="181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4C1BD3E" w14:textId="77777777" w:rsidR="00881C3C" w:rsidRPr="00846D49" w:rsidRDefault="00881C3C" w:rsidP="00AF5836">
            <w:pPr>
              <w:spacing w:after="0" w:line="240" w:lineRule="auto"/>
              <w:rPr>
                <w:rFonts w:ascii="Arial Narrow" w:eastAsia="Times New Roman" w:hAnsi="Arial Narrow"/>
                <w:sz w:val="16"/>
                <w:szCs w:val="16"/>
              </w:rPr>
            </w:pPr>
          </w:p>
        </w:tc>
        <w:tc>
          <w:tcPr>
            <w:tcW w:w="155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785F560" w14:textId="77777777" w:rsidR="00881C3C" w:rsidRPr="00846D49" w:rsidRDefault="00881C3C" w:rsidP="00AF5836">
            <w:pPr>
              <w:spacing w:after="0" w:line="240" w:lineRule="auto"/>
              <w:rPr>
                <w:rFonts w:ascii="Arial Narrow" w:eastAsia="Times New Roman" w:hAnsi="Arial Narrow"/>
                <w:sz w:val="16"/>
                <w:szCs w:val="16"/>
              </w:rPr>
            </w:pPr>
          </w:p>
        </w:tc>
        <w:tc>
          <w:tcPr>
            <w:tcW w:w="156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9233578" w14:textId="77777777" w:rsidR="00881C3C" w:rsidRPr="00846D49" w:rsidRDefault="00881C3C" w:rsidP="00AF5836">
            <w:pPr>
              <w:spacing w:after="0" w:line="240" w:lineRule="auto"/>
              <w:rPr>
                <w:rFonts w:ascii="Arial Narrow" w:eastAsia="Times New Roman" w:hAnsi="Arial Narrow"/>
                <w:sz w:val="16"/>
                <w:szCs w:val="16"/>
              </w:rPr>
            </w:pPr>
          </w:p>
        </w:tc>
        <w:tc>
          <w:tcPr>
            <w:tcW w:w="121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6C73561" w14:textId="77777777" w:rsidR="00881C3C" w:rsidRPr="00846D49" w:rsidRDefault="00881C3C" w:rsidP="00AF5836">
            <w:pPr>
              <w:spacing w:after="0" w:line="240" w:lineRule="auto"/>
              <w:rPr>
                <w:rFonts w:ascii="Arial Narrow" w:eastAsia="Times New Roman" w:hAnsi="Arial Narrow"/>
                <w:sz w:val="16"/>
                <w:szCs w:val="16"/>
              </w:rPr>
            </w:pPr>
          </w:p>
        </w:tc>
        <w:tc>
          <w:tcPr>
            <w:tcW w:w="137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3579C96" w14:textId="77777777" w:rsidR="00881C3C" w:rsidRPr="00846D49" w:rsidRDefault="00881C3C" w:rsidP="00AF5836">
            <w:pPr>
              <w:spacing w:after="0" w:line="240" w:lineRule="auto"/>
              <w:rPr>
                <w:rFonts w:ascii="Arial Narrow" w:eastAsia="Times New Roman" w:hAnsi="Arial Narrow"/>
                <w:sz w:val="16"/>
                <w:szCs w:val="16"/>
              </w:rPr>
            </w:pPr>
          </w:p>
        </w:tc>
        <w:tc>
          <w:tcPr>
            <w:tcW w:w="160" w:type="dxa"/>
            <w:gridSpan w:val="2"/>
            <w:tcBorders>
              <w:top w:val="nil"/>
              <w:left w:val="nil"/>
              <w:bottom w:val="nil"/>
              <w:right w:val="nil"/>
            </w:tcBorders>
            <w:shd w:val="clear" w:color="auto" w:fill="FFFFFF" w:themeFill="background1"/>
            <w:noWrap/>
            <w:vAlign w:val="bottom"/>
            <w:hideMark/>
          </w:tcPr>
          <w:p w14:paraId="431EF1DF" w14:textId="77777777" w:rsidR="00881C3C" w:rsidRPr="00846D49" w:rsidRDefault="00881C3C" w:rsidP="00AF5836">
            <w:pPr>
              <w:spacing w:after="0" w:line="240" w:lineRule="auto"/>
              <w:jc w:val="center"/>
              <w:rPr>
                <w:rFonts w:ascii="Arial Narrow" w:eastAsia="Times New Roman" w:hAnsi="Arial Narrow"/>
                <w:sz w:val="16"/>
                <w:szCs w:val="16"/>
              </w:rPr>
            </w:pPr>
          </w:p>
        </w:tc>
      </w:tr>
      <w:tr w:rsidR="00846D49" w:rsidRPr="00846D49" w14:paraId="5C3D9EE1" w14:textId="77777777" w:rsidTr="00AF5836">
        <w:trPr>
          <w:trHeight w:val="30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1BFBBB7"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23912E21"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13A368E1"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EFB3EC0"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7A342BD" w14:textId="77777777" w:rsidR="00881C3C" w:rsidRPr="00846D49" w:rsidRDefault="00881C3C" w:rsidP="00AF5836">
            <w:pPr>
              <w:spacing w:after="0" w:line="240" w:lineRule="auto"/>
              <w:rPr>
                <w:rFonts w:ascii="Arial Narrow" w:eastAsia="Times New Roman" w:hAnsi="Arial Narrow"/>
                <w:sz w:val="16"/>
                <w:szCs w:val="16"/>
              </w:rPr>
            </w:pPr>
          </w:p>
        </w:tc>
        <w:tc>
          <w:tcPr>
            <w:tcW w:w="181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D441139" w14:textId="77777777" w:rsidR="00881C3C" w:rsidRPr="00846D49" w:rsidRDefault="00881C3C" w:rsidP="00AF5836">
            <w:pPr>
              <w:spacing w:after="0" w:line="240" w:lineRule="auto"/>
              <w:rPr>
                <w:rFonts w:ascii="Arial Narrow" w:eastAsia="Times New Roman" w:hAnsi="Arial Narrow"/>
                <w:sz w:val="16"/>
                <w:szCs w:val="16"/>
              </w:rPr>
            </w:pPr>
          </w:p>
        </w:tc>
        <w:tc>
          <w:tcPr>
            <w:tcW w:w="155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75572E6" w14:textId="77777777" w:rsidR="00881C3C" w:rsidRPr="00846D49" w:rsidRDefault="00881C3C" w:rsidP="00AF5836">
            <w:pPr>
              <w:spacing w:after="0" w:line="240" w:lineRule="auto"/>
              <w:rPr>
                <w:rFonts w:ascii="Arial Narrow" w:eastAsia="Times New Roman" w:hAnsi="Arial Narrow"/>
                <w:sz w:val="16"/>
                <w:szCs w:val="16"/>
              </w:rPr>
            </w:pPr>
          </w:p>
        </w:tc>
        <w:tc>
          <w:tcPr>
            <w:tcW w:w="156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425CE6E" w14:textId="77777777" w:rsidR="00881C3C" w:rsidRPr="00846D49" w:rsidRDefault="00881C3C" w:rsidP="00AF5836">
            <w:pPr>
              <w:spacing w:after="0" w:line="240" w:lineRule="auto"/>
              <w:rPr>
                <w:rFonts w:ascii="Arial Narrow" w:eastAsia="Times New Roman" w:hAnsi="Arial Narrow"/>
                <w:sz w:val="16"/>
                <w:szCs w:val="16"/>
              </w:rPr>
            </w:pPr>
          </w:p>
        </w:tc>
        <w:tc>
          <w:tcPr>
            <w:tcW w:w="121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96D0284" w14:textId="77777777" w:rsidR="00881C3C" w:rsidRPr="00846D49" w:rsidRDefault="00881C3C" w:rsidP="00AF5836">
            <w:pPr>
              <w:spacing w:after="0" w:line="240" w:lineRule="auto"/>
              <w:rPr>
                <w:rFonts w:ascii="Arial Narrow" w:eastAsia="Times New Roman" w:hAnsi="Arial Narrow"/>
                <w:sz w:val="16"/>
                <w:szCs w:val="16"/>
              </w:rPr>
            </w:pPr>
          </w:p>
        </w:tc>
        <w:tc>
          <w:tcPr>
            <w:tcW w:w="137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6065068" w14:textId="77777777" w:rsidR="00881C3C" w:rsidRPr="00846D49" w:rsidRDefault="00881C3C" w:rsidP="00AF5836">
            <w:pPr>
              <w:spacing w:after="0" w:line="240" w:lineRule="auto"/>
              <w:rPr>
                <w:rFonts w:ascii="Arial Narrow" w:eastAsia="Times New Roman" w:hAnsi="Arial Narrow"/>
                <w:sz w:val="16"/>
                <w:szCs w:val="16"/>
              </w:rPr>
            </w:pPr>
          </w:p>
        </w:tc>
        <w:tc>
          <w:tcPr>
            <w:tcW w:w="160" w:type="dxa"/>
            <w:gridSpan w:val="2"/>
            <w:tcBorders>
              <w:top w:val="nil"/>
              <w:left w:val="nil"/>
              <w:bottom w:val="nil"/>
              <w:right w:val="nil"/>
            </w:tcBorders>
            <w:shd w:val="clear" w:color="auto" w:fill="FFFFFF" w:themeFill="background1"/>
            <w:noWrap/>
            <w:vAlign w:val="bottom"/>
            <w:hideMark/>
          </w:tcPr>
          <w:p w14:paraId="5B476013"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65583752" w14:textId="77777777" w:rsidTr="00AF5836">
        <w:trPr>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304FFBF"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1D40C58"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EEA4A29"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D2BD797"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5FAADBF" w14:textId="77777777" w:rsidR="00881C3C" w:rsidRPr="00846D49" w:rsidRDefault="00881C3C" w:rsidP="00AF5836">
            <w:pPr>
              <w:spacing w:after="0" w:line="240" w:lineRule="auto"/>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3CE855D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Promoción y Articulación Comercial Selva</w:t>
            </w:r>
          </w:p>
        </w:tc>
        <w:tc>
          <w:tcPr>
            <w:tcW w:w="155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8314689" w14:textId="77777777" w:rsidR="00881C3C" w:rsidRPr="00846D49" w:rsidRDefault="00881C3C" w:rsidP="00AF5836">
            <w:pPr>
              <w:spacing w:after="0" w:line="240" w:lineRule="auto"/>
              <w:rPr>
                <w:rFonts w:ascii="Arial Narrow" w:eastAsia="Times New Roman" w:hAnsi="Arial Narrow"/>
                <w:sz w:val="16"/>
                <w:szCs w:val="16"/>
              </w:rPr>
            </w:pPr>
          </w:p>
        </w:tc>
        <w:tc>
          <w:tcPr>
            <w:tcW w:w="156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56BC92A" w14:textId="77777777" w:rsidR="00881C3C" w:rsidRPr="00846D49" w:rsidRDefault="00881C3C" w:rsidP="00AF5836">
            <w:pPr>
              <w:spacing w:after="0" w:line="240" w:lineRule="auto"/>
              <w:rPr>
                <w:rFonts w:ascii="Arial Narrow" w:eastAsia="Times New Roman" w:hAnsi="Arial Narrow"/>
                <w:sz w:val="16"/>
                <w:szCs w:val="16"/>
              </w:rPr>
            </w:pPr>
          </w:p>
        </w:tc>
        <w:tc>
          <w:tcPr>
            <w:tcW w:w="121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3113078" w14:textId="77777777" w:rsidR="00881C3C" w:rsidRPr="00846D49" w:rsidRDefault="00881C3C" w:rsidP="00AF5836">
            <w:pPr>
              <w:spacing w:after="0" w:line="240" w:lineRule="auto"/>
              <w:rPr>
                <w:rFonts w:ascii="Arial Narrow" w:eastAsia="Times New Roman" w:hAnsi="Arial Narrow"/>
                <w:sz w:val="16"/>
                <w:szCs w:val="16"/>
              </w:rPr>
            </w:pPr>
          </w:p>
        </w:tc>
        <w:tc>
          <w:tcPr>
            <w:tcW w:w="137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57D27C2" w14:textId="77777777" w:rsidR="00881C3C" w:rsidRPr="00846D49" w:rsidRDefault="00881C3C" w:rsidP="00AF5836">
            <w:pPr>
              <w:spacing w:after="0" w:line="240" w:lineRule="auto"/>
              <w:rPr>
                <w:rFonts w:ascii="Arial Narrow" w:eastAsia="Times New Roman" w:hAnsi="Arial Narrow"/>
                <w:sz w:val="16"/>
                <w:szCs w:val="16"/>
              </w:rPr>
            </w:pPr>
          </w:p>
        </w:tc>
        <w:tc>
          <w:tcPr>
            <w:tcW w:w="160" w:type="dxa"/>
            <w:gridSpan w:val="2"/>
            <w:shd w:val="clear" w:color="auto" w:fill="FFFFFF" w:themeFill="background1"/>
            <w:vAlign w:val="center"/>
            <w:hideMark/>
          </w:tcPr>
          <w:p w14:paraId="0D6B3836"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56C8103B" w14:textId="77777777" w:rsidTr="00AF5836">
        <w:trPr>
          <w:trHeight w:val="1530"/>
        </w:trPr>
        <w:tc>
          <w:tcPr>
            <w:tcW w:w="384" w:type="dxa"/>
            <w:tcBorders>
              <w:top w:val="nil"/>
              <w:left w:val="single" w:sz="4" w:space="0" w:color="auto"/>
              <w:bottom w:val="single" w:sz="4" w:space="0" w:color="auto"/>
              <w:right w:val="single" w:sz="4" w:space="0" w:color="auto"/>
            </w:tcBorders>
            <w:shd w:val="clear" w:color="auto" w:fill="FFFFFF" w:themeFill="background1"/>
            <w:vAlign w:val="center"/>
            <w:hideMark/>
          </w:tcPr>
          <w:p w14:paraId="044F3E7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43</w:t>
            </w:r>
          </w:p>
        </w:tc>
        <w:tc>
          <w:tcPr>
            <w:tcW w:w="1693" w:type="dxa"/>
            <w:tcBorders>
              <w:top w:val="single" w:sz="4" w:space="0" w:color="auto"/>
              <w:left w:val="nil"/>
              <w:bottom w:val="single" w:sz="4" w:space="0" w:color="auto"/>
              <w:right w:val="single" w:sz="4" w:space="0" w:color="auto"/>
            </w:tcBorders>
            <w:shd w:val="clear" w:color="auto" w:fill="FFFFFF" w:themeFill="background1"/>
            <w:vAlign w:val="center"/>
            <w:hideMark/>
          </w:tcPr>
          <w:p w14:paraId="6F1C8132"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L2.6 Incrementar el comercio nacional e internacional de especímenes, productos y subproductos de flora y fauna silvestre provenientes de actividades de aprovechamiento autorizadas.</w:t>
            </w:r>
          </w:p>
        </w:tc>
        <w:tc>
          <w:tcPr>
            <w:tcW w:w="1800" w:type="dxa"/>
            <w:tcBorders>
              <w:top w:val="single" w:sz="4" w:space="0" w:color="auto"/>
              <w:left w:val="nil"/>
              <w:bottom w:val="single" w:sz="4" w:space="0" w:color="auto"/>
              <w:right w:val="single" w:sz="4" w:space="0" w:color="auto"/>
            </w:tcBorders>
            <w:shd w:val="clear" w:color="auto" w:fill="FFFFFF" w:themeFill="background1"/>
            <w:vAlign w:val="center"/>
            <w:hideMark/>
          </w:tcPr>
          <w:p w14:paraId="339541D1"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S2.6.3 Promoción de la oferta exportable de nuevas especies de productos maderables de valor agregado de forma oportuna en beneficio de exportadores y potenciales exportadores forestales</w:t>
            </w: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000AC313"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AO001. capacitación a empresas en preparación de productos de interés comercial, para salida comercial de nuevas especies exportables</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37EA62B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Empresa</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35D9731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Promoción de las Exportaciones - PROMPERU</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722085A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64B44B2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006 Comisión del Perú para la exportación y el Turismo PROMPERU</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73B32DB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35: Comercio Exterior y Turismo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3BEEBC6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50BF5260"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1A2018A9" w14:textId="77777777" w:rsidTr="00AF5836">
        <w:trPr>
          <w:trHeight w:val="1020"/>
        </w:trPr>
        <w:tc>
          <w:tcPr>
            <w:tcW w:w="384"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14:paraId="54237BB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lastRenderedPageBreak/>
              <w:t>44</w:t>
            </w:r>
          </w:p>
        </w:tc>
        <w:tc>
          <w:tcPr>
            <w:tcW w:w="1693" w:type="dxa"/>
            <w:vMerge w:val="restart"/>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14:paraId="704E75AB"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L 3.1.  Reforzar los mecanismos de articulación entre las entidades que conforman el SINAFOR y con otros espacios de coordinación nacional y regional en materia forestal y de fauna silvestre</w:t>
            </w:r>
          </w:p>
        </w:tc>
        <w:tc>
          <w:tcPr>
            <w:tcW w:w="1800" w:type="dxa"/>
            <w:vMerge w:val="restart"/>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14:paraId="0D051EEE"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S.3.1.1 Fortalecimiento de capacidades en el seguimiento, evaluación y gestión del conocimiento de intervenciones de forma satisfactoria dirigido a servidores de las Autoridades Regionales Forestales y de Fauna Silvestre</w:t>
            </w: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1880430A"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AO001. Elaboración de Diagnóstico de necesidades de información para la gestión forestal y de fauna silvestre</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0B98A16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Documento</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79751D9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General de Gestión del Conocimiento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1CFE4CD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62D73D3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7653F75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0E43A8D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54B0B517"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66ACCC3C" w14:textId="77777777" w:rsidTr="00AF5836">
        <w:trPr>
          <w:trHeight w:val="765"/>
        </w:trPr>
        <w:tc>
          <w:tcPr>
            <w:tcW w:w="384"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5C5ED50C"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14:paraId="3D201C67"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13EE7C9A"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3F2EE9FA"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AO002. Elaboración de instrumentos técnicos y normativos relacionados al seguimiento de intervenciones en materia forestal y de fauna silvestre</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05D2E0F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Documento</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060DC9C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General de Gestión del Conocimiento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5A0209B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1B3C97F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7E9DAAD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01AF5C4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3F742B45"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6CA46999" w14:textId="77777777" w:rsidTr="00AF5836">
        <w:trPr>
          <w:trHeight w:val="765"/>
        </w:trPr>
        <w:tc>
          <w:tcPr>
            <w:tcW w:w="384"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0E24064C"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14:paraId="171245B0"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33082DA1"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5BCB5845"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AO003. Realización de capacitaciones relacionadas al seguimiento de intervenciones en materia forestal y de fauna silvestre</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230646A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Eventos</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42D14A9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General de Gestión del Conocimiento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7228299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09D1A8A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4B3F09A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4C62D58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06A5EE1E" w14:textId="77777777" w:rsidR="00881C3C" w:rsidRPr="00846D49" w:rsidRDefault="00881C3C" w:rsidP="00AF5836">
            <w:pPr>
              <w:spacing w:after="0" w:line="240" w:lineRule="auto"/>
              <w:rPr>
                <w:rFonts w:ascii="Times New Roman" w:eastAsia="Times New Roman" w:hAnsi="Times New Roman" w:cs="Times New Roman"/>
                <w:sz w:val="20"/>
                <w:szCs w:val="20"/>
              </w:rPr>
            </w:pPr>
          </w:p>
          <w:p w14:paraId="26AC9B1D" w14:textId="77777777" w:rsidR="00881C3C" w:rsidRPr="00846D49" w:rsidRDefault="00881C3C" w:rsidP="00AF5836">
            <w:pPr>
              <w:spacing w:after="0" w:line="240" w:lineRule="auto"/>
              <w:rPr>
                <w:rFonts w:ascii="Times New Roman" w:eastAsia="Times New Roman" w:hAnsi="Times New Roman" w:cs="Times New Roman"/>
                <w:sz w:val="20"/>
                <w:szCs w:val="20"/>
              </w:rPr>
            </w:pPr>
          </w:p>
          <w:p w14:paraId="46C77370"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0B596384" w14:textId="77777777" w:rsidTr="00AF5836">
        <w:trPr>
          <w:trHeight w:val="373"/>
        </w:trPr>
        <w:tc>
          <w:tcPr>
            <w:tcW w:w="384" w:type="dxa"/>
            <w:vMerge w:val="restart"/>
            <w:tcBorders>
              <w:top w:val="nil"/>
              <w:left w:val="single" w:sz="4" w:space="0" w:color="auto"/>
              <w:right w:val="single" w:sz="4" w:space="0" w:color="auto"/>
            </w:tcBorders>
            <w:shd w:val="clear" w:color="auto" w:fill="FFFFFF" w:themeFill="background1"/>
            <w:vAlign w:val="center"/>
          </w:tcPr>
          <w:p w14:paraId="7A741195"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45</w:t>
            </w:r>
          </w:p>
        </w:tc>
        <w:tc>
          <w:tcPr>
            <w:tcW w:w="1693" w:type="dxa"/>
            <w:vMerge w:val="restart"/>
            <w:tcBorders>
              <w:top w:val="single" w:sz="4" w:space="0" w:color="auto"/>
              <w:left w:val="single" w:sz="4" w:space="0" w:color="auto"/>
              <w:right w:val="single" w:sz="4" w:space="0" w:color="auto"/>
            </w:tcBorders>
            <w:shd w:val="clear" w:color="auto" w:fill="FFFFFF" w:themeFill="background1"/>
            <w:vAlign w:val="center"/>
          </w:tcPr>
          <w:p w14:paraId="51D37CD6"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L 3.2 Desarrollar programas orientados a la mejora de la gestión y aprovechamiento sostenible de los recursos forestales y de fauna silvestre en pueblos indígenas u originarios (comunidades campesinas, comunidades nativas, entre otros)</w:t>
            </w:r>
          </w:p>
        </w:tc>
        <w:tc>
          <w:tcPr>
            <w:tcW w:w="1800" w:type="dxa"/>
            <w:vMerge w:val="restart"/>
            <w:tcBorders>
              <w:top w:val="nil"/>
              <w:left w:val="single" w:sz="4" w:space="0" w:color="auto"/>
              <w:right w:val="single" w:sz="4" w:space="0" w:color="auto"/>
            </w:tcBorders>
            <w:shd w:val="clear" w:color="auto" w:fill="FFFFFF" w:themeFill="background1"/>
            <w:vAlign w:val="center"/>
          </w:tcPr>
          <w:p w14:paraId="3968F363" w14:textId="77777777" w:rsidR="00881C3C" w:rsidRPr="00846D49" w:rsidRDefault="00881C3C" w:rsidP="00AF5836">
            <w:pPr>
              <w:spacing w:after="0" w:line="240" w:lineRule="auto"/>
              <w:jc w:val="both"/>
              <w:rPr>
                <w:rFonts w:ascii="Arial Narrow" w:eastAsia="Times New Roman" w:hAnsi="Arial Narrow"/>
                <w:sz w:val="16"/>
                <w:szCs w:val="16"/>
              </w:rPr>
            </w:pPr>
            <w:r w:rsidRPr="00846D49">
              <w:rPr>
                <w:rFonts w:ascii="Arial Narrow" w:eastAsia="Times New Roman" w:hAnsi="Arial Narrow"/>
                <w:sz w:val="16"/>
                <w:szCs w:val="16"/>
              </w:rPr>
              <w:t>S.3.2.1. Fortalecimiento de capacidades del manejo forestal comunitario como estrategia de adaptación y mitigación al cambio climático con pertinencia cultural dirigido a las comunidades nativas y comunidades campesinas</w:t>
            </w:r>
          </w:p>
          <w:p w14:paraId="0A4DE80C"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tcPr>
          <w:p w14:paraId="69CBC7FC" w14:textId="77777777" w:rsidR="00881C3C" w:rsidRPr="00846D49" w:rsidRDefault="00881C3C" w:rsidP="00AF5836">
            <w:pPr>
              <w:spacing w:after="0" w:line="240" w:lineRule="auto"/>
              <w:jc w:val="both"/>
              <w:rPr>
                <w:rFonts w:ascii="Arial Narrow" w:eastAsia="Times New Roman" w:hAnsi="Arial Narrow"/>
                <w:sz w:val="16"/>
                <w:szCs w:val="16"/>
              </w:rPr>
            </w:pPr>
            <w:r w:rsidRPr="00846D49">
              <w:rPr>
                <w:rFonts w:ascii="Arial Narrow" w:eastAsia="Times New Roman" w:hAnsi="Arial Narrow"/>
                <w:sz w:val="16"/>
                <w:szCs w:val="16"/>
              </w:rPr>
              <w:t>AO001. Realización de actividades de capacitación en articulación interinstitucional en materia de cambio climático con organismos públicos, privados y cooperaciones para comunidades nativas y comunidades campesinas</w:t>
            </w:r>
          </w:p>
        </w:tc>
        <w:tc>
          <w:tcPr>
            <w:tcW w:w="2233" w:type="dxa"/>
            <w:tcBorders>
              <w:top w:val="nil"/>
              <w:left w:val="nil"/>
              <w:bottom w:val="single" w:sz="4" w:space="0" w:color="auto"/>
              <w:right w:val="single" w:sz="4" w:space="0" w:color="auto"/>
            </w:tcBorders>
            <w:shd w:val="clear" w:color="auto" w:fill="FFFFFF" w:themeFill="background1"/>
            <w:vAlign w:val="center"/>
          </w:tcPr>
          <w:p w14:paraId="49C3EE2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Eventos</w:t>
            </w:r>
          </w:p>
        </w:tc>
        <w:tc>
          <w:tcPr>
            <w:tcW w:w="1814" w:type="dxa"/>
            <w:tcBorders>
              <w:top w:val="nil"/>
              <w:left w:val="nil"/>
              <w:bottom w:val="single" w:sz="4" w:space="0" w:color="auto"/>
              <w:right w:val="single" w:sz="4" w:space="0" w:color="auto"/>
            </w:tcBorders>
            <w:shd w:val="clear" w:color="auto" w:fill="FFFFFF" w:themeFill="background1"/>
            <w:vAlign w:val="center"/>
          </w:tcPr>
          <w:p w14:paraId="7C9445A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Ejecutiva</w:t>
            </w:r>
          </w:p>
        </w:tc>
        <w:tc>
          <w:tcPr>
            <w:tcW w:w="1553" w:type="dxa"/>
            <w:tcBorders>
              <w:top w:val="nil"/>
              <w:left w:val="nil"/>
              <w:bottom w:val="single" w:sz="4" w:space="0" w:color="auto"/>
              <w:right w:val="single" w:sz="4" w:space="0" w:color="auto"/>
            </w:tcBorders>
            <w:shd w:val="clear" w:color="auto" w:fill="FFFFFF" w:themeFill="background1"/>
            <w:vAlign w:val="center"/>
          </w:tcPr>
          <w:p w14:paraId="5F41F32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tcPr>
          <w:p w14:paraId="001B3D4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tcPr>
          <w:p w14:paraId="300B63A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tcPr>
          <w:p w14:paraId="3FFBC03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tcPr>
          <w:p w14:paraId="380AA499"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11EEA0F9" w14:textId="77777777" w:rsidTr="00AF5836">
        <w:trPr>
          <w:trHeight w:val="765"/>
        </w:trPr>
        <w:tc>
          <w:tcPr>
            <w:tcW w:w="384" w:type="dxa"/>
            <w:vMerge/>
            <w:tcBorders>
              <w:left w:val="single" w:sz="4" w:space="0" w:color="auto"/>
              <w:right w:val="single" w:sz="4" w:space="0" w:color="auto"/>
            </w:tcBorders>
            <w:shd w:val="clear" w:color="auto" w:fill="FFFFFF" w:themeFill="background1"/>
            <w:vAlign w:val="center"/>
          </w:tcPr>
          <w:p w14:paraId="7F4B81EF"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left w:val="single" w:sz="4" w:space="0" w:color="auto"/>
              <w:right w:val="single" w:sz="4" w:space="0" w:color="auto"/>
            </w:tcBorders>
            <w:shd w:val="clear" w:color="auto" w:fill="FFFFFF" w:themeFill="background1"/>
            <w:vAlign w:val="center"/>
          </w:tcPr>
          <w:p w14:paraId="0EC4BCDE"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left w:val="single" w:sz="4" w:space="0" w:color="auto"/>
              <w:right w:val="single" w:sz="4" w:space="0" w:color="auto"/>
            </w:tcBorders>
            <w:shd w:val="clear" w:color="auto" w:fill="FFFFFF" w:themeFill="background1"/>
            <w:vAlign w:val="center"/>
          </w:tcPr>
          <w:p w14:paraId="2C8E3AAF"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tcPr>
          <w:p w14:paraId="676E2197" w14:textId="77777777" w:rsidR="00881C3C" w:rsidRPr="00846D49" w:rsidRDefault="00881C3C" w:rsidP="00AF5836">
            <w:pPr>
              <w:spacing w:after="0" w:line="240" w:lineRule="auto"/>
              <w:jc w:val="both"/>
              <w:rPr>
                <w:rFonts w:ascii="Arial Narrow" w:eastAsia="Times New Roman" w:hAnsi="Arial Narrow"/>
                <w:sz w:val="16"/>
                <w:szCs w:val="16"/>
              </w:rPr>
            </w:pPr>
            <w:r w:rsidRPr="00846D49">
              <w:rPr>
                <w:rFonts w:ascii="Arial Narrow" w:eastAsia="Times New Roman" w:hAnsi="Arial Narrow"/>
                <w:sz w:val="16"/>
                <w:szCs w:val="16"/>
              </w:rPr>
              <w:t>AO002. Realización de asistencia técnica, acompañamiento y seguimiento de los planes de desarrollo forestal comunitario para comunidades nativas y comunidades campesinas</w:t>
            </w:r>
          </w:p>
          <w:p w14:paraId="070B8BC7"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tcBorders>
              <w:top w:val="nil"/>
              <w:left w:val="nil"/>
              <w:bottom w:val="single" w:sz="4" w:space="0" w:color="auto"/>
              <w:right w:val="single" w:sz="4" w:space="0" w:color="auto"/>
            </w:tcBorders>
            <w:shd w:val="clear" w:color="auto" w:fill="FFFFFF" w:themeFill="background1"/>
            <w:vAlign w:val="center"/>
          </w:tcPr>
          <w:p w14:paraId="60FE16A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Informe</w:t>
            </w:r>
          </w:p>
        </w:tc>
        <w:tc>
          <w:tcPr>
            <w:tcW w:w="1814" w:type="dxa"/>
            <w:tcBorders>
              <w:top w:val="nil"/>
              <w:left w:val="nil"/>
              <w:bottom w:val="single" w:sz="4" w:space="0" w:color="auto"/>
              <w:right w:val="single" w:sz="4" w:space="0" w:color="auto"/>
            </w:tcBorders>
            <w:shd w:val="clear" w:color="auto" w:fill="FFFFFF" w:themeFill="background1"/>
            <w:vAlign w:val="center"/>
          </w:tcPr>
          <w:p w14:paraId="0EB8CC5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Ejecutiva</w:t>
            </w:r>
          </w:p>
        </w:tc>
        <w:tc>
          <w:tcPr>
            <w:tcW w:w="1553" w:type="dxa"/>
            <w:tcBorders>
              <w:top w:val="nil"/>
              <w:left w:val="nil"/>
              <w:bottom w:val="single" w:sz="4" w:space="0" w:color="auto"/>
              <w:right w:val="single" w:sz="4" w:space="0" w:color="auto"/>
            </w:tcBorders>
            <w:shd w:val="clear" w:color="auto" w:fill="FFFFFF" w:themeFill="background1"/>
            <w:vAlign w:val="center"/>
          </w:tcPr>
          <w:p w14:paraId="6283986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tcPr>
          <w:p w14:paraId="6D7B1BE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tcPr>
          <w:p w14:paraId="26EA87B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tcPr>
          <w:p w14:paraId="0E65822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tcPr>
          <w:p w14:paraId="673FB423"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75C6BC09" w14:textId="77777777" w:rsidTr="00AF5836">
        <w:trPr>
          <w:trHeight w:val="765"/>
        </w:trPr>
        <w:tc>
          <w:tcPr>
            <w:tcW w:w="384" w:type="dxa"/>
            <w:vMerge/>
            <w:tcBorders>
              <w:left w:val="single" w:sz="4" w:space="0" w:color="auto"/>
              <w:right w:val="single" w:sz="4" w:space="0" w:color="auto"/>
            </w:tcBorders>
            <w:shd w:val="clear" w:color="auto" w:fill="FFFFFF" w:themeFill="background1"/>
            <w:vAlign w:val="center"/>
          </w:tcPr>
          <w:p w14:paraId="0AA22669"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left w:val="single" w:sz="4" w:space="0" w:color="auto"/>
              <w:right w:val="single" w:sz="4" w:space="0" w:color="auto"/>
            </w:tcBorders>
            <w:shd w:val="clear" w:color="auto" w:fill="FFFFFF" w:themeFill="background1"/>
            <w:vAlign w:val="center"/>
          </w:tcPr>
          <w:p w14:paraId="09A8353B"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left w:val="single" w:sz="4" w:space="0" w:color="auto"/>
              <w:right w:val="single" w:sz="4" w:space="0" w:color="auto"/>
            </w:tcBorders>
            <w:shd w:val="clear" w:color="auto" w:fill="FFFFFF" w:themeFill="background1"/>
            <w:vAlign w:val="center"/>
          </w:tcPr>
          <w:p w14:paraId="150EDCEC"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tcPr>
          <w:p w14:paraId="763DFDF5" w14:textId="77777777" w:rsidR="00881C3C" w:rsidRPr="00846D49" w:rsidRDefault="00881C3C" w:rsidP="00AF5836">
            <w:pPr>
              <w:spacing w:after="0" w:line="240" w:lineRule="auto"/>
              <w:jc w:val="both"/>
              <w:rPr>
                <w:rFonts w:ascii="Arial Narrow" w:eastAsia="Times New Roman" w:hAnsi="Arial Narrow"/>
                <w:sz w:val="16"/>
                <w:szCs w:val="16"/>
              </w:rPr>
            </w:pPr>
            <w:r w:rsidRPr="00846D49">
              <w:rPr>
                <w:rFonts w:ascii="Arial Narrow" w:eastAsia="Times New Roman" w:hAnsi="Arial Narrow"/>
                <w:sz w:val="16"/>
                <w:szCs w:val="16"/>
              </w:rPr>
              <w:t>AO003. Promoción y acompañamiento de técnicas ancestrales y prácticas culturales que contribuyen a la mitigación del cambio climático para comunidades nativas y comunidades campesinas</w:t>
            </w:r>
          </w:p>
          <w:p w14:paraId="434490FF"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tcBorders>
              <w:top w:val="nil"/>
              <w:left w:val="nil"/>
              <w:bottom w:val="single" w:sz="4" w:space="0" w:color="auto"/>
              <w:right w:val="single" w:sz="4" w:space="0" w:color="auto"/>
            </w:tcBorders>
            <w:shd w:val="clear" w:color="auto" w:fill="FFFFFF" w:themeFill="background1"/>
            <w:vAlign w:val="center"/>
          </w:tcPr>
          <w:p w14:paraId="387B5D2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Eventos</w:t>
            </w:r>
          </w:p>
        </w:tc>
        <w:tc>
          <w:tcPr>
            <w:tcW w:w="1814" w:type="dxa"/>
            <w:tcBorders>
              <w:top w:val="nil"/>
              <w:left w:val="nil"/>
              <w:bottom w:val="single" w:sz="4" w:space="0" w:color="auto"/>
              <w:right w:val="single" w:sz="4" w:space="0" w:color="auto"/>
            </w:tcBorders>
            <w:shd w:val="clear" w:color="auto" w:fill="FFFFFF" w:themeFill="background1"/>
            <w:vAlign w:val="center"/>
          </w:tcPr>
          <w:p w14:paraId="6FB27FA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Ejecutiva</w:t>
            </w:r>
          </w:p>
        </w:tc>
        <w:tc>
          <w:tcPr>
            <w:tcW w:w="1553" w:type="dxa"/>
            <w:tcBorders>
              <w:top w:val="nil"/>
              <w:left w:val="nil"/>
              <w:bottom w:val="single" w:sz="4" w:space="0" w:color="auto"/>
              <w:right w:val="single" w:sz="4" w:space="0" w:color="auto"/>
            </w:tcBorders>
            <w:shd w:val="clear" w:color="auto" w:fill="FFFFFF" w:themeFill="background1"/>
            <w:vAlign w:val="center"/>
          </w:tcPr>
          <w:p w14:paraId="2DD92B7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tcPr>
          <w:p w14:paraId="7F65A52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tcPr>
          <w:p w14:paraId="797D03E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tcPr>
          <w:p w14:paraId="4C0CC7F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tcPr>
          <w:p w14:paraId="215FDDA5"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335AB8C9" w14:textId="77777777" w:rsidTr="00AF5836">
        <w:trPr>
          <w:trHeight w:val="765"/>
        </w:trPr>
        <w:tc>
          <w:tcPr>
            <w:tcW w:w="384" w:type="dxa"/>
            <w:vMerge/>
            <w:tcBorders>
              <w:left w:val="single" w:sz="4" w:space="0" w:color="auto"/>
              <w:bottom w:val="single" w:sz="4" w:space="0" w:color="000000"/>
              <w:right w:val="single" w:sz="4" w:space="0" w:color="auto"/>
            </w:tcBorders>
            <w:shd w:val="clear" w:color="auto" w:fill="FFFFFF" w:themeFill="background1"/>
            <w:vAlign w:val="center"/>
          </w:tcPr>
          <w:p w14:paraId="64288ED7"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left w:val="single" w:sz="4" w:space="0" w:color="auto"/>
              <w:bottom w:val="single" w:sz="4" w:space="0" w:color="000000"/>
              <w:right w:val="single" w:sz="4" w:space="0" w:color="auto"/>
            </w:tcBorders>
            <w:shd w:val="clear" w:color="auto" w:fill="FFFFFF" w:themeFill="background1"/>
            <w:vAlign w:val="center"/>
          </w:tcPr>
          <w:p w14:paraId="02FCCBC4"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left w:val="single" w:sz="4" w:space="0" w:color="auto"/>
              <w:bottom w:val="single" w:sz="4" w:space="0" w:color="000000"/>
              <w:right w:val="single" w:sz="4" w:space="0" w:color="auto"/>
            </w:tcBorders>
            <w:shd w:val="clear" w:color="auto" w:fill="FFFFFF" w:themeFill="background1"/>
            <w:vAlign w:val="center"/>
          </w:tcPr>
          <w:p w14:paraId="3721C2C5"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tcPr>
          <w:p w14:paraId="2539CB9F" w14:textId="77777777" w:rsidR="00881C3C" w:rsidRPr="00846D49" w:rsidRDefault="00881C3C" w:rsidP="00AF5836">
            <w:pPr>
              <w:spacing w:after="0" w:line="240" w:lineRule="auto"/>
              <w:jc w:val="both"/>
              <w:rPr>
                <w:rFonts w:ascii="Arial Narrow" w:eastAsia="Times New Roman" w:hAnsi="Arial Narrow"/>
                <w:sz w:val="16"/>
                <w:szCs w:val="16"/>
              </w:rPr>
            </w:pPr>
            <w:r w:rsidRPr="00846D49">
              <w:rPr>
                <w:rFonts w:ascii="Arial Narrow" w:eastAsia="Times New Roman" w:hAnsi="Arial Narrow"/>
                <w:sz w:val="16"/>
                <w:szCs w:val="16"/>
              </w:rPr>
              <w:t>AO004. Ejecución de asistencia técnica y acompañamiento en implementación de mecanismos de adaptación y mitigación al cambio climático para comunidades nativas y comunidades campesinas</w:t>
            </w:r>
          </w:p>
          <w:p w14:paraId="35456B41"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tcBorders>
              <w:top w:val="nil"/>
              <w:left w:val="nil"/>
              <w:bottom w:val="single" w:sz="4" w:space="0" w:color="auto"/>
              <w:right w:val="single" w:sz="4" w:space="0" w:color="auto"/>
            </w:tcBorders>
            <w:shd w:val="clear" w:color="auto" w:fill="FFFFFF" w:themeFill="background1"/>
            <w:vAlign w:val="center"/>
          </w:tcPr>
          <w:p w14:paraId="433063F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Persona</w:t>
            </w:r>
          </w:p>
        </w:tc>
        <w:tc>
          <w:tcPr>
            <w:tcW w:w="1814" w:type="dxa"/>
            <w:tcBorders>
              <w:top w:val="nil"/>
              <w:left w:val="nil"/>
              <w:bottom w:val="single" w:sz="4" w:space="0" w:color="auto"/>
              <w:right w:val="single" w:sz="4" w:space="0" w:color="auto"/>
            </w:tcBorders>
            <w:shd w:val="clear" w:color="auto" w:fill="FFFFFF" w:themeFill="background1"/>
            <w:vAlign w:val="center"/>
          </w:tcPr>
          <w:p w14:paraId="327711C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Ejecutiva</w:t>
            </w:r>
          </w:p>
        </w:tc>
        <w:tc>
          <w:tcPr>
            <w:tcW w:w="1553" w:type="dxa"/>
            <w:tcBorders>
              <w:top w:val="nil"/>
              <w:left w:val="nil"/>
              <w:bottom w:val="single" w:sz="4" w:space="0" w:color="auto"/>
              <w:right w:val="single" w:sz="4" w:space="0" w:color="auto"/>
            </w:tcBorders>
            <w:shd w:val="clear" w:color="auto" w:fill="FFFFFF" w:themeFill="background1"/>
            <w:vAlign w:val="center"/>
          </w:tcPr>
          <w:p w14:paraId="1CF106F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tcPr>
          <w:p w14:paraId="65A4C9C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tcPr>
          <w:p w14:paraId="7DDDE34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tcPr>
          <w:p w14:paraId="4464408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tcPr>
          <w:p w14:paraId="550B737F"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0D04C343" w14:textId="77777777" w:rsidTr="00AF5836">
        <w:trPr>
          <w:trHeight w:val="1275"/>
        </w:trPr>
        <w:tc>
          <w:tcPr>
            <w:tcW w:w="384" w:type="dxa"/>
            <w:tcBorders>
              <w:top w:val="nil"/>
              <w:left w:val="single" w:sz="4" w:space="0" w:color="auto"/>
              <w:bottom w:val="single" w:sz="4" w:space="0" w:color="auto"/>
              <w:right w:val="single" w:sz="4" w:space="0" w:color="auto"/>
            </w:tcBorders>
            <w:shd w:val="clear" w:color="auto" w:fill="FFFFFF" w:themeFill="background1"/>
            <w:vAlign w:val="center"/>
            <w:hideMark/>
          </w:tcPr>
          <w:p w14:paraId="3A6FD53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46</w:t>
            </w:r>
          </w:p>
        </w:tc>
        <w:tc>
          <w:tcPr>
            <w:tcW w:w="1693" w:type="dxa"/>
            <w:tcBorders>
              <w:top w:val="nil"/>
              <w:left w:val="nil"/>
              <w:bottom w:val="single" w:sz="4" w:space="0" w:color="auto"/>
              <w:right w:val="single" w:sz="4" w:space="0" w:color="auto"/>
            </w:tcBorders>
            <w:shd w:val="clear" w:color="auto" w:fill="FFFFFF" w:themeFill="background1"/>
            <w:vAlign w:val="center"/>
            <w:hideMark/>
          </w:tcPr>
          <w:p w14:paraId="6F531217"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L 3.2 Desarrollar programas orientados a la mejora de la gestión y aprovechamiento sostenible de los recursos forestales y de fauna silvestre en pueblos indígenas u originarios (comunidades campesinas, comunidades nativas, entre otros)</w:t>
            </w:r>
          </w:p>
        </w:tc>
        <w:tc>
          <w:tcPr>
            <w:tcW w:w="1800" w:type="dxa"/>
            <w:tcBorders>
              <w:top w:val="nil"/>
              <w:left w:val="nil"/>
              <w:bottom w:val="single" w:sz="4" w:space="0" w:color="auto"/>
              <w:right w:val="single" w:sz="4" w:space="0" w:color="auto"/>
            </w:tcBorders>
            <w:shd w:val="clear" w:color="auto" w:fill="FFFFFF" w:themeFill="background1"/>
            <w:vAlign w:val="center"/>
            <w:hideMark/>
          </w:tcPr>
          <w:p w14:paraId="60E9F344"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S3.2.2 Otorgamiento de incentivos para la conservación de los ecosistemas de forma fiable dirigido a comunidades campesinas y nativas tituladas, pequeños productores y otros usuarios del bosque</w:t>
            </w: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0A265BBC"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AO001. Implementación de mecanismos e instrumentos técnicos y financieros</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7C9A019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Mecanismo implementado</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3B3B732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Programa Nacional de Conservación de Bosques para la Mitigación del Cambio Climático - PNCBMCC</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72BD06F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xml:space="preserve">001-1293: Ministerio del Ambiente – Administración General. </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58C1183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005: Ministerio del Ambiente</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02CB7BD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05: Ambiental</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535B540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71B377B8"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599D3F29" w14:textId="77777777" w:rsidTr="00AF5836">
        <w:trPr>
          <w:trHeight w:val="765"/>
        </w:trPr>
        <w:tc>
          <w:tcPr>
            <w:tcW w:w="384"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0AC386B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47</w:t>
            </w:r>
          </w:p>
        </w:tc>
        <w:tc>
          <w:tcPr>
            <w:tcW w:w="1693"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14:paraId="0A147FE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L 3.2 Desarrollar programas orientados a la mejora de la gestión y aprovechamiento sostenible de los recursos forestales y de fauna silvestre en pueblos indígenas u originarios (comunidades campesinas, comunidades nativas, entre otros)</w:t>
            </w:r>
          </w:p>
        </w:tc>
        <w:tc>
          <w:tcPr>
            <w:tcW w:w="180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4F7BEE87" w14:textId="77777777" w:rsidR="00881C3C" w:rsidRPr="00846D49" w:rsidRDefault="00881C3C" w:rsidP="00AF5836">
            <w:pPr>
              <w:spacing w:after="0" w:line="240" w:lineRule="auto"/>
              <w:rPr>
                <w:rFonts w:ascii="Arial Narrow" w:eastAsia="Times New Roman" w:hAnsi="Arial Narrow"/>
                <w:b/>
                <w:bCs/>
                <w:i/>
                <w:iCs/>
                <w:sz w:val="16"/>
                <w:szCs w:val="16"/>
              </w:rPr>
            </w:pPr>
            <w:r w:rsidRPr="00846D49">
              <w:rPr>
                <w:rFonts w:ascii="Arial Narrow" w:eastAsia="Times New Roman" w:hAnsi="Arial Narrow"/>
                <w:b/>
                <w:bCs/>
                <w:i/>
                <w:iCs/>
                <w:sz w:val="16"/>
                <w:szCs w:val="16"/>
              </w:rPr>
              <w:t xml:space="preserve"> </w:t>
            </w:r>
            <w:r w:rsidRPr="00846D49">
              <w:rPr>
                <w:rFonts w:ascii="Arial Narrow" w:eastAsia="Times New Roman" w:hAnsi="Arial Narrow"/>
                <w:sz w:val="16"/>
                <w:szCs w:val="16"/>
              </w:rPr>
              <w:t>S3.2.3 Fortalecimiento de capacidades para la formulación e implementación de programas de capacitación de forma satisfactoria dirigido a las Unidades Técnicas de Manejo Forestal Comunitario</w:t>
            </w: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607A858F"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AO001. Acompañamiento a la implementación de los Programas de Capacitación y/o Asistencia técnica en Manejo Forestal Comunitario para comunidades nativas y campesinas</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5762BAF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Eventos</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01AB141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Fortalecimiento de Capacidades</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1B2E439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58E4E40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600C08E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48BD65A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24F156D7"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21F2B1ED" w14:textId="77777777" w:rsidTr="00AF5836">
        <w:trPr>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08CE58F"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384F5460"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664ADE8" w14:textId="77777777" w:rsidR="00881C3C" w:rsidRPr="00846D49" w:rsidRDefault="00881C3C" w:rsidP="00AF5836">
            <w:pPr>
              <w:spacing w:after="0" w:line="240" w:lineRule="auto"/>
              <w:rPr>
                <w:rFonts w:ascii="Arial Narrow" w:eastAsia="Times New Roman" w:hAnsi="Arial Narrow"/>
                <w:b/>
                <w:bCs/>
                <w:i/>
                <w:iCs/>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6F708A13"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AO002. Conformación, seguimiento, y fortalecimiento de las unidades de gestión forestal y de fauna silvestre -UGFFS</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4B6DF13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Reporte</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53CB9DA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Administraciones Técnicas Forestales y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456AEA6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31AE4A4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0663703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2FD598B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3050AC67"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5F0C7819" w14:textId="77777777" w:rsidTr="00AF5836">
        <w:trPr>
          <w:trHeight w:val="765"/>
        </w:trPr>
        <w:tc>
          <w:tcPr>
            <w:tcW w:w="384"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76A0A80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48</w:t>
            </w:r>
          </w:p>
        </w:tc>
        <w:tc>
          <w:tcPr>
            <w:tcW w:w="1693"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0C5A6FE8"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 xml:space="preserve">L3.2 Desarrollar programas orientados a la mejora de la gestión y aprovechamiento sostenible de los recursos forestales y de fauna silvestre en pueblos indígenas u originarios </w:t>
            </w:r>
            <w:r w:rsidRPr="00846D49">
              <w:rPr>
                <w:rFonts w:ascii="Arial Narrow" w:eastAsia="Times New Roman" w:hAnsi="Arial Narrow"/>
                <w:sz w:val="16"/>
                <w:szCs w:val="16"/>
              </w:rPr>
              <w:lastRenderedPageBreak/>
              <w:t>(comunidades campesinas, comunidades nativas, entre otros)</w:t>
            </w:r>
          </w:p>
          <w:p w14:paraId="0483D1A8" w14:textId="77777777" w:rsidR="00881C3C" w:rsidRPr="00846D49" w:rsidRDefault="00881C3C" w:rsidP="00AF5836">
            <w:pPr>
              <w:spacing w:after="0" w:line="240" w:lineRule="auto"/>
              <w:rPr>
                <w:rFonts w:ascii="Arial Narrow" w:eastAsia="Times New Roman" w:hAnsi="Arial Narrow"/>
                <w:sz w:val="16"/>
                <w:szCs w:val="16"/>
              </w:rPr>
            </w:pPr>
          </w:p>
          <w:p w14:paraId="500EBA40"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600C0722"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lastRenderedPageBreak/>
              <w:t xml:space="preserve">S3.2.4 Vigilancia de las reservas indígenas y territoriales de manera permanente para la protección de los pueblos indígenas en situación de aislamiento y situación de </w:t>
            </w:r>
            <w:r w:rsidRPr="00846D49">
              <w:rPr>
                <w:rFonts w:ascii="Arial Narrow" w:eastAsia="Times New Roman" w:hAnsi="Arial Narrow"/>
                <w:sz w:val="16"/>
                <w:szCs w:val="16"/>
              </w:rPr>
              <w:lastRenderedPageBreak/>
              <w:t>contacto inicial (PIACI) de la amazonia peruana</w:t>
            </w: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487A940B"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lastRenderedPageBreak/>
              <w:t>AO 001 Reconocimiento de los PIACI y categorización de reservas indígenas</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218E4B0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Informe</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6AE12DF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los Pueblos en Situación de Aislamiento y Contacto Inicial</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5BAE836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001-1363: Ministerio de Cultura -Administración General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50F3D25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003: Ministerio de Cultura</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34D86DB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03: Cultura</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6DF56B0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7B17E72C"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60DC11BE" w14:textId="77777777" w:rsidTr="00AF5836">
        <w:trPr>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C682D52"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39FA59D"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EA15791"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6EA94637"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AO002. Gestión para la construcción e implementación de puestos de control para la protección de reservas indígenas</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6EF7A57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xml:space="preserve">Puesto de Control </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2D92A47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los Pueblos en Situación de Aislamiento y Contacto Inicial</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6DBC168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001-1363: Ministerio de Cultura -Administración General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63BA680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003: Ministerio de Cultura</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0135CCF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03: Cultura</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0804828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300F9536"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65788B21" w14:textId="77777777" w:rsidTr="00AF5836">
        <w:trPr>
          <w:trHeight w:val="765"/>
        </w:trPr>
        <w:tc>
          <w:tcPr>
            <w:tcW w:w="384" w:type="dxa"/>
            <w:tcBorders>
              <w:top w:val="nil"/>
              <w:left w:val="single" w:sz="4" w:space="0" w:color="auto"/>
              <w:bottom w:val="single" w:sz="4" w:space="0" w:color="auto"/>
              <w:right w:val="single" w:sz="4" w:space="0" w:color="auto"/>
            </w:tcBorders>
            <w:shd w:val="clear" w:color="auto" w:fill="FFFFFF" w:themeFill="background1"/>
            <w:vAlign w:val="center"/>
          </w:tcPr>
          <w:p w14:paraId="75A19567"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49</w:t>
            </w:r>
          </w:p>
        </w:tc>
        <w:tc>
          <w:tcPr>
            <w:tcW w:w="1693" w:type="dxa"/>
            <w:tcBorders>
              <w:top w:val="nil"/>
              <w:left w:val="single" w:sz="4" w:space="0" w:color="auto"/>
              <w:bottom w:val="single" w:sz="4" w:space="0" w:color="auto"/>
              <w:right w:val="single" w:sz="4" w:space="0" w:color="auto"/>
            </w:tcBorders>
            <w:shd w:val="clear" w:color="auto" w:fill="FFFFFF" w:themeFill="background1"/>
            <w:vAlign w:val="center"/>
          </w:tcPr>
          <w:p w14:paraId="52ED7DD0"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L3.2 Desarrollar programas orientados a la mejora de la gestión y aprovechamiento sostenible de los recursos forestales y de fauna silvestre en pueblos indígenas u originarios (comunidades campesinas, comunidades nativas, entre otros)</w:t>
            </w:r>
          </w:p>
          <w:p w14:paraId="7C0075E4"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tcBorders>
              <w:top w:val="nil"/>
              <w:left w:val="single" w:sz="4" w:space="0" w:color="auto"/>
              <w:bottom w:val="single" w:sz="4" w:space="0" w:color="auto"/>
              <w:right w:val="single" w:sz="4" w:space="0" w:color="auto"/>
            </w:tcBorders>
            <w:shd w:val="clear" w:color="auto" w:fill="FFFFFF" w:themeFill="background1"/>
            <w:vAlign w:val="center"/>
          </w:tcPr>
          <w:p w14:paraId="38B7AA28"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S3.2.5 Fortalecimiento de capacidades para la creación de Unidades Técnicas de Manejo Forestal Comunitario de forma satisfactoria dirigido a las Autoridades Regionales Forestales y de Fauna Silvestre</w:t>
            </w:r>
          </w:p>
        </w:tc>
        <w:tc>
          <w:tcPr>
            <w:tcW w:w="2143" w:type="dxa"/>
            <w:tcBorders>
              <w:top w:val="nil"/>
              <w:left w:val="nil"/>
              <w:bottom w:val="single" w:sz="4" w:space="0" w:color="auto"/>
              <w:right w:val="single" w:sz="4" w:space="0" w:color="auto"/>
            </w:tcBorders>
            <w:shd w:val="clear" w:color="auto" w:fill="FFFFFF" w:themeFill="background1"/>
            <w:vAlign w:val="center"/>
          </w:tcPr>
          <w:p w14:paraId="7907A3F5"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AO001. Asistencia Técnica en aprovechamiento de los recursos forestales y de fauna silvestre</w:t>
            </w:r>
          </w:p>
        </w:tc>
        <w:tc>
          <w:tcPr>
            <w:tcW w:w="2233" w:type="dxa"/>
            <w:tcBorders>
              <w:top w:val="nil"/>
              <w:left w:val="nil"/>
              <w:bottom w:val="single" w:sz="4" w:space="0" w:color="auto"/>
              <w:right w:val="single" w:sz="4" w:space="0" w:color="auto"/>
            </w:tcBorders>
            <w:shd w:val="clear" w:color="auto" w:fill="FFFFFF" w:themeFill="background1"/>
            <w:vAlign w:val="center"/>
          </w:tcPr>
          <w:p w14:paraId="3529EFA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Persona asistida</w:t>
            </w:r>
          </w:p>
        </w:tc>
        <w:tc>
          <w:tcPr>
            <w:tcW w:w="1814" w:type="dxa"/>
            <w:tcBorders>
              <w:top w:val="nil"/>
              <w:left w:val="nil"/>
              <w:bottom w:val="single" w:sz="4" w:space="0" w:color="auto"/>
              <w:right w:val="single" w:sz="4" w:space="0" w:color="auto"/>
            </w:tcBorders>
            <w:shd w:val="clear" w:color="auto" w:fill="FFFFFF" w:themeFill="background1"/>
            <w:vAlign w:val="center"/>
          </w:tcPr>
          <w:p w14:paraId="24DAD69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Fortalecimiento de Capacidades</w:t>
            </w:r>
          </w:p>
        </w:tc>
        <w:tc>
          <w:tcPr>
            <w:tcW w:w="1553" w:type="dxa"/>
            <w:tcBorders>
              <w:top w:val="nil"/>
              <w:left w:val="nil"/>
              <w:bottom w:val="single" w:sz="4" w:space="0" w:color="auto"/>
              <w:right w:val="single" w:sz="4" w:space="0" w:color="auto"/>
            </w:tcBorders>
            <w:shd w:val="clear" w:color="auto" w:fill="FFFFFF" w:themeFill="background1"/>
            <w:vAlign w:val="center"/>
          </w:tcPr>
          <w:p w14:paraId="7A68512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tcPr>
          <w:p w14:paraId="0EFE124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tcPr>
          <w:p w14:paraId="440FB77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tcPr>
          <w:p w14:paraId="29FDEDE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tcPr>
          <w:p w14:paraId="0D9C8E10" w14:textId="77777777" w:rsidR="00881C3C" w:rsidRPr="00846D49" w:rsidRDefault="00881C3C" w:rsidP="00AF5836">
            <w:pPr>
              <w:spacing w:after="0" w:line="240" w:lineRule="auto"/>
              <w:rPr>
                <w:rFonts w:ascii="Times New Roman" w:eastAsia="Times New Roman" w:hAnsi="Times New Roman" w:cs="Times New Roman"/>
                <w:sz w:val="20"/>
                <w:szCs w:val="20"/>
              </w:rPr>
            </w:pPr>
          </w:p>
          <w:p w14:paraId="4A02B8CE"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23F8B361" w14:textId="77777777" w:rsidTr="00AF5836">
        <w:trPr>
          <w:trHeight w:val="765"/>
        </w:trPr>
        <w:tc>
          <w:tcPr>
            <w:tcW w:w="384" w:type="dxa"/>
            <w:vMerge w:val="restart"/>
            <w:tcBorders>
              <w:top w:val="nil"/>
              <w:left w:val="single" w:sz="4" w:space="0" w:color="auto"/>
              <w:right w:val="single" w:sz="4" w:space="0" w:color="auto"/>
            </w:tcBorders>
            <w:shd w:val="clear" w:color="auto" w:fill="FFFFFF" w:themeFill="background1"/>
            <w:vAlign w:val="center"/>
          </w:tcPr>
          <w:p w14:paraId="5C7E5817"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50</w:t>
            </w:r>
          </w:p>
        </w:tc>
        <w:tc>
          <w:tcPr>
            <w:tcW w:w="1693" w:type="dxa"/>
            <w:vMerge w:val="restart"/>
            <w:tcBorders>
              <w:top w:val="nil"/>
              <w:left w:val="single" w:sz="4" w:space="0" w:color="auto"/>
              <w:right w:val="single" w:sz="4" w:space="0" w:color="auto"/>
            </w:tcBorders>
            <w:shd w:val="clear" w:color="auto" w:fill="FFFFFF" w:themeFill="background1"/>
            <w:vAlign w:val="center"/>
          </w:tcPr>
          <w:p w14:paraId="760641CB"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L3.2 Desarrollar programas orientados a la mejora de la gestión y aprovechamiento sostenible de los recursos forestales y de fauna silvestre en pueblos indígenas u originarios (comunidades campesinas, comunidades nativas, entre otros)</w:t>
            </w:r>
          </w:p>
          <w:p w14:paraId="691707F9"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val="restart"/>
            <w:tcBorders>
              <w:top w:val="nil"/>
              <w:left w:val="single" w:sz="4" w:space="0" w:color="auto"/>
              <w:right w:val="single" w:sz="4" w:space="0" w:color="auto"/>
            </w:tcBorders>
            <w:shd w:val="clear" w:color="auto" w:fill="FFFFFF" w:themeFill="background1"/>
            <w:vAlign w:val="center"/>
          </w:tcPr>
          <w:p w14:paraId="3399C5C8"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S3.2.6 Fortalecimiento de capacidades en la gestión comunitaria de los recursos forestales y fauna silvestre con pertinencia cultural a pueblos indígenas u originarios</w:t>
            </w:r>
          </w:p>
        </w:tc>
        <w:tc>
          <w:tcPr>
            <w:tcW w:w="2143" w:type="dxa"/>
            <w:tcBorders>
              <w:top w:val="nil"/>
              <w:left w:val="nil"/>
              <w:bottom w:val="single" w:sz="4" w:space="0" w:color="auto"/>
              <w:right w:val="single" w:sz="4" w:space="0" w:color="auto"/>
            </w:tcBorders>
            <w:shd w:val="clear" w:color="auto" w:fill="FFFFFF" w:themeFill="background1"/>
            <w:vAlign w:val="center"/>
          </w:tcPr>
          <w:p w14:paraId="2D4559D5"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AO001. Realización de asistencia técnica en la elaboración de Planes de Desarrollo Comunal que contribuyan a la gestión forestal y de fauna silvestre para pueblos indígenas u originarios</w:t>
            </w:r>
          </w:p>
        </w:tc>
        <w:tc>
          <w:tcPr>
            <w:tcW w:w="2233" w:type="dxa"/>
            <w:tcBorders>
              <w:top w:val="nil"/>
              <w:left w:val="nil"/>
              <w:bottom w:val="single" w:sz="4" w:space="0" w:color="auto"/>
              <w:right w:val="single" w:sz="4" w:space="0" w:color="auto"/>
            </w:tcBorders>
            <w:shd w:val="clear" w:color="auto" w:fill="FFFFFF" w:themeFill="background1"/>
            <w:vAlign w:val="center"/>
          </w:tcPr>
          <w:p w14:paraId="5894017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Informe</w:t>
            </w:r>
          </w:p>
        </w:tc>
        <w:tc>
          <w:tcPr>
            <w:tcW w:w="1814" w:type="dxa"/>
            <w:tcBorders>
              <w:top w:val="nil"/>
              <w:left w:val="nil"/>
              <w:bottom w:val="single" w:sz="4" w:space="0" w:color="auto"/>
              <w:right w:val="single" w:sz="4" w:space="0" w:color="auto"/>
            </w:tcBorders>
            <w:shd w:val="clear" w:color="auto" w:fill="FFFFFF" w:themeFill="background1"/>
            <w:vAlign w:val="center"/>
          </w:tcPr>
          <w:p w14:paraId="410A12B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Ejecutiva</w:t>
            </w:r>
          </w:p>
        </w:tc>
        <w:tc>
          <w:tcPr>
            <w:tcW w:w="1553" w:type="dxa"/>
            <w:tcBorders>
              <w:top w:val="nil"/>
              <w:left w:val="nil"/>
              <w:bottom w:val="single" w:sz="4" w:space="0" w:color="auto"/>
              <w:right w:val="single" w:sz="4" w:space="0" w:color="auto"/>
            </w:tcBorders>
            <w:shd w:val="clear" w:color="auto" w:fill="FFFFFF" w:themeFill="background1"/>
            <w:vAlign w:val="center"/>
          </w:tcPr>
          <w:p w14:paraId="3A7BFAE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tcPr>
          <w:p w14:paraId="41561BC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tcPr>
          <w:p w14:paraId="1F749EA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auto"/>
            <w:vAlign w:val="center"/>
          </w:tcPr>
          <w:p w14:paraId="57F71BB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tcPr>
          <w:p w14:paraId="3DEF64BE"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6314F378" w14:textId="77777777" w:rsidTr="00AF5836">
        <w:trPr>
          <w:trHeight w:val="765"/>
        </w:trPr>
        <w:tc>
          <w:tcPr>
            <w:tcW w:w="384" w:type="dxa"/>
            <w:vMerge/>
            <w:tcBorders>
              <w:left w:val="single" w:sz="4" w:space="0" w:color="auto"/>
              <w:right w:val="single" w:sz="4" w:space="0" w:color="auto"/>
            </w:tcBorders>
            <w:shd w:val="clear" w:color="auto" w:fill="FFFFFF" w:themeFill="background1"/>
            <w:vAlign w:val="center"/>
          </w:tcPr>
          <w:p w14:paraId="1706485D"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left w:val="single" w:sz="4" w:space="0" w:color="auto"/>
              <w:right w:val="single" w:sz="4" w:space="0" w:color="auto"/>
            </w:tcBorders>
            <w:shd w:val="clear" w:color="auto" w:fill="FFFFFF" w:themeFill="background1"/>
            <w:vAlign w:val="center"/>
          </w:tcPr>
          <w:p w14:paraId="6712CD22"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left w:val="single" w:sz="4" w:space="0" w:color="auto"/>
              <w:right w:val="single" w:sz="4" w:space="0" w:color="auto"/>
            </w:tcBorders>
            <w:shd w:val="clear" w:color="auto" w:fill="FFFFFF" w:themeFill="background1"/>
            <w:vAlign w:val="center"/>
          </w:tcPr>
          <w:p w14:paraId="575477C7" w14:textId="77777777" w:rsidR="00881C3C" w:rsidRPr="00846D49" w:rsidRDefault="00881C3C" w:rsidP="00AF5836">
            <w:pPr>
              <w:spacing w:after="0" w:line="240" w:lineRule="auto"/>
              <w:rPr>
                <w:rFonts w:ascii="Arial Narrow" w:eastAsia="Times New Roman" w:hAnsi="Arial Narrow"/>
                <w:sz w:val="16"/>
                <w:szCs w:val="16"/>
                <w:highlight w:val="yellow"/>
              </w:rPr>
            </w:pPr>
          </w:p>
        </w:tc>
        <w:tc>
          <w:tcPr>
            <w:tcW w:w="2143" w:type="dxa"/>
            <w:tcBorders>
              <w:top w:val="nil"/>
              <w:left w:val="nil"/>
              <w:bottom w:val="single" w:sz="4" w:space="0" w:color="auto"/>
              <w:right w:val="single" w:sz="4" w:space="0" w:color="auto"/>
            </w:tcBorders>
            <w:shd w:val="clear" w:color="auto" w:fill="FFFFFF" w:themeFill="background1"/>
            <w:vAlign w:val="center"/>
          </w:tcPr>
          <w:p w14:paraId="5E83F2BF" w14:textId="77777777" w:rsidR="00881C3C" w:rsidRPr="00846D49" w:rsidRDefault="00881C3C" w:rsidP="00AF5836">
            <w:pPr>
              <w:spacing w:after="0" w:line="240" w:lineRule="auto"/>
              <w:rPr>
                <w:rFonts w:ascii="Arial Narrow" w:eastAsia="Times New Roman" w:hAnsi="Arial Narrow"/>
                <w:sz w:val="16"/>
                <w:szCs w:val="16"/>
                <w:highlight w:val="yellow"/>
              </w:rPr>
            </w:pPr>
            <w:r w:rsidRPr="00846D49">
              <w:rPr>
                <w:rFonts w:ascii="Arial Narrow" w:eastAsia="Times New Roman" w:hAnsi="Arial Narrow"/>
                <w:sz w:val="16"/>
                <w:szCs w:val="16"/>
              </w:rPr>
              <w:t xml:space="preserve">AO002. Ejecución de sesiones de asistencia técnica y acompañamiento para la gestión comunitaria de los recursos forestales y fauna silvestre para pueblos indígenas u originarios (comunidades nativas, comunidades campesinas, entre otros)  </w:t>
            </w:r>
          </w:p>
        </w:tc>
        <w:tc>
          <w:tcPr>
            <w:tcW w:w="2233" w:type="dxa"/>
            <w:tcBorders>
              <w:top w:val="nil"/>
              <w:left w:val="nil"/>
              <w:bottom w:val="single" w:sz="4" w:space="0" w:color="auto"/>
              <w:right w:val="single" w:sz="4" w:space="0" w:color="auto"/>
            </w:tcBorders>
            <w:shd w:val="clear" w:color="auto" w:fill="FFFFFF" w:themeFill="background1"/>
            <w:vAlign w:val="center"/>
          </w:tcPr>
          <w:p w14:paraId="070460F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Persona</w:t>
            </w:r>
          </w:p>
        </w:tc>
        <w:tc>
          <w:tcPr>
            <w:tcW w:w="1814" w:type="dxa"/>
            <w:tcBorders>
              <w:top w:val="nil"/>
              <w:left w:val="nil"/>
              <w:bottom w:val="single" w:sz="4" w:space="0" w:color="auto"/>
              <w:right w:val="single" w:sz="4" w:space="0" w:color="auto"/>
            </w:tcBorders>
            <w:shd w:val="clear" w:color="auto" w:fill="FFFFFF" w:themeFill="background1"/>
            <w:vAlign w:val="center"/>
          </w:tcPr>
          <w:p w14:paraId="4E093D9F" w14:textId="77777777" w:rsidR="00881C3C" w:rsidRPr="00846D49" w:rsidRDefault="00881C3C" w:rsidP="00AF5836">
            <w:pPr>
              <w:spacing w:after="0" w:line="240" w:lineRule="auto"/>
              <w:jc w:val="center"/>
              <w:rPr>
                <w:rFonts w:ascii="Arial Narrow" w:eastAsia="Times New Roman" w:hAnsi="Arial Narrow"/>
                <w:sz w:val="16"/>
                <w:szCs w:val="16"/>
                <w:highlight w:val="yellow"/>
              </w:rPr>
            </w:pPr>
            <w:r w:rsidRPr="00846D49">
              <w:rPr>
                <w:rFonts w:ascii="Arial Narrow" w:eastAsia="Times New Roman" w:hAnsi="Arial Narrow"/>
                <w:sz w:val="16"/>
                <w:szCs w:val="16"/>
              </w:rPr>
              <w:t>Dirección Ejecutiva</w:t>
            </w:r>
          </w:p>
        </w:tc>
        <w:tc>
          <w:tcPr>
            <w:tcW w:w="1553" w:type="dxa"/>
            <w:tcBorders>
              <w:top w:val="nil"/>
              <w:left w:val="nil"/>
              <w:bottom w:val="single" w:sz="4" w:space="0" w:color="auto"/>
              <w:right w:val="single" w:sz="4" w:space="0" w:color="auto"/>
            </w:tcBorders>
            <w:shd w:val="clear" w:color="auto" w:fill="FFFFFF" w:themeFill="background1"/>
            <w:vAlign w:val="center"/>
          </w:tcPr>
          <w:p w14:paraId="538DDEB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tcPr>
          <w:p w14:paraId="04A515A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tcPr>
          <w:p w14:paraId="4C3C69F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tcPr>
          <w:p w14:paraId="44BA928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tcPr>
          <w:p w14:paraId="44935447"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15CDC7E1" w14:textId="77777777" w:rsidTr="00AF5836">
        <w:trPr>
          <w:trHeight w:val="765"/>
        </w:trPr>
        <w:tc>
          <w:tcPr>
            <w:tcW w:w="384" w:type="dxa"/>
            <w:vMerge/>
            <w:tcBorders>
              <w:left w:val="single" w:sz="4" w:space="0" w:color="auto"/>
              <w:bottom w:val="single" w:sz="4" w:space="0" w:color="auto"/>
              <w:right w:val="single" w:sz="4" w:space="0" w:color="auto"/>
            </w:tcBorders>
            <w:shd w:val="clear" w:color="auto" w:fill="FFFFFF" w:themeFill="background1"/>
            <w:vAlign w:val="center"/>
          </w:tcPr>
          <w:p w14:paraId="35CD2DF8"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left w:val="single" w:sz="4" w:space="0" w:color="auto"/>
              <w:bottom w:val="single" w:sz="4" w:space="0" w:color="auto"/>
              <w:right w:val="single" w:sz="4" w:space="0" w:color="auto"/>
            </w:tcBorders>
            <w:shd w:val="clear" w:color="auto" w:fill="FFFFFF" w:themeFill="background1"/>
            <w:vAlign w:val="center"/>
          </w:tcPr>
          <w:p w14:paraId="1B6941BD"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left w:val="single" w:sz="4" w:space="0" w:color="auto"/>
              <w:bottom w:val="single" w:sz="4" w:space="0" w:color="auto"/>
              <w:right w:val="single" w:sz="4" w:space="0" w:color="auto"/>
            </w:tcBorders>
            <w:shd w:val="clear" w:color="auto" w:fill="FFFFFF" w:themeFill="background1"/>
            <w:vAlign w:val="center"/>
          </w:tcPr>
          <w:p w14:paraId="300B9D71" w14:textId="77777777" w:rsidR="00881C3C" w:rsidRPr="00846D49" w:rsidRDefault="00881C3C" w:rsidP="00AF5836">
            <w:pPr>
              <w:spacing w:after="0" w:line="240" w:lineRule="auto"/>
              <w:rPr>
                <w:rFonts w:ascii="Arial Narrow" w:eastAsia="Times New Roman" w:hAnsi="Arial Narrow"/>
                <w:sz w:val="16"/>
                <w:szCs w:val="16"/>
                <w:highlight w:val="yellow"/>
              </w:rPr>
            </w:pPr>
          </w:p>
        </w:tc>
        <w:tc>
          <w:tcPr>
            <w:tcW w:w="2143" w:type="dxa"/>
            <w:tcBorders>
              <w:top w:val="nil"/>
              <w:left w:val="nil"/>
              <w:bottom w:val="single" w:sz="4" w:space="0" w:color="auto"/>
              <w:right w:val="single" w:sz="4" w:space="0" w:color="auto"/>
            </w:tcBorders>
            <w:shd w:val="clear" w:color="auto" w:fill="FFFFFF" w:themeFill="background1"/>
            <w:vAlign w:val="center"/>
          </w:tcPr>
          <w:p w14:paraId="48A3D137" w14:textId="77777777" w:rsidR="00881C3C" w:rsidRPr="00846D49" w:rsidRDefault="00881C3C" w:rsidP="00AF5836">
            <w:pPr>
              <w:spacing w:after="0" w:line="240" w:lineRule="auto"/>
              <w:rPr>
                <w:rFonts w:ascii="Arial Narrow" w:eastAsia="Times New Roman" w:hAnsi="Arial Narrow"/>
                <w:sz w:val="16"/>
                <w:szCs w:val="16"/>
                <w:highlight w:val="yellow"/>
              </w:rPr>
            </w:pPr>
            <w:r w:rsidRPr="00846D49">
              <w:rPr>
                <w:rFonts w:ascii="Arial Narrow" w:eastAsia="Times New Roman" w:hAnsi="Arial Narrow"/>
                <w:sz w:val="16"/>
                <w:szCs w:val="16"/>
              </w:rPr>
              <w:t xml:space="preserve">AO003. Capacitación y acompañamiento en las formas de organización, prácticas de manejo y practicas sociales comunitarias para pueblos indígenas u originarios (comunidades nativas, </w:t>
            </w:r>
            <w:r w:rsidRPr="00846D49">
              <w:rPr>
                <w:rFonts w:ascii="Arial Narrow" w:eastAsia="Times New Roman" w:hAnsi="Arial Narrow"/>
                <w:sz w:val="16"/>
                <w:szCs w:val="16"/>
              </w:rPr>
              <w:lastRenderedPageBreak/>
              <w:t xml:space="preserve">comunidades campesinas, entre otros)  </w:t>
            </w:r>
          </w:p>
        </w:tc>
        <w:tc>
          <w:tcPr>
            <w:tcW w:w="2233" w:type="dxa"/>
            <w:tcBorders>
              <w:top w:val="nil"/>
              <w:left w:val="nil"/>
              <w:bottom w:val="single" w:sz="4" w:space="0" w:color="auto"/>
              <w:right w:val="single" w:sz="4" w:space="0" w:color="auto"/>
            </w:tcBorders>
            <w:shd w:val="clear" w:color="auto" w:fill="FFFFFF" w:themeFill="background1"/>
            <w:vAlign w:val="center"/>
          </w:tcPr>
          <w:p w14:paraId="4F9E0AA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lastRenderedPageBreak/>
              <w:t>Persona</w:t>
            </w:r>
          </w:p>
        </w:tc>
        <w:tc>
          <w:tcPr>
            <w:tcW w:w="1814" w:type="dxa"/>
            <w:tcBorders>
              <w:top w:val="nil"/>
              <w:left w:val="nil"/>
              <w:bottom w:val="single" w:sz="4" w:space="0" w:color="auto"/>
              <w:right w:val="single" w:sz="4" w:space="0" w:color="auto"/>
            </w:tcBorders>
            <w:shd w:val="clear" w:color="auto" w:fill="FFFFFF" w:themeFill="background1"/>
            <w:vAlign w:val="center"/>
          </w:tcPr>
          <w:p w14:paraId="7D0BF3DF" w14:textId="77777777" w:rsidR="00881C3C" w:rsidRPr="00846D49" w:rsidRDefault="00881C3C" w:rsidP="00AF5836">
            <w:pPr>
              <w:spacing w:after="0" w:line="240" w:lineRule="auto"/>
              <w:jc w:val="center"/>
              <w:rPr>
                <w:rFonts w:ascii="Arial Narrow" w:eastAsia="Times New Roman" w:hAnsi="Arial Narrow"/>
                <w:sz w:val="16"/>
                <w:szCs w:val="16"/>
                <w:highlight w:val="yellow"/>
              </w:rPr>
            </w:pPr>
            <w:r w:rsidRPr="00846D49">
              <w:rPr>
                <w:rFonts w:ascii="Arial Narrow" w:eastAsia="Times New Roman" w:hAnsi="Arial Narrow"/>
                <w:sz w:val="16"/>
                <w:szCs w:val="16"/>
              </w:rPr>
              <w:t>Dirección Ejecutiva</w:t>
            </w:r>
          </w:p>
        </w:tc>
        <w:tc>
          <w:tcPr>
            <w:tcW w:w="1553" w:type="dxa"/>
            <w:tcBorders>
              <w:top w:val="nil"/>
              <w:left w:val="nil"/>
              <w:bottom w:val="single" w:sz="4" w:space="0" w:color="auto"/>
              <w:right w:val="single" w:sz="4" w:space="0" w:color="auto"/>
            </w:tcBorders>
            <w:shd w:val="clear" w:color="auto" w:fill="FFFFFF" w:themeFill="background1"/>
            <w:vAlign w:val="center"/>
          </w:tcPr>
          <w:p w14:paraId="4E97A33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tcPr>
          <w:p w14:paraId="2A5DD39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tcPr>
          <w:p w14:paraId="6C8B3AC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tcPr>
          <w:p w14:paraId="345B700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tcPr>
          <w:p w14:paraId="32E4FD14"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2C35C971" w14:textId="77777777" w:rsidTr="00AF5836">
        <w:trPr>
          <w:trHeight w:val="765"/>
        </w:trPr>
        <w:tc>
          <w:tcPr>
            <w:tcW w:w="384" w:type="dxa"/>
            <w:tcBorders>
              <w:top w:val="nil"/>
              <w:left w:val="single" w:sz="4" w:space="0" w:color="auto"/>
              <w:bottom w:val="single" w:sz="4" w:space="0" w:color="auto"/>
              <w:right w:val="single" w:sz="4" w:space="0" w:color="auto"/>
            </w:tcBorders>
            <w:shd w:val="clear" w:color="auto" w:fill="FFFFFF" w:themeFill="background1"/>
            <w:vAlign w:val="center"/>
          </w:tcPr>
          <w:p w14:paraId="1279AD87"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51</w:t>
            </w:r>
          </w:p>
        </w:tc>
        <w:tc>
          <w:tcPr>
            <w:tcW w:w="1693" w:type="dxa"/>
            <w:tcBorders>
              <w:left w:val="single" w:sz="4" w:space="0" w:color="auto"/>
              <w:bottom w:val="single" w:sz="4" w:space="0" w:color="auto"/>
              <w:right w:val="single" w:sz="4" w:space="0" w:color="auto"/>
            </w:tcBorders>
            <w:shd w:val="clear" w:color="auto" w:fill="FFFFFF" w:themeFill="background1"/>
            <w:vAlign w:val="center"/>
          </w:tcPr>
          <w:p w14:paraId="6102BCA7"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L3.2 Desarrollar programas orientados a la mejora de la gestión y aprovechamiento sostenible de los recursos forestales y de fauna silvestre en pueblos indígenas u originarios (comunidades campesinas, comunidades nativas, entre otros)</w:t>
            </w:r>
          </w:p>
          <w:p w14:paraId="410C3DBE"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tcBorders>
              <w:left w:val="single" w:sz="4" w:space="0" w:color="auto"/>
              <w:bottom w:val="single" w:sz="4" w:space="0" w:color="auto"/>
              <w:right w:val="single" w:sz="4" w:space="0" w:color="auto"/>
            </w:tcBorders>
            <w:shd w:val="clear" w:color="auto" w:fill="FFFFFF" w:themeFill="background1"/>
            <w:vAlign w:val="center"/>
          </w:tcPr>
          <w:p w14:paraId="0DA96B28" w14:textId="77777777" w:rsidR="00881C3C" w:rsidRPr="00846D49" w:rsidRDefault="00881C3C" w:rsidP="00AF5836">
            <w:pPr>
              <w:spacing w:after="0" w:line="240" w:lineRule="auto"/>
              <w:rPr>
                <w:rFonts w:ascii="Arial Narrow" w:eastAsia="Times New Roman" w:hAnsi="Arial Narrow"/>
                <w:sz w:val="16"/>
                <w:szCs w:val="16"/>
                <w:highlight w:val="yellow"/>
              </w:rPr>
            </w:pPr>
            <w:r w:rsidRPr="00846D49">
              <w:rPr>
                <w:rFonts w:ascii="Arial Narrow" w:eastAsia="Times New Roman" w:hAnsi="Arial Narrow"/>
                <w:sz w:val="16"/>
                <w:szCs w:val="16"/>
              </w:rPr>
              <w:t>3.2.7 Otorgamiento de contratos de administración en Áreas Naturales Protegidas del Sistema Nacional de Áreas Naturales Protegidas de forma oportuna para actores estratégicos vinculados a la conservación de la diversidad biológica</w:t>
            </w:r>
          </w:p>
        </w:tc>
        <w:tc>
          <w:tcPr>
            <w:tcW w:w="2143" w:type="dxa"/>
            <w:tcBorders>
              <w:top w:val="nil"/>
              <w:left w:val="nil"/>
              <w:bottom w:val="single" w:sz="4" w:space="0" w:color="auto"/>
              <w:right w:val="single" w:sz="4" w:space="0" w:color="auto"/>
            </w:tcBorders>
            <w:shd w:val="clear" w:color="auto" w:fill="FFFFFF" w:themeFill="background1"/>
            <w:vAlign w:val="center"/>
          </w:tcPr>
          <w:p w14:paraId="37809BCC"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AO001 Implementación de mecanismos participativos de conservación en Áreas Naturales Protegidas</w:t>
            </w:r>
          </w:p>
        </w:tc>
        <w:tc>
          <w:tcPr>
            <w:tcW w:w="2233" w:type="dxa"/>
            <w:tcBorders>
              <w:top w:val="nil"/>
              <w:left w:val="nil"/>
              <w:bottom w:val="single" w:sz="4" w:space="0" w:color="auto"/>
              <w:right w:val="single" w:sz="4" w:space="0" w:color="auto"/>
            </w:tcBorders>
            <w:shd w:val="clear" w:color="auto" w:fill="FFFFFF" w:themeFill="background1"/>
            <w:vAlign w:val="center"/>
          </w:tcPr>
          <w:p w14:paraId="5BE5B8C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Hectárea</w:t>
            </w:r>
          </w:p>
        </w:tc>
        <w:tc>
          <w:tcPr>
            <w:tcW w:w="1814" w:type="dxa"/>
            <w:tcBorders>
              <w:top w:val="nil"/>
              <w:left w:val="nil"/>
              <w:bottom w:val="single" w:sz="4" w:space="0" w:color="auto"/>
              <w:right w:val="single" w:sz="4" w:space="0" w:color="auto"/>
            </w:tcBorders>
            <w:shd w:val="clear" w:color="auto" w:fill="FFFFFF" w:themeFill="background1"/>
            <w:vAlign w:val="center"/>
          </w:tcPr>
          <w:p w14:paraId="16EE71B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Gestión de las Áreas Naturales Protegidas-DGANP</w:t>
            </w:r>
          </w:p>
        </w:tc>
        <w:tc>
          <w:tcPr>
            <w:tcW w:w="1553" w:type="dxa"/>
            <w:tcBorders>
              <w:top w:val="nil"/>
              <w:left w:val="nil"/>
              <w:bottom w:val="single" w:sz="4" w:space="0" w:color="auto"/>
              <w:right w:val="single" w:sz="4" w:space="0" w:color="auto"/>
            </w:tcBorders>
            <w:shd w:val="clear" w:color="auto" w:fill="FFFFFF" w:themeFill="background1"/>
            <w:vAlign w:val="center"/>
          </w:tcPr>
          <w:p w14:paraId="548CBDD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001-1309: Servicio Nacional de Áreas Naturales Protegidas por El Estado - SERNANP</w:t>
            </w:r>
          </w:p>
        </w:tc>
        <w:tc>
          <w:tcPr>
            <w:tcW w:w="1560" w:type="dxa"/>
            <w:tcBorders>
              <w:top w:val="nil"/>
              <w:left w:val="nil"/>
              <w:bottom w:val="single" w:sz="4" w:space="0" w:color="auto"/>
              <w:right w:val="single" w:sz="4" w:space="0" w:color="auto"/>
            </w:tcBorders>
            <w:shd w:val="clear" w:color="auto" w:fill="FFFFFF" w:themeFill="background1"/>
            <w:vAlign w:val="center"/>
          </w:tcPr>
          <w:p w14:paraId="365BA47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050: Servicio Nacional de Áreas Naturales Protegidas por El Estado - SERNANP</w:t>
            </w:r>
          </w:p>
        </w:tc>
        <w:tc>
          <w:tcPr>
            <w:tcW w:w="1218" w:type="dxa"/>
            <w:tcBorders>
              <w:top w:val="nil"/>
              <w:left w:val="nil"/>
              <w:bottom w:val="single" w:sz="4" w:space="0" w:color="auto"/>
              <w:right w:val="single" w:sz="4" w:space="0" w:color="auto"/>
            </w:tcBorders>
            <w:shd w:val="clear" w:color="auto" w:fill="FFFFFF" w:themeFill="background1"/>
            <w:vAlign w:val="center"/>
          </w:tcPr>
          <w:p w14:paraId="74C14E6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05: Ambiental</w:t>
            </w:r>
          </w:p>
        </w:tc>
        <w:tc>
          <w:tcPr>
            <w:tcW w:w="1373" w:type="dxa"/>
            <w:tcBorders>
              <w:top w:val="nil"/>
              <w:left w:val="nil"/>
              <w:bottom w:val="single" w:sz="4" w:space="0" w:color="auto"/>
              <w:right w:val="single" w:sz="4" w:space="0" w:color="auto"/>
            </w:tcBorders>
            <w:shd w:val="clear" w:color="auto" w:fill="FFFFFF" w:themeFill="background1"/>
            <w:vAlign w:val="center"/>
          </w:tcPr>
          <w:p w14:paraId="36E8E7A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tcPr>
          <w:p w14:paraId="200CF593"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24BD9EBC" w14:textId="77777777" w:rsidTr="00AF5836">
        <w:trPr>
          <w:trHeight w:val="765"/>
        </w:trPr>
        <w:tc>
          <w:tcPr>
            <w:tcW w:w="384"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267DC10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52</w:t>
            </w:r>
          </w:p>
        </w:tc>
        <w:tc>
          <w:tcPr>
            <w:tcW w:w="1693"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41620BBF"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L 3.3 Gestionar la información y el conocimiento en materia forestal y de fauna silvestre producido por los actores forestales y de fauna silvestre</w:t>
            </w:r>
          </w:p>
        </w:tc>
        <w:tc>
          <w:tcPr>
            <w:tcW w:w="180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696963B1" w14:textId="2A2823E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 xml:space="preserve">S3.3.1 </w:t>
            </w:r>
            <w:r w:rsidR="007323E9" w:rsidRPr="00846D49">
              <w:rPr>
                <w:rFonts w:ascii="Arial Narrow" w:eastAsia="Times New Roman" w:hAnsi="Arial Narrow"/>
                <w:sz w:val="16"/>
                <w:szCs w:val="16"/>
              </w:rPr>
              <w:t>Sistematización de la información forestal y de fauna silvestre de forma oportuna para las Autoridades Regionales Forestales y de Fauna Silvestre</w:t>
            </w: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0B227E2E"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 xml:space="preserve">AO001. Ejecución del monitoreo de la deforestación por cambio de uso no autorizado, análisis de denuncias forestales y coordinación nacional con el nivel regional </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454F6E5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Reporte</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134A0D2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General de Información y Ordenamiento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1AE848F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5C433E5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1ABB3B9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1BE9DB3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758C5C4B"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7C695EF3" w14:textId="77777777" w:rsidTr="00AF5836">
        <w:trPr>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97F64F2"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75058CD"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06B95D9"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6A609CD1"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AO002. Generación y difusión de reportes de monitoreo de incendios forestales para la rápida acción</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176CE8DA"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Reporte</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482DAE6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General de Información y Ordenamiento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1B87F8D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4A6200A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2CC021D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61DF3C2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4C127D9A"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1B154E33" w14:textId="77777777" w:rsidTr="00AF5836">
        <w:trPr>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16C8098"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A8E2BD8"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B34FB92"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6AA404C6"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 xml:space="preserve">AO003. Fortalecimiento de capacidades a las ARFFS en el uso de protocolos y/o manuales para el monitoreo de la tala y la reforestación por cambio de uso desde la plataforma del SM-MSIPF </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3158202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Persona capacitada</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1CD58A0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General de Información y Ordenamiento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471CE19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3A066C4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2374387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3CA6AC7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6133CB90"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387132BB" w14:textId="77777777" w:rsidTr="00AF5836">
        <w:trPr>
          <w:trHeight w:val="434"/>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B65A9CF"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6303547"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278BEC9"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0D3BDE45"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AO004. Implementación en el marco del sistema nacional de información forestal y de fauna silvestre - SNIFFS</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4CCAA7D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Documento</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1596252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General de Información y Ordenamiento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3C1CCDB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380BEEC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3CD4C66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49CB288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11DF23E8"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3327720A" w14:textId="77777777" w:rsidTr="00AF5836">
        <w:trPr>
          <w:trHeight w:val="434"/>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9B3F34B"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7896966"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D9D5023"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07181FA4"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AO005. Generación, estandarización y gestión de la información biofísica y espacial prioritaria para la cuenta satélite forestal</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438290A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Documento</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02F4016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Inventario y Valoración</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65E5AE3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375A6FB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237CC59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04B5840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4296EDA4"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2FEF6D24" w14:textId="77777777" w:rsidTr="00AF5836">
        <w:trPr>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B4EABB9"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41E93A0"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4123C8B"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4AA944B0"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AO006. Elaboración de Diseño de herramientas económicas o metodología que contribuya a la gestión sostenible del patrimonio forestal y de fauna silvestre</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5ABCE38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Documento</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1B70EEA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Inventario y Valoración</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56817E1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40CF6CB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708A3D9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026A6C0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47C01B98"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647DE644" w14:textId="77777777" w:rsidTr="00AF5836">
        <w:trPr>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F3ABD2C"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B77F236"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393E86C"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7C4832CD"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AO007. Elaboración de Diagnostico situacional de cinco especies forestales relevantes para el sector forestal</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78D1CBD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Documento</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2385201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Inventario y Valoración</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452DD6D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0A98F6C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29406BB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277023A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14142937"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02E66CD9" w14:textId="77777777" w:rsidTr="00AF5836">
        <w:trPr>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CF79CE3"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24A96AB"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282EEAC"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440AFA13"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AO008. Elaboración de Análisis de resultados del inventario nacional forestal y de fauna silvestre</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7428909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Documento</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533F6A4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Inventario y Valoración</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42DC66C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1C5FC35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20D60C1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4E9BAC1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4526F734"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7ED2B54A" w14:textId="77777777" w:rsidTr="00AF5836">
        <w:trPr>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CEA63F9"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70A2891"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BC31CBD"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1732653D"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AO009. Elaboración de las listas sectoriales regionales de ecosistemas frágiles para la gestión sostenible de sus recursos forestales y de fauna silvestre</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0362A23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Documento</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79F4DAC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Inventario y Valoración</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417A389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08D9141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0AE4115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6A7A1AC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6962653D"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2FD67DB9" w14:textId="77777777" w:rsidTr="00AF5836">
        <w:trPr>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481D9CE"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48DB2D7"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B12B773"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58148C58"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AO010. Sistematización, evaluación y gestión del módulo de inventarios del SNIFFS</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2758F67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Documento</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1AF32B2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Inventario y Valoración</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7DCBA32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083DFDA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4D38F9C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1DD27E9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2F501F88"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79582436" w14:textId="77777777" w:rsidTr="00AF5836">
        <w:trPr>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2A1E977"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8864A1B"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2D5B969"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1C36D58D"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AO011. Gestión de la base de datos del INFFS y asistencia técnica en inventarios forestales a los gobiernos regionales</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7EAB44F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Documento</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0B824B5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Inventario y Valoración</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20903F4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58D7C93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694E9DE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080C110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51F684F9"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0F4BB3EC" w14:textId="77777777" w:rsidTr="00AF5836">
        <w:trPr>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5723111"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8D11FFC"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9C4D2FA"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2EDE7ECA"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 xml:space="preserve">AO012. Elaboración de procedimientos y metodologías para el inventario nacional forestal </w:t>
            </w:r>
            <w:r w:rsidRPr="00846D49">
              <w:rPr>
                <w:rFonts w:ascii="Arial Narrow" w:eastAsia="Times New Roman" w:hAnsi="Arial Narrow"/>
                <w:sz w:val="16"/>
                <w:szCs w:val="16"/>
              </w:rPr>
              <w:lastRenderedPageBreak/>
              <w:t>y de fauna silvestre, y de plantaciones forestales</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28B2C72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lastRenderedPageBreak/>
              <w:t>Documento</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6D8FE13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Inventario y Valoración</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43C0BD7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w:t>
            </w:r>
            <w:r w:rsidRPr="00846D49">
              <w:rPr>
                <w:rFonts w:ascii="Arial Narrow" w:eastAsia="Times New Roman" w:hAnsi="Arial Narrow"/>
                <w:sz w:val="16"/>
                <w:szCs w:val="16"/>
              </w:rPr>
              <w:lastRenderedPageBreak/>
              <w:t>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54319C6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lastRenderedPageBreak/>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0E4A064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48DF394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36A5BCE0"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534E6AC9" w14:textId="77777777" w:rsidTr="00AF5836">
        <w:trPr>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6421057"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F79CEDF"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F01FEC1"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1A96FF5E"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AO013. Generación de una base de datos y evaluación de inventarios forestales</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2DCF770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Documento</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0B1695D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Inventario y Valoración</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7C7E754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1A66E6E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78B54DA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5E7238F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5F016361"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3BCB32F3" w14:textId="77777777" w:rsidTr="00AF5836">
        <w:trPr>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263861A"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F1C4832"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B0A7B36"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1C259751"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AO014. Automatización y actualización del componente estadístico del sistema nacional de información forestal y de fauna silvestre - SNIFFS</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692AC9F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Documento</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2992731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Información y Registro</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72558D2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5714BE3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51D18AC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6EC710B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65D87346"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4C63FB56" w14:textId="77777777" w:rsidTr="00AF5836">
        <w:trPr>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D6E6B0A"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00D6BE0"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DF032FC"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32E0D9BF"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 xml:space="preserve">AO015. Recopilación, elaboración y difusión de información forestal y fauna silvestre en el portal institucional  </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770E32F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Documento</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76C587D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Información y Registro</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12F83A5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57E3C8B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5898FB6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7FF0E10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56F692A0"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5BB807B9" w14:textId="77777777" w:rsidTr="00AF5836">
        <w:trPr>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2ADEBB5"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53853F2"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CF958E8"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34D4AEFF"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AO016. Actualización del registro nacional de plantaciones forestales y capacitación al personal de la ARFFS en el uso del aplicativo de registro nacional de plantaciones forestales.</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5E4A4A1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Documento</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630881C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Información y Registro</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5867CF6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218CF5B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37BB500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27F9577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239D1193"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6425C48C" w14:textId="77777777" w:rsidTr="00AF5836">
        <w:trPr>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E0D1D72"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82F8512"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210B12B"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0569B037"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AO017. Implementación y capacitación en el aplicativo de captura y esquila de vicuñas en ATFFS y GORE.</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4299EF8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Persona capacitada</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26877ED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Información y Registro</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371AB62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16CBF10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28E99B9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2502BCB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750F39B5"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629A702D" w14:textId="77777777" w:rsidTr="00AF5836">
        <w:trPr>
          <w:trHeight w:val="89"/>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7F20900"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B500C2F"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8F02FFC"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016D7FE9"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AO018. Actualización del catastro forestal proveniente de las instituciones generadoras de información de la gestión forestal en el marco del SNIFFS</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60D0CB4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Informe</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4514825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Catastro, Zonificación y Ordenamiento</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3ED95DC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33F0A0F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315D257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5D72FD0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1F60E0BD"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1C6E053E" w14:textId="77777777" w:rsidTr="00AF5836">
        <w:trPr>
          <w:trHeight w:val="434"/>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9CE4D0E"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A6F02B4"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FC78D74"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558A81B7"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 xml:space="preserve">AO019. Asistencia técnica a GORES y ATFFS en la generación de información de concesiones, permisos y autorizaciones forestales </w:t>
            </w:r>
            <w:r w:rsidRPr="00846D49">
              <w:rPr>
                <w:rFonts w:ascii="Arial Narrow" w:eastAsia="Times New Roman" w:hAnsi="Arial Narrow"/>
                <w:sz w:val="16"/>
                <w:szCs w:val="16"/>
              </w:rPr>
              <w:lastRenderedPageBreak/>
              <w:t>aprobados, para la integración e interoperabilidad de la información del catastro forestal y de fauna silvestre en el marco del SNIFFS</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3D9F3CF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lastRenderedPageBreak/>
              <w:t>Persona asistida</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20F1E63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Catastro, Zonificación y Ordenamiento</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7B1A48D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3A6A218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1495DAF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53FF01A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78EFA3DB"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27CE9CF7" w14:textId="77777777" w:rsidTr="00AF5836">
        <w:trPr>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3CBD897"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E40F41D"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CE205E2"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260860A2"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AO020. Sistematización, evaluación y gestión del componente catastro forestal del SNIFFS</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2A6FDCC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Documento</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207675E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Catastro, Zonificación y Ordenamiento</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7B96A33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5D0075E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75B91C8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5988448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5BBAC96F"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1F2439B0" w14:textId="77777777" w:rsidTr="00AF5836">
        <w:trPr>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C6869F3"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CB56E4A"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754CCA6"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7B3BC5E2"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AO021. Sistematización, evaluación y gestión del submódulo monitoreo de la zonificación forestal del SNIFFS</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3F23572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Documento</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49D43EB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Catastro, Zonificación y Ordenamiento</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6E77363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6E66E0B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7BC7FAD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41EED7A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02D421E0"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54BE5792" w14:textId="77777777" w:rsidTr="00AF5836">
        <w:trPr>
          <w:trHeight w:val="1020"/>
        </w:trPr>
        <w:tc>
          <w:tcPr>
            <w:tcW w:w="384"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4BC5C7F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53</w:t>
            </w:r>
          </w:p>
        </w:tc>
        <w:tc>
          <w:tcPr>
            <w:tcW w:w="1693"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7D9533F5"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L 3.3 Gestionar la información y el conocimiento en materia forestal y de fauna silvestre producido por los actores forestales y de fauna silvestre</w:t>
            </w:r>
          </w:p>
        </w:tc>
        <w:tc>
          <w:tcPr>
            <w:tcW w:w="180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5FF7270D"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S3.3.2 Difusión de información sobre supervisión, fiscalización y capacitación de forma accesible para las entidades públicas, privadas y sociedad civil.</w:t>
            </w: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27A2110A"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 xml:space="preserve">AO001. Evaluación, monitoreo y control de calidad de la información registrada del SIGOsfc. </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0F74750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Informe</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01B9DFC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Evaluación y Desarrollo de Capacidades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52CA165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001-1319: Organismo de supervisión de los recursos forestales y de fauna silvestre - OSINFOR</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2DC864B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024: Organismo de supervisión de los recursos forestales y de fauna silvestre</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7BCCD88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01: Presidencia Concejo Ministros</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7C9AE21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5CE19281"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7CDFAE2B" w14:textId="77777777" w:rsidTr="00AF5836">
        <w:trPr>
          <w:trHeight w:val="102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5326DC8"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AAA6128"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55E0AA9"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53CBA1AD"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AO002. Conducción y promoción de la mejora continua del SIGOsfc</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4606511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Informe</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7B62117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Evaluación y Desarrollo de Capacidades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7C44AC7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001-1319: Organismo de supervisión de los recursos forestales y de fauna silvestre - OSINFOR</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719A225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024: Organismo de supervisión de los recursos forestales y de fauna silvestre</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4123F88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01: Presidencia Concejo Ministros</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1C01872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01AA49D9"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72A369A5" w14:textId="77777777" w:rsidTr="00AF5836">
        <w:trPr>
          <w:trHeight w:val="102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C29AB7F"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5A50086"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6120945"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6CFA67D1"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AO003. Seguimiento de las actividades de interoperabilidad e integración con los sistemas del OSINFOR</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5D6DAF4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Informe</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53E9A4B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Evaluación y Desarrollo de Capacidades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4561A2C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001-1319: Organismo de supervisión de los recursos forestales y de fauna silvestre - OSINFOR</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4DAD938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024: Organismo de supervisión de los recursos forestales y de fauna silvestre</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1700FAC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01: Presidencia Concejo Ministros</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1BA19D9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2227F9B5"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45F308D8" w14:textId="77777777" w:rsidTr="00AF5836">
        <w:trPr>
          <w:trHeight w:val="1275"/>
        </w:trPr>
        <w:tc>
          <w:tcPr>
            <w:tcW w:w="384" w:type="dxa"/>
            <w:tcBorders>
              <w:top w:val="nil"/>
              <w:left w:val="single" w:sz="4" w:space="0" w:color="auto"/>
              <w:bottom w:val="single" w:sz="4" w:space="0" w:color="auto"/>
              <w:right w:val="single" w:sz="4" w:space="0" w:color="auto"/>
            </w:tcBorders>
            <w:shd w:val="clear" w:color="auto" w:fill="FFFFFF" w:themeFill="background1"/>
            <w:vAlign w:val="center"/>
            <w:hideMark/>
          </w:tcPr>
          <w:p w14:paraId="0218D76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54</w:t>
            </w:r>
          </w:p>
        </w:tc>
        <w:tc>
          <w:tcPr>
            <w:tcW w:w="1693" w:type="dxa"/>
            <w:tcBorders>
              <w:top w:val="nil"/>
              <w:left w:val="nil"/>
              <w:bottom w:val="single" w:sz="4" w:space="0" w:color="auto"/>
              <w:right w:val="single" w:sz="4" w:space="0" w:color="auto"/>
            </w:tcBorders>
            <w:shd w:val="clear" w:color="auto" w:fill="FFFFFF" w:themeFill="background1"/>
            <w:vAlign w:val="center"/>
            <w:hideMark/>
          </w:tcPr>
          <w:p w14:paraId="0E0D4D70"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L 3.3 Gestionar la información y el conocimiento en materia forestal y de fauna silvestre producido por los actores forestales y de fauna silvestre</w:t>
            </w:r>
          </w:p>
        </w:tc>
        <w:tc>
          <w:tcPr>
            <w:tcW w:w="1800" w:type="dxa"/>
            <w:tcBorders>
              <w:top w:val="nil"/>
              <w:left w:val="nil"/>
              <w:bottom w:val="single" w:sz="4" w:space="0" w:color="auto"/>
              <w:right w:val="single" w:sz="4" w:space="0" w:color="auto"/>
            </w:tcBorders>
            <w:shd w:val="clear" w:color="auto" w:fill="FFFFFF" w:themeFill="background1"/>
            <w:vAlign w:val="center"/>
            <w:hideMark/>
          </w:tcPr>
          <w:p w14:paraId="2F607731"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S3.3.3 Asistencia técnica para la generación de información sobre las potencialidades y limitaciones del territorio de forma fiable a los gobiernos regionales</w:t>
            </w: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22C95171"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AO001.Gestión del sistema de Información Geográfica para contribuir al monitoreo y evaluación del territorio: plataforma de servicios del Geoservidor</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2046303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Hectárea</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3FB3C75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General de Ordenamiento Territorial Ambiental - DGOTA</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6EF2C13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xml:space="preserve">001-1293: Ministerio del Ambiente – Administración General. </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71EA99A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005: Ministerio del Ambiente</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501519C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05: Ambiental</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548B6C4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03C55FA6"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7873C035" w14:textId="77777777" w:rsidTr="00AF5836">
        <w:trPr>
          <w:trHeight w:val="576"/>
        </w:trPr>
        <w:tc>
          <w:tcPr>
            <w:tcW w:w="384"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14:paraId="17A7206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lastRenderedPageBreak/>
              <w:t>55</w:t>
            </w:r>
          </w:p>
        </w:tc>
        <w:tc>
          <w:tcPr>
            <w:tcW w:w="1693"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0192283F"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L.3.3.  Gestionar la información y el conocimiento en materia forestal y de fauna silvestre producido por los actores forestales y de fauna silvestre</w:t>
            </w:r>
          </w:p>
        </w:tc>
        <w:tc>
          <w:tcPr>
            <w:tcW w:w="1800"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14:paraId="5F1EA7CA"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S.3.3.4. Asistencia técnica para la formulación e implementación de planes de mejora continua e innovación publica de forma pertinente dirigida a las Autoridades Regionales Forestales y de Fauna Silvestre</w:t>
            </w: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3617E559"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AO001. Sistematización de conocimientos ancestrales de las comunidades nativas y campesinas en materia forestal y de fauna silvestre</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4DC65B0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Documento</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4D9EF14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General de Gestión del Conocimiento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659A696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6FC9D0D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2C5D5B5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1486CC7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125F98C0"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0D024662" w14:textId="77777777" w:rsidTr="00AF5836">
        <w:trPr>
          <w:trHeight w:val="76"/>
        </w:trPr>
        <w:tc>
          <w:tcPr>
            <w:tcW w:w="384"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0BA1B5E1"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5CB3FB2"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71576A06"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418B6AA1"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 xml:space="preserve">AO002. Difusión de Resultados de Sistematización de conocimientos ancestrales de las comunidades nativas y campesinas en materia forestal y de fauna silvestre, con pertinencia intercultural y lingüística </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1C86857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Eventos</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6FBB246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General de Gestión del Conocimiento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7970A57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7189820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434F1E3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4D47EB3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5B169941"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3CF520EA" w14:textId="77777777" w:rsidTr="00AF5836">
        <w:trPr>
          <w:trHeight w:val="576"/>
        </w:trPr>
        <w:tc>
          <w:tcPr>
            <w:tcW w:w="384" w:type="dxa"/>
            <w:tcBorders>
              <w:top w:val="nil"/>
              <w:left w:val="single" w:sz="4" w:space="0" w:color="auto"/>
              <w:bottom w:val="single" w:sz="4" w:space="0" w:color="auto"/>
              <w:right w:val="single" w:sz="4" w:space="0" w:color="auto"/>
            </w:tcBorders>
            <w:shd w:val="clear" w:color="auto" w:fill="FFFFFF" w:themeFill="background1"/>
            <w:vAlign w:val="center"/>
            <w:hideMark/>
          </w:tcPr>
          <w:p w14:paraId="2B52C31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56</w:t>
            </w:r>
          </w:p>
        </w:tc>
        <w:tc>
          <w:tcPr>
            <w:tcW w:w="1693" w:type="dxa"/>
            <w:tcBorders>
              <w:top w:val="nil"/>
              <w:left w:val="nil"/>
              <w:bottom w:val="single" w:sz="4" w:space="0" w:color="auto"/>
              <w:right w:val="single" w:sz="4" w:space="0" w:color="auto"/>
            </w:tcBorders>
            <w:shd w:val="clear" w:color="auto" w:fill="FFFFFF" w:themeFill="background1"/>
            <w:vAlign w:val="center"/>
            <w:hideMark/>
          </w:tcPr>
          <w:p w14:paraId="21123620"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L3.3 Gestionar la información y el conocimiento en materia forestal y de fauna silvestre producido por los actores forestales y de fauna silvestre</w:t>
            </w:r>
          </w:p>
        </w:tc>
        <w:tc>
          <w:tcPr>
            <w:tcW w:w="1800" w:type="dxa"/>
            <w:tcBorders>
              <w:top w:val="nil"/>
              <w:left w:val="nil"/>
              <w:bottom w:val="single" w:sz="4" w:space="0" w:color="auto"/>
              <w:right w:val="single" w:sz="4" w:space="0" w:color="auto"/>
            </w:tcBorders>
            <w:shd w:val="clear" w:color="auto" w:fill="FFFFFF" w:themeFill="background1"/>
            <w:vAlign w:val="center"/>
            <w:hideMark/>
          </w:tcPr>
          <w:p w14:paraId="52B32006"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S3.3.5 Difusión de conocimientos y tecnologías integradas sobre la conservación y uso sostenible de ecosistemas forestales y de fauna silvestre amazónicos de forma satisfactoria para decisores de políticas públicas.</w:t>
            </w: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3CE05B13"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AO001. Difusión de información científica, técnica ambiental sobre la amazonia y sus recursos</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0612BA0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Persona informada</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1777550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Gestión del conocimiento IIAP</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5805565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Instituto de Investigaciones de la Amazonía Peruana - IIAP</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5FCD2F6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055: Instituto de Investigaciones de la Amazonia Peruana</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5DA145C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05: Ambiental</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0EFFEE8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0B6F03E5"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03C9AFD1" w14:textId="77777777" w:rsidTr="00AF5836">
        <w:trPr>
          <w:trHeight w:val="1020"/>
        </w:trPr>
        <w:tc>
          <w:tcPr>
            <w:tcW w:w="384"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14:paraId="22FC77B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57</w:t>
            </w:r>
          </w:p>
        </w:tc>
        <w:tc>
          <w:tcPr>
            <w:tcW w:w="1693"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14:paraId="4A8A797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L.3.3.  Gestionar la información y el conocimiento en materia forestal y de fauna silvestre producido por los actores forestales y de fauna silvestre</w:t>
            </w:r>
          </w:p>
        </w:tc>
        <w:tc>
          <w:tcPr>
            <w:tcW w:w="1800"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14:paraId="3D634C22"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S.3.3.6. Asistencia técnica para la sistematización del conocimiento tradicional de pueblos indígenas con pertinencia cultural a las Autoridades Regionales Forestales y de Fauna Silvestre</w:t>
            </w: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256C9623"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AO001. Sistematización de Experiencias en gestión sostenible forestal y de fauna silvestre</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51C871C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Documento</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11C136C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General de Gestión del Conocimiento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3C5E800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106348D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4BED487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69014B6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71B69046"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2AD51411" w14:textId="77777777" w:rsidTr="00AF5836">
        <w:trPr>
          <w:trHeight w:val="765"/>
        </w:trPr>
        <w:tc>
          <w:tcPr>
            <w:tcW w:w="384"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6B6A8511"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707FDA74"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73EC88F3"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544ED95F"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AO002. Difusión de Resultados de Sistematización de Experiencias en gestión sostenible forestal y de fauna silvestre</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6FF5FE8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Eventos</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4B328C4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General de Gestión del Conocimiento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6D3BACB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255D180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7F6EDB9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5AEA378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6660CE3E"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03253BC0" w14:textId="77777777" w:rsidTr="00AF5836">
        <w:trPr>
          <w:trHeight w:val="765"/>
        </w:trPr>
        <w:tc>
          <w:tcPr>
            <w:tcW w:w="384"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4B6F871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58</w:t>
            </w:r>
          </w:p>
        </w:tc>
        <w:tc>
          <w:tcPr>
            <w:tcW w:w="1693"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109EA965"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 xml:space="preserve">L 3.4 Desarrollar programas orientados a consolidar la institucionalidad y articulación en los tres </w:t>
            </w:r>
            <w:r w:rsidRPr="00846D49">
              <w:rPr>
                <w:rFonts w:ascii="Arial Narrow" w:eastAsia="Times New Roman" w:hAnsi="Arial Narrow"/>
                <w:sz w:val="16"/>
                <w:szCs w:val="16"/>
              </w:rPr>
              <w:lastRenderedPageBreak/>
              <w:t>niveles de gobierno en el ámbito forestal y de fauna silvestre.</w:t>
            </w:r>
          </w:p>
        </w:tc>
        <w:tc>
          <w:tcPr>
            <w:tcW w:w="180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31D53CF7"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lastRenderedPageBreak/>
              <w:t xml:space="preserve">S3.4.1 Fortalecimiento de capacidades en aspectos técnicos y administrativos de forma satisfactoria para consolidar la </w:t>
            </w:r>
            <w:r w:rsidRPr="00846D49">
              <w:rPr>
                <w:rFonts w:ascii="Arial Narrow" w:eastAsia="Times New Roman" w:hAnsi="Arial Narrow"/>
                <w:sz w:val="16"/>
                <w:szCs w:val="16"/>
              </w:rPr>
              <w:lastRenderedPageBreak/>
              <w:t>institucionalidad de las Autoridades Regionales Forestales y de Fauna Silvestre</w:t>
            </w: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5C90AF30"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lastRenderedPageBreak/>
              <w:t>AO001. Implementación de programas de formación continua orientado a las Autoridades Regionales Forestales y de Fauna Silvestre</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359DAE0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xml:space="preserve">Persona capacitada </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7D29804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Fortalecimiento de Capacidades</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3C2C1AA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030795A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5504A30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2DEEECF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420634D2"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46557C50" w14:textId="77777777" w:rsidTr="00AF5836">
        <w:trPr>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671F7F6"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D426F97"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8BFA875"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0BAE579D"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AO002. Asistencia técnica en la implementación de programas para dar valor a los recursos forestales y de fauna silvestre en beneficio de las comunidades y otros actores</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3A63E3F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Persona asistida</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252D9B4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Fortalecimiento de Capacidades</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61ABBCA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1470364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2FDFB1D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33B7443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18C12FDA"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7A0D141E" w14:textId="77777777" w:rsidTr="00AF5836">
        <w:trPr>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88ED2CA"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A398564"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BBF50C2"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4589C6AB"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AO003. Asistencia técnica dirigida a los servidores de las Autoridades Regionales Forestales y de Fauna Silvestre para el mejor desempeño de sus funciones</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51975DB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Persona asistida</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36F24BC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Fortalecimiento de Capacidades</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0851200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2B4587A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2570E6F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775A0D9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54C73A1C"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78E6FE0D" w14:textId="77777777" w:rsidTr="00AF5836">
        <w:trPr>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2C9BBD5"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037BACF"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5068EA3"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079ACB60"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AO004. Implementación de Programa de fortalecimiento de capacidades dirigido a los servidores de las Autoridades Regionales Forestales y de Fauna Silvestre para el mejor desempeño de sus funciones</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5878D24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Persona capacitada</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2E27D4A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Fortalecimiento de Capacidades</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49168D0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012CDE0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314F350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46B2DA2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56684334"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1CCDD8D9" w14:textId="77777777" w:rsidTr="00AF5836">
        <w:trPr>
          <w:trHeight w:val="765"/>
        </w:trPr>
        <w:tc>
          <w:tcPr>
            <w:tcW w:w="384" w:type="dxa"/>
            <w:vMerge w:val="restart"/>
            <w:tcBorders>
              <w:top w:val="nil"/>
              <w:left w:val="single" w:sz="4" w:space="0" w:color="auto"/>
              <w:right w:val="single" w:sz="4" w:space="0" w:color="auto"/>
            </w:tcBorders>
            <w:shd w:val="clear" w:color="auto" w:fill="FFFFFF" w:themeFill="background1"/>
            <w:vAlign w:val="center"/>
          </w:tcPr>
          <w:p w14:paraId="50AD2298"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59</w:t>
            </w:r>
          </w:p>
        </w:tc>
        <w:tc>
          <w:tcPr>
            <w:tcW w:w="1693" w:type="dxa"/>
            <w:vMerge w:val="restart"/>
            <w:tcBorders>
              <w:top w:val="nil"/>
              <w:left w:val="single" w:sz="4" w:space="0" w:color="auto"/>
              <w:right w:val="single" w:sz="4" w:space="0" w:color="auto"/>
            </w:tcBorders>
            <w:shd w:val="clear" w:color="auto" w:fill="FFFFFF" w:themeFill="background1"/>
            <w:vAlign w:val="center"/>
          </w:tcPr>
          <w:p w14:paraId="1D151463"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L 3.4 Desarrollar programas orientados a consolidar la institucionalidad y articulación en los tres niveles de gobierno en el ámbito forestal y de fauna silvestre.</w:t>
            </w:r>
          </w:p>
        </w:tc>
        <w:tc>
          <w:tcPr>
            <w:tcW w:w="1800" w:type="dxa"/>
            <w:vMerge w:val="restart"/>
            <w:tcBorders>
              <w:top w:val="nil"/>
              <w:left w:val="single" w:sz="4" w:space="0" w:color="auto"/>
              <w:right w:val="single" w:sz="4" w:space="0" w:color="auto"/>
            </w:tcBorders>
            <w:shd w:val="clear" w:color="auto" w:fill="FFFFFF" w:themeFill="background1"/>
            <w:vAlign w:val="center"/>
          </w:tcPr>
          <w:p w14:paraId="4CBBD469" w14:textId="77777777" w:rsidR="00881C3C" w:rsidRPr="00846D49" w:rsidRDefault="00881C3C" w:rsidP="00AF5836">
            <w:pPr>
              <w:spacing w:after="0" w:line="240" w:lineRule="auto"/>
              <w:rPr>
                <w:rFonts w:ascii="Arial Narrow" w:eastAsia="Times New Roman" w:hAnsi="Arial Narrow"/>
                <w:sz w:val="16"/>
                <w:szCs w:val="16"/>
                <w:highlight w:val="yellow"/>
              </w:rPr>
            </w:pPr>
            <w:r w:rsidRPr="00846D49">
              <w:rPr>
                <w:rFonts w:ascii="Arial Narrow" w:eastAsia="Times New Roman" w:hAnsi="Arial Narrow"/>
                <w:sz w:val="16"/>
                <w:szCs w:val="16"/>
              </w:rPr>
              <w:t>S.3.4.2.  Asistencia técnica en gobernanza forestal y de fauna silvestre con pertinencia cultural para pueblos indígenas u originarios</w:t>
            </w:r>
          </w:p>
        </w:tc>
        <w:tc>
          <w:tcPr>
            <w:tcW w:w="2143" w:type="dxa"/>
            <w:tcBorders>
              <w:top w:val="nil"/>
              <w:left w:val="nil"/>
              <w:bottom w:val="single" w:sz="4" w:space="0" w:color="auto"/>
              <w:right w:val="single" w:sz="4" w:space="0" w:color="auto"/>
            </w:tcBorders>
            <w:shd w:val="clear" w:color="auto" w:fill="FFFFFF" w:themeFill="background1"/>
            <w:vAlign w:val="center"/>
          </w:tcPr>
          <w:p w14:paraId="5CD08DB2" w14:textId="77777777" w:rsidR="00881C3C" w:rsidRPr="00846D49" w:rsidRDefault="00881C3C" w:rsidP="00AF5836">
            <w:pPr>
              <w:spacing w:after="0" w:line="240" w:lineRule="auto"/>
              <w:jc w:val="both"/>
              <w:rPr>
                <w:rFonts w:ascii="Arial Narrow" w:eastAsia="Times New Roman" w:hAnsi="Arial Narrow"/>
                <w:sz w:val="16"/>
                <w:szCs w:val="16"/>
              </w:rPr>
            </w:pPr>
            <w:r w:rsidRPr="00846D49">
              <w:rPr>
                <w:rFonts w:ascii="Arial Narrow" w:eastAsia="Times New Roman" w:hAnsi="Arial Narrow"/>
                <w:sz w:val="16"/>
                <w:szCs w:val="16"/>
              </w:rPr>
              <w:t>AO001. Fortalecimiento y promoción de Comités de Gestión Forestal y de Fauna Silvestre (CGFFS), Unidades Técnicas de Manejo Forestal Comunitario (UTMFC) y Comités de Vigilancia y Control Forestal Comunitario (CVCFC) orientados a consolidar la institucionalidad y articulación a nivel nacional, regional y local de pueblos indígenas u originarios</w:t>
            </w:r>
          </w:p>
        </w:tc>
        <w:tc>
          <w:tcPr>
            <w:tcW w:w="2233" w:type="dxa"/>
            <w:tcBorders>
              <w:top w:val="nil"/>
              <w:left w:val="nil"/>
              <w:bottom w:val="single" w:sz="4" w:space="0" w:color="auto"/>
              <w:right w:val="single" w:sz="4" w:space="0" w:color="auto"/>
            </w:tcBorders>
            <w:shd w:val="clear" w:color="auto" w:fill="FFFFFF" w:themeFill="background1"/>
            <w:vAlign w:val="center"/>
          </w:tcPr>
          <w:p w14:paraId="47D8BF6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Persona</w:t>
            </w:r>
          </w:p>
        </w:tc>
        <w:tc>
          <w:tcPr>
            <w:tcW w:w="1814" w:type="dxa"/>
            <w:tcBorders>
              <w:top w:val="nil"/>
              <w:left w:val="nil"/>
              <w:bottom w:val="single" w:sz="4" w:space="0" w:color="auto"/>
              <w:right w:val="single" w:sz="4" w:space="0" w:color="auto"/>
            </w:tcBorders>
            <w:shd w:val="clear" w:color="auto" w:fill="FFFFFF" w:themeFill="background1"/>
            <w:vAlign w:val="center"/>
          </w:tcPr>
          <w:p w14:paraId="6134A9A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Ejecutiva</w:t>
            </w:r>
          </w:p>
        </w:tc>
        <w:tc>
          <w:tcPr>
            <w:tcW w:w="1553" w:type="dxa"/>
            <w:tcBorders>
              <w:top w:val="nil"/>
              <w:left w:val="nil"/>
              <w:bottom w:val="single" w:sz="4" w:space="0" w:color="auto"/>
              <w:right w:val="single" w:sz="4" w:space="0" w:color="auto"/>
            </w:tcBorders>
            <w:shd w:val="clear" w:color="auto" w:fill="FFFFFF" w:themeFill="background1"/>
            <w:vAlign w:val="center"/>
          </w:tcPr>
          <w:p w14:paraId="3C5DBC4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tcPr>
          <w:p w14:paraId="730C70E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tcPr>
          <w:p w14:paraId="3F54B6A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tcPr>
          <w:p w14:paraId="2FEFB8A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tcPr>
          <w:p w14:paraId="1A8C8B6F"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480C30D2" w14:textId="77777777" w:rsidTr="00AF5836">
        <w:trPr>
          <w:trHeight w:val="765"/>
        </w:trPr>
        <w:tc>
          <w:tcPr>
            <w:tcW w:w="384" w:type="dxa"/>
            <w:vMerge/>
            <w:tcBorders>
              <w:left w:val="single" w:sz="4" w:space="0" w:color="auto"/>
              <w:right w:val="single" w:sz="4" w:space="0" w:color="auto"/>
            </w:tcBorders>
            <w:shd w:val="clear" w:color="auto" w:fill="FFFFFF" w:themeFill="background1"/>
            <w:vAlign w:val="center"/>
          </w:tcPr>
          <w:p w14:paraId="2004C72A"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left w:val="single" w:sz="4" w:space="0" w:color="auto"/>
              <w:right w:val="single" w:sz="4" w:space="0" w:color="auto"/>
            </w:tcBorders>
            <w:shd w:val="clear" w:color="auto" w:fill="FFFFFF" w:themeFill="background1"/>
            <w:vAlign w:val="center"/>
          </w:tcPr>
          <w:p w14:paraId="725950ED"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left w:val="single" w:sz="4" w:space="0" w:color="auto"/>
              <w:right w:val="single" w:sz="4" w:space="0" w:color="auto"/>
            </w:tcBorders>
            <w:shd w:val="clear" w:color="auto" w:fill="FFFFFF" w:themeFill="background1"/>
            <w:vAlign w:val="center"/>
          </w:tcPr>
          <w:p w14:paraId="6782768D" w14:textId="77777777" w:rsidR="00881C3C" w:rsidRPr="00846D49" w:rsidRDefault="00881C3C" w:rsidP="00AF5836">
            <w:pPr>
              <w:spacing w:after="0" w:line="240" w:lineRule="auto"/>
              <w:rPr>
                <w:rFonts w:ascii="Arial Narrow" w:eastAsia="Times New Roman" w:hAnsi="Arial Narrow"/>
                <w:sz w:val="16"/>
                <w:szCs w:val="16"/>
                <w:highlight w:val="yellow"/>
              </w:rPr>
            </w:pPr>
          </w:p>
        </w:tc>
        <w:tc>
          <w:tcPr>
            <w:tcW w:w="2143" w:type="dxa"/>
            <w:tcBorders>
              <w:top w:val="nil"/>
              <w:left w:val="nil"/>
              <w:bottom w:val="single" w:sz="4" w:space="0" w:color="auto"/>
              <w:right w:val="single" w:sz="4" w:space="0" w:color="auto"/>
            </w:tcBorders>
            <w:shd w:val="clear" w:color="auto" w:fill="FFFFFF" w:themeFill="background1"/>
            <w:vAlign w:val="center"/>
          </w:tcPr>
          <w:p w14:paraId="130AF324" w14:textId="77777777" w:rsidR="00881C3C" w:rsidRPr="00846D49" w:rsidRDefault="00881C3C" w:rsidP="00AF5836">
            <w:pPr>
              <w:spacing w:after="0" w:line="240" w:lineRule="auto"/>
              <w:jc w:val="both"/>
              <w:rPr>
                <w:rFonts w:ascii="Arial Narrow" w:eastAsia="Times New Roman" w:hAnsi="Arial Narrow"/>
                <w:sz w:val="16"/>
                <w:szCs w:val="16"/>
              </w:rPr>
            </w:pPr>
            <w:r w:rsidRPr="00846D49">
              <w:rPr>
                <w:rFonts w:ascii="Arial Narrow" w:eastAsia="Times New Roman" w:hAnsi="Arial Narrow"/>
                <w:sz w:val="16"/>
                <w:szCs w:val="16"/>
              </w:rPr>
              <w:t>AO002. Desarrollo de eventos interculturales para mejorar la gobernanza forestal de los pueblos indígenas u originarios</w:t>
            </w:r>
          </w:p>
          <w:p w14:paraId="261E5F7B" w14:textId="77777777" w:rsidR="00881C3C" w:rsidRPr="00846D49" w:rsidRDefault="00881C3C" w:rsidP="00AF5836">
            <w:pPr>
              <w:spacing w:after="0" w:line="240" w:lineRule="auto"/>
              <w:rPr>
                <w:rFonts w:ascii="Arial Narrow" w:eastAsia="Times New Roman" w:hAnsi="Arial Narrow"/>
                <w:sz w:val="16"/>
                <w:szCs w:val="16"/>
                <w:highlight w:val="yellow"/>
              </w:rPr>
            </w:pPr>
          </w:p>
        </w:tc>
        <w:tc>
          <w:tcPr>
            <w:tcW w:w="2233" w:type="dxa"/>
            <w:tcBorders>
              <w:top w:val="nil"/>
              <w:left w:val="nil"/>
              <w:bottom w:val="single" w:sz="4" w:space="0" w:color="auto"/>
              <w:right w:val="single" w:sz="4" w:space="0" w:color="auto"/>
            </w:tcBorders>
            <w:shd w:val="clear" w:color="auto" w:fill="FFFFFF" w:themeFill="background1"/>
            <w:vAlign w:val="center"/>
          </w:tcPr>
          <w:p w14:paraId="7641BC6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Eventos</w:t>
            </w:r>
          </w:p>
        </w:tc>
        <w:tc>
          <w:tcPr>
            <w:tcW w:w="1814" w:type="dxa"/>
            <w:tcBorders>
              <w:top w:val="nil"/>
              <w:left w:val="nil"/>
              <w:bottom w:val="single" w:sz="4" w:space="0" w:color="auto"/>
              <w:right w:val="single" w:sz="4" w:space="0" w:color="auto"/>
            </w:tcBorders>
            <w:shd w:val="clear" w:color="auto" w:fill="FFFFFF" w:themeFill="background1"/>
            <w:vAlign w:val="center"/>
          </w:tcPr>
          <w:p w14:paraId="52E4FF7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Ejecutiva</w:t>
            </w:r>
          </w:p>
        </w:tc>
        <w:tc>
          <w:tcPr>
            <w:tcW w:w="1553" w:type="dxa"/>
            <w:tcBorders>
              <w:top w:val="nil"/>
              <w:left w:val="nil"/>
              <w:bottom w:val="single" w:sz="4" w:space="0" w:color="auto"/>
              <w:right w:val="single" w:sz="4" w:space="0" w:color="auto"/>
            </w:tcBorders>
            <w:shd w:val="clear" w:color="auto" w:fill="FFFFFF" w:themeFill="background1"/>
            <w:vAlign w:val="center"/>
          </w:tcPr>
          <w:p w14:paraId="3629B92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tcPr>
          <w:p w14:paraId="79B19C4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tcPr>
          <w:p w14:paraId="2DC4709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tcPr>
          <w:p w14:paraId="641EFD0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tcPr>
          <w:p w14:paraId="13DE0901"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497B764C" w14:textId="77777777" w:rsidTr="00AF5836">
        <w:trPr>
          <w:trHeight w:val="765"/>
        </w:trPr>
        <w:tc>
          <w:tcPr>
            <w:tcW w:w="384" w:type="dxa"/>
            <w:vMerge/>
            <w:tcBorders>
              <w:left w:val="single" w:sz="4" w:space="0" w:color="auto"/>
              <w:bottom w:val="single" w:sz="4" w:space="0" w:color="auto"/>
              <w:right w:val="single" w:sz="4" w:space="0" w:color="auto"/>
            </w:tcBorders>
            <w:shd w:val="clear" w:color="auto" w:fill="FFFFFF" w:themeFill="background1"/>
            <w:vAlign w:val="center"/>
          </w:tcPr>
          <w:p w14:paraId="16B9D0BE"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left w:val="single" w:sz="4" w:space="0" w:color="auto"/>
              <w:bottom w:val="single" w:sz="4" w:space="0" w:color="auto"/>
              <w:right w:val="single" w:sz="4" w:space="0" w:color="auto"/>
            </w:tcBorders>
            <w:shd w:val="clear" w:color="auto" w:fill="FFFFFF" w:themeFill="background1"/>
            <w:vAlign w:val="center"/>
          </w:tcPr>
          <w:p w14:paraId="7189C470"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left w:val="single" w:sz="4" w:space="0" w:color="auto"/>
              <w:bottom w:val="single" w:sz="4" w:space="0" w:color="auto"/>
              <w:right w:val="single" w:sz="4" w:space="0" w:color="auto"/>
            </w:tcBorders>
            <w:shd w:val="clear" w:color="auto" w:fill="FFFFFF" w:themeFill="background1"/>
            <w:vAlign w:val="center"/>
          </w:tcPr>
          <w:p w14:paraId="4D41FE76" w14:textId="77777777" w:rsidR="00881C3C" w:rsidRPr="00846D49" w:rsidRDefault="00881C3C" w:rsidP="00AF5836">
            <w:pPr>
              <w:spacing w:after="0" w:line="240" w:lineRule="auto"/>
              <w:rPr>
                <w:rFonts w:ascii="Arial Narrow" w:eastAsia="Times New Roman" w:hAnsi="Arial Narrow"/>
                <w:sz w:val="16"/>
                <w:szCs w:val="16"/>
                <w:highlight w:val="yellow"/>
              </w:rPr>
            </w:pPr>
          </w:p>
        </w:tc>
        <w:tc>
          <w:tcPr>
            <w:tcW w:w="2143" w:type="dxa"/>
            <w:tcBorders>
              <w:top w:val="nil"/>
              <w:left w:val="nil"/>
              <w:bottom w:val="single" w:sz="4" w:space="0" w:color="auto"/>
              <w:right w:val="single" w:sz="4" w:space="0" w:color="auto"/>
            </w:tcBorders>
            <w:shd w:val="clear" w:color="auto" w:fill="FFFFFF" w:themeFill="background1"/>
            <w:vAlign w:val="center"/>
          </w:tcPr>
          <w:p w14:paraId="77CBE5C8" w14:textId="77777777" w:rsidR="00881C3C" w:rsidRPr="00846D49" w:rsidRDefault="00881C3C" w:rsidP="00AF5836">
            <w:pPr>
              <w:spacing w:after="0" w:line="240" w:lineRule="auto"/>
              <w:rPr>
                <w:rFonts w:ascii="Arial Narrow" w:eastAsia="Times New Roman" w:hAnsi="Arial Narrow"/>
                <w:sz w:val="16"/>
                <w:szCs w:val="16"/>
                <w:highlight w:val="yellow"/>
              </w:rPr>
            </w:pPr>
            <w:r w:rsidRPr="00846D49">
              <w:rPr>
                <w:rFonts w:ascii="Arial Narrow" w:eastAsia="Times New Roman" w:hAnsi="Arial Narrow"/>
                <w:sz w:val="16"/>
                <w:szCs w:val="16"/>
              </w:rPr>
              <w:t xml:space="preserve">AO003. Realización de asistencia técnica y acompañamiento en la conformación de Comités de Gestión Forestal y de Fauna Silvestre (CGFFS), Unidades </w:t>
            </w:r>
            <w:r w:rsidRPr="00846D49">
              <w:rPr>
                <w:rFonts w:ascii="Arial Narrow" w:eastAsia="Times New Roman" w:hAnsi="Arial Narrow"/>
                <w:sz w:val="16"/>
                <w:szCs w:val="16"/>
              </w:rPr>
              <w:lastRenderedPageBreak/>
              <w:t>Técnicas de Manejo Forestal Comunitario (UTMFC) y Comités de Vigilancia y Control Forestal Comunitario (CVCFC) para los pueblos indígenas u originarios</w:t>
            </w:r>
          </w:p>
        </w:tc>
        <w:tc>
          <w:tcPr>
            <w:tcW w:w="2233" w:type="dxa"/>
            <w:tcBorders>
              <w:top w:val="nil"/>
              <w:left w:val="nil"/>
              <w:bottom w:val="single" w:sz="4" w:space="0" w:color="auto"/>
              <w:right w:val="single" w:sz="4" w:space="0" w:color="auto"/>
            </w:tcBorders>
            <w:shd w:val="clear" w:color="auto" w:fill="FFFFFF" w:themeFill="background1"/>
            <w:vAlign w:val="center"/>
          </w:tcPr>
          <w:p w14:paraId="643B1F9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lastRenderedPageBreak/>
              <w:t>Persona</w:t>
            </w:r>
          </w:p>
        </w:tc>
        <w:tc>
          <w:tcPr>
            <w:tcW w:w="1814" w:type="dxa"/>
            <w:tcBorders>
              <w:top w:val="nil"/>
              <w:left w:val="nil"/>
              <w:bottom w:val="single" w:sz="4" w:space="0" w:color="auto"/>
              <w:right w:val="single" w:sz="4" w:space="0" w:color="auto"/>
            </w:tcBorders>
            <w:shd w:val="clear" w:color="auto" w:fill="FFFFFF" w:themeFill="background1"/>
            <w:vAlign w:val="center"/>
          </w:tcPr>
          <w:p w14:paraId="4B37E07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Ejecutiva</w:t>
            </w:r>
          </w:p>
        </w:tc>
        <w:tc>
          <w:tcPr>
            <w:tcW w:w="1553" w:type="dxa"/>
            <w:tcBorders>
              <w:top w:val="nil"/>
              <w:left w:val="nil"/>
              <w:bottom w:val="single" w:sz="4" w:space="0" w:color="auto"/>
              <w:right w:val="single" w:sz="4" w:space="0" w:color="auto"/>
            </w:tcBorders>
            <w:shd w:val="clear" w:color="auto" w:fill="FFFFFF" w:themeFill="background1"/>
            <w:vAlign w:val="center"/>
          </w:tcPr>
          <w:p w14:paraId="39AAEB5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tcPr>
          <w:p w14:paraId="6D12D4E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tcPr>
          <w:p w14:paraId="067E5E2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tcPr>
          <w:p w14:paraId="38EF263C"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tcPr>
          <w:p w14:paraId="499A8F62"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7853CE45" w14:textId="77777777" w:rsidTr="00AF5836">
        <w:trPr>
          <w:trHeight w:val="1020"/>
        </w:trPr>
        <w:tc>
          <w:tcPr>
            <w:tcW w:w="384"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20761754" w14:textId="77777777" w:rsidR="00881C3C" w:rsidRPr="00846D49" w:rsidRDefault="00881C3C" w:rsidP="00AF5836">
            <w:pPr>
              <w:spacing w:after="0" w:line="240" w:lineRule="auto"/>
              <w:jc w:val="center"/>
              <w:rPr>
                <w:rFonts w:ascii="Arial Narrow" w:eastAsia="Times New Roman" w:hAnsi="Arial Narrow"/>
                <w:sz w:val="16"/>
                <w:szCs w:val="16"/>
              </w:rPr>
            </w:pPr>
          </w:p>
          <w:p w14:paraId="6D69C38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60</w:t>
            </w:r>
          </w:p>
        </w:tc>
        <w:tc>
          <w:tcPr>
            <w:tcW w:w="1693"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0D80412F"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L3.5 Sensibilizar sobre el valor e importancia de los bienes y servicios que brindan los ecosistemas forestales, otros ecosistemas de vegetación silvestre y de la fauna silvestre a la población</w:t>
            </w:r>
          </w:p>
        </w:tc>
        <w:tc>
          <w:tcPr>
            <w:tcW w:w="180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0C5161D9"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S3.5.1 Sensibilización sobre la conservación y aprovechamiento sostenible de los recursos forestales y de fauna silvestre con pertinencia cultural dirigido a la población en general</w:t>
            </w: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29237708"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 xml:space="preserve">AO001. Sensibilización a la población vinculada al sector forestal y de fauna silvestre para promover la conservación y aprovechamiento sostenible de los recursos forestales y de fauna silvestre, incluyendo servicios ecosistémicos, a nivel nacional. </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509A466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Persona informada</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498B7E6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Fortalecimiento de Capacidades</w:t>
            </w:r>
          </w:p>
          <w:p w14:paraId="077C72CF" w14:textId="77777777" w:rsidR="00881C3C" w:rsidRPr="00846D49" w:rsidRDefault="00881C3C" w:rsidP="00AF5836">
            <w:pPr>
              <w:spacing w:after="0" w:line="240" w:lineRule="auto"/>
              <w:jc w:val="center"/>
              <w:rPr>
                <w:rFonts w:ascii="Arial Narrow" w:eastAsia="Times New Roman" w:hAnsi="Arial Narrow"/>
                <w:sz w:val="16"/>
                <w:szCs w:val="16"/>
              </w:rPr>
            </w:pPr>
          </w:p>
          <w:p w14:paraId="4C4D36A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Administraciones Técnicas Forestales y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493795F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7481F08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37F4B71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4221D888"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277CC30F"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770ABD1B" w14:textId="77777777" w:rsidTr="00AF5836">
        <w:trPr>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21D1345"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0790E9D"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F3280FD"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tcBorders>
              <w:top w:val="nil"/>
              <w:left w:val="nil"/>
              <w:bottom w:val="single" w:sz="4" w:space="0" w:color="auto"/>
              <w:right w:val="single" w:sz="4" w:space="0" w:color="auto"/>
            </w:tcBorders>
            <w:shd w:val="clear" w:color="auto" w:fill="FFFFFF" w:themeFill="background1"/>
            <w:vAlign w:val="center"/>
            <w:hideMark/>
          </w:tcPr>
          <w:p w14:paraId="7F8B4FBC"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AO002. Realización de Eventos de sensibilización para promover la conservación y aprovechamiento sostenible de los recursos forestales y de fauna silvestre, incluyendo servicios ecosistémicos, a nivel nacional implementada</w:t>
            </w:r>
          </w:p>
        </w:tc>
        <w:tc>
          <w:tcPr>
            <w:tcW w:w="2233" w:type="dxa"/>
            <w:tcBorders>
              <w:top w:val="nil"/>
              <w:left w:val="nil"/>
              <w:bottom w:val="single" w:sz="4" w:space="0" w:color="auto"/>
              <w:right w:val="single" w:sz="4" w:space="0" w:color="auto"/>
            </w:tcBorders>
            <w:shd w:val="clear" w:color="auto" w:fill="FFFFFF" w:themeFill="background1"/>
            <w:vAlign w:val="center"/>
            <w:hideMark/>
          </w:tcPr>
          <w:p w14:paraId="1E7ED9CF"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Campaña ejecutada</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03768D1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Fortalecimiento de Capacidades</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760EF88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37623395"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4D61A66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363AB8D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05D27CCF"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35D65857" w14:textId="77777777" w:rsidTr="00AF5836">
        <w:trPr>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2059F94"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CC7EAD3"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C887671"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val="restart"/>
            <w:tcBorders>
              <w:top w:val="nil"/>
              <w:left w:val="nil"/>
              <w:right w:val="single" w:sz="4" w:space="0" w:color="auto"/>
            </w:tcBorders>
            <w:shd w:val="clear" w:color="auto" w:fill="FFFFFF" w:themeFill="background1"/>
            <w:vAlign w:val="center"/>
            <w:hideMark/>
          </w:tcPr>
          <w:p w14:paraId="1A34CC6E" w14:textId="77777777" w:rsidR="00881C3C" w:rsidRPr="00846D49" w:rsidRDefault="00881C3C" w:rsidP="00AF5836">
            <w:pPr>
              <w:spacing w:after="0" w:line="240" w:lineRule="auto"/>
              <w:rPr>
                <w:rFonts w:ascii="Arial Narrow" w:eastAsia="Times New Roman" w:hAnsi="Arial Narrow"/>
                <w:sz w:val="16"/>
                <w:szCs w:val="16"/>
              </w:rPr>
            </w:pPr>
            <w:r w:rsidRPr="00846D49">
              <w:rPr>
                <w:rFonts w:ascii="Arial Narrow" w:eastAsia="Times New Roman" w:hAnsi="Arial Narrow"/>
                <w:sz w:val="16"/>
                <w:szCs w:val="16"/>
              </w:rPr>
              <w:t>AO003. Realización de eventos y acciones de sensibilización para promover la conservación y aprovechamiento sostenible de los recursos forestales y de fauna silvestre, incluyendo servicios ecosistémicos, a nivel nacional</w:t>
            </w:r>
          </w:p>
        </w:tc>
        <w:tc>
          <w:tcPr>
            <w:tcW w:w="2233" w:type="dxa"/>
            <w:vMerge w:val="restart"/>
            <w:tcBorders>
              <w:top w:val="nil"/>
              <w:left w:val="nil"/>
              <w:right w:val="single" w:sz="4" w:space="0" w:color="auto"/>
            </w:tcBorders>
            <w:shd w:val="clear" w:color="auto" w:fill="FFFFFF" w:themeFill="background1"/>
            <w:vAlign w:val="center"/>
            <w:hideMark/>
          </w:tcPr>
          <w:p w14:paraId="769369B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Persona informada</w:t>
            </w:r>
          </w:p>
        </w:tc>
        <w:tc>
          <w:tcPr>
            <w:tcW w:w="1814" w:type="dxa"/>
            <w:tcBorders>
              <w:top w:val="nil"/>
              <w:left w:val="nil"/>
              <w:bottom w:val="single" w:sz="4" w:space="0" w:color="auto"/>
              <w:right w:val="single" w:sz="4" w:space="0" w:color="auto"/>
            </w:tcBorders>
            <w:shd w:val="clear" w:color="auto" w:fill="FFFFFF" w:themeFill="background1"/>
            <w:vAlign w:val="center"/>
            <w:hideMark/>
          </w:tcPr>
          <w:p w14:paraId="104B251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Dirección de Gestión Sostenible del Patrimonio de Fauna Silvestre</w:t>
            </w:r>
          </w:p>
        </w:tc>
        <w:tc>
          <w:tcPr>
            <w:tcW w:w="1553" w:type="dxa"/>
            <w:tcBorders>
              <w:top w:val="nil"/>
              <w:left w:val="nil"/>
              <w:bottom w:val="single" w:sz="4" w:space="0" w:color="auto"/>
              <w:right w:val="single" w:sz="4" w:space="0" w:color="auto"/>
            </w:tcBorders>
            <w:shd w:val="clear" w:color="auto" w:fill="FFFFFF" w:themeFill="background1"/>
            <w:vAlign w:val="center"/>
            <w:hideMark/>
          </w:tcPr>
          <w:p w14:paraId="2DDB93CA"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001-1503: Servicio Nacional Forestal y de Fauna Silvestre-SERFOR - Sede Central</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5BC1867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165: Servicio Nacional Forestal y de Fauna Silvestre - SERFOR</w:t>
            </w:r>
          </w:p>
        </w:tc>
        <w:tc>
          <w:tcPr>
            <w:tcW w:w="1218" w:type="dxa"/>
            <w:tcBorders>
              <w:top w:val="nil"/>
              <w:left w:val="nil"/>
              <w:bottom w:val="single" w:sz="4" w:space="0" w:color="auto"/>
              <w:right w:val="single" w:sz="4" w:space="0" w:color="auto"/>
            </w:tcBorders>
            <w:shd w:val="clear" w:color="auto" w:fill="FFFFFF" w:themeFill="background1"/>
            <w:vAlign w:val="center"/>
            <w:hideMark/>
          </w:tcPr>
          <w:p w14:paraId="2A4FA9F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13: Agrario y de Riego</w:t>
            </w:r>
          </w:p>
        </w:tc>
        <w:tc>
          <w:tcPr>
            <w:tcW w:w="1373" w:type="dxa"/>
            <w:tcBorders>
              <w:top w:val="nil"/>
              <w:left w:val="nil"/>
              <w:bottom w:val="single" w:sz="4" w:space="0" w:color="auto"/>
              <w:right w:val="single" w:sz="4" w:space="0" w:color="auto"/>
            </w:tcBorders>
            <w:shd w:val="clear" w:color="auto" w:fill="FFFFFF" w:themeFill="background1"/>
            <w:vAlign w:val="center"/>
            <w:hideMark/>
          </w:tcPr>
          <w:p w14:paraId="4D39424D"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Nacional</w:t>
            </w:r>
          </w:p>
        </w:tc>
        <w:tc>
          <w:tcPr>
            <w:tcW w:w="160" w:type="dxa"/>
            <w:gridSpan w:val="2"/>
            <w:shd w:val="clear" w:color="auto" w:fill="FFFFFF" w:themeFill="background1"/>
            <w:vAlign w:val="center"/>
            <w:hideMark/>
          </w:tcPr>
          <w:p w14:paraId="28B15353"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3B9FAF7E" w14:textId="77777777" w:rsidTr="00AF5836">
        <w:trPr>
          <w:trHeight w:val="19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B07DC7D"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7A2B446"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7EACDDA"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45E7F7BE"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left w:val="nil"/>
              <w:right w:val="single" w:sz="4" w:space="0" w:color="auto"/>
            </w:tcBorders>
            <w:shd w:val="clear" w:color="auto" w:fill="FFFFFF" w:themeFill="background1"/>
            <w:vAlign w:val="center"/>
          </w:tcPr>
          <w:p w14:paraId="6F17FBCD"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0623E82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2A8CE8D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 xml:space="preserve">100-722: REGION AMAZONAS-AGRICULTURA </w:t>
            </w:r>
          </w:p>
        </w:tc>
        <w:tc>
          <w:tcPr>
            <w:tcW w:w="1560" w:type="dxa"/>
            <w:tcBorders>
              <w:top w:val="nil"/>
              <w:left w:val="nil"/>
              <w:bottom w:val="single" w:sz="4" w:space="0" w:color="auto"/>
              <w:right w:val="single" w:sz="4" w:space="0" w:color="auto"/>
            </w:tcBorders>
            <w:shd w:val="clear" w:color="auto" w:fill="FFFFFF" w:themeFill="background1"/>
            <w:vAlign w:val="center"/>
          </w:tcPr>
          <w:p w14:paraId="7ACC87EB"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440: Gobierno Regional del Departamento de Amazonas</w:t>
            </w:r>
          </w:p>
        </w:tc>
        <w:tc>
          <w:tcPr>
            <w:tcW w:w="1218" w:type="dxa"/>
            <w:tcBorders>
              <w:top w:val="nil"/>
              <w:left w:val="nil"/>
              <w:bottom w:val="single" w:sz="4" w:space="0" w:color="auto"/>
              <w:right w:val="single" w:sz="4" w:space="0" w:color="auto"/>
            </w:tcBorders>
            <w:shd w:val="clear" w:color="auto" w:fill="FFFFFF" w:themeFill="background1"/>
            <w:vAlign w:val="center"/>
          </w:tcPr>
          <w:p w14:paraId="13873517"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450C6A6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c>
          <w:tcPr>
            <w:tcW w:w="160" w:type="dxa"/>
            <w:gridSpan w:val="2"/>
            <w:shd w:val="clear" w:color="auto" w:fill="FFFFFF" w:themeFill="background1"/>
            <w:vAlign w:val="center"/>
            <w:hideMark/>
          </w:tcPr>
          <w:p w14:paraId="085BC4D9" w14:textId="77777777" w:rsidR="00881C3C" w:rsidRPr="00846D49" w:rsidRDefault="00881C3C" w:rsidP="00AF5836">
            <w:pPr>
              <w:spacing w:after="0" w:line="240" w:lineRule="auto"/>
              <w:rPr>
                <w:rFonts w:ascii="Times New Roman" w:eastAsia="Times New Roman" w:hAnsi="Times New Roman" w:cs="Times New Roman"/>
                <w:sz w:val="20"/>
                <w:szCs w:val="20"/>
              </w:rPr>
            </w:pPr>
          </w:p>
          <w:p w14:paraId="439B65DD"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524BEA5E" w14:textId="77777777" w:rsidTr="00AF5836">
        <w:trPr>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tcPr>
          <w:p w14:paraId="781C574D"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tcPr>
          <w:p w14:paraId="724E1FB4"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tcPr>
          <w:p w14:paraId="3A232A9C"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72268400" w14:textId="77777777" w:rsidR="00881C3C" w:rsidRPr="00846D49" w:rsidRDefault="00881C3C" w:rsidP="00AF5836">
            <w:pPr>
              <w:spacing w:after="0" w:line="240" w:lineRule="auto"/>
              <w:rPr>
                <w:rFonts w:ascii="Arial Narrow" w:eastAsia="Times New Roman" w:hAnsi="Arial Narrow"/>
                <w:sz w:val="16"/>
                <w:szCs w:val="16"/>
              </w:rPr>
            </w:pPr>
          </w:p>
        </w:tc>
        <w:tc>
          <w:tcPr>
            <w:tcW w:w="2233" w:type="dxa"/>
            <w:vMerge/>
            <w:tcBorders>
              <w:left w:val="nil"/>
              <w:right w:val="single" w:sz="4" w:space="0" w:color="auto"/>
            </w:tcBorders>
            <w:shd w:val="clear" w:color="auto" w:fill="FFFFFF" w:themeFill="background1"/>
            <w:vAlign w:val="center"/>
          </w:tcPr>
          <w:p w14:paraId="4AA2F254" w14:textId="77777777" w:rsidR="00881C3C" w:rsidRPr="00846D49" w:rsidRDefault="00881C3C" w:rsidP="00AF5836">
            <w:pPr>
              <w:spacing w:after="0" w:line="240" w:lineRule="auto"/>
              <w:jc w:val="center"/>
              <w:rPr>
                <w:rFonts w:ascii="Arial Narrow" w:eastAsia="Times New Roman" w:hAnsi="Arial Narrow"/>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683763F1"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3002162E"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100-771: REGION AYACUCHO-AGRICULTURA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5B199F54"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hAnsi="Arial Narrow"/>
                <w:sz w:val="16"/>
                <w:szCs w:val="16"/>
              </w:rPr>
              <w:t>444: Gobierno Regional del Departamento de Ayacucho</w:t>
            </w:r>
          </w:p>
        </w:tc>
        <w:tc>
          <w:tcPr>
            <w:tcW w:w="1218" w:type="dxa"/>
            <w:tcBorders>
              <w:top w:val="nil"/>
              <w:left w:val="nil"/>
              <w:bottom w:val="single" w:sz="4" w:space="0" w:color="auto"/>
              <w:right w:val="single" w:sz="4" w:space="0" w:color="auto"/>
            </w:tcBorders>
            <w:shd w:val="clear" w:color="auto" w:fill="FFFFFF" w:themeFill="background1"/>
            <w:vAlign w:val="center"/>
          </w:tcPr>
          <w:p w14:paraId="01023156"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4C2B5F39"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c>
          <w:tcPr>
            <w:tcW w:w="160" w:type="dxa"/>
            <w:gridSpan w:val="2"/>
            <w:shd w:val="clear" w:color="auto" w:fill="FFFFFF" w:themeFill="background1"/>
            <w:vAlign w:val="center"/>
          </w:tcPr>
          <w:p w14:paraId="36F0E347"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3569620E" w14:textId="77777777" w:rsidTr="00AF5836">
        <w:trPr>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56AEE3E"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2428F0D"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E76A6FC"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68F0F367"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left w:val="nil"/>
              <w:right w:val="single" w:sz="4" w:space="0" w:color="auto"/>
            </w:tcBorders>
            <w:shd w:val="clear" w:color="auto" w:fill="FFFFFF" w:themeFill="background1"/>
            <w:vAlign w:val="center"/>
          </w:tcPr>
          <w:p w14:paraId="7EB698CC"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3E10B6E8"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2245B23B"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100-806: REGION HUANUCO-AGRICULTURA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66D35401"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hAnsi="Arial Narrow"/>
                <w:sz w:val="16"/>
                <w:szCs w:val="16"/>
              </w:rPr>
              <w:t>448: Gobierno Regional del Departamento de Huánuco</w:t>
            </w:r>
          </w:p>
        </w:tc>
        <w:tc>
          <w:tcPr>
            <w:tcW w:w="1218" w:type="dxa"/>
            <w:tcBorders>
              <w:top w:val="nil"/>
              <w:left w:val="nil"/>
              <w:bottom w:val="single" w:sz="4" w:space="0" w:color="auto"/>
              <w:right w:val="single" w:sz="4" w:space="0" w:color="auto"/>
            </w:tcBorders>
            <w:shd w:val="clear" w:color="auto" w:fill="FFFFFF" w:themeFill="background1"/>
            <w:vAlign w:val="center"/>
          </w:tcPr>
          <w:p w14:paraId="544A8AA5"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4AB5C571"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Gobierno Regional</w:t>
            </w:r>
          </w:p>
        </w:tc>
        <w:tc>
          <w:tcPr>
            <w:tcW w:w="160" w:type="dxa"/>
            <w:gridSpan w:val="2"/>
            <w:shd w:val="clear" w:color="auto" w:fill="FFFFFF" w:themeFill="background1"/>
            <w:vAlign w:val="center"/>
            <w:hideMark/>
          </w:tcPr>
          <w:p w14:paraId="3A64504D"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74334153" w14:textId="77777777" w:rsidTr="00AF5836">
        <w:trPr>
          <w:trHeight w:val="56"/>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6E382E3"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121031A"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A80BE9B"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681D290F"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left w:val="nil"/>
              <w:right w:val="single" w:sz="4" w:space="0" w:color="auto"/>
            </w:tcBorders>
            <w:shd w:val="clear" w:color="auto" w:fill="FFFFFF" w:themeFill="background1"/>
            <w:vAlign w:val="center"/>
          </w:tcPr>
          <w:p w14:paraId="41BD0734"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0BCA3F2B"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68E60FF6"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100-832: REGION LA LIBERTAD-AGRICULTURA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5CFF4B2C"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hAnsi="Arial Narrow"/>
                <w:sz w:val="16"/>
                <w:szCs w:val="16"/>
              </w:rPr>
              <w:t>451: Gobierno Regional del Departamento de La Libertad</w:t>
            </w:r>
          </w:p>
        </w:tc>
        <w:tc>
          <w:tcPr>
            <w:tcW w:w="1218" w:type="dxa"/>
            <w:tcBorders>
              <w:top w:val="nil"/>
              <w:left w:val="nil"/>
              <w:bottom w:val="single" w:sz="4" w:space="0" w:color="auto"/>
              <w:right w:val="single" w:sz="4" w:space="0" w:color="auto"/>
            </w:tcBorders>
            <w:shd w:val="clear" w:color="auto" w:fill="FFFFFF" w:themeFill="background1"/>
            <w:vAlign w:val="center"/>
          </w:tcPr>
          <w:p w14:paraId="48F3CC06"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4BE6D161"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Gobierno Regional</w:t>
            </w:r>
          </w:p>
        </w:tc>
        <w:tc>
          <w:tcPr>
            <w:tcW w:w="160" w:type="dxa"/>
            <w:gridSpan w:val="2"/>
            <w:shd w:val="clear" w:color="auto" w:fill="FFFFFF" w:themeFill="background1"/>
            <w:vAlign w:val="center"/>
            <w:hideMark/>
          </w:tcPr>
          <w:p w14:paraId="70FB4FDA"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0DE833C6" w14:textId="77777777" w:rsidTr="00AF5836">
        <w:trPr>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D5DF2FA"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83F5B54"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19F7EC1"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1ECE98C4"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left w:val="nil"/>
              <w:right w:val="single" w:sz="4" w:space="0" w:color="auto"/>
            </w:tcBorders>
            <w:shd w:val="clear" w:color="auto" w:fill="FFFFFF" w:themeFill="background1"/>
            <w:vAlign w:val="center"/>
          </w:tcPr>
          <w:p w14:paraId="76C76B32"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5B684EC1"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4BA22A0A"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100-865: REGION LORETO-AGRICULTURA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27339900"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hAnsi="Arial Narrow"/>
                <w:sz w:val="16"/>
                <w:szCs w:val="16"/>
              </w:rPr>
              <w:t>453: Gobierno Regional del Departamento de Loreto</w:t>
            </w:r>
          </w:p>
        </w:tc>
        <w:tc>
          <w:tcPr>
            <w:tcW w:w="1218" w:type="dxa"/>
            <w:tcBorders>
              <w:top w:val="nil"/>
              <w:left w:val="nil"/>
              <w:bottom w:val="single" w:sz="4" w:space="0" w:color="auto"/>
              <w:right w:val="single" w:sz="4" w:space="0" w:color="auto"/>
            </w:tcBorders>
            <w:shd w:val="clear" w:color="auto" w:fill="FFFFFF" w:themeFill="background1"/>
            <w:vAlign w:val="center"/>
          </w:tcPr>
          <w:p w14:paraId="018166E7"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5C554D7C"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Gobierno Regional</w:t>
            </w:r>
          </w:p>
        </w:tc>
        <w:tc>
          <w:tcPr>
            <w:tcW w:w="160" w:type="dxa"/>
            <w:gridSpan w:val="2"/>
            <w:shd w:val="clear" w:color="auto" w:fill="FFFFFF" w:themeFill="background1"/>
            <w:vAlign w:val="center"/>
            <w:hideMark/>
          </w:tcPr>
          <w:p w14:paraId="4F8A7646"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377980A6" w14:textId="77777777" w:rsidTr="00AF5836">
        <w:trPr>
          <w:trHeight w:val="7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016EC54"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A750B3D"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73CE9E4"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26E5BBA7"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left w:val="nil"/>
              <w:right w:val="single" w:sz="4" w:space="0" w:color="auto"/>
            </w:tcBorders>
            <w:shd w:val="clear" w:color="auto" w:fill="FFFFFF" w:themeFill="background1"/>
            <w:vAlign w:val="center"/>
          </w:tcPr>
          <w:p w14:paraId="565CB7C1"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3E0248E5"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78B3549A"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100-876: REGION MADRE DE DIOS-AGRICULTURA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12C188DE"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hAnsi="Arial Narrow"/>
                <w:sz w:val="16"/>
                <w:szCs w:val="16"/>
              </w:rPr>
              <w:t>454: Gobierno Regional del Departamento de Madre De Dios</w:t>
            </w:r>
          </w:p>
        </w:tc>
        <w:tc>
          <w:tcPr>
            <w:tcW w:w="1218" w:type="dxa"/>
            <w:tcBorders>
              <w:top w:val="nil"/>
              <w:left w:val="nil"/>
              <w:bottom w:val="single" w:sz="4" w:space="0" w:color="auto"/>
              <w:right w:val="single" w:sz="4" w:space="0" w:color="auto"/>
            </w:tcBorders>
            <w:shd w:val="clear" w:color="auto" w:fill="FFFFFF" w:themeFill="background1"/>
            <w:vAlign w:val="center"/>
          </w:tcPr>
          <w:p w14:paraId="25AC55F0"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5F698EE2"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c>
          <w:tcPr>
            <w:tcW w:w="160" w:type="dxa"/>
            <w:gridSpan w:val="2"/>
            <w:shd w:val="clear" w:color="auto" w:fill="FFFFFF" w:themeFill="background1"/>
            <w:vAlign w:val="center"/>
            <w:hideMark/>
          </w:tcPr>
          <w:p w14:paraId="6F9B64DE"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277E58C3" w14:textId="77777777" w:rsidTr="00AF5836">
        <w:trPr>
          <w:trHeight w:val="98"/>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B493EA4"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3F4E75A"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55C565D"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726A127C"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left w:val="nil"/>
              <w:right w:val="single" w:sz="4" w:space="0" w:color="auto"/>
            </w:tcBorders>
            <w:shd w:val="clear" w:color="auto" w:fill="FFFFFF" w:themeFill="background1"/>
            <w:vAlign w:val="center"/>
          </w:tcPr>
          <w:p w14:paraId="6A54240B"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38F7A3B8"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0F50AF00"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100-924: REGION SAN MARTIN-AGRICULTURA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25564EB8"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hAnsi="Arial Narrow"/>
                <w:sz w:val="16"/>
                <w:szCs w:val="16"/>
              </w:rPr>
              <w:t>459: Gobierno Regional del Departamento de San Martin</w:t>
            </w:r>
          </w:p>
        </w:tc>
        <w:tc>
          <w:tcPr>
            <w:tcW w:w="1218" w:type="dxa"/>
            <w:tcBorders>
              <w:top w:val="nil"/>
              <w:left w:val="nil"/>
              <w:bottom w:val="single" w:sz="4" w:space="0" w:color="auto"/>
              <w:right w:val="single" w:sz="4" w:space="0" w:color="auto"/>
            </w:tcBorders>
            <w:shd w:val="clear" w:color="auto" w:fill="FFFFFF" w:themeFill="background1"/>
            <w:vAlign w:val="center"/>
          </w:tcPr>
          <w:p w14:paraId="7B16B9C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31E174A3" w14:textId="77777777" w:rsidR="00881C3C" w:rsidRPr="00846D49" w:rsidRDefault="00881C3C" w:rsidP="00AF5836">
            <w:pPr>
              <w:spacing w:after="0" w:line="240" w:lineRule="auto"/>
              <w:jc w:val="center"/>
              <w:rPr>
                <w:rFonts w:ascii="Arial Narrow" w:eastAsia="Times New Roman" w:hAnsi="Arial Narrow"/>
                <w:sz w:val="16"/>
                <w:szCs w:val="16"/>
              </w:rPr>
            </w:pPr>
            <w:r w:rsidRPr="00846D49">
              <w:rPr>
                <w:rFonts w:ascii="Arial Narrow" w:eastAsia="Times New Roman" w:hAnsi="Arial Narrow"/>
                <w:sz w:val="16"/>
                <w:szCs w:val="16"/>
              </w:rPr>
              <w:t>Gobierno Regional</w:t>
            </w:r>
          </w:p>
        </w:tc>
        <w:tc>
          <w:tcPr>
            <w:tcW w:w="160" w:type="dxa"/>
            <w:gridSpan w:val="2"/>
            <w:shd w:val="clear" w:color="auto" w:fill="FFFFFF" w:themeFill="background1"/>
            <w:vAlign w:val="center"/>
            <w:hideMark/>
          </w:tcPr>
          <w:p w14:paraId="3144625D"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02265509" w14:textId="77777777" w:rsidTr="00AF5836">
        <w:trPr>
          <w:trHeight w:val="765"/>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51FF58D"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61BEB5B"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820C054"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right w:val="single" w:sz="4" w:space="0" w:color="auto"/>
            </w:tcBorders>
            <w:shd w:val="clear" w:color="auto" w:fill="FFFFFF" w:themeFill="background1"/>
            <w:vAlign w:val="center"/>
          </w:tcPr>
          <w:p w14:paraId="3B7F07D2"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left w:val="nil"/>
              <w:right w:val="single" w:sz="4" w:space="0" w:color="auto"/>
            </w:tcBorders>
            <w:shd w:val="clear" w:color="auto" w:fill="FFFFFF" w:themeFill="background1"/>
            <w:vAlign w:val="center"/>
          </w:tcPr>
          <w:p w14:paraId="135BCAB3"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437BEC79"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042BC7AF"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100-937: REGION TUMBES-AGRICULTURA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1E98435E"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hAnsi="Arial Narrow"/>
                <w:sz w:val="16"/>
                <w:szCs w:val="16"/>
              </w:rPr>
              <w:t>461: Gobierno Regional del Departamento de Tumbes</w:t>
            </w:r>
          </w:p>
        </w:tc>
        <w:tc>
          <w:tcPr>
            <w:tcW w:w="1218" w:type="dxa"/>
            <w:tcBorders>
              <w:top w:val="nil"/>
              <w:left w:val="nil"/>
              <w:bottom w:val="single" w:sz="4" w:space="0" w:color="auto"/>
              <w:right w:val="single" w:sz="4" w:space="0" w:color="auto"/>
            </w:tcBorders>
            <w:shd w:val="clear" w:color="auto" w:fill="FFFFFF" w:themeFill="background1"/>
            <w:vAlign w:val="center"/>
          </w:tcPr>
          <w:p w14:paraId="525D28DE"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5AF59D92"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Gobierno Regional</w:t>
            </w:r>
          </w:p>
        </w:tc>
        <w:tc>
          <w:tcPr>
            <w:tcW w:w="160" w:type="dxa"/>
            <w:gridSpan w:val="2"/>
            <w:shd w:val="clear" w:color="auto" w:fill="FFFFFF" w:themeFill="background1"/>
            <w:vAlign w:val="center"/>
            <w:hideMark/>
          </w:tcPr>
          <w:p w14:paraId="1BAACA79"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r w:rsidR="00846D49" w:rsidRPr="00846D49" w14:paraId="32C58966" w14:textId="77777777" w:rsidTr="00AF5836">
        <w:trPr>
          <w:trHeight w:val="510"/>
        </w:trPr>
        <w:tc>
          <w:tcPr>
            <w:tcW w:w="384"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398DBEA" w14:textId="77777777" w:rsidR="00881C3C" w:rsidRPr="00846D49" w:rsidRDefault="00881C3C" w:rsidP="00AF5836">
            <w:pPr>
              <w:spacing w:after="0" w:line="240" w:lineRule="auto"/>
              <w:rPr>
                <w:rFonts w:ascii="Arial Narrow" w:eastAsia="Times New Roman" w:hAnsi="Arial Narrow"/>
                <w:sz w:val="16"/>
                <w:szCs w:val="16"/>
              </w:rPr>
            </w:pPr>
          </w:p>
        </w:tc>
        <w:tc>
          <w:tcPr>
            <w:tcW w:w="169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A3968D7" w14:textId="77777777" w:rsidR="00881C3C" w:rsidRPr="00846D49" w:rsidRDefault="00881C3C" w:rsidP="00AF5836">
            <w:pPr>
              <w:spacing w:after="0" w:line="240" w:lineRule="auto"/>
              <w:rPr>
                <w:rFonts w:ascii="Arial Narrow" w:eastAsia="Times New Roman" w:hAnsi="Arial Narrow"/>
                <w:sz w:val="16"/>
                <w:szCs w:val="16"/>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777DFDD" w14:textId="77777777" w:rsidR="00881C3C" w:rsidRPr="00846D49" w:rsidRDefault="00881C3C" w:rsidP="00AF5836">
            <w:pPr>
              <w:spacing w:after="0" w:line="240" w:lineRule="auto"/>
              <w:rPr>
                <w:rFonts w:ascii="Arial Narrow" w:eastAsia="Times New Roman" w:hAnsi="Arial Narrow"/>
                <w:sz w:val="16"/>
                <w:szCs w:val="16"/>
              </w:rPr>
            </w:pPr>
          </w:p>
        </w:tc>
        <w:tc>
          <w:tcPr>
            <w:tcW w:w="2143" w:type="dxa"/>
            <w:vMerge/>
            <w:tcBorders>
              <w:left w:val="nil"/>
              <w:bottom w:val="single" w:sz="4" w:space="0" w:color="auto"/>
              <w:right w:val="single" w:sz="4" w:space="0" w:color="auto"/>
            </w:tcBorders>
            <w:shd w:val="clear" w:color="auto" w:fill="FFFFFF" w:themeFill="background1"/>
            <w:vAlign w:val="center"/>
          </w:tcPr>
          <w:p w14:paraId="0CD4005F" w14:textId="77777777" w:rsidR="00881C3C" w:rsidRPr="00846D49" w:rsidRDefault="00881C3C" w:rsidP="00AF5836">
            <w:pPr>
              <w:spacing w:after="0" w:line="240" w:lineRule="auto"/>
              <w:rPr>
                <w:rFonts w:ascii="Arial Narrow" w:eastAsia="Times New Roman" w:hAnsi="Arial Narrow"/>
                <w:strike/>
                <w:sz w:val="16"/>
                <w:szCs w:val="16"/>
              </w:rPr>
            </w:pPr>
          </w:p>
        </w:tc>
        <w:tc>
          <w:tcPr>
            <w:tcW w:w="2233" w:type="dxa"/>
            <w:vMerge/>
            <w:tcBorders>
              <w:left w:val="nil"/>
              <w:bottom w:val="single" w:sz="4" w:space="0" w:color="auto"/>
              <w:right w:val="single" w:sz="4" w:space="0" w:color="auto"/>
            </w:tcBorders>
            <w:shd w:val="clear" w:color="auto" w:fill="FFFFFF" w:themeFill="background1"/>
            <w:vAlign w:val="center"/>
          </w:tcPr>
          <w:p w14:paraId="3C1F033F" w14:textId="77777777" w:rsidR="00881C3C" w:rsidRPr="00846D49" w:rsidRDefault="00881C3C" w:rsidP="00AF5836">
            <w:pPr>
              <w:spacing w:after="0" w:line="240" w:lineRule="auto"/>
              <w:jc w:val="center"/>
              <w:rPr>
                <w:rFonts w:ascii="Arial Narrow" w:eastAsia="Times New Roman" w:hAnsi="Arial Narrow"/>
                <w:strike/>
                <w:sz w:val="16"/>
                <w:szCs w:val="16"/>
              </w:rPr>
            </w:pPr>
          </w:p>
        </w:tc>
        <w:tc>
          <w:tcPr>
            <w:tcW w:w="1814" w:type="dxa"/>
            <w:tcBorders>
              <w:top w:val="nil"/>
              <w:left w:val="nil"/>
              <w:bottom w:val="single" w:sz="4" w:space="0" w:color="auto"/>
              <w:right w:val="single" w:sz="4" w:space="0" w:color="auto"/>
            </w:tcBorders>
            <w:shd w:val="clear" w:color="auto" w:fill="FFFFFF" w:themeFill="background1"/>
            <w:vAlign w:val="center"/>
          </w:tcPr>
          <w:p w14:paraId="0CCC4D59"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Autoridad Regional Forestal y de Fauna Silvestre</w:t>
            </w:r>
          </w:p>
        </w:tc>
        <w:tc>
          <w:tcPr>
            <w:tcW w:w="1553" w:type="dxa"/>
            <w:tcBorders>
              <w:top w:val="nil"/>
              <w:left w:val="nil"/>
              <w:bottom w:val="single" w:sz="4" w:space="0" w:color="auto"/>
              <w:right w:val="single" w:sz="4" w:space="0" w:color="auto"/>
            </w:tcBorders>
            <w:shd w:val="clear" w:color="auto" w:fill="FFFFFF" w:themeFill="background1"/>
            <w:vAlign w:val="center"/>
          </w:tcPr>
          <w:p w14:paraId="14C0116C"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100-947: REGION UCAYALI-AGRICULTURA</w:t>
            </w:r>
          </w:p>
        </w:tc>
        <w:tc>
          <w:tcPr>
            <w:tcW w:w="1560" w:type="dxa"/>
            <w:tcBorders>
              <w:top w:val="nil"/>
              <w:left w:val="nil"/>
              <w:bottom w:val="single" w:sz="4" w:space="0" w:color="auto"/>
              <w:right w:val="single" w:sz="4" w:space="0" w:color="auto"/>
            </w:tcBorders>
            <w:shd w:val="clear" w:color="auto" w:fill="FFFFFF" w:themeFill="background1"/>
            <w:vAlign w:val="center"/>
          </w:tcPr>
          <w:p w14:paraId="276917A8"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hAnsi="Arial Narrow"/>
                <w:sz w:val="16"/>
                <w:szCs w:val="16"/>
              </w:rPr>
              <w:t>462: Gobierno Regional del Departamento de Ucayali</w:t>
            </w:r>
          </w:p>
        </w:tc>
        <w:tc>
          <w:tcPr>
            <w:tcW w:w="1218" w:type="dxa"/>
            <w:tcBorders>
              <w:top w:val="nil"/>
              <w:left w:val="nil"/>
              <w:bottom w:val="single" w:sz="4" w:space="0" w:color="auto"/>
              <w:right w:val="single" w:sz="4" w:space="0" w:color="auto"/>
            </w:tcBorders>
            <w:shd w:val="clear" w:color="auto" w:fill="FFFFFF" w:themeFill="background1"/>
            <w:vAlign w:val="center"/>
          </w:tcPr>
          <w:p w14:paraId="05BD3D16"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99: Gobiernos Regionales</w:t>
            </w:r>
          </w:p>
        </w:tc>
        <w:tc>
          <w:tcPr>
            <w:tcW w:w="1373" w:type="dxa"/>
            <w:tcBorders>
              <w:top w:val="nil"/>
              <w:left w:val="nil"/>
              <w:bottom w:val="single" w:sz="4" w:space="0" w:color="auto"/>
              <w:right w:val="single" w:sz="4" w:space="0" w:color="auto"/>
            </w:tcBorders>
            <w:shd w:val="clear" w:color="auto" w:fill="FFFFFF" w:themeFill="background1"/>
            <w:vAlign w:val="center"/>
          </w:tcPr>
          <w:p w14:paraId="47DD192F" w14:textId="77777777" w:rsidR="00881C3C" w:rsidRPr="00846D49" w:rsidRDefault="00881C3C" w:rsidP="00AF5836">
            <w:pPr>
              <w:spacing w:after="0" w:line="240" w:lineRule="auto"/>
              <w:jc w:val="center"/>
              <w:rPr>
                <w:rFonts w:ascii="Arial Narrow" w:eastAsia="Times New Roman" w:hAnsi="Arial Narrow"/>
                <w:strike/>
                <w:sz w:val="16"/>
                <w:szCs w:val="16"/>
              </w:rPr>
            </w:pPr>
            <w:r w:rsidRPr="00846D49">
              <w:rPr>
                <w:rFonts w:ascii="Arial Narrow" w:eastAsia="Times New Roman" w:hAnsi="Arial Narrow"/>
                <w:sz w:val="16"/>
                <w:szCs w:val="16"/>
              </w:rPr>
              <w:t>Gobierno Regional</w:t>
            </w:r>
          </w:p>
        </w:tc>
        <w:tc>
          <w:tcPr>
            <w:tcW w:w="160" w:type="dxa"/>
            <w:gridSpan w:val="2"/>
            <w:shd w:val="clear" w:color="auto" w:fill="FFFFFF" w:themeFill="background1"/>
            <w:vAlign w:val="center"/>
            <w:hideMark/>
          </w:tcPr>
          <w:p w14:paraId="081BEFA7" w14:textId="77777777" w:rsidR="00881C3C" w:rsidRPr="00846D49" w:rsidRDefault="00881C3C" w:rsidP="00AF5836">
            <w:pPr>
              <w:spacing w:after="0" w:line="240" w:lineRule="auto"/>
              <w:rPr>
                <w:rFonts w:ascii="Times New Roman" w:eastAsia="Times New Roman" w:hAnsi="Times New Roman" w:cs="Times New Roman"/>
                <w:sz w:val="20"/>
                <w:szCs w:val="20"/>
              </w:rPr>
            </w:pPr>
          </w:p>
        </w:tc>
      </w:tr>
    </w:tbl>
    <w:p w14:paraId="4E2E0866" w14:textId="1C064F0E" w:rsidR="00090599" w:rsidRPr="00846D49" w:rsidRDefault="00090599" w:rsidP="00090599">
      <w:pPr>
        <w:rPr>
          <w:b/>
          <w:bCs/>
        </w:rPr>
      </w:pPr>
      <w:r w:rsidRPr="00846D49">
        <w:rPr>
          <w:b/>
          <w:bCs/>
        </w:rPr>
        <w:br w:type="page"/>
      </w:r>
    </w:p>
    <w:p w14:paraId="36A5182D" w14:textId="756D6AF0" w:rsidR="00237AFB" w:rsidRPr="009C232C" w:rsidRDefault="00237AFB" w:rsidP="00237AFB">
      <w:pPr>
        <w:jc w:val="center"/>
        <w:rPr>
          <w:rFonts w:ascii="Arial" w:hAnsi="Arial" w:cs="Arial"/>
          <w:b/>
          <w:bCs/>
        </w:rPr>
      </w:pPr>
      <w:r w:rsidRPr="009C232C">
        <w:rPr>
          <w:rFonts w:ascii="Arial" w:hAnsi="Arial" w:cs="Arial"/>
          <w:b/>
          <w:bCs/>
        </w:rPr>
        <w:lastRenderedPageBreak/>
        <w:t xml:space="preserve">ANEXO N° </w:t>
      </w:r>
      <w:r w:rsidR="00090599" w:rsidRPr="009C232C">
        <w:rPr>
          <w:rFonts w:ascii="Arial" w:hAnsi="Arial" w:cs="Arial"/>
          <w:b/>
          <w:bCs/>
        </w:rPr>
        <w:t>3</w:t>
      </w:r>
    </w:p>
    <w:p w14:paraId="1E21D3F3" w14:textId="384D09C8" w:rsidR="00237AFB" w:rsidRPr="009C232C" w:rsidRDefault="00237AFB" w:rsidP="00AB1B19">
      <w:pPr>
        <w:jc w:val="center"/>
        <w:rPr>
          <w:rFonts w:ascii="Arial" w:hAnsi="Arial" w:cs="Arial"/>
        </w:rPr>
      </w:pPr>
      <w:r w:rsidRPr="009C232C">
        <w:rPr>
          <w:rFonts w:ascii="Arial" w:hAnsi="Arial" w:cs="Arial"/>
        </w:rPr>
        <w:t>Matri</w:t>
      </w:r>
      <w:r w:rsidR="00292B52" w:rsidRPr="009C232C">
        <w:rPr>
          <w:rFonts w:ascii="Arial" w:hAnsi="Arial" w:cs="Arial"/>
        </w:rPr>
        <w:t>ces</w:t>
      </w:r>
      <w:r w:rsidRPr="009C232C">
        <w:rPr>
          <w:rFonts w:ascii="Arial" w:hAnsi="Arial" w:cs="Arial"/>
        </w:rPr>
        <w:t xml:space="preserve"> de Alineamiento vertical con las Políticas de Estado del Acuerdo Nacional</w:t>
      </w:r>
      <w:r w:rsidR="00421976" w:rsidRPr="009C232C">
        <w:rPr>
          <w:rFonts w:ascii="Arial" w:hAnsi="Arial" w:cs="Arial"/>
        </w:rPr>
        <w:t>,</w:t>
      </w:r>
      <w:r w:rsidRPr="009C232C">
        <w:rPr>
          <w:rFonts w:ascii="Arial" w:hAnsi="Arial" w:cs="Arial"/>
        </w:rPr>
        <w:t xml:space="preserve"> Plan Estratégico de Desarrollo Nacional al 2050</w:t>
      </w:r>
      <w:r w:rsidR="00421976" w:rsidRPr="009C232C">
        <w:rPr>
          <w:rFonts w:ascii="Arial" w:hAnsi="Arial" w:cs="Arial"/>
        </w:rPr>
        <w:t xml:space="preserve"> y la Política General de Gobierno</w:t>
      </w:r>
    </w:p>
    <w:tbl>
      <w:tblPr>
        <w:tblW w:w="14175" w:type="dxa"/>
        <w:tblInd w:w="279"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4111"/>
        <w:gridCol w:w="2551"/>
        <w:gridCol w:w="7513"/>
      </w:tblGrid>
      <w:tr w:rsidR="003E371D" w:rsidRPr="00A420EC" w14:paraId="3157925C" w14:textId="77777777" w:rsidTr="003E371D">
        <w:trPr>
          <w:trHeight w:val="303"/>
        </w:trPr>
        <w:tc>
          <w:tcPr>
            <w:tcW w:w="4111" w:type="dxa"/>
            <w:vMerge w:val="restart"/>
            <w:shd w:val="clear" w:color="auto" w:fill="A8D08D"/>
          </w:tcPr>
          <w:p w14:paraId="2D45CA7D" w14:textId="63E7A735" w:rsidR="003E371D" w:rsidRPr="00AB1B19" w:rsidRDefault="003E371D" w:rsidP="005E3DDA">
            <w:pPr>
              <w:spacing w:after="0"/>
              <w:jc w:val="center"/>
              <w:rPr>
                <w:rFonts w:ascii="Arial Narrow" w:eastAsia="Arial Narrow" w:hAnsi="Arial Narrow" w:cs="Arial Narrow"/>
                <w:b/>
                <w:bCs/>
                <w:sz w:val="20"/>
                <w:szCs w:val="20"/>
              </w:rPr>
            </w:pPr>
            <w:r w:rsidRPr="001E4362">
              <w:rPr>
                <w:rFonts w:ascii="Arial Narrow" w:eastAsia="Arial Narrow" w:hAnsi="Arial Narrow" w:cs="Arial Narrow"/>
                <w:b/>
                <w:bCs/>
                <w:sz w:val="20"/>
                <w:szCs w:val="20"/>
              </w:rPr>
              <w:t>Objetivo Prioritario de la Política Nacional Forestal y de Fauna Silvestre</w:t>
            </w:r>
          </w:p>
        </w:tc>
        <w:tc>
          <w:tcPr>
            <w:tcW w:w="10064" w:type="dxa"/>
            <w:gridSpan w:val="2"/>
            <w:shd w:val="clear" w:color="auto" w:fill="A8D08D"/>
          </w:tcPr>
          <w:p w14:paraId="13835B70" w14:textId="1D32A4F1" w:rsidR="003E371D" w:rsidRPr="00AB1B19" w:rsidRDefault="003E371D" w:rsidP="0072651A">
            <w:pPr>
              <w:spacing w:after="0"/>
              <w:jc w:val="center"/>
              <w:rPr>
                <w:rFonts w:ascii="Arial Narrow" w:eastAsia="Arial Narrow" w:hAnsi="Arial Narrow" w:cs="Arial Narrow"/>
                <w:b/>
                <w:bCs/>
                <w:sz w:val="20"/>
                <w:szCs w:val="20"/>
              </w:rPr>
            </w:pPr>
            <w:r w:rsidRPr="00AB1B19">
              <w:rPr>
                <w:b/>
                <w:bCs/>
              </w:rPr>
              <w:t>Políticas de Estado del Acuerdo Nacional</w:t>
            </w:r>
          </w:p>
        </w:tc>
      </w:tr>
      <w:tr w:rsidR="003E371D" w:rsidRPr="00CA2F4A" w14:paraId="085B956A" w14:textId="77777777" w:rsidTr="005E3DDA">
        <w:trPr>
          <w:trHeight w:val="180"/>
        </w:trPr>
        <w:tc>
          <w:tcPr>
            <w:tcW w:w="4111" w:type="dxa"/>
            <w:vMerge/>
            <w:shd w:val="clear" w:color="auto" w:fill="A8D08D"/>
          </w:tcPr>
          <w:p w14:paraId="0815088F" w14:textId="60562573" w:rsidR="003E371D" w:rsidRPr="001E4362" w:rsidRDefault="003E371D" w:rsidP="005E3DDA">
            <w:pPr>
              <w:spacing w:after="0"/>
              <w:jc w:val="center"/>
              <w:rPr>
                <w:rFonts w:ascii="Arial Narrow" w:eastAsia="Arial Narrow" w:hAnsi="Arial Narrow" w:cs="Arial Narrow"/>
                <w:b/>
                <w:bCs/>
                <w:sz w:val="20"/>
                <w:szCs w:val="20"/>
              </w:rPr>
            </w:pPr>
          </w:p>
        </w:tc>
        <w:tc>
          <w:tcPr>
            <w:tcW w:w="2551" w:type="dxa"/>
            <w:shd w:val="clear" w:color="auto" w:fill="A8D08D"/>
          </w:tcPr>
          <w:p w14:paraId="07968F85" w14:textId="418435E9" w:rsidR="003E371D" w:rsidRPr="001E4362" w:rsidRDefault="003E371D" w:rsidP="005E3DDA">
            <w:pPr>
              <w:spacing w:after="0"/>
              <w:jc w:val="center"/>
              <w:rPr>
                <w:rFonts w:ascii="Arial Narrow" w:eastAsia="Arial Narrow" w:hAnsi="Arial Narrow" w:cs="Arial Narrow"/>
                <w:b/>
                <w:bCs/>
                <w:sz w:val="20"/>
                <w:szCs w:val="20"/>
              </w:rPr>
            </w:pPr>
            <w:r w:rsidRPr="001E4362">
              <w:rPr>
                <w:rFonts w:ascii="Arial Narrow" w:eastAsia="Arial Narrow" w:hAnsi="Arial Narrow" w:cs="Arial Narrow"/>
                <w:b/>
                <w:bCs/>
                <w:sz w:val="20"/>
                <w:szCs w:val="20"/>
              </w:rPr>
              <w:t>Eje Temático</w:t>
            </w:r>
          </w:p>
        </w:tc>
        <w:tc>
          <w:tcPr>
            <w:tcW w:w="7513" w:type="dxa"/>
            <w:shd w:val="clear" w:color="auto" w:fill="A8D08D"/>
          </w:tcPr>
          <w:p w14:paraId="19D7D6E4" w14:textId="03638596" w:rsidR="003E371D" w:rsidRPr="00CA2F4A" w:rsidRDefault="003E371D" w:rsidP="005E3DDA">
            <w:pPr>
              <w:spacing w:after="0"/>
              <w:jc w:val="center"/>
              <w:rPr>
                <w:rFonts w:ascii="Arial Narrow" w:eastAsia="Arial Narrow" w:hAnsi="Arial Narrow" w:cs="Arial Narrow"/>
                <w:b/>
                <w:bCs/>
                <w:sz w:val="20"/>
                <w:szCs w:val="20"/>
                <w:lang w:val="pt-PT"/>
              </w:rPr>
            </w:pPr>
            <w:r w:rsidRPr="00CA2F4A">
              <w:rPr>
                <w:rFonts w:ascii="Arial Narrow" w:eastAsia="Arial Narrow" w:hAnsi="Arial Narrow" w:cs="Arial Narrow"/>
                <w:b/>
                <w:bCs/>
                <w:sz w:val="20"/>
                <w:szCs w:val="20"/>
                <w:lang w:val="pt-PT"/>
              </w:rPr>
              <w:t>Política de Estado N° / Literal</w:t>
            </w:r>
          </w:p>
        </w:tc>
      </w:tr>
      <w:tr w:rsidR="005E3DDA" w:rsidRPr="00A420EC" w14:paraId="1B1D1B82" w14:textId="77777777" w:rsidTr="005E3DDA">
        <w:trPr>
          <w:trHeight w:val="476"/>
        </w:trPr>
        <w:tc>
          <w:tcPr>
            <w:tcW w:w="4111" w:type="dxa"/>
          </w:tcPr>
          <w:p w14:paraId="7740DDD8" w14:textId="77777777" w:rsidR="005E3DDA" w:rsidRPr="00BE365C" w:rsidRDefault="005E3DDA" w:rsidP="005E3DDA">
            <w:pPr>
              <w:pBdr>
                <w:top w:val="nil"/>
                <w:left w:val="nil"/>
                <w:bottom w:val="nil"/>
                <w:right w:val="nil"/>
                <w:between w:val="nil"/>
              </w:pBdr>
              <w:spacing w:after="0"/>
              <w:jc w:val="both"/>
              <w:rPr>
                <w:rFonts w:ascii="Arial Narrow" w:eastAsia="Arial Narrow" w:hAnsi="Arial Narrow" w:cs="Arial Narrow"/>
                <w:sz w:val="20"/>
                <w:szCs w:val="20"/>
              </w:rPr>
            </w:pPr>
            <w:r w:rsidRPr="00BE365C">
              <w:rPr>
                <w:rFonts w:ascii="Arial Narrow" w:eastAsia="Arial Narrow" w:hAnsi="Arial Narrow" w:cs="Arial Narrow"/>
                <w:sz w:val="20"/>
                <w:szCs w:val="20"/>
              </w:rPr>
              <w:t xml:space="preserve">OP2. </w:t>
            </w:r>
            <w:r w:rsidRPr="00BE365C">
              <w:rPr>
                <w:rFonts w:ascii="Arial Narrow" w:eastAsia="Arial Narrow" w:hAnsi="Arial Narrow" w:cs="Arial"/>
                <w:sz w:val="20"/>
                <w:szCs w:val="20"/>
              </w:rPr>
              <w:t>Incrementar la productividad de los ecosistemas forestales, otros ecosistemas de vegetación silvestre y de la fauna silvestre</w:t>
            </w:r>
            <w:r w:rsidRPr="00BE365C">
              <w:rPr>
                <w:rFonts w:ascii="Arial Narrow" w:eastAsia="Arial Narrow" w:hAnsi="Arial Narrow" w:cs="Arial Narrow"/>
                <w:sz w:val="20"/>
                <w:szCs w:val="20"/>
              </w:rPr>
              <w:t>.</w:t>
            </w:r>
          </w:p>
          <w:p w14:paraId="602D5CC0" w14:textId="77777777" w:rsidR="005E3DDA" w:rsidRPr="00A420EC" w:rsidRDefault="005E3DDA" w:rsidP="005E3DDA">
            <w:pPr>
              <w:rPr>
                <w:rFonts w:ascii="Arial Narrow" w:hAnsi="Arial Narrow"/>
                <w:sz w:val="20"/>
                <w:szCs w:val="20"/>
              </w:rPr>
            </w:pPr>
          </w:p>
        </w:tc>
        <w:tc>
          <w:tcPr>
            <w:tcW w:w="2551" w:type="dxa"/>
          </w:tcPr>
          <w:p w14:paraId="3C7FB9E8" w14:textId="29F6126B" w:rsidR="005E3DDA" w:rsidRPr="00A420EC" w:rsidRDefault="005E3DDA" w:rsidP="005E3DDA">
            <w:pPr>
              <w:rPr>
                <w:rFonts w:ascii="Arial Narrow" w:hAnsi="Arial Narrow"/>
                <w:sz w:val="20"/>
                <w:szCs w:val="20"/>
              </w:rPr>
            </w:pPr>
            <w:r w:rsidRPr="00A420EC">
              <w:rPr>
                <w:rFonts w:ascii="Arial Narrow" w:hAnsi="Arial Narrow"/>
                <w:sz w:val="20"/>
                <w:szCs w:val="20"/>
              </w:rPr>
              <w:t>II</w:t>
            </w:r>
            <w:r>
              <w:rPr>
                <w:rFonts w:ascii="Arial Narrow" w:hAnsi="Arial Narrow"/>
                <w:sz w:val="20"/>
                <w:szCs w:val="20"/>
              </w:rPr>
              <w:t>.</w:t>
            </w:r>
            <w:r w:rsidRPr="00A420EC">
              <w:rPr>
                <w:rFonts w:ascii="Arial Narrow" w:hAnsi="Arial Narrow"/>
                <w:sz w:val="20"/>
                <w:szCs w:val="20"/>
              </w:rPr>
              <w:t xml:space="preserve"> Equidad y justicia social</w:t>
            </w:r>
          </w:p>
        </w:tc>
        <w:tc>
          <w:tcPr>
            <w:tcW w:w="7513" w:type="dxa"/>
          </w:tcPr>
          <w:p w14:paraId="127B65EE" w14:textId="77777777" w:rsidR="005E3DDA" w:rsidRPr="00C6169C" w:rsidRDefault="005E3DDA" w:rsidP="005E3DDA">
            <w:pPr>
              <w:rPr>
                <w:rFonts w:ascii="Arial Narrow" w:hAnsi="Arial Narrow"/>
                <w:b/>
                <w:sz w:val="20"/>
                <w:szCs w:val="20"/>
              </w:rPr>
            </w:pPr>
            <w:r w:rsidRPr="00C6169C">
              <w:rPr>
                <w:rFonts w:ascii="Arial Narrow" w:hAnsi="Arial Narrow"/>
                <w:b/>
                <w:sz w:val="20"/>
                <w:szCs w:val="20"/>
              </w:rPr>
              <w:t>N° 10 Reducción de la pobreza</w:t>
            </w:r>
          </w:p>
          <w:p w14:paraId="230214DC" w14:textId="77777777" w:rsidR="005E3DDA" w:rsidRPr="00C6169C" w:rsidRDefault="005E3DDA" w:rsidP="005E3DDA">
            <w:pPr>
              <w:pStyle w:val="Default"/>
              <w:rPr>
                <w:rFonts w:ascii="Arial Narrow" w:hAnsi="Arial Narrow"/>
                <w:b/>
                <w:sz w:val="20"/>
                <w:szCs w:val="20"/>
              </w:rPr>
            </w:pPr>
            <w:r w:rsidRPr="00C6169C">
              <w:rPr>
                <w:rFonts w:ascii="Arial Narrow" w:hAnsi="Arial Narrow"/>
                <w:b/>
                <w:sz w:val="20"/>
                <w:szCs w:val="20"/>
              </w:rPr>
              <w:t>Literal:</w:t>
            </w:r>
          </w:p>
          <w:p w14:paraId="21E6F4A5" w14:textId="77777777" w:rsidR="005E3DDA" w:rsidRPr="00A420EC" w:rsidRDefault="005E3DDA" w:rsidP="005E3DDA">
            <w:pPr>
              <w:pStyle w:val="Default"/>
              <w:rPr>
                <w:rFonts w:ascii="Arial Narrow" w:hAnsi="Arial Narrow"/>
                <w:sz w:val="20"/>
                <w:szCs w:val="20"/>
              </w:rPr>
            </w:pPr>
            <w:r w:rsidRPr="00A420EC">
              <w:rPr>
                <w:rFonts w:ascii="Arial Narrow" w:hAnsi="Arial Narrow"/>
                <w:sz w:val="20"/>
                <w:szCs w:val="20"/>
              </w:rPr>
              <w:t xml:space="preserve">a) Promoverá la producción, el desarrollo empresarial local y el empleo. </w:t>
            </w:r>
          </w:p>
          <w:p w14:paraId="344424AD" w14:textId="77777777" w:rsidR="005E3DDA" w:rsidRPr="00A420EC" w:rsidRDefault="005E3DDA" w:rsidP="005E3DDA">
            <w:pPr>
              <w:pStyle w:val="Default"/>
              <w:rPr>
                <w:rFonts w:ascii="Arial Narrow" w:hAnsi="Arial Narrow"/>
                <w:sz w:val="20"/>
                <w:szCs w:val="20"/>
              </w:rPr>
            </w:pPr>
            <w:r w:rsidRPr="00A420EC">
              <w:rPr>
                <w:rFonts w:ascii="Arial Narrow" w:hAnsi="Arial Narrow"/>
                <w:sz w:val="20"/>
                <w:szCs w:val="20"/>
              </w:rPr>
              <w:t xml:space="preserve">b) Fortalecerá las capacidades locales de gestión que promuevan el acceso a la información, la capacitación, la transferencia tecnológica y un mayor acceso al crédito. </w:t>
            </w:r>
          </w:p>
          <w:p w14:paraId="5FD21FDC" w14:textId="77777777" w:rsidR="005E3DDA" w:rsidRPr="00BE365C" w:rsidRDefault="005E3DDA" w:rsidP="005E3DDA">
            <w:pPr>
              <w:pStyle w:val="Prrafodelista"/>
              <w:spacing w:after="0"/>
              <w:ind w:left="1080"/>
              <w:jc w:val="both"/>
              <w:rPr>
                <w:rFonts w:ascii="Arial Narrow" w:eastAsia="Arial Narrow" w:hAnsi="Arial Narrow" w:cs="Arial Narrow"/>
                <w:sz w:val="20"/>
                <w:szCs w:val="20"/>
              </w:rPr>
            </w:pPr>
          </w:p>
        </w:tc>
      </w:tr>
      <w:tr w:rsidR="005E3DDA" w:rsidRPr="00A420EC" w14:paraId="6D997511" w14:textId="77777777" w:rsidTr="005E3DDA">
        <w:trPr>
          <w:trHeight w:val="476"/>
        </w:trPr>
        <w:tc>
          <w:tcPr>
            <w:tcW w:w="4111" w:type="dxa"/>
          </w:tcPr>
          <w:p w14:paraId="0E8B9C49" w14:textId="77777777" w:rsidR="005E3DDA" w:rsidRPr="00BE365C" w:rsidRDefault="005E3DDA" w:rsidP="005E3DDA">
            <w:pPr>
              <w:pBdr>
                <w:top w:val="nil"/>
                <w:left w:val="nil"/>
                <w:bottom w:val="nil"/>
                <w:right w:val="nil"/>
                <w:between w:val="nil"/>
              </w:pBdr>
              <w:spacing w:after="0"/>
              <w:jc w:val="both"/>
              <w:rPr>
                <w:rFonts w:ascii="Arial Narrow" w:eastAsia="Arial Narrow" w:hAnsi="Arial Narrow" w:cs="Arial Narrow"/>
                <w:sz w:val="20"/>
                <w:szCs w:val="20"/>
              </w:rPr>
            </w:pPr>
            <w:r w:rsidRPr="00BE365C">
              <w:rPr>
                <w:rFonts w:ascii="Arial Narrow" w:eastAsia="Arial Narrow" w:hAnsi="Arial Narrow" w:cs="Arial Narrow"/>
                <w:sz w:val="20"/>
                <w:szCs w:val="20"/>
              </w:rPr>
              <w:t xml:space="preserve">OP2. </w:t>
            </w:r>
            <w:r w:rsidRPr="00BE365C">
              <w:rPr>
                <w:rFonts w:ascii="Arial Narrow" w:eastAsia="Arial Narrow" w:hAnsi="Arial Narrow" w:cs="Arial"/>
                <w:sz w:val="20"/>
                <w:szCs w:val="20"/>
              </w:rPr>
              <w:t>Incrementar la productividad de los ecosistemas forestales, otros ecosistemas de vegetación silvestre y de la fauna silvestre</w:t>
            </w:r>
            <w:r w:rsidRPr="00BE365C">
              <w:rPr>
                <w:rFonts w:ascii="Arial Narrow" w:eastAsia="Arial Narrow" w:hAnsi="Arial Narrow" w:cs="Arial Narrow"/>
                <w:sz w:val="20"/>
                <w:szCs w:val="20"/>
              </w:rPr>
              <w:t>.</w:t>
            </w:r>
          </w:p>
          <w:p w14:paraId="1CF756E4" w14:textId="77777777" w:rsidR="005E3DDA" w:rsidRPr="00BE365C" w:rsidRDefault="005E3DDA" w:rsidP="005E3DDA">
            <w:pPr>
              <w:pBdr>
                <w:top w:val="nil"/>
                <w:left w:val="nil"/>
                <w:bottom w:val="nil"/>
                <w:right w:val="nil"/>
                <w:between w:val="nil"/>
              </w:pBdr>
              <w:spacing w:after="0"/>
              <w:jc w:val="both"/>
              <w:rPr>
                <w:rFonts w:ascii="Arial Narrow" w:eastAsia="Arial Narrow" w:hAnsi="Arial Narrow" w:cs="Arial Narrow"/>
                <w:sz w:val="20"/>
                <w:szCs w:val="20"/>
              </w:rPr>
            </w:pPr>
          </w:p>
          <w:p w14:paraId="4BF52B10" w14:textId="57CD2F69" w:rsidR="005E3DDA" w:rsidRPr="00A420EC" w:rsidRDefault="005E3DDA" w:rsidP="005E3DDA">
            <w:pPr>
              <w:rPr>
                <w:rFonts w:ascii="Arial Narrow" w:hAnsi="Arial Narrow"/>
                <w:sz w:val="20"/>
                <w:szCs w:val="20"/>
              </w:rPr>
            </w:pPr>
            <w:r w:rsidRPr="00BE365C">
              <w:rPr>
                <w:rFonts w:ascii="Arial Narrow" w:eastAsia="Times New Roman" w:hAnsi="Arial Narrow" w:cs="Times New Roman"/>
                <w:sz w:val="20"/>
                <w:szCs w:val="20"/>
              </w:rPr>
              <w:t xml:space="preserve">OP3.  </w:t>
            </w:r>
            <w:r w:rsidRPr="00BE365C">
              <w:rPr>
                <w:rFonts w:ascii="Arial Narrow" w:eastAsia="Arial Narrow" w:hAnsi="Arial Narrow" w:cs="Arial Narrow"/>
                <w:sz w:val="20"/>
                <w:szCs w:val="20"/>
              </w:rPr>
              <w:t>Fortalecer la gobernanza forestal y de fauna silvestre.</w:t>
            </w:r>
          </w:p>
        </w:tc>
        <w:tc>
          <w:tcPr>
            <w:tcW w:w="2551" w:type="dxa"/>
          </w:tcPr>
          <w:p w14:paraId="46B502DF" w14:textId="474C0F56" w:rsidR="005E3DDA" w:rsidRPr="00A420EC" w:rsidRDefault="005E3DDA" w:rsidP="005E3DDA">
            <w:pPr>
              <w:rPr>
                <w:rFonts w:ascii="Arial Narrow" w:hAnsi="Arial Narrow"/>
                <w:sz w:val="20"/>
                <w:szCs w:val="20"/>
              </w:rPr>
            </w:pPr>
            <w:r w:rsidRPr="00A420EC">
              <w:rPr>
                <w:rFonts w:ascii="Arial Narrow" w:hAnsi="Arial Narrow"/>
                <w:sz w:val="20"/>
                <w:szCs w:val="20"/>
              </w:rPr>
              <w:t>II</w:t>
            </w:r>
            <w:r>
              <w:rPr>
                <w:rFonts w:ascii="Arial Narrow" w:hAnsi="Arial Narrow"/>
                <w:sz w:val="20"/>
                <w:szCs w:val="20"/>
              </w:rPr>
              <w:t>.</w:t>
            </w:r>
            <w:r w:rsidRPr="00A420EC">
              <w:rPr>
                <w:rFonts w:ascii="Arial Narrow" w:hAnsi="Arial Narrow"/>
                <w:sz w:val="20"/>
                <w:szCs w:val="20"/>
              </w:rPr>
              <w:t xml:space="preserve"> Equidad y justicia social</w:t>
            </w:r>
          </w:p>
        </w:tc>
        <w:tc>
          <w:tcPr>
            <w:tcW w:w="7513" w:type="dxa"/>
          </w:tcPr>
          <w:p w14:paraId="6D8DD404" w14:textId="77777777" w:rsidR="005E3DDA" w:rsidRDefault="005E3DDA" w:rsidP="005E3DDA">
            <w:pPr>
              <w:rPr>
                <w:rFonts w:ascii="Arial Narrow" w:hAnsi="Arial Narrow"/>
                <w:b/>
                <w:sz w:val="20"/>
                <w:szCs w:val="20"/>
              </w:rPr>
            </w:pPr>
            <w:r>
              <w:rPr>
                <w:rFonts w:ascii="Arial Narrow" w:hAnsi="Arial Narrow"/>
                <w:b/>
                <w:sz w:val="20"/>
                <w:szCs w:val="20"/>
              </w:rPr>
              <w:t>N° 11 Promoción de la igualdad de oportunidades sin discriminación</w:t>
            </w:r>
          </w:p>
          <w:p w14:paraId="750B9363" w14:textId="77777777" w:rsidR="005E3DDA" w:rsidRPr="00C6169C" w:rsidRDefault="005E3DDA" w:rsidP="005E3DDA">
            <w:pPr>
              <w:pStyle w:val="Default"/>
              <w:rPr>
                <w:rFonts w:ascii="Arial Narrow" w:hAnsi="Arial Narrow"/>
                <w:sz w:val="20"/>
                <w:szCs w:val="20"/>
              </w:rPr>
            </w:pPr>
            <w:r w:rsidRPr="00C6169C">
              <w:rPr>
                <w:rFonts w:ascii="Arial Narrow" w:hAnsi="Arial Narrow"/>
                <w:b/>
                <w:bCs/>
                <w:sz w:val="20"/>
                <w:szCs w:val="20"/>
              </w:rPr>
              <w:t xml:space="preserve">Literal: </w:t>
            </w:r>
          </w:p>
          <w:p w14:paraId="7B04435E" w14:textId="58223992" w:rsidR="005E3DDA" w:rsidRPr="00BE365C" w:rsidRDefault="005E3DDA" w:rsidP="005E3DDA">
            <w:pPr>
              <w:pBdr>
                <w:top w:val="nil"/>
                <w:left w:val="nil"/>
                <w:bottom w:val="nil"/>
                <w:right w:val="nil"/>
                <w:between w:val="nil"/>
              </w:pBdr>
              <w:spacing w:after="0"/>
              <w:jc w:val="both"/>
              <w:rPr>
                <w:rFonts w:ascii="Arial Narrow" w:eastAsia="Arial Narrow" w:hAnsi="Arial Narrow" w:cs="Arial Narrow"/>
                <w:sz w:val="20"/>
                <w:szCs w:val="20"/>
              </w:rPr>
            </w:pPr>
            <w:r w:rsidRPr="00C6169C">
              <w:rPr>
                <w:rFonts w:ascii="Arial Narrow" w:hAnsi="Arial Narrow"/>
                <w:sz w:val="20"/>
                <w:szCs w:val="20"/>
              </w:rPr>
              <w:t>f) Promoverá y protegerá los derechos de los integrantes de las comunidades étnicas discriminadas, impulsando programas de desarrollo social que los favorezcan integralmente.</w:t>
            </w:r>
            <w:r>
              <w:rPr>
                <w:sz w:val="20"/>
                <w:szCs w:val="20"/>
              </w:rPr>
              <w:t xml:space="preserve"> </w:t>
            </w:r>
          </w:p>
        </w:tc>
      </w:tr>
      <w:tr w:rsidR="005E3DDA" w:rsidRPr="00A420EC" w14:paraId="306F5D79" w14:textId="77777777" w:rsidTr="005E3DDA">
        <w:trPr>
          <w:trHeight w:val="476"/>
        </w:trPr>
        <w:tc>
          <w:tcPr>
            <w:tcW w:w="4111" w:type="dxa"/>
          </w:tcPr>
          <w:p w14:paraId="75A0AD07" w14:textId="77777777" w:rsidR="005E3DDA" w:rsidRPr="00BE365C" w:rsidRDefault="005E3DDA" w:rsidP="005E3DDA">
            <w:pPr>
              <w:pBdr>
                <w:top w:val="nil"/>
                <w:left w:val="nil"/>
                <w:bottom w:val="nil"/>
                <w:right w:val="nil"/>
                <w:between w:val="nil"/>
              </w:pBdr>
              <w:spacing w:after="0"/>
              <w:jc w:val="both"/>
              <w:rPr>
                <w:rFonts w:ascii="Arial Narrow" w:eastAsia="Arial Narrow" w:hAnsi="Arial Narrow" w:cs="Arial Narrow"/>
                <w:sz w:val="20"/>
                <w:szCs w:val="20"/>
              </w:rPr>
            </w:pPr>
            <w:r w:rsidRPr="00BE365C">
              <w:rPr>
                <w:rFonts w:ascii="Arial Narrow" w:eastAsia="Times New Roman" w:hAnsi="Arial Narrow" w:cs="Times New Roman"/>
                <w:sz w:val="20"/>
                <w:szCs w:val="20"/>
              </w:rPr>
              <w:t xml:space="preserve">OP1.  </w:t>
            </w:r>
            <w:r w:rsidRPr="00DC7A03">
              <w:rPr>
                <w:rFonts w:ascii="Arial Narrow" w:eastAsia="Arial Narrow" w:hAnsi="Arial Narrow" w:cs="Arial"/>
                <w:sz w:val="20"/>
                <w:szCs w:val="20"/>
              </w:rPr>
              <w:t>Mejorar las condiciones para la sostenibilidad de los ecosistemas forestales, otros ecosistemas de vegetación silvestre y de la fauna silvestre</w:t>
            </w:r>
            <w:r w:rsidRPr="00DC7A03">
              <w:rPr>
                <w:rFonts w:ascii="Arial Narrow" w:eastAsia="Arial Narrow" w:hAnsi="Arial Narrow" w:cs="Arial Narrow"/>
                <w:sz w:val="20"/>
                <w:szCs w:val="20"/>
              </w:rPr>
              <w:t>.</w:t>
            </w:r>
          </w:p>
          <w:p w14:paraId="301AD63D" w14:textId="77777777" w:rsidR="005E3DDA" w:rsidRPr="00BE365C" w:rsidRDefault="005E3DDA" w:rsidP="005E3DDA">
            <w:pPr>
              <w:pBdr>
                <w:top w:val="nil"/>
                <w:left w:val="nil"/>
                <w:bottom w:val="nil"/>
                <w:right w:val="nil"/>
                <w:between w:val="nil"/>
              </w:pBdr>
              <w:spacing w:after="0"/>
              <w:jc w:val="both"/>
              <w:rPr>
                <w:rFonts w:ascii="Arial Narrow" w:eastAsia="Arial Narrow" w:hAnsi="Arial Narrow" w:cs="Arial Narrow"/>
                <w:sz w:val="20"/>
                <w:szCs w:val="20"/>
              </w:rPr>
            </w:pPr>
            <w:r w:rsidRPr="00BE365C">
              <w:rPr>
                <w:rFonts w:ascii="Arial Narrow" w:eastAsia="Arial Narrow" w:hAnsi="Arial Narrow" w:cs="Arial Narrow"/>
                <w:sz w:val="20"/>
                <w:szCs w:val="20"/>
              </w:rPr>
              <w:t xml:space="preserve">  </w:t>
            </w:r>
          </w:p>
          <w:p w14:paraId="10999CD5" w14:textId="77777777" w:rsidR="005E3DDA" w:rsidRPr="00BE365C" w:rsidRDefault="005E3DDA" w:rsidP="005E3DDA">
            <w:pPr>
              <w:pBdr>
                <w:top w:val="nil"/>
                <w:left w:val="nil"/>
                <w:bottom w:val="nil"/>
                <w:right w:val="nil"/>
                <w:between w:val="nil"/>
              </w:pBdr>
              <w:spacing w:after="0"/>
              <w:jc w:val="both"/>
              <w:rPr>
                <w:rFonts w:ascii="Arial Narrow" w:eastAsia="Arial Narrow" w:hAnsi="Arial Narrow" w:cs="Arial Narrow"/>
                <w:sz w:val="20"/>
                <w:szCs w:val="20"/>
              </w:rPr>
            </w:pPr>
            <w:r w:rsidRPr="00BE365C">
              <w:rPr>
                <w:rFonts w:ascii="Arial Narrow" w:eastAsia="Arial Narrow" w:hAnsi="Arial Narrow" w:cs="Arial Narrow"/>
                <w:sz w:val="20"/>
                <w:szCs w:val="20"/>
              </w:rPr>
              <w:t xml:space="preserve">OP2. </w:t>
            </w:r>
            <w:r w:rsidRPr="00BE365C">
              <w:rPr>
                <w:rFonts w:ascii="Arial Narrow" w:eastAsia="Arial Narrow" w:hAnsi="Arial Narrow" w:cs="Arial"/>
                <w:sz w:val="20"/>
                <w:szCs w:val="20"/>
              </w:rPr>
              <w:t>Incrementar la productividad de los ecosistemas forestales, otros ecosistemas de vegetación silvestre y de la fauna silvestre</w:t>
            </w:r>
            <w:r w:rsidRPr="00BE365C">
              <w:rPr>
                <w:rFonts w:ascii="Arial Narrow" w:eastAsia="Arial Narrow" w:hAnsi="Arial Narrow" w:cs="Arial Narrow"/>
                <w:sz w:val="20"/>
                <w:szCs w:val="20"/>
              </w:rPr>
              <w:t>.</w:t>
            </w:r>
          </w:p>
          <w:p w14:paraId="70225378" w14:textId="77777777" w:rsidR="005E3DDA" w:rsidRPr="00BE365C" w:rsidRDefault="005E3DDA" w:rsidP="005E3DDA">
            <w:pPr>
              <w:pBdr>
                <w:top w:val="nil"/>
                <w:left w:val="nil"/>
                <w:bottom w:val="nil"/>
                <w:right w:val="nil"/>
                <w:between w:val="nil"/>
              </w:pBdr>
              <w:spacing w:after="0"/>
              <w:jc w:val="both"/>
              <w:rPr>
                <w:rFonts w:ascii="Arial Narrow" w:eastAsia="Arial Narrow" w:hAnsi="Arial Narrow" w:cs="Arial Narrow"/>
                <w:sz w:val="20"/>
                <w:szCs w:val="20"/>
              </w:rPr>
            </w:pPr>
          </w:p>
          <w:p w14:paraId="6A1417AF" w14:textId="6FE9165B" w:rsidR="005E3DDA" w:rsidRPr="00A420EC" w:rsidRDefault="005E3DDA" w:rsidP="005E3DDA">
            <w:pPr>
              <w:rPr>
                <w:rFonts w:ascii="Arial Narrow" w:hAnsi="Arial Narrow"/>
                <w:sz w:val="20"/>
                <w:szCs w:val="20"/>
              </w:rPr>
            </w:pPr>
            <w:r w:rsidRPr="00BE365C">
              <w:rPr>
                <w:rFonts w:ascii="Arial Narrow" w:eastAsia="Times New Roman" w:hAnsi="Arial Narrow" w:cs="Times New Roman"/>
                <w:sz w:val="20"/>
                <w:szCs w:val="20"/>
              </w:rPr>
              <w:t xml:space="preserve">OP3.  </w:t>
            </w:r>
            <w:r w:rsidRPr="00BE365C">
              <w:rPr>
                <w:rFonts w:ascii="Arial Narrow" w:eastAsia="Arial Narrow" w:hAnsi="Arial Narrow" w:cs="Arial Narrow"/>
                <w:sz w:val="20"/>
                <w:szCs w:val="20"/>
              </w:rPr>
              <w:t>Fortalecer la gobernanza forestal y de fauna silvestre.</w:t>
            </w:r>
          </w:p>
        </w:tc>
        <w:tc>
          <w:tcPr>
            <w:tcW w:w="2551" w:type="dxa"/>
          </w:tcPr>
          <w:p w14:paraId="332CFA33" w14:textId="1781CFF8" w:rsidR="005E3DDA" w:rsidRPr="00A420EC" w:rsidRDefault="005E3DDA" w:rsidP="005E3DDA">
            <w:pPr>
              <w:rPr>
                <w:rFonts w:ascii="Arial Narrow" w:hAnsi="Arial Narrow"/>
                <w:sz w:val="20"/>
                <w:szCs w:val="20"/>
              </w:rPr>
            </w:pPr>
            <w:bookmarkStart w:id="24" w:name="_Toc77001892"/>
            <w:bookmarkStart w:id="25" w:name="_Toc77002570"/>
            <w:r w:rsidRPr="00A420EC">
              <w:rPr>
                <w:rFonts w:ascii="Arial Narrow" w:hAnsi="Arial Narrow"/>
                <w:sz w:val="20"/>
                <w:szCs w:val="20"/>
              </w:rPr>
              <w:t>III</w:t>
            </w:r>
            <w:r>
              <w:rPr>
                <w:rFonts w:ascii="Arial Narrow" w:hAnsi="Arial Narrow"/>
                <w:sz w:val="20"/>
                <w:szCs w:val="20"/>
              </w:rPr>
              <w:t>.</w:t>
            </w:r>
            <w:r w:rsidRPr="00A420EC">
              <w:rPr>
                <w:rFonts w:ascii="Arial Narrow" w:hAnsi="Arial Narrow"/>
                <w:sz w:val="20"/>
                <w:szCs w:val="20"/>
              </w:rPr>
              <w:t xml:space="preserve"> Competitividad del País</w:t>
            </w:r>
            <w:bookmarkEnd w:id="24"/>
            <w:bookmarkEnd w:id="25"/>
          </w:p>
          <w:p w14:paraId="5F873517" w14:textId="77777777" w:rsidR="005E3DDA" w:rsidRPr="00A420EC" w:rsidRDefault="005E3DDA" w:rsidP="005E3DDA">
            <w:pPr>
              <w:rPr>
                <w:rFonts w:ascii="Arial Narrow" w:hAnsi="Arial Narrow"/>
                <w:sz w:val="20"/>
                <w:szCs w:val="20"/>
              </w:rPr>
            </w:pPr>
          </w:p>
        </w:tc>
        <w:tc>
          <w:tcPr>
            <w:tcW w:w="7513" w:type="dxa"/>
          </w:tcPr>
          <w:p w14:paraId="0BA875AD" w14:textId="77777777" w:rsidR="005E3DDA" w:rsidRPr="00C6169C" w:rsidRDefault="005E3DDA" w:rsidP="005E3DDA">
            <w:pPr>
              <w:rPr>
                <w:rFonts w:ascii="Arial Narrow" w:hAnsi="Arial Narrow"/>
                <w:b/>
                <w:sz w:val="20"/>
                <w:szCs w:val="20"/>
              </w:rPr>
            </w:pPr>
            <w:bookmarkStart w:id="26" w:name="_Toc77001893"/>
            <w:bookmarkStart w:id="27" w:name="_Toc77002571"/>
            <w:r w:rsidRPr="00C6169C">
              <w:rPr>
                <w:rFonts w:ascii="Arial Narrow" w:hAnsi="Arial Narrow"/>
                <w:b/>
                <w:sz w:val="20"/>
                <w:szCs w:val="20"/>
              </w:rPr>
              <w:t>N° 19 Desarrollo sostenible y gestión ambiental</w:t>
            </w:r>
            <w:bookmarkEnd w:id="26"/>
            <w:bookmarkEnd w:id="27"/>
          </w:p>
          <w:p w14:paraId="58B72CF0" w14:textId="77777777" w:rsidR="005E3DDA" w:rsidRPr="00C6169C" w:rsidRDefault="005E3DDA" w:rsidP="005E3DDA">
            <w:pPr>
              <w:pStyle w:val="Default"/>
              <w:rPr>
                <w:rFonts w:ascii="Arial Narrow" w:hAnsi="Arial Narrow"/>
                <w:b/>
                <w:sz w:val="20"/>
                <w:szCs w:val="20"/>
              </w:rPr>
            </w:pPr>
            <w:r w:rsidRPr="00C6169C">
              <w:rPr>
                <w:rFonts w:ascii="Arial Narrow" w:hAnsi="Arial Narrow"/>
                <w:b/>
                <w:sz w:val="20"/>
                <w:szCs w:val="20"/>
              </w:rPr>
              <w:t>Literal:</w:t>
            </w:r>
          </w:p>
          <w:p w14:paraId="0643CAC8" w14:textId="77777777" w:rsidR="005E3DDA" w:rsidRPr="001F4B77" w:rsidRDefault="005E3DDA" w:rsidP="005E3DDA">
            <w:pPr>
              <w:pStyle w:val="Default"/>
              <w:rPr>
                <w:rFonts w:ascii="Arial Narrow" w:hAnsi="Arial Narrow"/>
                <w:sz w:val="20"/>
                <w:szCs w:val="20"/>
              </w:rPr>
            </w:pPr>
            <w:r w:rsidRPr="001F4B77">
              <w:rPr>
                <w:rFonts w:ascii="Arial Narrow" w:hAnsi="Arial Narrow"/>
                <w:sz w:val="20"/>
                <w:szCs w:val="20"/>
              </w:rPr>
              <w:t>a) Fortalecerá la institucionalidad de la gestión ambiental optimizando la coordinación entre la sociedad civil, la autoridad ambiental nacional, las sectoriales y los niveles de gestión descentralizada, en el marco de un sistema nacional de gestión ambiental</w:t>
            </w:r>
            <w:r>
              <w:rPr>
                <w:rFonts w:ascii="Arial Narrow" w:hAnsi="Arial Narrow"/>
                <w:sz w:val="20"/>
                <w:szCs w:val="20"/>
              </w:rPr>
              <w:t>;</w:t>
            </w:r>
          </w:p>
          <w:p w14:paraId="71C71B18" w14:textId="77777777" w:rsidR="005E3DDA" w:rsidRPr="00C6169C" w:rsidRDefault="005E3DDA" w:rsidP="005E3DDA">
            <w:pPr>
              <w:pStyle w:val="Default"/>
              <w:rPr>
                <w:rFonts w:ascii="Arial Narrow" w:hAnsi="Arial Narrow"/>
                <w:sz w:val="20"/>
                <w:szCs w:val="20"/>
              </w:rPr>
            </w:pPr>
            <w:r w:rsidRPr="001F4B77">
              <w:rPr>
                <w:rFonts w:ascii="Arial Narrow" w:hAnsi="Arial Narrow"/>
                <w:sz w:val="20"/>
                <w:szCs w:val="20"/>
              </w:rPr>
              <w:t>b) Promo</w:t>
            </w:r>
            <w:r w:rsidRPr="00C6169C">
              <w:rPr>
                <w:rFonts w:ascii="Arial Narrow" w:hAnsi="Arial Narrow"/>
                <w:sz w:val="20"/>
                <w:szCs w:val="20"/>
              </w:rPr>
              <w:t xml:space="preserve">verá la participación responsable e informada del sector privado y de la sociedad civil en la toma de decisiones ambientales y en la vigilancia de su cumplimiento, y fomentará una mayor conciencia ambiental; </w:t>
            </w:r>
          </w:p>
          <w:p w14:paraId="7E6749A6" w14:textId="77777777" w:rsidR="005E3DDA" w:rsidRPr="00C6169C" w:rsidRDefault="005E3DDA" w:rsidP="005E3DDA">
            <w:pPr>
              <w:pStyle w:val="Default"/>
              <w:rPr>
                <w:rFonts w:ascii="Arial Narrow" w:hAnsi="Arial Narrow"/>
                <w:sz w:val="20"/>
                <w:szCs w:val="20"/>
              </w:rPr>
            </w:pPr>
            <w:r>
              <w:rPr>
                <w:rFonts w:ascii="Arial Narrow" w:hAnsi="Arial Narrow"/>
                <w:sz w:val="20"/>
                <w:szCs w:val="20"/>
              </w:rPr>
              <w:t>c)</w:t>
            </w:r>
            <w:r w:rsidRPr="00C6169C">
              <w:rPr>
                <w:rFonts w:ascii="Arial Narrow" w:hAnsi="Arial Narrow"/>
                <w:sz w:val="20"/>
                <w:szCs w:val="20"/>
              </w:rPr>
              <w:t xml:space="preserve"> </w:t>
            </w:r>
            <w:r>
              <w:rPr>
                <w:rFonts w:ascii="Arial Narrow" w:hAnsi="Arial Narrow"/>
                <w:sz w:val="20"/>
                <w:szCs w:val="20"/>
              </w:rPr>
              <w:t>P</w:t>
            </w:r>
            <w:r w:rsidRPr="00C6169C">
              <w:rPr>
                <w:rFonts w:ascii="Arial Narrow" w:hAnsi="Arial Narrow"/>
                <w:sz w:val="20"/>
                <w:szCs w:val="20"/>
              </w:rPr>
              <w:t xml:space="preserve">romoverá el ordenamiento territorial, el manejo de cuencas, bosques y zonas marino costeras así como la recuperación de ambientes degradados, considerando la vulnerabilidad del territorio; </w:t>
            </w:r>
          </w:p>
          <w:p w14:paraId="5B814EBA" w14:textId="77777777" w:rsidR="005E3DDA" w:rsidRPr="00C6169C" w:rsidRDefault="005E3DDA" w:rsidP="005E3DDA">
            <w:pPr>
              <w:pStyle w:val="Default"/>
              <w:rPr>
                <w:rFonts w:ascii="Arial Narrow" w:hAnsi="Arial Narrow"/>
                <w:sz w:val="20"/>
                <w:szCs w:val="20"/>
              </w:rPr>
            </w:pPr>
            <w:r w:rsidRPr="00C6169C">
              <w:rPr>
                <w:rFonts w:ascii="Arial Narrow" w:hAnsi="Arial Narrow"/>
                <w:sz w:val="20"/>
                <w:szCs w:val="20"/>
              </w:rPr>
              <w:t xml:space="preserve">d) </w:t>
            </w:r>
            <w:r>
              <w:rPr>
                <w:rFonts w:ascii="Arial Narrow" w:hAnsi="Arial Narrow"/>
                <w:sz w:val="20"/>
                <w:szCs w:val="20"/>
              </w:rPr>
              <w:t>I</w:t>
            </w:r>
            <w:r w:rsidRPr="00C6169C">
              <w:rPr>
                <w:rFonts w:ascii="Arial Narrow" w:hAnsi="Arial Narrow"/>
                <w:sz w:val="20"/>
                <w:szCs w:val="20"/>
              </w:rPr>
              <w:t xml:space="preserve">mpulsará la aplicación de instrumentos de gestión ambiental, privilegiando los de prevención y producción limpias; </w:t>
            </w:r>
          </w:p>
          <w:p w14:paraId="34E0D59B" w14:textId="0EB8057E" w:rsidR="005E3DDA" w:rsidRPr="00BE365C" w:rsidRDefault="005E3DDA" w:rsidP="005E3DDA">
            <w:pPr>
              <w:pBdr>
                <w:top w:val="nil"/>
                <w:left w:val="nil"/>
                <w:bottom w:val="nil"/>
                <w:right w:val="nil"/>
                <w:between w:val="nil"/>
              </w:pBdr>
              <w:spacing w:after="0"/>
              <w:jc w:val="both"/>
              <w:rPr>
                <w:rFonts w:ascii="Arial Narrow" w:eastAsia="Times New Roman" w:hAnsi="Arial Narrow" w:cs="Times New Roman"/>
                <w:sz w:val="20"/>
                <w:szCs w:val="20"/>
              </w:rPr>
            </w:pPr>
          </w:p>
        </w:tc>
      </w:tr>
      <w:tr w:rsidR="005E3DDA" w:rsidRPr="00A420EC" w14:paraId="08311BE5" w14:textId="77777777" w:rsidTr="00EC3171">
        <w:trPr>
          <w:trHeight w:val="476"/>
        </w:trPr>
        <w:tc>
          <w:tcPr>
            <w:tcW w:w="4111" w:type="dxa"/>
          </w:tcPr>
          <w:p w14:paraId="5C0B9353" w14:textId="77777777" w:rsidR="005E3DDA" w:rsidRPr="00BE365C" w:rsidRDefault="005E3DDA" w:rsidP="005E3DDA">
            <w:pPr>
              <w:pBdr>
                <w:top w:val="nil"/>
                <w:left w:val="nil"/>
                <w:bottom w:val="nil"/>
                <w:right w:val="nil"/>
                <w:between w:val="nil"/>
              </w:pBdr>
              <w:spacing w:after="0"/>
              <w:jc w:val="both"/>
              <w:rPr>
                <w:rFonts w:ascii="Arial Narrow" w:eastAsia="Arial Narrow" w:hAnsi="Arial Narrow" w:cs="Arial Narrow"/>
                <w:sz w:val="20"/>
                <w:szCs w:val="20"/>
              </w:rPr>
            </w:pPr>
            <w:r w:rsidRPr="00BE365C">
              <w:rPr>
                <w:rFonts w:ascii="Arial Narrow" w:eastAsia="Arial Narrow" w:hAnsi="Arial Narrow" w:cs="Arial Narrow"/>
                <w:sz w:val="20"/>
                <w:szCs w:val="20"/>
              </w:rPr>
              <w:lastRenderedPageBreak/>
              <w:t xml:space="preserve">OP2. </w:t>
            </w:r>
            <w:r w:rsidRPr="00BE365C">
              <w:rPr>
                <w:rFonts w:ascii="Arial Narrow" w:eastAsia="Arial Narrow" w:hAnsi="Arial Narrow" w:cs="Arial"/>
                <w:sz w:val="20"/>
                <w:szCs w:val="20"/>
              </w:rPr>
              <w:t>Incrementar la productividad de los ecosistemas forestales, otros ecosistemas de vegetación silvestre y de la fauna silvestre</w:t>
            </w:r>
            <w:r w:rsidRPr="00BE365C">
              <w:rPr>
                <w:rFonts w:ascii="Arial Narrow" w:eastAsia="Arial Narrow" w:hAnsi="Arial Narrow" w:cs="Arial Narrow"/>
                <w:sz w:val="20"/>
                <w:szCs w:val="20"/>
              </w:rPr>
              <w:t>.</w:t>
            </w:r>
          </w:p>
          <w:p w14:paraId="12E0A51F" w14:textId="77777777" w:rsidR="005E3DDA" w:rsidRPr="00A420EC" w:rsidRDefault="005E3DDA" w:rsidP="005E3DDA">
            <w:pPr>
              <w:rPr>
                <w:rFonts w:ascii="Arial Narrow" w:hAnsi="Arial Narrow"/>
                <w:sz w:val="20"/>
                <w:szCs w:val="20"/>
              </w:rPr>
            </w:pPr>
          </w:p>
        </w:tc>
        <w:tc>
          <w:tcPr>
            <w:tcW w:w="2551" w:type="dxa"/>
          </w:tcPr>
          <w:p w14:paraId="3B61AD58" w14:textId="1FDD966D" w:rsidR="005E3DDA" w:rsidRPr="00A420EC" w:rsidRDefault="005E3DDA" w:rsidP="005E3DDA">
            <w:pPr>
              <w:rPr>
                <w:rFonts w:ascii="Arial Narrow" w:hAnsi="Arial Narrow"/>
                <w:sz w:val="20"/>
                <w:szCs w:val="20"/>
              </w:rPr>
            </w:pPr>
            <w:r w:rsidRPr="00A420EC">
              <w:rPr>
                <w:rFonts w:ascii="Arial Narrow" w:hAnsi="Arial Narrow"/>
                <w:sz w:val="20"/>
                <w:szCs w:val="20"/>
              </w:rPr>
              <w:t>III</w:t>
            </w:r>
            <w:r>
              <w:rPr>
                <w:rFonts w:ascii="Arial Narrow" w:hAnsi="Arial Narrow"/>
                <w:sz w:val="20"/>
                <w:szCs w:val="20"/>
              </w:rPr>
              <w:t>.</w:t>
            </w:r>
            <w:r w:rsidRPr="00A420EC">
              <w:rPr>
                <w:rFonts w:ascii="Arial Narrow" w:hAnsi="Arial Narrow"/>
                <w:sz w:val="20"/>
                <w:szCs w:val="20"/>
              </w:rPr>
              <w:t xml:space="preserve"> Competitividad del País</w:t>
            </w:r>
          </w:p>
          <w:p w14:paraId="2D43E043" w14:textId="77777777" w:rsidR="005E3DDA" w:rsidRPr="00A420EC" w:rsidRDefault="005E3DDA" w:rsidP="005E3DDA">
            <w:pPr>
              <w:rPr>
                <w:rFonts w:ascii="Arial Narrow" w:hAnsi="Arial Narrow"/>
                <w:sz w:val="20"/>
                <w:szCs w:val="20"/>
              </w:rPr>
            </w:pPr>
          </w:p>
        </w:tc>
        <w:tc>
          <w:tcPr>
            <w:tcW w:w="7513" w:type="dxa"/>
          </w:tcPr>
          <w:p w14:paraId="06430381" w14:textId="77777777" w:rsidR="005E3DDA" w:rsidRPr="00C6169C" w:rsidRDefault="005E3DDA" w:rsidP="005E3DDA">
            <w:pPr>
              <w:rPr>
                <w:rFonts w:ascii="Arial Narrow" w:hAnsi="Arial Narrow"/>
                <w:b/>
                <w:sz w:val="20"/>
                <w:szCs w:val="20"/>
              </w:rPr>
            </w:pPr>
            <w:r w:rsidRPr="00C6169C">
              <w:rPr>
                <w:rFonts w:ascii="Arial Narrow" w:hAnsi="Arial Narrow"/>
                <w:b/>
                <w:sz w:val="20"/>
                <w:szCs w:val="20"/>
              </w:rPr>
              <w:t xml:space="preserve">N° </w:t>
            </w:r>
            <w:r>
              <w:rPr>
                <w:rFonts w:ascii="Arial Narrow" w:hAnsi="Arial Narrow"/>
                <w:b/>
                <w:sz w:val="20"/>
                <w:szCs w:val="20"/>
              </w:rPr>
              <w:t>22</w:t>
            </w:r>
            <w:r w:rsidRPr="00C6169C">
              <w:rPr>
                <w:rFonts w:ascii="Arial Narrow" w:hAnsi="Arial Narrow"/>
                <w:b/>
                <w:sz w:val="20"/>
                <w:szCs w:val="20"/>
              </w:rPr>
              <w:t xml:space="preserve"> </w:t>
            </w:r>
            <w:r>
              <w:rPr>
                <w:rFonts w:ascii="Arial Narrow" w:hAnsi="Arial Narrow"/>
                <w:b/>
                <w:sz w:val="20"/>
                <w:szCs w:val="20"/>
              </w:rPr>
              <w:t>Política de comercio exterior para la ampliación de mercados de reciprocidad</w:t>
            </w:r>
          </w:p>
          <w:p w14:paraId="53EA25DB" w14:textId="77777777" w:rsidR="005E3DDA" w:rsidRDefault="005E3DDA" w:rsidP="005E3DDA">
            <w:pPr>
              <w:rPr>
                <w:rFonts w:ascii="Arial Narrow" w:hAnsi="Arial Narrow"/>
                <w:b/>
                <w:sz w:val="20"/>
                <w:szCs w:val="20"/>
              </w:rPr>
            </w:pPr>
            <w:r w:rsidRPr="00C6169C">
              <w:rPr>
                <w:rFonts w:ascii="Arial Narrow" w:hAnsi="Arial Narrow"/>
                <w:b/>
                <w:sz w:val="20"/>
                <w:szCs w:val="20"/>
              </w:rPr>
              <w:t>Literal:</w:t>
            </w:r>
          </w:p>
          <w:p w14:paraId="58BB3306" w14:textId="77777777" w:rsidR="005E3DDA" w:rsidRPr="00C6169C" w:rsidRDefault="005E3DDA" w:rsidP="005E3DDA">
            <w:pPr>
              <w:rPr>
                <w:rFonts w:ascii="Arial Narrow" w:hAnsi="Arial Narrow"/>
                <w:sz w:val="20"/>
                <w:szCs w:val="20"/>
              </w:rPr>
            </w:pPr>
            <w:r w:rsidRPr="00C6169C">
              <w:rPr>
                <w:rFonts w:ascii="Arial Narrow" w:hAnsi="Arial Narrow"/>
                <w:sz w:val="20"/>
                <w:szCs w:val="20"/>
              </w:rPr>
              <w:t xml:space="preserve">g) </w:t>
            </w:r>
            <w:r>
              <w:rPr>
                <w:rFonts w:ascii="Arial Narrow" w:hAnsi="Arial Narrow"/>
                <w:sz w:val="20"/>
                <w:szCs w:val="20"/>
              </w:rPr>
              <w:t>E</w:t>
            </w:r>
            <w:r w:rsidRPr="00C6169C">
              <w:rPr>
                <w:rFonts w:ascii="Arial Narrow" w:hAnsi="Arial Narrow"/>
                <w:sz w:val="20"/>
                <w:szCs w:val="20"/>
              </w:rPr>
              <w:t xml:space="preserve">stablecerá una política dinámica e integral de promoción comercial; </w:t>
            </w:r>
          </w:p>
          <w:p w14:paraId="3088B915" w14:textId="20A15FAC" w:rsidR="005E3DDA" w:rsidRPr="00BE365C" w:rsidRDefault="005E3DDA" w:rsidP="005E3DDA">
            <w:pPr>
              <w:pBdr>
                <w:top w:val="nil"/>
                <w:left w:val="nil"/>
                <w:bottom w:val="nil"/>
                <w:right w:val="nil"/>
                <w:between w:val="nil"/>
              </w:pBdr>
              <w:spacing w:after="0"/>
              <w:ind w:left="720"/>
              <w:jc w:val="both"/>
              <w:rPr>
                <w:rFonts w:ascii="Arial Narrow" w:eastAsia="Times New Roman" w:hAnsi="Arial Narrow" w:cs="Times New Roman"/>
                <w:sz w:val="20"/>
                <w:szCs w:val="20"/>
              </w:rPr>
            </w:pPr>
            <w:r w:rsidRPr="00C6169C">
              <w:rPr>
                <w:rFonts w:ascii="Arial Narrow" w:hAnsi="Arial Narrow"/>
                <w:sz w:val="20"/>
                <w:szCs w:val="20"/>
              </w:rPr>
              <w:t xml:space="preserve">k) </w:t>
            </w:r>
            <w:r>
              <w:rPr>
                <w:rFonts w:ascii="Arial Narrow" w:hAnsi="Arial Narrow"/>
                <w:sz w:val="20"/>
                <w:szCs w:val="20"/>
              </w:rPr>
              <w:t>P</w:t>
            </w:r>
            <w:r w:rsidRPr="00C6169C">
              <w:rPr>
                <w:rFonts w:ascii="Arial Narrow" w:hAnsi="Arial Narrow"/>
                <w:sz w:val="20"/>
                <w:szCs w:val="20"/>
              </w:rPr>
              <w:t>romoverá la construcción de una oferta exportable y competitiva con la participación de la pequeña y mediana empresa</w:t>
            </w:r>
            <w:r>
              <w:rPr>
                <w:rFonts w:ascii="Arial Narrow" w:hAnsi="Arial Narrow"/>
                <w:sz w:val="20"/>
                <w:szCs w:val="20"/>
              </w:rPr>
              <w:t>.</w:t>
            </w:r>
          </w:p>
        </w:tc>
      </w:tr>
      <w:tr w:rsidR="005E3DDA" w:rsidRPr="00A420EC" w14:paraId="2661FE3F" w14:textId="77777777" w:rsidTr="00000767">
        <w:trPr>
          <w:trHeight w:val="476"/>
        </w:trPr>
        <w:tc>
          <w:tcPr>
            <w:tcW w:w="4111" w:type="dxa"/>
          </w:tcPr>
          <w:p w14:paraId="431FB124" w14:textId="77777777" w:rsidR="005E3DDA" w:rsidRPr="00BE365C" w:rsidRDefault="005E3DDA" w:rsidP="005E3DDA">
            <w:pPr>
              <w:pBdr>
                <w:top w:val="nil"/>
                <w:left w:val="nil"/>
                <w:bottom w:val="nil"/>
                <w:right w:val="nil"/>
                <w:between w:val="nil"/>
              </w:pBdr>
              <w:spacing w:after="0"/>
              <w:jc w:val="both"/>
              <w:rPr>
                <w:rFonts w:ascii="Arial Narrow" w:eastAsia="Arial Narrow" w:hAnsi="Arial Narrow" w:cs="Arial Narrow"/>
                <w:sz w:val="20"/>
                <w:szCs w:val="20"/>
              </w:rPr>
            </w:pPr>
            <w:r w:rsidRPr="00BE365C">
              <w:rPr>
                <w:rFonts w:ascii="Arial Narrow" w:eastAsia="Times New Roman" w:hAnsi="Arial Narrow" w:cs="Times New Roman"/>
                <w:sz w:val="20"/>
                <w:szCs w:val="20"/>
              </w:rPr>
              <w:t xml:space="preserve">OP1.  </w:t>
            </w:r>
            <w:r w:rsidRPr="00DC7A03">
              <w:rPr>
                <w:rFonts w:ascii="Arial Narrow" w:eastAsia="Arial Narrow" w:hAnsi="Arial Narrow" w:cs="Arial"/>
                <w:sz w:val="20"/>
                <w:szCs w:val="20"/>
              </w:rPr>
              <w:t>Mejorar las condiciones para la sostenibilidad de los ecosistemas forestales, otros ecosistemas de vegetación silvestre y de la fauna silvestre</w:t>
            </w:r>
            <w:r w:rsidRPr="00DC7A03">
              <w:rPr>
                <w:rFonts w:ascii="Arial Narrow" w:eastAsia="Arial Narrow" w:hAnsi="Arial Narrow" w:cs="Arial Narrow"/>
                <w:sz w:val="20"/>
                <w:szCs w:val="20"/>
              </w:rPr>
              <w:t>.</w:t>
            </w:r>
          </w:p>
          <w:p w14:paraId="31DB91B0" w14:textId="77777777" w:rsidR="005E3DDA" w:rsidRPr="00BE365C" w:rsidRDefault="005E3DDA" w:rsidP="005E3DDA">
            <w:pPr>
              <w:pBdr>
                <w:top w:val="nil"/>
                <w:left w:val="nil"/>
                <w:bottom w:val="nil"/>
                <w:right w:val="nil"/>
                <w:between w:val="nil"/>
              </w:pBdr>
              <w:spacing w:after="0"/>
              <w:jc w:val="both"/>
              <w:rPr>
                <w:rFonts w:ascii="Arial Narrow" w:eastAsia="Arial Narrow" w:hAnsi="Arial Narrow" w:cs="Arial Narrow"/>
                <w:sz w:val="20"/>
                <w:szCs w:val="20"/>
              </w:rPr>
            </w:pPr>
            <w:r w:rsidRPr="00BE365C">
              <w:rPr>
                <w:rFonts w:ascii="Arial Narrow" w:eastAsia="Arial Narrow" w:hAnsi="Arial Narrow" w:cs="Arial Narrow"/>
                <w:sz w:val="20"/>
                <w:szCs w:val="20"/>
              </w:rPr>
              <w:t xml:space="preserve">  </w:t>
            </w:r>
          </w:p>
          <w:p w14:paraId="4F70DE16" w14:textId="77777777" w:rsidR="005E3DDA" w:rsidRPr="00BE365C" w:rsidRDefault="005E3DDA" w:rsidP="005E3DDA">
            <w:pPr>
              <w:pBdr>
                <w:top w:val="nil"/>
                <w:left w:val="nil"/>
                <w:bottom w:val="nil"/>
                <w:right w:val="nil"/>
                <w:between w:val="nil"/>
              </w:pBdr>
              <w:spacing w:after="0"/>
              <w:jc w:val="both"/>
              <w:rPr>
                <w:rFonts w:ascii="Arial Narrow" w:eastAsia="Arial Narrow" w:hAnsi="Arial Narrow" w:cs="Arial Narrow"/>
                <w:sz w:val="20"/>
                <w:szCs w:val="20"/>
              </w:rPr>
            </w:pPr>
            <w:r w:rsidRPr="00BE365C">
              <w:rPr>
                <w:rFonts w:ascii="Arial Narrow" w:eastAsia="Arial Narrow" w:hAnsi="Arial Narrow" w:cs="Arial Narrow"/>
                <w:sz w:val="20"/>
                <w:szCs w:val="20"/>
              </w:rPr>
              <w:t xml:space="preserve">OP2. </w:t>
            </w:r>
            <w:r w:rsidRPr="00BE365C">
              <w:rPr>
                <w:rFonts w:ascii="Arial Narrow" w:eastAsia="Arial Narrow" w:hAnsi="Arial Narrow" w:cs="Arial"/>
                <w:sz w:val="20"/>
                <w:szCs w:val="20"/>
              </w:rPr>
              <w:t>Incrementar la productividad de los ecosistemas forestales, otros ecosistemas de vegetación silvestre y de la fauna silvestre</w:t>
            </w:r>
            <w:r w:rsidRPr="00BE365C">
              <w:rPr>
                <w:rFonts w:ascii="Arial Narrow" w:eastAsia="Arial Narrow" w:hAnsi="Arial Narrow" w:cs="Arial Narrow"/>
                <w:sz w:val="20"/>
                <w:szCs w:val="20"/>
              </w:rPr>
              <w:t>.</w:t>
            </w:r>
          </w:p>
          <w:p w14:paraId="4E507FF2" w14:textId="77777777" w:rsidR="005E3DDA" w:rsidRPr="00A420EC" w:rsidRDefault="005E3DDA" w:rsidP="005E3DDA">
            <w:pPr>
              <w:rPr>
                <w:rFonts w:ascii="Arial Narrow" w:hAnsi="Arial Narrow"/>
                <w:sz w:val="20"/>
                <w:szCs w:val="20"/>
              </w:rPr>
            </w:pPr>
          </w:p>
        </w:tc>
        <w:tc>
          <w:tcPr>
            <w:tcW w:w="2551" w:type="dxa"/>
          </w:tcPr>
          <w:p w14:paraId="5F07DBAF" w14:textId="4F2B61B7" w:rsidR="005E3DDA" w:rsidRPr="00A420EC" w:rsidRDefault="005E3DDA" w:rsidP="005E3DDA">
            <w:pPr>
              <w:rPr>
                <w:rFonts w:ascii="Arial Narrow" w:hAnsi="Arial Narrow"/>
                <w:sz w:val="20"/>
                <w:szCs w:val="20"/>
              </w:rPr>
            </w:pPr>
            <w:r w:rsidRPr="00A420EC">
              <w:rPr>
                <w:rFonts w:ascii="Arial Narrow" w:hAnsi="Arial Narrow"/>
                <w:sz w:val="20"/>
                <w:szCs w:val="20"/>
              </w:rPr>
              <w:t>III</w:t>
            </w:r>
            <w:r>
              <w:rPr>
                <w:rFonts w:ascii="Arial Narrow" w:hAnsi="Arial Narrow"/>
                <w:sz w:val="20"/>
                <w:szCs w:val="20"/>
              </w:rPr>
              <w:t>.</w:t>
            </w:r>
            <w:r w:rsidRPr="00A420EC">
              <w:rPr>
                <w:rFonts w:ascii="Arial Narrow" w:hAnsi="Arial Narrow"/>
                <w:sz w:val="20"/>
                <w:szCs w:val="20"/>
              </w:rPr>
              <w:t xml:space="preserve"> Competitividad del País</w:t>
            </w:r>
          </w:p>
          <w:p w14:paraId="4B83AAF4" w14:textId="77777777" w:rsidR="005E3DDA" w:rsidRPr="00A420EC" w:rsidRDefault="005E3DDA" w:rsidP="005E3DDA">
            <w:pPr>
              <w:rPr>
                <w:rFonts w:ascii="Arial Narrow" w:hAnsi="Arial Narrow"/>
                <w:sz w:val="20"/>
                <w:szCs w:val="20"/>
              </w:rPr>
            </w:pPr>
          </w:p>
        </w:tc>
        <w:tc>
          <w:tcPr>
            <w:tcW w:w="7513" w:type="dxa"/>
          </w:tcPr>
          <w:p w14:paraId="18A45CDB" w14:textId="77777777" w:rsidR="005E3DDA" w:rsidRDefault="005E3DDA" w:rsidP="005E3DDA">
            <w:pPr>
              <w:rPr>
                <w:rFonts w:ascii="Arial Narrow" w:hAnsi="Arial Narrow"/>
                <w:b/>
                <w:sz w:val="20"/>
                <w:szCs w:val="20"/>
              </w:rPr>
            </w:pPr>
            <w:r>
              <w:rPr>
                <w:rFonts w:ascii="Arial Narrow" w:hAnsi="Arial Narrow"/>
                <w:b/>
                <w:sz w:val="20"/>
                <w:szCs w:val="20"/>
              </w:rPr>
              <w:t>N° 23 Política de desarrollo agrario y rural</w:t>
            </w:r>
          </w:p>
          <w:p w14:paraId="748AFA8C" w14:textId="77777777" w:rsidR="005E3DDA" w:rsidRPr="001F4B77" w:rsidRDefault="005E3DDA" w:rsidP="005E3DDA">
            <w:pPr>
              <w:rPr>
                <w:rFonts w:ascii="Arial Narrow" w:hAnsi="Arial Narrow"/>
                <w:b/>
                <w:sz w:val="20"/>
                <w:szCs w:val="20"/>
              </w:rPr>
            </w:pPr>
            <w:r w:rsidRPr="001F4B77">
              <w:rPr>
                <w:rFonts w:ascii="Arial Narrow" w:hAnsi="Arial Narrow"/>
                <w:b/>
                <w:sz w:val="20"/>
                <w:szCs w:val="20"/>
              </w:rPr>
              <w:t>Literal:</w:t>
            </w:r>
          </w:p>
          <w:p w14:paraId="351CA13A" w14:textId="12BAC785" w:rsidR="005E3DDA" w:rsidRPr="00BE365C" w:rsidRDefault="005E3DDA" w:rsidP="005E3DDA">
            <w:pPr>
              <w:pBdr>
                <w:top w:val="nil"/>
                <w:left w:val="nil"/>
                <w:bottom w:val="nil"/>
                <w:right w:val="nil"/>
                <w:between w:val="nil"/>
              </w:pBdr>
              <w:spacing w:after="0"/>
              <w:jc w:val="both"/>
              <w:rPr>
                <w:rFonts w:ascii="Arial Narrow" w:eastAsia="Arial Narrow" w:hAnsi="Arial Narrow" w:cs="Arial Narrow"/>
                <w:sz w:val="20"/>
                <w:szCs w:val="20"/>
              </w:rPr>
            </w:pPr>
            <w:r w:rsidRPr="00F342A7">
              <w:rPr>
                <w:rFonts w:ascii="Arial Narrow" w:hAnsi="Arial Narrow"/>
                <w:color w:val="000000"/>
                <w:sz w:val="20"/>
                <w:szCs w:val="20"/>
              </w:rPr>
              <w:t>Apoyará la expansión de la frontera agrícola y el incremento de la producción agraria y acuícola, poniendo especial énfasis en la productividad, la promoción de exportaciones con creciente valor agregado y defendiendo el mercado interno de las importaciones subsidiadas</w:t>
            </w:r>
            <w:r w:rsidRPr="001F4B77">
              <w:rPr>
                <w:rFonts w:ascii="Arial Narrow" w:hAnsi="Arial Narrow"/>
                <w:color w:val="222222"/>
                <w:sz w:val="20"/>
                <w:szCs w:val="20"/>
                <w:shd w:val="clear" w:color="auto" w:fill="F8F7F3"/>
              </w:rPr>
              <w:t>;</w:t>
            </w:r>
          </w:p>
        </w:tc>
      </w:tr>
      <w:tr w:rsidR="005E3DDA" w:rsidRPr="00A420EC" w14:paraId="403800E8" w14:textId="77777777" w:rsidTr="006E5624">
        <w:trPr>
          <w:trHeight w:val="476"/>
        </w:trPr>
        <w:tc>
          <w:tcPr>
            <w:tcW w:w="4111" w:type="dxa"/>
          </w:tcPr>
          <w:p w14:paraId="3804C0F8" w14:textId="77777777" w:rsidR="005E3DDA" w:rsidRPr="00BE365C" w:rsidRDefault="005E3DDA" w:rsidP="005E3DDA">
            <w:pPr>
              <w:pBdr>
                <w:top w:val="nil"/>
                <w:left w:val="nil"/>
                <w:bottom w:val="nil"/>
                <w:right w:val="nil"/>
                <w:between w:val="nil"/>
              </w:pBdr>
              <w:spacing w:after="0"/>
              <w:jc w:val="both"/>
              <w:rPr>
                <w:rFonts w:ascii="Arial Narrow" w:eastAsia="Arial Narrow" w:hAnsi="Arial Narrow" w:cs="Arial Narrow"/>
                <w:sz w:val="20"/>
                <w:szCs w:val="20"/>
              </w:rPr>
            </w:pPr>
            <w:r w:rsidRPr="00BE365C">
              <w:rPr>
                <w:rFonts w:ascii="Arial Narrow" w:eastAsia="Times New Roman" w:hAnsi="Arial Narrow" w:cs="Times New Roman"/>
                <w:sz w:val="20"/>
                <w:szCs w:val="20"/>
              </w:rPr>
              <w:t xml:space="preserve">OP1.  </w:t>
            </w:r>
            <w:r w:rsidRPr="00DC7A03">
              <w:rPr>
                <w:rFonts w:ascii="Arial Narrow" w:eastAsia="Arial Narrow" w:hAnsi="Arial Narrow" w:cs="Arial"/>
                <w:sz w:val="20"/>
                <w:szCs w:val="20"/>
              </w:rPr>
              <w:t>Mejorar las condiciones para la sostenibilidad de los ecosistemas forestales, otros ecosistemas de vegetación silvestre y de la fauna silvestre</w:t>
            </w:r>
            <w:r w:rsidRPr="00DC7A03">
              <w:rPr>
                <w:rFonts w:ascii="Arial Narrow" w:eastAsia="Arial Narrow" w:hAnsi="Arial Narrow" w:cs="Arial Narrow"/>
                <w:sz w:val="20"/>
                <w:szCs w:val="20"/>
              </w:rPr>
              <w:t>.</w:t>
            </w:r>
          </w:p>
          <w:p w14:paraId="75CC952D" w14:textId="77777777" w:rsidR="005E3DDA" w:rsidRPr="00E82418" w:rsidRDefault="005E3DDA" w:rsidP="005E3DDA">
            <w:pPr>
              <w:pStyle w:val="Default"/>
              <w:rPr>
                <w:rFonts w:ascii="Arial Narrow" w:hAnsi="Arial Narrow"/>
                <w:sz w:val="20"/>
                <w:szCs w:val="20"/>
              </w:rPr>
            </w:pPr>
          </w:p>
        </w:tc>
        <w:tc>
          <w:tcPr>
            <w:tcW w:w="2551" w:type="dxa"/>
          </w:tcPr>
          <w:p w14:paraId="18637801" w14:textId="01495849" w:rsidR="005E3DDA" w:rsidRPr="00E82418" w:rsidRDefault="005E3DDA" w:rsidP="005E3DDA">
            <w:pPr>
              <w:pStyle w:val="Default"/>
              <w:rPr>
                <w:rFonts w:ascii="Arial Narrow" w:hAnsi="Arial Narrow"/>
                <w:sz w:val="20"/>
                <w:szCs w:val="20"/>
              </w:rPr>
            </w:pPr>
            <w:r w:rsidRPr="00E82418">
              <w:rPr>
                <w:rFonts w:ascii="Arial Narrow" w:hAnsi="Arial Narrow"/>
                <w:sz w:val="20"/>
                <w:szCs w:val="20"/>
              </w:rPr>
              <w:t xml:space="preserve">IV. Estado eficiente, transparente y descentralizado </w:t>
            </w:r>
          </w:p>
          <w:p w14:paraId="3AFF6BEC" w14:textId="77777777" w:rsidR="005E3DDA" w:rsidRPr="00A420EC" w:rsidRDefault="005E3DDA" w:rsidP="005E3DDA">
            <w:pPr>
              <w:rPr>
                <w:rFonts w:ascii="Arial Narrow" w:hAnsi="Arial Narrow"/>
                <w:sz w:val="20"/>
                <w:szCs w:val="20"/>
              </w:rPr>
            </w:pPr>
          </w:p>
        </w:tc>
        <w:tc>
          <w:tcPr>
            <w:tcW w:w="7513" w:type="dxa"/>
          </w:tcPr>
          <w:p w14:paraId="6CD50D1B" w14:textId="77777777" w:rsidR="005E3DDA" w:rsidRPr="00E82418" w:rsidRDefault="005E3DDA" w:rsidP="005E3DDA">
            <w:pPr>
              <w:pStyle w:val="Default"/>
              <w:rPr>
                <w:rFonts w:ascii="Arial Narrow" w:hAnsi="Arial Narrow"/>
                <w:sz w:val="20"/>
                <w:szCs w:val="20"/>
              </w:rPr>
            </w:pPr>
            <w:r w:rsidRPr="00E82418">
              <w:rPr>
                <w:rFonts w:ascii="Arial Narrow" w:hAnsi="Arial Narrow"/>
                <w:b/>
                <w:bCs/>
                <w:sz w:val="20"/>
                <w:szCs w:val="20"/>
              </w:rPr>
              <w:t>N° 34</w:t>
            </w:r>
            <w:r>
              <w:rPr>
                <w:rFonts w:ascii="Arial Narrow" w:hAnsi="Arial Narrow"/>
                <w:b/>
                <w:bCs/>
                <w:sz w:val="20"/>
                <w:szCs w:val="20"/>
              </w:rPr>
              <w:t xml:space="preserve"> </w:t>
            </w:r>
            <w:r w:rsidRPr="00E82418">
              <w:rPr>
                <w:rFonts w:ascii="Arial Narrow" w:hAnsi="Arial Narrow"/>
                <w:b/>
                <w:sz w:val="20"/>
                <w:szCs w:val="20"/>
              </w:rPr>
              <w:t>Ordenamiento y gestión territoria</w:t>
            </w:r>
            <w:r w:rsidRPr="00E82418">
              <w:rPr>
                <w:rFonts w:ascii="Arial Narrow" w:hAnsi="Arial Narrow"/>
                <w:sz w:val="20"/>
                <w:szCs w:val="20"/>
              </w:rPr>
              <w:t xml:space="preserve">l </w:t>
            </w:r>
          </w:p>
          <w:p w14:paraId="4464C649" w14:textId="77777777" w:rsidR="005E3DDA" w:rsidRDefault="005E3DDA" w:rsidP="005E3DDA">
            <w:pPr>
              <w:rPr>
                <w:rFonts w:ascii="Arial Narrow" w:hAnsi="Arial Narrow"/>
                <w:b/>
                <w:sz w:val="20"/>
                <w:szCs w:val="20"/>
              </w:rPr>
            </w:pPr>
          </w:p>
          <w:p w14:paraId="6917B390" w14:textId="77777777" w:rsidR="005E3DDA" w:rsidRPr="00E82418" w:rsidRDefault="005E3DDA" w:rsidP="005E3DDA">
            <w:pPr>
              <w:rPr>
                <w:rFonts w:ascii="Arial Narrow" w:hAnsi="Arial Narrow"/>
                <w:b/>
                <w:sz w:val="20"/>
                <w:szCs w:val="20"/>
              </w:rPr>
            </w:pPr>
            <w:r w:rsidRPr="00E82418">
              <w:rPr>
                <w:rFonts w:ascii="Arial Narrow" w:hAnsi="Arial Narrow"/>
                <w:b/>
                <w:sz w:val="20"/>
                <w:szCs w:val="20"/>
              </w:rPr>
              <w:t>Literal:</w:t>
            </w:r>
          </w:p>
          <w:p w14:paraId="4D507B5F" w14:textId="77777777" w:rsidR="005E3DDA" w:rsidRDefault="005E3DDA" w:rsidP="005E3DDA">
            <w:pPr>
              <w:pStyle w:val="Default"/>
              <w:rPr>
                <w:sz w:val="20"/>
                <w:szCs w:val="20"/>
              </w:rPr>
            </w:pPr>
            <w:r w:rsidRPr="00E82418">
              <w:rPr>
                <w:rFonts w:ascii="Arial Narrow" w:hAnsi="Arial Narrow"/>
                <w:sz w:val="20"/>
                <w:szCs w:val="20"/>
              </w:rPr>
              <w:t>b) Conciliará el crecimiento económico y la competitividad con la equidad social y la sostenibilidad ambiental, articulando los usos diversos del territorio según sus capacidades, en un clima de convivencia armónica, valorando la identidad y diversidad cultural, impulsando la formalización de las actividades económicas y respetando la institucionalidad democrática y el Estado</w:t>
            </w:r>
            <w:r>
              <w:rPr>
                <w:sz w:val="20"/>
                <w:szCs w:val="20"/>
              </w:rPr>
              <w:t xml:space="preserve"> de derecho. </w:t>
            </w:r>
          </w:p>
          <w:p w14:paraId="1F7E02A4" w14:textId="77777777" w:rsidR="005E3DDA" w:rsidRPr="00BE365C" w:rsidRDefault="005E3DDA" w:rsidP="005E3DDA">
            <w:pPr>
              <w:pBdr>
                <w:top w:val="nil"/>
                <w:left w:val="nil"/>
                <w:bottom w:val="nil"/>
                <w:right w:val="nil"/>
                <w:between w:val="nil"/>
              </w:pBdr>
              <w:spacing w:after="0"/>
              <w:jc w:val="both"/>
              <w:rPr>
                <w:rFonts w:ascii="Arial Narrow" w:eastAsia="Arial Narrow" w:hAnsi="Arial Narrow" w:cs="Arial Narrow"/>
                <w:sz w:val="20"/>
                <w:szCs w:val="20"/>
              </w:rPr>
            </w:pPr>
          </w:p>
        </w:tc>
      </w:tr>
      <w:tr w:rsidR="005E3DDA" w:rsidRPr="00A420EC" w14:paraId="4E133C68" w14:textId="77777777" w:rsidTr="002824AC">
        <w:trPr>
          <w:trHeight w:val="476"/>
        </w:trPr>
        <w:tc>
          <w:tcPr>
            <w:tcW w:w="4111" w:type="dxa"/>
          </w:tcPr>
          <w:p w14:paraId="296BAECE" w14:textId="77777777" w:rsidR="005E3DDA" w:rsidRPr="00BE365C" w:rsidRDefault="005E3DDA" w:rsidP="005E3DDA">
            <w:pPr>
              <w:pBdr>
                <w:top w:val="nil"/>
                <w:left w:val="nil"/>
                <w:bottom w:val="nil"/>
                <w:right w:val="nil"/>
                <w:between w:val="nil"/>
              </w:pBdr>
              <w:spacing w:after="0"/>
              <w:jc w:val="both"/>
              <w:rPr>
                <w:rFonts w:ascii="Arial Narrow" w:eastAsia="Arial Narrow" w:hAnsi="Arial Narrow" w:cs="Arial Narrow"/>
                <w:sz w:val="20"/>
                <w:szCs w:val="20"/>
              </w:rPr>
            </w:pPr>
            <w:r w:rsidRPr="00BE365C">
              <w:rPr>
                <w:rFonts w:ascii="Arial Narrow" w:eastAsia="Arial Narrow" w:hAnsi="Arial Narrow" w:cs="Arial Narrow"/>
                <w:sz w:val="20"/>
                <w:szCs w:val="20"/>
              </w:rPr>
              <w:t xml:space="preserve">OP2. </w:t>
            </w:r>
            <w:r w:rsidRPr="00BE365C">
              <w:rPr>
                <w:rFonts w:ascii="Arial Narrow" w:eastAsia="Arial Narrow" w:hAnsi="Arial Narrow" w:cs="Arial"/>
                <w:sz w:val="20"/>
                <w:szCs w:val="20"/>
              </w:rPr>
              <w:t>Incrementar la productividad de los ecosistemas forestales, otros ecosistemas de vegetación silvestre y de la fauna silvestre</w:t>
            </w:r>
            <w:r w:rsidRPr="00BE365C">
              <w:rPr>
                <w:rFonts w:ascii="Arial Narrow" w:eastAsia="Arial Narrow" w:hAnsi="Arial Narrow" w:cs="Arial Narrow"/>
                <w:sz w:val="20"/>
                <w:szCs w:val="20"/>
              </w:rPr>
              <w:t>.</w:t>
            </w:r>
          </w:p>
          <w:p w14:paraId="231DDDF8" w14:textId="77777777" w:rsidR="005E3DDA" w:rsidRPr="00BE365C" w:rsidRDefault="005E3DDA" w:rsidP="005E3DDA">
            <w:pPr>
              <w:pBdr>
                <w:top w:val="nil"/>
                <w:left w:val="nil"/>
                <w:bottom w:val="nil"/>
                <w:right w:val="nil"/>
                <w:between w:val="nil"/>
              </w:pBdr>
              <w:spacing w:after="0"/>
              <w:jc w:val="both"/>
              <w:rPr>
                <w:rFonts w:ascii="Arial Narrow" w:eastAsia="Arial Narrow" w:hAnsi="Arial Narrow" w:cs="Arial Narrow"/>
                <w:sz w:val="20"/>
                <w:szCs w:val="20"/>
              </w:rPr>
            </w:pPr>
          </w:p>
          <w:p w14:paraId="4BD9315C" w14:textId="77777777" w:rsidR="005E3DDA" w:rsidRPr="00BE365C" w:rsidRDefault="005E3DDA" w:rsidP="005E3DDA">
            <w:pPr>
              <w:pBdr>
                <w:top w:val="nil"/>
                <w:left w:val="nil"/>
                <w:bottom w:val="nil"/>
                <w:right w:val="nil"/>
                <w:between w:val="nil"/>
              </w:pBdr>
              <w:spacing w:after="0"/>
              <w:jc w:val="both"/>
              <w:rPr>
                <w:rFonts w:ascii="Arial Narrow" w:eastAsia="Arial Narrow" w:hAnsi="Arial Narrow" w:cs="Arial Narrow"/>
                <w:sz w:val="20"/>
                <w:szCs w:val="20"/>
              </w:rPr>
            </w:pPr>
            <w:r w:rsidRPr="00BE365C">
              <w:rPr>
                <w:rFonts w:ascii="Arial Narrow" w:eastAsia="Times New Roman" w:hAnsi="Arial Narrow" w:cs="Times New Roman"/>
                <w:sz w:val="20"/>
                <w:szCs w:val="20"/>
              </w:rPr>
              <w:t xml:space="preserve">OP3.  </w:t>
            </w:r>
            <w:r w:rsidRPr="00BE365C">
              <w:rPr>
                <w:rFonts w:ascii="Arial Narrow" w:eastAsia="Arial Narrow" w:hAnsi="Arial Narrow" w:cs="Arial Narrow"/>
                <w:sz w:val="20"/>
                <w:szCs w:val="20"/>
              </w:rPr>
              <w:t>Fortalecer la gobernanza forestal y de fauna silvestre.</w:t>
            </w:r>
          </w:p>
          <w:p w14:paraId="0DDFB2A8" w14:textId="77777777" w:rsidR="005E3DDA" w:rsidRPr="00E82418" w:rsidRDefault="005E3DDA" w:rsidP="005E3DDA">
            <w:pPr>
              <w:pStyle w:val="Default"/>
              <w:rPr>
                <w:rFonts w:ascii="Arial Narrow" w:hAnsi="Arial Narrow"/>
                <w:sz w:val="20"/>
                <w:szCs w:val="20"/>
              </w:rPr>
            </w:pPr>
          </w:p>
        </w:tc>
        <w:tc>
          <w:tcPr>
            <w:tcW w:w="2551" w:type="dxa"/>
          </w:tcPr>
          <w:p w14:paraId="3F878804" w14:textId="4483C314" w:rsidR="005E3DDA" w:rsidRPr="00E82418" w:rsidRDefault="005E3DDA" w:rsidP="005E3DDA">
            <w:pPr>
              <w:pStyle w:val="Default"/>
              <w:rPr>
                <w:rFonts w:ascii="Arial Narrow" w:hAnsi="Arial Narrow"/>
                <w:sz w:val="20"/>
                <w:szCs w:val="20"/>
              </w:rPr>
            </w:pPr>
            <w:r w:rsidRPr="00E82418">
              <w:rPr>
                <w:rFonts w:ascii="Arial Narrow" w:hAnsi="Arial Narrow"/>
                <w:sz w:val="20"/>
                <w:szCs w:val="20"/>
              </w:rPr>
              <w:t xml:space="preserve">IV. Estado eficiente, transparente y descentralizado </w:t>
            </w:r>
          </w:p>
          <w:p w14:paraId="4D79E316" w14:textId="77777777" w:rsidR="005E3DDA" w:rsidRPr="00E82418" w:rsidRDefault="005E3DDA" w:rsidP="005E3DDA">
            <w:pPr>
              <w:pStyle w:val="Default"/>
              <w:rPr>
                <w:rFonts w:ascii="Arial Narrow" w:hAnsi="Arial Narrow"/>
                <w:sz w:val="20"/>
                <w:szCs w:val="20"/>
              </w:rPr>
            </w:pPr>
          </w:p>
        </w:tc>
        <w:tc>
          <w:tcPr>
            <w:tcW w:w="7513" w:type="dxa"/>
          </w:tcPr>
          <w:p w14:paraId="078ABF59" w14:textId="77777777" w:rsidR="005E3DDA" w:rsidRPr="00E82418" w:rsidRDefault="005E3DDA" w:rsidP="005E3DDA">
            <w:pPr>
              <w:pStyle w:val="Default"/>
              <w:rPr>
                <w:rFonts w:ascii="Arial Narrow" w:hAnsi="Arial Narrow"/>
                <w:sz w:val="20"/>
                <w:szCs w:val="20"/>
              </w:rPr>
            </w:pPr>
            <w:r w:rsidRPr="00E82418">
              <w:rPr>
                <w:rFonts w:ascii="Arial Narrow" w:hAnsi="Arial Narrow"/>
                <w:b/>
                <w:bCs/>
                <w:sz w:val="20"/>
                <w:szCs w:val="20"/>
              </w:rPr>
              <w:t>N° 3</w:t>
            </w:r>
            <w:r>
              <w:rPr>
                <w:rFonts w:ascii="Arial Narrow" w:hAnsi="Arial Narrow"/>
                <w:b/>
                <w:bCs/>
                <w:sz w:val="20"/>
                <w:szCs w:val="20"/>
              </w:rPr>
              <w:t xml:space="preserve">5 </w:t>
            </w:r>
            <w:r>
              <w:rPr>
                <w:rFonts w:ascii="Arial Narrow" w:hAnsi="Arial Narrow"/>
                <w:b/>
                <w:sz w:val="20"/>
                <w:szCs w:val="20"/>
              </w:rPr>
              <w:t>Sociedad de la información y sociedad del conocimiento</w:t>
            </w:r>
            <w:r w:rsidRPr="00E82418">
              <w:rPr>
                <w:rFonts w:ascii="Arial Narrow" w:hAnsi="Arial Narrow"/>
                <w:sz w:val="20"/>
                <w:szCs w:val="20"/>
              </w:rPr>
              <w:t xml:space="preserve"> </w:t>
            </w:r>
          </w:p>
          <w:p w14:paraId="70DB75DF" w14:textId="77777777" w:rsidR="005E3DDA" w:rsidRDefault="005E3DDA" w:rsidP="005E3DDA">
            <w:pPr>
              <w:rPr>
                <w:rFonts w:ascii="Arial Narrow" w:hAnsi="Arial Narrow"/>
                <w:b/>
                <w:sz w:val="20"/>
                <w:szCs w:val="20"/>
              </w:rPr>
            </w:pPr>
          </w:p>
          <w:p w14:paraId="2E45E339" w14:textId="77777777" w:rsidR="005E3DDA" w:rsidRPr="00E82418" w:rsidRDefault="005E3DDA" w:rsidP="005E3DDA">
            <w:pPr>
              <w:rPr>
                <w:rFonts w:ascii="Arial Narrow" w:hAnsi="Arial Narrow"/>
                <w:b/>
                <w:sz w:val="20"/>
                <w:szCs w:val="20"/>
              </w:rPr>
            </w:pPr>
            <w:r w:rsidRPr="00E82418">
              <w:rPr>
                <w:rFonts w:ascii="Arial Narrow" w:hAnsi="Arial Narrow"/>
                <w:b/>
                <w:sz w:val="20"/>
                <w:szCs w:val="20"/>
              </w:rPr>
              <w:t>Literal:</w:t>
            </w:r>
          </w:p>
          <w:p w14:paraId="4A2ADB3F" w14:textId="77777777" w:rsidR="005E3DDA" w:rsidRPr="00E82418" w:rsidRDefault="005E3DDA" w:rsidP="005E3DDA">
            <w:pPr>
              <w:pStyle w:val="Default"/>
              <w:rPr>
                <w:rFonts w:ascii="Arial Narrow" w:hAnsi="Arial Narrow"/>
                <w:sz w:val="20"/>
                <w:szCs w:val="20"/>
              </w:rPr>
            </w:pPr>
            <w:r w:rsidRPr="00E82418">
              <w:rPr>
                <w:rFonts w:ascii="Arial Narrow" w:hAnsi="Arial Narrow"/>
                <w:sz w:val="20"/>
                <w:szCs w:val="20"/>
              </w:rPr>
              <w:t>h) Fomentará el uso transversal de las TIC en ámbitos tales como educación, salud, conservación del ambiente, seguridad ciudadana, prevención de riesgo de desastres, gobierno abierto, defensa nacional, innovación, investigación, transferencia de conocimiento y sectores productivos y sociales</w:t>
            </w:r>
          </w:p>
          <w:p w14:paraId="787C27E4" w14:textId="77777777" w:rsidR="005E3DDA" w:rsidRPr="00A420EC" w:rsidRDefault="005E3DDA" w:rsidP="005E3DDA">
            <w:pPr>
              <w:pBdr>
                <w:top w:val="nil"/>
                <w:left w:val="nil"/>
                <w:bottom w:val="nil"/>
                <w:right w:val="nil"/>
                <w:between w:val="nil"/>
              </w:pBdr>
              <w:spacing w:after="0"/>
              <w:jc w:val="both"/>
              <w:rPr>
                <w:rFonts w:ascii="Arial Narrow" w:eastAsia="Times New Roman" w:hAnsi="Arial Narrow" w:cs="Times New Roman"/>
                <w:sz w:val="20"/>
                <w:szCs w:val="20"/>
              </w:rPr>
            </w:pPr>
          </w:p>
        </w:tc>
      </w:tr>
    </w:tbl>
    <w:p w14:paraId="53012EE2" w14:textId="77777777" w:rsidR="00237AFB" w:rsidRPr="00B35107" w:rsidRDefault="00237AFB" w:rsidP="00237AFB">
      <w:pPr>
        <w:rPr>
          <w:sz w:val="2"/>
          <w:szCs w:val="2"/>
        </w:rPr>
      </w:pPr>
    </w:p>
    <w:p w14:paraId="0B98029E" w14:textId="0D3087BC" w:rsidR="00237AFB" w:rsidRDefault="00237AFB" w:rsidP="00237AFB">
      <w:pPr>
        <w:pStyle w:val="Ttulo2"/>
        <w:keepLines w:val="0"/>
        <w:spacing w:before="240" w:after="60"/>
        <w:rPr>
          <w:rFonts w:ascii="Arial Narrow" w:eastAsia="Arial Narrow" w:hAnsi="Arial Narrow" w:cs="Arial Narrow"/>
          <w:b/>
          <w:color w:val="000000"/>
          <w:sz w:val="24"/>
          <w:szCs w:val="24"/>
        </w:rPr>
      </w:pPr>
      <w:bookmarkStart w:id="28" w:name="_Toc77002572"/>
      <w:bookmarkStart w:id="29" w:name="_Toc79531780"/>
      <w:bookmarkStart w:id="30" w:name="_Hlk81407047"/>
    </w:p>
    <w:tbl>
      <w:tblPr>
        <w:tblW w:w="14175" w:type="dxa"/>
        <w:tblInd w:w="279"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4111"/>
        <w:gridCol w:w="3402"/>
        <w:gridCol w:w="6662"/>
      </w:tblGrid>
      <w:tr w:rsidR="003E371D" w:rsidRPr="00A420EC" w14:paraId="606AA2FC" w14:textId="77777777" w:rsidTr="00F0354C">
        <w:trPr>
          <w:trHeight w:val="303"/>
        </w:trPr>
        <w:tc>
          <w:tcPr>
            <w:tcW w:w="4111" w:type="dxa"/>
            <w:vMerge w:val="restart"/>
            <w:shd w:val="clear" w:color="auto" w:fill="A8D08D"/>
          </w:tcPr>
          <w:p w14:paraId="10F4B1A6" w14:textId="345AA455" w:rsidR="003E371D" w:rsidRPr="00F342A7" w:rsidRDefault="003E371D" w:rsidP="003E371D">
            <w:pPr>
              <w:spacing w:after="0"/>
              <w:jc w:val="center"/>
              <w:rPr>
                <w:rFonts w:ascii="Arial Narrow" w:eastAsia="Arial Narrow" w:hAnsi="Arial Narrow" w:cs="Arial Narrow"/>
                <w:b/>
                <w:sz w:val="20"/>
                <w:szCs w:val="20"/>
              </w:rPr>
            </w:pPr>
            <w:r w:rsidRPr="001E4362">
              <w:rPr>
                <w:rFonts w:ascii="Arial Narrow" w:eastAsia="Arial Narrow" w:hAnsi="Arial Narrow" w:cs="Arial Narrow"/>
                <w:b/>
                <w:bCs/>
                <w:sz w:val="20"/>
                <w:szCs w:val="20"/>
              </w:rPr>
              <w:t>Objetivo Prioritario de la Política Nacional Forestal y de Fauna Silvestre</w:t>
            </w:r>
          </w:p>
        </w:tc>
        <w:tc>
          <w:tcPr>
            <w:tcW w:w="10064" w:type="dxa"/>
            <w:gridSpan w:val="2"/>
            <w:shd w:val="clear" w:color="auto" w:fill="A8D08D"/>
          </w:tcPr>
          <w:p w14:paraId="706150EE" w14:textId="652F5026" w:rsidR="003E371D" w:rsidRPr="00F342A7" w:rsidRDefault="003E371D" w:rsidP="0072651A">
            <w:pPr>
              <w:spacing w:after="0"/>
              <w:jc w:val="center"/>
              <w:rPr>
                <w:rFonts w:ascii="Arial Narrow" w:eastAsia="Arial Narrow" w:hAnsi="Arial Narrow" w:cs="Arial Narrow"/>
                <w:b/>
                <w:sz w:val="20"/>
                <w:szCs w:val="20"/>
              </w:rPr>
            </w:pPr>
            <w:r>
              <w:rPr>
                <w:rFonts w:ascii="Arial Narrow" w:eastAsia="Arial Narrow" w:hAnsi="Arial Narrow" w:cs="Arial Narrow"/>
                <w:b/>
                <w:sz w:val="20"/>
                <w:szCs w:val="20"/>
              </w:rPr>
              <w:t>Plan Estratégico de Desarrollo Nacional al 2050</w:t>
            </w:r>
          </w:p>
        </w:tc>
      </w:tr>
      <w:tr w:rsidR="003E371D" w:rsidRPr="00A420EC" w14:paraId="379950D4" w14:textId="77777777" w:rsidTr="003E371D">
        <w:trPr>
          <w:trHeight w:val="180"/>
        </w:trPr>
        <w:tc>
          <w:tcPr>
            <w:tcW w:w="4111" w:type="dxa"/>
            <w:vMerge/>
            <w:shd w:val="clear" w:color="auto" w:fill="A8D08D"/>
          </w:tcPr>
          <w:p w14:paraId="40CE9DD1" w14:textId="4B2061F4" w:rsidR="003E371D" w:rsidRDefault="003E371D" w:rsidP="003E371D">
            <w:pPr>
              <w:spacing w:after="0"/>
              <w:jc w:val="center"/>
              <w:rPr>
                <w:rFonts w:ascii="Arial Narrow" w:eastAsia="Arial Narrow" w:hAnsi="Arial Narrow" w:cs="Arial Narrow"/>
                <w:b/>
                <w:bCs/>
                <w:sz w:val="20"/>
                <w:szCs w:val="20"/>
              </w:rPr>
            </w:pPr>
          </w:p>
        </w:tc>
        <w:tc>
          <w:tcPr>
            <w:tcW w:w="3402" w:type="dxa"/>
            <w:shd w:val="clear" w:color="auto" w:fill="A8D08D"/>
          </w:tcPr>
          <w:p w14:paraId="75FB865E" w14:textId="33E70599" w:rsidR="003E371D" w:rsidRPr="001E4362" w:rsidRDefault="003E371D" w:rsidP="003E371D">
            <w:pPr>
              <w:spacing w:after="0"/>
              <w:jc w:val="center"/>
              <w:rPr>
                <w:rFonts w:ascii="Arial Narrow" w:eastAsia="Arial Narrow" w:hAnsi="Arial Narrow" w:cs="Arial Narrow"/>
                <w:b/>
                <w:bCs/>
                <w:sz w:val="20"/>
                <w:szCs w:val="20"/>
              </w:rPr>
            </w:pPr>
            <w:r>
              <w:rPr>
                <w:rFonts w:ascii="Arial Narrow" w:eastAsia="Arial Narrow" w:hAnsi="Arial Narrow" w:cs="Arial Narrow"/>
                <w:b/>
                <w:bCs/>
                <w:sz w:val="20"/>
                <w:szCs w:val="20"/>
              </w:rPr>
              <w:t>Objetivos Nacionales</w:t>
            </w:r>
          </w:p>
        </w:tc>
        <w:tc>
          <w:tcPr>
            <w:tcW w:w="6662" w:type="dxa"/>
            <w:shd w:val="clear" w:color="auto" w:fill="A8D08D"/>
          </w:tcPr>
          <w:p w14:paraId="48491AE3" w14:textId="2DA39753" w:rsidR="003E371D" w:rsidRPr="001E4362" w:rsidRDefault="003E371D" w:rsidP="003E371D">
            <w:pPr>
              <w:spacing w:after="0"/>
              <w:jc w:val="center"/>
              <w:rPr>
                <w:rFonts w:ascii="Arial Narrow" w:eastAsia="Arial Narrow" w:hAnsi="Arial Narrow" w:cs="Arial Narrow"/>
                <w:b/>
                <w:bCs/>
                <w:sz w:val="20"/>
                <w:szCs w:val="20"/>
              </w:rPr>
            </w:pPr>
            <w:r>
              <w:rPr>
                <w:rFonts w:ascii="Arial Narrow" w:eastAsia="Arial Narrow" w:hAnsi="Arial Narrow" w:cs="Arial Narrow"/>
                <w:b/>
                <w:bCs/>
                <w:sz w:val="20"/>
                <w:szCs w:val="20"/>
              </w:rPr>
              <w:t>Objetivos específicos</w:t>
            </w:r>
          </w:p>
        </w:tc>
      </w:tr>
      <w:tr w:rsidR="003E371D" w:rsidRPr="00A420EC" w14:paraId="6285723D" w14:textId="77777777" w:rsidTr="003E371D">
        <w:trPr>
          <w:trHeight w:val="476"/>
        </w:trPr>
        <w:tc>
          <w:tcPr>
            <w:tcW w:w="4111" w:type="dxa"/>
          </w:tcPr>
          <w:p w14:paraId="20313DFF" w14:textId="77777777" w:rsidR="003E371D" w:rsidRPr="00BE365C" w:rsidRDefault="003E371D" w:rsidP="003E371D">
            <w:pPr>
              <w:pBdr>
                <w:top w:val="nil"/>
                <w:left w:val="nil"/>
                <w:bottom w:val="nil"/>
                <w:right w:val="nil"/>
                <w:between w:val="nil"/>
              </w:pBdr>
              <w:spacing w:after="0"/>
              <w:jc w:val="both"/>
              <w:rPr>
                <w:rFonts w:ascii="Arial Narrow" w:eastAsia="Arial Narrow" w:hAnsi="Arial Narrow" w:cs="Arial Narrow"/>
                <w:sz w:val="20"/>
                <w:szCs w:val="20"/>
              </w:rPr>
            </w:pPr>
            <w:r w:rsidRPr="00BE365C">
              <w:rPr>
                <w:rFonts w:ascii="Arial Narrow" w:eastAsia="Times New Roman" w:hAnsi="Arial Narrow" w:cs="Times New Roman"/>
                <w:sz w:val="20"/>
                <w:szCs w:val="20"/>
              </w:rPr>
              <w:t xml:space="preserve">OP1.  </w:t>
            </w:r>
            <w:r w:rsidRPr="00DC7A03">
              <w:rPr>
                <w:rFonts w:ascii="Arial Narrow" w:eastAsia="Arial Narrow" w:hAnsi="Arial Narrow" w:cs="Arial"/>
                <w:sz w:val="20"/>
                <w:szCs w:val="20"/>
              </w:rPr>
              <w:t>Mejorar las condiciones para la sostenibilidad de los ecosistemas forestales, otros ecosistemas de vegetación silvestre y de la fauna silvestre</w:t>
            </w:r>
            <w:r w:rsidRPr="00DC7A03">
              <w:rPr>
                <w:rFonts w:ascii="Arial Narrow" w:eastAsia="Arial Narrow" w:hAnsi="Arial Narrow" w:cs="Arial Narrow"/>
                <w:sz w:val="20"/>
                <w:szCs w:val="20"/>
              </w:rPr>
              <w:t>.</w:t>
            </w:r>
          </w:p>
          <w:p w14:paraId="1C2415D0" w14:textId="77777777" w:rsidR="003E371D" w:rsidRDefault="003E371D" w:rsidP="003E371D">
            <w:pPr>
              <w:pBdr>
                <w:top w:val="nil"/>
                <w:left w:val="nil"/>
                <w:bottom w:val="nil"/>
                <w:right w:val="nil"/>
                <w:between w:val="nil"/>
              </w:pBdr>
              <w:spacing w:after="0"/>
              <w:jc w:val="both"/>
              <w:rPr>
                <w:rFonts w:ascii="Arial Narrow" w:eastAsia="Arial Narrow" w:hAnsi="Arial Narrow" w:cs="Arial Narrow"/>
                <w:sz w:val="20"/>
                <w:szCs w:val="20"/>
              </w:rPr>
            </w:pPr>
          </w:p>
          <w:p w14:paraId="2F658C8D" w14:textId="77777777" w:rsidR="003E371D" w:rsidRDefault="003E371D" w:rsidP="003E371D">
            <w:pPr>
              <w:pBdr>
                <w:top w:val="nil"/>
                <w:left w:val="nil"/>
                <w:bottom w:val="nil"/>
                <w:right w:val="nil"/>
                <w:between w:val="nil"/>
              </w:pBdr>
              <w:spacing w:after="0"/>
              <w:jc w:val="both"/>
              <w:rPr>
                <w:rFonts w:ascii="Arial Narrow" w:eastAsia="Arial Narrow" w:hAnsi="Arial Narrow" w:cs="Arial Narrow"/>
                <w:sz w:val="20"/>
                <w:szCs w:val="20"/>
              </w:rPr>
            </w:pPr>
            <w:r w:rsidRPr="00BE365C">
              <w:rPr>
                <w:rFonts w:ascii="Arial Narrow" w:eastAsia="Arial Narrow" w:hAnsi="Arial Narrow" w:cs="Arial Narrow"/>
                <w:sz w:val="20"/>
                <w:szCs w:val="20"/>
              </w:rPr>
              <w:t xml:space="preserve">OP2. </w:t>
            </w:r>
            <w:r w:rsidRPr="00BE365C">
              <w:rPr>
                <w:rFonts w:ascii="Arial Narrow" w:eastAsia="Arial Narrow" w:hAnsi="Arial Narrow" w:cs="Arial"/>
                <w:sz w:val="20"/>
                <w:szCs w:val="20"/>
              </w:rPr>
              <w:t>Incrementar la productividad de los ecosistemas forestales, otros ecosistemas de vegetación silvestre y de la fauna silvestre</w:t>
            </w:r>
            <w:r w:rsidRPr="00BE365C">
              <w:rPr>
                <w:rFonts w:ascii="Arial Narrow" w:eastAsia="Arial Narrow" w:hAnsi="Arial Narrow" w:cs="Arial Narrow"/>
                <w:sz w:val="20"/>
                <w:szCs w:val="20"/>
              </w:rPr>
              <w:t>.</w:t>
            </w:r>
          </w:p>
          <w:p w14:paraId="65CDDBB5" w14:textId="77777777" w:rsidR="003E371D" w:rsidRDefault="003E371D" w:rsidP="003E371D">
            <w:pPr>
              <w:pBdr>
                <w:top w:val="nil"/>
                <w:left w:val="nil"/>
                <w:bottom w:val="nil"/>
                <w:right w:val="nil"/>
                <w:between w:val="nil"/>
              </w:pBdr>
              <w:spacing w:after="0"/>
              <w:jc w:val="both"/>
              <w:rPr>
                <w:rFonts w:ascii="Arial Narrow" w:eastAsia="Arial Narrow" w:hAnsi="Arial Narrow" w:cs="Arial Narrow"/>
                <w:sz w:val="20"/>
                <w:szCs w:val="20"/>
              </w:rPr>
            </w:pPr>
          </w:p>
          <w:p w14:paraId="25728A78" w14:textId="77777777" w:rsidR="003E371D" w:rsidRPr="00BE365C" w:rsidRDefault="003E371D" w:rsidP="003E371D">
            <w:pPr>
              <w:pBdr>
                <w:top w:val="nil"/>
                <w:left w:val="nil"/>
                <w:bottom w:val="nil"/>
                <w:right w:val="nil"/>
                <w:between w:val="nil"/>
              </w:pBdr>
              <w:spacing w:after="0"/>
              <w:jc w:val="both"/>
              <w:rPr>
                <w:rFonts w:ascii="Arial Narrow" w:eastAsia="Arial Narrow" w:hAnsi="Arial Narrow" w:cs="Arial Narrow"/>
                <w:sz w:val="20"/>
                <w:szCs w:val="20"/>
              </w:rPr>
            </w:pPr>
            <w:r w:rsidRPr="00BE365C">
              <w:rPr>
                <w:rFonts w:ascii="Arial Narrow" w:eastAsia="Times New Roman" w:hAnsi="Arial Narrow" w:cs="Times New Roman"/>
                <w:sz w:val="20"/>
                <w:szCs w:val="20"/>
              </w:rPr>
              <w:t xml:space="preserve">OP3.  </w:t>
            </w:r>
            <w:r w:rsidRPr="00BE365C">
              <w:rPr>
                <w:rFonts w:ascii="Arial Narrow" w:eastAsia="Arial Narrow" w:hAnsi="Arial Narrow" w:cs="Arial Narrow"/>
                <w:sz w:val="20"/>
                <w:szCs w:val="20"/>
              </w:rPr>
              <w:t>Fortalecer la gobernanza forestal y de fauna silvestre.</w:t>
            </w:r>
          </w:p>
          <w:p w14:paraId="16F3BDCD" w14:textId="77777777" w:rsidR="003E371D" w:rsidRDefault="003E371D" w:rsidP="003E371D">
            <w:pPr>
              <w:pStyle w:val="Default"/>
              <w:rPr>
                <w:b/>
                <w:bCs/>
                <w:sz w:val="18"/>
                <w:szCs w:val="18"/>
              </w:rPr>
            </w:pPr>
          </w:p>
        </w:tc>
        <w:tc>
          <w:tcPr>
            <w:tcW w:w="3402" w:type="dxa"/>
          </w:tcPr>
          <w:p w14:paraId="73FC0CAD" w14:textId="51892F98" w:rsidR="003E371D" w:rsidRDefault="003E371D" w:rsidP="003E371D">
            <w:pPr>
              <w:pStyle w:val="Default"/>
              <w:rPr>
                <w:sz w:val="18"/>
                <w:szCs w:val="18"/>
              </w:rPr>
            </w:pPr>
            <w:r>
              <w:rPr>
                <w:b/>
                <w:bCs/>
                <w:sz w:val="18"/>
                <w:szCs w:val="18"/>
              </w:rPr>
              <w:t>ON2</w:t>
            </w:r>
            <w:r>
              <w:rPr>
                <w:sz w:val="18"/>
                <w:szCs w:val="18"/>
              </w:rPr>
              <w:t xml:space="preserve">. Gestionar el territorio de manera sostenible a fin de prevenir y reducir los riesgos y amenazas que afectan a las personas y sus medios de vida, con el uso intensivo del conocimiento y las comunicaciones, reconociendo la diversidad geográfica y cultural, en un contexto de cambio climático. </w:t>
            </w:r>
          </w:p>
          <w:p w14:paraId="0FBEB11B" w14:textId="5696464F" w:rsidR="003E371D" w:rsidRPr="00A420EC" w:rsidRDefault="003E371D" w:rsidP="003E371D">
            <w:pPr>
              <w:rPr>
                <w:rFonts w:ascii="Arial Narrow" w:hAnsi="Arial Narrow"/>
                <w:sz w:val="20"/>
                <w:szCs w:val="20"/>
              </w:rPr>
            </w:pPr>
          </w:p>
        </w:tc>
        <w:tc>
          <w:tcPr>
            <w:tcW w:w="6662" w:type="dxa"/>
          </w:tcPr>
          <w:p w14:paraId="7DC3041F" w14:textId="77777777" w:rsidR="003E371D" w:rsidRDefault="003E371D" w:rsidP="003E371D">
            <w:pPr>
              <w:pStyle w:val="Default"/>
              <w:rPr>
                <w:sz w:val="18"/>
                <w:szCs w:val="18"/>
              </w:rPr>
            </w:pPr>
            <w:r>
              <w:rPr>
                <w:sz w:val="18"/>
                <w:szCs w:val="18"/>
              </w:rPr>
              <w:t xml:space="preserve">OE 2.1 Gestionar el territorio nacional con visión estratégica e integral en todos los niveles, de tal manera que propicie el uso y la ocupación del territorio, y el manejo de los recursos naturales de manera adecuada y sostenible para el desarrollo humano. </w:t>
            </w:r>
          </w:p>
          <w:p w14:paraId="3D820A07" w14:textId="77777777" w:rsidR="003E371D" w:rsidRDefault="003E371D" w:rsidP="003E371D">
            <w:pPr>
              <w:pStyle w:val="Default"/>
              <w:rPr>
                <w:sz w:val="18"/>
                <w:szCs w:val="18"/>
              </w:rPr>
            </w:pPr>
            <w:r>
              <w:rPr>
                <w:sz w:val="18"/>
                <w:szCs w:val="18"/>
              </w:rPr>
              <w:t xml:space="preserve">OE 2.4 Asegurar la sostenibilidad de los servicios ecosistémicos, mediante la gestión integrada de los recursos naturales y de los ecosistemas. </w:t>
            </w:r>
          </w:p>
          <w:p w14:paraId="40C7969E" w14:textId="77777777" w:rsidR="003E371D" w:rsidRDefault="003E371D" w:rsidP="003E371D">
            <w:pPr>
              <w:pStyle w:val="Default"/>
              <w:rPr>
                <w:sz w:val="18"/>
                <w:szCs w:val="18"/>
              </w:rPr>
            </w:pPr>
            <w:r>
              <w:rPr>
                <w:sz w:val="18"/>
                <w:szCs w:val="18"/>
              </w:rPr>
              <w:t xml:space="preserve">OE 2.6. Asegurar elevados niveles de calidad ambiental en el país, mediante una gestión adecuada de residuos sólidos, suelo, aire y aguas residuales, así como un estricto control y gobernanza ambiental. </w:t>
            </w:r>
          </w:p>
          <w:p w14:paraId="43EA10B4" w14:textId="77777777" w:rsidR="003E371D" w:rsidRDefault="003E371D" w:rsidP="003E371D">
            <w:pPr>
              <w:pStyle w:val="Default"/>
              <w:rPr>
                <w:sz w:val="18"/>
                <w:szCs w:val="18"/>
              </w:rPr>
            </w:pPr>
            <w:r>
              <w:rPr>
                <w:sz w:val="18"/>
                <w:szCs w:val="18"/>
              </w:rPr>
              <w:t xml:space="preserve">OE 2.7. Aumentar la resiliencia y adaptación de la población y sus medios de vida ante el cambio climático con énfasis en el tránsito hacia una economía baja en carbono y el monitoreo inteligente de fenómenos geológicos, hidro climáticos y glaciológicos y la planificación. </w:t>
            </w:r>
          </w:p>
          <w:p w14:paraId="48E05E10" w14:textId="77777777" w:rsidR="003E371D" w:rsidRPr="00BE365C" w:rsidRDefault="003E371D" w:rsidP="003E371D">
            <w:pPr>
              <w:pStyle w:val="Prrafodelista"/>
              <w:spacing w:after="0"/>
              <w:ind w:left="1080"/>
              <w:jc w:val="both"/>
              <w:rPr>
                <w:rFonts w:ascii="Arial Narrow" w:eastAsia="Arial Narrow" w:hAnsi="Arial Narrow" w:cs="Arial Narrow"/>
                <w:sz w:val="20"/>
                <w:szCs w:val="20"/>
              </w:rPr>
            </w:pPr>
          </w:p>
        </w:tc>
      </w:tr>
      <w:tr w:rsidR="003E371D" w:rsidRPr="00A420EC" w14:paraId="7EBA687C" w14:textId="77777777" w:rsidTr="003E371D">
        <w:trPr>
          <w:trHeight w:val="476"/>
        </w:trPr>
        <w:tc>
          <w:tcPr>
            <w:tcW w:w="4111" w:type="dxa"/>
          </w:tcPr>
          <w:p w14:paraId="3636DDA9" w14:textId="77777777" w:rsidR="003E371D" w:rsidRPr="00BE365C" w:rsidRDefault="003E371D" w:rsidP="003E371D">
            <w:pPr>
              <w:pBdr>
                <w:top w:val="nil"/>
                <w:left w:val="nil"/>
                <w:bottom w:val="nil"/>
                <w:right w:val="nil"/>
                <w:between w:val="nil"/>
              </w:pBdr>
              <w:spacing w:after="0"/>
              <w:jc w:val="both"/>
              <w:rPr>
                <w:rFonts w:ascii="Arial Narrow" w:eastAsia="Arial Narrow" w:hAnsi="Arial Narrow" w:cs="Arial Narrow"/>
                <w:sz w:val="20"/>
                <w:szCs w:val="20"/>
              </w:rPr>
            </w:pPr>
            <w:r w:rsidRPr="00BE365C">
              <w:rPr>
                <w:rFonts w:ascii="Arial Narrow" w:eastAsia="Arial Narrow" w:hAnsi="Arial Narrow" w:cs="Arial Narrow"/>
                <w:sz w:val="20"/>
                <w:szCs w:val="20"/>
              </w:rPr>
              <w:t xml:space="preserve">OP2. </w:t>
            </w:r>
            <w:r w:rsidRPr="00BE365C">
              <w:rPr>
                <w:rFonts w:ascii="Arial Narrow" w:eastAsia="Arial Narrow" w:hAnsi="Arial Narrow" w:cs="Arial"/>
                <w:sz w:val="20"/>
                <w:szCs w:val="20"/>
              </w:rPr>
              <w:t>Incrementar la productividad de los ecosistemas forestales, otros ecosistemas de vegetación silvestre y de la fauna silvestre</w:t>
            </w:r>
            <w:r w:rsidRPr="00BE365C">
              <w:rPr>
                <w:rFonts w:ascii="Arial Narrow" w:eastAsia="Arial Narrow" w:hAnsi="Arial Narrow" w:cs="Arial Narrow"/>
                <w:sz w:val="20"/>
                <w:szCs w:val="20"/>
              </w:rPr>
              <w:t>.</w:t>
            </w:r>
          </w:p>
          <w:p w14:paraId="690EC56F" w14:textId="77777777" w:rsidR="003E371D" w:rsidRDefault="003E371D" w:rsidP="003E371D">
            <w:pPr>
              <w:pStyle w:val="Default"/>
              <w:rPr>
                <w:b/>
                <w:bCs/>
                <w:sz w:val="18"/>
                <w:szCs w:val="18"/>
              </w:rPr>
            </w:pPr>
          </w:p>
        </w:tc>
        <w:tc>
          <w:tcPr>
            <w:tcW w:w="3402" w:type="dxa"/>
          </w:tcPr>
          <w:p w14:paraId="6959F36B" w14:textId="1FC52450" w:rsidR="003E371D" w:rsidRDefault="003E371D" w:rsidP="003E371D">
            <w:pPr>
              <w:pStyle w:val="Default"/>
              <w:rPr>
                <w:sz w:val="18"/>
                <w:szCs w:val="18"/>
              </w:rPr>
            </w:pPr>
            <w:r>
              <w:rPr>
                <w:b/>
                <w:bCs/>
                <w:sz w:val="18"/>
                <w:szCs w:val="18"/>
              </w:rPr>
              <w:t xml:space="preserve">ON3. </w:t>
            </w:r>
            <w:r>
              <w:rPr>
                <w:sz w:val="18"/>
                <w:szCs w:val="18"/>
              </w:rPr>
              <w:t xml:space="preserve">Elevar los niveles de competitividad y productividad con empleo decente y en base al aprovechamiento sostenible de los recursos, el capital humano, el uso intensivo de la ciencia y tecnología, y la transformación digital del país </w:t>
            </w:r>
          </w:p>
          <w:p w14:paraId="347C739D" w14:textId="206A3F67" w:rsidR="003E371D" w:rsidRPr="00A420EC" w:rsidRDefault="003E371D" w:rsidP="003E371D">
            <w:pPr>
              <w:rPr>
                <w:rFonts w:ascii="Arial Narrow" w:hAnsi="Arial Narrow"/>
                <w:sz w:val="20"/>
                <w:szCs w:val="20"/>
              </w:rPr>
            </w:pPr>
          </w:p>
        </w:tc>
        <w:tc>
          <w:tcPr>
            <w:tcW w:w="6662" w:type="dxa"/>
          </w:tcPr>
          <w:p w14:paraId="6A727708" w14:textId="77777777" w:rsidR="003E371D" w:rsidRDefault="003E371D" w:rsidP="003E371D">
            <w:pPr>
              <w:pStyle w:val="Default"/>
              <w:rPr>
                <w:sz w:val="18"/>
                <w:szCs w:val="18"/>
              </w:rPr>
            </w:pPr>
            <w:r>
              <w:rPr>
                <w:sz w:val="18"/>
                <w:szCs w:val="18"/>
              </w:rPr>
              <w:t xml:space="preserve">OE 3.3: Elevar los niveles de competitividad y productividad de los sectores económicos, en base a la diversificación productiva, generación de valor agregado y la innovación tecnológica dentro de todos los sectores productivos, en el marco de una economía verde y baja en carbono y con el aprovechamiento de las tecnologías emergentes. </w:t>
            </w:r>
          </w:p>
          <w:p w14:paraId="444D5CBA" w14:textId="77777777" w:rsidR="003E371D" w:rsidRDefault="003E371D" w:rsidP="003E371D">
            <w:pPr>
              <w:pStyle w:val="Default"/>
              <w:rPr>
                <w:sz w:val="18"/>
                <w:szCs w:val="18"/>
              </w:rPr>
            </w:pPr>
            <w:r>
              <w:rPr>
                <w:sz w:val="18"/>
                <w:szCs w:val="18"/>
              </w:rPr>
              <w:t xml:space="preserve">OE 3.4: Elevar los niveles de desarrollo productivo y sostenible de las micro, pequeñas y medianas empresas, en base al fomento del emprendimiento, la creatividad y la innovación, el acceso a servicios financieros y a entornos digitales habilitantes. </w:t>
            </w:r>
          </w:p>
          <w:p w14:paraId="66EB17D8" w14:textId="77777777" w:rsidR="003E371D" w:rsidRDefault="003E371D" w:rsidP="003E371D">
            <w:pPr>
              <w:pStyle w:val="Default"/>
              <w:rPr>
                <w:sz w:val="18"/>
                <w:szCs w:val="18"/>
              </w:rPr>
            </w:pPr>
            <w:r>
              <w:rPr>
                <w:sz w:val="18"/>
                <w:szCs w:val="18"/>
              </w:rPr>
              <w:t xml:space="preserve">OE 3.5: Elevar la capacidad científica y de innovación tecnológica del país, en base a la investigación, creación, adaptación y transferencia tecnológica y científica, y el impulso al proceso nacional de transformación digital; favoreciendo la articulación entre la academia, el Estado, los sectores productivos y la Sociedad Civil. </w:t>
            </w:r>
          </w:p>
          <w:p w14:paraId="6E09882F" w14:textId="610BAC0C" w:rsidR="003E371D" w:rsidRPr="00BE365C" w:rsidRDefault="003E371D" w:rsidP="003E371D">
            <w:pPr>
              <w:pBdr>
                <w:top w:val="nil"/>
                <w:left w:val="nil"/>
                <w:bottom w:val="nil"/>
                <w:right w:val="nil"/>
                <w:between w:val="nil"/>
              </w:pBdr>
              <w:spacing w:after="0"/>
              <w:jc w:val="both"/>
              <w:rPr>
                <w:rFonts w:ascii="Arial Narrow" w:eastAsia="Arial Narrow" w:hAnsi="Arial Narrow" w:cs="Arial Narrow"/>
                <w:sz w:val="20"/>
                <w:szCs w:val="20"/>
              </w:rPr>
            </w:pPr>
          </w:p>
        </w:tc>
      </w:tr>
      <w:tr w:rsidR="003E371D" w:rsidRPr="00A420EC" w14:paraId="0D9E5095" w14:textId="77777777" w:rsidTr="003E371D">
        <w:trPr>
          <w:trHeight w:val="476"/>
        </w:trPr>
        <w:tc>
          <w:tcPr>
            <w:tcW w:w="4111" w:type="dxa"/>
          </w:tcPr>
          <w:p w14:paraId="71E25B7B" w14:textId="77777777" w:rsidR="003E371D" w:rsidRPr="00BE365C" w:rsidRDefault="003E371D" w:rsidP="003E371D">
            <w:pPr>
              <w:pBdr>
                <w:top w:val="nil"/>
                <w:left w:val="nil"/>
                <w:bottom w:val="nil"/>
                <w:right w:val="nil"/>
                <w:between w:val="nil"/>
              </w:pBdr>
              <w:spacing w:after="0"/>
              <w:jc w:val="both"/>
              <w:rPr>
                <w:rFonts w:ascii="Arial Narrow" w:eastAsia="Arial Narrow" w:hAnsi="Arial Narrow" w:cs="Arial Narrow"/>
                <w:sz w:val="20"/>
                <w:szCs w:val="20"/>
              </w:rPr>
            </w:pPr>
            <w:r w:rsidRPr="00BE365C">
              <w:rPr>
                <w:rFonts w:ascii="Arial Narrow" w:eastAsia="Times New Roman" w:hAnsi="Arial Narrow" w:cs="Times New Roman"/>
                <w:sz w:val="20"/>
                <w:szCs w:val="20"/>
              </w:rPr>
              <w:t xml:space="preserve">OP3.  </w:t>
            </w:r>
            <w:r w:rsidRPr="00BE365C">
              <w:rPr>
                <w:rFonts w:ascii="Arial Narrow" w:eastAsia="Arial Narrow" w:hAnsi="Arial Narrow" w:cs="Arial Narrow"/>
                <w:sz w:val="20"/>
                <w:szCs w:val="20"/>
              </w:rPr>
              <w:t>Fortalecer la gobernanza forestal y de fauna silvestre.</w:t>
            </w:r>
          </w:p>
          <w:p w14:paraId="39C9B5EA" w14:textId="77777777" w:rsidR="003E371D" w:rsidRDefault="003E371D" w:rsidP="003E371D">
            <w:pPr>
              <w:pStyle w:val="Default"/>
              <w:rPr>
                <w:b/>
                <w:bCs/>
                <w:sz w:val="18"/>
                <w:szCs w:val="18"/>
              </w:rPr>
            </w:pPr>
          </w:p>
        </w:tc>
        <w:tc>
          <w:tcPr>
            <w:tcW w:w="3402" w:type="dxa"/>
          </w:tcPr>
          <w:p w14:paraId="7443786C" w14:textId="76B93240" w:rsidR="003E371D" w:rsidRDefault="003E371D" w:rsidP="003E371D">
            <w:pPr>
              <w:pStyle w:val="Default"/>
              <w:rPr>
                <w:sz w:val="18"/>
                <w:szCs w:val="18"/>
              </w:rPr>
            </w:pPr>
            <w:r>
              <w:rPr>
                <w:b/>
                <w:bCs/>
                <w:sz w:val="18"/>
                <w:szCs w:val="18"/>
              </w:rPr>
              <w:t xml:space="preserve">ON4. </w:t>
            </w:r>
            <w:r>
              <w:rPr>
                <w:sz w:val="18"/>
                <w:szCs w:val="18"/>
              </w:rPr>
              <w:t xml:space="preserve">Garantizar una sociedad justa, democrática, pacífica y un Estado efectivo al servicio de las personas, en base al diálogo, la concertación nacional y el fortalecimiento de las instituciones. </w:t>
            </w:r>
          </w:p>
          <w:p w14:paraId="5AB4CA4F" w14:textId="77777777" w:rsidR="003E371D" w:rsidRPr="00A420EC" w:rsidRDefault="003E371D" w:rsidP="003E371D">
            <w:pPr>
              <w:rPr>
                <w:rFonts w:ascii="Arial Narrow" w:hAnsi="Arial Narrow"/>
                <w:sz w:val="20"/>
                <w:szCs w:val="20"/>
              </w:rPr>
            </w:pPr>
          </w:p>
        </w:tc>
        <w:tc>
          <w:tcPr>
            <w:tcW w:w="6662" w:type="dxa"/>
          </w:tcPr>
          <w:p w14:paraId="3A97654C" w14:textId="77777777" w:rsidR="003E371D" w:rsidRDefault="003E371D" w:rsidP="003E371D">
            <w:pPr>
              <w:pStyle w:val="Default"/>
              <w:rPr>
                <w:sz w:val="18"/>
                <w:szCs w:val="18"/>
              </w:rPr>
            </w:pPr>
            <w:r>
              <w:rPr>
                <w:sz w:val="18"/>
                <w:szCs w:val="18"/>
              </w:rPr>
              <w:t xml:space="preserve">OE 4.5. Garantizar intervenciones públicas de calidad que respondan de manera oportuna a las necesidades y expectativas de las personas, tomando en cuenta la heterogeneidad territorial, social, económica, cultural e intergeneracional del país, con énfasis en el fortalecimiento de la cultura de integridad y de lucha contra la corrupción, y la transformación digital. </w:t>
            </w:r>
          </w:p>
          <w:p w14:paraId="0B8F2580" w14:textId="59A22117" w:rsidR="003E371D" w:rsidRPr="00BE365C" w:rsidRDefault="003E371D" w:rsidP="003E371D">
            <w:pPr>
              <w:pBdr>
                <w:top w:val="nil"/>
                <w:left w:val="nil"/>
                <w:bottom w:val="nil"/>
                <w:right w:val="nil"/>
                <w:between w:val="nil"/>
              </w:pBdr>
              <w:spacing w:after="0"/>
              <w:jc w:val="both"/>
              <w:rPr>
                <w:rFonts w:ascii="Arial Narrow" w:eastAsia="Times New Roman" w:hAnsi="Arial Narrow" w:cs="Times New Roman"/>
                <w:sz w:val="20"/>
                <w:szCs w:val="20"/>
              </w:rPr>
            </w:pPr>
          </w:p>
        </w:tc>
      </w:tr>
    </w:tbl>
    <w:p w14:paraId="61A911BB" w14:textId="77777777" w:rsidR="00237AFB" w:rsidRDefault="00237AFB" w:rsidP="00237AFB"/>
    <w:tbl>
      <w:tblPr>
        <w:tblW w:w="14175" w:type="dxa"/>
        <w:tblInd w:w="279"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4252"/>
        <w:gridCol w:w="3402"/>
        <w:gridCol w:w="6521"/>
      </w:tblGrid>
      <w:tr w:rsidR="003E371D" w:rsidRPr="00A420EC" w14:paraId="3C039017" w14:textId="77777777" w:rsidTr="003E371D">
        <w:trPr>
          <w:trHeight w:val="303"/>
        </w:trPr>
        <w:tc>
          <w:tcPr>
            <w:tcW w:w="4252" w:type="dxa"/>
            <w:vMerge w:val="restart"/>
            <w:shd w:val="clear" w:color="auto" w:fill="A8D08D"/>
          </w:tcPr>
          <w:p w14:paraId="271BCFEB" w14:textId="78FE1336" w:rsidR="003E371D" w:rsidRPr="00F342A7" w:rsidRDefault="003E371D" w:rsidP="003E371D">
            <w:pPr>
              <w:spacing w:after="0"/>
              <w:jc w:val="center"/>
              <w:rPr>
                <w:rFonts w:ascii="Arial Narrow" w:eastAsia="Arial Narrow" w:hAnsi="Arial Narrow" w:cs="Arial Narrow"/>
                <w:b/>
                <w:sz w:val="20"/>
                <w:szCs w:val="20"/>
              </w:rPr>
            </w:pPr>
            <w:r w:rsidRPr="001E4362">
              <w:rPr>
                <w:rFonts w:ascii="Arial Narrow" w:eastAsia="Arial Narrow" w:hAnsi="Arial Narrow" w:cs="Arial Narrow"/>
                <w:b/>
                <w:bCs/>
                <w:sz w:val="20"/>
                <w:szCs w:val="20"/>
              </w:rPr>
              <w:lastRenderedPageBreak/>
              <w:t>Objetivo Prioritario de la Política Nacional Forestal y de Fauna Silvestre</w:t>
            </w:r>
          </w:p>
        </w:tc>
        <w:tc>
          <w:tcPr>
            <w:tcW w:w="9923" w:type="dxa"/>
            <w:gridSpan w:val="2"/>
            <w:shd w:val="clear" w:color="auto" w:fill="A8D08D"/>
          </w:tcPr>
          <w:p w14:paraId="2E1A24D3" w14:textId="072810DE" w:rsidR="003E371D" w:rsidRPr="00F342A7" w:rsidRDefault="003E371D" w:rsidP="0072651A">
            <w:pPr>
              <w:spacing w:after="0"/>
              <w:jc w:val="center"/>
              <w:rPr>
                <w:rFonts w:ascii="Arial Narrow" w:eastAsia="Arial Narrow" w:hAnsi="Arial Narrow" w:cs="Arial Narrow"/>
                <w:b/>
                <w:sz w:val="20"/>
                <w:szCs w:val="20"/>
              </w:rPr>
            </w:pPr>
            <w:r w:rsidRPr="00F342A7">
              <w:rPr>
                <w:rFonts w:ascii="Arial Narrow" w:eastAsia="Arial Narrow" w:hAnsi="Arial Narrow" w:cs="Arial Narrow"/>
                <w:b/>
                <w:sz w:val="20"/>
                <w:szCs w:val="20"/>
              </w:rPr>
              <w:t>Política</w:t>
            </w:r>
            <w:r>
              <w:rPr>
                <w:rFonts w:ascii="Arial Narrow" w:eastAsia="Arial Narrow" w:hAnsi="Arial Narrow" w:cs="Arial Narrow"/>
                <w:b/>
                <w:sz w:val="20"/>
                <w:szCs w:val="20"/>
              </w:rPr>
              <w:t xml:space="preserve"> General de Gobierno</w:t>
            </w:r>
          </w:p>
        </w:tc>
      </w:tr>
      <w:tr w:rsidR="003E371D" w:rsidRPr="00A420EC" w14:paraId="69ABF525" w14:textId="77777777" w:rsidTr="003E371D">
        <w:trPr>
          <w:trHeight w:val="180"/>
        </w:trPr>
        <w:tc>
          <w:tcPr>
            <w:tcW w:w="4252" w:type="dxa"/>
            <w:vMerge/>
            <w:shd w:val="clear" w:color="auto" w:fill="A8D08D"/>
          </w:tcPr>
          <w:p w14:paraId="49DF52A1" w14:textId="5C886E58" w:rsidR="003E371D" w:rsidRPr="001E4362" w:rsidRDefault="003E371D" w:rsidP="003E371D">
            <w:pPr>
              <w:spacing w:after="0"/>
              <w:jc w:val="center"/>
              <w:rPr>
                <w:rFonts w:ascii="Arial Narrow" w:eastAsia="Arial Narrow" w:hAnsi="Arial Narrow" w:cs="Arial Narrow"/>
                <w:b/>
                <w:bCs/>
                <w:sz w:val="20"/>
                <w:szCs w:val="20"/>
              </w:rPr>
            </w:pPr>
          </w:p>
        </w:tc>
        <w:tc>
          <w:tcPr>
            <w:tcW w:w="3402" w:type="dxa"/>
            <w:shd w:val="clear" w:color="auto" w:fill="A8D08D"/>
          </w:tcPr>
          <w:p w14:paraId="6FBB893C" w14:textId="710437D8" w:rsidR="003E371D" w:rsidRPr="001E4362" w:rsidRDefault="003E371D" w:rsidP="003E371D">
            <w:pPr>
              <w:spacing w:after="0"/>
              <w:jc w:val="center"/>
              <w:rPr>
                <w:rFonts w:ascii="Arial Narrow" w:eastAsia="Arial Narrow" w:hAnsi="Arial Narrow" w:cs="Arial Narrow"/>
                <w:b/>
                <w:bCs/>
                <w:sz w:val="20"/>
                <w:szCs w:val="20"/>
              </w:rPr>
            </w:pPr>
            <w:r w:rsidRPr="001E4362">
              <w:rPr>
                <w:rFonts w:ascii="Arial Narrow" w:eastAsia="Arial Narrow" w:hAnsi="Arial Narrow" w:cs="Arial Narrow"/>
                <w:b/>
                <w:bCs/>
                <w:sz w:val="20"/>
                <w:szCs w:val="20"/>
              </w:rPr>
              <w:t>Eje Temático</w:t>
            </w:r>
          </w:p>
        </w:tc>
        <w:tc>
          <w:tcPr>
            <w:tcW w:w="6521" w:type="dxa"/>
            <w:shd w:val="clear" w:color="auto" w:fill="A8D08D"/>
          </w:tcPr>
          <w:p w14:paraId="1A2A73DF" w14:textId="43A372D5" w:rsidR="003E371D" w:rsidRPr="001E4362" w:rsidRDefault="003E371D" w:rsidP="003E371D">
            <w:pPr>
              <w:spacing w:after="0"/>
              <w:jc w:val="center"/>
              <w:rPr>
                <w:rFonts w:ascii="Arial Narrow" w:eastAsia="Arial Narrow" w:hAnsi="Arial Narrow" w:cs="Arial Narrow"/>
                <w:b/>
                <w:bCs/>
                <w:sz w:val="20"/>
                <w:szCs w:val="20"/>
              </w:rPr>
            </w:pPr>
            <w:r>
              <w:rPr>
                <w:rFonts w:ascii="Arial Narrow" w:eastAsia="Arial Narrow" w:hAnsi="Arial Narrow" w:cs="Arial Narrow"/>
                <w:b/>
                <w:bCs/>
                <w:sz w:val="20"/>
                <w:szCs w:val="20"/>
              </w:rPr>
              <w:t>Lineamiento N°</w:t>
            </w:r>
            <w:r w:rsidRPr="001E4362">
              <w:rPr>
                <w:rFonts w:ascii="Arial Narrow" w:eastAsia="Arial Narrow" w:hAnsi="Arial Narrow" w:cs="Arial Narrow"/>
                <w:b/>
                <w:bCs/>
                <w:sz w:val="20"/>
                <w:szCs w:val="20"/>
              </w:rPr>
              <w:t xml:space="preserve"> </w:t>
            </w:r>
          </w:p>
        </w:tc>
      </w:tr>
      <w:tr w:rsidR="003E371D" w:rsidRPr="00A420EC" w14:paraId="6CE369F1" w14:textId="77777777" w:rsidTr="003E371D">
        <w:trPr>
          <w:trHeight w:val="476"/>
        </w:trPr>
        <w:tc>
          <w:tcPr>
            <w:tcW w:w="4252" w:type="dxa"/>
          </w:tcPr>
          <w:p w14:paraId="446E1B2C" w14:textId="77777777" w:rsidR="003E371D" w:rsidRPr="00BE365C" w:rsidRDefault="003E371D" w:rsidP="003E371D">
            <w:pPr>
              <w:pBdr>
                <w:top w:val="nil"/>
                <w:left w:val="nil"/>
                <w:bottom w:val="nil"/>
                <w:right w:val="nil"/>
                <w:between w:val="nil"/>
              </w:pBdr>
              <w:spacing w:after="0"/>
              <w:jc w:val="both"/>
              <w:rPr>
                <w:rFonts w:ascii="Arial Narrow" w:eastAsia="Arial Narrow" w:hAnsi="Arial Narrow" w:cs="Arial Narrow"/>
                <w:sz w:val="20"/>
                <w:szCs w:val="20"/>
              </w:rPr>
            </w:pPr>
            <w:r w:rsidRPr="00BE365C">
              <w:rPr>
                <w:rFonts w:ascii="Arial Narrow" w:eastAsia="Times New Roman" w:hAnsi="Arial Narrow" w:cs="Times New Roman"/>
                <w:sz w:val="20"/>
                <w:szCs w:val="20"/>
              </w:rPr>
              <w:t xml:space="preserve">OP3.  </w:t>
            </w:r>
            <w:r w:rsidRPr="00BE365C">
              <w:rPr>
                <w:rFonts w:ascii="Arial Narrow" w:eastAsia="Arial Narrow" w:hAnsi="Arial Narrow" w:cs="Arial Narrow"/>
                <w:sz w:val="20"/>
                <w:szCs w:val="20"/>
              </w:rPr>
              <w:t>Fortalecer la gobernanza forestal y de fauna silvestre.</w:t>
            </w:r>
          </w:p>
          <w:p w14:paraId="00E1EF13" w14:textId="77777777" w:rsidR="003E371D" w:rsidRPr="00953DC8" w:rsidRDefault="003E371D" w:rsidP="003E371D">
            <w:pPr>
              <w:rPr>
                <w:rFonts w:ascii="Arial Narrow" w:hAnsi="Arial Narrow"/>
                <w:sz w:val="20"/>
                <w:szCs w:val="20"/>
              </w:rPr>
            </w:pPr>
          </w:p>
        </w:tc>
        <w:tc>
          <w:tcPr>
            <w:tcW w:w="3402" w:type="dxa"/>
          </w:tcPr>
          <w:p w14:paraId="04E8830F" w14:textId="1771B964" w:rsidR="003E371D" w:rsidRPr="00A420EC" w:rsidRDefault="003E371D" w:rsidP="003E371D">
            <w:pPr>
              <w:rPr>
                <w:rFonts w:ascii="Arial Narrow" w:hAnsi="Arial Narrow"/>
                <w:sz w:val="20"/>
                <w:szCs w:val="20"/>
              </w:rPr>
            </w:pPr>
            <w:r w:rsidRPr="00953DC8">
              <w:rPr>
                <w:rFonts w:ascii="Arial Narrow" w:hAnsi="Arial Narrow"/>
                <w:sz w:val="20"/>
                <w:szCs w:val="20"/>
              </w:rPr>
              <w:t xml:space="preserve">Eje 2: </w:t>
            </w:r>
            <w:r>
              <w:rPr>
                <w:rFonts w:ascii="Arial Narrow" w:hAnsi="Arial Narrow"/>
                <w:sz w:val="20"/>
                <w:szCs w:val="20"/>
              </w:rPr>
              <w:t>C</w:t>
            </w:r>
            <w:r w:rsidRPr="006A06CB">
              <w:rPr>
                <w:rFonts w:ascii="Arial Narrow" w:hAnsi="Arial Narrow"/>
                <w:sz w:val="20"/>
                <w:szCs w:val="20"/>
              </w:rPr>
              <w:t>oncertación y diálogo nacional</w:t>
            </w:r>
          </w:p>
        </w:tc>
        <w:tc>
          <w:tcPr>
            <w:tcW w:w="6521" w:type="dxa"/>
          </w:tcPr>
          <w:p w14:paraId="546D54AD" w14:textId="77777777" w:rsidR="003E371D" w:rsidRPr="006A06CB" w:rsidRDefault="003E371D" w:rsidP="003E371D">
            <w:pPr>
              <w:rPr>
                <w:rFonts w:ascii="Arial Narrow" w:hAnsi="Arial Narrow"/>
                <w:sz w:val="20"/>
                <w:szCs w:val="20"/>
              </w:rPr>
            </w:pPr>
            <w:r w:rsidRPr="006A06CB">
              <w:rPr>
                <w:rFonts w:ascii="Arial Narrow" w:hAnsi="Arial Narrow"/>
                <w:sz w:val="20"/>
                <w:szCs w:val="20"/>
              </w:rPr>
              <w:t>2.2 Mejorar la acción coordinada de los tres niveles</w:t>
            </w:r>
            <w:r>
              <w:rPr>
                <w:rFonts w:ascii="Arial Narrow" w:hAnsi="Arial Narrow"/>
                <w:sz w:val="20"/>
                <w:szCs w:val="20"/>
              </w:rPr>
              <w:t xml:space="preserve"> </w:t>
            </w:r>
            <w:r w:rsidRPr="006A06CB">
              <w:rPr>
                <w:rFonts w:ascii="Arial Narrow" w:hAnsi="Arial Narrow"/>
                <w:sz w:val="20"/>
                <w:szCs w:val="20"/>
              </w:rPr>
              <w:t>de gobierno.</w:t>
            </w:r>
          </w:p>
          <w:p w14:paraId="01565F85" w14:textId="77777777" w:rsidR="003E371D" w:rsidRPr="00953DC8" w:rsidRDefault="003E371D" w:rsidP="003E371D">
            <w:pPr>
              <w:spacing w:after="0"/>
              <w:jc w:val="both"/>
              <w:rPr>
                <w:rFonts w:ascii="Arial Narrow" w:eastAsia="Arial Narrow" w:hAnsi="Arial Narrow" w:cs="Arial Narrow"/>
                <w:sz w:val="20"/>
                <w:szCs w:val="20"/>
              </w:rPr>
            </w:pPr>
          </w:p>
          <w:p w14:paraId="3C142BDC" w14:textId="77777777" w:rsidR="003E371D" w:rsidRPr="00BE365C" w:rsidRDefault="003E371D" w:rsidP="003E371D">
            <w:pPr>
              <w:pStyle w:val="Prrafodelista"/>
              <w:spacing w:after="0"/>
              <w:ind w:left="1080"/>
              <w:jc w:val="both"/>
              <w:rPr>
                <w:rFonts w:ascii="Arial Narrow" w:eastAsia="Arial Narrow" w:hAnsi="Arial Narrow" w:cs="Arial Narrow"/>
                <w:sz w:val="20"/>
                <w:szCs w:val="20"/>
              </w:rPr>
            </w:pPr>
          </w:p>
        </w:tc>
      </w:tr>
      <w:tr w:rsidR="003E371D" w:rsidRPr="00A420EC" w14:paraId="69101E47" w14:textId="77777777" w:rsidTr="003E371D">
        <w:trPr>
          <w:trHeight w:val="476"/>
        </w:trPr>
        <w:tc>
          <w:tcPr>
            <w:tcW w:w="4252" w:type="dxa"/>
          </w:tcPr>
          <w:p w14:paraId="4F15343C" w14:textId="77777777" w:rsidR="003E371D" w:rsidRPr="00BE365C" w:rsidRDefault="003E371D" w:rsidP="003E371D">
            <w:pPr>
              <w:pBdr>
                <w:top w:val="nil"/>
                <w:left w:val="nil"/>
                <w:bottom w:val="nil"/>
                <w:right w:val="nil"/>
                <w:between w:val="nil"/>
              </w:pBdr>
              <w:spacing w:after="0"/>
              <w:jc w:val="both"/>
              <w:rPr>
                <w:rFonts w:ascii="Arial Narrow" w:eastAsia="Arial Narrow" w:hAnsi="Arial Narrow" w:cs="Arial Narrow"/>
                <w:sz w:val="20"/>
                <w:szCs w:val="20"/>
              </w:rPr>
            </w:pPr>
            <w:r w:rsidRPr="00BE365C">
              <w:rPr>
                <w:rFonts w:ascii="Arial Narrow" w:eastAsia="Times New Roman" w:hAnsi="Arial Narrow" w:cs="Times New Roman"/>
                <w:sz w:val="20"/>
                <w:szCs w:val="20"/>
              </w:rPr>
              <w:t xml:space="preserve">OP3.  </w:t>
            </w:r>
            <w:r w:rsidRPr="00BE365C">
              <w:rPr>
                <w:rFonts w:ascii="Arial Narrow" w:eastAsia="Arial Narrow" w:hAnsi="Arial Narrow" w:cs="Arial Narrow"/>
                <w:sz w:val="20"/>
                <w:szCs w:val="20"/>
              </w:rPr>
              <w:t>Fortalecer la gobernanza forestal y de fauna silvestre.</w:t>
            </w:r>
          </w:p>
          <w:p w14:paraId="7B81C60C" w14:textId="77777777" w:rsidR="003E371D" w:rsidRPr="00BE365C" w:rsidRDefault="003E371D" w:rsidP="003E371D">
            <w:pPr>
              <w:pBdr>
                <w:top w:val="nil"/>
                <w:left w:val="nil"/>
                <w:bottom w:val="nil"/>
                <w:right w:val="nil"/>
                <w:between w:val="nil"/>
              </w:pBdr>
              <w:spacing w:after="0"/>
              <w:jc w:val="both"/>
              <w:rPr>
                <w:rFonts w:ascii="Arial Narrow" w:eastAsia="Arial Narrow" w:hAnsi="Arial Narrow" w:cs="Arial Narrow"/>
                <w:sz w:val="20"/>
                <w:szCs w:val="20"/>
              </w:rPr>
            </w:pPr>
          </w:p>
          <w:p w14:paraId="0C7DF3A4" w14:textId="77777777" w:rsidR="003E371D" w:rsidRDefault="003E371D" w:rsidP="003E371D">
            <w:pPr>
              <w:rPr>
                <w:rFonts w:ascii="Arial Narrow" w:hAnsi="Arial Narrow"/>
                <w:sz w:val="20"/>
                <w:szCs w:val="20"/>
              </w:rPr>
            </w:pPr>
          </w:p>
        </w:tc>
        <w:tc>
          <w:tcPr>
            <w:tcW w:w="3402" w:type="dxa"/>
          </w:tcPr>
          <w:p w14:paraId="0C7B12F7" w14:textId="769D52CA" w:rsidR="003E371D" w:rsidRPr="00A420EC" w:rsidRDefault="003E371D" w:rsidP="003E371D">
            <w:pPr>
              <w:rPr>
                <w:rFonts w:ascii="Arial Narrow" w:hAnsi="Arial Narrow"/>
                <w:sz w:val="20"/>
                <w:szCs w:val="20"/>
              </w:rPr>
            </w:pPr>
            <w:r>
              <w:rPr>
                <w:rFonts w:ascii="Arial Narrow" w:hAnsi="Arial Narrow"/>
                <w:sz w:val="20"/>
                <w:szCs w:val="20"/>
              </w:rPr>
              <w:t>E</w:t>
            </w:r>
            <w:r w:rsidRPr="008D2444">
              <w:rPr>
                <w:rFonts w:ascii="Arial Narrow" w:hAnsi="Arial Narrow"/>
                <w:sz w:val="20"/>
                <w:szCs w:val="20"/>
              </w:rPr>
              <w:t xml:space="preserve">je 3: </w:t>
            </w:r>
            <w:r>
              <w:rPr>
                <w:rFonts w:ascii="Arial Narrow" w:hAnsi="Arial Narrow"/>
                <w:sz w:val="20"/>
                <w:szCs w:val="20"/>
              </w:rPr>
              <w:t>P</w:t>
            </w:r>
            <w:r w:rsidRPr="006A06CB">
              <w:rPr>
                <w:rFonts w:ascii="Arial Narrow" w:hAnsi="Arial Narrow"/>
                <w:sz w:val="20"/>
                <w:szCs w:val="20"/>
              </w:rPr>
              <w:t>rotección social para el desarrollo</w:t>
            </w:r>
          </w:p>
        </w:tc>
        <w:tc>
          <w:tcPr>
            <w:tcW w:w="6521" w:type="dxa"/>
          </w:tcPr>
          <w:p w14:paraId="73DA56B4" w14:textId="77777777" w:rsidR="003E371D" w:rsidRPr="006A06CB" w:rsidRDefault="003E371D" w:rsidP="003E371D">
            <w:pPr>
              <w:rPr>
                <w:rFonts w:ascii="Arial Narrow" w:hAnsi="Arial Narrow"/>
                <w:sz w:val="20"/>
                <w:szCs w:val="20"/>
              </w:rPr>
            </w:pPr>
            <w:r w:rsidRPr="006A06CB">
              <w:rPr>
                <w:rFonts w:ascii="Arial Narrow" w:hAnsi="Arial Narrow"/>
                <w:sz w:val="20"/>
                <w:szCs w:val="20"/>
              </w:rPr>
              <w:t>3.7. Fortalecer la gobernanza ambiental de las</w:t>
            </w:r>
            <w:r>
              <w:rPr>
                <w:rFonts w:ascii="Arial Narrow" w:hAnsi="Arial Narrow"/>
                <w:sz w:val="20"/>
                <w:szCs w:val="20"/>
              </w:rPr>
              <w:t xml:space="preserve"> </w:t>
            </w:r>
            <w:r w:rsidRPr="006A06CB">
              <w:rPr>
                <w:rFonts w:ascii="Arial Narrow" w:hAnsi="Arial Narrow"/>
                <w:sz w:val="20"/>
                <w:szCs w:val="20"/>
              </w:rPr>
              <w:t>entidades públicas, privadas y sociedad civil con enfoque territorial, descentralizado e inclusivo.</w:t>
            </w:r>
          </w:p>
          <w:p w14:paraId="6629B4F6" w14:textId="77777777" w:rsidR="003E371D" w:rsidRPr="00BE365C" w:rsidRDefault="003E371D" w:rsidP="003E371D">
            <w:pPr>
              <w:pBdr>
                <w:top w:val="nil"/>
                <w:left w:val="nil"/>
                <w:bottom w:val="nil"/>
                <w:right w:val="nil"/>
                <w:between w:val="nil"/>
              </w:pBdr>
              <w:spacing w:after="0"/>
              <w:jc w:val="both"/>
              <w:rPr>
                <w:rFonts w:ascii="Arial Narrow" w:eastAsia="Times New Roman" w:hAnsi="Arial Narrow" w:cs="Times New Roman"/>
                <w:sz w:val="20"/>
                <w:szCs w:val="20"/>
              </w:rPr>
            </w:pPr>
          </w:p>
        </w:tc>
      </w:tr>
      <w:tr w:rsidR="003E371D" w:rsidRPr="00A420EC" w14:paraId="2B171132" w14:textId="77777777" w:rsidTr="003E371D">
        <w:trPr>
          <w:trHeight w:val="476"/>
        </w:trPr>
        <w:tc>
          <w:tcPr>
            <w:tcW w:w="4252" w:type="dxa"/>
          </w:tcPr>
          <w:p w14:paraId="3C97BBE9" w14:textId="77777777" w:rsidR="003E371D" w:rsidRDefault="003E371D" w:rsidP="003E371D">
            <w:pPr>
              <w:pBdr>
                <w:top w:val="nil"/>
                <w:left w:val="nil"/>
                <w:bottom w:val="nil"/>
                <w:right w:val="nil"/>
                <w:between w:val="nil"/>
              </w:pBdr>
              <w:spacing w:after="0"/>
              <w:jc w:val="both"/>
              <w:rPr>
                <w:rFonts w:ascii="Arial Narrow" w:eastAsia="Arial Narrow" w:hAnsi="Arial Narrow" w:cs="Arial Narrow"/>
                <w:sz w:val="20"/>
                <w:szCs w:val="20"/>
              </w:rPr>
            </w:pPr>
            <w:r w:rsidRPr="00BE365C">
              <w:rPr>
                <w:rFonts w:ascii="Arial Narrow" w:eastAsia="Times New Roman" w:hAnsi="Arial Narrow" w:cs="Times New Roman"/>
                <w:sz w:val="20"/>
                <w:szCs w:val="20"/>
              </w:rPr>
              <w:t xml:space="preserve">OP1.  </w:t>
            </w:r>
            <w:r w:rsidRPr="00DC7A03">
              <w:rPr>
                <w:rFonts w:ascii="Arial Narrow" w:eastAsia="Arial Narrow" w:hAnsi="Arial Narrow" w:cs="Arial"/>
                <w:sz w:val="20"/>
                <w:szCs w:val="20"/>
              </w:rPr>
              <w:t>Mejorar las condiciones para la sostenibilidad de los ecosistemas forestales, otros ecosistemas de vegetación silvestre y de la fauna silvestre</w:t>
            </w:r>
            <w:r w:rsidRPr="00DC7A03">
              <w:rPr>
                <w:rFonts w:ascii="Arial Narrow" w:eastAsia="Arial Narrow" w:hAnsi="Arial Narrow" w:cs="Arial Narrow"/>
                <w:sz w:val="20"/>
                <w:szCs w:val="20"/>
              </w:rPr>
              <w:t>.</w:t>
            </w:r>
          </w:p>
          <w:p w14:paraId="2410B5BC" w14:textId="77777777" w:rsidR="003E371D" w:rsidRPr="00BE365C" w:rsidRDefault="003E371D" w:rsidP="003E371D">
            <w:pPr>
              <w:pBdr>
                <w:top w:val="nil"/>
                <w:left w:val="nil"/>
                <w:bottom w:val="nil"/>
                <w:right w:val="nil"/>
                <w:between w:val="nil"/>
              </w:pBdr>
              <w:spacing w:after="0"/>
              <w:jc w:val="both"/>
              <w:rPr>
                <w:rFonts w:ascii="Arial Narrow" w:eastAsia="Arial Narrow" w:hAnsi="Arial Narrow" w:cs="Arial Narrow"/>
                <w:sz w:val="20"/>
                <w:szCs w:val="20"/>
              </w:rPr>
            </w:pPr>
          </w:p>
          <w:p w14:paraId="3018A9D7" w14:textId="77777777" w:rsidR="003E371D" w:rsidRPr="00BE365C" w:rsidRDefault="003E371D" w:rsidP="003E371D">
            <w:pPr>
              <w:pBdr>
                <w:top w:val="nil"/>
                <w:left w:val="nil"/>
                <w:bottom w:val="nil"/>
                <w:right w:val="nil"/>
                <w:between w:val="nil"/>
              </w:pBdr>
              <w:spacing w:after="0"/>
              <w:jc w:val="both"/>
              <w:rPr>
                <w:rFonts w:ascii="Arial Narrow" w:eastAsia="Arial Narrow" w:hAnsi="Arial Narrow" w:cs="Arial Narrow"/>
                <w:sz w:val="20"/>
                <w:szCs w:val="20"/>
              </w:rPr>
            </w:pPr>
            <w:r w:rsidRPr="00BE365C">
              <w:rPr>
                <w:rFonts w:ascii="Arial Narrow" w:eastAsia="Arial Narrow" w:hAnsi="Arial Narrow" w:cs="Arial Narrow"/>
                <w:sz w:val="20"/>
                <w:szCs w:val="20"/>
              </w:rPr>
              <w:t xml:space="preserve">OP2. </w:t>
            </w:r>
            <w:r w:rsidRPr="00BE365C">
              <w:rPr>
                <w:rFonts w:ascii="Arial Narrow" w:eastAsia="Arial Narrow" w:hAnsi="Arial Narrow" w:cs="Arial"/>
                <w:sz w:val="20"/>
                <w:szCs w:val="20"/>
              </w:rPr>
              <w:t>Incrementar la productividad de los ecosistemas forestales, otros ecosistemas de vegetación silvestre y de la fauna silvestre</w:t>
            </w:r>
            <w:r w:rsidRPr="00BE365C">
              <w:rPr>
                <w:rFonts w:ascii="Arial Narrow" w:eastAsia="Arial Narrow" w:hAnsi="Arial Narrow" w:cs="Arial Narrow"/>
                <w:sz w:val="20"/>
                <w:szCs w:val="20"/>
              </w:rPr>
              <w:t>.</w:t>
            </w:r>
          </w:p>
          <w:p w14:paraId="1A5CEA84" w14:textId="77777777" w:rsidR="003E371D" w:rsidRPr="008D2444" w:rsidRDefault="003E371D" w:rsidP="003E371D">
            <w:pPr>
              <w:rPr>
                <w:rFonts w:ascii="Arial Narrow" w:hAnsi="Arial Narrow"/>
                <w:sz w:val="20"/>
                <w:szCs w:val="20"/>
              </w:rPr>
            </w:pPr>
          </w:p>
        </w:tc>
        <w:tc>
          <w:tcPr>
            <w:tcW w:w="3402" w:type="dxa"/>
          </w:tcPr>
          <w:p w14:paraId="2A666CA0" w14:textId="56F89AF1" w:rsidR="003E371D" w:rsidRPr="00A420EC" w:rsidRDefault="003E371D" w:rsidP="003E371D">
            <w:pPr>
              <w:rPr>
                <w:rFonts w:ascii="Arial Narrow" w:hAnsi="Arial Narrow"/>
                <w:sz w:val="20"/>
                <w:szCs w:val="20"/>
              </w:rPr>
            </w:pPr>
            <w:r w:rsidRPr="008D2444">
              <w:rPr>
                <w:rFonts w:ascii="Arial Narrow" w:hAnsi="Arial Narrow"/>
                <w:sz w:val="20"/>
                <w:szCs w:val="20"/>
              </w:rPr>
              <w:t xml:space="preserve">Eje </w:t>
            </w:r>
            <w:r>
              <w:rPr>
                <w:rFonts w:ascii="Arial Narrow" w:hAnsi="Arial Narrow"/>
                <w:sz w:val="20"/>
                <w:szCs w:val="20"/>
              </w:rPr>
              <w:t>4</w:t>
            </w:r>
            <w:r w:rsidRPr="008D2444">
              <w:rPr>
                <w:rFonts w:ascii="Arial Narrow" w:hAnsi="Arial Narrow"/>
                <w:sz w:val="20"/>
                <w:szCs w:val="20"/>
              </w:rPr>
              <w:t xml:space="preserve">: </w:t>
            </w:r>
            <w:r w:rsidRPr="006A06CB">
              <w:rPr>
                <w:rFonts w:ascii="Arial Narrow" w:hAnsi="Arial Narrow"/>
                <w:sz w:val="20"/>
                <w:szCs w:val="20"/>
              </w:rPr>
              <w:t>Reactivación económica</w:t>
            </w:r>
          </w:p>
        </w:tc>
        <w:tc>
          <w:tcPr>
            <w:tcW w:w="6521" w:type="dxa"/>
          </w:tcPr>
          <w:p w14:paraId="552F87CA" w14:textId="77777777" w:rsidR="003E371D" w:rsidRPr="006A06CB" w:rsidRDefault="003E371D" w:rsidP="003E371D">
            <w:pPr>
              <w:rPr>
                <w:rFonts w:ascii="Arial Narrow" w:hAnsi="Arial Narrow"/>
                <w:sz w:val="20"/>
                <w:szCs w:val="20"/>
              </w:rPr>
            </w:pPr>
            <w:r w:rsidRPr="006A06CB">
              <w:rPr>
                <w:rFonts w:ascii="Arial Narrow" w:hAnsi="Arial Narrow"/>
                <w:sz w:val="20"/>
                <w:szCs w:val="20"/>
              </w:rPr>
              <w:t>4.5 Implementar medidas de reactivación, con énfasis</w:t>
            </w:r>
            <w:r>
              <w:rPr>
                <w:rFonts w:ascii="Arial Narrow" w:hAnsi="Arial Narrow"/>
                <w:sz w:val="20"/>
                <w:szCs w:val="20"/>
              </w:rPr>
              <w:t xml:space="preserve"> </w:t>
            </w:r>
            <w:r w:rsidRPr="006A06CB">
              <w:rPr>
                <w:rFonts w:ascii="Arial Narrow" w:hAnsi="Arial Narrow"/>
                <w:sz w:val="20"/>
                <w:szCs w:val="20"/>
              </w:rPr>
              <w:t>en los sectores agricultura, producción, turismo, cultura,</w:t>
            </w:r>
            <w:r>
              <w:rPr>
                <w:rFonts w:ascii="Arial Narrow" w:hAnsi="Arial Narrow"/>
                <w:sz w:val="20"/>
                <w:szCs w:val="20"/>
              </w:rPr>
              <w:t xml:space="preserve"> </w:t>
            </w:r>
            <w:r w:rsidRPr="006A06CB">
              <w:rPr>
                <w:rFonts w:ascii="Arial Narrow" w:hAnsi="Arial Narrow"/>
                <w:sz w:val="20"/>
                <w:szCs w:val="20"/>
              </w:rPr>
              <w:t>ambiente y transportes y comunicaciones.</w:t>
            </w:r>
          </w:p>
          <w:p w14:paraId="1B792D39" w14:textId="77777777" w:rsidR="003E371D" w:rsidRPr="006A06CB" w:rsidRDefault="003E371D" w:rsidP="003E371D">
            <w:pPr>
              <w:rPr>
                <w:rFonts w:ascii="Arial Narrow" w:hAnsi="Arial Narrow"/>
                <w:sz w:val="20"/>
                <w:szCs w:val="20"/>
              </w:rPr>
            </w:pPr>
            <w:r w:rsidRPr="006A06CB">
              <w:rPr>
                <w:rFonts w:ascii="Arial Narrow" w:hAnsi="Arial Narrow"/>
                <w:sz w:val="20"/>
                <w:szCs w:val="20"/>
              </w:rPr>
              <w:t>4.6 Implementar medidas de mitigación y adaptación</w:t>
            </w:r>
            <w:r>
              <w:rPr>
                <w:rFonts w:ascii="Arial Narrow" w:hAnsi="Arial Narrow"/>
                <w:sz w:val="20"/>
                <w:szCs w:val="20"/>
              </w:rPr>
              <w:t xml:space="preserve"> </w:t>
            </w:r>
            <w:r w:rsidRPr="006A06CB">
              <w:rPr>
                <w:rFonts w:ascii="Arial Narrow" w:hAnsi="Arial Narrow"/>
                <w:sz w:val="20"/>
                <w:szCs w:val="20"/>
              </w:rPr>
              <w:t>frente al cambio climático, con énfasis en la seguridad</w:t>
            </w:r>
            <w:r>
              <w:rPr>
                <w:rFonts w:ascii="Arial Narrow" w:hAnsi="Arial Narrow"/>
                <w:sz w:val="20"/>
                <w:szCs w:val="20"/>
              </w:rPr>
              <w:t xml:space="preserve"> </w:t>
            </w:r>
            <w:r w:rsidRPr="006A06CB">
              <w:rPr>
                <w:rFonts w:ascii="Arial Narrow" w:hAnsi="Arial Narrow"/>
                <w:sz w:val="20"/>
                <w:szCs w:val="20"/>
              </w:rPr>
              <w:t>hídrica.</w:t>
            </w:r>
          </w:p>
          <w:p w14:paraId="12C89935" w14:textId="77777777" w:rsidR="003E371D" w:rsidRPr="006A06CB" w:rsidRDefault="003E371D" w:rsidP="003E371D">
            <w:pPr>
              <w:rPr>
                <w:rFonts w:ascii="Arial Narrow" w:hAnsi="Arial Narrow"/>
                <w:sz w:val="20"/>
                <w:szCs w:val="20"/>
              </w:rPr>
            </w:pPr>
            <w:r w:rsidRPr="006A06CB">
              <w:rPr>
                <w:rFonts w:ascii="Arial Narrow" w:hAnsi="Arial Narrow"/>
                <w:sz w:val="20"/>
                <w:szCs w:val="20"/>
              </w:rPr>
              <w:t>4.10 Promover la inversión en investigación e</w:t>
            </w:r>
            <w:r>
              <w:rPr>
                <w:rFonts w:ascii="Arial Narrow" w:hAnsi="Arial Narrow"/>
                <w:sz w:val="20"/>
                <w:szCs w:val="20"/>
              </w:rPr>
              <w:t xml:space="preserve"> </w:t>
            </w:r>
            <w:r w:rsidRPr="006A06CB">
              <w:rPr>
                <w:rFonts w:ascii="Arial Narrow" w:hAnsi="Arial Narrow"/>
                <w:sz w:val="20"/>
                <w:szCs w:val="20"/>
              </w:rPr>
              <w:t>innovación productiva.</w:t>
            </w:r>
          </w:p>
          <w:p w14:paraId="34AA5441" w14:textId="77777777" w:rsidR="003E371D" w:rsidRPr="006A06CB" w:rsidRDefault="003E371D" w:rsidP="003E371D">
            <w:pPr>
              <w:rPr>
                <w:rFonts w:ascii="Arial Narrow" w:hAnsi="Arial Narrow"/>
                <w:sz w:val="20"/>
                <w:szCs w:val="20"/>
              </w:rPr>
            </w:pPr>
            <w:r w:rsidRPr="006A06CB">
              <w:rPr>
                <w:rFonts w:ascii="Arial Narrow" w:hAnsi="Arial Narrow"/>
                <w:sz w:val="20"/>
                <w:szCs w:val="20"/>
              </w:rPr>
              <w:t>4.11 Asegurar el uso sostenible de la diversidad</w:t>
            </w:r>
            <w:r>
              <w:rPr>
                <w:rFonts w:ascii="Arial Narrow" w:hAnsi="Arial Narrow"/>
                <w:sz w:val="20"/>
                <w:szCs w:val="20"/>
              </w:rPr>
              <w:t xml:space="preserve"> </w:t>
            </w:r>
            <w:r w:rsidRPr="006A06CB">
              <w:rPr>
                <w:rFonts w:ascii="Arial Narrow" w:hAnsi="Arial Narrow"/>
                <w:sz w:val="20"/>
                <w:szCs w:val="20"/>
              </w:rPr>
              <w:t>biológica, para fortalecer la competitividad de las</w:t>
            </w:r>
            <w:r>
              <w:rPr>
                <w:rFonts w:ascii="Arial Narrow" w:hAnsi="Arial Narrow"/>
                <w:sz w:val="20"/>
                <w:szCs w:val="20"/>
              </w:rPr>
              <w:t xml:space="preserve"> </w:t>
            </w:r>
            <w:r w:rsidRPr="006A06CB">
              <w:rPr>
                <w:rFonts w:ascii="Arial Narrow" w:hAnsi="Arial Narrow"/>
                <w:sz w:val="20"/>
                <w:szCs w:val="20"/>
              </w:rPr>
              <w:t>actividades económicas.</w:t>
            </w:r>
          </w:p>
          <w:p w14:paraId="5F6E71F8" w14:textId="77777777" w:rsidR="003E371D" w:rsidRPr="00BE365C" w:rsidRDefault="003E371D" w:rsidP="003E371D">
            <w:pPr>
              <w:pBdr>
                <w:top w:val="nil"/>
                <w:left w:val="nil"/>
                <w:bottom w:val="nil"/>
                <w:right w:val="nil"/>
                <w:between w:val="nil"/>
              </w:pBdr>
              <w:spacing w:after="0"/>
              <w:ind w:left="720"/>
              <w:jc w:val="both"/>
              <w:rPr>
                <w:rFonts w:ascii="Arial Narrow" w:eastAsia="Times New Roman" w:hAnsi="Arial Narrow" w:cs="Times New Roman"/>
                <w:sz w:val="20"/>
                <w:szCs w:val="20"/>
              </w:rPr>
            </w:pPr>
          </w:p>
        </w:tc>
      </w:tr>
    </w:tbl>
    <w:p w14:paraId="68E25761" w14:textId="77777777" w:rsidR="00237AFB" w:rsidRDefault="00237AFB" w:rsidP="00237AFB"/>
    <w:p w14:paraId="64EFC678" w14:textId="02D9C346" w:rsidR="00237AFB" w:rsidRDefault="00237AFB" w:rsidP="00237AFB"/>
    <w:p w14:paraId="7724F46C" w14:textId="5FC1C294" w:rsidR="00E15E42" w:rsidRDefault="00E15E42" w:rsidP="00237AFB"/>
    <w:p w14:paraId="2752958A" w14:textId="263F8695" w:rsidR="00E15E42" w:rsidRDefault="00E15E42" w:rsidP="00237AFB"/>
    <w:p w14:paraId="6E1AC57D" w14:textId="14173191" w:rsidR="00E15E42" w:rsidRDefault="00E15E42" w:rsidP="00237AFB"/>
    <w:p w14:paraId="58D5438B" w14:textId="088D0A5C" w:rsidR="00E15E42" w:rsidRDefault="00E15E42" w:rsidP="00237AFB"/>
    <w:p w14:paraId="25D31D40" w14:textId="2F15F213" w:rsidR="00E15E42" w:rsidRDefault="00E15E42" w:rsidP="00237AFB"/>
    <w:p w14:paraId="1E08CC3F" w14:textId="6A50680B" w:rsidR="00E15E42" w:rsidRPr="009C232C" w:rsidRDefault="00E15E42" w:rsidP="009C232C">
      <w:pPr>
        <w:spacing w:after="0" w:line="240" w:lineRule="auto"/>
        <w:jc w:val="center"/>
        <w:rPr>
          <w:rFonts w:ascii="Arial" w:hAnsi="Arial" w:cs="Arial"/>
          <w:b/>
          <w:bCs/>
        </w:rPr>
      </w:pPr>
      <w:r w:rsidRPr="009C232C">
        <w:rPr>
          <w:rFonts w:ascii="Arial" w:hAnsi="Arial" w:cs="Arial"/>
          <w:b/>
          <w:bCs/>
        </w:rPr>
        <w:lastRenderedPageBreak/>
        <w:t xml:space="preserve">ANEXO N° </w:t>
      </w:r>
      <w:r w:rsidR="00090599" w:rsidRPr="009C232C">
        <w:rPr>
          <w:rFonts w:ascii="Arial" w:hAnsi="Arial" w:cs="Arial"/>
          <w:b/>
          <w:bCs/>
        </w:rPr>
        <w:t>4</w:t>
      </w:r>
    </w:p>
    <w:p w14:paraId="0CD197C9" w14:textId="5166C5B5" w:rsidR="00237AFB" w:rsidRDefault="00E15E42" w:rsidP="009C232C">
      <w:pPr>
        <w:spacing w:after="0" w:line="240" w:lineRule="auto"/>
        <w:jc w:val="center"/>
        <w:rPr>
          <w:rFonts w:ascii="Arial" w:hAnsi="Arial" w:cs="Arial"/>
        </w:rPr>
      </w:pPr>
      <w:r w:rsidRPr="009C232C">
        <w:rPr>
          <w:rFonts w:ascii="Arial" w:hAnsi="Arial" w:cs="Arial"/>
        </w:rPr>
        <w:t xml:space="preserve">Matriz de </w:t>
      </w:r>
      <w:r w:rsidR="00776EE6" w:rsidRPr="009C232C">
        <w:rPr>
          <w:rFonts w:ascii="Arial" w:hAnsi="Arial" w:cs="Arial"/>
        </w:rPr>
        <w:t>a</w:t>
      </w:r>
      <w:r w:rsidRPr="009C232C">
        <w:rPr>
          <w:rFonts w:ascii="Arial" w:hAnsi="Arial" w:cs="Arial"/>
        </w:rPr>
        <w:t>lineamiento horizontal con políticas nacionales</w:t>
      </w:r>
      <w:bookmarkEnd w:id="28"/>
      <w:bookmarkEnd w:id="29"/>
    </w:p>
    <w:p w14:paraId="6EBB8E30" w14:textId="77777777" w:rsidR="009F6A78" w:rsidRDefault="009F6A78" w:rsidP="009C232C">
      <w:pPr>
        <w:spacing w:after="0" w:line="240" w:lineRule="auto"/>
        <w:jc w:val="center"/>
        <w:rPr>
          <w:rFonts w:ascii="Arial" w:hAnsi="Arial" w:cs="Arial"/>
        </w:rPr>
      </w:pPr>
    </w:p>
    <w:p w14:paraId="33357C7F" w14:textId="77777777" w:rsidR="009C232C" w:rsidRPr="009C232C" w:rsidRDefault="009C232C" w:rsidP="009C232C">
      <w:pPr>
        <w:spacing w:after="0" w:line="240" w:lineRule="auto"/>
        <w:jc w:val="center"/>
        <w:rPr>
          <w:rFonts w:ascii="Arial" w:eastAsia="Arial Narrow" w:hAnsi="Arial" w:cs="Arial"/>
          <w:b/>
          <w:color w:val="000000"/>
          <w:sz w:val="24"/>
          <w:szCs w:val="24"/>
        </w:rPr>
      </w:pPr>
    </w:p>
    <w:tbl>
      <w:tblPr>
        <w:tblW w:w="15310" w:type="dxa"/>
        <w:tblInd w:w="-431" w:type="dxa"/>
        <w:tblCellMar>
          <w:left w:w="70" w:type="dxa"/>
          <w:right w:w="70" w:type="dxa"/>
        </w:tblCellMar>
        <w:tblLook w:val="04A0" w:firstRow="1" w:lastRow="0" w:firstColumn="1" w:lastColumn="0" w:noHBand="0" w:noVBand="1"/>
      </w:tblPr>
      <w:tblGrid>
        <w:gridCol w:w="1560"/>
        <w:gridCol w:w="1701"/>
        <w:gridCol w:w="2053"/>
        <w:gridCol w:w="1491"/>
        <w:gridCol w:w="1678"/>
        <w:gridCol w:w="1985"/>
        <w:gridCol w:w="2126"/>
        <w:gridCol w:w="2716"/>
      </w:tblGrid>
      <w:tr w:rsidR="00D95BA6" w:rsidRPr="00D95BA6" w14:paraId="01B4C01D" w14:textId="77777777" w:rsidTr="00D95BA6">
        <w:trPr>
          <w:trHeight w:val="378"/>
          <w:tblHeader/>
        </w:trPr>
        <w:tc>
          <w:tcPr>
            <w:tcW w:w="5314" w:type="dxa"/>
            <w:gridSpan w:val="3"/>
            <w:tcBorders>
              <w:top w:val="single" w:sz="4" w:space="0" w:color="auto"/>
              <w:left w:val="single" w:sz="4" w:space="0" w:color="auto"/>
              <w:bottom w:val="single" w:sz="4" w:space="0" w:color="auto"/>
              <w:right w:val="single" w:sz="4" w:space="0" w:color="auto"/>
            </w:tcBorders>
            <w:shd w:val="clear" w:color="000000" w:fill="C6D9F1"/>
            <w:vAlign w:val="center"/>
          </w:tcPr>
          <w:bookmarkEnd w:id="30"/>
          <w:p w14:paraId="79CEFBE2" w14:textId="5A4ED1AC" w:rsidR="00D95BA6" w:rsidRPr="00D95BA6" w:rsidRDefault="00D95BA6" w:rsidP="00D95BA6">
            <w:pPr>
              <w:spacing w:after="0" w:line="240" w:lineRule="auto"/>
              <w:jc w:val="center"/>
              <w:rPr>
                <w:rFonts w:ascii="Arial Narrow" w:eastAsia="Times New Roman" w:hAnsi="Arial Narrow"/>
                <w:b/>
                <w:bCs/>
                <w:color w:val="000000"/>
                <w:sz w:val="18"/>
                <w:szCs w:val="18"/>
              </w:rPr>
            </w:pPr>
            <w:r>
              <w:rPr>
                <w:rFonts w:ascii="Arial Narrow" w:eastAsia="Times New Roman" w:hAnsi="Arial Narrow"/>
                <w:b/>
                <w:bCs/>
                <w:color w:val="000000"/>
                <w:sz w:val="18"/>
                <w:szCs w:val="18"/>
              </w:rPr>
              <w:t>Política Nacional Forestal y de Fauna Silvestre</w:t>
            </w:r>
          </w:p>
        </w:tc>
        <w:tc>
          <w:tcPr>
            <w:tcW w:w="1491" w:type="dxa"/>
            <w:vMerge w:val="restart"/>
            <w:tcBorders>
              <w:top w:val="single" w:sz="4" w:space="0" w:color="auto"/>
              <w:left w:val="nil"/>
              <w:right w:val="single" w:sz="4" w:space="0" w:color="auto"/>
            </w:tcBorders>
            <w:shd w:val="clear" w:color="000000" w:fill="FBD4B4"/>
            <w:vAlign w:val="center"/>
          </w:tcPr>
          <w:p w14:paraId="14A1FFF8" w14:textId="11DA0410" w:rsidR="00D95BA6" w:rsidRPr="00D95BA6" w:rsidRDefault="00D95BA6" w:rsidP="00D95BA6">
            <w:pPr>
              <w:spacing w:after="0" w:line="240" w:lineRule="auto"/>
              <w:jc w:val="center"/>
              <w:rPr>
                <w:rFonts w:ascii="Arial Narrow" w:eastAsia="Times New Roman" w:hAnsi="Arial Narrow"/>
                <w:b/>
                <w:bCs/>
                <w:color w:val="000000"/>
                <w:sz w:val="18"/>
                <w:szCs w:val="18"/>
              </w:rPr>
            </w:pPr>
            <w:r w:rsidRPr="00D95BA6">
              <w:rPr>
                <w:rFonts w:ascii="Arial Narrow" w:eastAsia="Times New Roman" w:hAnsi="Arial Narrow"/>
                <w:b/>
                <w:bCs/>
                <w:color w:val="000000"/>
                <w:sz w:val="18"/>
                <w:szCs w:val="18"/>
              </w:rPr>
              <w:t>Nombre de la Política</w:t>
            </w:r>
          </w:p>
        </w:tc>
        <w:tc>
          <w:tcPr>
            <w:tcW w:w="1678" w:type="dxa"/>
            <w:vMerge w:val="restart"/>
            <w:tcBorders>
              <w:top w:val="single" w:sz="4" w:space="0" w:color="auto"/>
              <w:left w:val="nil"/>
              <w:right w:val="single" w:sz="4" w:space="0" w:color="auto"/>
            </w:tcBorders>
            <w:shd w:val="clear" w:color="000000" w:fill="FBD4B4"/>
            <w:vAlign w:val="center"/>
          </w:tcPr>
          <w:p w14:paraId="25E5921B" w14:textId="30F88429" w:rsidR="00D95BA6" w:rsidRPr="00D95BA6" w:rsidRDefault="00D95BA6" w:rsidP="00D95BA6">
            <w:pPr>
              <w:spacing w:after="0" w:line="240" w:lineRule="auto"/>
              <w:jc w:val="center"/>
              <w:rPr>
                <w:rFonts w:ascii="Arial Narrow" w:eastAsia="Times New Roman" w:hAnsi="Arial Narrow"/>
                <w:b/>
                <w:bCs/>
                <w:color w:val="000000"/>
                <w:sz w:val="18"/>
                <w:szCs w:val="18"/>
              </w:rPr>
            </w:pPr>
            <w:r w:rsidRPr="00D95BA6">
              <w:rPr>
                <w:rFonts w:ascii="Arial Narrow" w:eastAsia="Times New Roman" w:hAnsi="Arial Narrow"/>
                <w:b/>
                <w:bCs/>
                <w:color w:val="000000"/>
                <w:sz w:val="18"/>
                <w:szCs w:val="18"/>
              </w:rPr>
              <w:t>Objetivos prioritarios</w:t>
            </w:r>
          </w:p>
        </w:tc>
        <w:tc>
          <w:tcPr>
            <w:tcW w:w="1985" w:type="dxa"/>
            <w:vMerge w:val="restart"/>
            <w:tcBorders>
              <w:top w:val="single" w:sz="4" w:space="0" w:color="auto"/>
              <w:left w:val="nil"/>
              <w:right w:val="single" w:sz="4" w:space="0" w:color="auto"/>
            </w:tcBorders>
            <w:shd w:val="clear" w:color="000000" w:fill="FBD4B4"/>
            <w:vAlign w:val="center"/>
          </w:tcPr>
          <w:p w14:paraId="7322D472" w14:textId="5581DF70" w:rsidR="00D95BA6" w:rsidRPr="00D95BA6" w:rsidRDefault="00D95BA6" w:rsidP="00D95BA6">
            <w:pPr>
              <w:spacing w:after="0" w:line="240" w:lineRule="auto"/>
              <w:jc w:val="center"/>
              <w:rPr>
                <w:rFonts w:ascii="Arial Narrow" w:eastAsia="Times New Roman" w:hAnsi="Arial Narrow"/>
                <w:b/>
                <w:bCs/>
                <w:color w:val="000000"/>
                <w:sz w:val="18"/>
                <w:szCs w:val="18"/>
              </w:rPr>
            </w:pPr>
            <w:r w:rsidRPr="00D95BA6">
              <w:rPr>
                <w:rFonts w:ascii="Arial Narrow" w:eastAsia="Times New Roman" w:hAnsi="Arial Narrow"/>
                <w:b/>
                <w:bCs/>
                <w:color w:val="000000"/>
                <w:sz w:val="18"/>
                <w:szCs w:val="18"/>
              </w:rPr>
              <w:t xml:space="preserve">Lineamiento </w:t>
            </w:r>
          </w:p>
        </w:tc>
        <w:tc>
          <w:tcPr>
            <w:tcW w:w="2126" w:type="dxa"/>
            <w:vMerge w:val="restart"/>
            <w:tcBorders>
              <w:top w:val="single" w:sz="4" w:space="0" w:color="auto"/>
              <w:left w:val="nil"/>
              <w:right w:val="single" w:sz="4" w:space="0" w:color="auto"/>
            </w:tcBorders>
            <w:shd w:val="clear" w:color="000000" w:fill="FBD4B4"/>
            <w:vAlign w:val="center"/>
          </w:tcPr>
          <w:p w14:paraId="1A3D13ED" w14:textId="770312FF" w:rsidR="00D95BA6" w:rsidRPr="00D95BA6" w:rsidRDefault="00D95BA6" w:rsidP="00D95BA6">
            <w:pPr>
              <w:spacing w:after="0" w:line="240" w:lineRule="auto"/>
              <w:jc w:val="center"/>
              <w:rPr>
                <w:rFonts w:ascii="Arial Narrow" w:eastAsia="Times New Roman" w:hAnsi="Arial Narrow"/>
                <w:b/>
                <w:bCs/>
                <w:color w:val="000000"/>
                <w:sz w:val="18"/>
                <w:szCs w:val="18"/>
              </w:rPr>
            </w:pPr>
            <w:r w:rsidRPr="00D95BA6">
              <w:rPr>
                <w:rFonts w:ascii="Arial Narrow" w:eastAsia="Times New Roman" w:hAnsi="Arial Narrow"/>
                <w:b/>
                <w:bCs/>
                <w:color w:val="000000"/>
                <w:sz w:val="18"/>
                <w:szCs w:val="18"/>
              </w:rPr>
              <w:t>Servicio</w:t>
            </w:r>
          </w:p>
        </w:tc>
        <w:tc>
          <w:tcPr>
            <w:tcW w:w="2716" w:type="dxa"/>
            <w:vMerge w:val="restart"/>
            <w:tcBorders>
              <w:top w:val="single" w:sz="4" w:space="0" w:color="auto"/>
              <w:left w:val="nil"/>
              <w:right w:val="single" w:sz="4" w:space="0" w:color="auto"/>
            </w:tcBorders>
            <w:shd w:val="clear" w:color="000000" w:fill="FBD4B4"/>
            <w:vAlign w:val="center"/>
          </w:tcPr>
          <w:p w14:paraId="34321DFA" w14:textId="275ABCAA" w:rsidR="00D95BA6" w:rsidRPr="00D95BA6" w:rsidRDefault="00D95BA6" w:rsidP="00D95BA6">
            <w:pPr>
              <w:spacing w:after="0" w:line="240" w:lineRule="auto"/>
              <w:jc w:val="center"/>
              <w:rPr>
                <w:rFonts w:ascii="Arial Narrow" w:eastAsia="Times New Roman" w:hAnsi="Arial Narrow"/>
                <w:b/>
                <w:bCs/>
                <w:color w:val="000000"/>
                <w:sz w:val="18"/>
                <w:szCs w:val="18"/>
              </w:rPr>
            </w:pPr>
            <w:r w:rsidRPr="00D95BA6">
              <w:rPr>
                <w:rFonts w:ascii="Arial Narrow" w:eastAsia="Times New Roman" w:hAnsi="Arial Narrow"/>
                <w:b/>
                <w:bCs/>
                <w:color w:val="000000"/>
                <w:sz w:val="18"/>
                <w:szCs w:val="18"/>
              </w:rPr>
              <w:t>Breve explicación de la relación y/o generación de valor</w:t>
            </w:r>
          </w:p>
        </w:tc>
      </w:tr>
      <w:tr w:rsidR="00D95BA6" w:rsidRPr="00D95BA6" w14:paraId="7034DECD" w14:textId="77777777" w:rsidTr="00D95BA6">
        <w:trPr>
          <w:trHeight w:val="540"/>
          <w:tblHeader/>
        </w:trPr>
        <w:tc>
          <w:tcPr>
            <w:tcW w:w="1560" w:type="dxa"/>
            <w:tcBorders>
              <w:top w:val="single" w:sz="4" w:space="0" w:color="auto"/>
              <w:left w:val="single" w:sz="4" w:space="0" w:color="auto"/>
              <w:bottom w:val="single" w:sz="4" w:space="0" w:color="auto"/>
              <w:right w:val="single" w:sz="4" w:space="0" w:color="auto"/>
            </w:tcBorders>
            <w:shd w:val="clear" w:color="000000" w:fill="C6D9F1"/>
            <w:vAlign w:val="center"/>
          </w:tcPr>
          <w:p w14:paraId="021D2AD5" w14:textId="02B3BC36" w:rsidR="00D95BA6" w:rsidRPr="00D95BA6" w:rsidRDefault="00D95BA6" w:rsidP="00D95BA6">
            <w:pPr>
              <w:spacing w:after="0" w:line="240" w:lineRule="auto"/>
              <w:jc w:val="center"/>
              <w:rPr>
                <w:rFonts w:ascii="Arial Narrow" w:eastAsia="Times New Roman" w:hAnsi="Arial Narrow"/>
                <w:b/>
                <w:bCs/>
                <w:color w:val="000000"/>
                <w:sz w:val="18"/>
                <w:szCs w:val="18"/>
              </w:rPr>
            </w:pPr>
            <w:r w:rsidRPr="00D95BA6">
              <w:rPr>
                <w:rFonts w:ascii="Arial Narrow" w:eastAsia="Times New Roman" w:hAnsi="Arial Narrow"/>
                <w:b/>
                <w:bCs/>
                <w:color w:val="000000"/>
                <w:sz w:val="18"/>
                <w:szCs w:val="18"/>
              </w:rPr>
              <w:t>Objetivos prioritarios</w:t>
            </w:r>
          </w:p>
        </w:tc>
        <w:tc>
          <w:tcPr>
            <w:tcW w:w="1701" w:type="dxa"/>
            <w:tcBorders>
              <w:top w:val="single" w:sz="4" w:space="0" w:color="auto"/>
              <w:left w:val="nil"/>
              <w:bottom w:val="single" w:sz="4" w:space="0" w:color="auto"/>
              <w:right w:val="single" w:sz="4" w:space="0" w:color="auto"/>
            </w:tcBorders>
            <w:shd w:val="clear" w:color="000000" w:fill="C6D9F1"/>
            <w:vAlign w:val="center"/>
          </w:tcPr>
          <w:p w14:paraId="3400E1AE" w14:textId="444821A8" w:rsidR="00D95BA6" w:rsidRPr="00D95BA6" w:rsidRDefault="00D95BA6" w:rsidP="00D95BA6">
            <w:pPr>
              <w:spacing w:after="0" w:line="240" w:lineRule="auto"/>
              <w:jc w:val="center"/>
              <w:rPr>
                <w:rFonts w:ascii="Arial Narrow" w:eastAsia="Times New Roman" w:hAnsi="Arial Narrow"/>
                <w:b/>
                <w:bCs/>
                <w:color w:val="000000"/>
                <w:sz w:val="18"/>
                <w:szCs w:val="18"/>
              </w:rPr>
            </w:pPr>
            <w:r w:rsidRPr="00D95BA6">
              <w:rPr>
                <w:rFonts w:ascii="Arial Narrow" w:eastAsia="Times New Roman" w:hAnsi="Arial Narrow"/>
                <w:b/>
                <w:bCs/>
                <w:color w:val="000000"/>
                <w:sz w:val="18"/>
                <w:szCs w:val="18"/>
              </w:rPr>
              <w:t xml:space="preserve">Lineamiento </w:t>
            </w:r>
          </w:p>
        </w:tc>
        <w:tc>
          <w:tcPr>
            <w:tcW w:w="2053" w:type="dxa"/>
            <w:tcBorders>
              <w:top w:val="single" w:sz="4" w:space="0" w:color="auto"/>
              <w:left w:val="nil"/>
              <w:bottom w:val="single" w:sz="4" w:space="0" w:color="auto"/>
              <w:right w:val="single" w:sz="4" w:space="0" w:color="auto"/>
            </w:tcBorders>
            <w:shd w:val="clear" w:color="000000" w:fill="C6D9F1"/>
            <w:vAlign w:val="center"/>
          </w:tcPr>
          <w:p w14:paraId="20DEA1D0" w14:textId="1E401329" w:rsidR="00D95BA6" w:rsidRPr="00D95BA6" w:rsidRDefault="00D95BA6" w:rsidP="00D95BA6">
            <w:pPr>
              <w:spacing w:after="0" w:line="240" w:lineRule="auto"/>
              <w:jc w:val="center"/>
              <w:rPr>
                <w:rFonts w:ascii="Arial Narrow" w:eastAsia="Times New Roman" w:hAnsi="Arial Narrow"/>
                <w:b/>
                <w:bCs/>
                <w:color w:val="000000"/>
                <w:sz w:val="18"/>
                <w:szCs w:val="18"/>
              </w:rPr>
            </w:pPr>
            <w:r w:rsidRPr="00D95BA6">
              <w:rPr>
                <w:rFonts w:ascii="Arial Narrow" w:eastAsia="Times New Roman" w:hAnsi="Arial Narrow"/>
                <w:b/>
                <w:bCs/>
                <w:color w:val="000000"/>
                <w:sz w:val="18"/>
                <w:szCs w:val="18"/>
              </w:rPr>
              <w:t>Servicio</w:t>
            </w:r>
          </w:p>
        </w:tc>
        <w:tc>
          <w:tcPr>
            <w:tcW w:w="1491" w:type="dxa"/>
            <w:vMerge/>
            <w:tcBorders>
              <w:left w:val="nil"/>
              <w:bottom w:val="single" w:sz="4" w:space="0" w:color="auto"/>
              <w:right w:val="single" w:sz="4" w:space="0" w:color="auto"/>
            </w:tcBorders>
            <w:shd w:val="clear" w:color="000000" w:fill="FBD4B4"/>
            <w:vAlign w:val="center"/>
          </w:tcPr>
          <w:p w14:paraId="17F26BA0" w14:textId="2BF5DADC" w:rsidR="00D95BA6" w:rsidRPr="00D95BA6" w:rsidRDefault="00D95BA6" w:rsidP="00D95BA6">
            <w:pPr>
              <w:spacing w:after="0" w:line="240" w:lineRule="auto"/>
              <w:jc w:val="center"/>
              <w:rPr>
                <w:rFonts w:ascii="Arial Narrow" w:eastAsia="Times New Roman" w:hAnsi="Arial Narrow"/>
                <w:b/>
                <w:bCs/>
                <w:color w:val="000000"/>
                <w:sz w:val="18"/>
                <w:szCs w:val="18"/>
              </w:rPr>
            </w:pPr>
          </w:p>
        </w:tc>
        <w:tc>
          <w:tcPr>
            <w:tcW w:w="1678" w:type="dxa"/>
            <w:vMerge/>
            <w:tcBorders>
              <w:left w:val="nil"/>
              <w:bottom w:val="single" w:sz="4" w:space="0" w:color="auto"/>
              <w:right w:val="single" w:sz="4" w:space="0" w:color="auto"/>
            </w:tcBorders>
            <w:shd w:val="clear" w:color="000000" w:fill="FBD4B4"/>
            <w:vAlign w:val="center"/>
          </w:tcPr>
          <w:p w14:paraId="4A17A268" w14:textId="675B3476" w:rsidR="00D95BA6" w:rsidRPr="00D95BA6" w:rsidRDefault="00D95BA6" w:rsidP="00D95BA6">
            <w:pPr>
              <w:spacing w:after="0" w:line="240" w:lineRule="auto"/>
              <w:jc w:val="center"/>
              <w:rPr>
                <w:rFonts w:ascii="Arial Narrow" w:eastAsia="Times New Roman" w:hAnsi="Arial Narrow"/>
                <w:b/>
                <w:bCs/>
                <w:color w:val="000000"/>
                <w:sz w:val="18"/>
                <w:szCs w:val="18"/>
              </w:rPr>
            </w:pPr>
          </w:p>
        </w:tc>
        <w:tc>
          <w:tcPr>
            <w:tcW w:w="1985" w:type="dxa"/>
            <w:vMerge/>
            <w:tcBorders>
              <w:left w:val="nil"/>
              <w:bottom w:val="single" w:sz="4" w:space="0" w:color="auto"/>
              <w:right w:val="single" w:sz="4" w:space="0" w:color="auto"/>
            </w:tcBorders>
            <w:shd w:val="clear" w:color="000000" w:fill="FBD4B4"/>
            <w:vAlign w:val="center"/>
          </w:tcPr>
          <w:p w14:paraId="07BE3BFD" w14:textId="25876030" w:rsidR="00D95BA6" w:rsidRPr="00D95BA6" w:rsidRDefault="00D95BA6" w:rsidP="00D95BA6">
            <w:pPr>
              <w:spacing w:after="0" w:line="240" w:lineRule="auto"/>
              <w:jc w:val="center"/>
              <w:rPr>
                <w:rFonts w:ascii="Arial Narrow" w:eastAsia="Times New Roman" w:hAnsi="Arial Narrow"/>
                <w:b/>
                <w:bCs/>
                <w:color w:val="000000"/>
                <w:sz w:val="18"/>
                <w:szCs w:val="18"/>
              </w:rPr>
            </w:pPr>
          </w:p>
        </w:tc>
        <w:tc>
          <w:tcPr>
            <w:tcW w:w="2126" w:type="dxa"/>
            <w:vMerge/>
            <w:tcBorders>
              <w:left w:val="nil"/>
              <w:bottom w:val="single" w:sz="4" w:space="0" w:color="auto"/>
              <w:right w:val="single" w:sz="4" w:space="0" w:color="auto"/>
            </w:tcBorders>
            <w:shd w:val="clear" w:color="000000" w:fill="FBD4B4"/>
            <w:vAlign w:val="center"/>
          </w:tcPr>
          <w:p w14:paraId="281001F9" w14:textId="2AA780C0" w:rsidR="00D95BA6" w:rsidRPr="00D95BA6" w:rsidRDefault="00D95BA6" w:rsidP="00D95BA6">
            <w:pPr>
              <w:spacing w:after="0" w:line="240" w:lineRule="auto"/>
              <w:jc w:val="center"/>
              <w:rPr>
                <w:rFonts w:ascii="Arial Narrow" w:eastAsia="Times New Roman" w:hAnsi="Arial Narrow"/>
                <w:b/>
                <w:bCs/>
                <w:color w:val="000000"/>
                <w:sz w:val="18"/>
                <w:szCs w:val="18"/>
              </w:rPr>
            </w:pPr>
          </w:p>
        </w:tc>
        <w:tc>
          <w:tcPr>
            <w:tcW w:w="2716" w:type="dxa"/>
            <w:vMerge/>
            <w:tcBorders>
              <w:left w:val="nil"/>
              <w:bottom w:val="single" w:sz="4" w:space="0" w:color="auto"/>
              <w:right w:val="single" w:sz="4" w:space="0" w:color="auto"/>
            </w:tcBorders>
            <w:shd w:val="clear" w:color="000000" w:fill="FBD4B4"/>
            <w:vAlign w:val="center"/>
          </w:tcPr>
          <w:p w14:paraId="0928759E" w14:textId="5CF46886" w:rsidR="00D95BA6" w:rsidRPr="00D95BA6" w:rsidRDefault="00D95BA6" w:rsidP="00D95BA6">
            <w:pPr>
              <w:spacing w:after="0" w:line="240" w:lineRule="auto"/>
              <w:jc w:val="center"/>
              <w:rPr>
                <w:rFonts w:ascii="Arial Narrow" w:eastAsia="Times New Roman" w:hAnsi="Arial Narrow"/>
                <w:b/>
                <w:bCs/>
                <w:color w:val="000000"/>
                <w:sz w:val="18"/>
                <w:szCs w:val="18"/>
              </w:rPr>
            </w:pPr>
          </w:p>
        </w:tc>
      </w:tr>
      <w:tr w:rsidR="00D95BA6" w:rsidRPr="00D95BA6" w14:paraId="05938B51" w14:textId="77777777" w:rsidTr="00D95BA6">
        <w:trPr>
          <w:trHeight w:val="2560"/>
        </w:trPr>
        <w:tc>
          <w:tcPr>
            <w:tcW w:w="1560" w:type="dxa"/>
            <w:vMerge w:val="restart"/>
            <w:tcBorders>
              <w:top w:val="nil"/>
              <w:left w:val="single" w:sz="4" w:space="0" w:color="auto"/>
              <w:bottom w:val="single" w:sz="4" w:space="0" w:color="auto"/>
              <w:right w:val="single" w:sz="4" w:space="0" w:color="auto"/>
            </w:tcBorders>
            <w:shd w:val="clear" w:color="000000" w:fill="FFFFFF"/>
            <w:vAlign w:val="center"/>
            <w:hideMark/>
          </w:tcPr>
          <w:p w14:paraId="0E3AC62B" w14:textId="77777777" w:rsidR="00D95BA6" w:rsidRPr="00D95BA6" w:rsidRDefault="00D95BA6" w:rsidP="00D95BA6">
            <w:pPr>
              <w:spacing w:after="0" w:line="240" w:lineRule="auto"/>
              <w:jc w:val="center"/>
              <w:rPr>
                <w:rFonts w:ascii="Arial Narrow" w:eastAsia="Times New Roman" w:hAnsi="Arial Narrow"/>
                <w:color w:val="000000"/>
                <w:sz w:val="18"/>
                <w:szCs w:val="18"/>
              </w:rPr>
            </w:pPr>
            <w:r w:rsidRPr="00D95BA6">
              <w:rPr>
                <w:rFonts w:ascii="Arial Narrow" w:eastAsia="Times New Roman" w:hAnsi="Arial Narrow"/>
                <w:color w:val="000000"/>
                <w:sz w:val="18"/>
                <w:szCs w:val="18"/>
              </w:rPr>
              <w:t>Mejorar las condiciones para la sostenibilidad de los ecosistemas forestales, otros ecosistemas de vegetación silvestre y de la fauna silvestre.</w:t>
            </w:r>
          </w:p>
        </w:tc>
        <w:tc>
          <w:tcPr>
            <w:tcW w:w="1701" w:type="dxa"/>
            <w:tcBorders>
              <w:top w:val="nil"/>
              <w:left w:val="nil"/>
              <w:bottom w:val="single" w:sz="4" w:space="0" w:color="auto"/>
              <w:right w:val="single" w:sz="4" w:space="0" w:color="auto"/>
            </w:tcBorders>
            <w:shd w:val="clear" w:color="000000" w:fill="FFFFFF"/>
            <w:vAlign w:val="center"/>
            <w:hideMark/>
          </w:tcPr>
          <w:p w14:paraId="7FD12AD9"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1.3 Desarrollar estrategias de restauración y recuperación de los ecosistemas forestales y otros ecosistemas de vegetación silvestre deforestados o degradados</w:t>
            </w:r>
          </w:p>
        </w:tc>
        <w:tc>
          <w:tcPr>
            <w:tcW w:w="2053" w:type="dxa"/>
            <w:tcBorders>
              <w:top w:val="nil"/>
              <w:left w:val="nil"/>
              <w:bottom w:val="single" w:sz="4" w:space="0" w:color="auto"/>
              <w:right w:val="single" w:sz="4" w:space="0" w:color="auto"/>
            </w:tcBorders>
            <w:shd w:val="clear" w:color="000000" w:fill="FFFFFF"/>
            <w:vAlign w:val="center"/>
            <w:hideMark/>
          </w:tcPr>
          <w:p w14:paraId="1665C5C3" w14:textId="439904ED" w:rsidR="00D95BA6" w:rsidRPr="008D6FE4" w:rsidRDefault="00D95BA6" w:rsidP="00D95BA6">
            <w:pPr>
              <w:spacing w:after="0" w:line="240" w:lineRule="auto"/>
              <w:rPr>
                <w:rFonts w:ascii="Arial Narrow" w:eastAsia="Times New Roman" w:hAnsi="Arial Narrow"/>
                <w:color w:val="000000"/>
                <w:sz w:val="20"/>
                <w:szCs w:val="20"/>
              </w:rPr>
            </w:pPr>
            <w:r w:rsidRPr="008D6FE4">
              <w:rPr>
                <w:rFonts w:ascii="Arial Narrow" w:eastAsia="Times New Roman" w:hAnsi="Arial Narrow"/>
                <w:color w:val="000000"/>
                <w:sz w:val="18"/>
                <w:szCs w:val="18"/>
              </w:rPr>
              <w:t xml:space="preserve">S1.3.2 </w:t>
            </w:r>
            <w:r w:rsidR="008D6FE4" w:rsidRPr="008D6FE4">
              <w:rPr>
                <w:rFonts w:ascii="Arial Narrow" w:eastAsia="Times New Roman" w:hAnsi="Arial Narrow"/>
                <w:color w:val="000000"/>
                <w:sz w:val="18"/>
                <w:szCs w:val="18"/>
              </w:rPr>
              <w:t>Asistencia técnica y capacitación en materia de restauración de ecosistemas forestales y otros ecosistemas de vegetación silvestre impartidos de forma satisfactoria a los gobiernos regionales, gobiernos locales y usuarios forestales y de fauna silvestre</w:t>
            </w:r>
            <w:r w:rsidRPr="008D6FE4">
              <w:rPr>
                <w:rFonts w:ascii="Arial Narrow" w:eastAsia="Times New Roman" w:hAnsi="Arial Narrow"/>
                <w:color w:val="000000"/>
                <w:sz w:val="18"/>
                <w:szCs w:val="18"/>
              </w:rPr>
              <w:t>.</w:t>
            </w:r>
          </w:p>
        </w:tc>
        <w:tc>
          <w:tcPr>
            <w:tcW w:w="1491" w:type="dxa"/>
            <w:tcBorders>
              <w:top w:val="nil"/>
              <w:left w:val="nil"/>
              <w:bottom w:val="nil"/>
              <w:right w:val="single" w:sz="4" w:space="0" w:color="auto"/>
            </w:tcBorders>
            <w:shd w:val="clear" w:color="000000" w:fill="FFFFFF"/>
            <w:vAlign w:val="center"/>
            <w:hideMark/>
          </w:tcPr>
          <w:p w14:paraId="5960984A"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Política Nacional de Ambiente al 2030</w:t>
            </w:r>
          </w:p>
        </w:tc>
        <w:tc>
          <w:tcPr>
            <w:tcW w:w="1678" w:type="dxa"/>
            <w:tcBorders>
              <w:top w:val="nil"/>
              <w:left w:val="nil"/>
              <w:bottom w:val="nil"/>
              <w:right w:val="single" w:sz="4" w:space="0" w:color="auto"/>
            </w:tcBorders>
            <w:shd w:val="clear" w:color="000000" w:fill="FFFFFF"/>
            <w:vAlign w:val="center"/>
            <w:hideMark/>
          </w:tcPr>
          <w:p w14:paraId="69BF2F8A"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OP2 Reducir los niveles de deforestación y degradación de los ecosistemas</w:t>
            </w:r>
          </w:p>
        </w:tc>
        <w:tc>
          <w:tcPr>
            <w:tcW w:w="1985" w:type="dxa"/>
            <w:tcBorders>
              <w:top w:val="nil"/>
              <w:left w:val="nil"/>
              <w:bottom w:val="single" w:sz="4" w:space="0" w:color="auto"/>
              <w:right w:val="single" w:sz="4" w:space="0" w:color="auto"/>
            </w:tcBorders>
            <w:shd w:val="clear" w:color="000000" w:fill="FFFFFF"/>
            <w:vAlign w:val="center"/>
            <w:hideMark/>
          </w:tcPr>
          <w:p w14:paraId="668FA71C"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1. Incrementar las intervenciones de recuperación y restauración de los ecosistemas degradados</w:t>
            </w:r>
          </w:p>
        </w:tc>
        <w:tc>
          <w:tcPr>
            <w:tcW w:w="2126" w:type="dxa"/>
            <w:tcBorders>
              <w:top w:val="nil"/>
              <w:left w:val="nil"/>
              <w:bottom w:val="single" w:sz="4" w:space="0" w:color="auto"/>
              <w:right w:val="single" w:sz="4" w:space="0" w:color="auto"/>
            </w:tcBorders>
            <w:shd w:val="clear" w:color="000000" w:fill="FFFFFF"/>
            <w:vAlign w:val="center"/>
            <w:hideMark/>
          </w:tcPr>
          <w:p w14:paraId="300ABF2E"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S2 Fortalecimiento de capacidades continua sobre conservación y recuperación de ecosistemas dirigido a entidades de los tres niveles de gobierno</w:t>
            </w:r>
          </w:p>
        </w:tc>
        <w:tc>
          <w:tcPr>
            <w:tcW w:w="2716" w:type="dxa"/>
            <w:tcBorders>
              <w:top w:val="nil"/>
              <w:left w:val="nil"/>
              <w:bottom w:val="single" w:sz="4" w:space="0" w:color="auto"/>
              <w:right w:val="single" w:sz="4" w:space="0" w:color="auto"/>
            </w:tcBorders>
            <w:shd w:val="clear" w:color="000000" w:fill="FFFFFF"/>
            <w:vAlign w:val="center"/>
            <w:hideMark/>
          </w:tcPr>
          <w:p w14:paraId="275511AB"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 xml:space="preserve">Los lineamientos y servicios de ambas políticas buscan mejorar las capacidades de actores clave para la recuperación de los ecosistemas. De esa forma, se asegurar la provisión de servicios ecosistémicos que en gran medida genera beneficios para la población. </w:t>
            </w:r>
          </w:p>
        </w:tc>
      </w:tr>
      <w:tr w:rsidR="00D95BA6" w:rsidRPr="00D95BA6" w14:paraId="10E57F93" w14:textId="77777777" w:rsidTr="00D95BA6">
        <w:trPr>
          <w:trHeight w:val="690"/>
        </w:trPr>
        <w:tc>
          <w:tcPr>
            <w:tcW w:w="1560" w:type="dxa"/>
            <w:vMerge/>
            <w:tcBorders>
              <w:top w:val="nil"/>
              <w:left w:val="single" w:sz="4" w:space="0" w:color="auto"/>
              <w:bottom w:val="single" w:sz="4" w:space="0" w:color="auto"/>
              <w:right w:val="single" w:sz="4" w:space="0" w:color="auto"/>
            </w:tcBorders>
            <w:vAlign w:val="center"/>
            <w:hideMark/>
          </w:tcPr>
          <w:p w14:paraId="08544CC4" w14:textId="77777777" w:rsidR="00D95BA6" w:rsidRPr="00D95BA6" w:rsidRDefault="00D95BA6" w:rsidP="00D95BA6">
            <w:pPr>
              <w:spacing w:after="0" w:line="240" w:lineRule="auto"/>
              <w:rPr>
                <w:rFonts w:ascii="Arial Narrow" w:eastAsia="Times New Roman" w:hAnsi="Arial Narrow"/>
                <w:color w:val="000000"/>
                <w:sz w:val="18"/>
                <w:szCs w:val="18"/>
              </w:rPr>
            </w:pPr>
          </w:p>
        </w:tc>
        <w:tc>
          <w:tcPr>
            <w:tcW w:w="1701" w:type="dxa"/>
            <w:tcBorders>
              <w:top w:val="nil"/>
              <w:left w:val="nil"/>
              <w:bottom w:val="single" w:sz="4" w:space="0" w:color="auto"/>
              <w:right w:val="single" w:sz="4" w:space="0" w:color="auto"/>
            </w:tcBorders>
            <w:shd w:val="clear" w:color="000000" w:fill="FFFFFF"/>
            <w:vAlign w:val="center"/>
            <w:hideMark/>
          </w:tcPr>
          <w:p w14:paraId="2511A05F"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1.4 Incentivar el desarrollo de mecanismos de retribución por servicios ecosistémicos para la conservación, recuperación y uso sostenible de los ecosistemas forestales y otros ecosistemas de vegetación silvestre</w:t>
            </w:r>
          </w:p>
        </w:tc>
        <w:tc>
          <w:tcPr>
            <w:tcW w:w="2053" w:type="dxa"/>
            <w:tcBorders>
              <w:top w:val="nil"/>
              <w:left w:val="nil"/>
              <w:bottom w:val="single" w:sz="4" w:space="0" w:color="auto"/>
              <w:right w:val="single" w:sz="4" w:space="0" w:color="auto"/>
            </w:tcBorders>
            <w:shd w:val="clear" w:color="000000" w:fill="FFFFFF"/>
            <w:vAlign w:val="center"/>
            <w:hideMark/>
          </w:tcPr>
          <w:p w14:paraId="30421396" w14:textId="038A2390"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 xml:space="preserve">S1.4.1 </w:t>
            </w:r>
            <w:r w:rsidR="008D6FE4" w:rsidRPr="008D6FE4">
              <w:rPr>
                <w:rFonts w:ascii="Arial Narrow" w:eastAsia="Times New Roman" w:hAnsi="Arial Narrow"/>
                <w:color w:val="000000"/>
                <w:sz w:val="18"/>
                <w:szCs w:val="18"/>
              </w:rPr>
              <w:t>Asistencia técnica para el desarrollo de mecanismos financieros orientados a la conservación y gestión de los ecosistemas forestales y otros ecosistemas de vegetación silvestre y medidas frente al cambio climático, satisfactoriamente a las Autoridades Regionales</w:t>
            </w:r>
            <w:r w:rsidR="008D6FE4" w:rsidRPr="008A26D2">
              <w:rPr>
                <w:rFonts w:ascii="Arial" w:eastAsia="Arial Narrow" w:hAnsi="Arial" w:cs="Arial"/>
                <w:sz w:val="20"/>
                <w:szCs w:val="20"/>
              </w:rPr>
              <w:t xml:space="preserve"> </w:t>
            </w:r>
            <w:r w:rsidR="008D6FE4" w:rsidRPr="008D6FE4">
              <w:rPr>
                <w:rFonts w:ascii="Arial Narrow" w:eastAsia="Times New Roman" w:hAnsi="Arial Narrow"/>
                <w:color w:val="000000"/>
                <w:sz w:val="18"/>
                <w:szCs w:val="18"/>
              </w:rPr>
              <w:t>Forestales y de Fauna Silvestre y otros usuarios forestales y de fauna silvestre</w:t>
            </w:r>
          </w:p>
        </w:tc>
        <w:tc>
          <w:tcPr>
            <w:tcW w:w="1491" w:type="dxa"/>
            <w:tcBorders>
              <w:top w:val="single" w:sz="4" w:space="0" w:color="auto"/>
              <w:left w:val="nil"/>
              <w:bottom w:val="single" w:sz="4" w:space="0" w:color="auto"/>
              <w:right w:val="single" w:sz="4" w:space="0" w:color="auto"/>
            </w:tcBorders>
            <w:shd w:val="clear" w:color="000000" w:fill="FFFFFF"/>
            <w:vAlign w:val="center"/>
            <w:hideMark/>
          </w:tcPr>
          <w:p w14:paraId="71F6285F"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Política Nacional de Ambiente al 2030</w:t>
            </w:r>
          </w:p>
        </w:tc>
        <w:tc>
          <w:tcPr>
            <w:tcW w:w="1678" w:type="dxa"/>
            <w:tcBorders>
              <w:top w:val="single" w:sz="4" w:space="0" w:color="auto"/>
              <w:left w:val="nil"/>
              <w:bottom w:val="single" w:sz="4" w:space="0" w:color="auto"/>
              <w:right w:val="single" w:sz="4" w:space="0" w:color="auto"/>
            </w:tcBorders>
            <w:shd w:val="clear" w:color="000000" w:fill="FFFFFF"/>
            <w:vAlign w:val="center"/>
            <w:hideMark/>
          </w:tcPr>
          <w:p w14:paraId="0B77BE46"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OP2 Reducir los niveles de deforestación y degradación de los ecosistemas</w:t>
            </w:r>
          </w:p>
        </w:tc>
        <w:tc>
          <w:tcPr>
            <w:tcW w:w="1985" w:type="dxa"/>
            <w:tcBorders>
              <w:top w:val="nil"/>
              <w:left w:val="nil"/>
              <w:bottom w:val="single" w:sz="4" w:space="0" w:color="auto"/>
              <w:right w:val="single" w:sz="4" w:space="0" w:color="auto"/>
            </w:tcBorders>
            <w:shd w:val="clear" w:color="000000" w:fill="FFFFFF"/>
            <w:vAlign w:val="center"/>
            <w:hideMark/>
          </w:tcPr>
          <w:p w14:paraId="0BCB3D5A" w14:textId="04F0345E"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s="ArialNarrow"/>
                <w:color w:val="000000"/>
                <w:sz w:val="18"/>
                <w:szCs w:val="18"/>
              </w:rPr>
              <w:t>5. Incrementar el valor de los</w:t>
            </w:r>
            <w:r>
              <w:rPr>
                <w:rFonts w:ascii="Arial Narrow" w:eastAsia="Times New Roman" w:hAnsi="Arial Narrow" w:cs="ArialNarrow"/>
                <w:color w:val="000000"/>
                <w:sz w:val="18"/>
                <w:szCs w:val="18"/>
              </w:rPr>
              <w:t xml:space="preserve"> b</w:t>
            </w:r>
            <w:r w:rsidRPr="00D95BA6">
              <w:rPr>
                <w:rFonts w:ascii="Arial Narrow" w:eastAsia="Times New Roman" w:hAnsi="Arial Narrow" w:cs="ArialNarrow"/>
                <w:color w:val="000000"/>
                <w:sz w:val="18"/>
                <w:szCs w:val="18"/>
              </w:rPr>
              <w:t>ienes y servicios ecosistémicos</w:t>
            </w:r>
          </w:p>
        </w:tc>
        <w:tc>
          <w:tcPr>
            <w:tcW w:w="2126" w:type="dxa"/>
            <w:tcBorders>
              <w:top w:val="nil"/>
              <w:left w:val="nil"/>
              <w:bottom w:val="single" w:sz="4" w:space="0" w:color="auto"/>
              <w:right w:val="single" w:sz="4" w:space="0" w:color="auto"/>
            </w:tcBorders>
            <w:shd w:val="clear" w:color="000000" w:fill="FFFFFF"/>
            <w:vAlign w:val="center"/>
            <w:hideMark/>
          </w:tcPr>
          <w:p w14:paraId="0EFD68D6" w14:textId="52CA2302"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S8 Fortalecimiento de capacidades</w:t>
            </w:r>
            <w:r w:rsidRPr="00D95BA6">
              <w:rPr>
                <w:rFonts w:ascii="Arial Narrow" w:eastAsia="Times New Roman" w:hAnsi="Arial Narrow"/>
                <w:color w:val="000000"/>
                <w:sz w:val="18"/>
                <w:szCs w:val="18"/>
              </w:rPr>
              <w:br/>
              <w:t>de manera oportuna en materia</w:t>
            </w:r>
            <w:r>
              <w:rPr>
                <w:rFonts w:ascii="Arial Narrow" w:eastAsia="Times New Roman" w:hAnsi="Arial Narrow"/>
                <w:color w:val="000000"/>
                <w:sz w:val="18"/>
                <w:szCs w:val="18"/>
              </w:rPr>
              <w:t xml:space="preserve"> </w:t>
            </w:r>
            <w:r w:rsidRPr="00D95BA6">
              <w:rPr>
                <w:rFonts w:ascii="Arial Narrow" w:eastAsia="Times New Roman" w:hAnsi="Arial Narrow"/>
                <w:color w:val="000000"/>
                <w:sz w:val="18"/>
                <w:szCs w:val="18"/>
              </w:rPr>
              <w:t>de mecanismos de retribución de</w:t>
            </w:r>
            <w:r>
              <w:rPr>
                <w:rFonts w:ascii="Arial Narrow" w:eastAsia="Times New Roman" w:hAnsi="Arial Narrow"/>
                <w:color w:val="000000"/>
                <w:sz w:val="18"/>
                <w:szCs w:val="18"/>
              </w:rPr>
              <w:t xml:space="preserve"> </w:t>
            </w:r>
            <w:r w:rsidRPr="00D95BA6">
              <w:rPr>
                <w:rFonts w:ascii="Arial Narrow" w:eastAsia="Times New Roman" w:hAnsi="Arial Narrow"/>
                <w:color w:val="000000"/>
                <w:sz w:val="18"/>
                <w:szCs w:val="18"/>
              </w:rPr>
              <w:t>servicios ecosistémicos (MERESE)</w:t>
            </w:r>
            <w:r w:rsidRPr="00D95BA6">
              <w:rPr>
                <w:rFonts w:ascii="Arial Narrow" w:eastAsia="Times New Roman" w:hAnsi="Arial Narrow"/>
                <w:color w:val="000000"/>
                <w:sz w:val="18"/>
                <w:szCs w:val="18"/>
              </w:rPr>
              <w:br/>
              <w:t>dirigido a entidades públicas y</w:t>
            </w:r>
            <w:r w:rsidRPr="00D95BA6">
              <w:rPr>
                <w:rFonts w:ascii="Arial Narrow" w:eastAsia="Times New Roman" w:hAnsi="Arial Narrow"/>
                <w:color w:val="000000"/>
                <w:sz w:val="18"/>
                <w:szCs w:val="18"/>
              </w:rPr>
              <w:br/>
              <w:t>privadas</w:t>
            </w:r>
          </w:p>
        </w:tc>
        <w:tc>
          <w:tcPr>
            <w:tcW w:w="2716" w:type="dxa"/>
            <w:tcBorders>
              <w:top w:val="nil"/>
              <w:left w:val="nil"/>
              <w:bottom w:val="single" w:sz="4" w:space="0" w:color="auto"/>
              <w:right w:val="single" w:sz="4" w:space="0" w:color="auto"/>
            </w:tcBorders>
            <w:shd w:val="clear" w:color="000000" w:fill="FFFFFF"/>
            <w:vAlign w:val="center"/>
            <w:hideMark/>
          </w:tcPr>
          <w:p w14:paraId="2AAB83A1"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Los lineamientos y servicios de ambas políticas se orientan en mejorar capacidades en materia de mecanismos financieros vinculados a los ecosistemas y sus servicios, lo cual permite impulsar la conservación de los mismos.</w:t>
            </w:r>
          </w:p>
        </w:tc>
      </w:tr>
      <w:tr w:rsidR="00D95BA6" w:rsidRPr="00D95BA6" w14:paraId="7B9FDE04" w14:textId="77777777" w:rsidTr="00D95BA6">
        <w:trPr>
          <w:trHeight w:val="1596"/>
        </w:trPr>
        <w:tc>
          <w:tcPr>
            <w:tcW w:w="1560" w:type="dxa"/>
            <w:vMerge/>
            <w:tcBorders>
              <w:top w:val="nil"/>
              <w:left w:val="single" w:sz="4" w:space="0" w:color="auto"/>
              <w:bottom w:val="single" w:sz="4" w:space="0" w:color="auto"/>
              <w:right w:val="single" w:sz="4" w:space="0" w:color="auto"/>
            </w:tcBorders>
            <w:vAlign w:val="center"/>
            <w:hideMark/>
          </w:tcPr>
          <w:p w14:paraId="4F5BD3D6" w14:textId="77777777" w:rsidR="00D95BA6" w:rsidRPr="00D95BA6" w:rsidRDefault="00D95BA6" w:rsidP="00D95BA6">
            <w:pPr>
              <w:spacing w:after="0" w:line="240" w:lineRule="auto"/>
              <w:rPr>
                <w:rFonts w:ascii="Arial Narrow" w:eastAsia="Times New Roman" w:hAnsi="Arial Narrow"/>
                <w:color w:val="000000"/>
                <w:sz w:val="18"/>
                <w:szCs w:val="18"/>
              </w:rPr>
            </w:pPr>
          </w:p>
        </w:tc>
        <w:tc>
          <w:tcPr>
            <w:tcW w:w="1701" w:type="dxa"/>
            <w:tcBorders>
              <w:top w:val="nil"/>
              <w:left w:val="nil"/>
              <w:bottom w:val="single" w:sz="4" w:space="0" w:color="auto"/>
              <w:right w:val="single" w:sz="4" w:space="0" w:color="auto"/>
            </w:tcBorders>
            <w:shd w:val="clear" w:color="000000" w:fill="FFFFFF"/>
            <w:vAlign w:val="center"/>
            <w:hideMark/>
          </w:tcPr>
          <w:p w14:paraId="10DAA3BE"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1.9 Reducir los niveles de tala ilegal, caza furtiva y del tráfico ilegal forestal y de fauna silvestre.</w:t>
            </w:r>
          </w:p>
        </w:tc>
        <w:tc>
          <w:tcPr>
            <w:tcW w:w="2053" w:type="dxa"/>
            <w:tcBorders>
              <w:top w:val="nil"/>
              <w:left w:val="nil"/>
              <w:bottom w:val="single" w:sz="4" w:space="0" w:color="auto"/>
              <w:right w:val="single" w:sz="4" w:space="0" w:color="auto"/>
            </w:tcBorders>
            <w:shd w:val="clear" w:color="000000" w:fill="FFFFFF"/>
            <w:vAlign w:val="center"/>
            <w:hideMark/>
          </w:tcPr>
          <w:p w14:paraId="2EC87230" w14:textId="55DB7108"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 xml:space="preserve">S1.9.1 </w:t>
            </w:r>
            <w:r w:rsidR="008D6FE4" w:rsidRPr="008D6FE4">
              <w:rPr>
                <w:rFonts w:ascii="Arial Narrow" w:eastAsia="Times New Roman" w:hAnsi="Arial Narrow"/>
                <w:color w:val="000000"/>
                <w:sz w:val="18"/>
                <w:szCs w:val="18"/>
              </w:rPr>
              <w:t>Fortalecimiento de capacidades en vigilancia y control de forma satisfactoria a las Autoridades Regionales Forestales y de Fauna Silvestre.</w:t>
            </w:r>
          </w:p>
        </w:tc>
        <w:tc>
          <w:tcPr>
            <w:tcW w:w="1491" w:type="dxa"/>
            <w:tcBorders>
              <w:top w:val="nil"/>
              <w:left w:val="nil"/>
              <w:bottom w:val="nil"/>
              <w:right w:val="single" w:sz="4" w:space="0" w:color="auto"/>
            </w:tcBorders>
            <w:shd w:val="clear" w:color="000000" w:fill="FFFFFF"/>
            <w:vAlign w:val="center"/>
            <w:hideMark/>
          </w:tcPr>
          <w:p w14:paraId="5AD15DD3"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Política Nacional de Ambiente al 2030</w:t>
            </w:r>
          </w:p>
        </w:tc>
        <w:tc>
          <w:tcPr>
            <w:tcW w:w="1678" w:type="dxa"/>
            <w:tcBorders>
              <w:top w:val="nil"/>
              <w:left w:val="nil"/>
              <w:bottom w:val="nil"/>
              <w:right w:val="single" w:sz="4" w:space="0" w:color="auto"/>
            </w:tcBorders>
            <w:shd w:val="clear" w:color="000000" w:fill="FFFFFF"/>
            <w:vAlign w:val="center"/>
            <w:hideMark/>
          </w:tcPr>
          <w:p w14:paraId="2D093EF2"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OP1 Mejorar la conservación de las especies y de la diversidad genética</w:t>
            </w:r>
          </w:p>
        </w:tc>
        <w:tc>
          <w:tcPr>
            <w:tcW w:w="1985" w:type="dxa"/>
            <w:tcBorders>
              <w:top w:val="nil"/>
              <w:left w:val="nil"/>
              <w:bottom w:val="single" w:sz="4" w:space="0" w:color="auto"/>
              <w:right w:val="single" w:sz="4" w:space="0" w:color="auto"/>
            </w:tcBorders>
            <w:shd w:val="clear" w:color="000000" w:fill="FFFFFF"/>
            <w:vAlign w:val="center"/>
            <w:hideMark/>
          </w:tcPr>
          <w:p w14:paraId="56C094D7"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4. Fortalecer la prevención del tráfico de especies amenazadas</w:t>
            </w:r>
          </w:p>
        </w:tc>
        <w:tc>
          <w:tcPr>
            <w:tcW w:w="2126" w:type="dxa"/>
            <w:tcBorders>
              <w:top w:val="nil"/>
              <w:left w:val="nil"/>
              <w:bottom w:val="single" w:sz="4" w:space="0" w:color="auto"/>
              <w:right w:val="single" w:sz="4" w:space="0" w:color="auto"/>
            </w:tcBorders>
            <w:shd w:val="clear" w:color="000000" w:fill="FFFFFF"/>
            <w:vAlign w:val="center"/>
            <w:hideMark/>
          </w:tcPr>
          <w:p w14:paraId="351AEE86"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S7 Fortalecimiento de capacidades sobre conservación de especies amenazadas y CITES dirigido a las entidades públicas y privadas, de manera continua</w:t>
            </w:r>
          </w:p>
        </w:tc>
        <w:tc>
          <w:tcPr>
            <w:tcW w:w="2716"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53D4C2A" w14:textId="2DDBF802"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s="ArialNarrow"/>
                <w:color w:val="000000"/>
                <w:sz w:val="18"/>
                <w:szCs w:val="18"/>
              </w:rPr>
              <w:t xml:space="preserve">Los lineamientos y servicios de ambas políticas se relacionan al fortalecer la prevención y vigilancia de actividades ilícitas que afectan la sostenibilidad de los recursos forestales y de fauna silvestre, haciendo énfasis en aquellas especies amenazadas o de importancia internacional. </w:t>
            </w:r>
          </w:p>
        </w:tc>
      </w:tr>
      <w:tr w:rsidR="00D95BA6" w:rsidRPr="00D95BA6" w14:paraId="2703C565" w14:textId="77777777" w:rsidTr="00D95BA6">
        <w:trPr>
          <w:trHeight w:val="1689"/>
        </w:trPr>
        <w:tc>
          <w:tcPr>
            <w:tcW w:w="1560" w:type="dxa"/>
            <w:vMerge/>
            <w:tcBorders>
              <w:top w:val="nil"/>
              <w:left w:val="single" w:sz="4" w:space="0" w:color="auto"/>
              <w:bottom w:val="single" w:sz="4" w:space="0" w:color="auto"/>
              <w:right w:val="single" w:sz="4" w:space="0" w:color="auto"/>
            </w:tcBorders>
            <w:vAlign w:val="center"/>
            <w:hideMark/>
          </w:tcPr>
          <w:p w14:paraId="3F153BD6" w14:textId="77777777" w:rsidR="00D95BA6" w:rsidRPr="00D95BA6" w:rsidRDefault="00D95BA6" w:rsidP="00D95BA6">
            <w:pPr>
              <w:spacing w:after="0" w:line="240" w:lineRule="auto"/>
              <w:rPr>
                <w:rFonts w:ascii="Arial Narrow" w:eastAsia="Times New Roman" w:hAnsi="Arial Narrow"/>
                <w:color w:val="000000"/>
                <w:sz w:val="18"/>
                <w:szCs w:val="18"/>
              </w:rPr>
            </w:pPr>
          </w:p>
        </w:tc>
        <w:tc>
          <w:tcPr>
            <w:tcW w:w="1701" w:type="dxa"/>
            <w:tcBorders>
              <w:top w:val="nil"/>
              <w:left w:val="nil"/>
              <w:bottom w:val="single" w:sz="4" w:space="0" w:color="auto"/>
              <w:right w:val="single" w:sz="4" w:space="0" w:color="auto"/>
            </w:tcBorders>
            <w:shd w:val="clear" w:color="000000" w:fill="FFFFFF"/>
            <w:vAlign w:val="center"/>
            <w:hideMark/>
          </w:tcPr>
          <w:p w14:paraId="2CA5484D"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1.9 Reducir los niveles de tala ilegal, caza furtiva y del tráfico ilegal forestal y de fauna silvestre.</w:t>
            </w:r>
          </w:p>
        </w:tc>
        <w:tc>
          <w:tcPr>
            <w:tcW w:w="2053" w:type="dxa"/>
            <w:tcBorders>
              <w:top w:val="nil"/>
              <w:left w:val="nil"/>
              <w:bottom w:val="single" w:sz="4" w:space="0" w:color="auto"/>
              <w:right w:val="single" w:sz="4" w:space="0" w:color="auto"/>
            </w:tcBorders>
            <w:shd w:val="clear" w:color="000000" w:fill="FFFFFF"/>
            <w:vAlign w:val="center"/>
            <w:hideMark/>
          </w:tcPr>
          <w:p w14:paraId="5BD3775B"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S1.9.1 Fortalecimiento de capacidades en vigilancia y control de forma satisfactoria a las Autoridades Regionales Forestales y de Fauna Silvestre.</w:t>
            </w:r>
          </w:p>
        </w:tc>
        <w:tc>
          <w:tcPr>
            <w:tcW w:w="1491" w:type="dxa"/>
            <w:tcBorders>
              <w:top w:val="single" w:sz="4" w:space="0" w:color="auto"/>
              <w:left w:val="nil"/>
              <w:bottom w:val="nil"/>
              <w:right w:val="single" w:sz="4" w:space="0" w:color="auto"/>
            </w:tcBorders>
            <w:shd w:val="clear" w:color="000000" w:fill="FFFFFF"/>
            <w:vAlign w:val="center"/>
            <w:hideMark/>
          </w:tcPr>
          <w:p w14:paraId="5A96BF8A"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Política Nacional de Ambiente al 2030</w:t>
            </w:r>
          </w:p>
        </w:tc>
        <w:tc>
          <w:tcPr>
            <w:tcW w:w="1678" w:type="dxa"/>
            <w:tcBorders>
              <w:top w:val="single" w:sz="4" w:space="0" w:color="auto"/>
              <w:left w:val="nil"/>
              <w:bottom w:val="nil"/>
              <w:right w:val="single" w:sz="4" w:space="0" w:color="auto"/>
            </w:tcBorders>
            <w:shd w:val="clear" w:color="000000" w:fill="FFFFFF"/>
            <w:vAlign w:val="center"/>
            <w:hideMark/>
          </w:tcPr>
          <w:p w14:paraId="643EF709"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OP1 Mejorar la conservación de las especies y de la diversidad genética</w:t>
            </w:r>
          </w:p>
        </w:tc>
        <w:tc>
          <w:tcPr>
            <w:tcW w:w="1985" w:type="dxa"/>
            <w:tcBorders>
              <w:top w:val="nil"/>
              <w:left w:val="nil"/>
              <w:bottom w:val="single" w:sz="4" w:space="0" w:color="auto"/>
              <w:right w:val="single" w:sz="4" w:space="0" w:color="auto"/>
            </w:tcBorders>
            <w:shd w:val="clear" w:color="000000" w:fill="FFFFFF"/>
            <w:vAlign w:val="center"/>
            <w:hideMark/>
          </w:tcPr>
          <w:p w14:paraId="5E97EF4E"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1. Garantizar la conservación de especies y diversidad genética al interior de las Áreas Naturales Protegidas (ANP) y otras modalidades de conservación</w:t>
            </w:r>
          </w:p>
        </w:tc>
        <w:tc>
          <w:tcPr>
            <w:tcW w:w="2126" w:type="dxa"/>
            <w:tcBorders>
              <w:top w:val="nil"/>
              <w:left w:val="nil"/>
              <w:bottom w:val="single" w:sz="4" w:space="0" w:color="auto"/>
              <w:right w:val="single" w:sz="4" w:space="0" w:color="auto"/>
            </w:tcBorders>
            <w:shd w:val="clear" w:color="000000" w:fill="FFFFFF"/>
            <w:vAlign w:val="center"/>
            <w:hideMark/>
          </w:tcPr>
          <w:p w14:paraId="05C477C7"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S1 Vigilancia y control continuo en las ANP</w:t>
            </w:r>
          </w:p>
        </w:tc>
        <w:tc>
          <w:tcPr>
            <w:tcW w:w="2716" w:type="dxa"/>
            <w:vMerge/>
            <w:tcBorders>
              <w:top w:val="nil"/>
              <w:left w:val="single" w:sz="4" w:space="0" w:color="auto"/>
              <w:bottom w:val="single" w:sz="4" w:space="0" w:color="000000"/>
              <w:right w:val="single" w:sz="4" w:space="0" w:color="auto"/>
            </w:tcBorders>
            <w:vAlign w:val="center"/>
            <w:hideMark/>
          </w:tcPr>
          <w:p w14:paraId="5D33CB1B" w14:textId="77777777" w:rsidR="00D95BA6" w:rsidRPr="00D95BA6" w:rsidRDefault="00D95BA6" w:rsidP="00D95BA6">
            <w:pPr>
              <w:spacing w:after="0" w:line="240" w:lineRule="auto"/>
              <w:rPr>
                <w:rFonts w:ascii="Arial Narrow" w:eastAsia="Times New Roman" w:hAnsi="Arial Narrow"/>
                <w:color w:val="000000"/>
                <w:sz w:val="18"/>
                <w:szCs w:val="18"/>
              </w:rPr>
            </w:pPr>
          </w:p>
        </w:tc>
      </w:tr>
      <w:tr w:rsidR="00D95BA6" w:rsidRPr="00D95BA6" w14:paraId="68E49864" w14:textId="77777777" w:rsidTr="00D95BA6">
        <w:trPr>
          <w:trHeight w:val="1350"/>
        </w:trPr>
        <w:tc>
          <w:tcPr>
            <w:tcW w:w="1560" w:type="dxa"/>
            <w:vMerge/>
            <w:tcBorders>
              <w:top w:val="nil"/>
              <w:left w:val="single" w:sz="4" w:space="0" w:color="auto"/>
              <w:bottom w:val="single" w:sz="4" w:space="0" w:color="auto"/>
              <w:right w:val="single" w:sz="4" w:space="0" w:color="auto"/>
            </w:tcBorders>
            <w:vAlign w:val="center"/>
            <w:hideMark/>
          </w:tcPr>
          <w:p w14:paraId="56B86D76" w14:textId="77777777" w:rsidR="00D95BA6" w:rsidRPr="00D95BA6" w:rsidRDefault="00D95BA6" w:rsidP="00D95BA6">
            <w:pPr>
              <w:spacing w:after="0" w:line="240" w:lineRule="auto"/>
              <w:rPr>
                <w:rFonts w:ascii="Arial Narrow" w:eastAsia="Times New Roman" w:hAnsi="Arial Narrow"/>
                <w:color w:val="000000"/>
                <w:sz w:val="18"/>
                <w:szCs w:val="18"/>
              </w:rPr>
            </w:pPr>
          </w:p>
        </w:tc>
        <w:tc>
          <w:tcPr>
            <w:tcW w:w="1701" w:type="dxa"/>
            <w:tcBorders>
              <w:top w:val="nil"/>
              <w:left w:val="nil"/>
              <w:bottom w:val="single" w:sz="4" w:space="0" w:color="auto"/>
              <w:right w:val="single" w:sz="4" w:space="0" w:color="auto"/>
            </w:tcBorders>
            <w:shd w:val="clear" w:color="000000" w:fill="FFFFFF"/>
            <w:vAlign w:val="center"/>
            <w:hideMark/>
          </w:tcPr>
          <w:p w14:paraId="7C4C236D"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1.9 Reducir los niveles de tala ilegal, caza furtiva y del tráfico ilegal forestal y de fauna silvestre.</w:t>
            </w:r>
          </w:p>
        </w:tc>
        <w:tc>
          <w:tcPr>
            <w:tcW w:w="2053" w:type="dxa"/>
            <w:tcBorders>
              <w:top w:val="nil"/>
              <w:left w:val="nil"/>
              <w:bottom w:val="single" w:sz="4" w:space="0" w:color="auto"/>
              <w:right w:val="single" w:sz="4" w:space="0" w:color="auto"/>
            </w:tcBorders>
            <w:shd w:val="clear" w:color="000000" w:fill="FFFFFF"/>
            <w:vAlign w:val="center"/>
            <w:hideMark/>
          </w:tcPr>
          <w:p w14:paraId="0FF80B74" w14:textId="1DA64CC9"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 xml:space="preserve">S1.9.5 </w:t>
            </w:r>
            <w:r w:rsidR="008D6FE4" w:rsidRPr="008D6FE4">
              <w:rPr>
                <w:rFonts w:ascii="Arial Narrow" w:eastAsia="Times New Roman" w:hAnsi="Arial Narrow"/>
                <w:color w:val="000000"/>
                <w:sz w:val="18"/>
                <w:szCs w:val="18"/>
              </w:rPr>
              <w:t>Vigilancia en el bosque y en la cadena productiva forestal y de fauna silvestre de forma permanente para beneficio de la población</w:t>
            </w:r>
          </w:p>
        </w:tc>
        <w:tc>
          <w:tcPr>
            <w:tcW w:w="1491" w:type="dxa"/>
            <w:tcBorders>
              <w:top w:val="single" w:sz="4" w:space="0" w:color="auto"/>
              <w:left w:val="nil"/>
              <w:bottom w:val="nil"/>
              <w:right w:val="single" w:sz="4" w:space="0" w:color="auto"/>
            </w:tcBorders>
            <w:shd w:val="clear" w:color="000000" w:fill="FFFFFF"/>
            <w:vAlign w:val="center"/>
            <w:hideMark/>
          </w:tcPr>
          <w:p w14:paraId="39DC288C"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Política Nacional de Ambiente al 2030</w:t>
            </w:r>
          </w:p>
        </w:tc>
        <w:tc>
          <w:tcPr>
            <w:tcW w:w="1678" w:type="dxa"/>
            <w:tcBorders>
              <w:top w:val="single" w:sz="4" w:space="0" w:color="auto"/>
              <w:left w:val="nil"/>
              <w:bottom w:val="nil"/>
              <w:right w:val="single" w:sz="4" w:space="0" w:color="auto"/>
            </w:tcBorders>
            <w:shd w:val="clear" w:color="000000" w:fill="FFFFFF"/>
            <w:vAlign w:val="center"/>
            <w:hideMark/>
          </w:tcPr>
          <w:p w14:paraId="4E0C60AB"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OP2 Reducir los niveles de deforestación y degradación de los ecosistemas</w:t>
            </w:r>
          </w:p>
        </w:tc>
        <w:tc>
          <w:tcPr>
            <w:tcW w:w="1985" w:type="dxa"/>
            <w:tcBorders>
              <w:top w:val="nil"/>
              <w:left w:val="nil"/>
              <w:bottom w:val="single" w:sz="4" w:space="0" w:color="auto"/>
              <w:right w:val="single" w:sz="4" w:space="0" w:color="auto"/>
            </w:tcBorders>
            <w:shd w:val="clear" w:color="000000" w:fill="FFFFFF"/>
            <w:vAlign w:val="center"/>
            <w:hideMark/>
          </w:tcPr>
          <w:p w14:paraId="4BE569D8" w14:textId="52DF9C61"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2. Fortalecer los mecanismos de control, vigilancia y fiscalización de las actividades que usan los recursos de los ecosistemas</w:t>
            </w:r>
          </w:p>
        </w:tc>
        <w:tc>
          <w:tcPr>
            <w:tcW w:w="2126" w:type="dxa"/>
            <w:tcBorders>
              <w:top w:val="nil"/>
              <w:left w:val="nil"/>
              <w:bottom w:val="single" w:sz="4" w:space="0" w:color="auto"/>
              <w:right w:val="single" w:sz="4" w:space="0" w:color="auto"/>
            </w:tcBorders>
            <w:shd w:val="clear" w:color="000000" w:fill="FFFFFF"/>
            <w:vAlign w:val="center"/>
            <w:hideMark/>
          </w:tcPr>
          <w:p w14:paraId="3B1A689F"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S5 Monitoreo continuo de los ecosistemas boscosos a nivel nacional</w:t>
            </w:r>
          </w:p>
        </w:tc>
        <w:tc>
          <w:tcPr>
            <w:tcW w:w="2716" w:type="dxa"/>
            <w:tcBorders>
              <w:top w:val="nil"/>
              <w:left w:val="nil"/>
              <w:bottom w:val="single" w:sz="4" w:space="0" w:color="auto"/>
              <w:right w:val="single" w:sz="4" w:space="0" w:color="auto"/>
            </w:tcBorders>
            <w:shd w:val="clear" w:color="000000" w:fill="FFFFFF"/>
            <w:vAlign w:val="center"/>
            <w:hideMark/>
          </w:tcPr>
          <w:p w14:paraId="7F2C7DD7" w14:textId="677F1A1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 Los lineamientos y servicios de ambas políticas se relacionan en la vigilancia de ecosistemas relevantes, tales como los bosques, para reducir las actividades il</w:t>
            </w:r>
            <w:r>
              <w:rPr>
                <w:rFonts w:ascii="Arial Narrow" w:eastAsia="Times New Roman" w:hAnsi="Arial Narrow"/>
                <w:color w:val="000000"/>
                <w:sz w:val="18"/>
                <w:szCs w:val="18"/>
              </w:rPr>
              <w:t>í</w:t>
            </w:r>
            <w:r w:rsidRPr="00D95BA6">
              <w:rPr>
                <w:rFonts w:ascii="Arial Narrow" w:eastAsia="Times New Roman" w:hAnsi="Arial Narrow"/>
                <w:color w:val="000000"/>
                <w:sz w:val="18"/>
                <w:szCs w:val="18"/>
              </w:rPr>
              <w:t>c</w:t>
            </w:r>
            <w:r>
              <w:rPr>
                <w:rFonts w:ascii="Arial Narrow" w:eastAsia="Times New Roman" w:hAnsi="Arial Narrow"/>
                <w:color w:val="000000"/>
                <w:sz w:val="18"/>
                <w:szCs w:val="18"/>
              </w:rPr>
              <w:t>i</w:t>
            </w:r>
            <w:r w:rsidRPr="00D95BA6">
              <w:rPr>
                <w:rFonts w:ascii="Arial Narrow" w:eastAsia="Times New Roman" w:hAnsi="Arial Narrow"/>
                <w:color w:val="000000"/>
                <w:sz w:val="18"/>
                <w:szCs w:val="18"/>
              </w:rPr>
              <w:t>tas que se desarrollan en ellas.</w:t>
            </w:r>
          </w:p>
        </w:tc>
      </w:tr>
      <w:tr w:rsidR="00D95BA6" w:rsidRPr="00D95BA6" w14:paraId="7B00F3AC" w14:textId="77777777" w:rsidTr="00D95BA6">
        <w:trPr>
          <w:trHeight w:val="2430"/>
        </w:trPr>
        <w:tc>
          <w:tcPr>
            <w:tcW w:w="156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4B714C3" w14:textId="77777777" w:rsidR="00D95BA6" w:rsidRPr="00D95BA6" w:rsidRDefault="00D95BA6" w:rsidP="00D95BA6">
            <w:pPr>
              <w:spacing w:after="0" w:line="240" w:lineRule="auto"/>
              <w:jc w:val="center"/>
              <w:rPr>
                <w:rFonts w:ascii="Arial Narrow" w:eastAsia="Times New Roman" w:hAnsi="Arial Narrow"/>
                <w:color w:val="000000"/>
                <w:sz w:val="18"/>
                <w:szCs w:val="18"/>
              </w:rPr>
            </w:pPr>
            <w:r w:rsidRPr="00D95BA6">
              <w:rPr>
                <w:rFonts w:ascii="Arial Narrow" w:eastAsia="Times New Roman" w:hAnsi="Arial Narrow"/>
                <w:color w:val="000000"/>
                <w:sz w:val="18"/>
                <w:szCs w:val="18"/>
              </w:rPr>
              <w:t>Incrementar la productividad de los ecosistemas forestales, otros ecosistemas de vegetación silvestre y de la fauna silvestre</w:t>
            </w:r>
          </w:p>
        </w:tc>
        <w:tc>
          <w:tcPr>
            <w:tcW w:w="1701" w:type="dxa"/>
            <w:tcBorders>
              <w:top w:val="nil"/>
              <w:left w:val="nil"/>
              <w:bottom w:val="single" w:sz="4" w:space="0" w:color="auto"/>
              <w:right w:val="single" w:sz="4" w:space="0" w:color="auto"/>
            </w:tcBorders>
            <w:shd w:val="clear" w:color="000000" w:fill="FFFFFF"/>
            <w:vAlign w:val="center"/>
            <w:hideMark/>
          </w:tcPr>
          <w:p w14:paraId="1EA44DEA"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2.1 Mejorar la formación académica y laboral de acuerdo a las necesidades de las actividades forestales y de fauna silvestre y las exigencias del mercado</w:t>
            </w:r>
          </w:p>
        </w:tc>
        <w:tc>
          <w:tcPr>
            <w:tcW w:w="2053" w:type="dxa"/>
            <w:tcBorders>
              <w:top w:val="nil"/>
              <w:left w:val="nil"/>
              <w:bottom w:val="single" w:sz="4" w:space="0" w:color="auto"/>
              <w:right w:val="single" w:sz="4" w:space="0" w:color="auto"/>
            </w:tcBorders>
            <w:shd w:val="clear" w:color="000000" w:fill="FFFFFF"/>
            <w:vAlign w:val="center"/>
            <w:hideMark/>
          </w:tcPr>
          <w:p w14:paraId="204DD204" w14:textId="6A40A9CE"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 xml:space="preserve">S2.1.1 </w:t>
            </w:r>
            <w:r w:rsidR="008D6FE4" w:rsidRPr="008D6FE4">
              <w:rPr>
                <w:rFonts w:ascii="Arial Narrow" w:eastAsia="Times New Roman" w:hAnsi="Arial Narrow"/>
                <w:color w:val="000000"/>
                <w:sz w:val="18"/>
                <w:szCs w:val="18"/>
              </w:rPr>
              <w:t>Fortalecimiento de capacidades en actividades productivas de la cadena forestal y fauna silvestre de forma satisfactoria dirigido a profesionales y técnicos forestales y de fauna silvestre</w:t>
            </w:r>
          </w:p>
        </w:tc>
        <w:tc>
          <w:tcPr>
            <w:tcW w:w="1491" w:type="dxa"/>
            <w:tcBorders>
              <w:top w:val="single" w:sz="4" w:space="0" w:color="auto"/>
              <w:left w:val="nil"/>
              <w:bottom w:val="single" w:sz="4" w:space="0" w:color="auto"/>
              <w:right w:val="single" w:sz="4" w:space="0" w:color="auto"/>
            </w:tcBorders>
            <w:shd w:val="clear" w:color="000000" w:fill="FFFFFF"/>
            <w:vAlign w:val="center"/>
            <w:hideMark/>
          </w:tcPr>
          <w:p w14:paraId="647EAC48"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Política Nacional para el Desarrollo de la Ciencia, Tecnología e Innovación Tecnológica</w:t>
            </w:r>
          </w:p>
        </w:tc>
        <w:tc>
          <w:tcPr>
            <w:tcW w:w="1678" w:type="dxa"/>
            <w:tcBorders>
              <w:top w:val="single" w:sz="4" w:space="0" w:color="auto"/>
              <w:left w:val="nil"/>
              <w:bottom w:val="single" w:sz="4" w:space="0" w:color="auto"/>
              <w:right w:val="single" w:sz="4" w:space="0" w:color="auto"/>
            </w:tcBorders>
            <w:shd w:val="clear" w:color="auto" w:fill="auto"/>
            <w:vAlign w:val="center"/>
            <w:hideMark/>
          </w:tcPr>
          <w:p w14:paraId="6AA43546"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OP 01 Promover la generación y transferencia de conocimiento científico - tecnológico alineando los resultados de investigación con las necesidades del país, las cuales serán definidas con los sectores involucrados.</w:t>
            </w:r>
          </w:p>
        </w:tc>
        <w:tc>
          <w:tcPr>
            <w:tcW w:w="1985" w:type="dxa"/>
            <w:tcBorders>
              <w:top w:val="nil"/>
              <w:left w:val="nil"/>
              <w:bottom w:val="single" w:sz="4" w:space="0" w:color="auto"/>
              <w:right w:val="single" w:sz="4" w:space="0" w:color="auto"/>
            </w:tcBorders>
            <w:shd w:val="clear" w:color="auto" w:fill="auto"/>
            <w:vAlign w:val="center"/>
            <w:hideMark/>
          </w:tcPr>
          <w:p w14:paraId="389CA695"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1.2 Mejorar la vinculación entre los programas de formación superior con las necesidades del país.</w:t>
            </w:r>
          </w:p>
        </w:tc>
        <w:tc>
          <w:tcPr>
            <w:tcW w:w="2126" w:type="dxa"/>
            <w:tcBorders>
              <w:top w:val="nil"/>
              <w:left w:val="nil"/>
              <w:bottom w:val="single" w:sz="4" w:space="0" w:color="auto"/>
              <w:right w:val="single" w:sz="4" w:space="0" w:color="auto"/>
            </w:tcBorders>
            <w:shd w:val="clear" w:color="auto" w:fill="auto"/>
            <w:vAlign w:val="center"/>
            <w:hideMark/>
          </w:tcPr>
          <w:p w14:paraId="6CAF6809" w14:textId="77777777" w:rsidR="00D95BA6" w:rsidRPr="00D95BA6" w:rsidRDefault="00D95BA6" w:rsidP="00D95BA6">
            <w:pPr>
              <w:spacing w:after="0" w:line="240" w:lineRule="auto"/>
              <w:jc w:val="center"/>
              <w:rPr>
                <w:rFonts w:ascii="Arial Narrow" w:eastAsia="Times New Roman" w:hAnsi="Arial Narrow"/>
                <w:color w:val="000000"/>
                <w:sz w:val="18"/>
                <w:szCs w:val="18"/>
              </w:rPr>
            </w:pPr>
            <w:r w:rsidRPr="00D95BA6">
              <w:rPr>
                <w:rFonts w:ascii="Arial Narrow" w:eastAsia="Times New Roman" w:hAnsi="Arial Narrow"/>
                <w:color w:val="000000"/>
                <w:sz w:val="18"/>
                <w:szCs w:val="18"/>
              </w:rPr>
              <w:t>(no posee servicios)</w:t>
            </w:r>
          </w:p>
        </w:tc>
        <w:tc>
          <w:tcPr>
            <w:tcW w:w="2716"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0370D2B" w14:textId="61BE34CC"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Los lineamientos de ambas políticas se orientan a lograr un acercamiento entre las necesidades que se tienen en las diferentes actividades y las capacidades formativas y laborales de los profesionales o técnicos, de tal forma que se logre cubrir la demanda de mano de obra calificada.</w:t>
            </w:r>
          </w:p>
        </w:tc>
      </w:tr>
      <w:tr w:rsidR="00D95BA6" w:rsidRPr="00D95BA6" w14:paraId="58B6C1CD" w14:textId="77777777" w:rsidTr="00D95BA6">
        <w:trPr>
          <w:trHeight w:val="1560"/>
        </w:trPr>
        <w:tc>
          <w:tcPr>
            <w:tcW w:w="1560" w:type="dxa"/>
            <w:vMerge/>
            <w:tcBorders>
              <w:top w:val="nil"/>
              <w:left w:val="single" w:sz="4" w:space="0" w:color="auto"/>
              <w:bottom w:val="single" w:sz="4" w:space="0" w:color="auto"/>
              <w:right w:val="single" w:sz="4" w:space="0" w:color="auto"/>
            </w:tcBorders>
            <w:vAlign w:val="center"/>
            <w:hideMark/>
          </w:tcPr>
          <w:p w14:paraId="6E911181" w14:textId="77777777" w:rsidR="00D95BA6" w:rsidRPr="00D95BA6" w:rsidRDefault="00D95BA6" w:rsidP="00D95BA6">
            <w:pPr>
              <w:spacing w:after="0" w:line="240" w:lineRule="auto"/>
              <w:rPr>
                <w:rFonts w:ascii="Arial Narrow" w:eastAsia="Times New Roman" w:hAnsi="Arial Narrow"/>
                <w:color w:val="000000"/>
                <w:sz w:val="18"/>
                <w:szCs w:val="18"/>
              </w:rPr>
            </w:pPr>
          </w:p>
        </w:tc>
        <w:tc>
          <w:tcPr>
            <w:tcW w:w="1701" w:type="dxa"/>
            <w:tcBorders>
              <w:top w:val="nil"/>
              <w:left w:val="nil"/>
              <w:bottom w:val="single" w:sz="4" w:space="0" w:color="auto"/>
              <w:right w:val="single" w:sz="4" w:space="0" w:color="auto"/>
            </w:tcBorders>
            <w:shd w:val="clear" w:color="000000" w:fill="FFFFFF"/>
            <w:vAlign w:val="center"/>
            <w:hideMark/>
          </w:tcPr>
          <w:p w14:paraId="4E59842A"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2.1 Mejorar la formación académica y laboral de acuerdo a las necesidades de las actividades forestales y de fauna silvestre y las exigencias del mercado</w:t>
            </w:r>
          </w:p>
        </w:tc>
        <w:tc>
          <w:tcPr>
            <w:tcW w:w="2053" w:type="dxa"/>
            <w:tcBorders>
              <w:top w:val="nil"/>
              <w:left w:val="nil"/>
              <w:bottom w:val="single" w:sz="4" w:space="0" w:color="auto"/>
              <w:right w:val="single" w:sz="4" w:space="0" w:color="auto"/>
            </w:tcBorders>
            <w:shd w:val="clear" w:color="000000" w:fill="FFFFFF"/>
            <w:vAlign w:val="center"/>
            <w:hideMark/>
          </w:tcPr>
          <w:p w14:paraId="5B30144D" w14:textId="60BC7041" w:rsidR="00D95BA6" w:rsidRPr="00D95BA6" w:rsidRDefault="008D6FE4"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 xml:space="preserve">S2.1.1 </w:t>
            </w:r>
            <w:r w:rsidRPr="008D6FE4">
              <w:rPr>
                <w:rFonts w:ascii="Arial Narrow" w:eastAsia="Times New Roman" w:hAnsi="Arial Narrow"/>
                <w:color w:val="000000"/>
                <w:sz w:val="18"/>
                <w:szCs w:val="18"/>
              </w:rPr>
              <w:t>Fortalecimiento de capacidades en actividades productivas de la cadena forestal y fauna silvestre de forma satisfactoria dirigido a profesionales y técnicos forestales y de fauna silvestre</w:t>
            </w:r>
          </w:p>
        </w:tc>
        <w:tc>
          <w:tcPr>
            <w:tcW w:w="1491" w:type="dxa"/>
            <w:tcBorders>
              <w:top w:val="nil"/>
              <w:left w:val="nil"/>
              <w:bottom w:val="single" w:sz="4" w:space="0" w:color="auto"/>
              <w:right w:val="single" w:sz="4" w:space="0" w:color="auto"/>
            </w:tcBorders>
            <w:shd w:val="clear" w:color="000000" w:fill="FFFFFF"/>
            <w:vAlign w:val="center"/>
            <w:hideMark/>
          </w:tcPr>
          <w:p w14:paraId="5E87AE07"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 Política Nacional de Competitividad y Productividad</w:t>
            </w:r>
          </w:p>
        </w:tc>
        <w:tc>
          <w:tcPr>
            <w:tcW w:w="1678" w:type="dxa"/>
            <w:tcBorders>
              <w:top w:val="nil"/>
              <w:left w:val="nil"/>
              <w:bottom w:val="single" w:sz="4" w:space="0" w:color="auto"/>
              <w:right w:val="single" w:sz="4" w:space="0" w:color="auto"/>
            </w:tcBorders>
            <w:shd w:val="clear" w:color="auto" w:fill="auto"/>
            <w:vAlign w:val="center"/>
            <w:hideMark/>
          </w:tcPr>
          <w:p w14:paraId="162C3D81"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OP2 Fortalecer</w:t>
            </w:r>
            <w:r w:rsidRPr="00D95BA6">
              <w:rPr>
                <w:rFonts w:ascii="Arial Narrow" w:eastAsia="Times New Roman" w:hAnsi="Arial Narrow"/>
                <w:color w:val="000000"/>
                <w:sz w:val="18"/>
                <w:szCs w:val="18"/>
              </w:rPr>
              <w:br/>
              <w:t>el capital humano</w:t>
            </w:r>
          </w:p>
        </w:tc>
        <w:tc>
          <w:tcPr>
            <w:tcW w:w="1985" w:type="dxa"/>
            <w:tcBorders>
              <w:top w:val="nil"/>
              <w:left w:val="nil"/>
              <w:bottom w:val="single" w:sz="4" w:space="0" w:color="auto"/>
              <w:right w:val="single" w:sz="4" w:space="0" w:color="auto"/>
            </w:tcBorders>
            <w:shd w:val="clear" w:color="auto" w:fill="auto"/>
            <w:vAlign w:val="center"/>
            <w:hideMark/>
          </w:tcPr>
          <w:p w14:paraId="3A40341D" w14:textId="636005C4"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Desarrollar mecanismos para la articulación entre la oferta</w:t>
            </w:r>
            <w:r>
              <w:rPr>
                <w:rFonts w:ascii="Arial Narrow" w:eastAsia="Times New Roman" w:hAnsi="Arial Narrow"/>
                <w:color w:val="000000"/>
                <w:sz w:val="18"/>
                <w:szCs w:val="18"/>
              </w:rPr>
              <w:t xml:space="preserve"> </w:t>
            </w:r>
            <w:r w:rsidRPr="00D95BA6">
              <w:rPr>
                <w:rFonts w:ascii="Arial Narrow" w:eastAsia="Times New Roman" w:hAnsi="Arial Narrow"/>
                <w:color w:val="000000"/>
                <w:sz w:val="18"/>
                <w:szCs w:val="18"/>
              </w:rPr>
              <w:t>formativa y los requisitos actuales y futuros del mercado laboral</w:t>
            </w:r>
            <w:r w:rsidRPr="00D95BA6">
              <w:rPr>
                <w:rFonts w:ascii="Arial Narrow" w:eastAsia="Times New Roman" w:hAnsi="Arial Narrow"/>
                <w:color w:val="000000"/>
                <w:sz w:val="18"/>
                <w:szCs w:val="18"/>
              </w:rPr>
              <w:br/>
              <w:t>que respondan a criterios de innovación y competitividad para</w:t>
            </w:r>
            <w:r w:rsidRPr="00D95BA6">
              <w:rPr>
                <w:rFonts w:ascii="Arial Narrow" w:eastAsia="Times New Roman" w:hAnsi="Arial Narrow"/>
                <w:color w:val="000000"/>
                <w:sz w:val="18"/>
                <w:szCs w:val="18"/>
              </w:rPr>
              <w:br/>
              <w:t>la economía peruana</w:t>
            </w:r>
          </w:p>
        </w:tc>
        <w:tc>
          <w:tcPr>
            <w:tcW w:w="2126" w:type="dxa"/>
            <w:tcBorders>
              <w:top w:val="nil"/>
              <w:left w:val="nil"/>
              <w:bottom w:val="single" w:sz="4" w:space="0" w:color="auto"/>
              <w:right w:val="single" w:sz="4" w:space="0" w:color="auto"/>
            </w:tcBorders>
            <w:shd w:val="clear" w:color="auto" w:fill="auto"/>
            <w:vAlign w:val="center"/>
            <w:hideMark/>
          </w:tcPr>
          <w:p w14:paraId="4C1C037E" w14:textId="77777777" w:rsidR="00D95BA6" w:rsidRPr="00D95BA6" w:rsidRDefault="00D95BA6" w:rsidP="00D95BA6">
            <w:pPr>
              <w:spacing w:after="0" w:line="240" w:lineRule="auto"/>
              <w:jc w:val="center"/>
              <w:rPr>
                <w:rFonts w:ascii="Arial Narrow" w:eastAsia="Times New Roman" w:hAnsi="Arial Narrow"/>
                <w:color w:val="000000"/>
                <w:sz w:val="18"/>
                <w:szCs w:val="18"/>
              </w:rPr>
            </w:pPr>
            <w:r w:rsidRPr="00D95BA6">
              <w:rPr>
                <w:rFonts w:ascii="Arial Narrow" w:eastAsia="Times New Roman" w:hAnsi="Arial Narrow"/>
                <w:color w:val="000000"/>
                <w:sz w:val="18"/>
                <w:szCs w:val="18"/>
              </w:rPr>
              <w:t>(no posee servicios)</w:t>
            </w:r>
          </w:p>
        </w:tc>
        <w:tc>
          <w:tcPr>
            <w:tcW w:w="2716" w:type="dxa"/>
            <w:vMerge/>
            <w:tcBorders>
              <w:top w:val="nil"/>
              <w:left w:val="single" w:sz="4" w:space="0" w:color="auto"/>
              <w:bottom w:val="single" w:sz="4" w:space="0" w:color="000000"/>
              <w:right w:val="single" w:sz="4" w:space="0" w:color="auto"/>
            </w:tcBorders>
            <w:vAlign w:val="center"/>
            <w:hideMark/>
          </w:tcPr>
          <w:p w14:paraId="69BED322" w14:textId="77777777" w:rsidR="00D95BA6" w:rsidRPr="00D95BA6" w:rsidRDefault="00D95BA6" w:rsidP="00D95BA6">
            <w:pPr>
              <w:spacing w:after="0" w:line="240" w:lineRule="auto"/>
              <w:rPr>
                <w:rFonts w:ascii="Arial Narrow" w:eastAsia="Times New Roman" w:hAnsi="Arial Narrow"/>
                <w:color w:val="000000"/>
                <w:sz w:val="18"/>
                <w:szCs w:val="18"/>
              </w:rPr>
            </w:pPr>
          </w:p>
        </w:tc>
      </w:tr>
      <w:tr w:rsidR="00D95BA6" w:rsidRPr="00D95BA6" w14:paraId="3389C34D" w14:textId="77777777" w:rsidTr="00D95BA6">
        <w:trPr>
          <w:trHeight w:val="2160"/>
        </w:trPr>
        <w:tc>
          <w:tcPr>
            <w:tcW w:w="1560" w:type="dxa"/>
            <w:vMerge/>
            <w:tcBorders>
              <w:top w:val="nil"/>
              <w:left w:val="single" w:sz="4" w:space="0" w:color="auto"/>
              <w:bottom w:val="single" w:sz="4" w:space="0" w:color="auto"/>
              <w:right w:val="single" w:sz="4" w:space="0" w:color="auto"/>
            </w:tcBorders>
            <w:vAlign w:val="center"/>
            <w:hideMark/>
          </w:tcPr>
          <w:p w14:paraId="7635B860" w14:textId="77777777" w:rsidR="00D95BA6" w:rsidRPr="00D95BA6" w:rsidRDefault="00D95BA6" w:rsidP="00D95BA6">
            <w:pPr>
              <w:spacing w:after="0" w:line="240" w:lineRule="auto"/>
              <w:rPr>
                <w:rFonts w:ascii="Arial Narrow" w:eastAsia="Times New Roman" w:hAnsi="Arial Narrow"/>
                <w:color w:val="000000"/>
                <w:sz w:val="18"/>
                <w:szCs w:val="18"/>
              </w:rPr>
            </w:pPr>
          </w:p>
        </w:tc>
        <w:tc>
          <w:tcPr>
            <w:tcW w:w="1701" w:type="dxa"/>
            <w:tcBorders>
              <w:top w:val="nil"/>
              <w:left w:val="nil"/>
              <w:bottom w:val="single" w:sz="4" w:space="0" w:color="auto"/>
              <w:right w:val="single" w:sz="4" w:space="0" w:color="auto"/>
            </w:tcBorders>
            <w:shd w:val="clear" w:color="000000" w:fill="FFFFFF"/>
            <w:vAlign w:val="center"/>
            <w:hideMark/>
          </w:tcPr>
          <w:p w14:paraId="05EF3217"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L2.2 Incrementar el acceso a financiamiento e incentivos para el desarrollo de las actividades forestales y de fauna silvestre</w:t>
            </w:r>
          </w:p>
        </w:tc>
        <w:tc>
          <w:tcPr>
            <w:tcW w:w="2053" w:type="dxa"/>
            <w:tcBorders>
              <w:top w:val="nil"/>
              <w:left w:val="nil"/>
              <w:bottom w:val="single" w:sz="4" w:space="0" w:color="auto"/>
              <w:right w:val="single" w:sz="4" w:space="0" w:color="auto"/>
            </w:tcBorders>
            <w:shd w:val="clear" w:color="000000" w:fill="FFFFFF"/>
            <w:vAlign w:val="center"/>
            <w:hideMark/>
          </w:tcPr>
          <w:p w14:paraId="44614F88" w14:textId="716C2746"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S2.2.</w:t>
            </w:r>
            <w:r w:rsidR="008D6FE4">
              <w:rPr>
                <w:rFonts w:ascii="Arial Narrow" w:eastAsia="Times New Roman" w:hAnsi="Arial Narrow"/>
                <w:color w:val="000000"/>
                <w:sz w:val="18"/>
                <w:szCs w:val="18"/>
              </w:rPr>
              <w:t>1</w:t>
            </w:r>
            <w:r w:rsidRPr="00D95BA6">
              <w:rPr>
                <w:rFonts w:ascii="Arial Narrow" w:eastAsia="Times New Roman" w:hAnsi="Arial Narrow"/>
                <w:color w:val="000000"/>
                <w:sz w:val="18"/>
                <w:szCs w:val="18"/>
              </w:rPr>
              <w:t xml:space="preserve"> Promoción de mecanismos de financiamiento e incentivos para el desarrollo de actividades productivas en las cadenas forestales y de fauna silvestre de forma satisfactoria dirigido a los usuarios forestales y de fauna silvestre</w:t>
            </w:r>
          </w:p>
        </w:tc>
        <w:tc>
          <w:tcPr>
            <w:tcW w:w="1491" w:type="dxa"/>
            <w:tcBorders>
              <w:top w:val="nil"/>
              <w:left w:val="nil"/>
              <w:bottom w:val="single" w:sz="4" w:space="0" w:color="auto"/>
              <w:right w:val="single" w:sz="4" w:space="0" w:color="auto"/>
            </w:tcBorders>
            <w:shd w:val="clear" w:color="000000" w:fill="FFFFFF"/>
            <w:vAlign w:val="center"/>
            <w:hideMark/>
          </w:tcPr>
          <w:p w14:paraId="6434F091"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Política Nacional Agraria al 2030</w:t>
            </w:r>
          </w:p>
        </w:tc>
        <w:tc>
          <w:tcPr>
            <w:tcW w:w="1678" w:type="dxa"/>
            <w:tcBorders>
              <w:top w:val="nil"/>
              <w:left w:val="nil"/>
              <w:bottom w:val="single" w:sz="4" w:space="0" w:color="auto"/>
              <w:right w:val="single" w:sz="4" w:space="0" w:color="auto"/>
            </w:tcBorders>
            <w:shd w:val="clear" w:color="auto" w:fill="auto"/>
            <w:vAlign w:val="center"/>
            <w:hideMark/>
          </w:tcPr>
          <w:p w14:paraId="5DFDD48C"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OP1. Incrementar el nivel de integración vertical de los productores agrarios en la cadena de valor.</w:t>
            </w:r>
          </w:p>
        </w:tc>
        <w:tc>
          <w:tcPr>
            <w:tcW w:w="1985" w:type="dxa"/>
            <w:tcBorders>
              <w:top w:val="nil"/>
              <w:left w:val="nil"/>
              <w:bottom w:val="single" w:sz="4" w:space="0" w:color="auto"/>
              <w:right w:val="single" w:sz="4" w:space="0" w:color="auto"/>
            </w:tcBorders>
            <w:shd w:val="clear" w:color="auto" w:fill="auto"/>
            <w:vAlign w:val="center"/>
            <w:hideMark/>
          </w:tcPr>
          <w:p w14:paraId="6DCFF1F2"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Mejorar los mecanismos de financiamiento, de aseguramiento agrario, y recursos no reembolsables para los productores agrarios familiares (en transición y consolidados) y empresariales.</w:t>
            </w:r>
          </w:p>
        </w:tc>
        <w:tc>
          <w:tcPr>
            <w:tcW w:w="2126" w:type="dxa"/>
            <w:tcBorders>
              <w:top w:val="nil"/>
              <w:left w:val="nil"/>
              <w:bottom w:val="single" w:sz="4" w:space="0" w:color="auto"/>
              <w:right w:val="single" w:sz="4" w:space="0" w:color="auto"/>
            </w:tcBorders>
            <w:shd w:val="clear" w:color="auto" w:fill="auto"/>
            <w:vAlign w:val="center"/>
            <w:hideMark/>
          </w:tcPr>
          <w:p w14:paraId="5D81D11D" w14:textId="77777777" w:rsidR="00D95BA6" w:rsidRPr="00D95BA6" w:rsidRDefault="00D95BA6" w:rsidP="00D95BA6">
            <w:pPr>
              <w:spacing w:after="0" w:line="240" w:lineRule="auto"/>
              <w:jc w:val="both"/>
              <w:rPr>
                <w:rFonts w:ascii="Arial Narrow" w:eastAsia="Times New Roman" w:hAnsi="Arial Narrow"/>
                <w:color w:val="000000"/>
                <w:sz w:val="18"/>
                <w:szCs w:val="18"/>
              </w:rPr>
            </w:pPr>
            <w:r w:rsidRPr="00D95BA6">
              <w:rPr>
                <w:rFonts w:ascii="Arial Narrow" w:eastAsia="Times New Roman" w:hAnsi="Arial Narrow"/>
                <w:color w:val="000000"/>
                <w:sz w:val="18"/>
                <w:szCs w:val="18"/>
              </w:rPr>
              <w:t>S1.1.1 Servicio de mecanismos</w:t>
            </w:r>
            <w:r w:rsidRPr="00D95BA6">
              <w:rPr>
                <w:rFonts w:ascii="Arial Narrow" w:eastAsia="Times New Roman" w:hAnsi="Arial Narrow"/>
                <w:color w:val="000000"/>
                <w:sz w:val="18"/>
                <w:szCs w:val="18"/>
              </w:rPr>
              <w:br/>
              <w:t>de apoyo para la articulación de los</w:t>
            </w:r>
            <w:r w:rsidRPr="00D95BA6">
              <w:rPr>
                <w:rFonts w:ascii="Arial Narrow" w:eastAsia="Times New Roman" w:hAnsi="Arial Narrow"/>
                <w:color w:val="000000"/>
                <w:sz w:val="18"/>
                <w:szCs w:val="18"/>
              </w:rPr>
              <w:br/>
              <w:t>productores agrarios al mercado.</w:t>
            </w:r>
          </w:p>
        </w:tc>
        <w:tc>
          <w:tcPr>
            <w:tcW w:w="2716" w:type="dxa"/>
            <w:tcBorders>
              <w:top w:val="nil"/>
              <w:left w:val="nil"/>
              <w:bottom w:val="single" w:sz="4" w:space="0" w:color="auto"/>
              <w:right w:val="single" w:sz="4" w:space="0" w:color="auto"/>
            </w:tcBorders>
            <w:shd w:val="clear" w:color="000000" w:fill="FFFFFF"/>
            <w:vAlign w:val="center"/>
            <w:hideMark/>
          </w:tcPr>
          <w:p w14:paraId="58403DA5" w14:textId="77777777" w:rsidR="00D95BA6" w:rsidRPr="00D95BA6" w:rsidRDefault="00D95BA6" w:rsidP="00D95BA6">
            <w:pPr>
              <w:spacing w:after="0" w:line="240" w:lineRule="auto"/>
              <w:jc w:val="both"/>
              <w:rPr>
                <w:rFonts w:ascii="Arial Narrow" w:eastAsia="Times New Roman" w:hAnsi="Arial Narrow"/>
                <w:color w:val="000000"/>
                <w:sz w:val="18"/>
                <w:szCs w:val="18"/>
              </w:rPr>
            </w:pPr>
            <w:r w:rsidRPr="00D95BA6">
              <w:rPr>
                <w:rFonts w:ascii="Arial Narrow" w:eastAsia="Times New Roman" w:hAnsi="Arial Narrow"/>
                <w:color w:val="000000"/>
                <w:sz w:val="18"/>
                <w:szCs w:val="18"/>
              </w:rPr>
              <w:t xml:space="preserve">Los lineamientos y servicios de ambas políticas buscan dotar de recursos financieros a aquellas personas naturales o jurídicas vinculadas a las actividades productivas en el sector agrario (incluye recurso forestal y fauna que es parte del sector) </w:t>
            </w:r>
          </w:p>
        </w:tc>
      </w:tr>
      <w:tr w:rsidR="00D95BA6" w:rsidRPr="00D95BA6" w14:paraId="0AC0BFB2" w14:textId="77777777" w:rsidTr="00D95BA6">
        <w:trPr>
          <w:trHeight w:val="2430"/>
        </w:trPr>
        <w:tc>
          <w:tcPr>
            <w:tcW w:w="1560" w:type="dxa"/>
            <w:vMerge/>
            <w:tcBorders>
              <w:top w:val="nil"/>
              <w:left w:val="single" w:sz="4" w:space="0" w:color="auto"/>
              <w:bottom w:val="single" w:sz="4" w:space="0" w:color="auto"/>
              <w:right w:val="single" w:sz="4" w:space="0" w:color="auto"/>
            </w:tcBorders>
            <w:vAlign w:val="center"/>
            <w:hideMark/>
          </w:tcPr>
          <w:p w14:paraId="47162B14" w14:textId="77777777" w:rsidR="00D95BA6" w:rsidRPr="00D95BA6" w:rsidRDefault="00D95BA6" w:rsidP="00D95BA6">
            <w:pPr>
              <w:spacing w:after="0" w:line="240" w:lineRule="auto"/>
              <w:rPr>
                <w:rFonts w:ascii="Arial Narrow" w:eastAsia="Times New Roman" w:hAnsi="Arial Narrow"/>
                <w:color w:val="000000"/>
                <w:sz w:val="18"/>
                <w:szCs w:val="18"/>
              </w:rPr>
            </w:pPr>
          </w:p>
        </w:tc>
        <w:tc>
          <w:tcPr>
            <w:tcW w:w="1701" w:type="dxa"/>
            <w:tcBorders>
              <w:top w:val="nil"/>
              <w:left w:val="nil"/>
              <w:bottom w:val="nil"/>
              <w:right w:val="single" w:sz="4" w:space="0" w:color="auto"/>
            </w:tcBorders>
            <w:shd w:val="clear" w:color="000000" w:fill="FFFFFF"/>
            <w:vAlign w:val="center"/>
            <w:hideMark/>
          </w:tcPr>
          <w:p w14:paraId="387F6A65"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L2.4 Incrementar la generación de investigaciones e innovación, así como el desarrollo y transferencia de tecnologías en materia forestal y de fauna silvestre, y sus microorganismos asociados, incluyendo sus recursos genéticos</w:t>
            </w:r>
          </w:p>
        </w:tc>
        <w:tc>
          <w:tcPr>
            <w:tcW w:w="2053" w:type="dxa"/>
            <w:tcBorders>
              <w:top w:val="nil"/>
              <w:left w:val="nil"/>
              <w:bottom w:val="single" w:sz="4" w:space="0" w:color="auto"/>
              <w:right w:val="single" w:sz="4" w:space="0" w:color="auto"/>
            </w:tcBorders>
            <w:shd w:val="clear" w:color="000000" w:fill="FFFFFF"/>
            <w:vAlign w:val="center"/>
            <w:hideMark/>
          </w:tcPr>
          <w:p w14:paraId="0B216D27" w14:textId="3674B181"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 xml:space="preserve">S2.4.4 </w:t>
            </w:r>
            <w:r w:rsidR="00017563" w:rsidRPr="00017563">
              <w:rPr>
                <w:rFonts w:ascii="Arial Narrow" w:eastAsia="Times New Roman" w:hAnsi="Arial Narrow"/>
                <w:color w:val="000000"/>
                <w:sz w:val="18"/>
                <w:szCs w:val="18"/>
              </w:rPr>
              <w:t>Investigación, estudios, tecnologías e innovación sobre los recursos forestales y de fauna silvestre de forma pertinente para los usuarios forestales y de fauna silvestre.</w:t>
            </w:r>
          </w:p>
        </w:tc>
        <w:tc>
          <w:tcPr>
            <w:tcW w:w="1491" w:type="dxa"/>
            <w:tcBorders>
              <w:top w:val="nil"/>
              <w:left w:val="nil"/>
              <w:bottom w:val="single" w:sz="4" w:space="0" w:color="auto"/>
              <w:right w:val="single" w:sz="4" w:space="0" w:color="auto"/>
            </w:tcBorders>
            <w:shd w:val="clear" w:color="000000" w:fill="FFFFFF"/>
            <w:vAlign w:val="center"/>
            <w:hideMark/>
          </w:tcPr>
          <w:p w14:paraId="1C651716"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Política Nacional para el Desarrollo de la Ciencia, Tecnología e Innovación Tecnológica</w:t>
            </w:r>
          </w:p>
        </w:tc>
        <w:tc>
          <w:tcPr>
            <w:tcW w:w="1678" w:type="dxa"/>
            <w:tcBorders>
              <w:top w:val="nil"/>
              <w:left w:val="nil"/>
              <w:bottom w:val="single" w:sz="4" w:space="0" w:color="auto"/>
              <w:right w:val="single" w:sz="4" w:space="0" w:color="auto"/>
            </w:tcBorders>
            <w:shd w:val="clear" w:color="auto" w:fill="auto"/>
            <w:vAlign w:val="center"/>
            <w:hideMark/>
          </w:tcPr>
          <w:p w14:paraId="6D335705"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OP 01 Promover la generación y transferencia de conocimiento científico - tecnológico alineando los resultados de investigación con las necesidades del país, las cuales serán definidas con los sectores involucrados.</w:t>
            </w:r>
          </w:p>
        </w:tc>
        <w:tc>
          <w:tcPr>
            <w:tcW w:w="1985" w:type="dxa"/>
            <w:tcBorders>
              <w:top w:val="nil"/>
              <w:left w:val="nil"/>
              <w:bottom w:val="single" w:sz="4" w:space="0" w:color="auto"/>
              <w:right w:val="single" w:sz="4" w:space="0" w:color="auto"/>
            </w:tcBorders>
            <w:shd w:val="clear" w:color="auto" w:fill="auto"/>
            <w:vAlign w:val="center"/>
            <w:hideMark/>
          </w:tcPr>
          <w:p w14:paraId="659E4536"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Promover e incentivar la investigación orientada a la generación de innovaciones que permitan el desarrollo de nuevos productos, servicios y procesos, en coordinación con los sectores competentes.</w:t>
            </w:r>
          </w:p>
        </w:tc>
        <w:tc>
          <w:tcPr>
            <w:tcW w:w="2126" w:type="dxa"/>
            <w:tcBorders>
              <w:top w:val="nil"/>
              <w:left w:val="nil"/>
              <w:bottom w:val="single" w:sz="4" w:space="0" w:color="auto"/>
              <w:right w:val="single" w:sz="4" w:space="0" w:color="auto"/>
            </w:tcBorders>
            <w:shd w:val="clear" w:color="auto" w:fill="auto"/>
            <w:vAlign w:val="center"/>
            <w:hideMark/>
          </w:tcPr>
          <w:p w14:paraId="03D22620" w14:textId="77777777" w:rsidR="00D95BA6" w:rsidRPr="00D95BA6" w:rsidRDefault="00D95BA6" w:rsidP="00D95BA6">
            <w:pPr>
              <w:spacing w:after="0" w:line="240" w:lineRule="auto"/>
              <w:jc w:val="center"/>
              <w:rPr>
                <w:rFonts w:ascii="Arial Narrow" w:eastAsia="Times New Roman" w:hAnsi="Arial Narrow"/>
                <w:color w:val="000000"/>
                <w:sz w:val="18"/>
                <w:szCs w:val="18"/>
              </w:rPr>
            </w:pPr>
            <w:r w:rsidRPr="00D95BA6">
              <w:rPr>
                <w:rFonts w:ascii="Arial Narrow" w:eastAsia="Times New Roman" w:hAnsi="Arial Narrow"/>
                <w:color w:val="000000"/>
                <w:sz w:val="18"/>
                <w:szCs w:val="18"/>
              </w:rPr>
              <w:t>(no posee servicios)</w:t>
            </w:r>
          </w:p>
        </w:tc>
        <w:tc>
          <w:tcPr>
            <w:tcW w:w="2716" w:type="dxa"/>
            <w:tcBorders>
              <w:top w:val="nil"/>
              <w:left w:val="nil"/>
              <w:bottom w:val="single" w:sz="4" w:space="0" w:color="auto"/>
              <w:right w:val="single" w:sz="4" w:space="0" w:color="auto"/>
            </w:tcBorders>
            <w:shd w:val="clear" w:color="000000" w:fill="FFFFFF"/>
            <w:vAlign w:val="center"/>
            <w:hideMark/>
          </w:tcPr>
          <w:p w14:paraId="300D569E" w14:textId="6503E1BE"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Los lineamientos de ambas políticas se orientan a generar conocimiento científico a través de la investigación, siendo esta esencial para el desarrollo productivo de cualquier actividad.</w:t>
            </w:r>
          </w:p>
        </w:tc>
      </w:tr>
      <w:tr w:rsidR="00D95BA6" w:rsidRPr="00D95BA6" w14:paraId="03E88C7F" w14:textId="77777777" w:rsidTr="00D95BA6">
        <w:trPr>
          <w:trHeight w:val="2490"/>
        </w:trPr>
        <w:tc>
          <w:tcPr>
            <w:tcW w:w="1560" w:type="dxa"/>
            <w:vMerge/>
            <w:tcBorders>
              <w:top w:val="nil"/>
              <w:left w:val="single" w:sz="4" w:space="0" w:color="auto"/>
              <w:bottom w:val="single" w:sz="4" w:space="0" w:color="auto"/>
              <w:right w:val="single" w:sz="4" w:space="0" w:color="auto"/>
            </w:tcBorders>
            <w:vAlign w:val="center"/>
            <w:hideMark/>
          </w:tcPr>
          <w:p w14:paraId="1F86D068" w14:textId="77777777" w:rsidR="00D95BA6" w:rsidRPr="00D95BA6" w:rsidRDefault="00D95BA6" w:rsidP="00D95BA6">
            <w:pPr>
              <w:spacing w:after="0" w:line="240" w:lineRule="auto"/>
              <w:rPr>
                <w:rFonts w:ascii="Arial Narrow" w:eastAsia="Times New Roman" w:hAnsi="Arial Narrow"/>
                <w:color w:val="000000"/>
                <w:sz w:val="18"/>
                <w:szCs w:val="18"/>
              </w:rPr>
            </w:pPr>
          </w:p>
        </w:tc>
        <w:tc>
          <w:tcPr>
            <w:tcW w:w="1701" w:type="dxa"/>
            <w:tcBorders>
              <w:top w:val="single" w:sz="4" w:space="0" w:color="auto"/>
              <w:left w:val="nil"/>
              <w:bottom w:val="single" w:sz="4" w:space="0" w:color="auto"/>
              <w:right w:val="single" w:sz="4" w:space="0" w:color="auto"/>
            </w:tcBorders>
            <w:shd w:val="clear" w:color="000000" w:fill="FFFFFF"/>
            <w:vAlign w:val="center"/>
            <w:hideMark/>
          </w:tcPr>
          <w:p w14:paraId="11F5D6DD"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L2.6 Incrementar el comercio nacional e internacional de especímenes, productos y subproductos de flora y fauna silvestre provenientes de actividades de aprovechamiento autorizadas</w:t>
            </w:r>
          </w:p>
        </w:tc>
        <w:tc>
          <w:tcPr>
            <w:tcW w:w="2053" w:type="dxa"/>
            <w:tcBorders>
              <w:top w:val="nil"/>
              <w:left w:val="nil"/>
              <w:bottom w:val="single" w:sz="4" w:space="0" w:color="auto"/>
              <w:right w:val="single" w:sz="4" w:space="0" w:color="auto"/>
            </w:tcBorders>
            <w:shd w:val="clear" w:color="000000" w:fill="FFFFFF"/>
            <w:vAlign w:val="center"/>
            <w:hideMark/>
          </w:tcPr>
          <w:p w14:paraId="1F408ECA" w14:textId="720796FC"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 xml:space="preserve">S2.6.3 </w:t>
            </w:r>
            <w:r w:rsidR="008D6FE4" w:rsidRPr="008D6FE4">
              <w:rPr>
                <w:rFonts w:ascii="Arial Narrow" w:eastAsia="Times New Roman" w:hAnsi="Arial Narrow"/>
                <w:color w:val="000000"/>
                <w:sz w:val="18"/>
                <w:szCs w:val="18"/>
              </w:rPr>
              <w:t>Promoción de la oferta exportable de nuevas especies de productos maderables de valor agregado de forma oportuna en beneficio de exportadores y potenciales exportadores forestales</w:t>
            </w:r>
          </w:p>
        </w:tc>
        <w:tc>
          <w:tcPr>
            <w:tcW w:w="1491" w:type="dxa"/>
            <w:tcBorders>
              <w:top w:val="nil"/>
              <w:left w:val="nil"/>
              <w:bottom w:val="single" w:sz="4" w:space="0" w:color="auto"/>
              <w:right w:val="single" w:sz="4" w:space="0" w:color="auto"/>
            </w:tcBorders>
            <w:shd w:val="clear" w:color="000000" w:fill="FFFFFF"/>
            <w:vAlign w:val="center"/>
            <w:hideMark/>
          </w:tcPr>
          <w:p w14:paraId="0AB29F32"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Política Nacional en Comercio Exterior – PENX</w:t>
            </w:r>
          </w:p>
        </w:tc>
        <w:tc>
          <w:tcPr>
            <w:tcW w:w="1678" w:type="dxa"/>
            <w:tcBorders>
              <w:top w:val="nil"/>
              <w:left w:val="nil"/>
              <w:bottom w:val="single" w:sz="4" w:space="0" w:color="auto"/>
              <w:right w:val="single" w:sz="4" w:space="0" w:color="auto"/>
            </w:tcBorders>
            <w:shd w:val="clear" w:color="auto" w:fill="auto"/>
            <w:vAlign w:val="center"/>
            <w:hideMark/>
          </w:tcPr>
          <w:p w14:paraId="01920368" w14:textId="4D39530D"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OP 01</w:t>
            </w:r>
            <w:r>
              <w:rPr>
                <w:rFonts w:ascii="Arial Narrow" w:eastAsia="Times New Roman" w:hAnsi="Arial Narrow"/>
                <w:color w:val="000000"/>
                <w:sz w:val="18"/>
                <w:szCs w:val="18"/>
              </w:rPr>
              <w:t xml:space="preserve"> </w:t>
            </w:r>
            <w:r w:rsidRPr="00D95BA6">
              <w:rPr>
                <w:rFonts w:ascii="Arial Narrow" w:eastAsia="Times New Roman" w:hAnsi="Arial Narrow"/>
                <w:color w:val="000000"/>
                <w:sz w:val="18"/>
                <w:szCs w:val="18"/>
              </w:rPr>
              <w:t>Internacionalización de la empresa y diversificación de mercados</w:t>
            </w:r>
          </w:p>
        </w:tc>
        <w:tc>
          <w:tcPr>
            <w:tcW w:w="1985" w:type="dxa"/>
            <w:tcBorders>
              <w:top w:val="nil"/>
              <w:left w:val="nil"/>
              <w:bottom w:val="single" w:sz="4" w:space="0" w:color="auto"/>
              <w:right w:val="single" w:sz="4" w:space="0" w:color="auto"/>
            </w:tcBorders>
            <w:shd w:val="clear" w:color="auto" w:fill="auto"/>
            <w:vAlign w:val="center"/>
            <w:hideMark/>
          </w:tcPr>
          <w:p w14:paraId="59994FC6"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1.5 Consolidación de la presencia y promoción comercial del Perú en el exterior</w:t>
            </w:r>
          </w:p>
        </w:tc>
        <w:tc>
          <w:tcPr>
            <w:tcW w:w="2126" w:type="dxa"/>
            <w:tcBorders>
              <w:top w:val="nil"/>
              <w:left w:val="nil"/>
              <w:bottom w:val="single" w:sz="4" w:space="0" w:color="auto"/>
              <w:right w:val="single" w:sz="4" w:space="0" w:color="auto"/>
            </w:tcBorders>
            <w:shd w:val="clear" w:color="auto" w:fill="auto"/>
            <w:vAlign w:val="center"/>
            <w:hideMark/>
          </w:tcPr>
          <w:p w14:paraId="69963219"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(no presenta servicios)</w:t>
            </w:r>
          </w:p>
        </w:tc>
        <w:tc>
          <w:tcPr>
            <w:tcW w:w="2716" w:type="dxa"/>
            <w:tcBorders>
              <w:top w:val="nil"/>
              <w:left w:val="nil"/>
              <w:bottom w:val="single" w:sz="4" w:space="0" w:color="auto"/>
              <w:right w:val="single" w:sz="4" w:space="0" w:color="auto"/>
            </w:tcBorders>
            <w:shd w:val="clear" w:color="000000" w:fill="FFFFFF"/>
            <w:vAlign w:val="center"/>
            <w:hideMark/>
          </w:tcPr>
          <w:p w14:paraId="420CE636"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Los lineamientos de ambas políticas buscan incrementar el comercio internacional de tal forma que las empresas nacionales se posiciones en mercados del exterior.</w:t>
            </w:r>
          </w:p>
        </w:tc>
      </w:tr>
      <w:tr w:rsidR="00D95BA6" w:rsidRPr="00D95BA6" w14:paraId="207E0387" w14:textId="77777777" w:rsidTr="00D95BA6">
        <w:trPr>
          <w:trHeight w:val="2160"/>
        </w:trPr>
        <w:tc>
          <w:tcPr>
            <w:tcW w:w="156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B62A6AD" w14:textId="77777777" w:rsidR="00D95BA6" w:rsidRPr="00D95BA6" w:rsidRDefault="00D95BA6" w:rsidP="00D95BA6">
            <w:pPr>
              <w:spacing w:after="0" w:line="240" w:lineRule="auto"/>
              <w:jc w:val="center"/>
              <w:rPr>
                <w:rFonts w:ascii="Arial Narrow" w:eastAsia="Times New Roman" w:hAnsi="Arial Narrow"/>
                <w:color w:val="000000"/>
                <w:sz w:val="18"/>
                <w:szCs w:val="18"/>
              </w:rPr>
            </w:pPr>
            <w:r w:rsidRPr="00D95BA6">
              <w:rPr>
                <w:rFonts w:ascii="Arial Narrow" w:eastAsia="Times New Roman" w:hAnsi="Arial Narrow"/>
                <w:color w:val="000000"/>
                <w:sz w:val="18"/>
                <w:szCs w:val="18"/>
              </w:rPr>
              <w:t>Fortalecer la gobernanza forestal y de fauna silvestre</w:t>
            </w:r>
          </w:p>
        </w:tc>
        <w:tc>
          <w:tcPr>
            <w:tcW w:w="1701" w:type="dxa"/>
            <w:tcBorders>
              <w:top w:val="nil"/>
              <w:left w:val="nil"/>
              <w:bottom w:val="single" w:sz="4" w:space="0" w:color="auto"/>
              <w:right w:val="single" w:sz="4" w:space="0" w:color="auto"/>
            </w:tcBorders>
            <w:shd w:val="clear" w:color="000000" w:fill="FFFFFF"/>
            <w:vAlign w:val="center"/>
            <w:hideMark/>
          </w:tcPr>
          <w:p w14:paraId="62A0F9B6"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L3.3 Gestionar la información y el conocimiento en materia forestal y de fauna silvestre producido por los actores forestales y de fauna silvestre</w:t>
            </w:r>
          </w:p>
        </w:tc>
        <w:tc>
          <w:tcPr>
            <w:tcW w:w="2053" w:type="dxa"/>
            <w:tcBorders>
              <w:top w:val="nil"/>
              <w:left w:val="nil"/>
              <w:bottom w:val="single" w:sz="4" w:space="0" w:color="auto"/>
              <w:right w:val="single" w:sz="4" w:space="0" w:color="auto"/>
            </w:tcBorders>
            <w:shd w:val="clear" w:color="000000" w:fill="FFFFFF"/>
            <w:vAlign w:val="center"/>
            <w:hideMark/>
          </w:tcPr>
          <w:p w14:paraId="5498A42A" w14:textId="231942AA"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 xml:space="preserve">S3.3.2 </w:t>
            </w:r>
            <w:r w:rsidR="008D6FE4" w:rsidRPr="008D6FE4">
              <w:rPr>
                <w:rFonts w:ascii="Arial Narrow" w:eastAsia="Times New Roman" w:hAnsi="Arial Narrow"/>
                <w:color w:val="000000"/>
                <w:sz w:val="18"/>
                <w:szCs w:val="18"/>
              </w:rPr>
              <w:t>Difusión de información sobre supervisión, fiscalización y capacitación de forma accesible para las entidades públicas, privadas y sociedad civil.</w:t>
            </w:r>
          </w:p>
        </w:tc>
        <w:tc>
          <w:tcPr>
            <w:tcW w:w="1491" w:type="dxa"/>
            <w:tcBorders>
              <w:top w:val="nil"/>
              <w:left w:val="nil"/>
              <w:bottom w:val="single" w:sz="4" w:space="0" w:color="auto"/>
              <w:right w:val="single" w:sz="4" w:space="0" w:color="auto"/>
            </w:tcBorders>
            <w:shd w:val="clear" w:color="000000" w:fill="FFFFFF"/>
            <w:vAlign w:val="center"/>
            <w:hideMark/>
          </w:tcPr>
          <w:p w14:paraId="7EDED26B"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Política Nacional de Ambiente al 2030</w:t>
            </w:r>
          </w:p>
        </w:tc>
        <w:tc>
          <w:tcPr>
            <w:tcW w:w="1678" w:type="dxa"/>
            <w:tcBorders>
              <w:top w:val="nil"/>
              <w:left w:val="nil"/>
              <w:bottom w:val="single" w:sz="4" w:space="0" w:color="auto"/>
              <w:right w:val="single" w:sz="4" w:space="0" w:color="auto"/>
            </w:tcBorders>
            <w:shd w:val="clear" w:color="auto" w:fill="auto"/>
            <w:vAlign w:val="center"/>
            <w:hideMark/>
          </w:tcPr>
          <w:p w14:paraId="453B5A0B"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 xml:space="preserve">OP 6 Fortalecer la Gobernanza ambiental con enfoque territorial en las entidades públicas y privadas </w:t>
            </w:r>
          </w:p>
        </w:tc>
        <w:tc>
          <w:tcPr>
            <w:tcW w:w="1985" w:type="dxa"/>
            <w:tcBorders>
              <w:top w:val="nil"/>
              <w:left w:val="nil"/>
              <w:bottom w:val="single" w:sz="4" w:space="0" w:color="auto"/>
              <w:right w:val="single" w:sz="4" w:space="0" w:color="auto"/>
            </w:tcBorders>
            <w:shd w:val="clear" w:color="auto" w:fill="auto"/>
            <w:vAlign w:val="center"/>
            <w:hideMark/>
          </w:tcPr>
          <w:p w14:paraId="10FA258D"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6.9 Mejorar la calidad de la información ambiental, los estudios e investigaciones técnicas y científicas aplicadas.</w:t>
            </w:r>
          </w:p>
        </w:tc>
        <w:tc>
          <w:tcPr>
            <w:tcW w:w="2126" w:type="dxa"/>
            <w:tcBorders>
              <w:top w:val="nil"/>
              <w:left w:val="nil"/>
              <w:bottom w:val="single" w:sz="4" w:space="0" w:color="auto"/>
              <w:right w:val="single" w:sz="4" w:space="0" w:color="auto"/>
            </w:tcBorders>
            <w:shd w:val="clear" w:color="auto" w:fill="auto"/>
            <w:vAlign w:val="center"/>
            <w:hideMark/>
          </w:tcPr>
          <w:p w14:paraId="677F459F" w14:textId="6FC304BF"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S12 Fortalecimiento del Sistema</w:t>
            </w:r>
            <w:r>
              <w:rPr>
                <w:rFonts w:ascii="Arial Narrow" w:eastAsia="Times New Roman" w:hAnsi="Arial Narrow"/>
                <w:color w:val="000000"/>
                <w:sz w:val="18"/>
                <w:szCs w:val="18"/>
              </w:rPr>
              <w:t xml:space="preserve"> </w:t>
            </w:r>
            <w:r w:rsidRPr="00D95BA6">
              <w:rPr>
                <w:rFonts w:ascii="Arial Narrow" w:eastAsia="Times New Roman" w:hAnsi="Arial Narrow"/>
                <w:color w:val="000000"/>
                <w:sz w:val="18"/>
                <w:szCs w:val="18"/>
              </w:rPr>
              <w:t>Nacional de Información Ambiental</w:t>
            </w:r>
            <w:r w:rsidRPr="00D95BA6">
              <w:rPr>
                <w:rFonts w:ascii="Arial Narrow" w:eastAsia="Times New Roman" w:hAnsi="Arial Narrow"/>
                <w:color w:val="000000"/>
                <w:sz w:val="18"/>
                <w:szCs w:val="18"/>
              </w:rPr>
              <w:br/>
              <w:t>(SINIA), de manera accesible</w:t>
            </w:r>
          </w:p>
        </w:tc>
        <w:tc>
          <w:tcPr>
            <w:tcW w:w="2716" w:type="dxa"/>
            <w:tcBorders>
              <w:top w:val="nil"/>
              <w:left w:val="nil"/>
              <w:bottom w:val="single" w:sz="4" w:space="0" w:color="auto"/>
              <w:right w:val="single" w:sz="4" w:space="0" w:color="auto"/>
            </w:tcBorders>
            <w:shd w:val="clear" w:color="000000" w:fill="FFFFFF"/>
            <w:vAlign w:val="center"/>
            <w:hideMark/>
          </w:tcPr>
          <w:p w14:paraId="189ED5D5" w14:textId="2831DB33"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Los lineamientos y servicios de ambas políticas buscan la gestión de la información y el conocimiento producido por los actores públicos privado y comunidades indígenas; asimismo, buscan el intercambio de información con el objetivo de promover conocimiento y comunicar la información ambiental para el uso sostenible de los recursos naturales.</w:t>
            </w:r>
          </w:p>
        </w:tc>
      </w:tr>
      <w:tr w:rsidR="00D95BA6" w:rsidRPr="00D95BA6" w14:paraId="5E496DE7" w14:textId="77777777" w:rsidTr="00D95BA6">
        <w:trPr>
          <w:trHeight w:val="2190"/>
        </w:trPr>
        <w:tc>
          <w:tcPr>
            <w:tcW w:w="1560" w:type="dxa"/>
            <w:vMerge/>
            <w:tcBorders>
              <w:top w:val="nil"/>
              <w:left w:val="single" w:sz="4" w:space="0" w:color="auto"/>
              <w:bottom w:val="single" w:sz="4" w:space="0" w:color="000000"/>
              <w:right w:val="single" w:sz="4" w:space="0" w:color="auto"/>
            </w:tcBorders>
            <w:vAlign w:val="center"/>
            <w:hideMark/>
          </w:tcPr>
          <w:p w14:paraId="1D5A1FE5" w14:textId="77777777" w:rsidR="00D95BA6" w:rsidRPr="00D95BA6" w:rsidRDefault="00D95BA6" w:rsidP="00D95BA6">
            <w:pPr>
              <w:spacing w:after="0" w:line="240" w:lineRule="auto"/>
              <w:rPr>
                <w:rFonts w:ascii="Arial Narrow" w:eastAsia="Times New Roman" w:hAnsi="Arial Narrow"/>
                <w:color w:val="000000"/>
                <w:sz w:val="18"/>
                <w:szCs w:val="18"/>
              </w:rPr>
            </w:pPr>
          </w:p>
        </w:tc>
        <w:tc>
          <w:tcPr>
            <w:tcW w:w="1701" w:type="dxa"/>
            <w:tcBorders>
              <w:top w:val="nil"/>
              <w:left w:val="nil"/>
              <w:bottom w:val="single" w:sz="4" w:space="0" w:color="auto"/>
              <w:right w:val="single" w:sz="4" w:space="0" w:color="auto"/>
            </w:tcBorders>
            <w:shd w:val="clear" w:color="000000" w:fill="FFFFFF"/>
            <w:vAlign w:val="center"/>
            <w:hideMark/>
          </w:tcPr>
          <w:p w14:paraId="25866378"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L3.5 Sensibilizar sobre el valor e importancia de los bienes y servicios que brindan los ecosistemas forestales, otros ecosistemas de vegetación silvestre y de la fauna silvestre a la población</w:t>
            </w:r>
          </w:p>
        </w:tc>
        <w:tc>
          <w:tcPr>
            <w:tcW w:w="2053" w:type="dxa"/>
            <w:tcBorders>
              <w:top w:val="nil"/>
              <w:left w:val="nil"/>
              <w:bottom w:val="single" w:sz="4" w:space="0" w:color="auto"/>
              <w:right w:val="single" w:sz="4" w:space="0" w:color="auto"/>
            </w:tcBorders>
            <w:shd w:val="clear" w:color="000000" w:fill="FFFFFF"/>
            <w:vAlign w:val="center"/>
            <w:hideMark/>
          </w:tcPr>
          <w:p w14:paraId="2FA2ACD0"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S3.5.1 Sensibilización sobre la conservación y aprovechamiento sostenible de los recursos forestales y de fauna silvestre con pertinencia cultural dirigido a la población en general</w:t>
            </w:r>
          </w:p>
        </w:tc>
        <w:tc>
          <w:tcPr>
            <w:tcW w:w="1491" w:type="dxa"/>
            <w:tcBorders>
              <w:top w:val="nil"/>
              <w:left w:val="nil"/>
              <w:bottom w:val="single" w:sz="4" w:space="0" w:color="auto"/>
              <w:right w:val="single" w:sz="4" w:space="0" w:color="auto"/>
            </w:tcBorders>
            <w:shd w:val="clear" w:color="000000" w:fill="FFFFFF"/>
            <w:vAlign w:val="center"/>
            <w:hideMark/>
          </w:tcPr>
          <w:p w14:paraId="0ECC8693"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Política Nacional de Ambiente al 2030</w:t>
            </w:r>
          </w:p>
        </w:tc>
        <w:tc>
          <w:tcPr>
            <w:tcW w:w="1678" w:type="dxa"/>
            <w:tcBorders>
              <w:top w:val="nil"/>
              <w:left w:val="nil"/>
              <w:bottom w:val="single" w:sz="4" w:space="0" w:color="auto"/>
              <w:right w:val="single" w:sz="4" w:space="0" w:color="auto"/>
            </w:tcBorders>
            <w:shd w:val="clear" w:color="auto" w:fill="auto"/>
            <w:vAlign w:val="center"/>
            <w:hideMark/>
          </w:tcPr>
          <w:p w14:paraId="5753752A"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 xml:space="preserve">OP9 Mejorar el comportamiento ambiental de la ciudadanía </w:t>
            </w:r>
          </w:p>
        </w:tc>
        <w:tc>
          <w:tcPr>
            <w:tcW w:w="1985" w:type="dxa"/>
            <w:tcBorders>
              <w:top w:val="nil"/>
              <w:left w:val="nil"/>
              <w:bottom w:val="single" w:sz="4" w:space="0" w:color="auto"/>
              <w:right w:val="single" w:sz="4" w:space="0" w:color="auto"/>
            </w:tcBorders>
            <w:shd w:val="clear" w:color="auto" w:fill="auto"/>
            <w:vAlign w:val="center"/>
            <w:hideMark/>
          </w:tcPr>
          <w:p w14:paraId="37C2BC34" w14:textId="77777777"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3. Mejorar la sostenibilidad de la acción ciudadana en materia ambiental</w:t>
            </w:r>
          </w:p>
        </w:tc>
        <w:tc>
          <w:tcPr>
            <w:tcW w:w="2126" w:type="dxa"/>
            <w:tcBorders>
              <w:top w:val="nil"/>
              <w:left w:val="nil"/>
              <w:bottom w:val="single" w:sz="4" w:space="0" w:color="auto"/>
              <w:right w:val="single" w:sz="4" w:space="0" w:color="auto"/>
            </w:tcBorders>
            <w:shd w:val="clear" w:color="auto" w:fill="auto"/>
            <w:vAlign w:val="center"/>
            <w:hideMark/>
          </w:tcPr>
          <w:p w14:paraId="44BAD89A" w14:textId="3456C85D"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S3 Fortalecimiento de capacidades</w:t>
            </w:r>
            <w:r>
              <w:rPr>
                <w:rFonts w:ascii="Arial Narrow" w:eastAsia="Times New Roman" w:hAnsi="Arial Narrow"/>
                <w:color w:val="000000"/>
                <w:sz w:val="18"/>
                <w:szCs w:val="18"/>
              </w:rPr>
              <w:t xml:space="preserve"> </w:t>
            </w:r>
            <w:r w:rsidRPr="00D95BA6">
              <w:rPr>
                <w:rFonts w:ascii="Arial Narrow" w:eastAsia="Times New Roman" w:hAnsi="Arial Narrow"/>
                <w:color w:val="000000"/>
                <w:sz w:val="18"/>
                <w:szCs w:val="18"/>
              </w:rPr>
              <w:t>dirigida a los gobiernos locales y</w:t>
            </w:r>
            <w:r w:rsidRPr="00D95BA6">
              <w:rPr>
                <w:rFonts w:ascii="Arial Narrow" w:eastAsia="Times New Roman" w:hAnsi="Arial Narrow"/>
                <w:color w:val="000000"/>
                <w:sz w:val="18"/>
                <w:szCs w:val="18"/>
              </w:rPr>
              <w:br/>
              <w:t>regionales para la participación</w:t>
            </w:r>
            <w:r>
              <w:rPr>
                <w:rFonts w:ascii="Arial Narrow" w:eastAsia="Times New Roman" w:hAnsi="Arial Narrow"/>
                <w:color w:val="000000"/>
                <w:sz w:val="18"/>
                <w:szCs w:val="18"/>
              </w:rPr>
              <w:t xml:space="preserve"> </w:t>
            </w:r>
            <w:r w:rsidRPr="00D95BA6">
              <w:rPr>
                <w:rFonts w:ascii="Arial Narrow" w:eastAsia="Times New Roman" w:hAnsi="Arial Narrow"/>
                <w:color w:val="000000"/>
                <w:sz w:val="18"/>
                <w:szCs w:val="18"/>
              </w:rPr>
              <w:t>ciudadana en la gestión ambiental</w:t>
            </w:r>
          </w:p>
        </w:tc>
        <w:tc>
          <w:tcPr>
            <w:tcW w:w="2716" w:type="dxa"/>
            <w:tcBorders>
              <w:top w:val="nil"/>
              <w:left w:val="nil"/>
              <w:bottom w:val="single" w:sz="4" w:space="0" w:color="auto"/>
              <w:right w:val="single" w:sz="4" w:space="0" w:color="auto"/>
            </w:tcBorders>
            <w:shd w:val="clear" w:color="000000" w:fill="FFFFFF"/>
            <w:vAlign w:val="center"/>
            <w:hideMark/>
          </w:tcPr>
          <w:p w14:paraId="4F14713F" w14:textId="7BA4B074" w:rsidR="00D95BA6" w:rsidRPr="00D95BA6" w:rsidRDefault="00D95BA6" w:rsidP="00D95BA6">
            <w:pPr>
              <w:spacing w:after="0" w:line="240" w:lineRule="auto"/>
              <w:rPr>
                <w:rFonts w:ascii="Arial Narrow" w:eastAsia="Times New Roman" w:hAnsi="Arial Narrow"/>
                <w:color w:val="000000"/>
                <w:sz w:val="18"/>
                <w:szCs w:val="18"/>
              </w:rPr>
            </w:pPr>
            <w:r w:rsidRPr="00D95BA6">
              <w:rPr>
                <w:rFonts w:ascii="Arial Narrow" w:eastAsia="Times New Roman" w:hAnsi="Arial Narrow"/>
                <w:color w:val="000000"/>
                <w:sz w:val="18"/>
                <w:szCs w:val="18"/>
              </w:rPr>
              <w:t>Los lineamientos y servicios de ambas políticas se relacionan al buscar el mayor involucramiento de los actores locales y ciudadanía en general, para la conservación de nuestro ambiente en general del cual forma parte los ecosistemas naturales y los recursos presentes</w:t>
            </w:r>
            <w:r>
              <w:rPr>
                <w:rFonts w:ascii="Arial Narrow" w:eastAsia="Times New Roman" w:hAnsi="Arial Narrow"/>
                <w:color w:val="000000"/>
                <w:sz w:val="18"/>
                <w:szCs w:val="18"/>
              </w:rPr>
              <w:t xml:space="preserve"> en ellos.</w:t>
            </w:r>
          </w:p>
        </w:tc>
      </w:tr>
    </w:tbl>
    <w:p w14:paraId="4C433C21" w14:textId="77777777" w:rsidR="00237AFB" w:rsidRDefault="00237AFB" w:rsidP="00237AFB">
      <w:pPr>
        <w:jc w:val="center"/>
        <w:rPr>
          <w:rFonts w:ascii="Arial Narrow" w:eastAsia="Arial Narrow" w:hAnsi="Arial Narrow" w:cs="Arial Narrow"/>
          <w:b/>
          <w:sz w:val="28"/>
          <w:szCs w:val="28"/>
        </w:rPr>
        <w:sectPr w:rsidR="00237AFB">
          <w:pgSz w:w="16838" w:h="11906" w:orient="landscape"/>
          <w:pgMar w:top="1701" w:right="1418" w:bottom="1701" w:left="1418" w:header="709" w:footer="709" w:gutter="0"/>
          <w:cols w:space="720"/>
        </w:sectPr>
      </w:pPr>
    </w:p>
    <w:p w14:paraId="3EE9FFEE" w14:textId="77777777" w:rsidR="005F15BA" w:rsidRPr="005F008C" w:rsidRDefault="005F15BA" w:rsidP="005F15BA">
      <w:pPr>
        <w:pStyle w:val="Ttulo2"/>
        <w:keepLines w:val="0"/>
        <w:spacing w:before="240" w:after="60"/>
        <w:rPr>
          <w:rFonts w:ascii="Arial Narrow" w:hAnsi="Arial Narrow"/>
          <w:b/>
          <w:color w:val="auto"/>
          <w:sz w:val="22"/>
          <w:szCs w:val="22"/>
          <w:u w:val="single"/>
        </w:rPr>
      </w:pPr>
      <w:bookmarkStart w:id="31" w:name="_Toc119334627"/>
      <w:r w:rsidRPr="005F008C">
        <w:rPr>
          <w:rFonts w:ascii="Arial Narrow" w:hAnsi="Arial Narrow"/>
          <w:b/>
          <w:color w:val="auto"/>
          <w:sz w:val="22"/>
          <w:szCs w:val="22"/>
          <w:u w:val="single"/>
        </w:rPr>
        <w:lastRenderedPageBreak/>
        <w:t>GLOSARIO:</w:t>
      </w:r>
      <w:bookmarkEnd w:id="31"/>
    </w:p>
    <w:p w14:paraId="320C2EE8" w14:textId="77777777" w:rsidR="005F15BA" w:rsidRPr="005F008C" w:rsidRDefault="005F15BA" w:rsidP="005F15BA">
      <w:pPr>
        <w:autoSpaceDE w:val="0"/>
        <w:autoSpaceDN w:val="0"/>
        <w:adjustRightInd w:val="0"/>
        <w:jc w:val="both"/>
        <w:rPr>
          <w:rFonts w:ascii="Arial Narrow" w:hAnsi="Arial Narrow"/>
          <w:b/>
          <w:bCs/>
        </w:rPr>
      </w:pPr>
    </w:p>
    <w:p w14:paraId="1870498F" w14:textId="77777777" w:rsidR="005F15BA" w:rsidRPr="005F008C" w:rsidRDefault="005F15BA" w:rsidP="005F15BA">
      <w:pPr>
        <w:autoSpaceDE w:val="0"/>
        <w:autoSpaceDN w:val="0"/>
        <w:adjustRightInd w:val="0"/>
        <w:jc w:val="both"/>
        <w:rPr>
          <w:rFonts w:ascii="Arial Narrow" w:hAnsi="Arial Narrow"/>
          <w:bCs/>
        </w:rPr>
      </w:pPr>
      <w:r w:rsidRPr="005F008C">
        <w:rPr>
          <w:rFonts w:ascii="Arial Narrow" w:hAnsi="Arial Narrow"/>
          <w:b/>
          <w:bCs/>
        </w:rPr>
        <w:t xml:space="preserve">Aprovechamiento sostenible. - </w:t>
      </w:r>
      <w:r w:rsidRPr="005F008C">
        <w:rPr>
          <w:rFonts w:ascii="Arial Narrow" w:eastAsia="Times New Roman" w:hAnsi="Arial Narrow" w:cs="Arial"/>
          <w:sz w:val="20"/>
          <w:szCs w:val="20"/>
        </w:rPr>
        <w:t>Utilización de los bienes y servicios de los ecosistemas forestales y otros ecosistemas de vegetación silvestre, a través de instrumentos de gestión, de un modo y a un ritmo que no ocasione su disminución a largo plazo, con lo cual se mantienen las posibilidades de satisfacer las necesidades y aspiraciones de las generaciones presentes y futuras.</w:t>
      </w:r>
    </w:p>
    <w:p w14:paraId="26C2AD2C" w14:textId="77777777" w:rsidR="005F15BA" w:rsidRPr="005F008C" w:rsidRDefault="005F15BA" w:rsidP="005F15BA">
      <w:pPr>
        <w:autoSpaceDE w:val="0"/>
        <w:autoSpaceDN w:val="0"/>
        <w:adjustRightInd w:val="0"/>
        <w:jc w:val="both"/>
        <w:rPr>
          <w:rFonts w:ascii="Arial Narrow" w:hAnsi="Arial Narrow"/>
        </w:rPr>
      </w:pPr>
      <w:r w:rsidRPr="005F008C">
        <w:rPr>
          <w:rFonts w:ascii="Arial Narrow" w:hAnsi="Arial Narrow"/>
          <w:b/>
          <w:bCs/>
        </w:rPr>
        <w:t xml:space="preserve">Bosque. - </w:t>
      </w:r>
      <w:r w:rsidRPr="005F008C">
        <w:rPr>
          <w:rFonts w:ascii="Arial Narrow" w:eastAsia="Times New Roman" w:hAnsi="Arial Narrow" w:cs="Arial"/>
          <w:sz w:val="20"/>
          <w:szCs w:val="20"/>
        </w:rPr>
        <w:t>Ecosistema en que predominan especies arbóreas en cualquier estado de desarrollo, cuya cobertura de copa supera el 10% en condiciones áridas o semiáridas o el 25% en circunstancias más favorables.</w:t>
      </w:r>
      <w:r w:rsidRPr="005F008C">
        <w:rPr>
          <w:rFonts w:ascii="Arial Narrow" w:hAnsi="Arial Narrow"/>
        </w:rPr>
        <w:t xml:space="preserve"> </w:t>
      </w:r>
    </w:p>
    <w:p w14:paraId="157A29A2" w14:textId="77777777" w:rsidR="005F15BA" w:rsidRPr="005F008C" w:rsidRDefault="005F15BA" w:rsidP="005F15BA">
      <w:pPr>
        <w:autoSpaceDE w:val="0"/>
        <w:autoSpaceDN w:val="0"/>
        <w:adjustRightInd w:val="0"/>
        <w:jc w:val="both"/>
        <w:rPr>
          <w:rFonts w:ascii="Arial Narrow" w:hAnsi="Arial Narrow"/>
        </w:rPr>
      </w:pPr>
      <w:r w:rsidRPr="005F008C">
        <w:rPr>
          <w:rFonts w:ascii="Arial Narrow" w:hAnsi="Arial Narrow" w:cs="Arial"/>
          <w:b/>
          <w:bCs/>
        </w:rPr>
        <w:t>Comunidades Campesinas:</w:t>
      </w:r>
      <w:r w:rsidRPr="005F008C">
        <w:rPr>
          <w:rFonts w:ascii="Arial Narrow" w:hAnsi="Arial Narrow" w:cs="Arial"/>
        </w:rPr>
        <w:t xml:space="preserve"> </w:t>
      </w:r>
      <w:r w:rsidRPr="005F008C">
        <w:rPr>
          <w:rFonts w:ascii="Arial Narrow" w:eastAsia="Times New Roman" w:hAnsi="Arial Narrow" w:cs="Arial"/>
          <w:sz w:val="20"/>
          <w:szCs w:val="20"/>
        </w:rPr>
        <w:t>Las comunidades campesinas son organizaciones de interés público, con existencia legal y personería jurídica, integradas por familias que habitan y controlan determinados territorios, ligadas por vínculos ancestrales, sociales, económicos y culturales expresados en la propiedad comunal de la tierra, el trabajo comunal, la ayuda mutua, el gobierno democrático y el desarrollo de actividades multisectoriales cuyos fines se orientan a la realización plena de sus miembros y del país.</w:t>
      </w:r>
    </w:p>
    <w:p w14:paraId="0A9BEB9E" w14:textId="77777777" w:rsidR="005F15BA" w:rsidRPr="005F008C" w:rsidRDefault="005F15BA" w:rsidP="005F15BA">
      <w:pPr>
        <w:pStyle w:val="NormalWeb"/>
        <w:shd w:val="clear" w:color="auto" w:fill="FFFFFF"/>
        <w:jc w:val="both"/>
        <w:rPr>
          <w:rFonts w:ascii="Arial Narrow" w:hAnsi="Arial Narrow" w:cs="Arial"/>
          <w:sz w:val="20"/>
          <w:szCs w:val="20"/>
        </w:rPr>
      </w:pPr>
      <w:r w:rsidRPr="005F008C">
        <w:rPr>
          <w:rFonts w:ascii="Arial Narrow" w:eastAsiaTheme="minorHAnsi" w:hAnsi="Arial Narrow" w:cstheme="minorBidi"/>
          <w:b/>
          <w:bCs/>
          <w:sz w:val="22"/>
          <w:szCs w:val="22"/>
          <w:lang w:eastAsia="en-US"/>
        </w:rPr>
        <w:t>Comunidad Nativa:</w:t>
      </w:r>
      <w:r w:rsidRPr="005F008C">
        <w:rPr>
          <w:rFonts w:ascii="Arial Narrow" w:eastAsiaTheme="minorHAnsi" w:hAnsi="Arial Narrow" w:cstheme="minorBidi"/>
          <w:sz w:val="22"/>
          <w:szCs w:val="22"/>
          <w:lang w:eastAsia="en-US"/>
        </w:rPr>
        <w:t xml:space="preserve"> </w:t>
      </w:r>
      <w:r w:rsidRPr="005F008C">
        <w:rPr>
          <w:rFonts w:ascii="Arial Narrow" w:hAnsi="Arial Narrow" w:cs="Arial"/>
          <w:sz w:val="20"/>
          <w:szCs w:val="20"/>
        </w:rPr>
        <w:t>Las comunidades nativas tienen origen en los grupos tribales de la selva y ceja de selva y están constituidas por conjuntos de familias vinculadas por los siguientes elementos principales: idioma o dialecto; características culturales y sociales; y tenencia y usufructo común y permanente de un mismo territorio con asentamiento nucleado o disperso Decreto - </w:t>
      </w:r>
      <w:hyperlink r:id="rId13" w:history="1">
        <w:r w:rsidRPr="005F008C">
          <w:rPr>
            <w:rFonts w:ascii="Arial Narrow" w:hAnsi="Arial Narrow" w:cs="Arial"/>
            <w:sz w:val="20"/>
            <w:szCs w:val="20"/>
          </w:rPr>
          <w:t>Ley 22175</w:t>
        </w:r>
      </w:hyperlink>
      <w:r w:rsidRPr="005F008C">
        <w:rPr>
          <w:rFonts w:ascii="Arial Narrow" w:hAnsi="Arial Narrow" w:cs="Arial"/>
          <w:sz w:val="20"/>
          <w:szCs w:val="20"/>
        </w:rPr>
        <w:t>).</w:t>
      </w:r>
    </w:p>
    <w:p w14:paraId="1AAAD5FB" w14:textId="77777777" w:rsidR="005F15BA" w:rsidRPr="005F008C" w:rsidRDefault="005F15BA" w:rsidP="005F15BA">
      <w:pPr>
        <w:pStyle w:val="NormalWeb"/>
        <w:shd w:val="clear" w:color="auto" w:fill="FFFFFF"/>
        <w:jc w:val="both"/>
        <w:rPr>
          <w:rFonts w:ascii="Arial Narrow" w:hAnsi="Arial Narrow" w:cs="Arial"/>
          <w:sz w:val="20"/>
          <w:szCs w:val="20"/>
        </w:rPr>
      </w:pPr>
      <w:r w:rsidRPr="005F008C">
        <w:rPr>
          <w:rFonts w:ascii="Arial Narrow" w:hAnsi="Arial Narrow" w:cs="Arial"/>
          <w:sz w:val="20"/>
          <w:szCs w:val="20"/>
        </w:rPr>
        <w:t>Éstas son reconocidas mediante Resolución Directoral emitida por la Dirección Regional Agraria correspondiente, en concordancia con la Ley </w:t>
      </w:r>
      <w:hyperlink r:id="rId14" w:history="1">
        <w:r w:rsidRPr="005F008C">
          <w:rPr>
            <w:rFonts w:ascii="Arial Narrow" w:hAnsi="Arial Narrow" w:cs="Arial"/>
            <w:sz w:val="20"/>
            <w:szCs w:val="20"/>
          </w:rPr>
          <w:t>N° 27867</w:t>
        </w:r>
      </w:hyperlink>
      <w:r w:rsidRPr="005F008C">
        <w:rPr>
          <w:rFonts w:ascii="Arial Narrow" w:hAnsi="Arial Narrow" w:cs="Arial"/>
          <w:sz w:val="20"/>
          <w:szCs w:val="20"/>
        </w:rPr>
        <w:t>, Ley Orgánica de los Gobiernos Regionales</w:t>
      </w:r>
    </w:p>
    <w:p w14:paraId="26DFBFE6" w14:textId="77777777" w:rsidR="005F15BA" w:rsidRPr="005F008C" w:rsidRDefault="005F15BA" w:rsidP="005F15BA">
      <w:pPr>
        <w:autoSpaceDE w:val="0"/>
        <w:autoSpaceDN w:val="0"/>
        <w:adjustRightInd w:val="0"/>
        <w:jc w:val="both"/>
        <w:rPr>
          <w:rFonts w:ascii="Arial Narrow" w:hAnsi="Arial Narrow" w:cs="Arial"/>
          <w:b/>
        </w:rPr>
      </w:pPr>
      <w:r w:rsidRPr="005F008C">
        <w:rPr>
          <w:rFonts w:ascii="Arial Narrow" w:hAnsi="Arial Narrow"/>
          <w:b/>
        </w:rPr>
        <w:t>Ecosistema de vegetación silvestre</w:t>
      </w:r>
      <w:r w:rsidRPr="005F008C">
        <w:rPr>
          <w:rFonts w:ascii="Arial Narrow" w:hAnsi="Arial Narrow"/>
        </w:rPr>
        <w:t xml:space="preserve">. - </w:t>
      </w:r>
      <w:r w:rsidRPr="005F008C">
        <w:rPr>
          <w:rFonts w:ascii="Arial Narrow" w:eastAsia="Times New Roman" w:hAnsi="Arial Narrow" w:cs="Arial"/>
          <w:sz w:val="20"/>
          <w:szCs w:val="20"/>
        </w:rPr>
        <w:t>Son espacios con formaciones vegetales de origen natural donde se desarrollan las especies forestales y de fauna silvestre, que tienen la capacidad para proveer bienes y servicios para el hombre y la sociedad.</w:t>
      </w:r>
    </w:p>
    <w:p w14:paraId="70D1997E" w14:textId="77777777" w:rsidR="005F15BA" w:rsidRPr="005F008C" w:rsidRDefault="005F15BA" w:rsidP="005F15BA">
      <w:pPr>
        <w:autoSpaceDE w:val="0"/>
        <w:autoSpaceDN w:val="0"/>
        <w:adjustRightInd w:val="0"/>
        <w:jc w:val="both"/>
        <w:rPr>
          <w:rFonts w:ascii="Arial Narrow" w:hAnsi="Arial Narrow"/>
        </w:rPr>
      </w:pPr>
      <w:r w:rsidRPr="005F008C">
        <w:rPr>
          <w:rFonts w:ascii="Arial Narrow" w:hAnsi="Arial Narrow" w:cs="Arial"/>
          <w:b/>
        </w:rPr>
        <w:t xml:space="preserve">Ecosistema forestal. - </w:t>
      </w:r>
      <w:r w:rsidRPr="005F008C">
        <w:rPr>
          <w:rFonts w:ascii="Arial Narrow" w:eastAsia="Times New Roman" w:hAnsi="Arial Narrow" w:cs="Arial"/>
          <w:sz w:val="20"/>
          <w:szCs w:val="20"/>
        </w:rPr>
        <w:t>Es el ecosistema de vegetación silvestre en donde predomina la vegetación arbórea</w:t>
      </w:r>
    </w:p>
    <w:p w14:paraId="33FA66CB" w14:textId="77777777" w:rsidR="005F15BA" w:rsidRPr="005F008C" w:rsidRDefault="005F15BA" w:rsidP="005F15BA">
      <w:pPr>
        <w:autoSpaceDE w:val="0"/>
        <w:autoSpaceDN w:val="0"/>
        <w:adjustRightInd w:val="0"/>
        <w:jc w:val="both"/>
        <w:rPr>
          <w:rFonts w:ascii="Arial Narrow" w:hAnsi="Arial Narrow" w:cs="Arial"/>
          <w:b/>
        </w:rPr>
      </w:pPr>
      <w:r w:rsidRPr="005F008C">
        <w:rPr>
          <w:rFonts w:ascii="Arial Narrow" w:hAnsi="Arial Narrow" w:cs="Arial"/>
          <w:b/>
        </w:rPr>
        <w:t xml:space="preserve">Gobernabilidad. - </w:t>
      </w:r>
      <w:r w:rsidRPr="005F008C">
        <w:rPr>
          <w:rFonts w:ascii="Arial Narrow" w:eastAsia="Times New Roman" w:hAnsi="Arial Narrow" w:cs="Arial"/>
          <w:sz w:val="20"/>
          <w:szCs w:val="20"/>
        </w:rPr>
        <w:t>Cualidad del gobierno para formular e implementar las políticas públicas en un marco de equilibrio dinámico entre (satisfacción de las) demandas sociales y la capacidad de respuesta gubernamental.</w:t>
      </w:r>
    </w:p>
    <w:p w14:paraId="28464281" w14:textId="77777777" w:rsidR="005F15BA" w:rsidRPr="005F008C" w:rsidRDefault="005F15BA" w:rsidP="005F15BA">
      <w:pPr>
        <w:autoSpaceDE w:val="0"/>
        <w:autoSpaceDN w:val="0"/>
        <w:adjustRightInd w:val="0"/>
        <w:jc w:val="both"/>
        <w:rPr>
          <w:rFonts w:ascii="Arial Narrow" w:hAnsi="Arial Narrow" w:cs="Arial"/>
          <w:bCs/>
        </w:rPr>
      </w:pPr>
      <w:r w:rsidRPr="005F008C">
        <w:rPr>
          <w:rFonts w:ascii="Arial Narrow" w:hAnsi="Arial Narrow" w:cs="Arial"/>
          <w:b/>
        </w:rPr>
        <w:t>Manejo. -</w:t>
      </w:r>
      <w:r w:rsidRPr="005F008C">
        <w:rPr>
          <w:rFonts w:ascii="Arial Narrow" w:hAnsi="Arial Narrow" w:cs="Arial"/>
          <w:bCs/>
        </w:rPr>
        <w:t xml:space="preserve"> </w:t>
      </w:r>
      <w:r w:rsidRPr="005F008C">
        <w:rPr>
          <w:rFonts w:ascii="Arial Narrow" w:eastAsia="Times New Roman" w:hAnsi="Arial Narrow" w:cs="Arial"/>
          <w:sz w:val="20"/>
          <w:szCs w:val="20"/>
        </w:rPr>
        <w:t>Es la ciencia y arte de manipular las características e interacciones de las poblaciones de flora y fauna silvestre y sus hábitats, con la finalidad de satisfacer las necesidades humanas, asegurando la conservación y el aprovechamiento sostenible de los recursos.</w:t>
      </w:r>
    </w:p>
    <w:p w14:paraId="2A7210A7" w14:textId="77777777" w:rsidR="005F15BA" w:rsidRPr="005F008C" w:rsidRDefault="005F15BA" w:rsidP="005F15BA">
      <w:pPr>
        <w:autoSpaceDE w:val="0"/>
        <w:autoSpaceDN w:val="0"/>
        <w:adjustRightInd w:val="0"/>
        <w:jc w:val="both"/>
        <w:rPr>
          <w:rFonts w:ascii="Arial Narrow" w:eastAsia="Times New Roman" w:hAnsi="Arial Narrow" w:cs="Arial"/>
          <w:sz w:val="20"/>
          <w:szCs w:val="20"/>
        </w:rPr>
      </w:pPr>
      <w:r w:rsidRPr="005F008C">
        <w:rPr>
          <w:rFonts w:ascii="Arial Narrow" w:hAnsi="Arial Narrow" w:cs="Arial"/>
          <w:b/>
          <w:bCs/>
        </w:rPr>
        <w:t>Plan de manejo. -</w:t>
      </w:r>
      <w:r w:rsidRPr="005F008C">
        <w:rPr>
          <w:rFonts w:ascii="Arial Narrow" w:hAnsi="Arial Narrow" w:cs="Arial"/>
          <w:bCs/>
        </w:rPr>
        <w:t xml:space="preserve"> </w:t>
      </w:r>
      <w:r w:rsidRPr="005F008C">
        <w:rPr>
          <w:rFonts w:ascii="Arial Narrow" w:eastAsia="Times New Roman" w:hAnsi="Arial Narrow" w:cs="Arial"/>
          <w:sz w:val="20"/>
          <w:szCs w:val="20"/>
        </w:rPr>
        <w:t>Es el instrumento de gestión forestal o de fauna silvestre, según corresponda, que constituye la herramienta dinámica y flexible para la implementación, seguimiento y control de las actividades de manejo, orientado a lograr la sostenibilidad del ecosistema.</w:t>
      </w:r>
    </w:p>
    <w:p w14:paraId="74F59C93" w14:textId="60715A52" w:rsidR="005F15BA" w:rsidRDefault="005F15BA" w:rsidP="005F15BA">
      <w:pPr>
        <w:autoSpaceDE w:val="0"/>
        <w:autoSpaceDN w:val="0"/>
        <w:adjustRightInd w:val="0"/>
        <w:jc w:val="both"/>
        <w:rPr>
          <w:rFonts w:ascii="Arial Narrow" w:eastAsia="Times New Roman" w:hAnsi="Arial Narrow" w:cs="Arial"/>
          <w:sz w:val="20"/>
          <w:szCs w:val="20"/>
        </w:rPr>
      </w:pPr>
      <w:r w:rsidRPr="005F008C">
        <w:rPr>
          <w:rFonts w:ascii="Arial Narrow" w:hAnsi="Arial Narrow" w:cs="Arial"/>
          <w:b/>
        </w:rPr>
        <w:t xml:space="preserve">Productividad. – </w:t>
      </w:r>
      <w:r w:rsidRPr="005F008C">
        <w:rPr>
          <w:rFonts w:ascii="Arial Narrow" w:eastAsia="Times New Roman" w:hAnsi="Arial Narrow" w:cs="Arial"/>
          <w:sz w:val="20"/>
          <w:szCs w:val="20"/>
        </w:rPr>
        <w:t>Es la relación entre la producción obtenida por un sistema de producción o servicios y los recursos utilizados para obtenerla. Definiéndose como el uso eficiente de recursos — trabajo, capital, tierra, materiales, energía, información — en la producción de diversos bienes y servicios.</w:t>
      </w:r>
    </w:p>
    <w:p w14:paraId="6F5C4132" w14:textId="1D334531" w:rsidR="00FE0CF6" w:rsidRPr="00FE0CF6" w:rsidRDefault="000552E6" w:rsidP="00FE0CF6">
      <w:pPr>
        <w:autoSpaceDE w:val="0"/>
        <w:autoSpaceDN w:val="0"/>
        <w:adjustRightInd w:val="0"/>
        <w:jc w:val="both"/>
        <w:rPr>
          <w:rFonts w:ascii="Arial Narrow" w:eastAsia="Times New Roman" w:hAnsi="Arial Narrow" w:cs="Arial"/>
          <w:sz w:val="20"/>
          <w:szCs w:val="20"/>
        </w:rPr>
      </w:pPr>
      <w:r w:rsidRPr="00FE0CF6">
        <w:rPr>
          <w:rFonts w:ascii="Arial Narrow" w:eastAsia="Times New Roman" w:hAnsi="Arial Narrow" w:cs="Arial"/>
          <w:b/>
          <w:bCs/>
        </w:rPr>
        <w:t>Productores agrarios.-</w:t>
      </w:r>
      <w:r w:rsidRPr="00FE0CF6">
        <w:rPr>
          <w:rFonts w:ascii="Arial Narrow" w:eastAsia="Times New Roman" w:hAnsi="Arial Narrow" w:cs="Arial"/>
          <w:sz w:val="20"/>
          <w:szCs w:val="20"/>
        </w:rPr>
        <w:t xml:space="preserve"> </w:t>
      </w:r>
      <w:r w:rsidR="00FE0CF6" w:rsidRPr="00FE0CF6">
        <w:rPr>
          <w:rFonts w:ascii="Arial Narrow" w:eastAsia="Times New Roman" w:hAnsi="Arial Narrow" w:cs="Arial"/>
          <w:sz w:val="20"/>
          <w:szCs w:val="20"/>
        </w:rPr>
        <w:t>Es la persona natural o jurídica que adopta las principales decisiones acerca de la utilización de los recursos disponibles, que incluyen a los recursos hídricos, suelo y forestal, con ﬁnes agrarios, y que asume la responsabilidad técnica y económica del proceso de la producción agraria. Este puede tener carácter empresarial o familiar, distinguiéndose de acuerdo con su grado de articulación al mercado, fuente de ingresos, superﬁcie de tierras que posee, cultiva y aprovecha, condición jurídica, entre otros, los cuales delimitan su nivel de desarrollo competitivo. Incluye a la mujer productora agraria y a los jóvenes productores ubicados en los diferentes territorios a nivel nacional.</w:t>
      </w:r>
      <w:r w:rsidR="00FE0CF6">
        <w:rPr>
          <w:rFonts w:ascii="Arial Narrow" w:eastAsia="Times New Roman" w:hAnsi="Arial Narrow" w:cs="Arial"/>
          <w:sz w:val="20"/>
          <w:szCs w:val="20"/>
        </w:rPr>
        <w:t xml:space="preserve"> </w:t>
      </w:r>
    </w:p>
    <w:p w14:paraId="5C7566FB" w14:textId="792BAB37" w:rsidR="00FE0CF6" w:rsidRPr="00FE0CF6" w:rsidRDefault="00FE0CF6" w:rsidP="00FE0CF6">
      <w:pPr>
        <w:autoSpaceDE w:val="0"/>
        <w:autoSpaceDN w:val="0"/>
        <w:adjustRightInd w:val="0"/>
        <w:jc w:val="both"/>
        <w:rPr>
          <w:rFonts w:ascii="Arial Narrow" w:eastAsia="Times New Roman" w:hAnsi="Arial Narrow" w:cs="Arial"/>
          <w:sz w:val="20"/>
          <w:szCs w:val="20"/>
        </w:rPr>
      </w:pPr>
      <w:r w:rsidRPr="00FE0CF6">
        <w:rPr>
          <w:rFonts w:ascii="Arial Narrow" w:eastAsia="Times New Roman" w:hAnsi="Arial Narrow" w:cs="Arial"/>
          <w:sz w:val="20"/>
          <w:szCs w:val="20"/>
        </w:rPr>
        <w:t>–  Productor agrario familiar</w:t>
      </w:r>
    </w:p>
    <w:p w14:paraId="5B25CAB8" w14:textId="34118CD7" w:rsidR="00FE0CF6" w:rsidRPr="00FE0CF6" w:rsidRDefault="00FE0CF6" w:rsidP="00FE0CF6">
      <w:pPr>
        <w:autoSpaceDE w:val="0"/>
        <w:autoSpaceDN w:val="0"/>
        <w:adjustRightInd w:val="0"/>
        <w:jc w:val="both"/>
        <w:rPr>
          <w:rFonts w:ascii="Arial Narrow" w:eastAsia="Times New Roman" w:hAnsi="Arial Narrow" w:cs="Arial"/>
          <w:sz w:val="20"/>
          <w:szCs w:val="20"/>
        </w:rPr>
      </w:pPr>
      <w:r w:rsidRPr="00FE0CF6">
        <w:rPr>
          <w:rFonts w:ascii="Arial Narrow" w:eastAsia="Times New Roman" w:hAnsi="Arial Narrow" w:cs="Arial"/>
          <w:sz w:val="20"/>
          <w:szCs w:val="20"/>
        </w:rPr>
        <w:lastRenderedPageBreak/>
        <w:t>Es la persona natural asociada o no asociada a un modelo organizacional, que tiene como característica la predominancia de la fuerza laboral familiar, y su principal fuente de ingresos es la actividad agraria (Escobal y Armas, 2015; MIDAGRI, 2021).</w:t>
      </w:r>
    </w:p>
    <w:p w14:paraId="256F83F7" w14:textId="1B5454DE" w:rsidR="00FE0CF6" w:rsidRPr="00FE0CF6" w:rsidRDefault="00FE0CF6" w:rsidP="00FE0CF6">
      <w:pPr>
        <w:autoSpaceDE w:val="0"/>
        <w:autoSpaceDN w:val="0"/>
        <w:adjustRightInd w:val="0"/>
        <w:jc w:val="both"/>
        <w:rPr>
          <w:rFonts w:ascii="Arial Narrow" w:eastAsia="Times New Roman" w:hAnsi="Arial Narrow" w:cs="Arial"/>
          <w:sz w:val="20"/>
          <w:szCs w:val="20"/>
        </w:rPr>
      </w:pPr>
      <w:r w:rsidRPr="00FE0CF6">
        <w:rPr>
          <w:rFonts w:ascii="Arial Narrow" w:eastAsia="Times New Roman" w:hAnsi="Arial Narrow" w:cs="Arial"/>
          <w:sz w:val="20"/>
          <w:szCs w:val="20"/>
        </w:rPr>
        <w:t>Se clasiﬁca en las siguientes tipologías:</w:t>
      </w:r>
    </w:p>
    <w:p w14:paraId="53FA68C2" w14:textId="623200B0" w:rsidR="00FE0CF6" w:rsidRPr="00FE0CF6" w:rsidRDefault="00FE0CF6" w:rsidP="00FE0CF6">
      <w:pPr>
        <w:autoSpaceDE w:val="0"/>
        <w:autoSpaceDN w:val="0"/>
        <w:adjustRightInd w:val="0"/>
        <w:jc w:val="both"/>
        <w:rPr>
          <w:rFonts w:ascii="Arial Narrow" w:eastAsia="Times New Roman" w:hAnsi="Arial Narrow" w:cs="Arial"/>
          <w:sz w:val="20"/>
          <w:szCs w:val="20"/>
        </w:rPr>
      </w:pPr>
      <w:r w:rsidRPr="00FE0CF6">
        <w:rPr>
          <w:rFonts w:ascii="Arial Narrow" w:eastAsia="Times New Roman" w:hAnsi="Arial Narrow" w:cs="Arial"/>
          <w:sz w:val="20"/>
          <w:szCs w:val="20"/>
        </w:rPr>
        <w:t>•  Productor agrario familiar de subsistencia (PAFS)</w:t>
      </w:r>
    </w:p>
    <w:p w14:paraId="1BF853FC" w14:textId="34667FEA" w:rsidR="00FE0CF6" w:rsidRPr="00FE0CF6" w:rsidRDefault="00FE0CF6" w:rsidP="00FE0CF6">
      <w:pPr>
        <w:autoSpaceDE w:val="0"/>
        <w:autoSpaceDN w:val="0"/>
        <w:adjustRightInd w:val="0"/>
        <w:jc w:val="both"/>
        <w:rPr>
          <w:rFonts w:ascii="Arial Narrow" w:eastAsia="Times New Roman" w:hAnsi="Arial Narrow" w:cs="Arial"/>
          <w:sz w:val="20"/>
          <w:szCs w:val="20"/>
        </w:rPr>
      </w:pPr>
      <w:r w:rsidRPr="00FE0CF6">
        <w:rPr>
          <w:rFonts w:ascii="Arial Narrow" w:eastAsia="Times New Roman" w:hAnsi="Arial Narrow" w:cs="Arial"/>
          <w:sz w:val="20"/>
          <w:szCs w:val="20"/>
        </w:rPr>
        <w:t>•  Productor agrario familiar intermedio o de transición (PAFI)</w:t>
      </w:r>
    </w:p>
    <w:p w14:paraId="3335F361" w14:textId="2754E91D" w:rsidR="00FE0CF6" w:rsidRPr="00FE0CF6" w:rsidRDefault="00FE0CF6" w:rsidP="00FE0CF6">
      <w:pPr>
        <w:autoSpaceDE w:val="0"/>
        <w:autoSpaceDN w:val="0"/>
        <w:adjustRightInd w:val="0"/>
        <w:ind w:left="720"/>
        <w:jc w:val="both"/>
        <w:rPr>
          <w:rFonts w:ascii="Arial Narrow" w:eastAsia="Times New Roman" w:hAnsi="Arial Narrow" w:cs="Arial"/>
          <w:sz w:val="20"/>
          <w:szCs w:val="20"/>
        </w:rPr>
      </w:pPr>
      <w:r w:rsidRPr="00FE0CF6">
        <w:rPr>
          <w:rFonts w:ascii="Arial Narrow" w:eastAsia="Times New Roman" w:hAnsi="Arial Narrow" w:cs="Arial"/>
          <w:sz w:val="20"/>
          <w:szCs w:val="20"/>
        </w:rPr>
        <w:t xml:space="preserve">○   Productor agrario familiar en transición (intermedio) </w:t>
      </w:r>
    </w:p>
    <w:p w14:paraId="575E6224" w14:textId="7F7FBAE6" w:rsidR="00FE0CF6" w:rsidRPr="00FE0CF6" w:rsidRDefault="00FE0CF6" w:rsidP="00FE0CF6">
      <w:pPr>
        <w:autoSpaceDE w:val="0"/>
        <w:autoSpaceDN w:val="0"/>
        <w:adjustRightInd w:val="0"/>
        <w:ind w:left="720"/>
        <w:jc w:val="both"/>
        <w:rPr>
          <w:rFonts w:ascii="Arial Narrow" w:eastAsia="Times New Roman" w:hAnsi="Arial Narrow" w:cs="Arial"/>
          <w:sz w:val="20"/>
          <w:szCs w:val="20"/>
        </w:rPr>
      </w:pPr>
      <w:r w:rsidRPr="00FE0CF6">
        <w:rPr>
          <w:rFonts w:ascii="Arial Narrow" w:eastAsia="Times New Roman" w:hAnsi="Arial Narrow" w:cs="Arial"/>
          <w:sz w:val="20"/>
          <w:szCs w:val="20"/>
        </w:rPr>
        <w:t>○    Productor agrario familiar en transición (intermedio)</w:t>
      </w:r>
    </w:p>
    <w:p w14:paraId="58F8B4AB" w14:textId="1AEE28D7" w:rsidR="00FE0CF6" w:rsidRPr="00FE0CF6" w:rsidRDefault="00FE0CF6" w:rsidP="00FE0CF6">
      <w:pPr>
        <w:autoSpaceDE w:val="0"/>
        <w:autoSpaceDN w:val="0"/>
        <w:adjustRightInd w:val="0"/>
        <w:jc w:val="both"/>
        <w:rPr>
          <w:rFonts w:ascii="Arial Narrow" w:eastAsia="Times New Roman" w:hAnsi="Arial Narrow" w:cs="Arial"/>
          <w:sz w:val="20"/>
          <w:szCs w:val="20"/>
        </w:rPr>
      </w:pPr>
      <w:r w:rsidRPr="00FE0CF6">
        <w:rPr>
          <w:rFonts w:ascii="Arial Narrow" w:eastAsia="Times New Roman" w:hAnsi="Arial Narrow" w:cs="Arial"/>
          <w:sz w:val="20"/>
          <w:szCs w:val="20"/>
        </w:rPr>
        <w:t>•  Productor agrario familiar consolidado (PAFC)</w:t>
      </w:r>
    </w:p>
    <w:p w14:paraId="134FDE8D" w14:textId="3DA184AA" w:rsidR="00FE0CF6" w:rsidRPr="00FE0CF6" w:rsidRDefault="00FE0CF6" w:rsidP="005F15BA">
      <w:pPr>
        <w:autoSpaceDE w:val="0"/>
        <w:autoSpaceDN w:val="0"/>
        <w:adjustRightInd w:val="0"/>
        <w:jc w:val="both"/>
        <w:rPr>
          <w:rFonts w:ascii="Arial Narrow" w:eastAsia="Times New Roman" w:hAnsi="Arial Narrow" w:cs="Arial"/>
          <w:sz w:val="20"/>
          <w:szCs w:val="20"/>
        </w:rPr>
      </w:pPr>
      <w:r w:rsidRPr="00FE0CF6">
        <w:rPr>
          <w:rFonts w:ascii="Arial Narrow" w:eastAsia="Times New Roman" w:hAnsi="Arial Narrow" w:cs="Arial"/>
          <w:sz w:val="20"/>
          <w:szCs w:val="20"/>
        </w:rPr>
        <w:t>Las comunidades campesinas y nativas están consideradas en esta clasiﬁcación.</w:t>
      </w:r>
    </w:p>
    <w:p w14:paraId="0D849F4D" w14:textId="2E6928D2" w:rsidR="005F15BA" w:rsidRPr="005F008C" w:rsidRDefault="005F15BA" w:rsidP="005F15BA">
      <w:pPr>
        <w:autoSpaceDE w:val="0"/>
        <w:autoSpaceDN w:val="0"/>
        <w:adjustRightInd w:val="0"/>
        <w:jc w:val="both"/>
        <w:rPr>
          <w:rFonts w:ascii="Arial Narrow" w:hAnsi="Arial Narrow" w:cs="Arial"/>
          <w:bCs/>
        </w:rPr>
      </w:pPr>
      <w:r w:rsidRPr="005F008C">
        <w:rPr>
          <w:rFonts w:ascii="Arial Narrow" w:hAnsi="Arial Narrow" w:cs="Arial"/>
          <w:b/>
        </w:rPr>
        <w:t>Recurso fauna silvestre. -</w:t>
      </w:r>
      <w:r w:rsidRPr="005F008C">
        <w:rPr>
          <w:rFonts w:ascii="Arial Narrow" w:hAnsi="Arial Narrow" w:cs="Arial"/>
          <w:bCs/>
        </w:rPr>
        <w:t xml:space="preserve"> </w:t>
      </w:r>
      <w:r w:rsidRPr="005F008C">
        <w:rPr>
          <w:rFonts w:ascii="Arial Narrow" w:eastAsia="Times New Roman" w:hAnsi="Arial Narrow" w:cs="Arial"/>
          <w:sz w:val="20"/>
          <w:szCs w:val="20"/>
        </w:rPr>
        <w:t>Son las especies animales no domesticadas, nativas o exóticas silvestres, incluyendo su diversidad genética, que viven libremente en el territorio nacional o mantenidas en cautiverio, así como a los ejemplares de especies domesticadas que, por abandono u otras causas, se asimilen en sus hábitos a la vida silvestre. Se incluyen en los alcances de la Ley N° 29763, Ley Forestal y de Fauna Silvestre, los especímenes de fauna silvestre vivos o muertos, huevos y cualquier parte o derivado, así como los mantenidos en cautiverio y sus productos. La Ley Forestal y de Fauna silvestre, no regula a las especies hidrobiológicas (marinas y continentales) las cuales se rigen por sus propias leyes.</w:t>
      </w:r>
    </w:p>
    <w:p w14:paraId="33E01607" w14:textId="77777777" w:rsidR="005F15BA" w:rsidRPr="005F008C" w:rsidRDefault="005F15BA" w:rsidP="005F15BA">
      <w:pPr>
        <w:spacing w:before="100" w:beforeAutospacing="1" w:after="100" w:afterAutospacing="1" w:line="240" w:lineRule="auto"/>
        <w:jc w:val="both"/>
        <w:rPr>
          <w:rFonts w:ascii="Arial Narrow" w:eastAsia="Times New Roman" w:hAnsi="Arial Narrow" w:cs="Arial"/>
          <w:sz w:val="20"/>
          <w:szCs w:val="20"/>
        </w:rPr>
      </w:pPr>
      <w:r w:rsidRPr="005F008C">
        <w:rPr>
          <w:rFonts w:ascii="Arial Narrow" w:hAnsi="Arial Narrow" w:cs="Arial"/>
          <w:b/>
        </w:rPr>
        <w:t xml:space="preserve">Recurso forestal. - </w:t>
      </w:r>
      <w:r w:rsidRPr="005F008C">
        <w:rPr>
          <w:rFonts w:ascii="Arial Narrow" w:eastAsia="Times New Roman" w:hAnsi="Arial Narrow" w:cs="Arial"/>
          <w:sz w:val="20"/>
          <w:szCs w:val="20"/>
        </w:rPr>
        <w:t>Son recursos forestales, cualquiera sea su ubicación en el territorio nacional, los siguientes: a) Los bosques naturales, b) Las plantaciones forestales, c) Las tierras cuya capacidad de uso mayor sea forestal y para protección, con o sin cobertura arbórea, d) Los demás componentes silvestres de la flora terrestre y acuática emergente, incluyendo su diversidad genética.</w:t>
      </w:r>
    </w:p>
    <w:p w14:paraId="36B9E834" w14:textId="77777777" w:rsidR="005F15BA" w:rsidRPr="005F008C" w:rsidRDefault="005F15BA" w:rsidP="005F15BA">
      <w:pPr>
        <w:autoSpaceDE w:val="0"/>
        <w:autoSpaceDN w:val="0"/>
        <w:adjustRightInd w:val="0"/>
        <w:jc w:val="both"/>
        <w:rPr>
          <w:rFonts w:ascii="Arial Narrow" w:hAnsi="Arial Narrow" w:cs="Arial"/>
          <w:b/>
        </w:rPr>
      </w:pPr>
      <w:r w:rsidRPr="005F008C">
        <w:rPr>
          <w:rFonts w:ascii="Arial Narrow" w:hAnsi="Arial Narrow" w:cs="Arial"/>
          <w:b/>
        </w:rPr>
        <w:t xml:space="preserve">Servicios de los ecosistemas forestales y otros ecosistemas de vegetación silvestre. - </w:t>
      </w:r>
      <w:r w:rsidRPr="005F008C">
        <w:rPr>
          <w:rFonts w:ascii="Arial Narrow" w:eastAsia="Times New Roman" w:hAnsi="Arial Narrow" w:cs="Arial"/>
          <w:sz w:val="20"/>
          <w:szCs w:val="20"/>
        </w:rPr>
        <w:t>Son aquellos derivados de las funciones ecológicas y evolutivas de dichos ecosistemas y de los flujos de materia, energía e información provenientes del patrimonio forestal y de fauna silvestre de la Nación que producen beneficios e incrementan el bienestar para las personas y la sociedad.</w:t>
      </w:r>
    </w:p>
    <w:p w14:paraId="150DEEAE" w14:textId="77777777" w:rsidR="005F15BA" w:rsidRDefault="005F15BA" w:rsidP="005F15BA">
      <w:pPr>
        <w:autoSpaceDE w:val="0"/>
        <w:autoSpaceDN w:val="0"/>
        <w:adjustRightInd w:val="0"/>
        <w:jc w:val="both"/>
        <w:rPr>
          <w:rFonts w:ascii="Arial Narrow" w:eastAsia="Times New Roman" w:hAnsi="Arial Narrow" w:cs="Arial"/>
          <w:sz w:val="20"/>
          <w:szCs w:val="20"/>
        </w:rPr>
      </w:pPr>
      <w:r w:rsidRPr="005F008C">
        <w:rPr>
          <w:rFonts w:ascii="Arial Narrow" w:hAnsi="Arial Narrow" w:cs="Arial"/>
          <w:b/>
        </w:rPr>
        <w:t xml:space="preserve">Título </w:t>
      </w:r>
      <w:r>
        <w:rPr>
          <w:rFonts w:ascii="Arial Narrow" w:hAnsi="Arial Narrow" w:cs="Arial"/>
          <w:b/>
        </w:rPr>
        <w:t>h</w:t>
      </w:r>
      <w:r w:rsidRPr="005F008C">
        <w:rPr>
          <w:rFonts w:ascii="Arial Narrow" w:hAnsi="Arial Narrow" w:cs="Arial"/>
          <w:b/>
        </w:rPr>
        <w:t>abilitante. -</w:t>
      </w:r>
      <w:r w:rsidRPr="005F008C">
        <w:rPr>
          <w:rFonts w:ascii="Arial Narrow" w:hAnsi="Arial Narrow" w:cs="Arial"/>
        </w:rPr>
        <w:t xml:space="preserve"> </w:t>
      </w:r>
      <w:r w:rsidRPr="005F008C">
        <w:rPr>
          <w:rFonts w:ascii="Arial Narrow" w:eastAsia="Times New Roman" w:hAnsi="Arial Narrow" w:cs="Arial"/>
          <w:sz w:val="20"/>
          <w:szCs w:val="20"/>
        </w:rPr>
        <w:t>Es un instrumento otorgado por la autoridad forestal y de fauna silvestre, que permite a las personas naturales o jurídicas el acceso, a través de planes de manejo, para el aprovechamiento sostenible de los bienes forestales y de fauna silvestre y los servicios de los ecosistemas forestales y otros ecosistemas de vegetación silvestre.</w:t>
      </w:r>
    </w:p>
    <w:p w14:paraId="528A503E" w14:textId="77777777" w:rsidR="005F15BA" w:rsidRPr="00D55748" w:rsidRDefault="005F15BA" w:rsidP="005F15BA">
      <w:pPr>
        <w:autoSpaceDE w:val="0"/>
        <w:autoSpaceDN w:val="0"/>
        <w:adjustRightInd w:val="0"/>
        <w:jc w:val="both"/>
        <w:rPr>
          <w:rFonts w:ascii="Arial Narrow" w:eastAsia="Times New Roman" w:hAnsi="Arial Narrow" w:cs="Arial"/>
          <w:sz w:val="20"/>
          <w:szCs w:val="20"/>
        </w:rPr>
      </w:pPr>
      <w:r w:rsidRPr="00C40645">
        <w:rPr>
          <w:rFonts w:ascii="Arial Narrow" w:hAnsi="Arial Narrow" w:cs="Arial"/>
          <w:b/>
        </w:rPr>
        <w:t xml:space="preserve">Usuario forestal y de fauna silvestre.- </w:t>
      </w:r>
      <w:r w:rsidRPr="00D55748">
        <w:rPr>
          <w:rFonts w:ascii="Arial Narrow" w:eastAsia="Times New Roman" w:hAnsi="Arial Narrow" w:cs="Arial"/>
          <w:sz w:val="20"/>
          <w:szCs w:val="20"/>
        </w:rPr>
        <w:t xml:space="preserve">Toda persona </w:t>
      </w:r>
      <w:r>
        <w:rPr>
          <w:rFonts w:ascii="Arial Narrow" w:eastAsia="Times New Roman" w:hAnsi="Arial Narrow" w:cs="Arial"/>
          <w:sz w:val="20"/>
          <w:szCs w:val="20"/>
        </w:rPr>
        <w:t xml:space="preserve">natural o jurídica </w:t>
      </w:r>
      <w:r w:rsidRPr="00D55748">
        <w:rPr>
          <w:rFonts w:ascii="Arial Narrow" w:eastAsia="Times New Roman" w:hAnsi="Arial Narrow" w:cs="Arial"/>
          <w:sz w:val="20"/>
          <w:szCs w:val="20"/>
        </w:rPr>
        <w:t xml:space="preserve">que tenga un derecho de uso legítimamente otorgado por </w:t>
      </w:r>
      <w:r>
        <w:rPr>
          <w:rFonts w:ascii="Arial Narrow" w:eastAsia="Times New Roman" w:hAnsi="Arial Narrow" w:cs="Arial"/>
          <w:sz w:val="20"/>
          <w:szCs w:val="20"/>
        </w:rPr>
        <w:t>la</w:t>
      </w:r>
      <w:r w:rsidRPr="00D55748">
        <w:rPr>
          <w:rFonts w:ascii="Arial Narrow" w:eastAsia="Times New Roman" w:hAnsi="Arial Narrow" w:cs="Arial"/>
          <w:sz w:val="20"/>
          <w:szCs w:val="20"/>
        </w:rPr>
        <w:t xml:space="preserve"> autoridad competente, que le dé derechos sobre los recursos forestales y de fauna silvestre</w:t>
      </w:r>
      <w:r>
        <w:rPr>
          <w:rFonts w:ascii="Arial Narrow" w:eastAsia="Times New Roman" w:hAnsi="Arial Narrow" w:cs="Arial"/>
          <w:sz w:val="20"/>
          <w:szCs w:val="20"/>
        </w:rPr>
        <w:t xml:space="preserve">, incluyendo sus productos y derivados. </w:t>
      </w:r>
      <w:r w:rsidRPr="00D55748">
        <w:rPr>
          <w:rFonts w:ascii="Arial Narrow" w:eastAsia="Times New Roman" w:hAnsi="Arial Narrow" w:cs="Arial"/>
          <w:sz w:val="20"/>
          <w:szCs w:val="20"/>
        </w:rPr>
        <w:t xml:space="preserve"> </w:t>
      </w:r>
      <w:r>
        <w:rPr>
          <w:rFonts w:ascii="Arial Narrow" w:eastAsia="Times New Roman" w:hAnsi="Arial Narrow" w:cs="Arial"/>
          <w:sz w:val="20"/>
          <w:szCs w:val="20"/>
        </w:rPr>
        <w:t>Se incluye en la definición a las c</w:t>
      </w:r>
      <w:r w:rsidRPr="00D55748">
        <w:rPr>
          <w:rFonts w:ascii="Arial Narrow" w:eastAsia="Times New Roman" w:hAnsi="Arial Narrow" w:cs="Arial"/>
          <w:sz w:val="20"/>
          <w:szCs w:val="20"/>
        </w:rPr>
        <w:t>omunidades nativas y campesinas</w:t>
      </w:r>
      <w:r>
        <w:rPr>
          <w:rFonts w:ascii="Arial Narrow" w:eastAsia="Times New Roman" w:hAnsi="Arial Narrow" w:cs="Arial"/>
          <w:sz w:val="20"/>
          <w:szCs w:val="20"/>
        </w:rPr>
        <w:t>,</w:t>
      </w:r>
      <w:r w:rsidRPr="00D55748">
        <w:rPr>
          <w:rFonts w:ascii="Arial Narrow" w:eastAsia="Times New Roman" w:hAnsi="Arial Narrow" w:cs="Arial"/>
          <w:sz w:val="20"/>
          <w:szCs w:val="20"/>
        </w:rPr>
        <w:t xml:space="preserve"> </w:t>
      </w:r>
      <w:r>
        <w:rPr>
          <w:rFonts w:ascii="Arial Narrow" w:eastAsia="Times New Roman" w:hAnsi="Arial Narrow" w:cs="Arial"/>
          <w:sz w:val="20"/>
          <w:szCs w:val="20"/>
        </w:rPr>
        <w:t xml:space="preserve">pueblos indígenas y pobladores locales </w:t>
      </w:r>
      <w:r w:rsidRPr="00D55748">
        <w:rPr>
          <w:rFonts w:ascii="Arial Narrow" w:eastAsia="Times New Roman" w:hAnsi="Arial Narrow" w:cs="Arial"/>
          <w:sz w:val="20"/>
          <w:szCs w:val="20"/>
        </w:rPr>
        <w:t xml:space="preserve">que aprovechan </w:t>
      </w:r>
      <w:r>
        <w:rPr>
          <w:rFonts w:ascii="Arial Narrow" w:eastAsia="Times New Roman" w:hAnsi="Arial Narrow" w:cs="Arial"/>
          <w:sz w:val="20"/>
          <w:szCs w:val="20"/>
        </w:rPr>
        <w:t>los recursos forestales y de fauna silvestre, para fines comerciales o de subsistencia.</w:t>
      </w:r>
    </w:p>
    <w:p w14:paraId="0FB12526" w14:textId="15EEC8B3" w:rsidR="00E5011C" w:rsidRDefault="005F15BA" w:rsidP="001559A7">
      <w:pPr>
        <w:autoSpaceDE w:val="0"/>
        <w:autoSpaceDN w:val="0"/>
        <w:adjustRightInd w:val="0"/>
        <w:jc w:val="both"/>
        <w:rPr>
          <w:rFonts w:ascii="Arial Narrow" w:eastAsia="Arial Narrow" w:hAnsi="Arial Narrow" w:cs="Arial Narrow"/>
          <w:b/>
        </w:rPr>
      </w:pPr>
      <w:r w:rsidRPr="005F008C">
        <w:rPr>
          <w:rFonts w:ascii="Arial Narrow" w:hAnsi="Arial Narrow" w:cs="Arial"/>
          <w:b/>
        </w:rPr>
        <w:t>Zonificación forestal. –</w:t>
      </w:r>
      <w:r w:rsidRPr="005F008C">
        <w:rPr>
          <w:rFonts w:ascii="Arial Narrow" w:hAnsi="Arial Narrow" w:cs="Arial"/>
        </w:rPr>
        <w:t xml:space="preserve"> </w:t>
      </w:r>
      <w:r w:rsidRPr="005F008C">
        <w:rPr>
          <w:rFonts w:ascii="Arial Narrow" w:eastAsia="Times New Roman" w:hAnsi="Arial Narrow" w:cs="Arial"/>
          <w:sz w:val="20"/>
          <w:szCs w:val="20"/>
        </w:rPr>
        <w:t>Es el proceso obligatorio, técnico y participativo por el cual se delimitan las tierras forestales. Los resultados definen las alternativas de uso del recurso forestal y de fauna silvestre, y son de aplicación obligatoria.</w:t>
      </w:r>
    </w:p>
    <w:p w14:paraId="60E09D30" w14:textId="77777777" w:rsidR="00E5011C" w:rsidRDefault="00E5011C" w:rsidP="000D1705">
      <w:pPr>
        <w:tabs>
          <w:tab w:val="left" w:pos="3375"/>
        </w:tabs>
        <w:rPr>
          <w:rFonts w:ascii="Arial Narrow" w:eastAsia="Arial Narrow" w:hAnsi="Arial Narrow" w:cs="Arial Narrow"/>
          <w:b/>
        </w:rPr>
      </w:pPr>
    </w:p>
    <w:p w14:paraId="415ABF27" w14:textId="516423FE" w:rsidR="00E5011C" w:rsidRDefault="00E5011C" w:rsidP="000D1705">
      <w:pPr>
        <w:tabs>
          <w:tab w:val="left" w:pos="3375"/>
        </w:tabs>
        <w:rPr>
          <w:rFonts w:ascii="Arial Narrow" w:eastAsia="Arial Narrow" w:hAnsi="Arial Narrow" w:cs="Arial Narrow"/>
          <w:b/>
        </w:rPr>
      </w:pPr>
    </w:p>
    <w:p w14:paraId="09C5A589" w14:textId="77777777" w:rsidR="00E5011C" w:rsidRPr="000C22B9" w:rsidRDefault="00E5011C" w:rsidP="000D1705">
      <w:pPr>
        <w:tabs>
          <w:tab w:val="left" w:pos="3375"/>
        </w:tabs>
        <w:rPr>
          <w:rFonts w:ascii="Arial Narrow" w:eastAsia="Arial Narrow" w:hAnsi="Arial Narrow" w:cs="Arial Narrow"/>
          <w:b/>
        </w:rPr>
      </w:pPr>
    </w:p>
    <w:sectPr w:rsidR="00E5011C" w:rsidRPr="000C22B9" w:rsidSect="000B034D">
      <w:footerReference w:type="default" r:id="rId15"/>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B003E" w14:textId="77777777" w:rsidR="00883118" w:rsidRDefault="00883118" w:rsidP="00472C73">
      <w:pPr>
        <w:spacing w:after="0" w:line="240" w:lineRule="auto"/>
      </w:pPr>
      <w:r>
        <w:separator/>
      </w:r>
    </w:p>
  </w:endnote>
  <w:endnote w:type="continuationSeparator" w:id="0">
    <w:p w14:paraId="2E08615B" w14:textId="77777777" w:rsidR="00883118" w:rsidRDefault="00883118" w:rsidP="00472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altName w:val="Arial Narrow"/>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yriad Pro">
    <w:altName w:val="Myriad Pro"/>
    <w:panose1 w:val="00000000000000000000"/>
    <w:charset w:val="00"/>
    <w:family w:val="roman"/>
    <w:notTrueType/>
    <w:pitch w:val="default"/>
    <w:sig w:usb0="00000003" w:usb1="00000000" w:usb2="00000000" w:usb3="00000000" w:csb0="00000001" w:csb1="00000000"/>
  </w:font>
  <w:font w:name="Pluto Light Italic">
    <w:panose1 w:val="00000000000000000000"/>
    <w:charset w:val="00"/>
    <w:family w:val="swiss"/>
    <w:notTrueType/>
    <w:pitch w:val="default"/>
    <w:sig w:usb0="00000003" w:usb1="00000000" w:usb2="00000000" w:usb3="00000000" w:csb0="00000001"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MS PGothic">
    <w:panose1 w:val="020B0600070205080204"/>
    <w:charset w:val="80"/>
    <w:family w:val="swiss"/>
    <w:pitch w:val="variable"/>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ArialNarrow">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964715"/>
      <w:docPartObj>
        <w:docPartGallery w:val="Page Numbers (Bottom of Page)"/>
        <w:docPartUnique/>
      </w:docPartObj>
    </w:sdtPr>
    <w:sdtContent>
      <w:p w14:paraId="00CD8610" w14:textId="77777777" w:rsidR="00A143D1" w:rsidRDefault="00A143D1">
        <w:pPr>
          <w:pStyle w:val="Piedepgina"/>
          <w:jc w:val="center"/>
        </w:pPr>
        <w:r>
          <w:fldChar w:fldCharType="begin"/>
        </w:r>
        <w:r>
          <w:instrText>PAGE   \* MERGEFORMAT</w:instrText>
        </w:r>
        <w:r>
          <w:fldChar w:fldCharType="separate"/>
        </w:r>
        <w:r w:rsidRPr="000B748D">
          <w:rPr>
            <w:noProof/>
            <w:lang w:val="es-ES"/>
          </w:rPr>
          <w:t>15</w:t>
        </w:r>
        <w:r>
          <w:fldChar w:fldCharType="end"/>
        </w:r>
      </w:p>
    </w:sdtContent>
  </w:sdt>
  <w:p w14:paraId="679CBD65" w14:textId="77777777" w:rsidR="00A143D1" w:rsidRDefault="00A143D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2766650"/>
      <w:docPartObj>
        <w:docPartGallery w:val="Page Numbers (Bottom of Page)"/>
        <w:docPartUnique/>
      </w:docPartObj>
    </w:sdtPr>
    <w:sdtContent>
      <w:p w14:paraId="142D0EE7" w14:textId="28F540BF" w:rsidR="00A143D1" w:rsidRDefault="00A143D1">
        <w:pPr>
          <w:pStyle w:val="Piedepgina"/>
          <w:jc w:val="center"/>
        </w:pPr>
        <w:r>
          <w:fldChar w:fldCharType="begin"/>
        </w:r>
        <w:r>
          <w:instrText>PAGE   \* MERGEFORMAT</w:instrText>
        </w:r>
        <w:r>
          <w:fldChar w:fldCharType="separate"/>
        </w:r>
        <w:r w:rsidRPr="00D64BBB">
          <w:rPr>
            <w:noProof/>
            <w:lang w:val="es-ES"/>
          </w:rPr>
          <w:t>203</w:t>
        </w:r>
        <w:r>
          <w:fldChar w:fldCharType="end"/>
        </w:r>
      </w:p>
    </w:sdtContent>
  </w:sdt>
  <w:p w14:paraId="1FA171AA" w14:textId="77777777" w:rsidR="00A143D1" w:rsidRDefault="00A143D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48F32" w14:textId="77777777" w:rsidR="00883118" w:rsidRDefault="00883118" w:rsidP="00472C73">
      <w:pPr>
        <w:spacing w:after="0" w:line="240" w:lineRule="auto"/>
      </w:pPr>
      <w:r>
        <w:separator/>
      </w:r>
    </w:p>
  </w:footnote>
  <w:footnote w:type="continuationSeparator" w:id="0">
    <w:p w14:paraId="50AF7210" w14:textId="77777777" w:rsidR="00883118" w:rsidRDefault="00883118" w:rsidP="00472C73">
      <w:pPr>
        <w:spacing w:after="0" w:line="240" w:lineRule="auto"/>
      </w:pPr>
      <w:r>
        <w:continuationSeparator/>
      </w:r>
    </w:p>
  </w:footnote>
  <w:footnote w:id="1">
    <w:p w14:paraId="6DF96717" w14:textId="77777777" w:rsidR="005B0BE8" w:rsidRPr="008C6415" w:rsidRDefault="005B0BE8" w:rsidP="00874B39">
      <w:pPr>
        <w:pStyle w:val="Textonotapie"/>
        <w:rPr>
          <w:lang w:val="es-ES"/>
        </w:rPr>
      </w:pPr>
      <w:r>
        <w:rPr>
          <w:rStyle w:val="Refdenotaalpie"/>
        </w:rPr>
        <w:footnoteRef/>
      </w:r>
      <w:r>
        <w:t xml:space="preserve"> </w:t>
      </w:r>
      <w:r w:rsidRPr="008C6415">
        <w:rPr>
          <w:rFonts w:ascii="Arial" w:hAnsi="Arial" w:cs="Arial"/>
          <w:sz w:val="16"/>
          <w:szCs w:val="16"/>
          <w:lang w:val="es-ES"/>
        </w:rPr>
        <w:t xml:space="preserve">Los actores estratégicos (stakeholders) </w:t>
      </w:r>
      <w:r w:rsidRPr="008C6415">
        <w:rPr>
          <w:rFonts w:ascii="Arial" w:hAnsi="Arial" w:cs="Arial"/>
          <w:color w:val="202124"/>
          <w:sz w:val="16"/>
          <w:szCs w:val="16"/>
          <w:shd w:val="clear" w:color="auto" w:fill="FFFFFF"/>
        </w:rPr>
        <w:t xml:space="preserve">son las organizaciones o personas </w:t>
      </w:r>
      <w:r w:rsidRPr="008C6415">
        <w:rPr>
          <w:rFonts w:ascii="Arial" w:hAnsi="Arial" w:cs="Arial"/>
          <w:sz w:val="16"/>
          <w:szCs w:val="16"/>
        </w:rPr>
        <w:t>afectadas por las actividades del Áreas Naturales Protegidas, que tienen algún grado de influencia sobre ella y/o manifiestan algún interés en el éxito o fracaso de su gestión.</w:t>
      </w:r>
    </w:p>
    <w:p w14:paraId="13F4CCDA" w14:textId="77777777" w:rsidR="005B0BE8" w:rsidRPr="00460EDE" w:rsidRDefault="005B0BE8" w:rsidP="00874B39">
      <w:pPr>
        <w:pStyle w:val="Textonotapie"/>
        <w:rPr>
          <w:lang w:val="es-ES"/>
        </w:rPr>
      </w:pPr>
    </w:p>
  </w:footnote>
  <w:footnote w:id="2">
    <w:p w14:paraId="5902A0E6" w14:textId="21B93704" w:rsidR="006D6131" w:rsidRPr="008C6415" w:rsidRDefault="006D6131" w:rsidP="000501F3">
      <w:pPr>
        <w:pStyle w:val="Textonotapie"/>
        <w:rPr>
          <w:lang w:val="es-ES"/>
        </w:rPr>
      </w:pPr>
      <w:r>
        <w:rPr>
          <w:rStyle w:val="Refdenotaalpie"/>
        </w:rPr>
        <w:footnoteRef/>
      </w:r>
      <w:r>
        <w:t xml:space="preserve"> </w:t>
      </w:r>
      <w:r w:rsidRPr="008C6415">
        <w:rPr>
          <w:rFonts w:ascii="Arial" w:hAnsi="Arial" w:cs="Arial"/>
          <w:sz w:val="16"/>
          <w:szCs w:val="16"/>
          <w:lang w:val="es-ES"/>
        </w:rPr>
        <w:t xml:space="preserve">Los actores estratégicos (stakeholders) </w:t>
      </w:r>
      <w:r w:rsidRPr="008C6415">
        <w:rPr>
          <w:rFonts w:ascii="Arial" w:hAnsi="Arial" w:cs="Arial"/>
          <w:color w:val="202124"/>
          <w:sz w:val="16"/>
          <w:szCs w:val="16"/>
          <w:shd w:val="clear" w:color="auto" w:fill="FFFFFF"/>
        </w:rPr>
        <w:t xml:space="preserve">son las organizaciones o personas </w:t>
      </w:r>
      <w:r w:rsidRPr="008C6415">
        <w:rPr>
          <w:rFonts w:ascii="Arial" w:hAnsi="Arial" w:cs="Arial"/>
          <w:sz w:val="16"/>
          <w:szCs w:val="16"/>
        </w:rPr>
        <w:t>afectadas por las actividades del Áreas Naturales Protegidas, que tienen algún grado de influencia sobre ella y/o manifiestan algún interés en el éxito o fracaso de su gestión.</w:t>
      </w:r>
    </w:p>
    <w:p w14:paraId="54E37630" w14:textId="77777777" w:rsidR="006D6131" w:rsidRPr="00460EDE" w:rsidRDefault="006D6131" w:rsidP="000501F3">
      <w:pPr>
        <w:pStyle w:val="Textonotapie"/>
        <w:rPr>
          <w:lang w:val="es-ES"/>
        </w:rPr>
      </w:pPr>
    </w:p>
  </w:footnote>
  <w:footnote w:id="3">
    <w:p w14:paraId="50DA45F3" w14:textId="1B21905C" w:rsidR="008B1087" w:rsidRPr="00385338" w:rsidRDefault="008B1087" w:rsidP="00385338">
      <w:pPr>
        <w:pStyle w:val="Textonotapie"/>
        <w:rPr>
          <w:rFonts w:ascii="Arial" w:hAnsi="Arial" w:cs="Arial"/>
          <w:sz w:val="16"/>
          <w:szCs w:val="16"/>
          <w:lang w:val="es-MX"/>
        </w:rPr>
      </w:pPr>
      <w:r>
        <w:rPr>
          <w:rStyle w:val="Refdenotaalpie"/>
        </w:rPr>
        <w:footnoteRef/>
      </w:r>
      <w:r>
        <w:t xml:space="preserve"> </w:t>
      </w:r>
      <w:r w:rsidRPr="00385338">
        <w:rPr>
          <w:rFonts w:ascii="Arial" w:hAnsi="Arial" w:cs="Arial"/>
          <w:sz w:val="16"/>
          <w:szCs w:val="16"/>
        </w:rPr>
        <w:t xml:space="preserve">El arte del intercambio de conocimientos: Guía para la planificación centrada en los resultados para especialistas en desarrollo (World Bank. 2013) Ver en: </w:t>
      </w:r>
      <w:r w:rsidRPr="0025059A">
        <w:rPr>
          <w:rFonts w:ascii="Arial" w:hAnsi="Arial" w:cs="Arial"/>
          <w:sz w:val="16"/>
          <w:szCs w:val="16"/>
        </w:rPr>
        <w:t>https://openknowledge.worldbank.org/bitstream/handle/10986/17540/art_of_knowledge_exchange_spanish.pdf?sequence=8</w:t>
      </w:r>
      <w:r w:rsidRPr="00385338">
        <w:rPr>
          <w:rFonts w:ascii="Arial" w:hAnsi="Arial" w:cs="Arial"/>
          <w:sz w:val="16"/>
          <w:szCs w:val="16"/>
        </w:rPr>
        <w:t xml:space="preserve"> </w:t>
      </w:r>
    </w:p>
  </w:footnote>
  <w:footnote w:id="4">
    <w:p w14:paraId="60BA4D06" w14:textId="77777777" w:rsidR="008B1087" w:rsidRPr="00D600EB" w:rsidRDefault="008B1087" w:rsidP="00385338">
      <w:pPr>
        <w:pStyle w:val="Textonotapie"/>
      </w:pPr>
      <w:r w:rsidRPr="00385338">
        <w:rPr>
          <w:rStyle w:val="Refdenotaalpie"/>
          <w:rFonts w:ascii="Arial" w:hAnsi="Arial" w:cs="Arial"/>
          <w:sz w:val="16"/>
          <w:szCs w:val="16"/>
        </w:rPr>
        <w:footnoteRef/>
      </w:r>
      <w:r w:rsidRPr="00385338">
        <w:rPr>
          <w:rFonts w:ascii="Arial" w:hAnsi="Arial" w:cs="Arial"/>
          <w:sz w:val="16"/>
          <w:szCs w:val="16"/>
        </w:rPr>
        <w:t xml:space="preserve"> Objetivo N°03 de la </w:t>
      </w:r>
      <w:r w:rsidRPr="00385338">
        <w:rPr>
          <w:rFonts w:ascii="Arial" w:eastAsia="Arial Narrow" w:hAnsi="Arial" w:cs="Arial"/>
          <w:sz w:val="16"/>
          <w:szCs w:val="16"/>
        </w:rPr>
        <w:t>Política Nacional de Modernización de la Gestión Pública – PNMGP al 2030.</w:t>
      </w:r>
      <w:r w:rsidRPr="000F3109">
        <w:rPr>
          <w:rFonts w:ascii="Arial Narrow" w:eastAsia="Arial Narrow" w:hAnsi="Arial Narrow" w:cs="Arial Narrow"/>
        </w:rPr>
        <w:t xml:space="preserve">  </w:t>
      </w:r>
    </w:p>
  </w:footnote>
  <w:footnote w:id="5">
    <w:p w14:paraId="3A98316E" w14:textId="101963FA" w:rsidR="008B1087" w:rsidRPr="00603F80" w:rsidRDefault="008B1087" w:rsidP="00603F80">
      <w:pPr>
        <w:pStyle w:val="Textonotapie"/>
        <w:rPr>
          <w:rFonts w:ascii="Arial" w:hAnsi="Arial" w:cs="Arial"/>
          <w:sz w:val="16"/>
          <w:szCs w:val="16"/>
          <w:lang w:val="es-MX"/>
        </w:rPr>
      </w:pPr>
      <w:r w:rsidRPr="00603F80">
        <w:rPr>
          <w:rStyle w:val="Refdenotaalpie"/>
          <w:rFonts w:ascii="Arial" w:hAnsi="Arial" w:cs="Arial"/>
          <w:sz w:val="16"/>
          <w:szCs w:val="16"/>
        </w:rPr>
        <w:footnoteRef/>
      </w:r>
      <w:r w:rsidRPr="00603F80">
        <w:rPr>
          <w:rFonts w:ascii="Arial" w:hAnsi="Arial" w:cs="Arial"/>
          <w:sz w:val="16"/>
          <w:szCs w:val="16"/>
        </w:rPr>
        <w:t xml:space="preserve"> El arte del intercambio de conocimientos: Guía para la planificación centrada en los resultados para especialistas en desarrollo (World Bank. 2013) Ver en: </w:t>
      </w:r>
      <w:r w:rsidRPr="0025059A">
        <w:rPr>
          <w:rFonts w:ascii="Arial" w:hAnsi="Arial" w:cs="Arial"/>
          <w:sz w:val="16"/>
          <w:szCs w:val="16"/>
        </w:rPr>
        <w:t>https://openknowledge.worldbank.org/bitstream/handle/10986/17540/art_of_knowledge_exchange_spanish.pdf?sequence=8</w:t>
      </w:r>
      <w:r w:rsidRPr="00603F80">
        <w:rPr>
          <w:rFonts w:ascii="Arial" w:hAnsi="Arial" w:cs="Arial"/>
          <w:sz w:val="16"/>
          <w:szCs w:val="16"/>
        </w:rPr>
        <w:t xml:space="preserve"> </w:t>
      </w:r>
    </w:p>
  </w:footnote>
  <w:footnote w:id="6">
    <w:p w14:paraId="5D9101D4" w14:textId="7FC09CEE" w:rsidR="00A143D1" w:rsidRPr="00867E03" w:rsidRDefault="00A143D1">
      <w:pPr>
        <w:pStyle w:val="Textonotapie"/>
        <w:rPr>
          <w:rFonts w:ascii="Arial Narrow" w:hAnsi="Arial Narrow"/>
          <w:sz w:val="16"/>
          <w:szCs w:val="16"/>
          <w:lang w:val="pt-PT"/>
        </w:rPr>
      </w:pPr>
      <w:r>
        <w:rPr>
          <w:rStyle w:val="Refdenotaalpie"/>
        </w:rPr>
        <w:footnoteRef/>
      </w:r>
      <w:r w:rsidRPr="00867E03">
        <w:rPr>
          <w:lang w:val="pt-PT"/>
        </w:rPr>
        <w:t xml:space="preserve"> </w:t>
      </w:r>
      <w:r w:rsidRPr="00867E03">
        <w:rPr>
          <w:rFonts w:ascii="Arial Narrow" w:hAnsi="Arial Narrow"/>
          <w:sz w:val="16"/>
          <w:szCs w:val="16"/>
          <w:lang w:val="pt-PT"/>
        </w:rPr>
        <w:t>Aprobado por Decreto Supremo N° 095-2022-PCM</w:t>
      </w:r>
    </w:p>
  </w:footnote>
  <w:footnote w:id="7">
    <w:p w14:paraId="12848420" w14:textId="36FE8BB8" w:rsidR="00A143D1" w:rsidRPr="00867E03" w:rsidRDefault="00A143D1" w:rsidP="00237AFB">
      <w:pPr>
        <w:pStyle w:val="Textonotapie"/>
        <w:rPr>
          <w:lang w:val="pt-PT"/>
        </w:rPr>
      </w:pPr>
      <w:r>
        <w:rPr>
          <w:rStyle w:val="Refdenotaalpie"/>
        </w:rPr>
        <w:footnoteRef/>
      </w:r>
      <w:r w:rsidRPr="00867E03">
        <w:rPr>
          <w:lang w:val="pt-PT"/>
        </w:rPr>
        <w:t xml:space="preserve"> </w:t>
      </w:r>
      <w:r w:rsidRPr="00867E03">
        <w:rPr>
          <w:rFonts w:ascii="Arial Narrow" w:hAnsi="Arial Narrow"/>
          <w:sz w:val="16"/>
          <w:szCs w:val="16"/>
          <w:lang w:val="pt-PT"/>
        </w:rPr>
        <w:t>Aprobada por Decreto Supremo N° 042-2023-PCM</w:t>
      </w:r>
    </w:p>
  </w:footnote>
  <w:footnote w:id="8">
    <w:p w14:paraId="42796858" w14:textId="77777777" w:rsidR="00A75C0F" w:rsidRPr="00080832" w:rsidRDefault="00A75C0F" w:rsidP="00A75C0F">
      <w:pPr>
        <w:pStyle w:val="Textonotapie"/>
        <w:rPr>
          <w:lang w:val="es-MX"/>
        </w:rPr>
      </w:pPr>
      <w:r>
        <w:rPr>
          <w:rStyle w:val="Refdenotaalpie"/>
        </w:rPr>
        <w:footnoteRef/>
      </w:r>
      <w:r>
        <w:t xml:space="preserve"> </w:t>
      </w:r>
      <w:r w:rsidRPr="0086250A">
        <w:rPr>
          <w:rFonts w:ascii="Arial" w:hAnsi="Arial" w:cs="Arial"/>
          <w:sz w:val="16"/>
          <w:szCs w:val="16"/>
        </w:rPr>
        <w:t xml:space="preserve">INEI- Ministerio de Cultura, 2020. Los Pueblos Indígenas u Originarios del Perú. </w:t>
      </w:r>
      <w:r w:rsidRPr="00AA3BB0">
        <w:rPr>
          <w:rFonts w:ascii="Arial" w:hAnsi="Arial" w:cs="Arial"/>
          <w:sz w:val="16"/>
          <w:szCs w:val="16"/>
        </w:rPr>
        <w:t>https://www.inei.gob.pe/media/MenuRecursivo/publicaciones_digitales/Est/Lib1598/TOMO_01.pdf</w:t>
      </w:r>
    </w:p>
  </w:footnote>
  <w:footnote w:id="9">
    <w:p w14:paraId="46A4E24B" w14:textId="77777777" w:rsidR="00A75C0F" w:rsidRPr="00080832" w:rsidRDefault="00A75C0F" w:rsidP="00A75C0F">
      <w:pPr>
        <w:pStyle w:val="Textonotapie"/>
        <w:rPr>
          <w:lang w:val="es-MX"/>
        </w:rPr>
      </w:pPr>
      <w:r>
        <w:rPr>
          <w:rStyle w:val="Refdenotaalpie"/>
        </w:rPr>
        <w:footnoteRef/>
      </w:r>
      <w:r w:rsidRPr="00723B7E">
        <w:rPr>
          <w:rFonts w:ascii="Arial" w:hAnsi="Arial" w:cs="Arial"/>
          <w:sz w:val="16"/>
          <w:szCs w:val="16"/>
        </w:rPr>
        <w:t xml:space="preserve"> INEI- Ministerio de Cultura, 2020. Los Pueblos Indígenas u Originarios del Perú. </w:t>
      </w:r>
      <w:r w:rsidRPr="00AA3BB0">
        <w:rPr>
          <w:rFonts w:ascii="Arial" w:hAnsi="Arial" w:cs="Arial"/>
          <w:sz w:val="16"/>
          <w:szCs w:val="16"/>
        </w:rPr>
        <w:t>https://www.inei.gob.pe/media/MenuRecursivo/publicaciones_digitales/Est/Lib1598/TOMO_01.pdf</w:t>
      </w:r>
    </w:p>
  </w:footnote>
  <w:footnote w:id="10">
    <w:p w14:paraId="3E8A276B" w14:textId="77777777" w:rsidR="00A75C0F" w:rsidRPr="00080832" w:rsidRDefault="00A75C0F" w:rsidP="00A75C0F">
      <w:pPr>
        <w:pStyle w:val="Textonotapie"/>
        <w:rPr>
          <w:lang w:val="es-MX"/>
        </w:rPr>
      </w:pPr>
      <w:r>
        <w:rPr>
          <w:rStyle w:val="Refdenotaalpie"/>
        </w:rPr>
        <w:footnoteRef/>
      </w:r>
      <w:r>
        <w:t xml:space="preserve"> I</w:t>
      </w:r>
      <w:r w:rsidRPr="000D6C96">
        <w:rPr>
          <w:rFonts w:ascii="Arial" w:hAnsi="Arial" w:cs="Arial"/>
          <w:sz w:val="16"/>
          <w:szCs w:val="16"/>
        </w:rPr>
        <w:t xml:space="preserve">NEI- Ministerio de Cultura, 2020. Los Pueblos Indígenas u Originarios del Perú. </w:t>
      </w:r>
      <w:r w:rsidRPr="008377FA">
        <w:rPr>
          <w:rFonts w:ascii="Arial" w:hAnsi="Arial" w:cs="Arial"/>
          <w:sz w:val="16"/>
          <w:szCs w:val="16"/>
        </w:rPr>
        <w:t>https://www.inei.gob.pe/media/MenuRecursivo/publicaciones_digitales/Est/Lib1598/TOMO_01.pdf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4FD8"/>
    <w:multiLevelType w:val="hybridMultilevel"/>
    <w:tmpl w:val="AE16084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47369A5"/>
    <w:multiLevelType w:val="hybridMultilevel"/>
    <w:tmpl w:val="95FC5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A1C0C"/>
    <w:multiLevelType w:val="hybridMultilevel"/>
    <w:tmpl w:val="03066752"/>
    <w:lvl w:ilvl="0" w:tplc="1C94B764">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7BE3800"/>
    <w:multiLevelType w:val="hybridMultilevel"/>
    <w:tmpl w:val="24BA5040"/>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8AA1F22"/>
    <w:multiLevelType w:val="multilevel"/>
    <w:tmpl w:val="13E0BA46"/>
    <w:lvl w:ilvl="0">
      <w:start w:val="2"/>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09151E1F"/>
    <w:multiLevelType w:val="hybridMultilevel"/>
    <w:tmpl w:val="88964F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0D8A1EA0"/>
    <w:multiLevelType w:val="hybridMultilevel"/>
    <w:tmpl w:val="2048D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466B2F"/>
    <w:multiLevelType w:val="multilevel"/>
    <w:tmpl w:val="95B273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5830300"/>
    <w:multiLevelType w:val="hybridMultilevel"/>
    <w:tmpl w:val="915AD16C"/>
    <w:lvl w:ilvl="0" w:tplc="08A047FE">
      <w:start w:val="1"/>
      <w:numFmt w:val="decimal"/>
      <w:lvlText w:val="%1."/>
      <w:lvlJc w:val="left"/>
      <w:pPr>
        <w:ind w:left="720" w:hanging="360"/>
      </w:pPr>
      <w:rPr>
        <w:rFonts w:hint="default"/>
        <w:b/>
        <w:u w:val="none"/>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19A17A98"/>
    <w:multiLevelType w:val="hybridMultilevel"/>
    <w:tmpl w:val="FB9C11A2"/>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19FD4408"/>
    <w:multiLevelType w:val="hybridMultilevel"/>
    <w:tmpl w:val="185E3CB8"/>
    <w:lvl w:ilvl="0" w:tplc="C08E9E8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1E08495A"/>
    <w:multiLevelType w:val="hybridMultilevel"/>
    <w:tmpl w:val="6EB239C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2" w15:restartNumberingAfterBreak="0">
    <w:nsid w:val="1E4506FA"/>
    <w:multiLevelType w:val="multilevel"/>
    <w:tmpl w:val="BA12F8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EC06F6C"/>
    <w:multiLevelType w:val="hybridMultilevel"/>
    <w:tmpl w:val="C3BEE810"/>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4" w15:restartNumberingAfterBreak="0">
    <w:nsid w:val="20B61807"/>
    <w:multiLevelType w:val="multilevel"/>
    <w:tmpl w:val="ED3A4754"/>
    <w:lvl w:ilvl="0">
      <w:numFmt w:val="bullet"/>
      <w:lvlText w:val="-"/>
      <w:lvlJc w:val="left"/>
      <w:pPr>
        <w:ind w:left="720" w:hanging="360"/>
      </w:pPr>
      <w:rPr>
        <w:rFonts w:ascii="Arial Narrow" w:eastAsia="Arial Narrow" w:hAnsi="Arial Narrow" w:cs="Arial Narro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0E1223D"/>
    <w:multiLevelType w:val="multilevel"/>
    <w:tmpl w:val="3276472E"/>
    <w:lvl w:ilvl="0">
      <w:start w:val="1"/>
      <w:numFmt w:val="decimal"/>
      <w:lvlText w:val="%1."/>
      <w:lvlJc w:val="left"/>
      <w:pPr>
        <w:ind w:left="720" w:hanging="360"/>
      </w:pPr>
      <w:rPr>
        <w:rFonts w:hint="default"/>
        <w:b/>
        <w:bCs w:val="0"/>
      </w:rPr>
    </w:lvl>
    <w:lvl w:ilvl="1">
      <w:start w:val="1"/>
      <w:numFmt w:val="decimal"/>
      <w:isLgl/>
      <w:lvlText w:val="%1.%2."/>
      <w:lvlJc w:val="left"/>
      <w:pPr>
        <w:ind w:left="1571"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088" w:hanging="1800"/>
      </w:pPr>
      <w:rPr>
        <w:rFonts w:hint="default"/>
      </w:rPr>
    </w:lvl>
  </w:abstractNum>
  <w:abstractNum w:abstractNumId="16" w15:restartNumberingAfterBreak="0">
    <w:nsid w:val="240046D4"/>
    <w:multiLevelType w:val="hybridMultilevel"/>
    <w:tmpl w:val="313C44EE"/>
    <w:lvl w:ilvl="0" w:tplc="2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437050C"/>
    <w:multiLevelType w:val="hybridMultilevel"/>
    <w:tmpl w:val="7E40DB08"/>
    <w:lvl w:ilvl="0" w:tplc="280A0001">
      <w:start w:val="1"/>
      <w:numFmt w:val="bullet"/>
      <w:lvlText w:val=""/>
      <w:lvlJc w:val="left"/>
      <w:pPr>
        <w:ind w:left="720" w:hanging="360"/>
      </w:pPr>
      <w:rPr>
        <w:rFonts w:ascii="Symbol" w:hAnsi="Symbol" w:hint="default"/>
      </w:rPr>
    </w:lvl>
    <w:lvl w:ilvl="1" w:tplc="5FBE6AAC">
      <w:numFmt w:val="bullet"/>
      <w:lvlText w:val="-"/>
      <w:lvlJc w:val="left"/>
      <w:pPr>
        <w:ind w:left="1440" w:hanging="360"/>
      </w:pPr>
      <w:rPr>
        <w:rFonts w:ascii="Calibri" w:eastAsiaTheme="minorHAnsi" w:hAnsi="Calibri" w:cs="Calibr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25A4344C"/>
    <w:multiLevelType w:val="hybridMultilevel"/>
    <w:tmpl w:val="782005C4"/>
    <w:lvl w:ilvl="0" w:tplc="67664A7A">
      <w:numFmt w:val="bullet"/>
      <w:lvlText w:val="-"/>
      <w:lvlJc w:val="left"/>
      <w:pPr>
        <w:ind w:left="720" w:hanging="360"/>
      </w:pPr>
      <w:rPr>
        <w:rFonts w:ascii="Arial Narrow" w:eastAsia="Cambria"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2355D7"/>
    <w:multiLevelType w:val="hybridMultilevel"/>
    <w:tmpl w:val="A490CBF8"/>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0" w15:restartNumberingAfterBreak="0">
    <w:nsid w:val="2A6353B2"/>
    <w:multiLevelType w:val="multilevel"/>
    <w:tmpl w:val="320678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2ACB5D45"/>
    <w:multiLevelType w:val="hybridMultilevel"/>
    <w:tmpl w:val="B7A0075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2B882C76"/>
    <w:multiLevelType w:val="hybridMultilevel"/>
    <w:tmpl w:val="081EA01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2EC04600"/>
    <w:multiLevelType w:val="hybridMultilevel"/>
    <w:tmpl w:val="A34897EE"/>
    <w:lvl w:ilvl="0" w:tplc="30BC03BC">
      <w:numFmt w:val="bullet"/>
      <w:lvlText w:val="-"/>
      <w:lvlJc w:val="left"/>
      <w:pPr>
        <w:ind w:left="720" w:hanging="360"/>
      </w:pPr>
      <w:rPr>
        <w:rFonts w:ascii="Arial Narrow" w:eastAsia="Constantia" w:hAnsi="Arial Narrow" w:cs="Constant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6E4CFB"/>
    <w:multiLevelType w:val="hybridMultilevel"/>
    <w:tmpl w:val="1164935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32687ED3"/>
    <w:multiLevelType w:val="hybridMultilevel"/>
    <w:tmpl w:val="64C08A5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374D3449"/>
    <w:multiLevelType w:val="hybridMultilevel"/>
    <w:tmpl w:val="0CECF7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3F277E17"/>
    <w:multiLevelType w:val="multilevel"/>
    <w:tmpl w:val="1EACFE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10D40C3"/>
    <w:multiLevelType w:val="hybridMultilevel"/>
    <w:tmpl w:val="B92A1476"/>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41C27587"/>
    <w:multiLevelType w:val="multilevel"/>
    <w:tmpl w:val="22F692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44A81CA8"/>
    <w:multiLevelType w:val="hybridMultilevel"/>
    <w:tmpl w:val="441673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460D25D6"/>
    <w:multiLevelType w:val="hybridMultilevel"/>
    <w:tmpl w:val="7B28336E"/>
    <w:lvl w:ilvl="0" w:tplc="280A0001">
      <w:start w:val="1"/>
      <w:numFmt w:val="bullet"/>
      <w:lvlText w:val=""/>
      <w:lvlJc w:val="left"/>
      <w:pPr>
        <w:ind w:left="752" w:hanging="360"/>
      </w:pPr>
      <w:rPr>
        <w:rFonts w:ascii="Symbol" w:hAnsi="Symbol" w:hint="default"/>
      </w:rPr>
    </w:lvl>
    <w:lvl w:ilvl="1" w:tplc="280A0003" w:tentative="1">
      <w:start w:val="1"/>
      <w:numFmt w:val="bullet"/>
      <w:lvlText w:val="o"/>
      <w:lvlJc w:val="left"/>
      <w:pPr>
        <w:ind w:left="1472" w:hanging="360"/>
      </w:pPr>
      <w:rPr>
        <w:rFonts w:ascii="Courier New" w:hAnsi="Courier New" w:cs="Courier New" w:hint="default"/>
      </w:rPr>
    </w:lvl>
    <w:lvl w:ilvl="2" w:tplc="280A0005" w:tentative="1">
      <w:start w:val="1"/>
      <w:numFmt w:val="bullet"/>
      <w:lvlText w:val=""/>
      <w:lvlJc w:val="left"/>
      <w:pPr>
        <w:ind w:left="2192" w:hanging="360"/>
      </w:pPr>
      <w:rPr>
        <w:rFonts w:ascii="Wingdings" w:hAnsi="Wingdings" w:hint="default"/>
      </w:rPr>
    </w:lvl>
    <w:lvl w:ilvl="3" w:tplc="280A0001" w:tentative="1">
      <w:start w:val="1"/>
      <w:numFmt w:val="bullet"/>
      <w:lvlText w:val=""/>
      <w:lvlJc w:val="left"/>
      <w:pPr>
        <w:ind w:left="2912" w:hanging="360"/>
      </w:pPr>
      <w:rPr>
        <w:rFonts w:ascii="Symbol" w:hAnsi="Symbol" w:hint="default"/>
      </w:rPr>
    </w:lvl>
    <w:lvl w:ilvl="4" w:tplc="280A0003" w:tentative="1">
      <w:start w:val="1"/>
      <w:numFmt w:val="bullet"/>
      <w:lvlText w:val="o"/>
      <w:lvlJc w:val="left"/>
      <w:pPr>
        <w:ind w:left="3632" w:hanging="360"/>
      </w:pPr>
      <w:rPr>
        <w:rFonts w:ascii="Courier New" w:hAnsi="Courier New" w:cs="Courier New" w:hint="default"/>
      </w:rPr>
    </w:lvl>
    <w:lvl w:ilvl="5" w:tplc="280A0005" w:tentative="1">
      <w:start w:val="1"/>
      <w:numFmt w:val="bullet"/>
      <w:lvlText w:val=""/>
      <w:lvlJc w:val="left"/>
      <w:pPr>
        <w:ind w:left="4352" w:hanging="360"/>
      </w:pPr>
      <w:rPr>
        <w:rFonts w:ascii="Wingdings" w:hAnsi="Wingdings" w:hint="default"/>
      </w:rPr>
    </w:lvl>
    <w:lvl w:ilvl="6" w:tplc="280A0001" w:tentative="1">
      <w:start w:val="1"/>
      <w:numFmt w:val="bullet"/>
      <w:lvlText w:val=""/>
      <w:lvlJc w:val="left"/>
      <w:pPr>
        <w:ind w:left="5072" w:hanging="360"/>
      </w:pPr>
      <w:rPr>
        <w:rFonts w:ascii="Symbol" w:hAnsi="Symbol" w:hint="default"/>
      </w:rPr>
    </w:lvl>
    <w:lvl w:ilvl="7" w:tplc="280A0003" w:tentative="1">
      <w:start w:val="1"/>
      <w:numFmt w:val="bullet"/>
      <w:lvlText w:val="o"/>
      <w:lvlJc w:val="left"/>
      <w:pPr>
        <w:ind w:left="5792" w:hanging="360"/>
      </w:pPr>
      <w:rPr>
        <w:rFonts w:ascii="Courier New" w:hAnsi="Courier New" w:cs="Courier New" w:hint="default"/>
      </w:rPr>
    </w:lvl>
    <w:lvl w:ilvl="8" w:tplc="280A0005" w:tentative="1">
      <w:start w:val="1"/>
      <w:numFmt w:val="bullet"/>
      <w:lvlText w:val=""/>
      <w:lvlJc w:val="left"/>
      <w:pPr>
        <w:ind w:left="6512" w:hanging="360"/>
      </w:pPr>
      <w:rPr>
        <w:rFonts w:ascii="Wingdings" w:hAnsi="Wingdings" w:hint="default"/>
      </w:rPr>
    </w:lvl>
  </w:abstractNum>
  <w:abstractNum w:abstractNumId="32" w15:restartNumberingAfterBreak="0">
    <w:nsid w:val="47944930"/>
    <w:multiLevelType w:val="multilevel"/>
    <w:tmpl w:val="13C0338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3" w15:restartNumberingAfterBreak="0">
    <w:nsid w:val="499F2CF7"/>
    <w:multiLevelType w:val="hybridMultilevel"/>
    <w:tmpl w:val="7A0CAD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4DEE5F79"/>
    <w:multiLevelType w:val="hybridMultilevel"/>
    <w:tmpl w:val="254C3BB0"/>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12B2212"/>
    <w:multiLevelType w:val="hybridMultilevel"/>
    <w:tmpl w:val="97EA82CA"/>
    <w:lvl w:ilvl="0" w:tplc="2C1EEAFE">
      <w:start w:val="1"/>
      <w:numFmt w:val="decimal"/>
      <w:lvlText w:val="%1."/>
      <w:lvlJc w:val="left"/>
      <w:pPr>
        <w:ind w:left="720" w:hanging="360"/>
      </w:pPr>
      <w:rPr>
        <w:rFonts w:hint="default"/>
        <w:sz w:val="16"/>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15:restartNumberingAfterBreak="0">
    <w:nsid w:val="538E36C9"/>
    <w:multiLevelType w:val="hybridMultilevel"/>
    <w:tmpl w:val="A0DC949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15:restartNumberingAfterBreak="0">
    <w:nsid w:val="53DF4662"/>
    <w:multiLevelType w:val="multilevel"/>
    <w:tmpl w:val="CB88BABA"/>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1856" w:hanging="72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2784" w:hanging="108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38" w15:restartNumberingAfterBreak="0">
    <w:nsid w:val="54BB4577"/>
    <w:multiLevelType w:val="hybridMultilevel"/>
    <w:tmpl w:val="DB6438E8"/>
    <w:lvl w:ilvl="0" w:tplc="928C897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521F0C"/>
    <w:multiLevelType w:val="hybridMultilevel"/>
    <w:tmpl w:val="7854AE7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5E1350C8"/>
    <w:multiLevelType w:val="hybridMultilevel"/>
    <w:tmpl w:val="B734FC1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1" w15:restartNumberingAfterBreak="0">
    <w:nsid w:val="5EAA6C54"/>
    <w:multiLevelType w:val="hybridMultilevel"/>
    <w:tmpl w:val="3DDA2C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15:restartNumberingAfterBreak="0">
    <w:nsid w:val="5F883E68"/>
    <w:multiLevelType w:val="hybridMultilevel"/>
    <w:tmpl w:val="3BB2885E"/>
    <w:lvl w:ilvl="0" w:tplc="14289D00">
      <w:start w:val="1"/>
      <w:numFmt w:val="lowerLetter"/>
      <w:lvlText w:val="%1)"/>
      <w:lvlJc w:val="left"/>
      <w:pPr>
        <w:ind w:left="720" w:hanging="360"/>
      </w:pPr>
      <w:rPr>
        <w:rFonts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3" w15:restartNumberingAfterBreak="0">
    <w:nsid w:val="61345806"/>
    <w:multiLevelType w:val="multilevel"/>
    <w:tmpl w:val="1FF66DD6"/>
    <w:lvl w:ilvl="0">
      <w:start w:val="1"/>
      <w:numFmt w:val="decimal"/>
      <w:lvlText w:val="%1."/>
      <w:lvlJc w:val="left"/>
      <w:pPr>
        <w:ind w:left="3336" w:hanging="360"/>
      </w:pPr>
      <w:rPr>
        <w:rFonts w:cs="Times New Roman" w:hint="default"/>
      </w:rPr>
    </w:lvl>
    <w:lvl w:ilvl="1">
      <w:start w:val="5"/>
      <w:numFmt w:val="decimal"/>
      <w:isLgl/>
      <w:lvlText w:val="%1.%2"/>
      <w:lvlJc w:val="left"/>
      <w:pPr>
        <w:ind w:left="3381" w:hanging="405"/>
      </w:pPr>
      <w:rPr>
        <w:rFonts w:cs="Times New Roman" w:hint="default"/>
      </w:rPr>
    </w:lvl>
    <w:lvl w:ilvl="2">
      <w:start w:val="3"/>
      <w:numFmt w:val="decimal"/>
      <w:isLgl/>
      <w:lvlText w:val="%1.%2.%3"/>
      <w:lvlJc w:val="left"/>
      <w:pPr>
        <w:ind w:left="3696" w:hanging="720"/>
      </w:pPr>
      <w:rPr>
        <w:rFonts w:cs="Times New Roman" w:hint="default"/>
      </w:rPr>
    </w:lvl>
    <w:lvl w:ilvl="3">
      <w:start w:val="1"/>
      <w:numFmt w:val="decimal"/>
      <w:isLgl/>
      <w:lvlText w:val="%1.%2.%3.%4"/>
      <w:lvlJc w:val="left"/>
      <w:pPr>
        <w:ind w:left="3696" w:hanging="720"/>
      </w:pPr>
      <w:rPr>
        <w:rFonts w:cs="Times New Roman" w:hint="default"/>
      </w:rPr>
    </w:lvl>
    <w:lvl w:ilvl="4">
      <w:start w:val="1"/>
      <w:numFmt w:val="decimal"/>
      <w:isLgl/>
      <w:lvlText w:val="%1.%2.%3.%4.%5"/>
      <w:lvlJc w:val="left"/>
      <w:pPr>
        <w:ind w:left="3696" w:hanging="720"/>
      </w:pPr>
      <w:rPr>
        <w:rFonts w:cs="Times New Roman" w:hint="default"/>
      </w:rPr>
    </w:lvl>
    <w:lvl w:ilvl="5">
      <w:start w:val="1"/>
      <w:numFmt w:val="decimal"/>
      <w:isLgl/>
      <w:lvlText w:val="%1.%2.%3.%4.%5.%6"/>
      <w:lvlJc w:val="left"/>
      <w:pPr>
        <w:ind w:left="4056" w:hanging="1080"/>
      </w:pPr>
      <w:rPr>
        <w:rFonts w:cs="Times New Roman" w:hint="default"/>
      </w:rPr>
    </w:lvl>
    <w:lvl w:ilvl="6">
      <w:start w:val="1"/>
      <w:numFmt w:val="decimal"/>
      <w:isLgl/>
      <w:lvlText w:val="%1.%2.%3.%4.%5.%6.%7"/>
      <w:lvlJc w:val="left"/>
      <w:pPr>
        <w:ind w:left="4056" w:hanging="1080"/>
      </w:pPr>
      <w:rPr>
        <w:rFonts w:cs="Times New Roman" w:hint="default"/>
      </w:rPr>
    </w:lvl>
    <w:lvl w:ilvl="7">
      <w:start w:val="1"/>
      <w:numFmt w:val="decimal"/>
      <w:isLgl/>
      <w:lvlText w:val="%1.%2.%3.%4.%5.%6.%7.%8"/>
      <w:lvlJc w:val="left"/>
      <w:pPr>
        <w:ind w:left="4056" w:hanging="1080"/>
      </w:pPr>
      <w:rPr>
        <w:rFonts w:cs="Times New Roman" w:hint="default"/>
      </w:rPr>
    </w:lvl>
    <w:lvl w:ilvl="8">
      <w:start w:val="1"/>
      <w:numFmt w:val="decimal"/>
      <w:isLgl/>
      <w:lvlText w:val="%1.%2.%3.%4.%5.%6.%7.%8.%9"/>
      <w:lvlJc w:val="left"/>
      <w:pPr>
        <w:ind w:left="4416" w:hanging="1440"/>
      </w:pPr>
      <w:rPr>
        <w:rFonts w:cs="Times New Roman" w:hint="default"/>
      </w:rPr>
    </w:lvl>
  </w:abstractNum>
  <w:abstractNum w:abstractNumId="44" w15:restartNumberingAfterBreak="0">
    <w:nsid w:val="619D0C93"/>
    <w:multiLevelType w:val="hybridMultilevel"/>
    <w:tmpl w:val="C4825DEA"/>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5" w15:restartNumberingAfterBreak="0">
    <w:nsid w:val="61FC5BF2"/>
    <w:multiLevelType w:val="multilevel"/>
    <w:tmpl w:val="54A81CEC"/>
    <w:lvl w:ilvl="0">
      <w:numFmt w:val="bullet"/>
      <w:lvlText w:val="-"/>
      <w:lvlJc w:val="left"/>
      <w:pPr>
        <w:ind w:left="720" w:hanging="360"/>
      </w:pPr>
      <w:rPr>
        <w:rFonts w:ascii="Arial Narrow" w:eastAsia="Arial Narrow" w:hAnsi="Arial Narrow" w:cs="Arial Narro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62425278"/>
    <w:multiLevelType w:val="hybridMultilevel"/>
    <w:tmpl w:val="56403170"/>
    <w:lvl w:ilvl="0" w:tplc="280A000F">
      <w:start w:val="1"/>
      <w:numFmt w:val="decimal"/>
      <w:lvlText w:val="%1."/>
      <w:lvlJc w:val="left"/>
      <w:pPr>
        <w:ind w:left="720" w:hanging="360"/>
      </w:pPr>
      <w:rPr>
        <w:rFonts w:cs="Times New Roman"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47" w15:restartNumberingAfterBreak="0">
    <w:nsid w:val="64BB174D"/>
    <w:multiLevelType w:val="hybridMultilevel"/>
    <w:tmpl w:val="08E8E7B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8" w15:restartNumberingAfterBreak="0">
    <w:nsid w:val="666D1FB6"/>
    <w:multiLevelType w:val="hybridMultilevel"/>
    <w:tmpl w:val="B3126B0A"/>
    <w:lvl w:ilvl="0" w:tplc="F9C837BC">
      <w:start w:val="7"/>
      <w:numFmt w:val="bullet"/>
      <w:lvlText w:val="-"/>
      <w:lvlJc w:val="left"/>
      <w:pPr>
        <w:ind w:left="720" w:hanging="360"/>
      </w:pPr>
      <w:rPr>
        <w:rFonts w:ascii="Arial Narrow" w:eastAsia="Arial Narrow" w:hAnsi="Arial Narrow" w:cs="Arial Narro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9" w15:restartNumberingAfterBreak="0">
    <w:nsid w:val="68A135CC"/>
    <w:multiLevelType w:val="hybridMultilevel"/>
    <w:tmpl w:val="5DFAC2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A04627E"/>
    <w:multiLevelType w:val="hybridMultilevel"/>
    <w:tmpl w:val="CE7E33C6"/>
    <w:lvl w:ilvl="0" w:tplc="49F6F962">
      <w:numFmt w:val="bullet"/>
      <w:lvlText w:val="-"/>
      <w:lvlJc w:val="left"/>
      <w:pPr>
        <w:ind w:left="720" w:hanging="360"/>
      </w:pPr>
      <w:rPr>
        <w:rFonts w:ascii="Arial Narrow" w:eastAsia="Arial Narrow" w:hAnsi="Arial Narrow" w:cs="Arial Narro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1" w15:restartNumberingAfterBreak="0">
    <w:nsid w:val="6A8A76A3"/>
    <w:multiLevelType w:val="hybridMultilevel"/>
    <w:tmpl w:val="663A28D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2" w15:restartNumberingAfterBreak="0">
    <w:nsid w:val="6DF10C31"/>
    <w:multiLevelType w:val="hybridMultilevel"/>
    <w:tmpl w:val="1312FE7A"/>
    <w:lvl w:ilvl="0" w:tplc="280A0017">
      <w:start w:val="1"/>
      <w:numFmt w:val="lowerLetter"/>
      <w:lvlText w:val="%1)"/>
      <w:lvlJc w:val="left"/>
      <w:pPr>
        <w:ind w:left="720" w:hanging="360"/>
      </w:pPr>
      <w:rPr>
        <w:rFonts w:hint="default"/>
      </w:rPr>
    </w:lvl>
    <w:lvl w:ilvl="1" w:tplc="4760A344">
      <w:numFmt w:val="bullet"/>
      <w:lvlText w:val="-"/>
      <w:lvlJc w:val="left"/>
      <w:pPr>
        <w:ind w:left="1440" w:hanging="360"/>
      </w:pPr>
      <w:rPr>
        <w:rFonts w:ascii="Arial Narrow" w:eastAsiaTheme="minorHAnsi" w:hAnsi="Arial Narrow" w:cstheme="minorBidi" w:hint="default"/>
        <w:b/>
        <w:color w:val="FF0000"/>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3" w15:restartNumberingAfterBreak="0">
    <w:nsid w:val="743F6F85"/>
    <w:multiLevelType w:val="hybridMultilevel"/>
    <w:tmpl w:val="08FC2742"/>
    <w:lvl w:ilvl="0" w:tplc="13A045AC">
      <w:start w:val="70"/>
      <w:numFmt w:val="bullet"/>
      <w:lvlText w:val="-"/>
      <w:lvlJc w:val="left"/>
      <w:pPr>
        <w:ind w:left="616" w:hanging="360"/>
      </w:pPr>
      <w:rPr>
        <w:rFonts w:ascii="Arial Narrow" w:eastAsia="Arial Narrow" w:hAnsi="Arial Narrow" w:cs="Arial Narrow" w:hint="default"/>
      </w:rPr>
    </w:lvl>
    <w:lvl w:ilvl="1" w:tplc="280A0003" w:tentative="1">
      <w:start w:val="1"/>
      <w:numFmt w:val="bullet"/>
      <w:lvlText w:val="o"/>
      <w:lvlJc w:val="left"/>
      <w:pPr>
        <w:ind w:left="1568" w:hanging="360"/>
      </w:pPr>
      <w:rPr>
        <w:rFonts w:ascii="Courier New" w:hAnsi="Courier New" w:cs="Courier New" w:hint="default"/>
      </w:rPr>
    </w:lvl>
    <w:lvl w:ilvl="2" w:tplc="280A0005" w:tentative="1">
      <w:start w:val="1"/>
      <w:numFmt w:val="bullet"/>
      <w:lvlText w:val=""/>
      <w:lvlJc w:val="left"/>
      <w:pPr>
        <w:ind w:left="2288" w:hanging="360"/>
      </w:pPr>
      <w:rPr>
        <w:rFonts w:ascii="Wingdings" w:hAnsi="Wingdings" w:hint="default"/>
      </w:rPr>
    </w:lvl>
    <w:lvl w:ilvl="3" w:tplc="280A0001" w:tentative="1">
      <w:start w:val="1"/>
      <w:numFmt w:val="bullet"/>
      <w:lvlText w:val=""/>
      <w:lvlJc w:val="left"/>
      <w:pPr>
        <w:ind w:left="3008" w:hanging="360"/>
      </w:pPr>
      <w:rPr>
        <w:rFonts w:ascii="Symbol" w:hAnsi="Symbol" w:hint="default"/>
      </w:rPr>
    </w:lvl>
    <w:lvl w:ilvl="4" w:tplc="280A0003" w:tentative="1">
      <w:start w:val="1"/>
      <w:numFmt w:val="bullet"/>
      <w:lvlText w:val="o"/>
      <w:lvlJc w:val="left"/>
      <w:pPr>
        <w:ind w:left="3728" w:hanging="360"/>
      </w:pPr>
      <w:rPr>
        <w:rFonts w:ascii="Courier New" w:hAnsi="Courier New" w:cs="Courier New" w:hint="default"/>
      </w:rPr>
    </w:lvl>
    <w:lvl w:ilvl="5" w:tplc="280A0005" w:tentative="1">
      <w:start w:val="1"/>
      <w:numFmt w:val="bullet"/>
      <w:lvlText w:val=""/>
      <w:lvlJc w:val="left"/>
      <w:pPr>
        <w:ind w:left="4448" w:hanging="360"/>
      </w:pPr>
      <w:rPr>
        <w:rFonts w:ascii="Wingdings" w:hAnsi="Wingdings" w:hint="default"/>
      </w:rPr>
    </w:lvl>
    <w:lvl w:ilvl="6" w:tplc="280A0001" w:tentative="1">
      <w:start w:val="1"/>
      <w:numFmt w:val="bullet"/>
      <w:lvlText w:val=""/>
      <w:lvlJc w:val="left"/>
      <w:pPr>
        <w:ind w:left="5168" w:hanging="360"/>
      </w:pPr>
      <w:rPr>
        <w:rFonts w:ascii="Symbol" w:hAnsi="Symbol" w:hint="default"/>
      </w:rPr>
    </w:lvl>
    <w:lvl w:ilvl="7" w:tplc="280A0003" w:tentative="1">
      <w:start w:val="1"/>
      <w:numFmt w:val="bullet"/>
      <w:lvlText w:val="o"/>
      <w:lvlJc w:val="left"/>
      <w:pPr>
        <w:ind w:left="5888" w:hanging="360"/>
      </w:pPr>
      <w:rPr>
        <w:rFonts w:ascii="Courier New" w:hAnsi="Courier New" w:cs="Courier New" w:hint="default"/>
      </w:rPr>
    </w:lvl>
    <w:lvl w:ilvl="8" w:tplc="280A0005" w:tentative="1">
      <w:start w:val="1"/>
      <w:numFmt w:val="bullet"/>
      <w:lvlText w:val=""/>
      <w:lvlJc w:val="left"/>
      <w:pPr>
        <w:ind w:left="6608" w:hanging="360"/>
      </w:pPr>
      <w:rPr>
        <w:rFonts w:ascii="Wingdings" w:hAnsi="Wingdings" w:hint="default"/>
      </w:rPr>
    </w:lvl>
  </w:abstractNum>
  <w:abstractNum w:abstractNumId="54" w15:restartNumberingAfterBreak="0">
    <w:nsid w:val="74426AD0"/>
    <w:multiLevelType w:val="hybridMultilevel"/>
    <w:tmpl w:val="07CC63F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5" w15:restartNumberingAfterBreak="0">
    <w:nsid w:val="78436A23"/>
    <w:multiLevelType w:val="hybridMultilevel"/>
    <w:tmpl w:val="3C9A306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791702709">
    <w:abstractNumId w:val="23"/>
  </w:num>
  <w:num w:numId="2" w16cid:durableId="507257938">
    <w:abstractNumId w:val="34"/>
  </w:num>
  <w:num w:numId="3" w16cid:durableId="626856134">
    <w:abstractNumId w:val="3"/>
  </w:num>
  <w:num w:numId="4" w16cid:durableId="442117083">
    <w:abstractNumId w:val="42"/>
  </w:num>
  <w:num w:numId="5" w16cid:durableId="1745684304">
    <w:abstractNumId w:val="50"/>
  </w:num>
  <w:num w:numId="6" w16cid:durableId="665938348">
    <w:abstractNumId w:val="15"/>
  </w:num>
  <w:num w:numId="7" w16cid:durableId="1723480299">
    <w:abstractNumId w:val="4"/>
  </w:num>
  <w:num w:numId="8" w16cid:durableId="227225793">
    <w:abstractNumId w:val="29"/>
  </w:num>
  <w:num w:numId="9" w16cid:durableId="55471788">
    <w:abstractNumId w:val="52"/>
  </w:num>
  <w:num w:numId="10" w16cid:durableId="1231498292">
    <w:abstractNumId w:val="44"/>
  </w:num>
  <w:num w:numId="11" w16cid:durableId="1527256049">
    <w:abstractNumId w:val="19"/>
  </w:num>
  <w:num w:numId="12" w16cid:durableId="784470127">
    <w:abstractNumId w:val="14"/>
  </w:num>
  <w:num w:numId="13" w16cid:durableId="1801143259">
    <w:abstractNumId w:val="45"/>
  </w:num>
  <w:num w:numId="14" w16cid:durableId="1223254592">
    <w:abstractNumId w:val="48"/>
  </w:num>
  <w:num w:numId="15" w16cid:durableId="1513833789">
    <w:abstractNumId w:val="53"/>
  </w:num>
  <w:num w:numId="16" w16cid:durableId="311370508">
    <w:abstractNumId w:val="25"/>
  </w:num>
  <w:num w:numId="17" w16cid:durableId="354426903">
    <w:abstractNumId w:val="32"/>
  </w:num>
  <w:num w:numId="18" w16cid:durableId="1653413908">
    <w:abstractNumId w:val="54"/>
  </w:num>
  <w:num w:numId="19" w16cid:durableId="560603175">
    <w:abstractNumId w:val="38"/>
  </w:num>
  <w:num w:numId="20" w16cid:durableId="878468377">
    <w:abstractNumId w:val="27"/>
  </w:num>
  <w:num w:numId="21" w16cid:durableId="1001930249">
    <w:abstractNumId w:val="18"/>
  </w:num>
  <w:num w:numId="22" w16cid:durableId="1936479115">
    <w:abstractNumId w:val="36"/>
  </w:num>
  <w:num w:numId="23" w16cid:durableId="4332408">
    <w:abstractNumId w:val="7"/>
  </w:num>
  <w:num w:numId="24" w16cid:durableId="1392580312">
    <w:abstractNumId w:val="6"/>
  </w:num>
  <w:num w:numId="25" w16cid:durableId="1342198962">
    <w:abstractNumId w:val="1"/>
  </w:num>
  <w:num w:numId="26" w16cid:durableId="1139031339">
    <w:abstractNumId w:val="24"/>
  </w:num>
  <w:num w:numId="27" w16cid:durableId="220168009">
    <w:abstractNumId w:val="12"/>
  </w:num>
  <w:num w:numId="28" w16cid:durableId="152914600">
    <w:abstractNumId w:val="10"/>
  </w:num>
  <w:num w:numId="29" w16cid:durableId="662969823">
    <w:abstractNumId w:val="46"/>
  </w:num>
  <w:num w:numId="30" w16cid:durableId="220991857">
    <w:abstractNumId w:val="2"/>
  </w:num>
  <w:num w:numId="31" w16cid:durableId="1184510916">
    <w:abstractNumId w:val="26"/>
  </w:num>
  <w:num w:numId="32" w16cid:durableId="2004551538">
    <w:abstractNumId w:val="33"/>
  </w:num>
  <w:num w:numId="33" w16cid:durableId="1447429416">
    <w:abstractNumId w:val="5"/>
  </w:num>
  <w:num w:numId="34" w16cid:durableId="168830984">
    <w:abstractNumId w:val="13"/>
  </w:num>
  <w:num w:numId="35" w16cid:durableId="1947157115">
    <w:abstractNumId w:val="43"/>
  </w:num>
  <w:num w:numId="36" w16cid:durableId="1869221640">
    <w:abstractNumId w:val="39"/>
  </w:num>
  <w:num w:numId="37" w16cid:durableId="329648074">
    <w:abstractNumId w:val="21"/>
  </w:num>
  <w:num w:numId="38" w16cid:durableId="1358849363">
    <w:abstractNumId w:val="55"/>
  </w:num>
  <w:num w:numId="39" w16cid:durableId="859009853">
    <w:abstractNumId w:val="30"/>
  </w:num>
  <w:num w:numId="40" w16cid:durableId="2107925207">
    <w:abstractNumId w:val="28"/>
  </w:num>
  <w:num w:numId="41" w16cid:durableId="150559567">
    <w:abstractNumId w:val="37"/>
  </w:num>
  <w:num w:numId="42" w16cid:durableId="822700094">
    <w:abstractNumId w:val="41"/>
  </w:num>
  <w:num w:numId="43" w16cid:durableId="1260990933">
    <w:abstractNumId w:val="40"/>
  </w:num>
  <w:num w:numId="44" w16cid:durableId="1148089650">
    <w:abstractNumId w:val="0"/>
  </w:num>
  <w:num w:numId="45" w16cid:durableId="1503467218">
    <w:abstractNumId w:val="47"/>
  </w:num>
  <w:num w:numId="46" w16cid:durableId="1334186801">
    <w:abstractNumId w:val="51"/>
  </w:num>
  <w:num w:numId="47" w16cid:durableId="896166930">
    <w:abstractNumId w:val="22"/>
  </w:num>
  <w:num w:numId="48" w16cid:durableId="228466548">
    <w:abstractNumId w:val="35"/>
  </w:num>
  <w:num w:numId="49" w16cid:durableId="1728721271">
    <w:abstractNumId w:val="49"/>
  </w:num>
  <w:num w:numId="50" w16cid:durableId="1646936156">
    <w:abstractNumId w:val="20"/>
  </w:num>
  <w:num w:numId="51" w16cid:durableId="1508866737">
    <w:abstractNumId w:val="9"/>
  </w:num>
  <w:num w:numId="52" w16cid:durableId="881865692">
    <w:abstractNumId w:val="8"/>
  </w:num>
  <w:num w:numId="53" w16cid:durableId="1528982256">
    <w:abstractNumId w:val="17"/>
  </w:num>
  <w:num w:numId="54" w16cid:durableId="1905022965">
    <w:abstractNumId w:val="16"/>
  </w:num>
  <w:num w:numId="55" w16cid:durableId="900754874">
    <w:abstractNumId w:val="31"/>
  </w:num>
  <w:num w:numId="56" w16cid:durableId="1188759119">
    <w:abstractNumId w:val="1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10F"/>
    <w:rsid w:val="000014B4"/>
    <w:rsid w:val="0000379F"/>
    <w:rsid w:val="00003AA3"/>
    <w:rsid w:val="00004041"/>
    <w:rsid w:val="000050CD"/>
    <w:rsid w:val="00005169"/>
    <w:rsid w:val="00005B39"/>
    <w:rsid w:val="000061DB"/>
    <w:rsid w:val="0000621B"/>
    <w:rsid w:val="00006DF5"/>
    <w:rsid w:val="000105CC"/>
    <w:rsid w:val="00010A34"/>
    <w:rsid w:val="00010FF1"/>
    <w:rsid w:val="00011FF7"/>
    <w:rsid w:val="00012C99"/>
    <w:rsid w:val="00014A06"/>
    <w:rsid w:val="0001551E"/>
    <w:rsid w:val="00015DE6"/>
    <w:rsid w:val="000165D6"/>
    <w:rsid w:val="00016F02"/>
    <w:rsid w:val="000172F2"/>
    <w:rsid w:val="00017563"/>
    <w:rsid w:val="000176BF"/>
    <w:rsid w:val="0001788D"/>
    <w:rsid w:val="00020252"/>
    <w:rsid w:val="0002256D"/>
    <w:rsid w:val="00022C6C"/>
    <w:rsid w:val="000233E1"/>
    <w:rsid w:val="00023773"/>
    <w:rsid w:val="00023D11"/>
    <w:rsid w:val="00024C88"/>
    <w:rsid w:val="000253DF"/>
    <w:rsid w:val="000257D7"/>
    <w:rsid w:val="000260A5"/>
    <w:rsid w:val="00026636"/>
    <w:rsid w:val="00026B0D"/>
    <w:rsid w:val="0002759B"/>
    <w:rsid w:val="00032E3A"/>
    <w:rsid w:val="00033956"/>
    <w:rsid w:val="000345F9"/>
    <w:rsid w:val="000358D2"/>
    <w:rsid w:val="000358F1"/>
    <w:rsid w:val="00035FA4"/>
    <w:rsid w:val="00036BAE"/>
    <w:rsid w:val="00036F8A"/>
    <w:rsid w:val="00037011"/>
    <w:rsid w:val="00037499"/>
    <w:rsid w:val="00040271"/>
    <w:rsid w:val="000414B1"/>
    <w:rsid w:val="0004176F"/>
    <w:rsid w:val="00041FB9"/>
    <w:rsid w:val="00043E78"/>
    <w:rsid w:val="00044215"/>
    <w:rsid w:val="00044ED0"/>
    <w:rsid w:val="000454DF"/>
    <w:rsid w:val="000462D8"/>
    <w:rsid w:val="0004776D"/>
    <w:rsid w:val="00047E40"/>
    <w:rsid w:val="000501F3"/>
    <w:rsid w:val="0005177A"/>
    <w:rsid w:val="000518CE"/>
    <w:rsid w:val="00051BDA"/>
    <w:rsid w:val="00052A9B"/>
    <w:rsid w:val="00053B24"/>
    <w:rsid w:val="00053E97"/>
    <w:rsid w:val="00054481"/>
    <w:rsid w:val="000548D4"/>
    <w:rsid w:val="00055214"/>
    <w:rsid w:val="000552E6"/>
    <w:rsid w:val="00055916"/>
    <w:rsid w:val="00056629"/>
    <w:rsid w:val="00056EB3"/>
    <w:rsid w:val="0005782E"/>
    <w:rsid w:val="00062D81"/>
    <w:rsid w:val="000631A1"/>
    <w:rsid w:val="00063D95"/>
    <w:rsid w:val="00064311"/>
    <w:rsid w:val="00064BAB"/>
    <w:rsid w:val="000655C4"/>
    <w:rsid w:val="00066B81"/>
    <w:rsid w:val="00066C34"/>
    <w:rsid w:val="00067184"/>
    <w:rsid w:val="00067291"/>
    <w:rsid w:val="0006763B"/>
    <w:rsid w:val="00070DB4"/>
    <w:rsid w:val="000712E1"/>
    <w:rsid w:val="000716A6"/>
    <w:rsid w:val="000731B1"/>
    <w:rsid w:val="0007422E"/>
    <w:rsid w:val="0007448F"/>
    <w:rsid w:val="00074D53"/>
    <w:rsid w:val="00075520"/>
    <w:rsid w:val="000756A7"/>
    <w:rsid w:val="00076AC8"/>
    <w:rsid w:val="000771C8"/>
    <w:rsid w:val="0007747A"/>
    <w:rsid w:val="000779AE"/>
    <w:rsid w:val="00077D53"/>
    <w:rsid w:val="00082746"/>
    <w:rsid w:val="0008306E"/>
    <w:rsid w:val="00083645"/>
    <w:rsid w:val="00083858"/>
    <w:rsid w:val="00083990"/>
    <w:rsid w:val="000839F2"/>
    <w:rsid w:val="000840B1"/>
    <w:rsid w:val="00085BC6"/>
    <w:rsid w:val="000860B9"/>
    <w:rsid w:val="00086C80"/>
    <w:rsid w:val="00086DE5"/>
    <w:rsid w:val="00087C61"/>
    <w:rsid w:val="00090599"/>
    <w:rsid w:val="000911DA"/>
    <w:rsid w:val="00091701"/>
    <w:rsid w:val="000919BC"/>
    <w:rsid w:val="00092621"/>
    <w:rsid w:val="0009337A"/>
    <w:rsid w:val="0009606B"/>
    <w:rsid w:val="00096AD2"/>
    <w:rsid w:val="0009716F"/>
    <w:rsid w:val="000979A3"/>
    <w:rsid w:val="00097D02"/>
    <w:rsid w:val="00097F4E"/>
    <w:rsid w:val="000A04C5"/>
    <w:rsid w:val="000A27E3"/>
    <w:rsid w:val="000A4A42"/>
    <w:rsid w:val="000A4CEC"/>
    <w:rsid w:val="000A66B2"/>
    <w:rsid w:val="000A6E64"/>
    <w:rsid w:val="000A6F11"/>
    <w:rsid w:val="000B034D"/>
    <w:rsid w:val="000B0A4D"/>
    <w:rsid w:val="000B1D02"/>
    <w:rsid w:val="000B2E2F"/>
    <w:rsid w:val="000B33D8"/>
    <w:rsid w:val="000B3436"/>
    <w:rsid w:val="000B56E2"/>
    <w:rsid w:val="000B73A3"/>
    <w:rsid w:val="000B748D"/>
    <w:rsid w:val="000C0980"/>
    <w:rsid w:val="000C1D8F"/>
    <w:rsid w:val="000C22B5"/>
    <w:rsid w:val="000C22B9"/>
    <w:rsid w:val="000C253F"/>
    <w:rsid w:val="000C32E7"/>
    <w:rsid w:val="000C39A1"/>
    <w:rsid w:val="000C3BD6"/>
    <w:rsid w:val="000C49B7"/>
    <w:rsid w:val="000C4F80"/>
    <w:rsid w:val="000C589A"/>
    <w:rsid w:val="000C6283"/>
    <w:rsid w:val="000C6EF5"/>
    <w:rsid w:val="000C70EB"/>
    <w:rsid w:val="000C77B7"/>
    <w:rsid w:val="000D0090"/>
    <w:rsid w:val="000D00B4"/>
    <w:rsid w:val="000D07D5"/>
    <w:rsid w:val="000D0B33"/>
    <w:rsid w:val="000D1705"/>
    <w:rsid w:val="000D19C8"/>
    <w:rsid w:val="000D1E0E"/>
    <w:rsid w:val="000D257F"/>
    <w:rsid w:val="000D3009"/>
    <w:rsid w:val="000D4920"/>
    <w:rsid w:val="000D4F36"/>
    <w:rsid w:val="000D526D"/>
    <w:rsid w:val="000D5F55"/>
    <w:rsid w:val="000D61B7"/>
    <w:rsid w:val="000D6B40"/>
    <w:rsid w:val="000E0086"/>
    <w:rsid w:val="000E03DA"/>
    <w:rsid w:val="000E0791"/>
    <w:rsid w:val="000E09E2"/>
    <w:rsid w:val="000E0AED"/>
    <w:rsid w:val="000E0F49"/>
    <w:rsid w:val="000E2376"/>
    <w:rsid w:val="000E2BCD"/>
    <w:rsid w:val="000E3372"/>
    <w:rsid w:val="000E3D70"/>
    <w:rsid w:val="000E61B5"/>
    <w:rsid w:val="000E7F96"/>
    <w:rsid w:val="000F0878"/>
    <w:rsid w:val="000F100D"/>
    <w:rsid w:val="000F1190"/>
    <w:rsid w:val="000F2B40"/>
    <w:rsid w:val="000F2F85"/>
    <w:rsid w:val="000F4B89"/>
    <w:rsid w:val="000F6542"/>
    <w:rsid w:val="000F6B91"/>
    <w:rsid w:val="000F6D3A"/>
    <w:rsid w:val="000F6D6B"/>
    <w:rsid w:val="000F73F2"/>
    <w:rsid w:val="000F74E8"/>
    <w:rsid w:val="00100B40"/>
    <w:rsid w:val="001017EC"/>
    <w:rsid w:val="001019A4"/>
    <w:rsid w:val="00101B4F"/>
    <w:rsid w:val="001028C8"/>
    <w:rsid w:val="00103379"/>
    <w:rsid w:val="00103AAF"/>
    <w:rsid w:val="00104A9E"/>
    <w:rsid w:val="00104D33"/>
    <w:rsid w:val="00104E7B"/>
    <w:rsid w:val="0010528A"/>
    <w:rsid w:val="001071E7"/>
    <w:rsid w:val="00107DDC"/>
    <w:rsid w:val="00110CEF"/>
    <w:rsid w:val="00111424"/>
    <w:rsid w:val="0011151B"/>
    <w:rsid w:val="00111C8B"/>
    <w:rsid w:val="00114AEC"/>
    <w:rsid w:val="00115B1A"/>
    <w:rsid w:val="001160D1"/>
    <w:rsid w:val="001160D9"/>
    <w:rsid w:val="0011698E"/>
    <w:rsid w:val="001170D9"/>
    <w:rsid w:val="001171C7"/>
    <w:rsid w:val="00117242"/>
    <w:rsid w:val="00117B6E"/>
    <w:rsid w:val="00120549"/>
    <w:rsid w:val="00120B5E"/>
    <w:rsid w:val="001212FE"/>
    <w:rsid w:val="001217D7"/>
    <w:rsid w:val="00121D60"/>
    <w:rsid w:val="00121E95"/>
    <w:rsid w:val="001228F2"/>
    <w:rsid w:val="00124528"/>
    <w:rsid w:val="00124C25"/>
    <w:rsid w:val="00124CC9"/>
    <w:rsid w:val="0012502E"/>
    <w:rsid w:val="00125A76"/>
    <w:rsid w:val="00126078"/>
    <w:rsid w:val="00126F0F"/>
    <w:rsid w:val="00127434"/>
    <w:rsid w:val="00127D5F"/>
    <w:rsid w:val="00130140"/>
    <w:rsid w:val="001313A4"/>
    <w:rsid w:val="00131CF0"/>
    <w:rsid w:val="00132580"/>
    <w:rsid w:val="00132987"/>
    <w:rsid w:val="00132A01"/>
    <w:rsid w:val="00132B52"/>
    <w:rsid w:val="00133851"/>
    <w:rsid w:val="00133B19"/>
    <w:rsid w:val="001343D1"/>
    <w:rsid w:val="00134537"/>
    <w:rsid w:val="00135279"/>
    <w:rsid w:val="0013604F"/>
    <w:rsid w:val="001364BC"/>
    <w:rsid w:val="00137395"/>
    <w:rsid w:val="0013789B"/>
    <w:rsid w:val="00137B40"/>
    <w:rsid w:val="001402E9"/>
    <w:rsid w:val="00140673"/>
    <w:rsid w:val="001419EB"/>
    <w:rsid w:val="00141B33"/>
    <w:rsid w:val="00141C77"/>
    <w:rsid w:val="001420B5"/>
    <w:rsid w:val="00142E25"/>
    <w:rsid w:val="001434C5"/>
    <w:rsid w:val="00146784"/>
    <w:rsid w:val="00146C7E"/>
    <w:rsid w:val="001473D9"/>
    <w:rsid w:val="00147621"/>
    <w:rsid w:val="00147824"/>
    <w:rsid w:val="00147ABA"/>
    <w:rsid w:val="00147D2E"/>
    <w:rsid w:val="00151847"/>
    <w:rsid w:val="001530DF"/>
    <w:rsid w:val="0015313E"/>
    <w:rsid w:val="00153224"/>
    <w:rsid w:val="00153504"/>
    <w:rsid w:val="001536AB"/>
    <w:rsid w:val="00154678"/>
    <w:rsid w:val="00154B51"/>
    <w:rsid w:val="00154C6F"/>
    <w:rsid w:val="001559A7"/>
    <w:rsid w:val="00157320"/>
    <w:rsid w:val="00157B67"/>
    <w:rsid w:val="0016049E"/>
    <w:rsid w:val="00160A17"/>
    <w:rsid w:val="001617F3"/>
    <w:rsid w:val="00161A1E"/>
    <w:rsid w:val="00161C6D"/>
    <w:rsid w:val="001658F1"/>
    <w:rsid w:val="00166214"/>
    <w:rsid w:val="00166BA8"/>
    <w:rsid w:val="001712EE"/>
    <w:rsid w:val="00171672"/>
    <w:rsid w:val="00172A60"/>
    <w:rsid w:val="00173843"/>
    <w:rsid w:val="00173E7D"/>
    <w:rsid w:val="00174341"/>
    <w:rsid w:val="0017439E"/>
    <w:rsid w:val="0017639F"/>
    <w:rsid w:val="001771C3"/>
    <w:rsid w:val="00177E8C"/>
    <w:rsid w:val="00180A98"/>
    <w:rsid w:val="00180AA7"/>
    <w:rsid w:val="00180FD9"/>
    <w:rsid w:val="001818B9"/>
    <w:rsid w:val="00182230"/>
    <w:rsid w:val="00183308"/>
    <w:rsid w:val="0018388D"/>
    <w:rsid w:val="001853FF"/>
    <w:rsid w:val="00185962"/>
    <w:rsid w:val="00186CEE"/>
    <w:rsid w:val="00186FC0"/>
    <w:rsid w:val="001909B0"/>
    <w:rsid w:val="00191811"/>
    <w:rsid w:val="0019256D"/>
    <w:rsid w:val="0019296D"/>
    <w:rsid w:val="00193E26"/>
    <w:rsid w:val="00194F82"/>
    <w:rsid w:val="001954F3"/>
    <w:rsid w:val="00195718"/>
    <w:rsid w:val="0019571B"/>
    <w:rsid w:val="001962E6"/>
    <w:rsid w:val="00196599"/>
    <w:rsid w:val="00196797"/>
    <w:rsid w:val="00196CF3"/>
    <w:rsid w:val="00197629"/>
    <w:rsid w:val="00197701"/>
    <w:rsid w:val="00197E54"/>
    <w:rsid w:val="001A0D38"/>
    <w:rsid w:val="001A11CC"/>
    <w:rsid w:val="001A1512"/>
    <w:rsid w:val="001A1690"/>
    <w:rsid w:val="001A1710"/>
    <w:rsid w:val="001A1B91"/>
    <w:rsid w:val="001A246E"/>
    <w:rsid w:val="001A37BB"/>
    <w:rsid w:val="001A40C3"/>
    <w:rsid w:val="001A48FA"/>
    <w:rsid w:val="001A53D6"/>
    <w:rsid w:val="001A5FD9"/>
    <w:rsid w:val="001A63D0"/>
    <w:rsid w:val="001A65C5"/>
    <w:rsid w:val="001A71F9"/>
    <w:rsid w:val="001A7440"/>
    <w:rsid w:val="001A78F0"/>
    <w:rsid w:val="001B0DA0"/>
    <w:rsid w:val="001B1020"/>
    <w:rsid w:val="001B1FDE"/>
    <w:rsid w:val="001B2BAB"/>
    <w:rsid w:val="001B2C5B"/>
    <w:rsid w:val="001B2CA3"/>
    <w:rsid w:val="001B3800"/>
    <w:rsid w:val="001B4A25"/>
    <w:rsid w:val="001B50DD"/>
    <w:rsid w:val="001B7BBB"/>
    <w:rsid w:val="001B7D66"/>
    <w:rsid w:val="001C0926"/>
    <w:rsid w:val="001C2446"/>
    <w:rsid w:val="001C323D"/>
    <w:rsid w:val="001C43EA"/>
    <w:rsid w:val="001C4887"/>
    <w:rsid w:val="001C5085"/>
    <w:rsid w:val="001C573A"/>
    <w:rsid w:val="001C6A26"/>
    <w:rsid w:val="001C6E41"/>
    <w:rsid w:val="001C6F3A"/>
    <w:rsid w:val="001C76F7"/>
    <w:rsid w:val="001C777D"/>
    <w:rsid w:val="001D20A8"/>
    <w:rsid w:val="001D3189"/>
    <w:rsid w:val="001D3ABC"/>
    <w:rsid w:val="001D540A"/>
    <w:rsid w:val="001D7896"/>
    <w:rsid w:val="001E08D0"/>
    <w:rsid w:val="001E0B10"/>
    <w:rsid w:val="001E0E09"/>
    <w:rsid w:val="001E1321"/>
    <w:rsid w:val="001E276C"/>
    <w:rsid w:val="001E2BBB"/>
    <w:rsid w:val="001E330D"/>
    <w:rsid w:val="001E356E"/>
    <w:rsid w:val="001E42EA"/>
    <w:rsid w:val="001E4362"/>
    <w:rsid w:val="001E464B"/>
    <w:rsid w:val="001E47C2"/>
    <w:rsid w:val="001E5F84"/>
    <w:rsid w:val="001E7646"/>
    <w:rsid w:val="001E7848"/>
    <w:rsid w:val="001E79BB"/>
    <w:rsid w:val="001F0284"/>
    <w:rsid w:val="001F031A"/>
    <w:rsid w:val="001F1B92"/>
    <w:rsid w:val="001F3867"/>
    <w:rsid w:val="001F3887"/>
    <w:rsid w:val="001F3C57"/>
    <w:rsid w:val="001F3D3A"/>
    <w:rsid w:val="001F42BD"/>
    <w:rsid w:val="001F4B77"/>
    <w:rsid w:val="001F4EBA"/>
    <w:rsid w:val="001F57C9"/>
    <w:rsid w:val="00201D74"/>
    <w:rsid w:val="00201F06"/>
    <w:rsid w:val="0020289A"/>
    <w:rsid w:val="00202E10"/>
    <w:rsid w:val="00203798"/>
    <w:rsid w:val="00203979"/>
    <w:rsid w:val="00203A1F"/>
    <w:rsid w:val="00203D7B"/>
    <w:rsid w:val="002046B9"/>
    <w:rsid w:val="002051C3"/>
    <w:rsid w:val="0020551C"/>
    <w:rsid w:val="00205937"/>
    <w:rsid w:val="00206D62"/>
    <w:rsid w:val="002074B2"/>
    <w:rsid w:val="002079C4"/>
    <w:rsid w:val="00211863"/>
    <w:rsid w:val="002126B1"/>
    <w:rsid w:val="00212957"/>
    <w:rsid w:val="002133DB"/>
    <w:rsid w:val="00213422"/>
    <w:rsid w:val="00214692"/>
    <w:rsid w:val="002146D8"/>
    <w:rsid w:val="002149D9"/>
    <w:rsid w:val="00214F79"/>
    <w:rsid w:val="00215B43"/>
    <w:rsid w:val="00215F54"/>
    <w:rsid w:val="00216792"/>
    <w:rsid w:val="002168D6"/>
    <w:rsid w:val="00216F36"/>
    <w:rsid w:val="00217E33"/>
    <w:rsid w:val="00217ECB"/>
    <w:rsid w:val="0022012F"/>
    <w:rsid w:val="00220A9C"/>
    <w:rsid w:val="0022187F"/>
    <w:rsid w:val="0022281C"/>
    <w:rsid w:val="00222B47"/>
    <w:rsid w:val="00222D77"/>
    <w:rsid w:val="0022438F"/>
    <w:rsid w:val="00226024"/>
    <w:rsid w:val="0022647F"/>
    <w:rsid w:val="002267EA"/>
    <w:rsid w:val="00230E55"/>
    <w:rsid w:val="00231053"/>
    <w:rsid w:val="00231126"/>
    <w:rsid w:val="00231773"/>
    <w:rsid w:val="00231B48"/>
    <w:rsid w:val="002320D8"/>
    <w:rsid w:val="00232D77"/>
    <w:rsid w:val="00232E54"/>
    <w:rsid w:val="0023369C"/>
    <w:rsid w:val="002343CC"/>
    <w:rsid w:val="002347D9"/>
    <w:rsid w:val="00234ACD"/>
    <w:rsid w:val="00236A2E"/>
    <w:rsid w:val="00236BED"/>
    <w:rsid w:val="00236E20"/>
    <w:rsid w:val="00237AFB"/>
    <w:rsid w:val="0024092B"/>
    <w:rsid w:val="00240D67"/>
    <w:rsid w:val="0024305F"/>
    <w:rsid w:val="0024409D"/>
    <w:rsid w:val="00244653"/>
    <w:rsid w:val="00244CAA"/>
    <w:rsid w:val="00244ECE"/>
    <w:rsid w:val="00245024"/>
    <w:rsid w:val="00245754"/>
    <w:rsid w:val="00245A59"/>
    <w:rsid w:val="002464AA"/>
    <w:rsid w:val="002469C9"/>
    <w:rsid w:val="00246D85"/>
    <w:rsid w:val="002477BE"/>
    <w:rsid w:val="00247ED1"/>
    <w:rsid w:val="0025059A"/>
    <w:rsid w:val="00252014"/>
    <w:rsid w:val="0025458C"/>
    <w:rsid w:val="0025479D"/>
    <w:rsid w:val="00254809"/>
    <w:rsid w:val="0025489B"/>
    <w:rsid w:val="00254C56"/>
    <w:rsid w:val="00255043"/>
    <w:rsid w:val="002550A1"/>
    <w:rsid w:val="00255BCF"/>
    <w:rsid w:val="00255D1B"/>
    <w:rsid w:val="00256A23"/>
    <w:rsid w:val="00256B4A"/>
    <w:rsid w:val="002570EB"/>
    <w:rsid w:val="002579A3"/>
    <w:rsid w:val="002579E4"/>
    <w:rsid w:val="00257C8E"/>
    <w:rsid w:val="00260B9E"/>
    <w:rsid w:val="00260DD8"/>
    <w:rsid w:val="00260F78"/>
    <w:rsid w:val="002617E7"/>
    <w:rsid w:val="002626CE"/>
    <w:rsid w:val="0026376D"/>
    <w:rsid w:val="00263770"/>
    <w:rsid w:val="00264043"/>
    <w:rsid w:val="0026457B"/>
    <w:rsid w:val="00264717"/>
    <w:rsid w:val="00264BFB"/>
    <w:rsid w:val="00265021"/>
    <w:rsid w:val="00265726"/>
    <w:rsid w:val="0026584E"/>
    <w:rsid w:val="00267A8D"/>
    <w:rsid w:val="00270510"/>
    <w:rsid w:val="00271D3B"/>
    <w:rsid w:val="00271EE1"/>
    <w:rsid w:val="00272149"/>
    <w:rsid w:val="002733B6"/>
    <w:rsid w:val="002737F5"/>
    <w:rsid w:val="00275BF3"/>
    <w:rsid w:val="002762C9"/>
    <w:rsid w:val="00276684"/>
    <w:rsid w:val="002768C2"/>
    <w:rsid w:val="00277A72"/>
    <w:rsid w:val="00280274"/>
    <w:rsid w:val="00280323"/>
    <w:rsid w:val="00281D1F"/>
    <w:rsid w:val="00282C70"/>
    <w:rsid w:val="00284CE1"/>
    <w:rsid w:val="00285453"/>
    <w:rsid w:val="002868CA"/>
    <w:rsid w:val="002869BE"/>
    <w:rsid w:val="00290516"/>
    <w:rsid w:val="002907D1"/>
    <w:rsid w:val="00290D98"/>
    <w:rsid w:val="00290DFB"/>
    <w:rsid w:val="00291200"/>
    <w:rsid w:val="0029189D"/>
    <w:rsid w:val="0029203B"/>
    <w:rsid w:val="00292B52"/>
    <w:rsid w:val="00292B54"/>
    <w:rsid w:val="00292C09"/>
    <w:rsid w:val="00293569"/>
    <w:rsid w:val="0029395C"/>
    <w:rsid w:val="00293D9C"/>
    <w:rsid w:val="00296C9E"/>
    <w:rsid w:val="00297218"/>
    <w:rsid w:val="002A0797"/>
    <w:rsid w:val="002A0AC7"/>
    <w:rsid w:val="002A1A24"/>
    <w:rsid w:val="002A26BD"/>
    <w:rsid w:val="002A2BA0"/>
    <w:rsid w:val="002A308A"/>
    <w:rsid w:val="002A35DA"/>
    <w:rsid w:val="002A3BBD"/>
    <w:rsid w:val="002A3FF6"/>
    <w:rsid w:val="002A416A"/>
    <w:rsid w:val="002A4448"/>
    <w:rsid w:val="002A5B5D"/>
    <w:rsid w:val="002A6020"/>
    <w:rsid w:val="002A6A8C"/>
    <w:rsid w:val="002A7591"/>
    <w:rsid w:val="002A78FE"/>
    <w:rsid w:val="002A7FFE"/>
    <w:rsid w:val="002B184F"/>
    <w:rsid w:val="002B1973"/>
    <w:rsid w:val="002B29BE"/>
    <w:rsid w:val="002B365B"/>
    <w:rsid w:val="002B48BC"/>
    <w:rsid w:val="002B492C"/>
    <w:rsid w:val="002B55D6"/>
    <w:rsid w:val="002C06A1"/>
    <w:rsid w:val="002C1AF8"/>
    <w:rsid w:val="002C1D23"/>
    <w:rsid w:val="002C2E5B"/>
    <w:rsid w:val="002C3EBF"/>
    <w:rsid w:val="002C572C"/>
    <w:rsid w:val="002C5E78"/>
    <w:rsid w:val="002C636D"/>
    <w:rsid w:val="002C6C4E"/>
    <w:rsid w:val="002C6F6B"/>
    <w:rsid w:val="002D12F2"/>
    <w:rsid w:val="002D13C0"/>
    <w:rsid w:val="002D1459"/>
    <w:rsid w:val="002D189A"/>
    <w:rsid w:val="002D1C48"/>
    <w:rsid w:val="002D1C93"/>
    <w:rsid w:val="002D25BC"/>
    <w:rsid w:val="002D2AC2"/>
    <w:rsid w:val="002D2B86"/>
    <w:rsid w:val="002D364E"/>
    <w:rsid w:val="002D3D81"/>
    <w:rsid w:val="002D40A0"/>
    <w:rsid w:val="002D482B"/>
    <w:rsid w:val="002D5E56"/>
    <w:rsid w:val="002D722D"/>
    <w:rsid w:val="002D73BF"/>
    <w:rsid w:val="002D7931"/>
    <w:rsid w:val="002E020B"/>
    <w:rsid w:val="002E0E64"/>
    <w:rsid w:val="002E19B4"/>
    <w:rsid w:val="002E19E6"/>
    <w:rsid w:val="002E2ADD"/>
    <w:rsid w:val="002E5D47"/>
    <w:rsid w:val="002E603E"/>
    <w:rsid w:val="002E64CE"/>
    <w:rsid w:val="002E6CE8"/>
    <w:rsid w:val="002E7160"/>
    <w:rsid w:val="002E733A"/>
    <w:rsid w:val="002F06CF"/>
    <w:rsid w:val="002F0715"/>
    <w:rsid w:val="002F0C3D"/>
    <w:rsid w:val="002F11A2"/>
    <w:rsid w:val="002F1B35"/>
    <w:rsid w:val="002F1CEF"/>
    <w:rsid w:val="002F2103"/>
    <w:rsid w:val="002F3331"/>
    <w:rsid w:val="002F34B2"/>
    <w:rsid w:val="002F463E"/>
    <w:rsid w:val="002F517C"/>
    <w:rsid w:val="002F5C3E"/>
    <w:rsid w:val="002F5D4B"/>
    <w:rsid w:val="002F5DAC"/>
    <w:rsid w:val="002F65D4"/>
    <w:rsid w:val="002F69B7"/>
    <w:rsid w:val="002F6A39"/>
    <w:rsid w:val="002F6E67"/>
    <w:rsid w:val="002F7B14"/>
    <w:rsid w:val="00300779"/>
    <w:rsid w:val="00300895"/>
    <w:rsid w:val="003020A8"/>
    <w:rsid w:val="0030356A"/>
    <w:rsid w:val="0030372B"/>
    <w:rsid w:val="00303927"/>
    <w:rsid w:val="00303AE4"/>
    <w:rsid w:val="00304476"/>
    <w:rsid w:val="003055A2"/>
    <w:rsid w:val="003055B5"/>
    <w:rsid w:val="00305A80"/>
    <w:rsid w:val="003065EC"/>
    <w:rsid w:val="0030767C"/>
    <w:rsid w:val="00307693"/>
    <w:rsid w:val="00310920"/>
    <w:rsid w:val="00310CE1"/>
    <w:rsid w:val="00311693"/>
    <w:rsid w:val="00311718"/>
    <w:rsid w:val="003117FF"/>
    <w:rsid w:val="00312FCD"/>
    <w:rsid w:val="00313351"/>
    <w:rsid w:val="00313F63"/>
    <w:rsid w:val="003140F3"/>
    <w:rsid w:val="0031446A"/>
    <w:rsid w:val="003161FC"/>
    <w:rsid w:val="0031649D"/>
    <w:rsid w:val="00316C87"/>
    <w:rsid w:val="0031769A"/>
    <w:rsid w:val="0032011D"/>
    <w:rsid w:val="00320135"/>
    <w:rsid w:val="003206DC"/>
    <w:rsid w:val="00320C8A"/>
    <w:rsid w:val="00321330"/>
    <w:rsid w:val="003226AF"/>
    <w:rsid w:val="0032283F"/>
    <w:rsid w:val="0032334E"/>
    <w:rsid w:val="00323524"/>
    <w:rsid w:val="00324247"/>
    <w:rsid w:val="00324662"/>
    <w:rsid w:val="00325489"/>
    <w:rsid w:val="003259BA"/>
    <w:rsid w:val="00325B66"/>
    <w:rsid w:val="003264AF"/>
    <w:rsid w:val="00331050"/>
    <w:rsid w:val="003315B7"/>
    <w:rsid w:val="00333788"/>
    <w:rsid w:val="003342CC"/>
    <w:rsid w:val="00334614"/>
    <w:rsid w:val="00334D5B"/>
    <w:rsid w:val="003376DA"/>
    <w:rsid w:val="00337AEF"/>
    <w:rsid w:val="00337CAA"/>
    <w:rsid w:val="00341BB5"/>
    <w:rsid w:val="00341DE8"/>
    <w:rsid w:val="00343537"/>
    <w:rsid w:val="00343E5C"/>
    <w:rsid w:val="00343E98"/>
    <w:rsid w:val="003449E8"/>
    <w:rsid w:val="00344A24"/>
    <w:rsid w:val="003453A1"/>
    <w:rsid w:val="00345879"/>
    <w:rsid w:val="003461E2"/>
    <w:rsid w:val="0034656E"/>
    <w:rsid w:val="00346FE1"/>
    <w:rsid w:val="00347211"/>
    <w:rsid w:val="0035052C"/>
    <w:rsid w:val="00350CC8"/>
    <w:rsid w:val="00351456"/>
    <w:rsid w:val="003521CD"/>
    <w:rsid w:val="0035434F"/>
    <w:rsid w:val="003546B3"/>
    <w:rsid w:val="00354D04"/>
    <w:rsid w:val="00354EAC"/>
    <w:rsid w:val="003558FE"/>
    <w:rsid w:val="00356B27"/>
    <w:rsid w:val="003577F2"/>
    <w:rsid w:val="00357DAA"/>
    <w:rsid w:val="00357FA5"/>
    <w:rsid w:val="00361042"/>
    <w:rsid w:val="0036254A"/>
    <w:rsid w:val="00362B53"/>
    <w:rsid w:val="00362DEB"/>
    <w:rsid w:val="0036378A"/>
    <w:rsid w:val="00364188"/>
    <w:rsid w:val="00365702"/>
    <w:rsid w:val="00366145"/>
    <w:rsid w:val="0036689E"/>
    <w:rsid w:val="00366B7B"/>
    <w:rsid w:val="00366ED8"/>
    <w:rsid w:val="00367A01"/>
    <w:rsid w:val="003702A2"/>
    <w:rsid w:val="0037031F"/>
    <w:rsid w:val="003713F3"/>
    <w:rsid w:val="0037258F"/>
    <w:rsid w:val="00372832"/>
    <w:rsid w:val="00372F2E"/>
    <w:rsid w:val="003732DF"/>
    <w:rsid w:val="0037501C"/>
    <w:rsid w:val="0037777C"/>
    <w:rsid w:val="00380562"/>
    <w:rsid w:val="003809C5"/>
    <w:rsid w:val="00380AAF"/>
    <w:rsid w:val="003819F1"/>
    <w:rsid w:val="003821E0"/>
    <w:rsid w:val="0038254F"/>
    <w:rsid w:val="00382664"/>
    <w:rsid w:val="003827E7"/>
    <w:rsid w:val="0038324D"/>
    <w:rsid w:val="003844FD"/>
    <w:rsid w:val="00385338"/>
    <w:rsid w:val="00386919"/>
    <w:rsid w:val="00387A49"/>
    <w:rsid w:val="0039037E"/>
    <w:rsid w:val="0039068F"/>
    <w:rsid w:val="0039079F"/>
    <w:rsid w:val="003909E9"/>
    <w:rsid w:val="00390DDE"/>
    <w:rsid w:val="00391932"/>
    <w:rsid w:val="00392815"/>
    <w:rsid w:val="00392ADA"/>
    <w:rsid w:val="003934C1"/>
    <w:rsid w:val="00393580"/>
    <w:rsid w:val="00393E12"/>
    <w:rsid w:val="003946B6"/>
    <w:rsid w:val="00394A19"/>
    <w:rsid w:val="00394BE9"/>
    <w:rsid w:val="00394EE8"/>
    <w:rsid w:val="00395195"/>
    <w:rsid w:val="00395355"/>
    <w:rsid w:val="0039565B"/>
    <w:rsid w:val="003956FC"/>
    <w:rsid w:val="00395A6E"/>
    <w:rsid w:val="003961AE"/>
    <w:rsid w:val="00396545"/>
    <w:rsid w:val="00396D50"/>
    <w:rsid w:val="00396E21"/>
    <w:rsid w:val="00397CF0"/>
    <w:rsid w:val="003A1B8E"/>
    <w:rsid w:val="003A23B5"/>
    <w:rsid w:val="003A3699"/>
    <w:rsid w:val="003A38E5"/>
    <w:rsid w:val="003A4067"/>
    <w:rsid w:val="003A414B"/>
    <w:rsid w:val="003A466E"/>
    <w:rsid w:val="003A47B1"/>
    <w:rsid w:val="003A4A24"/>
    <w:rsid w:val="003A517E"/>
    <w:rsid w:val="003A5285"/>
    <w:rsid w:val="003A6DE4"/>
    <w:rsid w:val="003B0701"/>
    <w:rsid w:val="003B0CEC"/>
    <w:rsid w:val="003B1295"/>
    <w:rsid w:val="003B2206"/>
    <w:rsid w:val="003B4430"/>
    <w:rsid w:val="003B4D6A"/>
    <w:rsid w:val="003B524A"/>
    <w:rsid w:val="003B6EC0"/>
    <w:rsid w:val="003B70E2"/>
    <w:rsid w:val="003C0801"/>
    <w:rsid w:val="003C0942"/>
    <w:rsid w:val="003C16A8"/>
    <w:rsid w:val="003C1813"/>
    <w:rsid w:val="003C1CD6"/>
    <w:rsid w:val="003C1D22"/>
    <w:rsid w:val="003C20A1"/>
    <w:rsid w:val="003C2210"/>
    <w:rsid w:val="003C29FD"/>
    <w:rsid w:val="003C3A8B"/>
    <w:rsid w:val="003C58DC"/>
    <w:rsid w:val="003C5B2C"/>
    <w:rsid w:val="003C5E8A"/>
    <w:rsid w:val="003C6315"/>
    <w:rsid w:val="003C64D9"/>
    <w:rsid w:val="003C6BF6"/>
    <w:rsid w:val="003C6D6F"/>
    <w:rsid w:val="003C7750"/>
    <w:rsid w:val="003D2932"/>
    <w:rsid w:val="003D3EA5"/>
    <w:rsid w:val="003D4230"/>
    <w:rsid w:val="003D46CA"/>
    <w:rsid w:val="003D63AE"/>
    <w:rsid w:val="003D6662"/>
    <w:rsid w:val="003D6F94"/>
    <w:rsid w:val="003D761B"/>
    <w:rsid w:val="003D7F52"/>
    <w:rsid w:val="003E037A"/>
    <w:rsid w:val="003E03EE"/>
    <w:rsid w:val="003E15B3"/>
    <w:rsid w:val="003E164E"/>
    <w:rsid w:val="003E2263"/>
    <w:rsid w:val="003E371D"/>
    <w:rsid w:val="003E37F1"/>
    <w:rsid w:val="003E3D57"/>
    <w:rsid w:val="003E3F4D"/>
    <w:rsid w:val="003E4957"/>
    <w:rsid w:val="003E4FDD"/>
    <w:rsid w:val="003E5684"/>
    <w:rsid w:val="003E64D7"/>
    <w:rsid w:val="003E6739"/>
    <w:rsid w:val="003E7150"/>
    <w:rsid w:val="003E7273"/>
    <w:rsid w:val="003E754E"/>
    <w:rsid w:val="003E75CE"/>
    <w:rsid w:val="003E7E89"/>
    <w:rsid w:val="003F0E9D"/>
    <w:rsid w:val="003F1264"/>
    <w:rsid w:val="003F22EC"/>
    <w:rsid w:val="003F2CA7"/>
    <w:rsid w:val="003F2FF2"/>
    <w:rsid w:val="003F3E0C"/>
    <w:rsid w:val="003F3FCF"/>
    <w:rsid w:val="003F42F7"/>
    <w:rsid w:val="003F48FE"/>
    <w:rsid w:val="003F5A77"/>
    <w:rsid w:val="003F5B12"/>
    <w:rsid w:val="003F5B2E"/>
    <w:rsid w:val="003F61CC"/>
    <w:rsid w:val="003F63B9"/>
    <w:rsid w:val="003F7971"/>
    <w:rsid w:val="00400528"/>
    <w:rsid w:val="00401253"/>
    <w:rsid w:val="00401F46"/>
    <w:rsid w:val="00402A04"/>
    <w:rsid w:val="00403324"/>
    <w:rsid w:val="00403B1D"/>
    <w:rsid w:val="004044D0"/>
    <w:rsid w:val="004060E7"/>
    <w:rsid w:val="0040638F"/>
    <w:rsid w:val="00406E62"/>
    <w:rsid w:val="004071AD"/>
    <w:rsid w:val="0040751B"/>
    <w:rsid w:val="00410405"/>
    <w:rsid w:val="00410910"/>
    <w:rsid w:val="0041123F"/>
    <w:rsid w:val="0041259B"/>
    <w:rsid w:val="00413652"/>
    <w:rsid w:val="00413E4E"/>
    <w:rsid w:val="0041424F"/>
    <w:rsid w:val="00414309"/>
    <w:rsid w:val="00415AD2"/>
    <w:rsid w:val="00416B48"/>
    <w:rsid w:val="00416EEF"/>
    <w:rsid w:val="00417194"/>
    <w:rsid w:val="0041725F"/>
    <w:rsid w:val="004173AB"/>
    <w:rsid w:val="004201A9"/>
    <w:rsid w:val="004207EF"/>
    <w:rsid w:val="00420AF5"/>
    <w:rsid w:val="00420F34"/>
    <w:rsid w:val="00421113"/>
    <w:rsid w:val="00421976"/>
    <w:rsid w:val="0042251B"/>
    <w:rsid w:val="004229CE"/>
    <w:rsid w:val="004237BC"/>
    <w:rsid w:val="00423F85"/>
    <w:rsid w:val="004245F6"/>
    <w:rsid w:val="00424692"/>
    <w:rsid w:val="004246F5"/>
    <w:rsid w:val="00425035"/>
    <w:rsid w:val="00425F5A"/>
    <w:rsid w:val="00432B57"/>
    <w:rsid w:val="00432DDF"/>
    <w:rsid w:val="00432F39"/>
    <w:rsid w:val="004332C8"/>
    <w:rsid w:val="00433522"/>
    <w:rsid w:val="00434696"/>
    <w:rsid w:val="00434B96"/>
    <w:rsid w:val="004357BD"/>
    <w:rsid w:val="00435E42"/>
    <w:rsid w:val="00435EA6"/>
    <w:rsid w:val="00436BB1"/>
    <w:rsid w:val="00437C45"/>
    <w:rsid w:val="00441791"/>
    <w:rsid w:val="00442534"/>
    <w:rsid w:val="00442C2F"/>
    <w:rsid w:val="00442D60"/>
    <w:rsid w:val="00443151"/>
    <w:rsid w:val="004435CC"/>
    <w:rsid w:val="00443E51"/>
    <w:rsid w:val="00444EDA"/>
    <w:rsid w:val="004461A7"/>
    <w:rsid w:val="00450ADD"/>
    <w:rsid w:val="00450D64"/>
    <w:rsid w:val="00450E55"/>
    <w:rsid w:val="0045187F"/>
    <w:rsid w:val="00454FF9"/>
    <w:rsid w:val="00455777"/>
    <w:rsid w:val="00455ED0"/>
    <w:rsid w:val="00455FB5"/>
    <w:rsid w:val="0045688D"/>
    <w:rsid w:val="00456A8A"/>
    <w:rsid w:val="00460A03"/>
    <w:rsid w:val="0046108E"/>
    <w:rsid w:val="004623C8"/>
    <w:rsid w:val="00462B7E"/>
    <w:rsid w:val="00463675"/>
    <w:rsid w:val="00465321"/>
    <w:rsid w:val="00465333"/>
    <w:rsid w:val="0046537A"/>
    <w:rsid w:val="004655FA"/>
    <w:rsid w:val="004655FE"/>
    <w:rsid w:val="00466669"/>
    <w:rsid w:val="00466925"/>
    <w:rsid w:val="00466EF2"/>
    <w:rsid w:val="0046702C"/>
    <w:rsid w:val="0047069B"/>
    <w:rsid w:val="00470925"/>
    <w:rsid w:val="004723FD"/>
    <w:rsid w:val="00472C73"/>
    <w:rsid w:val="00473EA9"/>
    <w:rsid w:val="00474554"/>
    <w:rsid w:val="0047497B"/>
    <w:rsid w:val="004751C6"/>
    <w:rsid w:val="004752F0"/>
    <w:rsid w:val="00477014"/>
    <w:rsid w:val="0047726F"/>
    <w:rsid w:val="00477BDD"/>
    <w:rsid w:val="00480FA9"/>
    <w:rsid w:val="004817FB"/>
    <w:rsid w:val="00481C24"/>
    <w:rsid w:val="00481F41"/>
    <w:rsid w:val="00481F75"/>
    <w:rsid w:val="0048262B"/>
    <w:rsid w:val="00483BCE"/>
    <w:rsid w:val="00484B26"/>
    <w:rsid w:val="00484F72"/>
    <w:rsid w:val="004855C0"/>
    <w:rsid w:val="004862CA"/>
    <w:rsid w:val="004867BE"/>
    <w:rsid w:val="0048754C"/>
    <w:rsid w:val="00490FF8"/>
    <w:rsid w:val="0049236C"/>
    <w:rsid w:val="0049305D"/>
    <w:rsid w:val="004941CB"/>
    <w:rsid w:val="00494E9B"/>
    <w:rsid w:val="00495C71"/>
    <w:rsid w:val="004960DF"/>
    <w:rsid w:val="004974AA"/>
    <w:rsid w:val="00497B40"/>
    <w:rsid w:val="004A0DB8"/>
    <w:rsid w:val="004A126A"/>
    <w:rsid w:val="004A128A"/>
    <w:rsid w:val="004A1E6E"/>
    <w:rsid w:val="004A217B"/>
    <w:rsid w:val="004A2311"/>
    <w:rsid w:val="004A3C4D"/>
    <w:rsid w:val="004A5005"/>
    <w:rsid w:val="004A5888"/>
    <w:rsid w:val="004A5985"/>
    <w:rsid w:val="004B0A31"/>
    <w:rsid w:val="004B1096"/>
    <w:rsid w:val="004B1D01"/>
    <w:rsid w:val="004B1E8A"/>
    <w:rsid w:val="004B304F"/>
    <w:rsid w:val="004B365E"/>
    <w:rsid w:val="004B4B53"/>
    <w:rsid w:val="004B4CE0"/>
    <w:rsid w:val="004B5A53"/>
    <w:rsid w:val="004B69D8"/>
    <w:rsid w:val="004C072E"/>
    <w:rsid w:val="004C0E3C"/>
    <w:rsid w:val="004C25F1"/>
    <w:rsid w:val="004C3264"/>
    <w:rsid w:val="004C4889"/>
    <w:rsid w:val="004C496C"/>
    <w:rsid w:val="004C6E1F"/>
    <w:rsid w:val="004C7F01"/>
    <w:rsid w:val="004D017A"/>
    <w:rsid w:val="004D09E9"/>
    <w:rsid w:val="004D1685"/>
    <w:rsid w:val="004D1D2F"/>
    <w:rsid w:val="004D270F"/>
    <w:rsid w:val="004D36B0"/>
    <w:rsid w:val="004D58E2"/>
    <w:rsid w:val="004D61AF"/>
    <w:rsid w:val="004D74E3"/>
    <w:rsid w:val="004D79C2"/>
    <w:rsid w:val="004E063F"/>
    <w:rsid w:val="004E0EB9"/>
    <w:rsid w:val="004E3A24"/>
    <w:rsid w:val="004E3EF0"/>
    <w:rsid w:val="004E4997"/>
    <w:rsid w:val="004E4A10"/>
    <w:rsid w:val="004E51B0"/>
    <w:rsid w:val="004E59FF"/>
    <w:rsid w:val="004E5B31"/>
    <w:rsid w:val="004E60F4"/>
    <w:rsid w:val="004E7139"/>
    <w:rsid w:val="004E7338"/>
    <w:rsid w:val="004E7D4B"/>
    <w:rsid w:val="004F04FD"/>
    <w:rsid w:val="004F0DE1"/>
    <w:rsid w:val="004F150F"/>
    <w:rsid w:val="004F1DFF"/>
    <w:rsid w:val="004F222A"/>
    <w:rsid w:val="004F2DA1"/>
    <w:rsid w:val="004F2F34"/>
    <w:rsid w:val="004F2FCF"/>
    <w:rsid w:val="004F3083"/>
    <w:rsid w:val="004F50A5"/>
    <w:rsid w:val="004F5514"/>
    <w:rsid w:val="004F560F"/>
    <w:rsid w:val="004F6079"/>
    <w:rsid w:val="004F7F68"/>
    <w:rsid w:val="004F7FB8"/>
    <w:rsid w:val="005009FA"/>
    <w:rsid w:val="005011C6"/>
    <w:rsid w:val="0050195C"/>
    <w:rsid w:val="00502944"/>
    <w:rsid w:val="00503730"/>
    <w:rsid w:val="00503E8D"/>
    <w:rsid w:val="0050415D"/>
    <w:rsid w:val="00504271"/>
    <w:rsid w:val="00505320"/>
    <w:rsid w:val="0050583E"/>
    <w:rsid w:val="005067D2"/>
    <w:rsid w:val="0050699A"/>
    <w:rsid w:val="00506C88"/>
    <w:rsid w:val="00507002"/>
    <w:rsid w:val="0051010B"/>
    <w:rsid w:val="005117D1"/>
    <w:rsid w:val="00511AE8"/>
    <w:rsid w:val="00511B07"/>
    <w:rsid w:val="005123D8"/>
    <w:rsid w:val="00512CDC"/>
    <w:rsid w:val="00515D7A"/>
    <w:rsid w:val="0051617A"/>
    <w:rsid w:val="00516A2E"/>
    <w:rsid w:val="00516C93"/>
    <w:rsid w:val="00517131"/>
    <w:rsid w:val="0051728C"/>
    <w:rsid w:val="00517301"/>
    <w:rsid w:val="0051749F"/>
    <w:rsid w:val="00521E88"/>
    <w:rsid w:val="0052214D"/>
    <w:rsid w:val="005221C7"/>
    <w:rsid w:val="005226A2"/>
    <w:rsid w:val="005231D7"/>
    <w:rsid w:val="0052369C"/>
    <w:rsid w:val="00523AF9"/>
    <w:rsid w:val="00524E82"/>
    <w:rsid w:val="00524F08"/>
    <w:rsid w:val="00526B01"/>
    <w:rsid w:val="00527FB9"/>
    <w:rsid w:val="0053094E"/>
    <w:rsid w:val="00531CD6"/>
    <w:rsid w:val="00531FDE"/>
    <w:rsid w:val="005324E8"/>
    <w:rsid w:val="005325BF"/>
    <w:rsid w:val="005333F8"/>
    <w:rsid w:val="00533A45"/>
    <w:rsid w:val="00533D62"/>
    <w:rsid w:val="005342DC"/>
    <w:rsid w:val="00535241"/>
    <w:rsid w:val="00535F56"/>
    <w:rsid w:val="00536B23"/>
    <w:rsid w:val="005376F3"/>
    <w:rsid w:val="0053799B"/>
    <w:rsid w:val="00537A79"/>
    <w:rsid w:val="00537E24"/>
    <w:rsid w:val="00542560"/>
    <w:rsid w:val="005425B0"/>
    <w:rsid w:val="00543DDA"/>
    <w:rsid w:val="005453A3"/>
    <w:rsid w:val="00545C86"/>
    <w:rsid w:val="00545EBC"/>
    <w:rsid w:val="0054612C"/>
    <w:rsid w:val="00546B6D"/>
    <w:rsid w:val="00547C5B"/>
    <w:rsid w:val="00547D5B"/>
    <w:rsid w:val="00547E8A"/>
    <w:rsid w:val="00547F96"/>
    <w:rsid w:val="005501D7"/>
    <w:rsid w:val="00551542"/>
    <w:rsid w:val="00551F65"/>
    <w:rsid w:val="00552D1E"/>
    <w:rsid w:val="0055323A"/>
    <w:rsid w:val="00554623"/>
    <w:rsid w:val="00555665"/>
    <w:rsid w:val="00556D66"/>
    <w:rsid w:val="00560F2B"/>
    <w:rsid w:val="0056256C"/>
    <w:rsid w:val="00565C22"/>
    <w:rsid w:val="00565FB8"/>
    <w:rsid w:val="005664E0"/>
    <w:rsid w:val="005664E3"/>
    <w:rsid w:val="00566704"/>
    <w:rsid w:val="005668C7"/>
    <w:rsid w:val="00566937"/>
    <w:rsid w:val="00567066"/>
    <w:rsid w:val="00567C8F"/>
    <w:rsid w:val="00570376"/>
    <w:rsid w:val="00570A2C"/>
    <w:rsid w:val="005715EF"/>
    <w:rsid w:val="005716F7"/>
    <w:rsid w:val="00573FCF"/>
    <w:rsid w:val="0057407E"/>
    <w:rsid w:val="005741AC"/>
    <w:rsid w:val="005754D4"/>
    <w:rsid w:val="005763FF"/>
    <w:rsid w:val="00576C3F"/>
    <w:rsid w:val="005772DA"/>
    <w:rsid w:val="005777DA"/>
    <w:rsid w:val="005779DE"/>
    <w:rsid w:val="00581D34"/>
    <w:rsid w:val="00581ECA"/>
    <w:rsid w:val="005824AD"/>
    <w:rsid w:val="00583091"/>
    <w:rsid w:val="00584DA2"/>
    <w:rsid w:val="0058580F"/>
    <w:rsid w:val="00585DDF"/>
    <w:rsid w:val="0058613C"/>
    <w:rsid w:val="00587D17"/>
    <w:rsid w:val="005900DF"/>
    <w:rsid w:val="00591E03"/>
    <w:rsid w:val="005949E8"/>
    <w:rsid w:val="0059527F"/>
    <w:rsid w:val="0059748B"/>
    <w:rsid w:val="005976BF"/>
    <w:rsid w:val="00597768"/>
    <w:rsid w:val="005A1403"/>
    <w:rsid w:val="005A3710"/>
    <w:rsid w:val="005A3968"/>
    <w:rsid w:val="005A3FA7"/>
    <w:rsid w:val="005A4499"/>
    <w:rsid w:val="005A4514"/>
    <w:rsid w:val="005A456B"/>
    <w:rsid w:val="005A47A9"/>
    <w:rsid w:val="005A4D0A"/>
    <w:rsid w:val="005A5752"/>
    <w:rsid w:val="005A6073"/>
    <w:rsid w:val="005A6C9B"/>
    <w:rsid w:val="005B02BE"/>
    <w:rsid w:val="005B0ADE"/>
    <w:rsid w:val="005B0BE8"/>
    <w:rsid w:val="005B0D35"/>
    <w:rsid w:val="005B261A"/>
    <w:rsid w:val="005B2808"/>
    <w:rsid w:val="005B450B"/>
    <w:rsid w:val="005B4694"/>
    <w:rsid w:val="005B69BD"/>
    <w:rsid w:val="005C1326"/>
    <w:rsid w:val="005C1761"/>
    <w:rsid w:val="005C29FF"/>
    <w:rsid w:val="005C2C53"/>
    <w:rsid w:val="005C34CF"/>
    <w:rsid w:val="005C39A8"/>
    <w:rsid w:val="005C60C6"/>
    <w:rsid w:val="005C6A34"/>
    <w:rsid w:val="005C6B29"/>
    <w:rsid w:val="005C76B9"/>
    <w:rsid w:val="005C7DC1"/>
    <w:rsid w:val="005D1836"/>
    <w:rsid w:val="005D20AC"/>
    <w:rsid w:val="005D2CF5"/>
    <w:rsid w:val="005D329D"/>
    <w:rsid w:val="005D388C"/>
    <w:rsid w:val="005D3B22"/>
    <w:rsid w:val="005D40D8"/>
    <w:rsid w:val="005D4E92"/>
    <w:rsid w:val="005D50CE"/>
    <w:rsid w:val="005D5A48"/>
    <w:rsid w:val="005D623B"/>
    <w:rsid w:val="005D6ADE"/>
    <w:rsid w:val="005D6D12"/>
    <w:rsid w:val="005D750C"/>
    <w:rsid w:val="005E0123"/>
    <w:rsid w:val="005E24DC"/>
    <w:rsid w:val="005E37C7"/>
    <w:rsid w:val="005E3DDA"/>
    <w:rsid w:val="005E5069"/>
    <w:rsid w:val="005E512A"/>
    <w:rsid w:val="005E59B2"/>
    <w:rsid w:val="005E5F10"/>
    <w:rsid w:val="005E7F98"/>
    <w:rsid w:val="005F0D6D"/>
    <w:rsid w:val="005F15BA"/>
    <w:rsid w:val="005F37A2"/>
    <w:rsid w:val="005F47A0"/>
    <w:rsid w:val="005F4BA7"/>
    <w:rsid w:val="005F4C63"/>
    <w:rsid w:val="005F5372"/>
    <w:rsid w:val="005F648F"/>
    <w:rsid w:val="005F673E"/>
    <w:rsid w:val="005F6F3B"/>
    <w:rsid w:val="005F7000"/>
    <w:rsid w:val="005F71F9"/>
    <w:rsid w:val="005F796A"/>
    <w:rsid w:val="00600745"/>
    <w:rsid w:val="00600773"/>
    <w:rsid w:val="0060110F"/>
    <w:rsid w:val="00601E16"/>
    <w:rsid w:val="00603570"/>
    <w:rsid w:val="00603F80"/>
    <w:rsid w:val="00604231"/>
    <w:rsid w:val="0060500B"/>
    <w:rsid w:val="006052FF"/>
    <w:rsid w:val="00605753"/>
    <w:rsid w:val="00605D4D"/>
    <w:rsid w:val="006060DB"/>
    <w:rsid w:val="00606FC0"/>
    <w:rsid w:val="00607B73"/>
    <w:rsid w:val="006116AE"/>
    <w:rsid w:val="00613646"/>
    <w:rsid w:val="006145FB"/>
    <w:rsid w:val="00615D21"/>
    <w:rsid w:val="006164BA"/>
    <w:rsid w:val="006166A2"/>
    <w:rsid w:val="006167B8"/>
    <w:rsid w:val="00616F44"/>
    <w:rsid w:val="00617083"/>
    <w:rsid w:val="00617590"/>
    <w:rsid w:val="00620014"/>
    <w:rsid w:val="006201A1"/>
    <w:rsid w:val="00620619"/>
    <w:rsid w:val="006217EE"/>
    <w:rsid w:val="006234FD"/>
    <w:rsid w:val="0062406E"/>
    <w:rsid w:val="006240D9"/>
    <w:rsid w:val="00624131"/>
    <w:rsid w:val="0062444D"/>
    <w:rsid w:val="00624751"/>
    <w:rsid w:val="00624A00"/>
    <w:rsid w:val="006254EE"/>
    <w:rsid w:val="00626CE0"/>
    <w:rsid w:val="00626F7E"/>
    <w:rsid w:val="00630FB2"/>
    <w:rsid w:val="00631612"/>
    <w:rsid w:val="006316C5"/>
    <w:rsid w:val="00631B93"/>
    <w:rsid w:val="00631E10"/>
    <w:rsid w:val="00631F34"/>
    <w:rsid w:val="0063262A"/>
    <w:rsid w:val="00633745"/>
    <w:rsid w:val="00633779"/>
    <w:rsid w:val="00633E24"/>
    <w:rsid w:val="006346AA"/>
    <w:rsid w:val="0063579E"/>
    <w:rsid w:val="006357C9"/>
    <w:rsid w:val="00635A9A"/>
    <w:rsid w:val="00636352"/>
    <w:rsid w:val="00636765"/>
    <w:rsid w:val="00641655"/>
    <w:rsid w:val="00641D20"/>
    <w:rsid w:val="00643411"/>
    <w:rsid w:val="00644AAD"/>
    <w:rsid w:val="00645C2B"/>
    <w:rsid w:val="00650D90"/>
    <w:rsid w:val="0065169F"/>
    <w:rsid w:val="00651D3D"/>
    <w:rsid w:val="00652CBA"/>
    <w:rsid w:val="00652FB3"/>
    <w:rsid w:val="0065319E"/>
    <w:rsid w:val="00653C7C"/>
    <w:rsid w:val="0065592A"/>
    <w:rsid w:val="00655F3E"/>
    <w:rsid w:val="00656FE0"/>
    <w:rsid w:val="0066196D"/>
    <w:rsid w:val="0066244C"/>
    <w:rsid w:val="00662700"/>
    <w:rsid w:val="00662791"/>
    <w:rsid w:val="00662D31"/>
    <w:rsid w:val="00664B70"/>
    <w:rsid w:val="0066686B"/>
    <w:rsid w:val="006709A3"/>
    <w:rsid w:val="0067153A"/>
    <w:rsid w:val="006717C2"/>
    <w:rsid w:val="00671D78"/>
    <w:rsid w:val="00673799"/>
    <w:rsid w:val="006756A6"/>
    <w:rsid w:val="00675F2B"/>
    <w:rsid w:val="006766CE"/>
    <w:rsid w:val="006768B9"/>
    <w:rsid w:val="006778A4"/>
    <w:rsid w:val="0068070A"/>
    <w:rsid w:val="00680F32"/>
    <w:rsid w:val="00683E77"/>
    <w:rsid w:val="006847B4"/>
    <w:rsid w:val="00684B77"/>
    <w:rsid w:val="00685053"/>
    <w:rsid w:val="00685566"/>
    <w:rsid w:val="006855F5"/>
    <w:rsid w:val="006859C0"/>
    <w:rsid w:val="00685BB9"/>
    <w:rsid w:val="0068709B"/>
    <w:rsid w:val="00687A3B"/>
    <w:rsid w:val="00687ADF"/>
    <w:rsid w:val="00691196"/>
    <w:rsid w:val="00692084"/>
    <w:rsid w:val="00692203"/>
    <w:rsid w:val="006936DB"/>
    <w:rsid w:val="00693F71"/>
    <w:rsid w:val="006948D6"/>
    <w:rsid w:val="00694989"/>
    <w:rsid w:val="00697641"/>
    <w:rsid w:val="00697A61"/>
    <w:rsid w:val="006A033A"/>
    <w:rsid w:val="006A06CB"/>
    <w:rsid w:val="006A0836"/>
    <w:rsid w:val="006A0A91"/>
    <w:rsid w:val="006A18C7"/>
    <w:rsid w:val="006A1C55"/>
    <w:rsid w:val="006A1EE7"/>
    <w:rsid w:val="006A219D"/>
    <w:rsid w:val="006A2476"/>
    <w:rsid w:val="006A2608"/>
    <w:rsid w:val="006A2752"/>
    <w:rsid w:val="006A37AD"/>
    <w:rsid w:val="006A4344"/>
    <w:rsid w:val="006A500E"/>
    <w:rsid w:val="006A54B1"/>
    <w:rsid w:val="006A57F8"/>
    <w:rsid w:val="006A5EAD"/>
    <w:rsid w:val="006A5F9E"/>
    <w:rsid w:val="006A693B"/>
    <w:rsid w:val="006B0795"/>
    <w:rsid w:val="006B16E4"/>
    <w:rsid w:val="006B21DE"/>
    <w:rsid w:val="006B2B7A"/>
    <w:rsid w:val="006B39CF"/>
    <w:rsid w:val="006B3AA1"/>
    <w:rsid w:val="006B3EAF"/>
    <w:rsid w:val="006B4C0B"/>
    <w:rsid w:val="006B4CF0"/>
    <w:rsid w:val="006B53FF"/>
    <w:rsid w:val="006B5A8E"/>
    <w:rsid w:val="006B5E12"/>
    <w:rsid w:val="006B6529"/>
    <w:rsid w:val="006B6C7C"/>
    <w:rsid w:val="006B6D7F"/>
    <w:rsid w:val="006B746E"/>
    <w:rsid w:val="006B76FC"/>
    <w:rsid w:val="006B79A4"/>
    <w:rsid w:val="006B7E2E"/>
    <w:rsid w:val="006B7EAC"/>
    <w:rsid w:val="006C1182"/>
    <w:rsid w:val="006C266D"/>
    <w:rsid w:val="006C28DA"/>
    <w:rsid w:val="006C3B20"/>
    <w:rsid w:val="006C3C7D"/>
    <w:rsid w:val="006C4461"/>
    <w:rsid w:val="006C5035"/>
    <w:rsid w:val="006C5479"/>
    <w:rsid w:val="006C560B"/>
    <w:rsid w:val="006C5A63"/>
    <w:rsid w:val="006C5B77"/>
    <w:rsid w:val="006C5B79"/>
    <w:rsid w:val="006C63BB"/>
    <w:rsid w:val="006D07FF"/>
    <w:rsid w:val="006D3044"/>
    <w:rsid w:val="006D331C"/>
    <w:rsid w:val="006D4406"/>
    <w:rsid w:val="006D44CD"/>
    <w:rsid w:val="006D451A"/>
    <w:rsid w:val="006D50ED"/>
    <w:rsid w:val="006D5BAE"/>
    <w:rsid w:val="006D6131"/>
    <w:rsid w:val="006D7CF2"/>
    <w:rsid w:val="006E0454"/>
    <w:rsid w:val="006E08E6"/>
    <w:rsid w:val="006E13AE"/>
    <w:rsid w:val="006E4370"/>
    <w:rsid w:val="006E5CD7"/>
    <w:rsid w:val="006E6187"/>
    <w:rsid w:val="006E62D1"/>
    <w:rsid w:val="006E6BDD"/>
    <w:rsid w:val="006E6CE9"/>
    <w:rsid w:val="006E7090"/>
    <w:rsid w:val="006F006F"/>
    <w:rsid w:val="006F01FB"/>
    <w:rsid w:val="006F037B"/>
    <w:rsid w:val="006F0669"/>
    <w:rsid w:val="006F2AB8"/>
    <w:rsid w:val="006F353C"/>
    <w:rsid w:val="006F3781"/>
    <w:rsid w:val="006F3A33"/>
    <w:rsid w:val="006F460C"/>
    <w:rsid w:val="006F4B20"/>
    <w:rsid w:val="006F4C42"/>
    <w:rsid w:val="006F516F"/>
    <w:rsid w:val="006F5560"/>
    <w:rsid w:val="006F559F"/>
    <w:rsid w:val="006F7E3E"/>
    <w:rsid w:val="007002A0"/>
    <w:rsid w:val="0070056F"/>
    <w:rsid w:val="0070127A"/>
    <w:rsid w:val="00701A94"/>
    <w:rsid w:val="00701F97"/>
    <w:rsid w:val="0070379B"/>
    <w:rsid w:val="0070399A"/>
    <w:rsid w:val="0070437B"/>
    <w:rsid w:val="00704508"/>
    <w:rsid w:val="0070562B"/>
    <w:rsid w:val="0070592F"/>
    <w:rsid w:val="00705C74"/>
    <w:rsid w:val="00705D80"/>
    <w:rsid w:val="00705ED6"/>
    <w:rsid w:val="00707F2B"/>
    <w:rsid w:val="00710171"/>
    <w:rsid w:val="00710AF2"/>
    <w:rsid w:val="00712565"/>
    <w:rsid w:val="00713315"/>
    <w:rsid w:val="00713476"/>
    <w:rsid w:val="0071408F"/>
    <w:rsid w:val="00714147"/>
    <w:rsid w:val="0071673C"/>
    <w:rsid w:val="00716CAC"/>
    <w:rsid w:val="00717A09"/>
    <w:rsid w:val="00717F7A"/>
    <w:rsid w:val="00720987"/>
    <w:rsid w:val="007209F9"/>
    <w:rsid w:val="00720E0E"/>
    <w:rsid w:val="00720F9E"/>
    <w:rsid w:val="007227AC"/>
    <w:rsid w:val="00724205"/>
    <w:rsid w:val="00724D91"/>
    <w:rsid w:val="00724F1F"/>
    <w:rsid w:val="0072512A"/>
    <w:rsid w:val="00725DA3"/>
    <w:rsid w:val="007261B2"/>
    <w:rsid w:val="00726448"/>
    <w:rsid w:val="0072651A"/>
    <w:rsid w:val="007273CE"/>
    <w:rsid w:val="00727771"/>
    <w:rsid w:val="00727930"/>
    <w:rsid w:val="00730742"/>
    <w:rsid w:val="00730BFD"/>
    <w:rsid w:val="007314D0"/>
    <w:rsid w:val="007322DA"/>
    <w:rsid w:val="007323E9"/>
    <w:rsid w:val="00732F8B"/>
    <w:rsid w:val="0073395C"/>
    <w:rsid w:val="00734113"/>
    <w:rsid w:val="007354A4"/>
    <w:rsid w:val="00735666"/>
    <w:rsid w:val="00735F7C"/>
    <w:rsid w:val="0073683F"/>
    <w:rsid w:val="0073726D"/>
    <w:rsid w:val="007376F0"/>
    <w:rsid w:val="007409AA"/>
    <w:rsid w:val="00742528"/>
    <w:rsid w:val="0074268C"/>
    <w:rsid w:val="00743DE0"/>
    <w:rsid w:val="0074583A"/>
    <w:rsid w:val="00746E40"/>
    <w:rsid w:val="00746F33"/>
    <w:rsid w:val="0074764A"/>
    <w:rsid w:val="00747DA7"/>
    <w:rsid w:val="007517FB"/>
    <w:rsid w:val="00752F74"/>
    <w:rsid w:val="00753A38"/>
    <w:rsid w:val="00754366"/>
    <w:rsid w:val="00755D3C"/>
    <w:rsid w:val="00756B55"/>
    <w:rsid w:val="0075785F"/>
    <w:rsid w:val="007579F8"/>
    <w:rsid w:val="00757D94"/>
    <w:rsid w:val="007605C4"/>
    <w:rsid w:val="00761014"/>
    <w:rsid w:val="00761FA7"/>
    <w:rsid w:val="00762E93"/>
    <w:rsid w:val="00763476"/>
    <w:rsid w:val="0076407E"/>
    <w:rsid w:val="0076444F"/>
    <w:rsid w:val="00764474"/>
    <w:rsid w:val="007644E4"/>
    <w:rsid w:val="00764A9B"/>
    <w:rsid w:val="00764DAC"/>
    <w:rsid w:val="00766903"/>
    <w:rsid w:val="00766E23"/>
    <w:rsid w:val="00770611"/>
    <w:rsid w:val="00771450"/>
    <w:rsid w:val="0077182D"/>
    <w:rsid w:val="00772CEE"/>
    <w:rsid w:val="007733A5"/>
    <w:rsid w:val="007737D5"/>
    <w:rsid w:val="00774079"/>
    <w:rsid w:val="00774D94"/>
    <w:rsid w:val="00774E1D"/>
    <w:rsid w:val="00775130"/>
    <w:rsid w:val="007766A0"/>
    <w:rsid w:val="0077686D"/>
    <w:rsid w:val="00776EE6"/>
    <w:rsid w:val="0078041A"/>
    <w:rsid w:val="007805AD"/>
    <w:rsid w:val="00780FBF"/>
    <w:rsid w:val="00784A78"/>
    <w:rsid w:val="0078558A"/>
    <w:rsid w:val="00785C5E"/>
    <w:rsid w:val="00785FAD"/>
    <w:rsid w:val="00786B51"/>
    <w:rsid w:val="00786B79"/>
    <w:rsid w:val="00786E82"/>
    <w:rsid w:val="00790D07"/>
    <w:rsid w:val="00791944"/>
    <w:rsid w:val="00791B21"/>
    <w:rsid w:val="00791D75"/>
    <w:rsid w:val="00792B48"/>
    <w:rsid w:val="00793428"/>
    <w:rsid w:val="0079390B"/>
    <w:rsid w:val="00794068"/>
    <w:rsid w:val="0079483B"/>
    <w:rsid w:val="00795A3B"/>
    <w:rsid w:val="00795F3B"/>
    <w:rsid w:val="007966C4"/>
    <w:rsid w:val="0079685B"/>
    <w:rsid w:val="00796AA1"/>
    <w:rsid w:val="00796F21"/>
    <w:rsid w:val="00796F78"/>
    <w:rsid w:val="0079746D"/>
    <w:rsid w:val="00797E7A"/>
    <w:rsid w:val="007A08AE"/>
    <w:rsid w:val="007A1BE8"/>
    <w:rsid w:val="007A1DA1"/>
    <w:rsid w:val="007A2952"/>
    <w:rsid w:val="007A29E9"/>
    <w:rsid w:val="007A2EB0"/>
    <w:rsid w:val="007A3A5C"/>
    <w:rsid w:val="007A4339"/>
    <w:rsid w:val="007A4401"/>
    <w:rsid w:val="007A452E"/>
    <w:rsid w:val="007A5921"/>
    <w:rsid w:val="007A5DFD"/>
    <w:rsid w:val="007A797D"/>
    <w:rsid w:val="007B0CFE"/>
    <w:rsid w:val="007B1405"/>
    <w:rsid w:val="007B1EF0"/>
    <w:rsid w:val="007B3648"/>
    <w:rsid w:val="007B4C9E"/>
    <w:rsid w:val="007B58D6"/>
    <w:rsid w:val="007B5D1D"/>
    <w:rsid w:val="007B6615"/>
    <w:rsid w:val="007C046C"/>
    <w:rsid w:val="007C15BB"/>
    <w:rsid w:val="007C1BA6"/>
    <w:rsid w:val="007C2F12"/>
    <w:rsid w:val="007C3249"/>
    <w:rsid w:val="007C34A5"/>
    <w:rsid w:val="007C38B0"/>
    <w:rsid w:val="007C3E9B"/>
    <w:rsid w:val="007C3EBB"/>
    <w:rsid w:val="007C5BF2"/>
    <w:rsid w:val="007C7898"/>
    <w:rsid w:val="007C7934"/>
    <w:rsid w:val="007C7943"/>
    <w:rsid w:val="007D0B48"/>
    <w:rsid w:val="007D1B06"/>
    <w:rsid w:val="007D2AF8"/>
    <w:rsid w:val="007D336D"/>
    <w:rsid w:val="007D4183"/>
    <w:rsid w:val="007D4EB3"/>
    <w:rsid w:val="007D595A"/>
    <w:rsid w:val="007D59F9"/>
    <w:rsid w:val="007D7BB7"/>
    <w:rsid w:val="007D7C71"/>
    <w:rsid w:val="007E02AF"/>
    <w:rsid w:val="007E045A"/>
    <w:rsid w:val="007E29F3"/>
    <w:rsid w:val="007E2B71"/>
    <w:rsid w:val="007E354A"/>
    <w:rsid w:val="007E3A5A"/>
    <w:rsid w:val="007E509B"/>
    <w:rsid w:val="007E56E6"/>
    <w:rsid w:val="007E5F91"/>
    <w:rsid w:val="007E6DCB"/>
    <w:rsid w:val="007E6F5B"/>
    <w:rsid w:val="007E7084"/>
    <w:rsid w:val="007E75B7"/>
    <w:rsid w:val="007F1042"/>
    <w:rsid w:val="007F1ECD"/>
    <w:rsid w:val="007F2109"/>
    <w:rsid w:val="007F2430"/>
    <w:rsid w:val="007F43D1"/>
    <w:rsid w:val="007F4904"/>
    <w:rsid w:val="007F557A"/>
    <w:rsid w:val="007F61CD"/>
    <w:rsid w:val="00800305"/>
    <w:rsid w:val="0080067C"/>
    <w:rsid w:val="00801F92"/>
    <w:rsid w:val="0080266E"/>
    <w:rsid w:val="00802959"/>
    <w:rsid w:val="008056D0"/>
    <w:rsid w:val="00805822"/>
    <w:rsid w:val="00805857"/>
    <w:rsid w:val="00805F3A"/>
    <w:rsid w:val="00806E0C"/>
    <w:rsid w:val="008075A3"/>
    <w:rsid w:val="00807726"/>
    <w:rsid w:val="00810E39"/>
    <w:rsid w:val="0081135B"/>
    <w:rsid w:val="0081265D"/>
    <w:rsid w:val="0081383F"/>
    <w:rsid w:val="008158D5"/>
    <w:rsid w:val="00816D91"/>
    <w:rsid w:val="00817BB1"/>
    <w:rsid w:val="008203C5"/>
    <w:rsid w:val="00820785"/>
    <w:rsid w:val="00820E10"/>
    <w:rsid w:val="00821265"/>
    <w:rsid w:val="008215CE"/>
    <w:rsid w:val="0082173C"/>
    <w:rsid w:val="00821995"/>
    <w:rsid w:val="00823612"/>
    <w:rsid w:val="00823818"/>
    <w:rsid w:val="00824132"/>
    <w:rsid w:val="00825C25"/>
    <w:rsid w:val="00827249"/>
    <w:rsid w:val="00830E61"/>
    <w:rsid w:val="00831BE6"/>
    <w:rsid w:val="00832FC4"/>
    <w:rsid w:val="00833756"/>
    <w:rsid w:val="00833823"/>
    <w:rsid w:val="00835093"/>
    <w:rsid w:val="00836486"/>
    <w:rsid w:val="008364FD"/>
    <w:rsid w:val="00836BB4"/>
    <w:rsid w:val="008377FA"/>
    <w:rsid w:val="0084119C"/>
    <w:rsid w:val="00841C7C"/>
    <w:rsid w:val="00841EF3"/>
    <w:rsid w:val="00842712"/>
    <w:rsid w:val="00842B23"/>
    <w:rsid w:val="008432A5"/>
    <w:rsid w:val="00843A1A"/>
    <w:rsid w:val="008450AD"/>
    <w:rsid w:val="00845E89"/>
    <w:rsid w:val="008464BE"/>
    <w:rsid w:val="00846D49"/>
    <w:rsid w:val="00847BE9"/>
    <w:rsid w:val="00847C7A"/>
    <w:rsid w:val="008502BE"/>
    <w:rsid w:val="008516D9"/>
    <w:rsid w:val="008516F0"/>
    <w:rsid w:val="008523AE"/>
    <w:rsid w:val="008532BF"/>
    <w:rsid w:val="00854906"/>
    <w:rsid w:val="00854C43"/>
    <w:rsid w:val="00855040"/>
    <w:rsid w:val="0085513F"/>
    <w:rsid w:val="00855AB1"/>
    <w:rsid w:val="00855C0C"/>
    <w:rsid w:val="0085636D"/>
    <w:rsid w:val="0085695E"/>
    <w:rsid w:val="00856B95"/>
    <w:rsid w:val="00856D28"/>
    <w:rsid w:val="00857931"/>
    <w:rsid w:val="008609CD"/>
    <w:rsid w:val="00861161"/>
    <w:rsid w:val="008615BE"/>
    <w:rsid w:val="00861638"/>
    <w:rsid w:val="008629B6"/>
    <w:rsid w:val="008629C4"/>
    <w:rsid w:val="00862EBB"/>
    <w:rsid w:val="00863A1A"/>
    <w:rsid w:val="00863F2E"/>
    <w:rsid w:val="008641C3"/>
    <w:rsid w:val="00864D9B"/>
    <w:rsid w:val="00865EA9"/>
    <w:rsid w:val="00866315"/>
    <w:rsid w:val="008671C1"/>
    <w:rsid w:val="00867E03"/>
    <w:rsid w:val="0087049E"/>
    <w:rsid w:val="00870FC9"/>
    <w:rsid w:val="008712AA"/>
    <w:rsid w:val="00871542"/>
    <w:rsid w:val="00871A78"/>
    <w:rsid w:val="00871CF6"/>
    <w:rsid w:val="00871DF4"/>
    <w:rsid w:val="0087293E"/>
    <w:rsid w:val="00873038"/>
    <w:rsid w:val="00873089"/>
    <w:rsid w:val="00873402"/>
    <w:rsid w:val="00873613"/>
    <w:rsid w:val="00874B39"/>
    <w:rsid w:val="008758A4"/>
    <w:rsid w:val="008765D0"/>
    <w:rsid w:val="00876CC8"/>
    <w:rsid w:val="008774A1"/>
    <w:rsid w:val="008776AC"/>
    <w:rsid w:val="00877739"/>
    <w:rsid w:val="00880D35"/>
    <w:rsid w:val="00881C3C"/>
    <w:rsid w:val="00881E9B"/>
    <w:rsid w:val="00882FA6"/>
    <w:rsid w:val="00883118"/>
    <w:rsid w:val="0088419B"/>
    <w:rsid w:val="00885C86"/>
    <w:rsid w:val="00886016"/>
    <w:rsid w:val="00890D07"/>
    <w:rsid w:val="008910FF"/>
    <w:rsid w:val="00891326"/>
    <w:rsid w:val="00891DE1"/>
    <w:rsid w:val="00892520"/>
    <w:rsid w:val="00892707"/>
    <w:rsid w:val="00893DAE"/>
    <w:rsid w:val="00897005"/>
    <w:rsid w:val="00897313"/>
    <w:rsid w:val="00897531"/>
    <w:rsid w:val="00897A61"/>
    <w:rsid w:val="008A0180"/>
    <w:rsid w:val="008A032F"/>
    <w:rsid w:val="008A0675"/>
    <w:rsid w:val="008A0D64"/>
    <w:rsid w:val="008A2635"/>
    <w:rsid w:val="008A26D2"/>
    <w:rsid w:val="008A27FB"/>
    <w:rsid w:val="008A5542"/>
    <w:rsid w:val="008A5DDA"/>
    <w:rsid w:val="008A5F81"/>
    <w:rsid w:val="008A7C08"/>
    <w:rsid w:val="008A7F9F"/>
    <w:rsid w:val="008B06DF"/>
    <w:rsid w:val="008B0D1B"/>
    <w:rsid w:val="008B0E54"/>
    <w:rsid w:val="008B1087"/>
    <w:rsid w:val="008B1FC8"/>
    <w:rsid w:val="008B20F4"/>
    <w:rsid w:val="008B2579"/>
    <w:rsid w:val="008B2E1F"/>
    <w:rsid w:val="008B2FF3"/>
    <w:rsid w:val="008B39D3"/>
    <w:rsid w:val="008B3E69"/>
    <w:rsid w:val="008B40CE"/>
    <w:rsid w:val="008B4510"/>
    <w:rsid w:val="008B4999"/>
    <w:rsid w:val="008B5184"/>
    <w:rsid w:val="008B5732"/>
    <w:rsid w:val="008B6107"/>
    <w:rsid w:val="008B61AA"/>
    <w:rsid w:val="008B6437"/>
    <w:rsid w:val="008C0008"/>
    <w:rsid w:val="008C06BE"/>
    <w:rsid w:val="008C22C7"/>
    <w:rsid w:val="008C23F1"/>
    <w:rsid w:val="008C34CF"/>
    <w:rsid w:val="008C4137"/>
    <w:rsid w:val="008C4994"/>
    <w:rsid w:val="008C52ED"/>
    <w:rsid w:val="008C6051"/>
    <w:rsid w:val="008C6415"/>
    <w:rsid w:val="008C66DF"/>
    <w:rsid w:val="008C6F32"/>
    <w:rsid w:val="008C75F3"/>
    <w:rsid w:val="008C7D19"/>
    <w:rsid w:val="008D05D3"/>
    <w:rsid w:val="008D1002"/>
    <w:rsid w:val="008D1434"/>
    <w:rsid w:val="008D1648"/>
    <w:rsid w:val="008D2444"/>
    <w:rsid w:val="008D28DD"/>
    <w:rsid w:val="008D30F5"/>
    <w:rsid w:val="008D43D1"/>
    <w:rsid w:val="008D4C3F"/>
    <w:rsid w:val="008D4C51"/>
    <w:rsid w:val="008D644C"/>
    <w:rsid w:val="008D6566"/>
    <w:rsid w:val="008D6FE4"/>
    <w:rsid w:val="008D7660"/>
    <w:rsid w:val="008E1178"/>
    <w:rsid w:val="008E1AE9"/>
    <w:rsid w:val="008E1B4F"/>
    <w:rsid w:val="008E25E2"/>
    <w:rsid w:val="008E26C9"/>
    <w:rsid w:val="008E2B97"/>
    <w:rsid w:val="008E2CAE"/>
    <w:rsid w:val="008E31A0"/>
    <w:rsid w:val="008E3DCA"/>
    <w:rsid w:val="008E410C"/>
    <w:rsid w:val="008E4C7C"/>
    <w:rsid w:val="008E53B4"/>
    <w:rsid w:val="008E6852"/>
    <w:rsid w:val="008E6A97"/>
    <w:rsid w:val="008E7335"/>
    <w:rsid w:val="008E798D"/>
    <w:rsid w:val="008E7F3D"/>
    <w:rsid w:val="008F00FE"/>
    <w:rsid w:val="008F0ADF"/>
    <w:rsid w:val="008F1273"/>
    <w:rsid w:val="008F2AB4"/>
    <w:rsid w:val="008F4351"/>
    <w:rsid w:val="008F503F"/>
    <w:rsid w:val="008F539A"/>
    <w:rsid w:val="008F54A6"/>
    <w:rsid w:val="008F6BAA"/>
    <w:rsid w:val="008F6D52"/>
    <w:rsid w:val="008F74C9"/>
    <w:rsid w:val="009008A6"/>
    <w:rsid w:val="00900BAC"/>
    <w:rsid w:val="00900FF5"/>
    <w:rsid w:val="0090194D"/>
    <w:rsid w:val="00903974"/>
    <w:rsid w:val="00903DC3"/>
    <w:rsid w:val="00905027"/>
    <w:rsid w:val="00905217"/>
    <w:rsid w:val="00905271"/>
    <w:rsid w:val="00905DCD"/>
    <w:rsid w:val="00905E60"/>
    <w:rsid w:val="00905ED8"/>
    <w:rsid w:val="00906FA2"/>
    <w:rsid w:val="00907BD4"/>
    <w:rsid w:val="0091051E"/>
    <w:rsid w:val="009108D0"/>
    <w:rsid w:val="00910900"/>
    <w:rsid w:val="00910FEB"/>
    <w:rsid w:val="00911E4C"/>
    <w:rsid w:val="00912017"/>
    <w:rsid w:val="009132D1"/>
    <w:rsid w:val="00913831"/>
    <w:rsid w:val="00913DF3"/>
    <w:rsid w:val="00914E24"/>
    <w:rsid w:val="0091531A"/>
    <w:rsid w:val="00915D90"/>
    <w:rsid w:val="0091662A"/>
    <w:rsid w:val="00916AD8"/>
    <w:rsid w:val="00917B3A"/>
    <w:rsid w:val="00917D6B"/>
    <w:rsid w:val="00921933"/>
    <w:rsid w:val="00922BDA"/>
    <w:rsid w:val="00923D5F"/>
    <w:rsid w:val="00923EE3"/>
    <w:rsid w:val="00924CC9"/>
    <w:rsid w:val="00924EEC"/>
    <w:rsid w:val="00925497"/>
    <w:rsid w:val="009259E7"/>
    <w:rsid w:val="00925BC7"/>
    <w:rsid w:val="00925D77"/>
    <w:rsid w:val="00926B29"/>
    <w:rsid w:val="00930955"/>
    <w:rsid w:val="0093102B"/>
    <w:rsid w:val="00932163"/>
    <w:rsid w:val="00932278"/>
    <w:rsid w:val="009328DB"/>
    <w:rsid w:val="00932F31"/>
    <w:rsid w:val="00933983"/>
    <w:rsid w:val="00933C4C"/>
    <w:rsid w:val="00933CAE"/>
    <w:rsid w:val="009344CE"/>
    <w:rsid w:val="00934958"/>
    <w:rsid w:val="00934A12"/>
    <w:rsid w:val="00934D45"/>
    <w:rsid w:val="009351D8"/>
    <w:rsid w:val="009356E9"/>
    <w:rsid w:val="00935C95"/>
    <w:rsid w:val="00935DED"/>
    <w:rsid w:val="00937EF4"/>
    <w:rsid w:val="00940159"/>
    <w:rsid w:val="009401F4"/>
    <w:rsid w:val="00940504"/>
    <w:rsid w:val="0094072E"/>
    <w:rsid w:val="00941121"/>
    <w:rsid w:val="00941264"/>
    <w:rsid w:val="009442B5"/>
    <w:rsid w:val="00944F13"/>
    <w:rsid w:val="009450D2"/>
    <w:rsid w:val="00945BBC"/>
    <w:rsid w:val="009463C3"/>
    <w:rsid w:val="00946DBC"/>
    <w:rsid w:val="0095016D"/>
    <w:rsid w:val="00950A3D"/>
    <w:rsid w:val="00951664"/>
    <w:rsid w:val="00952153"/>
    <w:rsid w:val="0095215C"/>
    <w:rsid w:val="00952A9F"/>
    <w:rsid w:val="00953365"/>
    <w:rsid w:val="00953C92"/>
    <w:rsid w:val="00953DC8"/>
    <w:rsid w:val="0095563D"/>
    <w:rsid w:val="00955B96"/>
    <w:rsid w:val="00955F3B"/>
    <w:rsid w:val="009564C6"/>
    <w:rsid w:val="00956F74"/>
    <w:rsid w:val="00957CCA"/>
    <w:rsid w:val="00961B29"/>
    <w:rsid w:val="00961FDF"/>
    <w:rsid w:val="009629D8"/>
    <w:rsid w:val="009639A6"/>
    <w:rsid w:val="00963A76"/>
    <w:rsid w:val="00964DD2"/>
    <w:rsid w:val="00965712"/>
    <w:rsid w:val="00966FE4"/>
    <w:rsid w:val="009674E5"/>
    <w:rsid w:val="009675DE"/>
    <w:rsid w:val="00967FBF"/>
    <w:rsid w:val="00970328"/>
    <w:rsid w:val="009711D0"/>
    <w:rsid w:val="00971793"/>
    <w:rsid w:val="00971891"/>
    <w:rsid w:val="00972C57"/>
    <w:rsid w:val="00975301"/>
    <w:rsid w:val="00975782"/>
    <w:rsid w:val="00975DEF"/>
    <w:rsid w:val="009764F9"/>
    <w:rsid w:val="00976F75"/>
    <w:rsid w:val="0098092E"/>
    <w:rsid w:val="009813BD"/>
    <w:rsid w:val="00983443"/>
    <w:rsid w:val="009835A9"/>
    <w:rsid w:val="00983EF7"/>
    <w:rsid w:val="009840B5"/>
    <w:rsid w:val="00984BDA"/>
    <w:rsid w:val="00985261"/>
    <w:rsid w:val="009858B6"/>
    <w:rsid w:val="009858BC"/>
    <w:rsid w:val="00986D96"/>
    <w:rsid w:val="009871A3"/>
    <w:rsid w:val="0098741C"/>
    <w:rsid w:val="0098797D"/>
    <w:rsid w:val="009908AF"/>
    <w:rsid w:val="00991327"/>
    <w:rsid w:val="009920B0"/>
    <w:rsid w:val="009921F0"/>
    <w:rsid w:val="00992817"/>
    <w:rsid w:val="00992EA0"/>
    <w:rsid w:val="009933D8"/>
    <w:rsid w:val="009938DB"/>
    <w:rsid w:val="00994227"/>
    <w:rsid w:val="00995269"/>
    <w:rsid w:val="00995460"/>
    <w:rsid w:val="00997D7F"/>
    <w:rsid w:val="009A0FF4"/>
    <w:rsid w:val="009A1630"/>
    <w:rsid w:val="009A171F"/>
    <w:rsid w:val="009A23C8"/>
    <w:rsid w:val="009A2BF9"/>
    <w:rsid w:val="009A3CCA"/>
    <w:rsid w:val="009A42EF"/>
    <w:rsid w:val="009A46F4"/>
    <w:rsid w:val="009A58C3"/>
    <w:rsid w:val="009A5F38"/>
    <w:rsid w:val="009A6103"/>
    <w:rsid w:val="009A6D99"/>
    <w:rsid w:val="009B026D"/>
    <w:rsid w:val="009B092F"/>
    <w:rsid w:val="009B0FF5"/>
    <w:rsid w:val="009B137F"/>
    <w:rsid w:val="009B3845"/>
    <w:rsid w:val="009B4B15"/>
    <w:rsid w:val="009B5126"/>
    <w:rsid w:val="009B5370"/>
    <w:rsid w:val="009B6706"/>
    <w:rsid w:val="009B7330"/>
    <w:rsid w:val="009B77AC"/>
    <w:rsid w:val="009C01D1"/>
    <w:rsid w:val="009C1311"/>
    <w:rsid w:val="009C1397"/>
    <w:rsid w:val="009C1F4C"/>
    <w:rsid w:val="009C232C"/>
    <w:rsid w:val="009C2905"/>
    <w:rsid w:val="009C2CA1"/>
    <w:rsid w:val="009C5D49"/>
    <w:rsid w:val="009C6155"/>
    <w:rsid w:val="009C688F"/>
    <w:rsid w:val="009D1A7D"/>
    <w:rsid w:val="009D1A98"/>
    <w:rsid w:val="009D223D"/>
    <w:rsid w:val="009D29B3"/>
    <w:rsid w:val="009D2CD2"/>
    <w:rsid w:val="009D335A"/>
    <w:rsid w:val="009D401F"/>
    <w:rsid w:val="009D48EE"/>
    <w:rsid w:val="009D6113"/>
    <w:rsid w:val="009D6734"/>
    <w:rsid w:val="009E0AB6"/>
    <w:rsid w:val="009E1160"/>
    <w:rsid w:val="009E1837"/>
    <w:rsid w:val="009E217C"/>
    <w:rsid w:val="009E27FC"/>
    <w:rsid w:val="009E4772"/>
    <w:rsid w:val="009E5836"/>
    <w:rsid w:val="009E5AC1"/>
    <w:rsid w:val="009E5BCC"/>
    <w:rsid w:val="009E5E9D"/>
    <w:rsid w:val="009E6715"/>
    <w:rsid w:val="009E6B26"/>
    <w:rsid w:val="009E7A4D"/>
    <w:rsid w:val="009E7C01"/>
    <w:rsid w:val="009F15BA"/>
    <w:rsid w:val="009F20A6"/>
    <w:rsid w:val="009F212F"/>
    <w:rsid w:val="009F227C"/>
    <w:rsid w:val="009F23D8"/>
    <w:rsid w:val="009F2714"/>
    <w:rsid w:val="009F3019"/>
    <w:rsid w:val="009F381C"/>
    <w:rsid w:val="009F4739"/>
    <w:rsid w:val="009F4970"/>
    <w:rsid w:val="009F4E56"/>
    <w:rsid w:val="009F554E"/>
    <w:rsid w:val="009F5746"/>
    <w:rsid w:val="009F5BAD"/>
    <w:rsid w:val="009F6A78"/>
    <w:rsid w:val="00A00651"/>
    <w:rsid w:val="00A006B3"/>
    <w:rsid w:val="00A009FB"/>
    <w:rsid w:val="00A00E14"/>
    <w:rsid w:val="00A02288"/>
    <w:rsid w:val="00A02B0B"/>
    <w:rsid w:val="00A03284"/>
    <w:rsid w:val="00A03B22"/>
    <w:rsid w:val="00A04611"/>
    <w:rsid w:val="00A0470D"/>
    <w:rsid w:val="00A04C9A"/>
    <w:rsid w:val="00A06ADA"/>
    <w:rsid w:val="00A07258"/>
    <w:rsid w:val="00A0760D"/>
    <w:rsid w:val="00A07868"/>
    <w:rsid w:val="00A07EA5"/>
    <w:rsid w:val="00A10A64"/>
    <w:rsid w:val="00A10EA6"/>
    <w:rsid w:val="00A11504"/>
    <w:rsid w:val="00A11765"/>
    <w:rsid w:val="00A1230B"/>
    <w:rsid w:val="00A13E3B"/>
    <w:rsid w:val="00A13F3F"/>
    <w:rsid w:val="00A143D1"/>
    <w:rsid w:val="00A1453F"/>
    <w:rsid w:val="00A14FB0"/>
    <w:rsid w:val="00A153D2"/>
    <w:rsid w:val="00A1703C"/>
    <w:rsid w:val="00A23C30"/>
    <w:rsid w:val="00A23EB4"/>
    <w:rsid w:val="00A241C0"/>
    <w:rsid w:val="00A249DE"/>
    <w:rsid w:val="00A258D6"/>
    <w:rsid w:val="00A25D60"/>
    <w:rsid w:val="00A27EC9"/>
    <w:rsid w:val="00A30B6F"/>
    <w:rsid w:val="00A30EB2"/>
    <w:rsid w:val="00A31164"/>
    <w:rsid w:val="00A3173A"/>
    <w:rsid w:val="00A31C1F"/>
    <w:rsid w:val="00A323FD"/>
    <w:rsid w:val="00A32B05"/>
    <w:rsid w:val="00A33D72"/>
    <w:rsid w:val="00A340ED"/>
    <w:rsid w:val="00A35201"/>
    <w:rsid w:val="00A35AAE"/>
    <w:rsid w:val="00A362AC"/>
    <w:rsid w:val="00A3763C"/>
    <w:rsid w:val="00A400BA"/>
    <w:rsid w:val="00A40F80"/>
    <w:rsid w:val="00A41107"/>
    <w:rsid w:val="00A420EC"/>
    <w:rsid w:val="00A43485"/>
    <w:rsid w:val="00A43ED1"/>
    <w:rsid w:val="00A45A3A"/>
    <w:rsid w:val="00A45B7B"/>
    <w:rsid w:val="00A45E14"/>
    <w:rsid w:val="00A4638C"/>
    <w:rsid w:val="00A47EA8"/>
    <w:rsid w:val="00A51840"/>
    <w:rsid w:val="00A52F2A"/>
    <w:rsid w:val="00A5332B"/>
    <w:rsid w:val="00A534E3"/>
    <w:rsid w:val="00A53809"/>
    <w:rsid w:val="00A5395A"/>
    <w:rsid w:val="00A55489"/>
    <w:rsid w:val="00A555E9"/>
    <w:rsid w:val="00A56495"/>
    <w:rsid w:val="00A56A91"/>
    <w:rsid w:val="00A57258"/>
    <w:rsid w:val="00A604F8"/>
    <w:rsid w:val="00A60BE5"/>
    <w:rsid w:val="00A60EEB"/>
    <w:rsid w:val="00A6158C"/>
    <w:rsid w:val="00A6255B"/>
    <w:rsid w:val="00A62784"/>
    <w:rsid w:val="00A62B3B"/>
    <w:rsid w:val="00A62C90"/>
    <w:rsid w:val="00A64E65"/>
    <w:rsid w:val="00A656EC"/>
    <w:rsid w:val="00A65B1C"/>
    <w:rsid w:val="00A65D0D"/>
    <w:rsid w:val="00A67044"/>
    <w:rsid w:val="00A67197"/>
    <w:rsid w:val="00A676E4"/>
    <w:rsid w:val="00A71BB4"/>
    <w:rsid w:val="00A72604"/>
    <w:rsid w:val="00A72C59"/>
    <w:rsid w:val="00A74AEE"/>
    <w:rsid w:val="00A75C0F"/>
    <w:rsid w:val="00A75E22"/>
    <w:rsid w:val="00A765CF"/>
    <w:rsid w:val="00A7753E"/>
    <w:rsid w:val="00A77C27"/>
    <w:rsid w:val="00A77C40"/>
    <w:rsid w:val="00A818DF"/>
    <w:rsid w:val="00A83781"/>
    <w:rsid w:val="00A839A5"/>
    <w:rsid w:val="00A85232"/>
    <w:rsid w:val="00A85A56"/>
    <w:rsid w:val="00A85E5D"/>
    <w:rsid w:val="00A866AA"/>
    <w:rsid w:val="00A87755"/>
    <w:rsid w:val="00A90484"/>
    <w:rsid w:val="00A90E9C"/>
    <w:rsid w:val="00A91906"/>
    <w:rsid w:val="00A9343F"/>
    <w:rsid w:val="00A938DF"/>
    <w:rsid w:val="00A9625E"/>
    <w:rsid w:val="00A96FC0"/>
    <w:rsid w:val="00A97054"/>
    <w:rsid w:val="00AA1839"/>
    <w:rsid w:val="00AA33F0"/>
    <w:rsid w:val="00AA386D"/>
    <w:rsid w:val="00AA38CB"/>
    <w:rsid w:val="00AA3BB0"/>
    <w:rsid w:val="00AA433C"/>
    <w:rsid w:val="00AA4E0A"/>
    <w:rsid w:val="00AA5005"/>
    <w:rsid w:val="00AA50AF"/>
    <w:rsid w:val="00AA5CAB"/>
    <w:rsid w:val="00AA6B48"/>
    <w:rsid w:val="00AA6FDB"/>
    <w:rsid w:val="00AB044E"/>
    <w:rsid w:val="00AB0846"/>
    <w:rsid w:val="00AB0FBD"/>
    <w:rsid w:val="00AB11B4"/>
    <w:rsid w:val="00AB173F"/>
    <w:rsid w:val="00AB1B19"/>
    <w:rsid w:val="00AB1C42"/>
    <w:rsid w:val="00AB1E8F"/>
    <w:rsid w:val="00AB3930"/>
    <w:rsid w:val="00AB3B0D"/>
    <w:rsid w:val="00AB3C4C"/>
    <w:rsid w:val="00AB4F7D"/>
    <w:rsid w:val="00AB4FF0"/>
    <w:rsid w:val="00AB7717"/>
    <w:rsid w:val="00AC1491"/>
    <w:rsid w:val="00AC1849"/>
    <w:rsid w:val="00AC1D29"/>
    <w:rsid w:val="00AC2FF1"/>
    <w:rsid w:val="00AC345A"/>
    <w:rsid w:val="00AC4DF7"/>
    <w:rsid w:val="00AC6393"/>
    <w:rsid w:val="00AC678F"/>
    <w:rsid w:val="00AC70EF"/>
    <w:rsid w:val="00AC7DD3"/>
    <w:rsid w:val="00AC7FB7"/>
    <w:rsid w:val="00AD0090"/>
    <w:rsid w:val="00AD0EE4"/>
    <w:rsid w:val="00AD20BF"/>
    <w:rsid w:val="00AD3372"/>
    <w:rsid w:val="00AD46F3"/>
    <w:rsid w:val="00AD4BC8"/>
    <w:rsid w:val="00AD4C17"/>
    <w:rsid w:val="00AD59F1"/>
    <w:rsid w:val="00AD5AC8"/>
    <w:rsid w:val="00AD6451"/>
    <w:rsid w:val="00AD7B65"/>
    <w:rsid w:val="00AD7E69"/>
    <w:rsid w:val="00AD7F63"/>
    <w:rsid w:val="00AE00F8"/>
    <w:rsid w:val="00AE0BA9"/>
    <w:rsid w:val="00AE10BE"/>
    <w:rsid w:val="00AE1AC4"/>
    <w:rsid w:val="00AE21DD"/>
    <w:rsid w:val="00AE2274"/>
    <w:rsid w:val="00AE2519"/>
    <w:rsid w:val="00AE3172"/>
    <w:rsid w:val="00AE3622"/>
    <w:rsid w:val="00AE4426"/>
    <w:rsid w:val="00AE4522"/>
    <w:rsid w:val="00AE5F16"/>
    <w:rsid w:val="00AE7379"/>
    <w:rsid w:val="00AE7509"/>
    <w:rsid w:val="00AF0E47"/>
    <w:rsid w:val="00AF10CE"/>
    <w:rsid w:val="00AF2EB1"/>
    <w:rsid w:val="00AF3139"/>
    <w:rsid w:val="00AF32C3"/>
    <w:rsid w:val="00AF3C77"/>
    <w:rsid w:val="00AF4476"/>
    <w:rsid w:val="00AF47DB"/>
    <w:rsid w:val="00AF4C77"/>
    <w:rsid w:val="00AF58AC"/>
    <w:rsid w:val="00AF5F0F"/>
    <w:rsid w:val="00AF63EE"/>
    <w:rsid w:val="00B0037B"/>
    <w:rsid w:val="00B00BED"/>
    <w:rsid w:val="00B00E54"/>
    <w:rsid w:val="00B00F00"/>
    <w:rsid w:val="00B015B0"/>
    <w:rsid w:val="00B0188B"/>
    <w:rsid w:val="00B041F2"/>
    <w:rsid w:val="00B0477F"/>
    <w:rsid w:val="00B078FC"/>
    <w:rsid w:val="00B07DF7"/>
    <w:rsid w:val="00B1276C"/>
    <w:rsid w:val="00B13293"/>
    <w:rsid w:val="00B13EEF"/>
    <w:rsid w:val="00B14786"/>
    <w:rsid w:val="00B14899"/>
    <w:rsid w:val="00B14DC0"/>
    <w:rsid w:val="00B157CD"/>
    <w:rsid w:val="00B16239"/>
    <w:rsid w:val="00B16741"/>
    <w:rsid w:val="00B168F1"/>
    <w:rsid w:val="00B17E3F"/>
    <w:rsid w:val="00B20DA4"/>
    <w:rsid w:val="00B216F8"/>
    <w:rsid w:val="00B21CB1"/>
    <w:rsid w:val="00B21E49"/>
    <w:rsid w:val="00B227A4"/>
    <w:rsid w:val="00B22826"/>
    <w:rsid w:val="00B22C07"/>
    <w:rsid w:val="00B2315E"/>
    <w:rsid w:val="00B235E4"/>
    <w:rsid w:val="00B237BC"/>
    <w:rsid w:val="00B23F00"/>
    <w:rsid w:val="00B2438A"/>
    <w:rsid w:val="00B24457"/>
    <w:rsid w:val="00B24B0F"/>
    <w:rsid w:val="00B24B23"/>
    <w:rsid w:val="00B24FA9"/>
    <w:rsid w:val="00B30A65"/>
    <w:rsid w:val="00B316E7"/>
    <w:rsid w:val="00B31FF0"/>
    <w:rsid w:val="00B3202B"/>
    <w:rsid w:val="00B32B7E"/>
    <w:rsid w:val="00B3484B"/>
    <w:rsid w:val="00B34ACD"/>
    <w:rsid w:val="00B359C3"/>
    <w:rsid w:val="00B36209"/>
    <w:rsid w:val="00B36FB4"/>
    <w:rsid w:val="00B37293"/>
    <w:rsid w:val="00B37CD8"/>
    <w:rsid w:val="00B41ED2"/>
    <w:rsid w:val="00B42822"/>
    <w:rsid w:val="00B42D6C"/>
    <w:rsid w:val="00B43BEB"/>
    <w:rsid w:val="00B4555F"/>
    <w:rsid w:val="00B456AD"/>
    <w:rsid w:val="00B45D80"/>
    <w:rsid w:val="00B46635"/>
    <w:rsid w:val="00B46669"/>
    <w:rsid w:val="00B46D57"/>
    <w:rsid w:val="00B470CF"/>
    <w:rsid w:val="00B472A9"/>
    <w:rsid w:val="00B4731C"/>
    <w:rsid w:val="00B500AC"/>
    <w:rsid w:val="00B51F97"/>
    <w:rsid w:val="00B5207C"/>
    <w:rsid w:val="00B526D0"/>
    <w:rsid w:val="00B52765"/>
    <w:rsid w:val="00B5335B"/>
    <w:rsid w:val="00B53548"/>
    <w:rsid w:val="00B54783"/>
    <w:rsid w:val="00B557E1"/>
    <w:rsid w:val="00B55C33"/>
    <w:rsid w:val="00B55FB2"/>
    <w:rsid w:val="00B5639A"/>
    <w:rsid w:val="00B5651E"/>
    <w:rsid w:val="00B5763F"/>
    <w:rsid w:val="00B60B2B"/>
    <w:rsid w:val="00B60F1A"/>
    <w:rsid w:val="00B6106E"/>
    <w:rsid w:val="00B61A56"/>
    <w:rsid w:val="00B62C32"/>
    <w:rsid w:val="00B64663"/>
    <w:rsid w:val="00B646B9"/>
    <w:rsid w:val="00B65E29"/>
    <w:rsid w:val="00B6766E"/>
    <w:rsid w:val="00B706BE"/>
    <w:rsid w:val="00B720CA"/>
    <w:rsid w:val="00B7292A"/>
    <w:rsid w:val="00B72A2B"/>
    <w:rsid w:val="00B733D6"/>
    <w:rsid w:val="00B75B24"/>
    <w:rsid w:val="00B75FFA"/>
    <w:rsid w:val="00B764DD"/>
    <w:rsid w:val="00B766DE"/>
    <w:rsid w:val="00B77080"/>
    <w:rsid w:val="00B77C29"/>
    <w:rsid w:val="00B77F7E"/>
    <w:rsid w:val="00B811C2"/>
    <w:rsid w:val="00B82684"/>
    <w:rsid w:val="00B82E05"/>
    <w:rsid w:val="00B83827"/>
    <w:rsid w:val="00B86E23"/>
    <w:rsid w:val="00B86E64"/>
    <w:rsid w:val="00B86F79"/>
    <w:rsid w:val="00B87253"/>
    <w:rsid w:val="00B87A55"/>
    <w:rsid w:val="00B87C04"/>
    <w:rsid w:val="00B87F78"/>
    <w:rsid w:val="00B90027"/>
    <w:rsid w:val="00B90387"/>
    <w:rsid w:val="00B91610"/>
    <w:rsid w:val="00B91BF8"/>
    <w:rsid w:val="00B91D4B"/>
    <w:rsid w:val="00B92BE6"/>
    <w:rsid w:val="00B93313"/>
    <w:rsid w:val="00B935F2"/>
    <w:rsid w:val="00B94093"/>
    <w:rsid w:val="00B96675"/>
    <w:rsid w:val="00B96B8A"/>
    <w:rsid w:val="00BA045E"/>
    <w:rsid w:val="00BA0C33"/>
    <w:rsid w:val="00BA1345"/>
    <w:rsid w:val="00BA1742"/>
    <w:rsid w:val="00BA180D"/>
    <w:rsid w:val="00BA1872"/>
    <w:rsid w:val="00BA2633"/>
    <w:rsid w:val="00BA2E29"/>
    <w:rsid w:val="00BA40A6"/>
    <w:rsid w:val="00BA46D0"/>
    <w:rsid w:val="00BA4CC7"/>
    <w:rsid w:val="00BA5D9C"/>
    <w:rsid w:val="00BA5EC3"/>
    <w:rsid w:val="00BA6041"/>
    <w:rsid w:val="00BA61A8"/>
    <w:rsid w:val="00BA6237"/>
    <w:rsid w:val="00BA75EF"/>
    <w:rsid w:val="00BA76DC"/>
    <w:rsid w:val="00BA797B"/>
    <w:rsid w:val="00BA7B60"/>
    <w:rsid w:val="00BA7F96"/>
    <w:rsid w:val="00BB0291"/>
    <w:rsid w:val="00BB1B5B"/>
    <w:rsid w:val="00BB2FF7"/>
    <w:rsid w:val="00BB3003"/>
    <w:rsid w:val="00BB360E"/>
    <w:rsid w:val="00BB3B35"/>
    <w:rsid w:val="00BB3BF4"/>
    <w:rsid w:val="00BB4BB2"/>
    <w:rsid w:val="00BB58F5"/>
    <w:rsid w:val="00BB60E6"/>
    <w:rsid w:val="00BB6A81"/>
    <w:rsid w:val="00BB6C0A"/>
    <w:rsid w:val="00BB7A97"/>
    <w:rsid w:val="00BC0207"/>
    <w:rsid w:val="00BC0D77"/>
    <w:rsid w:val="00BC1452"/>
    <w:rsid w:val="00BC2187"/>
    <w:rsid w:val="00BC2AF2"/>
    <w:rsid w:val="00BC33FB"/>
    <w:rsid w:val="00BC4F38"/>
    <w:rsid w:val="00BC53A1"/>
    <w:rsid w:val="00BC6EAF"/>
    <w:rsid w:val="00BC7A6A"/>
    <w:rsid w:val="00BC7DD8"/>
    <w:rsid w:val="00BD0A32"/>
    <w:rsid w:val="00BD0F71"/>
    <w:rsid w:val="00BD0FD3"/>
    <w:rsid w:val="00BD1311"/>
    <w:rsid w:val="00BD1800"/>
    <w:rsid w:val="00BD1985"/>
    <w:rsid w:val="00BD1AA6"/>
    <w:rsid w:val="00BD20AA"/>
    <w:rsid w:val="00BD2FBE"/>
    <w:rsid w:val="00BD33EB"/>
    <w:rsid w:val="00BD50F4"/>
    <w:rsid w:val="00BD59C8"/>
    <w:rsid w:val="00BD5AF3"/>
    <w:rsid w:val="00BD609A"/>
    <w:rsid w:val="00BD6FF9"/>
    <w:rsid w:val="00BD73EF"/>
    <w:rsid w:val="00BD777E"/>
    <w:rsid w:val="00BE005B"/>
    <w:rsid w:val="00BE00E8"/>
    <w:rsid w:val="00BE0550"/>
    <w:rsid w:val="00BE0EDC"/>
    <w:rsid w:val="00BE1D24"/>
    <w:rsid w:val="00BE2A56"/>
    <w:rsid w:val="00BE2B67"/>
    <w:rsid w:val="00BE365C"/>
    <w:rsid w:val="00BE39D9"/>
    <w:rsid w:val="00BE47CC"/>
    <w:rsid w:val="00BE4B9C"/>
    <w:rsid w:val="00BE5053"/>
    <w:rsid w:val="00BE59B7"/>
    <w:rsid w:val="00BE5C94"/>
    <w:rsid w:val="00BE60B2"/>
    <w:rsid w:val="00BE7BD3"/>
    <w:rsid w:val="00BF00B1"/>
    <w:rsid w:val="00BF1DB7"/>
    <w:rsid w:val="00BF1DD2"/>
    <w:rsid w:val="00BF1EE7"/>
    <w:rsid w:val="00BF2820"/>
    <w:rsid w:val="00BF2B73"/>
    <w:rsid w:val="00BF2D28"/>
    <w:rsid w:val="00BF305E"/>
    <w:rsid w:val="00BF3756"/>
    <w:rsid w:val="00BF39B3"/>
    <w:rsid w:val="00BF5350"/>
    <w:rsid w:val="00BF5614"/>
    <w:rsid w:val="00BF6AAB"/>
    <w:rsid w:val="00BF6B29"/>
    <w:rsid w:val="00BF7A37"/>
    <w:rsid w:val="00BF7C1F"/>
    <w:rsid w:val="00BF7D02"/>
    <w:rsid w:val="00C00726"/>
    <w:rsid w:val="00C00F14"/>
    <w:rsid w:val="00C02DC4"/>
    <w:rsid w:val="00C02DFC"/>
    <w:rsid w:val="00C03553"/>
    <w:rsid w:val="00C04950"/>
    <w:rsid w:val="00C05C4B"/>
    <w:rsid w:val="00C0660F"/>
    <w:rsid w:val="00C07522"/>
    <w:rsid w:val="00C07CFA"/>
    <w:rsid w:val="00C10A43"/>
    <w:rsid w:val="00C10AE4"/>
    <w:rsid w:val="00C1101D"/>
    <w:rsid w:val="00C118EC"/>
    <w:rsid w:val="00C129EA"/>
    <w:rsid w:val="00C12E9C"/>
    <w:rsid w:val="00C138D0"/>
    <w:rsid w:val="00C146E2"/>
    <w:rsid w:val="00C15EE6"/>
    <w:rsid w:val="00C1657D"/>
    <w:rsid w:val="00C20E12"/>
    <w:rsid w:val="00C21C86"/>
    <w:rsid w:val="00C22342"/>
    <w:rsid w:val="00C233E3"/>
    <w:rsid w:val="00C237FF"/>
    <w:rsid w:val="00C25199"/>
    <w:rsid w:val="00C2631D"/>
    <w:rsid w:val="00C27C19"/>
    <w:rsid w:val="00C304DE"/>
    <w:rsid w:val="00C315B2"/>
    <w:rsid w:val="00C31FC1"/>
    <w:rsid w:val="00C33606"/>
    <w:rsid w:val="00C344BD"/>
    <w:rsid w:val="00C345D1"/>
    <w:rsid w:val="00C350F3"/>
    <w:rsid w:val="00C3553A"/>
    <w:rsid w:val="00C35653"/>
    <w:rsid w:val="00C361C0"/>
    <w:rsid w:val="00C37C9C"/>
    <w:rsid w:val="00C4048B"/>
    <w:rsid w:val="00C404C9"/>
    <w:rsid w:val="00C40645"/>
    <w:rsid w:val="00C40F76"/>
    <w:rsid w:val="00C4108F"/>
    <w:rsid w:val="00C41C0D"/>
    <w:rsid w:val="00C41CD9"/>
    <w:rsid w:val="00C42759"/>
    <w:rsid w:val="00C437DD"/>
    <w:rsid w:val="00C43D4D"/>
    <w:rsid w:val="00C441C0"/>
    <w:rsid w:val="00C45EDD"/>
    <w:rsid w:val="00C46514"/>
    <w:rsid w:val="00C476D5"/>
    <w:rsid w:val="00C4778F"/>
    <w:rsid w:val="00C47A41"/>
    <w:rsid w:val="00C5067C"/>
    <w:rsid w:val="00C50917"/>
    <w:rsid w:val="00C51159"/>
    <w:rsid w:val="00C514E8"/>
    <w:rsid w:val="00C51548"/>
    <w:rsid w:val="00C51E18"/>
    <w:rsid w:val="00C526E3"/>
    <w:rsid w:val="00C53918"/>
    <w:rsid w:val="00C53C54"/>
    <w:rsid w:val="00C53E5F"/>
    <w:rsid w:val="00C54106"/>
    <w:rsid w:val="00C550B2"/>
    <w:rsid w:val="00C56494"/>
    <w:rsid w:val="00C5731E"/>
    <w:rsid w:val="00C5775B"/>
    <w:rsid w:val="00C57A26"/>
    <w:rsid w:val="00C57B69"/>
    <w:rsid w:val="00C60007"/>
    <w:rsid w:val="00C60139"/>
    <w:rsid w:val="00C602D8"/>
    <w:rsid w:val="00C6033B"/>
    <w:rsid w:val="00C60C75"/>
    <w:rsid w:val="00C612F3"/>
    <w:rsid w:val="00C6169C"/>
    <w:rsid w:val="00C6210F"/>
    <w:rsid w:val="00C62426"/>
    <w:rsid w:val="00C630B2"/>
    <w:rsid w:val="00C63652"/>
    <w:rsid w:val="00C63D64"/>
    <w:rsid w:val="00C63F93"/>
    <w:rsid w:val="00C64606"/>
    <w:rsid w:val="00C65ADC"/>
    <w:rsid w:val="00C65CFC"/>
    <w:rsid w:val="00C66D2A"/>
    <w:rsid w:val="00C67830"/>
    <w:rsid w:val="00C6794F"/>
    <w:rsid w:val="00C67C9E"/>
    <w:rsid w:val="00C7042E"/>
    <w:rsid w:val="00C71AAC"/>
    <w:rsid w:val="00C732CA"/>
    <w:rsid w:val="00C734F1"/>
    <w:rsid w:val="00C738A0"/>
    <w:rsid w:val="00C73F1F"/>
    <w:rsid w:val="00C7425E"/>
    <w:rsid w:val="00C74BF1"/>
    <w:rsid w:val="00C7666C"/>
    <w:rsid w:val="00C76805"/>
    <w:rsid w:val="00C76AB5"/>
    <w:rsid w:val="00C80AE1"/>
    <w:rsid w:val="00C8135D"/>
    <w:rsid w:val="00C8243A"/>
    <w:rsid w:val="00C83B1F"/>
    <w:rsid w:val="00C83D6D"/>
    <w:rsid w:val="00C83FF2"/>
    <w:rsid w:val="00C84D16"/>
    <w:rsid w:val="00C853BE"/>
    <w:rsid w:val="00C85EDF"/>
    <w:rsid w:val="00C86E7F"/>
    <w:rsid w:val="00C87018"/>
    <w:rsid w:val="00C87369"/>
    <w:rsid w:val="00C87769"/>
    <w:rsid w:val="00C8789F"/>
    <w:rsid w:val="00C87BC3"/>
    <w:rsid w:val="00C87D14"/>
    <w:rsid w:val="00C87F41"/>
    <w:rsid w:val="00C87F4B"/>
    <w:rsid w:val="00C902DF"/>
    <w:rsid w:val="00C90588"/>
    <w:rsid w:val="00C907A9"/>
    <w:rsid w:val="00C90BF5"/>
    <w:rsid w:val="00C91365"/>
    <w:rsid w:val="00C919A8"/>
    <w:rsid w:val="00C92D07"/>
    <w:rsid w:val="00C92E4E"/>
    <w:rsid w:val="00C93534"/>
    <w:rsid w:val="00C937AD"/>
    <w:rsid w:val="00C939E3"/>
    <w:rsid w:val="00C93F1B"/>
    <w:rsid w:val="00C95517"/>
    <w:rsid w:val="00C95A56"/>
    <w:rsid w:val="00C9609D"/>
    <w:rsid w:val="00C96793"/>
    <w:rsid w:val="00C97485"/>
    <w:rsid w:val="00C97BB6"/>
    <w:rsid w:val="00CA0D7D"/>
    <w:rsid w:val="00CA217B"/>
    <w:rsid w:val="00CA2718"/>
    <w:rsid w:val="00CA2F4A"/>
    <w:rsid w:val="00CA3A85"/>
    <w:rsid w:val="00CA408B"/>
    <w:rsid w:val="00CA4266"/>
    <w:rsid w:val="00CA43B1"/>
    <w:rsid w:val="00CA4A78"/>
    <w:rsid w:val="00CA5C73"/>
    <w:rsid w:val="00CA6B4B"/>
    <w:rsid w:val="00CA6C33"/>
    <w:rsid w:val="00CA778E"/>
    <w:rsid w:val="00CB0A8E"/>
    <w:rsid w:val="00CB17A8"/>
    <w:rsid w:val="00CB1C17"/>
    <w:rsid w:val="00CB1D33"/>
    <w:rsid w:val="00CB2180"/>
    <w:rsid w:val="00CB4128"/>
    <w:rsid w:val="00CB4166"/>
    <w:rsid w:val="00CB5585"/>
    <w:rsid w:val="00CB599B"/>
    <w:rsid w:val="00CB5D5C"/>
    <w:rsid w:val="00CB5D5F"/>
    <w:rsid w:val="00CB6115"/>
    <w:rsid w:val="00CB6A4B"/>
    <w:rsid w:val="00CB79D4"/>
    <w:rsid w:val="00CC02FE"/>
    <w:rsid w:val="00CC0981"/>
    <w:rsid w:val="00CC0C5D"/>
    <w:rsid w:val="00CC14EA"/>
    <w:rsid w:val="00CC2F7A"/>
    <w:rsid w:val="00CC3E32"/>
    <w:rsid w:val="00CC43EB"/>
    <w:rsid w:val="00CC5FAA"/>
    <w:rsid w:val="00CC6A0D"/>
    <w:rsid w:val="00CC754F"/>
    <w:rsid w:val="00CC7635"/>
    <w:rsid w:val="00CC7AE0"/>
    <w:rsid w:val="00CC7ECB"/>
    <w:rsid w:val="00CD01F1"/>
    <w:rsid w:val="00CD097B"/>
    <w:rsid w:val="00CD0C6D"/>
    <w:rsid w:val="00CD1ED2"/>
    <w:rsid w:val="00CD22A3"/>
    <w:rsid w:val="00CD2417"/>
    <w:rsid w:val="00CD2546"/>
    <w:rsid w:val="00CD278D"/>
    <w:rsid w:val="00CD2ADB"/>
    <w:rsid w:val="00CD47E1"/>
    <w:rsid w:val="00CD4D3D"/>
    <w:rsid w:val="00CD5007"/>
    <w:rsid w:val="00CD62FB"/>
    <w:rsid w:val="00CD6FBD"/>
    <w:rsid w:val="00CD750D"/>
    <w:rsid w:val="00CD7535"/>
    <w:rsid w:val="00CE0CAE"/>
    <w:rsid w:val="00CE132C"/>
    <w:rsid w:val="00CE17C8"/>
    <w:rsid w:val="00CE314E"/>
    <w:rsid w:val="00CE38F5"/>
    <w:rsid w:val="00CE44B3"/>
    <w:rsid w:val="00CE5943"/>
    <w:rsid w:val="00CE59A7"/>
    <w:rsid w:val="00CE5D56"/>
    <w:rsid w:val="00CE5EB5"/>
    <w:rsid w:val="00CE6014"/>
    <w:rsid w:val="00CE7590"/>
    <w:rsid w:val="00CE7B56"/>
    <w:rsid w:val="00CE7E99"/>
    <w:rsid w:val="00CE7EB5"/>
    <w:rsid w:val="00CF0101"/>
    <w:rsid w:val="00CF391F"/>
    <w:rsid w:val="00CF3A87"/>
    <w:rsid w:val="00CF3CD0"/>
    <w:rsid w:val="00CF3DD2"/>
    <w:rsid w:val="00CF4406"/>
    <w:rsid w:val="00CF4418"/>
    <w:rsid w:val="00CF4AAF"/>
    <w:rsid w:val="00CF5C66"/>
    <w:rsid w:val="00CF664C"/>
    <w:rsid w:val="00CF66A2"/>
    <w:rsid w:val="00CF6D0E"/>
    <w:rsid w:val="00CF6DF6"/>
    <w:rsid w:val="00CF74DB"/>
    <w:rsid w:val="00CF7B1C"/>
    <w:rsid w:val="00CF7FD3"/>
    <w:rsid w:val="00D01A11"/>
    <w:rsid w:val="00D02599"/>
    <w:rsid w:val="00D02921"/>
    <w:rsid w:val="00D02C40"/>
    <w:rsid w:val="00D0362F"/>
    <w:rsid w:val="00D03951"/>
    <w:rsid w:val="00D03A3E"/>
    <w:rsid w:val="00D04BD6"/>
    <w:rsid w:val="00D04BDA"/>
    <w:rsid w:val="00D053D7"/>
    <w:rsid w:val="00D058F4"/>
    <w:rsid w:val="00D0608E"/>
    <w:rsid w:val="00D06338"/>
    <w:rsid w:val="00D06DB8"/>
    <w:rsid w:val="00D07080"/>
    <w:rsid w:val="00D10CFF"/>
    <w:rsid w:val="00D11C1D"/>
    <w:rsid w:val="00D12398"/>
    <w:rsid w:val="00D12836"/>
    <w:rsid w:val="00D1319C"/>
    <w:rsid w:val="00D1382B"/>
    <w:rsid w:val="00D1434E"/>
    <w:rsid w:val="00D14436"/>
    <w:rsid w:val="00D14BC0"/>
    <w:rsid w:val="00D15BBB"/>
    <w:rsid w:val="00D16583"/>
    <w:rsid w:val="00D17667"/>
    <w:rsid w:val="00D21119"/>
    <w:rsid w:val="00D21D9B"/>
    <w:rsid w:val="00D2247A"/>
    <w:rsid w:val="00D225B0"/>
    <w:rsid w:val="00D231D0"/>
    <w:rsid w:val="00D251EC"/>
    <w:rsid w:val="00D253B5"/>
    <w:rsid w:val="00D25DD0"/>
    <w:rsid w:val="00D26D35"/>
    <w:rsid w:val="00D2715F"/>
    <w:rsid w:val="00D279DF"/>
    <w:rsid w:val="00D30292"/>
    <w:rsid w:val="00D30B1E"/>
    <w:rsid w:val="00D319A1"/>
    <w:rsid w:val="00D31F67"/>
    <w:rsid w:val="00D329C8"/>
    <w:rsid w:val="00D32DE0"/>
    <w:rsid w:val="00D32EC0"/>
    <w:rsid w:val="00D33203"/>
    <w:rsid w:val="00D33F9B"/>
    <w:rsid w:val="00D33FE0"/>
    <w:rsid w:val="00D34589"/>
    <w:rsid w:val="00D34FE6"/>
    <w:rsid w:val="00D37EE5"/>
    <w:rsid w:val="00D41F7E"/>
    <w:rsid w:val="00D42907"/>
    <w:rsid w:val="00D43302"/>
    <w:rsid w:val="00D4387F"/>
    <w:rsid w:val="00D43AB9"/>
    <w:rsid w:val="00D44A02"/>
    <w:rsid w:val="00D45753"/>
    <w:rsid w:val="00D46688"/>
    <w:rsid w:val="00D46837"/>
    <w:rsid w:val="00D46DA9"/>
    <w:rsid w:val="00D470D2"/>
    <w:rsid w:val="00D478FF"/>
    <w:rsid w:val="00D4790A"/>
    <w:rsid w:val="00D505D8"/>
    <w:rsid w:val="00D5227F"/>
    <w:rsid w:val="00D5249D"/>
    <w:rsid w:val="00D52BA8"/>
    <w:rsid w:val="00D52BCC"/>
    <w:rsid w:val="00D52F05"/>
    <w:rsid w:val="00D5335F"/>
    <w:rsid w:val="00D536FD"/>
    <w:rsid w:val="00D53B16"/>
    <w:rsid w:val="00D53C2A"/>
    <w:rsid w:val="00D53CA6"/>
    <w:rsid w:val="00D55748"/>
    <w:rsid w:val="00D55F46"/>
    <w:rsid w:val="00D56044"/>
    <w:rsid w:val="00D561C8"/>
    <w:rsid w:val="00D5675E"/>
    <w:rsid w:val="00D573DD"/>
    <w:rsid w:val="00D575DD"/>
    <w:rsid w:val="00D5789C"/>
    <w:rsid w:val="00D57C89"/>
    <w:rsid w:val="00D57DDE"/>
    <w:rsid w:val="00D617AB"/>
    <w:rsid w:val="00D61CEA"/>
    <w:rsid w:val="00D6265B"/>
    <w:rsid w:val="00D62852"/>
    <w:rsid w:val="00D62B51"/>
    <w:rsid w:val="00D63105"/>
    <w:rsid w:val="00D6318C"/>
    <w:rsid w:val="00D64BBB"/>
    <w:rsid w:val="00D65D84"/>
    <w:rsid w:val="00D661BB"/>
    <w:rsid w:val="00D66CED"/>
    <w:rsid w:val="00D66D2A"/>
    <w:rsid w:val="00D70965"/>
    <w:rsid w:val="00D70F9B"/>
    <w:rsid w:val="00D71AF8"/>
    <w:rsid w:val="00D71F64"/>
    <w:rsid w:val="00D7352B"/>
    <w:rsid w:val="00D77426"/>
    <w:rsid w:val="00D7777D"/>
    <w:rsid w:val="00D802A7"/>
    <w:rsid w:val="00D80610"/>
    <w:rsid w:val="00D80CFE"/>
    <w:rsid w:val="00D813B1"/>
    <w:rsid w:val="00D817D9"/>
    <w:rsid w:val="00D81FC0"/>
    <w:rsid w:val="00D8209D"/>
    <w:rsid w:val="00D82C97"/>
    <w:rsid w:val="00D83177"/>
    <w:rsid w:val="00D83582"/>
    <w:rsid w:val="00D83D15"/>
    <w:rsid w:val="00D84D43"/>
    <w:rsid w:val="00D87323"/>
    <w:rsid w:val="00D873CE"/>
    <w:rsid w:val="00D90964"/>
    <w:rsid w:val="00D90B8A"/>
    <w:rsid w:val="00D9171D"/>
    <w:rsid w:val="00D917A7"/>
    <w:rsid w:val="00D91A43"/>
    <w:rsid w:val="00D9334E"/>
    <w:rsid w:val="00D934BE"/>
    <w:rsid w:val="00D94EC5"/>
    <w:rsid w:val="00D95BA6"/>
    <w:rsid w:val="00D95CF2"/>
    <w:rsid w:val="00D96DC1"/>
    <w:rsid w:val="00D97BD5"/>
    <w:rsid w:val="00DA001A"/>
    <w:rsid w:val="00DA123D"/>
    <w:rsid w:val="00DA2784"/>
    <w:rsid w:val="00DA2F34"/>
    <w:rsid w:val="00DA432E"/>
    <w:rsid w:val="00DA4742"/>
    <w:rsid w:val="00DA48FC"/>
    <w:rsid w:val="00DA52C7"/>
    <w:rsid w:val="00DA5550"/>
    <w:rsid w:val="00DA5ADC"/>
    <w:rsid w:val="00DA60CC"/>
    <w:rsid w:val="00DA6BF8"/>
    <w:rsid w:val="00DB026B"/>
    <w:rsid w:val="00DB0778"/>
    <w:rsid w:val="00DB0C90"/>
    <w:rsid w:val="00DB1819"/>
    <w:rsid w:val="00DB2096"/>
    <w:rsid w:val="00DB2A75"/>
    <w:rsid w:val="00DB3588"/>
    <w:rsid w:val="00DB36E1"/>
    <w:rsid w:val="00DB522E"/>
    <w:rsid w:val="00DB562C"/>
    <w:rsid w:val="00DB564E"/>
    <w:rsid w:val="00DB6AAA"/>
    <w:rsid w:val="00DC0401"/>
    <w:rsid w:val="00DC041D"/>
    <w:rsid w:val="00DC08B3"/>
    <w:rsid w:val="00DC0CCA"/>
    <w:rsid w:val="00DC0EED"/>
    <w:rsid w:val="00DC175D"/>
    <w:rsid w:val="00DC1C87"/>
    <w:rsid w:val="00DC1D08"/>
    <w:rsid w:val="00DC24F6"/>
    <w:rsid w:val="00DC2673"/>
    <w:rsid w:val="00DC3137"/>
    <w:rsid w:val="00DC31CB"/>
    <w:rsid w:val="00DC41F1"/>
    <w:rsid w:val="00DC43ED"/>
    <w:rsid w:val="00DC4D8E"/>
    <w:rsid w:val="00DC515F"/>
    <w:rsid w:val="00DC5551"/>
    <w:rsid w:val="00DC5ECF"/>
    <w:rsid w:val="00DC65E4"/>
    <w:rsid w:val="00DC7798"/>
    <w:rsid w:val="00DC7958"/>
    <w:rsid w:val="00DC7A03"/>
    <w:rsid w:val="00DC7DC9"/>
    <w:rsid w:val="00DD0202"/>
    <w:rsid w:val="00DD0D51"/>
    <w:rsid w:val="00DD13F0"/>
    <w:rsid w:val="00DD16DF"/>
    <w:rsid w:val="00DD274D"/>
    <w:rsid w:val="00DD3ABB"/>
    <w:rsid w:val="00DD4475"/>
    <w:rsid w:val="00DD48B5"/>
    <w:rsid w:val="00DD4A32"/>
    <w:rsid w:val="00DD5F22"/>
    <w:rsid w:val="00DD5FAB"/>
    <w:rsid w:val="00DD6866"/>
    <w:rsid w:val="00DD6C08"/>
    <w:rsid w:val="00DD6F75"/>
    <w:rsid w:val="00DD7C5C"/>
    <w:rsid w:val="00DE106B"/>
    <w:rsid w:val="00DE10C0"/>
    <w:rsid w:val="00DE14F9"/>
    <w:rsid w:val="00DE16D6"/>
    <w:rsid w:val="00DE2298"/>
    <w:rsid w:val="00DE27A3"/>
    <w:rsid w:val="00DE29FE"/>
    <w:rsid w:val="00DE2B5F"/>
    <w:rsid w:val="00DE33E5"/>
    <w:rsid w:val="00DE3D77"/>
    <w:rsid w:val="00DE597E"/>
    <w:rsid w:val="00DE5DCA"/>
    <w:rsid w:val="00DE6AD0"/>
    <w:rsid w:val="00DE7C35"/>
    <w:rsid w:val="00DF0819"/>
    <w:rsid w:val="00DF1D90"/>
    <w:rsid w:val="00DF3E5A"/>
    <w:rsid w:val="00DF4D2D"/>
    <w:rsid w:val="00DF6C54"/>
    <w:rsid w:val="00DF7FB6"/>
    <w:rsid w:val="00E009DA"/>
    <w:rsid w:val="00E013B8"/>
    <w:rsid w:val="00E014D8"/>
    <w:rsid w:val="00E043DB"/>
    <w:rsid w:val="00E04F25"/>
    <w:rsid w:val="00E06BE0"/>
    <w:rsid w:val="00E06FA8"/>
    <w:rsid w:val="00E11192"/>
    <w:rsid w:val="00E11FFB"/>
    <w:rsid w:val="00E131D2"/>
    <w:rsid w:val="00E136F0"/>
    <w:rsid w:val="00E14AE3"/>
    <w:rsid w:val="00E14C5D"/>
    <w:rsid w:val="00E15526"/>
    <w:rsid w:val="00E15E42"/>
    <w:rsid w:val="00E16326"/>
    <w:rsid w:val="00E168BB"/>
    <w:rsid w:val="00E16C49"/>
    <w:rsid w:val="00E1777F"/>
    <w:rsid w:val="00E177AF"/>
    <w:rsid w:val="00E2000B"/>
    <w:rsid w:val="00E20226"/>
    <w:rsid w:val="00E2057A"/>
    <w:rsid w:val="00E20BA8"/>
    <w:rsid w:val="00E215A1"/>
    <w:rsid w:val="00E2174D"/>
    <w:rsid w:val="00E21821"/>
    <w:rsid w:val="00E222E0"/>
    <w:rsid w:val="00E223BF"/>
    <w:rsid w:val="00E225E9"/>
    <w:rsid w:val="00E22DAB"/>
    <w:rsid w:val="00E25650"/>
    <w:rsid w:val="00E2580D"/>
    <w:rsid w:val="00E25915"/>
    <w:rsid w:val="00E25AAA"/>
    <w:rsid w:val="00E25CC5"/>
    <w:rsid w:val="00E26548"/>
    <w:rsid w:val="00E275E1"/>
    <w:rsid w:val="00E27619"/>
    <w:rsid w:val="00E27D91"/>
    <w:rsid w:val="00E27E60"/>
    <w:rsid w:val="00E3006F"/>
    <w:rsid w:val="00E30C40"/>
    <w:rsid w:val="00E31403"/>
    <w:rsid w:val="00E31905"/>
    <w:rsid w:val="00E32304"/>
    <w:rsid w:val="00E328DA"/>
    <w:rsid w:val="00E34354"/>
    <w:rsid w:val="00E35832"/>
    <w:rsid w:val="00E364B3"/>
    <w:rsid w:val="00E36D52"/>
    <w:rsid w:val="00E40945"/>
    <w:rsid w:val="00E41587"/>
    <w:rsid w:val="00E43CAD"/>
    <w:rsid w:val="00E43F7A"/>
    <w:rsid w:val="00E44253"/>
    <w:rsid w:val="00E4574E"/>
    <w:rsid w:val="00E457BC"/>
    <w:rsid w:val="00E45DC2"/>
    <w:rsid w:val="00E46CD8"/>
    <w:rsid w:val="00E471B8"/>
    <w:rsid w:val="00E50015"/>
    <w:rsid w:val="00E5011C"/>
    <w:rsid w:val="00E50273"/>
    <w:rsid w:val="00E502E5"/>
    <w:rsid w:val="00E50BCC"/>
    <w:rsid w:val="00E5253F"/>
    <w:rsid w:val="00E533DA"/>
    <w:rsid w:val="00E53C31"/>
    <w:rsid w:val="00E54B80"/>
    <w:rsid w:val="00E55A1A"/>
    <w:rsid w:val="00E60336"/>
    <w:rsid w:val="00E60347"/>
    <w:rsid w:val="00E615FA"/>
    <w:rsid w:val="00E61666"/>
    <w:rsid w:val="00E61C61"/>
    <w:rsid w:val="00E623C8"/>
    <w:rsid w:val="00E626B9"/>
    <w:rsid w:val="00E62942"/>
    <w:rsid w:val="00E6294B"/>
    <w:rsid w:val="00E63693"/>
    <w:rsid w:val="00E6409D"/>
    <w:rsid w:val="00E648FB"/>
    <w:rsid w:val="00E64F03"/>
    <w:rsid w:val="00E66964"/>
    <w:rsid w:val="00E67A94"/>
    <w:rsid w:val="00E67F2F"/>
    <w:rsid w:val="00E71BEA"/>
    <w:rsid w:val="00E71E84"/>
    <w:rsid w:val="00E7313E"/>
    <w:rsid w:val="00E73222"/>
    <w:rsid w:val="00E73C1A"/>
    <w:rsid w:val="00E74C77"/>
    <w:rsid w:val="00E75388"/>
    <w:rsid w:val="00E75FDE"/>
    <w:rsid w:val="00E762D1"/>
    <w:rsid w:val="00E7795A"/>
    <w:rsid w:val="00E77D3D"/>
    <w:rsid w:val="00E81765"/>
    <w:rsid w:val="00E82418"/>
    <w:rsid w:val="00E82616"/>
    <w:rsid w:val="00E8292E"/>
    <w:rsid w:val="00E84413"/>
    <w:rsid w:val="00E84AA9"/>
    <w:rsid w:val="00E853BF"/>
    <w:rsid w:val="00E86740"/>
    <w:rsid w:val="00E869EA"/>
    <w:rsid w:val="00E90DA9"/>
    <w:rsid w:val="00E91885"/>
    <w:rsid w:val="00E91961"/>
    <w:rsid w:val="00E93E93"/>
    <w:rsid w:val="00E941AD"/>
    <w:rsid w:val="00E94846"/>
    <w:rsid w:val="00E94E3B"/>
    <w:rsid w:val="00E95494"/>
    <w:rsid w:val="00E95CC9"/>
    <w:rsid w:val="00E96070"/>
    <w:rsid w:val="00E973DA"/>
    <w:rsid w:val="00E976FE"/>
    <w:rsid w:val="00EA05F0"/>
    <w:rsid w:val="00EA086D"/>
    <w:rsid w:val="00EA16B7"/>
    <w:rsid w:val="00EA3C89"/>
    <w:rsid w:val="00EA44D7"/>
    <w:rsid w:val="00EA4602"/>
    <w:rsid w:val="00EA4915"/>
    <w:rsid w:val="00EA5768"/>
    <w:rsid w:val="00EA5E17"/>
    <w:rsid w:val="00EA6570"/>
    <w:rsid w:val="00EA673F"/>
    <w:rsid w:val="00EA70F4"/>
    <w:rsid w:val="00EB0231"/>
    <w:rsid w:val="00EB0BA2"/>
    <w:rsid w:val="00EB13C4"/>
    <w:rsid w:val="00EB15BB"/>
    <w:rsid w:val="00EB174F"/>
    <w:rsid w:val="00EB1D0B"/>
    <w:rsid w:val="00EB33A0"/>
    <w:rsid w:val="00EB39B6"/>
    <w:rsid w:val="00EB4054"/>
    <w:rsid w:val="00EB4497"/>
    <w:rsid w:val="00EB5097"/>
    <w:rsid w:val="00EB6A65"/>
    <w:rsid w:val="00EC2D78"/>
    <w:rsid w:val="00EC2E06"/>
    <w:rsid w:val="00EC3E97"/>
    <w:rsid w:val="00EC44F4"/>
    <w:rsid w:val="00EC4FA0"/>
    <w:rsid w:val="00EC5267"/>
    <w:rsid w:val="00EC5A17"/>
    <w:rsid w:val="00EC6B2C"/>
    <w:rsid w:val="00EC6E3A"/>
    <w:rsid w:val="00EC7895"/>
    <w:rsid w:val="00EC7993"/>
    <w:rsid w:val="00EC7DFB"/>
    <w:rsid w:val="00ED1431"/>
    <w:rsid w:val="00ED2D69"/>
    <w:rsid w:val="00ED4113"/>
    <w:rsid w:val="00ED41F3"/>
    <w:rsid w:val="00ED4FEA"/>
    <w:rsid w:val="00ED58FE"/>
    <w:rsid w:val="00ED73B3"/>
    <w:rsid w:val="00EE071D"/>
    <w:rsid w:val="00EE08C3"/>
    <w:rsid w:val="00EE1B5C"/>
    <w:rsid w:val="00EE2453"/>
    <w:rsid w:val="00EE4B5D"/>
    <w:rsid w:val="00EE4C06"/>
    <w:rsid w:val="00EE5E08"/>
    <w:rsid w:val="00EE64E4"/>
    <w:rsid w:val="00EE65D2"/>
    <w:rsid w:val="00EE66FA"/>
    <w:rsid w:val="00EE6C17"/>
    <w:rsid w:val="00EE6E9E"/>
    <w:rsid w:val="00EE7AC4"/>
    <w:rsid w:val="00EF2851"/>
    <w:rsid w:val="00EF416E"/>
    <w:rsid w:val="00EF4621"/>
    <w:rsid w:val="00EF4E03"/>
    <w:rsid w:val="00EF5705"/>
    <w:rsid w:val="00EF57C4"/>
    <w:rsid w:val="00EF6AF6"/>
    <w:rsid w:val="00EF6E23"/>
    <w:rsid w:val="00EF7385"/>
    <w:rsid w:val="00F005F5"/>
    <w:rsid w:val="00F020FA"/>
    <w:rsid w:val="00F0292B"/>
    <w:rsid w:val="00F02982"/>
    <w:rsid w:val="00F02ADF"/>
    <w:rsid w:val="00F03817"/>
    <w:rsid w:val="00F03CD7"/>
    <w:rsid w:val="00F03DD1"/>
    <w:rsid w:val="00F040E1"/>
    <w:rsid w:val="00F04458"/>
    <w:rsid w:val="00F04AD1"/>
    <w:rsid w:val="00F05594"/>
    <w:rsid w:val="00F05D36"/>
    <w:rsid w:val="00F062E5"/>
    <w:rsid w:val="00F065DE"/>
    <w:rsid w:val="00F0744F"/>
    <w:rsid w:val="00F07480"/>
    <w:rsid w:val="00F076D1"/>
    <w:rsid w:val="00F07788"/>
    <w:rsid w:val="00F07E3A"/>
    <w:rsid w:val="00F07FC7"/>
    <w:rsid w:val="00F10F5A"/>
    <w:rsid w:val="00F11BB2"/>
    <w:rsid w:val="00F125FC"/>
    <w:rsid w:val="00F12D6E"/>
    <w:rsid w:val="00F130E8"/>
    <w:rsid w:val="00F13590"/>
    <w:rsid w:val="00F137F2"/>
    <w:rsid w:val="00F144B6"/>
    <w:rsid w:val="00F150D6"/>
    <w:rsid w:val="00F158C1"/>
    <w:rsid w:val="00F15948"/>
    <w:rsid w:val="00F163FB"/>
    <w:rsid w:val="00F176A4"/>
    <w:rsid w:val="00F17722"/>
    <w:rsid w:val="00F219BF"/>
    <w:rsid w:val="00F21E81"/>
    <w:rsid w:val="00F22960"/>
    <w:rsid w:val="00F22C28"/>
    <w:rsid w:val="00F23FF2"/>
    <w:rsid w:val="00F2442F"/>
    <w:rsid w:val="00F26160"/>
    <w:rsid w:val="00F26A53"/>
    <w:rsid w:val="00F272DD"/>
    <w:rsid w:val="00F27405"/>
    <w:rsid w:val="00F30431"/>
    <w:rsid w:val="00F306F0"/>
    <w:rsid w:val="00F31089"/>
    <w:rsid w:val="00F31518"/>
    <w:rsid w:val="00F31BA9"/>
    <w:rsid w:val="00F31F81"/>
    <w:rsid w:val="00F322FE"/>
    <w:rsid w:val="00F3231D"/>
    <w:rsid w:val="00F33152"/>
    <w:rsid w:val="00F331B7"/>
    <w:rsid w:val="00F33CF0"/>
    <w:rsid w:val="00F342A7"/>
    <w:rsid w:val="00F34DCA"/>
    <w:rsid w:val="00F35C84"/>
    <w:rsid w:val="00F370A7"/>
    <w:rsid w:val="00F40748"/>
    <w:rsid w:val="00F40C73"/>
    <w:rsid w:val="00F40C86"/>
    <w:rsid w:val="00F431FA"/>
    <w:rsid w:val="00F43B15"/>
    <w:rsid w:val="00F43D7E"/>
    <w:rsid w:val="00F43E1D"/>
    <w:rsid w:val="00F45AB1"/>
    <w:rsid w:val="00F45D31"/>
    <w:rsid w:val="00F46E95"/>
    <w:rsid w:val="00F4753A"/>
    <w:rsid w:val="00F47B8C"/>
    <w:rsid w:val="00F50321"/>
    <w:rsid w:val="00F50355"/>
    <w:rsid w:val="00F517A6"/>
    <w:rsid w:val="00F51FD8"/>
    <w:rsid w:val="00F55B5F"/>
    <w:rsid w:val="00F55BD0"/>
    <w:rsid w:val="00F55D35"/>
    <w:rsid w:val="00F5624A"/>
    <w:rsid w:val="00F60965"/>
    <w:rsid w:val="00F60EF3"/>
    <w:rsid w:val="00F61467"/>
    <w:rsid w:val="00F614C3"/>
    <w:rsid w:val="00F616F7"/>
    <w:rsid w:val="00F61A7B"/>
    <w:rsid w:val="00F633ED"/>
    <w:rsid w:val="00F64440"/>
    <w:rsid w:val="00F64AB6"/>
    <w:rsid w:val="00F64FE4"/>
    <w:rsid w:val="00F65B22"/>
    <w:rsid w:val="00F65F49"/>
    <w:rsid w:val="00F661CC"/>
    <w:rsid w:val="00F66970"/>
    <w:rsid w:val="00F6721B"/>
    <w:rsid w:val="00F679E1"/>
    <w:rsid w:val="00F70C0F"/>
    <w:rsid w:val="00F71042"/>
    <w:rsid w:val="00F71B83"/>
    <w:rsid w:val="00F7221A"/>
    <w:rsid w:val="00F725F2"/>
    <w:rsid w:val="00F72AAF"/>
    <w:rsid w:val="00F72E5F"/>
    <w:rsid w:val="00F73442"/>
    <w:rsid w:val="00F739AD"/>
    <w:rsid w:val="00F73AD9"/>
    <w:rsid w:val="00F7737E"/>
    <w:rsid w:val="00F80A93"/>
    <w:rsid w:val="00F80E6F"/>
    <w:rsid w:val="00F80FB2"/>
    <w:rsid w:val="00F81778"/>
    <w:rsid w:val="00F81AC1"/>
    <w:rsid w:val="00F81DA7"/>
    <w:rsid w:val="00F81F1A"/>
    <w:rsid w:val="00F8318C"/>
    <w:rsid w:val="00F83688"/>
    <w:rsid w:val="00F84494"/>
    <w:rsid w:val="00F8655E"/>
    <w:rsid w:val="00F87103"/>
    <w:rsid w:val="00F873ED"/>
    <w:rsid w:val="00F90187"/>
    <w:rsid w:val="00F9133D"/>
    <w:rsid w:val="00F92620"/>
    <w:rsid w:val="00F92676"/>
    <w:rsid w:val="00F92F6D"/>
    <w:rsid w:val="00F94111"/>
    <w:rsid w:val="00F9445B"/>
    <w:rsid w:val="00F952D6"/>
    <w:rsid w:val="00F9576F"/>
    <w:rsid w:val="00F95D2C"/>
    <w:rsid w:val="00F96C68"/>
    <w:rsid w:val="00F97986"/>
    <w:rsid w:val="00FA0AC5"/>
    <w:rsid w:val="00FA0CE7"/>
    <w:rsid w:val="00FA1CC7"/>
    <w:rsid w:val="00FA21B1"/>
    <w:rsid w:val="00FA2C29"/>
    <w:rsid w:val="00FA4520"/>
    <w:rsid w:val="00FA4B77"/>
    <w:rsid w:val="00FA4F12"/>
    <w:rsid w:val="00FA55C4"/>
    <w:rsid w:val="00FA5649"/>
    <w:rsid w:val="00FA6D88"/>
    <w:rsid w:val="00FA742F"/>
    <w:rsid w:val="00FA79DD"/>
    <w:rsid w:val="00FB1D43"/>
    <w:rsid w:val="00FB249F"/>
    <w:rsid w:val="00FB269C"/>
    <w:rsid w:val="00FB2B17"/>
    <w:rsid w:val="00FB38E1"/>
    <w:rsid w:val="00FB4EE8"/>
    <w:rsid w:val="00FB4F9D"/>
    <w:rsid w:val="00FB5933"/>
    <w:rsid w:val="00FB6092"/>
    <w:rsid w:val="00FB664F"/>
    <w:rsid w:val="00FB6694"/>
    <w:rsid w:val="00FB67A4"/>
    <w:rsid w:val="00FB6EBC"/>
    <w:rsid w:val="00FB7D44"/>
    <w:rsid w:val="00FC1609"/>
    <w:rsid w:val="00FC1BD5"/>
    <w:rsid w:val="00FC21E4"/>
    <w:rsid w:val="00FC2200"/>
    <w:rsid w:val="00FC3181"/>
    <w:rsid w:val="00FC43BC"/>
    <w:rsid w:val="00FC549C"/>
    <w:rsid w:val="00FC5B00"/>
    <w:rsid w:val="00FD0C40"/>
    <w:rsid w:val="00FD1B1A"/>
    <w:rsid w:val="00FD38C7"/>
    <w:rsid w:val="00FD441B"/>
    <w:rsid w:val="00FD4886"/>
    <w:rsid w:val="00FD6CC9"/>
    <w:rsid w:val="00FD7554"/>
    <w:rsid w:val="00FD7B44"/>
    <w:rsid w:val="00FD7FC7"/>
    <w:rsid w:val="00FE073E"/>
    <w:rsid w:val="00FE0CF6"/>
    <w:rsid w:val="00FE0F31"/>
    <w:rsid w:val="00FE0F83"/>
    <w:rsid w:val="00FE139E"/>
    <w:rsid w:val="00FE1AD7"/>
    <w:rsid w:val="00FE1F42"/>
    <w:rsid w:val="00FE532B"/>
    <w:rsid w:val="00FE618B"/>
    <w:rsid w:val="00FE6700"/>
    <w:rsid w:val="00FE678E"/>
    <w:rsid w:val="00FE6A6D"/>
    <w:rsid w:val="00FE7346"/>
    <w:rsid w:val="00FE7AE3"/>
    <w:rsid w:val="00FF00FD"/>
    <w:rsid w:val="00FF0BDB"/>
    <w:rsid w:val="00FF0C64"/>
    <w:rsid w:val="00FF105A"/>
    <w:rsid w:val="00FF1DBB"/>
    <w:rsid w:val="00FF20CF"/>
    <w:rsid w:val="00FF21CF"/>
    <w:rsid w:val="00FF223D"/>
    <w:rsid w:val="00FF2A7F"/>
    <w:rsid w:val="00FF3185"/>
    <w:rsid w:val="00FF48A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EA396"/>
  <w15:docId w15:val="{301E00AE-B5DD-4F33-878F-A601EF230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link w:val="Ttulo1Car"/>
    <w:qFormat/>
    <w:pPr>
      <w:keepNext/>
      <w:keepLines/>
      <w:spacing w:before="240" w:after="0"/>
      <w:outlineLvl w:val="0"/>
    </w:pPr>
    <w:rPr>
      <w:color w:val="2F5496"/>
      <w:sz w:val="32"/>
      <w:szCs w:val="32"/>
    </w:rPr>
  </w:style>
  <w:style w:type="paragraph" w:styleId="Ttulo2">
    <w:name w:val="heading 2"/>
    <w:basedOn w:val="Normal"/>
    <w:next w:val="Normal"/>
    <w:link w:val="Ttulo2Car"/>
    <w:qFormat/>
    <w:pPr>
      <w:keepNext/>
      <w:keepLines/>
      <w:spacing w:before="40" w:after="0" w:line="240" w:lineRule="auto"/>
      <w:outlineLvl w:val="1"/>
    </w:pPr>
    <w:rPr>
      <w:color w:val="2F5496"/>
      <w:sz w:val="26"/>
      <w:szCs w:val="26"/>
    </w:rPr>
  </w:style>
  <w:style w:type="paragraph" w:styleId="Ttulo3">
    <w:name w:val="heading 3"/>
    <w:basedOn w:val="Normal"/>
    <w:next w:val="Normal"/>
    <w:link w:val="Ttulo3Car"/>
    <w:qFormat/>
    <w:pPr>
      <w:keepNext/>
      <w:keepLines/>
      <w:spacing w:before="40" w:after="0"/>
      <w:outlineLvl w:val="2"/>
    </w:pPr>
    <w:rPr>
      <w:color w:val="1F3863"/>
      <w:sz w:val="24"/>
      <w:szCs w:val="24"/>
    </w:rPr>
  </w:style>
  <w:style w:type="paragraph" w:styleId="Ttulo4">
    <w:name w:val="heading 4"/>
    <w:basedOn w:val="Normal"/>
    <w:next w:val="Normal"/>
    <w:link w:val="Ttulo4Car"/>
    <w:pPr>
      <w:keepNext/>
      <w:keepLines/>
      <w:spacing w:before="240" w:after="40"/>
      <w:outlineLvl w:val="3"/>
    </w:pPr>
    <w:rPr>
      <w:b/>
      <w:sz w:val="24"/>
      <w:szCs w:val="24"/>
    </w:rPr>
  </w:style>
  <w:style w:type="paragraph" w:styleId="Ttulo5">
    <w:name w:val="heading 5"/>
    <w:basedOn w:val="Normal"/>
    <w:next w:val="Normal"/>
    <w:link w:val="Ttulo5Car"/>
    <w:qFormat/>
    <w:pPr>
      <w:keepNext/>
      <w:keepLines/>
      <w:spacing w:before="220" w:after="40"/>
      <w:outlineLvl w:val="4"/>
    </w:pPr>
    <w:rPr>
      <w:b/>
    </w:rPr>
  </w:style>
  <w:style w:type="paragraph" w:styleId="Ttulo6">
    <w:name w:val="heading 6"/>
    <w:basedOn w:val="Normal"/>
    <w:next w:val="Normal"/>
    <w:link w:val="Ttulo6Car"/>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8B61AA"/>
    <w:rPr>
      <w:color w:val="2F5496"/>
      <w:sz w:val="32"/>
      <w:szCs w:val="32"/>
    </w:rPr>
  </w:style>
  <w:style w:type="character" w:customStyle="1" w:styleId="Ttulo2Car">
    <w:name w:val="Título 2 Car"/>
    <w:basedOn w:val="Fuentedeprrafopredeter"/>
    <w:link w:val="Ttulo2"/>
    <w:rsid w:val="008B61AA"/>
    <w:rPr>
      <w:color w:val="2F5496"/>
      <w:sz w:val="26"/>
      <w:szCs w:val="26"/>
    </w:rPr>
  </w:style>
  <w:style w:type="character" w:customStyle="1" w:styleId="Ttulo3Car">
    <w:name w:val="Título 3 Car"/>
    <w:basedOn w:val="Fuentedeprrafopredeter"/>
    <w:link w:val="Ttulo3"/>
    <w:rsid w:val="008B61AA"/>
    <w:rPr>
      <w:color w:val="1F3863"/>
      <w:sz w:val="24"/>
      <w:szCs w:val="24"/>
    </w:rPr>
  </w:style>
  <w:style w:type="character" w:customStyle="1" w:styleId="Ttulo4Car">
    <w:name w:val="Título 4 Car"/>
    <w:basedOn w:val="Fuentedeprrafopredeter"/>
    <w:link w:val="Ttulo4"/>
    <w:rsid w:val="008B61AA"/>
    <w:rPr>
      <w:b/>
      <w:sz w:val="24"/>
      <w:szCs w:val="24"/>
    </w:rPr>
  </w:style>
  <w:style w:type="character" w:customStyle="1" w:styleId="Ttulo5Car">
    <w:name w:val="Título 5 Car"/>
    <w:basedOn w:val="Fuentedeprrafopredeter"/>
    <w:link w:val="Ttulo5"/>
    <w:rsid w:val="008B61AA"/>
    <w:rPr>
      <w:b/>
    </w:rPr>
  </w:style>
  <w:style w:type="character" w:customStyle="1" w:styleId="Ttulo6Car">
    <w:name w:val="Título 6 Car"/>
    <w:basedOn w:val="Fuentedeprrafopredeter"/>
    <w:link w:val="Ttulo6"/>
    <w:rsid w:val="008B61AA"/>
    <w:rPr>
      <w:b/>
      <w:sz w:val="20"/>
      <w:szCs w:val="20"/>
    </w:rPr>
  </w:style>
  <w:style w:type="table" w:customStyle="1" w:styleId="TableNormal">
    <w:name w:val="Table Normal"/>
    <w:uiPriority w:val="2"/>
    <w:qFormat/>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character" w:customStyle="1" w:styleId="TtuloCar">
    <w:name w:val="Título Car"/>
    <w:basedOn w:val="Fuentedeprrafopredeter"/>
    <w:link w:val="Ttulo"/>
    <w:rsid w:val="008B61AA"/>
    <w:rPr>
      <w:b/>
      <w:sz w:val="72"/>
      <w:szCs w:val="72"/>
    </w:rPr>
  </w:style>
  <w:style w:type="paragraph" w:styleId="Subttulo">
    <w:name w:val="Subtitle"/>
    <w:basedOn w:val="Normal"/>
    <w:next w:val="Normal"/>
    <w:link w:val="SubttuloCar"/>
    <w:pPr>
      <w:keepNext/>
      <w:keepLines/>
      <w:spacing w:before="360" w:after="80"/>
    </w:pPr>
    <w:rPr>
      <w:rFonts w:ascii="Georgia" w:eastAsia="Georgia" w:hAnsi="Georgia" w:cs="Georgia"/>
      <w:i/>
      <w:color w:val="666666"/>
      <w:sz w:val="48"/>
      <w:szCs w:val="48"/>
    </w:rPr>
  </w:style>
  <w:style w:type="character" w:customStyle="1" w:styleId="SubttuloCar">
    <w:name w:val="Subtítulo Car"/>
    <w:basedOn w:val="Fuentedeprrafopredeter"/>
    <w:link w:val="Subttulo"/>
    <w:rsid w:val="008B61AA"/>
    <w:rPr>
      <w:rFonts w:ascii="Georgia" w:eastAsia="Georgia" w:hAnsi="Georgia" w:cs="Georgia"/>
      <w:i/>
      <w:color w:val="666666"/>
      <w:sz w:val="48"/>
      <w:szCs w:val="48"/>
    </w:rPr>
  </w:style>
  <w:style w:type="table" w:customStyle="1" w:styleId="207">
    <w:name w:val="207"/>
    <w:basedOn w:val="TableNormal"/>
    <w:tblPr>
      <w:tblStyleRowBandSize w:val="1"/>
      <w:tblStyleColBandSize w:val="1"/>
      <w:tblCellMar>
        <w:left w:w="115" w:type="dxa"/>
        <w:right w:w="115" w:type="dxa"/>
      </w:tblCellMar>
    </w:tblPr>
  </w:style>
  <w:style w:type="table" w:customStyle="1" w:styleId="206">
    <w:name w:val="206"/>
    <w:basedOn w:val="TableNormal"/>
    <w:tblPr>
      <w:tblStyleRowBandSize w:val="1"/>
      <w:tblStyleColBandSize w:val="1"/>
      <w:tblCellMar>
        <w:left w:w="115" w:type="dxa"/>
        <w:right w:w="115" w:type="dxa"/>
      </w:tblCellMar>
    </w:tblPr>
  </w:style>
  <w:style w:type="table" w:customStyle="1" w:styleId="205">
    <w:name w:val="205"/>
    <w:basedOn w:val="TableNormal"/>
    <w:tblPr>
      <w:tblStyleRowBandSize w:val="1"/>
      <w:tblStyleColBandSize w:val="1"/>
      <w:tblCellMar>
        <w:left w:w="70" w:type="dxa"/>
        <w:right w:w="70" w:type="dxa"/>
      </w:tblCellMar>
    </w:tblPr>
  </w:style>
  <w:style w:type="table" w:customStyle="1" w:styleId="204">
    <w:name w:val="204"/>
    <w:basedOn w:val="TableNormal"/>
    <w:tblPr>
      <w:tblStyleRowBandSize w:val="1"/>
      <w:tblStyleColBandSize w:val="1"/>
      <w:tblCellMar>
        <w:left w:w="70" w:type="dxa"/>
        <w:right w:w="70" w:type="dxa"/>
      </w:tblCellMar>
    </w:tblPr>
  </w:style>
  <w:style w:type="table" w:customStyle="1" w:styleId="203">
    <w:name w:val="203"/>
    <w:basedOn w:val="TableNormal"/>
    <w:tblPr>
      <w:tblStyleRowBandSize w:val="1"/>
      <w:tblStyleColBandSize w:val="1"/>
      <w:tblCellMar>
        <w:left w:w="70" w:type="dxa"/>
        <w:right w:w="70" w:type="dxa"/>
      </w:tblCellMar>
    </w:tblPr>
  </w:style>
  <w:style w:type="table" w:customStyle="1" w:styleId="202">
    <w:name w:val="202"/>
    <w:basedOn w:val="TableNormal"/>
    <w:tblPr>
      <w:tblStyleRowBandSize w:val="1"/>
      <w:tblStyleColBandSize w:val="1"/>
      <w:tblCellMar>
        <w:left w:w="70" w:type="dxa"/>
        <w:right w:w="70" w:type="dxa"/>
      </w:tblCellMar>
    </w:tblPr>
  </w:style>
  <w:style w:type="table" w:customStyle="1" w:styleId="201">
    <w:name w:val="201"/>
    <w:basedOn w:val="TableNormal"/>
    <w:tblPr>
      <w:tblStyleRowBandSize w:val="1"/>
      <w:tblStyleColBandSize w:val="1"/>
      <w:tblCellMar>
        <w:left w:w="70" w:type="dxa"/>
        <w:right w:w="70" w:type="dxa"/>
      </w:tblCellMar>
    </w:tblPr>
  </w:style>
  <w:style w:type="table" w:customStyle="1" w:styleId="200">
    <w:name w:val="200"/>
    <w:basedOn w:val="TableNormal"/>
    <w:tblPr>
      <w:tblStyleRowBandSize w:val="1"/>
      <w:tblStyleColBandSize w:val="1"/>
      <w:tblCellMar>
        <w:left w:w="70" w:type="dxa"/>
        <w:right w:w="70" w:type="dxa"/>
      </w:tblCellMar>
    </w:tblPr>
  </w:style>
  <w:style w:type="table" w:customStyle="1" w:styleId="199">
    <w:name w:val="199"/>
    <w:basedOn w:val="TableNormal"/>
    <w:tblPr>
      <w:tblStyleRowBandSize w:val="1"/>
      <w:tblStyleColBandSize w:val="1"/>
      <w:tblCellMar>
        <w:left w:w="70" w:type="dxa"/>
        <w:right w:w="70" w:type="dxa"/>
      </w:tblCellMar>
    </w:tblPr>
  </w:style>
  <w:style w:type="table" w:customStyle="1" w:styleId="198">
    <w:name w:val="198"/>
    <w:basedOn w:val="TableNormal"/>
    <w:tblPr>
      <w:tblStyleRowBandSize w:val="1"/>
      <w:tblStyleColBandSize w:val="1"/>
      <w:tblCellMar>
        <w:left w:w="70" w:type="dxa"/>
        <w:right w:w="70" w:type="dxa"/>
      </w:tblCellMar>
    </w:tblPr>
  </w:style>
  <w:style w:type="table" w:customStyle="1" w:styleId="197">
    <w:name w:val="197"/>
    <w:basedOn w:val="TableNormal"/>
    <w:tblPr>
      <w:tblStyleRowBandSize w:val="1"/>
      <w:tblStyleColBandSize w:val="1"/>
      <w:tblCellMar>
        <w:left w:w="70" w:type="dxa"/>
        <w:right w:w="70" w:type="dxa"/>
      </w:tblCellMar>
    </w:tblPr>
  </w:style>
  <w:style w:type="table" w:customStyle="1" w:styleId="196">
    <w:name w:val="196"/>
    <w:basedOn w:val="TableNormal"/>
    <w:tblPr>
      <w:tblStyleRowBandSize w:val="1"/>
      <w:tblStyleColBandSize w:val="1"/>
      <w:tblCellMar>
        <w:left w:w="70" w:type="dxa"/>
        <w:right w:w="70" w:type="dxa"/>
      </w:tblCellMar>
    </w:tblPr>
  </w:style>
  <w:style w:type="table" w:customStyle="1" w:styleId="195">
    <w:name w:val="195"/>
    <w:basedOn w:val="TableNormal"/>
    <w:tblPr>
      <w:tblStyleRowBandSize w:val="1"/>
      <w:tblStyleColBandSize w:val="1"/>
      <w:tblCellMar>
        <w:left w:w="70" w:type="dxa"/>
        <w:right w:w="70" w:type="dxa"/>
      </w:tblCellMar>
    </w:tblPr>
  </w:style>
  <w:style w:type="table" w:customStyle="1" w:styleId="194">
    <w:name w:val="194"/>
    <w:basedOn w:val="TableNormal"/>
    <w:tblPr>
      <w:tblStyleRowBandSize w:val="1"/>
      <w:tblStyleColBandSize w:val="1"/>
      <w:tblCellMar>
        <w:left w:w="70" w:type="dxa"/>
        <w:right w:w="70" w:type="dxa"/>
      </w:tblCellMar>
    </w:tblPr>
  </w:style>
  <w:style w:type="table" w:customStyle="1" w:styleId="193">
    <w:name w:val="193"/>
    <w:basedOn w:val="TableNormal"/>
    <w:tblPr>
      <w:tblStyleRowBandSize w:val="1"/>
      <w:tblStyleColBandSize w:val="1"/>
      <w:tblCellMar>
        <w:left w:w="70" w:type="dxa"/>
        <w:right w:w="70" w:type="dxa"/>
      </w:tblCellMar>
    </w:tblPr>
  </w:style>
  <w:style w:type="table" w:customStyle="1" w:styleId="192">
    <w:name w:val="192"/>
    <w:basedOn w:val="TableNormal"/>
    <w:tblPr>
      <w:tblStyleRowBandSize w:val="1"/>
      <w:tblStyleColBandSize w:val="1"/>
      <w:tblCellMar>
        <w:left w:w="70" w:type="dxa"/>
        <w:right w:w="70" w:type="dxa"/>
      </w:tblCellMar>
    </w:tblPr>
  </w:style>
  <w:style w:type="table" w:customStyle="1" w:styleId="191">
    <w:name w:val="191"/>
    <w:basedOn w:val="TableNormal"/>
    <w:tblPr>
      <w:tblStyleRowBandSize w:val="1"/>
      <w:tblStyleColBandSize w:val="1"/>
      <w:tblCellMar>
        <w:left w:w="70" w:type="dxa"/>
        <w:right w:w="70" w:type="dxa"/>
      </w:tblCellMar>
    </w:tblPr>
  </w:style>
  <w:style w:type="table" w:customStyle="1" w:styleId="190">
    <w:name w:val="190"/>
    <w:basedOn w:val="TableNormal"/>
    <w:tblPr>
      <w:tblStyleRowBandSize w:val="1"/>
      <w:tblStyleColBandSize w:val="1"/>
      <w:tblCellMar>
        <w:left w:w="70" w:type="dxa"/>
        <w:right w:w="70" w:type="dxa"/>
      </w:tblCellMar>
    </w:tblPr>
  </w:style>
  <w:style w:type="table" w:customStyle="1" w:styleId="189">
    <w:name w:val="189"/>
    <w:basedOn w:val="TableNormal"/>
    <w:tblPr>
      <w:tblStyleRowBandSize w:val="1"/>
      <w:tblStyleColBandSize w:val="1"/>
      <w:tblCellMar>
        <w:left w:w="70" w:type="dxa"/>
        <w:right w:w="70" w:type="dxa"/>
      </w:tblCellMar>
    </w:tblPr>
  </w:style>
  <w:style w:type="table" w:customStyle="1" w:styleId="188">
    <w:name w:val="188"/>
    <w:basedOn w:val="TableNormal"/>
    <w:tblPr>
      <w:tblStyleRowBandSize w:val="1"/>
      <w:tblStyleColBandSize w:val="1"/>
      <w:tblCellMar>
        <w:left w:w="70" w:type="dxa"/>
        <w:right w:w="70" w:type="dxa"/>
      </w:tblCellMar>
    </w:tblPr>
  </w:style>
  <w:style w:type="table" w:customStyle="1" w:styleId="187">
    <w:name w:val="187"/>
    <w:basedOn w:val="TableNormal"/>
    <w:tblPr>
      <w:tblStyleRowBandSize w:val="1"/>
      <w:tblStyleColBandSize w:val="1"/>
    </w:tblPr>
  </w:style>
  <w:style w:type="table" w:customStyle="1" w:styleId="186">
    <w:name w:val="186"/>
    <w:basedOn w:val="TableNormal"/>
    <w:tblPr>
      <w:tblStyleRowBandSize w:val="1"/>
      <w:tblStyleColBandSize w:val="1"/>
      <w:tblCellMar>
        <w:left w:w="70" w:type="dxa"/>
        <w:right w:w="70" w:type="dxa"/>
      </w:tblCellMar>
    </w:tblPr>
  </w:style>
  <w:style w:type="table" w:customStyle="1" w:styleId="185">
    <w:name w:val="185"/>
    <w:basedOn w:val="TableNormal"/>
    <w:tblPr>
      <w:tblStyleRowBandSize w:val="1"/>
      <w:tblStyleColBandSize w:val="1"/>
      <w:tblCellMar>
        <w:left w:w="70" w:type="dxa"/>
        <w:right w:w="70" w:type="dxa"/>
      </w:tblCellMar>
    </w:tblPr>
  </w:style>
  <w:style w:type="table" w:customStyle="1" w:styleId="184">
    <w:name w:val="184"/>
    <w:basedOn w:val="TableNormal"/>
    <w:tblPr>
      <w:tblStyleRowBandSize w:val="1"/>
      <w:tblStyleColBandSize w:val="1"/>
      <w:tblCellMar>
        <w:left w:w="70" w:type="dxa"/>
        <w:right w:w="70" w:type="dxa"/>
      </w:tblCellMar>
    </w:tblPr>
  </w:style>
  <w:style w:type="table" w:customStyle="1" w:styleId="183">
    <w:name w:val="183"/>
    <w:basedOn w:val="TableNormal"/>
    <w:tblPr>
      <w:tblStyleRowBandSize w:val="1"/>
      <w:tblStyleColBandSize w:val="1"/>
      <w:tblCellMar>
        <w:left w:w="70" w:type="dxa"/>
        <w:right w:w="70" w:type="dxa"/>
      </w:tblCellMar>
    </w:tblPr>
  </w:style>
  <w:style w:type="table" w:customStyle="1" w:styleId="182">
    <w:name w:val="182"/>
    <w:basedOn w:val="TableNormal"/>
    <w:tblPr>
      <w:tblStyleRowBandSize w:val="1"/>
      <w:tblStyleColBandSize w:val="1"/>
      <w:tblCellMar>
        <w:left w:w="70" w:type="dxa"/>
        <w:right w:w="70" w:type="dxa"/>
      </w:tblCellMar>
    </w:tblPr>
  </w:style>
  <w:style w:type="table" w:customStyle="1" w:styleId="181">
    <w:name w:val="181"/>
    <w:basedOn w:val="TableNormal"/>
    <w:tblPr>
      <w:tblStyleRowBandSize w:val="1"/>
      <w:tblStyleColBandSize w:val="1"/>
      <w:tblCellMar>
        <w:left w:w="70" w:type="dxa"/>
        <w:right w:w="70" w:type="dxa"/>
      </w:tblCellMar>
    </w:tblPr>
  </w:style>
  <w:style w:type="table" w:customStyle="1" w:styleId="180">
    <w:name w:val="180"/>
    <w:basedOn w:val="TableNormal"/>
    <w:tblPr>
      <w:tblStyleRowBandSize w:val="1"/>
      <w:tblStyleColBandSize w:val="1"/>
      <w:tblCellMar>
        <w:left w:w="70" w:type="dxa"/>
        <w:right w:w="70" w:type="dxa"/>
      </w:tblCellMar>
    </w:tblPr>
  </w:style>
  <w:style w:type="table" w:customStyle="1" w:styleId="179">
    <w:name w:val="179"/>
    <w:basedOn w:val="TableNormal"/>
    <w:tblPr>
      <w:tblStyleRowBandSize w:val="1"/>
      <w:tblStyleColBandSize w:val="1"/>
      <w:tblCellMar>
        <w:left w:w="70" w:type="dxa"/>
        <w:right w:w="70" w:type="dxa"/>
      </w:tblCellMar>
    </w:tblPr>
  </w:style>
  <w:style w:type="table" w:customStyle="1" w:styleId="178">
    <w:name w:val="178"/>
    <w:basedOn w:val="TableNormal"/>
    <w:tblPr>
      <w:tblStyleRowBandSize w:val="1"/>
      <w:tblStyleColBandSize w:val="1"/>
      <w:tblCellMar>
        <w:left w:w="70" w:type="dxa"/>
        <w:right w:w="70" w:type="dxa"/>
      </w:tblCellMar>
    </w:tblPr>
  </w:style>
  <w:style w:type="table" w:customStyle="1" w:styleId="177">
    <w:name w:val="177"/>
    <w:basedOn w:val="TableNormal"/>
    <w:tblPr>
      <w:tblStyleRowBandSize w:val="1"/>
      <w:tblStyleColBandSize w:val="1"/>
      <w:tblCellMar>
        <w:left w:w="70" w:type="dxa"/>
        <w:right w:w="70" w:type="dxa"/>
      </w:tblCellMar>
    </w:tblPr>
  </w:style>
  <w:style w:type="table" w:customStyle="1" w:styleId="176">
    <w:name w:val="176"/>
    <w:basedOn w:val="TableNormal"/>
    <w:tblPr>
      <w:tblStyleRowBandSize w:val="1"/>
      <w:tblStyleColBandSize w:val="1"/>
      <w:tblCellMar>
        <w:left w:w="70" w:type="dxa"/>
        <w:right w:w="70" w:type="dxa"/>
      </w:tblCellMar>
    </w:tblPr>
  </w:style>
  <w:style w:type="table" w:customStyle="1" w:styleId="175">
    <w:name w:val="175"/>
    <w:basedOn w:val="TableNormal"/>
    <w:tblPr>
      <w:tblStyleRowBandSize w:val="1"/>
      <w:tblStyleColBandSize w:val="1"/>
      <w:tblCellMar>
        <w:left w:w="70" w:type="dxa"/>
        <w:right w:w="70" w:type="dxa"/>
      </w:tblCellMar>
    </w:tblPr>
  </w:style>
  <w:style w:type="table" w:customStyle="1" w:styleId="174">
    <w:name w:val="174"/>
    <w:basedOn w:val="TableNormal"/>
    <w:tblPr>
      <w:tblStyleRowBandSize w:val="1"/>
      <w:tblStyleColBandSize w:val="1"/>
      <w:tblCellMar>
        <w:left w:w="70" w:type="dxa"/>
        <w:right w:w="70" w:type="dxa"/>
      </w:tblCellMar>
    </w:tblPr>
  </w:style>
  <w:style w:type="table" w:customStyle="1" w:styleId="173">
    <w:name w:val="173"/>
    <w:basedOn w:val="TableNormal"/>
    <w:tblPr>
      <w:tblStyleRowBandSize w:val="1"/>
      <w:tblStyleColBandSize w:val="1"/>
      <w:tblCellMar>
        <w:left w:w="70" w:type="dxa"/>
        <w:right w:w="70" w:type="dxa"/>
      </w:tblCellMar>
    </w:tblPr>
  </w:style>
  <w:style w:type="table" w:customStyle="1" w:styleId="172">
    <w:name w:val="172"/>
    <w:basedOn w:val="TableNormal"/>
    <w:tblPr>
      <w:tblStyleRowBandSize w:val="1"/>
      <w:tblStyleColBandSize w:val="1"/>
      <w:tblCellMar>
        <w:left w:w="70" w:type="dxa"/>
        <w:right w:w="70" w:type="dxa"/>
      </w:tblCellMar>
    </w:tblPr>
  </w:style>
  <w:style w:type="table" w:customStyle="1" w:styleId="171">
    <w:name w:val="171"/>
    <w:basedOn w:val="TableNormal"/>
    <w:tblPr>
      <w:tblStyleRowBandSize w:val="1"/>
      <w:tblStyleColBandSize w:val="1"/>
      <w:tblCellMar>
        <w:left w:w="70" w:type="dxa"/>
        <w:right w:w="70" w:type="dxa"/>
      </w:tblCellMar>
    </w:tblPr>
  </w:style>
  <w:style w:type="table" w:customStyle="1" w:styleId="170">
    <w:name w:val="170"/>
    <w:basedOn w:val="TableNormal"/>
    <w:tblPr>
      <w:tblStyleRowBandSize w:val="1"/>
      <w:tblStyleColBandSize w:val="1"/>
      <w:tblCellMar>
        <w:left w:w="70" w:type="dxa"/>
        <w:right w:w="70" w:type="dxa"/>
      </w:tblCellMar>
    </w:tblPr>
  </w:style>
  <w:style w:type="table" w:customStyle="1" w:styleId="169">
    <w:name w:val="169"/>
    <w:basedOn w:val="TableNormal"/>
    <w:tblPr>
      <w:tblStyleRowBandSize w:val="1"/>
      <w:tblStyleColBandSize w:val="1"/>
      <w:tblCellMar>
        <w:left w:w="70" w:type="dxa"/>
        <w:right w:w="70" w:type="dxa"/>
      </w:tblCellMar>
    </w:tblPr>
  </w:style>
  <w:style w:type="table" w:customStyle="1" w:styleId="168">
    <w:name w:val="168"/>
    <w:basedOn w:val="TableNormal"/>
    <w:tblPr>
      <w:tblStyleRowBandSize w:val="1"/>
      <w:tblStyleColBandSize w:val="1"/>
      <w:tblCellMar>
        <w:left w:w="70" w:type="dxa"/>
        <w:right w:w="70" w:type="dxa"/>
      </w:tblCellMar>
    </w:tblPr>
  </w:style>
  <w:style w:type="table" w:customStyle="1" w:styleId="167">
    <w:name w:val="167"/>
    <w:basedOn w:val="TableNormal"/>
    <w:tblPr>
      <w:tblStyleRowBandSize w:val="1"/>
      <w:tblStyleColBandSize w:val="1"/>
      <w:tblCellMar>
        <w:left w:w="70" w:type="dxa"/>
        <w:right w:w="70" w:type="dxa"/>
      </w:tblCellMar>
    </w:tblPr>
  </w:style>
  <w:style w:type="table" w:customStyle="1" w:styleId="166">
    <w:name w:val="166"/>
    <w:basedOn w:val="TableNormal"/>
    <w:tblPr>
      <w:tblStyleRowBandSize w:val="1"/>
      <w:tblStyleColBandSize w:val="1"/>
      <w:tblCellMar>
        <w:left w:w="70" w:type="dxa"/>
        <w:right w:w="70" w:type="dxa"/>
      </w:tblCellMar>
    </w:tblPr>
  </w:style>
  <w:style w:type="table" w:customStyle="1" w:styleId="165">
    <w:name w:val="165"/>
    <w:basedOn w:val="TableNormal"/>
    <w:tblPr>
      <w:tblStyleRowBandSize w:val="1"/>
      <w:tblStyleColBandSize w:val="1"/>
      <w:tblCellMar>
        <w:left w:w="70" w:type="dxa"/>
        <w:right w:w="70" w:type="dxa"/>
      </w:tblCellMar>
    </w:tblPr>
  </w:style>
  <w:style w:type="table" w:customStyle="1" w:styleId="164">
    <w:name w:val="164"/>
    <w:basedOn w:val="TableNormal"/>
    <w:tblPr>
      <w:tblStyleRowBandSize w:val="1"/>
      <w:tblStyleColBandSize w:val="1"/>
      <w:tblCellMar>
        <w:left w:w="70" w:type="dxa"/>
        <w:right w:w="70" w:type="dxa"/>
      </w:tblCellMar>
    </w:tblPr>
  </w:style>
  <w:style w:type="table" w:customStyle="1" w:styleId="163">
    <w:name w:val="163"/>
    <w:basedOn w:val="TableNormal"/>
    <w:tblPr>
      <w:tblStyleRowBandSize w:val="1"/>
      <w:tblStyleColBandSize w:val="1"/>
      <w:tblCellMar>
        <w:left w:w="70" w:type="dxa"/>
        <w:right w:w="70" w:type="dxa"/>
      </w:tblCellMar>
    </w:tblPr>
  </w:style>
  <w:style w:type="table" w:customStyle="1" w:styleId="162">
    <w:name w:val="162"/>
    <w:basedOn w:val="TableNormal"/>
    <w:tblPr>
      <w:tblStyleRowBandSize w:val="1"/>
      <w:tblStyleColBandSize w:val="1"/>
      <w:tblCellMar>
        <w:left w:w="70" w:type="dxa"/>
        <w:right w:w="70" w:type="dxa"/>
      </w:tblCellMar>
    </w:tblPr>
  </w:style>
  <w:style w:type="table" w:customStyle="1" w:styleId="161">
    <w:name w:val="161"/>
    <w:basedOn w:val="TableNormal"/>
    <w:tblPr>
      <w:tblStyleRowBandSize w:val="1"/>
      <w:tblStyleColBandSize w:val="1"/>
      <w:tblCellMar>
        <w:left w:w="70" w:type="dxa"/>
        <w:right w:w="70" w:type="dxa"/>
      </w:tblCellMar>
    </w:tblPr>
  </w:style>
  <w:style w:type="table" w:customStyle="1" w:styleId="160">
    <w:name w:val="160"/>
    <w:basedOn w:val="TableNormal"/>
    <w:tblPr>
      <w:tblStyleRowBandSize w:val="1"/>
      <w:tblStyleColBandSize w:val="1"/>
      <w:tblCellMar>
        <w:left w:w="70" w:type="dxa"/>
        <w:right w:w="70" w:type="dxa"/>
      </w:tblCellMar>
    </w:tblPr>
  </w:style>
  <w:style w:type="table" w:customStyle="1" w:styleId="159">
    <w:name w:val="159"/>
    <w:basedOn w:val="TableNormal"/>
    <w:tblPr>
      <w:tblStyleRowBandSize w:val="1"/>
      <w:tblStyleColBandSize w:val="1"/>
      <w:tblCellMar>
        <w:left w:w="70" w:type="dxa"/>
        <w:right w:w="70" w:type="dxa"/>
      </w:tblCellMar>
    </w:tblPr>
  </w:style>
  <w:style w:type="table" w:customStyle="1" w:styleId="158">
    <w:name w:val="158"/>
    <w:basedOn w:val="TableNormal"/>
    <w:tblPr>
      <w:tblStyleRowBandSize w:val="1"/>
      <w:tblStyleColBandSize w:val="1"/>
      <w:tblCellMar>
        <w:left w:w="70" w:type="dxa"/>
        <w:right w:w="70" w:type="dxa"/>
      </w:tblCellMar>
    </w:tblPr>
  </w:style>
  <w:style w:type="table" w:customStyle="1" w:styleId="157">
    <w:name w:val="157"/>
    <w:basedOn w:val="TableNormal"/>
    <w:tblPr>
      <w:tblStyleRowBandSize w:val="1"/>
      <w:tblStyleColBandSize w:val="1"/>
      <w:tblCellMar>
        <w:left w:w="70" w:type="dxa"/>
        <w:right w:w="70" w:type="dxa"/>
      </w:tblCellMar>
    </w:tblPr>
  </w:style>
  <w:style w:type="table" w:customStyle="1" w:styleId="156">
    <w:name w:val="156"/>
    <w:basedOn w:val="TableNormal"/>
    <w:tblPr>
      <w:tblStyleRowBandSize w:val="1"/>
      <w:tblStyleColBandSize w:val="1"/>
      <w:tblCellMar>
        <w:left w:w="70" w:type="dxa"/>
        <w:right w:w="70" w:type="dxa"/>
      </w:tblCellMar>
    </w:tblPr>
  </w:style>
  <w:style w:type="table" w:customStyle="1" w:styleId="155">
    <w:name w:val="155"/>
    <w:basedOn w:val="TableNormal"/>
    <w:tblPr>
      <w:tblStyleRowBandSize w:val="1"/>
      <w:tblStyleColBandSize w:val="1"/>
      <w:tblCellMar>
        <w:left w:w="70" w:type="dxa"/>
        <w:right w:w="70" w:type="dxa"/>
      </w:tblCellMar>
    </w:tblPr>
  </w:style>
  <w:style w:type="table" w:customStyle="1" w:styleId="154">
    <w:name w:val="154"/>
    <w:basedOn w:val="TableNormal"/>
    <w:tblPr>
      <w:tblStyleRowBandSize w:val="1"/>
      <w:tblStyleColBandSize w:val="1"/>
      <w:tblCellMar>
        <w:left w:w="70" w:type="dxa"/>
        <w:right w:w="70" w:type="dxa"/>
      </w:tblCellMar>
    </w:tblPr>
  </w:style>
  <w:style w:type="table" w:customStyle="1" w:styleId="153">
    <w:name w:val="153"/>
    <w:basedOn w:val="TableNormal"/>
    <w:tblPr>
      <w:tblStyleRowBandSize w:val="1"/>
      <w:tblStyleColBandSize w:val="1"/>
      <w:tblCellMar>
        <w:left w:w="70" w:type="dxa"/>
        <w:right w:w="70" w:type="dxa"/>
      </w:tblCellMar>
    </w:tblPr>
  </w:style>
  <w:style w:type="table" w:customStyle="1" w:styleId="152">
    <w:name w:val="152"/>
    <w:basedOn w:val="TableNormal"/>
    <w:tblPr>
      <w:tblStyleRowBandSize w:val="1"/>
      <w:tblStyleColBandSize w:val="1"/>
      <w:tblCellMar>
        <w:left w:w="70" w:type="dxa"/>
        <w:right w:w="70" w:type="dxa"/>
      </w:tblCellMar>
    </w:tblPr>
  </w:style>
  <w:style w:type="table" w:customStyle="1" w:styleId="151">
    <w:name w:val="151"/>
    <w:basedOn w:val="TableNormal"/>
    <w:tblPr>
      <w:tblStyleRowBandSize w:val="1"/>
      <w:tblStyleColBandSize w:val="1"/>
      <w:tblCellMar>
        <w:left w:w="70" w:type="dxa"/>
        <w:right w:w="70" w:type="dxa"/>
      </w:tblCellMar>
    </w:tblPr>
  </w:style>
  <w:style w:type="table" w:customStyle="1" w:styleId="150">
    <w:name w:val="150"/>
    <w:basedOn w:val="TableNormal"/>
    <w:tblPr>
      <w:tblStyleRowBandSize w:val="1"/>
      <w:tblStyleColBandSize w:val="1"/>
      <w:tblCellMar>
        <w:left w:w="70" w:type="dxa"/>
        <w:right w:w="70" w:type="dxa"/>
      </w:tblCellMar>
    </w:tblPr>
  </w:style>
  <w:style w:type="table" w:customStyle="1" w:styleId="149">
    <w:name w:val="149"/>
    <w:basedOn w:val="TableNormal"/>
    <w:tblPr>
      <w:tblStyleRowBandSize w:val="1"/>
      <w:tblStyleColBandSize w:val="1"/>
      <w:tblCellMar>
        <w:left w:w="70" w:type="dxa"/>
        <w:right w:w="70" w:type="dxa"/>
      </w:tblCellMar>
    </w:tblPr>
  </w:style>
  <w:style w:type="table" w:customStyle="1" w:styleId="148">
    <w:name w:val="148"/>
    <w:basedOn w:val="TableNormal"/>
    <w:tblPr>
      <w:tblStyleRowBandSize w:val="1"/>
      <w:tblStyleColBandSize w:val="1"/>
      <w:tblCellMar>
        <w:left w:w="70" w:type="dxa"/>
        <w:right w:w="70" w:type="dxa"/>
      </w:tblCellMar>
    </w:tblPr>
  </w:style>
  <w:style w:type="table" w:customStyle="1" w:styleId="147">
    <w:name w:val="147"/>
    <w:basedOn w:val="TableNormal"/>
    <w:tblPr>
      <w:tblStyleRowBandSize w:val="1"/>
      <w:tblStyleColBandSize w:val="1"/>
      <w:tblCellMar>
        <w:left w:w="70" w:type="dxa"/>
        <w:right w:w="70" w:type="dxa"/>
      </w:tblCellMar>
    </w:tblPr>
  </w:style>
  <w:style w:type="table" w:customStyle="1" w:styleId="146">
    <w:name w:val="146"/>
    <w:basedOn w:val="TableNormal"/>
    <w:tblPr>
      <w:tblStyleRowBandSize w:val="1"/>
      <w:tblStyleColBandSize w:val="1"/>
      <w:tblCellMar>
        <w:left w:w="70" w:type="dxa"/>
        <w:right w:w="70" w:type="dxa"/>
      </w:tblCellMar>
    </w:tblPr>
  </w:style>
  <w:style w:type="table" w:customStyle="1" w:styleId="145">
    <w:name w:val="145"/>
    <w:basedOn w:val="TableNormal"/>
    <w:tblPr>
      <w:tblStyleRowBandSize w:val="1"/>
      <w:tblStyleColBandSize w:val="1"/>
      <w:tblCellMar>
        <w:left w:w="70" w:type="dxa"/>
        <w:right w:w="70" w:type="dxa"/>
      </w:tblCellMar>
    </w:tblPr>
  </w:style>
  <w:style w:type="table" w:customStyle="1" w:styleId="144">
    <w:name w:val="144"/>
    <w:basedOn w:val="TableNormal"/>
    <w:tblPr>
      <w:tblStyleRowBandSize w:val="1"/>
      <w:tblStyleColBandSize w:val="1"/>
      <w:tblCellMar>
        <w:left w:w="70" w:type="dxa"/>
        <w:right w:w="70" w:type="dxa"/>
      </w:tblCellMar>
    </w:tblPr>
  </w:style>
  <w:style w:type="table" w:customStyle="1" w:styleId="143">
    <w:name w:val="143"/>
    <w:basedOn w:val="TableNormal"/>
    <w:tblPr>
      <w:tblStyleRowBandSize w:val="1"/>
      <w:tblStyleColBandSize w:val="1"/>
      <w:tblCellMar>
        <w:left w:w="70" w:type="dxa"/>
        <w:right w:w="70" w:type="dxa"/>
      </w:tblCellMar>
    </w:tblPr>
  </w:style>
  <w:style w:type="table" w:customStyle="1" w:styleId="142">
    <w:name w:val="142"/>
    <w:basedOn w:val="TableNormal"/>
    <w:tblPr>
      <w:tblStyleRowBandSize w:val="1"/>
      <w:tblStyleColBandSize w:val="1"/>
      <w:tblCellMar>
        <w:left w:w="70" w:type="dxa"/>
        <w:right w:w="70" w:type="dxa"/>
      </w:tblCellMar>
    </w:tblPr>
  </w:style>
  <w:style w:type="table" w:customStyle="1" w:styleId="141">
    <w:name w:val="141"/>
    <w:basedOn w:val="TableNormal"/>
    <w:tblPr>
      <w:tblStyleRowBandSize w:val="1"/>
      <w:tblStyleColBandSize w:val="1"/>
      <w:tblCellMar>
        <w:left w:w="70" w:type="dxa"/>
        <w:right w:w="70" w:type="dxa"/>
      </w:tblCellMar>
    </w:tblPr>
  </w:style>
  <w:style w:type="table" w:customStyle="1" w:styleId="140">
    <w:name w:val="140"/>
    <w:basedOn w:val="TableNormal"/>
    <w:tblPr>
      <w:tblStyleRowBandSize w:val="1"/>
      <w:tblStyleColBandSize w:val="1"/>
      <w:tblCellMar>
        <w:left w:w="70" w:type="dxa"/>
        <w:right w:w="70" w:type="dxa"/>
      </w:tblCellMar>
    </w:tblPr>
  </w:style>
  <w:style w:type="table" w:customStyle="1" w:styleId="139">
    <w:name w:val="139"/>
    <w:basedOn w:val="TableNormal"/>
    <w:tblPr>
      <w:tblStyleRowBandSize w:val="1"/>
      <w:tblStyleColBandSize w:val="1"/>
      <w:tblCellMar>
        <w:left w:w="70" w:type="dxa"/>
        <w:right w:w="70" w:type="dxa"/>
      </w:tblCellMar>
    </w:tblPr>
  </w:style>
  <w:style w:type="table" w:customStyle="1" w:styleId="138">
    <w:name w:val="138"/>
    <w:basedOn w:val="TableNormal"/>
    <w:tblPr>
      <w:tblStyleRowBandSize w:val="1"/>
      <w:tblStyleColBandSize w:val="1"/>
      <w:tblCellMar>
        <w:left w:w="70" w:type="dxa"/>
        <w:right w:w="70" w:type="dxa"/>
      </w:tblCellMar>
    </w:tblPr>
  </w:style>
  <w:style w:type="table" w:customStyle="1" w:styleId="137">
    <w:name w:val="137"/>
    <w:basedOn w:val="TableNormal"/>
    <w:tblPr>
      <w:tblStyleRowBandSize w:val="1"/>
      <w:tblStyleColBandSize w:val="1"/>
      <w:tblCellMar>
        <w:left w:w="70" w:type="dxa"/>
        <w:right w:w="70" w:type="dxa"/>
      </w:tblCellMar>
    </w:tblPr>
  </w:style>
  <w:style w:type="table" w:customStyle="1" w:styleId="136">
    <w:name w:val="136"/>
    <w:basedOn w:val="TableNormal"/>
    <w:tblPr>
      <w:tblStyleRowBandSize w:val="1"/>
      <w:tblStyleColBandSize w:val="1"/>
      <w:tblCellMar>
        <w:left w:w="70" w:type="dxa"/>
        <w:right w:w="70" w:type="dxa"/>
      </w:tblCellMar>
    </w:tblPr>
  </w:style>
  <w:style w:type="table" w:customStyle="1" w:styleId="135">
    <w:name w:val="135"/>
    <w:basedOn w:val="TableNormal"/>
    <w:tblPr>
      <w:tblStyleRowBandSize w:val="1"/>
      <w:tblStyleColBandSize w:val="1"/>
      <w:tblCellMar>
        <w:left w:w="70" w:type="dxa"/>
        <w:right w:w="70" w:type="dxa"/>
      </w:tblCellMar>
    </w:tblPr>
  </w:style>
  <w:style w:type="table" w:customStyle="1" w:styleId="134">
    <w:name w:val="134"/>
    <w:basedOn w:val="TableNormal"/>
    <w:tblPr>
      <w:tblStyleRowBandSize w:val="1"/>
      <w:tblStyleColBandSize w:val="1"/>
      <w:tblCellMar>
        <w:left w:w="70" w:type="dxa"/>
        <w:right w:w="70" w:type="dxa"/>
      </w:tblCellMar>
    </w:tblPr>
  </w:style>
  <w:style w:type="table" w:customStyle="1" w:styleId="133">
    <w:name w:val="133"/>
    <w:basedOn w:val="TableNormal"/>
    <w:tblPr>
      <w:tblStyleRowBandSize w:val="1"/>
      <w:tblStyleColBandSize w:val="1"/>
      <w:tblCellMar>
        <w:left w:w="70" w:type="dxa"/>
        <w:right w:w="70" w:type="dxa"/>
      </w:tblCellMar>
    </w:tblPr>
  </w:style>
  <w:style w:type="table" w:customStyle="1" w:styleId="132">
    <w:name w:val="132"/>
    <w:basedOn w:val="TableNormal"/>
    <w:tblPr>
      <w:tblStyleRowBandSize w:val="1"/>
      <w:tblStyleColBandSize w:val="1"/>
      <w:tblCellMar>
        <w:left w:w="70" w:type="dxa"/>
        <w:right w:w="70" w:type="dxa"/>
      </w:tblCellMar>
    </w:tblPr>
  </w:style>
  <w:style w:type="table" w:customStyle="1" w:styleId="131">
    <w:name w:val="131"/>
    <w:basedOn w:val="TableNormal"/>
    <w:tblPr>
      <w:tblStyleRowBandSize w:val="1"/>
      <w:tblStyleColBandSize w:val="1"/>
      <w:tblCellMar>
        <w:left w:w="70" w:type="dxa"/>
        <w:right w:w="70" w:type="dxa"/>
      </w:tblCellMar>
    </w:tblPr>
  </w:style>
  <w:style w:type="table" w:customStyle="1" w:styleId="130">
    <w:name w:val="130"/>
    <w:basedOn w:val="TableNormal"/>
    <w:tblPr>
      <w:tblStyleRowBandSize w:val="1"/>
      <w:tblStyleColBandSize w:val="1"/>
      <w:tblCellMar>
        <w:left w:w="70" w:type="dxa"/>
        <w:right w:w="70" w:type="dxa"/>
      </w:tblCellMar>
    </w:tblPr>
  </w:style>
  <w:style w:type="table" w:customStyle="1" w:styleId="129">
    <w:name w:val="129"/>
    <w:basedOn w:val="TableNormal"/>
    <w:tblPr>
      <w:tblStyleRowBandSize w:val="1"/>
      <w:tblStyleColBandSize w:val="1"/>
      <w:tblCellMar>
        <w:left w:w="70" w:type="dxa"/>
        <w:right w:w="70" w:type="dxa"/>
      </w:tblCellMar>
    </w:tblPr>
  </w:style>
  <w:style w:type="table" w:customStyle="1" w:styleId="128">
    <w:name w:val="128"/>
    <w:basedOn w:val="TableNormal"/>
    <w:tblPr>
      <w:tblStyleRowBandSize w:val="1"/>
      <w:tblStyleColBandSize w:val="1"/>
      <w:tblCellMar>
        <w:left w:w="70" w:type="dxa"/>
        <w:right w:w="70" w:type="dxa"/>
      </w:tblCellMar>
    </w:tblPr>
  </w:style>
  <w:style w:type="table" w:customStyle="1" w:styleId="127">
    <w:name w:val="127"/>
    <w:basedOn w:val="TableNormal"/>
    <w:tblPr>
      <w:tblStyleRowBandSize w:val="1"/>
      <w:tblStyleColBandSize w:val="1"/>
      <w:tblCellMar>
        <w:left w:w="70" w:type="dxa"/>
        <w:right w:w="70" w:type="dxa"/>
      </w:tblCellMar>
    </w:tblPr>
  </w:style>
  <w:style w:type="table" w:customStyle="1" w:styleId="126">
    <w:name w:val="126"/>
    <w:basedOn w:val="TableNormal"/>
    <w:tblPr>
      <w:tblStyleRowBandSize w:val="1"/>
      <w:tblStyleColBandSize w:val="1"/>
      <w:tblCellMar>
        <w:left w:w="70" w:type="dxa"/>
        <w:right w:w="70" w:type="dxa"/>
      </w:tblCellMar>
    </w:tblPr>
  </w:style>
  <w:style w:type="table" w:customStyle="1" w:styleId="125">
    <w:name w:val="125"/>
    <w:basedOn w:val="TableNormal"/>
    <w:tblPr>
      <w:tblStyleRowBandSize w:val="1"/>
      <w:tblStyleColBandSize w:val="1"/>
      <w:tblCellMar>
        <w:left w:w="70" w:type="dxa"/>
        <w:right w:w="70" w:type="dxa"/>
      </w:tblCellMar>
    </w:tblPr>
  </w:style>
  <w:style w:type="table" w:customStyle="1" w:styleId="124">
    <w:name w:val="124"/>
    <w:basedOn w:val="TableNormal"/>
    <w:tblPr>
      <w:tblStyleRowBandSize w:val="1"/>
      <w:tblStyleColBandSize w:val="1"/>
      <w:tblCellMar>
        <w:left w:w="70" w:type="dxa"/>
        <w:right w:w="70" w:type="dxa"/>
      </w:tblCellMar>
    </w:tblPr>
  </w:style>
  <w:style w:type="table" w:customStyle="1" w:styleId="123">
    <w:name w:val="123"/>
    <w:basedOn w:val="TableNormal"/>
    <w:tblPr>
      <w:tblStyleRowBandSize w:val="1"/>
      <w:tblStyleColBandSize w:val="1"/>
      <w:tblCellMar>
        <w:left w:w="70" w:type="dxa"/>
        <w:right w:w="70" w:type="dxa"/>
      </w:tblCellMar>
    </w:tblPr>
  </w:style>
  <w:style w:type="table" w:customStyle="1" w:styleId="122">
    <w:name w:val="122"/>
    <w:basedOn w:val="TableNormal"/>
    <w:tblPr>
      <w:tblStyleRowBandSize w:val="1"/>
      <w:tblStyleColBandSize w:val="1"/>
      <w:tblCellMar>
        <w:left w:w="70" w:type="dxa"/>
        <w:right w:w="70" w:type="dxa"/>
      </w:tblCellMar>
    </w:tblPr>
  </w:style>
  <w:style w:type="table" w:customStyle="1" w:styleId="121">
    <w:name w:val="121"/>
    <w:basedOn w:val="TableNormal"/>
    <w:tblPr>
      <w:tblStyleRowBandSize w:val="1"/>
      <w:tblStyleColBandSize w:val="1"/>
      <w:tblCellMar>
        <w:left w:w="70" w:type="dxa"/>
        <w:right w:w="70" w:type="dxa"/>
      </w:tblCellMar>
    </w:tblPr>
  </w:style>
  <w:style w:type="table" w:customStyle="1" w:styleId="120">
    <w:name w:val="120"/>
    <w:basedOn w:val="TableNormal"/>
    <w:tblPr>
      <w:tblStyleRowBandSize w:val="1"/>
      <w:tblStyleColBandSize w:val="1"/>
      <w:tblCellMar>
        <w:left w:w="70" w:type="dxa"/>
        <w:right w:w="70" w:type="dxa"/>
      </w:tblCellMar>
    </w:tblPr>
  </w:style>
  <w:style w:type="table" w:customStyle="1" w:styleId="119">
    <w:name w:val="119"/>
    <w:basedOn w:val="TableNormal"/>
    <w:tblPr>
      <w:tblStyleRowBandSize w:val="1"/>
      <w:tblStyleColBandSize w:val="1"/>
      <w:tblCellMar>
        <w:left w:w="70" w:type="dxa"/>
        <w:right w:w="70" w:type="dxa"/>
      </w:tblCellMar>
    </w:tblPr>
  </w:style>
  <w:style w:type="table" w:customStyle="1" w:styleId="118">
    <w:name w:val="118"/>
    <w:basedOn w:val="TableNormal"/>
    <w:tblPr>
      <w:tblStyleRowBandSize w:val="1"/>
      <w:tblStyleColBandSize w:val="1"/>
      <w:tblCellMar>
        <w:left w:w="70" w:type="dxa"/>
        <w:right w:w="70" w:type="dxa"/>
      </w:tblCellMar>
    </w:tblPr>
  </w:style>
  <w:style w:type="table" w:customStyle="1" w:styleId="117">
    <w:name w:val="117"/>
    <w:basedOn w:val="TableNormal"/>
    <w:tblPr>
      <w:tblStyleRowBandSize w:val="1"/>
      <w:tblStyleColBandSize w:val="1"/>
      <w:tblCellMar>
        <w:left w:w="70" w:type="dxa"/>
        <w:right w:w="70" w:type="dxa"/>
      </w:tblCellMar>
    </w:tblPr>
  </w:style>
  <w:style w:type="table" w:customStyle="1" w:styleId="116">
    <w:name w:val="116"/>
    <w:basedOn w:val="TableNormal"/>
    <w:tblPr>
      <w:tblStyleRowBandSize w:val="1"/>
      <w:tblStyleColBandSize w:val="1"/>
      <w:tblCellMar>
        <w:left w:w="70" w:type="dxa"/>
        <w:right w:w="70" w:type="dxa"/>
      </w:tblCellMar>
    </w:tblPr>
  </w:style>
  <w:style w:type="table" w:customStyle="1" w:styleId="115">
    <w:name w:val="115"/>
    <w:basedOn w:val="TableNormal"/>
    <w:tblPr>
      <w:tblStyleRowBandSize w:val="1"/>
      <w:tblStyleColBandSize w:val="1"/>
      <w:tblCellMar>
        <w:left w:w="70" w:type="dxa"/>
        <w:right w:w="70" w:type="dxa"/>
      </w:tblCellMar>
    </w:tblPr>
  </w:style>
  <w:style w:type="table" w:customStyle="1" w:styleId="114">
    <w:name w:val="114"/>
    <w:basedOn w:val="TableNormal"/>
    <w:tblPr>
      <w:tblStyleRowBandSize w:val="1"/>
      <w:tblStyleColBandSize w:val="1"/>
      <w:tblCellMar>
        <w:left w:w="70" w:type="dxa"/>
        <w:right w:w="70" w:type="dxa"/>
      </w:tblCellMar>
    </w:tblPr>
  </w:style>
  <w:style w:type="table" w:customStyle="1" w:styleId="113">
    <w:name w:val="113"/>
    <w:basedOn w:val="TableNormal"/>
    <w:tblPr>
      <w:tblStyleRowBandSize w:val="1"/>
      <w:tblStyleColBandSize w:val="1"/>
      <w:tblCellMar>
        <w:left w:w="70" w:type="dxa"/>
        <w:right w:w="70" w:type="dxa"/>
      </w:tblCellMar>
    </w:tblPr>
  </w:style>
  <w:style w:type="table" w:customStyle="1" w:styleId="112">
    <w:name w:val="112"/>
    <w:basedOn w:val="TableNormal"/>
    <w:tblPr>
      <w:tblStyleRowBandSize w:val="1"/>
      <w:tblStyleColBandSize w:val="1"/>
      <w:tblCellMar>
        <w:left w:w="70" w:type="dxa"/>
        <w:right w:w="70" w:type="dxa"/>
      </w:tblCellMar>
    </w:tblPr>
  </w:style>
  <w:style w:type="table" w:customStyle="1" w:styleId="111">
    <w:name w:val="111"/>
    <w:basedOn w:val="TableNormal"/>
    <w:tblPr>
      <w:tblStyleRowBandSize w:val="1"/>
      <w:tblStyleColBandSize w:val="1"/>
      <w:tblCellMar>
        <w:left w:w="70" w:type="dxa"/>
        <w:right w:w="70" w:type="dxa"/>
      </w:tblCellMar>
    </w:tblPr>
  </w:style>
  <w:style w:type="table" w:customStyle="1" w:styleId="110">
    <w:name w:val="110"/>
    <w:basedOn w:val="TableNormal"/>
    <w:tblPr>
      <w:tblStyleRowBandSize w:val="1"/>
      <w:tblStyleColBandSize w:val="1"/>
      <w:tblCellMar>
        <w:left w:w="70" w:type="dxa"/>
        <w:right w:w="70" w:type="dxa"/>
      </w:tblCellMar>
    </w:tblPr>
  </w:style>
  <w:style w:type="table" w:customStyle="1" w:styleId="109">
    <w:name w:val="109"/>
    <w:basedOn w:val="TableNormal"/>
    <w:tblPr>
      <w:tblStyleRowBandSize w:val="1"/>
      <w:tblStyleColBandSize w:val="1"/>
      <w:tblCellMar>
        <w:left w:w="70" w:type="dxa"/>
        <w:right w:w="70" w:type="dxa"/>
      </w:tblCellMar>
    </w:tblPr>
  </w:style>
  <w:style w:type="table" w:customStyle="1" w:styleId="108">
    <w:name w:val="108"/>
    <w:basedOn w:val="TableNormal"/>
    <w:tblPr>
      <w:tblStyleRowBandSize w:val="1"/>
      <w:tblStyleColBandSize w:val="1"/>
      <w:tblCellMar>
        <w:left w:w="70" w:type="dxa"/>
        <w:right w:w="70" w:type="dxa"/>
      </w:tblCellMar>
    </w:tblPr>
  </w:style>
  <w:style w:type="table" w:customStyle="1" w:styleId="107">
    <w:name w:val="107"/>
    <w:basedOn w:val="TableNormal"/>
    <w:tblPr>
      <w:tblStyleRowBandSize w:val="1"/>
      <w:tblStyleColBandSize w:val="1"/>
      <w:tblCellMar>
        <w:left w:w="70" w:type="dxa"/>
        <w:right w:w="70" w:type="dxa"/>
      </w:tblCellMar>
    </w:tblPr>
  </w:style>
  <w:style w:type="table" w:customStyle="1" w:styleId="106">
    <w:name w:val="106"/>
    <w:basedOn w:val="TableNormal"/>
    <w:tblPr>
      <w:tblStyleRowBandSize w:val="1"/>
      <w:tblStyleColBandSize w:val="1"/>
      <w:tblCellMar>
        <w:left w:w="70" w:type="dxa"/>
        <w:right w:w="70" w:type="dxa"/>
      </w:tblCellMar>
    </w:tblPr>
  </w:style>
  <w:style w:type="table" w:customStyle="1" w:styleId="105">
    <w:name w:val="105"/>
    <w:basedOn w:val="TableNormal"/>
    <w:tblPr>
      <w:tblStyleRowBandSize w:val="1"/>
      <w:tblStyleColBandSize w:val="1"/>
      <w:tblCellMar>
        <w:left w:w="70" w:type="dxa"/>
        <w:right w:w="70" w:type="dxa"/>
      </w:tblCellMar>
    </w:tblPr>
  </w:style>
  <w:style w:type="table" w:customStyle="1" w:styleId="104">
    <w:name w:val="104"/>
    <w:basedOn w:val="TableNormal"/>
    <w:tblPr>
      <w:tblStyleRowBandSize w:val="1"/>
      <w:tblStyleColBandSize w:val="1"/>
      <w:tblCellMar>
        <w:left w:w="70" w:type="dxa"/>
        <w:right w:w="70" w:type="dxa"/>
      </w:tblCellMar>
    </w:tblPr>
  </w:style>
  <w:style w:type="table" w:customStyle="1" w:styleId="103">
    <w:name w:val="103"/>
    <w:basedOn w:val="TableNormal"/>
    <w:tblPr>
      <w:tblStyleRowBandSize w:val="1"/>
      <w:tblStyleColBandSize w:val="1"/>
      <w:tblCellMar>
        <w:left w:w="70" w:type="dxa"/>
        <w:right w:w="70" w:type="dxa"/>
      </w:tblCellMar>
    </w:tblPr>
  </w:style>
  <w:style w:type="table" w:customStyle="1" w:styleId="102">
    <w:name w:val="102"/>
    <w:basedOn w:val="TableNormal"/>
    <w:tblPr>
      <w:tblStyleRowBandSize w:val="1"/>
      <w:tblStyleColBandSize w:val="1"/>
      <w:tblCellMar>
        <w:left w:w="70" w:type="dxa"/>
        <w:right w:w="70" w:type="dxa"/>
      </w:tblCellMar>
    </w:tblPr>
  </w:style>
  <w:style w:type="table" w:customStyle="1" w:styleId="101">
    <w:name w:val="101"/>
    <w:basedOn w:val="TableNormal"/>
    <w:tblPr>
      <w:tblStyleRowBandSize w:val="1"/>
      <w:tblStyleColBandSize w:val="1"/>
      <w:tblCellMar>
        <w:left w:w="70" w:type="dxa"/>
        <w:right w:w="70" w:type="dxa"/>
      </w:tblCellMar>
    </w:tblPr>
  </w:style>
  <w:style w:type="table" w:customStyle="1" w:styleId="100">
    <w:name w:val="100"/>
    <w:basedOn w:val="TableNormal"/>
    <w:tblPr>
      <w:tblStyleRowBandSize w:val="1"/>
      <w:tblStyleColBandSize w:val="1"/>
      <w:tblCellMar>
        <w:left w:w="70" w:type="dxa"/>
        <w:right w:w="70" w:type="dxa"/>
      </w:tblCellMar>
    </w:tblPr>
  </w:style>
  <w:style w:type="table" w:customStyle="1" w:styleId="99">
    <w:name w:val="99"/>
    <w:basedOn w:val="TableNormal"/>
    <w:tblPr>
      <w:tblStyleRowBandSize w:val="1"/>
      <w:tblStyleColBandSize w:val="1"/>
      <w:tblCellMar>
        <w:left w:w="70" w:type="dxa"/>
        <w:right w:w="70" w:type="dxa"/>
      </w:tblCellMar>
    </w:tblPr>
  </w:style>
  <w:style w:type="table" w:customStyle="1" w:styleId="98">
    <w:name w:val="98"/>
    <w:basedOn w:val="TableNormal"/>
    <w:tblPr>
      <w:tblStyleRowBandSize w:val="1"/>
      <w:tblStyleColBandSize w:val="1"/>
      <w:tblCellMar>
        <w:left w:w="70" w:type="dxa"/>
        <w:right w:w="70" w:type="dxa"/>
      </w:tblCellMar>
    </w:tblPr>
  </w:style>
  <w:style w:type="table" w:customStyle="1" w:styleId="97">
    <w:name w:val="97"/>
    <w:basedOn w:val="TableNormal"/>
    <w:tblPr>
      <w:tblStyleRowBandSize w:val="1"/>
      <w:tblStyleColBandSize w:val="1"/>
      <w:tblCellMar>
        <w:left w:w="70" w:type="dxa"/>
        <w:right w:w="70" w:type="dxa"/>
      </w:tblCellMar>
    </w:tblPr>
  </w:style>
  <w:style w:type="table" w:customStyle="1" w:styleId="96">
    <w:name w:val="96"/>
    <w:basedOn w:val="TableNormal"/>
    <w:tblPr>
      <w:tblStyleRowBandSize w:val="1"/>
      <w:tblStyleColBandSize w:val="1"/>
      <w:tblCellMar>
        <w:left w:w="70" w:type="dxa"/>
        <w:right w:w="70" w:type="dxa"/>
      </w:tblCellMar>
    </w:tblPr>
  </w:style>
  <w:style w:type="table" w:customStyle="1" w:styleId="95">
    <w:name w:val="95"/>
    <w:basedOn w:val="TableNormal"/>
    <w:tblPr>
      <w:tblStyleRowBandSize w:val="1"/>
      <w:tblStyleColBandSize w:val="1"/>
      <w:tblCellMar>
        <w:left w:w="70" w:type="dxa"/>
        <w:right w:w="70" w:type="dxa"/>
      </w:tblCellMar>
    </w:tblPr>
  </w:style>
  <w:style w:type="table" w:customStyle="1" w:styleId="94">
    <w:name w:val="94"/>
    <w:basedOn w:val="TableNormal"/>
    <w:tblPr>
      <w:tblStyleRowBandSize w:val="1"/>
      <w:tblStyleColBandSize w:val="1"/>
      <w:tblCellMar>
        <w:left w:w="70" w:type="dxa"/>
        <w:right w:w="70" w:type="dxa"/>
      </w:tblCellMar>
    </w:tblPr>
  </w:style>
  <w:style w:type="table" w:customStyle="1" w:styleId="93">
    <w:name w:val="93"/>
    <w:basedOn w:val="TableNormal"/>
    <w:tblPr>
      <w:tblStyleRowBandSize w:val="1"/>
      <w:tblStyleColBandSize w:val="1"/>
      <w:tblCellMar>
        <w:left w:w="70" w:type="dxa"/>
        <w:right w:w="70" w:type="dxa"/>
      </w:tblCellMar>
    </w:tblPr>
  </w:style>
  <w:style w:type="table" w:customStyle="1" w:styleId="92">
    <w:name w:val="92"/>
    <w:basedOn w:val="TableNormal"/>
    <w:tblPr>
      <w:tblStyleRowBandSize w:val="1"/>
      <w:tblStyleColBandSize w:val="1"/>
      <w:tblCellMar>
        <w:left w:w="70" w:type="dxa"/>
        <w:right w:w="70" w:type="dxa"/>
      </w:tblCellMar>
    </w:tblPr>
  </w:style>
  <w:style w:type="table" w:customStyle="1" w:styleId="91">
    <w:name w:val="91"/>
    <w:basedOn w:val="TableNormal"/>
    <w:tblPr>
      <w:tblStyleRowBandSize w:val="1"/>
      <w:tblStyleColBandSize w:val="1"/>
      <w:tblCellMar>
        <w:left w:w="70" w:type="dxa"/>
        <w:right w:w="70" w:type="dxa"/>
      </w:tblCellMar>
    </w:tblPr>
  </w:style>
  <w:style w:type="table" w:customStyle="1" w:styleId="90">
    <w:name w:val="90"/>
    <w:basedOn w:val="TableNormal"/>
    <w:tblPr>
      <w:tblStyleRowBandSize w:val="1"/>
      <w:tblStyleColBandSize w:val="1"/>
      <w:tblCellMar>
        <w:left w:w="70" w:type="dxa"/>
        <w:right w:w="70" w:type="dxa"/>
      </w:tblCellMar>
    </w:tblPr>
  </w:style>
  <w:style w:type="table" w:customStyle="1" w:styleId="89">
    <w:name w:val="89"/>
    <w:basedOn w:val="TableNormal"/>
    <w:tblPr>
      <w:tblStyleRowBandSize w:val="1"/>
      <w:tblStyleColBandSize w:val="1"/>
      <w:tblCellMar>
        <w:left w:w="70" w:type="dxa"/>
        <w:right w:w="70" w:type="dxa"/>
      </w:tblCellMar>
    </w:tblPr>
  </w:style>
  <w:style w:type="table" w:customStyle="1" w:styleId="88">
    <w:name w:val="88"/>
    <w:basedOn w:val="TableNormal"/>
    <w:tblPr>
      <w:tblStyleRowBandSize w:val="1"/>
      <w:tblStyleColBandSize w:val="1"/>
      <w:tblCellMar>
        <w:left w:w="70" w:type="dxa"/>
        <w:right w:w="70" w:type="dxa"/>
      </w:tblCellMar>
    </w:tblPr>
  </w:style>
  <w:style w:type="table" w:customStyle="1" w:styleId="87">
    <w:name w:val="87"/>
    <w:basedOn w:val="TableNormal"/>
    <w:tblPr>
      <w:tblStyleRowBandSize w:val="1"/>
      <w:tblStyleColBandSize w:val="1"/>
      <w:tblCellMar>
        <w:left w:w="70" w:type="dxa"/>
        <w:right w:w="70" w:type="dxa"/>
      </w:tblCellMar>
    </w:tblPr>
  </w:style>
  <w:style w:type="table" w:customStyle="1" w:styleId="86">
    <w:name w:val="86"/>
    <w:basedOn w:val="TableNormal"/>
    <w:tblPr>
      <w:tblStyleRowBandSize w:val="1"/>
      <w:tblStyleColBandSize w:val="1"/>
      <w:tblCellMar>
        <w:left w:w="70" w:type="dxa"/>
        <w:right w:w="70" w:type="dxa"/>
      </w:tblCellMar>
    </w:tblPr>
  </w:style>
  <w:style w:type="table" w:customStyle="1" w:styleId="85">
    <w:name w:val="85"/>
    <w:basedOn w:val="TableNormal"/>
    <w:tblPr>
      <w:tblStyleRowBandSize w:val="1"/>
      <w:tblStyleColBandSize w:val="1"/>
      <w:tblCellMar>
        <w:left w:w="70" w:type="dxa"/>
        <w:right w:w="70" w:type="dxa"/>
      </w:tblCellMar>
    </w:tblPr>
  </w:style>
  <w:style w:type="table" w:customStyle="1" w:styleId="84">
    <w:name w:val="84"/>
    <w:basedOn w:val="TableNormal"/>
    <w:tblPr>
      <w:tblStyleRowBandSize w:val="1"/>
      <w:tblStyleColBandSize w:val="1"/>
      <w:tblCellMar>
        <w:left w:w="70" w:type="dxa"/>
        <w:right w:w="70" w:type="dxa"/>
      </w:tblCellMar>
    </w:tblPr>
  </w:style>
  <w:style w:type="table" w:customStyle="1" w:styleId="83">
    <w:name w:val="83"/>
    <w:basedOn w:val="TableNormal"/>
    <w:tblPr>
      <w:tblStyleRowBandSize w:val="1"/>
      <w:tblStyleColBandSize w:val="1"/>
    </w:tblPr>
  </w:style>
  <w:style w:type="table" w:customStyle="1" w:styleId="82">
    <w:name w:val="82"/>
    <w:basedOn w:val="TableNormal"/>
    <w:tblPr>
      <w:tblStyleRowBandSize w:val="1"/>
      <w:tblStyleColBandSize w:val="1"/>
      <w:tblCellMar>
        <w:left w:w="70" w:type="dxa"/>
        <w:right w:w="70" w:type="dxa"/>
      </w:tblCellMar>
    </w:tblPr>
  </w:style>
  <w:style w:type="table" w:customStyle="1" w:styleId="81">
    <w:name w:val="81"/>
    <w:basedOn w:val="TableNormal"/>
    <w:tblPr>
      <w:tblStyleRowBandSize w:val="1"/>
      <w:tblStyleColBandSize w:val="1"/>
      <w:tblCellMar>
        <w:left w:w="70" w:type="dxa"/>
        <w:right w:w="70" w:type="dxa"/>
      </w:tblCellMar>
    </w:tblPr>
  </w:style>
  <w:style w:type="table" w:customStyle="1" w:styleId="80">
    <w:name w:val="80"/>
    <w:basedOn w:val="TableNormal"/>
    <w:tblPr>
      <w:tblStyleRowBandSize w:val="1"/>
      <w:tblStyleColBandSize w:val="1"/>
      <w:tblCellMar>
        <w:left w:w="70" w:type="dxa"/>
        <w:right w:w="70" w:type="dxa"/>
      </w:tblCellMar>
    </w:tblPr>
  </w:style>
  <w:style w:type="table" w:customStyle="1" w:styleId="79">
    <w:name w:val="79"/>
    <w:basedOn w:val="TableNormal"/>
    <w:tblPr>
      <w:tblStyleRowBandSize w:val="1"/>
      <w:tblStyleColBandSize w:val="1"/>
      <w:tblCellMar>
        <w:left w:w="70" w:type="dxa"/>
        <w:right w:w="70" w:type="dxa"/>
      </w:tblCellMar>
    </w:tblPr>
  </w:style>
  <w:style w:type="table" w:customStyle="1" w:styleId="78">
    <w:name w:val="78"/>
    <w:basedOn w:val="TableNormal"/>
    <w:tblPr>
      <w:tblStyleRowBandSize w:val="1"/>
      <w:tblStyleColBandSize w:val="1"/>
      <w:tblCellMar>
        <w:left w:w="70" w:type="dxa"/>
        <w:right w:w="70" w:type="dxa"/>
      </w:tblCellMar>
    </w:tblPr>
  </w:style>
  <w:style w:type="table" w:customStyle="1" w:styleId="77">
    <w:name w:val="77"/>
    <w:basedOn w:val="TableNormal"/>
    <w:tblPr>
      <w:tblStyleRowBandSize w:val="1"/>
      <w:tblStyleColBandSize w:val="1"/>
      <w:tblCellMar>
        <w:left w:w="70" w:type="dxa"/>
        <w:right w:w="70" w:type="dxa"/>
      </w:tblCellMar>
    </w:tblPr>
  </w:style>
  <w:style w:type="table" w:customStyle="1" w:styleId="76">
    <w:name w:val="76"/>
    <w:basedOn w:val="TableNormal"/>
    <w:tblPr>
      <w:tblStyleRowBandSize w:val="1"/>
      <w:tblStyleColBandSize w:val="1"/>
      <w:tblCellMar>
        <w:left w:w="70" w:type="dxa"/>
        <w:right w:w="70" w:type="dxa"/>
      </w:tblCellMar>
    </w:tblPr>
  </w:style>
  <w:style w:type="table" w:customStyle="1" w:styleId="75">
    <w:name w:val="75"/>
    <w:basedOn w:val="TableNormal"/>
    <w:tblPr>
      <w:tblStyleRowBandSize w:val="1"/>
      <w:tblStyleColBandSize w:val="1"/>
      <w:tblCellMar>
        <w:left w:w="70" w:type="dxa"/>
        <w:right w:w="70" w:type="dxa"/>
      </w:tblCellMar>
    </w:tblPr>
  </w:style>
  <w:style w:type="table" w:customStyle="1" w:styleId="74">
    <w:name w:val="74"/>
    <w:basedOn w:val="TableNormal"/>
    <w:tblPr>
      <w:tblStyleRowBandSize w:val="1"/>
      <w:tblStyleColBandSize w:val="1"/>
      <w:tblCellMar>
        <w:left w:w="70" w:type="dxa"/>
        <w:right w:w="70" w:type="dxa"/>
      </w:tblCellMar>
    </w:tblPr>
  </w:style>
  <w:style w:type="table" w:customStyle="1" w:styleId="73">
    <w:name w:val="73"/>
    <w:basedOn w:val="TableNormal"/>
    <w:tblPr>
      <w:tblStyleRowBandSize w:val="1"/>
      <w:tblStyleColBandSize w:val="1"/>
      <w:tblCellMar>
        <w:left w:w="70" w:type="dxa"/>
        <w:right w:w="70" w:type="dxa"/>
      </w:tblCellMar>
    </w:tblPr>
  </w:style>
  <w:style w:type="table" w:customStyle="1" w:styleId="72">
    <w:name w:val="72"/>
    <w:basedOn w:val="TableNormal"/>
    <w:tblPr>
      <w:tblStyleRowBandSize w:val="1"/>
      <w:tblStyleColBandSize w:val="1"/>
      <w:tblCellMar>
        <w:left w:w="70" w:type="dxa"/>
        <w:right w:w="70" w:type="dxa"/>
      </w:tblCellMar>
    </w:tblPr>
  </w:style>
  <w:style w:type="table" w:customStyle="1" w:styleId="71">
    <w:name w:val="71"/>
    <w:basedOn w:val="TableNormal"/>
    <w:tblPr>
      <w:tblStyleRowBandSize w:val="1"/>
      <w:tblStyleColBandSize w:val="1"/>
      <w:tblCellMar>
        <w:left w:w="70" w:type="dxa"/>
        <w:right w:w="70" w:type="dxa"/>
      </w:tblCellMar>
    </w:tblPr>
  </w:style>
  <w:style w:type="table" w:customStyle="1" w:styleId="70">
    <w:name w:val="70"/>
    <w:basedOn w:val="TableNormal"/>
    <w:tblPr>
      <w:tblStyleRowBandSize w:val="1"/>
      <w:tblStyleColBandSize w:val="1"/>
      <w:tblCellMar>
        <w:left w:w="70" w:type="dxa"/>
        <w:right w:w="70" w:type="dxa"/>
      </w:tblCellMar>
    </w:tblPr>
  </w:style>
  <w:style w:type="table" w:customStyle="1" w:styleId="69">
    <w:name w:val="69"/>
    <w:basedOn w:val="TableNormal"/>
    <w:tblPr>
      <w:tblStyleRowBandSize w:val="1"/>
      <w:tblStyleColBandSize w:val="1"/>
      <w:tblCellMar>
        <w:left w:w="70" w:type="dxa"/>
        <w:right w:w="70" w:type="dxa"/>
      </w:tblCellMar>
    </w:tblPr>
  </w:style>
  <w:style w:type="table" w:customStyle="1" w:styleId="68">
    <w:name w:val="68"/>
    <w:basedOn w:val="TableNormal"/>
    <w:tblPr>
      <w:tblStyleRowBandSize w:val="1"/>
      <w:tblStyleColBandSize w:val="1"/>
      <w:tblCellMar>
        <w:left w:w="70" w:type="dxa"/>
        <w:right w:w="70" w:type="dxa"/>
      </w:tblCellMar>
    </w:tblPr>
  </w:style>
  <w:style w:type="table" w:customStyle="1" w:styleId="67">
    <w:name w:val="67"/>
    <w:basedOn w:val="TableNormal"/>
    <w:tblPr>
      <w:tblStyleRowBandSize w:val="1"/>
      <w:tblStyleColBandSize w:val="1"/>
      <w:tblCellMar>
        <w:left w:w="70" w:type="dxa"/>
        <w:right w:w="70" w:type="dxa"/>
      </w:tblCellMar>
    </w:tblPr>
  </w:style>
  <w:style w:type="table" w:customStyle="1" w:styleId="66">
    <w:name w:val="66"/>
    <w:basedOn w:val="TableNormal"/>
    <w:tblPr>
      <w:tblStyleRowBandSize w:val="1"/>
      <w:tblStyleColBandSize w:val="1"/>
      <w:tblCellMar>
        <w:left w:w="70" w:type="dxa"/>
        <w:right w:w="70" w:type="dxa"/>
      </w:tblCellMar>
    </w:tblPr>
  </w:style>
  <w:style w:type="table" w:customStyle="1" w:styleId="65">
    <w:name w:val="65"/>
    <w:basedOn w:val="TableNormal"/>
    <w:tblPr>
      <w:tblStyleRowBandSize w:val="1"/>
      <w:tblStyleColBandSize w:val="1"/>
      <w:tblCellMar>
        <w:left w:w="70" w:type="dxa"/>
        <w:right w:w="70" w:type="dxa"/>
      </w:tblCellMar>
    </w:tblPr>
  </w:style>
  <w:style w:type="table" w:customStyle="1" w:styleId="64">
    <w:name w:val="64"/>
    <w:basedOn w:val="TableNormal"/>
    <w:tblPr>
      <w:tblStyleRowBandSize w:val="1"/>
      <w:tblStyleColBandSize w:val="1"/>
      <w:tblCellMar>
        <w:left w:w="70" w:type="dxa"/>
        <w:right w:w="70" w:type="dxa"/>
      </w:tblCellMar>
    </w:tblPr>
  </w:style>
  <w:style w:type="table" w:customStyle="1" w:styleId="63">
    <w:name w:val="63"/>
    <w:basedOn w:val="TableNormal"/>
    <w:tblPr>
      <w:tblStyleRowBandSize w:val="1"/>
      <w:tblStyleColBandSize w:val="1"/>
      <w:tblCellMar>
        <w:left w:w="70" w:type="dxa"/>
        <w:right w:w="70" w:type="dxa"/>
      </w:tblCellMar>
    </w:tblPr>
  </w:style>
  <w:style w:type="table" w:customStyle="1" w:styleId="62">
    <w:name w:val="62"/>
    <w:basedOn w:val="TableNormal"/>
    <w:tblPr>
      <w:tblStyleRowBandSize w:val="1"/>
      <w:tblStyleColBandSize w:val="1"/>
      <w:tblCellMar>
        <w:left w:w="70" w:type="dxa"/>
        <w:right w:w="70" w:type="dxa"/>
      </w:tblCellMar>
    </w:tblPr>
  </w:style>
  <w:style w:type="table" w:customStyle="1" w:styleId="61">
    <w:name w:val="61"/>
    <w:basedOn w:val="TableNormal"/>
    <w:tblPr>
      <w:tblStyleRowBandSize w:val="1"/>
      <w:tblStyleColBandSize w:val="1"/>
      <w:tblCellMar>
        <w:left w:w="70" w:type="dxa"/>
        <w:right w:w="70" w:type="dxa"/>
      </w:tblCellMar>
    </w:tblPr>
  </w:style>
  <w:style w:type="table" w:customStyle="1" w:styleId="60">
    <w:name w:val="60"/>
    <w:basedOn w:val="TableNormal"/>
    <w:tblPr>
      <w:tblStyleRowBandSize w:val="1"/>
      <w:tblStyleColBandSize w:val="1"/>
      <w:tblCellMar>
        <w:left w:w="70" w:type="dxa"/>
        <w:right w:w="70" w:type="dxa"/>
      </w:tblCellMar>
    </w:tblPr>
  </w:style>
  <w:style w:type="table" w:customStyle="1" w:styleId="59">
    <w:name w:val="59"/>
    <w:basedOn w:val="TableNormal"/>
    <w:tblPr>
      <w:tblStyleRowBandSize w:val="1"/>
      <w:tblStyleColBandSize w:val="1"/>
      <w:tblCellMar>
        <w:left w:w="70" w:type="dxa"/>
        <w:right w:w="70" w:type="dxa"/>
      </w:tblCellMar>
    </w:tblPr>
  </w:style>
  <w:style w:type="table" w:customStyle="1" w:styleId="58">
    <w:name w:val="58"/>
    <w:basedOn w:val="TableNormal"/>
    <w:tblPr>
      <w:tblStyleRowBandSize w:val="1"/>
      <w:tblStyleColBandSize w:val="1"/>
      <w:tblCellMar>
        <w:left w:w="70" w:type="dxa"/>
        <w:right w:w="70" w:type="dxa"/>
      </w:tblCellMar>
    </w:tblPr>
  </w:style>
  <w:style w:type="table" w:customStyle="1" w:styleId="57">
    <w:name w:val="57"/>
    <w:basedOn w:val="TableNormal"/>
    <w:tblPr>
      <w:tblStyleRowBandSize w:val="1"/>
      <w:tblStyleColBandSize w:val="1"/>
      <w:tblCellMar>
        <w:left w:w="70" w:type="dxa"/>
        <w:right w:w="70" w:type="dxa"/>
      </w:tblCellMar>
    </w:tblPr>
  </w:style>
  <w:style w:type="table" w:customStyle="1" w:styleId="56">
    <w:name w:val="56"/>
    <w:basedOn w:val="TableNormal"/>
    <w:tblPr>
      <w:tblStyleRowBandSize w:val="1"/>
      <w:tblStyleColBandSize w:val="1"/>
      <w:tblCellMar>
        <w:left w:w="70" w:type="dxa"/>
        <w:right w:w="70" w:type="dxa"/>
      </w:tblCellMar>
    </w:tblPr>
  </w:style>
  <w:style w:type="table" w:customStyle="1" w:styleId="55">
    <w:name w:val="55"/>
    <w:basedOn w:val="TableNormal"/>
    <w:tblPr>
      <w:tblStyleRowBandSize w:val="1"/>
      <w:tblStyleColBandSize w:val="1"/>
      <w:tblCellMar>
        <w:left w:w="70" w:type="dxa"/>
        <w:right w:w="70" w:type="dxa"/>
      </w:tblCellMar>
    </w:tblPr>
  </w:style>
  <w:style w:type="table" w:customStyle="1" w:styleId="54">
    <w:name w:val="54"/>
    <w:basedOn w:val="TableNormal"/>
    <w:tblPr>
      <w:tblStyleRowBandSize w:val="1"/>
      <w:tblStyleColBandSize w:val="1"/>
      <w:tblCellMar>
        <w:left w:w="70" w:type="dxa"/>
        <w:right w:w="70" w:type="dxa"/>
      </w:tblCellMar>
    </w:tblPr>
  </w:style>
  <w:style w:type="table" w:customStyle="1" w:styleId="53">
    <w:name w:val="53"/>
    <w:basedOn w:val="TableNormal"/>
    <w:tblPr>
      <w:tblStyleRowBandSize w:val="1"/>
      <w:tblStyleColBandSize w:val="1"/>
      <w:tblCellMar>
        <w:left w:w="70" w:type="dxa"/>
        <w:right w:w="70" w:type="dxa"/>
      </w:tblCellMar>
    </w:tblPr>
  </w:style>
  <w:style w:type="table" w:customStyle="1" w:styleId="52">
    <w:name w:val="52"/>
    <w:basedOn w:val="TableNormal"/>
    <w:tblPr>
      <w:tblStyleRowBandSize w:val="1"/>
      <w:tblStyleColBandSize w:val="1"/>
      <w:tblCellMar>
        <w:left w:w="70" w:type="dxa"/>
        <w:right w:w="70" w:type="dxa"/>
      </w:tblCellMar>
    </w:tblPr>
  </w:style>
  <w:style w:type="table" w:customStyle="1" w:styleId="51">
    <w:name w:val="51"/>
    <w:basedOn w:val="TableNormal"/>
    <w:tblPr>
      <w:tblStyleRowBandSize w:val="1"/>
      <w:tblStyleColBandSize w:val="1"/>
      <w:tblCellMar>
        <w:left w:w="70" w:type="dxa"/>
        <w:right w:w="70" w:type="dxa"/>
      </w:tblCellMar>
    </w:tblPr>
  </w:style>
  <w:style w:type="table" w:customStyle="1" w:styleId="50">
    <w:name w:val="50"/>
    <w:basedOn w:val="TableNormal"/>
    <w:tblPr>
      <w:tblStyleRowBandSize w:val="1"/>
      <w:tblStyleColBandSize w:val="1"/>
      <w:tblCellMar>
        <w:left w:w="70" w:type="dxa"/>
        <w:right w:w="70" w:type="dxa"/>
      </w:tblCellMar>
    </w:tblPr>
  </w:style>
  <w:style w:type="table" w:customStyle="1" w:styleId="49">
    <w:name w:val="49"/>
    <w:basedOn w:val="TableNormal"/>
    <w:tblPr>
      <w:tblStyleRowBandSize w:val="1"/>
      <w:tblStyleColBandSize w:val="1"/>
      <w:tblCellMar>
        <w:left w:w="70" w:type="dxa"/>
        <w:right w:w="70" w:type="dxa"/>
      </w:tblCellMar>
    </w:tblPr>
  </w:style>
  <w:style w:type="table" w:customStyle="1" w:styleId="48">
    <w:name w:val="48"/>
    <w:basedOn w:val="TableNormal"/>
    <w:tblPr>
      <w:tblStyleRowBandSize w:val="1"/>
      <w:tblStyleColBandSize w:val="1"/>
      <w:tblCellMar>
        <w:left w:w="70" w:type="dxa"/>
        <w:right w:w="70" w:type="dxa"/>
      </w:tblCellMar>
    </w:tblPr>
  </w:style>
  <w:style w:type="table" w:customStyle="1" w:styleId="47">
    <w:name w:val="47"/>
    <w:basedOn w:val="TableNormal"/>
    <w:tblPr>
      <w:tblStyleRowBandSize w:val="1"/>
      <w:tblStyleColBandSize w:val="1"/>
      <w:tblCellMar>
        <w:left w:w="70" w:type="dxa"/>
        <w:right w:w="70" w:type="dxa"/>
      </w:tblCellMar>
    </w:tblPr>
  </w:style>
  <w:style w:type="table" w:customStyle="1" w:styleId="46">
    <w:name w:val="46"/>
    <w:basedOn w:val="TableNormal"/>
    <w:tblPr>
      <w:tblStyleRowBandSize w:val="1"/>
      <w:tblStyleColBandSize w:val="1"/>
      <w:tblCellMar>
        <w:left w:w="70" w:type="dxa"/>
        <w:right w:w="70" w:type="dxa"/>
      </w:tblCellMar>
    </w:tblPr>
  </w:style>
  <w:style w:type="table" w:customStyle="1" w:styleId="45">
    <w:name w:val="45"/>
    <w:basedOn w:val="TableNormal"/>
    <w:tblPr>
      <w:tblStyleRowBandSize w:val="1"/>
      <w:tblStyleColBandSize w:val="1"/>
      <w:tblCellMar>
        <w:left w:w="70" w:type="dxa"/>
        <w:right w:w="70" w:type="dxa"/>
      </w:tblCellMar>
    </w:tblPr>
  </w:style>
  <w:style w:type="table" w:customStyle="1" w:styleId="44">
    <w:name w:val="44"/>
    <w:basedOn w:val="TableNormal"/>
    <w:tblPr>
      <w:tblStyleRowBandSize w:val="1"/>
      <w:tblStyleColBandSize w:val="1"/>
      <w:tblCellMar>
        <w:left w:w="70" w:type="dxa"/>
        <w:right w:w="70" w:type="dxa"/>
      </w:tblCellMar>
    </w:tblPr>
  </w:style>
  <w:style w:type="table" w:customStyle="1" w:styleId="43">
    <w:name w:val="43"/>
    <w:basedOn w:val="TableNormal"/>
    <w:tblPr>
      <w:tblStyleRowBandSize w:val="1"/>
      <w:tblStyleColBandSize w:val="1"/>
      <w:tblCellMar>
        <w:left w:w="70" w:type="dxa"/>
        <w:right w:w="70" w:type="dxa"/>
      </w:tblCellMar>
    </w:tblPr>
  </w:style>
  <w:style w:type="table" w:customStyle="1" w:styleId="42">
    <w:name w:val="42"/>
    <w:basedOn w:val="TableNormal"/>
    <w:tblPr>
      <w:tblStyleRowBandSize w:val="1"/>
      <w:tblStyleColBandSize w:val="1"/>
      <w:tblCellMar>
        <w:left w:w="70" w:type="dxa"/>
        <w:right w:w="70" w:type="dxa"/>
      </w:tblCellMar>
    </w:tblPr>
  </w:style>
  <w:style w:type="table" w:customStyle="1" w:styleId="41">
    <w:name w:val="41"/>
    <w:basedOn w:val="TableNormal"/>
    <w:tblPr>
      <w:tblStyleRowBandSize w:val="1"/>
      <w:tblStyleColBandSize w:val="1"/>
      <w:tblCellMar>
        <w:left w:w="70" w:type="dxa"/>
        <w:right w:w="70" w:type="dxa"/>
      </w:tblCellMar>
    </w:tblPr>
  </w:style>
  <w:style w:type="table" w:customStyle="1" w:styleId="40">
    <w:name w:val="40"/>
    <w:basedOn w:val="TableNormal"/>
    <w:tblPr>
      <w:tblStyleRowBandSize w:val="1"/>
      <w:tblStyleColBandSize w:val="1"/>
      <w:tblCellMar>
        <w:left w:w="70" w:type="dxa"/>
        <w:right w:w="70" w:type="dxa"/>
      </w:tblCellMar>
    </w:tblPr>
  </w:style>
  <w:style w:type="table" w:customStyle="1" w:styleId="39">
    <w:name w:val="39"/>
    <w:basedOn w:val="TableNormal"/>
    <w:tblPr>
      <w:tblStyleRowBandSize w:val="1"/>
      <w:tblStyleColBandSize w:val="1"/>
      <w:tblCellMar>
        <w:left w:w="70" w:type="dxa"/>
        <w:right w:w="70" w:type="dxa"/>
      </w:tblCellMar>
    </w:tblPr>
  </w:style>
  <w:style w:type="table" w:customStyle="1" w:styleId="38">
    <w:name w:val="38"/>
    <w:basedOn w:val="TableNormal"/>
    <w:tblPr>
      <w:tblStyleRowBandSize w:val="1"/>
      <w:tblStyleColBandSize w:val="1"/>
      <w:tblCellMar>
        <w:left w:w="70" w:type="dxa"/>
        <w:right w:w="70" w:type="dxa"/>
      </w:tblCellMar>
    </w:tblPr>
  </w:style>
  <w:style w:type="table" w:customStyle="1" w:styleId="37">
    <w:name w:val="37"/>
    <w:basedOn w:val="TableNormal"/>
    <w:tblPr>
      <w:tblStyleRowBandSize w:val="1"/>
      <w:tblStyleColBandSize w:val="1"/>
      <w:tblCellMar>
        <w:left w:w="70" w:type="dxa"/>
        <w:right w:w="70" w:type="dxa"/>
      </w:tblCellMar>
    </w:tblPr>
  </w:style>
  <w:style w:type="table" w:customStyle="1" w:styleId="36">
    <w:name w:val="36"/>
    <w:basedOn w:val="TableNormal"/>
    <w:tblPr>
      <w:tblStyleRowBandSize w:val="1"/>
      <w:tblStyleColBandSize w:val="1"/>
      <w:tblCellMar>
        <w:left w:w="70" w:type="dxa"/>
        <w:right w:w="70" w:type="dxa"/>
      </w:tblCellMar>
    </w:tblPr>
  </w:style>
  <w:style w:type="table" w:customStyle="1" w:styleId="35">
    <w:name w:val="35"/>
    <w:basedOn w:val="TableNormal"/>
    <w:tblPr>
      <w:tblStyleRowBandSize w:val="1"/>
      <w:tblStyleColBandSize w:val="1"/>
      <w:tblCellMar>
        <w:left w:w="70" w:type="dxa"/>
        <w:right w:w="70" w:type="dxa"/>
      </w:tblCellMar>
    </w:tblPr>
  </w:style>
  <w:style w:type="table" w:customStyle="1" w:styleId="34">
    <w:name w:val="34"/>
    <w:basedOn w:val="TableNormal"/>
    <w:tblPr>
      <w:tblStyleRowBandSize w:val="1"/>
      <w:tblStyleColBandSize w:val="1"/>
      <w:tblCellMar>
        <w:left w:w="70" w:type="dxa"/>
        <w:right w:w="70" w:type="dxa"/>
      </w:tblCellMar>
    </w:tblPr>
  </w:style>
  <w:style w:type="table" w:customStyle="1" w:styleId="33">
    <w:name w:val="33"/>
    <w:basedOn w:val="TableNormal"/>
    <w:tblPr>
      <w:tblStyleRowBandSize w:val="1"/>
      <w:tblStyleColBandSize w:val="1"/>
      <w:tblCellMar>
        <w:left w:w="70" w:type="dxa"/>
        <w:right w:w="70" w:type="dxa"/>
      </w:tblCellMar>
    </w:tblPr>
  </w:style>
  <w:style w:type="table" w:customStyle="1" w:styleId="32">
    <w:name w:val="32"/>
    <w:basedOn w:val="TableNormal"/>
    <w:tblPr>
      <w:tblStyleRowBandSize w:val="1"/>
      <w:tblStyleColBandSize w:val="1"/>
      <w:tblCellMar>
        <w:left w:w="70" w:type="dxa"/>
        <w:right w:w="70" w:type="dxa"/>
      </w:tblCellMar>
    </w:tblPr>
  </w:style>
  <w:style w:type="table" w:customStyle="1" w:styleId="31">
    <w:name w:val="31"/>
    <w:basedOn w:val="TableNormal"/>
    <w:tblPr>
      <w:tblStyleRowBandSize w:val="1"/>
      <w:tblStyleColBandSize w:val="1"/>
      <w:tblCellMar>
        <w:left w:w="70" w:type="dxa"/>
        <w:right w:w="70" w:type="dxa"/>
      </w:tblCellMar>
    </w:tblPr>
  </w:style>
  <w:style w:type="table" w:customStyle="1" w:styleId="30">
    <w:name w:val="30"/>
    <w:basedOn w:val="TableNormal"/>
    <w:tblPr>
      <w:tblStyleRowBandSize w:val="1"/>
      <w:tblStyleColBandSize w:val="1"/>
      <w:tblCellMar>
        <w:left w:w="70" w:type="dxa"/>
        <w:right w:w="70" w:type="dxa"/>
      </w:tblCellMar>
    </w:tblPr>
  </w:style>
  <w:style w:type="table" w:customStyle="1" w:styleId="29">
    <w:name w:val="29"/>
    <w:basedOn w:val="TableNormal"/>
    <w:tblPr>
      <w:tblStyleRowBandSize w:val="1"/>
      <w:tblStyleColBandSize w:val="1"/>
      <w:tblCellMar>
        <w:left w:w="70" w:type="dxa"/>
        <w:right w:w="70" w:type="dxa"/>
      </w:tblCellMar>
    </w:tblPr>
  </w:style>
  <w:style w:type="table" w:customStyle="1" w:styleId="28">
    <w:name w:val="28"/>
    <w:basedOn w:val="TableNormal"/>
    <w:tblPr>
      <w:tblStyleRowBandSize w:val="1"/>
      <w:tblStyleColBandSize w:val="1"/>
      <w:tblCellMar>
        <w:left w:w="70" w:type="dxa"/>
        <w:right w:w="70" w:type="dxa"/>
      </w:tblCellMar>
    </w:tblPr>
  </w:style>
  <w:style w:type="table" w:customStyle="1" w:styleId="27">
    <w:name w:val="27"/>
    <w:basedOn w:val="TableNormal"/>
    <w:tblPr>
      <w:tblStyleRowBandSize w:val="1"/>
      <w:tblStyleColBandSize w:val="1"/>
      <w:tblCellMar>
        <w:left w:w="70" w:type="dxa"/>
        <w:right w:w="70" w:type="dxa"/>
      </w:tblCellMar>
    </w:tblPr>
  </w:style>
  <w:style w:type="table" w:customStyle="1" w:styleId="26">
    <w:name w:val="26"/>
    <w:basedOn w:val="TableNormal"/>
    <w:tblPr>
      <w:tblStyleRowBandSize w:val="1"/>
      <w:tblStyleColBandSize w:val="1"/>
      <w:tblCellMar>
        <w:left w:w="70" w:type="dxa"/>
        <w:right w:w="70" w:type="dxa"/>
      </w:tblCellMar>
    </w:tblPr>
  </w:style>
  <w:style w:type="table" w:customStyle="1" w:styleId="25">
    <w:name w:val="25"/>
    <w:basedOn w:val="TableNormal"/>
    <w:tblPr>
      <w:tblStyleRowBandSize w:val="1"/>
      <w:tblStyleColBandSize w:val="1"/>
      <w:tblCellMar>
        <w:left w:w="70" w:type="dxa"/>
        <w:right w:w="70" w:type="dxa"/>
      </w:tblCellMar>
    </w:tblPr>
  </w:style>
  <w:style w:type="table" w:customStyle="1" w:styleId="24">
    <w:name w:val="24"/>
    <w:basedOn w:val="TableNormal"/>
    <w:tblPr>
      <w:tblStyleRowBandSize w:val="1"/>
      <w:tblStyleColBandSize w:val="1"/>
      <w:tblCellMar>
        <w:left w:w="70" w:type="dxa"/>
        <w:right w:w="70" w:type="dxa"/>
      </w:tblCellMar>
    </w:tblPr>
  </w:style>
  <w:style w:type="table" w:customStyle="1" w:styleId="23">
    <w:name w:val="23"/>
    <w:basedOn w:val="TableNormal"/>
    <w:tblPr>
      <w:tblStyleRowBandSize w:val="1"/>
      <w:tblStyleColBandSize w:val="1"/>
      <w:tblCellMar>
        <w:left w:w="70" w:type="dxa"/>
        <w:right w:w="70" w:type="dxa"/>
      </w:tblCellMar>
    </w:tblPr>
  </w:style>
  <w:style w:type="table" w:customStyle="1" w:styleId="22">
    <w:name w:val="22"/>
    <w:basedOn w:val="TableNormal"/>
    <w:tblPr>
      <w:tblStyleRowBandSize w:val="1"/>
      <w:tblStyleColBandSize w:val="1"/>
      <w:tblCellMar>
        <w:left w:w="70" w:type="dxa"/>
        <w:right w:w="70" w:type="dxa"/>
      </w:tblCellMar>
    </w:tblPr>
  </w:style>
  <w:style w:type="table" w:customStyle="1" w:styleId="21">
    <w:name w:val="21"/>
    <w:basedOn w:val="TableNormal"/>
    <w:tblPr>
      <w:tblStyleRowBandSize w:val="1"/>
      <w:tblStyleColBandSize w:val="1"/>
      <w:tblCellMar>
        <w:left w:w="70" w:type="dxa"/>
        <w:right w:w="70" w:type="dxa"/>
      </w:tblCellMar>
    </w:tblPr>
  </w:style>
  <w:style w:type="table" w:customStyle="1" w:styleId="20">
    <w:name w:val="20"/>
    <w:basedOn w:val="TableNormal"/>
    <w:tblPr>
      <w:tblStyleRowBandSize w:val="1"/>
      <w:tblStyleColBandSize w:val="1"/>
      <w:tblCellMar>
        <w:left w:w="70" w:type="dxa"/>
        <w:right w:w="70" w:type="dxa"/>
      </w:tblCellMar>
    </w:tblPr>
  </w:style>
  <w:style w:type="table" w:customStyle="1" w:styleId="19">
    <w:name w:val="19"/>
    <w:basedOn w:val="TableNormal"/>
    <w:tblPr>
      <w:tblStyleRowBandSize w:val="1"/>
      <w:tblStyleColBandSize w:val="1"/>
      <w:tblCellMar>
        <w:left w:w="70" w:type="dxa"/>
        <w:right w:w="70" w:type="dxa"/>
      </w:tblCellMar>
    </w:tblPr>
  </w:style>
  <w:style w:type="table" w:customStyle="1" w:styleId="18">
    <w:name w:val="18"/>
    <w:basedOn w:val="TableNormal"/>
    <w:tblPr>
      <w:tblStyleRowBandSize w:val="1"/>
      <w:tblStyleColBandSize w:val="1"/>
      <w:tblCellMar>
        <w:left w:w="70" w:type="dxa"/>
        <w:right w:w="70" w:type="dxa"/>
      </w:tblCellMar>
    </w:tblPr>
  </w:style>
  <w:style w:type="table" w:customStyle="1" w:styleId="17">
    <w:name w:val="17"/>
    <w:basedOn w:val="TableNormal"/>
    <w:tblPr>
      <w:tblStyleRowBandSize w:val="1"/>
      <w:tblStyleColBandSize w:val="1"/>
      <w:tblCellMar>
        <w:left w:w="70" w:type="dxa"/>
        <w:right w:w="70" w:type="dxa"/>
      </w:tblCellMar>
    </w:tblPr>
  </w:style>
  <w:style w:type="table" w:customStyle="1" w:styleId="16">
    <w:name w:val="16"/>
    <w:basedOn w:val="TableNormal"/>
    <w:tblPr>
      <w:tblStyleRowBandSize w:val="1"/>
      <w:tblStyleColBandSize w:val="1"/>
      <w:tblCellMar>
        <w:left w:w="70" w:type="dxa"/>
        <w:right w:w="70" w:type="dxa"/>
      </w:tblCellMar>
    </w:tblPr>
  </w:style>
  <w:style w:type="table" w:customStyle="1" w:styleId="15">
    <w:name w:val="15"/>
    <w:basedOn w:val="TableNormal"/>
    <w:tblPr>
      <w:tblStyleRowBandSize w:val="1"/>
      <w:tblStyleColBandSize w:val="1"/>
      <w:tblCellMar>
        <w:left w:w="70" w:type="dxa"/>
        <w:right w:w="70" w:type="dxa"/>
      </w:tblCellMar>
    </w:tblPr>
  </w:style>
  <w:style w:type="table" w:customStyle="1" w:styleId="14">
    <w:name w:val="14"/>
    <w:basedOn w:val="TableNormal"/>
    <w:tblPr>
      <w:tblStyleRowBandSize w:val="1"/>
      <w:tblStyleColBandSize w:val="1"/>
      <w:tblCellMar>
        <w:left w:w="70" w:type="dxa"/>
        <w:right w:w="70" w:type="dxa"/>
      </w:tblCellMar>
    </w:tblPr>
  </w:style>
  <w:style w:type="table" w:customStyle="1" w:styleId="13">
    <w:name w:val="13"/>
    <w:basedOn w:val="TableNormal"/>
    <w:tblPr>
      <w:tblStyleRowBandSize w:val="1"/>
      <w:tblStyleColBandSize w:val="1"/>
      <w:tblCellMar>
        <w:left w:w="70" w:type="dxa"/>
        <w:right w:w="70" w:type="dxa"/>
      </w:tblCellMar>
    </w:tblPr>
  </w:style>
  <w:style w:type="table" w:customStyle="1" w:styleId="12">
    <w:name w:val="12"/>
    <w:basedOn w:val="TableNormal"/>
    <w:tblPr>
      <w:tblStyleRowBandSize w:val="1"/>
      <w:tblStyleColBandSize w:val="1"/>
      <w:tblCellMar>
        <w:left w:w="70" w:type="dxa"/>
        <w:right w:w="70" w:type="dxa"/>
      </w:tblCellMar>
    </w:tblPr>
  </w:style>
  <w:style w:type="table" w:customStyle="1" w:styleId="11">
    <w:name w:val="11"/>
    <w:basedOn w:val="TableNormal"/>
    <w:tblPr>
      <w:tblStyleRowBandSize w:val="1"/>
      <w:tblStyleColBandSize w:val="1"/>
      <w:tblCellMar>
        <w:left w:w="70" w:type="dxa"/>
        <w:right w:w="70" w:type="dxa"/>
      </w:tblCellMar>
    </w:tblPr>
  </w:style>
  <w:style w:type="table" w:customStyle="1" w:styleId="10">
    <w:name w:val="10"/>
    <w:basedOn w:val="TableNormal"/>
    <w:tblPr>
      <w:tblStyleRowBandSize w:val="1"/>
      <w:tblStyleColBandSize w:val="1"/>
      <w:tblCellMar>
        <w:left w:w="70" w:type="dxa"/>
        <w:right w:w="70" w:type="dxa"/>
      </w:tblCellMar>
    </w:tblPr>
  </w:style>
  <w:style w:type="table" w:customStyle="1" w:styleId="9">
    <w:name w:val="9"/>
    <w:basedOn w:val="TableNormal"/>
    <w:tblPr>
      <w:tblStyleRowBandSize w:val="1"/>
      <w:tblStyleColBandSize w:val="1"/>
      <w:tblCellMar>
        <w:left w:w="70" w:type="dxa"/>
        <w:right w:w="70" w:type="dxa"/>
      </w:tblCellMar>
    </w:tblPr>
  </w:style>
  <w:style w:type="table" w:customStyle="1" w:styleId="8">
    <w:name w:val="8"/>
    <w:basedOn w:val="TableNormal"/>
    <w:tblPr>
      <w:tblStyleRowBandSize w:val="1"/>
      <w:tblStyleColBandSize w:val="1"/>
      <w:tblCellMar>
        <w:left w:w="70" w:type="dxa"/>
        <w:right w:w="70" w:type="dxa"/>
      </w:tblCellMar>
    </w:tblPr>
  </w:style>
  <w:style w:type="table" w:customStyle="1" w:styleId="7">
    <w:name w:val="7"/>
    <w:basedOn w:val="TableNormal"/>
    <w:tblPr>
      <w:tblStyleRowBandSize w:val="1"/>
      <w:tblStyleColBandSize w:val="1"/>
      <w:tblCellMar>
        <w:left w:w="70" w:type="dxa"/>
        <w:right w:w="70" w:type="dxa"/>
      </w:tblCellMar>
    </w:tblPr>
  </w:style>
  <w:style w:type="table" w:customStyle="1" w:styleId="6">
    <w:name w:val="6"/>
    <w:basedOn w:val="TableNormal"/>
    <w:tblPr>
      <w:tblStyleRowBandSize w:val="1"/>
      <w:tblStyleColBandSize w:val="1"/>
      <w:tblCellMar>
        <w:left w:w="70" w:type="dxa"/>
        <w:right w:w="70" w:type="dxa"/>
      </w:tblCellMar>
    </w:tblPr>
  </w:style>
  <w:style w:type="table" w:customStyle="1" w:styleId="5">
    <w:name w:val="5"/>
    <w:basedOn w:val="TableNormal"/>
    <w:tblPr>
      <w:tblStyleRowBandSize w:val="1"/>
      <w:tblStyleColBandSize w:val="1"/>
      <w:tblCellMar>
        <w:left w:w="70" w:type="dxa"/>
        <w:right w:w="70" w:type="dxa"/>
      </w:tblCellMar>
    </w:tblPr>
  </w:style>
  <w:style w:type="table" w:customStyle="1" w:styleId="4">
    <w:name w:val="4"/>
    <w:basedOn w:val="TableNormal"/>
    <w:tblPr>
      <w:tblStyleRowBandSize w:val="1"/>
      <w:tblStyleColBandSize w:val="1"/>
      <w:tblCellMar>
        <w:left w:w="70" w:type="dxa"/>
        <w:right w:w="70" w:type="dxa"/>
      </w:tblCellMar>
    </w:tblPr>
  </w:style>
  <w:style w:type="table" w:customStyle="1" w:styleId="3">
    <w:name w:val="3"/>
    <w:basedOn w:val="TableNormal"/>
    <w:tblPr>
      <w:tblStyleRowBandSize w:val="1"/>
      <w:tblStyleColBandSize w:val="1"/>
      <w:tblCellMar>
        <w:left w:w="70" w:type="dxa"/>
        <w:right w:w="70" w:type="dxa"/>
      </w:tblCellMar>
    </w:tblPr>
  </w:style>
  <w:style w:type="table" w:customStyle="1" w:styleId="2">
    <w:name w:val="2"/>
    <w:basedOn w:val="TableNormal"/>
    <w:tblPr>
      <w:tblStyleRowBandSize w:val="1"/>
      <w:tblStyleColBandSize w:val="1"/>
      <w:tblCellMar>
        <w:left w:w="70" w:type="dxa"/>
        <w:right w:w="70" w:type="dxa"/>
      </w:tblCellMar>
    </w:tblPr>
  </w:style>
  <w:style w:type="table" w:customStyle="1" w:styleId="1">
    <w:name w:val="1"/>
    <w:basedOn w:val="TableNormal"/>
    <w:tblPr>
      <w:tblStyleRowBandSize w:val="1"/>
      <w:tblStyleColBandSize w:val="1"/>
      <w:tblCellMar>
        <w:left w:w="70" w:type="dxa"/>
        <w:right w:w="70" w:type="dxa"/>
      </w:tblCellMar>
    </w:tblPr>
  </w:style>
  <w:style w:type="paragraph" w:styleId="TDC2">
    <w:name w:val="toc 2"/>
    <w:basedOn w:val="Normal"/>
    <w:next w:val="Normal"/>
    <w:autoRedefine/>
    <w:uiPriority w:val="39"/>
    <w:unhideWhenUsed/>
    <w:rsid w:val="00C5731E"/>
    <w:pPr>
      <w:spacing w:after="100"/>
      <w:ind w:left="220"/>
    </w:pPr>
  </w:style>
  <w:style w:type="paragraph" w:styleId="TDC3">
    <w:name w:val="toc 3"/>
    <w:basedOn w:val="Normal"/>
    <w:next w:val="Normal"/>
    <w:autoRedefine/>
    <w:uiPriority w:val="39"/>
    <w:unhideWhenUsed/>
    <w:rsid w:val="00C5731E"/>
    <w:pPr>
      <w:spacing w:after="100"/>
      <w:ind w:left="440"/>
    </w:pPr>
  </w:style>
  <w:style w:type="paragraph" w:styleId="TDC1">
    <w:name w:val="toc 1"/>
    <w:basedOn w:val="Normal"/>
    <w:next w:val="Normal"/>
    <w:autoRedefine/>
    <w:uiPriority w:val="39"/>
    <w:unhideWhenUsed/>
    <w:rsid w:val="00C5731E"/>
    <w:pPr>
      <w:spacing w:after="100"/>
    </w:pPr>
  </w:style>
  <w:style w:type="character" w:styleId="Hipervnculo">
    <w:name w:val="Hyperlink"/>
    <w:basedOn w:val="Fuentedeprrafopredeter"/>
    <w:uiPriority w:val="99"/>
    <w:unhideWhenUsed/>
    <w:rsid w:val="00C5731E"/>
    <w:rPr>
      <w:color w:val="0000FF" w:themeColor="hyperlink"/>
      <w:u w:val="single"/>
    </w:rPr>
  </w:style>
  <w:style w:type="paragraph" w:styleId="Encabezado">
    <w:name w:val="header"/>
    <w:basedOn w:val="Normal"/>
    <w:link w:val="EncabezadoCar"/>
    <w:uiPriority w:val="99"/>
    <w:unhideWhenUsed/>
    <w:rsid w:val="00472C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2C73"/>
  </w:style>
  <w:style w:type="paragraph" w:styleId="Piedepgina">
    <w:name w:val="footer"/>
    <w:basedOn w:val="Normal"/>
    <w:link w:val="PiedepginaCar"/>
    <w:uiPriority w:val="99"/>
    <w:unhideWhenUsed/>
    <w:rsid w:val="00472C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2C73"/>
  </w:style>
  <w:style w:type="paragraph" w:styleId="Textodeglobo">
    <w:name w:val="Balloon Text"/>
    <w:basedOn w:val="Normal"/>
    <w:link w:val="TextodegloboCar"/>
    <w:uiPriority w:val="99"/>
    <w:semiHidden/>
    <w:unhideWhenUsed/>
    <w:rsid w:val="00267A8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7A8D"/>
    <w:rPr>
      <w:rFonts w:ascii="Segoe UI" w:hAnsi="Segoe UI" w:cs="Segoe UI"/>
      <w:sz w:val="18"/>
      <w:szCs w:val="18"/>
    </w:rPr>
  </w:style>
  <w:style w:type="paragraph" w:styleId="Sinespaciado">
    <w:name w:val="No Spacing"/>
    <w:link w:val="SinespaciadoCar"/>
    <w:uiPriority w:val="1"/>
    <w:qFormat/>
    <w:rsid w:val="008B61AA"/>
    <w:pPr>
      <w:spacing w:after="0" w:line="240" w:lineRule="auto"/>
    </w:pPr>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sid w:val="008B61AA"/>
    <w:rPr>
      <w:rFonts w:asciiTheme="minorHAnsi" w:eastAsiaTheme="minorEastAsia" w:hAnsiTheme="minorHAnsi" w:cstheme="minorBidi"/>
    </w:rPr>
  </w:style>
  <w:style w:type="paragraph" w:styleId="Prrafodelista">
    <w:name w:val="List Paragraph"/>
    <w:aliases w:val="Ha,Fundamentacion,paul2,Table of contents numbered,List Paragraph (bulleted list),Bullet 1 List,Bullet,Cuadro 2-1,TITULO A,Lista 123,Cita Pie de Página,List number Paragraph,SOP_bullet1,PIP List Number,TEX_03,Titulo de Fígura,Tit2_mmv,a"/>
    <w:basedOn w:val="Normal"/>
    <w:link w:val="PrrafodelistaCar"/>
    <w:uiPriority w:val="34"/>
    <w:qFormat/>
    <w:rsid w:val="008B61AA"/>
    <w:pPr>
      <w:ind w:left="720"/>
      <w:contextualSpacing/>
    </w:pPr>
    <w:rPr>
      <w:rFonts w:asciiTheme="minorHAnsi" w:eastAsiaTheme="minorHAnsi" w:hAnsiTheme="minorHAnsi" w:cstheme="minorBidi"/>
      <w:lang w:eastAsia="en-US"/>
    </w:rPr>
  </w:style>
  <w:style w:type="character" w:customStyle="1" w:styleId="PrrafodelistaCar">
    <w:name w:val="Párrafo de lista Car"/>
    <w:aliases w:val="Ha Car,Fundamentacion Car,paul2 Car,Table of contents numbered Car,List Paragraph (bulleted list) Car,Bullet 1 List Car,Bullet Car,Cuadro 2-1 Car,TITULO A Car,Lista 123 Car,Cita Pie de Página Car,List number Paragraph Car,TEX_03 Car"/>
    <w:link w:val="Prrafodelista"/>
    <w:uiPriority w:val="34"/>
    <w:qFormat/>
    <w:rsid w:val="008B61AA"/>
    <w:rPr>
      <w:rFonts w:asciiTheme="minorHAnsi" w:eastAsiaTheme="minorHAnsi" w:hAnsiTheme="minorHAnsi" w:cstheme="minorBidi"/>
      <w:lang w:eastAsia="en-US"/>
    </w:rPr>
  </w:style>
  <w:style w:type="paragraph" w:styleId="Descripcin">
    <w:name w:val="caption"/>
    <w:basedOn w:val="Normal"/>
    <w:next w:val="Normal"/>
    <w:uiPriority w:val="35"/>
    <w:unhideWhenUsed/>
    <w:qFormat/>
    <w:rsid w:val="008B61AA"/>
    <w:pPr>
      <w:spacing w:after="200" w:line="240" w:lineRule="auto"/>
    </w:pPr>
    <w:rPr>
      <w:rFonts w:ascii="Arial" w:eastAsia="MS Mincho" w:hAnsi="Arial" w:cs="Times New Roman"/>
      <w:i/>
      <w:iCs/>
      <w:color w:val="1F497D" w:themeColor="text2"/>
      <w:sz w:val="18"/>
      <w:szCs w:val="18"/>
      <w:lang w:val="es-ES" w:eastAsia="es-ES"/>
    </w:rPr>
  </w:style>
  <w:style w:type="table" w:styleId="Tablaconcuadrcula">
    <w:name w:val="Table Grid"/>
    <w:aliases w:val="Tabellengitternetz"/>
    <w:basedOn w:val="Tablanormal"/>
    <w:uiPriority w:val="39"/>
    <w:qFormat/>
    <w:rsid w:val="008B61AA"/>
    <w:pPr>
      <w:spacing w:after="0" w:line="240" w:lineRule="auto"/>
    </w:pPr>
    <w:rPr>
      <w:rFonts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erpo">
    <w:name w:val="Cuerpo"/>
    <w:basedOn w:val="Normal"/>
    <w:uiPriority w:val="99"/>
    <w:rsid w:val="008B61AA"/>
    <w:pPr>
      <w:spacing w:before="100" w:after="100"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8B61AA"/>
    <w:rPr>
      <w:i/>
      <w:iCs/>
    </w:rPr>
  </w:style>
  <w:style w:type="paragraph" w:customStyle="1" w:styleId="cuerpo0">
    <w:name w:val="cuerpo"/>
    <w:basedOn w:val="Normal"/>
    <w:rsid w:val="008B61AA"/>
    <w:pPr>
      <w:spacing w:before="100" w:beforeAutospacing="1" w:after="100" w:afterAutospacing="1" w:line="240" w:lineRule="auto"/>
    </w:pPr>
    <w:rPr>
      <w:rFonts w:ascii="Times New Roman" w:eastAsia="Times New Roman" w:hAnsi="Times New Roman" w:cs="Times New Roman"/>
      <w:sz w:val="24"/>
      <w:szCs w:val="24"/>
    </w:rPr>
  </w:style>
  <w:style w:type="paragraph" w:styleId="Citadestacada">
    <w:name w:val="Intense Quote"/>
    <w:basedOn w:val="Normal"/>
    <w:next w:val="Normal"/>
    <w:link w:val="CitadestacadaCar"/>
    <w:uiPriority w:val="30"/>
    <w:qFormat/>
    <w:rsid w:val="008B61AA"/>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lang w:eastAsia="en-US"/>
    </w:rPr>
  </w:style>
  <w:style w:type="character" w:customStyle="1" w:styleId="CitadestacadaCar">
    <w:name w:val="Cita destacada Car"/>
    <w:basedOn w:val="Fuentedeprrafopredeter"/>
    <w:link w:val="Citadestacada"/>
    <w:uiPriority w:val="30"/>
    <w:rsid w:val="008B61AA"/>
    <w:rPr>
      <w:rFonts w:asciiTheme="minorHAnsi" w:eastAsiaTheme="minorHAnsi" w:hAnsiTheme="minorHAnsi" w:cstheme="minorBidi"/>
      <w:i/>
      <w:iCs/>
      <w:color w:val="4F81BD" w:themeColor="accent1"/>
      <w:lang w:eastAsia="en-US"/>
    </w:rPr>
  </w:style>
  <w:style w:type="paragraph" w:styleId="Textonotapie">
    <w:name w:val="footnote text"/>
    <w:aliases w:val="Geneva 9,Font: Geneva 9,Boston 10,f,Fußnotentextr,Footnote Text arial11,single space,fn,FOOTNOTES,Footnote Text Char Char Char Char Char Char,Char,single space Char Char,single space Char,single space Char Car Car Car Car,Car1 Car Car,ft"/>
    <w:basedOn w:val="Normal"/>
    <w:link w:val="TextonotapieCar"/>
    <w:uiPriority w:val="99"/>
    <w:unhideWhenUsed/>
    <w:qFormat/>
    <w:rsid w:val="008B61AA"/>
    <w:pPr>
      <w:spacing w:after="0" w:line="240" w:lineRule="auto"/>
    </w:pPr>
    <w:rPr>
      <w:rFonts w:asciiTheme="minorHAnsi" w:eastAsiaTheme="minorHAnsi" w:hAnsiTheme="minorHAnsi" w:cstheme="minorBidi"/>
      <w:sz w:val="20"/>
      <w:szCs w:val="20"/>
      <w:lang w:eastAsia="en-US"/>
    </w:rPr>
  </w:style>
  <w:style w:type="character" w:customStyle="1" w:styleId="TextonotapieCar">
    <w:name w:val="Texto nota pie Car"/>
    <w:aliases w:val="Geneva 9 Car,Font: Geneva 9 Car,Boston 10 Car,f Car,Fußnotentextr Car,Footnote Text arial11 Car,single space Car,fn Car,FOOTNOTES Car,Footnote Text Char Char Char Char Char Char Car,Char Car,single space Char Char Car,Car1 Car Car Car"/>
    <w:basedOn w:val="Fuentedeprrafopredeter"/>
    <w:link w:val="Textonotapie"/>
    <w:uiPriority w:val="99"/>
    <w:qFormat/>
    <w:rsid w:val="008B61AA"/>
    <w:rPr>
      <w:rFonts w:asciiTheme="minorHAnsi" w:eastAsiaTheme="minorHAnsi" w:hAnsiTheme="minorHAnsi" w:cstheme="minorBidi"/>
      <w:sz w:val="20"/>
      <w:szCs w:val="20"/>
      <w:lang w:eastAsia="en-US"/>
    </w:rPr>
  </w:style>
  <w:style w:type="character" w:styleId="Refdenotaalpie">
    <w:name w:val="footnote reference"/>
    <w:aliases w:val="referencia nota al pie,titulo 2,16 Point,Superscript 6 Point,Ref,de nota al pie,Superscript 8 Point,Superscript 6 Point + 11 pt,Appel note de bas de page, BVI fnr,E FNZ,-E Fußnotenzeichen,Footnote#,BVI fnr,CVR Ref. de nota al pie,FC"/>
    <w:basedOn w:val="Fuentedeprrafopredeter"/>
    <w:link w:val="BVIfnrCharCharChar1CharCharCharCharCharCharChar1CharCharChar1Char"/>
    <w:uiPriority w:val="99"/>
    <w:unhideWhenUsed/>
    <w:qFormat/>
    <w:rsid w:val="008B61AA"/>
    <w:rPr>
      <w:vertAlign w:val="superscript"/>
    </w:rPr>
  </w:style>
  <w:style w:type="paragraph" w:customStyle="1" w:styleId="BVIfnrCharCharChar1CharCharCharCharCharCharChar1CharCharChar1Char">
    <w:name w:val="BVI fnr (文字) (文字) Char (文字) Char Char1 Char Char Char Char Char Char Char1 Char Char Char1 Char"/>
    <w:aliases w:val="BVI fnr (文字) (文字) Char (文字) Char Char1 Char Char Char Char Char Char Char1 Char Char Char Char Char Char1 Char Char"/>
    <w:basedOn w:val="Normal"/>
    <w:link w:val="Refdenotaalpie"/>
    <w:uiPriority w:val="99"/>
    <w:rsid w:val="008B61AA"/>
    <w:pPr>
      <w:spacing w:after="200" w:line="240" w:lineRule="exact"/>
    </w:pPr>
    <w:rPr>
      <w:vertAlign w:val="superscript"/>
    </w:rPr>
  </w:style>
  <w:style w:type="character" w:customStyle="1" w:styleId="Mencinsinresolver1">
    <w:name w:val="Mención sin resolver1"/>
    <w:basedOn w:val="Fuentedeprrafopredeter"/>
    <w:uiPriority w:val="99"/>
    <w:semiHidden/>
    <w:unhideWhenUsed/>
    <w:rsid w:val="008B61AA"/>
    <w:rPr>
      <w:color w:val="605E5C"/>
      <w:shd w:val="clear" w:color="auto" w:fill="E1DFDD"/>
    </w:rPr>
  </w:style>
  <w:style w:type="paragraph" w:customStyle="1" w:styleId="Default">
    <w:name w:val="Default"/>
    <w:rsid w:val="008B61AA"/>
    <w:pPr>
      <w:autoSpaceDE w:val="0"/>
      <w:autoSpaceDN w:val="0"/>
      <w:adjustRightInd w:val="0"/>
      <w:spacing w:after="0" w:line="240" w:lineRule="auto"/>
    </w:pPr>
    <w:rPr>
      <w:rFonts w:eastAsiaTheme="minorHAnsi"/>
      <w:color w:val="000000"/>
      <w:sz w:val="24"/>
      <w:szCs w:val="24"/>
      <w:lang w:eastAsia="en-US"/>
    </w:rPr>
  </w:style>
  <w:style w:type="character" w:styleId="Hipervnculovisitado">
    <w:name w:val="FollowedHyperlink"/>
    <w:basedOn w:val="Fuentedeprrafopredeter"/>
    <w:uiPriority w:val="99"/>
    <w:semiHidden/>
    <w:unhideWhenUsed/>
    <w:rsid w:val="008B61AA"/>
    <w:rPr>
      <w:color w:val="800080" w:themeColor="followedHyperlink"/>
      <w:u w:val="single"/>
    </w:rPr>
  </w:style>
  <w:style w:type="paragraph" w:styleId="TDC4">
    <w:name w:val="toc 4"/>
    <w:basedOn w:val="Normal"/>
    <w:next w:val="Normal"/>
    <w:autoRedefine/>
    <w:uiPriority w:val="39"/>
    <w:unhideWhenUsed/>
    <w:rsid w:val="008B61AA"/>
    <w:pPr>
      <w:spacing w:after="0"/>
      <w:ind w:left="660"/>
    </w:pPr>
    <w:rPr>
      <w:rFonts w:asciiTheme="minorHAnsi" w:eastAsiaTheme="minorHAnsi" w:hAnsiTheme="minorHAnsi" w:cstheme="minorHAnsi"/>
      <w:sz w:val="20"/>
      <w:szCs w:val="20"/>
      <w:lang w:eastAsia="en-US"/>
    </w:rPr>
  </w:style>
  <w:style w:type="paragraph" w:styleId="TDC5">
    <w:name w:val="toc 5"/>
    <w:basedOn w:val="Normal"/>
    <w:next w:val="Normal"/>
    <w:autoRedefine/>
    <w:uiPriority w:val="39"/>
    <w:unhideWhenUsed/>
    <w:rsid w:val="008B61AA"/>
    <w:pPr>
      <w:spacing w:after="0"/>
      <w:ind w:left="880"/>
    </w:pPr>
    <w:rPr>
      <w:rFonts w:asciiTheme="minorHAnsi" w:eastAsiaTheme="minorHAnsi" w:hAnsiTheme="minorHAnsi" w:cstheme="minorHAnsi"/>
      <w:sz w:val="20"/>
      <w:szCs w:val="20"/>
      <w:lang w:eastAsia="en-US"/>
    </w:rPr>
  </w:style>
  <w:style w:type="paragraph" w:styleId="TDC6">
    <w:name w:val="toc 6"/>
    <w:basedOn w:val="Normal"/>
    <w:next w:val="Normal"/>
    <w:autoRedefine/>
    <w:uiPriority w:val="39"/>
    <w:unhideWhenUsed/>
    <w:rsid w:val="008B61AA"/>
    <w:pPr>
      <w:spacing w:after="0"/>
      <w:ind w:left="1100"/>
    </w:pPr>
    <w:rPr>
      <w:rFonts w:asciiTheme="minorHAnsi" w:eastAsiaTheme="minorHAnsi" w:hAnsiTheme="minorHAnsi" w:cstheme="minorHAnsi"/>
      <w:sz w:val="20"/>
      <w:szCs w:val="20"/>
      <w:lang w:eastAsia="en-US"/>
    </w:rPr>
  </w:style>
  <w:style w:type="paragraph" w:styleId="TDC7">
    <w:name w:val="toc 7"/>
    <w:basedOn w:val="Normal"/>
    <w:next w:val="Normal"/>
    <w:autoRedefine/>
    <w:uiPriority w:val="39"/>
    <w:unhideWhenUsed/>
    <w:rsid w:val="008B61AA"/>
    <w:pPr>
      <w:spacing w:after="0"/>
      <w:ind w:left="1320"/>
    </w:pPr>
    <w:rPr>
      <w:rFonts w:asciiTheme="minorHAnsi" w:eastAsiaTheme="minorHAnsi" w:hAnsiTheme="minorHAnsi" w:cstheme="minorHAnsi"/>
      <w:sz w:val="20"/>
      <w:szCs w:val="20"/>
      <w:lang w:eastAsia="en-US"/>
    </w:rPr>
  </w:style>
  <w:style w:type="paragraph" w:styleId="TDC8">
    <w:name w:val="toc 8"/>
    <w:basedOn w:val="Normal"/>
    <w:next w:val="Normal"/>
    <w:autoRedefine/>
    <w:uiPriority w:val="39"/>
    <w:unhideWhenUsed/>
    <w:rsid w:val="008B61AA"/>
    <w:pPr>
      <w:spacing w:after="0"/>
      <w:ind w:left="1540"/>
    </w:pPr>
    <w:rPr>
      <w:rFonts w:asciiTheme="minorHAnsi" w:eastAsiaTheme="minorHAnsi" w:hAnsiTheme="minorHAnsi" w:cstheme="minorHAnsi"/>
      <w:sz w:val="20"/>
      <w:szCs w:val="20"/>
      <w:lang w:eastAsia="en-US"/>
    </w:rPr>
  </w:style>
  <w:style w:type="paragraph" w:styleId="TDC9">
    <w:name w:val="toc 9"/>
    <w:basedOn w:val="Normal"/>
    <w:next w:val="Normal"/>
    <w:autoRedefine/>
    <w:uiPriority w:val="39"/>
    <w:unhideWhenUsed/>
    <w:rsid w:val="008B61AA"/>
    <w:pPr>
      <w:spacing w:after="0"/>
      <w:ind w:left="1760"/>
    </w:pPr>
    <w:rPr>
      <w:rFonts w:asciiTheme="minorHAnsi" w:eastAsiaTheme="minorHAnsi" w:hAnsiTheme="minorHAnsi" w:cstheme="minorHAnsi"/>
      <w:sz w:val="20"/>
      <w:szCs w:val="20"/>
      <w:lang w:eastAsia="en-US"/>
    </w:rPr>
  </w:style>
  <w:style w:type="paragraph" w:styleId="Tabladeilustraciones">
    <w:name w:val="table of figures"/>
    <w:basedOn w:val="Normal"/>
    <w:next w:val="Normal"/>
    <w:uiPriority w:val="99"/>
    <w:unhideWhenUsed/>
    <w:rsid w:val="008B61AA"/>
    <w:pPr>
      <w:spacing w:after="0"/>
    </w:pPr>
    <w:rPr>
      <w:rFonts w:asciiTheme="minorHAnsi" w:eastAsiaTheme="minorHAnsi" w:hAnsiTheme="minorHAnsi" w:cstheme="minorHAnsi"/>
      <w:i/>
      <w:iCs/>
      <w:sz w:val="20"/>
      <w:szCs w:val="20"/>
      <w:lang w:eastAsia="en-US"/>
    </w:rPr>
  </w:style>
  <w:style w:type="paragraph" w:styleId="Bibliografa">
    <w:name w:val="Bibliography"/>
    <w:basedOn w:val="Normal"/>
    <w:next w:val="Normal"/>
    <w:uiPriority w:val="37"/>
    <w:unhideWhenUsed/>
    <w:rsid w:val="008B61AA"/>
    <w:rPr>
      <w:rFonts w:asciiTheme="minorHAnsi" w:eastAsiaTheme="minorHAnsi" w:hAnsiTheme="minorHAnsi" w:cstheme="minorBidi"/>
      <w:lang w:eastAsia="en-US"/>
    </w:rPr>
  </w:style>
  <w:style w:type="character" w:customStyle="1" w:styleId="pagesubtitle">
    <w:name w:val="pagesubtitle"/>
    <w:basedOn w:val="Fuentedeprrafopredeter"/>
    <w:rsid w:val="008B61AA"/>
  </w:style>
  <w:style w:type="character" w:customStyle="1" w:styleId="fontstyle01">
    <w:name w:val="fontstyle01"/>
    <w:basedOn w:val="Fuentedeprrafopredeter"/>
    <w:rsid w:val="008B61AA"/>
    <w:rPr>
      <w:rFonts w:ascii="Calibri" w:hAnsi="Calibri" w:hint="default"/>
      <w:b w:val="0"/>
      <w:bCs w:val="0"/>
      <w:i w:val="0"/>
      <w:iCs w:val="0"/>
      <w:color w:val="000000"/>
      <w:sz w:val="22"/>
      <w:szCs w:val="22"/>
    </w:rPr>
  </w:style>
  <w:style w:type="character" w:customStyle="1" w:styleId="fontstyle21">
    <w:name w:val="fontstyle21"/>
    <w:basedOn w:val="Fuentedeprrafopredeter"/>
    <w:rsid w:val="008B61AA"/>
    <w:rPr>
      <w:rFonts w:ascii="Calibri" w:hAnsi="Calibri" w:hint="default"/>
      <w:b/>
      <w:bCs/>
      <w:i w:val="0"/>
      <w:iCs w:val="0"/>
      <w:color w:val="000000"/>
      <w:sz w:val="22"/>
      <w:szCs w:val="22"/>
    </w:rPr>
  </w:style>
  <w:style w:type="table" w:customStyle="1" w:styleId="Tablaconcuadrcula1">
    <w:name w:val="Tabla con cuadrícula1"/>
    <w:basedOn w:val="Tablanormal"/>
    <w:next w:val="Tablaconcuadrcula"/>
    <w:uiPriority w:val="59"/>
    <w:rsid w:val="008B61AA"/>
    <w:pPr>
      <w:spacing w:after="0" w:line="240" w:lineRule="auto"/>
    </w:pPr>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ITECFootnote">
    <w:name w:val="GITEC Footnote"/>
    <w:basedOn w:val="Textonotapie"/>
    <w:qFormat/>
    <w:rsid w:val="008B61AA"/>
    <w:rPr>
      <w:rFonts w:ascii="Calibri" w:eastAsia="Times New Roman" w:hAnsi="Calibri" w:cs="Times New Roman"/>
      <w:sz w:val="18"/>
      <w:szCs w:val="18"/>
      <w:lang w:val="fr-FR"/>
    </w:rPr>
  </w:style>
  <w:style w:type="paragraph" w:customStyle="1" w:styleId="BVIfnrCarattereCharCharCharCarattereCharCharCharCharCharChar1CharCharCharCarattereChar">
    <w:name w:val="BVI fnr Carattere Char Char Char Carattere Char Char Char Char Char Char1 Char Char Char Carattere Char"/>
    <w:aliases w:val="BVI fnr Carattere Char Char Char Carattere Char Char Char Char Char Char1 Char Char Char Carattere Carattere Char"/>
    <w:basedOn w:val="Normal"/>
    <w:uiPriority w:val="99"/>
    <w:rsid w:val="008B61AA"/>
    <w:pPr>
      <w:spacing w:line="240" w:lineRule="exact"/>
    </w:pPr>
    <w:rPr>
      <w:rFonts w:cs="Arial"/>
      <w:sz w:val="20"/>
      <w:szCs w:val="20"/>
      <w:vertAlign w:val="superscript"/>
    </w:rPr>
  </w:style>
  <w:style w:type="character" w:customStyle="1" w:styleId="apple-converted-space">
    <w:name w:val="apple-converted-space"/>
    <w:basedOn w:val="Fuentedeprrafopredeter"/>
    <w:rsid w:val="008B61AA"/>
  </w:style>
  <w:style w:type="paragraph" w:styleId="NormalWeb">
    <w:name w:val="Normal (Web)"/>
    <w:basedOn w:val="Normal"/>
    <w:uiPriority w:val="99"/>
    <w:unhideWhenUsed/>
    <w:rsid w:val="008B61AA"/>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8B61AA"/>
    <w:rPr>
      <w:b/>
      <w:bCs/>
    </w:rPr>
  </w:style>
  <w:style w:type="character" w:customStyle="1" w:styleId="A8">
    <w:name w:val="A8"/>
    <w:uiPriority w:val="99"/>
    <w:rsid w:val="008B61AA"/>
    <w:rPr>
      <w:rFonts w:ascii="Myriad Pro" w:hAnsi="Myriad Pro" w:cs="Myriad Pro"/>
      <w:i/>
      <w:iCs/>
      <w:color w:val="000000"/>
      <w:sz w:val="10"/>
      <w:szCs w:val="10"/>
    </w:rPr>
  </w:style>
  <w:style w:type="paragraph" w:customStyle="1" w:styleId="Pa6">
    <w:name w:val="Pa6"/>
    <w:basedOn w:val="Default"/>
    <w:next w:val="Default"/>
    <w:uiPriority w:val="99"/>
    <w:rsid w:val="008B61AA"/>
    <w:pPr>
      <w:spacing w:line="201" w:lineRule="atLeast"/>
    </w:pPr>
    <w:rPr>
      <w:rFonts w:ascii="Myriad Pro" w:hAnsi="Myriad Pro" w:cstheme="minorBidi"/>
      <w:color w:val="auto"/>
    </w:rPr>
  </w:style>
  <w:style w:type="paragraph" w:customStyle="1" w:styleId="Pa15">
    <w:name w:val="Pa15"/>
    <w:basedOn w:val="Default"/>
    <w:next w:val="Default"/>
    <w:uiPriority w:val="99"/>
    <w:rsid w:val="008B61AA"/>
    <w:pPr>
      <w:spacing w:line="241" w:lineRule="atLeast"/>
    </w:pPr>
    <w:rPr>
      <w:rFonts w:ascii="Pluto Light Italic" w:hAnsi="Pluto Light Italic" w:cstheme="minorBidi"/>
      <w:color w:val="auto"/>
    </w:rPr>
  </w:style>
  <w:style w:type="paragraph" w:customStyle="1" w:styleId="Pa21">
    <w:name w:val="Pa21"/>
    <w:basedOn w:val="Default"/>
    <w:next w:val="Default"/>
    <w:uiPriority w:val="99"/>
    <w:rsid w:val="008B61AA"/>
    <w:pPr>
      <w:spacing w:line="177" w:lineRule="atLeast"/>
    </w:pPr>
    <w:rPr>
      <w:rFonts w:ascii="Myriad Pro" w:hAnsi="Myriad Pro" w:cstheme="minorBidi"/>
      <w:color w:val="auto"/>
    </w:rPr>
  </w:style>
  <w:style w:type="table" w:styleId="Tablaconcuadrcula5oscura-nfasis6">
    <w:name w:val="Grid Table 5 Dark Accent 6"/>
    <w:basedOn w:val="Tablanormal"/>
    <w:uiPriority w:val="50"/>
    <w:rsid w:val="008B61AA"/>
    <w:pPr>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character" w:styleId="Refdecomentario">
    <w:name w:val="annotation reference"/>
    <w:basedOn w:val="Fuentedeprrafopredeter"/>
    <w:uiPriority w:val="99"/>
    <w:semiHidden/>
    <w:unhideWhenUsed/>
    <w:rsid w:val="008B61AA"/>
    <w:rPr>
      <w:sz w:val="16"/>
      <w:szCs w:val="16"/>
    </w:rPr>
  </w:style>
  <w:style w:type="paragraph" w:styleId="Textocomentario">
    <w:name w:val="annotation text"/>
    <w:basedOn w:val="Normal"/>
    <w:link w:val="TextocomentarioCar"/>
    <w:uiPriority w:val="99"/>
    <w:unhideWhenUsed/>
    <w:rsid w:val="008B61AA"/>
    <w:pPr>
      <w:spacing w:line="240" w:lineRule="auto"/>
    </w:pPr>
    <w:rPr>
      <w:rFonts w:asciiTheme="minorHAnsi" w:eastAsiaTheme="minorHAnsi" w:hAnsiTheme="minorHAnsi" w:cstheme="minorBidi"/>
      <w:sz w:val="20"/>
      <w:szCs w:val="20"/>
      <w:lang w:eastAsia="en-US"/>
    </w:rPr>
  </w:style>
  <w:style w:type="character" w:customStyle="1" w:styleId="TextocomentarioCar">
    <w:name w:val="Texto comentario Car"/>
    <w:basedOn w:val="Fuentedeprrafopredeter"/>
    <w:link w:val="Textocomentario"/>
    <w:uiPriority w:val="99"/>
    <w:rsid w:val="008B61AA"/>
    <w:rPr>
      <w:rFonts w:asciiTheme="minorHAnsi" w:eastAsiaTheme="minorHAnsi" w:hAnsiTheme="minorHAnsi" w:cstheme="minorBidi"/>
      <w:sz w:val="20"/>
      <w:szCs w:val="20"/>
      <w:lang w:eastAsia="en-US"/>
    </w:rPr>
  </w:style>
  <w:style w:type="paragraph" w:styleId="Asuntodelcomentario">
    <w:name w:val="annotation subject"/>
    <w:basedOn w:val="Textocomentario"/>
    <w:next w:val="Textocomentario"/>
    <w:link w:val="AsuntodelcomentarioCar"/>
    <w:uiPriority w:val="99"/>
    <w:semiHidden/>
    <w:unhideWhenUsed/>
    <w:rsid w:val="008B61AA"/>
    <w:rPr>
      <w:b/>
      <w:bCs/>
    </w:rPr>
  </w:style>
  <w:style w:type="character" w:customStyle="1" w:styleId="AsuntodelcomentarioCar">
    <w:name w:val="Asunto del comentario Car"/>
    <w:basedOn w:val="TextocomentarioCar"/>
    <w:link w:val="Asuntodelcomentario"/>
    <w:uiPriority w:val="99"/>
    <w:semiHidden/>
    <w:rsid w:val="008B61AA"/>
    <w:rPr>
      <w:rFonts w:asciiTheme="minorHAnsi" w:eastAsiaTheme="minorHAnsi" w:hAnsiTheme="minorHAnsi" w:cstheme="minorBidi"/>
      <w:b/>
      <w:bCs/>
      <w:sz w:val="20"/>
      <w:szCs w:val="20"/>
      <w:lang w:eastAsia="en-US"/>
    </w:rPr>
  </w:style>
  <w:style w:type="paragraph" w:customStyle="1" w:styleId="Pa35">
    <w:name w:val="Pa35"/>
    <w:basedOn w:val="Default"/>
    <w:next w:val="Default"/>
    <w:uiPriority w:val="99"/>
    <w:rsid w:val="008B61AA"/>
    <w:pPr>
      <w:spacing w:line="601" w:lineRule="atLeast"/>
    </w:pPr>
    <w:rPr>
      <w:rFonts w:ascii="Myriad Pro" w:hAnsi="Myriad Pro" w:cstheme="minorBidi"/>
      <w:color w:val="auto"/>
    </w:rPr>
  </w:style>
  <w:style w:type="character" w:customStyle="1" w:styleId="A2">
    <w:name w:val="A2"/>
    <w:uiPriority w:val="99"/>
    <w:rsid w:val="008B61AA"/>
    <w:rPr>
      <w:rFonts w:cs="Myriad Pro"/>
      <w:color w:val="000000"/>
    </w:rPr>
  </w:style>
  <w:style w:type="paragraph" w:customStyle="1" w:styleId="Pa2">
    <w:name w:val="Pa2"/>
    <w:basedOn w:val="Default"/>
    <w:next w:val="Default"/>
    <w:uiPriority w:val="99"/>
    <w:rsid w:val="008B61AA"/>
    <w:pPr>
      <w:spacing w:line="181" w:lineRule="atLeast"/>
    </w:pPr>
    <w:rPr>
      <w:rFonts w:ascii="Myriad Pro" w:hAnsi="Myriad Pro" w:cstheme="minorBidi"/>
      <w:color w:val="auto"/>
    </w:rPr>
  </w:style>
  <w:style w:type="character" w:customStyle="1" w:styleId="A6">
    <w:name w:val="A6"/>
    <w:uiPriority w:val="99"/>
    <w:rsid w:val="008B61AA"/>
    <w:rPr>
      <w:rFonts w:cs="Myriad Pro"/>
      <w:b/>
      <w:bCs/>
      <w:color w:val="000000"/>
    </w:rPr>
  </w:style>
  <w:style w:type="paragraph" w:customStyle="1" w:styleId="featuretitle">
    <w:name w:val="feature__title"/>
    <w:basedOn w:val="Normal"/>
    <w:rsid w:val="008B61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subtitle">
    <w:name w:val="feature__subtitle"/>
    <w:basedOn w:val="Normal"/>
    <w:rsid w:val="008B61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Normal"/>
    <w:rsid w:val="008B61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4x9c">
    <w:name w:val="p64x9c"/>
    <w:basedOn w:val="Normal"/>
    <w:rsid w:val="008B61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l9hy">
    <w:name w:val="gl9hy"/>
    <w:basedOn w:val="Fuentedeprrafopredeter"/>
    <w:rsid w:val="008B61AA"/>
  </w:style>
  <w:style w:type="character" w:customStyle="1" w:styleId="spellorig">
    <w:name w:val="spell_orig"/>
    <w:basedOn w:val="Fuentedeprrafopredeter"/>
    <w:rsid w:val="008B61AA"/>
  </w:style>
  <w:style w:type="character" w:customStyle="1" w:styleId="flex-caption-title">
    <w:name w:val="flex-caption-title"/>
    <w:basedOn w:val="Fuentedeprrafopredeter"/>
    <w:rsid w:val="008B61AA"/>
  </w:style>
  <w:style w:type="character" w:customStyle="1" w:styleId="flex-caption-body">
    <w:name w:val="flex-caption-body"/>
    <w:basedOn w:val="Fuentedeprrafopredeter"/>
    <w:rsid w:val="008B61AA"/>
  </w:style>
  <w:style w:type="paragraph" w:styleId="Revisin">
    <w:name w:val="Revision"/>
    <w:hidden/>
    <w:uiPriority w:val="99"/>
    <w:semiHidden/>
    <w:rsid w:val="008B61AA"/>
    <w:pPr>
      <w:spacing w:after="0" w:line="240" w:lineRule="auto"/>
    </w:pPr>
    <w:rPr>
      <w:rFonts w:asciiTheme="minorHAnsi" w:eastAsiaTheme="minorHAnsi" w:hAnsiTheme="minorHAnsi" w:cstheme="minorBidi"/>
      <w:lang w:eastAsia="en-US"/>
    </w:rPr>
  </w:style>
  <w:style w:type="paragraph" w:customStyle="1" w:styleId="Epgrafe">
    <w:name w:val="Epígrafe"/>
    <w:basedOn w:val="Normal"/>
    <w:next w:val="Normal"/>
    <w:qFormat/>
    <w:rsid w:val="008B61AA"/>
    <w:pPr>
      <w:spacing w:after="200" w:line="240" w:lineRule="auto"/>
    </w:pPr>
    <w:rPr>
      <w:rFonts w:cs="Arial"/>
      <w:i/>
      <w:iCs/>
      <w:color w:val="5B9BD5"/>
      <w:sz w:val="18"/>
      <w:szCs w:val="18"/>
      <w:lang w:eastAsia="zh-CN"/>
    </w:rPr>
  </w:style>
  <w:style w:type="paragraph" w:customStyle="1" w:styleId="contenidomainbody">
    <w:name w:val="contenido_mainbody"/>
    <w:basedOn w:val="Normal"/>
    <w:rsid w:val="008B61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cinsinresolver2">
    <w:name w:val="Mención sin resolver2"/>
    <w:basedOn w:val="Fuentedeprrafopredeter"/>
    <w:uiPriority w:val="99"/>
    <w:semiHidden/>
    <w:unhideWhenUsed/>
    <w:rsid w:val="008B61AA"/>
    <w:rPr>
      <w:color w:val="605E5C"/>
      <w:shd w:val="clear" w:color="auto" w:fill="E1DFDD"/>
    </w:rPr>
  </w:style>
  <w:style w:type="paragraph" w:customStyle="1" w:styleId="texto">
    <w:name w:val="texto"/>
    <w:basedOn w:val="Normal"/>
    <w:rsid w:val="008B61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ulo4tonivel">
    <w:name w:val="titulo_4tonivel"/>
    <w:basedOn w:val="Normal"/>
    <w:rsid w:val="008B61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ocontenidos">
    <w:name w:val="texto_contenidos"/>
    <w:basedOn w:val="Normal"/>
    <w:rsid w:val="008B61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cinsinresolver3">
    <w:name w:val="Mención sin resolver3"/>
    <w:basedOn w:val="Fuentedeprrafopredeter"/>
    <w:uiPriority w:val="99"/>
    <w:semiHidden/>
    <w:unhideWhenUsed/>
    <w:rsid w:val="008B61AA"/>
    <w:rPr>
      <w:color w:val="605E5C"/>
      <w:shd w:val="clear" w:color="auto" w:fill="E1DFDD"/>
    </w:rPr>
  </w:style>
  <w:style w:type="character" w:customStyle="1" w:styleId="init-openaction">
    <w:name w:val="init-open__action"/>
    <w:basedOn w:val="Fuentedeprrafopredeter"/>
    <w:rsid w:val="008B61AA"/>
  </w:style>
  <w:style w:type="paragraph" w:customStyle="1" w:styleId="msonormal0">
    <w:name w:val="msonormal"/>
    <w:basedOn w:val="Normal"/>
    <w:rsid w:val="008B61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8B61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6">
    <w:name w:val="xl76"/>
    <w:basedOn w:val="Normal"/>
    <w:rsid w:val="008B61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7">
    <w:name w:val="xl77"/>
    <w:basedOn w:val="Normal"/>
    <w:rsid w:val="008B61A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8">
    <w:name w:val="xl78"/>
    <w:basedOn w:val="Normal"/>
    <w:rsid w:val="008B61A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9">
    <w:name w:val="xl79"/>
    <w:basedOn w:val="Normal"/>
    <w:rsid w:val="008B61AA"/>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80">
    <w:name w:val="xl80"/>
    <w:basedOn w:val="Normal"/>
    <w:rsid w:val="008B61AA"/>
    <w:pPr>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paragraph" w:customStyle="1" w:styleId="xl81">
    <w:name w:val="xl81"/>
    <w:basedOn w:val="Normal"/>
    <w:rsid w:val="008B61AA"/>
    <w:pPr>
      <w:pBdr>
        <w:top w:val="single" w:sz="4" w:space="0" w:color="auto"/>
        <w:left w:val="single" w:sz="4" w:space="0" w:color="auto"/>
        <w:bottom w:val="single" w:sz="4" w:space="0" w:color="auto"/>
        <w:right w:val="single" w:sz="4" w:space="0" w:color="auto"/>
      </w:pBdr>
      <w:shd w:val="clear" w:color="000000" w:fill="44546A"/>
      <w:spacing w:before="100" w:beforeAutospacing="1" w:after="100" w:afterAutospacing="1" w:line="240" w:lineRule="auto"/>
      <w:jc w:val="center"/>
      <w:textAlignment w:val="center"/>
    </w:pPr>
    <w:rPr>
      <w:rFonts w:ascii="Times New Roman" w:eastAsia="Times New Roman" w:hAnsi="Times New Roman" w:cs="Times New Roman"/>
      <w:b/>
      <w:bCs/>
      <w:color w:val="FFFFFF"/>
      <w:sz w:val="18"/>
      <w:szCs w:val="18"/>
    </w:rPr>
  </w:style>
  <w:style w:type="paragraph" w:customStyle="1" w:styleId="xl82">
    <w:name w:val="xl82"/>
    <w:basedOn w:val="Normal"/>
    <w:rsid w:val="008B61AA"/>
    <w:pPr>
      <w:pBdr>
        <w:top w:val="single" w:sz="4" w:space="0" w:color="auto"/>
        <w:left w:val="single" w:sz="4" w:space="0" w:color="auto"/>
        <w:bottom w:val="single" w:sz="4" w:space="0" w:color="auto"/>
        <w:right w:val="single" w:sz="4" w:space="0" w:color="auto"/>
      </w:pBdr>
      <w:shd w:val="clear" w:color="000000" w:fill="44546A"/>
      <w:spacing w:before="100" w:beforeAutospacing="1" w:after="100" w:afterAutospacing="1" w:line="240" w:lineRule="auto"/>
      <w:jc w:val="center"/>
      <w:textAlignment w:val="center"/>
    </w:pPr>
    <w:rPr>
      <w:rFonts w:ascii="Times New Roman" w:eastAsia="Times New Roman" w:hAnsi="Times New Roman" w:cs="Times New Roman"/>
      <w:b/>
      <w:bCs/>
      <w:color w:val="FFFFFF"/>
      <w:sz w:val="18"/>
      <w:szCs w:val="18"/>
    </w:rPr>
  </w:style>
  <w:style w:type="paragraph" w:customStyle="1" w:styleId="xl83">
    <w:name w:val="xl83"/>
    <w:basedOn w:val="Normal"/>
    <w:rsid w:val="008B61AA"/>
    <w:pPr>
      <w:pBdr>
        <w:top w:val="single" w:sz="4" w:space="0" w:color="auto"/>
        <w:left w:val="single" w:sz="4" w:space="0" w:color="auto"/>
        <w:bottom w:val="single" w:sz="4" w:space="0" w:color="auto"/>
        <w:right w:val="single" w:sz="4" w:space="0" w:color="auto"/>
      </w:pBdr>
      <w:shd w:val="clear" w:color="000000" w:fill="44546A"/>
      <w:spacing w:before="100" w:beforeAutospacing="1" w:after="100" w:afterAutospacing="1" w:line="240" w:lineRule="auto"/>
      <w:textAlignment w:val="center"/>
    </w:pPr>
    <w:rPr>
      <w:rFonts w:ascii="Times New Roman" w:eastAsia="Times New Roman" w:hAnsi="Times New Roman" w:cs="Times New Roman"/>
      <w:b/>
      <w:bCs/>
      <w:color w:val="FFFFFF"/>
      <w:sz w:val="18"/>
      <w:szCs w:val="18"/>
    </w:rPr>
  </w:style>
  <w:style w:type="paragraph" w:customStyle="1" w:styleId="xl84">
    <w:name w:val="xl84"/>
    <w:basedOn w:val="Normal"/>
    <w:rsid w:val="008B61AA"/>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center"/>
      <w:textAlignment w:val="center"/>
    </w:pPr>
    <w:rPr>
      <w:rFonts w:ascii="Times New Roman" w:eastAsia="Times New Roman" w:hAnsi="Times New Roman" w:cs="Times New Roman"/>
      <w:b/>
      <w:bCs/>
      <w:color w:val="FFFFFF"/>
      <w:sz w:val="18"/>
      <w:szCs w:val="18"/>
    </w:rPr>
  </w:style>
  <w:style w:type="paragraph" w:customStyle="1" w:styleId="xl85">
    <w:name w:val="xl85"/>
    <w:basedOn w:val="Normal"/>
    <w:rsid w:val="008B61AA"/>
    <w:pPr>
      <w:pBdr>
        <w:top w:val="single" w:sz="4" w:space="0" w:color="auto"/>
        <w:left w:val="single" w:sz="4" w:space="0" w:color="auto"/>
        <w:bottom w:val="single" w:sz="4" w:space="0" w:color="auto"/>
        <w:right w:val="single" w:sz="4" w:space="0" w:color="auto"/>
      </w:pBdr>
      <w:shd w:val="clear" w:color="000000" w:fill="44546A"/>
      <w:spacing w:before="100" w:beforeAutospacing="1" w:after="100" w:afterAutospacing="1" w:line="240" w:lineRule="auto"/>
      <w:jc w:val="center"/>
      <w:textAlignment w:val="center"/>
    </w:pPr>
    <w:rPr>
      <w:rFonts w:ascii="Times New Roman" w:eastAsia="Times New Roman" w:hAnsi="Times New Roman" w:cs="Times New Roman"/>
      <w:b/>
      <w:bCs/>
      <w:color w:val="FFFFFF"/>
      <w:sz w:val="16"/>
      <w:szCs w:val="16"/>
    </w:rPr>
  </w:style>
  <w:style w:type="paragraph" w:customStyle="1" w:styleId="xl86">
    <w:name w:val="xl86"/>
    <w:basedOn w:val="Normal"/>
    <w:rsid w:val="008B61AA"/>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87">
    <w:name w:val="xl87"/>
    <w:basedOn w:val="Normal"/>
    <w:rsid w:val="008B61AA"/>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88">
    <w:name w:val="xl88"/>
    <w:basedOn w:val="Normal"/>
    <w:rsid w:val="008B61AA"/>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Times New Roman" w:eastAsia="Times New Roman" w:hAnsi="Times New Roman" w:cs="Times New Roman"/>
      <w:color w:val="000000"/>
      <w:sz w:val="18"/>
      <w:szCs w:val="18"/>
    </w:rPr>
  </w:style>
  <w:style w:type="paragraph" w:customStyle="1" w:styleId="xl89">
    <w:name w:val="xl89"/>
    <w:basedOn w:val="Normal"/>
    <w:rsid w:val="008B61AA"/>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Times New Roman" w:eastAsia="Times New Roman" w:hAnsi="Times New Roman" w:cs="Times New Roman"/>
      <w:color w:val="000000"/>
      <w:sz w:val="18"/>
      <w:szCs w:val="18"/>
    </w:rPr>
  </w:style>
  <w:style w:type="paragraph" w:customStyle="1" w:styleId="xl90">
    <w:name w:val="xl90"/>
    <w:basedOn w:val="Normal"/>
    <w:rsid w:val="008B61AA"/>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Times New Roman" w:eastAsia="Times New Roman" w:hAnsi="Times New Roman" w:cs="Times New Roman"/>
      <w:color w:val="000000"/>
      <w:sz w:val="16"/>
      <w:szCs w:val="16"/>
    </w:rPr>
  </w:style>
  <w:style w:type="paragraph" w:customStyle="1" w:styleId="xl91">
    <w:name w:val="xl91"/>
    <w:basedOn w:val="Normal"/>
    <w:rsid w:val="008B61AA"/>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jc w:val="center"/>
      <w:textAlignment w:val="center"/>
    </w:pPr>
    <w:rPr>
      <w:rFonts w:ascii="Times New Roman" w:eastAsia="Times New Roman" w:hAnsi="Times New Roman" w:cs="Times New Roman"/>
      <w:color w:val="000000"/>
      <w:sz w:val="18"/>
      <w:szCs w:val="18"/>
    </w:rPr>
  </w:style>
  <w:style w:type="paragraph" w:customStyle="1" w:styleId="xl92">
    <w:name w:val="xl92"/>
    <w:basedOn w:val="Normal"/>
    <w:rsid w:val="008B61AA"/>
    <w:pPr>
      <w:pBdr>
        <w:top w:val="single" w:sz="4" w:space="0" w:color="auto"/>
        <w:left w:val="single" w:sz="4" w:space="0" w:color="auto"/>
        <w:bottom w:val="single" w:sz="4" w:space="0" w:color="auto"/>
        <w:right w:val="single" w:sz="4" w:space="0" w:color="auto"/>
      </w:pBdr>
      <w:shd w:val="clear" w:color="000000" w:fill="B4C6E7"/>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93">
    <w:name w:val="xl93"/>
    <w:basedOn w:val="Normal"/>
    <w:rsid w:val="008B61AA"/>
    <w:pPr>
      <w:pBdr>
        <w:top w:val="single" w:sz="4" w:space="0" w:color="auto"/>
        <w:left w:val="single" w:sz="4" w:space="0" w:color="auto"/>
        <w:bottom w:val="single" w:sz="4" w:space="0" w:color="auto"/>
        <w:right w:val="single" w:sz="4" w:space="0" w:color="auto"/>
      </w:pBdr>
      <w:shd w:val="clear" w:color="000000" w:fill="B4C6E7"/>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94">
    <w:name w:val="xl94"/>
    <w:basedOn w:val="Normal"/>
    <w:rsid w:val="008B61AA"/>
    <w:pPr>
      <w:pBdr>
        <w:top w:val="single" w:sz="4" w:space="0" w:color="auto"/>
        <w:left w:val="single" w:sz="4" w:space="0" w:color="auto"/>
        <w:bottom w:val="single" w:sz="4" w:space="0" w:color="auto"/>
        <w:right w:val="single" w:sz="4" w:space="0" w:color="auto"/>
      </w:pBdr>
      <w:shd w:val="clear" w:color="000000" w:fill="B4C6E7"/>
      <w:spacing w:before="100" w:beforeAutospacing="1" w:after="100" w:afterAutospacing="1" w:line="240" w:lineRule="auto"/>
      <w:jc w:val="center"/>
      <w:textAlignment w:val="center"/>
    </w:pPr>
    <w:rPr>
      <w:rFonts w:ascii="Times New Roman" w:eastAsia="Times New Roman" w:hAnsi="Times New Roman" w:cs="Times New Roman"/>
      <w:color w:val="000000"/>
      <w:sz w:val="18"/>
      <w:szCs w:val="18"/>
    </w:rPr>
  </w:style>
  <w:style w:type="paragraph" w:customStyle="1" w:styleId="xl95">
    <w:name w:val="xl95"/>
    <w:basedOn w:val="Normal"/>
    <w:rsid w:val="008B61AA"/>
    <w:pPr>
      <w:pBdr>
        <w:top w:val="single" w:sz="4" w:space="0" w:color="auto"/>
        <w:left w:val="single" w:sz="4" w:space="0" w:color="auto"/>
        <w:bottom w:val="single" w:sz="4" w:space="0" w:color="auto"/>
        <w:right w:val="single" w:sz="4" w:space="0" w:color="auto"/>
      </w:pBdr>
      <w:shd w:val="clear" w:color="000000" w:fill="B4C6E7"/>
      <w:spacing w:before="100" w:beforeAutospacing="1" w:after="100" w:afterAutospacing="1" w:line="240" w:lineRule="auto"/>
      <w:textAlignment w:val="center"/>
    </w:pPr>
    <w:rPr>
      <w:rFonts w:ascii="Times New Roman" w:eastAsia="Times New Roman" w:hAnsi="Times New Roman" w:cs="Times New Roman"/>
      <w:color w:val="000000"/>
      <w:sz w:val="18"/>
      <w:szCs w:val="18"/>
    </w:rPr>
  </w:style>
  <w:style w:type="paragraph" w:customStyle="1" w:styleId="xl96">
    <w:name w:val="xl96"/>
    <w:basedOn w:val="Normal"/>
    <w:rsid w:val="008B61AA"/>
    <w:pPr>
      <w:pBdr>
        <w:top w:val="single" w:sz="4" w:space="0" w:color="auto"/>
        <w:left w:val="single" w:sz="4" w:space="0" w:color="auto"/>
        <w:bottom w:val="single" w:sz="4" w:space="0" w:color="auto"/>
        <w:right w:val="single" w:sz="4" w:space="0" w:color="auto"/>
      </w:pBdr>
      <w:shd w:val="clear" w:color="000000" w:fill="B4C6E7"/>
      <w:spacing w:before="100" w:beforeAutospacing="1" w:after="100" w:afterAutospacing="1" w:line="240" w:lineRule="auto"/>
      <w:textAlignment w:val="center"/>
    </w:pPr>
    <w:rPr>
      <w:rFonts w:ascii="Times New Roman" w:eastAsia="Times New Roman" w:hAnsi="Times New Roman" w:cs="Times New Roman"/>
      <w:color w:val="000000"/>
      <w:sz w:val="16"/>
      <w:szCs w:val="16"/>
    </w:rPr>
  </w:style>
  <w:style w:type="paragraph" w:customStyle="1" w:styleId="xl97">
    <w:name w:val="xl97"/>
    <w:basedOn w:val="Normal"/>
    <w:rsid w:val="008B61AA"/>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Times New Roman" w:eastAsia="Times New Roman" w:hAnsi="Times New Roman" w:cs="Times New Roman"/>
      <w:color w:val="000000"/>
      <w:sz w:val="16"/>
      <w:szCs w:val="16"/>
    </w:rPr>
  </w:style>
  <w:style w:type="paragraph" w:customStyle="1" w:styleId="xl98">
    <w:name w:val="xl98"/>
    <w:basedOn w:val="Normal"/>
    <w:rsid w:val="008B61AA"/>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99">
    <w:name w:val="xl99"/>
    <w:basedOn w:val="Normal"/>
    <w:rsid w:val="008B61AA"/>
    <w:pPr>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100">
    <w:name w:val="xl100"/>
    <w:basedOn w:val="Normal"/>
    <w:rsid w:val="008B61AA"/>
    <w:pPr>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textAlignment w:val="center"/>
    </w:pPr>
    <w:rPr>
      <w:rFonts w:ascii="Times New Roman" w:eastAsia="Times New Roman" w:hAnsi="Times New Roman" w:cs="Times New Roman"/>
      <w:color w:val="000000"/>
      <w:sz w:val="16"/>
      <w:szCs w:val="16"/>
    </w:rPr>
  </w:style>
  <w:style w:type="paragraph" w:customStyle="1" w:styleId="xl101">
    <w:name w:val="xl101"/>
    <w:basedOn w:val="Normal"/>
    <w:rsid w:val="008B61AA"/>
    <w:pPr>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jc w:val="center"/>
      <w:textAlignment w:val="center"/>
    </w:pPr>
    <w:rPr>
      <w:rFonts w:ascii="Times New Roman" w:eastAsia="Times New Roman" w:hAnsi="Times New Roman" w:cs="Times New Roman"/>
      <w:color w:val="000000"/>
      <w:sz w:val="18"/>
      <w:szCs w:val="18"/>
    </w:rPr>
  </w:style>
  <w:style w:type="paragraph" w:customStyle="1" w:styleId="xl102">
    <w:name w:val="xl102"/>
    <w:basedOn w:val="Normal"/>
    <w:rsid w:val="008B61AA"/>
    <w:pPr>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textAlignment w:val="center"/>
    </w:pPr>
    <w:rPr>
      <w:rFonts w:ascii="Times New Roman" w:eastAsia="Times New Roman" w:hAnsi="Times New Roman" w:cs="Times New Roman"/>
      <w:color w:val="000000"/>
      <w:sz w:val="18"/>
      <w:szCs w:val="18"/>
    </w:rPr>
  </w:style>
  <w:style w:type="paragraph" w:customStyle="1" w:styleId="xl103">
    <w:name w:val="xl103"/>
    <w:basedOn w:val="Normal"/>
    <w:rsid w:val="008B61AA"/>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color w:val="000000"/>
      <w:sz w:val="16"/>
      <w:szCs w:val="16"/>
    </w:rPr>
  </w:style>
  <w:style w:type="paragraph" w:customStyle="1" w:styleId="xl104">
    <w:name w:val="xl104"/>
    <w:basedOn w:val="Normal"/>
    <w:rsid w:val="008B61AA"/>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color w:val="000000"/>
      <w:sz w:val="18"/>
      <w:szCs w:val="18"/>
    </w:rPr>
  </w:style>
  <w:style w:type="paragraph" w:customStyle="1" w:styleId="xl105">
    <w:name w:val="xl105"/>
    <w:basedOn w:val="Normal"/>
    <w:rsid w:val="008B61AA"/>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jc w:val="center"/>
      <w:textAlignment w:val="center"/>
    </w:pPr>
    <w:rPr>
      <w:rFonts w:ascii="Times New Roman" w:eastAsia="Times New Roman" w:hAnsi="Times New Roman" w:cs="Times New Roman"/>
      <w:color w:val="000000"/>
      <w:sz w:val="18"/>
      <w:szCs w:val="18"/>
    </w:rPr>
  </w:style>
  <w:style w:type="paragraph" w:customStyle="1" w:styleId="xl106">
    <w:name w:val="xl106"/>
    <w:basedOn w:val="Normal"/>
    <w:rsid w:val="008B61AA"/>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paragraph" w:customStyle="1" w:styleId="xl107">
    <w:name w:val="xl107"/>
    <w:basedOn w:val="Normal"/>
    <w:rsid w:val="008B61AA"/>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paragraph" w:customStyle="1" w:styleId="xl108">
    <w:name w:val="xl108"/>
    <w:basedOn w:val="Normal"/>
    <w:rsid w:val="008B61AA"/>
    <w:pPr>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paragraph" w:customStyle="1" w:styleId="xl109">
    <w:name w:val="xl109"/>
    <w:basedOn w:val="Normal"/>
    <w:rsid w:val="008B61AA"/>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110">
    <w:name w:val="xl110"/>
    <w:basedOn w:val="Normal"/>
    <w:rsid w:val="008B61AA"/>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textAlignment w:val="center"/>
    </w:pPr>
    <w:rPr>
      <w:rFonts w:ascii="Times New Roman" w:eastAsia="Times New Roman" w:hAnsi="Times New Roman" w:cs="Times New Roman"/>
      <w:color w:val="000000"/>
      <w:sz w:val="16"/>
      <w:szCs w:val="16"/>
    </w:rPr>
  </w:style>
  <w:style w:type="paragraph" w:customStyle="1" w:styleId="xl111">
    <w:name w:val="xl111"/>
    <w:basedOn w:val="Normal"/>
    <w:rsid w:val="008B61AA"/>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textAlignment w:val="center"/>
    </w:pPr>
    <w:rPr>
      <w:rFonts w:ascii="Times New Roman" w:eastAsia="Times New Roman" w:hAnsi="Times New Roman" w:cs="Times New Roman"/>
      <w:color w:val="000000"/>
      <w:sz w:val="18"/>
      <w:szCs w:val="18"/>
    </w:rPr>
  </w:style>
  <w:style w:type="paragraph" w:customStyle="1" w:styleId="xl112">
    <w:name w:val="xl112"/>
    <w:basedOn w:val="Normal"/>
    <w:rsid w:val="008B61AA"/>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color w:val="000000"/>
      <w:sz w:val="18"/>
      <w:szCs w:val="18"/>
    </w:rPr>
  </w:style>
  <w:style w:type="paragraph" w:customStyle="1" w:styleId="xl113">
    <w:name w:val="xl113"/>
    <w:basedOn w:val="Normal"/>
    <w:rsid w:val="008B61AA"/>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114">
    <w:name w:val="xl114"/>
    <w:basedOn w:val="Normal"/>
    <w:rsid w:val="008B61AA"/>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textAlignment w:val="center"/>
    </w:pPr>
    <w:rPr>
      <w:rFonts w:ascii="Times New Roman" w:eastAsia="Times New Roman" w:hAnsi="Times New Roman" w:cs="Times New Roman"/>
      <w:color w:val="000000"/>
      <w:sz w:val="16"/>
      <w:szCs w:val="16"/>
    </w:rPr>
  </w:style>
  <w:style w:type="paragraph" w:customStyle="1" w:styleId="xl115">
    <w:name w:val="xl115"/>
    <w:basedOn w:val="Normal"/>
    <w:rsid w:val="008B61AA"/>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textAlignment w:val="center"/>
    </w:pPr>
    <w:rPr>
      <w:rFonts w:ascii="Times New Roman" w:eastAsia="Times New Roman" w:hAnsi="Times New Roman" w:cs="Times New Roman"/>
      <w:color w:val="000000"/>
      <w:sz w:val="18"/>
      <w:szCs w:val="18"/>
    </w:rPr>
  </w:style>
  <w:style w:type="paragraph" w:customStyle="1" w:styleId="xl116">
    <w:name w:val="xl116"/>
    <w:basedOn w:val="Normal"/>
    <w:rsid w:val="008B61AA"/>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jc w:val="center"/>
      <w:textAlignment w:val="center"/>
    </w:pPr>
    <w:rPr>
      <w:rFonts w:ascii="Times New Roman" w:eastAsia="Times New Roman" w:hAnsi="Times New Roman" w:cs="Times New Roman"/>
      <w:color w:val="000000"/>
      <w:sz w:val="18"/>
      <w:szCs w:val="18"/>
    </w:rPr>
  </w:style>
  <w:style w:type="paragraph" w:customStyle="1" w:styleId="xl117">
    <w:name w:val="xl117"/>
    <w:basedOn w:val="Normal"/>
    <w:rsid w:val="008B61AA"/>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18">
    <w:name w:val="xl118"/>
    <w:basedOn w:val="Normal"/>
    <w:rsid w:val="008B61AA"/>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paragraph" w:customStyle="1" w:styleId="xl119">
    <w:name w:val="xl119"/>
    <w:basedOn w:val="Normal"/>
    <w:rsid w:val="008B61AA"/>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20">
    <w:name w:val="xl120"/>
    <w:basedOn w:val="Normal"/>
    <w:rsid w:val="008B61AA"/>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paragraph" w:customStyle="1" w:styleId="xl121">
    <w:name w:val="xl121"/>
    <w:basedOn w:val="Normal"/>
    <w:rsid w:val="008B61A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2">
    <w:name w:val="xl122"/>
    <w:basedOn w:val="Normal"/>
    <w:rsid w:val="008B61AA"/>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textAlignment w:val="center"/>
    </w:pPr>
    <w:rPr>
      <w:rFonts w:ascii="Times New Roman" w:eastAsia="Times New Roman" w:hAnsi="Times New Roman" w:cs="Times New Roman"/>
      <w:color w:val="000000"/>
      <w:sz w:val="18"/>
      <w:szCs w:val="18"/>
    </w:rPr>
  </w:style>
  <w:style w:type="paragraph" w:customStyle="1" w:styleId="xl123">
    <w:name w:val="xl123"/>
    <w:basedOn w:val="Normal"/>
    <w:rsid w:val="008B61AA"/>
    <w:pPr>
      <w:pBdr>
        <w:top w:val="single" w:sz="4" w:space="0" w:color="auto"/>
        <w:left w:val="single" w:sz="4" w:space="0" w:color="auto"/>
        <w:bottom w:val="single" w:sz="4" w:space="0" w:color="auto"/>
        <w:right w:val="single" w:sz="4" w:space="0" w:color="auto"/>
      </w:pBdr>
      <w:shd w:val="clear" w:color="000000" w:fill="B4C6E7"/>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paragraph" w:customStyle="1" w:styleId="xl124">
    <w:name w:val="xl124"/>
    <w:basedOn w:val="Normal"/>
    <w:rsid w:val="008B61AA"/>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25">
    <w:name w:val="xl125"/>
    <w:basedOn w:val="Normal"/>
    <w:rsid w:val="008B61AA"/>
    <w:pPr>
      <w:spacing w:before="100" w:beforeAutospacing="1" w:after="100" w:afterAutospacing="1" w:line="240" w:lineRule="auto"/>
      <w:jc w:val="center"/>
    </w:pPr>
    <w:rPr>
      <w:rFonts w:ascii="Times New Roman" w:eastAsia="Times New Roman" w:hAnsi="Times New Roman" w:cs="Times New Roman"/>
      <w:sz w:val="18"/>
      <w:szCs w:val="18"/>
    </w:rPr>
  </w:style>
  <w:style w:type="paragraph" w:customStyle="1" w:styleId="xl126">
    <w:name w:val="xl126"/>
    <w:basedOn w:val="Normal"/>
    <w:rsid w:val="008B61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27">
    <w:name w:val="xl127"/>
    <w:basedOn w:val="Normal"/>
    <w:rsid w:val="008B61AA"/>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xl128">
    <w:name w:val="xl128"/>
    <w:basedOn w:val="Normal"/>
    <w:rsid w:val="008B61AA"/>
    <w:pPr>
      <w:pBdr>
        <w:top w:val="single" w:sz="4" w:space="0" w:color="auto"/>
        <w:left w:val="single" w:sz="4" w:space="0" w:color="auto"/>
        <w:bottom w:val="single" w:sz="4" w:space="0" w:color="auto"/>
        <w:right w:val="single" w:sz="4" w:space="0" w:color="auto"/>
      </w:pBdr>
      <w:shd w:val="clear" w:color="000000" w:fill="44546A"/>
      <w:spacing w:before="100" w:beforeAutospacing="1" w:after="100" w:afterAutospacing="1" w:line="240" w:lineRule="auto"/>
      <w:textAlignment w:val="center"/>
    </w:pPr>
    <w:rPr>
      <w:rFonts w:ascii="Times New Roman" w:eastAsia="Times New Roman" w:hAnsi="Times New Roman" w:cs="Times New Roman"/>
      <w:b/>
      <w:bCs/>
      <w:color w:val="FFFFFF"/>
      <w:sz w:val="18"/>
      <w:szCs w:val="18"/>
    </w:rPr>
  </w:style>
  <w:style w:type="paragraph" w:customStyle="1" w:styleId="xl129">
    <w:name w:val="xl129"/>
    <w:basedOn w:val="Normal"/>
    <w:rsid w:val="008B61AA"/>
    <w:pPr>
      <w:pBdr>
        <w:top w:val="single" w:sz="4" w:space="0" w:color="auto"/>
        <w:left w:val="single" w:sz="4" w:space="0" w:color="auto"/>
        <w:bottom w:val="single" w:sz="4" w:space="0" w:color="auto"/>
        <w:right w:val="single" w:sz="4" w:space="0" w:color="auto"/>
      </w:pBdr>
      <w:shd w:val="clear" w:color="000000" w:fill="B4C6E7"/>
      <w:spacing w:before="100" w:beforeAutospacing="1" w:after="100" w:afterAutospacing="1" w:line="240" w:lineRule="auto"/>
      <w:textAlignment w:val="center"/>
    </w:pPr>
    <w:rPr>
      <w:rFonts w:eastAsia="Times New Roman"/>
      <w:b/>
      <w:bCs/>
      <w:color w:val="000000"/>
      <w:sz w:val="16"/>
      <w:szCs w:val="16"/>
    </w:rPr>
  </w:style>
  <w:style w:type="paragraph" w:customStyle="1" w:styleId="xl130">
    <w:name w:val="xl130"/>
    <w:basedOn w:val="Normal"/>
    <w:rsid w:val="008B61AA"/>
    <w:pPr>
      <w:pBdr>
        <w:top w:val="single" w:sz="4" w:space="0" w:color="auto"/>
        <w:left w:val="single" w:sz="4" w:space="0" w:color="auto"/>
        <w:bottom w:val="single" w:sz="4" w:space="0" w:color="auto"/>
        <w:right w:val="single" w:sz="4" w:space="0" w:color="auto"/>
      </w:pBdr>
      <w:shd w:val="clear" w:color="000000" w:fill="B4C6E7"/>
      <w:spacing w:before="100" w:beforeAutospacing="1" w:after="100" w:afterAutospacing="1" w:line="240" w:lineRule="auto"/>
      <w:textAlignment w:val="center"/>
    </w:pPr>
    <w:rPr>
      <w:rFonts w:eastAsia="Times New Roman"/>
      <w:b/>
      <w:bCs/>
      <w:color w:val="000000"/>
      <w:sz w:val="16"/>
      <w:szCs w:val="16"/>
    </w:rPr>
  </w:style>
  <w:style w:type="paragraph" w:customStyle="1" w:styleId="xl131">
    <w:name w:val="xl131"/>
    <w:basedOn w:val="Normal"/>
    <w:rsid w:val="008B61A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32">
    <w:name w:val="xl132"/>
    <w:basedOn w:val="Normal"/>
    <w:rsid w:val="008B61AA"/>
    <w:pPr>
      <w:pBdr>
        <w:top w:val="single" w:sz="4" w:space="0" w:color="auto"/>
        <w:left w:val="single" w:sz="4" w:space="0" w:color="auto"/>
        <w:bottom w:val="single" w:sz="4" w:space="0" w:color="auto"/>
        <w:right w:val="single" w:sz="4" w:space="0" w:color="auto"/>
      </w:pBdr>
      <w:shd w:val="clear" w:color="000000" w:fill="305496"/>
      <w:spacing w:before="100" w:beforeAutospacing="1" w:after="100" w:afterAutospacing="1" w:line="240" w:lineRule="auto"/>
      <w:textAlignment w:val="center"/>
    </w:pPr>
    <w:rPr>
      <w:rFonts w:ascii="Times New Roman" w:eastAsia="Times New Roman" w:hAnsi="Times New Roman" w:cs="Times New Roman"/>
      <w:color w:val="FFFFFF"/>
      <w:sz w:val="20"/>
      <w:szCs w:val="20"/>
    </w:rPr>
  </w:style>
  <w:style w:type="paragraph" w:customStyle="1" w:styleId="xl133">
    <w:name w:val="xl133"/>
    <w:basedOn w:val="Normal"/>
    <w:rsid w:val="008B61AA"/>
    <w:pPr>
      <w:pBdr>
        <w:top w:val="single" w:sz="4" w:space="0" w:color="auto"/>
        <w:left w:val="single" w:sz="4" w:space="0" w:color="auto"/>
        <w:bottom w:val="single" w:sz="4" w:space="0" w:color="auto"/>
        <w:right w:val="single" w:sz="4" w:space="0" w:color="auto"/>
      </w:pBdr>
      <w:shd w:val="clear" w:color="000000" w:fill="305496"/>
      <w:spacing w:before="100" w:beforeAutospacing="1" w:after="100" w:afterAutospacing="1" w:line="240" w:lineRule="auto"/>
      <w:jc w:val="center"/>
      <w:textAlignment w:val="center"/>
    </w:pPr>
    <w:rPr>
      <w:rFonts w:ascii="Times New Roman" w:eastAsia="Times New Roman" w:hAnsi="Times New Roman" w:cs="Times New Roman"/>
      <w:color w:val="FFFFFF"/>
      <w:sz w:val="16"/>
      <w:szCs w:val="16"/>
    </w:rPr>
  </w:style>
  <w:style w:type="paragraph" w:customStyle="1" w:styleId="xl134">
    <w:name w:val="xl134"/>
    <w:basedOn w:val="Normal"/>
    <w:rsid w:val="008B61AA"/>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135">
    <w:name w:val="xl135"/>
    <w:basedOn w:val="Normal"/>
    <w:rsid w:val="008B61AA"/>
    <w:pPr>
      <w:pBdr>
        <w:top w:val="single" w:sz="4" w:space="0" w:color="auto"/>
        <w:left w:val="single" w:sz="4" w:space="0" w:color="auto"/>
        <w:bottom w:val="single" w:sz="4" w:space="0" w:color="auto"/>
        <w:right w:val="single" w:sz="4" w:space="0" w:color="auto"/>
      </w:pBdr>
      <w:shd w:val="clear" w:color="000000" w:fill="305496"/>
      <w:spacing w:before="100" w:beforeAutospacing="1" w:after="100" w:afterAutospacing="1" w:line="240" w:lineRule="auto"/>
      <w:textAlignment w:val="center"/>
    </w:pPr>
    <w:rPr>
      <w:rFonts w:ascii="Times New Roman" w:eastAsia="Times New Roman" w:hAnsi="Times New Roman" w:cs="Times New Roman"/>
      <w:color w:val="FFFFFF"/>
      <w:sz w:val="20"/>
      <w:szCs w:val="20"/>
    </w:rPr>
  </w:style>
  <w:style w:type="paragraph" w:customStyle="1" w:styleId="xl136">
    <w:name w:val="xl136"/>
    <w:basedOn w:val="Normal"/>
    <w:rsid w:val="008B61A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37">
    <w:name w:val="xl137"/>
    <w:basedOn w:val="Normal"/>
    <w:rsid w:val="008B61AA"/>
    <w:pPr>
      <w:pBdr>
        <w:top w:val="single" w:sz="4" w:space="0" w:color="auto"/>
        <w:left w:val="single" w:sz="4" w:space="0" w:color="auto"/>
        <w:bottom w:val="single" w:sz="4" w:space="0" w:color="auto"/>
        <w:right w:val="single" w:sz="4" w:space="0" w:color="auto"/>
      </w:pBdr>
      <w:shd w:val="clear" w:color="000000" w:fill="C65911"/>
      <w:spacing w:before="100" w:beforeAutospacing="1" w:after="100" w:afterAutospacing="1" w:line="240" w:lineRule="auto"/>
      <w:textAlignment w:val="center"/>
    </w:pPr>
    <w:rPr>
      <w:rFonts w:ascii="Times New Roman" w:eastAsia="Times New Roman" w:hAnsi="Times New Roman" w:cs="Times New Roman"/>
      <w:color w:val="FFFFFF"/>
      <w:sz w:val="20"/>
      <w:szCs w:val="20"/>
    </w:rPr>
  </w:style>
  <w:style w:type="paragraph" w:customStyle="1" w:styleId="xl138">
    <w:name w:val="xl138"/>
    <w:basedOn w:val="Normal"/>
    <w:rsid w:val="008B61AA"/>
    <w:pPr>
      <w:pBdr>
        <w:top w:val="single" w:sz="4" w:space="0" w:color="auto"/>
        <w:left w:val="single" w:sz="4" w:space="0" w:color="auto"/>
        <w:bottom w:val="single" w:sz="4" w:space="0" w:color="auto"/>
        <w:right w:val="single" w:sz="4" w:space="0" w:color="auto"/>
      </w:pBdr>
      <w:shd w:val="clear" w:color="000000" w:fill="C65911"/>
      <w:spacing w:before="100" w:beforeAutospacing="1" w:after="100" w:afterAutospacing="1" w:line="240" w:lineRule="auto"/>
      <w:jc w:val="center"/>
      <w:textAlignment w:val="center"/>
    </w:pPr>
    <w:rPr>
      <w:rFonts w:ascii="Times New Roman" w:eastAsia="Times New Roman" w:hAnsi="Times New Roman" w:cs="Times New Roman"/>
      <w:color w:val="FFFFFF"/>
      <w:sz w:val="16"/>
      <w:szCs w:val="16"/>
    </w:rPr>
  </w:style>
  <w:style w:type="paragraph" w:customStyle="1" w:styleId="xl139">
    <w:name w:val="xl139"/>
    <w:basedOn w:val="Normal"/>
    <w:rsid w:val="008B61AA"/>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140">
    <w:name w:val="xl140"/>
    <w:basedOn w:val="Normal"/>
    <w:rsid w:val="008B61AA"/>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141">
    <w:name w:val="xl141"/>
    <w:basedOn w:val="Normal"/>
    <w:rsid w:val="008B61AA"/>
    <w:pPr>
      <w:pBdr>
        <w:top w:val="single" w:sz="4" w:space="0" w:color="auto"/>
        <w:left w:val="single" w:sz="4" w:space="0" w:color="auto"/>
        <w:bottom w:val="single" w:sz="4" w:space="0" w:color="auto"/>
        <w:right w:val="single" w:sz="4" w:space="0" w:color="auto"/>
      </w:pBdr>
      <w:shd w:val="clear" w:color="000000" w:fill="375623"/>
      <w:spacing w:before="100" w:beforeAutospacing="1" w:after="100" w:afterAutospacing="1" w:line="240" w:lineRule="auto"/>
      <w:textAlignment w:val="center"/>
    </w:pPr>
    <w:rPr>
      <w:rFonts w:ascii="Times New Roman" w:eastAsia="Times New Roman" w:hAnsi="Times New Roman" w:cs="Times New Roman"/>
      <w:color w:val="FFFFFF"/>
      <w:sz w:val="18"/>
      <w:szCs w:val="18"/>
    </w:rPr>
  </w:style>
  <w:style w:type="paragraph" w:customStyle="1" w:styleId="xl142">
    <w:name w:val="xl142"/>
    <w:basedOn w:val="Normal"/>
    <w:rsid w:val="008B61AA"/>
    <w:pPr>
      <w:pBdr>
        <w:top w:val="single" w:sz="4" w:space="0" w:color="auto"/>
        <w:left w:val="single" w:sz="4" w:space="0" w:color="auto"/>
        <w:bottom w:val="single" w:sz="4" w:space="0" w:color="auto"/>
        <w:right w:val="single" w:sz="4" w:space="0" w:color="auto"/>
      </w:pBdr>
      <w:shd w:val="clear" w:color="000000" w:fill="375623"/>
      <w:spacing w:before="100" w:beforeAutospacing="1" w:after="100" w:afterAutospacing="1" w:line="240" w:lineRule="auto"/>
      <w:jc w:val="center"/>
      <w:textAlignment w:val="center"/>
    </w:pPr>
    <w:rPr>
      <w:rFonts w:ascii="Times New Roman" w:eastAsia="Times New Roman" w:hAnsi="Times New Roman" w:cs="Times New Roman"/>
      <w:color w:val="FFFFFF"/>
      <w:sz w:val="16"/>
      <w:szCs w:val="16"/>
    </w:rPr>
  </w:style>
  <w:style w:type="paragraph" w:customStyle="1" w:styleId="xl143">
    <w:name w:val="xl143"/>
    <w:basedOn w:val="Normal"/>
    <w:rsid w:val="008B61AA"/>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144">
    <w:name w:val="xl144"/>
    <w:basedOn w:val="Normal"/>
    <w:rsid w:val="008B61AA"/>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font5">
    <w:name w:val="font5"/>
    <w:basedOn w:val="Normal"/>
    <w:rsid w:val="008B61AA"/>
    <w:pPr>
      <w:spacing w:before="100" w:beforeAutospacing="1" w:after="100" w:afterAutospacing="1" w:line="240" w:lineRule="auto"/>
    </w:pPr>
    <w:rPr>
      <w:rFonts w:ascii="Arial Narrow" w:eastAsia="Times New Roman" w:hAnsi="Arial Narrow" w:cs="Times New Roman"/>
      <w:sz w:val="16"/>
      <w:szCs w:val="16"/>
    </w:rPr>
  </w:style>
  <w:style w:type="paragraph" w:customStyle="1" w:styleId="font6">
    <w:name w:val="font6"/>
    <w:basedOn w:val="Normal"/>
    <w:rsid w:val="008B61AA"/>
    <w:pPr>
      <w:spacing w:before="100" w:beforeAutospacing="1" w:after="100" w:afterAutospacing="1" w:line="240" w:lineRule="auto"/>
    </w:pPr>
    <w:rPr>
      <w:rFonts w:ascii="Arial Narrow" w:eastAsia="Times New Roman" w:hAnsi="Arial Narrow" w:cs="Times New Roman"/>
      <w:color w:val="FF0000"/>
      <w:sz w:val="16"/>
      <w:szCs w:val="16"/>
    </w:rPr>
  </w:style>
  <w:style w:type="paragraph" w:customStyle="1" w:styleId="xl145">
    <w:name w:val="xl145"/>
    <w:basedOn w:val="Normal"/>
    <w:rsid w:val="008B61AA"/>
    <w:pPr>
      <w:pBdr>
        <w:left w:val="single" w:sz="4" w:space="0" w:color="auto"/>
        <w:bottom w:val="single" w:sz="4" w:space="0" w:color="auto"/>
        <w:right w:val="single" w:sz="4" w:space="0" w:color="auto"/>
      </w:pBdr>
      <w:shd w:val="clear" w:color="000000" w:fill="B4C6E7"/>
      <w:spacing w:before="100" w:beforeAutospacing="1" w:after="100" w:afterAutospacing="1" w:line="240" w:lineRule="auto"/>
      <w:textAlignment w:val="center"/>
    </w:pPr>
    <w:rPr>
      <w:rFonts w:ascii="Times New Roman" w:eastAsia="Times New Roman" w:hAnsi="Times New Roman" w:cs="Times New Roman"/>
      <w:color w:val="000000"/>
      <w:sz w:val="18"/>
      <w:szCs w:val="18"/>
    </w:rPr>
  </w:style>
  <w:style w:type="paragraph" w:customStyle="1" w:styleId="xl146">
    <w:name w:val="xl146"/>
    <w:basedOn w:val="Normal"/>
    <w:rsid w:val="008B61AA"/>
    <w:pPr>
      <w:pBdr>
        <w:top w:val="single" w:sz="4" w:space="0" w:color="auto"/>
        <w:bottom w:val="single" w:sz="4" w:space="0" w:color="auto"/>
        <w:right w:val="single" w:sz="4" w:space="0" w:color="auto"/>
      </w:pBdr>
      <w:shd w:val="clear" w:color="000000" w:fill="F8CBAD"/>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47">
    <w:name w:val="xl147"/>
    <w:basedOn w:val="Normal"/>
    <w:rsid w:val="008B61AA"/>
    <w:pPr>
      <w:pBdr>
        <w:top w:val="single" w:sz="4" w:space="0" w:color="auto"/>
        <w:left w:val="single" w:sz="4" w:space="0" w:color="auto"/>
        <w:right w:val="single" w:sz="4" w:space="0" w:color="auto"/>
      </w:pBdr>
      <w:shd w:val="clear" w:color="000000" w:fill="B4C6E7"/>
      <w:spacing w:before="100" w:beforeAutospacing="1" w:after="100" w:afterAutospacing="1" w:line="240" w:lineRule="auto"/>
      <w:textAlignment w:val="center"/>
    </w:pPr>
    <w:rPr>
      <w:rFonts w:ascii="Times New Roman" w:eastAsia="Times New Roman" w:hAnsi="Times New Roman" w:cs="Times New Roman"/>
      <w:color w:val="C65911"/>
      <w:sz w:val="16"/>
      <w:szCs w:val="16"/>
    </w:rPr>
  </w:style>
  <w:style w:type="paragraph" w:customStyle="1" w:styleId="xl148">
    <w:name w:val="xl148"/>
    <w:basedOn w:val="Normal"/>
    <w:rsid w:val="008B61AA"/>
    <w:pPr>
      <w:pBdr>
        <w:top w:val="single" w:sz="4" w:space="0" w:color="auto"/>
        <w:left w:val="single" w:sz="4" w:space="0" w:color="auto"/>
        <w:right w:val="single" w:sz="4" w:space="0" w:color="auto"/>
      </w:pBdr>
      <w:shd w:val="clear" w:color="000000" w:fill="B4C6E7"/>
      <w:spacing w:before="100" w:beforeAutospacing="1" w:after="100" w:afterAutospacing="1" w:line="240" w:lineRule="auto"/>
      <w:textAlignment w:val="center"/>
    </w:pPr>
    <w:rPr>
      <w:rFonts w:ascii="Times New Roman" w:eastAsia="Times New Roman" w:hAnsi="Times New Roman" w:cs="Times New Roman"/>
      <w:color w:val="C65911"/>
      <w:sz w:val="18"/>
      <w:szCs w:val="18"/>
    </w:rPr>
  </w:style>
  <w:style w:type="paragraph" w:customStyle="1" w:styleId="xl149">
    <w:name w:val="xl149"/>
    <w:basedOn w:val="Normal"/>
    <w:rsid w:val="008B61AA"/>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50">
    <w:name w:val="xl150"/>
    <w:basedOn w:val="Normal"/>
    <w:rsid w:val="008B61AA"/>
    <w:pPr>
      <w:pBdr>
        <w:top w:val="single" w:sz="4" w:space="0" w:color="auto"/>
        <w:left w:val="single" w:sz="4" w:space="0" w:color="auto"/>
        <w:right w:val="single" w:sz="4" w:space="0" w:color="auto"/>
      </w:pBdr>
      <w:shd w:val="clear" w:color="000000" w:fill="375623"/>
      <w:spacing w:before="100" w:beforeAutospacing="1" w:after="100" w:afterAutospacing="1" w:line="240" w:lineRule="auto"/>
      <w:jc w:val="center"/>
      <w:textAlignment w:val="center"/>
    </w:pPr>
    <w:rPr>
      <w:rFonts w:ascii="Times New Roman" w:eastAsia="Times New Roman" w:hAnsi="Times New Roman" w:cs="Times New Roman"/>
      <w:color w:val="FFFFFF"/>
      <w:sz w:val="16"/>
      <w:szCs w:val="16"/>
    </w:rPr>
  </w:style>
  <w:style w:type="paragraph" w:customStyle="1" w:styleId="xl151">
    <w:name w:val="xl151"/>
    <w:basedOn w:val="Normal"/>
    <w:rsid w:val="008B61AA"/>
    <w:pPr>
      <w:pBdr>
        <w:left w:val="single" w:sz="4" w:space="0" w:color="auto"/>
        <w:right w:val="single" w:sz="4" w:space="0" w:color="auto"/>
      </w:pBdr>
      <w:shd w:val="clear" w:color="000000" w:fill="375623"/>
      <w:spacing w:before="100" w:beforeAutospacing="1" w:after="100" w:afterAutospacing="1" w:line="240" w:lineRule="auto"/>
      <w:jc w:val="center"/>
      <w:textAlignment w:val="center"/>
    </w:pPr>
    <w:rPr>
      <w:rFonts w:ascii="Times New Roman" w:eastAsia="Times New Roman" w:hAnsi="Times New Roman" w:cs="Times New Roman"/>
      <w:color w:val="FFFFFF"/>
      <w:sz w:val="16"/>
      <w:szCs w:val="16"/>
    </w:rPr>
  </w:style>
  <w:style w:type="paragraph" w:customStyle="1" w:styleId="xl152">
    <w:name w:val="xl152"/>
    <w:basedOn w:val="Normal"/>
    <w:rsid w:val="008B61AA"/>
    <w:pPr>
      <w:pBdr>
        <w:left w:val="single" w:sz="4" w:space="0" w:color="auto"/>
        <w:bottom w:val="single" w:sz="4" w:space="0" w:color="auto"/>
        <w:right w:val="single" w:sz="4" w:space="0" w:color="auto"/>
      </w:pBdr>
      <w:shd w:val="clear" w:color="000000" w:fill="375623"/>
      <w:spacing w:before="100" w:beforeAutospacing="1" w:after="100" w:afterAutospacing="1" w:line="240" w:lineRule="auto"/>
      <w:jc w:val="center"/>
      <w:textAlignment w:val="center"/>
    </w:pPr>
    <w:rPr>
      <w:rFonts w:ascii="Times New Roman" w:eastAsia="Times New Roman" w:hAnsi="Times New Roman" w:cs="Times New Roman"/>
      <w:color w:val="FFFFFF"/>
      <w:sz w:val="16"/>
      <w:szCs w:val="16"/>
    </w:rPr>
  </w:style>
  <w:style w:type="paragraph" w:customStyle="1" w:styleId="xl153">
    <w:name w:val="xl153"/>
    <w:basedOn w:val="Normal"/>
    <w:rsid w:val="008B61AA"/>
    <w:pPr>
      <w:pBdr>
        <w:top w:val="single" w:sz="4" w:space="0" w:color="auto"/>
        <w:left w:val="single" w:sz="4" w:space="0" w:color="auto"/>
        <w:right w:val="single" w:sz="4" w:space="0" w:color="auto"/>
      </w:pBdr>
      <w:shd w:val="clear" w:color="000000" w:fill="C65911"/>
      <w:spacing w:before="100" w:beforeAutospacing="1" w:after="100" w:afterAutospacing="1" w:line="240" w:lineRule="auto"/>
      <w:jc w:val="center"/>
      <w:textAlignment w:val="center"/>
    </w:pPr>
    <w:rPr>
      <w:rFonts w:ascii="Times New Roman" w:eastAsia="Times New Roman" w:hAnsi="Times New Roman" w:cs="Times New Roman"/>
      <w:color w:val="FFFFFF"/>
      <w:sz w:val="16"/>
      <w:szCs w:val="16"/>
    </w:rPr>
  </w:style>
  <w:style w:type="paragraph" w:customStyle="1" w:styleId="xl154">
    <w:name w:val="xl154"/>
    <w:basedOn w:val="Normal"/>
    <w:rsid w:val="008B61AA"/>
    <w:pPr>
      <w:pBdr>
        <w:left w:val="single" w:sz="4" w:space="0" w:color="auto"/>
        <w:right w:val="single" w:sz="4" w:space="0" w:color="auto"/>
      </w:pBdr>
      <w:shd w:val="clear" w:color="000000" w:fill="C65911"/>
      <w:spacing w:before="100" w:beforeAutospacing="1" w:after="100" w:afterAutospacing="1" w:line="240" w:lineRule="auto"/>
      <w:jc w:val="center"/>
      <w:textAlignment w:val="center"/>
    </w:pPr>
    <w:rPr>
      <w:rFonts w:ascii="Times New Roman" w:eastAsia="Times New Roman" w:hAnsi="Times New Roman" w:cs="Times New Roman"/>
      <w:color w:val="FFFFFF"/>
      <w:sz w:val="16"/>
      <w:szCs w:val="16"/>
    </w:rPr>
  </w:style>
  <w:style w:type="paragraph" w:customStyle="1" w:styleId="xl155">
    <w:name w:val="xl155"/>
    <w:basedOn w:val="Normal"/>
    <w:rsid w:val="008B61AA"/>
    <w:pPr>
      <w:pBdr>
        <w:left w:val="single" w:sz="4" w:space="0" w:color="auto"/>
        <w:bottom w:val="single" w:sz="4" w:space="0" w:color="auto"/>
        <w:right w:val="single" w:sz="4" w:space="0" w:color="auto"/>
      </w:pBdr>
      <w:shd w:val="clear" w:color="000000" w:fill="C65911"/>
      <w:spacing w:before="100" w:beforeAutospacing="1" w:after="100" w:afterAutospacing="1" w:line="240" w:lineRule="auto"/>
      <w:jc w:val="center"/>
      <w:textAlignment w:val="center"/>
    </w:pPr>
    <w:rPr>
      <w:rFonts w:ascii="Times New Roman" w:eastAsia="Times New Roman" w:hAnsi="Times New Roman" w:cs="Times New Roman"/>
      <w:color w:val="FFFFFF"/>
      <w:sz w:val="16"/>
      <w:szCs w:val="16"/>
    </w:rPr>
  </w:style>
  <w:style w:type="paragraph" w:customStyle="1" w:styleId="xl156">
    <w:name w:val="xl156"/>
    <w:basedOn w:val="Normal"/>
    <w:rsid w:val="008B61AA"/>
    <w:pPr>
      <w:pBdr>
        <w:top w:val="single" w:sz="4" w:space="0" w:color="auto"/>
        <w:left w:val="single" w:sz="4" w:space="0" w:color="auto"/>
        <w:right w:val="single" w:sz="4" w:space="0" w:color="auto"/>
      </w:pBdr>
      <w:shd w:val="clear" w:color="000000" w:fill="305496"/>
      <w:spacing w:before="100" w:beforeAutospacing="1" w:after="100" w:afterAutospacing="1" w:line="240" w:lineRule="auto"/>
      <w:jc w:val="center"/>
      <w:textAlignment w:val="center"/>
    </w:pPr>
    <w:rPr>
      <w:rFonts w:ascii="Times New Roman" w:eastAsia="Times New Roman" w:hAnsi="Times New Roman" w:cs="Times New Roman"/>
      <w:color w:val="FFFFFF"/>
      <w:sz w:val="16"/>
      <w:szCs w:val="16"/>
    </w:rPr>
  </w:style>
  <w:style w:type="paragraph" w:customStyle="1" w:styleId="xl157">
    <w:name w:val="xl157"/>
    <w:basedOn w:val="Normal"/>
    <w:rsid w:val="008B61AA"/>
    <w:pPr>
      <w:pBdr>
        <w:left w:val="single" w:sz="4" w:space="0" w:color="auto"/>
        <w:right w:val="single" w:sz="4" w:space="0" w:color="auto"/>
      </w:pBdr>
      <w:shd w:val="clear" w:color="000000" w:fill="305496"/>
      <w:spacing w:before="100" w:beforeAutospacing="1" w:after="100" w:afterAutospacing="1" w:line="240" w:lineRule="auto"/>
      <w:jc w:val="center"/>
      <w:textAlignment w:val="center"/>
    </w:pPr>
    <w:rPr>
      <w:rFonts w:ascii="Times New Roman" w:eastAsia="Times New Roman" w:hAnsi="Times New Roman" w:cs="Times New Roman"/>
      <w:color w:val="FFFFFF"/>
      <w:sz w:val="16"/>
      <w:szCs w:val="16"/>
    </w:rPr>
  </w:style>
  <w:style w:type="paragraph" w:customStyle="1" w:styleId="xl158">
    <w:name w:val="xl158"/>
    <w:basedOn w:val="Normal"/>
    <w:rsid w:val="008B61AA"/>
    <w:pPr>
      <w:pBdr>
        <w:left w:val="single" w:sz="4" w:space="0" w:color="auto"/>
        <w:bottom w:val="single" w:sz="4" w:space="0" w:color="auto"/>
        <w:right w:val="single" w:sz="4" w:space="0" w:color="auto"/>
      </w:pBdr>
      <w:shd w:val="clear" w:color="000000" w:fill="305496"/>
      <w:spacing w:before="100" w:beforeAutospacing="1" w:after="100" w:afterAutospacing="1" w:line="240" w:lineRule="auto"/>
      <w:jc w:val="center"/>
      <w:textAlignment w:val="center"/>
    </w:pPr>
    <w:rPr>
      <w:rFonts w:ascii="Times New Roman" w:eastAsia="Times New Roman" w:hAnsi="Times New Roman" w:cs="Times New Roman"/>
      <w:color w:val="FFFFFF"/>
      <w:sz w:val="16"/>
      <w:szCs w:val="16"/>
    </w:rPr>
  </w:style>
  <w:style w:type="paragraph" w:customStyle="1" w:styleId="xl159">
    <w:name w:val="xl159"/>
    <w:basedOn w:val="Normal"/>
    <w:rsid w:val="008B61AA"/>
    <w:pPr>
      <w:pBdr>
        <w:top w:val="single" w:sz="4" w:space="0" w:color="auto"/>
        <w:left w:val="single" w:sz="4" w:space="0" w:color="auto"/>
        <w:right w:val="single" w:sz="4" w:space="0" w:color="auto"/>
      </w:pBdr>
      <w:shd w:val="clear" w:color="000000" w:fill="8EA9DB"/>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60">
    <w:name w:val="xl160"/>
    <w:basedOn w:val="Normal"/>
    <w:rsid w:val="008B61AA"/>
    <w:pPr>
      <w:pBdr>
        <w:left w:val="single" w:sz="4" w:space="0" w:color="auto"/>
        <w:bottom w:val="single" w:sz="4" w:space="0" w:color="auto"/>
        <w:right w:val="single" w:sz="4" w:space="0" w:color="auto"/>
      </w:pBdr>
      <w:shd w:val="clear" w:color="000000" w:fill="8EA9DB"/>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61">
    <w:name w:val="xl161"/>
    <w:basedOn w:val="Normal"/>
    <w:rsid w:val="008B61AA"/>
    <w:pPr>
      <w:pBdr>
        <w:top w:val="single" w:sz="4" w:space="0" w:color="auto"/>
        <w:left w:val="single" w:sz="4" w:space="0" w:color="auto"/>
        <w:right w:val="single" w:sz="4" w:space="0" w:color="auto"/>
      </w:pBdr>
      <w:shd w:val="clear" w:color="000000" w:fill="8EA9DB"/>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62">
    <w:name w:val="xl162"/>
    <w:basedOn w:val="Normal"/>
    <w:rsid w:val="008B61AA"/>
    <w:pPr>
      <w:pBdr>
        <w:left w:val="single" w:sz="4" w:space="0" w:color="auto"/>
        <w:bottom w:val="single" w:sz="4" w:space="0" w:color="auto"/>
        <w:right w:val="single" w:sz="4" w:space="0" w:color="auto"/>
      </w:pBdr>
      <w:shd w:val="clear" w:color="000000" w:fill="8EA9DB"/>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63">
    <w:name w:val="xl163"/>
    <w:basedOn w:val="Normal"/>
    <w:rsid w:val="008B61AA"/>
    <w:pPr>
      <w:pBdr>
        <w:top w:val="single" w:sz="4" w:space="0" w:color="auto"/>
        <w:left w:val="single" w:sz="4" w:space="0" w:color="auto"/>
        <w:right w:val="single" w:sz="4" w:space="0" w:color="auto"/>
      </w:pBdr>
      <w:shd w:val="clear" w:color="000000" w:fill="B4C6E7"/>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64">
    <w:name w:val="xl164"/>
    <w:basedOn w:val="Normal"/>
    <w:rsid w:val="008B61AA"/>
    <w:pPr>
      <w:pBdr>
        <w:left w:val="single" w:sz="4" w:space="0" w:color="auto"/>
        <w:bottom w:val="single" w:sz="4" w:space="0" w:color="auto"/>
        <w:right w:val="single" w:sz="4" w:space="0" w:color="auto"/>
      </w:pBdr>
      <w:shd w:val="clear" w:color="000000" w:fill="B4C6E7"/>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65">
    <w:name w:val="xl165"/>
    <w:basedOn w:val="Normal"/>
    <w:rsid w:val="008B61AA"/>
    <w:pPr>
      <w:pBdr>
        <w:top w:val="single" w:sz="4" w:space="0" w:color="auto"/>
        <w:left w:val="single" w:sz="4" w:space="0" w:color="auto"/>
        <w:right w:val="single" w:sz="4" w:space="0" w:color="auto"/>
      </w:pBdr>
      <w:shd w:val="clear" w:color="000000" w:fill="B4C6E7"/>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66">
    <w:name w:val="xl166"/>
    <w:basedOn w:val="Normal"/>
    <w:rsid w:val="008B61AA"/>
    <w:pPr>
      <w:pBdr>
        <w:left w:val="single" w:sz="4" w:space="0" w:color="auto"/>
        <w:bottom w:val="single" w:sz="4" w:space="0" w:color="auto"/>
        <w:right w:val="single" w:sz="4" w:space="0" w:color="auto"/>
      </w:pBdr>
      <w:shd w:val="clear" w:color="000000" w:fill="B4C6E7"/>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67">
    <w:name w:val="xl167"/>
    <w:basedOn w:val="Normal"/>
    <w:rsid w:val="008B61AA"/>
    <w:pPr>
      <w:pBdr>
        <w:top w:val="single" w:sz="4" w:space="0" w:color="auto"/>
        <w:left w:val="single" w:sz="4" w:space="0" w:color="auto"/>
        <w:right w:val="single" w:sz="4" w:space="0" w:color="auto"/>
      </w:pBdr>
      <w:shd w:val="clear" w:color="000000" w:fill="305496"/>
      <w:spacing w:before="100" w:beforeAutospacing="1" w:after="100" w:afterAutospacing="1" w:line="240" w:lineRule="auto"/>
      <w:jc w:val="center"/>
      <w:textAlignment w:val="center"/>
    </w:pPr>
    <w:rPr>
      <w:rFonts w:ascii="Times New Roman" w:eastAsia="Times New Roman" w:hAnsi="Times New Roman" w:cs="Times New Roman"/>
      <w:color w:val="FFFFFF"/>
      <w:sz w:val="20"/>
      <w:szCs w:val="20"/>
    </w:rPr>
  </w:style>
  <w:style w:type="paragraph" w:customStyle="1" w:styleId="xl168">
    <w:name w:val="xl168"/>
    <w:basedOn w:val="Normal"/>
    <w:rsid w:val="008B61AA"/>
    <w:pPr>
      <w:pBdr>
        <w:left w:val="single" w:sz="4" w:space="0" w:color="auto"/>
        <w:right w:val="single" w:sz="4" w:space="0" w:color="auto"/>
      </w:pBdr>
      <w:shd w:val="clear" w:color="000000" w:fill="305496"/>
      <w:spacing w:before="100" w:beforeAutospacing="1" w:after="100" w:afterAutospacing="1" w:line="240" w:lineRule="auto"/>
      <w:jc w:val="center"/>
      <w:textAlignment w:val="center"/>
    </w:pPr>
    <w:rPr>
      <w:rFonts w:ascii="Times New Roman" w:eastAsia="Times New Roman" w:hAnsi="Times New Roman" w:cs="Times New Roman"/>
      <w:color w:val="FFFFFF"/>
      <w:sz w:val="20"/>
      <w:szCs w:val="20"/>
    </w:rPr>
  </w:style>
  <w:style w:type="paragraph" w:customStyle="1" w:styleId="xl169">
    <w:name w:val="xl169"/>
    <w:basedOn w:val="Normal"/>
    <w:rsid w:val="008B61AA"/>
    <w:pPr>
      <w:pBdr>
        <w:left w:val="single" w:sz="4" w:space="0" w:color="auto"/>
        <w:bottom w:val="single" w:sz="4" w:space="0" w:color="auto"/>
        <w:right w:val="single" w:sz="4" w:space="0" w:color="auto"/>
      </w:pBdr>
      <w:shd w:val="clear" w:color="000000" w:fill="305496"/>
      <w:spacing w:before="100" w:beforeAutospacing="1" w:after="100" w:afterAutospacing="1" w:line="240" w:lineRule="auto"/>
      <w:jc w:val="center"/>
      <w:textAlignment w:val="center"/>
    </w:pPr>
    <w:rPr>
      <w:rFonts w:ascii="Times New Roman" w:eastAsia="Times New Roman" w:hAnsi="Times New Roman" w:cs="Times New Roman"/>
      <w:color w:val="FFFFFF"/>
      <w:sz w:val="20"/>
      <w:szCs w:val="20"/>
    </w:rPr>
  </w:style>
  <w:style w:type="paragraph" w:customStyle="1" w:styleId="xl170">
    <w:name w:val="xl170"/>
    <w:basedOn w:val="Normal"/>
    <w:rsid w:val="008B61AA"/>
    <w:pPr>
      <w:pBdr>
        <w:top w:val="single" w:sz="4" w:space="0" w:color="auto"/>
        <w:left w:val="single" w:sz="4" w:space="0" w:color="auto"/>
        <w:right w:val="single" w:sz="4" w:space="0" w:color="auto"/>
      </w:pBdr>
      <w:shd w:val="clear" w:color="000000" w:fill="C65911"/>
      <w:spacing w:before="100" w:beforeAutospacing="1" w:after="100" w:afterAutospacing="1" w:line="240" w:lineRule="auto"/>
      <w:jc w:val="center"/>
      <w:textAlignment w:val="center"/>
    </w:pPr>
    <w:rPr>
      <w:rFonts w:ascii="Times New Roman" w:eastAsia="Times New Roman" w:hAnsi="Times New Roman" w:cs="Times New Roman"/>
      <w:color w:val="FFFFFF"/>
      <w:sz w:val="20"/>
      <w:szCs w:val="20"/>
    </w:rPr>
  </w:style>
  <w:style w:type="paragraph" w:customStyle="1" w:styleId="xl171">
    <w:name w:val="xl171"/>
    <w:basedOn w:val="Normal"/>
    <w:rsid w:val="008B61AA"/>
    <w:pPr>
      <w:pBdr>
        <w:left w:val="single" w:sz="4" w:space="0" w:color="auto"/>
        <w:right w:val="single" w:sz="4" w:space="0" w:color="auto"/>
      </w:pBdr>
      <w:shd w:val="clear" w:color="000000" w:fill="C65911"/>
      <w:spacing w:before="100" w:beforeAutospacing="1" w:after="100" w:afterAutospacing="1" w:line="240" w:lineRule="auto"/>
      <w:jc w:val="center"/>
      <w:textAlignment w:val="center"/>
    </w:pPr>
    <w:rPr>
      <w:rFonts w:ascii="Times New Roman" w:eastAsia="Times New Roman" w:hAnsi="Times New Roman" w:cs="Times New Roman"/>
      <w:color w:val="FFFFFF"/>
      <w:sz w:val="20"/>
      <w:szCs w:val="20"/>
    </w:rPr>
  </w:style>
  <w:style w:type="paragraph" w:customStyle="1" w:styleId="xl172">
    <w:name w:val="xl172"/>
    <w:basedOn w:val="Normal"/>
    <w:rsid w:val="008B61AA"/>
    <w:pPr>
      <w:pBdr>
        <w:left w:val="single" w:sz="4" w:space="0" w:color="auto"/>
        <w:bottom w:val="single" w:sz="4" w:space="0" w:color="auto"/>
        <w:right w:val="single" w:sz="4" w:space="0" w:color="auto"/>
      </w:pBdr>
      <w:shd w:val="clear" w:color="000000" w:fill="C65911"/>
      <w:spacing w:before="100" w:beforeAutospacing="1" w:after="100" w:afterAutospacing="1" w:line="240" w:lineRule="auto"/>
      <w:jc w:val="center"/>
      <w:textAlignment w:val="center"/>
    </w:pPr>
    <w:rPr>
      <w:rFonts w:ascii="Times New Roman" w:eastAsia="Times New Roman" w:hAnsi="Times New Roman" w:cs="Times New Roman"/>
      <w:color w:val="FFFFFF"/>
      <w:sz w:val="20"/>
      <w:szCs w:val="20"/>
    </w:rPr>
  </w:style>
  <w:style w:type="paragraph" w:customStyle="1" w:styleId="xl173">
    <w:name w:val="xl173"/>
    <w:basedOn w:val="Normal"/>
    <w:rsid w:val="008B61AA"/>
    <w:pPr>
      <w:pBdr>
        <w:top w:val="single" w:sz="4" w:space="0" w:color="auto"/>
        <w:right w:val="single" w:sz="4" w:space="0" w:color="auto"/>
      </w:pBdr>
      <w:shd w:val="clear" w:color="000000" w:fill="375623"/>
      <w:spacing w:before="100" w:beforeAutospacing="1" w:after="100" w:afterAutospacing="1" w:line="240" w:lineRule="auto"/>
      <w:jc w:val="center"/>
      <w:textAlignment w:val="center"/>
    </w:pPr>
    <w:rPr>
      <w:rFonts w:ascii="Times New Roman" w:eastAsia="Times New Roman" w:hAnsi="Times New Roman" w:cs="Times New Roman"/>
      <w:color w:val="FFFFFF"/>
      <w:sz w:val="18"/>
      <w:szCs w:val="18"/>
    </w:rPr>
  </w:style>
  <w:style w:type="paragraph" w:customStyle="1" w:styleId="xl174">
    <w:name w:val="xl174"/>
    <w:basedOn w:val="Normal"/>
    <w:rsid w:val="008B61AA"/>
    <w:pPr>
      <w:pBdr>
        <w:right w:val="single" w:sz="4" w:space="0" w:color="auto"/>
      </w:pBdr>
      <w:shd w:val="clear" w:color="000000" w:fill="375623"/>
      <w:spacing w:before="100" w:beforeAutospacing="1" w:after="100" w:afterAutospacing="1" w:line="240" w:lineRule="auto"/>
      <w:jc w:val="center"/>
      <w:textAlignment w:val="center"/>
    </w:pPr>
    <w:rPr>
      <w:rFonts w:ascii="Times New Roman" w:eastAsia="Times New Roman" w:hAnsi="Times New Roman" w:cs="Times New Roman"/>
      <w:color w:val="FFFFFF"/>
      <w:sz w:val="18"/>
      <w:szCs w:val="18"/>
    </w:rPr>
  </w:style>
  <w:style w:type="paragraph" w:customStyle="1" w:styleId="xl175">
    <w:name w:val="xl175"/>
    <w:basedOn w:val="Normal"/>
    <w:rsid w:val="008B61AA"/>
    <w:pPr>
      <w:pBdr>
        <w:bottom w:val="single" w:sz="4" w:space="0" w:color="auto"/>
        <w:right w:val="single" w:sz="4" w:space="0" w:color="auto"/>
      </w:pBdr>
      <w:shd w:val="clear" w:color="000000" w:fill="375623"/>
      <w:spacing w:before="100" w:beforeAutospacing="1" w:after="100" w:afterAutospacing="1" w:line="240" w:lineRule="auto"/>
      <w:jc w:val="center"/>
      <w:textAlignment w:val="center"/>
    </w:pPr>
    <w:rPr>
      <w:rFonts w:ascii="Times New Roman" w:eastAsia="Times New Roman" w:hAnsi="Times New Roman" w:cs="Times New Roman"/>
      <w:color w:val="FFFFFF"/>
      <w:sz w:val="18"/>
      <w:szCs w:val="18"/>
    </w:rPr>
  </w:style>
  <w:style w:type="paragraph" w:customStyle="1" w:styleId="xl176">
    <w:name w:val="xl176"/>
    <w:basedOn w:val="Normal"/>
    <w:rsid w:val="008B61AA"/>
    <w:pPr>
      <w:pBdr>
        <w:left w:val="single" w:sz="4" w:space="0" w:color="auto"/>
        <w:right w:val="single" w:sz="4" w:space="0" w:color="auto"/>
      </w:pBdr>
      <w:shd w:val="clear" w:color="000000" w:fill="8EA9DB"/>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77">
    <w:name w:val="xl177"/>
    <w:basedOn w:val="Normal"/>
    <w:rsid w:val="008B61AA"/>
    <w:pPr>
      <w:pBdr>
        <w:left w:val="single" w:sz="4" w:space="0" w:color="auto"/>
        <w:right w:val="single" w:sz="4" w:space="0" w:color="auto"/>
      </w:pBdr>
      <w:shd w:val="clear" w:color="000000" w:fill="8EA9DB"/>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78">
    <w:name w:val="xl178"/>
    <w:basedOn w:val="Normal"/>
    <w:rsid w:val="008B61AA"/>
    <w:pPr>
      <w:pBdr>
        <w:left w:val="single" w:sz="4" w:space="0" w:color="auto"/>
        <w:right w:val="single" w:sz="4" w:space="0" w:color="auto"/>
      </w:pBdr>
      <w:shd w:val="clear" w:color="000000" w:fill="B4C6E7"/>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79">
    <w:name w:val="xl179"/>
    <w:basedOn w:val="Normal"/>
    <w:rsid w:val="008B61AA"/>
    <w:pPr>
      <w:pBdr>
        <w:left w:val="single" w:sz="4" w:space="0" w:color="auto"/>
        <w:right w:val="single" w:sz="4" w:space="0" w:color="auto"/>
      </w:pBdr>
      <w:shd w:val="clear" w:color="000000" w:fill="B4C6E7"/>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80">
    <w:name w:val="xl180"/>
    <w:basedOn w:val="Normal"/>
    <w:rsid w:val="008B61AA"/>
    <w:pPr>
      <w:pBdr>
        <w:top w:val="single" w:sz="4" w:space="0" w:color="auto"/>
        <w:left w:val="single" w:sz="4" w:space="0" w:color="auto"/>
        <w:right w:val="single" w:sz="4" w:space="0" w:color="auto"/>
      </w:pBdr>
      <w:shd w:val="clear" w:color="000000" w:fill="F8CBAD"/>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81">
    <w:name w:val="xl181"/>
    <w:basedOn w:val="Normal"/>
    <w:rsid w:val="008B61AA"/>
    <w:pPr>
      <w:pBdr>
        <w:left w:val="single" w:sz="4" w:space="0" w:color="auto"/>
        <w:right w:val="single" w:sz="4" w:space="0" w:color="auto"/>
      </w:pBdr>
      <w:shd w:val="clear" w:color="000000" w:fill="F8CBAD"/>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82">
    <w:name w:val="xl182"/>
    <w:basedOn w:val="Normal"/>
    <w:rsid w:val="008B61AA"/>
    <w:pPr>
      <w:pBdr>
        <w:left w:val="single" w:sz="4" w:space="0" w:color="auto"/>
        <w:bottom w:val="single" w:sz="4" w:space="0" w:color="auto"/>
        <w:right w:val="single" w:sz="4" w:space="0" w:color="auto"/>
      </w:pBdr>
      <w:shd w:val="clear" w:color="000000" w:fill="F8CBAD"/>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83">
    <w:name w:val="xl183"/>
    <w:basedOn w:val="Normal"/>
    <w:rsid w:val="008B61AA"/>
    <w:pPr>
      <w:pBdr>
        <w:top w:val="single" w:sz="4" w:space="0" w:color="auto"/>
        <w:left w:val="single" w:sz="4" w:space="0" w:color="auto"/>
        <w:right w:val="single" w:sz="4" w:space="0" w:color="auto"/>
      </w:pBdr>
      <w:shd w:val="clear" w:color="000000" w:fill="F8CBAD"/>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84">
    <w:name w:val="xl184"/>
    <w:basedOn w:val="Normal"/>
    <w:rsid w:val="008B61AA"/>
    <w:pPr>
      <w:pBdr>
        <w:left w:val="single" w:sz="4" w:space="0" w:color="auto"/>
        <w:right w:val="single" w:sz="4" w:space="0" w:color="auto"/>
      </w:pBdr>
      <w:shd w:val="clear" w:color="000000" w:fill="F8CBAD"/>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85">
    <w:name w:val="xl185"/>
    <w:basedOn w:val="Normal"/>
    <w:rsid w:val="008B61AA"/>
    <w:pPr>
      <w:pBdr>
        <w:left w:val="single" w:sz="4" w:space="0" w:color="auto"/>
        <w:bottom w:val="single" w:sz="4" w:space="0" w:color="auto"/>
        <w:right w:val="single" w:sz="4" w:space="0" w:color="auto"/>
      </w:pBdr>
      <w:shd w:val="clear" w:color="000000" w:fill="F8CBAD"/>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86">
    <w:name w:val="xl186"/>
    <w:basedOn w:val="Normal"/>
    <w:rsid w:val="008B61AA"/>
    <w:pPr>
      <w:pBdr>
        <w:top w:val="single" w:sz="4" w:space="0" w:color="auto"/>
        <w:left w:val="single" w:sz="4" w:space="0" w:color="auto"/>
        <w:right w:val="single" w:sz="4" w:space="0" w:color="auto"/>
      </w:pBdr>
      <w:shd w:val="clear" w:color="000000" w:fill="FCE4D6"/>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87">
    <w:name w:val="xl187"/>
    <w:basedOn w:val="Normal"/>
    <w:rsid w:val="008B61AA"/>
    <w:pPr>
      <w:pBdr>
        <w:left w:val="single" w:sz="4" w:space="0" w:color="auto"/>
        <w:right w:val="single" w:sz="4" w:space="0" w:color="auto"/>
      </w:pBdr>
      <w:shd w:val="clear" w:color="000000" w:fill="FCE4D6"/>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88">
    <w:name w:val="xl188"/>
    <w:basedOn w:val="Normal"/>
    <w:rsid w:val="008B61AA"/>
    <w:pPr>
      <w:pBdr>
        <w:left w:val="single" w:sz="4" w:space="0" w:color="auto"/>
        <w:bottom w:val="single" w:sz="4" w:space="0" w:color="auto"/>
        <w:right w:val="single" w:sz="4" w:space="0" w:color="auto"/>
      </w:pBdr>
      <w:shd w:val="clear" w:color="000000" w:fill="FCE4D6"/>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89">
    <w:name w:val="xl189"/>
    <w:basedOn w:val="Normal"/>
    <w:rsid w:val="008B61AA"/>
    <w:pPr>
      <w:pBdr>
        <w:top w:val="single" w:sz="4" w:space="0" w:color="auto"/>
        <w:left w:val="single" w:sz="4" w:space="0" w:color="auto"/>
        <w:right w:val="single" w:sz="4" w:space="0" w:color="auto"/>
      </w:pBdr>
      <w:shd w:val="clear" w:color="000000" w:fill="FCE4D6"/>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90">
    <w:name w:val="xl190"/>
    <w:basedOn w:val="Normal"/>
    <w:rsid w:val="008B61AA"/>
    <w:pPr>
      <w:pBdr>
        <w:left w:val="single" w:sz="4" w:space="0" w:color="auto"/>
        <w:right w:val="single" w:sz="4" w:space="0" w:color="auto"/>
      </w:pBdr>
      <w:shd w:val="clear" w:color="000000" w:fill="FCE4D6"/>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91">
    <w:name w:val="xl191"/>
    <w:basedOn w:val="Normal"/>
    <w:rsid w:val="008B61AA"/>
    <w:pPr>
      <w:pBdr>
        <w:left w:val="single" w:sz="4" w:space="0" w:color="auto"/>
        <w:bottom w:val="single" w:sz="4" w:space="0" w:color="auto"/>
        <w:right w:val="single" w:sz="4" w:space="0" w:color="auto"/>
      </w:pBdr>
      <w:shd w:val="clear" w:color="000000" w:fill="FCE4D6"/>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92">
    <w:name w:val="xl192"/>
    <w:basedOn w:val="Normal"/>
    <w:rsid w:val="008B61AA"/>
    <w:pPr>
      <w:pBdr>
        <w:top w:val="single" w:sz="4" w:space="0" w:color="auto"/>
        <w:left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93">
    <w:name w:val="xl193"/>
    <w:basedOn w:val="Normal"/>
    <w:rsid w:val="008B61AA"/>
    <w:pPr>
      <w:pBdr>
        <w:left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94">
    <w:name w:val="xl194"/>
    <w:basedOn w:val="Normal"/>
    <w:rsid w:val="008B61AA"/>
    <w:pPr>
      <w:pBdr>
        <w:left w:val="single" w:sz="4"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95">
    <w:name w:val="xl195"/>
    <w:basedOn w:val="Normal"/>
    <w:rsid w:val="008B61AA"/>
    <w:pPr>
      <w:pBdr>
        <w:top w:val="single" w:sz="4" w:space="0" w:color="auto"/>
        <w:left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96">
    <w:name w:val="xl196"/>
    <w:basedOn w:val="Normal"/>
    <w:rsid w:val="008B61AA"/>
    <w:pPr>
      <w:pBdr>
        <w:left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97">
    <w:name w:val="xl197"/>
    <w:basedOn w:val="Normal"/>
    <w:rsid w:val="008B61AA"/>
    <w:pPr>
      <w:pBdr>
        <w:left w:val="single" w:sz="4"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98">
    <w:name w:val="xl198"/>
    <w:basedOn w:val="Normal"/>
    <w:rsid w:val="008B61AA"/>
    <w:pPr>
      <w:pBdr>
        <w:top w:val="single" w:sz="4" w:space="0" w:color="auto"/>
        <w:left w:val="single" w:sz="4" w:space="0" w:color="auto"/>
        <w:right w:val="single" w:sz="4" w:space="0" w:color="auto"/>
      </w:pBdr>
      <w:shd w:val="clear" w:color="000000" w:fill="C6E0B4"/>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199">
    <w:name w:val="xl199"/>
    <w:basedOn w:val="Normal"/>
    <w:rsid w:val="008B61AA"/>
    <w:pPr>
      <w:pBdr>
        <w:left w:val="single" w:sz="4" w:space="0" w:color="auto"/>
        <w:right w:val="single" w:sz="4" w:space="0" w:color="auto"/>
      </w:pBdr>
      <w:shd w:val="clear" w:color="000000" w:fill="C6E0B4"/>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200">
    <w:name w:val="xl200"/>
    <w:basedOn w:val="Normal"/>
    <w:rsid w:val="008B61AA"/>
    <w:pPr>
      <w:pBdr>
        <w:left w:val="single" w:sz="4" w:space="0" w:color="auto"/>
        <w:bottom w:val="single" w:sz="4" w:space="0" w:color="auto"/>
        <w:right w:val="single" w:sz="4" w:space="0" w:color="auto"/>
      </w:pBdr>
      <w:shd w:val="clear" w:color="000000" w:fill="C6E0B4"/>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201">
    <w:name w:val="xl201"/>
    <w:basedOn w:val="Normal"/>
    <w:rsid w:val="008B61AA"/>
    <w:pPr>
      <w:pBdr>
        <w:top w:val="single" w:sz="4" w:space="0" w:color="auto"/>
        <w:left w:val="single" w:sz="4" w:space="0" w:color="auto"/>
        <w:right w:val="single" w:sz="4" w:space="0" w:color="auto"/>
      </w:pBdr>
      <w:shd w:val="clear" w:color="000000" w:fill="C6E0B4"/>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202">
    <w:name w:val="xl202"/>
    <w:basedOn w:val="Normal"/>
    <w:rsid w:val="008B61AA"/>
    <w:pPr>
      <w:pBdr>
        <w:left w:val="single" w:sz="4" w:space="0" w:color="auto"/>
        <w:right w:val="single" w:sz="4" w:space="0" w:color="auto"/>
      </w:pBdr>
      <w:shd w:val="clear" w:color="000000" w:fill="C6E0B4"/>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203">
    <w:name w:val="xl203"/>
    <w:basedOn w:val="Normal"/>
    <w:rsid w:val="008B61AA"/>
    <w:pPr>
      <w:pBdr>
        <w:left w:val="single" w:sz="4" w:space="0" w:color="auto"/>
        <w:bottom w:val="single" w:sz="4" w:space="0" w:color="auto"/>
        <w:right w:val="single" w:sz="4" w:space="0" w:color="auto"/>
      </w:pBdr>
      <w:shd w:val="clear" w:color="000000" w:fill="C6E0B4"/>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TableParagraph">
    <w:name w:val="Table Paragraph"/>
    <w:basedOn w:val="Normal"/>
    <w:uiPriority w:val="1"/>
    <w:qFormat/>
    <w:rsid w:val="00367A01"/>
    <w:pPr>
      <w:widowControl w:val="0"/>
      <w:autoSpaceDE w:val="0"/>
      <w:autoSpaceDN w:val="0"/>
      <w:spacing w:after="0" w:line="240" w:lineRule="auto"/>
    </w:pPr>
    <w:rPr>
      <w:lang w:val="es-ES" w:eastAsia="en-US"/>
    </w:rPr>
  </w:style>
  <w:style w:type="paragraph" w:customStyle="1" w:styleId="pf0">
    <w:name w:val="pf0"/>
    <w:basedOn w:val="Normal"/>
    <w:rsid w:val="00CD0C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Fuentedeprrafopredeter"/>
    <w:rsid w:val="00CD0C6D"/>
    <w:rPr>
      <w:rFonts w:ascii="Segoe UI" w:hAnsi="Segoe UI" w:cs="Segoe UI" w:hint="default"/>
      <w:sz w:val="18"/>
      <w:szCs w:val="18"/>
    </w:rPr>
  </w:style>
  <w:style w:type="paragraph" w:customStyle="1" w:styleId="font7">
    <w:name w:val="font7"/>
    <w:basedOn w:val="Normal"/>
    <w:rsid w:val="000B034D"/>
    <w:pPr>
      <w:spacing w:before="100" w:beforeAutospacing="1" w:after="100" w:afterAutospacing="1" w:line="240" w:lineRule="auto"/>
    </w:pPr>
    <w:rPr>
      <w:rFonts w:ascii="Arial Narrow" w:eastAsia="Times New Roman" w:hAnsi="Arial Narrow" w:cs="Times New Roman"/>
      <w:i/>
      <w:iCs/>
      <w:sz w:val="16"/>
      <w:szCs w:val="16"/>
    </w:rPr>
  </w:style>
  <w:style w:type="paragraph" w:customStyle="1" w:styleId="xl63">
    <w:name w:val="xl63"/>
    <w:basedOn w:val="Normal"/>
    <w:rsid w:val="000B034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Narrow" w:eastAsia="Times New Roman" w:hAnsi="Arial Narrow" w:cs="Times New Roman"/>
      <w:sz w:val="16"/>
      <w:szCs w:val="16"/>
    </w:rPr>
  </w:style>
  <w:style w:type="paragraph" w:customStyle="1" w:styleId="xl64">
    <w:name w:val="xl64"/>
    <w:basedOn w:val="Normal"/>
    <w:rsid w:val="000B03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cs="Times New Roman"/>
      <w:sz w:val="16"/>
      <w:szCs w:val="16"/>
    </w:rPr>
  </w:style>
  <w:style w:type="paragraph" w:customStyle="1" w:styleId="xl65">
    <w:name w:val="xl65"/>
    <w:basedOn w:val="Normal"/>
    <w:rsid w:val="000B03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6">
    <w:name w:val="xl66"/>
    <w:basedOn w:val="Normal"/>
    <w:rsid w:val="000B034D"/>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textAlignment w:val="center"/>
    </w:pPr>
    <w:rPr>
      <w:rFonts w:ascii="Arial Narrow" w:eastAsia="Times New Roman" w:hAnsi="Arial Narrow" w:cs="Times New Roman"/>
      <w:sz w:val="16"/>
      <w:szCs w:val="16"/>
    </w:rPr>
  </w:style>
  <w:style w:type="paragraph" w:customStyle="1" w:styleId="xl67">
    <w:name w:val="xl67"/>
    <w:basedOn w:val="Normal"/>
    <w:rsid w:val="000B034D"/>
    <w:pPr>
      <w:pBdr>
        <w:top w:val="single" w:sz="4" w:space="0" w:color="auto"/>
        <w:left w:val="single" w:sz="4" w:space="0" w:color="auto"/>
        <w:right w:val="single" w:sz="4" w:space="0" w:color="auto"/>
      </w:pBdr>
      <w:shd w:val="clear" w:color="000000" w:fill="E2EFDA"/>
      <w:spacing w:before="100" w:beforeAutospacing="1" w:after="100" w:afterAutospacing="1" w:line="240" w:lineRule="auto"/>
      <w:textAlignment w:val="center"/>
    </w:pPr>
    <w:rPr>
      <w:rFonts w:ascii="Arial Narrow" w:eastAsia="Times New Roman" w:hAnsi="Arial Narrow" w:cs="Times New Roman"/>
      <w:sz w:val="16"/>
      <w:szCs w:val="16"/>
    </w:rPr>
  </w:style>
  <w:style w:type="paragraph" w:customStyle="1" w:styleId="xl68">
    <w:name w:val="xl68"/>
    <w:basedOn w:val="Normal"/>
    <w:rsid w:val="000B034D"/>
    <w:pPr>
      <w:pBdr>
        <w:top w:val="single" w:sz="4" w:space="0" w:color="auto"/>
        <w:left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Arial Narrow" w:eastAsia="Times New Roman" w:hAnsi="Arial Narrow" w:cs="Times New Roman"/>
      <w:sz w:val="16"/>
      <w:szCs w:val="16"/>
    </w:rPr>
  </w:style>
  <w:style w:type="paragraph" w:customStyle="1" w:styleId="xl69">
    <w:name w:val="xl69"/>
    <w:basedOn w:val="Normal"/>
    <w:rsid w:val="000B034D"/>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0">
    <w:name w:val="xl70"/>
    <w:basedOn w:val="Normal"/>
    <w:rsid w:val="000B034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Arial Narrow" w:eastAsia="Times New Roman" w:hAnsi="Arial Narrow" w:cs="Times New Roman"/>
      <w:b/>
      <w:bCs/>
      <w:sz w:val="16"/>
      <w:szCs w:val="16"/>
    </w:rPr>
  </w:style>
  <w:style w:type="paragraph" w:customStyle="1" w:styleId="xl71">
    <w:name w:val="xl71"/>
    <w:basedOn w:val="Normal"/>
    <w:rsid w:val="000B034D"/>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jc w:val="center"/>
      <w:textAlignment w:val="center"/>
    </w:pPr>
    <w:rPr>
      <w:rFonts w:ascii="Arial Narrow" w:eastAsia="Times New Roman" w:hAnsi="Arial Narrow" w:cs="Times New Roman"/>
      <w:sz w:val="16"/>
      <w:szCs w:val="16"/>
    </w:rPr>
  </w:style>
  <w:style w:type="paragraph" w:customStyle="1" w:styleId="xl72">
    <w:name w:val="xl72"/>
    <w:basedOn w:val="Normal"/>
    <w:rsid w:val="000B034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Narrow" w:eastAsia="Times New Roman" w:hAnsi="Arial Narrow" w:cs="Times New Roman"/>
      <w:sz w:val="16"/>
      <w:szCs w:val="16"/>
    </w:rPr>
  </w:style>
  <w:style w:type="paragraph" w:customStyle="1" w:styleId="xl73">
    <w:name w:val="xl73"/>
    <w:basedOn w:val="Normal"/>
    <w:rsid w:val="000B034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cs="Times New Roman"/>
      <w:sz w:val="16"/>
      <w:szCs w:val="16"/>
    </w:rPr>
  </w:style>
  <w:style w:type="paragraph" w:customStyle="1" w:styleId="xl74">
    <w:name w:val="xl74"/>
    <w:basedOn w:val="Normal"/>
    <w:rsid w:val="000B034D"/>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Arial Narrow" w:eastAsia="Times New Roman" w:hAnsi="Arial Narrow" w:cs="Times New Roman"/>
      <w:sz w:val="16"/>
      <w:szCs w:val="16"/>
    </w:rPr>
  </w:style>
  <w:style w:type="paragraph" w:customStyle="1" w:styleId="BVIfnrCar1CarCarCarCar">
    <w:name w:val="BVI fnr Car1 Car Car Car Car"/>
    <w:aliases w:val="ftref Car Car Car Car Car Car Car Car Car Car,BVI fnr Char Car Car Car Car Car Car Car Car Car Car Car,BVI fnr Char Car Car Car Car Car Car Car Car Car Car Car Car Car"/>
    <w:basedOn w:val="Normal"/>
    <w:uiPriority w:val="99"/>
    <w:qFormat/>
    <w:rsid w:val="006948D6"/>
    <w:pPr>
      <w:widowControl w:val="0"/>
      <w:spacing w:before="200" w:after="0" w:line="240" w:lineRule="exact"/>
    </w:pPr>
    <w:rPr>
      <w:vertAlign w:val="superscript"/>
    </w:rPr>
  </w:style>
  <w:style w:type="paragraph" w:customStyle="1" w:styleId="Standard">
    <w:name w:val="Standard"/>
    <w:rsid w:val="00237AFB"/>
    <w:pPr>
      <w:suppressAutoHyphens/>
      <w:autoSpaceDN w:val="0"/>
      <w:spacing w:after="0" w:line="240" w:lineRule="auto"/>
      <w:textAlignment w:val="baseline"/>
    </w:pPr>
    <w:rPr>
      <w:rFonts w:ascii="Liberation Serif" w:eastAsia="Droid Sans Fallback" w:hAnsi="Liberation Serif" w:cs="Droid Sans Devanagari"/>
      <w:kern w:val="3"/>
      <w:sz w:val="24"/>
      <w:szCs w:val="24"/>
      <w:lang w:eastAsia="zh-CN" w:bidi="hi-IN"/>
    </w:rPr>
  </w:style>
  <w:style w:type="character" w:styleId="Mencinsinresolver">
    <w:name w:val="Unresolved Mention"/>
    <w:basedOn w:val="Fuentedeprrafopredeter"/>
    <w:uiPriority w:val="99"/>
    <w:semiHidden/>
    <w:unhideWhenUsed/>
    <w:rsid w:val="002469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3945">
      <w:bodyDiv w:val="1"/>
      <w:marLeft w:val="0"/>
      <w:marRight w:val="0"/>
      <w:marTop w:val="0"/>
      <w:marBottom w:val="0"/>
      <w:divBdr>
        <w:top w:val="none" w:sz="0" w:space="0" w:color="auto"/>
        <w:left w:val="none" w:sz="0" w:space="0" w:color="auto"/>
        <w:bottom w:val="none" w:sz="0" w:space="0" w:color="auto"/>
        <w:right w:val="none" w:sz="0" w:space="0" w:color="auto"/>
      </w:divBdr>
    </w:div>
    <w:div w:id="371349163">
      <w:bodyDiv w:val="1"/>
      <w:marLeft w:val="0"/>
      <w:marRight w:val="0"/>
      <w:marTop w:val="0"/>
      <w:marBottom w:val="0"/>
      <w:divBdr>
        <w:top w:val="none" w:sz="0" w:space="0" w:color="auto"/>
        <w:left w:val="none" w:sz="0" w:space="0" w:color="auto"/>
        <w:bottom w:val="none" w:sz="0" w:space="0" w:color="auto"/>
        <w:right w:val="none" w:sz="0" w:space="0" w:color="auto"/>
      </w:divBdr>
    </w:div>
    <w:div w:id="397480270">
      <w:bodyDiv w:val="1"/>
      <w:marLeft w:val="0"/>
      <w:marRight w:val="0"/>
      <w:marTop w:val="0"/>
      <w:marBottom w:val="0"/>
      <w:divBdr>
        <w:top w:val="none" w:sz="0" w:space="0" w:color="auto"/>
        <w:left w:val="none" w:sz="0" w:space="0" w:color="auto"/>
        <w:bottom w:val="none" w:sz="0" w:space="0" w:color="auto"/>
        <w:right w:val="none" w:sz="0" w:space="0" w:color="auto"/>
      </w:divBdr>
    </w:div>
    <w:div w:id="452022427">
      <w:bodyDiv w:val="1"/>
      <w:marLeft w:val="0"/>
      <w:marRight w:val="0"/>
      <w:marTop w:val="0"/>
      <w:marBottom w:val="0"/>
      <w:divBdr>
        <w:top w:val="none" w:sz="0" w:space="0" w:color="auto"/>
        <w:left w:val="none" w:sz="0" w:space="0" w:color="auto"/>
        <w:bottom w:val="none" w:sz="0" w:space="0" w:color="auto"/>
        <w:right w:val="none" w:sz="0" w:space="0" w:color="auto"/>
      </w:divBdr>
    </w:div>
    <w:div w:id="748816026">
      <w:bodyDiv w:val="1"/>
      <w:marLeft w:val="0"/>
      <w:marRight w:val="0"/>
      <w:marTop w:val="0"/>
      <w:marBottom w:val="0"/>
      <w:divBdr>
        <w:top w:val="none" w:sz="0" w:space="0" w:color="auto"/>
        <w:left w:val="none" w:sz="0" w:space="0" w:color="auto"/>
        <w:bottom w:val="none" w:sz="0" w:space="0" w:color="auto"/>
        <w:right w:val="none" w:sz="0" w:space="0" w:color="auto"/>
      </w:divBdr>
    </w:div>
    <w:div w:id="891842306">
      <w:bodyDiv w:val="1"/>
      <w:marLeft w:val="0"/>
      <w:marRight w:val="0"/>
      <w:marTop w:val="0"/>
      <w:marBottom w:val="0"/>
      <w:divBdr>
        <w:top w:val="none" w:sz="0" w:space="0" w:color="auto"/>
        <w:left w:val="none" w:sz="0" w:space="0" w:color="auto"/>
        <w:bottom w:val="none" w:sz="0" w:space="0" w:color="auto"/>
        <w:right w:val="none" w:sz="0" w:space="0" w:color="auto"/>
      </w:divBdr>
    </w:div>
    <w:div w:id="1320770936">
      <w:bodyDiv w:val="1"/>
      <w:marLeft w:val="0"/>
      <w:marRight w:val="0"/>
      <w:marTop w:val="0"/>
      <w:marBottom w:val="0"/>
      <w:divBdr>
        <w:top w:val="none" w:sz="0" w:space="0" w:color="auto"/>
        <w:left w:val="none" w:sz="0" w:space="0" w:color="auto"/>
        <w:bottom w:val="none" w:sz="0" w:space="0" w:color="auto"/>
        <w:right w:val="none" w:sz="0" w:space="0" w:color="auto"/>
      </w:divBdr>
    </w:div>
    <w:div w:id="1355886267">
      <w:bodyDiv w:val="1"/>
      <w:marLeft w:val="0"/>
      <w:marRight w:val="0"/>
      <w:marTop w:val="0"/>
      <w:marBottom w:val="0"/>
      <w:divBdr>
        <w:top w:val="none" w:sz="0" w:space="0" w:color="auto"/>
        <w:left w:val="none" w:sz="0" w:space="0" w:color="auto"/>
        <w:bottom w:val="none" w:sz="0" w:space="0" w:color="auto"/>
        <w:right w:val="none" w:sz="0" w:space="0" w:color="auto"/>
      </w:divBdr>
    </w:div>
    <w:div w:id="1400981434">
      <w:bodyDiv w:val="1"/>
      <w:marLeft w:val="0"/>
      <w:marRight w:val="0"/>
      <w:marTop w:val="0"/>
      <w:marBottom w:val="0"/>
      <w:divBdr>
        <w:top w:val="none" w:sz="0" w:space="0" w:color="auto"/>
        <w:left w:val="none" w:sz="0" w:space="0" w:color="auto"/>
        <w:bottom w:val="none" w:sz="0" w:space="0" w:color="auto"/>
        <w:right w:val="none" w:sz="0" w:space="0" w:color="auto"/>
      </w:divBdr>
    </w:div>
    <w:div w:id="1447769674">
      <w:bodyDiv w:val="1"/>
      <w:marLeft w:val="0"/>
      <w:marRight w:val="0"/>
      <w:marTop w:val="0"/>
      <w:marBottom w:val="0"/>
      <w:divBdr>
        <w:top w:val="none" w:sz="0" w:space="0" w:color="auto"/>
        <w:left w:val="none" w:sz="0" w:space="0" w:color="auto"/>
        <w:bottom w:val="none" w:sz="0" w:space="0" w:color="auto"/>
        <w:right w:val="none" w:sz="0" w:space="0" w:color="auto"/>
      </w:divBdr>
    </w:div>
    <w:div w:id="1701592045">
      <w:bodyDiv w:val="1"/>
      <w:marLeft w:val="0"/>
      <w:marRight w:val="0"/>
      <w:marTop w:val="0"/>
      <w:marBottom w:val="0"/>
      <w:divBdr>
        <w:top w:val="none" w:sz="0" w:space="0" w:color="auto"/>
        <w:left w:val="none" w:sz="0" w:space="0" w:color="auto"/>
        <w:bottom w:val="none" w:sz="0" w:space="0" w:color="auto"/>
        <w:right w:val="none" w:sz="0" w:space="0" w:color="auto"/>
      </w:divBdr>
    </w:div>
    <w:div w:id="1975017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bdpi.cultura.gob.pe/sites/default/files/informacion%20por%20region/Ley%20N%C2%B0%2022175.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isfor.osinfor.gob.pe/viso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gosfc.osinfor.gob.p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sniffs.serfor.gob.pe/inici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2.congreso.gob.pe/sicr/cendocbib/con2_uibd.nsf/67DAE9FB43F0233205257853006501EC/$FILE/Ley_2786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9D968-A71F-43E2-854D-B8521FBA1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263</Pages>
  <Words>97255</Words>
  <Characters>534907</Characters>
  <Application>Microsoft Office Word</Application>
  <DocSecurity>0</DocSecurity>
  <Lines>4457</Lines>
  <Paragraphs>1261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630901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Cruz</dc:creator>
  <cp:keywords/>
  <dc:description/>
  <cp:lastModifiedBy>Alex Darwin Cruz Huaranca</cp:lastModifiedBy>
  <cp:revision>3</cp:revision>
  <cp:lastPrinted>2023-05-02T14:40:00Z</cp:lastPrinted>
  <dcterms:created xsi:type="dcterms:W3CDTF">2023-09-01T22:58:00Z</dcterms:created>
  <dcterms:modified xsi:type="dcterms:W3CDTF">2023-09-01T23:06:00Z</dcterms:modified>
</cp:coreProperties>
</file>